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74" w:rsidRDefault="00695B33" w:rsidP="00E341F2">
      <w:r>
        <w:rPr>
          <w:noProof/>
          <w:lang w:eastAsia="en-AU"/>
        </w:rPr>
        <mc:AlternateContent>
          <mc:Choice Requires="wps">
            <w:drawing>
              <wp:inline distT="0" distB="0" distL="0" distR="0" wp14:anchorId="54021FB7" wp14:editId="21D89626">
                <wp:extent cx="5730875" cy="2493819"/>
                <wp:effectExtent l="0" t="0" r="3175" b="1905"/>
                <wp:docPr id="12" name="Text Box 12" descr="The Socio-Economic Status (SES) score methodology used in recurrent school funding arrangements"/>
                <wp:cNvGraphicFramePr/>
                <a:graphic xmlns:a="http://schemas.openxmlformats.org/drawingml/2006/main">
                  <a:graphicData uri="http://schemas.microsoft.com/office/word/2010/wordprocessingShape">
                    <wps:wsp>
                      <wps:cNvSpPr txBox="1"/>
                      <wps:spPr>
                        <a:xfrm>
                          <a:off x="0" y="0"/>
                          <a:ext cx="5730875" cy="24938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93E" w:rsidRDefault="0063193E" w:rsidP="00B742BC">
                            <w:pPr>
                              <w:pStyle w:val="FrontPagereporttitle"/>
                            </w:pPr>
                            <w:r>
                              <w:t>The Socio-Economic Status (SES) score methodology used in recurrent school funding arrangements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54021FB7" id="_x0000_t202" coordsize="21600,21600" o:spt="202" path="m,l,21600r21600,l21600,xe">
                <v:stroke joinstyle="miter"/>
                <v:path gradientshapeok="t" o:connecttype="rect"/>
              </v:shapetype>
              <v:shape id="Text Box 12" o:spid="_x0000_s1026" type="#_x0000_t202" alt="The Socio-Economic Status (SES) score methodology used in recurrent school funding arrangements" style="width:451.25pt;height:19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" fillcolor="white [3201]" stroked="f" strokeweight=".5pt">
                <v:textbox>
                  <w:txbxContent>
                    <w:p w:rsidR="0063193E" w:rsidRDefault="0063193E" w:rsidP="00B742BC">
                      <w:pPr>
                        <w:pStyle w:val="FrontPagereporttitle"/>
                      </w:pPr>
                      <w:r>
                        <w:t>The Socio-Economic Status (SES) score methodology used in recurrent school funding arrangements</w:t>
                      </w:r>
                    </w:p>
                  </w:txbxContent>
                </v:textbox>
                <w10:anchorlock/>
              </v:shape>
            </w:pict>
          </mc:Fallback>
        </mc:AlternateContent>
      </w:r>
    </w:p>
    <w:p w:rsidR="00BD17A3" w:rsidRPr="00F52149" w:rsidRDefault="00695B33" w:rsidP="00C44628">
      <w:pPr>
        <w:sectPr w:rsidR="00BD17A3" w:rsidRPr="00F52149" w:rsidSect="003207BE">
          <w:footerReference w:type="even" r:id="rId8"/>
          <w:footerReference w:type="first" r:id="rId9"/>
          <w:type w:val="continuous"/>
          <w:pgSz w:w="11907" w:h="16839" w:code="9"/>
          <w:pgMar w:top="1440" w:right="1440" w:bottom="1440" w:left="1440" w:header="720" w:footer="720" w:gutter="0"/>
          <w:pgNumType w:start="1"/>
          <w:cols w:space="720"/>
          <w:noEndnote/>
          <w:titlePg/>
          <w:docGrid w:linePitch="326"/>
        </w:sectPr>
      </w:pPr>
      <w:r>
        <w:rPr>
          <w:noProof/>
          <w:lang w:eastAsia="en-AU"/>
        </w:rPr>
        <mc:AlternateContent>
          <mc:Choice Requires="wps">
            <w:drawing>
              <wp:anchor distT="0" distB="0" distL="114300" distR="114300" simplePos="0" relativeHeight="251664384" behindDoc="0" locked="0" layoutInCell="0" allowOverlap="1" wp14:anchorId="273083CB" wp14:editId="2DB69615">
                <wp:simplePos x="0" y="0"/>
                <wp:positionH relativeFrom="page">
                  <wp:posOffset>-6350</wp:posOffset>
                </wp:positionH>
                <wp:positionV relativeFrom="page">
                  <wp:posOffset>4040827</wp:posOffset>
                </wp:positionV>
                <wp:extent cx="6667500" cy="643890"/>
                <wp:effectExtent l="0" t="0" r="0" b="3810"/>
                <wp:wrapNone/>
                <wp:docPr id="3" name="Rectangle 16"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43890"/>
                        </a:xfrm>
                        <a:prstGeom prst="rect">
                          <a:avLst/>
                        </a:prstGeom>
                        <a:solidFill>
                          <a:schemeClr val="accent1">
                            <a:lumMod val="100000"/>
                            <a:lumOff val="0"/>
                          </a:schemeClr>
                        </a:solidFill>
                        <a:ln w="12700">
                          <a:noFill/>
                          <a:miter lim="800000"/>
                          <a:headEnd/>
                          <a:tailEnd/>
                        </a:ln>
                      </wps:spPr>
                      <wps:txbx>
                        <w:txbxContent>
                          <w:p w:rsidR="0063193E" w:rsidRPr="00B742BC" w:rsidRDefault="0063193E" w:rsidP="00B742BC">
                            <w:pPr>
                              <w:pStyle w:val="FrontPagesub-heading"/>
                            </w:pPr>
                            <w:r>
                              <w:t>Research paper</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3083CB" id="Rectangle 16" o:spid="_x0000_s1027" alt="decorative" style="position:absolute;left:0;text-align:left;margin-left:-.5pt;margin-top:318.2pt;width:525pt;height:5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" o:allowincell="f" fillcolor="#4f81bd [3204]" stroked="f" strokeweight="1pt">
                <v:textbox inset="14.4pt,,14.4pt">
                  <w:txbxContent>
                    <w:p w:rsidR="0063193E" w:rsidRPr="00B742BC" w:rsidRDefault="0063193E" w:rsidP="00B742BC">
                      <w:pPr>
                        <w:pStyle w:val="FrontPagesub-heading"/>
                      </w:pPr>
                      <w:r>
                        <w:t>Research paper</w:t>
                      </w:r>
                    </w:p>
                  </w:txbxContent>
                </v:textbox>
                <w10:wrap anchorx="page" anchory="page"/>
              </v:rect>
            </w:pict>
          </mc:Fallback>
        </mc:AlternateContent>
      </w:r>
      <w:r w:rsidR="00352F74">
        <w:rPr>
          <w:noProof/>
          <w:lang w:eastAsia="en-AU"/>
        </w:rPr>
        <mc:AlternateContent>
          <mc:Choice Requires="wps">
            <w:drawing>
              <wp:anchor distT="0" distB="0" distL="114300" distR="114300" simplePos="0" relativeHeight="251669504" behindDoc="0" locked="0" layoutInCell="1" allowOverlap="1" wp14:anchorId="6841B531" wp14:editId="7A06164C">
                <wp:simplePos x="0" y="0"/>
                <wp:positionH relativeFrom="column">
                  <wp:posOffset>0</wp:posOffset>
                </wp:positionH>
                <wp:positionV relativeFrom="page">
                  <wp:posOffset>5754947</wp:posOffset>
                </wp:positionV>
                <wp:extent cx="5731200" cy="1058400"/>
                <wp:effectExtent l="0" t="0" r="3175" b="8890"/>
                <wp:wrapNone/>
                <wp:docPr id="13" name="Text Box 13" descr="Prepared for the Australian Department of Education and Training&#10;1 November 2017&#10;"/>
                <wp:cNvGraphicFramePr/>
                <a:graphic xmlns:a="http://schemas.openxmlformats.org/drawingml/2006/main">
                  <a:graphicData uri="http://schemas.microsoft.com/office/word/2010/wordprocessingShape">
                    <wps:wsp>
                      <wps:cNvSpPr txBox="1"/>
                      <wps:spPr>
                        <a:xfrm>
                          <a:off x="0" y="0"/>
                          <a:ext cx="5731200" cy="105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93E" w:rsidRDefault="0063193E" w:rsidP="00835CD9">
                            <w:pPr>
                              <w:pStyle w:val="FrontPagesub-heading2"/>
                            </w:pPr>
                            <w:r w:rsidRPr="0076688E">
                              <w:t>Prepared for the Australian Department of Education and Training</w:t>
                            </w:r>
                          </w:p>
                          <w:p w:rsidR="0063193E" w:rsidRPr="00B742BC" w:rsidRDefault="0063193E" w:rsidP="00B742BC">
                            <w:pPr>
                              <w:pStyle w:val="FrontPagesub-heading2"/>
                            </w:pPr>
                            <w:r>
                              <w:t>1 November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1B531" id="Text Box 13" o:spid="_x0000_s1028" type="#_x0000_t202" alt="Prepared for the Australian Department of Education and Training&#10;1 November 2017&#10;" style="position:absolute;left:0;text-align:left;margin-left:0;margin-top:453.15pt;width:451.3pt;height:8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" fillcolor="white [3201]" stroked="f" strokeweight=".5pt">
                <v:textbox>
                  <w:txbxContent>
                    <w:p w:rsidR="0063193E" w:rsidRDefault="0063193E" w:rsidP="00835CD9">
                      <w:pPr>
                        <w:pStyle w:val="FrontPagesub-heading2"/>
                      </w:pPr>
                      <w:r w:rsidRPr="0076688E">
                        <w:t>Prepared for the Australian Department of Education and Training</w:t>
                      </w:r>
                    </w:p>
                    <w:p w:rsidR="0063193E" w:rsidRPr="00B742BC" w:rsidRDefault="0063193E" w:rsidP="00B742BC">
                      <w:pPr>
                        <w:pStyle w:val="FrontPagesub-heading2"/>
                      </w:pPr>
                      <w:r>
                        <w:t>1 November 2017</w:t>
                      </w:r>
                    </w:p>
                  </w:txbxContent>
                </v:textbox>
                <w10:wrap anchory="page"/>
              </v:shape>
            </w:pict>
          </mc:Fallback>
        </mc:AlternateContent>
      </w:r>
    </w:p>
    <w:p w:rsidR="009540D3" w:rsidRPr="002E699E" w:rsidRDefault="009540D3" w:rsidP="009540D3">
      <w:pPr>
        <w:pStyle w:val="FrontPagereporttitle"/>
        <w:jc w:val="left"/>
        <w:rPr>
          <w:rFonts w:cstheme="minorHAnsi"/>
          <w:b/>
          <w:color w:val="auto"/>
          <w:sz w:val="24"/>
          <w:szCs w:val="24"/>
        </w:rPr>
      </w:pPr>
      <w:r w:rsidRPr="002E699E">
        <w:rPr>
          <w:rFonts w:cstheme="minorHAnsi"/>
          <w:b/>
          <w:color w:val="auto"/>
          <w:sz w:val="24"/>
          <w:szCs w:val="24"/>
        </w:rPr>
        <w:lastRenderedPageBreak/>
        <w:t>The Socio-Economic Status (SES) score methodology used in recurrent school funding arrangements</w:t>
      </w:r>
      <w:r>
        <w:rPr>
          <w:rFonts w:cstheme="minorHAnsi"/>
          <w:b/>
          <w:color w:val="auto"/>
          <w:sz w:val="24"/>
          <w:szCs w:val="24"/>
        </w:rPr>
        <w:t xml:space="preserve"> – Research Paper</w:t>
      </w:r>
    </w:p>
    <w:p w:rsidR="009540D3" w:rsidRPr="00DB6C75" w:rsidRDefault="009540D3" w:rsidP="009540D3">
      <w:pPr>
        <w:pStyle w:val="NormalWeb"/>
        <w:keepNext/>
        <w:spacing w:before="120" w:after="120"/>
        <w:jc w:val="both"/>
      </w:pPr>
      <w:r w:rsidRPr="00DB6C75">
        <w:rPr>
          <w:color w:val="000000"/>
        </w:rPr>
        <w:t xml:space="preserve">© Commonwealth of Australia </w:t>
      </w:r>
      <w:r w:rsidRPr="00DB6C75">
        <w:t>2017</w:t>
      </w:r>
    </w:p>
    <w:p w:rsidR="009540D3" w:rsidRPr="00DB6C75" w:rsidRDefault="009540D3" w:rsidP="009540D3">
      <w:pPr>
        <w:pStyle w:val="NormalWeb"/>
        <w:keepNext/>
        <w:spacing w:before="120" w:after="120"/>
        <w:jc w:val="both"/>
        <w:rPr>
          <w:rFonts w:ascii="Arial" w:hAnsi="Arial" w:cs="Arial"/>
          <w:sz w:val="20"/>
          <w:szCs w:val="20"/>
        </w:rPr>
      </w:pPr>
      <w:r w:rsidRPr="00DB6C75">
        <w:rPr>
          <w:b/>
        </w:rPr>
        <w:t>ISBN</w:t>
      </w:r>
      <w:r w:rsidRPr="00DB6C75">
        <w:rPr>
          <w:rFonts w:asciiTheme="minorHAnsi" w:hAnsiTheme="minorHAnsi"/>
          <w:b/>
        </w:rPr>
        <w:t xml:space="preserve"> </w:t>
      </w:r>
      <w:r>
        <w:rPr>
          <w:rFonts w:ascii="Arial" w:hAnsi="Arial" w:cs="Arial"/>
          <w:sz w:val="20"/>
          <w:szCs w:val="20"/>
        </w:rPr>
        <w:t>978-1-76051-341-2</w:t>
      </w:r>
      <w:r w:rsidRPr="00DB6C75">
        <w:rPr>
          <w:rFonts w:ascii="Arial" w:hAnsi="Arial" w:cs="Arial"/>
          <w:sz w:val="20"/>
          <w:szCs w:val="20"/>
        </w:rPr>
        <w:t xml:space="preserve"> (PDF)</w:t>
      </w:r>
    </w:p>
    <w:p w:rsidR="009540D3" w:rsidRPr="00DB6C75" w:rsidRDefault="009540D3" w:rsidP="009540D3">
      <w:pPr>
        <w:pStyle w:val="NormalWeb"/>
        <w:keepNext/>
        <w:spacing w:before="120" w:after="120"/>
        <w:jc w:val="both"/>
        <w:rPr>
          <w:rFonts w:asciiTheme="minorHAnsi" w:hAnsiTheme="minorHAnsi"/>
          <w:color w:val="000000"/>
        </w:rPr>
      </w:pPr>
      <w:r w:rsidRPr="00DB6C75">
        <w:rPr>
          <w:b/>
        </w:rPr>
        <w:t>ISBN</w:t>
      </w:r>
      <w:r w:rsidRPr="00DB6C75">
        <w:rPr>
          <w:rFonts w:asciiTheme="minorHAnsi" w:hAnsiTheme="minorHAnsi"/>
          <w:b/>
        </w:rPr>
        <w:t xml:space="preserve"> </w:t>
      </w:r>
      <w:r>
        <w:rPr>
          <w:rFonts w:ascii="Arial" w:hAnsi="Arial" w:cs="Arial"/>
          <w:sz w:val="20"/>
          <w:szCs w:val="20"/>
        </w:rPr>
        <w:t>978-1-76051-342-9</w:t>
      </w:r>
      <w:r w:rsidRPr="00DB6C75">
        <w:rPr>
          <w:rFonts w:ascii="Arial" w:hAnsi="Arial" w:cs="Arial"/>
          <w:sz w:val="20"/>
          <w:szCs w:val="20"/>
        </w:rPr>
        <w:t xml:space="preserve"> (DOCX)</w:t>
      </w:r>
    </w:p>
    <w:p w:rsidR="009540D3" w:rsidRPr="00DB6C75" w:rsidRDefault="009540D3" w:rsidP="009540D3">
      <w:pPr>
        <w:pStyle w:val="numberedpara"/>
        <w:keepNext/>
        <w:numPr>
          <w:ilvl w:val="0"/>
          <w:numId w:val="0"/>
        </w:numPr>
        <w:tabs>
          <w:tab w:val="left" w:pos="720"/>
        </w:tabs>
        <w:spacing w:before="120" w:after="120"/>
        <w:jc w:val="both"/>
        <w:rPr>
          <w:sz w:val="20"/>
          <w:szCs w:val="20"/>
        </w:rPr>
      </w:pPr>
      <w:r w:rsidRPr="00DB6C75">
        <w:rPr>
          <w:noProof/>
          <w:sz w:val="20"/>
          <w:szCs w:val="20"/>
        </w:rPr>
        <w:drawing>
          <wp:inline distT="0" distB="0" distL="0" distR="0" wp14:anchorId="7F1827F5" wp14:editId="5CC1D8B0">
            <wp:extent cx="847725" cy="285750"/>
            <wp:effectExtent l="0" t="0" r="9525" b="0"/>
            <wp:docPr id="8" name="Picture 8" descr="cid:image003.jpg@01D31CB3.AC4B5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1CB3.AC4B5C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rsidR="009540D3" w:rsidRPr="00DB6C75" w:rsidRDefault="009540D3" w:rsidP="009540D3">
      <w:pPr>
        <w:spacing w:after="120"/>
        <w:jc w:val="left"/>
        <w:rPr>
          <w:color w:val="000000"/>
        </w:rPr>
      </w:pPr>
      <w:r w:rsidRPr="00DB6C75">
        <w:t xml:space="preserve">Any material protected by a trade mark and where otherwise noted all material presented in this document is provided under a Creative Commons Attribution 4.0 International licence. </w:t>
      </w:r>
    </w:p>
    <w:p w:rsidR="009540D3" w:rsidRPr="00DB6C75" w:rsidRDefault="009540D3" w:rsidP="009540D3">
      <w:pPr>
        <w:spacing w:after="120"/>
        <w:jc w:val="left"/>
      </w:pPr>
      <w:r w:rsidRPr="00DB6C75">
        <w:t>The details of the relevant licence conditions are available on the Creative Commons website (</w:t>
      </w:r>
      <w:hyperlink r:id="rId12" w:tooltip="web link to creative commons licencing conditions" w:history="1">
        <w:r w:rsidRPr="00DB6C75">
          <w:rPr>
            <w:rStyle w:val="Hyperlink"/>
          </w:rPr>
          <w:t>https://creativecommons.org/licenses/by/4.0/</w:t>
        </w:r>
      </w:hyperlink>
      <w:r w:rsidRPr="00DB6C75">
        <w:t>) as is the full legal code (</w:t>
      </w:r>
      <w:hyperlink r:id="rId13" w:tooltip="web link to creative commons legal code" w:history="1">
        <w:r w:rsidRPr="00DB6C75">
          <w:rPr>
            <w:rStyle w:val="Hyperlink"/>
          </w:rPr>
          <w:t>https://creativecommons.org/licenses/by/4.0/legalcode</w:t>
        </w:r>
      </w:hyperlink>
      <w:r w:rsidRPr="00DB6C75">
        <w:t>)</w:t>
      </w:r>
    </w:p>
    <w:p w:rsidR="009540D3" w:rsidRPr="00DB6C75" w:rsidRDefault="009540D3" w:rsidP="009540D3">
      <w:pPr>
        <w:spacing w:after="120"/>
        <w:jc w:val="left"/>
      </w:pPr>
      <w:r w:rsidRPr="00DB6C75">
        <w:t>As far as practicable, material for which the copyright is owned by a third party will be clearly labelled. All reasonable efforts have been made to ensure that this material has been reproduced in this document with the full consent of the copyright owners.</w:t>
      </w:r>
    </w:p>
    <w:p w:rsidR="009540D3" w:rsidRPr="00DB6C75" w:rsidRDefault="009540D3" w:rsidP="009540D3">
      <w:pPr>
        <w:spacing w:after="120"/>
        <w:jc w:val="left"/>
      </w:pPr>
      <w:r w:rsidRPr="00DB6C75">
        <w:t>Copyright requests and enquiries concerning further authorisation should be addressed to:</w:t>
      </w:r>
    </w:p>
    <w:p w:rsidR="009540D3" w:rsidRPr="00DB6C75" w:rsidRDefault="009540D3" w:rsidP="009540D3">
      <w:pPr>
        <w:spacing w:after="120"/>
        <w:ind w:left="720"/>
        <w:jc w:val="left"/>
        <w:rPr>
          <w:color w:val="000000"/>
        </w:rPr>
      </w:pPr>
      <w:r w:rsidRPr="00DB6C75">
        <w:rPr>
          <w:rFonts w:cs="Calibri"/>
          <w:lang w:eastAsia="en-AU"/>
        </w:rPr>
        <w:t xml:space="preserve">The Copyright Officer, Department of Education and Training, Location code C50MA10 </w:t>
      </w:r>
      <w:r w:rsidRPr="00DB6C75">
        <w:rPr>
          <w:rFonts w:cs="Calibri"/>
          <w:lang w:eastAsia="en-AU"/>
        </w:rPr>
        <w:br/>
        <w:t xml:space="preserve">GPO Box 9880 Canberra ACT 2601 or emailed to </w:t>
      </w:r>
      <w:hyperlink r:id="rId14" w:history="1">
        <w:r w:rsidRPr="00DB6C75">
          <w:rPr>
            <w:rStyle w:val="Hyperlink"/>
          </w:rPr>
          <w:t>copyright@education.gov.au</w:t>
        </w:r>
      </w:hyperlink>
      <w:r w:rsidRPr="00DB6C75">
        <w:rPr>
          <w:color w:val="000000"/>
        </w:rPr>
        <w:t>.</w:t>
      </w:r>
    </w:p>
    <w:p w:rsidR="009540D3" w:rsidRPr="00DB6C75" w:rsidRDefault="009540D3" w:rsidP="009540D3">
      <w:pPr>
        <w:spacing w:after="120"/>
        <w:jc w:val="left"/>
        <w:rPr>
          <w:rFonts w:cs="Calibri"/>
          <w:lang w:eastAsia="en-AU"/>
        </w:rPr>
      </w:pPr>
      <w:r w:rsidRPr="00DB6C75">
        <w:rPr>
          <w:color w:val="000000"/>
        </w:rPr>
        <w:t>Where a copyright owner other than the Commonwealth is identified with respect to this material, please contact that third party copyright owner directly to seek permission.</w:t>
      </w:r>
    </w:p>
    <w:p w:rsidR="009540D3" w:rsidRPr="00DB6C75" w:rsidRDefault="009540D3" w:rsidP="009540D3">
      <w:pPr>
        <w:spacing w:after="120"/>
        <w:jc w:val="left"/>
        <w:rPr>
          <w:rFonts w:cs="Calibri"/>
          <w:b/>
          <w:lang w:eastAsia="en-AU"/>
        </w:rPr>
      </w:pPr>
      <w:r w:rsidRPr="00DB6C75">
        <w:rPr>
          <w:rFonts w:cs="Calibri"/>
          <w:b/>
          <w:lang w:eastAsia="en-AU"/>
        </w:rPr>
        <w:t>Disclaimer</w:t>
      </w:r>
    </w:p>
    <w:p w:rsidR="009540D3" w:rsidRPr="00DB6C75" w:rsidRDefault="009540D3" w:rsidP="009540D3">
      <w:pPr>
        <w:spacing w:after="120"/>
        <w:jc w:val="left"/>
      </w:pPr>
      <w:r w:rsidRPr="00DB6C75">
        <w:rPr>
          <w:rFonts w:cs="Calibri"/>
          <w:lang w:eastAsia="en-AU"/>
        </w:rPr>
        <w:t xml:space="preserve">As this is an independent </w:t>
      </w:r>
      <w:r>
        <w:rPr>
          <w:rFonts w:cs="Calibri"/>
          <w:lang w:eastAsia="en-AU"/>
        </w:rPr>
        <w:t>research paper</w:t>
      </w:r>
      <w:r w:rsidRPr="00DB6C75">
        <w:rPr>
          <w:rFonts w:cs="Calibri"/>
          <w:lang w:eastAsia="en-AU"/>
        </w:rPr>
        <w:t>, the issues do not necessarily reflect the views of the Australian Government.</w:t>
      </w:r>
    </w:p>
    <w:p w:rsidR="009540D3" w:rsidRPr="002E699E" w:rsidRDefault="009540D3" w:rsidP="009540D3">
      <w:pPr>
        <w:spacing w:after="120"/>
        <w:jc w:val="left"/>
        <w:sectPr w:rsidR="009540D3" w:rsidRPr="002E699E" w:rsidSect="00BD17A3">
          <w:headerReference w:type="even" r:id="rId15"/>
          <w:headerReference w:type="default" r:id="rId16"/>
          <w:headerReference w:type="first" r:id="rId17"/>
          <w:footerReference w:type="first" r:id="rId18"/>
          <w:pgSz w:w="11907" w:h="16839" w:code="9"/>
          <w:pgMar w:top="1440" w:right="1440" w:bottom="1440" w:left="1440" w:header="720" w:footer="720" w:gutter="0"/>
          <w:pgNumType w:start="1"/>
          <w:cols w:space="720"/>
          <w:noEndnote/>
          <w:titlePg/>
          <w:docGrid w:linePitch="326"/>
        </w:sectPr>
      </w:pPr>
      <w:r w:rsidRPr="00DB6C75">
        <w:t xml:space="preserve">This document must be attributed as the </w:t>
      </w:r>
      <w:r w:rsidRPr="002E699E">
        <w:rPr>
          <w:rFonts w:asciiTheme="minorHAnsi" w:hAnsiTheme="minorHAnsi" w:cstheme="minorHAnsi"/>
          <w:i/>
        </w:rPr>
        <w:t>Socio-Economic Status (SES) score methodology used in recurrent school funding arrangements</w:t>
      </w:r>
      <w:r w:rsidRPr="002E699E">
        <w:rPr>
          <w:rFonts w:cstheme="minorHAnsi"/>
          <w:i/>
        </w:rPr>
        <w:t xml:space="preserve"> – Research Paper</w:t>
      </w:r>
      <w:r w:rsidRPr="002E699E">
        <w:rPr>
          <w:rFonts w:cstheme="minorHAnsi"/>
        </w:rPr>
        <w:t>.</w:t>
      </w:r>
    </w:p>
    <w:p w:rsidR="00352F74" w:rsidRDefault="00352F74" w:rsidP="00C44628">
      <w:pPr>
        <w:sectPr w:rsidR="00352F74" w:rsidSect="00BD17A3">
          <w:headerReference w:type="even" r:id="rId19"/>
          <w:headerReference w:type="default" r:id="rId20"/>
          <w:headerReference w:type="first" r:id="rId21"/>
          <w:footerReference w:type="first" r:id="rId22"/>
          <w:pgSz w:w="11907" w:h="16839" w:code="9"/>
          <w:pgMar w:top="1440" w:right="1440" w:bottom="1440" w:left="1440" w:header="720" w:footer="720" w:gutter="0"/>
          <w:pgNumType w:start="1"/>
          <w:cols w:space="720"/>
          <w:noEndnote/>
          <w:titlePg/>
          <w:docGrid w:linePitch="326"/>
        </w:sectPr>
      </w:pPr>
    </w:p>
    <w:p w:rsidR="00C12EC1" w:rsidRDefault="00C12EC1" w:rsidP="00A12411">
      <w:pPr>
        <w:pStyle w:val="HeadingTOC"/>
      </w:pPr>
      <w:bookmarkStart w:id="0" w:name="_Toc481431389"/>
      <w:bookmarkStart w:id="1" w:name="_Toc496803866"/>
      <w:r w:rsidRPr="00F54D36">
        <w:t xml:space="preserve">Executive </w:t>
      </w:r>
      <w:r w:rsidRPr="00A12411">
        <w:t>Summary</w:t>
      </w:r>
      <w:bookmarkEnd w:id="0"/>
      <w:bookmarkEnd w:id="1"/>
    </w:p>
    <w:p w:rsidR="001A2D9E" w:rsidRDefault="001A2D9E" w:rsidP="005E374E">
      <w:pPr>
        <w:pStyle w:val="Heading3"/>
      </w:pPr>
      <w:bookmarkStart w:id="2" w:name="_Toc496803867"/>
      <w:r>
        <w:t>Objective</w:t>
      </w:r>
      <w:bookmarkEnd w:id="2"/>
    </w:p>
    <w:p w:rsidR="00EC5FE7" w:rsidRDefault="00EC5FE7" w:rsidP="00EC5FE7">
      <w:r>
        <w:t xml:space="preserve">The Centre for International Research on Education Systems (CIRES) at Victoria University has been commissioned by the Australian Government Department of Education and Training (DET) to prepare a research paper on the Socio-Economic Status (SES) score methodology. The SES score is used </w:t>
      </w:r>
      <w:r w:rsidR="0090720C">
        <w:t>to</w:t>
      </w:r>
      <w:r>
        <w:t xml:space="preserve"> alloca</w:t>
      </w:r>
      <w:r w:rsidR="0090720C">
        <w:t>te</w:t>
      </w:r>
      <w:r>
        <w:t xml:space="preserve"> Australian Government recurrent funding to </w:t>
      </w:r>
      <w:r w:rsidR="002263C4">
        <w:t>non</w:t>
      </w:r>
      <w:r w:rsidR="002263C4">
        <w:noBreakHyphen/>
        <w:t>government</w:t>
      </w:r>
      <w:r>
        <w:t xml:space="preserve"> schools</w:t>
      </w:r>
      <w:r w:rsidR="00905F2D">
        <w:t xml:space="preserve">, and is intended to measure the capacity of families and school communities to contribute towards the operating costs of </w:t>
      </w:r>
      <w:r w:rsidR="002263C4">
        <w:t>non</w:t>
      </w:r>
      <w:r w:rsidR="002263C4">
        <w:noBreakHyphen/>
        <w:t>government</w:t>
      </w:r>
      <w:r w:rsidR="00905F2D">
        <w:t xml:space="preserve"> schools</w:t>
      </w:r>
      <w:r>
        <w:t xml:space="preserve">. </w:t>
      </w:r>
    </w:p>
    <w:p w:rsidR="00EC5FE7" w:rsidRDefault="00EC5FE7" w:rsidP="00EC5FE7">
      <w:r>
        <w:t xml:space="preserve">This research paper </w:t>
      </w:r>
      <w:r w:rsidRPr="00695B33">
        <w:t>provide</w:t>
      </w:r>
      <w:r>
        <w:t>s</w:t>
      </w:r>
      <w:r w:rsidRPr="00695B33">
        <w:t xml:space="preserve"> a stocktake of </w:t>
      </w:r>
      <w:r>
        <w:t xml:space="preserve">development </w:t>
      </w:r>
      <w:r w:rsidRPr="00695B33">
        <w:t>activities</w:t>
      </w:r>
      <w:r>
        <w:t xml:space="preserve"> since the SES score was conceived in 1996, and </w:t>
      </w:r>
      <w:r w:rsidR="00E636BB">
        <w:t>subsequently</w:t>
      </w:r>
      <w:r>
        <w:t xml:space="preserve"> used to allocate recurrent funding from 2001. </w:t>
      </w:r>
      <w:r w:rsidR="00905F2D">
        <w:t xml:space="preserve">The paper then </w:t>
      </w:r>
      <w:r w:rsidR="006A6E38">
        <w:t xml:space="preserve">synthesises </w:t>
      </w:r>
      <w:r w:rsidR="004A11FF">
        <w:t xml:space="preserve">stakeholder </w:t>
      </w:r>
      <w:r w:rsidR="006A6E38" w:rsidRPr="00695B33">
        <w:t>issues and views</w:t>
      </w:r>
      <w:r w:rsidR="004A11FF">
        <w:t xml:space="preserve"> on the SES score</w:t>
      </w:r>
      <w:r w:rsidR="006A6E38">
        <w:t>,</w:t>
      </w:r>
      <w:r w:rsidR="006A6E38" w:rsidRPr="00695B33">
        <w:t xml:space="preserve"> and </w:t>
      </w:r>
      <w:r w:rsidR="006A6E38">
        <w:t xml:space="preserve">identifies </w:t>
      </w:r>
      <w:r w:rsidR="004A11FF">
        <w:t>areas for possible further exploration</w:t>
      </w:r>
      <w:r w:rsidR="00905F2D">
        <w:t xml:space="preserve">. </w:t>
      </w:r>
    </w:p>
    <w:p w:rsidR="001A2D9E" w:rsidRDefault="001A2D9E" w:rsidP="005E374E">
      <w:pPr>
        <w:pStyle w:val="Heading3"/>
      </w:pPr>
      <w:bookmarkStart w:id="3" w:name="_Toc496803868"/>
      <w:r>
        <w:t>History of the SES score</w:t>
      </w:r>
      <w:bookmarkEnd w:id="3"/>
      <w:r>
        <w:t xml:space="preserve"> </w:t>
      </w:r>
    </w:p>
    <w:p w:rsidR="001A2D9E" w:rsidRPr="001A2D9E" w:rsidRDefault="001A2D9E" w:rsidP="001A2D9E">
      <w:r w:rsidRPr="001A2D9E">
        <w:t xml:space="preserve">In 1997, discussions first commenced on the potential use of </w:t>
      </w:r>
      <w:r>
        <w:t xml:space="preserve">a </w:t>
      </w:r>
      <w:r w:rsidRPr="001A2D9E">
        <w:t xml:space="preserve">SES </w:t>
      </w:r>
      <w:r>
        <w:t xml:space="preserve">measure </w:t>
      </w:r>
      <w:r w:rsidRPr="001A2D9E">
        <w:t xml:space="preserve">as a mechanism to allocate Australian Government funds to </w:t>
      </w:r>
      <w:r w:rsidR="002263C4">
        <w:t>non</w:t>
      </w:r>
      <w:r w:rsidR="002263C4">
        <w:noBreakHyphen/>
        <w:t>government</w:t>
      </w:r>
      <w:r w:rsidRPr="001A2D9E">
        <w:t xml:space="preserve"> schools. These discussions formed part of a broader review of school funding arrangements.</w:t>
      </w:r>
    </w:p>
    <w:p w:rsidR="00463391" w:rsidRDefault="00B66A78" w:rsidP="00C44628">
      <w:r>
        <w:t xml:space="preserve">At that time the </w:t>
      </w:r>
      <w:r w:rsidR="00463391">
        <w:t xml:space="preserve">Australian Government </w:t>
      </w:r>
      <w:r>
        <w:t xml:space="preserve">used the </w:t>
      </w:r>
      <w:r w:rsidR="00463391">
        <w:t>Education Resources Index (ERI)</w:t>
      </w:r>
      <w:r>
        <w:t xml:space="preserve"> to fund </w:t>
      </w:r>
      <w:r w:rsidR="002263C4">
        <w:t>non</w:t>
      </w:r>
      <w:r w:rsidR="002263C4">
        <w:noBreakHyphen/>
        <w:t>government</w:t>
      </w:r>
      <w:r>
        <w:t xml:space="preserve"> schools</w:t>
      </w:r>
      <w:r w:rsidR="00463391">
        <w:t>.</w:t>
      </w:r>
      <w:r w:rsidR="001A2D9E">
        <w:t xml:space="preserve"> The ERI approach used i</w:t>
      </w:r>
      <w:r w:rsidR="00463391">
        <w:t>nformation on school financial resources</w:t>
      </w:r>
      <w:r w:rsidRPr="00B66A78">
        <w:t xml:space="preserve"> </w:t>
      </w:r>
      <w:r w:rsidR="006A6E38">
        <w:t xml:space="preserve">to </w:t>
      </w:r>
      <w:r>
        <w:t>allocate</w:t>
      </w:r>
      <w:r w:rsidR="00463391">
        <w:t xml:space="preserve"> schools to one of 12 funding categories. </w:t>
      </w:r>
      <w:r w:rsidR="001A2D9E">
        <w:t xml:space="preserve">This allocation process </w:t>
      </w:r>
      <w:r w:rsidR="001A2D9E" w:rsidRPr="001A2D9E">
        <w:t>measured school private income (including income generated by fees) against a</w:t>
      </w:r>
      <w:r w:rsidR="001A2D9E">
        <w:t xml:space="preserve"> resourc</w:t>
      </w:r>
      <w:r w:rsidR="00173F24">
        <w:t>ing</w:t>
      </w:r>
      <w:r w:rsidR="001A2D9E">
        <w:t xml:space="preserve"> benchmark</w:t>
      </w:r>
      <w:r w:rsidR="001A2D9E" w:rsidRPr="001A2D9E">
        <w:t>.</w:t>
      </w:r>
    </w:p>
    <w:p w:rsidR="00173F24" w:rsidRDefault="00173F24" w:rsidP="00C44628">
      <w:r>
        <w:t xml:space="preserve">As part of the broader review, the </w:t>
      </w:r>
      <w:r w:rsidR="00463391">
        <w:t>Australian Government</w:t>
      </w:r>
      <w:r>
        <w:t>, alongside key stakeholders,</w:t>
      </w:r>
      <w:r w:rsidR="00463391">
        <w:t xml:space="preserve"> considered the merits of the ERI mechanism, </w:t>
      </w:r>
      <w:r w:rsidR="00905F2D">
        <w:t>and</w:t>
      </w:r>
      <w:r w:rsidR="00463391">
        <w:t xml:space="preserve"> five alternative </w:t>
      </w:r>
      <w:r w:rsidR="00905F2D">
        <w:t xml:space="preserve">funding </w:t>
      </w:r>
      <w:r w:rsidR="00463391">
        <w:t>approaches</w:t>
      </w:r>
      <w:r w:rsidR="00DC6CDC">
        <w:t>.</w:t>
      </w:r>
      <w:r w:rsidR="00905F2D">
        <w:t xml:space="preserve"> </w:t>
      </w:r>
      <w:r w:rsidRPr="00173F24">
        <w:t>These included: consideration of school resources</w:t>
      </w:r>
      <w:r>
        <w:t xml:space="preserve"> (e.g. a revised version of the ERI approach)</w:t>
      </w:r>
      <w:r w:rsidRPr="00173F24">
        <w:t>; family income; an individual-based model (e.g. vouchers); SES of the school community; and a</w:t>
      </w:r>
      <w:r>
        <w:t xml:space="preserve"> combination of these</w:t>
      </w:r>
      <w:r w:rsidRPr="00173F24">
        <w:t xml:space="preserve"> approach</w:t>
      </w:r>
      <w:r>
        <w:t>es</w:t>
      </w:r>
      <w:r w:rsidRPr="00173F24">
        <w:t>.</w:t>
      </w:r>
    </w:p>
    <w:p w:rsidR="00173F24" w:rsidRDefault="00173F24" w:rsidP="00C44628">
      <w:r>
        <w:t>Following a consultation process, i</w:t>
      </w:r>
      <w:r w:rsidR="00905F2D">
        <w:t xml:space="preserve">t was </w:t>
      </w:r>
      <w:r>
        <w:t>agreed</w:t>
      </w:r>
      <w:r w:rsidR="00905F2D">
        <w:t xml:space="preserve"> </w:t>
      </w:r>
      <w:r w:rsidR="00DC6CDC">
        <w:t>an SES measure using data collected by the Australian Bureau</w:t>
      </w:r>
      <w:r w:rsidR="00E636BB">
        <w:t xml:space="preserve"> of Statistics</w:t>
      </w:r>
      <w:r w:rsidR="00DC6CDC">
        <w:t xml:space="preserve"> (ABS) Census of Population and Housing should be progressed. </w:t>
      </w:r>
      <w:r w:rsidRPr="00173F24">
        <w:t xml:space="preserve"> Four separate indexes were tested during a year-long simulation project during 1998, with the current index </w:t>
      </w:r>
      <w:r w:rsidR="009A7D30">
        <w:t xml:space="preserve">design </w:t>
      </w:r>
      <w:r w:rsidRPr="00173F24">
        <w:t>validated in 1999</w:t>
      </w:r>
      <w:r w:rsidR="008E2C04">
        <w:t>, and ultimately legislated by the Australian Government</w:t>
      </w:r>
      <w:r w:rsidRPr="00173F24">
        <w:t xml:space="preserve">. </w:t>
      </w:r>
    </w:p>
    <w:p w:rsidR="00173F24" w:rsidRPr="005E374E" w:rsidRDefault="00173F24" w:rsidP="00173F24">
      <w:r w:rsidRPr="005E374E">
        <w:t xml:space="preserve">While the objective of the SES score has remained unchanged for 20 years—to measure the capacity of </w:t>
      </w:r>
      <w:r w:rsidR="002263C4">
        <w:t>non</w:t>
      </w:r>
      <w:r w:rsidR="002263C4">
        <w:noBreakHyphen/>
        <w:t>government</w:t>
      </w:r>
      <w:r w:rsidRPr="005E374E">
        <w:t xml:space="preserve"> school communities to contribute towards the operating costs of their schools—its application in recurrent schools funding has</w:t>
      </w:r>
      <w:r w:rsidR="008E2C04">
        <w:t xml:space="preserve"> </w:t>
      </w:r>
      <w:r w:rsidR="002263C4">
        <w:t>changed</w:t>
      </w:r>
      <w:r w:rsidRPr="005E374E">
        <w:t xml:space="preserve">. </w:t>
      </w:r>
    </w:p>
    <w:p w:rsidR="00173F24" w:rsidRPr="005E374E" w:rsidRDefault="00173F24" w:rsidP="00173F24">
      <w:r w:rsidRPr="005E374E">
        <w:t xml:space="preserve">From 2001 for independent schools, and 2005 for Catholic systemic schools, the SES score determined the percentage of the Average Government School Recurrent Costs (AGSRC) </w:t>
      </w:r>
      <w:r w:rsidR="002263C4">
        <w:t>non</w:t>
      </w:r>
      <w:r w:rsidR="002263C4">
        <w:noBreakHyphen/>
        <w:t>government</w:t>
      </w:r>
      <w:r w:rsidRPr="005E374E">
        <w:t xml:space="preserve"> school</w:t>
      </w:r>
      <w:r w:rsidR="008E2C04">
        <w:t>s</w:t>
      </w:r>
      <w:r w:rsidRPr="005E374E">
        <w:t xml:space="preserve"> received from the Australian Government. </w:t>
      </w:r>
      <w:r w:rsidR="009A7D30">
        <w:t xml:space="preserve">The actual funding received by schools was also influenced by Funding Maintained and Funding Guaranteed arrangements. </w:t>
      </w:r>
    </w:p>
    <w:p w:rsidR="00173F24" w:rsidRDefault="00173F24" w:rsidP="00173F24">
      <w:r w:rsidRPr="005E374E">
        <w:t xml:space="preserve">Since 2014, and following the </w:t>
      </w:r>
      <w:r w:rsidR="008E2C04">
        <w:t xml:space="preserve">2011 </w:t>
      </w:r>
      <w:r w:rsidRPr="005E374E">
        <w:t xml:space="preserve">Review of Funding for Schooling, the SES score has been </w:t>
      </w:r>
      <w:r w:rsidR="008E2C04">
        <w:t>used</w:t>
      </w:r>
      <w:r w:rsidRPr="005E374E">
        <w:t xml:space="preserve"> to discount the base Schooling Resource Standard (SRS) per student amount received by </w:t>
      </w:r>
      <w:r w:rsidR="002263C4">
        <w:t>non</w:t>
      </w:r>
      <w:r w:rsidR="002263C4">
        <w:noBreakHyphen/>
        <w:t>government</w:t>
      </w:r>
      <w:r w:rsidRPr="005E374E">
        <w:t xml:space="preserve"> schools.</w:t>
      </w:r>
    </w:p>
    <w:p w:rsidR="00DC6CDC" w:rsidRDefault="00ED0AE2" w:rsidP="005E374E">
      <w:pPr>
        <w:pStyle w:val="Heading3"/>
      </w:pPr>
      <w:bookmarkStart w:id="4" w:name="_Toc496803869"/>
      <w:r>
        <w:t xml:space="preserve">The SES score </w:t>
      </w:r>
      <w:r w:rsidR="002D279D">
        <w:t>calculation</w:t>
      </w:r>
      <w:r>
        <w:t xml:space="preserve"> methodology</w:t>
      </w:r>
      <w:bookmarkEnd w:id="4"/>
    </w:p>
    <w:p w:rsidR="00A722C8" w:rsidRDefault="00786E92" w:rsidP="00DC6CDC">
      <w:r>
        <w:t xml:space="preserve">The </w:t>
      </w:r>
      <w:r w:rsidR="00DC6CDC">
        <w:t xml:space="preserve">SES score </w:t>
      </w:r>
      <w:r w:rsidR="002D279D">
        <w:t>calculation</w:t>
      </w:r>
      <w:r>
        <w:t xml:space="preserve"> </w:t>
      </w:r>
      <w:r w:rsidR="00ED0AE2">
        <w:t xml:space="preserve">currently </w:t>
      </w:r>
      <w:r w:rsidR="00905F2D">
        <w:t>uses</w:t>
      </w:r>
      <w:r w:rsidR="00DC6CDC">
        <w:t xml:space="preserve"> </w:t>
      </w:r>
      <w:r w:rsidR="006A6E38">
        <w:t xml:space="preserve">Census data at the Statistical Area 1 </w:t>
      </w:r>
      <w:r w:rsidR="00ED0AE2">
        <w:t xml:space="preserve">(SA1) </w:t>
      </w:r>
      <w:r w:rsidR="006A6E38">
        <w:t xml:space="preserve">level from </w:t>
      </w:r>
      <w:r w:rsidR="00905F2D">
        <w:t>four dimensions</w:t>
      </w:r>
      <w:r w:rsidR="00434271">
        <w:t>—</w:t>
      </w:r>
      <w:r w:rsidR="00DC6CDC">
        <w:t>education, occupation</w:t>
      </w:r>
      <w:r w:rsidR="00434271">
        <w:t>, household income and income of families with children</w:t>
      </w:r>
      <w:r w:rsidR="00DC6CDC">
        <w:t xml:space="preserve">. </w:t>
      </w:r>
      <w:r w:rsidR="00ED0AE2">
        <w:t xml:space="preserve">The SA1 level is the smallest unit used by the ABS for the release of Census data. </w:t>
      </w:r>
      <w:r w:rsidR="00ED0AE2" w:rsidRPr="007E6FC4">
        <w:t>SA1s generally have a population of 200 to 800 persons, and an average population of about 400 persons</w:t>
      </w:r>
      <w:r w:rsidR="00ED0AE2">
        <w:t xml:space="preserve">. </w:t>
      </w:r>
      <w:r w:rsidR="00B5773D">
        <w:t xml:space="preserve">There were 54,805 SA1s used in the latest </w:t>
      </w:r>
      <w:r w:rsidR="00A722C8">
        <w:t xml:space="preserve">SES </w:t>
      </w:r>
      <w:r w:rsidR="008E2C04">
        <w:t xml:space="preserve">score </w:t>
      </w:r>
      <w:r w:rsidR="002D279D">
        <w:t>calculation</w:t>
      </w:r>
      <w:r w:rsidR="00B5773D">
        <w:t xml:space="preserve"> </w:t>
      </w:r>
      <w:r w:rsidR="00A722C8">
        <w:t xml:space="preserve">in 2013. </w:t>
      </w:r>
    </w:p>
    <w:p w:rsidR="00DC6CDC" w:rsidRDefault="00B5773D" w:rsidP="00DC6CDC">
      <w:r>
        <w:t xml:space="preserve">Statistical analysis of </w:t>
      </w:r>
      <w:r w:rsidR="00A722C8">
        <w:t xml:space="preserve">Census </w:t>
      </w:r>
      <w:r>
        <w:t xml:space="preserve">data </w:t>
      </w:r>
      <w:r w:rsidR="00A722C8">
        <w:t xml:space="preserve">at the SA1 level is undertaken to create </w:t>
      </w:r>
      <w:r>
        <w:t xml:space="preserve">four dimension scores. </w:t>
      </w:r>
      <w:r w:rsidR="00434271">
        <w:t xml:space="preserve">A weighted average is then used to combine these </w:t>
      </w:r>
      <w:r>
        <w:t xml:space="preserve">four dimensions </w:t>
      </w:r>
      <w:r w:rsidR="00434271">
        <w:t xml:space="preserve">into </w:t>
      </w:r>
      <w:r w:rsidR="00A722C8">
        <w:t xml:space="preserve">a single </w:t>
      </w:r>
      <w:r w:rsidR="00434271">
        <w:t>SES score</w:t>
      </w:r>
      <w:r w:rsidR="00A722C8">
        <w:t xml:space="preserve"> for each SA1</w:t>
      </w:r>
      <w:r w:rsidR="00434271">
        <w:t>—</w:t>
      </w:r>
      <w:r w:rsidR="00434271">
        <w:rPr>
          <w:rFonts w:cs="Calibri"/>
        </w:rPr>
        <w:t>⅓</w:t>
      </w:r>
      <w:r w:rsidR="00434271">
        <w:t xml:space="preserve"> </w:t>
      </w:r>
      <w:r w:rsidR="00434271" w:rsidRPr="005917CB">
        <w:t>Occupation</w:t>
      </w:r>
      <w:r w:rsidR="00434271">
        <w:rPr>
          <w:rFonts w:cs="Calibri"/>
        </w:rPr>
        <w:t xml:space="preserve">, </w:t>
      </w:r>
      <w:r w:rsidR="00E636BB">
        <w:rPr>
          <w:rFonts w:cs="Calibri"/>
        </w:rPr>
        <w:t xml:space="preserve">⅓ </w:t>
      </w:r>
      <w:r w:rsidR="00434271" w:rsidRPr="005917CB">
        <w:t>Education</w:t>
      </w:r>
      <w:r w:rsidR="00434271">
        <w:t xml:space="preserve">, </w:t>
      </w:r>
      <w:r w:rsidR="00434271">
        <w:rPr>
          <w:rFonts w:cs="Calibri"/>
        </w:rPr>
        <w:t>⅙</w:t>
      </w:r>
      <w:r w:rsidR="00434271" w:rsidRPr="005917CB">
        <w:t xml:space="preserve"> </w:t>
      </w:r>
      <w:r w:rsidR="00434271">
        <w:t xml:space="preserve">Household </w:t>
      </w:r>
      <w:r w:rsidR="00434271" w:rsidRPr="005917CB">
        <w:t>Income</w:t>
      </w:r>
      <w:r w:rsidR="00434271">
        <w:t>,</w:t>
      </w:r>
      <w:r w:rsidR="00434271" w:rsidRPr="005917CB">
        <w:t xml:space="preserve"> </w:t>
      </w:r>
      <w:r w:rsidR="00434271">
        <w:rPr>
          <w:rFonts w:cs="Calibri"/>
        </w:rPr>
        <w:t>⅙</w:t>
      </w:r>
      <w:r w:rsidR="00434271" w:rsidRPr="005917CB">
        <w:t xml:space="preserve"> Income</w:t>
      </w:r>
      <w:r w:rsidR="00434271">
        <w:t xml:space="preserve"> of families with children. </w:t>
      </w:r>
    </w:p>
    <w:p w:rsidR="00434271" w:rsidRDefault="00434271" w:rsidP="00A45C66">
      <w:r>
        <w:t xml:space="preserve">Following </w:t>
      </w:r>
      <w:r w:rsidR="002D279D">
        <w:t>calculation</w:t>
      </w:r>
      <w:r>
        <w:t xml:space="preserve"> of an SES score for each SA1, this data is </w:t>
      </w:r>
      <w:r w:rsidR="00A722C8">
        <w:t xml:space="preserve">linked to student residential address </w:t>
      </w:r>
      <w:r>
        <w:t>data</w:t>
      </w:r>
      <w:r w:rsidR="00A722C8">
        <w:t xml:space="preserve">, </w:t>
      </w:r>
      <w:r w:rsidR="00A722C8" w:rsidRPr="00A722C8">
        <w:t xml:space="preserve">collected by the Department of Education </w:t>
      </w:r>
      <w:r w:rsidR="00A722C8">
        <w:t xml:space="preserve">and Training </w:t>
      </w:r>
      <w:r w:rsidR="00A722C8" w:rsidRPr="00A722C8">
        <w:t>from approved school authorities every four to five years</w:t>
      </w:r>
      <w:r>
        <w:t>. A process called geo-coding then allocate</w:t>
      </w:r>
      <w:r w:rsidR="00905F2D">
        <w:t>s</w:t>
      </w:r>
      <w:r>
        <w:t xml:space="preserve"> these addresses to an SA1. A </w:t>
      </w:r>
      <w:r w:rsidR="00A45C66">
        <w:t xml:space="preserve">school </w:t>
      </w:r>
      <w:r>
        <w:t xml:space="preserve">SES score is generated </w:t>
      </w:r>
      <w:r w:rsidR="00A45C66">
        <w:t>using an enrolment weighted average of the</w:t>
      </w:r>
      <w:r>
        <w:t xml:space="preserve"> SES scores from </w:t>
      </w:r>
      <w:r w:rsidR="00A45C66">
        <w:t>th</w:t>
      </w:r>
      <w:r>
        <w:t xml:space="preserve">e SA1s where students live. </w:t>
      </w:r>
    </w:p>
    <w:p w:rsidR="00434271" w:rsidRDefault="00A722C8" w:rsidP="00A722C8">
      <w:r w:rsidRPr="00A722C8">
        <w:t xml:space="preserve">The </w:t>
      </w:r>
      <w:r w:rsidR="008E2C04">
        <w:t xml:space="preserve">school </w:t>
      </w:r>
      <w:r w:rsidRPr="00A722C8">
        <w:t>SES score is intended to reflect the average SES of a school’s students, relative to other schools.</w:t>
      </w:r>
      <w:r>
        <w:t xml:space="preserve"> However, there may be instances where </w:t>
      </w:r>
      <w:r w:rsidR="00A45C66">
        <w:t xml:space="preserve">school leaders consider </w:t>
      </w:r>
      <w:r>
        <w:t xml:space="preserve">the </w:t>
      </w:r>
      <w:r w:rsidR="002D279D">
        <w:t>calculat</w:t>
      </w:r>
      <w:r>
        <w:t>ed SES score does not reflect the average SES of their school</w:t>
      </w:r>
      <w:r w:rsidR="00AF5BCF">
        <w:t xml:space="preserve"> community</w:t>
      </w:r>
      <w:r>
        <w:t>. In these case</w:t>
      </w:r>
      <w:r w:rsidR="00AF5BCF">
        <w:t>s</w:t>
      </w:r>
      <w:r>
        <w:t xml:space="preserve"> an appeal can be made </w:t>
      </w:r>
      <w:r w:rsidR="00A45C66">
        <w:t xml:space="preserve">to the Australian Government. Since 2007, 11 schools have successfully appealed their SES score. </w:t>
      </w:r>
      <w:r w:rsidRPr="00A722C8">
        <w:t xml:space="preserve">These appeals were made on the basis of </w:t>
      </w:r>
      <w:r w:rsidR="008E2C04">
        <w:t>each</w:t>
      </w:r>
      <w:r w:rsidRPr="00A722C8">
        <w:t xml:space="preserve"> school’s unique family characteristics. Revised SES scores were </w:t>
      </w:r>
      <w:r w:rsidR="002D279D">
        <w:t>calculat</w:t>
      </w:r>
      <w:r w:rsidRPr="00A722C8">
        <w:t xml:space="preserve">ed using actual parental income, collected by survey, alongside adjustments for family size. </w:t>
      </w:r>
    </w:p>
    <w:p w:rsidR="00A45C66" w:rsidRDefault="00A722C8" w:rsidP="00DC6CDC">
      <w:r w:rsidRPr="00A722C8">
        <w:t>The SES score has periodically been subject to discussion, most significantly in 2011 when the Review of Funding for Schooling raised concerns about the appropriateness of the SES score for assessing the capacity to contribute. The Review recommended assessment of the need of individual schools for Australian Government funding should continue to be based upon the capacity to contribute</w:t>
      </w:r>
      <w:r w:rsidR="008E39A8">
        <w:t xml:space="preserve">, </w:t>
      </w:r>
      <w:r w:rsidRPr="00A722C8">
        <w:t xml:space="preserve">and that the measure </w:t>
      </w:r>
      <w:r w:rsidR="008E39A8">
        <w:t xml:space="preserve">used to assess this need </w:t>
      </w:r>
      <w:r w:rsidRPr="00A722C8">
        <w:t xml:space="preserve">should be examined further. </w:t>
      </w:r>
      <w:r w:rsidR="00A14CD5">
        <w:t xml:space="preserve"> </w:t>
      </w:r>
    </w:p>
    <w:p w:rsidR="00A722C8" w:rsidRDefault="00A722C8" w:rsidP="005E374E">
      <w:pPr>
        <w:pStyle w:val="Heading3"/>
      </w:pPr>
      <w:bookmarkStart w:id="5" w:name="_Toc496803870"/>
      <w:r>
        <w:t>Concerns and views about the SES score</w:t>
      </w:r>
      <w:bookmarkEnd w:id="5"/>
    </w:p>
    <w:p w:rsidR="00A722C8" w:rsidRDefault="00025C6B" w:rsidP="0085255D">
      <w:r>
        <w:t>Stakeholder c</w:t>
      </w:r>
      <w:r w:rsidR="00A14CD5">
        <w:t>oncerns and views about the SES score</w:t>
      </w:r>
      <w:r w:rsidR="0085255D">
        <w:t xml:space="preserve"> have circulated since its introduction</w:t>
      </w:r>
      <w:r>
        <w:t xml:space="preserve">, largely relating to </w:t>
      </w:r>
      <w:r w:rsidR="0085255D">
        <w:t xml:space="preserve">four </w:t>
      </w:r>
      <w:r>
        <w:t>areas</w:t>
      </w:r>
      <w:r w:rsidR="00A722C8">
        <w:t>:</w:t>
      </w:r>
    </w:p>
    <w:p w:rsidR="00A722C8" w:rsidRDefault="00A722C8" w:rsidP="00025C6B">
      <w:pPr>
        <w:pStyle w:val="Dotpoints"/>
      </w:pPr>
      <w:r>
        <w:t xml:space="preserve">purpose and </w:t>
      </w:r>
      <w:r w:rsidR="0085255D">
        <w:t>objective</w:t>
      </w:r>
      <w:r>
        <w:t>—</w:t>
      </w:r>
      <w:r w:rsidR="00025C6B">
        <w:t xml:space="preserve">whether the SES score is seeking to measure an appropriate concept, and </w:t>
      </w:r>
      <w:r w:rsidR="00D80786">
        <w:t>if</w:t>
      </w:r>
      <w:r w:rsidR="00025C6B">
        <w:t xml:space="preserve"> an alternative measure should be used</w:t>
      </w:r>
    </w:p>
    <w:p w:rsidR="0085255D" w:rsidRDefault="0085255D" w:rsidP="00025C6B">
      <w:pPr>
        <w:pStyle w:val="Dotpoints"/>
      </w:pPr>
      <w:r>
        <w:t>design—the extent that the design of the SES score is in line with the objective</w:t>
      </w:r>
    </w:p>
    <w:p w:rsidR="0085255D" w:rsidRDefault="0085255D" w:rsidP="0085255D">
      <w:pPr>
        <w:pStyle w:val="Dotpoints"/>
      </w:pPr>
      <w:r>
        <w:t xml:space="preserve">accuracy—the extent that the </w:t>
      </w:r>
      <w:r w:rsidR="00025C6B">
        <w:t xml:space="preserve">methodology and data used to generate </w:t>
      </w:r>
      <w:r>
        <w:t>SES score</w:t>
      </w:r>
      <w:r w:rsidR="00025C6B">
        <w:t>s</w:t>
      </w:r>
      <w:r>
        <w:t xml:space="preserve"> provides an accurate estimation of the relative capacity to contribute of schools</w:t>
      </w:r>
    </w:p>
    <w:p w:rsidR="0085255D" w:rsidRDefault="0085255D" w:rsidP="0085255D">
      <w:pPr>
        <w:pStyle w:val="Dotpoints"/>
      </w:pPr>
      <w:r>
        <w:t>timeliness—</w:t>
      </w:r>
      <w:r w:rsidR="00025C6B">
        <w:t>whether the SES score is able to capture relevant economic and demographic change</w:t>
      </w:r>
      <w:r>
        <w:t>.</w:t>
      </w:r>
    </w:p>
    <w:p w:rsidR="00025C6B" w:rsidRDefault="009A09C0" w:rsidP="009A09C0">
      <w:r>
        <w:t xml:space="preserve">A summary </w:t>
      </w:r>
      <w:r w:rsidR="00F5523A">
        <w:t xml:space="preserve">of the identified issues and concerns </w:t>
      </w:r>
      <w:r w:rsidR="006A6E38">
        <w:t xml:space="preserve">is </w:t>
      </w:r>
      <w:r w:rsidR="00F5523A">
        <w:t>provided in Figure ES-1</w:t>
      </w:r>
      <w:r w:rsidR="00025C6B">
        <w:t xml:space="preserve"> below</w:t>
      </w:r>
      <w:r w:rsidR="00F5523A">
        <w:t xml:space="preserve">. </w:t>
      </w:r>
    </w:p>
    <w:p w:rsidR="00025C6B" w:rsidRDefault="00025C6B" w:rsidP="009A09C0">
      <w:r w:rsidRPr="00025C6B">
        <w:t xml:space="preserve">A key theme of all concerns raised is that there </w:t>
      </w:r>
      <w:r w:rsidRPr="00AF5BCF">
        <w:t>may be</w:t>
      </w:r>
      <w:r w:rsidRPr="00025C6B">
        <w:t xml:space="preserve"> systematic bias in the SES score, with certain schools or school sectors receiving an SES score not accurately reflecting the school community’s SES. </w:t>
      </w:r>
      <w:r w:rsidR="005A2EC0">
        <w:t xml:space="preserve">For example, the Census income data used to </w:t>
      </w:r>
      <w:r w:rsidR="002D279D">
        <w:t>calculat</w:t>
      </w:r>
      <w:r w:rsidR="005A2EC0">
        <w:t xml:space="preserve">e the SES score </w:t>
      </w:r>
      <w:r w:rsidR="005A2EC0" w:rsidRPr="00E770A8">
        <w:t>may</w:t>
      </w:r>
      <w:r w:rsidR="005A2EC0">
        <w:t xml:space="preserve"> lead to a systematic bias favouring one </w:t>
      </w:r>
      <w:r w:rsidR="002263C4">
        <w:t>non</w:t>
      </w:r>
      <w:r w:rsidR="002263C4">
        <w:noBreakHyphen/>
        <w:t>government</w:t>
      </w:r>
      <w:r w:rsidR="005A2EC0">
        <w:t xml:space="preserve"> school sector over another. </w:t>
      </w:r>
    </w:p>
    <w:p w:rsidR="00A14CD5" w:rsidRDefault="009A09C0" w:rsidP="00165C42">
      <w:pPr>
        <w:pStyle w:val="Heading3"/>
      </w:pPr>
      <w:r>
        <w:t>Figure ES</w:t>
      </w:r>
      <w:r>
        <w:noBreakHyphen/>
        <w:t>1</w:t>
      </w:r>
      <w:r>
        <w:tab/>
      </w:r>
      <w:r w:rsidR="006A6E38">
        <w:t xml:space="preserve">Summary of </w:t>
      </w:r>
      <w:r w:rsidR="00025C6B">
        <w:t xml:space="preserve">stakeholder </w:t>
      </w:r>
      <w:r w:rsidR="006A6E38">
        <w:t>c</w:t>
      </w:r>
      <w:r>
        <w:t>oncerns and views about the SES score</w:t>
      </w:r>
    </w:p>
    <w:p w:rsidR="009A09C0" w:rsidRDefault="00AF5BCF" w:rsidP="00AA7C3A">
      <w:pPr>
        <w:jc w:val="center"/>
      </w:pPr>
      <w:r w:rsidRPr="00AF5BCF">
        <w:rPr>
          <w:noProof/>
          <w:lang w:eastAsia="en-AU"/>
        </w:rPr>
        <w:drawing>
          <wp:inline distT="0" distB="0" distL="0" distR="0" wp14:anchorId="7B895257" wp14:editId="2898E09C">
            <wp:extent cx="5733794" cy="5381625"/>
            <wp:effectExtent l="0" t="0" r="635" b="0"/>
            <wp:docPr id="7" name="Picture 7" descr="Heading 1: Purpose and objective&#10;Whether the SES score is seeking to measure an appropriate concept, and if an alternative measure should be used&#10;- Measurement of the capacity to contribute should consider school resources&#10;- Schools that set low fees to facilitate access are penalised&#10;- Low fee schools should have a reasonable resource base&#10;- The SES score makes no adjustment for school wealth&#10;Heading 2: Design&#10;The extent that the design of the SES score is in line with the objective&#10;- The relevance of the education and occupation dimensions within the SES score is unclear&#10;- The weights given to the SES score dimensions are arbitrary&#10;- Education, occupation and income are weakly correlated&#10;- Education and occupation are used twice in the SRS: in capacity to contribute and loadings&#10;- Family or household wealth is not used in the SES score&#10;Heading 3: Accuracy&#10;The extent that the methodology and data used to generate SES scores provides an accurate estimation of the relative capacity to contribute of individual schools&#10;Sub-heading: The ecological fallacy&#10;- Non-government school students may not be representative of their SA1&#10;- The SES score favours schools serving regional students&#10;- Household SES can vary significantly withinSA1s&#10;- Mesh blocks may overcome inaccuracies&#10;Sub-heading: Measurement error&#10;- The income thresholds used in the SES score may not adequately measure affluence&#10;- Families reporting nil/negative income in the Census may still be affluent&#10;- Parents may live in a different location to their child&#10;- Family size is not considered in the SES score estimation&#10;Heading 4: Timeliness&#10;Whether the SES score is able to capture relevant economic and demographic change&#10;- The five years between Censuses means the data becomes quickly outdated" title="Figure ES 1 Summary of stakeholder concerns and views about the SES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145" cy="5380078"/>
                    </a:xfrm>
                    <a:prstGeom prst="rect">
                      <a:avLst/>
                    </a:prstGeom>
                    <a:noFill/>
                    <a:ln>
                      <a:noFill/>
                    </a:ln>
                  </pic:spPr>
                </pic:pic>
              </a:graphicData>
            </a:graphic>
          </wp:inline>
        </w:drawing>
      </w:r>
    </w:p>
    <w:p w:rsidR="00025C6B" w:rsidRPr="00025C6B" w:rsidRDefault="00025C6B" w:rsidP="00025C6B">
      <w:r>
        <w:t xml:space="preserve">Stakeholder issues and concerns associated with the </w:t>
      </w:r>
      <w:r w:rsidR="008E39A8">
        <w:t xml:space="preserve">purpose and </w:t>
      </w:r>
      <w:r>
        <w:t xml:space="preserve">objective </w:t>
      </w:r>
      <w:r w:rsidR="008E39A8">
        <w:t xml:space="preserve">of the SES score </w:t>
      </w:r>
      <w:r>
        <w:t xml:space="preserve">are largely focussed on whether the capacity to contribute should be based solely on SES, or whether school resources should be considered in conjunction with SES. </w:t>
      </w:r>
      <w:r w:rsidRPr="00025C6B">
        <w:t xml:space="preserve">Some stakeholders consider low fee schools are disadvantaged by </w:t>
      </w:r>
      <w:r w:rsidR="00587DA8">
        <w:t>the current</w:t>
      </w:r>
      <w:r w:rsidRPr="00025C6B">
        <w:t xml:space="preserve"> approach</w:t>
      </w:r>
      <w:r w:rsidR="00587DA8">
        <w:t xml:space="preserve">, whereas </w:t>
      </w:r>
      <w:r w:rsidRPr="00025C6B">
        <w:t xml:space="preserve">others consider school fee structure shouldn’t influence </w:t>
      </w:r>
      <w:r w:rsidR="00587DA8">
        <w:t xml:space="preserve">the distribution of funds by the Australian Government to </w:t>
      </w:r>
      <w:r w:rsidR="002263C4">
        <w:t>non</w:t>
      </w:r>
      <w:r w:rsidR="002263C4">
        <w:noBreakHyphen/>
        <w:t>government</w:t>
      </w:r>
      <w:r w:rsidR="00587DA8">
        <w:t xml:space="preserve"> schools. </w:t>
      </w:r>
    </w:p>
    <w:p w:rsidR="00587DA8" w:rsidRDefault="008E39A8" w:rsidP="00587DA8">
      <w:r>
        <w:t>Stakeholder i</w:t>
      </w:r>
      <w:r w:rsidR="00587DA8" w:rsidRPr="00587DA8">
        <w:t xml:space="preserve">ssues and concerns on the </w:t>
      </w:r>
      <w:r w:rsidRPr="00587DA8">
        <w:t>SES score</w:t>
      </w:r>
      <w:r>
        <w:t>’s</w:t>
      </w:r>
      <w:r w:rsidRPr="00587DA8">
        <w:t xml:space="preserve"> </w:t>
      </w:r>
      <w:r w:rsidR="00587DA8" w:rsidRPr="00587DA8">
        <w:t xml:space="preserve">design are more technical and relate specifically to what and how data </w:t>
      </w:r>
      <w:r w:rsidR="002D279D">
        <w:t>calculat</w:t>
      </w:r>
      <w:r w:rsidR="00587DA8" w:rsidRPr="00587DA8">
        <w:t xml:space="preserve">es the SES score. Some stakeholders have questioned the inclusion of education and occupation data, arguing there is a weak case </w:t>
      </w:r>
      <w:r w:rsidR="00587DA8">
        <w:t xml:space="preserve">for their </w:t>
      </w:r>
      <w:r>
        <w:t>use</w:t>
      </w:r>
      <w:r w:rsidR="00587DA8">
        <w:t xml:space="preserve"> </w:t>
      </w:r>
      <w:r w:rsidR="00587DA8" w:rsidRPr="00587DA8">
        <w:t xml:space="preserve">in a measure also </w:t>
      </w:r>
      <w:r>
        <w:t>incorporating</w:t>
      </w:r>
      <w:r w:rsidR="00587DA8" w:rsidRPr="00587DA8">
        <w:t xml:space="preserve"> income data. At the same time, others consider income provides a partial measure of the capacity to contribute. In addition, there is debate about the </w:t>
      </w:r>
      <w:r>
        <w:t>current ex</w:t>
      </w:r>
      <w:r w:rsidR="00587DA8" w:rsidRPr="00587DA8">
        <w:t>clusion of family/household wealth</w:t>
      </w:r>
      <w:r>
        <w:t xml:space="preserve">. This exclusion is difficult to address </w:t>
      </w:r>
      <w:r w:rsidR="00587DA8" w:rsidRPr="00587DA8">
        <w:t>given the ABS Census does not collect relevant data.</w:t>
      </w:r>
    </w:p>
    <w:p w:rsidR="00587DA8" w:rsidRDefault="00587DA8" w:rsidP="00587DA8">
      <w:r>
        <w:t>Several issues and concerns have been raised about the accuracy of the SES score in measuring the capacity to contribute</w:t>
      </w:r>
      <w:r w:rsidR="008E39A8">
        <w:t>:</w:t>
      </w:r>
    </w:p>
    <w:p w:rsidR="00587DA8" w:rsidRDefault="008E39A8" w:rsidP="009A7D30">
      <w:pPr>
        <w:pStyle w:val="Dotpoints"/>
      </w:pPr>
      <w:r>
        <w:t xml:space="preserve">the </w:t>
      </w:r>
      <w:r w:rsidR="00D80786">
        <w:t>ecological fallacy—</w:t>
      </w:r>
      <w:r>
        <w:t xml:space="preserve">it has been argued that </w:t>
      </w:r>
      <w:r w:rsidR="00D80786">
        <w:t>st</w:t>
      </w:r>
      <w:r w:rsidR="00587DA8">
        <w:t xml:space="preserve">udents attending </w:t>
      </w:r>
      <w:r w:rsidR="002263C4">
        <w:t>non</w:t>
      </w:r>
      <w:r w:rsidR="002263C4">
        <w:noBreakHyphen/>
        <w:t>government</w:t>
      </w:r>
      <w:r w:rsidR="00587DA8">
        <w:t xml:space="preserve"> schools are not representative of their SA1s, </w:t>
      </w:r>
      <w:r>
        <w:t>meaning</w:t>
      </w:r>
      <w:r w:rsidR="00587DA8">
        <w:t xml:space="preserve"> school SES scores </w:t>
      </w:r>
      <w:r>
        <w:t xml:space="preserve">generated using data on all residents in an SA1 does </w:t>
      </w:r>
      <w:r w:rsidR="00587DA8">
        <w:t>not accurately measur</w:t>
      </w:r>
      <w:r>
        <w:t>e</w:t>
      </w:r>
      <w:r w:rsidR="00587DA8">
        <w:t xml:space="preserve"> the capacity </w:t>
      </w:r>
      <w:r>
        <w:t>of</w:t>
      </w:r>
      <w:r w:rsidR="00587DA8">
        <w:t xml:space="preserve"> parents to contribute towards school operating costs</w:t>
      </w:r>
    </w:p>
    <w:p w:rsidR="00587DA8" w:rsidRDefault="00D80786" w:rsidP="009A7D30">
      <w:pPr>
        <w:pStyle w:val="Dotpoints"/>
      </w:pPr>
      <w:r>
        <w:t>measurement error—the</w:t>
      </w:r>
      <w:r w:rsidR="00587DA8">
        <w:t xml:space="preserve"> comprehensiveness and coverage of data used to </w:t>
      </w:r>
      <w:r w:rsidR="002D279D">
        <w:t>calculat</w:t>
      </w:r>
      <w:r w:rsidR="00587DA8">
        <w:t>e the SES score means that an inaccurate SE</w:t>
      </w:r>
      <w:bookmarkStart w:id="6" w:name="_GoBack"/>
      <w:bookmarkEnd w:id="6"/>
      <w:r w:rsidR="00587DA8">
        <w:t>S score may be generated.</w:t>
      </w:r>
    </w:p>
    <w:p w:rsidR="00182C7B" w:rsidRDefault="005D5694" w:rsidP="00C44628">
      <w:r>
        <w:t>Other issues raised regarding the</w:t>
      </w:r>
      <w:r w:rsidR="00407384">
        <w:t xml:space="preserve"> accuracy of the SES score </w:t>
      </w:r>
      <w:r w:rsidR="00E636BB">
        <w:t>are</w:t>
      </w:r>
      <w:r w:rsidR="00407384">
        <w:t xml:space="preserve"> </w:t>
      </w:r>
      <w:r w:rsidR="00E636BB">
        <w:t xml:space="preserve">firstly, </w:t>
      </w:r>
      <w:r w:rsidR="00407384">
        <w:t>that data is only used on the SA1 of where students live, and not also the SA1</w:t>
      </w:r>
      <w:r w:rsidR="00AA7C3A">
        <w:t xml:space="preserve"> of</w:t>
      </w:r>
      <w:r w:rsidR="00407384">
        <w:t xml:space="preserve"> where other parents contributing towards the cost of educating their child may live. </w:t>
      </w:r>
      <w:r w:rsidR="00E636BB">
        <w:t>Secondly</w:t>
      </w:r>
      <w:r w:rsidR="00407384">
        <w:t xml:space="preserve"> family size is not considered—schools that are identical in every SES dimension will receive an identical SES score, even if there is a significant differen</w:t>
      </w:r>
      <w:r w:rsidR="00AA7C3A">
        <w:t xml:space="preserve">ce </w:t>
      </w:r>
      <w:r w:rsidR="00407384">
        <w:t>in average family size.</w:t>
      </w:r>
      <w:r w:rsidR="000B4737">
        <w:t xml:space="preserve"> </w:t>
      </w:r>
    </w:p>
    <w:p w:rsidR="005D5694" w:rsidRDefault="005D5694" w:rsidP="00C44628">
      <w:r>
        <w:t xml:space="preserve">The final issue and concern regarding the SES score is its timeliness. With both the ABS Census and SES score </w:t>
      </w:r>
      <w:r w:rsidR="002D279D">
        <w:t>calculation</w:t>
      </w:r>
      <w:r>
        <w:t xml:space="preserve"> only occurring once every five years, there is concern that the resulting school SES scores become quickly outdated. This is of particular concern </w:t>
      </w:r>
      <w:r w:rsidR="008E39A8">
        <w:t xml:space="preserve">for </w:t>
      </w:r>
      <w:r>
        <w:t xml:space="preserve">areas experiencing significant economic or demographic change. </w:t>
      </w:r>
    </w:p>
    <w:p w:rsidR="005A2EC0" w:rsidRPr="005A2EC0" w:rsidRDefault="005A2EC0" w:rsidP="005E374E">
      <w:pPr>
        <w:pStyle w:val="Heading3"/>
      </w:pPr>
      <w:bookmarkStart w:id="7" w:name="_Toc496803871"/>
      <w:r w:rsidRPr="005A2EC0">
        <w:t xml:space="preserve">Potential directions for </w:t>
      </w:r>
      <w:r>
        <w:t>assessing measurement of the capacity to contribute</w:t>
      </w:r>
      <w:bookmarkEnd w:id="7"/>
    </w:p>
    <w:p w:rsidR="00DC6CDC" w:rsidRDefault="00A14CD5" w:rsidP="00C44628">
      <w:r>
        <w:t xml:space="preserve">Moving forward, </w:t>
      </w:r>
      <w:r w:rsidR="005A2EC0">
        <w:t xml:space="preserve">we consider there are several areas that could be usefully explored to both </w:t>
      </w:r>
      <w:r w:rsidR="00A17F11">
        <w:t>validat</w:t>
      </w:r>
      <w:r w:rsidR="005A2EC0">
        <w:t>e</w:t>
      </w:r>
      <w:r w:rsidR="00A17F11">
        <w:t xml:space="preserve"> the current approach, and exami</w:t>
      </w:r>
      <w:r w:rsidR="005A2EC0">
        <w:t>ne</w:t>
      </w:r>
      <w:r w:rsidR="00A17F11">
        <w:t xml:space="preserve"> opportunities to</w:t>
      </w:r>
      <w:r w:rsidR="00772BFA">
        <w:t xml:space="preserve"> </w:t>
      </w:r>
      <w:r w:rsidR="00A17F11">
        <w:t xml:space="preserve">improve </w:t>
      </w:r>
      <w:r w:rsidR="00772BFA">
        <w:t xml:space="preserve">measurement of the capacity to contribute. </w:t>
      </w:r>
    </w:p>
    <w:p w:rsidR="00DD5995" w:rsidRDefault="00772BFA" w:rsidP="005A2EC0">
      <w:r>
        <w:t xml:space="preserve">As a first step </w:t>
      </w:r>
      <w:r w:rsidR="003466C2">
        <w:t xml:space="preserve">there </w:t>
      </w:r>
      <w:r w:rsidR="005A2EC0">
        <w:t xml:space="preserve">is benefit in elaborating </w:t>
      </w:r>
      <w:r>
        <w:t xml:space="preserve">upon the </w:t>
      </w:r>
      <w:r w:rsidR="00DD5995">
        <w:t xml:space="preserve">purpose and </w:t>
      </w:r>
      <w:r>
        <w:t>objective of the measure</w:t>
      </w:r>
      <w:r w:rsidR="005A2EC0">
        <w:t>, addressing the stakeholder issues and concerns identified in this paper. This include</w:t>
      </w:r>
      <w:r w:rsidR="00DD5995">
        <w:t xml:space="preserve">s </w:t>
      </w:r>
      <w:r w:rsidR="002C52FC">
        <w:t>which parents are in scope for assessing the capacity to contribute—should it just be the parent a student lives with, or all parents? And what defines school communities—</w:t>
      </w:r>
      <w:r w:rsidR="00E636BB">
        <w:t>does this include alumni providing financial support to schools</w:t>
      </w:r>
      <w:r w:rsidR="002C52FC">
        <w:t>?</w:t>
      </w:r>
      <w:r w:rsidR="00DD5995">
        <w:t xml:space="preserve"> </w:t>
      </w:r>
    </w:p>
    <w:p w:rsidR="005A2EC0" w:rsidRDefault="002C52FC" w:rsidP="003466C2">
      <w:r>
        <w:t>The second and more analytically intensive task is</w:t>
      </w:r>
      <w:r w:rsidR="003466C2">
        <w:t xml:space="preserve"> to</w:t>
      </w:r>
      <w:r>
        <w:t xml:space="preserve"> validat</w:t>
      </w:r>
      <w:r w:rsidR="003466C2">
        <w:t>e</w:t>
      </w:r>
      <w:r>
        <w:t xml:space="preserve"> the appropriateness of the </w:t>
      </w:r>
      <w:r w:rsidR="003466C2">
        <w:t xml:space="preserve">current SES score design, and </w:t>
      </w:r>
      <w:r w:rsidR="005A2EC0">
        <w:t xml:space="preserve">in the process </w:t>
      </w:r>
      <w:r w:rsidR="003466C2">
        <w:t>identify improvement opportunities</w:t>
      </w:r>
      <w:r>
        <w:t xml:space="preserve">. </w:t>
      </w:r>
    </w:p>
    <w:p w:rsidR="005A2EC0" w:rsidRPr="005A2EC0" w:rsidRDefault="005A2EC0" w:rsidP="005A2EC0">
      <w:r w:rsidRPr="005A2EC0">
        <w:t xml:space="preserve">This analysis could be underpinned by a set of principles, </w:t>
      </w:r>
      <w:r w:rsidR="00CE1A44">
        <w:t>potentially</w:t>
      </w:r>
      <w:r w:rsidRPr="005A2EC0">
        <w:t xml:space="preserve"> building upon those used when the SES score was first developed—transparency, based on reliable data, simplicity, nationally consistent and avoid duplication. Given stakeholder concerns centre largely on accuracy, this could be another guiding consideration.</w:t>
      </w:r>
    </w:p>
    <w:p w:rsidR="00CE1A44" w:rsidRDefault="00CE1A44" w:rsidP="00CE1A44">
      <w:r>
        <w:t xml:space="preserve">We have suggested a series of analytical approaches to undertaking this work (see Section </w:t>
      </w:r>
      <w:r>
        <w:fldChar w:fldCharType="begin"/>
      </w:r>
      <w:r>
        <w:instrText xml:space="preserve"> REF _Ref493598557 \r \h </w:instrText>
      </w:r>
      <w:r>
        <w:fldChar w:fldCharType="separate"/>
      </w:r>
      <w:r w:rsidR="00B52C11">
        <w:t>5</w:t>
      </w:r>
      <w:r>
        <w:fldChar w:fldCharType="end"/>
      </w:r>
      <w:r>
        <w:t>). Of note</w:t>
      </w:r>
      <w:r w:rsidR="00056A66">
        <w:t xml:space="preserve"> </w:t>
      </w:r>
      <w:r>
        <w:t>is u</w:t>
      </w:r>
      <w:r w:rsidR="00056A66">
        <w:t>sing</w:t>
      </w:r>
      <w:r>
        <w:t xml:space="preserve"> the Household, Income and Labour Dynamics in Australia (HILDA) Survey to identify whether </w:t>
      </w:r>
      <w:r w:rsidR="001E324E">
        <w:t>omitting</w:t>
      </w:r>
      <w:r>
        <w:t xml:space="preserve"> household assets information bias</w:t>
      </w:r>
      <w:r w:rsidR="001E324E">
        <w:t>es</w:t>
      </w:r>
      <w:r>
        <w:t xml:space="preserve"> SES scores in favour of one </w:t>
      </w:r>
      <w:r w:rsidR="002263C4">
        <w:t>non</w:t>
      </w:r>
      <w:r w:rsidR="002263C4">
        <w:noBreakHyphen/>
        <w:t>government</w:t>
      </w:r>
      <w:r>
        <w:t xml:space="preserve"> school sector over another, and examin</w:t>
      </w:r>
      <w:r w:rsidR="008E39A8">
        <w:t>ing</w:t>
      </w:r>
      <w:r>
        <w:t xml:space="preserve"> the importance of occupation and education. </w:t>
      </w:r>
    </w:p>
    <w:p w:rsidR="00CE1A44" w:rsidRDefault="00CE1A44" w:rsidP="00CE1A44">
      <w:r>
        <w:t xml:space="preserve">The recent released 2016 ABS Census data could also be used to identify whether SA1 SES scores as currently </w:t>
      </w:r>
      <w:r w:rsidR="002D279D">
        <w:t>calculat</w:t>
      </w:r>
      <w:r>
        <w:t xml:space="preserve">ed, are representative of families with children attending </w:t>
      </w:r>
      <w:r w:rsidR="002263C4">
        <w:t>non</w:t>
      </w:r>
      <w:r w:rsidR="002263C4">
        <w:noBreakHyphen/>
        <w:t>government</w:t>
      </w:r>
      <w:r>
        <w:t xml:space="preserve"> schools. There may also be opportunities to more accurately measure SES through using measures such as equivalised income. Equivalised income adjusts household income to reflect factors such as household size and composition. </w:t>
      </w:r>
      <w:r w:rsidR="00AF5BCF">
        <w:t>I</w:t>
      </w:r>
      <w:r>
        <w:t>t may also be feasible for an SES measure to use data sourced from the Australian Taxation Office</w:t>
      </w:r>
      <w:r w:rsidR="008E39A8">
        <w:t xml:space="preserve"> at the SA1 level</w:t>
      </w:r>
      <w:r>
        <w:t xml:space="preserve">.  </w:t>
      </w:r>
    </w:p>
    <w:p w:rsidR="00CE1A44" w:rsidRDefault="00CE1A44" w:rsidP="00CE1A44">
      <w:r>
        <w:t xml:space="preserve">Depending on the findings of the validation process, a range of related activities could examine </w:t>
      </w:r>
      <w:r w:rsidR="00112F04">
        <w:t xml:space="preserve">improvement </w:t>
      </w:r>
      <w:r>
        <w:t xml:space="preserve">opportunities. These include identifying whether parent level occupation and education data could instead be sourced from the Australian Curriculum, Assessment and Reporting Authority (ACARA), whether parental income data could be sourced from the Australian Taxation Office (ATO), and alternative approaches to </w:t>
      </w:r>
      <w:r w:rsidR="002D279D">
        <w:t>calculat</w:t>
      </w:r>
      <w:r>
        <w:t xml:space="preserve">ing the SES score using Census data. For instance, if analysis using HILDA finds family wealth to be important, alternative data collected in the Census could be used, such as housing tenure type.  </w:t>
      </w:r>
    </w:p>
    <w:p w:rsidR="00C12EC1" w:rsidRPr="001F3291" w:rsidRDefault="00677F4F" w:rsidP="00C44628">
      <w:r>
        <w:t xml:space="preserve">Ultimately, there is a need for the Australian Government to use a measure of the capacity to contribute </w:t>
      </w:r>
      <w:r w:rsidR="00D50497">
        <w:t>when</w:t>
      </w:r>
      <w:r>
        <w:t xml:space="preserve"> allocat</w:t>
      </w:r>
      <w:r w:rsidR="00D50497">
        <w:t>ing</w:t>
      </w:r>
      <w:r>
        <w:t xml:space="preserve"> funds among schools. It is unlikely that an approach can be developed that is ‘perfect</w:t>
      </w:r>
      <w:r w:rsidR="00E636BB">
        <w:t xml:space="preserve">; as such the </w:t>
      </w:r>
      <w:r>
        <w:t xml:space="preserve">challenge moving forward is to identify </w:t>
      </w:r>
      <w:r w:rsidR="00D50497">
        <w:t>an</w:t>
      </w:r>
      <w:r w:rsidR="00F349F8">
        <w:t xml:space="preserve"> approach that best meets the needs of </w:t>
      </w:r>
      <w:r w:rsidR="000B4737">
        <w:t xml:space="preserve">families, schools and </w:t>
      </w:r>
      <w:r w:rsidR="00F349F8">
        <w:t>the Australian Government.</w:t>
      </w:r>
      <w:r>
        <w:t xml:space="preserve">  </w:t>
      </w:r>
      <w:r w:rsidR="00C12EC1">
        <w:br w:type="page"/>
      </w:r>
    </w:p>
    <w:p w:rsidR="00A9375D" w:rsidRDefault="00A9375D" w:rsidP="00A12411">
      <w:pPr>
        <w:pStyle w:val="HeadingTOC"/>
      </w:pPr>
      <w:bookmarkStart w:id="8" w:name="_Toc481431390"/>
      <w:bookmarkStart w:id="9" w:name="_Toc496803872"/>
      <w:r w:rsidRPr="00FD3A01">
        <w:t>Table of Contents</w:t>
      </w:r>
      <w:bookmarkEnd w:id="8"/>
      <w:bookmarkEnd w:id="9"/>
    </w:p>
    <w:p w:rsidR="009E3A8A" w:rsidRDefault="00555E88" w:rsidP="009E3A8A">
      <w:pPr>
        <w:pStyle w:val="TOC2"/>
        <w:rPr>
          <w:rFonts w:asciiTheme="minorHAnsi" w:eastAsiaTheme="minorEastAsia" w:hAnsiTheme="minorHAnsi" w:cstheme="minorBidi"/>
          <w:noProof/>
          <w:sz w:val="22"/>
          <w:szCs w:val="22"/>
          <w:lang w:eastAsia="en-AU"/>
        </w:rPr>
      </w:pPr>
      <w:r>
        <w:fldChar w:fldCharType="begin"/>
      </w:r>
      <w:r>
        <w:instrText xml:space="preserve"> TOC \o "1-6" \h \z \u </w:instrText>
      </w:r>
      <w:r>
        <w:fldChar w:fldCharType="separate"/>
      </w:r>
      <w:hyperlink w:anchor="_Toc496803866" w:history="1">
        <w:r w:rsidR="009E3A8A" w:rsidRPr="00704C61">
          <w:rPr>
            <w:rStyle w:val="Hyperlink"/>
            <w:noProof/>
          </w:rPr>
          <w:t>Executive Summary</w:t>
        </w:r>
        <w:r w:rsidR="009E3A8A">
          <w:rPr>
            <w:noProof/>
            <w:webHidden/>
          </w:rPr>
          <w:tab/>
        </w:r>
        <w:r w:rsidR="009E3A8A">
          <w:rPr>
            <w:noProof/>
            <w:webHidden/>
          </w:rPr>
          <w:fldChar w:fldCharType="begin"/>
        </w:r>
        <w:r w:rsidR="009E3A8A">
          <w:rPr>
            <w:noProof/>
            <w:webHidden/>
          </w:rPr>
          <w:instrText xml:space="preserve"> PAGEREF _Toc496803866 \h </w:instrText>
        </w:r>
        <w:r w:rsidR="009E3A8A">
          <w:rPr>
            <w:noProof/>
            <w:webHidden/>
          </w:rPr>
        </w:r>
        <w:r w:rsidR="009E3A8A">
          <w:rPr>
            <w:noProof/>
            <w:webHidden/>
          </w:rPr>
          <w:fldChar w:fldCharType="separate"/>
        </w:r>
        <w:r w:rsidR="00B52C11">
          <w:rPr>
            <w:noProof/>
            <w:webHidden/>
          </w:rPr>
          <w:t>i</w:t>
        </w:r>
        <w:r w:rsidR="009E3A8A">
          <w:rPr>
            <w:noProof/>
            <w:webHidden/>
          </w:rPr>
          <w:fldChar w:fldCharType="end"/>
        </w:r>
      </w:hyperlink>
    </w:p>
    <w:p w:rsidR="009E3A8A" w:rsidRDefault="0063193E" w:rsidP="009E3A8A">
      <w:pPr>
        <w:pStyle w:val="TOC2"/>
        <w:rPr>
          <w:rFonts w:asciiTheme="minorHAnsi" w:eastAsiaTheme="minorEastAsia" w:hAnsiTheme="minorHAnsi" w:cstheme="minorBidi"/>
          <w:noProof/>
          <w:sz w:val="22"/>
          <w:szCs w:val="22"/>
          <w:lang w:eastAsia="en-AU"/>
        </w:rPr>
      </w:pPr>
      <w:hyperlink w:anchor="_Toc496803872" w:history="1">
        <w:r w:rsidR="009E3A8A" w:rsidRPr="00704C61">
          <w:rPr>
            <w:rStyle w:val="Hyperlink"/>
            <w:noProof/>
          </w:rPr>
          <w:t>Table of Contents</w:t>
        </w:r>
        <w:r w:rsidR="009E3A8A">
          <w:rPr>
            <w:noProof/>
            <w:webHidden/>
          </w:rPr>
          <w:tab/>
        </w:r>
        <w:r w:rsidR="009E3A8A">
          <w:rPr>
            <w:noProof/>
            <w:webHidden/>
          </w:rPr>
          <w:fldChar w:fldCharType="begin"/>
        </w:r>
        <w:r w:rsidR="009E3A8A">
          <w:rPr>
            <w:noProof/>
            <w:webHidden/>
          </w:rPr>
          <w:instrText xml:space="preserve"> PAGEREF _Toc496803872 \h </w:instrText>
        </w:r>
        <w:r w:rsidR="009E3A8A">
          <w:rPr>
            <w:noProof/>
            <w:webHidden/>
          </w:rPr>
        </w:r>
        <w:r w:rsidR="009E3A8A">
          <w:rPr>
            <w:noProof/>
            <w:webHidden/>
          </w:rPr>
          <w:fldChar w:fldCharType="separate"/>
        </w:r>
        <w:r w:rsidR="00B52C11">
          <w:rPr>
            <w:noProof/>
            <w:webHidden/>
          </w:rPr>
          <w:t>vi</w:t>
        </w:r>
        <w:r w:rsidR="009E3A8A">
          <w:rPr>
            <w:noProof/>
            <w:webHidden/>
          </w:rPr>
          <w:fldChar w:fldCharType="end"/>
        </w:r>
      </w:hyperlink>
    </w:p>
    <w:p w:rsidR="009E3A8A" w:rsidRDefault="0063193E" w:rsidP="009E3A8A">
      <w:pPr>
        <w:pStyle w:val="TOC2"/>
        <w:rPr>
          <w:rFonts w:asciiTheme="minorHAnsi" w:eastAsiaTheme="minorEastAsia" w:hAnsiTheme="minorHAnsi" w:cstheme="minorBidi"/>
          <w:noProof/>
          <w:sz w:val="22"/>
          <w:szCs w:val="22"/>
          <w:lang w:eastAsia="en-AU"/>
        </w:rPr>
      </w:pPr>
      <w:hyperlink w:anchor="_Toc496803873" w:history="1">
        <w:r w:rsidR="009E3A8A" w:rsidRPr="00704C61">
          <w:rPr>
            <w:rStyle w:val="Hyperlink"/>
            <w:noProof/>
          </w:rPr>
          <w:t>List of Tables</w:t>
        </w:r>
        <w:r w:rsidR="009E3A8A">
          <w:rPr>
            <w:noProof/>
            <w:webHidden/>
          </w:rPr>
          <w:tab/>
        </w:r>
        <w:r w:rsidR="009E3A8A">
          <w:rPr>
            <w:noProof/>
            <w:webHidden/>
          </w:rPr>
          <w:fldChar w:fldCharType="begin"/>
        </w:r>
        <w:r w:rsidR="009E3A8A">
          <w:rPr>
            <w:noProof/>
            <w:webHidden/>
          </w:rPr>
          <w:instrText xml:space="preserve"> PAGEREF _Toc496803873 \h </w:instrText>
        </w:r>
        <w:r w:rsidR="009E3A8A">
          <w:rPr>
            <w:noProof/>
            <w:webHidden/>
          </w:rPr>
        </w:r>
        <w:r w:rsidR="009E3A8A">
          <w:rPr>
            <w:noProof/>
            <w:webHidden/>
          </w:rPr>
          <w:fldChar w:fldCharType="separate"/>
        </w:r>
        <w:r w:rsidR="00B52C11">
          <w:rPr>
            <w:noProof/>
            <w:webHidden/>
          </w:rPr>
          <w:t>vii</w:t>
        </w:r>
        <w:r w:rsidR="009E3A8A">
          <w:rPr>
            <w:noProof/>
            <w:webHidden/>
          </w:rPr>
          <w:fldChar w:fldCharType="end"/>
        </w:r>
      </w:hyperlink>
    </w:p>
    <w:p w:rsidR="009E3A8A" w:rsidRDefault="0063193E" w:rsidP="009E3A8A">
      <w:pPr>
        <w:pStyle w:val="TOC2"/>
        <w:rPr>
          <w:rFonts w:asciiTheme="minorHAnsi" w:eastAsiaTheme="minorEastAsia" w:hAnsiTheme="minorHAnsi" w:cstheme="minorBidi"/>
          <w:noProof/>
          <w:sz w:val="22"/>
          <w:szCs w:val="22"/>
          <w:lang w:eastAsia="en-AU"/>
        </w:rPr>
      </w:pPr>
      <w:hyperlink w:anchor="_Toc496803874" w:history="1">
        <w:r w:rsidR="009E3A8A" w:rsidRPr="00704C61">
          <w:rPr>
            <w:rStyle w:val="Hyperlink"/>
            <w:noProof/>
          </w:rPr>
          <w:t>List of Figures</w:t>
        </w:r>
        <w:r w:rsidR="009E3A8A">
          <w:rPr>
            <w:noProof/>
            <w:webHidden/>
          </w:rPr>
          <w:tab/>
        </w:r>
        <w:r w:rsidR="009E3A8A">
          <w:rPr>
            <w:noProof/>
            <w:webHidden/>
          </w:rPr>
          <w:fldChar w:fldCharType="begin"/>
        </w:r>
        <w:r w:rsidR="009E3A8A">
          <w:rPr>
            <w:noProof/>
            <w:webHidden/>
          </w:rPr>
          <w:instrText xml:space="preserve"> PAGEREF _Toc496803874 \h </w:instrText>
        </w:r>
        <w:r w:rsidR="009E3A8A">
          <w:rPr>
            <w:noProof/>
            <w:webHidden/>
          </w:rPr>
        </w:r>
        <w:r w:rsidR="009E3A8A">
          <w:rPr>
            <w:noProof/>
            <w:webHidden/>
          </w:rPr>
          <w:fldChar w:fldCharType="separate"/>
        </w:r>
        <w:r w:rsidR="00B52C11">
          <w:rPr>
            <w:noProof/>
            <w:webHidden/>
          </w:rPr>
          <w:t>vii</w:t>
        </w:r>
        <w:r w:rsidR="009E3A8A">
          <w:rPr>
            <w:noProof/>
            <w:webHidden/>
          </w:rPr>
          <w:fldChar w:fldCharType="end"/>
        </w:r>
      </w:hyperlink>
    </w:p>
    <w:p w:rsidR="009E3A8A" w:rsidRDefault="0063193E" w:rsidP="009E3A8A">
      <w:pPr>
        <w:pStyle w:val="TOC2"/>
        <w:rPr>
          <w:rFonts w:asciiTheme="minorHAnsi" w:eastAsiaTheme="minorEastAsia" w:hAnsiTheme="minorHAnsi" w:cstheme="minorBidi"/>
          <w:noProof/>
          <w:sz w:val="22"/>
          <w:szCs w:val="22"/>
          <w:lang w:eastAsia="en-AU"/>
        </w:rPr>
      </w:pPr>
      <w:hyperlink w:anchor="_Toc496803875" w:history="1">
        <w:r w:rsidR="009E3A8A" w:rsidRPr="00704C61">
          <w:rPr>
            <w:rStyle w:val="Hyperlink"/>
            <w:noProof/>
            <w:lang w:val="en-US"/>
          </w:rPr>
          <w:t>Acronyms</w:t>
        </w:r>
        <w:r w:rsidR="009E3A8A">
          <w:rPr>
            <w:noProof/>
            <w:webHidden/>
          </w:rPr>
          <w:tab/>
        </w:r>
        <w:r w:rsidR="009E3A8A">
          <w:rPr>
            <w:noProof/>
            <w:webHidden/>
          </w:rPr>
          <w:fldChar w:fldCharType="begin"/>
        </w:r>
        <w:r w:rsidR="009E3A8A">
          <w:rPr>
            <w:noProof/>
            <w:webHidden/>
          </w:rPr>
          <w:instrText xml:space="preserve"> PAGEREF _Toc496803875 \h </w:instrText>
        </w:r>
        <w:r w:rsidR="009E3A8A">
          <w:rPr>
            <w:noProof/>
            <w:webHidden/>
          </w:rPr>
        </w:r>
        <w:r w:rsidR="009E3A8A">
          <w:rPr>
            <w:noProof/>
            <w:webHidden/>
          </w:rPr>
          <w:fldChar w:fldCharType="separate"/>
        </w:r>
        <w:r w:rsidR="00B52C11">
          <w:rPr>
            <w:noProof/>
            <w:webHidden/>
          </w:rPr>
          <w:t>viii</w:t>
        </w:r>
        <w:r w:rsidR="009E3A8A">
          <w:rPr>
            <w:noProof/>
            <w:webHidden/>
          </w:rPr>
          <w:fldChar w:fldCharType="end"/>
        </w:r>
      </w:hyperlink>
    </w:p>
    <w:p w:rsidR="009E3A8A" w:rsidRDefault="0063193E" w:rsidP="009E3A8A">
      <w:pPr>
        <w:pStyle w:val="TOC1"/>
        <w:rPr>
          <w:rFonts w:asciiTheme="minorHAnsi" w:eastAsiaTheme="minorEastAsia" w:hAnsiTheme="minorHAnsi" w:cstheme="minorBidi"/>
          <w:sz w:val="22"/>
          <w:szCs w:val="22"/>
          <w:lang w:eastAsia="en-AU"/>
        </w:rPr>
      </w:pPr>
      <w:hyperlink w:anchor="_Toc496803876" w:history="1">
        <w:r w:rsidR="009E3A8A" w:rsidRPr="00704C61">
          <w:rPr>
            <w:rStyle w:val="Hyperlink"/>
          </w:rPr>
          <w:t>1.</w:t>
        </w:r>
        <w:r w:rsidR="009E3A8A">
          <w:rPr>
            <w:rFonts w:asciiTheme="minorHAnsi" w:eastAsiaTheme="minorEastAsia" w:hAnsiTheme="minorHAnsi" w:cstheme="minorBidi"/>
            <w:sz w:val="22"/>
            <w:szCs w:val="22"/>
            <w:lang w:eastAsia="en-AU"/>
          </w:rPr>
          <w:tab/>
        </w:r>
        <w:r w:rsidR="009E3A8A" w:rsidRPr="00704C61">
          <w:rPr>
            <w:rStyle w:val="Hyperlink"/>
          </w:rPr>
          <w:t>Introduction</w:t>
        </w:r>
        <w:r w:rsidR="009E3A8A">
          <w:rPr>
            <w:webHidden/>
          </w:rPr>
          <w:tab/>
        </w:r>
        <w:r w:rsidR="009E3A8A">
          <w:rPr>
            <w:webHidden/>
          </w:rPr>
          <w:fldChar w:fldCharType="begin"/>
        </w:r>
        <w:r w:rsidR="009E3A8A">
          <w:rPr>
            <w:webHidden/>
          </w:rPr>
          <w:instrText xml:space="preserve"> PAGEREF _Toc496803876 \h </w:instrText>
        </w:r>
        <w:r w:rsidR="009E3A8A">
          <w:rPr>
            <w:webHidden/>
          </w:rPr>
        </w:r>
        <w:r w:rsidR="009E3A8A">
          <w:rPr>
            <w:webHidden/>
          </w:rPr>
          <w:fldChar w:fldCharType="separate"/>
        </w:r>
        <w:r w:rsidR="00B52C11">
          <w:rPr>
            <w:webHidden/>
          </w:rPr>
          <w:t>1</w:t>
        </w:r>
        <w:r w:rsidR="009E3A8A">
          <w:rPr>
            <w:webHidden/>
          </w:rPr>
          <w:fldChar w:fldCharType="end"/>
        </w:r>
      </w:hyperlink>
    </w:p>
    <w:p w:rsidR="009E3A8A" w:rsidRDefault="0063193E" w:rsidP="009E3A8A">
      <w:pPr>
        <w:pStyle w:val="TOC1"/>
        <w:rPr>
          <w:rFonts w:asciiTheme="minorHAnsi" w:eastAsiaTheme="minorEastAsia" w:hAnsiTheme="minorHAnsi" w:cstheme="minorBidi"/>
          <w:sz w:val="22"/>
          <w:szCs w:val="22"/>
          <w:lang w:eastAsia="en-AU"/>
        </w:rPr>
      </w:pPr>
      <w:hyperlink w:anchor="_Toc496803881" w:history="1">
        <w:r w:rsidR="009E3A8A" w:rsidRPr="00704C61">
          <w:rPr>
            <w:rStyle w:val="Hyperlink"/>
          </w:rPr>
          <w:t>2.</w:t>
        </w:r>
        <w:r w:rsidR="009E3A8A">
          <w:rPr>
            <w:rFonts w:asciiTheme="minorHAnsi" w:eastAsiaTheme="minorEastAsia" w:hAnsiTheme="minorHAnsi" w:cstheme="minorBidi"/>
            <w:sz w:val="22"/>
            <w:szCs w:val="22"/>
            <w:lang w:eastAsia="en-AU"/>
          </w:rPr>
          <w:tab/>
        </w:r>
        <w:r w:rsidR="009E3A8A" w:rsidRPr="00704C61">
          <w:rPr>
            <w:rStyle w:val="Hyperlink"/>
          </w:rPr>
          <w:t>History of the SES score</w:t>
        </w:r>
        <w:r w:rsidR="009E3A8A">
          <w:rPr>
            <w:webHidden/>
          </w:rPr>
          <w:tab/>
        </w:r>
        <w:r w:rsidR="009E3A8A">
          <w:rPr>
            <w:webHidden/>
          </w:rPr>
          <w:fldChar w:fldCharType="begin"/>
        </w:r>
        <w:r w:rsidR="009E3A8A">
          <w:rPr>
            <w:webHidden/>
          </w:rPr>
          <w:instrText xml:space="preserve"> PAGEREF _Toc496803881 \h </w:instrText>
        </w:r>
        <w:r w:rsidR="009E3A8A">
          <w:rPr>
            <w:webHidden/>
          </w:rPr>
        </w:r>
        <w:r w:rsidR="009E3A8A">
          <w:rPr>
            <w:webHidden/>
          </w:rPr>
          <w:fldChar w:fldCharType="separate"/>
        </w:r>
        <w:r w:rsidR="00B52C11">
          <w:rPr>
            <w:webHidden/>
          </w:rPr>
          <w:t>4</w:t>
        </w:r>
        <w:r w:rsidR="009E3A8A">
          <w:rPr>
            <w:webHidden/>
          </w:rPr>
          <w:fldChar w:fldCharType="end"/>
        </w:r>
      </w:hyperlink>
    </w:p>
    <w:p w:rsidR="009E3A8A" w:rsidRDefault="0063193E" w:rsidP="009E3A8A">
      <w:pPr>
        <w:pStyle w:val="TOC1"/>
        <w:rPr>
          <w:rFonts w:asciiTheme="minorHAnsi" w:eastAsiaTheme="minorEastAsia" w:hAnsiTheme="minorHAnsi" w:cstheme="minorBidi"/>
          <w:sz w:val="22"/>
          <w:szCs w:val="22"/>
          <w:lang w:eastAsia="en-AU"/>
        </w:rPr>
      </w:pPr>
      <w:hyperlink w:anchor="_Toc496803897" w:history="1">
        <w:r w:rsidR="009E3A8A" w:rsidRPr="00704C61">
          <w:rPr>
            <w:rStyle w:val="Hyperlink"/>
          </w:rPr>
          <w:t>3.</w:t>
        </w:r>
        <w:r w:rsidR="009E3A8A">
          <w:rPr>
            <w:rFonts w:asciiTheme="minorHAnsi" w:eastAsiaTheme="minorEastAsia" w:hAnsiTheme="minorHAnsi" w:cstheme="minorBidi"/>
            <w:sz w:val="22"/>
            <w:szCs w:val="22"/>
            <w:lang w:eastAsia="en-AU"/>
          </w:rPr>
          <w:tab/>
        </w:r>
        <w:r w:rsidR="009E3A8A" w:rsidRPr="00704C61">
          <w:rPr>
            <w:rStyle w:val="Hyperlink"/>
          </w:rPr>
          <w:t>The SES score estimation methodology</w:t>
        </w:r>
        <w:r w:rsidR="009E3A8A">
          <w:rPr>
            <w:webHidden/>
          </w:rPr>
          <w:tab/>
        </w:r>
        <w:r w:rsidR="009E3A8A">
          <w:rPr>
            <w:webHidden/>
          </w:rPr>
          <w:fldChar w:fldCharType="begin"/>
        </w:r>
        <w:r w:rsidR="009E3A8A">
          <w:rPr>
            <w:webHidden/>
          </w:rPr>
          <w:instrText xml:space="preserve"> PAGEREF _Toc496803897 \h </w:instrText>
        </w:r>
        <w:r w:rsidR="009E3A8A">
          <w:rPr>
            <w:webHidden/>
          </w:rPr>
        </w:r>
        <w:r w:rsidR="009E3A8A">
          <w:rPr>
            <w:webHidden/>
          </w:rPr>
          <w:fldChar w:fldCharType="separate"/>
        </w:r>
        <w:r w:rsidR="00B52C11">
          <w:rPr>
            <w:webHidden/>
          </w:rPr>
          <w:t>21</w:t>
        </w:r>
        <w:r w:rsidR="009E3A8A">
          <w:rPr>
            <w:webHidden/>
          </w:rPr>
          <w:fldChar w:fldCharType="end"/>
        </w:r>
      </w:hyperlink>
    </w:p>
    <w:p w:rsidR="009E3A8A" w:rsidRDefault="0063193E" w:rsidP="009E3A8A">
      <w:pPr>
        <w:pStyle w:val="TOC1"/>
        <w:rPr>
          <w:rFonts w:asciiTheme="minorHAnsi" w:eastAsiaTheme="minorEastAsia" w:hAnsiTheme="minorHAnsi" w:cstheme="minorBidi"/>
          <w:sz w:val="22"/>
          <w:szCs w:val="22"/>
          <w:lang w:eastAsia="en-AU"/>
        </w:rPr>
      </w:pPr>
      <w:hyperlink w:anchor="_Toc496803912" w:history="1">
        <w:r w:rsidR="009E3A8A" w:rsidRPr="00704C61">
          <w:rPr>
            <w:rStyle w:val="Hyperlink"/>
          </w:rPr>
          <w:t>4.</w:t>
        </w:r>
        <w:r w:rsidR="009E3A8A">
          <w:rPr>
            <w:rFonts w:asciiTheme="minorHAnsi" w:eastAsiaTheme="minorEastAsia" w:hAnsiTheme="minorHAnsi" w:cstheme="minorBidi"/>
            <w:sz w:val="22"/>
            <w:szCs w:val="22"/>
            <w:lang w:eastAsia="en-AU"/>
          </w:rPr>
          <w:tab/>
        </w:r>
        <w:r w:rsidR="009E3A8A" w:rsidRPr="00704C61">
          <w:rPr>
            <w:rStyle w:val="Hyperlink"/>
          </w:rPr>
          <w:t>Concerns and views about the SES score</w:t>
        </w:r>
        <w:r w:rsidR="009E3A8A">
          <w:rPr>
            <w:webHidden/>
          </w:rPr>
          <w:tab/>
        </w:r>
        <w:r w:rsidR="009E3A8A">
          <w:rPr>
            <w:webHidden/>
          </w:rPr>
          <w:fldChar w:fldCharType="begin"/>
        </w:r>
        <w:r w:rsidR="009E3A8A">
          <w:rPr>
            <w:webHidden/>
          </w:rPr>
          <w:instrText xml:space="preserve"> PAGEREF _Toc496803912 \h </w:instrText>
        </w:r>
        <w:r w:rsidR="009E3A8A">
          <w:rPr>
            <w:webHidden/>
          </w:rPr>
        </w:r>
        <w:r w:rsidR="009E3A8A">
          <w:rPr>
            <w:webHidden/>
          </w:rPr>
          <w:fldChar w:fldCharType="separate"/>
        </w:r>
        <w:r w:rsidR="00B52C11">
          <w:rPr>
            <w:webHidden/>
          </w:rPr>
          <w:t>27</w:t>
        </w:r>
        <w:r w:rsidR="009E3A8A">
          <w:rPr>
            <w:webHidden/>
          </w:rPr>
          <w:fldChar w:fldCharType="end"/>
        </w:r>
      </w:hyperlink>
    </w:p>
    <w:p w:rsidR="009E3A8A" w:rsidRDefault="0063193E" w:rsidP="009E3A8A">
      <w:pPr>
        <w:pStyle w:val="TOC1"/>
        <w:rPr>
          <w:rFonts w:asciiTheme="minorHAnsi" w:eastAsiaTheme="minorEastAsia" w:hAnsiTheme="minorHAnsi" w:cstheme="minorBidi"/>
          <w:sz w:val="22"/>
          <w:szCs w:val="22"/>
          <w:lang w:eastAsia="en-AU"/>
        </w:rPr>
      </w:pPr>
      <w:hyperlink w:anchor="_Toc496803934" w:history="1">
        <w:r w:rsidR="009E3A8A" w:rsidRPr="00704C61">
          <w:rPr>
            <w:rStyle w:val="Hyperlink"/>
          </w:rPr>
          <w:t>5.</w:t>
        </w:r>
        <w:r w:rsidR="009E3A8A">
          <w:rPr>
            <w:rFonts w:asciiTheme="minorHAnsi" w:eastAsiaTheme="minorEastAsia" w:hAnsiTheme="minorHAnsi" w:cstheme="minorBidi"/>
            <w:sz w:val="22"/>
            <w:szCs w:val="22"/>
            <w:lang w:eastAsia="en-AU"/>
          </w:rPr>
          <w:tab/>
        </w:r>
        <w:r w:rsidR="009E3A8A" w:rsidRPr="00704C61">
          <w:rPr>
            <w:rStyle w:val="Hyperlink"/>
          </w:rPr>
          <w:t>Potential directions for assessing measurement of the ‘capacity to contribute’</w:t>
        </w:r>
        <w:r w:rsidR="009E3A8A">
          <w:rPr>
            <w:webHidden/>
          </w:rPr>
          <w:tab/>
        </w:r>
        <w:r w:rsidR="009E3A8A">
          <w:rPr>
            <w:webHidden/>
          </w:rPr>
          <w:fldChar w:fldCharType="begin"/>
        </w:r>
        <w:r w:rsidR="009E3A8A">
          <w:rPr>
            <w:webHidden/>
          </w:rPr>
          <w:instrText xml:space="preserve"> PAGEREF _Toc496803934 \h </w:instrText>
        </w:r>
        <w:r w:rsidR="009E3A8A">
          <w:rPr>
            <w:webHidden/>
          </w:rPr>
        </w:r>
        <w:r w:rsidR="009E3A8A">
          <w:rPr>
            <w:webHidden/>
          </w:rPr>
          <w:fldChar w:fldCharType="separate"/>
        </w:r>
        <w:r w:rsidR="00B52C11">
          <w:rPr>
            <w:webHidden/>
          </w:rPr>
          <w:t>37</w:t>
        </w:r>
        <w:r w:rsidR="009E3A8A">
          <w:rPr>
            <w:webHidden/>
          </w:rPr>
          <w:fldChar w:fldCharType="end"/>
        </w:r>
      </w:hyperlink>
    </w:p>
    <w:p w:rsidR="009E3A8A" w:rsidRDefault="0063193E" w:rsidP="009E3A8A">
      <w:pPr>
        <w:pStyle w:val="TOC6"/>
        <w:rPr>
          <w:rFonts w:asciiTheme="minorHAnsi" w:eastAsiaTheme="minorEastAsia" w:hAnsiTheme="minorHAnsi" w:cstheme="minorBidi"/>
          <w:noProof/>
          <w:sz w:val="22"/>
          <w:szCs w:val="22"/>
          <w:lang w:eastAsia="en-AU"/>
        </w:rPr>
      </w:pPr>
      <w:hyperlink w:anchor="_Toc496803940" w:history="1">
        <w:r w:rsidR="009E3A8A" w:rsidRPr="00704C61">
          <w:rPr>
            <w:rStyle w:val="Hyperlink"/>
            <w:noProof/>
          </w:rPr>
          <w:t>Appendix A.</w:t>
        </w:r>
        <w:r w:rsidR="009E3A8A">
          <w:rPr>
            <w:rFonts w:asciiTheme="minorHAnsi" w:eastAsiaTheme="minorEastAsia" w:hAnsiTheme="minorHAnsi" w:cstheme="minorBidi"/>
            <w:noProof/>
            <w:sz w:val="22"/>
            <w:szCs w:val="22"/>
            <w:lang w:eastAsia="en-AU"/>
          </w:rPr>
          <w:tab/>
        </w:r>
        <w:r w:rsidR="009E3A8A" w:rsidRPr="00704C61">
          <w:rPr>
            <w:rStyle w:val="Hyperlink"/>
            <w:noProof/>
          </w:rPr>
          <w:t>SES score estimation variables</w:t>
        </w:r>
        <w:r w:rsidR="009E3A8A">
          <w:rPr>
            <w:noProof/>
            <w:webHidden/>
          </w:rPr>
          <w:tab/>
        </w:r>
        <w:r w:rsidR="009E3A8A">
          <w:rPr>
            <w:noProof/>
            <w:webHidden/>
          </w:rPr>
          <w:fldChar w:fldCharType="begin"/>
        </w:r>
        <w:r w:rsidR="009E3A8A">
          <w:rPr>
            <w:noProof/>
            <w:webHidden/>
          </w:rPr>
          <w:instrText xml:space="preserve"> PAGEREF _Toc496803940 \h </w:instrText>
        </w:r>
        <w:r w:rsidR="009E3A8A">
          <w:rPr>
            <w:noProof/>
            <w:webHidden/>
          </w:rPr>
        </w:r>
        <w:r w:rsidR="009E3A8A">
          <w:rPr>
            <w:noProof/>
            <w:webHidden/>
          </w:rPr>
          <w:fldChar w:fldCharType="separate"/>
        </w:r>
        <w:r w:rsidR="00B52C11">
          <w:rPr>
            <w:noProof/>
            <w:webHidden/>
          </w:rPr>
          <w:t>41</w:t>
        </w:r>
        <w:r w:rsidR="009E3A8A">
          <w:rPr>
            <w:noProof/>
            <w:webHidden/>
          </w:rPr>
          <w:fldChar w:fldCharType="end"/>
        </w:r>
      </w:hyperlink>
    </w:p>
    <w:p w:rsidR="009E3A8A" w:rsidRDefault="0063193E" w:rsidP="009E3A8A">
      <w:pPr>
        <w:pStyle w:val="TOC6"/>
        <w:rPr>
          <w:rFonts w:asciiTheme="minorHAnsi" w:eastAsiaTheme="minorEastAsia" w:hAnsiTheme="minorHAnsi" w:cstheme="minorBidi"/>
          <w:noProof/>
          <w:sz w:val="22"/>
          <w:szCs w:val="22"/>
          <w:lang w:eastAsia="en-AU"/>
        </w:rPr>
      </w:pPr>
      <w:hyperlink w:anchor="_Toc496803941" w:history="1">
        <w:r w:rsidR="009E3A8A" w:rsidRPr="00704C61">
          <w:rPr>
            <w:rStyle w:val="Hyperlink"/>
            <w:noProof/>
          </w:rPr>
          <w:t>Appendix B.</w:t>
        </w:r>
        <w:r w:rsidR="009E3A8A">
          <w:rPr>
            <w:rFonts w:asciiTheme="minorHAnsi" w:eastAsiaTheme="minorEastAsia" w:hAnsiTheme="minorHAnsi" w:cstheme="minorBidi"/>
            <w:noProof/>
            <w:sz w:val="22"/>
            <w:szCs w:val="22"/>
            <w:lang w:eastAsia="en-AU"/>
          </w:rPr>
          <w:tab/>
        </w:r>
        <w:r w:rsidR="009E3A8A" w:rsidRPr="00704C61">
          <w:rPr>
            <w:rStyle w:val="Hyperlink"/>
            <w:noProof/>
          </w:rPr>
          <w:t>Stakeholder issues and concerns with the SES score</w:t>
        </w:r>
        <w:r w:rsidR="009E3A8A">
          <w:rPr>
            <w:noProof/>
            <w:webHidden/>
          </w:rPr>
          <w:tab/>
        </w:r>
        <w:r w:rsidR="009E3A8A">
          <w:rPr>
            <w:noProof/>
            <w:webHidden/>
          </w:rPr>
          <w:fldChar w:fldCharType="begin"/>
        </w:r>
        <w:r w:rsidR="009E3A8A">
          <w:rPr>
            <w:noProof/>
            <w:webHidden/>
          </w:rPr>
          <w:instrText xml:space="preserve"> PAGEREF _Toc496803941 \h </w:instrText>
        </w:r>
        <w:r w:rsidR="009E3A8A">
          <w:rPr>
            <w:noProof/>
            <w:webHidden/>
          </w:rPr>
        </w:r>
        <w:r w:rsidR="009E3A8A">
          <w:rPr>
            <w:noProof/>
            <w:webHidden/>
          </w:rPr>
          <w:fldChar w:fldCharType="separate"/>
        </w:r>
        <w:r w:rsidR="00B52C11">
          <w:rPr>
            <w:noProof/>
            <w:webHidden/>
          </w:rPr>
          <w:t>44</w:t>
        </w:r>
        <w:r w:rsidR="009E3A8A">
          <w:rPr>
            <w:noProof/>
            <w:webHidden/>
          </w:rPr>
          <w:fldChar w:fldCharType="end"/>
        </w:r>
      </w:hyperlink>
    </w:p>
    <w:p w:rsidR="009E3A8A" w:rsidRDefault="0063193E" w:rsidP="009E3A8A">
      <w:pPr>
        <w:pStyle w:val="TOC6"/>
        <w:rPr>
          <w:rFonts w:asciiTheme="minorHAnsi" w:eastAsiaTheme="minorEastAsia" w:hAnsiTheme="minorHAnsi" w:cstheme="minorBidi"/>
          <w:noProof/>
          <w:sz w:val="22"/>
          <w:szCs w:val="22"/>
          <w:lang w:eastAsia="en-AU"/>
        </w:rPr>
      </w:pPr>
      <w:hyperlink w:anchor="_Toc496803942" w:history="1">
        <w:r w:rsidR="009E3A8A" w:rsidRPr="00704C61">
          <w:rPr>
            <w:rStyle w:val="Hyperlink"/>
            <w:noProof/>
          </w:rPr>
          <w:t>Appendix C.</w:t>
        </w:r>
        <w:r w:rsidR="009E3A8A">
          <w:rPr>
            <w:rFonts w:asciiTheme="minorHAnsi" w:eastAsiaTheme="minorEastAsia" w:hAnsiTheme="minorHAnsi" w:cstheme="minorBidi"/>
            <w:noProof/>
            <w:sz w:val="22"/>
            <w:szCs w:val="22"/>
            <w:lang w:eastAsia="en-AU"/>
          </w:rPr>
          <w:tab/>
        </w:r>
        <w:r w:rsidR="009E3A8A" w:rsidRPr="00704C61">
          <w:rPr>
            <w:rStyle w:val="Hyperlink"/>
            <w:noProof/>
          </w:rPr>
          <w:t>Validation and analysis of SES score: suggested activities</w:t>
        </w:r>
        <w:r w:rsidR="009E3A8A">
          <w:rPr>
            <w:noProof/>
            <w:webHidden/>
          </w:rPr>
          <w:tab/>
        </w:r>
        <w:r w:rsidR="009E3A8A">
          <w:rPr>
            <w:noProof/>
            <w:webHidden/>
          </w:rPr>
          <w:fldChar w:fldCharType="begin"/>
        </w:r>
        <w:r w:rsidR="009E3A8A">
          <w:rPr>
            <w:noProof/>
            <w:webHidden/>
          </w:rPr>
          <w:instrText xml:space="preserve"> PAGEREF _Toc496803942 \h </w:instrText>
        </w:r>
        <w:r w:rsidR="009E3A8A">
          <w:rPr>
            <w:noProof/>
            <w:webHidden/>
          </w:rPr>
        </w:r>
        <w:r w:rsidR="009E3A8A">
          <w:rPr>
            <w:noProof/>
            <w:webHidden/>
          </w:rPr>
          <w:fldChar w:fldCharType="separate"/>
        </w:r>
        <w:r w:rsidR="00B52C11">
          <w:rPr>
            <w:noProof/>
            <w:webHidden/>
          </w:rPr>
          <w:t>49</w:t>
        </w:r>
        <w:r w:rsidR="009E3A8A">
          <w:rPr>
            <w:noProof/>
            <w:webHidden/>
          </w:rPr>
          <w:fldChar w:fldCharType="end"/>
        </w:r>
      </w:hyperlink>
    </w:p>
    <w:p w:rsidR="009E3A8A" w:rsidRDefault="0063193E" w:rsidP="009E3A8A">
      <w:pPr>
        <w:pStyle w:val="TOC2"/>
        <w:rPr>
          <w:rFonts w:asciiTheme="minorHAnsi" w:eastAsiaTheme="minorEastAsia" w:hAnsiTheme="minorHAnsi" w:cstheme="minorBidi"/>
          <w:noProof/>
          <w:sz w:val="22"/>
          <w:szCs w:val="22"/>
          <w:lang w:eastAsia="en-AU"/>
        </w:rPr>
      </w:pPr>
      <w:hyperlink w:anchor="_Toc496803943" w:history="1">
        <w:r w:rsidR="009E3A8A" w:rsidRPr="00704C61">
          <w:rPr>
            <w:rStyle w:val="Hyperlink"/>
            <w:noProof/>
          </w:rPr>
          <w:t>References</w:t>
        </w:r>
        <w:r w:rsidR="009E3A8A">
          <w:rPr>
            <w:noProof/>
            <w:webHidden/>
          </w:rPr>
          <w:tab/>
        </w:r>
        <w:r w:rsidR="009E3A8A">
          <w:rPr>
            <w:noProof/>
            <w:webHidden/>
          </w:rPr>
          <w:fldChar w:fldCharType="begin"/>
        </w:r>
        <w:r w:rsidR="009E3A8A">
          <w:rPr>
            <w:noProof/>
            <w:webHidden/>
          </w:rPr>
          <w:instrText xml:space="preserve"> PAGEREF _Toc496803943 \h </w:instrText>
        </w:r>
        <w:r w:rsidR="009E3A8A">
          <w:rPr>
            <w:noProof/>
            <w:webHidden/>
          </w:rPr>
        </w:r>
        <w:r w:rsidR="009E3A8A">
          <w:rPr>
            <w:noProof/>
            <w:webHidden/>
          </w:rPr>
          <w:fldChar w:fldCharType="separate"/>
        </w:r>
        <w:r w:rsidR="00B52C11">
          <w:rPr>
            <w:noProof/>
            <w:webHidden/>
          </w:rPr>
          <w:t>53</w:t>
        </w:r>
        <w:r w:rsidR="009E3A8A">
          <w:rPr>
            <w:noProof/>
            <w:webHidden/>
          </w:rPr>
          <w:fldChar w:fldCharType="end"/>
        </w:r>
      </w:hyperlink>
    </w:p>
    <w:p w:rsidR="00835CD9" w:rsidRDefault="00555E88" w:rsidP="00C44628">
      <w:r>
        <w:rPr>
          <w:noProof/>
        </w:rPr>
        <w:fldChar w:fldCharType="end"/>
      </w:r>
    </w:p>
    <w:p w:rsidR="00A352B4" w:rsidRDefault="000F0499" w:rsidP="00C44628">
      <w:r>
        <w:br w:type="page"/>
      </w:r>
    </w:p>
    <w:p w:rsidR="00A352B4" w:rsidRDefault="00E74523" w:rsidP="00A12411">
      <w:pPr>
        <w:pStyle w:val="HeadingTOC"/>
      </w:pPr>
      <w:bookmarkStart w:id="10" w:name="_Toc481431391"/>
      <w:bookmarkStart w:id="11" w:name="_Toc496803873"/>
      <w:r>
        <w:t xml:space="preserve">List of </w:t>
      </w:r>
      <w:r w:rsidR="00A352B4">
        <w:t>Tables</w:t>
      </w:r>
      <w:bookmarkEnd w:id="10"/>
      <w:bookmarkEnd w:id="11"/>
    </w:p>
    <w:p w:rsidR="009E3A8A" w:rsidRDefault="00C658A2">
      <w:pPr>
        <w:pStyle w:val="TableofFigures"/>
        <w:rPr>
          <w:rFonts w:asciiTheme="minorHAnsi" w:eastAsiaTheme="minorEastAsia" w:hAnsiTheme="minorHAnsi" w:cstheme="minorBidi"/>
          <w:sz w:val="22"/>
          <w:szCs w:val="22"/>
          <w:lang w:eastAsia="en-AU"/>
        </w:rPr>
      </w:pPr>
      <w:r>
        <w:fldChar w:fldCharType="begin"/>
      </w:r>
      <w:r>
        <w:instrText xml:space="preserve"> TOC \h \z \c "Table" </w:instrText>
      </w:r>
      <w:r>
        <w:fldChar w:fldCharType="separate"/>
      </w:r>
      <w:hyperlink w:anchor="_Toc496803944" w:history="1">
        <w:r w:rsidR="009E3A8A" w:rsidRPr="00DF21DE">
          <w:rPr>
            <w:rStyle w:val="Hyperlink"/>
          </w:rPr>
          <w:t>Table 2</w:t>
        </w:r>
        <w:r w:rsidR="009E3A8A" w:rsidRPr="00DF21DE">
          <w:rPr>
            <w:rStyle w:val="Hyperlink"/>
          </w:rPr>
          <w:noBreakHyphen/>
          <w:t>1</w:t>
        </w:r>
        <w:r w:rsidR="009E3A8A">
          <w:rPr>
            <w:rFonts w:asciiTheme="minorHAnsi" w:eastAsiaTheme="minorEastAsia" w:hAnsiTheme="minorHAnsi" w:cstheme="minorBidi"/>
            <w:sz w:val="22"/>
            <w:szCs w:val="22"/>
            <w:lang w:eastAsia="en-AU"/>
          </w:rPr>
          <w:tab/>
        </w:r>
        <w:r w:rsidR="009E3A8A" w:rsidRPr="00DF21DE">
          <w:rPr>
            <w:rStyle w:val="Hyperlink"/>
          </w:rPr>
          <w:t xml:space="preserve">Options considered for allocating funds to </w:t>
        </w:r>
        <w:r w:rsidR="002263C4">
          <w:rPr>
            <w:rStyle w:val="Hyperlink"/>
          </w:rPr>
          <w:t>non</w:t>
        </w:r>
        <w:r w:rsidR="002263C4">
          <w:rPr>
            <w:rStyle w:val="Hyperlink"/>
          </w:rPr>
          <w:noBreakHyphen/>
          <w:t>government</w:t>
        </w:r>
        <w:r w:rsidR="009E3A8A" w:rsidRPr="00DF21DE">
          <w:rPr>
            <w:rStyle w:val="Hyperlink"/>
          </w:rPr>
          <w:t xml:space="preserve"> schools</w:t>
        </w:r>
        <w:r w:rsidR="009E3A8A">
          <w:rPr>
            <w:webHidden/>
          </w:rPr>
          <w:tab/>
        </w:r>
        <w:r w:rsidR="009E3A8A">
          <w:rPr>
            <w:webHidden/>
          </w:rPr>
          <w:fldChar w:fldCharType="begin"/>
        </w:r>
        <w:r w:rsidR="009E3A8A">
          <w:rPr>
            <w:webHidden/>
          </w:rPr>
          <w:instrText xml:space="preserve"> PAGEREF _Toc496803944 \h </w:instrText>
        </w:r>
        <w:r w:rsidR="009E3A8A">
          <w:rPr>
            <w:webHidden/>
          </w:rPr>
        </w:r>
        <w:r w:rsidR="009E3A8A">
          <w:rPr>
            <w:webHidden/>
          </w:rPr>
          <w:fldChar w:fldCharType="separate"/>
        </w:r>
        <w:r w:rsidR="00B52C11">
          <w:rPr>
            <w:webHidden/>
          </w:rPr>
          <w:t>8</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45" w:history="1">
        <w:r w:rsidR="009E3A8A" w:rsidRPr="00DF21DE">
          <w:rPr>
            <w:rStyle w:val="Hyperlink"/>
          </w:rPr>
          <w:t>Table 2</w:t>
        </w:r>
        <w:r w:rsidR="009E3A8A" w:rsidRPr="00DF21DE">
          <w:rPr>
            <w:rStyle w:val="Hyperlink"/>
          </w:rPr>
          <w:noBreakHyphen/>
          <w:t>2</w:t>
        </w:r>
        <w:r w:rsidR="009E3A8A">
          <w:rPr>
            <w:rFonts w:asciiTheme="minorHAnsi" w:eastAsiaTheme="minorEastAsia" w:hAnsiTheme="minorHAnsi" w:cstheme="minorBidi"/>
            <w:sz w:val="22"/>
            <w:szCs w:val="22"/>
            <w:lang w:eastAsia="en-AU"/>
          </w:rPr>
          <w:tab/>
        </w:r>
        <w:r w:rsidR="009E3A8A" w:rsidRPr="00DF21DE">
          <w:rPr>
            <w:rStyle w:val="Hyperlink"/>
          </w:rPr>
          <w:t>Indexes trialled in the SES Simulation Project</w:t>
        </w:r>
        <w:r w:rsidR="009E3A8A">
          <w:rPr>
            <w:webHidden/>
          </w:rPr>
          <w:tab/>
        </w:r>
        <w:r w:rsidR="009E3A8A">
          <w:rPr>
            <w:webHidden/>
          </w:rPr>
          <w:fldChar w:fldCharType="begin"/>
        </w:r>
        <w:r w:rsidR="009E3A8A">
          <w:rPr>
            <w:webHidden/>
          </w:rPr>
          <w:instrText xml:space="preserve"> PAGEREF _Toc496803945 \h </w:instrText>
        </w:r>
        <w:r w:rsidR="009E3A8A">
          <w:rPr>
            <w:webHidden/>
          </w:rPr>
        </w:r>
        <w:r w:rsidR="009E3A8A">
          <w:rPr>
            <w:webHidden/>
          </w:rPr>
          <w:fldChar w:fldCharType="separate"/>
        </w:r>
        <w:r w:rsidR="00B52C11">
          <w:rPr>
            <w:webHidden/>
          </w:rPr>
          <w:t>11</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46" w:history="1">
        <w:r w:rsidR="009E3A8A" w:rsidRPr="00DF21DE">
          <w:rPr>
            <w:rStyle w:val="Hyperlink"/>
          </w:rPr>
          <w:t>Table 2</w:t>
        </w:r>
        <w:r w:rsidR="009E3A8A" w:rsidRPr="00DF21DE">
          <w:rPr>
            <w:rStyle w:val="Hyperlink"/>
          </w:rPr>
          <w:noBreakHyphen/>
          <w:t>3</w:t>
        </w:r>
        <w:r w:rsidR="009E3A8A">
          <w:rPr>
            <w:rFonts w:asciiTheme="minorHAnsi" w:eastAsiaTheme="minorEastAsia" w:hAnsiTheme="minorHAnsi" w:cstheme="minorBidi"/>
            <w:sz w:val="22"/>
            <w:szCs w:val="22"/>
            <w:lang w:eastAsia="en-AU"/>
          </w:rPr>
          <w:tab/>
        </w:r>
        <w:r w:rsidR="009E3A8A" w:rsidRPr="00DF21DE">
          <w:rPr>
            <w:rStyle w:val="Hyperlink"/>
          </w:rPr>
          <w:t>SES score validation approaches</w:t>
        </w:r>
        <w:r w:rsidR="009E3A8A">
          <w:rPr>
            <w:webHidden/>
          </w:rPr>
          <w:tab/>
        </w:r>
        <w:r w:rsidR="009E3A8A">
          <w:rPr>
            <w:webHidden/>
          </w:rPr>
          <w:fldChar w:fldCharType="begin"/>
        </w:r>
        <w:r w:rsidR="009E3A8A">
          <w:rPr>
            <w:webHidden/>
          </w:rPr>
          <w:instrText xml:space="preserve"> PAGEREF _Toc496803946 \h </w:instrText>
        </w:r>
        <w:r w:rsidR="009E3A8A">
          <w:rPr>
            <w:webHidden/>
          </w:rPr>
        </w:r>
        <w:r w:rsidR="009E3A8A">
          <w:rPr>
            <w:webHidden/>
          </w:rPr>
          <w:fldChar w:fldCharType="separate"/>
        </w:r>
        <w:r w:rsidR="00B52C11">
          <w:rPr>
            <w:webHidden/>
          </w:rPr>
          <w:t>13</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47" w:history="1">
        <w:r w:rsidR="009E3A8A" w:rsidRPr="00DF21DE">
          <w:rPr>
            <w:rStyle w:val="Hyperlink"/>
          </w:rPr>
          <w:t>Table 3</w:t>
        </w:r>
        <w:r w:rsidR="009E3A8A" w:rsidRPr="00DF21DE">
          <w:rPr>
            <w:rStyle w:val="Hyperlink"/>
          </w:rPr>
          <w:noBreakHyphen/>
          <w:t>1</w:t>
        </w:r>
        <w:r w:rsidR="009E3A8A">
          <w:rPr>
            <w:rFonts w:asciiTheme="minorHAnsi" w:eastAsiaTheme="minorEastAsia" w:hAnsiTheme="minorHAnsi" w:cstheme="minorBidi"/>
            <w:sz w:val="22"/>
            <w:szCs w:val="22"/>
            <w:lang w:eastAsia="en-AU"/>
          </w:rPr>
          <w:tab/>
        </w:r>
        <w:r w:rsidR="009E3A8A" w:rsidRPr="00DF21DE">
          <w:rPr>
            <w:rStyle w:val="Hyperlink"/>
          </w:rPr>
          <w:t>Worked example: estimation of SES score for a hypothetical school</w:t>
        </w:r>
        <w:r w:rsidR="009E3A8A">
          <w:rPr>
            <w:webHidden/>
          </w:rPr>
          <w:tab/>
        </w:r>
        <w:r w:rsidR="009E3A8A">
          <w:rPr>
            <w:webHidden/>
          </w:rPr>
          <w:fldChar w:fldCharType="begin"/>
        </w:r>
        <w:r w:rsidR="009E3A8A">
          <w:rPr>
            <w:webHidden/>
          </w:rPr>
          <w:instrText xml:space="preserve"> PAGEREF _Toc496803947 \h </w:instrText>
        </w:r>
        <w:r w:rsidR="009E3A8A">
          <w:rPr>
            <w:webHidden/>
          </w:rPr>
        </w:r>
        <w:r w:rsidR="009E3A8A">
          <w:rPr>
            <w:webHidden/>
          </w:rPr>
          <w:fldChar w:fldCharType="separate"/>
        </w:r>
        <w:r w:rsidR="00B52C11">
          <w:rPr>
            <w:webHidden/>
          </w:rPr>
          <w:t>24</w:t>
        </w:r>
        <w:r w:rsidR="009E3A8A">
          <w:rPr>
            <w:webHidden/>
          </w:rPr>
          <w:fldChar w:fldCharType="end"/>
        </w:r>
      </w:hyperlink>
    </w:p>
    <w:p w:rsidR="009E3A8A" w:rsidRDefault="00C658A2">
      <w:pPr>
        <w:pStyle w:val="TableofFigures"/>
        <w:rPr>
          <w:rFonts w:asciiTheme="minorHAnsi" w:eastAsiaTheme="minorEastAsia" w:hAnsiTheme="minorHAnsi" w:cstheme="minorBidi"/>
          <w:sz w:val="22"/>
          <w:szCs w:val="22"/>
          <w:lang w:eastAsia="en-AU"/>
        </w:rPr>
      </w:pPr>
      <w:r>
        <w:fldChar w:fldCharType="end"/>
      </w:r>
      <w:r w:rsidR="00452089">
        <w:fldChar w:fldCharType="begin"/>
      </w:r>
      <w:r w:rsidR="00452089">
        <w:instrText xml:space="preserve"> TOC \h \z \c "Table_Apx" </w:instrText>
      </w:r>
      <w:r w:rsidR="00452089">
        <w:fldChar w:fldCharType="separate"/>
      </w:r>
      <w:hyperlink w:anchor="_Toc496803948" w:history="1">
        <w:r w:rsidR="009E3A8A" w:rsidRPr="00327D18">
          <w:rPr>
            <w:rStyle w:val="Hyperlink"/>
          </w:rPr>
          <w:t>Table A</w:t>
        </w:r>
        <w:r w:rsidR="009E3A8A" w:rsidRPr="00327D18">
          <w:rPr>
            <w:rStyle w:val="Hyperlink"/>
          </w:rPr>
          <w:noBreakHyphen/>
          <w:t>1</w:t>
        </w:r>
        <w:r w:rsidR="009E3A8A">
          <w:rPr>
            <w:rFonts w:asciiTheme="minorHAnsi" w:eastAsiaTheme="minorEastAsia" w:hAnsiTheme="minorHAnsi" w:cstheme="minorBidi"/>
            <w:sz w:val="22"/>
            <w:szCs w:val="22"/>
            <w:lang w:eastAsia="en-AU"/>
          </w:rPr>
          <w:tab/>
        </w:r>
        <w:r w:rsidR="009E3A8A" w:rsidRPr="00327D18">
          <w:rPr>
            <w:rStyle w:val="Hyperlink"/>
          </w:rPr>
          <w:t>Variables and national average used in SES score estimation: 2006 and 2011</w:t>
        </w:r>
        <w:r w:rsidR="009E3A8A">
          <w:rPr>
            <w:webHidden/>
          </w:rPr>
          <w:tab/>
        </w:r>
        <w:r w:rsidR="009E3A8A">
          <w:rPr>
            <w:webHidden/>
          </w:rPr>
          <w:fldChar w:fldCharType="begin"/>
        </w:r>
        <w:r w:rsidR="009E3A8A">
          <w:rPr>
            <w:webHidden/>
          </w:rPr>
          <w:instrText xml:space="preserve"> PAGEREF _Toc496803948 \h </w:instrText>
        </w:r>
        <w:r w:rsidR="009E3A8A">
          <w:rPr>
            <w:webHidden/>
          </w:rPr>
        </w:r>
        <w:r w:rsidR="009E3A8A">
          <w:rPr>
            <w:webHidden/>
          </w:rPr>
          <w:fldChar w:fldCharType="separate"/>
        </w:r>
        <w:r w:rsidR="00B52C11">
          <w:rPr>
            <w:webHidden/>
          </w:rPr>
          <w:t>41</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49" w:history="1">
        <w:r w:rsidR="009E3A8A" w:rsidRPr="00327D18">
          <w:rPr>
            <w:rStyle w:val="Hyperlink"/>
          </w:rPr>
          <w:t>Table A</w:t>
        </w:r>
        <w:r w:rsidR="009E3A8A" w:rsidRPr="00327D18">
          <w:rPr>
            <w:rStyle w:val="Hyperlink"/>
          </w:rPr>
          <w:noBreakHyphen/>
          <w:t>2</w:t>
        </w:r>
        <w:r w:rsidR="009E3A8A">
          <w:rPr>
            <w:rFonts w:asciiTheme="minorHAnsi" w:eastAsiaTheme="minorEastAsia" w:hAnsiTheme="minorHAnsi" w:cstheme="minorBidi"/>
            <w:sz w:val="22"/>
            <w:szCs w:val="22"/>
            <w:lang w:eastAsia="en-AU"/>
          </w:rPr>
          <w:tab/>
        </w:r>
        <w:r w:rsidR="009E3A8A" w:rsidRPr="00327D18">
          <w:rPr>
            <w:rStyle w:val="Hyperlink"/>
          </w:rPr>
          <w:t>Dimension variable loadings estimated using ABS Census data: 1996 to 2011</w:t>
        </w:r>
        <w:r w:rsidR="009E3A8A">
          <w:rPr>
            <w:webHidden/>
          </w:rPr>
          <w:tab/>
        </w:r>
        <w:r w:rsidR="009E3A8A">
          <w:rPr>
            <w:webHidden/>
          </w:rPr>
          <w:fldChar w:fldCharType="begin"/>
        </w:r>
        <w:r w:rsidR="009E3A8A">
          <w:rPr>
            <w:webHidden/>
          </w:rPr>
          <w:instrText xml:space="preserve"> PAGEREF _Toc496803949 \h </w:instrText>
        </w:r>
        <w:r w:rsidR="009E3A8A">
          <w:rPr>
            <w:webHidden/>
          </w:rPr>
        </w:r>
        <w:r w:rsidR="009E3A8A">
          <w:rPr>
            <w:webHidden/>
          </w:rPr>
          <w:fldChar w:fldCharType="separate"/>
        </w:r>
        <w:r w:rsidR="00B52C11">
          <w:rPr>
            <w:webHidden/>
          </w:rPr>
          <w:t>42</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0" w:history="1">
        <w:r w:rsidR="009E3A8A" w:rsidRPr="00327D18">
          <w:rPr>
            <w:rStyle w:val="Hyperlink"/>
          </w:rPr>
          <w:t>Table B</w:t>
        </w:r>
        <w:r w:rsidR="009E3A8A" w:rsidRPr="00327D18">
          <w:rPr>
            <w:rStyle w:val="Hyperlink"/>
          </w:rPr>
          <w:noBreakHyphen/>
          <w:t>1</w:t>
        </w:r>
        <w:r w:rsidR="009E3A8A">
          <w:rPr>
            <w:rFonts w:asciiTheme="minorHAnsi" w:eastAsiaTheme="minorEastAsia" w:hAnsiTheme="minorHAnsi" w:cstheme="minorBidi"/>
            <w:sz w:val="22"/>
            <w:szCs w:val="22"/>
            <w:lang w:eastAsia="en-AU"/>
          </w:rPr>
          <w:tab/>
        </w:r>
        <w:r w:rsidR="009E3A8A" w:rsidRPr="00327D18">
          <w:rPr>
            <w:rStyle w:val="Hyperlink"/>
          </w:rPr>
          <w:t>Stakeholder issues and concerns with the SES score</w:t>
        </w:r>
        <w:r w:rsidR="009E3A8A">
          <w:rPr>
            <w:webHidden/>
          </w:rPr>
          <w:tab/>
        </w:r>
        <w:r w:rsidR="009E3A8A">
          <w:rPr>
            <w:webHidden/>
          </w:rPr>
          <w:fldChar w:fldCharType="begin"/>
        </w:r>
        <w:r w:rsidR="009E3A8A">
          <w:rPr>
            <w:webHidden/>
          </w:rPr>
          <w:instrText xml:space="preserve"> PAGEREF _Toc496803950 \h </w:instrText>
        </w:r>
        <w:r w:rsidR="009E3A8A">
          <w:rPr>
            <w:webHidden/>
          </w:rPr>
        </w:r>
        <w:r w:rsidR="009E3A8A">
          <w:rPr>
            <w:webHidden/>
          </w:rPr>
          <w:fldChar w:fldCharType="separate"/>
        </w:r>
        <w:r w:rsidR="00B52C11">
          <w:rPr>
            <w:webHidden/>
          </w:rPr>
          <w:t>44</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1" w:history="1">
        <w:r w:rsidR="009E3A8A" w:rsidRPr="00327D18">
          <w:rPr>
            <w:rStyle w:val="Hyperlink"/>
          </w:rPr>
          <w:t>Table C</w:t>
        </w:r>
        <w:r w:rsidR="009E3A8A" w:rsidRPr="00327D18">
          <w:rPr>
            <w:rStyle w:val="Hyperlink"/>
          </w:rPr>
          <w:noBreakHyphen/>
          <w:t>1</w:t>
        </w:r>
        <w:r w:rsidR="009E3A8A">
          <w:rPr>
            <w:rFonts w:asciiTheme="minorHAnsi" w:eastAsiaTheme="minorEastAsia" w:hAnsiTheme="minorHAnsi" w:cstheme="minorBidi"/>
            <w:sz w:val="22"/>
            <w:szCs w:val="22"/>
            <w:lang w:eastAsia="en-AU"/>
          </w:rPr>
          <w:tab/>
        </w:r>
        <w:r w:rsidR="009E3A8A" w:rsidRPr="00327D18">
          <w:rPr>
            <w:rStyle w:val="Hyperlink"/>
          </w:rPr>
          <w:t>Validation and analysis of the SES score: suggested activities</w:t>
        </w:r>
        <w:r w:rsidR="009E3A8A">
          <w:rPr>
            <w:webHidden/>
          </w:rPr>
          <w:tab/>
        </w:r>
        <w:r w:rsidR="009E3A8A">
          <w:rPr>
            <w:webHidden/>
          </w:rPr>
          <w:fldChar w:fldCharType="begin"/>
        </w:r>
        <w:r w:rsidR="009E3A8A">
          <w:rPr>
            <w:webHidden/>
          </w:rPr>
          <w:instrText xml:space="preserve"> PAGEREF _Toc496803951 \h </w:instrText>
        </w:r>
        <w:r w:rsidR="009E3A8A">
          <w:rPr>
            <w:webHidden/>
          </w:rPr>
        </w:r>
        <w:r w:rsidR="009E3A8A">
          <w:rPr>
            <w:webHidden/>
          </w:rPr>
          <w:fldChar w:fldCharType="separate"/>
        </w:r>
        <w:r w:rsidR="00B52C11">
          <w:rPr>
            <w:webHidden/>
          </w:rPr>
          <w:t>49</w:t>
        </w:r>
        <w:r w:rsidR="009E3A8A">
          <w:rPr>
            <w:webHidden/>
          </w:rPr>
          <w:fldChar w:fldCharType="end"/>
        </w:r>
      </w:hyperlink>
    </w:p>
    <w:p w:rsidR="00452089" w:rsidRDefault="00452089" w:rsidP="00835CD9">
      <w:pPr>
        <w:rPr>
          <w:noProof/>
        </w:rPr>
      </w:pPr>
      <w:r>
        <w:rPr>
          <w:noProof/>
        </w:rPr>
        <w:fldChar w:fldCharType="end"/>
      </w:r>
    </w:p>
    <w:p w:rsidR="00452089" w:rsidRPr="00835CD9" w:rsidRDefault="00452089" w:rsidP="00835CD9"/>
    <w:p w:rsidR="00E74523" w:rsidRDefault="00E74523" w:rsidP="00A12411">
      <w:pPr>
        <w:pStyle w:val="HeadingTOC"/>
      </w:pPr>
      <w:bookmarkStart w:id="12" w:name="_Toc481431392"/>
      <w:bookmarkStart w:id="13" w:name="_Toc496803874"/>
      <w:r>
        <w:t>List of Figures</w:t>
      </w:r>
      <w:bookmarkEnd w:id="12"/>
      <w:bookmarkEnd w:id="13"/>
    </w:p>
    <w:p w:rsidR="009E3A8A" w:rsidRDefault="00C658A2">
      <w:pPr>
        <w:pStyle w:val="TableofFigures"/>
        <w:rPr>
          <w:rFonts w:asciiTheme="minorHAnsi" w:eastAsiaTheme="minorEastAsia" w:hAnsiTheme="minorHAnsi" w:cstheme="minorBidi"/>
          <w:sz w:val="22"/>
          <w:szCs w:val="22"/>
          <w:lang w:eastAsia="en-AU"/>
        </w:rPr>
      </w:pPr>
      <w:r>
        <w:fldChar w:fldCharType="begin"/>
      </w:r>
      <w:r>
        <w:instrText xml:space="preserve"> TOC \h \z \c "Figure" </w:instrText>
      </w:r>
      <w:r>
        <w:fldChar w:fldCharType="separate"/>
      </w:r>
      <w:hyperlink w:anchor="_Toc496803952" w:history="1">
        <w:r w:rsidR="009E3A8A" w:rsidRPr="00922166">
          <w:rPr>
            <w:rStyle w:val="Hyperlink"/>
          </w:rPr>
          <w:t>Figure 2</w:t>
        </w:r>
        <w:r w:rsidR="009E3A8A" w:rsidRPr="00922166">
          <w:rPr>
            <w:rStyle w:val="Hyperlink"/>
          </w:rPr>
          <w:noBreakHyphen/>
          <w:t>1</w:t>
        </w:r>
        <w:r w:rsidR="009E3A8A">
          <w:rPr>
            <w:rFonts w:asciiTheme="minorHAnsi" w:eastAsiaTheme="minorEastAsia" w:hAnsiTheme="minorHAnsi" w:cstheme="minorBidi"/>
            <w:sz w:val="22"/>
            <w:szCs w:val="22"/>
            <w:lang w:eastAsia="en-AU"/>
          </w:rPr>
          <w:tab/>
        </w:r>
        <w:r w:rsidR="009E3A8A" w:rsidRPr="00922166">
          <w:rPr>
            <w:rStyle w:val="Hyperlink"/>
          </w:rPr>
          <w:t>SES score timeline</w:t>
        </w:r>
        <w:r w:rsidR="009E3A8A">
          <w:rPr>
            <w:webHidden/>
          </w:rPr>
          <w:tab/>
        </w:r>
        <w:r w:rsidR="009E3A8A">
          <w:rPr>
            <w:webHidden/>
          </w:rPr>
          <w:fldChar w:fldCharType="begin"/>
        </w:r>
        <w:r w:rsidR="009E3A8A">
          <w:rPr>
            <w:webHidden/>
          </w:rPr>
          <w:instrText xml:space="preserve"> PAGEREF _Toc496803952 \h </w:instrText>
        </w:r>
        <w:r w:rsidR="009E3A8A">
          <w:rPr>
            <w:webHidden/>
          </w:rPr>
        </w:r>
        <w:r w:rsidR="009E3A8A">
          <w:rPr>
            <w:webHidden/>
          </w:rPr>
          <w:fldChar w:fldCharType="separate"/>
        </w:r>
        <w:r w:rsidR="00B52C11">
          <w:rPr>
            <w:webHidden/>
          </w:rPr>
          <w:t>5</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3" w:history="1">
        <w:r w:rsidR="009E3A8A" w:rsidRPr="00922166">
          <w:rPr>
            <w:rStyle w:val="Hyperlink"/>
          </w:rPr>
          <w:t>Figure 2</w:t>
        </w:r>
        <w:r w:rsidR="009E3A8A" w:rsidRPr="00922166">
          <w:rPr>
            <w:rStyle w:val="Hyperlink"/>
          </w:rPr>
          <w:noBreakHyphen/>
          <w:t>2</w:t>
        </w:r>
        <w:r w:rsidR="009E3A8A">
          <w:rPr>
            <w:rFonts w:asciiTheme="minorHAnsi" w:eastAsiaTheme="minorEastAsia" w:hAnsiTheme="minorHAnsi" w:cstheme="minorBidi"/>
            <w:sz w:val="22"/>
            <w:szCs w:val="22"/>
            <w:lang w:eastAsia="en-AU"/>
          </w:rPr>
          <w:tab/>
        </w:r>
        <w:r w:rsidR="009E3A8A" w:rsidRPr="00922166">
          <w:rPr>
            <w:rStyle w:val="Hyperlink"/>
          </w:rPr>
          <w:t>School SES score and funding as a per cent of the AGSRC</w:t>
        </w:r>
        <w:r w:rsidR="009E3A8A">
          <w:rPr>
            <w:webHidden/>
          </w:rPr>
          <w:tab/>
        </w:r>
        <w:r w:rsidR="009E3A8A">
          <w:rPr>
            <w:webHidden/>
          </w:rPr>
          <w:fldChar w:fldCharType="begin"/>
        </w:r>
        <w:r w:rsidR="009E3A8A">
          <w:rPr>
            <w:webHidden/>
          </w:rPr>
          <w:instrText xml:space="preserve"> PAGEREF _Toc496803953 \h </w:instrText>
        </w:r>
        <w:r w:rsidR="009E3A8A">
          <w:rPr>
            <w:webHidden/>
          </w:rPr>
        </w:r>
        <w:r w:rsidR="009E3A8A">
          <w:rPr>
            <w:webHidden/>
          </w:rPr>
          <w:fldChar w:fldCharType="separate"/>
        </w:r>
        <w:r w:rsidR="00B52C11">
          <w:rPr>
            <w:webHidden/>
          </w:rPr>
          <w:t>14</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4" w:history="1">
        <w:r w:rsidR="009E3A8A" w:rsidRPr="00922166">
          <w:rPr>
            <w:rStyle w:val="Hyperlink"/>
          </w:rPr>
          <w:t>Figure 2</w:t>
        </w:r>
        <w:r w:rsidR="009E3A8A" w:rsidRPr="00922166">
          <w:rPr>
            <w:rStyle w:val="Hyperlink"/>
          </w:rPr>
          <w:noBreakHyphen/>
          <w:t>3</w:t>
        </w:r>
        <w:r w:rsidR="009E3A8A">
          <w:rPr>
            <w:rFonts w:asciiTheme="minorHAnsi" w:eastAsiaTheme="minorEastAsia" w:hAnsiTheme="minorHAnsi" w:cstheme="minorBidi"/>
            <w:sz w:val="22"/>
            <w:szCs w:val="22"/>
            <w:lang w:eastAsia="en-AU"/>
          </w:rPr>
          <w:tab/>
        </w:r>
        <w:r w:rsidR="009E3A8A" w:rsidRPr="00922166">
          <w:rPr>
            <w:rStyle w:val="Hyperlink"/>
          </w:rPr>
          <w:t xml:space="preserve">Review of Funding for Schooling: Anticipated private contribution in </w:t>
        </w:r>
        <w:r w:rsidR="002263C4">
          <w:rPr>
            <w:rStyle w:val="Hyperlink"/>
          </w:rPr>
          <w:t>non</w:t>
        </w:r>
        <w:r w:rsidR="002263C4">
          <w:rPr>
            <w:rStyle w:val="Hyperlink"/>
          </w:rPr>
          <w:noBreakHyphen/>
          <w:t>government</w:t>
        </w:r>
        <w:r w:rsidR="009E3A8A" w:rsidRPr="00922166">
          <w:rPr>
            <w:rStyle w:val="Hyperlink"/>
          </w:rPr>
          <w:t xml:space="preserve"> schools</w:t>
        </w:r>
        <w:r w:rsidR="009E3A8A">
          <w:rPr>
            <w:webHidden/>
          </w:rPr>
          <w:tab/>
        </w:r>
        <w:r w:rsidR="009E3A8A">
          <w:rPr>
            <w:webHidden/>
          </w:rPr>
          <w:fldChar w:fldCharType="begin"/>
        </w:r>
        <w:r w:rsidR="009E3A8A">
          <w:rPr>
            <w:webHidden/>
          </w:rPr>
          <w:instrText xml:space="preserve"> PAGEREF _Toc496803954 \h </w:instrText>
        </w:r>
        <w:r w:rsidR="009E3A8A">
          <w:rPr>
            <w:webHidden/>
          </w:rPr>
        </w:r>
        <w:r w:rsidR="009E3A8A">
          <w:rPr>
            <w:webHidden/>
          </w:rPr>
          <w:fldChar w:fldCharType="separate"/>
        </w:r>
        <w:r w:rsidR="00B52C11">
          <w:rPr>
            <w:webHidden/>
          </w:rPr>
          <w:t>17</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5" w:history="1">
        <w:r w:rsidR="009E3A8A" w:rsidRPr="00922166">
          <w:rPr>
            <w:rStyle w:val="Hyperlink"/>
          </w:rPr>
          <w:t>Figure 2</w:t>
        </w:r>
        <w:r w:rsidR="009E3A8A" w:rsidRPr="00922166">
          <w:rPr>
            <w:rStyle w:val="Hyperlink"/>
          </w:rPr>
          <w:noBreakHyphen/>
          <w:t>5</w:t>
        </w:r>
        <w:r w:rsidR="009E3A8A">
          <w:rPr>
            <w:rFonts w:asciiTheme="minorHAnsi" w:eastAsiaTheme="minorEastAsia" w:hAnsiTheme="minorHAnsi" w:cstheme="minorBidi"/>
            <w:sz w:val="22"/>
            <w:szCs w:val="22"/>
            <w:lang w:eastAsia="en-AU"/>
          </w:rPr>
          <w:tab/>
        </w:r>
        <w:r w:rsidR="009E3A8A" w:rsidRPr="00922166">
          <w:rPr>
            <w:rStyle w:val="Hyperlink"/>
          </w:rPr>
          <w:t>School SES score and the capacity to contribute</w:t>
        </w:r>
        <w:r w:rsidR="009E3A8A">
          <w:rPr>
            <w:webHidden/>
          </w:rPr>
          <w:tab/>
        </w:r>
        <w:r w:rsidR="009E3A8A">
          <w:rPr>
            <w:webHidden/>
          </w:rPr>
          <w:fldChar w:fldCharType="begin"/>
        </w:r>
        <w:r w:rsidR="009E3A8A">
          <w:rPr>
            <w:webHidden/>
          </w:rPr>
          <w:instrText xml:space="preserve"> PAGEREF _Toc496803955 \h </w:instrText>
        </w:r>
        <w:r w:rsidR="009E3A8A">
          <w:rPr>
            <w:webHidden/>
          </w:rPr>
        </w:r>
        <w:r w:rsidR="009E3A8A">
          <w:rPr>
            <w:webHidden/>
          </w:rPr>
          <w:fldChar w:fldCharType="separate"/>
        </w:r>
        <w:r w:rsidR="00B52C11">
          <w:rPr>
            <w:webHidden/>
          </w:rPr>
          <w:t>18</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6" w:history="1">
        <w:r w:rsidR="009E3A8A" w:rsidRPr="00922166">
          <w:rPr>
            <w:rStyle w:val="Hyperlink"/>
          </w:rPr>
          <w:t>Figure 2</w:t>
        </w:r>
        <w:r w:rsidR="009E3A8A" w:rsidRPr="00922166">
          <w:rPr>
            <w:rStyle w:val="Hyperlink"/>
          </w:rPr>
          <w:noBreakHyphen/>
          <w:t>6</w:t>
        </w:r>
        <w:r w:rsidR="009E3A8A">
          <w:rPr>
            <w:rFonts w:asciiTheme="minorHAnsi" w:eastAsiaTheme="minorEastAsia" w:hAnsiTheme="minorHAnsi" w:cstheme="minorBidi"/>
            <w:sz w:val="22"/>
            <w:szCs w:val="22"/>
            <w:lang w:eastAsia="en-AU"/>
          </w:rPr>
          <w:tab/>
        </w:r>
        <w:r w:rsidR="009E3A8A" w:rsidRPr="00922166">
          <w:rPr>
            <w:rStyle w:val="Hyperlink"/>
          </w:rPr>
          <w:t>2018 base SRS per student funding rates applying capacity to contribute</w:t>
        </w:r>
        <w:r w:rsidR="009E3A8A">
          <w:rPr>
            <w:webHidden/>
          </w:rPr>
          <w:tab/>
        </w:r>
        <w:r w:rsidR="009E3A8A">
          <w:rPr>
            <w:webHidden/>
          </w:rPr>
          <w:fldChar w:fldCharType="begin"/>
        </w:r>
        <w:r w:rsidR="009E3A8A">
          <w:rPr>
            <w:webHidden/>
          </w:rPr>
          <w:instrText xml:space="preserve"> PAGEREF _Toc496803956 \h </w:instrText>
        </w:r>
        <w:r w:rsidR="009E3A8A">
          <w:rPr>
            <w:webHidden/>
          </w:rPr>
        </w:r>
        <w:r w:rsidR="009E3A8A">
          <w:rPr>
            <w:webHidden/>
          </w:rPr>
          <w:fldChar w:fldCharType="separate"/>
        </w:r>
        <w:r w:rsidR="00B52C11">
          <w:rPr>
            <w:webHidden/>
          </w:rPr>
          <w:t>19</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7" w:history="1">
        <w:r w:rsidR="009E3A8A" w:rsidRPr="00922166">
          <w:rPr>
            <w:rStyle w:val="Hyperlink"/>
          </w:rPr>
          <w:t>Figure 3</w:t>
        </w:r>
        <w:r w:rsidR="009E3A8A" w:rsidRPr="00922166">
          <w:rPr>
            <w:rStyle w:val="Hyperlink"/>
          </w:rPr>
          <w:noBreakHyphen/>
          <w:t>1</w:t>
        </w:r>
        <w:r w:rsidR="009E3A8A">
          <w:rPr>
            <w:rFonts w:asciiTheme="minorHAnsi" w:eastAsiaTheme="minorEastAsia" w:hAnsiTheme="minorHAnsi" w:cstheme="minorBidi"/>
            <w:sz w:val="22"/>
            <w:szCs w:val="22"/>
            <w:lang w:eastAsia="en-AU"/>
          </w:rPr>
          <w:tab/>
        </w:r>
        <w:r w:rsidR="009E3A8A" w:rsidRPr="00922166">
          <w:rPr>
            <w:rStyle w:val="Hyperlink"/>
          </w:rPr>
          <w:t>School SES score calculation process</w:t>
        </w:r>
        <w:r w:rsidR="009E3A8A">
          <w:rPr>
            <w:webHidden/>
          </w:rPr>
          <w:tab/>
        </w:r>
        <w:r w:rsidR="009E3A8A">
          <w:rPr>
            <w:webHidden/>
          </w:rPr>
          <w:fldChar w:fldCharType="begin"/>
        </w:r>
        <w:r w:rsidR="009E3A8A">
          <w:rPr>
            <w:webHidden/>
          </w:rPr>
          <w:instrText xml:space="preserve"> PAGEREF _Toc496803957 \h </w:instrText>
        </w:r>
        <w:r w:rsidR="009E3A8A">
          <w:rPr>
            <w:webHidden/>
          </w:rPr>
        </w:r>
        <w:r w:rsidR="009E3A8A">
          <w:rPr>
            <w:webHidden/>
          </w:rPr>
          <w:fldChar w:fldCharType="separate"/>
        </w:r>
        <w:r w:rsidR="00B52C11">
          <w:rPr>
            <w:webHidden/>
          </w:rPr>
          <w:t>22</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8" w:history="1">
        <w:r w:rsidR="009E3A8A" w:rsidRPr="00922166">
          <w:rPr>
            <w:rStyle w:val="Hyperlink"/>
          </w:rPr>
          <w:t>Figure 4</w:t>
        </w:r>
        <w:r w:rsidR="009E3A8A" w:rsidRPr="00922166">
          <w:rPr>
            <w:rStyle w:val="Hyperlink"/>
          </w:rPr>
          <w:noBreakHyphen/>
          <w:t>1</w:t>
        </w:r>
        <w:r w:rsidR="009E3A8A">
          <w:rPr>
            <w:rFonts w:asciiTheme="minorHAnsi" w:eastAsiaTheme="minorEastAsia" w:hAnsiTheme="minorHAnsi" w:cstheme="minorBidi"/>
            <w:sz w:val="22"/>
            <w:szCs w:val="22"/>
            <w:lang w:eastAsia="en-AU"/>
          </w:rPr>
          <w:tab/>
        </w:r>
        <w:r w:rsidR="009E3A8A" w:rsidRPr="00922166">
          <w:rPr>
            <w:rStyle w:val="Hyperlink"/>
          </w:rPr>
          <w:t>Elements for considering concerns and views on the SES score</w:t>
        </w:r>
        <w:r w:rsidR="009E3A8A">
          <w:rPr>
            <w:webHidden/>
          </w:rPr>
          <w:tab/>
        </w:r>
        <w:r w:rsidR="009E3A8A">
          <w:rPr>
            <w:webHidden/>
          </w:rPr>
          <w:fldChar w:fldCharType="begin"/>
        </w:r>
        <w:r w:rsidR="009E3A8A">
          <w:rPr>
            <w:webHidden/>
          </w:rPr>
          <w:instrText xml:space="preserve"> PAGEREF _Toc496803958 \h </w:instrText>
        </w:r>
        <w:r w:rsidR="009E3A8A">
          <w:rPr>
            <w:webHidden/>
          </w:rPr>
        </w:r>
        <w:r w:rsidR="009E3A8A">
          <w:rPr>
            <w:webHidden/>
          </w:rPr>
          <w:fldChar w:fldCharType="separate"/>
        </w:r>
        <w:r w:rsidR="00B52C11">
          <w:rPr>
            <w:webHidden/>
          </w:rPr>
          <w:t>27</w:t>
        </w:r>
        <w:r w:rsidR="009E3A8A">
          <w:rPr>
            <w:webHidden/>
          </w:rPr>
          <w:fldChar w:fldCharType="end"/>
        </w:r>
      </w:hyperlink>
    </w:p>
    <w:p w:rsidR="009E3A8A" w:rsidRDefault="0063193E">
      <w:pPr>
        <w:pStyle w:val="TableofFigures"/>
        <w:rPr>
          <w:rFonts w:asciiTheme="minorHAnsi" w:eastAsiaTheme="minorEastAsia" w:hAnsiTheme="minorHAnsi" w:cstheme="minorBidi"/>
          <w:sz w:val="22"/>
          <w:szCs w:val="22"/>
          <w:lang w:eastAsia="en-AU"/>
        </w:rPr>
      </w:pPr>
      <w:hyperlink w:anchor="_Toc496803959" w:history="1">
        <w:r w:rsidR="009E3A8A" w:rsidRPr="00922166">
          <w:rPr>
            <w:rStyle w:val="Hyperlink"/>
          </w:rPr>
          <w:t>Figure 4</w:t>
        </w:r>
        <w:r w:rsidR="009E3A8A" w:rsidRPr="00922166">
          <w:rPr>
            <w:rStyle w:val="Hyperlink"/>
          </w:rPr>
          <w:noBreakHyphen/>
          <w:t>2</w:t>
        </w:r>
        <w:r w:rsidR="009E3A8A">
          <w:rPr>
            <w:rFonts w:asciiTheme="minorHAnsi" w:eastAsiaTheme="minorEastAsia" w:hAnsiTheme="minorHAnsi" w:cstheme="minorBidi"/>
            <w:sz w:val="22"/>
            <w:szCs w:val="22"/>
            <w:lang w:eastAsia="en-AU"/>
          </w:rPr>
          <w:tab/>
        </w:r>
        <w:r w:rsidR="009E3A8A" w:rsidRPr="00922166">
          <w:rPr>
            <w:rStyle w:val="Hyperlink"/>
          </w:rPr>
          <w:t>Ecological fallacy: family income within an SA1 - conceptual example</w:t>
        </w:r>
        <w:r w:rsidR="009E3A8A">
          <w:rPr>
            <w:webHidden/>
          </w:rPr>
          <w:tab/>
        </w:r>
        <w:r w:rsidR="009E3A8A">
          <w:rPr>
            <w:webHidden/>
          </w:rPr>
          <w:fldChar w:fldCharType="begin"/>
        </w:r>
        <w:r w:rsidR="009E3A8A">
          <w:rPr>
            <w:webHidden/>
          </w:rPr>
          <w:instrText xml:space="preserve"> PAGEREF _Toc496803959 \h </w:instrText>
        </w:r>
        <w:r w:rsidR="009E3A8A">
          <w:rPr>
            <w:webHidden/>
          </w:rPr>
        </w:r>
        <w:r w:rsidR="009E3A8A">
          <w:rPr>
            <w:webHidden/>
          </w:rPr>
          <w:fldChar w:fldCharType="separate"/>
        </w:r>
        <w:r w:rsidR="00B52C11">
          <w:rPr>
            <w:webHidden/>
          </w:rPr>
          <w:t>31</w:t>
        </w:r>
        <w:r w:rsidR="009E3A8A">
          <w:rPr>
            <w:webHidden/>
          </w:rPr>
          <w:fldChar w:fldCharType="end"/>
        </w:r>
      </w:hyperlink>
    </w:p>
    <w:p w:rsidR="00D16919" w:rsidRDefault="00C658A2" w:rsidP="00C658A2">
      <w:pPr>
        <w:rPr>
          <w:b/>
          <w:bCs/>
          <w:noProof/>
          <w:lang w:val="en-US"/>
        </w:rPr>
      </w:pPr>
      <w:r>
        <w:rPr>
          <w:b/>
          <w:bCs/>
          <w:noProof/>
          <w:lang w:val="en-US"/>
        </w:rPr>
        <w:fldChar w:fldCharType="end"/>
      </w:r>
    </w:p>
    <w:p w:rsidR="00A8101A" w:rsidRDefault="00A8101A" w:rsidP="00C658A2">
      <w:pPr>
        <w:rPr>
          <w:b/>
          <w:bCs/>
          <w:noProof/>
          <w:lang w:val="en-US"/>
        </w:rPr>
      </w:pPr>
    </w:p>
    <w:p w:rsidR="00A8101A" w:rsidRDefault="00A8101A" w:rsidP="00C658A2">
      <w:pPr>
        <w:rPr>
          <w:b/>
          <w:bCs/>
          <w:noProof/>
          <w:lang w:val="en-US"/>
        </w:rPr>
        <w:sectPr w:rsidR="00A8101A" w:rsidSect="00950AEE">
          <w:headerReference w:type="even" r:id="rId24"/>
          <w:headerReference w:type="default" r:id="rId25"/>
          <w:footerReference w:type="default" r:id="rId26"/>
          <w:headerReference w:type="first" r:id="rId27"/>
          <w:pgSz w:w="11907" w:h="16839" w:code="9"/>
          <w:pgMar w:top="1440" w:right="1440" w:bottom="1440" w:left="1440" w:header="720" w:footer="720" w:gutter="0"/>
          <w:pgNumType w:fmt="lowerRoman" w:start="1"/>
          <w:cols w:space="720"/>
          <w:noEndnote/>
          <w:docGrid w:linePitch="326"/>
        </w:sectPr>
      </w:pPr>
    </w:p>
    <w:p w:rsidR="00A8101A" w:rsidRDefault="00A8101A" w:rsidP="00A8101A">
      <w:pPr>
        <w:pStyle w:val="HeadingTOC"/>
        <w:rPr>
          <w:noProof/>
          <w:lang w:val="en-US"/>
        </w:rPr>
      </w:pPr>
      <w:bookmarkStart w:id="14" w:name="_Toc496803875"/>
      <w:r>
        <w:rPr>
          <w:noProof/>
          <w:lang w:val="en-US"/>
        </w:rPr>
        <w:t>Acronyms</w:t>
      </w:r>
      <w:bookmarkEnd w:id="14"/>
    </w:p>
    <w:tbl>
      <w:tblPr>
        <w:tblStyle w:val="TableGrid"/>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Table: Acronyms"/>
        <w:tblDescription w:val="Table of acronyms found in the document. Column one (acronym). Column two (description)."/>
      </w:tblPr>
      <w:tblGrid>
        <w:gridCol w:w="2268"/>
        <w:gridCol w:w="6759"/>
      </w:tblGrid>
      <w:tr w:rsidR="008E309F" w:rsidTr="00E428D4">
        <w:trPr>
          <w:cnfStyle w:val="100000000000" w:firstRow="1" w:lastRow="0" w:firstColumn="0" w:lastColumn="0" w:oddVBand="0" w:evenVBand="0" w:oddHBand="0" w:evenHBand="0" w:firstRowFirstColumn="0" w:firstRowLastColumn="0" w:lastRowFirstColumn="0" w:lastRowLastColumn="0"/>
          <w:tblHeader/>
        </w:trPr>
        <w:tc>
          <w:tcPr>
            <w:tcW w:w="2268" w:type="dxa"/>
          </w:tcPr>
          <w:p w:rsidR="008E309F" w:rsidRPr="0035120D" w:rsidRDefault="008E309F" w:rsidP="00E636BB">
            <w:pPr>
              <w:pStyle w:val="Tablegridtext"/>
              <w:rPr>
                <w:b/>
                <w:noProof/>
                <w:lang w:val="en-US"/>
              </w:rPr>
            </w:pPr>
            <w:r w:rsidRPr="0035120D">
              <w:rPr>
                <w:b/>
                <w:noProof/>
                <w:lang w:val="en-US"/>
              </w:rPr>
              <w:t>Acronym</w:t>
            </w:r>
          </w:p>
        </w:tc>
        <w:tc>
          <w:tcPr>
            <w:tcW w:w="6759" w:type="dxa"/>
          </w:tcPr>
          <w:p w:rsidR="008E309F" w:rsidRPr="0035120D" w:rsidRDefault="008E309F" w:rsidP="00E636BB">
            <w:pPr>
              <w:pStyle w:val="Tablegridtext"/>
              <w:rPr>
                <w:b/>
                <w:noProof/>
                <w:lang w:val="en-US"/>
              </w:rPr>
            </w:pPr>
            <w:r w:rsidRPr="0035120D">
              <w:rPr>
                <w:b/>
                <w:noProof/>
                <w:lang w:val="en-US"/>
              </w:rPr>
              <w:t>Description</w:t>
            </w:r>
          </w:p>
        </w:tc>
      </w:tr>
      <w:tr w:rsidR="00A8101A" w:rsidTr="00A8101A">
        <w:tc>
          <w:tcPr>
            <w:tcW w:w="2268" w:type="dxa"/>
          </w:tcPr>
          <w:p w:rsidR="00A8101A" w:rsidRDefault="0013166B" w:rsidP="00E636BB">
            <w:pPr>
              <w:pStyle w:val="Tablegridtext"/>
              <w:rPr>
                <w:noProof/>
                <w:lang w:val="en-US"/>
              </w:rPr>
            </w:pPr>
            <w:r>
              <w:rPr>
                <w:noProof/>
                <w:lang w:val="en-US"/>
              </w:rPr>
              <w:t>ABS</w:t>
            </w:r>
          </w:p>
        </w:tc>
        <w:tc>
          <w:tcPr>
            <w:tcW w:w="6759" w:type="dxa"/>
          </w:tcPr>
          <w:p w:rsidR="00A8101A" w:rsidRDefault="0013166B" w:rsidP="00E636BB">
            <w:pPr>
              <w:pStyle w:val="Tablegridtext"/>
              <w:rPr>
                <w:noProof/>
                <w:lang w:val="en-US"/>
              </w:rPr>
            </w:pPr>
            <w:r>
              <w:rPr>
                <w:noProof/>
                <w:lang w:val="en-US"/>
              </w:rPr>
              <w:t>Australian Bureau of Statistics</w:t>
            </w:r>
          </w:p>
        </w:tc>
      </w:tr>
      <w:tr w:rsidR="001E6252" w:rsidTr="00A8101A">
        <w:tc>
          <w:tcPr>
            <w:tcW w:w="2268" w:type="dxa"/>
          </w:tcPr>
          <w:p w:rsidR="001E6252" w:rsidRDefault="001E6252" w:rsidP="00E636BB">
            <w:pPr>
              <w:pStyle w:val="Tablegridtext"/>
              <w:rPr>
                <w:noProof/>
                <w:lang w:val="en-US"/>
              </w:rPr>
            </w:pPr>
            <w:r>
              <w:rPr>
                <w:noProof/>
                <w:lang w:val="en-US"/>
              </w:rPr>
              <w:t>ACARA</w:t>
            </w:r>
          </w:p>
        </w:tc>
        <w:tc>
          <w:tcPr>
            <w:tcW w:w="6759" w:type="dxa"/>
          </w:tcPr>
          <w:p w:rsidR="001E6252" w:rsidRPr="00EB1961" w:rsidRDefault="001E6252" w:rsidP="00E636BB">
            <w:pPr>
              <w:pStyle w:val="Tablegridtext"/>
              <w:rPr>
                <w:noProof/>
                <w:lang w:val="en-US"/>
              </w:rPr>
            </w:pPr>
            <w:r w:rsidRPr="001E6252">
              <w:rPr>
                <w:noProof/>
                <w:lang w:val="en-US"/>
              </w:rPr>
              <w:t>Australian Curriculum, Assessment and Reporting Authority</w:t>
            </w:r>
          </w:p>
        </w:tc>
      </w:tr>
      <w:tr w:rsidR="00A8101A" w:rsidTr="00A8101A">
        <w:tc>
          <w:tcPr>
            <w:tcW w:w="2268" w:type="dxa"/>
          </w:tcPr>
          <w:p w:rsidR="00A8101A" w:rsidRDefault="00EB1961" w:rsidP="00E636BB">
            <w:pPr>
              <w:pStyle w:val="Tablegridtext"/>
              <w:rPr>
                <w:noProof/>
                <w:lang w:val="en-US"/>
              </w:rPr>
            </w:pPr>
            <w:r>
              <w:rPr>
                <w:noProof/>
                <w:lang w:val="en-US"/>
              </w:rPr>
              <w:t>AGSRC</w:t>
            </w:r>
          </w:p>
        </w:tc>
        <w:tc>
          <w:tcPr>
            <w:tcW w:w="6759" w:type="dxa"/>
          </w:tcPr>
          <w:p w:rsidR="00A8101A" w:rsidRDefault="00EB1961" w:rsidP="00E636BB">
            <w:pPr>
              <w:pStyle w:val="Tablegridtext"/>
              <w:rPr>
                <w:noProof/>
                <w:lang w:val="en-US"/>
              </w:rPr>
            </w:pPr>
            <w:r w:rsidRPr="00EB1961">
              <w:rPr>
                <w:noProof/>
                <w:lang w:val="en-US"/>
              </w:rPr>
              <w:t>Average Government School Recurrent Costs</w:t>
            </w:r>
          </w:p>
        </w:tc>
      </w:tr>
      <w:tr w:rsidR="00EC0572" w:rsidTr="00A8101A">
        <w:tc>
          <w:tcPr>
            <w:tcW w:w="2268" w:type="dxa"/>
          </w:tcPr>
          <w:p w:rsidR="00EC0572" w:rsidRDefault="00EC0572" w:rsidP="00E636BB">
            <w:pPr>
              <w:pStyle w:val="Tablegridtext"/>
              <w:rPr>
                <w:noProof/>
                <w:lang w:val="en-US"/>
              </w:rPr>
            </w:pPr>
            <w:r>
              <w:rPr>
                <w:noProof/>
                <w:lang w:val="en-US"/>
              </w:rPr>
              <w:t>ASCO</w:t>
            </w:r>
          </w:p>
        </w:tc>
        <w:tc>
          <w:tcPr>
            <w:tcW w:w="6759" w:type="dxa"/>
          </w:tcPr>
          <w:p w:rsidR="00EC0572" w:rsidRDefault="00EC0572" w:rsidP="00E636BB">
            <w:pPr>
              <w:pStyle w:val="Tablegridtext"/>
              <w:rPr>
                <w:noProof/>
                <w:lang w:val="en-US"/>
              </w:rPr>
            </w:pPr>
            <w:r w:rsidRPr="006F6455">
              <w:t>Australian Standard Classification of Occupations</w:t>
            </w:r>
          </w:p>
        </w:tc>
      </w:tr>
      <w:tr w:rsidR="00EC0572" w:rsidTr="00A8101A">
        <w:tc>
          <w:tcPr>
            <w:tcW w:w="2268" w:type="dxa"/>
          </w:tcPr>
          <w:p w:rsidR="00EC0572" w:rsidRDefault="00EC0572" w:rsidP="00E636BB">
            <w:pPr>
              <w:pStyle w:val="Tablegridtext"/>
              <w:rPr>
                <w:noProof/>
                <w:lang w:val="en-US"/>
              </w:rPr>
            </w:pPr>
            <w:r w:rsidRPr="00EC0572">
              <w:rPr>
                <w:noProof/>
                <w:lang w:val="en-US"/>
              </w:rPr>
              <w:t>ANZSCO</w:t>
            </w:r>
          </w:p>
        </w:tc>
        <w:tc>
          <w:tcPr>
            <w:tcW w:w="6759" w:type="dxa"/>
          </w:tcPr>
          <w:p w:rsidR="00EC0572" w:rsidRDefault="00EC0572" w:rsidP="00A31866">
            <w:pPr>
              <w:pStyle w:val="Tablegridtext"/>
              <w:rPr>
                <w:noProof/>
                <w:lang w:val="en-US"/>
              </w:rPr>
            </w:pPr>
            <w:r w:rsidRPr="00EC0572">
              <w:rPr>
                <w:noProof/>
                <w:lang w:val="en-US"/>
              </w:rPr>
              <w:t xml:space="preserve">Australian and New Zealand Standard Classification of Occupations </w:t>
            </w:r>
          </w:p>
        </w:tc>
      </w:tr>
      <w:tr w:rsidR="009A76CD" w:rsidTr="00A8101A">
        <w:tc>
          <w:tcPr>
            <w:tcW w:w="2268" w:type="dxa"/>
          </w:tcPr>
          <w:p w:rsidR="009A76CD" w:rsidRDefault="009A76CD" w:rsidP="00E636BB">
            <w:pPr>
              <w:pStyle w:val="Tablegridtext"/>
              <w:rPr>
                <w:noProof/>
                <w:lang w:val="en-US"/>
              </w:rPr>
            </w:pPr>
            <w:r>
              <w:rPr>
                <w:noProof/>
                <w:lang w:val="en-US"/>
              </w:rPr>
              <w:t>ATO</w:t>
            </w:r>
          </w:p>
        </w:tc>
        <w:tc>
          <w:tcPr>
            <w:tcW w:w="6759" w:type="dxa"/>
          </w:tcPr>
          <w:p w:rsidR="009A76CD" w:rsidRPr="00EB1961" w:rsidRDefault="009A76CD" w:rsidP="00E636BB">
            <w:pPr>
              <w:pStyle w:val="Tablegridtext"/>
              <w:rPr>
                <w:noProof/>
                <w:lang w:val="en-US"/>
              </w:rPr>
            </w:pPr>
            <w:r>
              <w:rPr>
                <w:noProof/>
                <w:lang w:val="en-US"/>
              </w:rPr>
              <w:t>Australian Taxation Office</w:t>
            </w:r>
          </w:p>
        </w:tc>
      </w:tr>
      <w:tr w:rsidR="00A8101A" w:rsidTr="00A8101A">
        <w:tc>
          <w:tcPr>
            <w:tcW w:w="2268" w:type="dxa"/>
          </w:tcPr>
          <w:p w:rsidR="00A8101A" w:rsidRDefault="00A8101A" w:rsidP="00E636BB">
            <w:pPr>
              <w:pStyle w:val="Tablegridtext"/>
              <w:rPr>
                <w:noProof/>
                <w:lang w:val="en-US"/>
              </w:rPr>
            </w:pPr>
            <w:r>
              <w:rPr>
                <w:noProof/>
                <w:lang w:val="en-US"/>
              </w:rPr>
              <w:t>CD</w:t>
            </w:r>
          </w:p>
        </w:tc>
        <w:tc>
          <w:tcPr>
            <w:tcW w:w="6759" w:type="dxa"/>
          </w:tcPr>
          <w:p w:rsidR="00A8101A" w:rsidRDefault="00A8101A" w:rsidP="00E636BB">
            <w:pPr>
              <w:pStyle w:val="Tablegridtext"/>
              <w:rPr>
                <w:noProof/>
                <w:lang w:val="en-US"/>
              </w:rPr>
            </w:pPr>
            <w:r>
              <w:rPr>
                <w:noProof/>
                <w:lang w:val="en-US"/>
              </w:rPr>
              <w:t>Census Collection District</w:t>
            </w:r>
          </w:p>
        </w:tc>
      </w:tr>
      <w:tr w:rsidR="00E636BB" w:rsidTr="00A8101A">
        <w:tc>
          <w:tcPr>
            <w:tcW w:w="2268" w:type="dxa"/>
          </w:tcPr>
          <w:p w:rsidR="00E636BB" w:rsidRDefault="00E636BB" w:rsidP="00E636BB">
            <w:pPr>
              <w:pStyle w:val="Tablegridtext"/>
              <w:rPr>
                <w:noProof/>
                <w:lang w:val="en-US"/>
              </w:rPr>
            </w:pPr>
            <w:r>
              <w:rPr>
                <w:noProof/>
                <w:lang w:val="en-US"/>
              </w:rPr>
              <w:t>Census</w:t>
            </w:r>
          </w:p>
        </w:tc>
        <w:tc>
          <w:tcPr>
            <w:tcW w:w="6759" w:type="dxa"/>
          </w:tcPr>
          <w:p w:rsidR="00E636BB" w:rsidRPr="00EB1961" w:rsidRDefault="00E636BB" w:rsidP="00E636BB">
            <w:pPr>
              <w:pStyle w:val="Tablegridtext"/>
              <w:rPr>
                <w:noProof/>
                <w:lang w:val="en-US"/>
              </w:rPr>
            </w:pPr>
            <w:r>
              <w:t>Census of Population and Housing</w:t>
            </w:r>
          </w:p>
        </w:tc>
      </w:tr>
      <w:tr w:rsidR="00EB1961" w:rsidTr="00A8101A">
        <w:tc>
          <w:tcPr>
            <w:tcW w:w="2268" w:type="dxa"/>
          </w:tcPr>
          <w:p w:rsidR="00EB1961" w:rsidRDefault="00EB1961" w:rsidP="00E636BB">
            <w:pPr>
              <w:pStyle w:val="Tablegridtext"/>
              <w:rPr>
                <w:noProof/>
                <w:lang w:val="en-US"/>
              </w:rPr>
            </w:pPr>
            <w:r>
              <w:rPr>
                <w:noProof/>
                <w:lang w:val="en-US"/>
              </w:rPr>
              <w:t>DET</w:t>
            </w:r>
          </w:p>
        </w:tc>
        <w:tc>
          <w:tcPr>
            <w:tcW w:w="6759" w:type="dxa"/>
          </w:tcPr>
          <w:p w:rsidR="00EB1961" w:rsidRPr="00416418" w:rsidRDefault="00EB1961" w:rsidP="00E636BB">
            <w:pPr>
              <w:pStyle w:val="Tablegridtext"/>
              <w:rPr>
                <w:noProof/>
                <w:lang w:val="en-US"/>
              </w:rPr>
            </w:pPr>
            <w:r w:rsidRPr="00EB1961">
              <w:rPr>
                <w:noProof/>
                <w:lang w:val="en-US"/>
              </w:rPr>
              <w:t>Australian Government Department of Education and Training</w:t>
            </w:r>
          </w:p>
        </w:tc>
      </w:tr>
      <w:tr w:rsidR="00416418" w:rsidTr="00A8101A">
        <w:tc>
          <w:tcPr>
            <w:tcW w:w="2268" w:type="dxa"/>
          </w:tcPr>
          <w:p w:rsidR="00416418" w:rsidRDefault="00416418" w:rsidP="00E636BB">
            <w:pPr>
              <w:pStyle w:val="Tablegridtext"/>
              <w:rPr>
                <w:noProof/>
                <w:lang w:val="en-US"/>
              </w:rPr>
            </w:pPr>
            <w:r>
              <w:rPr>
                <w:noProof/>
                <w:lang w:val="en-US"/>
              </w:rPr>
              <w:t>ERI</w:t>
            </w:r>
          </w:p>
        </w:tc>
        <w:tc>
          <w:tcPr>
            <w:tcW w:w="6759" w:type="dxa"/>
          </w:tcPr>
          <w:p w:rsidR="00416418" w:rsidRPr="00440B43" w:rsidRDefault="00416418" w:rsidP="00E636BB">
            <w:pPr>
              <w:pStyle w:val="Tablegridtext"/>
              <w:rPr>
                <w:noProof/>
                <w:lang w:val="en-US"/>
              </w:rPr>
            </w:pPr>
            <w:r w:rsidRPr="00416418">
              <w:rPr>
                <w:noProof/>
                <w:lang w:val="en-US"/>
              </w:rPr>
              <w:t>Education Resources Index</w:t>
            </w:r>
          </w:p>
        </w:tc>
      </w:tr>
      <w:tr w:rsidR="001103E3" w:rsidTr="00A8101A">
        <w:tc>
          <w:tcPr>
            <w:tcW w:w="2268" w:type="dxa"/>
          </w:tcPr>
          <w:p w:rsidR="001103E3" w:rsidRDefault="001103E3" w:rsidP="00E636BB">
            <w:pPr>
              <w:pStyle w:val="Tablegridtext"/>
              <w:rPr>
                <w:noProof/>
                <w:lang w:val="en-US"/>
              </w:rPr>
            </w:pPr>
            <w:r>
              <w:rPr>
                <w:noProof/>
                <w:lang w:val="en-US"/>
              </w:rPr>
              <w:t>FQ</w:t>
            </w:r>
          </w:p>
        </w:tc>
        <w:tc>
          <w:tcPr>
            <w:tcW w:w="6759" w:type="dxa"/>
          </w:tcPr>
          <w:p w:rsidR="001103E3" w:rsidRPr="00440B43" w:rsidRDefault="001103E3" w:rsidP="00E636BB">
            <w:pPr>
              <w:pStyle w:val="Tablegridtext"/>
              <w:rPr>
                <w:noProof/>
                <w:lang w:val="en-US"/>
              </w:rPr>
            </w:pPr>
            <w:r w:rsidRPr="001103E3">
              <w:rPr>
                <w:noProof/>
                <w:lang w:val="en-US"/>
              </w:rPr>
              <w:t>Financial Questionnaire</w:t>
            </w:r>
          </w:p>
        </w:tc>
      </w:tr>
      <w:tr w:rsidR="00315346" w:rsidTr="00A8101A">
        <w:tc>
          <w:tcPr>
            <w:tcW w:w="2268" w:type="dxa"/>
          </w:tcPr>
          <w:p w:rsidR="00315346" w:rsidRDefault="00315346" w:rsidP="00E636BB">
            <w:pPr>
              <w:pStyle w:val="Tablegridtext"/>
              <w:rPr>
                <w:noProof/>
                <w:lang w:val="en-US"/>
              </w:rPr>
            </w:pPr>
            <w:r>
              <w:rPr>
                <w:noProof/>
                <w:lang w:val="en-US"/>
              </w:rPr>
              <w:t>HILDA</w:t>
            </w:r>
          </w:p>
        </w:tc>
        <w:tc>
          <w:tcPr>
            <w:tcW w:w="6759" w:type="dxa"/>
          </w:tcPr>
          <w:p w:rsidR="00315346" w:rsidRPr="00440B43" w:rsidRDefault="00315346" w:rsidP="00E636BB">
            <w:pPr>
              <w:pStyle w:val="Tablegridtext"/>
              <w:rPr>
                <w:noProof/>
                <w:lang w:val="en-US"/>
              </w:rPr>
            </w:pPr>
            <w:r w:rsidRPr="00315346">
              <w:rPr>
                <w:noProof/>
                <w:lang w:val="en-US"/>
              </w:rPr>
              <w:t>Household, Income and Labour Dynamics in Australia Survey</w:t>
            </w:r>
          </w:p>
        </w:tc>
      </w:tr>
      <w:tr w:rsidR="00A8101A" w:rsidTr="00A8101A">
        <w:tc>
          <w:tcPr>
            <w:tcW w:w="2268" w:type="dxa"/>
          </w:tcPr>
          <w:p w:rsidR="00A8101A" w:rsidRDefault="00440B43" w:rsidP="00E636BB">
            <w:pPr>
              <w:pStyle w:val="Tablegridtext"/>
              <w:rPr>
                <w:noProof/>
                <w:lang w:val="en-US"/>
              </w:rPr>
            </w:pPr>
            <w:r>
              <w:rPr>
                <w:noProof/>
                <w:lang w:val="en-US"/>
              </w:rPr>
              <w:t>ICSEA</w:t>
            </w:r>
          </w:p>
        </w:tc>
        <w:tc>
          <w:tcPr>
            <w:tcW w:w="6759" w:type="dxa"/>
          </w:tcPr>
          <w:p w:rsidR="00A8101A" w:rsidRDefault="00440B43" w:rsidP="00E636BB">
            <w:pPr>
              <w:pStyle w:val="Tablegridtext"/>
              <w:rPr>
                <w:noProof/>
                <w:lang w:val="en-US"/>
              </w:rPr>
            </w:pPr>
            <w:r w:rsidRPr="00440B43">
              <w:rPr>
                <w:noProof/>
                <w:lang w:val="en-US"/>
              </w:rPr>
              <w:t>Index of Communit</w:t>
            </w:r>
            <w:r>
              <w:rPr>
                <w:noProof/>
                <w:lang w:val="en-US"/>
              </w:rPr>
              <w:t>y Socio-Educational Advantage</w:t>
            </w:r>
          </w:p>
        </w:tc>
      </w:tr>
      <w:tr w:rsidR="00D63A71" w:rsidTr="00A8101A">
        <w:tc>
          <w:tcPr>
            <w:tcW w:w="2268" w:type="dxa"/>
          </w:tcPr>
          <w:p w:rsidR="00D63A71" w:rsidRDefault="00D63A71" w:rsidP="00E636BB">
            <w:pPr>
              <w:pStyle w:val="Tablegridtext"/>
              <w:rPr>
                <w:noProof/>
                <w:lang w:val="en-US"/>
              </w:rPr>
            </w:pPr>
            <w:r>
              <w:rPr>
                <w:noProof/>
                <w:lang w:val="en-US"/>
              </w:rPr>
              <w:t>IRSAD</w:t>
            </w:r>
          </w:p>
        </w:tc>
        <w:tc>
          <w:tcPr>
            <w:tcW w:w="6759" w:type="dxa"/>
          </w:tcPr>
          <w:p w:rsidR="00D63A71" w:rsidRPr="00902C5B" w:rsidRDefault="00D63A71" w:rsidP="00E636BB">
            <w:pPr>
              <w:pStyle w:val="Tablegridtext"/>
            </w:pPr>
            <w:r w:rsidRPr="00D63A71">
              <w:t>Index of Relative Socio-economic Advantage and Disadvantage</w:t>
            </w:r>
          </w:p>
        </w:tc>
      </w:tr>
      <w:tr w:rsidR="00D63A71" w:rsidTr="00A8101A">
        <w:tc>
          <w:tcPr>
            <w:tcW w:w="2268" w:type="dxa"/>
          </w:tcPr>
          <w:p w:rsidR="00D63A71" w:rsidRDefault="00D63A71" w:rsidP="00E636BB">
            <w:pPr>
              <w:pStyle w:val="Tablegridtext"/>
              <w:rPr>
                <w:noProof/>
                <w:lang w:val="en-US"/>
              </w:rPr>
            </w:pPr>
            <w:r>
              <w:rPr>
                <w:noProof/>
                <w:lang w:val="en-US"/>
              </w:rPr>
              <w:t>IRSD</w:t>
            </w:r>
          </w:p>
        </w:tc>
        <w:tc>
          <w:tcPr>
            <w:tcW w:w="6759" w:type="dxa"/>
          </w:tcPr>
          <w:p w:rsidR="00D63A71" w:rsidRPr="00902C5B" w:rsidRDefault="00D63A71" w:rsidP="00E636BB">
            <w:pPr>
              <w:pStyle w:val="Tablegridtext"/>
            </w:pPr>
            <w:r w:rsidRPr="00D63A71">
              <w:t>Index of Relative Socio-economic Disadvantage</w:t>
            </w:r>
          </w:p>
        </w:tc>
      </w:tr>
      <w:tr w:rsidR="00DA3A17" w:rsidTr="00A8101A">
        <w:tc>
          <w:tcPr>
            <w:tcW w:w="2268" w:type="dxa"/>
          </w:tcPr>
          <w:p w:rsidR="00DA3A17" w:rsidRDefault="00DA3A17" w:rsidP="00E636BB">
            <w:pPr>
              <w:pStyle w:val="Tablegridtext"/>
              <w:rPr>
                <w:noProof/>
                <w:lang w:val="en-US"/>
              </w:rPr>
            </w:pPr>
            <w:r>
              <w:rPr>
                <w:noProof/>
                <w:lang w:val="en-US"/>
              </w:rPr>
              <w:t>LSAC</w:t>
            </w:r>
          </w:p>
        </w:tc>
        <w:tc>
          <w:tcPr>
            <w:tcW w:w="6759" w:type="dxa"/>
          </w:tcPr>
          <w:p w:rsidR="00DA3A17" w:rsidRPr="00902C5B" w:rsidRDefault="00DA3A17" w:rsidP="00E636BB">
            <w:pPr>
              <w:pStyle w:val="Tablegridtext"/>
            </w:pPr>
            <w:r w:rsidRPr="00DA3A17">
              <w:t>Longitudinal Study of Australian Children</w:t>
            </w:r>
          </w:p>
        </w:tc>
      </w:tr>
      <w:tr w:rsidR="00902C5B" w:rsidTr="00A8101A">
        <w:tc>
          <w:tcPr>
            <w:tcW w:w="2268" w:type="dxa"/>
          </w:tcPr>
          <w:p w:rsidR="00902C5B" w:rsidRDefault="00902C5B" w:rsidP="00E636BB">
            <w:pPr>
              <w:pStyle w:val="Tablegridtext"/>
              <w:rPr>
                <w:noProof/>
                <w:lang w:val="en-US"/>
              </w:rPr>
            </w:pPr>
            <w:r>
              <w:rPr>
                <w:noProof/>
                <w:lang w:val="en-US"/>
              </w:rPr>
              <w:t>LSAY</w:t>
            </w:r>
          </w:p>
        </w:tc>
        <w:tc>
          <w:tcPr>
            <w:tcW w:w="6759" w:type="dxa"/>
          </w:tcPr>
          <w:p w:rsidR="00902C5B" w:rsidRDefault="00902C5B" w:rsidP="00E636BB">
            <w:pPr>
              <w:pStyle w:val="Tablegridtext"/>
            </w:pPr>
            <w:r w:rsidRPr="00902C5B">
              <w:t>Longitudinal Survey</w:t>
            </w:r>
            <w:r>
              <w:t>s</w:t>
            </w:r>
            <w:r w:rsidRPr="00902C5B">
              <w:t xml:space="preserve"> of Australian Youth</w:t>
            </w:r>
          </w:p>
        </w:tc>
      </w:tr>
      <w:tr w:rsidR="00C3742C" w:rsidTr="00A8101A">
        <w:tc>
          <w:tcPr>
            <w:tcW w:w="2268" w:type="dxa"/>
          </w:tcPr>
          <w:p w:rsidR="00C3742C" w:rsidRDefault="00C3742C" w:rsidP="00E636BB">
            <w:pPr>
              <w:pStyle w:val="Tablegridtext"/>
              <w:rPr>
                <w:noProof/>
                <w:lang w:val="en-US"/>
              </w:rPr>
            </w:pPr>
            <w:r>
              <w:rPr>
                <w:noProof/>
                <w:lang w:val="en-US"/>
              </w:rPr>
              <w:t>PCA</w:t>
            </w:r>
          </w:p>
        </w:tc>
        <w:tc>
          <w:tcPr>
            <w:tcW w:w="6759" w:type="dxa"/>
          </w:tcPr>
          <w:p w:rsidR="00C3742C" w:rsidRPr="00047D45" w:rsidRDefault="00C3742C" w:rsidP="00E636BB">
            <w:pPr>
              <w:pStyle w:val="Tablegridtext"/>
              <w:rPr>
                <w:noProof/>
                <w:lang w:val="en-US"/>
              </w:rPr>
            </w:pPr>
            <w:r>
              <w:t>Principal components analysis</w:t>
            </w:r>
          </w:p>
        </w:tc>
      </w:tr>
      <w:tr w:rsidR="00416418" w:rsidTr="00A8101A">
        <w:tc>
          <w:tcPr>
            <w:tcW w:w="2268" w:type="dxa"/>
          </w:tcPr>
          <w:p w:rsidR="00416418" w:rsidRDefault="00047D45" w:rsidP="00E636BB">
            <w:pPr>
              <w:pStyle w:val="Tablegridtext"/>
              <w:rPr>
                <w:noProof/>
                <w:lang w:val="en-US"/>
              </w:rPr>
            </w:pPr>
            <w:r>
              <w:rPr>
                <w:noProof/>
                <w:lang w:val="en-US"/>
              </w:rPr>
              <w:t>SA1</w:t>
            </w:r>
          </w:p>
        </w:tc>
        <w:tc>
          <w:tcPr>
            <w:tcW w:w="6759" w:type="dxa"/>
          </w:tcPr>
          <w:p w:rsidR="00416418" w:rsidRPr="00440B43" w:rsidRDefault="00047D45" w:rsidP="00E636BB">
            <w:pPr>
              <w:pStyle w:val="Tablegridtext"/>
              <w:rPr>
                <w:noProof/>
                <w:lang w:val="en-US"/>
              </w:rPr>
            </w:pPr>
            <w:r w:rsidRPr="00047D45">
              <w:rPr>
                <w:noProof/>
                <w:lang w:val="en-US"/>
              </w:rPr>
              <w:t>Statistical Areas Level 1</w:t>
            </w:r>
          </w:p>
        </w:tc>
      </w:tr>
      <w:tr w:rsidR="00C4798D" w:rsidTr="00A8101A">
        <w:tc>
          <w:tcPr>
            <w:tcW w:w="2268" w:type="dxa"/>
          </w:tcPr>
          <w:p w:rsidR="00C4798D" w:rsidRDefault="00C4798D" w:rsidP="00E636BB">
            <w:pPr>
              <w:pStyle w:val="Tablegridtext"/>
              <w:rPr>
                <w:noProof/>
                <w:lang w:val="en-US"/>
              </w:rPr>
            </w:pPr>
            <w:r>
              <w:rPr>
                <w:noProof/>
                <w:lang w:val="en-US"/>
              </w:rPr>
              <w:t>SA3</w:t>
            </w:r>
          </w:p>
        </w:tc>
        <w:tc>
          <w:tcPr>
            <w:tcW w:w="6759" w:type="dxa"/>
          </w:tcPr>
          <w:p w:rsidR="00C4798D" w:rsidRPr="00932484" w:rsidRDefault="00C4798D" w:rsidP="00E636BB">
            <w:pPr>
              <w:pStyle w:val="Tablegridtext"/>
            </w:pPr>
            <w:r w:rsidRPr="00047D45">
              <w:rPr>
                <w:noProof/>
                <w:lang w:val="en-US"/>
              </w:rPr>
              <w:t xml:space="preserve">Statistical Areas Level </w:t>
            </w:r>
            <w:r>
              <w:rPr>
                <w:noProof/>
                <w:lang w:val="en-US"/>
              </w:rPr>
              <w:t>3</w:t>
            </w:r>
          </w:p>
        </w:tc>
      </w:tr>
      <w:tr w:rsidR="00932484" w:rsidTr="00A8101A">
        <w:tc>
          <w:tcPr>
            <w:tcW w:w="2268" w:type="dxa"/>
          </w:tcPr>
          <w:p w:rsidR="00932484" w:rsidRDefault="00932484" w:rsidP="00E636BB">
            <w:pPr>
              <w:pStyle w:val="Tablegridtext"/>
              <w:rPr>
                <w:noProof/>
                <w:lang w:val="en-US"/>
              </w:rPr>
            </w:pPr>
            <w:r>
              <w:rPr>
                <w:noProof/>
                <w:lang w:val="en-US"/>
              </w:rPr>
              <w:t>SEIFA</w:t>
            </w:r>
          </w:p>
        </w:tc>
        <w:tc>
          <w:tcPr>
            <w:tcW w:w="6759" w:type="dxa"/>
          </w:tcPr>
          <w:p w:rsidR="00932484" w:rsidRDefault="00932484" w:rsidP="00E636BB">
            <w:pPr>
              <w:pStyle w:val="Tablegridtext"/>
              <w:rPr>
                <w:noProof/>
                <w:lang w:val="en-US"/>
              </w:rPr>
            </w:pPr>
            <w:r w:rsidRPr="00932484">
              <w:t>Socio-Economic Indexes for Areas</w:t>
            </w:r>
          </w:p>
        </w:tc>
      </w:tr>
      <w:tr w:rsidR="004D3F74" w:rsidTr="00A8101A">
        <w:tc>
          <w:tcPr>
            <w:tcW w:w="2268" w:type="dxa"/>
          </w:tcPr>
          <w:p w:rsidR="004D3F74" w:rsidRDefault="004D3F74" w:rsidP="00E636BB">
            <w:pPr>
              <w:pStyle w:val="Tablegridtext"/>
              <w:rPr>
                <w:noProof/>
                <w:lang w:val="en-US"/>
              </w:rPr>
            </w:pPr>
            <w:r>
              <w:rPr>
                <w:noProof/>
                <w:lang w:val="en-US"/>
              </w:rPr>
              <w:t>SEIFI</w:t>
            </w:r>
          </w:p>
        </w:tc>
        <w:tc>
          <w:tcPr>
            <w:tcW w:w="6759" w:type="dxa"/>
          </w:tcPr>
          <w:p w:rsidR="004D3F74" w:rsidRDefault="004D3F74" w:rsidP="00E636BB">
            <w:pPr>
              <w:pStyle w:val="Tablegridtext"/>
              <w:rPr>
                <w:noProof/>
                <w:lang w:val="en-US"/>
              </w:rPr>
            </w:pPr>
            <w:r w:rsidRPr="00932484">
              <w:t xml:space="preserve">Socio-Economic Indexes for </w:t>
            </w:r>
            <w:r>
              <w:t>Individuals</w:t>
            </w:r>
          </w:p>
        </w:tc>
      </w:tr>
      <w:tr w:rsidR="00A8101A" w:rsidTr="00A8101A">
        <w:tc>
          <w:tcPr>
            <w:tcW w:w="2268" w:type="dxa"/>
          </w:tcPr>
          <w:p w:rsidR="00A8101A" w:rsidRDefault="00416418" w:rsidP="00E636BB">
            <w:pPr>
              <w:pStyle w:val="Tablegridtext"/>
              <w:rPr>
                <w:noProof/>
                <w:lang w:val="en-US"/>
              </w:rPr>
            </w:pPr>
            <w:r>
              <w:rPr>
                <w:noProof/>
                <w:lang w:val="en-US"/>
              </w:rPr>
              <w:t>SES</w:t>
            </w:r>
          </w:p>
        </w:tc>
        <w:tc>
          <w:tcPr>
            <w:tcW w:w="6759" w:type="dxa"/>
          </w:tcPr>
          <w:p w:rsidR="00A8101A" w:rsidRDefault="00416418" w:rsidP="00E636BB">
            <w:pPr>
              <w:pStyle w:val="Tablegridtext"/>
              <w:rPr>
                <w:noProof/>
                <w:lang w:val="en-US"/>
              </w:rPr>
            </w:pPr>
            <w:r>
              <w:rPr>
                <w:noProof/>
                <w:lang w:val="en-US"/>
              </w:rPr>
              <w:t>Socio-economic status</w:t>
            </w:r>
          </w:p>
        </w:tc>
      </w:tr>
      <w:tr w:rsidR="0043421B" w:rsidTr="00A8101A">
        <w:tc>
          <w:tcPr>
            <w:tcW w:w="2268" w:type="dxa"/>
          </w:tcPr>
          <w:p w:rsidR="0043421B" w:rsidRDefault="0043421B" w:rsidP="00E636BB">
            <w:pPr>
              <w:pStyle w:val="Tablegridtext"/>
              <w:rPr>
                <w:noProof/>
                <w:lang w:val="en-US"/>
              </w:rPr>
            </w:pPr>
            <w:r>
              <w:rPr>
                <w:noProof/>
                <w:lang w:val="en-US"/>
              </w:rPr>
              <w:t>SIH</w:t>
            </w:r>
          </w:p>
        </w:tc>
        <w:tc>
          <w:tcPr>
            <w:tcW w:w="6759" w:type="dxa"/>
          </w:tcPr>
          <w:p w:rsidR="0043421B" w:rsidRDefault="0043421B" w:rsidP="00E636BB">
            <w:pPr>
              <w:pStyle w:val="Tablegridtext"/>
              <w:rPr>
                <w:noProof/>
                <w:lang w:val="en-US"/>
              </w:rPr>
            </w:pPr>
            <w:r w:rsidRPr="0043421B">
              <w:rPr>
                <w:noProof/>
                <w:lang w:val="en-US"/>
              </w:rPr>
              <w:t>Survey of Income and Housing</w:t>
            </w:r>
          </w:p>
        </w:tc>
      </w:tr>
      <w:tr w:rsidR="00A8101A" w:rsidTr="00A8101A">
        <w:tc>
          <w:tcPr>
            <w:tcW w:w="2268" w:type="dxa"/>
          </w:tcPr>
          <w:p w:rsidR="00A8101A" w:rsidRDefault="00335940" w:rsidP="00E636BB">
            <w:pPr>
              <w:pStyle w:val="Tablegridtext"/>
              <w:rPr>
                <w:noProof/>
                <w:lang w:val="en-US"/>
              </w:rPr>
            </w:pPr>
            <w:r>
              <w:rPr>
                <w:noProof/>
                <w:lang w:val="en-US"/>
              </w:rPr>
              <w:t>SRS</w:t>
            </w:r>
          </w:p>
        </w:tc>
        <w:tc>
          <w:tcPr>
            <w:tcW w:w="6759" w:type="dxa"/>
          </w:tcPr>
          <w:p w:rsidR="00A8101A" w:rsidRDefault="00335940" w:rsidP="00E636BB">
            <w:pPr>
              <w:pStyle w:val="Tablegridtext"/>
              <w:rPr>
                <w:noProof/>
                <w:lang w:val="en-US"/>
              </w:rPr>
            </w:pPr>
            <w:r>
              <w:rPr>
                <w:noProof/>
                <w:lang w:val="en-US"/>
              </w:rPr>
              <w:t>Schooling Resource Standard</w:t>
            </w:r>
          </w:p>
        </w:tc>
      </w:tr>
      <w:tr w:rsidR="00DC0AD8" w:rsidTr="00A8101A">
        <w:tc>
          <w:tcPr>
            <w:tcW w:w="2268" w:type="dxa"/>
          </w:tcPr>
          <w:p w:rsidR="00DC0AD8" w:rsidRDefault="00DC0AD8" w:rsidP="00E636BB">
            <w:pPr>
              <w:pStyle w:val="Tablegridtext"/>
              <w:rPr>
                <w:noProof/>
                <w:lang w:val="en-US"/>
              </w:rPr>
            </w:pPr>
            <w:r>
              <w:rPr>
                <w:noProof/>
                <w:lang w:val="en-US"/>
              </w:rPr>
              <w:t>TFN</w:t>
            </w:r>
          </w:p>
        </w:tc>
        <w:tc>
          <w:tcPr>
            <w:tcW w:w="6759" w:type="dxa"/>
          </w:tcPr>
          <w:p w:rsidR="00DC0AD8" w:rsidRDefault="00DC0AD8" w:rsidP="00E636BB">
            <w:pPr>
              <w:pStyle w:val="Tablegridtext"/>
              <w:rPr>
                <w:noProof/>
                <w:lang w:val="en-US"/>
              </w:rPr>
            </w:pPr>
            <w:r>
              <w:rPr>
                <w:noProof/>
                <w:lang w:val="en-US"/>
              </w:rPr>
              <w:t>Tax File Number</w:t>
            </w:r>
          </w:p>
        </w:tc>
      </w:tr>
    </w:tbl>
    <w:p w:rsidR="00A8101A" w:rsidRDefault="00A8101A" w:rsidP="00C658A2"/>
    <w:p w:rsidR="00835CD9" w:rsidRDefault="00835CD9" w:rsidP="00C44628">
      <w:pPr>
        <w:sectPr w:rsidR="00835CD9" w:rsidSect="00083254">
          <w:pgSz w:w="11907" w:h="16839" w:code="9"/>
          <w:pgMar w:top="1440" w:right="1440" w:bottom="1440" w:left="1440" w:header="720" w:footer="720" w:gutter="0"/>
          <w:pgNumType w:fmt="lowerRoman"/>
          <w:cols w:space="720"/>
          <w:noEndnote/>
          <w:docGrid w:linePitch="326"/>
        </w:sectPr>
      </w:pPr>
    </w:p>
    <w:p w:rsidR="00AA5264" w:rsidRPr="00662CDF" w:rsidRDefault="00AA5264" w:rsidP="00165C42">
      <w:pPr>
        <w:pStyle w:val="Heading11"/>
      </w:pPr>
      <w:bookmarkStart w:id="15" w:name="_Toc481431393"/>
      <w:bookmarkStart w:id="16" w:name="_Toc496803876"/>
      <w:r w:rsidRPr="006242E5">
        <w:t>Introduction</w:t>
      </w:r>
      <w:bookmarkEnd w:id="15"/>
      <w:bookmarkEnd w:id="16"/>
    </w:p>
    <w:p w:rsidR="00EB1961" w:rsidRDefault="0076688E" w:rsidP="0077310C">
      <w:pPr>
        <w:spacing w:after="240"/>
      </w:pPr>
      <w:r>
        <w:t xml:space="preserve">The Centre for International Research on Education Systems (CIRES) at Victoria University has been commissioned by the Australian </w:t>
      </w:r>
      <w:r w:rsidR="00EB1961">
        <w:t xml:space="preserve">Government </w:t>
      </w:r>
      <w:r>
        <w:t xml:space="preserve">Department of Education and Training (DET) to prepare a research paper on the </w:t>
      </w:r>
      <w:r w:rsidR="00695B33">
        <w:t>Socio-Economic Status (</w:t>
      </w:r>
      <w:r>
        <w:t>SES</w:t>
      </w:r>
      <w:r w:rsidR="00695B33">
        <w:t>)</w:t>
      </w:r>
      <w:r>
        <w:t xml:space="preserve"> </w:t>
      </w:r>
      <w:r w:rsidR="00695B33">
        <w:t>s</w:t>
      </w:r>
      <w:r>
        <w:t>core</w:t>
      </w:r>
      <w:r w:rsidR="00695B33">
        <w:t xml:space="preserve"> methodology</w:t>
      </w:r>
      <w:r>
        <w:t xml:space="preserve">. The SES </w:t>
      </w:r>
      <w:r w:rsidR="00695B33">
        <w:t>s</w:t>
      </w:r>
      <w:r>
        <w:t xml:space="preserve">core is used </w:t>
      </w:r>
      <w:r w:rsidR="00EB1961">
        <w:t xml:space="preserve">in the </w:t>
      </w:r>
      <w:r w:rsidR="00F071AA">
        <w:t>allocat</w:t>
      </w:r>
      <w:r w:rsidR="00EB1961">
        <w:t>ion of</w:t>
      </w:r>
      <w:r w:rsidR="00F071AA">
        <w:t xml:space="preserve"> </w:t>
      </w:r>
      <w:r>
        <w:t xml:space="preserve">Australian Government </w:t>
      </w:r>
      <w:r w:rsidR="00695B33">
        <w:t xml:space="preserve">recurrent </w:t>
      </w:r>
      <w:r>
        <w:t xml:space="preserve">funding to </w:t>
      </w:r>
      <w:r w:rsidR="002263C4">
        <w:t>non</w:t>
      </w:r>
      <w:r w:rsidR="002263C4">
        <w:noBreakHyphen/>
        <w:t>government</w:t>
      </w:r>
      <w:r>
        <w:t xml:space="preserve"> schools. </w:t>
      </w:r>
    </w:p>
    <w:p w:rsidR="00EC0572" w:rsidRDefault="00EC0572" w:rsidP="00EC0572">
      <w:r>
        <w:t xml:space="preserve">This research paper </w:t>
      </w:r>
      <w:r w:rsidRPr="00695B33">
        <w:t>provide</w:t>
      </w:r>
      <w:r>
        <w:t>s</w:t>
      </w:r>
      <w:r w:rsidRPr="00695B33">
        <w:t xml:space="preserve"> a stocktake of </w:t>
      </w:r>
      <w:r>
        <w:t xml:space="preserve">development </w:t>
      </w:r>
      <w:r w:rsidRPr="00695B33">
        <w:t>activities</w:t>
      </w:r>
      <w:r>
        <w:t xml:space="preserve"> since the SES score was conceived in 1996, and subsequently used to allocate recurrent funding from 2001. The paper then synthesises stakeholder </w:t>
      </w:r>
      <w:r w:rsidRPr="00695B33">
        <w:t>issues and views</w:t>
      </w:r>
      <w:r>
        <w:t xml:space="preserve"> on the SES score,</w:t>
      </w:r>
      <w:r w:rsidRPr="00695B33">
        <w:t xml:space="preserve"> and </w:t>
      </w:r>
      <w:r>
        <w:t xml:space="preserve">identifies areas for possible further exploration. </w:t>
      </w:r>
    </w:p>
    <w:p w:rsidR="004F15FE" w:rsidRDefault="004F15FE" w:rsidP="004F15FE">
      <w:pPr>
        <w:pStyle w:val="Heading2"/>
      </w:pPr>
      <w:bookmarkStart w:id="17" w:name="_Toc493598455"/>
      <w:bookmarkStart w:id="18" w:name="_Toc495409757"/>
      <w:bookmarkStart w:id="19" w:name="_Toc496792747"/>
      <w:bookmarkStart w:id="20" w:name="_Toc496803877"/>
      <w:r>
        <w:t>Report context and objectives</w:t>
      </w:r>
      <w:bookmarkEnd w:id="17"/>
      <w:bookmarkEnd w:id="18"/>
      <w:bookmarkEnd w:id="19"/>
      <w:bookmarkEnd w:id="20"/>
    </w:p>
    <w:p w:rsidR="004F15FE" w:rsidRDefault="004F15FE" w:rsidP="004F15FE">
      <w:pPr>
        <w:pStyle w:val="Heading3"/>
      </w:pPr>
      <w:bookmarkStart w:id="21" w:name="_Toc493598456"/>
      <w:bookmarkStart w:id="22" w:name="_Toc495409758"/>
      <w:bookmarkStart w:id="23" w:name="_Toc496792748"/>
      <w:bookmarkStart w:id="24" w:name="_Toc496803878"/>
      <w:r>
        <w:t xml:space="preserve">The role of the Australian Government in funding </w:t>
      </w:r>
      <w:r w:rsidR="002263C4">
        <w:t>non</w:t>
      </w:r>
      <w:r w:rsidR="002263C4">
        <w:noBreakHyphen/>
        <w:t>government</w:t>
      </w:r>
      <w:r>
        <w:t xml:space="preserve"> schools</w:t>
      </w:r>
      <w:bookmarkEnd w:id="21"/>
      <w:bookmarkEnd w:id="22"/>
      <w:bookmarkEnd w:id="23"/>
      <w:bookmarkEnd w:id="24"/>
    </w:p>
    <w:p w:rsidR="004F15FE" w:rsidRDefault="004F15FE" w:rsidP="004F15FE">
      <w:r>
        <w:t xml:space="preserve">The Australian Government first </w:t>
      </w:r>
      <w:r w:rsidR="00156D56">
        <w:t xml:space="preserve">began providing recurrent </w:t>
      </w:r>
      <w:r w:rsidR="00EB1961">
        <w:t xml:space="preserve">per-student funding </w:t>
      </w:r>
      <w:r w:rsidR="00156D56">
        <w:t xml:space="preserve">to </w:t>
      </w:r>
      <w:r w:rsidR="002263C4">
        <w:t>non</w:t>
      </w:r>
      <w:r w:rsidR="002263C4">
        <w:noBreakHyphen/>
        <w:t>government</w:t>
      </w:r>
      <w:r w:rsidR="00156D56">
        <w:t xml:space="preserve"> schools in 1970. This funding varied on the basis of </w:t>
      </w:r>
      <w:r w:rsidR="00BC7532">
        <w:t xml:space="preserve">whether students were </w:t>
      </w:r>
      <w:r w:rsidR="00156D56">
        <w:t>primary or secondary, and was fixed from 1973 at 20 per cent of the cost of educating a child in a governmen</w:t>
      </w:r>
      <w:r w:rsidR="003033BE">
        <w:t xml:space="preserve">t school. </w:t>
      </w:r>
      <w:r w:rsidR="00BC7532">
        <w:t>In 1974, a</w:t>
      </w:r>
      <w:r w:rsidR="003033BE">
        <w:t xml:space="preserve"> needs-based funding approach was implemented</w:t>
      </w:r>
      <w:r w:rsidR="00BC7532">
        <w:t xml:space="preserve"> </w:t>
      </w:r>
      <w:r w:rsidR="00B204DF">
        <w:t>with</w:t>
      </w:r>
      <w:r w:rsidR="00BC7532">
        <w:t xml:space="preserve"> </w:t>
      </w:r>
      <w:r w:rsidR="003033BE">
        <w:t xml:space="preserve">schools classified into </w:t>
      </w:r>
      <w:r w:rsidR="00AB7C1C">
        <w:t>eight</w:t>
      </w:r>
      <w:r w:rsidR="003033BE">
        <w:t xml:space="preserve"> categories</w:t>
      </w:r>
      <w:r w:rsidR="00AB7C1C">
        <w:t xml:space="preserve">; this was reduced to </w:t>
      </w:r>
      <w:r w:rsidR="003033BE">
        <w:t xml:space="preserve">six categories in 1976, and </w:t>
      </w:r>
      <w:r w:rsidR="00EB1961">
        <w:t xml:space="preserve">then </w:t>
      </w:r>
      <w:r w:rsidR="003033BE">
        <w:t xml:space="preserve">three categories in 1982. </w:t>
      </w:r>
    </w:p>
    <w:p w:rsidR="003033BE" w:rsidRPr="003033BE" w:rsidRDefault="003033BE" w:rsidP="003033BE">
      <w:r>
        <w:t xml:space="preserve">The Australian Government </w:t>
      </w:r>
      <w:r w:rsidR="00EB1961">
        <w:t xml:space="preserve">method of </w:t>
      </w:r>
      <w:r>
        <w:t xml:space="preserve">funding </w:t>
      </w:r>
      <w:r w:rsidR="002263C4">
        <w:t>non</w:t>
      </w:r>
      <w:r w:rsidR="002263C4">
        <w:noBreakHyphen/>
        <w:t>government</w:t>
      </w:r>
      <w:r>
        <w:t xml:space="preserve"> schools changed </w:t>
      </w:r>
      <w:r w:rsidR="00CF617B">
        <w:t>again</w:t>
      </w:r>
      <w:r>
        <w:t xml:space="preserve"> in 1985 with the introduction of the </w:t>
      </w:r>
      <w:r w:rsidRPr="003033BE">
        <w:t>Education Resources Index (ERI)</w:t>
      </w:r>
      <w:r>
        <w:t xml:space="preserve">. Individual schools were allocated to one of 12 </w:t>
      </w:r>
      <w:r w:rsidR="0099493C">
        <w:t xml:space="preserve">funding categories on the basis of school financial resources. </w:t>
      </w:r>
      <w:r w:rsidR="00EB1961">
        <w:t>Between 1985 and 1993 t</w:t>
      </w:r>
      <w:r w:rsidR="0099493C">
        <w:t>he funding rates within these categories were based on an estimated community standard</w:t>
      </w:r>
      <w:r w:rsidR="00EB1961">
        <w:t xml:space="preserve"> resource level</w:t>
      </w:r>
      <w:r w:rsidR="0099493C">
        <w:t xml:space="preserve">. From 1993, the </w:t>
      </w:r>
      <w:r w:rsidR="0099493C" w:rsidRPr="0099493C">
        <w:t>Average Government School Recurrent Costs</w:t>
      </w:r>
      <w:r w:rsidR="0099493C">
        <w:t xml:space="preserve"> (AGSRC) was used to develop funding rates</w:t>
      </w:r>
      <w:r w:rsidR="00BC7532">
        <w:t xml:space="preserve"> </w:t>
      </w:r>
      <w:sdt>
        <w:sdtPr>
          <w:id w:val="141708667"/>
          <w:citation/>
        </w:sdtPr>
        <w:sdtContent>
          <w:r w:rsidR="00BC7532">
            <w:fldChar w:fldCharType="begin"/>
          </w:r>
          <w:r w:rsidR="00BC7532">
            <w:instrText xml:space="preserve"> CITATION The11 \l 3081 </w:instrText>
          </w:r>
          <w:r w:rsidR="00BC7532">
            <w:fldChar w:fldCharType="separate"/>
          </w:r>
          <w:r w:rsidR="005333F5">
            <w:rPr>
              <w:noProof/>
            </w:rPr>
            <w:t>(The Allen Consulting Group, 2011)</w:t>
          </w:r>
          <w:r w:rsidR="00BC7532">
            <w:fldChar w:fldCharType="end"/>
          </w:r>
        </w:sdtContent>
      </w:sdt>
      <w:r w:rsidR="0099493C">
        <w:t xml:space="preserve">.  </w:t>
      </w:r>
    </w:p>
    <w:p w:rsidR="004F15FE" w:rsidRDefault="004F15FE" w:rsidP="004F15FE">
      <w:pPr>
        <w:pStyle w:val="Heading3"/>
      </w:pPr>
      <w:bookmarkStart w:id="25" w:name="_Toc493598457"/>
      <w:bookmarkStart w:id="26" w:name="_Toc495409759"/>
      <w:bookmarkStart w:id="27" w:name="_Toc496792749"/>
      <w:bookmarkStart w:id="28" w:name="_Toc496803879"/>
      <w:r>
        <w:t>The purpose and application of the SES score</w:t>
      </w:r>
      <w:bookmarkEnd w:id="25"/>
      <w:bookmarkEnd w:id="26"/>
      <w:bookmarkEnd w:id="27"/>
      <w:bookmarkEnd w:id="28"/>
      <w:r w:rsidR="003033BE">
        <w:t xml:space="preserve"> </w:t>
      </w:r>
    </w:p>
    <w:p w:rsidR="007B1177" w:rsidRDefault="0099493C" w:rsidP="00695B33">
      <w:r>
        <w:t xml:space="preserve">In 1997, </w:t>
      </w:r>
      <w:r w:rsidR="002A0A85">
        <w:t xml:space="preserve">stakeholder </w:t>
      </w:r>
      <w:r w:rsidR="00CF617B">
        <w:t>c</w:t>
      </w:r>
      <w:r>
        <w:t xml:space="preserve">oncern over the effectiveness and appropriateness of the ERI </w:t>
      </w:r>
      <w:r w:rsidR="00EB1961">
        <w:t xml:space="preserve">funding approach </w:t>
      </w:r>
      <w:r>
        <w:t xml:space="preserve">led to </w:t>
      </w:r>
      <w:r w:rsidR="00EB1961">
        <w:t xml:space="preserve">the search for </w:t>
      </w:r>
      <w:r>
        <w:t xml:space="preserve">an alternative method for allocating funding to </w:t>
      </w:r>
      <w:r w:rsidR="002263C4">
        <w:t>non</w:t>
      </w:r>
      <w:r w:rsidR="002263C4">
        <w:noBreakHyphen/>
        <w:t>government</w:t>
      </w:r>
      <w:r>
        <w:t xml:space="preserve"> schools. It was </w:t>
      </w:r>
      <w:r w:rsidR="00EC0572">
        <w:t xml:space="preserve">decided </w:t>
      </w:r>
      <w:r w:rsidR="00EB1961">
        <w:t xml:space="preserve">by the Australian Government </w:t>
      </w:r>
      <w:r>
        <w:t xml:space="preserve">that a new approach should be based on the </w:t>
      </w:r>
      <w:r w:rsidR="00861443">
        <w:t xml:space="preserve">capacity of </w:t>
      </w:r>
      <w:r w:rsidR="002263C4">
        <w:t>non</w:t>
      </w:r>
      <w:r w:rsidR="002263C4">
        <w:noBreakHyphen/>
        <w:t>government</w:t>
      </w:r>
      <w:r w:rsidR="00861443">
        <w:t xml:space="preserve"> school communities to contribute to the operating costs of </w:t>
      </w:r>
      <w:r w:rsidR="00EB1961">
        <w:t xml:space="preserve">their </w:t>
      </w:r>
      <w:r w:rsidR="00861443">
        <w:t xml:space="preserve">schools. </w:t>
      </w:r>
      <w:r>
        <w:t>This resulted in the development of the SES score, which was implemented in 2001</w:t>
      </w:r>
      <w:r w:rsidR="00324690">
        <w:t xml:space="preserve"> for independent schools</w:t>
      </w:r>
      <w:r w:rsidR="00EC0572">
        <w:t>, and from 2005 for Catholic systemic schools</w:t>
      </w:r>
      <w:r>
        <w:t xml:space="preserve">. </w:t>
      </w:r>
    </w:p>
    <w:p w:rsidR="007B1177" w:rsidRDefault="007B1177" w:rsidP="007B1177">
      <w:r>
        <w:t xml:space="preserve">Between 2001 and 2013, the SES score </w:t>
      </w:r>
      <w:r w:rsidR="00A8101A">
        <w:t>was used to determine</w:t>
      </w:r>
      <w:r>
        <w:t xml:space="preserve"> </w:t>
      </w:r>
      <w:r w:rsidR="00CF617B">
        <w:t>the</w:t>
      </w:r>
      <w:r>
        <w:t xml:space="preserve"> percent</w:t>
      </w:r>
      <w:r w:rsidR="00A8101A">
        <w:t>age</w:t>
      </w:r>
      <w:r>
        <w:t xml:space="preserve"> of the AGSRC a </w:t>
      </w:r>
      <w:r w:rsidR="002263C4">
        <w:t>non</w:t>
      </w:r>
      <w:r w:rsidR="002263C4">
        <w:noBreakHyphen/>
        <w:t>government</w:t>
      </w:r>
      <w:r>
        <w:t xml:space="preserve"> school </w:t>
      </w:r>
      <w:r w:rsidR="00B647D1">
        <w:t>received</w:t>
      </w:r>
      <w:r>
        <w:t xml:space="preserve"> from the Australian Government. </w:t>
      </w:r>
      <w:r w:rsidR="00A8101A">
        <w:t>Since</w:t>
      </w:r>
      <w:r>
        <w:t xml:space="preserve"> </w:t>
      </w:r>
      <w:r w:rsidR="00EC0572">
        <w:t>2014</w:t>
      </w:r>
      <w:r>
        <w:t xml:space="preserve">, and following the Review of Funding for Schooling, the SES score </w:t>
      </w:r>
      <w:r w:rsidR="00A8101A">
        <w:t xml:space="preserve">has been applied to capacity to contribute arrangements, to </w:t>
      </w:r>
      <w:r>
        <w:t xml:space="preserve">discount the base Schooling Resource Standard (SRS) per student amount received by </w:t>
      </w:r>
      <w:r w:rsidR="002263C4">
        <w:t>non</w:t>
      </w:r>
      <w:r w:rsidR="002263C4">
        <w:noBreakHyphen/>
        <w:t>government</w:t>
      </w:r>
      <w:r>
        <w:t xml:space="preserve"> schools.</w:t>
      </w:r>
      <w:r w:rsidR="003033BE">
        <w:t xml:space="preserve"> </w:t>
      </w:r>
    </w:p>
    <w:p w:rsidR="00AB7C1C" w:rsidRDefault="00C03E7E" w:rsidP="00695B33">
      <w:r>
        <w:t>A</w:t>
      </w:r>
      <w:r w:rsidR="00EB1961">
        <w:t xml:space="preserve"> school’s</w:t>
      </w:r>
      <w:r>
        <w:t xml:space="preserve"> SES score is calculated using </w:t>
      </w:r>
      <w:r w:rsidR="00A108A5">
        <w:t xml:space="preserve">area-based </w:t>
      </w:r>
      <w:r>
        <w:t xml:space="preserve">data on the </w:t>
      </w:r>
      <w:r w:rsidR="002427BE">
        <w:t>characteristics</w:t>
      </w:r>
      <w:r>
        <w:t xml:space="preserve"> of where </w:t>
      </w:r>
      <w:r w:rsidR="00EB1961">
        <w:t xml:space="preserve">its </w:t>
      </w:r>
      <w:r>
        <w:t>students</w:t>
      </w:r>
      <w:r w:rsidR="00EB1961">
        <w:t xml:space="preserve"> live</w:t>
      </w:r>
      <w:r>
        <w:t xml:space="preserve">. SES is measured using </w:t>
      </w:r>
      <w:r w:rsidR="00CF617B">
        <w:t xml:space="preserve">Australian Bureau of Statistics </w:t>
      </w:r>
      <w:r w:rsidR="00324690">
        <w:t xml:space="preserve">(ABS) </w:t>
      </w:r>
      <w:r w:rsidR="00CF617B">
        <w:t xml:space="preserve">Census </w:t>
      </w:r>
      <w:r>
        <w:t xml:space="preserve">data on the occupation, education level and income of all people </w:t>
      </w:r>
      <w:r w:rsidR="00EB1961">
        <w:t>living</w:t>
      </w:r>
      <w:r>
        <w:t xml:space="preserve"> in these areas. </w:t>
      </w:r>
      <w:r w:rsidR="00AB7C1C">
        <w:t>According to the most recent available data, from</w:t>
      </w:r>
      <w:r>
        <w:t xml:space="preserve"> 2016 </w:t>
      </w:r>
      <w:r w:rsidR="00324690">
        <w:t xml:space="preserve">2,578 </w:t>
      </w:r>
      <w:r w:rsidR="002263C4">
        <w:t>non</w:t>
      </w:r>
      <w:r w:rsidR="002263C4">
        <w:noBreakHyphen/>
        <w:t>government</w:t>
      </w:r>
      <w:r w:rsidR="00324690">
        <w:t xml:space="preserve"> schools have </w:t>
      </w:r>
      <w:r>
        <w:t xml:space="preserve">SES scores, ranging from </w:t>
      </w:r>
      <w:r w:rsidR="003276D3">
        <w:t>73</w:t>
      </w:r>
      <w:r>
        <w:t xml:space="preserve"> (low SES) through to 131 (high SES). The median value is 99, with scores not estimated for </w:t>
      </w:r>
      <w:r w:rsidR="003276D3">
        <w:t>192</w:t>
      </w:r>
      <w:r>
        <w:t xml:space="preserve"> schools.</w:t>
      </w:r>
      <w:r w:rsidR="00B0204E">
        <w:t xml:space="preserve"> These 192 schools are exempt due to being </w:t>
      </w:r>
      <w:r w:rsidR="00636777">
        <w:t xml:space="preserve">either a </w:t>
      </w:r>
      <w:r w:rsidR="00B0204E">
        <w:t>majority Aboriginal and Torres Strait Islander school, special school</w:t>
      </w:r>
      <w:r w:rsidR="00636777">
        <w:t xml:space="preserve">, special assistance school, or sole provider school. </w:t>
      </w:r>
      <w:r>
        <w:t xml:space="preserve"> </w:t>
      </w:r>
    </w:p>
    <w:p w:rsidR="007B1177" w:rsidRDefault="003276D3" w:rsidP="00695B33">
      <w:r>
        <w:t>Schools that are part of a system are currently provided a</w:t>
      </w:r>
      <w:r w:rsidR="00A108A5">
        <w:t>n</w:t>
      </w:r>
      <w:r>
        <w:t xml:space="preserve"> </w:t>
      </w:r>
      <w:r w:rsidR="00A108A5">
        <w:t>enrolment</w:t>
      </w:r>
      <w:r>
        <w:t>-weighted system SES score</w:t>
      </w:r>
      <w:r w:rsidR="00EF63C9">
        <w:t xml:space="preserve">, </w:t>
      </w:r>
      <w:r w:rsidR="00A108A5">
        <w:t>with</w:t>
      </w:r>
      <w:r w:rsidR="00EF63C9">
        <w:t xml:space="preserve"> school systems allocat</w:t>
      </w:r>
      <w:r w:rsidR="00A108A5">
        <w:t>ing funding</w:t>
      </w:r>
      <w:r w:rsidR="00324690">
        <w:t xml:space="preserve"> using their own needs-based distribution arrangements</w:t>
      </w:r>
      <w:r w:rsidR="00EF63C9">
        <w:t xml:space="preserve">. </w:t>
      </w:r>
      <w:r w:rsidR="00EB1961">
        <w:t xml:space="preserve">From 2018, systems will be funded on the basis of individual school SES scores. </w:t>
      </w:r>
    </w:p>
    <w:p w:rsidR="0099493C" w:rsidRDefault="0099493C" w:rsidP="0099493C">
      <w:r>
        <w:t xml:space="preserve">Although the application of the SES score in allocating Australian </w:t>
      </w:r>
      <w:r w:rsidR="002427BE">
        <w:t>G</w:t>
      </w:r>
      <w:r>
        <w:t xml:space="preserve">overnment recurrent funding to </w:t>
      </w:r>
      <w:r w:rsidR="002263C4">
        <w:t>non</w:t>
      </w:r>
      <w:r w:rsidR="002263C4">
        <w:noBreakHyphen/>
        <w:t>government</w:t>
      </w:r>
      <w:r>
        <w:t xml:space="preserve"> schools has changed since 2001, </w:t>
      </w:r>
      <w:r w:rsidR="00CF617B">
        <w:t>the SES score</w:t>
      </w:r>
      <w:r>
        <w:t xml:space="preserve"> has maintained its original </w:t>
      </w:r>
      <w:r w:rsidR="00EB1961">
        <w:t>intent</w:t>
      </w:r>
      <w:r>
        <w:t xml:space="preserve"> of measuring the capacity to contribute.</w:t>
      </w:r>
    </w:p>
    <w:p w:rsidR="00861443" w:rsidRDefault="00CF617B" w:rsidP="00BD28D3">
      <w:r>
        <w:t>T</w:t>
      </w:r>
      <w:r w:rsidR="00861443">
        <w:t xml:space="preserve">he SES score has periodically </w:t>
      </w:r>
      <w:r w:rsidR="00BD28D3">
        <w:t xml:space="preserve">been </w:t>
      </w:r>
      <w:r w:rsidR="00861443">
        <w:t>the subject of public discussion</w:t>
      </w:r>
      <w:r>
        <w:t xml:space="preserve">, most significantly in </w:t>
      </w:r>
      <w:r w:rsidR="00861443">
        <w:t xml:space="preserve">2011 </w:t>
      </w:r>
      <w:r>
        <w:t xml:space="preserve">when </w:t>
      </w:r>
      <w:r w:rsidR="00861443">
        <w:t xml:space="preserve">the Review of Funding for Schooling </w:t>
      </w:r>
      <w:r w:rsidR="00BD28D3">
        <w:t xml:space="preserve">raised concerns about the appropriateness of the SES score for assessing the capacity to contribute. This concern led to the Review’s </w:t>
      </w:r>
      <w:r w:rsidR="00AB7C1C">
        <w:t>R</w:t>
      </w:r>
      <w:r w:rsidR="00BD28D3">
        <w:t xml:space="preserve">ecommendation </w:t>
      </w:r>
      <w:r w:rsidR="00324690">
        <w:t>3—t</w:t>
      </w:r>
      <w:r w:rsidR="00BD28D3">
        <w:t xml:space="preserve">hat the </w:t>
      </w:r>
      <w:r w:rsidR="00861443">
        <w:t>Australian Government examine the appropriateness of the SES score for assessing the capacity of parents to contribute towards th</w:t>
      </w:r>
      <w:r>
        <w:t>e cost of educating their child</w:t>
      </w:r>
      <w:r w:rsidR="00861443">
        <w:t xml:space="preserve"> when attending a </w:t>
      </w:r>
      <w:r w:rsidR="002263C4">
        <w:t>non</w:t>
      </w:r>
      <w:r w:rsidR="002263C4">
        <w:noBreakHyphen/>
        <w:t>government</w:t>
      </w:r>
      <w:r w:rsidR="00861443">
        <w:t xml:space="preserve"> school</w:t>
      </w:r>
      <w:r w:rsidR="00B0204E">
        <w:t xml:space="preserve"> (see </w:t>
      </w:r>
      <w:r w:rsidR="00B0204E">
        <w:fldChar w:fldCharType="begin"/>
      </w:r>
      <w:r w:rsidR="00B0204E">
        <w:instrText xml:space="preserve"> REF _Ref491688806 \h </w:instrText>
      </w:r>
      <w:r w:rsidR="00B0204E">
        <w:fldChar w:fldCharType="separate"/>
      </w:r>
      <w:r w:rsidR="00B52C11">
        <w:t xml:space="preserve">Box </w:t>
      </w:r>
      <w:r w:rsidR="00B52C11">
        <w:rPr>
          <w:noProof/>
        </w:rPr>
        <w:t>1</w:t>
      </w:r>
      <w:r w:rsidR="00B52C11">
        <w:noBreakHyphen/>
      </w:r>
      <w:r w:rsidR="00B52C11">
        <w:rPr>
          <w:noProof/>
        </w:rPr>
        <w:t>1</w:t>
      </w:r>
      <w:r w:rsidR="00B0204E">
        <w:fldChar w:fldCharType="end"/>
      </w:r>
      <w:r w:rsidR="00B0204E">
        <w:t>)</w:t>
      </w:r>
      <w:r w:rsidR="00A154F6">
        <w:t xml:space="preserve">. </w:t>
      </w:r>
    </w:p>
    <w:p w:rsidR="00A154F6" w:rsidRDefault="00A154F6" w:rsidP="00165C42">
      <w:pPr>
        <w:pStyle w:val="Heading3"/>
      </w:pPr>
      <w:bookmarkStart w:id="29" w:name="_Ref491688806"/>
      <w:bookmarkStart w:id="30" w:name="_Ref491699549"/>
      <w:r>
        <w:t xml:space="preserve">Box </w:t>
      </w:r>
      <w:fldSimple w:instr=" STYLEREF  \s &quot;Heading 11&quot; ">
        <w:r w:rsidR="00B52C11">
          <w:rPr>
            <w:noProof/>
          </w:rPr>
          <w:t>1</w:t>
        </w:r>
      </w:fldSimple>
      <w:r>
        <w:noBreakHyphen/>
      </w:r>
      <w:fldSimple w:instr=" SEQ Box \* ARABIC \s 1 ">
        <w:r w:rsidR="00B52C11">
          <w:rPr>
            <w:noProof/>
          </w:rPr>
          <w:t>1</w:t>
        </w:r>
      </w:fldSimple>
      <w:bookmarkEnd w:id="29"/>
      <w:r>
        <w:tab/>
      </w:r>
      <w:r w:rsidR="00EB1961">
        <w:t>R</w:t>
      </w:r>
      <w:r>
        <w:t>ecommendations of the Review of Funding for Schooling</w:t>
      </w:r>
      <w:bookmarkEnd w:id="30"/>
      <w:r w:rsidR="00396E68">
        <w:t xml:space="preserve"> (2011)</w:t>
      </w:r>
      <w:r w:rsidR="003B6FAE">
        <w:t xml:space="preserve">: </w:t>
      </w:r>
      <w:r w:rsidR="00EB1961">
        <w:t>SES score</w:t>
      </w:r>
    </w:p>
    <w:tbl>
      <w:tblPr>
        <w:tblStyle w:val="TableGrid"/>
        <w:tblW w:w="0" w:type="auto"/>
        <w:tblBorders>
          <w:left w:val="single" w:sz="4" w:space="0" w:color="auto"/>
          <w:right w:val="sing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Caption w:val="Box 1.1 Recommendations of the Review of Funding for Schooling (2011): SES score"/>
        <w:tblDescription w:val="Recommendation 2&#10;In a new model for funding non government schools, the assessment of a non government school’s need for public funding should be based on the anticipated capacity of the parents enrolling their children in the school to contribute financially towards the school’s resource requirements.&#10;Recommendation 3&#10;For the purposes of allocating public funding for non government schools, the Australian Government should continue to use the existing area-based socioeconomic status (SES) measure, and as soon as possible develop, trial and implement a new measure for estimating the quantum of the anticipated private contribution for non government schools in consultation with the states, territories and non government sectors.&#10;Recommendation 20&#10;For the purposes of allocating public funding for non government systems and schools, all Australian governments should:&#10;• adopt a common concept of need for public funding based on the capacity of the school or system to contribute towards its total resource requirements &#10;• commence work as a priority to develop, trial and implement a better measure of the capacity of parents to contribute in consultation with the non government sectors.&#10;The Australian Government should continue using the existing area-based SES measure until this better measure is developed.&#10;"/>
      </w:tblPr>
      <w:tblGrid>
        <w:gridCol w:w="9017"/>
      </w:tblGrid>
      <w:tr w:rsidR="00A154F6" w:rsidTr="00165C42">
        <w:trPr>
          <w:cnfStyle w:val="100000000000" w:firstRow="1" w:lastRow="0" w:firstColumn="0" w:lastColumn="0" w:oddVBand="0" w:evenVBand="0" w:oddHBand="0" w:evenHBand="0" w:firstRowFirstColumn="0" w:firstRowLastColumn="0" w:lastRowFirstColumn="0" w:lastRowLastColumn="0"/>
          <w:tblHeader/>
        </w:trPr>
        <w:tc>
          <w:tcPr>
            <w:tcW w:w="90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A154F6" w:rsidRPr="00A154F6" w:rsidRDefault="00A154F6" w:rsidP="00A154F6">
            <w:pPr>
              <w:pStyle w:val="Tablegridheading"/>
            </w:pPr>
            <w:r w:rsidRPr="00A154F6">
              <w:t>Recommendation 2</w:t>
            </w:r>
          </w:p>
          <w:p w:rsidR="00A154F6" w:rsidRDefault="00A154F6" w:rsidP="00A154F6">
            <w:pPr>
              <w:pStyle w:val="Tablegridtext"/>
            </w:pPr>
            <w:r>
              <w:t xml:space="preserve">In a new model for funding </w:t>
            </w:r>
            <w:r w:rsidR="002263C4">
              <w:t>non</w:t>
            </w:r>
            <w:r w:rsidR="002263C4">
              <w:noBreakHyphen/>
              <w:t>government</w:t>
            </w:r>
            <w:r>
              <w:t xml:space="preserve"> schools, the assessment of a </w:t>
            </w:r>
            <w:r w:rsidR="002263C4">
              <w:t>non</w:t>
            </w:r>
            <w:r w:rsidR="002263C4">
              <w:noBreakHyphen/>
              <w:t>government</w:t>
            </w:r>
            <w:r>
              <w:t xml:space="preserve"> school’s need for public funding should be based on the anticipated capacity of the parents enrolling their children in the school to contribute financially towards the school’s resource requirements.</w:t>
            </w:r>
          </w:p>
          <w:p w:rsidR="00A154F6" w:rsidRPr="00A154F6" w:rsidRDefault="00A154F6" w:rsidP="00A154F6">
            <w:pPr>
              <w:pStyle w:val="Tablegridheading"/>
            </w:pPr>
            <w:r w:rsidRPr="00A154F6">
              <w:t>Recommendation 3</w:t>
            </w:r>
          </w:p>
          <w:p w:rsidR="00A154F6" w:rsidRDefault="00A154F6" w:rsidP="00A154F6">
            <w:pPr>
              <w:pStyle w:val="Tablegridtext"/>
            </w:pPr>
            <w:r>
              <w:t xml:space="preserve">For the purposes of allocating public funding for </w:t>
            </w:r>
            <w:r w:rsidR="002263C4">
              <w:t>non</w:t>
            </w:r>
            <w:r w:rsidR="002263C4">
              <w:noBreakHyphen/>
              <w:t>government</w:t>
            </w:r>
            <w:r>
              <w:t xml:space="preserve"> schools, the Australian Government should continue to use the existing area-based socioeconomic status (SES) measure, and as soon as possible develop, trial and implement a new measure for estimating the quantum of the anticipated private contribution for </w:t>
            </w:r>
            <w:r w:rsidR="002263C4">
              <w:t>non</w:t>
            </w:r>
            <w:r w:rsidR="002263C4">
              <w:noBreakHyphen/>
              <w:t>government</w:t>
            </w:r>
            <w:r>
              <w:t xml:space="preserve"> schools in consultation with the states, territories and </w:t>
            </w:r>
            <w:r w:rsidR="002263C4">
              <w:t>non</w:t>
            </w:r>
            <w:r w:rsidR="002263C4">
              <w:noBreakHyphen/>
              <w:t>government</w:t>
            </w:r>
            <w:r>
              <w:t xml:space="preserve"> sectors.</w:t>
            </w:r>
          </w:p>
          <w:p w:rsidR="00DE6E45" w:rsidRDefault="00DE6E45" w:rsidP="001F02E4">
            <w:pPr>
              <w:pStyle w:val="Tablegridheading"/>
            </w:pPr>
            <w:r>
              <w:t>Recommendation 20</w:t>
            </w:r>
          </w:p>
          <w:p w:rsidR="00DE6E45" w:rsidRDefault="00DE6E45" w:rsidP="00DE6E45">
            <w:pPr>
              <w:pStyle w:val="Tablegridtext"/>
            </w:pPr>
            <w:r>
              <w:t xml:space="preserve">For the purposes of allocating public funding for </w:t>
            </w:r>
            <w:r w:rsidR="002263C4">
              <w:t>non</w:t>
            </w:r>
            <w:r w:rsidR="002263C4">
              <w:noBreakHyphen/>
              <w:t>government</w:t>
            </w:r>
            <w:r>
              <w:t xml:space="preserve"> systems and schools, all</w:t>
            </w:r>
            <w:r w:rsidR="001F02E4">
              <w:t xml:space="preserve"> </w:t>
            </w:r>
            <w:r>
              <w:t>Australian governments should:</w:t>
            </w:r>
          </w:p>
          <w:p w:rsidR="001F02E4" w:rsidRDefault="00DE6E45" w:rsidP="001F02E4">
            <w:pPr>
              <w:pStyle w:val="Tablegriddotpoints"/>
            </w:pPr>
            <w:r>
              <w:t>adopt a common concept of need for public funding based on the capacity of the school or</w:t>
            </w:r>
            <w:r w:rsidR="001F02E4">
              <w:t xml:space="preserve"> </w:t>
            </w:r>
            <w:r>
              <w:t>system to contribute towards its total resource requirements</w:t>
            </w:r>
            <w:r w:rsidR="001F02E4">
              <w:t xml:space="preserve"> </w:t>
            </w:r>
          </w:p>
          <w:p w:rsidR="00DE6E45" w:rsidRDefault="00DE6E45" w:rsidP="001F02E4">
            <w:pPr>
              <w:pStyle w:val="Tablegriddotpoints"/>
            </w:pPr>
            <w:r>
              <w:t>commence work as a priority to develop, trial and implement a better measure of the capacity</w:t>
            </w:r>
            <w:r w:rsidR="001F02E4">
              <w:t xml:space="preserve"> </w:t>
            </w:r>
            <w:r>
              <w:t xml:space="preserve">of parents to contribute in consultation with the </w:t>
            </w:r>
            <w:r w:rsidR="002263C4">
              <w:t>non</w:t>
            </w:r>
            <w:r w:rsidR="002263C4">
              <w:noBreakHyphen/>
              <w:t>government</w:t>
            </w:r>
            <w:r>
              <w:t xml:space="preserve"> sectors.</w:t>
            </w:r>
          </w:p>
          <w:p w:rsidR="00A154F6" w:rsidRDefault="00DE6E45" w:rsidP="00B204DF">
            <w:pPr>
              <w:pStyle w:val="Tablegridtext"/>
            </w:pPr>
            <w:r>
              <w:t>The Australian Government should continue using the existing area-based SES measure until</w:t>
            </w:r>
            <w:r w:rsidR="001F02E4">
              <w:t xml:space="preserve"> </w:t>
            </w:r>
            <w:r>
              <w:t>this better measure is developed.</w:t>
            </w:r>
          </w:p>
        </w:tc>
      </w:tr>
    </w:tbl>
    <w:p w:rsidR="00A154F6" w:rsidRDefault="00A154F6" w:rsidP="0051627A">
      <w:pPr>
        <w:pStyle w:val="Datasource"/>
      </w:pPr>
      <w:r w:rsidRPr="0051627A">
        <w:t>Source:</w:t>
      </w:r>
      <w:r w:rsidR="002A02EC">
        <w:rPr>
          <w:noProof/>
        </w:rPr>
        <w:t xml:space="preserve"> Gonski, et al. (2011), pp. 79, 81, 177.</w:t>
      </w:r>
    </w:p>
    <w:p w:rsidR="00B0204E" w:rsidRPr="00B0204E" w:rsidRDefault="00B0204E" w:rsidP="00B0204E">
      <w:r>
        <w:t>The Review of Funding for Schooling also recommended that assessment of school need for Australian Government funding continue to be based upon the capacity to contribute.</w:t>
      </w:r>
    </w:p>
    <w:p w:rsidR="00A40D7D" w:rsidRDefault="00A40D7D" w:rsidP="00A40D7D">
      <w:pPr>
        <w:pStyle w:val="Heading2"/>
      </w:pPr>
      <w:bookmarkStart w:id="31" w:name="_Toc493598458"/>
      <w:bookmarkStart w:id="32" w:name="_Toc495409760"/>
      <w:bookmarkStart w:id="33" w:name="_Toc496792750"/>
      <w:bookmarkStart w:id="34" w:name="_Toc496803880"/>
      <w:r>
        <w:t>Report structure</w:t>
      </w:r>
      <w:bookmarkEnd w:id="31"/>
      <w:bookmarkEnd w:id="32"/>
      <w:bookmarkEnd w:id="33"/>
      <w:bookmarkEnd w:id="34"/>
    </w:p>
    <w:p w:rsidR="0076688E" w:rsidRDefault="00ED727F" w:rsidP="0076688E">
      <w:r>
        <w:t>The remainder of this research report is structured as follows:</w:t>
      </w:r>
    </w:p>
    <w:p w:rsidR="00ED727F" w:rsidRDefault="00ED727F" w:rsidP="00A713B5">
      <w:pPr>
        <w:pStyle w:val="Dotpoints"/>
      </w:pPr>
      <w:r>
        <w:t xml:space="preserve">Section </w:t>
      </w:r>
      <w:r>
        <w:fldChar w:fldCharType="begin"/>
      </w:r>
      <w:r>
        <w:instrText xml:space="preserve"> REF _Ref489967724 \r \h </w:instrText>
      </w:r>
      <w:r w:rsidR="00A713B5">
        <w:instrText xml:space="preserve"> \* MERGEFORMAT </w:instrText>
      </w:r>
      <w:r>
        <w:fldChar w:fldCharType="separate"/>
      </w:r>
      <w:r w:rsidR="00B52C11">
        <w:t>2</w:t>
      </w:r>
      <w:r>
        <w:fldChar w:fldCharType="end"/>
      </w:r>
      <w:r>
        <w:t xml:space="preserve"> provides a history of the </w:t>
      </w:r>
      <w:r w:rsidR="00695B33">
        <w:t>SES score</w:t>
      </w:r>
      <w:r w:rsidR="00BD28D3">
        <w:t xml:space="preserve"> si</w:t>
      </w:r>
      <w:r w:rsidR="005645A0">
        <w:t xml:space="preserve">nce being first </w:t>
      </w:r>
      <w:r w:rsidR="004017AC">
        <w:t>conceived</w:t>
      </w:r>
      <w:r w:rsidR="005645A0">
        <w:t xml:space="preserve"> in 199</w:t>
      </w:r>
      <w:r w:rsidR="004017AC">
        <w:t>6</w:t>
      </w:r>
      <w:r w:rsidR="005645A0">
        <w:t>, and then developed for introduction from 2001</w:t>
      </w:r>
      <w:r>
        <w:t xml:space="preserve"> </w:t>
      </w:r>
    </w:p>
    <w:p w:rsidR="00ED727F" w:rsidRDefault="00ED727F" w:rsidP="00A713B5">
      <w:pPr>
        <w:pStyle w:val="Dotpoints"/>
      </w:pPr>
      <w:r>
        <w:t xml:space="preserve">Section </w:t>
      </w:r>
      <w:r>
        <w:fldChar w:fldCharType="begin"/>
      </w:r>
      <w:r>
        <w:instrText xml:space="preserve"> REF _Ref489967726 \r \h </w:instrText>
      </w:r>
      <w:r w:rsidR="00A713B5">
        <w:instrText xml:space="preserve"> \* MERGEFORMAT </w:instrText>
      </w:r>
      <w:r>
        <w:fldChar w:fldCharType="separate"/>
      </w:r>
      <w:r w:rsidR="00B52C11">
        <w:t>3</w:t>
      </w:r>
      <w:r>
        <w:fldChar w:fldCharType="end"/>
      </w:r>
      <w:r>
        <w:t xml:space="preserve"> provides an overview of the</w:t>
      </w:r>
      <w:r w:rsidR="00841242">
        <w:t xml:space="preserve"> </w:t>
      </w:r>
      <w:r>
        <w:t xml:space="preserve">SES </w:t>
      </w:r>
      <w:r w:rsidR="00841242">
        <w:t xml:space="preserve">score </w:t>
      </w:r>
      <w:r w:rsidR="002D279D">
        <w:t>calculation</w:t>
      </w:r>
      <w:r>
        <w:t xml:space="preserve"> methodology</w:t>
      </w:r>
      <w:r w:rsidR="005645A0">
        <w:t xml:space="preserve">, including how the SES score is calculated for individual </w:t>
      </w:r>
      <w:r w:rsidR="002263C4">
        <w:t>non</w:t>
      </w:r>
      <w:r w:rsidR="002263C4">
        <w:noBreakHyphen/>
        <w:t>government</w:t>
      </w:r>
      <w:r w:rsidR="005645A0">
        <w:t xml:space="preserve"> schools</w:t>
      </w:r>
    </w:p>
    <w:p w:rsidR="00ED727F" w:rsidRDefault="00ED727F" w:rsidP="00A713B5">
      <w:pPr>
        <w:pStyle w:val="Dotpoints"/>
      </w:pPr>
      <w:r>
        <w:t xml:space="preserve">Section </w:t>
      </w:r>
      <w:r>
        <w:fldChar w:fldCharType="begin"/>
      </w:r>
      <w:r>
        <w:instrText xml:space="preserve"> REF _Ref489967728 \r \h </w:instrText>
      </w:r>
      <w:r w:rsidR="00A713B5">
        <w:instrText xml:space="preserve"> \* MERGEFORMAT </w:instrText>
      </w:r>
      <w:r>
        <w:fldChar w:fldCharType="separate"/>
      </w:r>
      <w:r w:rsidR="00B52C11">
        <w:t>4</w:t>
      </w:r>
      <w:r>
        <w:fldChar w:fldCharType="end"/>
      </w:r>
      <w:r>
        <w:t xml:space="preserve"> summarises concerns and views raised about the </w:t>
      </w:r>
      <w:r w:rsidR="00695B33">
        <w:t>SES score</w:t>
      </w:r>
      <w:r w:rsidR="005645A0">
        <w:t xml:space="preserve"> at the time of its development and introduction, and over the subsequent 16 years </w:t>
      </w:r>
    </w:p>
    <w:p w:rsidR="00ED727F" w:rsidRDefault="00ED727F" w:rsidP="00A713B5">
      <w:pPr>
        <w:pStyle w:val="Dotpoints"/>
      </w:pPr>
      <w:r>
        <w:t xml:space="preserve">Section </w:t>
      </w:r>
      <w:r w:rsidR="001179DC">
        <w:fldChar w:fldCharType="begin"/>
      </w:r>
      <w:r w:rsidR="001179DC">
        <w:instrText xml:space="preserve"> REF _Ref493598557 \r \h </w:instrText>
      </w:r>
      <w:r w:rsidR="001179DC">
        <w:fldChar w:fldCharType="separate"/>
      </w:r>
      <w:r w:rsidR="00B52C11">
        <w:t>5</w:t>
      </w:r>
      <w:r w:rsidR="001179DC">
        <w:fldChar w:fldCharType="end"/>
      </w:r>
      <w:r>
        <w:t xml:space="preserve"> identifies potential directions for </w:t>
      </w:r>
      <w:r w:rsidR="005C5FDA">
        <w:t>measuring</w:t>
      </w:r>
      <w:r>
        <w:t xml:space="preserve"> the</w:t>
      </w:r>
      <w:r w:rsidR="005C5FDA">
        <w:t xml:space="preserve"> </w:t>
      </w:r>
      <w:r>
        <w:t xml:space="preserve">capacity to contribute. </w:t>
      </w:r>
    </w:p>
    <w:p w:rsidR="004F15FE" w:rsidRDefault="004F15FE" w:rsidP="004F15FE"/>
    <w:p w:rsidR="0076688E" w:rsidRDefault="0076688E" w:rsidP="00165C42">
      <w:pPr>
        <w:pStyle w:val="Heading11"/>
      </w:pPr>
      <w:bookmarkStart w:id="35" w:name="_Ref489967724"/>
      <w:bookmarkStart w:id="36" w:name="_Toc496803881"/>
      <w:r>
        <w:t xml:space="preserve">History of the </w:t>
      </w:r>
      <w:r w:rsidR="00695B33">
        <w:t>SES score</w:t>
      </w:r>
      <w:bookmarkEnd w:id="35"/>
      <w:bookmarkEnd w:id="36"/>
    </w:p>
    <w:p w:rsidR="008465EC" w:rsidRDefault="000A3C13" w:rsidP="0076688E">
      <w:bookmarkStart w:id="37" w:name="OLE_LINK1"/>
      <w:r>
        <w:t xml:space="preserve">This </w:t>
      </w:r>
      <w:r w:rsidR="00927ED7">
        <w:t>section</w:t>
      </w:r>
      <w:r>
        <w:t xml:space="preserve"> summarises the history </w:t>
      </w:r>
      <w:r w:rsidR="00B46136">
        <w:t xml:space="preserve">surrounding </w:t>
      </w:r>
      <w:r>
        <w:t xml:space="preserve">the development and application of the </w:t>
      </w:r>
      <w:r w:rsidR="00695B33">
        <w:t>SES score</w:t>
      </w:r>
      <w:r>
        <w:t xml:space="preserve">. Key events are identified in </w:t>
      </w:r>
      <w:r>
        <w:fldChar w:fldCharType="begin"/>
      </w:r>
      <w:r>
        <w:instrText xml:space="preserve"> REF _Ref490487545 \h </w:instrText>
      </w:r>
      <w:r>
        <w:fldChar w:fldCharType="separate"/>
      </w:r>
      <w:r w:rsidR="00B52C11">
        <w:t xml:space="preserve">Figure </w:t>
      </w:r>
      <w:r w:rsidR="00B52C11">
        <w:rPr>
          <w:noProof/>
        </w:rPr>
        <w:t>2</w:t>
      </w:r>
      <w:r w:rsidR="00B52C11">
        <w:noBreakHyphen/>
      </w:r>
      <w:r w:rsidR="00B52C11">
        <w:rPr>
          <w:noProof/>
        </w:rPr>
        <w:t>1</w:t>
      </w:r>
      <w:r>
        <w:fldChar w:fldCharType="end"/>
      </w:r>
      <w:r>
        <w:t>, encompassing a 2</w:t>
      </w:r>
      <w:r w:rsidR="00651B00">
        <w:t>1</w:t>
      </w:r>
      <w:r w:rsidR="00324690">
        <w:t>-</w:t>
      </w:r>
      <w:r>
        <w:t xml:space="preserve">year period from </w:t>
      </w:r>
      <w:r w:rsidR="00651B00">
        <w:t>1996</w:t>
      </w:r>
      <w:r>
        <w:t xml:space="preserve"> to </w:t>
      </w:r>
      <w:r w:rsidR="00D17BB1">
        <w:t>2017</w:t>
      </w:r>
      <w:r>
        <w:t xml:space="preserve">. </w:t>
      </w:r>
      <w:r w:rsidR="008465EC">
        <w:t xml:space="preserve">Three distinct time periods are examined. Firstly, the development of the SES score between 1996 and 2001. This is followed by the implementation of the SES score as part of the SES funding model between 2001 and 2013. The </w:t>
      </w:r>
      <w:r w:rsidR="00161042">
        <w:t>section</w:t>
      </w:r>
      <w:r w:rsidR="008465EC">
        <w:t xml:space="preserve"> concludes </w:t>
      </w:r>
      <w:r w:rsidR="00B46136">
        <w:t>by</w:t>
      </w:r>
      <w:r w:rsidR="008465EC">
        <w:t xml:space="preserve"> examin</w:t>
      </w:r>
      <w:r w:rsidR="00B46136">
        <w:t>ing</w:t>
      </w:r>
      <w:r w:rsidR="008465EC">
        <w:t xml:space="preserve"> the application o</w:t>
      </w:r>
      <w:r w:rsidR="00335940">
        <w:t>f</w:t>
      </w:r>
      <w:r w:rsidR="008465EC">
        <w:t xml:space="preserve"> the SES score </w:t>
      </w:r>
      <w:r w:rsidR="00324690">
        <w:t xml:space="preserve">from 2013 </w:t>
      </w:r>
      <w:r w:rsidR="008465EC">
        <w:t xml:space="preserve">as part of the SRS funding model. </w:t>
      </w:r>
    </w:p>
    <w:p w:rsidR="00931EA8" w:rsidRDefault="00931EA8" w:rsidP="00931EA8">
      <w:pPr>
        <w:pStyle w:val="Heading2"/>
      </w:pPr>
      <w:bookmarkStart w:id="38" w:name="_Ref491864871"/>
      <w:bookmarkStart w:id="39" w:name="_Toc493598460"/>
      <w:bookmarkStart w:id="40" w:name="_Toc495409762"/>
      <w:bookmarkStart w:id="41" w:name="_Toc496792752"/>
      <w:bookmarkStart w:id="42" w:name="_Toc496803882"/>
      <w:r>
        <w:t>Development of the SES score: 1996 to 2001</w:t>
      </w:r>
      <w:bookmarkEnd w:id="38"/>
      <w:bookmarkEnd w:id="39"/>
      <w:bookmarkEnd w:id="40"/>
      <w:bookmarkEnd w:id="41"/>
      <w:bookmarkEnd w:id="42"/>
    </w:p>
    <w:p w:rsidR="00931EA8" w:rsidRDefault="00931EA8" w:rsidP="00931EA8">
      <w:pPr>
        <w:pStyle w:val="Heading3"/>
      </w:pPr>
      <w:bookmarkStart w:id="43" w:name="_Ref493587127"/>
      <w:bookmarkStart w:id="44" w:name="_Toc493598461"/>
      <w:bookmarkStart w:id="45" w:name="_Toc495409763"/>
      <w:bookmarkStart w:id="46" w:name="_Toc496792753"/>
      <w:bookmarkStart w:id="47" w:name="_Toc496803883"/>
      <w:r>
        <w:t>Seeking a successor to the Education Resources Index</w:t>
      </w:r>
      <w:bookmarkEnd w:id="43"/>
      <w:bookmarkEnd w:id="44"/>
      <w:bookmarkEnd w:id="45"/>
      <w:bookmarkEnd w:id="46"/>
      <w:bookmarkEnd w:id="47"/>
    </w:p>
    <w:p w:rsidR="007313F0" w:rsidRDefault="00931EA8" w:rsidP="00931EA8">
      <w:r>
        <w:t>The predecessor of the SES score was the Education Resources Index (ERI)</w:t>
      </w:r>
      <w:r w:rsidR="00B204DF">
        <w:t xml:space="preserve">, which was </w:t>
      </w:r>
      <w:r>
        <w:t xml:space="preserve">in place between 1985 and 2001. </w:t>
      </w:r>
      <w:r w:rsidR="00D26EE5">
        <w:t xml:space="preserve">The ERI </w:t>
      </w:r>
      <w:r w:rsidR="00C85A2C">
        <w:t>mechanism</w:t>
      </w:r>
      <w:r w:rsidR="00D26EE5">
        <w:t xml:space="preserve"> allocated </w:t>
      </w:r>
      <w:r w:rsidR="00463391">
        <w:t xml:space="preserve">schools </w:t>
      </w:r>
      <w:r w:rsidR="00D26EE5">
        <w:t>to one of 12 Australian Government funding categories. This allocation was based on a school</w:t>
      </w:r>
      <w:r w:rsidR="002D16A3">
        <w:t>’</w:t>
      </w:r>
      <w:r w:rsidR="00D26EE5">
        <w:t>s ERI rating, calculated by dividing a measure of financial resourcing per student, by a resourcing benchmark</w:t>
      </w:r>
      <w:r w:rsidR="008D5319">
        <w:t>.</w:t>
      </w:r>
      <w:r w:rsidR="00D26EE5">
        <w:t xml:space="preserve"> </w:t>
      </w:r>
      <w:r w:rsidR="007313F0">
        <w:t xml:space="preserve">Between 1985 and 1993, this resourcing benchmark was the ‘community standard of educational and financial resources’. This standard was replaced from 1993 by the AGSRC </w:t>
      </w:r>
      <w:sdt>
        <w:sdtPr>
          <w:id w:val="142709766"/>
          <w:citation/>
        </w:sdtPr>
        <w:sdtContent>
          <w:r w:rsidR="007313F0">
            <w:fldChar w:fldCharType="begin"/>
          </w:r>
          <w:r w:rsidR="007313F0">
            <w:instrText xml:space="preserve"> CITATION Dep97 \l 3081 </w:instrText>
          </w:r>
          <w:r w:rsidR="007313F0">
            <w:fldChar w:fldCharType="separate"/>
          </w:r>
          <w:r w:rsidR="005333F5">
            <w:rPr>
              <w:noProof/>
            </w:rPr>
            <w:t>(Department of Employment, Education, Training and Youth Affairs, 1997)</w:t>
          </w:r>
          <w:r w:rsidR="007313F0">
            <w:fldChar w:fldCharType="end"/>
          </w:r>
        </w:sdtContent>
      </w:sdt>
      <w:r w:rsidR="007313F0">
        <w:t>.</w:t>
      </w:r>
      <w:r w:rsidR="007313F0">
        <w:rPr>
          <w:rStyle w:val="FootnoteReference"/>
        </w:rPr>
        <w:footnoteReference w:id="1"/>
      </w:r>
      <w:r w:rsidR="007313F0">
        <w:t xml:space="preserve"> </w:t>
      </w:r>
    </w:p>
    <w:p w:rsidR="00931EA8" w:rsidRPr="00892A59" w:rsidRDefault="001953B8" w:rsidP="00931EA8">
      <w:r>
        <w:t xml:space="preserve">An overview of the </w:t>
      </w:r>
      <w:r w:rsidRPr="001953B8">
        <w:t>E</w:t>
      </w:r>
      <w:r w:rsidR="00892A59">
        <w:t>RI</w:t>
      </w:r>
      <w:r w:rsidRPr="001953B8">
        <w:t xml:space="preserve"> funding </w:t>
      </w:r>
      <w:r w:rsidR="00C85A2C">
        <w:t>mechanism</w:t>
      </w:r>
      <w:r>
        <w:t xml:space="preserve"> is provided in </w:t>
      </w:r>
      <w:r>
        <w:fldChar w:fldCharType="begin"/>
      </w:r>
      <w:r>
        <w:instrText xml:space="preserve"> REF _Ref491264209 \h </w:instrText>
      </w:r>
      <w:r>
        <w:fldChar w:fldCharType="separate"/>
      </w:r>
      <w:r w:rsidR="00B52C11">
        <w:t xml:space="preserve">Box </w:t>
      </w:r>
      <w:r w:rsidR="00B52C11">
        <w:rPr>
          <w:noProof/>
        </w:rPr>
        <w:t>2</w:t>
      </w:r>
      <w:r w:rsidR="00B52C11">
        <w:noBreakHyphen/>
      </w:r>
      <w:r w:rsidR="00B52C11">
        <w:rPr>
          <w:noProof/>
        </w:rPr>
        <w:t>2</w:t>
      </w:r>
      <w:r>
        <w:fldChar w:fldCharType="end"/>
      </w:r>
      <w:r>
        <w:t xml:space="preserve"> </w:t>
      </w:r>
      <w:r>
        <w:fldChar w:fldCharType="begin"/>
      </w:r>
      <w:r>
        <w:instrText xml:space="preserve"> REF _Ref491264218 \p \h </w:instrText>
      </w:r>
      <w:r>
        <w:fldChar w:fldCharType="separate"/>
      </w:r>
      <w:r w:rsidR="00B52C11">
        <w:t>below</w:t>
      </w:r>
      <w:r>
        <w:fldChar w:fldCharType="end"/>
      </w:r>
      <w:r>
        <w:t>.</w:t>
      </w:r>
      <w:r w:rsidR="00892A59">
        <w:t xml:space="preserve"> The main aspect of the ERI </w:t>
      </w:r>
      <w:r w:rsidR="00C85A2C">
        <w:t>mechanism</w:t>
      </w:r>
      <w:r w:rsidR="002D16A3">
        <w:t>—the</w:t>
      </w:r>
      <w:r w:rsidR="00892A59">
        <w:t xml:space="preserve"> allocation of schools to a funding category</w:t>
      </w:r>
      <w:r w:rsidR="008D5319">
        <w:t>—</w:t>
      </w:r>
      <w:r w:rsidR="00892A59">
        <w:t xml:space="preserve">is </w:t>
      </w:r>
      <w:r w:rsidR="0084640F">
        <w:t xml:space="preserve">relatively </w:t>
      </w:r>
      <w:r w:rsidR="00892A59">
        <w:t xml:space="preserve">straightforward. </w:t>
      </w:r>
      <w:r w:rsidR="0084640F">
        <w:t xml:space="preserve">What made the </w:t>
      </w:r>
      <w:r w:rsidR="00892A59">
        <w:t xml:space="preserve">ERI </w:t>
      </w:r>
      <w:r w:rsidR="005D4EBE">
        <w:t>mechanism</w:t>
      </w:r>
      <w:r w:rsidR="00892A59">
        <w:t xml:space="preserve"> </w:t>
      </w:r>
      <w:r w:rsidR="0084640F">
        <w:t>i</w:t>
      </w:r>
      <w:r w:rsidR="00892A59">
        <w:t xml:space="preserve">ncreasingly complex </w:t>
      </w:r>
      <w:r w:rsidR="0084640F">
        <w:t xml:space="preserve">was </w:t>
      </w:r>
      <w:r w:rsidR="00892A59">
        <w:t>associated measures, such as funding guarantees</w:t>
      </w:r>
      <w:r w:rsidR="00EC0572">
        <w:t xml:space="preserve"> if a school’s ERI category changed</w:t>
      </w:r>
      <w:r w:rsidR="00892A59">
        <w:t xml:space="preserve">, and </w:t>
      </w:r>
      <w:r w:rsidR="00B924DF">
        <w:t>requir</w:t>
      </w:r>
      <w:r w:rsidR="005D4EBE">
        <w:t>ing</w:t>
      </w:r>
      <w:r w:rsidR="00B924DF">
        <w:t xml:space="preserve"> schools to increase operating expenditure and private income. </w:t>
      </w:r>
    </w:p>
    <w:p w:rsidR="005D4EBE" w:rsidRDefault="00B924DF" w:rsidP="00206050">
      <w:r>
        <w:t xml:space="preserve">In 1996, the </w:t>
      </w:r>
      <w:r w:rsidR="001261D2">
        <w:t xml:space="preserve">Liberal-National Coalition government </w:t>
      </w:r>
      <w:r>
        <w:t xml:space="preserve">commissioned a review of the ERI. This review </w:t>
      </w:r>
      <w:r w:rsidR="00206050">
        <w:t>ha</w:t>
      </w:r>
      <w:r w:rsidR="0084640F">
        <w:t>d</w:t>
      </w:r>
      <w:r w:rsidR="00206050">
        <w:t xml:space="preserve"> three elements</w:t>
      </w:r>
      <w:r w:rsidR="003B6FAE">
        <w:t>—</w:t>
      </w:r>
      <w:r w:rsidR="00206050">
        <w:t xml:space="preserve">operational issues, administrative processes and future arrangements (including alternative funding approaches). </w:t>
      </w:r>
    </w:p>
    <w:p w:rsidR="00B204DF" w:rsidRDefault="00206050" w:rsidP="00B204DF">
      <w:r>
        <w:t xml:space="preserve">The first phase of the review comprised an </w:t>
      </w:r>
      <w:r w:rsidR="00B924DF">
        <w:t>evaluation by KPMG Management Consulting assess</w:t>
      </w:r>
      <w:r w:rsidR="0084640F">
        <w:t>ing</w:t>
      </w:r>
      <w:r w:rsidR="00B924DF">
        <w:t xml:space="preserve"> the ERI </w:t>
      </w:r>
      <w:r w:rsidR="00C85A2C">
        <w:t xml:space="preserve">mechanism </w:t>
      </w:r>
      <w:r w:rsidR="00B924DF">
        <w:t>against five criteria</w:t>
      </w:r>
      <w:r w:rsidR="003B6FAE">
        <w:t>—</w:t>
      </w:r>
      <w:r w:rsidR="00B924DF">
        <w:t xml:space="preserve">acceptability, transparency, robustness, sensitivity and practicality. The evaluation found the ERI </w:t>
      </w:r>
      <w:r w:rsidR="00C85A2C">
        <w:t xml:space="preserve">mechanism </w:t>
      </w:r>
      <w:r w:rsidR="00B924DF">
        <w:t xml:space="preserve">wanting against these criteria, leading to the overall finding that the ‘ERI fails to meet most of the tests of an effective indicator of need’ </w:t>
      </w:r>
      <w:sdt>
        <w:sdtPr>
          <w:id w:val="110955172"/>
          <w:citation/>
        </w:sdtPr>
        <w:sdtContent>
          <w:r w:rsidR="00B924DF">
            <w:fldChar w:fldCharType="begin"/>
          </w:r>
          <w:r w:rsidR="00B924DF">
            <w:instrText xml:space="preserve">CITATION KPM96 \p 76 \l 3081 </w:instrText>
          </w:r>
          <w:r w:rsidR="00B924DF">
            <w:fldChar w:fldCharType="separate"/>
          </w:r>
          <w:r w:rsidR="005333F5">
            <w:rPr>
              <w:noProof/>
            </w:rPr>
            <w:t>(KPMG Management Consulting, 1996, p. 76)</w:t>
          </w:r>
          <w:r w:rsidR="00B924DF">
            <w:fldChar w:fldCharType="end"/>
          </w:r>
        </w:sdtContent>
      </w:sdt>
      <w:r w:rsidR="00B924DF">
        <w:t>.</w:t>
      </w:r>
      <w:r w:rsidR="00B204DF" w:rsidRPr="00B204DF">
        <w:t xml:space="preserve"> </w:t>
      </w:r>
    </w:p>
    <w:p w:rsidR="00B204DF" w:rsidRDefault="00B204DF" w:rsidP="00B204DF">
      <w:r>
        <w:t xml:space="preserve">In 1997, the Australian Government commenced an extensive consultation process, including stakeholder workshops, a public submission process and an overseas study tour. Workshops were held in all capital cities and were attended by 189 people including representatives of peak bodies, school system authorities, individual schools and parent groups. A total of 89 submissions were made to the review.  </w:t>
      </w:r>
    </w:p>
    <w:p w:rsidR="000B0743" w:rsidRDefault="000B0743" w:rsidP="00165C42">
      <w:pPr>
        <w:pStyle w:val="Heading3"/>
      </w:pPr>
      <w:bookmarkStart w:id="48" w:name="_Ref490487545"/>
      <w:bookmarkStart w:id="49" w:name="_Toc496803952"/>
      <w:r>
        <w:t xml:space="preserve">Figure </w:t>
      </w:r>
      <w:fldSimple w:instr=" STYLEREF  \s &quot;Heading 11&quot; ">
        <w:r w:rsidR="00B52C11">
          <w:rPr>
            <w:noProof/>
          </w:rPr>
          <w:t>2</w:t>
        </w:r>
      </w:fldSimple>
      <w:r w:rsidR="00290ED7">
        <w:noBreakHyphen/>
      </w:r>
      <w:fldSimple w:instr=" SEQ Figure \* ARABIC \s 1 ">
        <w:r w:rsidR="00B52C11">
          <w:rPr>
            <w:noProof/>
          </w:rPr>
          <w:t>1</w:t>
        </w:r>
      </w:fldSimple>
      <w:bookmarkEnd w:id="48"/>
      <w:r>
        <w:tab/>
      </w:r>
      <w:r w:rsidR="00695B33">
        <w:t>SES score</w:t>
      </w:r>
      <w:r>
        <w:t xml:space="preserve"> timeline</w:t>
      </w:r>
      <w:bookmarkEnd w:id="49"/>
    </w:p>
    <w:p w:rsidR="008D65DB" w:rsidRDefault="00636777" w:rsidP="008D65DB">
      <w:pPr>
        <w:jc w:val="center"/>
      </w:pPr>
      <w:r w:rsidRPr="00636777">
        <w:rPr>
          <w:noProof/>
          <w:lang w:eastAsia="en-AU"/>
        </w:rPr>
        <w:drawing>
          <wp:inline distT="0" distB="0" distL="0" distR="0" wp14:anchorId="399B41E1" wp14:editId="24FC2408">
            <wp:extent cx="5732145" cy="7904518"/>
            <wp:effectExtent l="0" t="0" r="1905" b="1270"/>
            <wp:docPr id="9" name="Picture 9" descr="Heading 1: Development of the SES score&#10;- 1996 Review of the Education Resources Index (ERI)&#10;- 1997 Consultation on the ERI and alternative options&#10;Funding forum on alternatives to the ERI&#10;- 1998 SES Simulation Project (SES score developed using 1996 Census data) &#10;- 1999 SES score validation project&#10;SES funding model announced&#10;Heading 2: Application of the SES score within the SES funding model&#10;- 2001 SES score funding model implemented for independent schools&#10;- 2003 SES scores updated with 2001 Census data and 2003 student home addresses&#10;- 2005 SES score funding model implemented for Catholic systemic schools&#10;- 2006 Introduction of SES appeals process&#10;- 2007 First successful SES score appeals by schools&#10;- 2008 SES scores updated with 2006 Census data and 2007 student home addresses&#10;- 2010-11 Review of Funding for Schooling ('GonskiReview')&#10;Heading 3: Application of the SES score within the Schooling Resource Standard funding model&#10;- 2013 SES score used in the Schooling Resource Standard funding model &#10;SES scores updated with 2011 Census data and 2012 student home addresses&#10;- 2014 Implementation of the new Schooling Resource Standard funding mode&#10;lApplication of system weighted SES scores for funding systemic schools&#10;- 2017 Review of the SES Score methodology by the National School Resourcing Board announced&#10;Revised capacity to contribute percentages for primary school students from 2018 announced &#10;Removal of system-weighted average SES scores from 2018 announced" title="Figure 2 1 SES scor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2145" cy="7904518"/>
                    </a:xfrm>
                    <a:prstGeom prst="rect">
                      <a:avLst/>
                    </a:prstGeom>
                    <a:noFill/>
                    <a:ln>
                      <a:noFill/>
                    </a:ln>
                  </pic:spPr>
                </pic:pic>
              </a:graphicData>
            </a:graphic>
          </wp:inline>
        </w:drawing>
      </w:r>
    </w:p>
    <w:p w:rsidR="001261D2" w:rsidRDefault="001261D2" w:rsidP="00165C42">
      <w:pPr>
        <w:pStyle w:val="Heading3"/>
      </w:pPr>
      <w:bookmarkStart w:id="50" w:name="_Ref491264209"/>
      <w:bookmarkStart w:id="51" w:name="_Ref491264218"/>
      <w:r>
        <w:t xml:space="preserve">Box </w:t>
      </w:r>
      <w:fldSimple w:instr=" STYLEREF  \s &quot;Heading 11&quot; ">
        <w:r w:rsidR="00B52C11">
          <w:rPr>
            <w:noProof/>
          </w:rPr>
          <w:t>2</w:t>
        </w:r>
      </w:fldSimple>
      <w:r>
        <w:noBreakHyphen/>
      </w:r>
      <w:fldSimple w:instr=" SEQ Box \* ARABIC \s 1 ">
        <w:r w:rsidR="00B52C11">
          <w:rPr>
            <w:noProof/>
          </w:rPr>
          <w:t>2</w:t>
        </w:r>
      </w:fldSimple>
      <w:bookmarkEnd w:id="50"/>
      <w:r>
        <w:tab/>
        <w:t xml:space="preserve">Operation of the Education Resources Index funding </w:t>
      </w:r>
      <w:bookmarkEnd w:id="51"/>
      <w:r w:rsidR="00C85A2C">
        <w:t>mechanism</w:t>
      </w:r>
    </w:p>
    <w:tbl>
      <w:tblPr>
        <w:tblStyle w:val="TableGrid"/>
        <w:tblW w:w="0" w:type="auto"/>
        <w:tblBorders>
          <w:left w:val="single" w:sz="4" w:space="0" w:color="auto"/>
          <w:right w:val="sing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Caption w:val="Box 2 1 Operation of the Education Resources Index funding mechanism"/>
        <w:tblDescription w:val="The ERI funding mechanism was underpinned by an assessment of the financial capacity of non government schools. This assessment led to schools being given an ERI rating and then allocated to one of 12 funding categories. The highest financial capacity schools (ERI rating 0-10) were allocated to funding category 1. The lowest financial capacity schools (ERI rating of 88+) were allocated to funding category 12. For each funding category there was a corresponding per primary or secondary student funding rate. In 1997, funding category 1 schools were provided $501 and $795 per primary or secondary student respectively. Category 12 schools were provided $2,217 and $3,239 per primary or secondary student respectively &#10;&#10;A school’s ERI rating was determined by the percentage value generated by the following formula:&#10;higher of:  &#10;Net Private Income per student (boarding and capital allowances deducted)&#10;or&#10;Operating Expenditure per student (State/Territory and Commonwealth grants deducted)&#10;divided by: &#10;Total Assessment Standard: ‘Community standard’ (1985 to 1993), AGSRC (1993 to 2001)&#10;Equals: &#10;ERI rating percentage&#10;&#10;Under the ERI funding model, systemic schools were allocated to a single ERI rating and thus funding category, for their system. A system rating was determined from the enrolment weighted average of the individual ratings of each school within a system.&#10;&#10;ERI funding to non government schools was also influenced by several other requirements:&#10;• Maintenance of Effort (MOE) and Private Income (PI)—schools were required to maintain their expenditure on recurrent resources, and to increase private income by at least 3 per cent per annum. Both these requirements had to be met if a school’s ERI rating changed to the extent that a school was allocated to a higher funding category.&#10;• Limit on Private Income—schools were allowed to increase their private income by up to 5 per cent per year, without this affecting the school’s funding category. &#10;• Funding Guarantees—If a school was assessed as moving into a lower funding category, funding was held, in nominal terms, at the pre-existing level until indexation of funding rates resulted in the lower category funding rate equalling the ‘guaranteed’ funding amount.&#10;• Capital Concession—If approved by the Australian Government, schools could deduct private capital income in excess of a specified capital allowance, from the private income used in the ERI rating formula. &#10;"/>
      </w:tblPr>
      <w:tblGrid>
        <w:gridCol w:w="9017"/>
      </w:tblGrid>
      <w:tr w:rsidR="001261D2" w:rsidTr="00165C42">
        <w:trPr>
          <w:cnfStyle w:val="100000000000" w:firstRow="1" w:lastRow="0" w:firstColumn="0" w:lastColumn="0" w:oddVBand="0" w:evenVBand="0" w:oddHBand="0" w:evenHBand="0" w:firstRowFirstColumn="0" w:firstRowLastColumn="0" w:lastRowFirstColumn="0" w:lastRowLastColumn="0"/>
          <w:tblHeader/>
        </w:trPr>
        <w:tc>
          <w:tcPr>
            <w:tcW w:w="90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1261D2" w:rsidRDefault="001261D2" w:rsidP="00951662">
            <w:pPr>
              <w:pStyle w:val="Tablegridtext"/>
            </w:pPr>
            <w:r>
              <w:t xml:space="preserve">The ERI funding </w:t>
            </w:r>
            <w:r w:rsidR="00C85A2C">
              <w:t>mechanism</w:t>
            </w:r>
            <w:r>
              <w:t xml:space="preserve"> </w:t>
            </w:r>
            <w:r w:rsidR="00752663">
              <w:t xml:space="preserve">was underpinned by an </w:t>
            </w:r>
            <w:r>
              <w:t>assess</w:t>
            </w:r>
            <w:r w:rsidR="00752663">
              <w:t>ment of</w:t>
            </w:r>
            <w:r>
              <w:t xml:space="preserve"> the financial capacity of </w:t>
            </w:r>
            <w:r w:rsidR="002263C4">
              <w:t>non</w:t>
            </w:r>
            <w:r w:rsidR="002263C4">
              <w:noBreakHyphen/>
              <w:t>government</w:t>
            </w:r>
            <w:r>
              <w:t xml:space="preserve"> schools. This assessment led to schools being given an ERI rating and then allocated to one of 12 funding categories. The </w:t>
            </w:r>
            <w:r w:rsidR="002D16A3">
              <w:t>highest</w:t>
            </w:r>
            <w:r>
              <w:t xml:space="preserve"> financial capacity schools (ERI rating 0-10) were allocated to funding category 1. The </w:t>
            </w:r>
            <w:r w:rsidR="002D16A3">
              <w:t>lowest</w:t>
            </w:r>
            <w:r>
              <w:t xml:space="preserve"> financial capacity schools (ERI rating of 88+) were allocated to funding category 12. For each funding category there was a corresponding per primary or secondary student funding rate.</w:t>
            </w:r>
            <w:r w:rsidR="002D16A3">
              <w:t xml:space="preserve"> In 1997, </w:t>
            </w:r>
            <w:r>
              <w:t xml:space="preserve">funding category 1 schools were </w:t>
            </w:r>
            <w:r w:rsidR="002D16A3">
              <w:t xml:space="preserve">provided </w:t>
            </w:r>
            <w:r>
              <w:t xml:space="preserve">$501 and $795 per primary or secondary student respectively. </w:t>
            </w:r>
            <w:r w:rsidR="002D16A3">
              <w:t>C</w:t>
            </w:r>
            <w:r>
              <w:t xml:space="preserve">ategory 12 schools were </w:t>
            </w:r>
            <w:r w:rsidR="002D16A3">
              <w:t xml:space="preserve">provided </w:t>
            </w:r>
            <w:r>
              <w:t xml:space="preserve">$2,217 and $3,239 per primary or secondary student respectively </w:t>
            </w:r>
          </w:p>
          <w:p w:rsidR="001261D2" w:rsidRDefault="001261D2" w:rsidP="00951662">
            <w:pPr>
              <w:pStyle w:val="Tablegridtext"/>
            </w:pPr>
          </w:p>
          <w:p w:rsidR="001261D2" w:rsidRDefault="001261D2" w:rsidP="00951662">
            <w:pPr>
              <w:pStyle w:val="Tablegridtext"/>
            </w:pPr>
            <w:r>
              <w:t>A school’s ERI rating was determined by the percentage value generated by the following formula:</w:t>
            </w:r>
          </w:p>
          <w:p w:rsidR="001261D2" w:rsidRDefault="001261D2" w:rsidP="00951662">
            <w:pPr>
              <w:pStyle w:val="Tablegridtext"/>
              <w:ind w:left="720" w:hanging="414"/>
              <w:rPr>
                <w:i/>
              </w:rPr>
            </w:pPr>
            <w:r>
              <w:rPr>
                <w:i/>
              </w:rPr>
              <w:t xml:space="preserve">higher of:  </w:t>
            </w:r>
          </w:p>
          <w:p w:rsidR="001261D2" w:rsidRDefault="001261D2" w:rsidP="00951662">
            <w:pPr>
              <w:pStyle w:val="Tablegridtext"/>
              <w:ind w:left="1440" w:hanging="698"/>
            </w:pPr>
            <w:r>
              <w:t>Net Private Income per student (boarding and capital allowances deducted)</w:t>
            </w:r>
          </w:p>
          <w:p w:rsidR="001261D2" w:rsidRDefault="001261D2" w:rsidP="00951662">
            <w:pPr>
              <w:pStyle w:val="Tablegridtext"/>
              <w:ind w:left="1440" w:hanging="567"/>
            </w:pPr>
            <w:r>
              <w:t>or</w:t>
            </w:r>
          </w:p>
          <w:p w:rsidR="001261D2" w:rsidRDefault="001261D2" w:rsidP="00951662">
            <w:pPr>
              <w:pStyle w:val="Tablegridtext"/>
              <w:ind w:left="1440" w:hanging="698"/>
            </w:pPr>
            <w:r>
              <w:t>Operating Expenditure per student (State/Territory and Commonwealth grants deducted)</w:t>
            </w:r>
          </w:p>
          <w:p w:rsidR="001261D2" w:rsidRPr="00CC270C" w:rsidRDefault="001261D2" w:rsidP="00951662">
            <w:pPr>
              <w:pStyle w:val="Tablegridtext"/>
              <w:ind w:left="720" w:hanging="414"/>
              <w:rPr>
                <w:i/>
              </w:rPr>
            </w:pPr>
            <w:r w:rsidRPr="00CC270C">
              <w:rPr>
                <w:i/>
              </w:rPr>
              <w:t>divided by</w:t>
            </w:r>
            <w:r>
              <w:rPr>
                <w:i/>
              </w:rPr>
              <w:t>:</w:t>
            </w:r>
            <w:r w:rsidRPr="00CC270C">
              <w:rPr>
                <w:i/>
              </w:rPr>
              <w:t xml:space="preserve"> </w:t>
            </w:r>
          </w:p>
          <w:p w:rsidR="001261D2" w:rsidRPr="007313F0" w:rsidRDefault="001261D2" w:rsidP="00951662">
            <w:pPr>
              <w:pStyle w:val="Tablegridtext"/>
              <w:ind w:left="1440" w:hanging="698"/>
            </w:pPr>
            <w:r>
              <w:t>Total Assessment Standard: ‘Community standard’ (1985 to 1993), AGSRC (1993 to 2001)</w:t>
            </w:r>
          </w:p>
          <w:p w:rsidR="001261D2" w:rsidRPr="00CC270C" w:rsidRDefault="002B4F10" w:rsidP="00951662">
            <w:pPr>
              <w:pStyle w:val="Tablegridtext"/>
              <w:ind w:left="720" w:hanging="414"/>
              <w:rPr>
                <w:i/>
              </w:rPr>
            </w:pPr>
            <w:r>
              <w:rPr>
                <w:i/>
              </w:rPr>
              <w:t>E</w:t>
            </w:r>
            <w:r w:rsidR="001261D2">
              <w:rPr>
                <w:i/>
              </w:rPr>
              <w:t>quals:</w:t>
            </w:r>
            <w:r w:rsidR="001261D2" w:rsidRPr="00CC270C">
              <w:rPr>
                <w:i/>
              </w:rPr>
              <w:t xml:space="preserve"> </w:t>
            </w:r>
          </w:p>
          <w:p w:rsidR="001261D2" w:rsidRPr="007313F0" w:rsidRDefault="001261D2" w:rsidP="00951662">
            <w:pPr>
              <w:pStyle w:val="Tablegridtext"/>
              <w:ind w:left="1440" w:hanging="698"/>
            </w:pPr>
            <w:r>
              <w:t>ERI rating percentage</w:t>
            </w:r>
          </w:p>
          <w:p w:rsidR="002B4F10" w:rsidRDefault="002B4F10" w:rsidP="00951662">
            <w:pPr>
              <w:pStyle w:val="Tablegridtext"/>
            </w:pPr>
          </w:p>
          <w:p w:rsidR="002B4F10" w:rsidRDefault="002B4F10" w:rsidP="00951662">
            <w:pPr>
              <w:pStyle w:val="Tablegridtext"/>
            </w:pPr>
            <w:r>
              <w:t>Under the ERI funding model, systemic schools were allocated to a single ERI rating and thus funding category, for their system. A system rating was determined from the enrolment weighted average of the individual ratings of each school within a system.</w:t>
            </w:r>
          </w:p>
          <w:p w:rsidR="002B4F10" w:rsidRDefault="002B4F10" w:rsidP="00951662">
            <w:pPr>
              <w:pStyle w:val="Tablegridtext"/>
            </w:pPr>
          </w:p>
          <w:p w:rsidR="002B4F10" w:rsidRDefault="00E9789C" w:rsidP="00951662">
            <w:pPr>
              <w:pStyle w:val="Tablegridtext"/>
            </w:pPr>
            <w:r>
              <w:t xml:space="preserve">ERI funding to </w:t>
            </w:r>
            <w:r w:rsidR="002263C4">
              <w:t>non</w:t>
            </w:r>
            <w:r w:rsidR="002263C4">
              <w:noBreakHyphen/>
              <w:t>government</w:t>
            </w:r>
            <w:r>
              <w:t xml:space="preserve"> school</w:t>
            </w:r>
            <w:r w:rsidR="00892A59">
              <w:t>s</w:t>
            </w:r>
            <w:r>
              <w:t xml:space="preserve"> was also </w:t>
            </w:r>
            <w:r w:rsidR="002B4F10">
              <w:t xml:space="preserve">influenced by several </w:t>
            </w:r>
            <w:r w:rsidR="00892A59">
              <w:t>other requirements</w:t>
            </w:r>
            <w:r w:rsidR="002B4F10">
              <w:t>:</w:t>
            </w:r>
          </w:p>
          <w:p w:rsidR="002B4F10" w:rsidRDefault="00E9789C" w:rsidP="00752663">
            <w:pPr>
              <w:pStyle w:val="Tablegriddotpoints"/>
            </w:pPr>
            <w:r>
              <w:t>Maintenance of Effort (MOE) and Private Income (PI)</w:t>
            </w:r>
            <w:r w:rsidR="002D16A3">
              <w:t>—s</w:t>
            </w:r>
            <w:r>
              <w:t xml:space="preserve">chools </w:t>
            </w:r>
            <w:r w:rsidR="007C2E7F">
              <w:t xml:space="preserve">were required </w:t>
            </w:r>
            <w:r>
              <w:t xml:space="preserve">to maintain their </w:t>
            </w:r>
            <w:r w:rsidR="004A2A7B">
              <w:t xml:space="preserve">expenditure on recurrent resources, and to </w:t>
            </w:r>
            <w:r>
              <w:t>increase private income by at least 3</w:t>
            </w:r>
            <w:r w:rsidR="004A2A7B">
              <w:t xml:space="preserve"> per cent per annum. Both these requirements </w:t>
            </w:r>
            <w:r w:rsidR="00DE5144">
              <w:t>had</w:t>
            </w:r>
            <w:r w:rsidR="004A2A7B">
              <w:t xml:space="preserve"> to be met if a school’s ERI rating changed to the extent </w:t>
            </w:r>
            <w:r w:rsidR="00DB1035">
              <w:t xml:space="preserve">that </w:t>
            </w:r>
            <w:r w:rsidR="004A2A7B">
              <w:t xml:space="preserve">a school was </w:t>
            </w:r>
            <w:r w:rsidR="007C2E7F">
              <w:t>allocated to a higher funding category.</w:t>
            </w:r>
          </w:p>
          <w:p w:rsidR="007C2E7F" w:rsidRDefault="007C2E7F" w:rsidP="007C2E7F">
            <w:pPr>
              <w:pStyle w:val="Tablegriddotpoints"/>
            </w:pPr>
            <w:r>
              <w:t>Limit on Private Income</w:t>
            </w:r>
            <w:r w:rsidR="002D16A3">
              <w:t>—</w:t>
            </w:r>
            <w:r>
              <w:t xml:space="preserve">schools were allowed to increase their private income by up to 5 per cent per year, without this affecting the school’s funding category. </w:t>
            </w:r>
          </w:p>
          <w:p w:rsidR="007C2E7F" w:rsidRDefault="001261D2" w:rsidP="007C2E7F">
            <w:pPr>
              <w:pStyle w:val="Tablegriddotpoints"/>
            </w:pPr>
            <w:r>
              <w:t xml:space="preserve">Funding </w:t>
            </w:r>
            <w:r w:rsidR="007C2E7F">
              <w:t>G</w:t>
            </w:r>
            <w:r>
              <w:t>uarantee</w:t>
            </w:r>
            <w:r w:rsidR="007C2E7F">
              <w:t>s</w:t>
            </w:r>
            <w:r w:rsidR="002D16A3">
              <w:t>—</w:t>
            </w:r>
            <w:r w:rsidR="007C2E7F">
              <w:t>If a school was assessed as moving into a lower funding category, funding was held, in nominal terms, at the pre-existing level until indexation of funding rates result</w:t>
            </w:r>
            <w:r w:rsidR="00DE5144">
              <w:t>ed</w:t>
            </w:r>
            <w:r w:rsidR="007C2E7F">
              <w:t xml:space="preserve"> in the lower category funding rate equalling the ‘guaranteed’ funding amount.</w:t>
            </w:r>
          </w:p>
          <w:p w:rsidR="001261D2" w:rsidRDefault="007C2E7F" w:rsidP="00A154F6">
            <w:pPr>
              <w:pStyle w:val="Tablegriddotpoints"/>
              <w:spacing w:after="120"/>
            </w:pPr>
            <w:r>
              <w:t>Capital Concession</w:t>
            </w:r>
            <w:r w:rsidR="002D16A3">
              <w:t>—</w:t>
            </w:r>
            <w:r>
              <w:t>If approved by the Australian Government, schools could deduct private capital income in excess of a specified capital allowance</w:t>
            </w:r>
            <w:r w:rsidR="00892A59">
              <w:t xml:space="preserve">, from the private income used in the ERI rating formula. </w:t>
            </w:r>
          </w:p>
        </w:tc>
      </w:tr>
    </w:tbl>
    <w:p w:rsidR="001261D2" w:rsidRPr="0051627A" w:rsidRDefault="001261D2" w:rsidP="0051627A">
      <w:pPr>
        <w:pStyle w:val="Datasource"/>
      </w:pPr>
      <w:r w:rsidRPr="0051627A">
        <w:t xml:space="preserve">Source: </w:t>
      </w:r>
      <w:r w:rsidR="00AC1987">
        <w:rPr>
          <w:noProof/>
        </w:rPr>
        <w:t>Department of Employment, Education, Training and Youth Affairs (1997)</w:t>
      </w:r>
    </w:p>
    <w:p w:rsidR="006A436D" w:rsidRDefault="006A436D" w:rsidP="006A436D">
      <w:r>
        <w:t xml:space="preserve">The overall </w:t>
      </w:r>
      <w:r w:rsidR="002A02EC">
        <w:t xml:space="preserve">consultation </w:t>
      </w:r>
      <w:r>
        <w:t xml:space="preserve">finding was that key elements of the ERI funding </w:t>
      </w:r>
      <w:r w:rsidR="00C85A2C">
        <w:t xml:space="preserve">mechanism </w:t>
      </w:r>
      <w:r>
        <w:t xml:space="preserve">were considered </w:t>
      </w:r>
      <w:r w:rsidR="00DE0DB9">
        <w:t xml:space="preserve">‘unfair or anomalous’ </w:t>
      </w:r>
      <w:r>
        <w:t xml:space="preserve">by the </w:t>
      </w:r>
      <w:r w:rsidR="002263C4">
        <w:t>non</w:t>
      </w:r>
      <w:r w:rsidR="002263C4">
        <w:noBreakHyphen/>
        <w:t>government</w:t>
      </w:r>
      <w:r>
        <w:t xml:space="preserve"> school community </w:t>
      </w:r>
      <w:sdt>
        <w:sdtPr>
          <w:id w:val="-434677117"/>
          <w:citation/>
        </w:sdtPr>
        <w:sdtContent>
          <w:r>
            <w:fldChar w:fldCharType="begin"/>
          </w:r>
          <w:r>
            <w:instrText xml:space="preserve">CITATION Dep97 \p 33 \l 3081 </w:instrText>
          </w:r>
          <w:r>
            <w:fldChar w:fldCharType="separate"/>
          </w:r>
          <w:r w:rsidR="005333F5">
            <w:rPr>
              <w:noProof/>
            </w:rPr>
            <w:t>(Department of Employment, Education, Training and Youth Affairs, 1997, p. 33)</w:t>
          </w:r>
          <w:r>
            <w:fldChar w:fldCharType="end"/>
          </w:r>
        </w:sdtContent>
      </w:sdt>
      <w:r>
        <w:t>. Specific concerns included:</w:t>
      </w:r>
    </w:p>
    <w:p w:rsidR="00C85A2C" w:rsidRDefault="00C85A2C" w:rsidP="00951662">
      <w:pPr>
        <w:pStyle w:val="Dotpoints"/>
      </w:pPr>
      <w:r>
        <w:t xml:space="preserve">the complexity of the ERI </w:t>
      </w:r>
      <w:r w:rsidR="0026085B">
        <w:t xml:space="preserve">mechanism, </w:t>
      </w:r>
      <w:r>
        <w:t>which forced schools to undertake ‘mathematical acrobatics’ to maintain their funding</w:t>
      </w:r>
    </w:p>
    <w:p w:rsidR="00C85A2C" w:rsidRDefault="00C85A2C" w:rsidP="00951662">
      <w:pPr>
        <w:pStyle w:val="Dotpoints"/>
      </w:pPr>
      <w:r>
        <w:t xml:space="preserve">school-level </w:t>
      </w:r>
      <w:r w:rsidR="0026085B">
        <w:t>educational and management</w:t>
      </w:r>
      <w:r>
        <w:t xml:space="preserve"> deci</w:t>
      </w:r>
      <w:r w:rsidR="0026085B">
        <w:t>sion-making was unduly influenced by the ERI mechanism</w:t>
      </w:r>
    </w:p>
    <w:p w:rsidR="00C85A2C" w:rsidRDefault="006A436D" w:rsidP="00951662">
      <w:pPr>
        <w:pStyle w:val="Dotpoints"/>
      </w:pPr>
      <w:r>
        <w:t>the formula for calculating the ERI rating was discourag</w:t>
      </w:r>
      <w:r w:rsidR="0026085B">
        <w:t>ing</w:t>
      </w:r>
      <w:r>
        <w:t xml:space="preserve"> private investment, and providing a disincentive for schools to raise additional income through fund raising or other means </w:t>
      </w:r>
    </w:p>
    <w:p w:rsidR="006A436D" w:rsidRDefault="006A436D" w:rsidP="006A436D">
      <w:pPr>
        <w:pStyle w:val="Dotpoints"/>
      </w:pPr>
      <w:r>
        <w:t>no consideration was made of school facilities and infrastructure, or the financial position of schools (i.e. assets or liabilities)</w:t>
      </w:r>
    </w:p>
    <w:p w:rsidR="00C85A2C" w:rsidRDefault="006A436D" w:rsidP="00C85A2C">
      <w:pPr>
        <w:pStyle w:val="Dotpoints"/>
      </w:pPr>
      <w:r>
        <w:t xml:space="preserve">the </w:t>
      </w:r>
      <w:r w:rsidR="00A15759">
        <w:t>M</w:t>
      </w:r>
      <w:r>
        <w:t xml:space="preserve">aintenance of </w:t>
      </w:r>
      <w:r w:rsidR="00A15759">
        <w:t>E</w:t>
      </w:r>
      <w:r>
        <w:t xml:space="preserve">ffort and </w:t>
      </w:r>
      <w:r w:rsidR="00A15759">
        <w:t>P</w:t>
      </w:r>
      <w:r>
        <w:t xml:space="preserve">rivate </w:t>
      </w:r>
      <w:r w:rsidR="00A15759">
        <w:t>I</w:t>
      </w:r>
      <w:r>
        <w:t xml:space="preserve">ncome requirements </w:t>
      </w:r>
    </w:p>
    <w:p w:rsidR="006A436D" w:rsidRDefault="00C85A2C" w:rsidP="00763C14">
      <w:pPr>
        <w:pStyle w:val="Dotpoints"/>
        <w:spacing w:after="200"/>
        <w:ind w:left="1071" w:hanging="357"/>
      </w:pPr>
      <w:r>
        <w:t xml:space="preserve">schools with similar student populations </w:t>
      </w:r>
      <w:r w:rsidR="0026085B">
        <w:t xml:space="preserve">were </w:t>
      </w:r>
      <w:r>
        <w:t xml:space="preserve">receiving </w:t>
      </w:r>
      <w:r w:rsidR="0026085B">
        <w:t xml:space="preserve">very different ERI ratings and thus </w:t>
      </w:r>
      <w:r>
        <w:t>Australian Government funding levels</w:t>
      </w:r>
      <w:r w:rsidR="0026085B">
        <w:t xml:space="preserve"> </w:t>
      </w:r>
      <w:sdt>
        <w:sdtPr>
          <w:id w:val="-1596623070"/>
          <w:citation/>
        </w:sdtPr>
        <w:sdtContent>
          <w:r>
            <w:fldChar w:fldCharType="begin"/>
          </w:r>
          <w:r>
            <w:instrText xml:space="preserve">CITATION Dep97 \l 3081 </w:instrText>
          </w:r>
          <w:r>
            <w:fldChar w:fldCharType="separate"/>
          </w:r>
          <w:r w:rsidR="005333F5">
            <w:rPr>
              <w:noProof/>
            </w:rPr>
            <w:t>(Department of Employment, Education, Training and Youth Affairs, 1997)</w:t>
          </w:r>
          <w:r>
            <w:fldChar w:fldCharType="end"/>
          </w:r>
        </w:sdtContent>
      </w:sdt>
      <w:r>
        <w:t>.</w:t>
      </w:r>
    </w:p>
    <w:p w:rsidR="001261D2" w:rsidRDefault="00C85A2C" w:rsidP="00763C14">
      <w:pPr>
        <w:spacing w:after="240"/>
      </w:pPr>
      <w:r>
        <w:t xml:space="preserve">The consultation process also </w:t>
      </w:r>
      <w:r w:rsidR="00625A6F">
        <w:t xml:space="preserve">considered </w:t>
      </w:r>
      <w:r w:rsidR="00CF1501">
        <w:t>five alternative</w:t>
      </w:r>
      <w:r w:rsidR="001261D2">
        <w:t xml:space="preserve"> options for the future provision of Australian Government funding to </w:t>
      </w:r>
      <w:r w:rsidR="002263C4">
        <w:t>non</w:t>
      </w:r>
      <w:r w:rsidR="002263C4">
        <w:noBreakHyphen/>
        <w:t>government</w:t>
      </w:r>
      <w:r w:rsidR="001261D2">
        <w:t xml:space="preserve"> schools: </w:t>
      </w:r>
    </w:p>
    <w:p w:rsidR="001261D2" w:rsidRDefault="008A38DA" w:rsidP="001261D2">
      <w:pPr>
        <w:pStyle w:val="Dotpoints"/>
      </w:pPr>
      <w:r>
        <w:t xml:space="preserve">a </w:t>
      </w:r>
      <w:r w:rsidR="001261D2">
        <w:t xml:space="preserve">school resource approach, such as an amended ERI, an income-expenditure approach </w:t>
      </w:r>
      <w:r>
        <w:t>or</w:t>
      </w:r>
      <w:r w:rsidR="001261D2">
        <w:t xml:space="preserve"> other model</w:t>
      </w:r>
    </w:p>
    <w:p w:rsidR="00625A6F" w:rsidRDefault="008A38DA" w:rsidP="00625A6F">
      <w:pPr>
        <w:pStyle w:val="Dotpoints"/>
      </w:pPr>
      <w:r>
        <w:t xml:space="preserve">an </w:t>
      </w:r>
      <w:r w:rsidR="00625A6F">
        <w:t>income</w:t>
      </w:r>
      <w:r w:rsidR="00FC1301">
        <w:t>-</w:t>
      </w:r>
      <w:r w:rsidR="00625A6F">
        <w:t>based approach, using family income information</w:t>
      </w:r>
    </w:p>
    <w:p w:rsidR="001261D2" w:rsidRDefault="008A38DA" w:rsidP="001261D2">
      <w:pPr>
        <w:pStyle w:val="Dotpoints"/>
      </w:pPr>
      <w:r>
        <w:t xml:space="preserve">an </w:t>
      </w:r>
      <w:r w:rsidR="001261D2">
        <w:t>individual</w:t>
      </w:r>
      <w:r w:rsidR="00FD0271">
        <w:t>-</w:t>
      </w:r>
      <w:r w:rsidR="001261D2">
        <w:t xml:space="preserve">based </w:t>
      </w:r>
      <w:r w:rsidR="00CF1501">
        <w:t>approach</w:t>
      </w:r>
      <w:r w:rsidR="001261D2">
        <w:t>, including flat-rate or means-tested vouchers</w:t>
      </w:r>
    </w:p>
    <w:p w:rsidR="001261D2" w:rsidRDefault="001261D2" w:rsidP="001261D2">
      <w:pPr>
        <w:pStyle w:val="Dotpoints"/>
      </w:pPr>
      <w:r>
        <w:t xml:space="preserve">an approach to funding based on the SES of the school community </w:t>
      </w:r>
    </w:p>
    <w:p w:rsidR="001261D2" w:rsidRDefault="001261D2" w:rsidP="00763C14">
      <w:pPr>
        <w:pStyle w:val="Dotpoints"/>
        <w:spacing w:after="200"/>
        <w:ind w:left="1071" w:hanging="357"/>
      </w:pPr>
      <w:r>
        <w:t>a tiered approach, combining a base grant with another needs-based component</w:t>
      </w:r>
      <w:r w:rsidR="00196999">
        <w:t xml:space="preserve"> </w:t>
      </w:r>
      <w:sdt>
        <w:sdtPr>
          <w:id w:val="1033316398"/>
          <w:citation/>
        </w:sdtPr>
        <w:sdtContent>
          <w:r w:rsidR="00196999">
            <w:fldChar w:fldCharType="begin"/>
          </w:r>
          <w:r w:rsidR="00196999">
            <w:instrText xml:space="preserve"> CITATION Dep97 \l 3081 </w:instrText>
          </w:r>
          <w:r w:rsidR="00196999">
            <w:fldChar w:fldCharType="separate"/>
          </w:r>
          <w:r w:rsidR="005333F5">
            <w:rPr>
              <w:noProof/>
            </w:rPr>
            <w:t>(Department of Employment, Education, Training and Youth Affairs, 1997)</w:t>
          </w:r>
          <w:r w:rsidR="00196999">
            <w:fldChar w:fldCharType="end"/>
          </w:r>
        </w:sdtContent>
      </w:sdt>
      <w:r>
        <w:t xml:space="preserve">. </w:t>
      </w:r>
    </w:p>
    <w:p w:rsidR="00E170BA" w:rsidRDefault="00CF1501" w:rsidP="00763C14">
      <w:pPr>
        <w:spacing w:after="200"/>
      </w:pPr>
      <w:r>
        <w:t xml:space="preserve">These options, and a summary of commentary provided in the associated consultation report, are </w:t>
      </w:r>
      <w:r w:rsidR="00FD0271">
        <w:t>presented</w:t>
      </w:r>
      <w:r>
        <w:t xml:space="preserve"> in </w:t>
      </w:r>
      <w:r>
        <w:fldChar w:fldCharType="begin"/>
      </w:r>
      <w:r>
        <w:instrText xml:space="preserve"> REF _Ref491430323 \h </w:instrText>
      </w:r>
      <w:r>
        <w:fldChar w:fldCharType="separate"/>
      </w:r>
      <w:r w:rsidR="00B52C11">
        <w:t xml:space="preserve">Table </w:t>
      </w:r>
      <w:r w:rsidR="00B52C11">
        <w:rPr>
          <w:noProof/>
        </w:rPr>
        <w:t>2</w:t>
      </w:r>
      <w:r w:rsidR="00B52C11">
        <w:noBreakHyphen/>
      </w:r>
      <w:r w:rsidR="00B52C11">
        <w:rPr>
          <w:noProof/>
        </w:rPr>
        <w:t>1</w:t>
      </w:r>
      <w:r>
        <w:fldChar w:fldCharType="end"/>
      </w:r>
      <w:r>
        <w:t>.</w:t>
      </w:r>
      <w:r w:rsidR="00DE0DB9">
        <w:t xml:space="preserve"> The consultation report did not include detailed assessment of these five options. Rather, it noted issues raised during the consultation process, alongside design or implementation considerations. </w:t>
      </w:r>
    </w:p>
    <w:p w:rsidR="00CF1501" w:rsidRDefault="00DE0DB9" w:rsidP="00763C14">
      <w:pPr>
        <w:spacing w:after="200"/>
      </w:pPr>
      <w:r>
        <w:t xml:space="preserve">Stakeholder response to the consultation report </w:t>
      </w:r>
      <w:r w:rsidR="00CF1501">
        <w:t>echo</w:t>
      </w:r>
      <w:r>
        <w:t>ed</w:t>
      </w:r>
      <w:r w:rsidR="00CF1501">
        <w:t xml:space="preserve"> the view that the ERI mechanism </w:t>
      </w:r>
      <w:r w:rsidR="00EC0572">
        <w:t xml:space="preserve">should </w:t>
      </w:r>
      <w:r w:rsidR="00CF1501">
        <w:t xml:space="preserve">not be continued without amendment. There was support for an alternative school-resource based approach, particularly among schools in the higher ERI funding categories. Other approaches were </w:t>
      </w:r>
      <w:r w:rsidR="002D16A3">
        <w:t>considered</w:t>
      </w:r>
      <w:r w:rsidR="00CF1501">
        <w:t xml:space="preserve"> </w:t>
      </w:r>
      <w:r w:rsidR="002D16A3">
        <w:t xml:space="preserve">more intrusive and </w:t>
      </w:r>
      <w:r w:rsidR="00CF1501">
        <w:t xml:space="preserve">less educationally accountable. There was also support for further consideration of an individual-based approach so as to maximise school choice and responsiveness. Finally, there was interest among the </w:t>
      </w:r>
      <w:r w:rsidR="002263C4">
        <w:t>non</w:t>
      </w:r>
      <w:r w:rsidR="002263C4">
        <w:noBreakHyphen/>
        <w:t>government</w:t>
      </w:r>
      <w:r w:rsidR="00CF1501">
        <w:t xml:space="preserve"> school community </w:t>
      </w:r>
      <w:r w:rsidR="00FC1301">
        <w:t xml:space="preserve">in a funding model based on the SES of school communities </w:t>
      </w:r>
      <w:sdt>
        <w:sdtPr>
          <w:id w:val="-1984221444"/>
          <w:citation/>
        </w:sdtPr>
        <w:sdtContent>
          <w:r w:rsidR="00FC1301">
            <w:fldChar w:fldCharType="begin"/>
          </w:r>
          <w:r w:rsidR="00FC1301">
            <w:instrText xml:space="preserve"> CITATION Sch \l 3081 </w:instrText>
          </w:r>
          <w:r w:rsidR="00FC1301">
            <w:fldChar w:fldCharType="separate"/>
          </w:r>
          <w:r w:rsidR="005333F5">
            <w:rPr>
              <w:noProof/>
            </w:rPr>
            <w:t>(Department of Education, Training and Youth Affairs, 1998)</w:t>
          </w:r>
          <w:r w:rsidR="00FC1301">
            <w:fldChar w:fldCharType="end"/>
          </w:r>
        </w:sdtContent>
      </w:sdt>
      <w:r w:rsidR="00FC1301">
        <w:t xml:space="preserve">. </w:t>
      </w:r>
    </w:p>
    <w:p w:rsidR="00CF1501" w:rsidRDefault="00DE0DB9" w:rsidP="00763C14">
      <w:pPr>
        <w:spacing w:after="200"/>
      </w:pPr>
      <w:r>
        <w:t>T</w:t>
      </w:r>
      <w:r w:rsidR="00CF1501">
        <w:t>wo approaches were the focus of a funding forum in December 1997</w:t>
      </w:r>
      <w:r w:rsidR="002932EC">
        <w:t xml:space="preserve">—an </w:t>
      </w:r>
      <w:r w:rsidR="00CF1501">
        <w:t>approach based upon the family income of students, and an SES measure of a school’s community. Both were intended to measure the ‘capacity to support the school’</w:t>
      </w:r>
      <w:r w:rsidR="00FC1301">
        <w:t xml:space="preserve">, and were selected for further discussion as they were relatively unfamiliar. This unfamiliarity contrasted with school resource approaches, which were </w:t>
      </w:r>
      <w:r w:rsidR="008344D2">
        <w:t>known</w:t>
      </w:r>
      <w:r w:rsidR="00FC1301">
        <w:t xml:space="preserve"> to the Australian Government and </w:t>
      </w:r>
      <w:r w:rsidR="002263C4">
        <w:t>non</w:t>
      </w:r>
      <w:r w:rsidR="002263C4">
        <w:noBreakHyphen/>
        <w:t>government</w:t>
      </w:r>
      <w:r w:rsidR="00FC1301">
        <w:t xml:space="preserve"> school stakeholders</w:t>
      </w:r>
      <w:r w:rsidR="00030611">
        <w:t>.</w:t>
      </w:r>
      <w:r w:rsidR="00CF1501">
        <w:t xml:space="preserve"> </w:t>
      </w:r>
      <w:r w:rsidR="00030611">
        <w:t>It was noted at the time that none of the alternative approaches had been ruled out</w:t>
      </w:r>
      <w:sdt>
        <w:sdtPr>
          <w:id w:val="-1293899406"/>
          <w:citation/>
        </w:sdtPr>
        <w:sdtContent>
          <w:r w:rsidR="00CF1501">
            <w:fldChar w:fldCharType="begin"/>
          </w:r>
          <w:r w:rsidR="00FC1301">
            <w:instrText xml:space="preserve">CITATION Sch \p 4 \l 3081 </w:instrText>
          </w:r>
          <w:r w:rsidR="00CF1501">
            <w:fldChar w:fldCharType="separate"/>
          </w:r>
          <w:r w:rsidR="005333F5">
            <w:rPr>
              <w:noProof/>
            </w:rPr>
            <w:t xml:space="preserve"> (Department of Education, Training and Youth Affairs, 1998, p. 4)</w:t>
          </w:r>
          <w:r w:rsidR="00CF1501">
            <w:fldChar w:fldCharType="end"/>
          </w:r>
        </w:sdtContent>
      </w:sdt>
      <w:r w:rsidR="00CF1501">
        <w:t xml:space="preserve">. </w:t>
      </w:r>
    </w:p>
    <w:p w:rsidR="002932EC" w:rsidRDefault="002932EC" w:rsidP="00E170BA">
      <w:r>
        <w:t>Concerns around the reliability of currently available data, administrative difficulties, privacy, and funding stability led to the family income approach not being supported by stakeholders attending the forum. Instead further consideration and development of an SES measure approach was endorsed</w:t>
      </w:r>
      <w:sdt>
        <w:sdtPr>
          <w:id w:val="-496117338"/>
          <w:citation/>
        </w:sdtPr>
        <w:sdtContent>
          <w:r>
            <w:fldChar w:fldCharType="begin"/>
          </w:r>
          <w:r>
            <w:instrText xml:space="preserve"> CITATION Sch \l 3081 </w:instrText>
          </w:r>
          <w:r>
            <w:fldChar w:fldCharType="separate"/>
          </w:r>
          <w:r w:rsidR="005333F5">
            <w:rPr>
              <w:noProof/>
            </w:rPr>
            <w:t xml:space="preserve"> (Department of Education, Training and Youth Affairs, 1998)</w:t>
          </w:r>
          <w:r>
            <w:fldChar w:fldCharType="end"/>
          </w:r>
        </w:sdtContent>
      </w:sdt>
      <w:r>
        <w:t>.</w:t>
      </w:r>
    </w:p>
    <w:p w:rsidR="004D16B4" w:rsidRDefault="004D16B4" w:rsidP="00763C14">
      <w:pPr>
        <w:spacing w:after="240"/>
        <w:sectPr w:rsidR="004D16B4" w:rsidSect="000420D6">
          <w:headerReference w:type="even" r:id="rId29"/>
          <w:headerReference w:type="default" r:id="rId30"/>
          <w:headerReference w:type="first" r:id="rId31"/>
          <w:pgSz w:w="11907" w:h="16839" w:code="9"/>
          <w:pgMar w:top="1440" w:right="1440" w:bottom="1440" w:left="1440" w:header="720" w:footer="720" w:gutter="0"/>
          <w:pgNumType w:start="1"/>
          <w:cols w:space="720"/>
          <w:noEndnote/>
          <w:docGrid w:linePitch="326"/>
        </w:sectPr>
      </w:pPr>
    </w:p>
    <w:p w:rsidR="00625A6F" w:rsidRPr="001953B8" w:rsidRDefault="00625A6F" w:rsidP="004C403D">
      <w:pPr>
        <w:pStyle w:val="Heading3"/>
        <w:spacing w:after="0"/>
      </w:pPr>
      <w:bookmarkStart w:id="52" w:name="_Ref491430323"/>
      <w:bookmarkStart w:id="53" w:name="_Toc496803944"/>
      <w:r>
        <w:t xml:space="preserve">Table </w:t>
      </w:r>
      <w:fldSimple w:instr=" STYLEREF  \s &quot;Heading 11&quot; ">
        <w:r w:rsidR="00B52C11">
          <w:rPr>
            <w:noProof/>
          </w:rPr>
          <w:t>2</w:t>
        </w:r>
      </w:fldSimple>
      <w:r w:rsidR="002E2D3F">
        <w:noBreakHyphen/>
      </w:r>
      <w:fldSimple w:instr=" SEQ Table \* ARABIC \s 1 ">
        <w:r w:rsidR="00B52C11">
          <w:rPr>
            <w:noProof/>
          </w:rPr>
          <w:t>1</w:t>
        </w:r>
      </w:fldSimple>
      <w:bookmarkEnd w:id="52"/>
      <w:r>
        <w:tab/>
      </w:r>
      <w:r w:rsidR="001C501B">
        <w:t>O</w:t>
      </w:r>
      <w:r>
        <w:t xml:space="preserve">ptions </w:t>
      </w:r>
      <w:r w:rsidR="001C501B">
        <w:t xml:space="preserve">considered </w:t>
      </w:r>
      <w:r w:rsidR="00360761">
        <w:t xml:space="preserve">for allocating funds to </w:t>
      </w:r>
      <w:r w:rsidR="002263C4">
        <w:t>non</w:t>
      </w:r>
      <w:r w:rsidR="002263C4">
        <w:noBreakHyphen/>
        <w:t>government</w:t>
      </w:r>
      <w:r w:rsidR="00360761">
        <w:t xml:space="preserve"> school</w:t>
      </w:r>
      <w:r w:rsidR="001C501B">
        <w:t>s</w:t>
      </w:r>
      <w:bookmarkEnd w:id="53"/>
      <w:r w:rsidR="00360761">
        <w:t xml:space="preserve"> </w:t>
      </w:r>
    </w:p>
    <w:tbl>
      <w:tblPr>
        <w:tblStyle w:val="TableGrid"/>
        <w:tblW w:w="14283" w:type="dxa"/>
        <w:tblLook w:val="04A0" w:firstRow="1" w:lastRow="0" w:firstColumn="1" w:lastColumn="0" w:noHBand="0" w:noVBand="1"/>
        <w:tblCaption w:val="Table 2 1 Options considered for allocating funds to non government schools "/>
        <w:tblDescription w:val="Summary of different approaches to allocating funds, including:&#10;School resources. Options included funding based on:&#10;• reported tuition fee income&#10;• published fee schedule&#10;• school recurrent expenditure compared to benchmark&#10;• income/expenditure differential&#10;• comparison with government schools&#10;Or&#10;Income-based approach which explores means-tested payments to schools (based on family income and/or assets test)&#10;Or&#10;Individual-based approach. Options considered:&#10;• flat rate voucher&#10;• means tested voucher&#10;• voucher adjusted for educational need&#10;Or&#10;School community socio-economic status. An index of a school’s socio-economic mix, measuring:&#10;• capacity to contribute&#10;• educational need of school communities&#10;• relative resource need of schools&#10;OR&#10;Tiered approach. Comprises three funding elements:&#10;• base operating costs grant&#10;• voucher/entitlement based on parental income, or per capita payment based on school SES&#10;• costs associated with educational need. &#10;&#10;"/>
      </w:tblPr>
      <w:tblGrid>
        <w:gridCol w:w="1701"/>
        <w:gridCol w:w="3402"/>
        <w:gridCol w:w="9180"/>
      </w:tblGrid>
      <w:tr w:rsidR="00625A6F" w:rsidTr="00A260FB">
        <w:trPr>
          <w:cnfStyle w:val="100000000000" w:firstRow="1" w:lastRow="0" w:firstColumn="0" w:lastColumn="0" w:oddVBand="0" w:evenVBand="0" w:oddHBand="0" w:evenHBand="0" w:firstRowFirstColumn="0" w:firstRowLastColumn="0" w:lastRowFirstColumn="0" w:lastRowLastColumn="0"/>
          <w:tblHeader/>
        </w:trPr>
        <w:tc>
          <w:tcPr>
            <w:tcW w:w="1701" w:type="dxa"/>
          </w:tcPr>
          <w:p w:rsidR="00625A6F" w:rsidRDefault="00625A6F" w:rsidP="004C403D">
            <w:pPr>
              <w:pStyle w:val="Tablegridheading"/>
              <w:spacing w:before="0" w:after="0"/>
            </w:pPr>
            <w:r>
              <w:t>Approach</w:t>
            </w:r>
          </w:p>
        </w:tc>
        <w:tc>
          <w:tcPr>
            <w:tcW w:w="3402" w:type="dxa"/>
          </w:tcPr>
          <w:p w:rsidR="00625A6F" w:rsidRDefault="00625A6F" w:rsidP="004C403D">
            <w:pPr>
              <w:pStyle w:val="Tablegridheading"/>
              <w:spacing w:before="0" w:after="0"/>
            </w:pPr>
            <w:r>
              <w:t>Features</w:t>
            </w:r>
          </w:p>
        </w:tc>
        <w:tc>
          <w:tcPr>
            <w:tcW w:w="9180" w:type="dxa"/>
          </w:tcPr>
          <w:p w:rsidR="00625A6F" w:rsidRDefault="001206A5" w:rsidP="004C403D">
            <w:pPr>
              <w:pStyle w:val="Tablegridheading"/>
              <w:spacing w:before="0" w:after="0"/>
            </w:pPr>
            <w:r>
              <w:t>Summary of c</w:t>
            </w:r>
            <w:r w:rsidR="00AB4E01">
              <w:t>ommentary on alternative funding options</w:t>
            </w:r>
          </w:p>
        </w:tc>
      </w:tr>
      <w:tr w:rsidR="00625A6F" w:rsidTr="00A260FB">
        <w:tc>
          <w:tcPr>
            <w:tcW w:w="1701" w:type="dxa"/>
          </w:tcPr>
          <w:p w:rsidR="00625A6F" w:rsidRDefault="00625A6F" w:rsidP="004C403D">
            <w:pPr>
              <w:pStyle w:val="Tablegridtext"/>
            </w:pPr>
            <w:r>
              <w:t>School resource approach</w:t>
            </w:r>
            <w:r w:rsidR="004E1870">
              <w:t>es</w:t>
            </w:r>
          </w:p>
        </w:tc>
        <w:tc>
          <w:tcPr>
            <w:tcW w:w="3402" w:type="dxa"/>
          </w:tcPr>
          <w:p w:rsidR="00625A6F" w:rsidRDefault="003C493B" w:rsidP="004C403D">
            <w:pPr>
              <w:pStyle w:val="Tablegridtext"/>
              <w:jc w:val="left"/>
            </w:pPr>
            <w:r>
              <w:t>O</w:t>
            </w:r>
            <w:r w:rsidR="00951662">
              <w:t xml:space="preserve">ptions </w:t>
            </w:r>
            <w:r>
              <w:t>included funding based on:</w:t>
            </w:r>
          </w:p>
          <w:p w:rsidR="00951662" w:rsidRPr="003C493B" w:rsidRDefault="00360761" w:rsidP="004C403D">
            <w:pPr>
              <w:pStyle w:val="Tablegriddotpoints"/>
              <w:jc w:val="left"/>
            </w:pPr>
            <w:r>
              <w:t>reported tuition fee income</w:t>
            </w:r>
          </w:p>
          <w:p w:rsidR="003C493B" w:rsidRDefault="003C493B" w:rsidP="004C403D">
            <w:pPr>
              <w:pStyle w:val="Tablegriddotpoints"/>
              <w:jc w:val="left"/>
            </w:pPr>
            <w:r>
              <w:t>published fee schedule</w:t>
            </w:r>
          </w:p>
          <w:p w:rsidR="003C493B" w:rsidRDefault="007C4CB3" w:rsidP="004C403D">
            <w:pPr>
              <w:pStyle w:val="Tablegriddotpoints"/>
              <w:jc w:val="left"/>
            </w:pPr>
            <w:r>
              <w:t>school recurrent expenditure</w:t>
            </w:r>
            <w:r w:rsidR="00360761">
              <w:t xml:space="preserve"> compared to </w:t>
            </w:r>
            <w:r>
              <w:t>benchmark</w:t>
            </w:r>
          </w:p>
          <w:p w:rsidR="009C5E1C" w:rsidRDefault="009C5E1C" w:rsidP="004C403D">
            <w:pPr>
              <w:pStyle w:val="Tablegriddotpoints"/>
              <w:jc w:val="left"/>
            </w:pPr>
            <w:r>
              <w:t>income/expenditure differential</w:t>
            </w:r>
          </w:p>
          <w:p w:rsidR="00DD657B" w:rsidRDefault="008A38DA" w:rsidP="004C403D">
            <w:pPr>
              <w:pStyle w:val="Tablegriddotpoints"/>
              <w:jc w:val="left"/>
            </w:pPr>
            <w:r>
              <w:t>c</w:t>
            </w:r>
            <w:r w:rsidR="00DD657B">
              <w:t>omparison with government schools</w:t>
            </w:r>
          </w:p>
        </w:tc>
        <w:tc>
          <w:tcPr>
            <w:tcW w:w="9180" w:type="dxa"/>
          </w:tcPr>
          <w:p w:rsidR="00625A6F" w:rsidRDefault="00A037B5" w:rsidP="004C403D">
            <w:pPr>
              <w:pStyle w:val="Tablegridtext"/>
            </w:pPr>
            <w:r>
              <w:rPr>
                <w:b/>
              </w:rPr>
              <w:t>T</w:t>
            </w:r>
            <w:r w:rsidR="003C493B" w:rsidRPr="007C4CB3">
              <w:rPr>
                <w:b/>
              </w:rPr>
              <w:t>uition fee based approaches</w:t>
            </w:r>
            <w:r>
              <w:rPr>
                <w:b/>
              </w:rPr>
              <w:t>—</w:t>
            </w:r>
            <w:r w:rsidR="00360761">
              <w:t xml:space="preserve">Funding </w:t>
            </w:r>
            <w:r>
              <w:t xml:space="preserve">would be </w:t>
            </w:r>
            <w:r w:rsidR="00360761">
              <w:t xml:space="preserve">based on either reported tuitions fees, or </w:t>
            </w:r>
            <w:r>
              <w:t xml:space="preserve">the published </w:t>
            </w:r>
            <w:r w:rsidR="00360761">
              <w:t>fee schedule. These were c</w:t>
            </w:r>
            <w:r w:rsidR="003C493B">
              <w:t xml:space="preserve">onsidered poor measures of need, </w:t>
            </w:r>
            <w:r w:rsidR="001206A5">
              <w:t>with</w:t>
            </w:r>
            <w:r w:rsidR="003C493B">
              <w:t xml:space="preserve"> concern </w:t>
            </w:r>
            <w:r w:rsidR="00FE223A">
              <w:t xml:space="preserve">raised </w:t>
            </w:r>
            <w:r w:rsidR="003C493B">
              <w:t xml:space="preserve">that </w:t>
            </w:r>
            <w:r>
              <w:t xml:space="preserve">school </w:t>
            </w:r>
            <w:r w:rsidR="003C493B">
              <w:t xml:space="preserve">financial data may be manipulated. </w:t>
            </w:r>
            <w:r w:rsidR="001206A5">
              <w:t>The p</w:t>
            </w:r>
            <w:r w:rsidR="003C493B">
              <w:t xml:space="preserve">ublished fee schedule approach </w:t>
            </w:r>
            <w:r w:rsidR="001206A5">
              <w:t xml:space="preserve">was also seen as </w:t>
            </w:r>
            <w:r w:rsidR="003C493B">
              <w:t xml:space="preserve">complex to administer, </w:t>
            </w:r>
            <w:r>
              <w:t xml:space="preserve">with concern </w:t>
            </w:r>
            <w:r w:rsidR="000A4697">
              <w:t xml:space="preserve">that </w:t>
            </w:r>
            <w:r>
              <w:t xml:space="preserve">it </w:t>
            </w:r>
            <w:r w:rsidR="003C493B">
              <w:t>may encourage schools to reduce fees</w:t>
            </w:r>
            <w:r w:rsidR="00360761">
              <w:t xml:space="preserve">, </w:t>
            </w:r>
            <w:r w:rsidR="000A4697">
              <w:t xml:space="preserve">thus </w:t>
            </w:r>
            <w:r w:rsidR="00360761">
              <w:t>increasing reliance on government funding</w:t>
            </w:r>
            <w:r w:rsidR="003C493B">
              <w:t>.</w:t>
            </w:r>
          </w:p>
          <w:p w:rsidR="009C5E1C" w:rsidRDefault="007C4CB3" w:rsidP="004C403D">
            <w:pPr>
              <w:pStyle w:val="Tablegridtext"/>
            </w:pPr>
            <w:r w:rsidRPr="007C4CB3">
              <w:rPr>
                <w:b/>
              </w:rPr>
              <w:t xml:space="preserve">School recurrent expenditure </w:t>
            </w:r>
            <w:r w:rsidR="00360761">
              <w:rPr>
                <w:b/>
              </w:rPr>
              <w:t xml:space="preserve">compared to </w:t>
            </w:r>
            <w:r w:rsidR="000A4697">
              <w:rPr>
                <w:b/>
              </w:rPr>
              <w:t xml:space="preserve">a needs-based resource </w:t>
            </w:r>
            <w:r w:rsidR="00360761">
              <w:rPr>
                <w:b/>
              </w:rPr>
              <w:t>benchmark</w:t>
            </w:r>
            <w:r w:rsidR="00A037B5">
              <w:rPr>
                <w:b/>
              </w:rPr>
              <w:t>—</w:t>
            </w:r>
            <w:r w:rsidR="000A4697" w:rsidRPr="000A4697">
              <w:t xml:space="preserve">This </w:t>
            </w:r>
            <w:r w:rsidR="000A4697">
              <w:t>would involve comparing school recurrent expenditure</w:t>
            </w:r>
            <w:r w:rsidR="00A337B0">
              <w:t xml:space="preserve"> </w:t>
            </w:r>
            <w:r w:rsidR="000A4697">
              <w:t xml:space="preserve">to </w:t>
            </w:r>
            <w:r w:rsidR="00A337B0">
              <w:t xml:space="preserve">a </w:t>
            </w:r>
            <w:r w:rsidR="000A4697">
              <w:t xml:space="preserve">benchmark. </w:t>
            </w:r>
            <w:r w:rsidR="00C1461E">
              <w:t>T</w:t>
            </w:r>
            <w:r w:rsidR="000A4697">
              <w:t xml:space="preserve">his benchmark would take into account factors </w:t>
            </w:r>
            <w:r>
              <w:t>influencing expenditure (e.g. size, location)</w:t>
            </w:r>
            <w:r w:rsidR="000A4697">
              <w:t>, and could become quite complex</w:t>
            </w:r>
            <w:r w:rsidR="009C5E1C">
              <w:t xml:space="preserve">. </w:t>
            </w:r>
            <w:r w:rsidR="000A4697">
              <w:t xml:space="preserve">There was concern at the time that this </w:t>
            </w:r>
            <w:r w:rsidR="00A337B0">
              <w:t xml:space="preserve">approach could </w:t>
            </w:r>
            <w:r w:rsidR="009C5E1C">
              <w:t>encourage schools to ‘mask’ expenditure (e.g. parents provide services</w:t>
            </w:r>
            <w:r w:rsidR="00A337B0">
              <w:t xml:space="preserve"> to schools in lieu of fees</w:t>
            </w:r>
            <w:r w:rsidR="009C5E1C">
              <w:t>).</w:t>
            </w:r>
          </w:p>
          <w:p w:rsidR="007C4CB3" w:rsidRDefault="009C5E1C" w:rsidP="004C403D">
            <w:pPr>
              <w:pStyle w:val="Tablegridtext"/>
            </w:pPr>
            <w:r w:rsidRPr="009C5E1C">
              <w:rPr>
                <w:b/>
              </w:rPr>
              <w:t>Income/expenditure differential</w:t>
            </w:r>
            <w:r w:rsidR="00A037B5">
              <w:rPr>
                <w:b/>
              </w:rPr>
              <w:t>—</w:t>
            </w:r>
            <w:r w:rsidR="00DD657B">
              <w:t xml:space="preserve">Schools would be allocated to </w:t>
            </w:r>
            <w:r w:rsidR="008A38DA">
              <w:t>six</w:t>
            </w:r>
            <w:r w:rsidR="00DD657B">
              <w:t xml:space="preserve"> funding bands</w:t>
            </w:r>
            <w:r w:rsidR="001206A5">
              <w:t xml:space="preserve">, with </w:t>
            </w:r>
            <w:r w:rsidR="00654C16">
              <w:t xml:space="preserve">total private recurrent income per student </w:t>
            </w:r>
            <w:r w:rsidR="001206A5">
              <w:t>p</w:t>
            </w:r>
            <w:r w:rsidR="00DD657B">
              <w:t xml:space="preserve">lacement </w:t>
            </w:r>
            <w:r w:rsidR="00654C16">
              <w:t>determining band placement.</w:t>
            </w:r>
            <w:r w:rsidR="00DD657B">
              <w:t xml:space="preserve"> </w:t>
            </w:r>
            <w:r w:rsidR="00654C16">
              <w:t xml:space="preserve">Need would be </w:t>
            </w:r>
            <w:r w:rsidR="00376D17">
              <w:t xml:space="preserve">validated by examining </w:t>
            </w:r>
            <w:r w:rsidR="00654C16">
              <w:t xml:space="preserve">the </w:t>
            </w:r>
            <w:r w:rsidR="00DD657B">
              <w:t xml:space="preserve">percent of recurrent expenditure attributable </w:t>
            </w:r>
            <w:r w:rsidR="00654C16">
              <w:t xml:space="preserve">to </w:t>
            </w:r>
            <w:r w:rsidR="00DD657B">
              <w:t xml:space="preserve">government funding, and recurrent expenditure as a percent of recurrent income. </w:t>
            </w:r>
          </w:p>
          <w:p w:rsidR="00DD657B" w:rsidRDefault="00DD657B" w:rsidP="004C403D">
            <w:pPr>
              <w:pStyle w:val="Tablegridtext"/>
            </w:pPr>
            <w:r w:rsidRPr="00DD657B">
              <w:rPr>
                <w:b/>
              </w:rPr>
              <w:t>Comparison with government schools</w:t>
            </w:r>
            <w:r w:rsidR="00A037B5">
              <w:rPr>
                <w:b/>
              </w:rPr>
              <w:t>—</w:t>
            </w:r>
            <w:r w:rsidR="00376D17" w:rsidRPr="00376D17">
              <w:t xml:space="preserve">This </w:t>
            </w:r>
            <w:r w:rsidR="00376D17">
              <w:t xml:space="preserve">approach was taken from </w:t>
            </w:r>
            <w:r w:rsidR="00CB763A">
              <w:t>British Columbia, Canada</w:t>
            </w:r>
            <w:r w:rsidR="00141F64">
              <w:t xml:space="preserve"> </w:t>
            </w:r>
            <w:r w:rsidR="00EC0572">
              <w:t xml:space="preserve">where </w:t>
            </w:r>
            <w:r w:rsidR="00141F64">
              <w:t>sc</w:t>
            </w:r>
            <w:r w:rsidR="001206A5">
              <w:t xml:space="preserve">hools </w:t>
            </w:r>
            <w:r w:rsidR="00EC0572">
              <w:t xml:space="preserve">are </w:t>
            </w:r>
            <w:r w:rsidR="009470E9">
              <w:t>placed in</w:t>
            </w:r>
            <w:r w:rsidR="00EA06CE">
              <w:t xml:space="preserve"> four group</w:t>
            </w:r>
            <w:r w:rsidR="00163A9A">
              <w:t>s</w:t>
            </w:r>
            <w:r w:rsidR="00EA06CE">
              <w:t>–</w:t>
            </w:r>
            <w:r w:rsidR="00163A9A">
              <w:t xml:space="preserve">Group 1 and 2 schools receive </w:t>
            </w:r>
            <w:r w:rsidR="00EA06CE">
              <w:t>50 and 35 per</w:t>
            </w:r>
            <w:r w:rsidR="00360761">
              <w:t xml:space="preserve"> </w:t>
            </w:r>
            <w:r w:rsidR="00EA06CE">
              <w:t xml:space="preserve">cent </w:t>
            </w:r>
            <w:r w:rsidR="00163A9A">
              <w:t xml:space="preserve">of government school costs </w:t>
            </w:r>
            <w:r w:rsidR="00EA06CE">
              <w:t>respectivel</w:t>
            </w:r>
            <w:r w:rsidR="00EC0572">
              <w:t>y</w:t>
            </w:r>
            <w:r w:rsidR="00EA06CE">
              <w:t xml:space="preserve">. Classification </w:t>
            </w:r>
            <w:r w:rsidR="00141F64">
              <w:t xml:space="preserve">is </w:t>
            </w:r>
            <w:r w:rsidR="00EA06CE">
              <w:t>based on school resourc</w:t>
            </w:r>
            <w:r w:rsidR="00141F64">
              <w:t>ing</w:t>
            </w:r>
            <w:r w:rsidR="00EA06CE">
              <w:t xml:space="preserve"> compared to government school</w:t>
            </w:r>
            <w:r w:rsidR="00376D17">
              <w:t xml:space="preserve"> resourcing</w:t>
            </w:r>
            <w:r w:rsidR="00EA06CE">
              <w:t xml:space="preserve">, and </w:t>
            </w:r>
            <w:r w:rsidR="00BA111F">
              <w:t xml:space="preserve">the </w:t>
            </w:r>
            <w:r w:rsidR="00EA06CE">
              <w:t xml:space="preserve">level of </w:t>
            </w:r>
            <w:r w:rsidR="009470E9">
              <w:t xml:space="preserve">school </w:t>
            </w:r>
            <w:r w:rsidR="00EA06CE">
              <w:t xml:space="preserve">regulation. </w:t>
            </w:r>
            <w:r w:rsidR="00360761">
              <w:t>Group 1 s</w:t>
            </w:r>
            <w:r w:rsidR="00EA06CE">
              <w:t xml:space="preserve">chools operate at (or below) government school costs. </w:t>
            </w:r>
            <w:r w:rsidR="00360761">
              <w:t xml:space="preserve">Group 2 </w:t>
            </w:r>
            <w:r w:rsidR="008A38DA">
              <w:t>operate</w:t>
            </w:r>
            <w:r w:rsidR="00141F64">
              <w:t xml:space="preserve"> </w:t>
            </w:r>
            <w:r w:rsidR="00EA06CE">
              <w:t xml:space="preserve">above government school costs. </w:t>
            </w:r>
            <w:r w:rsidR="00376D17">
              <w:t>Group 3</w:t>
            </w:r>
            <w:r w:rsidR="008A38DA">
              <w:t xml:space="preserve"> and </w:t>
            </w:r>
            <w:r w:rsidR="00376D17">
              <w:t xml:space="preserve">4 schools are unfunded due </w:t>
            </w:r>
            <w:r w:rsidR="00163A9A">
              <w:t xml:space="preserve">to </w:t>
            </w:r>
            <w:r w:rsidR="00376D17">
              <w:t xml:space="preserve">opting out of school regulation. </w:t>
            </w:r>
          </w:p>
          <w:p w:rsidR="00EA06CE" w:rsidRPr="007C4CB3" w:rsidRDefault="00360761" w:rsidP="004C403D">
            <w:pPr>
              <w:pStyle w:val="Tablegridtext"/>
            </w:pPr>
            <w:r>
              <w:t xml:space="preserve">Assessment </w:t>
            </w:r>
            <w:r w:rsidR="00376D17">
              <w:t xml:space="preserve">as part of the consultation process </w:t>
            </w:r>
            <w:r>
              <w:t xml:space="preserve">identified the challenges </w:t>
            </w:r>
            <w:r w:rsidR="00376D17">
              <w:t>of this approach. These challenges included there being two government funders of schools in Australia</w:t>
            </w:r>
            <w:r w:rsidR="00EA06CE">
              <w:t xml:space="preserve">, limited differentiation between schools, and the maximum funding amount (50 per cent) </w:t>
            </w:r>
            <w:r>
              <w:t xml:space="preserve">would </w:t>
            </w:r>
            <w:r w:rsidR="00EA06CE">
              <w:t xml:space="preserve">likely be inadequate for </w:t>
            </w:r>
            <w:r w:rsidR="008B2293">
              <w:t xml:space="preserve">disadvantaged schools reliant on government subsidies. </w:t>
            </w:r>
          </w:p>
        </w:tc>
      </w:tr>
      <w:tr w:rsidR="00625A6F" w:rsidTr="00A260FB">
        <w:tc>
          <w:tcPr>
            <w:tcW w:w="1701" w:type="dxa"/>
          </w:tcPr>
          <w:p w:rsidR="00625A6F" w:rsidRDefault="00625A6F" w:rsidP="00625A6F">
            <w:pPr>
              <w:pStyle w:val="Tablegridtext"/>
            </w:pPr>
            <w:r>
              <w:t>Income-based approach</w:t>
            </w:r>
            <w:r w:rsidR="004E1870">
              <w:t>es</w:t>
            </w:r>
          </w:p>
        </w:tc>
        <w:tc>
          <w:tcPr>
            <w:tcW w:w="3402" w:type="dxa"/>
          </w:tcPr>
          <w:p w:rsidR="00822987" w:rsidRDefault="00822987" w:rsidP="001F50DB">
            <w:pPr>
              <w:pStyle w:val="Tablegridtext"/>
            </w:pPr>
            <w:r>
              <w:t xml:space="preserve">Means-tested payments to schools (based on </w:t>
            </w:r>
            <w:r w:rsidR="001F50DB">
              <w:t xml:space="preserve">family </w:t>
            </w:r>
            <w:r>
              <w:t>income and/or assets test)</w:t>
            </w:r>
          </w:p>
        </w:tc>
        <w:tc>
          <w:tcPr>
            <w:tcW w:w="9180" w:type="dxa"/>
          </w:tcPr>
          <w:p w:rsidR="00165C42" w:rsidRDefault="00822987" w:rsidP="00822987">
            <w:pPr>
              <w:pStyle w:val="Tablegridtext"/>
            </w:pPr>
            <w:r>
              <w:t xml:space="preserve">Income-based approaches </w:t>
            </w:r>
            <w:r w:rsidR="00360761">
              <w:t xml:space="preserve">would apply a means test, and potentially </w:t>
            </w:r>
            <w:r>
              <w:t>reflect ‘parental capacity to pay’. Concern w</w:t>
            </w:r>
            <w:r w:rsidR="00360761">
              <w:t>as</w:t>
            </w:r>
            <w:r>
              <w:t xml:space="preserve"> raised about data collection effort, </w:t>
            </w:r>
            <w:r w:rsidR="00836832">
              <w:t>and</w:t>
            </w:r>
            <w:r>
              <w:t xml:space="preserve"> the </w:t>
            </w:r>
            <w:r w:rsidR="00836832">
              <w:t>accuracy of</w:t>
            </w:r>
            <w:r>
              <w:t xml:space="preserve"> income and assets </w:t>
            </w:r>
            <w:r w:rsidR="00836832">
              <w:t xml:space="preserve">data </w:t>
            </w:r>
            <w:r>
              <w:t xml:space="preserve">(as </w:t>
            </w:r>
            <w:r w:rsidR="00836832">
              <w:t xml:space="preserve">recorded </w:t>
            </w:r>
            <w:r w:rsidR="00E114E8">
              <w:t>by</w:t>
            </w:r>
            <w:r w:rsidR="00836832">
              <w:t xml:space="preserve"> the</w:t>
            </w:r>
            <w:r>
              <w:t xml:space="preserve"> </w:t>
            </w:r>
            <w:r w:rsidR="00376D17">
              <w:t xml:space="preserve">Australian </w:t>
            </w:r>
            <w:r>
              <w:t xml:space="preserve">taxation and welfare system) </w:t>
            </w:r>
            <w:r w:rsidR="00836832">
              <w:t>in</w:t>
            </w:r>
            <w:r>
              <w:t xml:space="preserve"> measur</w:t>
            </w:r>
            <w:r w:rsidR="00836832">
              <w:t>ing</w:t>
            </w:r>
            <w:r>
              <w:t xml:space="preserve"> family resources. It was noted that the taxation system is underpinned by individual ass</w:t>
            </w:r>
            <w:r w:rsidR="001F50DB">
              <w:t xml:space="preserve">essment, not family assessment, and </w:t>
            </w:r>
            <w:r w:rsidR="008A38DA">
              <w:t>is</w:t>
            </w:r>
            <w:r w:rsidR="001F50DB">
              <w:t xml:space="preserve"> focussed on taxable income, </w:t>
            </w:r>
            <w:r w:rsidR="00636777">
              <w:t>excluding</w:t>
            </w:r>
            <w:r w:rsidR="001F50DB">
              <w:t xml:space="preserve"> assets.  </w:t>
            </w:r>
          </w:p>
          <w:p w:rsidR="00822987" w:rsidRDefault="00836832" w:rsidP="00836832">
            <w:pPr>
              <w:pStyle w:val="Tablegridtext"/>
            </w:pPr>
            <w:r>
              <w:t>T</w:t>
            </w:r>
            <w:r w:rsidR="00822987">
              <w:t xml:space="preserve">here was concern about privacy and confidentiality if families were required to provide income </w:t>
            </w:r>
            <w:r>
              <w:t>data</w:t>
            </w:r>
            <w:r w:rsidR="00822987">
              <w:t xml:space="preserve"> to schools. There was also concern that an approach based on individual students would move the focus of government funding away from funding</w:t>
            </w:r>
            <w:r>
              <w:t xml:space="preserve"> schools to students</w:t>
            </w:r>
            <w:r w:rsidR="00822987">
              <w:t xml:space="preserve">. </w:t>
            </w:r>
          </w:p>
        </w:tc>
      </w:tr>
      <w:tr w:rsidR="00625A6F" w:rsidTr="00A260FB">
        <w:tc>
          <w:tcPr>
            <w:tcW w:w="1701" w:type="dxa"/>
          </w:tcPr>
          <w:p w:rsidR="00625A6F" w:rsidRDefault="00625A6F" w:rsidP="00625A6F">
            <w:pPr>
              <w:pStyle w:val="Tablegridtext"/>
            </w:pPr>
            <w:r>
              <w:t>Individual-based approach</w:t>
            </w:r>
            <w:r w:rsidR="00163A9A">
              <w:t>: vouchers</w:t>
            </w:r>
          </w:p>
        </w:tc>
        <w:tc>
          <w:tcPr>
            <w:tcW w:w="3402" w:type="dxa"/>
          </w:tcPr>
          <w:p w:rsidR="00625A6F" w:rsidRDefault="001F50DB" w:rsidP="00625A6F">
            <w:pPr>
              <w:pStyle w:val="Tablegridtext"/>
            </w:pPr>
            <w:r>
              <w:t>Options considered:</w:t>
            </w:r>
          </w:p>
          <w:p w:rsidR="001F50DB" w:rsidRDefault="001F50DB" w:rsidP="001F50DB">
            <w:pPr>
              <w:pStyle w:val="Tablegriddotpoints"/>
            </w:pPr>
            <w:r>
              <w:t>flat rate voucher</w:t>
            </w:r>
          </w:p>
          <w:p w:rsidR="001F50DB" w:rsidRDefault="001F50DB" w:rsidP="001F50DB">
            <w:pPr>
              <w:pStyle w:val="Tablegriddotpoints"/>
            </w:pPr>
            <w:r>
              <w:t>means tested voucher</w:t>
            </w:r>
          </w:p>
          <w:p w:rsidR="001F50DB" w:rsidRDefault="001F50DB" w:rsidP="00636777">
            <w:pPr>
              <w:pStyle w:val="Tablegriddotpoints"/>
              <w:jc w:val="left"/>
            </w:pPr>
            <w:r>
              <w:t>voucher adjusted for educational need</w:t>
            </w:r>
          </w:p>
        </w:tc>
        <w:tc>
          <w:tcPr>
            <w:tcW w:w="9180" w:type="dxa"/>
          </w:tcPr>
          <w:p w:rsidR="00625A6F" w:rsidRDefault="001206A5" w:rsidP="00EC7E53">
            <w:pPr>
              <w:pStyle w:val="Tablegridtext"/>
            </w:pPr>
            <w:r>
              <w:t xml:space="preserve">The </w:t>
            </w:r>
            <w:r w:rsidR="00360761">
              <w:t xml:space="preserve">individual-based </w:t>
            </w:r>
            <w:r>
              <w:t xml:space="preserve">approaches considered </w:t>
            </w:r>
            <w:r w:rsidR="00776174">
              <w:t xml:space="preserve">were characterised by a voucher, whereby a student would attract the same level of subsidy, regardless of the </w:t>
            </w:r>
            <w:r w:rsidR="002263C4">
              <w:t>non</w:t>
            </w:r>
            <w:r w:rsidR="002263C4">
              <w:noBreakHyphen/>
              <w:t>government</w:t>
            </w:r>
            <w:r w:rsidR="00776174">
              <w:t xml:space="preserve"> school they attended. The voucher could be paid either to schools, or to families. It was noted at the time </w:t>
            </w:r>
            <w:r w:rsidR="00360761">
              <w:t xml:space="preserve">that </w:t>
            </w:r>
            <w:r w:rsidR="00776174">
              <w:t xml:space="preserve">such an approach </w:t>
            </w:r>
            <w:r w:rsidR="00EC7E53">
              <w:t>c</w:t>
            </w:r>
            <w:r w:rsidR="00776174">
              <w:t>ould increase choice</w:t>
            </w:r>
            <w:r w:rsidR="00EC7E53">
              <w:t xml:space="preserve"> and funding control by parents, and would be a significant departure </w:t>
            </w:r>
            <w:r w:rsidR="00163A9A">
              <w:t>from</w:t>
            </w:r>
            <w:r w:rsidR="00EC7E53">
              <w:t xml:space="preserve"> the ERI approach, where funding was based on school income or expenditure. </w:t>
            </w:r>
            <w:r w:rsidR="00836832">
              <w:t xml:space="preserve">A means tested voucher would reflect family capacity to contribute. </w:t>
            </w:r>
          </w:p>
          <w:p w:rsidR="00EC7E53" w:rsidRDefault="00EC7E53" w:rsidP="00163A9A">
            <w:pPr>
              <w:pStyle w:val="Tablegridtext"/>
            </w:pPr>
            <w:r>
              <w:t xml:space="preserve">Adjusting </w:t>
            </w:r>
            <w:r w:rsidR="00836832">
              <w:t xml:space="preserve">voucher </w:t>
            </w:r>
            <w:r>
              <w:t>value for educational need was noted as requiring a</w:t>
            </w:r>
            <w:r w:rsidR="00836832">
              <w:t>n</w:t>
            </w:r>
            <w:r>
              <w:t xml:space="preserve"> assessment process, and </w:t>
            </w:r>
            <w:r w:rsidR="00163A9A">
              <w:t xml:space="preserve">could </w:t>
            </w:r>
            <w:r>
              <w:t>potentially creat</w:t>
            </w:r>
            <w:r w:rsidR="00163A9A">
              <w:t>e</w:t>
            </w:r>
            <w:r>
              <w:t xml:space="preserve"> disincentives for schools to improve educational standards.  </w:t>
            </w:r>
          </w:p>
        </w:tc>
      </w:tr>
      <w:tr w:rsidR="00625A6F" w:rsidTr="00A260FB">
        <w:tc>
          <w:tcPr>
            <w:tcW w:w="1701" w:type="dxa"/>
          </w:tcPr>
          <w:p w:rsidR="00625A6F" w:rsidRDefault="00625A6F" w:rsidP="00625A6F">
            <w:pPr>
              <w:pStyle w:val="Tablegridtext"/>
            </w:pPr>
            <w:r>
              <w:t>School community socio-economic status</w:t>
            </w:r>
          </w:p>
        </w:tc>
        <w:tc>
          <w:tcPr>
            <w:tcW w:w="3402" w:type="dxa"/>
          </w:tcPr>
          <w:p w:rsidR="00625A6F" w:rsidRDefault="0021434D" w:rsidP="00625A6F">
            <w:pPr>
              <w:pStyle w:val="Tablegridtext"/>
            </w:pPr>
            <w:r>
              <w:t xml:space="preserve">An index </w:t>
            </w:r>
            <w:r w:rsidR="001206A5">
              <w:t>of</w:t>
            </w:r>
            <w:r>
              <w:t xml:space="preserve"> a school’s socio-economic mix,</w:t>
            </w:r>
            <w:r w:rsidR="001206A5">
              <w:t xml:space="preserve"> measuring:</w:t>
            </w:r>
          </w:p>
          <w:p w:rsidR="001206A5" w:rsidRDefault="001206A5" w:rsidP="001206A5">
            <w:pPr>
              <w:pStyle w:val="Tablegriddotpoints"/>
            </w:pPr>
            <w:r>
              <w:t>capacity to contribute</w:t>
            </w:r>
          </w:p>
          <w:p w:rsidR="001206A5" w:rsidRDefault="001206A5" w:rsidP="00636777">
            <w:pPr>
              <w:pStyle w:val="Tablegriddotpoints"/>
              <w:jc w:val="left"/>
            </w:pPr>
            <w:r>
              <w:t>educational need of school communities</w:t>
            </w:r>
          </w:p>
          <w:p w:rsidR="001206A5" w:rsidRDefault="001206A5" w:rsidP="00636777">
            <w:pPr>
              <w:pStyle w:val="Tablegriddotpoints"/>
              <w:jc w:val="left"/>
            </w:pPr>
            <w:r>
              <w:t>relative resource need of schools</w:t>
            </w:r>
          </w:p>
        </w:tc>
        <w:tc>
          <w:tcPr>
            <w:tcW w:w="9180" w:type="dxa"/>
          </w:tcPr>
          <w:p w:rsidR="0021434D" w:rsidRDefault="00163A9A" w:rsidP="00625A6F">
            <w:pPr>
              <w:pStyle w:val="Tablegridtext"/>
            </w:pPr>
            <w:r>
              <w:t>The e</w:t>
            </w:r>
            <w:r w:rsidR="00275326">
              <w:t xml:space="preserve">xisting application of SES indexes to allocate school funding was </w:t>
            </w:r>
            <w:r>
              <w:t>discussed</w:t>
            </w:r>
            <w:r w:rsidR="00E114E8">
              <w:t xml:space="preserve">, along with </w:t>
            </w:r>
            <w:r w:rsidR="00EC7E53">
              <w:t xml:space="preserve">indexes developed by the </w:t>
            </w:r>
            <w:r w:rsidR="0021434D">
              <w:t>ABS</w:t>
            </w:r>
            <w:r w:rsidR="00E114E8">
              <w:t xml:space="preserve">, and the creation of a </w:t>
            </w:r>
            <w:r w:rsidR="00EC7E53">
              <w:t xml:space="preserve">new index </w:t>
            </w:r>
            <w:r w:rsidR="0021434D">
              <w:t>using ABS Census data</w:t>
            </w:r>
            <w:r w:rsidR="00EC7E53">
              <w:t>.</w:t>
            </w:r>
          </w:p>
          <w:p w:rsidR="0021434D" w:rsidRDefault="0021434D" w:rsidP="00625A6F">
            <w:pPr>
              <w:pStyle w:val="Tablegridtext"/>
            </w:pPr>
            <w:r>
              <w:t xml:space="preserve">It was </w:t>
            </w:r>
            <w:r w:rsidR="00FE223A">
              <w:t>noted</w:t>
            </w:r>
            <w:r>
              <w:t xml:space="preserve"> that </w:t>
            </w:r>
            <w:r w:rsidR="00275326">
              <w:t>a new</w:t>
            </w:r>
            <w:r>
              <w:t xml:space="preserve"> index could </w:t>
            </w:r>
            <w:r w:rsidR="00163A9A">
              <w:t>use data on</w:t>
            </w:r>
            <w:r>
              <w:t xml:space="preserve"> </w:t>
            </w:r>
            <w:r w:rsidR="00163A9A">
              <w:t>adults</w:t>
            </w:r>
            <w:r>
              <w:t xml:space="preserve"> with school-age children, or with children attending </w:t>
            </w:r>
            <w:r w:rsidR="002263C4">
              <w:t>non</w:t>
            </w:r>
            <w:r w:rsidR="002263C4">
              <w:noBreakHyphen/>
              <w:t>government</w:t>
            </w:r>
            <w:r>
              <w:t xml:space="preserve"> schools. </w:t>
            </w:r>
            <w:r w:rsidR="001206A5">
              <w:t xml:space="preserve">Attributes identified for potential inclusion in an index comprised family income, educational attainment, unemployment, occupation, household occupancy and Aboriginality. </w:t>
            </w:r>
            <w:r w:rsidR="00163A9A">
              <w:t xml:space="preserve">It was noted that the </w:t>
            </w:r>
            <w:r w:rsidR="00275326">
              <w:t xml:space="preserve">specific purpose of the index would guide </w:t>
            </w:r>
            <w:r w:rsidR="00163A9A">
              <w:t xml:space="preserve">the </w:t>
            </w:r>
            <w:r w:rsidR="00275326">
              <w:t>selection of attributes</w:t>
            </w:r>
            <w:r w:rsidR="001206A5">
              <w:t xml:space="preserve"> and their weighting. </w:t>
            </w:r>
          </w:p>
          <w:p w:rsidR="00625A6F" w:rsidRDefault="00EC7E53" w:rsidP="00625A6F">
            <w:pPr>
              <w:pStyle w:val="Tablegridtext"/>
            </w:pPr>
            <w:r>
              <w:t xml:space="preserve">Concern was raised as to whether a single index </w:t>
            </w:r>
            <w:r w:rsidR="00163A9A">
              <w:t>c</w:t>
            </w:r>
            <w:r w:rsidR="00E07164">
              <w:t xml:space="preserve">ould </w:t>
            </w:r>
            <w:r>
              <w:t>provide a good measure of relative need</w:t>
            </w:r>
            <w:r w:rsidR="00FE223A">
              <w:t xml:space="preserve"> including </w:t>
            </w:r>
            <w:r w:rsidR="001116B5">
              <w:t xml:space="preserve">in </w:t>
            </w:r>
            <w:r w:rsidR="0021434D">
              <w:t xml:space="preserve">the Northern Territory, Australian Capital Territory, and rural areas. </w:t>
            </w:r>
          </w:p>
          <w:p w:rsidR="0021434D" w:rsidRDefault="00163A9A" w:rsidP="00163A9A">
            <w:pPr>
              <w:pStyle w:val="Tablegridtext"/>
            </w:pPr>
            <w:r>
              <w:t xml:space="preserve">It was </w:t>
            </w:r>
            <w:r w:rsidR="0021434D">
              <w:t>observ</w:t>
            </w:r>
            <w:r>
              <w:t>ed</w:t>
            </w:r>
            <w:r w:rsidR="0021434D">
              <w:t xml:space="preserve"> that</w:t>
            </w:r>
            <w:r>
              <w:t xml:space="preserve"> an</w:t>
            </w:r>
            <w:r w:rsidR="0021434D">
              <w:t xml:space="preserve"> SES index approach would ensure that schools with students from a similar socio-economic background would receive the same level of funding, and that funding would adjust in response to changes in the socio-economic mix of students</w:t>
            </w:r>
            <w:r>
              <w:t xml:space="preserve"> in schools</w:t>
            </w:r>
            <w:r w:rsidR="0021434D">
              <w:t xml:space="preserve">. </w:t>
            </w:r>
          </w:p>
        </w:tc>
      </w:tr>
      <w:tr w:rsidR="00625A6F" w:rsidTr="00A260FB">
        <w:trPr>
          <w:trHeight w:val="1657"/>
        </w:trPr>
        <w:tc>
          <w:tcPr>
            <w:tcW w:w="1701" w:type="dxa"/>
          </w:tcPr>
          <w:p w:rsidR="00625A6F" w:rsidRDefault="00625A6F" w:rsidP="00625A6F">
            <w:pPr>
              <w:pStyle w:val="Tablegridtext"/>
            </w:pPr>
            <w:r>
              <w:t>Tiered approach</w:t>
            </w:r>
          </w:p>
        </w:tc>
        <w:tc>
          <w:tcPr>
            <w:tcW w:w="3402" w:type="dxa"/>
          </w:tcPr>
          <w:p w:rsidR="00E07164" w:rsidRDefault="00E07164" w:rsidP="00E07164">
            <w:pPr>
              <w:pStyle w:val="Tablegridtext"/>
            </w:pPr>
            <w:r>
              <w:t>Comprises</w:t>
            </w:r>
            <w:r w:rsidR="00FE223A">
              <w:t xml:space="preserve"> three funding elements</w:t>
            </w:r>
            <w:r>
              <w:t>:</w:t>
            </w:r>
          </w:p>
          <w:p w:rsidR="00625A6F" w:rsidRDefault="00E07164" w:rsidP="00636777">
            <w:pPr>
              <w:pStyle w:val="Tablegriddotpoints"/>
              <w:jc w:val="left"/>
            </w:pPr>
            <w:r>
              <w:t>base operating costs</w:t>
            </w:r>
            <w:r w:rsidR="00FE223A">
              <w:t xml:space="preserve"> grant</w:t>
            </w:r>
          </w:p>
          <w:p w:rsidR="00E07164" w:rsidRDefault="00E07164" w:rsidP="00636777">
            <w:pPr>
              <w:pStyle w:val="Tablegriddotpoints"/>
              <w:jc w:val="left"/>
            </w:pPr>
            <w:r>
              <w:t>voucher/entitlement based on parental income, or per capita payment based on school SES</w:t>
            </w:r>
          </w:p>
          <w:p w:rsidR="00E07164" w:rsidRDefault="00E07164" w:rsidP="00636777">
            <w:pPr>
              <w:pStyle w:val="Tablegriddotpoints"/>
              <w:jc w:val="left"/>
            </w:pPr>
            <w:r>
              <w:t xml:space="preserve">costs associated with educational need. </w:t>
            </w:r>
          </w:p>
        </w:tc>
        <w:tc>
          <w:tcPr>
            <w:tcW w:w="9180" w:type="dxa"/>
          </w:tcPr>
          <w:p w:rsidR="00FE223A" w:rsidRDefault="00FE223A" w:rsidP="008A38DA">
            <w:pPr>
              <w:pStyle w:val="Tablegridtext"/>
            </w:pPr>
            <w:r>
              <w:t xml:space="preserve">This approach combined elements of those summarised above. </w:t>
            </w:r>
            <w:r w:rsidR="00163A9A">
              <w:t xml:space="preserve">The combination of several methods raised concern that the tiered approach would be unduly complex. It was also noted at the time that the introduction of a tiered approach </w:t>
            </w:r>
            <w:r>
              <w:t>would require significant administrative change, and agreement between the Commonwealth and State/</w:t>
            </w:r>
            <w:r w:rsidR="008A38DA">
              <w:t>T</w:t>
            </w:r>
            <w:r>
              <w:t xml:space="preserve">erritory governments. </w:t>
            </w:r>
          </w:p>
        </w:tc>
      </w:tr>
    </w:tbl>
    <w:p w:rsidR="00196999" w:rsidRPr="0051627A" w:rsidRDefault="00625A6F" w:rsidP="0051627A">
      <w:pPr>
        <w:pStyle w:val="Datasource"/>
      </w:pPr>
      <w:r w:rsidRPr="0051627A">
        <w:t xml:space="preserve">Source: </w:t>
      </w:r>
      <w:r w:rsidR="002A02EC">
        <w:rPr>
          <w:noProof/>
        </w:rPr>
        <w:t>Department of Employment, Education, Training and Youth Affairs (1997).</w:t>
      </w:r>
    </w:p>
    <w:p w:rsidR="004D16B4" w:rsidRDefault="004D16B4" w:rsidP="000A3C13">
      <w:pPr>
        <w:sectPr w:rsidR="004D16B4" w:rsidSect="00D95299">
          <w:headerReference w:type="even" r:id="rId32"/>
          <w:headerReference w:type="default" r:id="rId33"/>
          <w:footerReference w:type="default" r:id="rId34"/>
          <w:headerReference w:type="first" r:id="rId35"/>
          <w:pgSz w:w="16839" w:h="11907" w:orient="landscape" w:code="9"/>
          <w:pgMar w:top="1440" w:right="1440" w:bottom="1440" w:left="1440" w:header="720" w:footer="720" w:gutter="0"/>
          <w:cols w:space="720"/>
          <w:noEndnote/>
          <w:docGrid w:linePitch="326"/>
        </w:sectPr>
      </w:pPr>
    </w:p>
    <w:p w:rsidR="006A47FC" w:rsidRDefault="002D279D" w:rsidP="00540C59">
      <w:pPr>
        <w:pStyle w:val="Heading3"/>
      </w:pPr>
      <w:bookmarkStart w:id="54" w:name="_Ref491864933"/>
      <w:bookmarkStart w:id="55" w:name="_Toc493598462"/>
      <w:bookmarkStart w:id="56" w:name="_Toc495409764"/>
      <w:bookmarkStart w:id="57" w:name="_Toc496792754"/>
      <w:bookmarkStart w:id="58" w:name="_Toc496803884"/>
      <w:r>
        <w:t>Calculation</w:t>
      </w:r>
      <w:r w:rsidR="006A47FC">
        <w:t xml:space="preserve"> of the </w:t>
      </w:r>
      <w:r w:rsidR="00695B33">
        <w:t>SES score</w:t>
      </w:r>
      <w:r w:rsidR="00970659">
        <w:t xml:space="preserve"> in the SES Simulation Project</w:t>
      </w:r>
      <w:bookmarkEnd w:id="54"/>
      <w:bookmarkEnd w:id="55"/>
      <w:bookmarkEnd w:id="56"/>
      <w:bookmarkEnd w:id="57"/>
      <w:bookmarkEnd w:id="58"/>
    </w:p>
    <w:p w:rsidR="00970659" w:rsidRDefault="00BA111F" w:rsidP="00B96DC3">
      <w:r>
        <w:t>T</w:t>
      </w:r>
      <w:r w:rsidR="00B96DC3">
        <w:t xml:space="preserve">he Australian Government, with the cooperation of </w:t>
      </w:r>
      <w:r w:rsidR="002263C4">
        <w:t>non</w:t>
      </w:r>
      <w:r w:rsidR="002263C4">
        <w:noBreakHyphen/>
        <w:t>government</w:t>
      </w:r>
      <w:r w:rsidR="00B96DC3">
        <w:t xml:space="preserve"> school peak bodies,</w:t>
      </w:r>
      <w:r>
        <w:t xml:space="preserve"> progressed consideration of an SES measure</w:t>
      </w:r>
      <w:r w:rsidR="00B96DC3">
        <w:t xml:space="preserve"> </w:t>
      </w:r>
      <w:r w:rsidR="004B203A">
        <w:t>through</w:t>
      </w:r>
      <w:r>
        <w:t xml:space="preserve"> the </w:t>
      </w:r>
      <w:r w:rsidR="00B96DC3">
        <w:t xml:space="preserve">SES Simulation Project. This project was intended to test the validity of an SES-based model, examine how it might work, and ultimately estimate an SES score associated funding allocation </w:t>
      </w:r>
      <w:r w:rsidR="00C926A2">
        <w:t>for</w:t>
      </w:r>
      <w:r w:rsidR="00B96DC3">
        <w:t xml:space="preserve"> each </w:t>
      </w:r>
      <w:r w:rsidR="002263C4">
        <w:t>non</w:t>
      </w:r>
      <w:r w:rsidR="002263C4">
        <w:noBreakHyphen/>
        <w:t>government</w:t>
      </w:r>
      <w:r w:rsidR="00B96DC3">
        <w:t xml:space="preserve"> school. </w:t>
      </w:r>
      <w:r w:rsidR="00970659">
        <w:t xml:space="preserve">This funding allocation would then be compared to that provided by the ERI approach. </w:t>
      </w:r>
    </w:p>
    <w:p w:rsidR="00B1276C" w:rsidRDefault="00B96DC3" w:rsidP="00B96DC3">
      <w:r>
        <w:t xml:space="preserve">A clear objective </w:t>
      </w:r>
      <w:r w:rsidR="00970659">
        <w:t xml:space="preserve">for an SES measure </w:t>
      </w:r>
      <w:r>
        <w:t>underpinned this work</w:t>
      </w:r>
      <w:r w:rsidR="00B068C6">
        <w:t>—to</w:t>
      </w:r>
      <w:r w:rsidR="00B1276C">
        <w:t>:</w:t>
      </w:r>
    </w:p>
    <w:p w:rsidR="00B96DC3" w:rsidRDefault="00B96DC3" w:rsidP="00B1276C">
      <w:pPr>
        <w:pStyle w:val="Quote"/>
      </w:pPr>
      <w:r>
        <w:t>‘</w:t>
      </w:r>
      <w:r w:rsidR="00B03606">
        <w:t xml:space="preserve">show </w:t>
      </w:r>
      <w:r>
        <w:t>the relative capacity of schools to generate funds on their own behalf from the community they serve.</w:t>
      </w:r>
      <w:r w:rsidR="00542972">
        <w:t>’</w:t>
      </w:r>
      <w:r>
        <w:t xml:space="preserve">  </w:t>
      </w:r>
    </w:p>
    <w:p w:rsidR="00B1276C" w:rsidRPr="00B1276C" w:rsidRDefault="00B1276C" w:rsidP="00B1276C">
      <w:r>
        <w:t>with the design of the SES measure to also:</w:t>
      </w:r>
    </w:p>
    <w:p w:rsidR="00B1276C" w:rsidRDefault="00B1276C" w:rsidP="00B1276C">
      <w:pPr>
        <w:pStyle w:val="Quote"/>
      </w:pPr>
      <w:r>
        <w:t>‘</w:t>
      </w:r>
      <w:r w:rsidRPr="00B1276C">
        <w:t>avoid duplicating specific aspects of educational disadvantage which are directly addressed in targeted programmes.</w:t>
      </w:r>
      <w:r>
        <w:t xml:space="preserve">’ </w:t>
      </w:r>
      <w:sdt>
        <w:sdtPr>
          <w:id w:val="-731318981"/>
          <w:citation/>
        </w:sdtPr>
        <w:sdtContent>
          <w:r>
            <w:fldChar w:fldCharType="begin"/>
          </w:r>
          <w:r>
            <w:instrText xml:space="preserve">CITATION Sch \p 15 \l 3081 </w:instrText>
          </w:r>
          <w:r>
            <w:fldChar w:fldCharType="separate"/>
          </w:r>
          <w:r w:rsidR="005333F5">
            <w:rPr>
              <w:noProof/>
            </w:rPr>
            <w:t>(Department of Education, Training and Youth Affairs, 1998, p. 15)</w:t>
          </w:r>
          <w:r>
            <w:fldChar w:fldCharType="end"/>
          </w:r>
        </w:sdtContent>
      </w:sdt>
    </w:p>
    <w:p w:rsidR="00B068C6" w:rsidRDefault="00B068C6" w:rsidP="00C1461E">
      <w:r>
        <w:t xml:space="preserve">Consideration of an SES measure was also guided by five principles: </w:t>
      </w:r>
    </w:p>
    <w:p w:rsidR="00C1461E" w:rsidRDefault="00C1461E" w:rsidP="00C1461E">
      <w:pPr>
        <w:pStyle w:val="Dotpoints"/>
      </w:pPr>
      <w:bookmarkStart w:id="59" w:name="_Hlk492849731"/>
      <w:r>
        <w:t>transparency</w:t>
      </w:r>
      <w:r w:rsidR="00EC0572">
        <w:t>—</w:t>
      </w:r>
      <w:r>
        <w:t>independently formulated and based on reliable data. The relationship between source data, indicators and relatively funding level of individual schools should be clearly demonstrable.</w:t>
      </w:r>
    </w:p>
    <w:p w:rsidR="00C1461E" w:rsidRDefault="00C1461E" w:rsidP="00C1461E">
      <w:pPr>
        <w:pStyle w:val="Dotpoints"/>
      </w:pPr>
      <w:r>
        <w:t>based on reliable data</w:t>
      </w:r>
      <w:r w:rsidR="00EC0572">
        <w:t>—</w:t>
      </w:r>
      <w:r>
        <w:t>method is reliant on data collected independently of the purpose of the funding program.</w:t>
      </w:r>
    </w:p>
    <w:p w:rsidR="00C1461E" w:rsidRDefault="00C1461E" w:rsidP="00C1461E">
      <w:pPr>
        <w:pStyle w:val="Dotpoints"/>
      </w:pPr>
      <w:r>
        <w:t>simplicity</w:t>
      </w:r>
      <w:r w:rsidR="00EC0572">
        <w:t>—</w:t>
      </w:r>
      <w:r>
        <w:t>index should be as simple as possible, while being accurate as measuring the relative ‘capacity to contribute’.</w:t>
      </w:r>
    </w:p>
    <w:p w:rsidR="00C1461E" w:rsidRDefault="00C1461E" w:rsidP="00C1461E">
      <w:pPr>
        <w:pStyle w:val="Dotpoints"/>
      </w:pPr>
      <w:r>
        <w:t>nationally consistent</w:t>
      </w:r>
      <w:r w:rsidR="00EC0572">
        <w:t>—</w:t>
      </w:r>
      <w:r>
        <w:t>measure is applicable nationally without disadvantaging particular states/territories, or groups.</w:t>
      </w:r>
    </w:p>
    <w:p w:rsidR="00C1461E" w:rsidRDefault="00C1461E" w:rsidP="00C1461E">
      <w:pPr>
        <w:pStyle w:val="Dotpoints"/>
      </w:pPr>
      <w:r>
        <w:t>avoids duplication</w:t>
      </w:r>
      <w:r w:rsidR="00EC0572">
        <w:t>—</w:t>
      </w:r>
      <w:r>
        <w:t xml:space="preserve">only dimensions related to the purpose of the index </w:t>
      </w:r>
      <w:r w:rsidR="00EC0572">
        <w:t>sho</w:t>
      </w:r>
      <w:r>
        <w:t>uld be included</w:t>
      </w:r>
      <w:r w:rsidR="00B068C6">
        <w:t xml:space="preserve"> </w:t>
      </w:r>
      <w:sdt>
        <w:sdtPr>
          <w:id w:val="-1911306077"/>
          <w:citation/>
        </w:sdtPr>
        <w:sdtContent>
          <w:r w:rsidR="00B068C6">
            <w:fldChar w:fldCharType="begin"/>
          </w:r>
          <w:r w:rsidR="00B068C6">
            <w:instrText xml:space="preserve"> CITATION Sch \l 3081 </w:instrText>
          </w:r>
          <w:r w:rsidR="00B068C6">
            <w:fldChar w:fldCharType="separate"/>
          </w:r>
          <w:r w:rsidR="005333F5">
            <w:rPr>
              <w:noProof/>
            </w:rPr>
            <w:t>(Department of Education, Training and Youth Affairs, 1998)</w:t>
          </w:r>
          <w:r w:rsidR="00B068C6">
            <w:fldChar w:fldCharType="end"/>
          </w:r>
        </w:sdtContent>
      </w:sdt>
      <w:r>
        <w:t xml:space="preserve">. </w:t>
      </w:r>
    </w:p>
    <w:bookmarkEnd w:id="59"/>
    <w:p w:rsidR="00B96DC3" w:rsidRDefault="00783D74" w:rsidP="000A3C13">
      <w:r>
        <w:t xml:space="preserve">The methodology used to estimate the </w:t>
      </w:r>
      <w:r w:rsidR="00B068C6">
        <w:t>final</w:t>
      </w:r>
      <w:r w:rsidR="004B203A">
        <w:t xml:space="preserve"> </w:t>
      </w:r>
      <w:r w:rsidR="00695B33">
        <w:t xml:space="preserve">SES </w:t>
      </w:r>
      <w:r w:rsidR="00B068C6">
        <w:t>measure</w:t>
      </w:r>
      <w:r>
        <w:t xml:space="preserve"> is explained in </w:t>
      </w:r>
      <w:r w:rsidR="00A379AD">
        <w:t>Section</w:t>
      </w:r>
      <w:r>
        <w:t xml:space="preserve"> </w:t>
      </w:r>
      <w:r>
        <w:fldChar w:fldCharType="begin"/>
      </w:r>
      <w:r>
        <w:instrText xml:space="preserve"> REF _Ref489967726 \r \h </w:instrText>
      </w:r>
      <w:r>
        <w:fldChar w:fldCharType="separate"/>
      </w:r>
      <w:r w:rsidR="00B52C11">
        <w:t>3</w:t>
      </w:r>
      <w:r>
        <w:fldChar w:fldCharType="end"/>
      </w:r>
      <w:r w:rsidR="00A27B28">
        <w:t>. In brief, the simulation project involved collecti</w:t>
      </w:r>
      <w:r w:rsidR="00C926A2">
        <w:t>ng</w:t>
      </w:r>
      <w:r w:rsidR="00A27B28">
        <w:t xml:space="preserve"> </w:t>
      </w:r>
      <w:r w:rsidR="00B1276C">
        <w:t xml:space="preserve">student home addresses from </w:t>
      </w:r>
      <w:r w:rsidR="00A27B28">
        <w:t>2,262 schools (almost all Catholic systemic schools, and 720 independent schools). Student address details were then geocoded, enabl</w:t>
      </w:r>
      <w:r w:rsidR="004B203A">
        <w:t>ing</w:t>
      </w:r>
      <w:r w:rsidR="00A27B28">
        <w:t xml:space="preserve"> identification of the specific Census Collection District (CD) that a student resided in. </w:t>
      </w:r>
      <w:r w:rsidR="00A6259D">
        <w:t xml:space="preserve">An attraction of an SES-based approach using ABS Census data </w:t>
      </w:r>
      <w:r w:rsidR="003B6F77">
        <w:t xml:space="preserve">and student home addresses </w:t>
      </w:r>
      <w:r w:rsidR="00CA2984">
        <w:t xml:space="preserve">was </w:t>
      </w:r>
      <w:r w:rsidR="00A6259D">
        <w:t xml:space="preserve">schools not </w:t>
      </w:r>
      <w:r w:rsidR="00C926A2">
        <w:t xml:space="preserve">being </w:t>
      </w:r>
      <w:r w:rsidR="00A6259D">
        <w:t>required to collect new data.</w:t>
      </w:r>
      <w:r w:rsidR="00A27B28">
        <w:t xml:space="preserve"> </w:t>
      </w:r>
    </w:p>
    <w:p w:rsidR="001407F1" w:rsidRDefault="004B203A" w:rsidP="001407F1">
      <w:r>
        <w:t>F</w:t>
      </w:r>
      <w:r w:rsidR="00CA2984">
        <w:t xml:space="preserve">our </w:t>
      </w:r>
      <w:r w:rsidR="00A6259D">
        <w:t>SES index</w:t>
      </w:r>
      <w:r w:rsidR="00CA2984">
        <w:t xml:space="preserve"> approaches were developed with the aim of generating an </w:t>
      </w:r>
      <w:r w:rsidR="00695B33">
        <w:t>SES score</w:t>
      </w:r>
      <w:r w:rsidR="00A6259D">
        <w:t xml:space="preserve"> for each CD</w:t>
      </w:r>
      <w:r w:rsidR="00B068C6">
        <w:t xml:space="preserve"> (see </w:t>
      </w:r>
      <w:r w:rsidR="00B068C6">
        <w:fldChar w:fldCharType="begin"/>
      </w:r>
      <w:r w:rsidR="00B068C6">
        <w:instrText xml:space="preserve"> REF _Ref491432862 \h </w:instrText>
      </w:r>
      <w:r w:rsidR="00B068C6">
        <w:fldChar w:fldCharType="separate"/>
      </w:r>
      <w:r w:rsidR="00B52C11">
        <w:t xml:space="preserve">Table </w:t>
      </w:r>
      <w:r w:rsidR="00B52C11">
        <w:rPr>
          <w:noProof/>
        </w:rPr>
        <w:t>2</w:t>
      </w:r>
      <w:r w:rsidR="00B52C11">
        <w:noBreakHyphen/>
      </w:r>
      <w:r w:rsidR="00B52C11">
        <w:rPr>
          <w:noProof/>
        </w:rPr>
        <w:t>2</w:t>
      </w:r>
      <w:r w:rsidR="00B068C6">
        <w:fldChar w:fldCharType="end"/>
      </w:r>
      <w:r w:rsidR="00B068C6">
        <w:t xml:space="preserve"> </w:t>
      </w:r>
      <w:r w:rsidR="00B068C6">
        <w:fldChar w:fldCharType="begin"/>
      </w:r>
      <w:r w:rsidR="00B068C6">
        <w:instrText xml:space="preserve"> REF _Ref491432865 \p \h </w:instrText>
      </w:r>
      <w:r w:rsidR="00B068C6">
        <w:fldChar w:fldCharType="separate"/>
      </w:r>
      <w:r w:rsidR="00B52C11">
        <w:t>below</w:t>
      </w:r>
      <w:r w:rsidR="00B068C6">
        <w:fldChar w:fldCharType="end"/>
      </w:r>
      <w:r w:rsidR="00B068C6">
        <w:t>)</w:t>
      </w:r>
      <w:r w:rsidR="00A6259D">
        <w:t xml:space="preserve">. </w:t>
      </w:r>
    </w:p>
    <w:p w:rsidR="00083B45" w:rsidRDefault="00083B45" w:rsidP="001407F1">
      <w:r>
        <w:t>The key difference between the four approaches were the variables used, and their relative importance. The focus upon family economic resources led to selection of several dimensions for examination, including occupation, education level, income and accommodation.</w:t>
      </w:r>
    </w:p>
    <w:p w:rsidR="001407F1" w:rsidRDefault="001407F1" w:rsidP="001407F1">
      <w:pPr>
        <w:sectPr w:rsidR="001407F1" w:rsidSect="00D23A81">
          <w:headerReference w:type="even" r:id="rId36"/>
          <w:headerReference w:type="default" r:id="rId37"/>
          <w:footerReference w:type="default" r:id="rId38"/>
          <w:headerReference w:type="first" r:id="rId39"/>
          <w:pgSz w:w="11907" w:h="16839" w:code="9"/>
          <w:pgMar w:top="1440" w:right="1440" w:bottom="1440" w:left="1440" w:header="720" w:footer="720" w:gutter="0"/>
          <w:cols w:space="720"/>
          <w:noEndnote/>
          <w:docGrid w:linePitch="326"/>
        </w:sectPr>
      </w:pPr>
    </w:p>
    <w:p w:rsidR="003B6F77" w:rsidRDefault="00806484" w:rsidP="00A260FB">
      <w:pPr>
        <w:pStyle w:val="Heading3"/>
      </w:pPr>
      <w:bookmarkStart w:id="60" w:name="_Ref491432862"/>
      <w:bookmarkStart w:id="61" w:name="_Ref491432865"/>
      <w:bookmarkStart w:id="62" w:name="_Toc496803945"/>
      <w:r>
        <w:t xml:space="preserve">Table </w:t>
      </w:r>
      <w:fldSimple w:instr=" STYLEREF  \s &quot;Heading 11&quot; ">
        <w:r w:rsidR="00B52C11">
          <w:rPr>
            <w:noProof/>
          </w:rPr>
          <w:t>2</w:t>
        </w:r>
      </w:fldSimple>
      <w:r w:rsidR="002E2D3F">
        <w:noBreakHyphen/>
      </w:r>
      <w:fldSimple w:instr=" SEQ Table \* ARABIC \s 1 ">
        <w:r w:rsidR="00B52C11">
          <w:rPr>
            <w:noProof/>
          </w:rPr>
          <w:t>2</w:t>
        </w:r>
      </w:fldSimple>
      <w:bookmarkEnd w:id="60"/>
      <w:r>
        <w:tab/>
        <w:t xml:space="preserve">Indexes trialled in </w:t>
      </w:r>
      <w:r w:rsidR="008D36D9">
        <w:t xml:space="preserve">the </w:t>
      </w:r>
      <w:r>
        <w:t>SES Simulation Project</w:t>
      </w:r>
      <w:bookmarkEnd w:id="61"/>
      <w:bookmarkEnd w:id="62"/>
    </w:p>
    <w:tbl>
      <w:tblPr>
        <w:tblStyle w:val="TableGrid"/>
        <w:tblW w:w="0" w:type="auto"/>
        <w:tblLook w:val="04A0" w:firstRow="1" w:lastRow="0" w:firstColumn="1" w:lastColumn="0" w:noHBand="0" w:noVBand="1"/>
        <w:tblCaption w:val="Table 2.2 Indexes trialled in the SES Simulation Project"/>
        <w:tblDescription w:val="Describes four different index measures of socio-economic status used previously in developing the SES simulation project (1998). "/>
      </w:tblPr>
      <w:tblGrid>
        <w:gridCol w:w="3261"/>
        <w:gridCol w:w="5670"/>
        <w:gridCol w:w="4819"/>
      </w:tblGrid>
      <w:tr w:rsidR="005F11C4" w:rsidRPr="005917CB" w:rsidTr="00165C42">
        <w:trPr>
          <w:cnfStyle w:val="100000000000" w:firstRow="1" w:lastRow="0" w:firstColumn="0" w:lastColumn="0" w:oddVBand="0" w:evenVBand="0" w:oddHBand="0" w:evenHBand="0" w:firstRowFirstColumn="0" w:firstRowLastColumn="0" w:lastRowFirstColumn="0" w:lastRowLastColumn="0"/>
          <w:tblHeader/>
        </w:trPr>
        <w:tc>
          <w:tcPr>
            <w:tcW w:w="3261" w:type="dxa"/>
          </w:tcPr>
          <w:p w:rsidR="005F11C4" w:rsidRPr="005917CB" w:rsidRDefault="005F11C4" w:rsidP="005F11C4">
            <w:pPr>
              <w:pStyle w:val="Tablegridheading"/>
            </w:pPr>
            <w:r>
              <w:t>Index and d</w:t>
            </w:r>
            <w:r w:rsidRPr="005917CB">
              <w:t>imensions</w:t>
            </w:r>
          </w:p>
        </w:tc>
        <w:tc>
          <w:tcPr>
            <w:tcW w:w="5670" w:type="dxa"/>
          </w:tcPr>
          <w:p w:rsidR="005F11C4" w:rsidRPr="005917CB" w:rsidRDefault="005F11C4" w:rsidP="005917CB">
            <w:pPr>
              <w:pStyle w:val="Tablegridheading"/>
            </w:pPr>
            <w:r>
              <w:t>Feature</w:t>
            </w:r>
          </w:p>
        </w:tc>
        <w:tc>
          <w:tcPr>
            <w:tcW w:w="4819" w:type="dxa"/>
          </w:tcPr>
          <w:p w:rsidR="005F11C4" w:rsidRDefault="005F11C4" w:rsidP="005917CB">
            <w:pPr>
              <w:pStyle w:val="Tablegridheading"/>
            </w:pPr>
            <w:r>
              <w:t>Stakeholder assessment</w:t>
            </w:r>
          </w:p>
        </w:tc>
      </w:tr>
      <w:tr w:rsidR="005F11C4" w:rsidRPr="005917CB" w:rsidTr="005F11C4">
        <w:tc>
          <w:tcPr>
            <w:tcW w:w="3261" w:type="dxa"/>
          </w:tcPr>
          <w:p w:rsidR="005F11C4" w:rsidRPr="005F11C4" w:rsidRDefault="005F11C4" w:rsidP="005917CB">
            <w:pPr>
              <w:pStyle w:val="Tablegridtext"/>
              <w:rPr>
                <w:rFonts w:cs="Calibri"/>
                <w:b/>
              </w:rPr>
            </w:pPr>
            <w:r w:rsidRPr="005F11C4">
              <w:rPr>
                <w:rFonts w:cs="Calibri"/>
                <w:b/>
              </w:rPr>
              <w:t>Index A</w:t>
            </w:r>
          </w:p>
          <w:p w:rsidR="005F11C4" w:rsidRDefault="005F11C4" w:rsidP="005917CB">
            <w:pPr>
              <w:pStyle w:val="Tablegridtext"/>
              <w:rPr>
                <w:rFonts w:cs="Calibri"/>
              </w:rPr>
            </w:pPr>
          </w:p>
          <w:p w:rsidR="005F11C4" w:rsidRPr="005917CB" w:rsidRDefault="005F11C4" w:rsidP="005917CB">
            <w:pPr>
              <w:pStyle w:val="Tablegridtext"/>
            </w:pPr>
            <w:r>
              <w:rPr>
                <w:rFonts w:cs="Calibri"/>
              </w:rPr>
              <w:t xml:space="preserve">⅓ </w:t>
            </w:r>
            <w:r w:rsidRPr="005917CB">
              <w:t>Occupation</w:t>
            </w:r>
            <w:r>
              <w:t xml:space="preserve"> </w:t>
            </w:r>
            <w:r w:rsidRPr="005917CB">
              <w:t>+</w:t>
            </w:r>
            <w:r>
              <w:t xml:space="preserve"> </w:t>
            </w:r>
            <w:r>
              <w:rPr>
                <w:rFonts w:cs="Calibri"/>
              </w:rPr>
              <w:t xml:space="preserve">⅓ </w:t>
            </w:r>
            <w:r w:rsidRPr="005917CB">
              <w:t>Education</w:t>
            </w:r>
            <w:r>
              <w:t xml:space="preserve"> </w:t>
            </w:r>
            <w:r w:rsidRPr="005917CB">
              <w:t xml:space="preserve">+ </w:t>
            </w:r>
            <w:r>
              <w:rPr>
                <w:rFonts w:cs="Calibri"/>
              </w:rPr>
              <w:t xml:space="preserve">⅓ </w:t>
            </w:r>
            <w:r>
              <w:t>Income</w:t>
            </w:r>
          </w:p>
        </w:tc>
        <w:tc>
          <w:tcPr>
            <w:tcW w:w="5670" w:type="dxa"/>
          </w:tcPr>
          <w:p w:rsidR="005F11C4" w:rsidRDefault="005F11C4" w:rsidP="005917CB">
            <w:pPr>
              <w:pStyle w:val="Tablegridtext"/>
            </w:pPr>
            <w:r>
              <w:t>Comprises three equally weighted dimensions:</w:t>
            </w:r>
          </w:p>
          <w:p w:rsidR="005F11C4" w:rsidRDefault="005F11C4" w:rsidP="007572D2">
            <w:pPr>
              <w:pStyle w:val="Tablegriddotpoints"/>
            </w:pPr>
            <w:r>
              <w:t>Occupation</w:t>
            </w:r>
            <w:r w:rsidR="001B732E">
              <w:t>—</w:t>
            </w:r>
            <w:r>
              <w:t>based on major occupation group and gender, including unemployment status</w:t>
            </w:r>
          </w:p>
          <w:p w:rsidR="005F11C4" w:rsidRDefault="005F11C4" w:rsidP="007572D2">
            <w:pPr>
              <w:pStyle w:val="Tablegriddotpoints"/>
            </w:pPr>
            <w:r>
              <w:t>Education</w:t>
            </w:r>
            <w:r w:rsidR="001B732E">
              <w:t>—</w:t>
            </w:r>
            <w:r>
              <w:t xml:space="preserve">educational attainment of all members of the household aged over 15. </w:t>
            </w:r>
          </w:p>
          <w:p w:rsidR="005F11C4" w:rsidRPr="005917CB" w:rsidRDefault="005F11C4" w:rsidP="006132D8">
            <w:pPr>
              <w:pStyle w:val="Tablegriddotpoints"/>
            </w:pPr>
            <w:r>
              <w:t>Income</w:t>
            </w:r>
            <w:r w:rsidR="001B732E">
              <w:t>—</w:t>
            </w:r>
            <w:r>
              <w:t>households with income less than $36,000 per year, or greater than $78,000.</w:t>
            </w:r>
          </w:p>
        </w:tc>
        <w:tc>
          <w:tcPr>
            <w:tcW w:w="4819" w:type="dxa"/>
            <w:vMerge w:val="restart"/>
          </w:tcPr>
          <w:p w:rsidR="005F11C4" w:rsidRDefault="005F11C4" w:rsidP="005917CB">
            <w:pPr>
              <w:pStyle w:val="Tablegridtext"/>
            </w:pPr>
            <w:r>
              <w:t xml:space="preserve">Index A and </w:t>
            </w:r>
            <w:r w:rsidR="008D36D9">
              <w:t xml:space="preserve">index </w:t>
            </w:r>
            <w:r>
              <w:t>modified A h</w:t>
            </w:r>
            <w:r w:rsidR="008D36D9">
              <w:t>ad</w:t>
            </w:r>
            <w:r>
              <w:t xml:space="preserve"> a broader spread of scores, compared to H3 and modified H3.</w:t>
            </w:r>
          </w:p>
          <w:p w:rsidR="005F11C4" w:rsidRDefault="005F11C4" w:rsidP="005917CB">
            <w:pPr>
              <w:pStyle w:val="Tablegridtext"/>
            </w:pPr>
            <w:r>
              <w:t>Th</w:t>
            </w:r>
            <w:r w:rsidR="008D36D9">
              <w:t>e</w:t>
            </w:r>
            <w:r>
              <w:t xml:space="preserve"> spread </w:t>
            </w:r>
            <w:r w:rsidR="008D36D9">
              <w:t xml:space="preserve">of scores </w:t>
            </w:r>
            <w:r>
              <w:t xml:space="preserve">was considered an advantage, as it enabled greater differentiation between schools. </w:t>
            </w:r>
          </w:p>
          <w:p w:rsidR="005F11C4" w:rsidRDefault="005F11C4" w:rsidP="005917CB">
            <w:pPr>
              <w:pStyle w:val="Tablegridtext"/>
            </w:pPr>
            <w:r>
              <w:t xml:space="preserve">The Steering Committee overseeing the SES Simulation Project considered the A indexes were simpler, and led to greater </w:t>
            </w:r>
            <w:r w:rsidR="008D36D9">
              <w:t xml:space="preserve">school </w:t>
            </w:r>
            <w:r>
              <w:t xml:space="preserve">differentiation, than the H3 indexes. </w:t>
            </w:r>
          </w:p>
          <w:p w:rsidR="005F11C4" w:rsidRDefault="001B732E" w:rsidP="001B732E">
            <w:pPr>
              <w:pStyle w:val="Tablegridtext"/>
            </w:pPr>
            <w:r>
              <w:t>Index Modified A</w:t>
            </w:r>
            <w:r w:rsidR="005F11C4">
              <w:t xml:space="preserve"> was </w:t>
            </w:r>
            <w:r w:rsidR="008D36D9">
              <w:t xml:space="preserve">ultimately </w:t>
            </w:r>
            <w:r w:rsidR="005F11C4">
              <w:t xml:space="preserve">preferred due to its inclusion of income of families with children. </w:t>
            </w:r>
          </w:p>
        </w:tc>
      </w:tr>
      <w:tr w:rsidR="005F11C4" w:rsidRPr="005917CB" w:rsidTr="005F11C4">
        <w:tc>
          <w:tcPr>
            <w:tcW w:w="3261" w:type="dxa"/>
          </w:tcPr>
          <w:p w:rsidR="005F11C4" w:rsidRPr="005F11C4" w:rsidRDefault="005F11C4" w:rsidP="00510E24">
            <w:pPr>
              <w:pStyle w:val="Tablegridtext"/>
              <w:rPr>
                <w:b/>
              </w:rPr>
            </w:pPr>
            <w:r>
              <w:rPr>
                <w:b/>
              </w:rPr>
              <w:t xml:space="preserve">Index </w:t>
            </w:r>
            <w:r w:rsidRPr="005F11C4">
              <w:rPr>
                <w:b/>
              </w:rPr>
              <w:t>Modified A</w:t>
            </w:r>
          </w:p>
          <w:p w:rsidR="005F11C4" w:rsidRDefault="005F11C4" w:rsidP="00510E24">
            <w:pPr>
              <w:pStyle w:val="Tablegridtext"/>
            </w:pPr>
          </w:p>
          <w:p w:rsidR="005F11C4" w:rsidRPr="005917CB" w:rsidRDefault="005F11C4" w:rsidP="008D36D9">
            <w:pPr>
              <w:pStyle w:val="Tablegridtext"/>
            </w:pPr>
            <w:r>
              <w:rPr>
                <w:rFonts w:cs="Calibri"/>
              </w:rPr>
              <w:t>⅓</w:t>
            </w:r>
            <w:r>
              <w:t xml:space="preserve"> </w:t>
            </w:r>
            <w:r w:rsidRPr="005917CB">
              <w:t>Occupation</w:t>
            </w:r>
            <w:r w:rsidR="00636777">
              <w:t xml:space="preserve"> </w:t>
            </w:r>
            <w:r w:rsidRPr="005917CB">
              <w:t>+</w:t>
            </w:r>
            <w:r w:rsidR="00636777">
              <w:t xml:space="preserve"> </w:t>
            </w:r>
            <w:r>
              <w:rPr>
                <w:rFonts w:cs="Calibri"/>
              </w:rPr>
              <w:t xml:space="preserve">⅓ </w:t>
            </w:r>
            <w:r w:rsidRPr="005917CB">
              <w:t>Education+</w:t>
            </w:r>
            <w:r w:rsidR="00636777">
              <w:br/>
            </w:r>
            <w:r w:rsidRPr="005917CB">
              <w:t>(</w:t>
            </w:r>
            <w:r>
              <w:rPr>
                <w:rFonts w:cs="Calibri"/>
              </w:rPr>
              <w:t>⅙</w:t>
            </w:r>
            <w:r w:rsidRPr="005917CB">
              <w:t xml:space="preserve"> </w:t>
            </w:r>
            <w:r w:rsidR="008D36D9">
              <w:t xml:space="preserve">Household </w:t>
            </w:r>
            <w:r w:rsidRPr="005917CB">
              <w:t>Income</w:t>
            </w:r>
            <w:r w:rsidR="00636777">
              <w:t xml:space="preserve"> </w:t>
            </w:r>
            <w:r w:rsidRPr="005917CB">
              <w:t xml:space="preserve">+ </w:t>
            </w:r>
            <w:r>
              <w:rPr>
                <w:rFonts w:cs="Calibri"/>
              </w:rPr>
              <w:t>⅙</w:t>
            </w:r>
            <w:r w:rsidRPr="005917CB">
              <w:t xml:space="preserve"> Income</w:t>
            </w:r>
            <w:r>
              <w:t xml:space="preserve"> </w:t>
            </w:r>
            <w:r w:rsidR="008D36D9">
              <w:t>of</w:t>
            </w:r>
            <w:r>
              <w:t xml:space="preserve"> </w:t>
            </w:r>
            <w:r w:rsidRPr="005917CB">
              <w:t xml:space="preserve">families with children) </w:t>
            </w:r>
          </w:p>
        </w:tc>
        <w:tc>
          <w:tcPr>
            <w:tcW w:w="5670" w:type="dxa"/>
          </w:tcPr>
          <w:p w:rsidR="005F11C4" w:rsidRPr="005917CB" w:rsidRDefault="008D36D9" w:rsidP="001B732E">
            <w:pPr>
              <w:pStyle w:val="Tablegridtext"/>
            </w:pPr>
            <w:r>
              <w:t xml:space="preserve">Identical to </w:t>
            </w:r>
            <w:r w:rsidR="005F11C4">
              <w:t xml:space="preserve">index A, with </w:t>
            </w:r>
            <w:r>
              <w:t xml:space="preserve">the </w:t>
            </w:r>
            <w:r w:rsidR="005F11C4">
              <w:t xml:space="preserve">inclusion of data on income </w:t>
            </w:r>
            <w:r>
              <w:t>of</w:t>
            </w:r>
            <w:r w:rsidR="005F11C4">
              <w:t xml:space="preserve"> families with children. </w:t>
            </w:r>
            <w:r>
              <w:t>The income grouping</w:t>
            </w:r>
            <w:r w:rsidR="001B732E">
              <w:t>s</w:t>
            </w:r>
            <w:r>
              <w:t xml:space="preserve"> for this additional variable </w:t>
            </w:r>
            <w:r w:rsidR="001B732E">
              <w:t>were</w:t>
            </w:r>
            <w:r>
              <w:t xml:space="preserve"> identical to that in </w:t>
            </w:r>
            <w:r w:rsidR="005F11C4">
              <w:t xml:space="preserve">index A. </w:t>
            </w:r>
          </w:p>
        </w:tc>
        <w:tc>
          <w:tcPr>
            <w:tcW w:w="4819" w:type="dxa"/>
            <w:vMerge/>
          </w:tcPr>
          <w:p w:rsidR="005F11C4" w:rsidRDefault="005F11C4" w:rsidP="006132D8">
            <w:pPr>
              <w:pStyle w:val="Tablegridtext"/>
            </w:pPr>
          </w:p>
        </w:tc>
      </w:tr>
      <w:tr w:rsidR="005F11C4" w:rsidRPr="005917CB" w:rsidTr="005F11C4">
        <w:tc>
          <w:tcPr>
            <w:tcW w:w="3261" w:type="dxa"/>
          </w:tcPr>
          <w:p w:rsidR="005F11C4" w:rsidRPr="005F11C4" w:rsidRDefault="005F11C4" w:rsidP="00636777">
            <w:pPr>
              <w:pStyle w:val="Tablegridtext"/>
              <w:jc w:val="left"/>
              <w:rPr>
                <w:b/>
              </w:rPr>
            </w:pPr>
            <w:r w:rsidRPr="005F11C4">
              <w:rPr>
                <w:b/>
              </w:rPr>
              <w:t>Index H3</w:t>
            </w:r>
          </w:p>
          <w:p w:rsidR="005F11C4" w:rsidRDefault="005F11C4" w:rsidP="00636777">
            <w:pPr>
              <w:pStyle w:val="Tablegridtext"/>
              <w:jc w:val="left"/>
            </w:pPr>
          </w:p>
          <w:p w:rsidR="005F11C4" w:rsidRPr="005917CB" w:rsidRDefault="005F11C4" w:rsidP="00636777">
            <w:pPr>
              <w:pStyle w:val="Tablegridtext"/>
              <w:jc w:val="left"/>
            </w:pPr>
            <w:r w:rsidRPr="005917CB">
              <w:t xml:space="preserve">(2 </w:t>
            </w:r>
            <w:r>
              <w:rPr>
                <w:rFonts w:cs="Calibri"/>
              </w:rPr>
              <w:t>×</w:t>
            </w:r>
            <w:r>
              <w:t xml:space="preserve"> </w:t>
            </w:r>
            <w:r w:rsidRPr="005917CB">
              <w:t>(Occupation</w:t>
            </w:r>
            <w:r>
              <w:t xml:space="preserve"> </w:t>
            </w:r>
            <w:r w:rsidRPr="005917CB">
              <w:t>+</w:t>
            </w:r>
            <w:r>
              <w:t xml:space="preserve"> </w:t>
            </w:r>
            <w:r w:rsidRPr="005917CB">
              <w:t>Education</w:t>
            </w:r>
            <w:r>
              <w:t xml:space="preserve"> </w:t>
            </w:r>
            <w:r w:rsidRPr="005917CB">
              <w:t>+ Income) +</w:t>
            </w:r>
            <w:r w:rsidR="00664CA6">
              <w:t xml:space="preserve"> </w:t>
            </w:r>
            <w:r w:rsidRPr="005917CB">
              <w:t>Family Stability +</w:t>
            </w:r>
            <w:r w:rsidR="00664CA6">
              <w:t xml:space="preserve"> </w:t>
            </w:r>
            <w:r w:rsidRPr="005917CB">
              <w:t>Accommodation</w:t>
            </w:r>
            <w:r w:rsidR="00664CA6">
              <w:t xml:space="preserve"> </w:t>
            </w:r>
            <w:r w:rsidRPr="005917CB">
              <w:t>+</w:t>
            </w:r>
            <w:r w:rsidR="00664CA6">
              <w:t xml:space="preserve"> </w:t>
            </w:r>
            <w:r w:rsidRPr="005917CB">
              <w:t>Tenancy) / 9</w:t>
            </w:r>
          </w:p>
        </w:tc>
        <w:tc>
          <w:tcPr>
            <w:tcW w:w="5670" w:type="dxa"/>
          </w:tcPr>
          <w:p w:rsidR="005F11C4" w:rsidRDefault="008D36D9" w:rsidP="009470E9">
            <w:pPr>
              <w:pStyle w:val="Tablegridtext"/>
            </w:pPr>
            <w:r>
              <w:t>Comprised the s</w:t>
            </w:r>
            <w:r w:rsidR="005F11C4">
              <w:t xml:space="preserve">ame dimensions as index A, with </w:t>
            </w:r>
            <w:r w:rsidR="001B732E">
              <w:t xml:space="preserve">the </w:t>
            </w:r>
            <w:r w:rsidR="005F11C4">
              <w:t xml:space="preserve">inclusion of elements on: </w:t>
            </w:r>
          </w:p>
          <w:p w:rsidR="005F11C4" w:rsidRDefault="005F11C4" w:rsidP="009470E9">
            <w:pPr>
              <w:pStyle w:val="Tablegriddotpoints"/>
            </w:pPr>
            <w:r>
              <w:t>Family stability</w:t>
            </w:r>
            <w:r w:rsidR="001B732E">
              <w:t>—</w:t>
            </w:r>
            <w:r>
              <w:t>measur</w:t>
            </w:r>
            <w:r w:rsidR="001B732E">
              <w:t>ing</w:t>
            </w:r>
            <w:r>
              <w:t xml:space="preserve"> family structures such as single parenthood, separation and divorce</w:t>
            </w:r>
          </w:p>
          <w:p w:rsidR="005F11C4" w:rsidRDefault="005F11C4" w:rsidP="009470E9">
            <w:pPr>
              <w:pStyle w:val="Tablegriddotpoints"/>
            </w:pPr>
            <w:r>
              <w:t>Accommodation</w:t>
            </w:r>
            <w:r w:rsidR="001B732E">
              <w:t>—</w:t>
            </w:r>
            <w:r>
              <w:t>families in accommodation that is temporary or of low standard</w:t>
            </w:r>
          </w:p>
          <w:p w:rsidR="005F11C4" w:rsidRPr="005917CB" w:rsidRDefault="005F11C4" w:rsidP="00636777">
            <w:pPr>
              <w:pStyle w:val="Tablegriddotpoints"/>
            </w:pPr>
            <w:r>
              <w:t>Tenancy</w:t>
            </w:r>
            <w:r w:rsidR="001B732E">
              <w:t>—</w:t>
            </w:r>
            <w:r>
              <w:t>households in government housing, renting privately, purchasing or own</w:t>
            </w:r>
            <w:r w:rsidR="00636777">
              <w:t xml:space="preserve">ing </w:t>
            </w:r>
            <w:r>
              <w:t>their own dwelling.</w:t>
            </w:r>
          </w:p>
        </w:tc>
        <w:tc>
          <w:tcPr>
            <w:tcW w:w="4819" w:type="dxa"/>
            <w:vMerge w:val="restart"/>
          </w:tcPr>
          <w:p w:rsidR="005F11C4" w:rsidRDefault="002263C4" w:rsidP="009470E9">
            <w:pPr>
              <w:pStyle w:val="Tablegridtext"/>
            </w:pPr>
            <w:r>
              <w:t>Non</w:t>
            </w:r>
            <w:r>
              <w:noBreakHyphen/>
              <w:t>government</w:t>
            </w:r>
            <w:r w:rsidR="000678DC">
              <w:t xml:space="preserve"> school stakeholders from s</w:t>
            </w:r>
            <w:r w:rsidR="005F11C4">
              <w:t xml:space="preserve">maller states with particular demographics preferred H3 or modified H3. </w:t>
            </w:r>
          </w:p>
          <w:p w:rsidR="005F11C4" w:rsidRDefault="005F11C4" w:rsidP="009470E9">
            <w:pPr>
              <w:pStyle w:val="Tablegridtext"/>
            </w:pPr>
            <w:r>
              <w:t xml:space="preserve">As the two H3 indexes considered more social factors, and moderated economic factors, there was a greater concentration of schools with the same SES score. </w:t>
            </w:r>
          </w:p>
        </w:tc>
      </w:tr>
      <w:tr w:rsidR="005F11C4" w:rsidRPr="005917CB" w:rsidTr="005F11C4">
        <w:tc>
          <w:tcPr>
            <w:tcW w:w="3261" w:type="dxa"/>
          </w:tcPr>
          <w:p w:rsidR="005F11C4" w:rsidRPr="005F11C4" w:rsidRDefault="005F11C4" w:rsidP="00636777">
            <w:pPr>
              <w:pStyle w:val="Tablegridtext"/>
              <w:jc w:val="left"/>
              <w:rPr>
                <w:b/>
              </w:rPr>
            </w:pPr>
            <w:r w:rsidRPr="005F11C4">
              <w:rPr>
                <w:b/>
              </w:rPr>
              <w:t xml:space="preserve">Index </w:t>
            </w:r>
            <w:r>
              <w:rPr>
                <w:b/>
              </w:rPr>
              <w:t xml:space="preserve">Modified </w:t>
            </w:r>
            <w:r w:rsidRPr="005F11C4">
              <w:rPr>
                <w:b/>
              </w:rPr>
              <w:t>H3</w:t>
            </w:r>
          </w:p>
          <w:p w:rsidR="005F11C4" w:rsidRDefault="005F11C4" w:rsidP="00636777">
            <w:pPr>
              <w:pStyle w:val="Tablegridtext"/>
              <w:jc w:val="left"/>
            </w:pPr>
          </w:p>
          <w:p w:rsidR="005F11C4" w:rsidRPr="005917CB" w:rsidRDefault="005F11C4" w:rsidP="00636777">
            <w:pPr>
              <w:pStyle w:val="Tablegridtext"/>
              <w:jc w:val="left"/>
            </w:pPr>
            <w:r w:rsidRPr="005917CB">
              <w:t xml:space="preserve">(2 </w:t>
            </w:r>
            <w:r>
              <w:rPr>
                <w:rFonts w:cs="Calibri"/>
              </w:rPr>
              <w:t>×</w:t>
            </w:r>
            <w:r>
              <w:t xml:space="preserve"> </w:t>
            </w:r>
            <w:r w:rsidRPr="005917CB">
              <w:t>(Education</w:t>
            </w:r>
            <w:r>
              <w:t xml:space="preserve"> </w:t>
            </w:r>
            <w:r w:rsidRPr="005917CB">
              <w:t>+</w:t>
            </w:r>
            <w:r>
              <w:t xml:space="preserve"> </w:t>
            </w:r>
            <w:r w:rsidRPr="005917CB">
              <w:t>Income) +</w:t>
            </w:r>
            <w:r>
              <w:t xml:space="preserve"> </w:t>
            </w:r>
            <w:r w:rsidRPr="005917CB">
              <w:t>Occupation</w:t>
            </w:r>
            <w:r>
              <w:t xml:space="preserve"> </w:t>
            </w:r>
            <w:r w:rsidRPr="005917CB">
              <w:t>+</w:t>
            </w:r>
            <w:r w:rsidR="00664CA6">
              <w:t xml:space="preserve"> </w:t>
            </w:r>
            <w:r w:rsidRPr="005917CB">
              <w:t>Occupation</w:t>
            </w:r>
            <w:r>
              <w:t xml:space="preserve"> </w:t>
            </w:r>
            <w:r w:rsidRPr="005917CB">
              <w:t>excluding</w:t>
            </w:r>
            <w:r>
              <w:t xml:space="preserve"> </w:t>
            </w:r>
            <w:r w:rsidRPr="005917CB">
              <w:t>unemployment +</w:t>
            </w:r>
            <w:r>
              <w:t xml:space="preserve"> </w:t>
            </w:r>
            <w:r w:rsidRPr="005917CB">
              <w:t>Family Stability +</w:t>
            </w:r>
            <w:r>
              <w:t xml:space="preserve"> </w:t>
            </w:r>
            <w:r w:rsidRPr="005917CB">
              <w:t>Accommodation</w:t>
            </w:r>
            <w:r>
              <w:t xml:space="preserve"> </w:t>
            </w:r>
            <w:r w:rsidRPr="005917CB">
              <w:t>+</w:t>
            </w:r>
            <w:r>
              <w:t xml:space="preserve"> </w:t>
            </w:r>
            <w:r w:rsidRPr="005917CB">
              <w:t>Tenancy) / 9</w:t>
            </w:r>
          </w:p>
        </w:tc>
        <w:tc>
          <w:tcPr>
            <w:tcW w:w="5670" w:type="dxa"/>
          </w:tcPr>
          <w:p w:rsidR="005F11C4" w:rsidRPr="005917CB" w:rsidRDefault="001B732E" w:rsidP="001B732E">
            <w:pPr>
              <w:pStyle w:val="Tablegridtext"/>
            </w:pPr>
            <w:r>
              <w:t xml:space="preserve">Identical to </w:t>
            </w:r>
            <w:r w:rsidR="005F11C4">
              <w:t xml:space="preserve">index H3, with </w:t>
            </w:r>
            <w:r>
              <w:t xml:space="preserve">the </w:t>
            </w:r>
            <w:r w:rsidR="005F11C4">
              <w:t xml:space="preserve">inclusion of </w:t>
            </w:r>
            <w:r>
              <w:t xml:space="preserve">an </w:t>
            </w:r>
            <w:r w:rsidR="005F11C4">
              <w:t xml:space="preserve">occupation dimension that excluded unemployment status. </w:t>
            </w:r>
          </w:p>
        </w:tc>
        <w:tc>
          <w:tcPr>
            <w:tcW w:w="4819" w:type="dxa"/>
            <w:vMerge/>
          </w:tcPr>
          <w:p w:rsidR="005F11C4" w:rsidRDefault="005F11C4" w:rsidP="005917CB">
            <w:pPr>
              <w:pStyle w:val="Tablegridtext"/>
            </w:pPr>
          </w:p>
        </w:tc>
      </w:tr>
    </w:tbl>
    <w:p w:rsidR="001407F1" w:rsidRPr="0051627A" w:rsidRDefault="00806484" w:rsidP="0051627A">
      <w:pPr>
        <w:pStyle w:val="Datasource"/>
      </w:pPr>
      <w:r w:rsidRPr="0051627A">
        <w:t xml:space="preserve">Source: </w:t>
      </w:r>
      <w:r w:rsidR="002A02EC">
        <w:rPr>
          <w:noProof/>
        </w:rPr>
        <w:t>Department of Education, Training and Youth Affairs (1998), p. 16.</w:t>
      </w:r>
    </w:p>
    <w:p w:rsidR="001407F1" w:rsidRDefault="001407F1" w:rsidP="00C64E23">
      <w:pPr>
        <w:sectPr w:rsidR="001407F1" w:rsidSect="001407F1">
          <w:headerReference w:type="even" r:id="rId40"/>
          <w:headerReference w:type="default" r:id="rId41"/>
          <w:footerReference w:type="default" r:id="rId42"/>
          <w:headerReference w:type="first" r:id="rId43"/>
          <w:pgSz w:w="16839" w:h="11907" w:orient="landscape" w:code="9"/>
          <w:pgMar w:top="1440" w:right="1440" w:bottom="1440" w:left="1440" w:header="720" w:footer="720" w:gutter="0"/>
          <w:cols w:space="720"/>
          <w:noEndnote/>
          <w:docGrid w:linePitch="326"/>
        </w:sectPr>
      </w:pPr>
    </w:p>
    <w:p w:rsidR="008D36D9" w:rsidRDefault="002D279D" w:rsidP="008D36D9">
      <w:r>
        <w:t>Calculation</w:t>
      </w:r>
      <w:r w:rsidR="008D36D9">
        <w:t xml:space="preserve"> of the SES indexes largely used data on all households within CDs</w:t>
      </w:r>
      <w:r w:rsidR="00664CA6">
        <w:t>—</w:t>
      </w:r>
      <w:r w:rsidR="008D36D9">
        <w:t xml:space="preserve">it did not focus on families of school-aged children, or families with children attending </w:t>
      </w:r>
      <w:r w:rsidR="002263C4">
        <w:t>non</w:t>
      </w:r>
      <w:r w:rsidR="002263C4">
        <w:noBreakHyphen/>
        <w:t>government</w:t>
      </w:r>
      <w:r w:rsidR="008D36D9">
        <w:t xml:space="preserve"> schools. The exception was </w:t>
      </w:r>
      <w:r w:rsidR="009C6242">
        <w:t>elements</w:t>
      </w:r>
      <w:r w:rsidR="008D36D9">
        <w:t xml:space="preserve"> focusing on families with children, and family stability. </w:t>
      </w:r>
    </w:p>
    <w:p w:rsidR="009450CE" w:rsidRDefault="009C6242" w:rsidP="008D36D9">
      <w:r>
        <w:t xml:space="preserve">In November 1998, </w:t>
      </w:r>
      <w:r w:rsidR="002263C4">
        <w:t>non</w:t>
      </w:r>
      <w:r w:rsidR="002263C4">
        <w:noBreakHyphen/>
        <w:t>government</w:t>
      </w:r>
      <w:r>
        <w:t xml:space="preserve"> school representatives met to discuss the SES score analysis, and to select a </w:t>
      </w:r>
      <w:r w:rsidR="009450CE">
        <w:t>preferred index</w:t>
      </w:r>
      <w:r w:rsidR="006579DF">
        <w:t xml:space="preserve"> to be recommended to the Australian Government</w:t>
      </w:r>
      <w:r w:rsidR="009450CE">
        <w:t xml:space="preserve">. </w:t>
      </w:r>
      <w:r w:rsidR="00664CA6">
        <w:t>I</w:t>
      </w:r>
      <w:r w:rsidR="009450CE">
        <w:t xml:space="preserve">t was acknowledged that consideration of the SES score </w:t>
      </w:r>
      <w:r>
        <w:t>analysis</w:t>
      </w:r>
      <w:r w:rsidR="009450CE">
        <w:t xml:space="preserve"> was ‘both subjective and objective’, and was based on a set of agreed principles and the</w:t>
      </w:r>
      <w:r>
        <w:t xml:space="preserve"> funding </w:t>
      </w:r>
      <w:r w:rsidR="009450CE">
        <w:t xml:space="preserve">implications for individual schools and school systems </w:t>
      </w:r>
      <w:sdt>
        <w:sdtPr>
          <w:id w:val="156812100"/>
          <w:citation/>
        </w:sdtPr>
        <w:sdtContent>
          <w:r w:rsidR="009450CE">
            <w:fldChar w:fldCharType="begin"/>
          </w:r>
          <w:r w:rsidR="009450CE">
            <w:instrText xml:space="preserve">CITATION Sch \p 20 \l 3081 </w:instrText>
          </w:r>
          <w:r w:rsidR="009450CE">
            <w:fldChar w:fldCharType="separate"/>
          </w:r>
          <w:r w:rsidR="005333F5">
            <w:rPr>
              <w:noProof/>
            </w:rPr>
            <w:t>(Department of Education, Training and Youth Affairs, 1998, p. 20)</w:t>
          </w:r>
          <w:r w:rsidR="009450CE">
            <w:fldChar w:fldCharType="end"/>
          </w:r>
        </w:sdtContent>
      </w:sdt>
      <w:r w:rsidR="009450CE">
        <w:t xml:space="preserve">. </w:t>
      </w:r>
    </w:p>
    <w:p w:rsidR="005F11C4" w:rsidRDefault="00A6259D" w:rsidP="00C64E23">
      <w:r>
        <w:t>The</w:t>
      </w:r>
      <w:r w:rsidR="00341736">
        <w:t xml:space="preserve"> Modified A</w:t>
      </w:r>
      <w:r>
        <w:t xml:space="preserve"> index was selected, </w:t>
      </w:r>
      <w:r w:rsidR="00E66FF2">
        <w:t xml:space="preserve">using </w:t>
      </w:r>
      <w:r>
        <w:t>data on Occupation</w:t>
      </w:r>
      <w:r w:rsidR="00510E24">
        <w:t xml:space="preserve"> (</w:t>
      </w:r>
      <w:r w:rsidR="00510E24">
        <w:rPr>
          <w:rFonts w:cs="Calibri"/>
        </w:rPr>
        <w:t>⅓)</w:t>
      </w:r>
      <w:r>
        <w:t xml:space="preserve">, Education </w:t>
      </w:r>
      <w:r w:rsidR="00510E24">
        <w:t>(</w:t>
      </w:r>
      <w:r w:rsidR="00510E24">
        <w:rPr>
          <w:rFonts w:cs="Calibri"/>
        </w:rPr>
        <w:t>⅓)</w:t>
      </w:r>
      <w:r>
        <w:t>, Household income</w:t>
      </w:r>
      <w:r w:rsidR="00510E24">
        <w:t xml:space="preserve"> (</w:t>
      </w:r>
      <w:r w:rsidR="00510E24">
        <w:rPr>
          <w:rFonts w:cs="Calibri"/>
        </w:rPr>
        <w:t>⅙)</w:t>
      </w:r>
      <w:r>
        <w:t xml:space="preserve"> and Income of families with children </w:t>
      </w:r>
      <w:r w:rsidR="00510E24">
        <w:t>(</w:t>
      </w:r>
      <w:r w:rsidR="00510E24">
        <w:rPr>
          <w:rFonts w:cs="Calibri"/>
        </w:rPr>
        <w:t>⅙)</w:t>
      </w:r>
      <w:r>
        <w:t xml:space="preserve">. </w:t>
      </w:r>
      <w:r w:rsidR="009B0A34">
        <w:t xml:space="preserve">The data in brackets denotes the relative importance </w:t>
      </w:r>
      <w:r w:rsidR="00F22E5E">
        <w:t xml:space="preserve">(or weights) </w:t>
      </w:r>
      <w:r w:rsidR="009B0A34">
        <w:t>of each component in the index</w:t>
      </w:r>
      <w:r w:rsidR="00341736">
        <w:t xml:space="preserve">. This index was </w:t>
      </w:r>
      <w:r w:rsidR="00C64E23">
        <w:t xml:space="preserve">subsequently called the </w:t>
      </w:r>
      <w:r w:rsidR="00695B33">
        <w:t>SES score</w:t>
      </w:r>
      <w:r w:rsidR="009B0A34">
        <w:t xml:space="preserve">. </w:t>
      </w:r>
      <w:r w:rsidR="00F22E5E">
        <w:t>The choice of weights in the Modified A index was a policy decision made in consultation with stakeholders, and not one based on any specific analysis findings.</w:t>
      </w:r>
    </w:p>
    <w:p w:rsidR="00A6259D" w:rsidRDefault="001C080E" w:rsidP="00A6259D">
      <w:r>
        <w:t xml:space="preserve">Although the objective of the index was to measure financial capacity, education and occupation were included due to a desire to develop a more precise and stable profile of schools. It was noted that education level and occupation type were highly correlated between themselves, and with income. The Modified A index was </w:t>
      </w:r>
      <w:r w:rsidR="00E66FF2">
        <w:t xml:space="preserve">ultimately </w:t>
      </w:r>
      <w:r>
        <w:t xml:space="preserve">preferred by school representatives </w:t>
      </w:r>
      <w:r w:rsidR="00341736">
        <w:t>as</w:t>
      </w:r>
      <w:r>
        <w:t xml:space="preserve"> it generat</w:t>
      </w:r>
      <w:r w:rsidR="00341736">
        <w:t>ed</w:t>
      </w:r>
      <w:r>
        <w:t xml:space="preserve"> a broader spread of score</w:t>
      </w:r>
      <w:r w:rsidR="00CA2984">
        <w:t>s</w:t>
      </w:r>
      <w:r>
        <w:t xml:space="preserve"> between schools</w:t>
      </w:r>
      <w:r w:rsidR="009B0A34">
        <w:t xml:space="preserve"> </w:t>
      </w:r>
      <w:sdt>
        <w:sdtPr>
          <w:id w:val="-853809520"/>
          <w:citation/>
        </w:sdtPr>
        <w:sdtContent>
          <w:r w:rsidR="005F11C4">
            <w:fldChar w:fldCharType="begin"/>
          </w:r>
          <w:r w:rsidR="005F11C4">
            <w:instrText xml:space="preserve"> CITATION Sch \l 3081 </w:instrText>
          </w:r>
          <w:r w:rsidR="005F11C4">
            <w:fldChar w:fldCharType="separate"/>
          </w:r>
          <w:r w:rsidR="005333F5">
            <w:rPr>
              <w:noProof/>
            </w:rPr>
            <w:t>(Department of Education, Training and Youth Affairs, 1998)</w:t>
          </w:r>
          <w:r w:rsidR="005F11C4">
            <w:fldChar w:fldCharType="end"/>
          </w:r>
        </w:sdtContent>
      </w:sdt>
      <w:r w:rsidR="005F11C4">
        <w:t>.</w:t>
      </w:r>
    </w:p>
    <w:p w:rsidR="006A47FC" w:rsidRDefault="006A47FC" w:rsidP="00540C59">
      <w:pPr>
        <w:pStyle w:val="Heading3"/>
      </w:pPr>
      <w:bookmarkStart w:id="63" w:name="_Ref492991626"/>
      <w:bookmarkStart w:id="64" w:name="_Toc493598463"/>
      <w:bookmarkStart w:id="65" w:name="_Toc495409765"/>
      <w:bookmarkStart w:id="66" w:name="_Toc496792755"/>
      <w:bookmarkStart w:id="67" w:name="_Toc496803885"/>
      <w:r>
        <w:t xml:space="preserve">Validation of the </w:t>
      </w:r>
      <w:r w:rsidR="00695B33">
        <w:t>SES score</w:t>
      </w:r>
      <w:bookmarkEnd w:id="63"/>
      <w:bookmarkEnd w:id="64"/>
      <w:bookmarkEnd w:id="65"/>
      <w:bookmarkEnd w:id="66"/>
      <w:bookmarkEnd w:id="67"/>
    </w:p>
    <w:p w:rsidR="001C080E" w:rsidRDefault="001C080E" w:rsidP="001C080E">
      <w:r>
        <w:t xml:space="preserve">Following the initial </w:t>
      </w:r>
      <w:r w:rsidR="002D279D">
        <w:t>calculation</w:t>
      </w:r>
      <w:r>
        <w:t xml:space="preserve"> of the </w:t>
      </w:r>
      <w:r w:rsidR="00695B33">
        <w:t>SES score</w:t>
      </w:r>
      <w:r>
        <w:t xml:space="preserve">, a validation exercise was undertaken in 1999 </w:t>
      </w:r>
      <w:r w:rsidR="003E2A4C">
        <w:t xml:space="preserve">by the </w:t>
      </w:r>
      <w:r w:rsidR="009C6242">
        <w:t xml:space="preserve">(then) </w:t>
      </w:r>
      <w:r w:rsidR="003E2A4C">
        <w:t xml:space="preserve">Department of Education, Training and Youth Affairs </w:t>
      </w:r>
      <w:r>
        <w:t xml:space="preserve">to: </w:t>
      </w:r>
    </w:p>
    <w:p w:rsidR="00A6259D" w:rsidRDefault="001C080E" w:rsidP="00851EDF">
      <w:pPr>
        <w:pStyle w:val="Quote"/>
      </w:pPr>
      <w:r>
        <w:t>‘test whether a measure of the relative need of non−government school communities based on an SES approach using data gathered from the Census matched other measures of need</w:t>
      </w:r>
      <w:r w:rsidR="00851EDF">
        <w:t xml:space="preserve">’ </w:t>
      </w:r>
      <w:sdt>
        <w:sdtPr>
          <w:id w:val="-1163857299"/>
          <w:citation/>
        </w:sdtPr>
        <w:sdtContent>
          <w:r w:rsidR="00851EDF">
            <w:fldChar w:fldCharType="begin"/>
          </w:r>
          <w:r w:rsidR="00851EDF">
            <w:instrText xml:space="preserve">CITATION Dep99 \p 1 \l 3081 </w:instrText>
          </w:r>
          <w:r w:rsidR="00851EDF">
            <w:fldChar w:fldCharType="separate"/>
          </w:r>
          <w:r w:rsidR="005333F5">
            <w:rPr>
              <w:noProof/>
            </w:rPr>
            <w:t>(Department of Education, Training and Youth Affairs, 1999, p. 1)</w:t>
          </w:r>
          <w:r w:rsidR="00851EDF">
            <w:fldChar w:fldCharType="end"/>
          </w:r>
        </w:sdtContent>
      </w:sdt>
      <w:r>
        <w:t xml:space="preserve">. </w:t>
      </w:r>
    </w:p>
    <w:p w:rsidR="001C080E" w:rsidRDefault="00851EDF" w:rsidP="00851EDF">
      <w:r>
        <w:t xml:space="preserve">This validation comprised </w:t>
      </w:r>
      <w:r w:rsidR="002E6E78">
        <w:t>the SES score being compared with three other measures</w:t>
      </w:r>
      <w:r>
        <w:t xml:space="preserve">: </w:t>
      </w:r>
    </w:p>
    <w:p w:rsidR="001C080E" w:rsidRDefault="001C080E" w:rsidP="00851EDF">
      <w:pPr>
        <w:pStyle w:val="Dotpoints"/>
      </w:pPr>
      <w:r>
        <w:t>the occupation, education and wealth of parents for schools</w:t>
      </w:r>
      <w:r w:rsidR="00851EDF">
        <w:t>, generating using data collected i</w:t>
      </w:r>
      <w:r>
        <w:t>n the Longitudinal Survey</w:t>
      </w:r>
      <w:r w:rsidR="00902C5B">
        <w:t>s</w:t>
      </w:r>
      <w:r>
        <w:t xml:space="preserve"> of Australian Youth (LSAY)</w:t>
      </w:r>
    </w:p>
    <w:p w:rsidR="00B204DF" w:rsidRDefault="001C080E" w:rsidP="00161042">
      <w:pPr>
        <w:pStyle w:val="Dotpoints"/>
      </w:pPr>
      <w:r>
        <w:t xml:space="preserve">parental means as assessed under the </w:t>
      </w:r>
      <w:r w:rsidR="0059332D">
        <w:t>Australian</w:t>
      </w:r>
      <w:r w:rsidR="00851EDF">
        <w:t xml:space="preserve"> Government </w:t>
      </w:r>
      <w:r>
        <w:t>AUSTUDY</w:t>
      </w:r>
      <w:r w:rsidR="00D40978">
        <w:t xml:space="preserve"> payment</w:t>
      </w:r>
      <w:r>
        <w:t xml:space="preserve">, available to students aged 16 and over  </w:t>
      </w:r>
    </w:p>
    <w:p w:rsidR="001C080E" w:rsidRPr="00A6259D" w:rsidRDefault="001C080E" w:rsidP="00161042">
      <w:pPr>
        <w:pStyle w:val="Dotpoints"/>
      </w:pPr>
      <w:r>
        <w:t xml:space="preserve">family means as assessed </w:t>
      </w:r>
      <w:r w:rsidR="00851EDF">
        <w:t>by</w:t>
      </w:r>
      <w:r>
        <w:t xml:space="preserve"> means-tested allowances provided to school students by </w:t>
      </w:r>
      <w:r w:rsidR="0059332D">
        <w:t>three s</w:t>
      </w:r>
      <w:r>
        <w:t xml:space="preserve">tate governments </w:t>
      </w:r>
      <w:r w:rsidR="0059332D">
        <w:t>(</w:t>
      </w:r>
      <w:r>
        <w:t>Victoria, South Australia and Tasmania</w:t>
      </w:r>
      <w:r w:rsidR="0059332D">
        <w:t>)</w:t>
      </w:r>
      <w:r>
        <w:t>.</w:t>
      </w:r>
      <w:r w:rsidR="00982E9E">
        <w:rPr>
          <w:rStyle w:val="FootnoteReference"/>
        </w:rPr>
        <w:footnoteReference w:id="2"/>
      </w:r>
      <w:r>
        <w:t xml:space="preserve"> </w:t>
      </w:r>
    </w:p>
    <w:p w:rsidR="0059332D" w:rsidRDefault="00664CA6" w:rsidP="00982E9E">
      <w:r>
        <w:t>A</w:t>
      </w:r>
      <w:r w:rsidR="0059332D">
        <w:t xml:space="preserve">nalysis was undertaken to identify whether </w:t>
      </w:r>
      <w:r w:rsidR="00E16C4A">
        <w:t>the SES scores generated for individual school</w:t>
      </w:r>
      <w:r w:rsidR="002E6E78">
        <w:t xml:space="preserve">s </w:t>
      </w:r>
      <w:r w:rsidR="00E16C4A">
        <w:t xml:space="preserve">were </w:t>
      </w:r>
      <w:r w:rsidR="00982E9E">
        <w:t>related</w:t>
      </w:r>
      <w:r w:rsidR="00E16C4A">
        <w:t xml:space="preserve"> with estimates generated using each of the above </w:t>
      </w:r>
      <w:r w:rsidR="002E6E78">
        <w:t>measures</w:t>
      </w:r>
      <w:r w:rsidR="00E16C4A">
        <w:t xml:space="preserve">. </w:t>
      </w:r>
      <w:r w:rsidR="00982E9E">
        <w:t xml:space="preserve">The specific methods and findings are summarised in </w:t>
      </w:r>
      <w:r w:rsidR="00982E9E">
        <w:fldChar w:fldCharType="begin"/>
      </w:r>
      <w:r w:rsidR="00982E9E">
        <w:instrText xml:space="preserve"> REF _Ref491693720 \h </w:instrText>
      </w:r>
      <w:r w:rsidR="00982E9E">
        <w:fldChar w:fldCharType="separate"/>
      </w:r>
      <w:r w:rsidR="00B52C11">
        <w:t xml:space="preserve">Table </w:t>
      </w:r>
      <w:r w:rsidR="00B52C11">
        <w:rPr>
          <w:noProof/>
        </w:rPr>
        <w:t>2</w:t>
      </w:r>
      <w:r w:rsidR="00B52C11">
        <w:noBreakHyphen/>
      </w:r>
      <w:r w:rsidR="00B52C11">
        <w:rPr>
          <w:noProof/>
        </w:rPr>
        <w:t>3</w:t>
      </w:r>
      <w:r w:rsidR="00982E9E">
        <w:fldChar w:fldCharType="end"/>
      </w:r>
      <w:r w:rsidR="00982E9E">
        <w:t xml:space="preserve"> </w:t>
      </w:r>
      <w:r w:rsidR="00982E9E">
        <w:fldChar w:fldCharType="begin"/>
      </w:r>
      <w:r w:rsidR="00982E9E">
        <w:instrText xml:space="preserve"> REF _Ref491693722 \p \h </w:instrText>
      </w:r>
      <w:r w:rsidR="00982E9E">
        <w:fldChar w:fldCharType="separate"/>
      </w:r>
      <w:r w:rsidR="00B52C11">
        <w:t>below</w:t>
      </w:r>
      <w:r w:rsidR="00982E9E">
        <w:fldChar w:fldCharType="end"/>
      </w:r>
      <w:r w:rsidR="00982E9E">
        <w:t xml:space="preserve">. </w:t>
      </w:r>
    </w:p>
    <w:p w:rsidR="0012437B" w:rsidRDefault="0059332D" w:rsidP="00A260FB">
      <w:pPr>
        <w:pStyle w:val="Heading3"/>
      </w:pPr>
      <w:bookmarkStart w:id="68" w:name="_Ref491693720"/>
      <w:bookmarkStart w:id="69" w:name="_Ref491693722"/>
      <w:bookmarkStart w:id="70" w:name="_Toc496803946"/>
      <w:r>
        <w:t xml:space="preserve">Table </w:t>
      </w:r>
      <w:fldSimple w:instr=" STYLEREF  \s &quot;Heading 11&quot; ">
        <w:r w:rsidR="00B52C11">
          <w:rPr>
            <w:noProof/>
          </w:rPr>
          <w:t>2</w:t>
        </w:r>
      </w:fldSimple>
      <w:r w:rsidR="002E2D3F">
        <w:noBreakHyphen/>
      </w:r>
      <w:fldSimple w:instr=" SEQ Table \* ARABIC \s 1 ">
        <w:r w:rsidR="00B52C11">
          <w:rPr>
            <w:noProof/>
          </w:rPr>
          <w:t>3</w:t>
        </w:r>
      </w:fldSimple>
      <w:bookmarkEnd w:id="68"/>
      <w:r>
        <w:tab/>
        <w:t>SES score validation approaches</w:t>
      </w:r>
      <w:bookmarkEnd w:id="69"/>
      <w:bookmarkEnd w:id="70"/>
    </w:p>
    <w:tbl>
      <w:tblPr>
        <w:tblStyle w:val="TableGrid"/>
        <w:tblW w:w="0" w:type="auto"/>
        <w:tblLook w:val="04A0" w:firstRow="1" w:lastRow="0" w:firstColumn="1" w:lastColumn="0" w:noHBand="0" w:noVBand="1"/>
        <w:tblCaption w:val="Table 2.3 SES score validation approaches"/>
        <w:tblDescription w:val="Describes three approaches to validate SES scores, including:&#10;Longitudinal surveys of Australian Youth (LSAY) data; or Australian Government AUSTUDY data; or Means-tested allowances provided to school students by three state governments."/>
      </w:tblPr>
      <w:tblGrid>
        <w:gridCol w:w="1701"/>
        <w:gridCol w:w="4677"/>
        <w:gridCol w:w="2648"/>
      </w:tblGrid>
      <w:tr w:rsidR="0059332D" w:rsidTr="00165C42">
        <w:trPr>
          <w:cnfStyle w:val="100000000000" w:firstRow="1" w:lastRow="0" w:firstColumn="0" w:lastColumn="0" w:oddVBand="0" w:evenVBand="0" w:oddHBand="0" w:evenHBand="0" w:firstRowFirstColumn="0" w:firstRowLastColumn="0" w:lastRowFirstColumn="0" w:lastRowLastColumn="0"/>
          <w:tblHeader/>
        </w:trPr>
        <w:tc>
          <w:tcPr>
            <w:tcW w:w="1701" w:type="dxa"/>
          </w:tcPr>
          <w:p w:rsidR="0059332D" w:rsidRDefault="0059332D" w:rsidP="0059332D">
            <w:pPr>
              <w:pStyle w:val="Tablegridheading"/>
            </w:pPr>
            <w:r>
              <w:t>Approach</w:t>
            </w:r>
          </w:p>
        </w:tc>
        <w:tc>
          <w:tcPr>
            <w:tcW w:w="4678" w:type="dxa"/>
          </w:tcPr>
          <w:p w:rsidR="0059332D" w:rsidRDefault="0059332D" w:rsidP="0059332D">
            <w:pPr>
              <w:pStyle w:val="Tablegridheading"/>
            </w:pPr>
            <w:r>
              <w:t>Method</w:t>
            </w:r>
          </w:p>
        </w:tc>
        <w:tc>
          <w:tcPr>
            <w:tcW w:w="2648" w:type="dxa"/>
          </w:tcPr>
          <w:p w:rsidR="0059332D" w:rsidRDefault="0059332D" w:rsidP="0059332D">
            <w:pPr>
              <w:pStyle w:val="Tablegridheading"/>
            </w:pPr>
            <w:r>
              <w:t>Finding</w:t>
            </w:r>
            <w:r w:rsidR="00902C5B">
              <w:t>s</w:t>
            </w:r>
          </w:p>
        </w:tc>
      </w:tr>
      <w:tr w:rsidR="0059332D" w:rsidTr="00061DC4">
        <w:tc>
          <w:tcPr>
            <w:tcW w:w="1701" w:type="dxa"/>
          </w:tcPr>
          <w:p w:rsidR="0059332D" w:rsidRDefault="0059332D" w:rsidP="00636777">
            <w:pPr>
              <w:pStyle w:val="Tablegridtext"/>
              <w:jc w:val="left"/>
            </w:pPr>
            <w:r w:rsidRPr="0059332D">
              <w:t>Longitudinal Survey</w:t>
            </w:r>
            <w:r w:rsidR="00902C5B">
              <w:t>s</w:t>
            </w:r>
            <w:r w:rsidRPr="0059332D">
              <w:t xml:space="preserve"> of Australian Youth (LSAY)</w:t>
            </w:r>
            <w:r>
              <w:t xml:space="preserve"> data</w:t>
            </w:r>
          </w:p>
        </w:tc>
        <w:tc>
          <w:tcPr>
            <w:tcW w:w="4678" w:type="dxa"/>
          </w:tcPr>
          <w:p w:rsidR="00E16C4A" w:rsidRDefault="00E16C4A" w:rsidP="00A31866">
            <w:pPr>
              <w:pStyle w:val="Tablegridtext"/>
            </w:pPr>
            <w:r>
              <w:t xml:space="preserve">Student data was used for the 76 </w:t>
            </w:r>
            <w:r w:rsidR="002263C4">
              <w:t>non</w:t>
            </w:r>
            <w:r w:rsidR="002263C4">
              <w:noBreakHyphen/>
              <w:t>government</w:t>
            </w:r>
            <w:r>
              <w:t xml:space="preserve"> schools participating in LSAY 1995, to construct a school-level SES index. </w:t>
            </w:r>
            <w:r w:rsidR="005A4AC3">
              <w:t>The d</w:t>
            </w:r>
            <w:r>
              <w:t>ata used comprised father’s occupation and education, and household possessions. Rankings from the four SES index options and the LSAY index were compared</w:t>
            </w:r>
            <w:r w:rsidR="005A4AC3">
              <w:t xml:space="preserve"> using regression analysis</w:t>
            </w:r>
            <w:r>
              <w:t>.</w:t>
            </w:r>
          </w:p>
        </w:tc>
        <w:tc>
          <w:tcPr>
            <w:tcW w:w="2648" w:type="dxa"/>
          </w:tcPr>
          <w:p w:rsidR="005A4AC3" w:rsidRDefault="00D40978" w:rsidP="005A4AC3">
            <w:pPr>
              <w:pStyle w:val="Tablegridtext"/>
            </w:pPr>
            <w:r>
              <w:t xml:space="preserve">The rankings from an LSAY derived index had a correlation </w:t>
            </w:r>
            <w:r w:rsidR="00476D2E">
              <w:t xml:space="preserve">coefficient </w:t>
            </w:r>
            <w:r>
              <w:t xml:space="preserve">of 0.85 with </w:t>
            </w:r>
            <w:r w:rsidR="005A4AC3">
              <w:t xml:space="preserve">rankings of </w:t>
            </w:r>
            <w:r>
              <w:t>a</w:t>
            </w:r>
            <w:r w:rsidR="00E16C4A">
              <w:t>ll four SES index options</w:t>
            </w:r>
            <w:r>
              <w:t>.</w:t>
            </w:r>
            <w:r w:rsidR="005A4AC3">
              <w:t xml:space="preserve"> A coefficient of 0.85 indicates a strong relationship. </w:t>
            </w:r>
          </w:p>
        </w:tc>
      </w:tr>
      <w:tr w:rsidR="0059332D" w:rsidTr="00061DC4">
        <w:tc>
          <w:tcPr>
            <w:tcW w:w="1701" w:type="dxa"/>
          </w:tcPr>
          <w:p w:rsidR="0059332D" w:rsidRDefault="0059332D" w:rsidP="00636777">
            <w:pPr>
              <w:pStyle w:val="Tablegridtext"/>
              <w:jc w:val="left"/>
            </w:pPr>
            <w:r w:rsidRPr="0059332D">
              <w:t xml:space="preserve">Australian Government </w:t>
            </w:r>
            <w:r w:rsidR="00D40978">
              <w:t>AUSTUDY</w:t>
            </w:r>
            <w:r>
              <w:t xml:space="preserve"> data</w:t>
            </w:r>
          </w:p>
        </w:tc>
        <w:tc>
          <w:tcPr>
            <w:tcW w:w="4678" w:type="dxa"/>
          </w:tcPr>
          <w:p w:rsidR="0059332D" w:rsidRDefault="00B4496B" w:rsidP="00D40978">
            <w:pPr>
              <w:pStyle w:val="Tablegridtext"/>
            </w:pPr>
            <w:r>
              <w:t xml:space="preserve">Data on the </w:t>
            </w:r>
            <w:r w:rsidR="00D40978">
              <w:t>percent</w:t>
            </w:r>
            <w:r w:rsidR="00636777">
              <w:t>age</w:t>
            </w:r>
            <w:r w:rsidR="00D40978">
              <w:t xml:space="preserve"> of students receiving AUSTUDY in </w:t>
            </w:r>
            <w:r w:rsidR="009C6242">
              <w:t xml:space="preserve">individual </w:t>
            </w:r>
            <w:r w:rsidR="00D40978">
              <w:t xml:space="preserve">New South Wales and Victorian </w:t>
            </w:r>
            <w:r w:rsidR="002263C4">
              <w:t>non</w:t>
            </w:r>
            <w:r w:rsidR="002263C4">
              <w:noBreakHyphen/>
              <w:t>government</w:t>
            </w:r>
            <w:r w:rsidR="00D40978">
              <w:t xml:space="preserve"> schools in 1997, </w:t>
            </w:r>
            <w:r>
              <w:t xml:space="preserve">was compared </w:t>
            </w:r>
            <w:r w:rsidR="00D40978">
              <w:t xml:space="preserve">to </w:t>
            </w:r>
            <w:r w:rsidR="009C6242">
              <w:t xml:space="preserve">each </w:t>
            </w:r>
            <w:r w:rsidR="00D40978">
              <w:t>school</w:t>
            </w:r>
            <w:r w:rsidR="009C6242">
              <w:t>’s</w:t>
            </w:r>
            <w:r w:rsidR="00D40978">
              <w:t xml:space="preserve"> SES score.  </w:t>
            </w:r>
          </w:p>
          <w:p w:rsidR="00476D2E" w:rsidRDefault="00902C5B" w:rsidP="00902C5B">
            <w:pPr>
              <w:pStyle w:val="Tablegridtext"/>
            </w:pPr>
            <w:r>
              <w:t>The reported a</w:t>
            </w:r>
            <w:r w:rsidR="00476D2E">
              <w:t xml:space="preserve">nalysis used school SES score groups, and not individual schools. </w:t>
            </w:r>
          </w:p>
        </w:tc>
        <w:tc>
          <w:tcPr>
            <w:tcW w:w="2648" w:type="dxa"/>
          </w:tcPr>
          <w:p w:rsidR="00D40978" w:rsidRDefault="00B4496B" w:rsidP="00B4496B">
            <w:pPr>
              <w:pStyle w:val="Tablegridtext"/>
            </w:pPr>
            <w:r>
              <w:t>The a</w:t>
            </w:r>
            <w:r w:rsidR="00D40978">
              <w:t xml:space="preserve">nalysis </w:t>
            </w:r>
            <w:r>
              <w:t>found</w:t>
            </w:r>
            <w:r w:rsidR="00D40978">
              <w:t xml:space="preserve"> that the lower the school SES score, the greater the percentage of </w:t>
            </w:r>
            <w:r>
              <w:t xml:space="preserve">students in a school </w:t>
            </w:r>
            <w:r w:rsidR="00D40978">
              <w:t xml:space="preserve">receiving AUSTUDY. </w:t>
            </w:r>
          </w:p>
        </w:tc>
      </w:tr>
      <w:tr w:rsidR="0059332D" w:rsidTr="00061DC4">
        <w:tc>
          <w:tcPr>
            <w:tcW w:w="1701" w:type="dxa"/>
          </w:tcPr>
          <w:p w:rsidR="0059332D" w:rsidRDefault="0059332D" w:rsidP="00636777">
            <w:pPr>
              <w:pStyle w:val="Tablegridtext"/>
              <w:jc w:val="left"/>
            </w:pPr>
            <w:r>
              <w:t>M</w:t>
            </w:r>
            <w:r w:rsidRPr="0059332D">
              <w:t>eans-tested allowances provided to school students by three state governments</w:t>
            </w:r>
          </w:p>
        </w:tc>
        <w:tc>
          <w:tcPr>
            <w:tcW w:w="4678" w:type="dxa"/>
          </w:tcPr>
          <w:p w:rsidR="0059332D" w:rsidRDefault="00D40978" w:rsidP="0059332D">
            <w:pPr>
              <w:pStyle w:val="Tablegridtext"/>
            </w:pPr>
            <w:r>
              <w:t xml:space="preserve">Three states (Victoria, South Australia and Tasmania) provided allowances to low income families with school children. Eligibility </w:t>
            </w:r>
            <w:r w:rsidR="00902C5B">
              <w:t>was</w:t>
            </w:r>
            <w:r>
              <w:t xml:space="preserve"> based on different measures of parental means. </w:t>
            </w:r>
          </w:p>
          <w:p w:rsidR="00476D2E" w:rsidRDefault="00902C5B" w:rsidP="0059332D">
            <w:pPr>
              <w:pStyle w:val="Tablegridtext"/>
            </w:pPr>
            <w:r>
              <w:t xml:space="preserve">The reported analysis </w:t>
            </w:r>
            <w:r w:rsidR="00476D2E">
              <w:t>used school SES score groups, and not individual schools.</w:t>
            </w:r>
          </w:p>
        </w:tc>
        <w:tc>
          <w:tcPr>
            <w:tcW w:w="2648" w:type="dxa"/>
          </w:tcPr>
          <w:p w:rsidR="0059332D" w:rsidRDefault="00B4496B" w:rsidP="00B4496B">
            <w:pPr>
              <w:pStyle w:val="Tablegridtext"/>
            </w:pPr>
            <w:r>
              <w:t>The a</w:t>
            </w:r>
            <w:r w:rsidR="00476D2E">
              <w:t xml:space="preserve">nalysis </w:t>
            </w:r>
            <w:r>
              <w:t>found</w:t>
            </w:r>
            <w:r w:rsidR="00476D2E">
              <w:t xml:space="preserve"> that the lower the school SES score, the greater the percentage of students </w:t>
            </w:r>
            <w:r>
              <w:t xml:space="preserve">in a school </w:t>
            </w:r>
            <w:r w:rsidR="00476D2E">
              <w:t xml:space="preserve">receiving means tested allowance. </w:t>
            </w:r>
          </w:p>
        </w:tc>
      </w:tr>
    </w:tbl>
    <w:p w:rsidR="00476D2E" w:rsidRDefault="00476D2E" w:rsidP="0051627A">
      <w:pPr>
        <w:pStyle w:val="Datasource"/>
      </w:pPr>
      <w:r w:rsidRPr="0051627A">
        <w:t xml:space="preserve">Source: </w:t>
      </w:r>
      <w:r w:rsidR="00FD0CD7">
        <w:rPr>
          <w:noProof/>
        </w:rPr>
        <w:t>Department of Education, Training and Youth Affairs (1999).</w:t>
      </w:r>
    </w:p>
    <w:p w:rsidR="00664CA6" w:rsidRDefault="00664CA6" w:rsidP="00664CA6">
      <w:r>
        <w:t>A relationship was found between the SES score and the three comparison approaches, leading to the Department concluding that:</w:t>
      </w:r>
    </w:p>
    <w:p w:rsidR="00664CA6" w:rsidRDefault="00664CA6" w:rsidP="00664CA6">
      <w:pPr>
        <w:pStyle w:val="Quote"/>
      </w:pPr>
      <w:r>
        <w:t xml:space="preserve">These findings support the view that a Census based SES measure produces a good proxy for parental income, without the intrusiveness and administrative complexity inherent in measuring parental income more directly </w:t>
      </w:r>
      <w:sdt>
        <w:sdtPr>
          <w:id w:val="1951278993"/>
          <w:citation/>
        </w:sdtPr>
        <w:sdtContent>
          <w:r>
            <w:fldChar w:fldCharType="begin"/>
          </w:r>
          <w:r>
            <w:instrText xml:space="preserve">CITATION Dep99 \p 2 \l 3081 </w:instrText>
          </w:r>
          <w:r>
            <w:fldChar w:fldCharType="separate"/>
          </w:r>
          <w:r w:rsidR="005333F5">
            <w:rPr>
              <w:noProof/>
            </w:rPr>
            <w:t>(Department of Education, Training and Youth Affairs, 1999, p. 2)</w:t>
          </w:r>
          <w:r>
            <w:fldChar w:fldCharType="end"/>
          </w:r>
        </w:sdtContent>
      </w:sdt>
      <w:r w:rsidR="00FD0CD7">
        <w:t>.</w:t>
      </w:r>
    </w:p>
    <w:p w:rsidR="00E66FF2" w:rsidRDefault="00E66FF2" w:rsidP="00E66FF2">
      <w:pPr>
        <w:pStyle w:val="Heading2"/>
      </w:pPr>
      <w:bookmarkStart w:id="71" w:name="_Toc493598464"/>
      <w:bookmarkStart w:id="72" w:name="_Toc495409766"/>
      <w:bookmarkStart w:id="73" w:name="_Toc496792756"/>
      <w:bookmarkStart w:id="74" w:name="_Toc496803886"/>
      <w:r>
        <w:t>Application of the SES score within the SES funding model: 2001 to 2013</w:t>
      </w:r>
      <w:bookmarkEnd w:id="71"/>
      <w:bookmarkEnd w:id="72"/>
      <w:bookmarkEnd w:id="73"/>
      <w:bookmarkEnd w:id="74"/>
    </w:p>
    <w:p w:rsidR="00E66FF2" w:rsidRDefault="00E66FF2" w:rsidP="00E66FF2">
      <w:pPr>
        <w:pStyle w:val="Heading3"/>
      </w:pPr>
      <w:bookmarkStart w:id="75" w:name="_Toc493598465"/>
      <w:bookmarkStart w:id="76" w:name="_Toc495409767"/>
      <w:bookmarkStart w:id="77" w:name="_Toc496792757"/>
      <w:bookmarkStart w:id="78" w:name="_Toc496803887"/>
      <w:r>
        <w:t>Announcement of the SES funding model</w:t>
      </w:r>
      <w:bookmarkEnd w:id="75"/>
      <w:bookmarkEnd w:id="76"/>
      <w:bookmarkEnd w:id="77"/>
      <w:bookmarkEnd w:id="78"/>
    </w:p>
    <w:p w:rsidR="00070FFA" w:rsidRDefault="00664CA6" w:rsidP="00E14B66">
      <w:r>
        <w:t>T</w:t>
      </w:r>
      <w:r w:rsidR="00E14B66">
        <w:t xml:space="preserve">he introduction from 2001 of the new SES funding model was announced as part of the 1999 Australian Government Budget. </w:t>
      </w:r>
      <w:r w:rsidR="00070FFA">
        <w:t>In the Second reading speech introducing the requisite legislation in June 2000</w:t>
      </w:r>
      <w:r w:rsidR="00542972">
        <w:t xml:space="preserve">—the </w:t>
      </w:r>
      <w:r w:rsidR="00070FFA" w:rsidRPr="00070FFA">
        <w:rPr>
          <w:i/>
        </w:rPr>
        <w:t>States Grants (Primary and Secondary Education Assistance) Bill 2000</w:t>
      </w:r>
      <w:r w:rsidR="00070FFA">
        <w:t xml:space="preserve"> (Cth.)</w:t>
      </w:r>
      <w:r w:rsidR="00542972">
        <w:t>—</w:t>
      </w:r>
      <w:r w:rsidR="00070FFA">
        <w:t xml:space="preserve">the </w:t>
      </w:r>
      <w:r w:rsidR="00070FFA" w:rsidRPr="00070FFA">
        <w:t>Minister for Education, Training and Youth Affairs</w:t>
      </w:r>
      <w:r w:rsidR="00070FFA">
        <w:t xml:space="preserve"> stated that the SES funding model would:</w:t>
      </w:r>
    </w:p>
    <w:p w:rsidR="00070FFA" w:rsidRDefault="00B4496B" w:rsidP="00070FFA">
      <w:pPr>
        <w:pStyle w:val="Quote"/>
      </w:pPr>
      <w:r>
        <w:t>…</w:t>
      </w:r>
      <w:r w:rsidR="00070FFA">
        <w:t xml:space="preserve">provide a more transparent, objective and equitable approach to funding </w:t>
      </w:r>
      <w:r w:rsidR="002263C4">
        <w:t>non</w:t>
      </w:r>
      <w:r w:rsidR="002263C4">
        <w:noBreakHyphen/>
        <w:t>government</w:t>
      </w:r>
      <w:r w:rsidR="00070FFA">
        <w:t xml:space="preserve"> schools.</w:t>
      </w:r>
    </w:p>
    <w:p w:rsidR="00070FFA" w:rsidRDefault="00070FFA" w:rsidP="00070FFA">
      <w:pPr>
        <w:pStyle w:val="Quote"/>
      </w:pPr>
      <w:r>
        <w:t xml:space="preserve">Under the new arrangements general recurrent funding will be distributed according to need and schools serving the neediest communities will receive the greatest financial support. This means that parents at all income levels will now have a realistic capacity to choose the most appropriate schooling for their child </w:t>
      </w:r>
      <w:sdt>
        <w:sdtPr>
          <w:id w:val="-823193690"/>
          <w:citation/>
        </w:sdtPr>
        <w:sdtContent>
          <w:r>
            <w:fldChar w:fldCharType="begin"/>
          </w:r>
          <w:r>
            <w:instrText xml:space="preserve">CITATION Kem00 \p 18565 \l 3081 </w:instrText>
          </w:r>
          <w:r>
            <w:fldChar w:fldCharType="separate"/>
          </w:r>
          <w:r w:rsidR="005333F5">
            <w:rPr>
              <w:noProof/>
            </w:rPr>
            <w:t>(Kemp, 2000, p. 18565)</w:t>
          </w:r>
          <w:r>
            <w:fldChar w:fldCharType="end"/>
          </w:r>
        </w:sdtContent>
      </w:sdt>
      <w:r>
        <w:t xml:space="preserve">. </w:t>
      </w:r>
    </w:p>
    <w:p w:rsidR="00123A27" w:rsidRDefault="00E14B66" w:rsidP="00E14B66">
      <w:r>
        <w:t xml:space="preserve">The new funding model was implemented for independent schools for the </w:t>
      </w:r>
      <w:r w:rsidRPr="009B0A34">
        <w:t>2001-</w:t>
      </w:r>
      <w:r w:rsidR="00B4496B">
        <w:t>20</w:t>
      </w:r>
      <w:r w:rsidRPr="009B0A34">
        <w:t>04 quadrennium</w:t>
      </w:r>
      <w:r w:rsidR="00123A27">
        <w:t xml:space="preserve">. </w:t>
      </w:r>
      <w:r w:rsidR="00545231">
        <w:t xml:space="preserve">Separate arrangements were put in place for </w:t>
      </w:r>
      <w:r>
        <w:t>Catholic systemic schools</w:t>
      </w:r>
      <w:r w:rsidR="00557658">
        <w:t xml:space="preserve">. This involved </w:t>
      </w:r>
      <w:r w:rsidR="00557658" w:rsidRPr="006579DF">
        <w:t xml:space="preserve">Catholic systemic schools in the Australian Capital Territory </w:t>
      </w:r>
      <w:r w:rsidR="00557658">
        <w:t>being</w:t>
      </w:r>
      <w:r w:rsidR="00557658" w:rsidRPr="006579DF">
        <w:t xml:space="preserve"> funded at a </w:t>
      </w:r>
      <w:r w:rsidR="00636777">
        <w:t xml:space="preserve">determined </w:t>
      </w:r>
      <w:r w:rsidR="00557658" w:rsidRPr="006579DF">
        <w:t xml:space="preserve">SES score of 100, and all other schools at a </w:t>
      </w:r>
      <w:r w:rsidR="000B5364">
        <w:t xml:space="preserve">determined </w:t>
      </w:r>
      <w:r w:rsidR="00557658" w:rsidRPr="006579DF">
        <w:t>SES score of 96</w:t>
      </w:r>
      <w:r w:rsidR="00545231">
        <w:t xml:space="preserve">. These </w:t>
      </w:r>
      <w:r w:rsidR="00636777">
        <w:t>determined</w:t>
      </w:r>
      <w:r w:rsidR="00545231">
        <w:t xml:space="preserve"> SES scores attracted per-student funding at 51.2 and 56.2 percent of the AGSRC respectively</w:t>
      </w:r>
      <w:r w:rsidR="00557658" w:rsidRPr="006579DF">
        <w:t xml:space="preserve"> (Wilkinson, Caldwell, Selleck, Harris, &amp; Dettman, 2006).</w:t>
      </w:r>
      <w:r w:rsidR="00557658">
        <w:t xml:space="preserve"> </w:t>
      </w:r>
    </w:p>
    <w:p w:rsidR="00441CEC" w:rsidRDefault="00441CEC" w:rsidP="00441CEC">
      <w:r>
        <w:t xml:space="preserve">Several reasons have been publicly documented for </w:t>
      </w:r>
      <w:r w:rsidR="006579DF" w:rsidRPr="006579DF">
        <w:t>the new SES funding model not including Catholic systemic schools</w:t>
      </w:r>
      <w:r>
        <w:t xml:space="preserve">. These include that the </w:t>
      </w:r>
      <w:r w:rsidR="006579DF" w:rsidRPr="006579DF">
        <w:t xml:space="preserve">National Catholic Education Commission did not support the Australian Government allocating funds to </w:t>
      </w:r>
      <w:r w:rsidR="002263C4">
        <w:t>non</w:t>
      </w:r>
      <w:r w:rsidR="002263C4">
        <w:noBreakHyphen/>
        <w:t>government</w:t>
      </w:r>
      <w:r w:rsidR="006579DF" w:rsidRPr="006579DF">
        <w:t xml:space="preserve"> schools on the basis of SES alone,</w:t>
      </w:r>
      <w:r>
        <w:t xml:space="preserve"> as this would ignore past and current school resourcing. </w:t>
      </w:r>
      <w:r w:rsidR="006579DF" w:rsidRPr="006579DF">
        <w:t xml:space="preserve">Catholic system representatives </w:t>
      </w:r>
      <w:r>
        <w:t>were</w:t>
      </w:r>
      <w:r w:rsidR="006579DF" w:rsidRPr="006579DF">
        <w:t xml:space="preserve"> </w:t>
      </w:r>
      <w:r>
        <w:t xml:space="preserve">also </w:t>
      </w:r>
      <w:r w:rsidR="006579DF" w:rsidRPr="006579DF">
        <w:t>concerned about funding stability under the new approach</w:t>
      </w:r>
      <w:r>
        <w:t xml:space="preserve">, </w:t>
      </w:r>
      <w:r w:rsidR="00545231">
        <w:t xml:space="preserve">and also preferred </w:t>
      </w:r>
      <w:r>
        <w:t xml:space="preserve">that funding for Catholic systemic schools be treated differently to that of independent schools </w:t>
      </w:r>
      <w:sdt>
        <w:sdtPr>
          <w:id w:val="-1729606715"/>
          <w:citation/>
        </w:sdtPr>
        <w:sdtContent>
          <w:r>
            <w:fldChar w:fldCharType="begin"/>
          </w:r>
          <w:r>
            <w:instrText xml:space="preserve"> CITATION Hin16 \l 3081 </w:instrText>
          </w:r>
          <w:r>
            <w:fldChar w:fldCharType="separate"/>
          </w:r>
          <w:r w:rsidR="005333F5">
            <w:rPr>
              <w:noProof/>
            </w:rPr>
            <w:t>(Hinz, 2016)</w:t>
          </w:r>
          <w:r>
            <w:fldChar w:fldCharType="end"/>
          </w:r>
        </w:sdtContent>
      </w:sdt>
      <w:r>
        <w:t xml:space="preserve">. </w:t>
      </w:r>
    </w:p>
    <w:p w:rsidR="00540C59" w:rsidRDefault="00540C59" w:rsidP="00540C59">
      <w:pPr>
        <w:pStyle w:val="Heading3"/>
      </w:pPr>
      <w:bookmarkStart w:id="79" w:name="_Toc493598466"/>
      <w:bookmarkStart w:id="80" w:name="_Toc495409768"/>
      <w:bookmarkStart w:id="81" w:name="_Toc496792758"/>
      <w:bookmarkStart w:id="82" w:name="_Toc496803888"/>
      <w:r>
        <w:t>Implementation of the SES funding model for independent schools</w:t>
      </w:r>
      <w:bookmarkEnd w:id="79"/>
      <w:bookmarkEnd w:id="80"/>
      <w:bookmarkEnd w:id="81"/>
      <w:bookmarkEnd w:id="82"/>
    </w:p>
    <w:p w:rsidR="00A31866" w:rsidRDefault="000A3C13" w:rsidP="00BC631B">
      <w:r>
        <w:t xml:space="preserve">The </w:t>
      </w:r>
      <w:r w:rsidR="00695B33">
        <w:t>SES score</w:t>
      </w:r>
      <w:r>
        <w:t xml:space="preserve"> </w:t>
      </w:r>
      <w:r w:rsidR="009B0A34">
        <w:t xml:space="preserve">was used in the SES </w:t>
      </w:r>
      <w:r w:rsidR="00540C59">
        <w:t>f</w:t>
      </w:r>
      <w:r w:rsidR="009B0A34">
        <w:t xml:space="preserve">unding </w:t>
      </w:r>
      <w:r w:rsidR="00540C59">
        <w:t>m</w:t>
      </w:r>
      <w:r w:rsidR="009B0A34">
        <w:t>odel between 2001 and 2013</w:t>
      </w:r>
      <w:r w:rsidR="00D91219">
        <w:t xml:space="preserve">. </w:t>
      </w:r>
      <w:r>
        <w:t xml:space="preserve">Under this funding </w:t>
      </w:r>
      <w:r w:rsidR="00B0739E">
        <w:t>approach</w:t>
      </w:r>
      <w:r>
        <w:t xml:space="preserve"> the </w:t>
      </w:r>
      <w:r w:rsidR="00695B33">
        <w:t>SES score</w:t>
      </w:r>
      <w:r>
        <w:t xml:space="preserve"> of a school corresponded</w:t>
      </w:r>
      <w:r w:rsidR="00BD5772">
        <w:t xml:space="preserve"> to </w:t>
      </w:r>
      <w:r w:rsidR="00D91219">
        <w:t>a percentage of the AGSRC a school would receive (between 13.7 and 70 per cent)</w:t>
      </w:r>
      <w:r w:rsidR="006A47FC">
        <w:t xml:space="preserve"> (see </w:t>
      </w:r>
      <w:r w:rsidR="006A47FC">
        <w:fldChar w:fldCharType="begin"/>
      </w:r>
      <w:r w:rsidR="006A47FC">
        <w:instrText xml:space="preserve"> REF _Ref490571689 \h </w:instrText>
      </w:r>
      <w:r w:rsidR="006A47FC">
        <w:fldChar w:fldCharType="separate"/>
      </w:r>
      <w:r w:rsidR="00B52C11">
        <w:t xml:space="preserve">Figure </w:t>
      </w:r>
      <w:r w:rsidR="00B52C11">
        <w:rPr>
          <w:noProof/>
        </w:rPr>
        <w:t>2</w:t>
      </w:r>
      <w:r w:rsidR="00B52C11">
        <w:noBreakHyphen/>
      </w:r>
      <w:r w:rsidR="00B52C11">
        <w:rPr>
          <w:noProof/>
        </w:rPr>
        <w:t>2</w:t>
      </w:r>
      <w:r w:rsidR="006A47FC">
        <w:fldChar w:fldCharType="end"/>
      </w:r>
      <w:r w:rsidR="006A47FC">
        <w:t>)</w:t>
      </w:r>
      <w:r w:rsidR="00D91219">
        <w:t xml:space="preserve">. </w:t>
      </w:r>
    </w:p>
    <w:p w:rsidR="000A3C13" w:rsidRDefault="00D91219" w:rsidP="00A260FB">
      <w:pPr>
        <w:pStyle w:val="Heading3"/>
      </w:pPr>
      <w:bookmarkStart w:id="83" w:name="_Ref490571689"/>
      <w:bookmarkStart w:id="84" w:name="_Toc496803953"/>
      <w:r>
        <w:t xml:space="preserve">Figure </w:t>
      </w:r>
      <w:fldSimple w:instr=" STYLEREF  \s &quot;Heading 11&quot; ">
        <w:r w:rsidR="00B52C11">
          <w:rPr>
            <w:noProof/>
          </w:rPr>
          <w:t>2</w:t>
        </w:r>
      </w:fldSimple>
      <w:r w:rsidR="00290ED7">
        <w:noBreakHyphen/>
      </w:r>
      <w:fldSimple w:instr=" SEQ Figure \* ARABIC \s 1 ">
        <w:r w:rsidR="00B52C11">
          <w:rPr>
            <w:noProof/>
          </w:rPr>
          <w:t>2</w:t>
        </w:r>
      </w:fldSimple>
      <w:bookmarkEnd w:id="83"/>
      <w:r>
        <w:tab/>
        <w:t xml:space="preserve">School </w:t>
      </w:r>
      <w:r w:rsidR="00695B33">
        <w:t>SES score</w:t>
      </w:r>
      <w:r>
        <w:t xml:space="preserve"> and funding as a per cent of the AGSRC</w:t>
      </w:r>
      <w:bookmarkEnd w:id="84"/>
    </w:p>
    <w:p w:rsidR="000A3C13" w:rsidRDefault="00C32405" w:rsidP="0076688E">
      <w:r w:rsidRPr="00C32405">
        <w:rPr>
          <w:noProof/>
          <w:lang w:eastAsia="en-AU"/>
        </w:rPr>
        <w:drawing>
          <wp:inline distT="0" distB="0" distL="0" distR="0" wp14:anchorId="3104BDA0" wp14:editId="764E3B9D">
            <wp:extent cx="5732145" cy="3217214"/>
            <wp:effectExtent l="0" t="0" r="1905" b="2540"/>
            <wp:docPr id="24" name="Picture 24" descr="The chart shows the percentage of AGSRC for schools by SES score reduces linearly from a maximum AGSRC per cent of 70 per cent when School SES score is 85 or less to a minimum AGSRC per cent of 13.7 per cent when School SES score is 130 or more." title="Figure 2-2 School SES score and funding as a per cent of the AG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2145" cy="3217214"/>
                    </a:xfrm>
                    <a:prstGeom prst="rect">
                      <a:avLst/>
                    </a:prstGeom>
                    <a:noFill/>
                    <a:ln>
                      <a:noFill/>
                    </a:ln>
                  </pic:spPr>
                </pic:pic>
              </a:graphicData>
            </a:graphic>
          </wp:inline>
        </w:drawing>
      </w:r>
    </w:p>
    <w:p w:rsidR="008D4D58" w:rsidRDefault="008D4D58" w:rsidP="008D4D58">
      <w:pPr>
        <w:pStyle w:val="Datasource"/>
      </w:pPr>
      <w:r>
        <w:t xml:space="preserve">Source: </w:t>
      </w:r>
      <w:r w:rsidRPr="008D4D58">
        <w:rPr>
          <w:i/>
        </w:rPr>
        <w:t>Schools Assistance Act 2008</w:t>
      </w:r>
      <w:r w:rsidRPr="008D4D58">
        <w:t xml:space="preserve"> </w:t>
      </w:r>
      <w:r>
        <w:t xml:space="preserve">(Cth.), </w:t>
      </w:r>
      <w:r w:rsidRPr="008D4D58">
        <w:t>Schedule 1</w:t>
      </w:r>
      <w:r w:rsidR="00FD0CD7">
        <w:t>.</w:t>
      </w:r>
    </w:p>
    <w:p w:rsidR="00A31866" w:rsidRDefault="00A31866" w:rsidP="00A31866">
      <w:r>
        <w:t xml:space="preserve">Schools with an SES score of 85 or less (a very low SES school) received 70 per cent of the AGSRC. In contrast, high SES schools with an SES score of 130 or more received 13.7 per cent of the AGSRC. </w:t>
      </w:r>
      <w:r w:rsidR="002263C4">
        <w:t>Non</w:t>
      </w:r>
      <w:r w:rsidR="002263C4">
        <w:noBreakHyphen/>
        <w:t>government</w:t>
      </w:r>
      <w:r>
        <w:t xml:space="preserve"> schools received the maximum funding rates if they were a: </w:t>
      </w:r>
    </w:p>
    <w:p w:rsidR="00A31866" w:rsidRDefault="00A31866" w:rsidP="00A31866">
      <w:pPr>
        <w:pStyle w:val="Dotpoints"/>
      </w:pPr>
      <w:r>
        <w:t>special school</w:t>
      </w:r>
    </w:p>
    <w:p w:rsidR="00A31866" w:rsidRDefault="00A31866" w:rsidP="00A31866">
      <w:pPr>
        <w:pStyle w:val="Dotpoints"/>
      </w:pPr>
      <w:r>
        <w:t>special assistance school</w:t>
      </w:r>
    </w:p>
    <w:p w:rsidR="00A31866" w:rsidRDefault="00A31866" w:rsidP="00A31866">
      <w:pPr>
        <w:pStyle w:val="Dotpoints"/>
      </w:pPr>
      <w:r>
        <w:t xml:space="preserve">majority Indigenous student school (schools with 80 per cent or more Indigenous enrolments </w:t>
      </w:r>
    </w:p>
    <w:p w:rsidR="00A31866" w:rsidRDefault="00A31866" w:rsidP="00A31866">
      <w:pPr>
        <w:pStyle w:val="Dotpoints"/>
      </w:pPr>
      <w:r>
        <w:t xml:space="preserve">very remote schools with 50 per cent or more Indigenous enrolments) </w:t>
      </w:r>
      <w:sdt>
        <w:sdtPr>
          <w:id w:val="284706568"/>
          <w:citation/>
        </w:sdtPr>
        <w:sdtContent>
          <w:r>
            <w:fldChar w:fldCharType="begin"/>
          </w:r>
          <w:r>
            <w:instrText xml:space="preserve"> CITATION Gon11 \l 3081 </w:instrText>
          </w:r>
          <w:r>
            <w:fldChar w:fldCharType="separate"/>
          </w:r>
          <w:r w:rsidR="005333F5">
            <w:rPr>
              <w:noProof/>
            </w:rPr>
            <w:t>(Gonski, et al., 2011)</w:t>
          </w:r>
          <w:r>
            <w:fldChar w:fldCharType="end"/>
          </w:r>
        </w:sdtContent>
      </w:sdt>
      <w:r>
        <w:t>.</w:t>
      </w:r>
    </w:p>
    <w:p w:rsidR="00A31866" w:rsidRDefault="00A31866" w:rsidP="006858DD">
      <w:pPr>
        <w:spacing w:after="200"/>
      </w:pPr>
      <w:r>
        <w:t xml:space="preserve">A number of independent schools that would have been entitled to less funding as a result of the SES funding model had their existing funding levels preserved. These schools were classified as Funding Maintained, with this classification explored at length in the Review of Funding for Schooling </w:t>
      </w:r>
      <w:sdt>
        <w:sdtPr>
          <w:id w:val="1761569187"/>
          <w:citation/>
        </w:sdtPr>
        <w:sdtContent>
          <w:r>
            <w:fldChar w:fldCharType="begin"/>
          </w:r>
          <w:r>
            <w:instrText xml:space="preserve">CITATION Gon11 \p "73-74, 82-83" \l 3081 </w:instrText>
          </w:r>
          <w:r>
            <w:fldChar w:fldCharType="separate"/>
          </w:r>
          <w:r w:rsidR="005333F5">
            <w:rPr>
              <w:noProof/>
            </w:rPr>
            <w:t>(Gonski, et al., 2011, pp. 73-74, 82-83)</w:t>
          </w:r>
          <w:r>
            <w:fldChar w:fldCharType="end"/>
          </w:r>
        </w:sdtContent>
      </w:sdt>
      <w:r>
        <w:t xml:space="preserve">. As at 2013, 15 per cent of independent schools were Funding Maintained. </w:t>
      </w:r>
    </w:p>
    <w:p w:rsidR="00A8101A" w:rsidRDefault="00A8101A" w:rsidP="006858DD">
      <w:pPr>
        <w:pStyle w:val="Heading3"/>
        <w:spacing w:after="200"/>
      </w:pPr>
      <w:bookmarkStart w:id="85" w:name="_Toc493598467"/>
      <w:bookmarkStart w:id="86" w:name="_Toc495409769"/>
      <w:bookmarkStart w:id="87" w:name="_Toc496792759"/>
      <w:bookmarkStart w:id="88" w:name="_Toc496803889"/>
      <w:r>
        <w:t>Implementation of the SES funding model for Catholic systemic schools</w:t>
      </w:r>
      <w:bookmarkEnd w:id="85"/>
      <w:bookmarkEnd w:id="86"/>
      <w:bookmarkEnd w:id="87"/>
      <w:bookmarkEnd w:id="88"/>
    </w:p>
    <w:p w:rsidR="00A8101A" w:rsidRDefault="00413148" w:rsidP="006858DD">
      <w:pPr>
        <w:spacing w:after="200"/>
      </w:pPr>
      <w:r>
        <w:t xml:space="preserve">In 2004, agreement was reached between the Australian Government and the National Catholic Education Commission that </w:t>
      </w:r>
      <w:r w:rsidRPr="00FC34D6">
        <w:t xml:space="preserve">Catholic systemic schools would enter the </w:t>
      </w:r>
      <w:r w:rsidR="00E14B66" w:rsidRPr="00FC34D6">
        <w:t>SES fundin</w:t>
      </w:r>
      <w:r w:rsidR="00E14B66" w:rsidRPr="00267221">
        <w:t>g model</w:t>
      </w:r>
      <w:r w:rsidRPr="0051054D">
        <w:t xml:space="preserve"> for the 2005-</w:t>
      </w:r>
      <w:r w:rsidR="00FE3A2B" w:rsidRPr="0051054D">
        <w:t>20</w:t>
      </w:r>
      <w:r w:rsidRPr="0051054D">
        <w:t xml:space="preserve">08 quadrennium. </w:t>
      </w:r>
      <w:r w:rsidR="00FE3A2B" w:rsidRPr="0051054D">
        <w:t xml:space="preserve">As a result, </w:t>
      </w:r>
      <w:r w:rsidR="006D671E">
        <w:t xml:space="preserve">all </w:t>
      </w:r>
      <w:r w:rsidR="00FE3A2B" w:rsidRPr="00FC34D6">
        <w:t>Catholic systemic schools</w:t>
      </w:r>
      <w:r w:rsidR="0083575A" w:rsidRPr="005E374E">
        <w:t xml:space="preserve"> would be funded </w:t>
      </w:r>
      <w:r w:rsidR="006D671E" w:rsidRPr="005E374E">
        <w:t xml:space="preserve">with an </w:t>
      </w:r>
      <w:r w:rsidR="00FE3A2B" w:rsidRPr="0051054D">
        <w:t>SES score of 96</w:t>
      </w:r>
      <w:r w:rsidR="006D671E" w:rsidRPr="005E374E">
        <w:t>, attract</w:t>
      </w:r>
      <w:r w:rsidR="006D671E">
        <w:t>ing</w:t>
      </w:r>
      <w:r w:rsidR="006D671E" w:rsidRPr="005E374E">
        <w:t xml:space="preserve"> 56.2 per cent of the AGSRC. </w:t>
      </w:r>
      <w:r w:rsidR="00FE3A2B" w:rsidRPr="0051054D">
        <w:t xml:space="preserve">Similar </w:t>
      </w:r>
      <w:r w:rsidR="00EE19B9" w:rsidRPr="00452089">
        <w:t xml:space="preserve">to </w:t>
      </w:r>
      <w:r w:rsidR="00FE3A2B" w:rsidRPr="00452089">
        <w:t xml:space="preserve">arrangements offered to the </w:t>
      </w:r>
      <w:r w:rsidR="00EE19B9" w:rsidRPr="00452089">
        <w:t>i</w:t>
      </w:r>
      <w:r w:rsidR="00FE3A2B" w:rsidRPr="00452089">
        <w:t>ndependent sector, some schools were classified as</w:t>
      </w:r>
      <w:r w:rsidR="00FE3A2B" w:rsidRPr="00FE3A2B">
        <w:t xml:space="preserve"> </w:t>
      </w:r>
      <w:r w:rsidR="00D66AA2">
        <w:t>F</w:t>
      </w:r>
      <w:r w:rsidR="00D66AA2" w:rsidRPr="00FE3A2B">
        <w:t xml:space="preserve">unding </w:t>
      </w:r>
      <w:r w:rsidR="00D66AA2">
        <w:t>M</w:t>
      </w:r>
      <w:r w:rsidR="00D66AA2" w:rsidRPr="00FE3A2B">
        <w:t>aintained</w:t>
      </w:r>
      <w:r w:rsidR="00D66AA2">
        <w:t xml:space="preserve"> </w:t>
      </w:r>
      <w:r w:rsidR="00EE19B9">
        <w:t xml:space="preserve">when </w:t>
      </w:r>
      <w:r w:rsidR="00FE3A2B" w:rsidRPr="00FE3A2B">
        <w:t xml:space="preserve">application of the model resulted in a </w:t>
      </w:r>
      <w:r w:rsidR="00EE19B9" w:rsidRPr="00FE3A2B">
        <w:t xml:space="preserve">funding </w:t>
      </w:r>
      <w:r w:rsidR="00FE3A2B" w:rsidRPr="00FE3A2B">
        <w:t>reduction</w:t>
      </w:r>
      <w:sdt>
        <w:sdtPr>
          <w:id w:val="463781868"/>
          <w:citation/>
        </w:sdtPr>
        <w:sdtContent>
          <w:r w:rsidR="0013166B">
            <w:fldChar w:fldCharType="begin"/>
          </w:r>
          <w:r w:rsidR="0013166B">
            <w:instrText xml:space="preserve"> CITATION Wil \l 3081 </w:instrText>
          </w:r>
          <w:r w:rsidR="0013166B">
            <w:fldChar w:fldCharType="separate"/>
          </w:r>
          <w:r w:rsidR="005333F5">
            <w:rPr>
              <w:noProof/>
            </w:rPr>
            <w:t xml:space="preserve"> (Wilkinson, Caldwell, Selleck, Harris, &amp; Dettman, 2006)</w:t>
          </w:r>
          <w:r w:rsidR="0013166B">
            <w:fldChar w:fldCharType="end"/>
          </w:r>
        </w:sdtContent>
      </w:sdt>
      <w:r w:rsidR="0013166B">
        <w:t xml:space="preserve">. </w:t>
      </w:r>
      <w:r w:rsidR="00D66AA2">
        <w:t xml:space="preserve">As at 2013, 50 per cent of </w:t>
      </w:r>
      <w:r w:rsidR="00D66AA2" w:rsidRPr="00FC34D6">
        <w:t xml:space="preserve">Catholic systemic </w:t>
      </w:r>
      <w:r w:rsidR="00D66AA2">
        <w:t>schools were Funding Maintained.</w:t>
      </w:r>
    </w:p>
    <w:p w:rsidR="006A47FC" w:rsidRDefault="00BC631B" w:rsidP="006858DD">
      <w:pPr>
        <w:pStyle w:val="Heading3"/>
        <w:spacing w:after="200"/>
      </w:pPr>
      <w:bookmarkStart w:id="89" w:name="_Ref492233981"/>
      <w:bookmarkStart w:id="90" w:name="_Ref492233983"/>
      <w:bookmarkStart w:id="91" w:name="_Toc493598468"/>
      <w:bookmarkStart w:id="92" w:name="_Toc495409770"/>
      <w:bookmarkStart w:id="93" w:name="_Toc496792760"/>
      <w:bookmarkStart w:id="94" w:name="_Toc496803890"/>
      <w:r>
        <w:t xml:space="preserve">Periodic updating of the </w:t>
      </w:r>
      <w:r w:rsidR="00695B33">
        <w:t>SES score</w:t>
      </w:r>
      <w:bookmarkEnd w:id="89"/>
      <w:bookmarkEnd w:id="90"/>
      <w:bookmarkEnd w:id="91"/>
      <w:bookmarkEnd w:id="92"/>
      <w:bookmarkEnd w:id="93"/>
      <w:bookmarkEnd w:id="94"/>
    </w:p>
    <w:p w:rsidR="003C0586" w:rsidRDefault="00B5081E" w:rsidP="006858DD">
      <w:pPr>
        <w:spacing w:after="200"/>
      </w:pPr>
      <w:r>
        <w:t>Following</w:t>
      </w:r>
      <w:r w:rsidR="00BC631B">
        <w:t xml:space="preserve"> the release </w:t>
      </w:r>
      <w:r>
        <w:t xml:space="preserve">of new Census data </w:t>
      </w:r>
      <w:r w:rsidR="00BC631B">
        <w:t xml:space="preserve">every five years, </w:t>
      </w:r>
      <w:r>
        <w:t>school</w:t>
      </w:r>
      <w:r w:rsidR="00BC631B">
        <w:t xml:space="preserve"> </w:t>
      </w:r>
      <w:r w:rsidR="00695B33">
        <w:t>SES score</w:t>
      </w:r>
      <w:r>
        <w:t>s</w:t>
      </w:r>
      <w:r w:rsidR="00BC631B">
        <w:t xml:space="preserve"> </w:t>
      </w:r>
      <w:r>
        <w:t xml:space="preserve">were </w:t>
      </w:r>
      <w:r w:rsidR="00BC631B">
        <w:t>re-</w:t>
      </w:r>
      <w:r w:rsidR="00884568">
        <w:t>calculated</w:t>
      </w:r>
      <w:r w:rsidR="00BC631B">
        <w:t xml:space="preserve"> in 200</w:t>
      </w:r>
      <w:r w:rsidR="00C85198">
        <w:t>3</w:t>
      </w:r>
      <w:r w:rsidR="00BC631B">
        <w:t xml:space="preserve"> (using 2001 Census data), 2008 (using 2006 Census data) and 2013 (using 2011 Census data). </w:t>
      </w:r>
      <w:r w:rsidR="00B03606">
        <w:t>Student home addres</w:t>
      </w:r>
      <w:r w:rsidR="00440B43">
        <w:t>s</w:t>
      </w:r>
      <w:r w:rsidR="00B03606">
        <w:t xml:space="preserve"> data was collected at these times </w:t>
      </w:r>
      <w:r>
        <w:t>as part of this re-</w:t>
      </w:r>
      <w:r w:rsidR="00884568">
        <w:t>calculation</w:t>
      </w:r>
      <w:r w:rsidR="00B03606">
        <w:t xml:space="preserve">. </w:t>
      </w:r>
    </w:p>
    <w:p w:rsidR="003C0586" w:rsidRDefault="00BC631B" w:rsidP="006858DD">
      <w:pPr>
        <w:spacing w:after="200"/>
      </w:pPr>
      <w:r>
        <w:t xml:space="preserve">As discussed in </w:t>
      </w:r>
      <w:r w:rsidR="00A379AD">
        <w:t>Section</w:t>
      </w:r>
      <w:r>
        <w:t xml:space="preserve"> </w:t>
      </w:r>
      <w:r>
        <w:fldChar w:fldCharType="begin"/>
      </w:r>
      <w:r>
        <w:instrText xml:space="preserve"> REF _Ref489967726 \r \h </w:instrText>
      </w:r>
      <w:r>
        <w:fldChar w:fldCharType="separate"/>
      </w:r>
      <w:r w:rsidR="00B52C11">
        <w:t>3</w:t>
      </w:r>
      <w:r>
        <w:fldChar w:fldCharType="end"/>
      </w:r>
      <w:r>
        <w:t xml:space="preserve">, this updating did not result in any significant changes in the </w:t>
      </w:r>
      <w:r w:rsidR="00695B33">
        <w:t>SES score</w:t>
      </w:r>
      <w:r>
        <w:t xml:space="preserve"> </w:t>
      </w:r>
      <w:r w:rsidR="00B03606">
        <w:t>parameters</w:t>
      </w:r>
      <w:r>
        <w:t>. Rather, the most significant change was the move from using CDs to</w:t>
      </w:r>
      <w:r w:rsidR="00047D45">
        <w:t xml:space="preserve"> </w:t>
      </w:r>
      <w:r w:rsidR="00047D45" w:rsidRPr="00047D45">
        <w:t xml:space="preserve">Statistical Areas Level 1 </w:t>
      </w:r>
      <w:r w:rsidR="00047D45">
        <w:t>(</w:t>
      </w:r>
      <w:r>
        <w:t>SA1s</w:t>
      </w:r>
      <w:r w:rsidR="00047D45">
        <w:t>)</w:t>
      </w:r>
      <w:r>
        <w:t xml:space="preserve"> as the resolution for </w:t>
      </w:r>
      <w:r w:rsidR="00695B33">
        <w:t>SES score</w:t>
      </w:r>
      <w:r>
        <w:t xml:space="preserve"> </w:t>
      </w:r>
      <w:r w:rsidR="009056E6">
        <w:t>calculation</w:t>
      </w:r>
      <w:r>
        <w:t>.</w:t>
      </w:r>
      <w:r w:rsidR="00047D45">
        <w:t xml:space="preserve"> This change was a consequence of the ABS introducing a new geography classification scheme</w:t>
      </w:r>
      <w:r w:rsidR="00027C9D">
        <w:t xml:space="preserve"> (see p. </w:t>
      </w:r>
      <w:r w:rsidR="00027C9D">
        <w:fldChar w:fldCharType="begin"/>
      </w:r>
      <w:r w:rsidR="00027C9D">
        <w:instrText xml:space="preserve"> PAGEREF _Ref492290601 \h </w:instrText>
      </w:r>
      <w:r w:rsidR="00027C9D">
        <w:fldChar w:fldCharType="separate"/>
      </w:r>
      <w:r w:rsidR="00B52C11">
        <w:rPr>
          <w:noProof/>
        </w:rPr>
        <w:t>26</w:t>
      </w:r>
      <w:r w:rsidR="00027C9D">
        <w:fldChar w:fldCharType="end"/>
      </w:r>
      <w:r w:rsidR="00BA78F6">
        <w:t xml:space="preserve"> </w:t>
      </w:r>
      <w:r w:rsidR="00BA78F6">
        <w:fldChar w:fldCharType="begin"/>
      </w:r>
      <w:r w:rsidR="00BA78F6">
        <w:instrText xml:space="preserve"> REF _Ref492290601 \p \h </w:instrText>
      </w:r>
      <w:r w:rsidR="00BA78F6">
        <w:fldChar w:fldCharType="separate"/>
      </w:r>
      <w:r w:rsidR="00B52C11">
        <w:t>below</w:t>
      </w:r>
      <w:r w:rsidR="00BA78F6">
        <w:fldChar w:fldCharType="end"/>
      </w:r>
      <w:r w:rsidR="00027C9D">
        <w:t>)</w:t>
      </w:r>
      <w:r w:rsidR="00047D45">
        <w:t>.</w:t>
      </w:r>
      <w:r>
        <w:t xml:space="preserve"> </w:t>
      </w:r>
    </w:p>
    <w:p w:rsidR="00440B43" w:rsidRDefault="003C0586" w:rsidP="006858DD">
      <w:pPr>
        <w:spacing w:after="200"/>
      </w:pPr>
      <w:r>
        <w:t>The other change as part of this periodic updating was replac</w:t>
      </w:r>
      <w:r w:rsidR="00B5081E">
        <w:t>ing</w:t>
      </w:r>
      <w:r>
        <w:t xml:space="preserve"> certain variables used in the SES score </w:t>
      </w:r>
      <w:r w:rsidR="009056E6">
        <w:t>calculation</w:t>
      </w:r>
      <w:r>
        <w:t xml:space="preserve">. The introduction of a new occupation classification standard </w:t>
      </w:r>
      <w:r w:rsidR="00B5081E">
        <w:t>by the ABS necessitated</w:t>
      </w:r>
      <w:r>
        <w:t xml:space="preserve"> change to the variables used in the occupation dimension.  </w:t>
      </w:r>
    </w:p>
    <w:p w:rsidR="0085223E" w:rsidRDefault="0013166B" w:rsidP="0076688E">
      <w:r>
        <w:t xml:space="preserve">From 2005, a ‘funding guarantee’ scheme was introduced for </w:t>
      </w:r>
      <w:r w:rsidR="002263C4">
        <w:t>non</w:t>
      </w:r>
      <w:r w:rsidR="002263C4">
        <w:noBreakHyphen/>
        <w:t>government</w:t>
      </w:r>
      <w:r>
        <w:t xml:space="preserve"> schools that would see a reduction in their funding due to a change in their SES score</w:t>
      </w:r>
      <w:sdt>
        <w:sdtPr>
          <w:id w:val="-2116274109"/>
          <w:citation/>
        </w:sdtPr>
        <w:sdtContent>
          <w:r>
            <w:fldChar w:fldCharType="begin"/>
          </w:r>
          <w:r>
            <w:instrText xml:space="preserve"> CITATION Wil \l 3081 </w:instrText>
          </w:r>
          <w:r>
            <w:fldChar w:fldCharType="separate"/>
          </w:r>
          <w:r w:rsidR="005333F5">
            <w:rPr>
              <w:noProof/>
            </w:rPr>
            <w:t xml:space="preserve"> (Wilkinson, Caldwell, Selleck, Harris, &amp; Dettman, 2006)</w:t>
          </w:r>
          <w:r>
            <w:fldChar w:fldCharType="end"/>
          </w:r>
        </w:sdtContent>
      </w:sdt>
      <w:r>
        <w:t>.</w:t>
      </w:r>
    </w:p>
    <w:p w:rsidR="0085223E" w:rsidRDefault="00166D8D" w:rsidP="00540C59">
      <w:pPr>
        <w:pStyle w:val="Heading3"/>
      </w:pPr>
      <w:bookmarkStart w:id="95" w:name="_Ref493503127"/>
      <w:bookmarkStart w:id="96" w:name="_Toc493598469"/>
      <w:bookmarkStart w:id="97" w:name="_Toc495409771"/>
      <w:bookmarkStart w:id="98" w:name="_Toc496792761"/>
      <w:bookmarkStart w:id="99" w:name="_Toc496803891"/>
      <w:r>
        <w:t>Introduction of</w:t>
      </w:r>
      <w:r w:rsidR="00BC631B">
        <w:t xml:space="preserve"> an appeals process</w:t>
      </w:r>
      <w:bookmarkEnd w:id="95"/>
      <w:bookmarkEnd w:id="96"/>
      <w:bookmarkEnd w:id="97"/>
      <w:bookmarkEnd w:id="98"/>
      <w:bookmarkEnd w:id="99"/>
      <w:r w:rsidR="00BC631B">
        <w:t xml:space="preserve"> </w:t>
      </w:r>
    </w:p>
    <w:p w:rsidR="00A31866" w:rsidRDefault="00A31866" w:rsidP="00A31866">
      <w:r w:rsidRPr="00A722C8">
        <w:t xml:space="preserve">The </w:t>
      </w:r>
      <w:r>
        <w:t xml:space="preserve">school </w:t>
      </w:r>
      <w:r w:rsidRPr="00A722C8">
        <w:t>SES score is intended to reflect the average SES of a school’s students, relative to other schools.</w:t>
      </w:r>
    </w:p>
    <w:p w:rsidR="00DA5E63" w:rsidRDefault="00C30EA5" w:rsidP="00DA5E63">
      <w:r>
        <w:t xml:space="preserve">For those circumstances where these assumptions </w:t>
      </w:r>
      <w:r w:rsidR="006A48AE">
        <w:t>did not</w:t>
      </w:r>
      <w:r>
        <w:t xml:space="preserve"> hold, the Australian Government </w:t>
      </w:r>
      <w:r w:rsidR="00DA5E63">
        <w:t>introduced a mechanism for schools to appeal to alter the estimated SES score.</w:t>
      </w:r>
      <w:r w:rsidR="00DA5E63" w:rsidRPr="00DA5E63">
        <w:t xml:space="preserve"> </w:t>
      </w:r>
      <w:r w:rsidR="00DA5E63">
        <w:t xml:space="preserve">An appeal could </w:t>
      </w:r>
      <w:r w:rsidR="005B2E55">
        <w:t xml:space="preserve">be </w:t>
      </w:r>
      <w:r w:rsidR="00DA5E63">
        <w:t xml:space="preserve">made if a school considered its SES score had not been determined correctly, or did not reflect the socio-economic circumstances of the school’s community. This mechanism was initially implemented administratively </w:t>
      </w:r>
      <w:r w:rsidR="005B2E55">
        <w:t>through</w:t>
      </w:r>
      <w:r w:rsidR="00DA5E63">
        <w:t xml:space="preserve"> the</w:t>
      </w:r>
      <w:r w:rsidR="00DA5E63" w:rsidRPr="00DA5E63">
        <w:rPr>
          <w:i/>
        </w:rPr>
        <w:t xml:space="preserve"> </w:t>
      </w:r>
      <w:r w:rsidR="00DA5E63" w:rsidRPr="006D3C02">
        <w:rPr>
          <w:i/>
        </w:rPr>
        <w:t>Schools Assistance (Learning Together—Achievement Through Choice and Opportunity) Act 2004</w:t>
      </w:r>
      <w:r w:rsidR="00DA5E63">
        <w:rPr>
          <w:i/>
        </w:rPr>
        <w:t xml:space="preserve"> </w:t>
      </w:r>
      <w:r w:rsidR="00DA5E63">
        <w:t xml:space="preserve">(Cth) s. </w:t>
      </w:r>
      <w:r w:rsidR="00DA5E63" w:rsidRPr="006D3C02">
        <w:t>52</w:t>
      </w:r>
      <w:r w:rsidR="00DA5E63">
        <w:t xml:space="preserve">. The </w:t>
      </w:r>
      <w:r w:rsidR="00DA5E63" w:rsidRPr="000636CD">
        <w:rPr>
          <w:i/>
        </w:rPr>
        <w:t>Schools Assistance Act 2008</w:t>
      </w:r>
      <w:r w:rsidR="00DA5E63">
        <w:t xml:space="preserve"> (Cth) s. 72(2) replaced this administrative mechanism </w:t>
      </w:r>
      <w:r w:rsidR="005B2E55">
        <w:t>by</w:t>
      </w:r>
      <w:r w:rsidR="00DA5E63">
        <w:t xml:space="preserve"> provi</w:t>
      </w:r>
      <w:r w:rsidR="005B2E55">
        <w:t>ding</w:t>
      </w:r>
      <w:r w:rsidR="00DA5E63">
        <w:t xml:space="preserve"> a legislatively defined process. </w:t>
      </w:r>
      <w:r w:rsidR="00BC2D1D">
        <w:t xml:space="preserve">Since 2007, </w:t>
      </w:r>
      <w:r w:rsidR="00396E68">
        <w:t xml:space="preserve">20 schools have appealed their SES score, of which </w:t>
      </w:r>
      <w:r w:rsidR="00BC2D1D">
        <w:t>11</w:t>
      </w:r>
      <w:r w:rsidR="00396E68">
        <w:t xml:space="preserve"> were successful</w:t>
      </w:r>
      <w:r w:rsidR="002450C1">
        <w:t>.</w:t>
      </w:r>
      <w:r w:rsidR="00396E68">
        <w:rPr>
          <w:rStyle w:val="FootnoteReference"/>
        </w:rPr>
        <w:footnoteReference w:id="3"/>
      </w:r>
      <w:r w:rsidR="002450C1">
        <w:t xml:space="preserve"> </w:t>
      </w:r>
    </w:p>
    <w:p w:rsidR="006D3C02" w:rsidRDefault="00BC2D1D" w:rsidP="00DA5E63">
      <w:r>
        <w:t xml:space="preserve">In the case of five schools from a single denomination, </w:t>
      </w:r>
      <w:r w:rsidR="00311C8A">
        <w:t xml:space="preserve">their </w:t>
      </w:r>
      <w:r w:rsidR="00695B33">
        <w:t>SES score</w:t>
      </w:r>
      <w:r w:rsidR="00311C8A">
        <w:t xml:space="preserve">s </w:t>
      </w:r>
      <w:r>
        <w:t xml:space="preserve">were </w:t>
      </w:r>
      <w:r w:rsidR="00311C8A">
        <w:t>reduc</w:t>
      </w:r>
      <w:r>
        <w:t>ed</w:t>
      </w:r>
      <w:r w:rsidR="00311C8A">
        <w:t xml:space="preserve"> from ‘</w:t>
      </w:r>
      <w:r w:rsidR="00311C8A" w:rsidRPr="00311C8A">
        <w:t>the low 120s or high teens to 92 or below</w:t>
      </w:r>
      <w:r w:rsidR="00311C8A">
        <w:t xml:space="preserve">’ </w:t>
      </w:r>
      <w:sdt>
        <w:sdtPr>
          <w:id w:val="-717364501"/>
          <w:citation/>
        </w:sdtPr>
        <w:sdtContent>
          <w:r w:rsidR="00311C8A">
            <w:fldChar w:fldCharType="begin"/>
          </w:r>
          <w:r w:rsidR="00311C8A">
            <w:instrText xml:space="preserve">CITATION Hai17 \p 18 \l 3081 </w:instrText>
          </w:r>
          <w:r w:rsidR="00311C8A">
            <w:fldChar w:fldCharType="separate"/>
          </w:r>
          <w:r w:rsidR="005333F5">
            <w:rPr>
              <w:noProof/>
            </w:rPr>
            <w:t>(Hain, 2017, p. 18)</w:t>
          </w:r>
          <w:r w:rsidR="00311C8A">
            <w:fldChar w:fldCharType="end"/>
          </w:r>
        </w:sdtContent>
      </w:sdt>
      <w:r w:rsidR="00311C8A">
        <w:t xml:space="preserve">. </w:t>
      </w:r>
      <w:r w:rsidR="00EA610B">
        <w:t xml:space="preserve">The argument made by these </w:t>
      </w:r>
      <w:r w:rsidR="00DA5E63">
        <w:t xml:space="preserve">five </w:t>
      </w:r>
      <w:r w:rsidR="00EA610B">
        <w:t>school</w:t>
      </w:r>
      <w:r>
        <w:t>s</w:t>
      </w:r>
      <w:r w:rsidR="00EA610B">
        <w:t xml:space="preserve"> was that </w:t>
      </w:r>
      <w:r w:rsidR="00DA5E63">
        <w:t>their family’s S</w:t>
      </w:r>
      <w:r w:rsidR="00EA610B">
        <w:t xml:space="preserve">ES was well below that of the CD they were living in. A revised </w:t>
      </w:r>
      <w:r w:rsidR="00695B33">
        <w:t>SES score</w:t>
      </w:r>
      <w:r w:rsidR="00EA610B">
        <w:t xml:space="preserve"> was </w:t>
      </w:r>
      <w:r w:rsidR="009056E6">
        <w:t>determined</w:t>
      </w:r>
      <w:r w:rsidR="00EA610B">
        <w:t xml:space="preserve"> on the basis of actual parental income, with adjustments </w:t>
      </w:r>
      <w:r w:rsidR="005B2E55">
        <w:t xml:space="preserve">also </w:t>
      </w:r>
      <w:r w:rsidR="00EA610B">
        <w:t xml:space="preserve">made for family size </w:t>
      </w:r>
      <w:sdt>
        <w:sdtPr>
          <w:id w:val="-181970885"/>
          <w:citation/>
        </w:sdtPr>
        <w:sdtContent>
          <w:r w:rsidR="00EA610B">
            <w:fldChar w:fldCharType="begin"/>
          </w:r>
          <w:r w:rsidR="00845793">
            <w:instrText xml:space="preserve">CITATION Aus17 \l 3081 </w:instrText>
          </w:r>
          <w:r w:rsidR="00EA610B">
            <w:fldChar w:fldCharType="separate"/>
          </w:r>
          <w:r w:rsidR="005333F5">
            <w:rPr>
              <w:noProof/>
            </w:rPr>
            <w:t>(Australian Council of Jewish Schools, 2017)</w:t>
          </w:r>
          <w:r w:rsidR="00EA610B">
            <w:fldChar w:fldCharType="end"/>
          </w:r>
        </w:sdtContent>
      </w:sdt>
      <w:r w:rsidR="00EA610B">
        <w:t>.</w:t>
      </w:r>
      <w:r w:rsidR="002450C1">
        <w:t xml:space="preserve"> </w:t>
      </w:r>
    </w:p>
    <w:p w:rsidR="00364BE2" w:rsidRDefault="00364BE2" w:rsidP="00540C59">
      <w:pPr>
        <w:pStyle w:val="Heading3"/>
      </w:pPr>
      <w:bookmarkStart w:id="100" w:name="_Ref493512211"/>
      <w:bookmarkStart w:id="101" w:name="_Toc493598470"/>
      <w:bookmarkStart w:id="102" w:name="_Toc495409772"/>
      <w:bookmarkStart w:id="103" w:name="_Toc496792762"/>
      <w:bookmarkStart w:id="104" w:name="_Toc496803892"/>
      <w:r>
        <w:t>Findings of the Review of Funding for Schooling</w:t>
      </w:r>
      <w:bookmarkEnd w:id="100"/>
      <w:bookmarkEnd w:id="101"/>
      <w:bookmarkEnd w:id="102"/>
      <w:bookmarkEnd w:id="103"/>
      <w:bookmarkEnd w:id="104"/>
    </w:p>
    <w:p w:rsidR="00897F45" w:rsidRDefault="006429E3" w:rsidP="00897F45">
      <w:r>
        <w:t xml:space="preserve">Following </w:t>
      </w:r>
      <w:r w:rsidR="009056E6">
        <w:t>reaffirmation</w:t>
      </w:r>
      <w:r>
        <w:t xml:space="preserve"> that Australian Government funding for </w:t>
      </w:r>
      <w:r w:rsidR="002263C4">
        <w:t>non</w:t>
      </w:r>
      <w:r w:rsidR="002263C4">
        <w:noBreakHyphen/>
        <w:t>government</w:t>
      </w:r>
      <w:r>
        <w:t xml:space="preserve"> schools should continue to be </w:t>
      </w:r>
      <w:r w:rsidR="00396E48">
        <w:t>based on the schoo</w:t>
      </w:r>
      <w:r w:rsidR="00EC6AB8">
        <w:t>l community’</w:t>
      </w:r>
      <w:r w:rsidR="00396E48">
        <w:t>s capacity to contribute private funds</w:t>
      </w:r>
      <w:r>
        <w:t>, t</w:t>
      </w:r>
      <w:r w:rsidR="007011BA">
        <w:t xml:space="preserve">he Review of Funding for Schooling examined the </w:t>
      </w:r>
      <w:r w:rsidR="00695B33">
        <w:t>SES score</w:t>
      </w:r>
      <w:r w:rsidR="007011BA">
        <w:t xml:space="preserve">. The various concerns and issues from </w:t>
      </w:r>
      <w:r w:rsidR="00396E48">
        <w:t>the</w:t>
      </w:r>
      <w:r w:rsidR="007011BA">
        <w:t xml:space="preserve"> </w:t>
      </w:r>
      <w:r w:rsidR="00D81533">
        <w:t>R</w:t>
      </w:r>
      <w:r w:rsidR="007011BA">
        <w:t xml:space="preserve">eview are summarised in </w:t>
      </w:r>
      <w:r w:rsidR="00A379AD">
        <w:t>Section</w:t>
      </w:r>
      <w:r w:rsidR="007011BA">
        <w:t xml:space="preserve"> </w:t>
      </w:r>
      <w:r w:rsidR="007011BA">
        <w:fldChar w:fldCharType="begin"/>
      </w:r>
      <w:r w:rsidR="007011BA">
        <w:instrText xml:space="preserve"> REF _Ref489967728 \r \h </w:instrText>
      </w:r>
      <w:r w:rsidR="007011BA">
        <w:fldChar w:fldCharType="separate"/>
      </w:r>
      <w:r w:rsidR="00B52C11">
        <w:t>4</w:t>
      </w:r>
      <w:r w:rsidR="007011BA">
        <w:fldChar w:fldCharType="end"/>
      </w:r>
      <w:r w:rsidR="00396E48">
        <w:t xml:space="preserve">. The Review </w:t>
      </w:r>
      <w:r w:rsidR="007011BA">
        <w:t xml:space="preserve">drew upon evidence generated in the 10 years following implementation of the SES </w:t>
      </w:r>
      <w:r w:rsidR="00396E48">
        <w:t>f</w:t>
      </w:r>
      <w:r w:rsidR="007011BA">
        <w:t xml:space="preserve">unding model, alongside views put forward in submissions. </w:t>
      </w:r>
    </w:p>
    <w:p w:rsidR="001774A9" w:rsidRDefault="00583C67" w:rsidP="00897F45">
      <w:r>
        <w:t xml:space="preserve">In response to concerns regarding the accuracy of the </w:t>
      </w:r>
      <w:r w:rsidR="00695B33">
        <w:t>SES score</w:t>
      </w:r>
      <w:r>
        <w:t xml:space="preserve">, the Review suggested that even smaller area data </w:t>
      </w:r>
      <w:r w:rsidR="00440B43">
        <w:t xml:space="preserve">could </w:t>
      </w:r>
      <w:r w:rsidR="00A6517F">
        <w:t xml:space="preserve">potentially </w:t>
      </w:r>
      <w:r>
        <w:t xml:space="preserve">be used from the Census, or that parental SES be directly measured. </w:t>
      </w:r>
      <w:r w:rsidR="001774A9">
        <w:t xml:space="preserve">At the time it was suggested that Mesh Block level data could be used. In the 2011 ABS Census there were approximately 347,000 Mesh Blocks, with residential Mesh Blocks containing approximately 30 to 60 dwellings </w:t>
      </w:r>
      <w:sdt>
        <w:sdtPr>
          <w:id w:val="726570465"/>
          <w:citation/>
        </w:sdtPr>
        <w:sdtContent>
          <w:r w:rsidR="001774A9">
            <w:fldChar w:fldCharType="begin"/>
          </w:r>
          <w:r w:rsidR="001774A9">
            <w:instrText xml:space="preserve"> CITATION Aus101 \l 3081 </w:instrText>
          </w:r>
          <w:r w:rsidR="001774A9">
            <w:fldChar w:fldCharType="separate"/>
          </w:r>
          <w:r w:rsidR="005333F5">
            <w:rPr>
              <w:noProof/>
            </w:rPr>
            <w:t>(Australian Bureau of Statistics, 2010)</w:t>
          </w:r>
          <w:r w:rsidR="001774A9">
            <w:fldChar w:fldCharType="end"/>
          </w:r>
        </w:sdtContent>
      </w:sdt>
      <w:r w:rsidR="001774A9">
        <w:t xml:space="preserve">.  </w:t>
      </w:r>
    </w:p>
    <w:p w:rsidR="00440B43" w:rsidRDefault="00440B43" w:rsidP="00440B43">
      <w:r>
        <w:t xml:space="preserve">The Review identified that a precedent already existed for the development of an index </w:t>
      </w:r>
      <w:r w:rsidR="00A31866">
        <w:t xml:space="preserve">using data collected from parents—the </w:t>
      </w:r>
      <w:r w:rsidRPr="00440B43">
        <w:t xml:space="preserve">Index of Community Socio-Educational Advantage </w:t>
      </w:r>
      <w:r>
        <w:t xml:space="preserve">(ICSEA). The ICSEA was, and continues to be, used to identify ‘like schools’ for comparison on the </w:t>
      </w:r>
      <w:r w:rsidRPr="00BA78F6">
        <w:rPr>
          <w:i/>
        </w:rPr>
        <w:t>My School</w:t>
      </w:r>
      <w:r>
        <w:t xml:space="preserve"> website. When first introduced, ICSEA used direct parental level and indirect area-based data from the ABS Census. The Review noted, however, that ICSEA is unsuitable for use in allocating funding to </w:t>
      </w:r>
      <w:r w:rsidR="002263C4">
        <w:t>non</w:t>
      </w:r>
      <w:r w:rsidR="002263C4">
        <w:noBreakHyphen/>
        <w:t>government</w:t>
      </w:r>
      <w:r>
        <w:t xml:space="preserve"> school</w:t>
      </w:r>
      <w:r w:rsidR="00A6517F">
        <w:t xml:space="preserve"> due to its objective being to measure socio-educational advantage, not capacity to contribute. </w:t>
      </w:r>
    </w:p>
    <w:p w:rsidR="007011BA" w:rsidRDefault="00C658A2" w:rsidP="00897F45">
      <w:r>
        <w:t xml:space="preserve">Until such time as an improved measure is developed, the Review recommended the continued use of the </w:t>
      </w:r>
      <w:r w:rsidR="00695B33">
        <w:t>SES score</w:t>
      </w:r>
      <w:r>
        <w:t xml:space="preserve"> to measure </w:t>
      </w:r>
      <w:r w:rsidR="00A31866">
        <w:t xml:space="preserve">the </w:t>
      </w:r>
      <w:r>
        <w:t xml:space="preserve">capacity to contribute. </w:t>
      </w:r>
    </w:p>
    <w:p w:rsidR="00C9197B" w:rsidRDefault="00C658A2" w:rsidP="00897F45">
      <w:r>
        <w:t xml:space="preserve">The conceptual approach </w:t>
      </w:r>
      <w:r w:rsidR="001B4897">
        <w:t xml:space="preserve">put forward by the Review for how the </w:t>
      </w:r>
      <w:r w:rsidR="00695B33">
        <w:t>SES score</w:t>
      </w:r>
      <w:r w:rsidR="001B4897">
        <w:t xml:space="preserve"> </w:t>
      </w:r>
      <w:r w:rsidR="00A6517F">
        <w:t>sh</w:t>
      </w:r>
      <w:r w:rsidR="001B4897">
        <w:t xml:space="preserve">ould be applied in funding </w:t>
      </w:r>
      <w:r w:rsidR="002263C4">
        <w:t>non</w:t>
      </w:r>
      <w:r w:rsidR="002263C4">
        <w:noBreakHyphen/>
        <w:t>government</w:t>
      </w:r>
      <w:r w:rsidR="001B4897">
        <w:t xml:space="preserve"> schools is summarised in </w:t>
      </w:r>
      <w:r w:rsidR="001B4897">
        <w:fldChar w:fldCharType="begin"/>
      </w:r>
      <w:r w:rsidR="001B4897">
        <w:instrText xml:space="preserve"> REF _Ref490639608 \h </w:instrText>
      </w:r>
      <w:r w:rsidR="001B4897">
        <w:fldChar w:fldCharType="separate"/>
      </w:r>
      <w:r w:rsidR="00B52C11">
        <w:t xml:space="preserve">Figure </w:t>
      </w:r>
      <w:r w:rsidR="00B52C11">
        <w:rPr>
          <w:noProof/>
        </w:rPr>
        <w:t>2</w:t>
      </w:r>
      <w:r w:rsidR="00B52C11">
        <w:noBreakHyphen/>
      </w:r>
      <w:r w:rsidR="00B52C11">
        <w:rPr>
          <w:noProof/>
        </w:rPr>
        <w:t>3</w:t>
      </w:r>
      <w:r w:rsidR="001B4897">
        <w:fldChar w:fldCharType="end"/>
      </w:r>
      <w:r w:rsidR="001B4897">
        <w:t xml:space="preserve">. </w:t>
      </w:r>
      <w:r w:rsidR="00C9197B">
        <w:t xml:space="preserve">This approach is underpinned by an explicit presentation of the anticipated private contribution to be made by schools.  </w:t>
      </w:r>
    </w:p>
    <w:p w:rsidR="00396E48" w:rsidRDefault="00396E48" w:rsidP="00396E48">
      <w:r>
        <w:t xml:space="preserve">The main features of </w:t>
      </w:r>
      <w:r>
        <w:fldChar w:fldCharType="begin"/>
      </w:r>
      <w:r>
        <w:instrText xml:space="preserve"> REF _Ref490639608 \h </w:instrText>
      </w:r>
      <w:r>
        <w:fldChar w:fldCharType="separate"/>
      </w:r>
      <w:r w:rsidR="00B52C11">
        <w:t xml:space="preserve">Figure </w:t>
      </w:r>
      <w:r w:rsidR="00B52C11">
        <w:rPr>
          <w:noProof/>
        </w:rPr>
        <w:t>2</w:t>
      </w:r>
      <w:r w:rsidR="00B52C11">
        <w:noBreakHyphen/>
      </w:r>
      <w:r w:rsidR="00B52C11">
        <w:rPr>
          <w:noProof/>
        </w:rPr>
        <w:t>3</w:t>
      </w:r>
      <w:r>
        <w:fldChar w:fldCharType="end"/>
      </w:r>
      <w:r>
        <w:t xml:space="preserve"> comprise:</w:t>
      </w:r>
    </w:p>
    <w:p w:rsidR="00396E48" w:rsidRDefault="00396E48" w:rsidP="00396E48">
      <w:pPr>
        <w:pStyle w:val="Dotpoints"/>
      </w:pPr>
      <w:r>
        <w:t xml:space="preserve">schools with the lowest SES scores (up </w:t>
      </w:r>
      <w:r w:rsidR="00A31866">
        <w:t xml:space="preserve">to </w:t>
      </w:r>
      <w:r>
        <w:t>between 90 and 95) are expected to make the minimum private contribution of 10 per cent of the base SRS per student amount</w:t>
      </w:r>
    </w:p>
    <w:p w:rsidR="00396E48" w:rsidRDefault="00396E48" w:rsidP="00396E48">
      <w:pPr>
        <w:pStyle w:val="Dotpoints"/>
      </w:pPr>
      <w:r>
        <w:t>schools with the highest SES scores (above around 130) are expected to receive the minimum public contribution of around 20 to 25 per cent of the base SRS per student amount</w:t>
      </w:r>
      <w:r w:rsidRPr="00BA78F6">
        <w:t xml:space="preserve"> </w:t>
      </w:r>
    </w:p>
    <w:p w:rsidR="00396E48" w:rsidRDefault="00396E48" w:rsidP="00396E48">
      <w:pPr>
        <w:pStyle w:val="Dotpoints"/>
      </w:pPr>
      <w:r>
        <w:t>for schools falling between these two categories (lowest and highest SES) there is a ‘sliding scale’ for the public contribution as a per cent of the base SRS per student amount.</w:t>
      </w:r>
    </w:p>
    <w:p w:rsidR="00E07718" w:rsidRDefault="00290ED7" w:rsidP="00A260FB">
      <w:pPr>
        <w:pStyle w:val="Heading3"/>
      </w:pPr>
      <w:bookmarkStart w:id="105" w:name="_Ref490639608"/>
      <w:bookmarkStart w:id="106" w:name="_Toc496803954"/>
      <w:r>
        <w:t xml:space="preserve">Figure </w:t>
      </w:r>
      <w:fldSimple w:instr=" STYLEREF  \s &quot;Heading 11&quot; ">
        <w:r w:rsidR="00B52C11">
          <w:rPr>
            <w:noProof/>
          </w:rPr>
          <w:t>2</w:t>
        </w:r>
      </w:fldSimple>
      <w:r>
        <w:noBreakHyphen/>
      </w:r>
      <w:fldSimple w:instr=" SEQ Figure \* ARABIC \s 1 ">
        <w:r w:rsidR="00B52C11">
          <w:rPr>
            <w:noProof/>
          </w:rPr>
          <w:t>3</w:t>
        </w:r>
      </w:fldSimple>
      <w:bookmarkEnd w:id="105"/>
      <w:r w:rsidR="00E07718">
        <w:tab/>
        <w:t xml:space="preserve">Review of Funding for Schooling: Anticipated private contribution in </w:t>
      </w:r>
      <w:r w:rsidR="002263C4">
        <w:t>non</w:t>
      </w:r>
      <w:r w:rsidR="002263C4">
        <w:noBreakHyphen/>
        <w:t>government</w:t>
      </w:r>
      <w:r w:rsidR="00E07718">
        <w:t xml:space="preserve"> schools</w:t>
      </w:r>
      <w:bookmarkEnd w:id="106"/>
    </w:p>
    <w:p w:rsidR="00E07718" w:rsidRDefault="00483983" w:rsidP="00897F45">
      <w:r>
        <w:rPr>
          <w:noProof/>
          <w:lang w:eastAsia="en-AU"/>
        </w:rPr>
        <w:drawing>
          <wp:inline distT="0" distB="0" distL="0" distR="0" wp14:anchorId="2082AA71" wp14:editId="717D9B52">
            <wp:extent cx="5762625" cy="3457575"/>
            <wp:effectExtent l="0" t="0" r="9525" b="9525"/>
            <wp:docPr id="14" name="Picture 6" descr="Figure 2.3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3 is described in the tex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2625" cy="3457575"/>
                    </a:xfrm>
                    <a:prstGeom prst="rect">
                      <a:avLst/>
                    </a:prstGeom>
                    <a:noFill/>
                    <a:ln>
                      <a:noFill/>
                    </a:ln>
                  </pic:spPr>
                </pic:pic>
              </a:graphicData>
            </a:graphic>
          </wp:inline>
        </w:drawing>
      </w:r>
    </w:p>
    <w:p w:rsidR="00C658A2" w:rsidRDefault="00C658A2" w:rsidP="00C658A2">
      <w:pPr>
        <w:pStyle w:val="Datasource"/>
      </w:pPr>
      <w:r>
        <w:t>Note: (a) As a percentage of the resource standard for the system or school without loadings. (b) Where schools serve students and communities with very high levels of need.</w:t>
      </w:r>
    </w:p>
    <w:p w:rsidR="00E07718" w:rsidRDefault="001E2C30" w:rsidP="006858DD">
      <w:pPr>
        <w:pStyle w:val="Datasource"/>
      </w:pPr>
      <w:r>
        <w:t xml:space="preserve">Source: </w:t>
      </w:r>
      <w:r w:rsidR="00FD0CD7">
        <w:rPr>
          <w:noProof/>
        </w:rPr>
        <w:t>Gonski, et al. (2011), p. 178.</w:t>
      </w:r>
    </w:p>
    <w:p w:rsidR="001865E3" w:rsidRDefault="001865E3" w:rsidP="006858DD">
      <w:pPr>
        <w:keepNext/>
      </w:pPr>
      <w:r>
        <w:t xml:space="preserve">The Review was cognisant that other parameters of the proposed funding model had yet to </w:t>
      </w:r>
      <w:r w:rsidR="009056E6">
        <w:t>be</w:t>
      </w:r>
      <w:r>
        <w:t xml:space="preserve"> finalised, such as the base SRS per student amounts. As a result the Review indicated that the above parameters required further examination, particularly the nature of the ‘sliding scale’ that indicated the per cent of the base per student amount schools would attract on the basis of their SES score.  </w:t>
      </w:r>
    </w:p>
    <w:p w:rsidR="00BC631B" w:rsidRDefault="00C85198" w:rsidP="00166D8D">
      <w:pPr>
        <w:pStyle w:val="Heading2"/>
      </w:pPr>
      <w:bookmarkStart w:id="107" w:name="_Toc493598471"/>
      <w:bookmarkStart w:id="108" w:name="_Toc495409773"/>
      <w:bookmarkStart w:id="109" w:name="_Toc496792763"/>
      <w:bookmarkStart w:id="110" w:name="_Toc496803893"/>
      <w:r>
        <w:t>T</w:t>
      </w:r>
      <w:r w:rsidR="00540C59" w:rsidRPr="00540C59">
        <w:t>he Schooling Resource Standard funding model</w:t>
      </w:r>
      <w:r w:rsidR="00540C59">
        <w:t xml:space="preserve">: 2013 to </w:t>
      </w:r>
      <w:r w:rsidR="00D73587">
        <w:t>2017 and beyond</w:t>
      </w:r>
      <w:bookmarkEnd w:id="107"/>
      <w:bookmarkEnd w:id="108"/>
      <w:bookmarkEnd w:id="109"/>
      <w:bookmarkEnd w:id="110"/>
    </w:p>
    <w:p w:rsidR="00C85198" w:rsidRDefault="001174E5" w:rsidP="001174E5">
      <w:pPr>
        <w:pStyle w:val="Heading3"/>
      </w:pPr>
      <w:bookmarkStart w:id="111" w:name="_Toc493598472"/>
      <w:bookmarkStart w:id="112" w:name="_Toc495409774"/>
      <w:bookmarkStart w:id="113" w:name="_Toc496792764"/>
      <w:bookmarkStart w:id="114" w:name="_Toc496803894"/>
      <w:r>
        <w:t>Implementation of</w:t>
      </w:r>
      <w:r w:rsidR="00C85198">
        <w:t xml:space="preserve"> the </w:t>
      </w:r>
      <w:r>
        <w:t>capacity to contribute</w:t>
      </w:r>
      <w:bookmarkEnd w:id="111"/>
      <w:bookmarkEnd w:id="112"/>
      <w:bookmarkEnd w:id="113"/>
      <w:bookmarkEnd w:id="114"/>
    </w:p>
    <w:p w:rsidR="00EA610B" w:rsidRDefault="00AD49AE" w:rsidP="00EA610B">
      <w:r>
        <w:t>In 2013 t</w:t>
      </w:r>
      <w:r w:rsidR="00EA610B">
        <w:t xml:space="preserve">he </w:t>
      </w:r>
      <w:r>
        <w:t xml:space="preserve">Australian Government moved to implement the recommendation of the Review of Funding for Schooling to use the </w:t>
      </w:r>
      <w:r w:rsidR="00695B33">
        <w:t>SES score</w:t>
      </w:r>
      <w:r>
        <w:t xml:space="preserve"> </w:t>
      </w:r>
      <w:r w:rsidR="00D81533">
        <w:t>to</w:t>
      </w:r>
      <w:r>
        <w:t xml:space="preserve"> measur</w:t>
      </w:r>
      <w:r w:rsidR="00D81533">
        <w:t>e</w:t>
      </w:r>
      <w:r>
        <w:t xml:space="preserve"> the ‘capacity to contribute’. </w:t>
      </w:r>
      <w:r w:rsidR="00B204DF">
        <w:t>T</w:t>
      </w:r>
      <w:r>
        <w:t xml:space="preserve">he specific parameters </w:t>
      </w:r>
      <w:r w:rsidR="00435808">
        <w:t xml:space="preserve">applied </w:t>
      </w:r>
      <w:r>
        <w:t xml:space="preserve">by the Australian Government are identified in </w:t>
      </w:r>
      <w:r>
        <w:fldChar w:fldCharType="begin"/>
      </w:r>
      <w:r>
        <w:instrText xml:space="preserve"> REF _Ref490639571 \h </w:instrText>
      </w:r>
      <w:r>
        <w:fldChar w:fldCharType="separate"/>
      </w:r>
      <w:r w:rsidR="00B52C11">
        <w:t xml:space="preserve">Figure </w:t>
      </w:r>
      <w:r w:rsidR="00B52C11">
        <w:rPr>
          <w:noProof/>
        </w:rPr>
        <w:t>2</w:t>
      </w:r>
      <w:r w:rsidR="00B52C11">
        <w:noBreakHyphen/>
      </w:r>
      <w:r w:rsidR="00B52C11">
        <w:rPr>
          <w:noProof/>
        </w:rPr>
        <w:t>4</w:t>
      </w:r>
      <w:r>
        <w:fldChar w:fldCharType="end"/>
      </w:r>
      <w:r>
        <w:t xml:space="preserve">. </w:t>
      </w:r>
    </w:p>
    <w:p w:rsidR="009B42B9" w:rsidRDefault="009B42B9" w:rsidP="00EA610B">
      <w:r>
        <w:t xml:space="preserve">Under this approach, the focus is upon the discount applied to a school’s base SRS per student amounts. The lowest SES score schools (93 or lower) have a discount of 10 per cent applied. In contrast, the highest SES score schools (125 or higher) have a discount of 80 per cent. </w:t>
      </w:r>
    </w:p>
    <w:p w:rsidR="00F220A5" w:rsidRDefault="002263C4" w:rsidP="00EA610B">
      <w:r>
        <w:t>Non</w:t>
      </w:r>
      <w:r>
        <w:noBreakHyphen/>
        <w:t>government</w:t>
      </w:r>
      <w:r w:rsidR="00F220A5">
        <w:t xml:space="preserve"> schools were funded from 2014 by this new approach. </w:t>
      </w:r>
    </w:p>
    <w:p w:rsidR="006A47FC" w:rsidRDefault="006A47FC" w:rsidP="00A260FB">
      <w:pPr>
        <w:pStyle w:val="Heading3"/>
      </w:pPr>
      <w:bookmarkStart w:id="115" w:name="_Ref490639571"/>
      <w:bookmarkStart w:id="116" w:name="_Toc496803955"/>
      <w:r>
        <w:t xml:space="preserve">Figure </w:t>
      </w:r>
      <w:fldSimple w:instr=" STYLEREF  \s &quot;Heading 11&quot; ">
        <w:r w:rsidR="00B52C11">
          <w:rPr>
            <w:noProof/>
          </w:rPr>
          <w:t>2</w:t>
        </w:r>
      </w:fldSimple>
      <w:r w:rsidR="00290ED7">
        <w:noBreakHyphen/>
      </w:r>
      <w:fldSimple w:instr=" SEQ Figure \* ARABIC \s 1 ">
        <w:r w:rsidR="00B52C11">
          <w:rPr>
            <w:noProof/>
          </w:rPr>
          <w:t>4</w:t>
        </w:r>
      </w:fldSimple>
      <w:bookmarkEnd w:id="115"/>
      <w:r>
        <w:tab/>
        <w:t xml:space="preserve">School </w:t>
      </w:r>
      <w:r w:rsidR="00695B33">
        <w:t>SES score</w:t>
      </w:r>
      <w:r>
        <w:t xml:space="preserve"> and the capacity to contribute</w:t>
      </w:r>
      <w:bookmarkEnd w:id="116"/>
    </w:p>
    <w:p w:rsidR="000A3C13" w:rsidRDefault="00403CC9" w:rsidP="0076688E">
      <w:r w:rsidRPr="00403CC9">
        <w:rPr>
          <w:noProof/>
          <w:lang w:eastAsia="en-AU"/>
        </w:rPr>
        <w:drawing>
          <wp:inline distT="0" distB="0" distL="0" distR="0" wp14:anchorId="2EF7C6B2" wp14:editId="77CD436E">
            <wp:extent cx="5731510" cy="3836875"/>
            <wp:effectExtent l="0" t="0" r="2540" b="0"/>
            <wp:docPr id="10" name="Picture 10" descr="The chart is described in the text above" title="Figure 2-4 School SES score and the capacity to con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3836875"/>
                    </a:xfrm>
                    <a:prstGeom prst="rect">
                      <a:avLst/>
                    </a:prstGeom>
                    <a:noFill/>
                    <a:ln>
                      <a:noFill/>
                    </a:ln>
                  </pic:spPr>
                </pic:pic>
              </a:graphicData>
            </a:graphic>
          </wp:inline>
        </w:drawing>
      </w:r>
    </w:p>
    <w:p w:rsidR="00A31866" w:rsidRDefault="00A31866" w:rsidP="00435808">
      <w:pPr>
        <w:pStyle w:val="Datasource"/>
      </w:pPr>
      <w:r>
        <w:t xml:space="preserve">Note: The revised primary discount rates are those to be implemented from 2018. </w:t>
      </w:r>
    </w:p>
    <w:p w:rsidR="00AD49AE" w:rsidRDefault="00D73587" w:rsidP="00435808">
      <w:pPr>
        <w:pStyle w:val="Datasource"/>
      </w:pPr>
      <w:r>
        <w:t>Source</w:t>
      </w:r>
      <w:r w:rsidR="00AD49AE">
        <w:t>:</w:t>
      </w:r>
      <w:r w:rsidR="00DB639F">
        <w:t xml:space="preserve"> </w:t>
      </w:r>
      <w:r w:rsidR="00DB639F" w:rsidRPr="00435808">
        <w:rPr>
          <w:i/>
        </w:rPr>
        <w:t>Australian Education Act 201</w:t>
      </w:r>
      <w:r w:rsidR="00DB639F">
        <w:rPr>
          <w:i/>
        </w:rPr>
        <w:t>3</w:t>
      </w:r>
      <w:r w:rsidR="00DB639F">
        <w:t xml:space="preserve"> (Cth), s. 54</w:t>
      </w:r>
      <w:r w:rsidR="00AD49AE">
        <w:t xml:space="preserve"> </w:t>
      </w:r>
      <w:r w:rsidR="00DB639F">
        <w:t xml:space="preserve">and </w:t>
      </w:r>
      <w:r w:rsidR="00435808" w:rsidRPr="00435808">
        <w:rPr>
          <w:i/>
        </w:rPr>
        <w:t>Australian Education Amendment Act 2017</w:t>
      </w:r>
      <w:r w:rsidR="00435808">
        <w:t xml:space="preserve"> (Cth), s. 36.</w:t>
      </w:r>
    </w:p>
    <w:p w:rsidR="00D73587" w:rsidRPr="00EA610B" w:rsidRDefault="00D73587" w:rsidP="00FC34D6">
      <w:r>
        <w:t>Different discount rates are applied for primary and secondary students</w:t>
      </w:r>
      <w:r w:rsidR="002D279D">
        <w:t>, which was not a recommendation of the Review of Funding for Schooling</w:t>
      </w:r>
      <w:r w:rsidR="006D671E">
        <w:t xml:space="preserve">. Despite this, the application of the discounts between 2014 and 2017 to schools with an SES score of between 108 and 122 led to primary students attracting a higher funding rate than secondary students. Addressing this issue will see the </w:t>
      </w:r>
      <w:r>
        <w:t xml:space="preserve">primary student discount revised upwards in 2018 as part of the </w:t>
      </w:r>
      <w:r w:rsidRPr="00435808">
        <w:rPr>
          <w:i/>
        </w:rPr>
        <w:t>Australian Education Amendment Act 2017</w:t>
      </w:r>
      <w:r>
        <w:t xml:space="preserve"> (Cth). </w:t>
      </w:r>
    </w:p>
    <w:p w:rsidR="009B42B9" w:rsidRDefault="001B38D1" w:rsidP="009B42B9">
      <w:r>
        <w:t xml:space="preserve">Applying the 2018 base SRS per student funding rates, in combination with the discount rates in </w:t>
      </w:r>
      <w:r>
        <w:fldChar w:fldCharType="begin"/>
      </w:r>
      <w:r>
        <w:instrText xml:space="preserve"> REF _Ref490639571 \h </w:instrText>
      </w:r>
      <w:r>
        <w:fldChar w:fldCharType="separate"/>
      </w:r>
      <w:r w:rsidR="00B52C11">
        <w:t xml:space="preserve">Figure </w:t>
      </w:r>
      <w:r w:rsidR="00B52C11">
        <w:rPr>
          <w:noProof/>
        </w:rPr>
        <w:t>2</w:t>
      </w:r>
      <w:r w:rsidR="00B52C11">
        <w:noBreakHyphen/>
      </w:r>
      <w:r w:rsidR="00B52C11">
        <w:rPr>
          <w:noProof/>
        </w:rPr>
        <w:t>4</w:t>
      </w:r>
      <w:r>
        <w:fldChar w:fldCharType="end"/>
      </w:r>
      <w:r>
        <w:t xml:space="preserve">, </w:t>
      </w:r>
      <w:r>
        <w:fldChar w:fldCharType="begin"/>
      </w:r>
      <w:r>
        <w:instrText xml:space="preserve"> REF _Ref491705490 \h </w:instrText>
      </w:r>
      <w:r>
        <w:fldChar w:fldCharType="separate"/>
      </w:r>
      <w:r w:rsidR="00B52C11">
        <w:t xml:space="preserve">Figure </w:t>
      </w:r>
      <w:r w:rsidR="00B52C11">
        <w:rPr>
          <w:noProof/>
        </w:rPr>
        <w:t>2</w:t>
      </w:r>
      <w:r w:rsidR="00B52C11">
        <w:noBreakHyphen/>
      </w:r>
      <w:r w:rsidR="00B52C11">
        <w:rPr>
          <w:noProof/>
        </w:rPr>
        <w:t>5</w:t>
      </w:r>
      <w:r>
        <w:fldChar w:fldCharType="end"/>
      </w:r>
      <w:r>
        <w:t xml:space="preserve"> presents the base SRS per student funding schools will receive in 2018. The most disadvantaged schools with an SES score of 93 or less will receive $9,858 and $12,388 per primary or secondary student respectively. The most advantaged schools with an SES scor</w:t>
      </w:r>
      <w:r w:rsidR="00B370A8">
        <w:t>e</w:t>
      </w:r>
      <w:r>
        <w:t xml:space="preserve"> of </w:t>
      </w:r>
      <w:r w:rsidR="00B370A8">
        <w:t>125 or higher will receive $2,191 and $2,753 per primary or secondary student respectively.</w:t>
      </w:r>
    </w:p>
    <w:p w:rsidR="001B38D1" w:rsidRDefault="001B38D1" w:rsidP="00A260FB">
      <w:pPr>
        <w:pStyle w:val="Heading3"/>
      </w:pPr>
      <w:bookmarkStart w:id="117" w:name="_Ref491705490"/>
      <w:bookmarkStart w:id="118" w:name="_Toc496803956"/>
      <w:r>
        <w:t xml:space="preserve">Figure </w:t>
      </w:r>
      <w:fldSimple w:instr=" STYLEREF  \s &quot;Heading 11&quot; ">
        <w:r w:rsidR="00B52C11">
          <w:rPr>
            <w:noProof/>
          </w:rPr>
          <w:t>2</w:t>
        </w:r>
      </w:fldSimple>
      <w:r w:rsidR="00290ED7">
        <w:noBreakHyphen/>
      </w:r>
      <w:fldSimple w:instr=" SEQ Figure \* ARABIC \s 1 ">
        <w:r w:rsidR="00B52C11">
          <w:rPr>
            <w:noProof/>
          </w:rPr>
          <w:t>5</w:t>
        </w:r>
      </w:fldSimple>
      <w:bookmarkEnd w:id="117"/>
      <w:r>
        <w:tab/>
        <w:t xml:space="preserve">2018 </w:t>
      </w:r>
      <w:r w:rsidRPr="001B38D1">
        <w:t>base SRS per student funding rates</w:t>
      </w:r>
      <w:r>
        <w:t xml:space="preserve"> applying capacity to contribute</w:t>
      </w:r>
      <w:bookmarkEnd w:id="118"/>
    </w:p>
    <w:p w:rsidR="00BF1F43" w:rsidRDefault="00205BA5" w:rsidP="0076688E">
      <w:r w:rsidRPr="00205BA5">
        <w:rPr>
          <w:noProof/>
          <w:lang w:eastAsia="en-AU"/>
        </w:rPr>
        <w:drawing>
          <wp:inline distT="0" distB="0" distL="0" distR="0" wp14:anchorId="09B7B904" wp14:editId="05271DE2">
            <wp:extent cx="5731510" cy="3836875"/>
            <wp:effectExtent l="0" t="0" r="2540" b="0"/>
            <wp:docPr id="17" name="Picture 17" descr="The chart is described in the text above" title="Figure 2-5 2018 base SRS per student funding rates applying capacity to con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3836875"/>
                    </a:xfrm>
                    <a:prstGeom prst="rect">
                      <a:avLst/>
                    </a:prstGeom>
                    <a:noFill/>
                    <a:ln>
                      <a:noFill/>
                    </a:ln>
                  </pic:spPr>
                </pic:pic>
              </a:graphicData>
            </a:graphic>
          </wp:inline>
        </w:drawing>
      </w:r>
    </w:p>
    <w:p w:rsidR="001B38D1" w:rsidRDefault="00D73587" w:rsidP="001B38D1">
      <w:pPr>
        <w:pStyle w:val="Datasource"/>
      </w:pPr>
      <w:r>
        <w:t>Source</w:t>
      </w:r>
      <w:r w:rsidR="001B38D1">
        <w:t xml:space="preserve">: </w:t>
      </w:r>
      <w:r w:rsidR="001B38D1" w:rsidRPr="00435808">
        <w:rPr>
          <w:i/>
        </w:rPr>
        <w:t>Australian Education Amendment Act 2017</w:t>
      </w:r>
      <w:r w:rsidR="001B38D1">
        <w:t xml:space="preserve"> (Cth), s. </w:t>
      </w:r>
      <w:r>
        <w:t xml:space="preserve">12, 13 and </w:t>
      </w:r>
      <w:r w:rsidR="001B38D1">
        <w:t>36.</w:t>
      </w:r>
    </w:p>
    <w:p w:rsidR="006A47FC" w:rsidRDefault="009F0375" w:rsidP="00A728A8">
      <w:pPr>
        <w:pStyle w:val="Heading3"/>
      </w:pPr>
      <w:bookmarkStart w:id="119" w:name="_Toc493598473"/>
      <w:bookmarkStart w:id="120" w:name="_Toc495409775"/>
      <w:bookmarkStart w:id="121" w:name="_Toc496792765"/>
      <w:bookmarkStart w:id="122" w:name="_Toc496803895"/>
      <w:r>
        <w:t xml:space="preserve">Application of </w:t>
      </w:r>
      <w:r w:rsidR="00A728A8">
        <w:t xml:space="preserve">weighted </w:t>
      </w:r>
      <w:r>
        <w:t>average SES scores to school systems</w:t>
      </w:r>
      <w:bookmarkEnd w:id="119"/>
      <w:bookmarkEnd w:id="120"/>
      <w:bookmarkEnd w:id="121"/>
      <w:bookmarkEnd w:id="122"/>
    </w:p>
    <w:p w:rsidR="006A47FC" w:rsidRDefault="009F0375" w:rsidP="0076688E">
      <w:r>
        <w:t xml:space="preserve">Between 2013 and 2017, approved system authorities could apply to the Minister for Education </w:t>
      </w:r>
      <w:r w:rsidR="002A02AC">
        <w:t>for</w:t>
      </w:r>
      <w:r>
        <w:t xml:space="preserve"> their member schools </w:t>
      </w:r>
      <w:r w:rsidR="002A02AC">
        <w:t xml:space="preserve">to </w:t>
      </w:r>
      <w:r>
        <w:t xml:space="preserve">be assigned a single SES score. If a system made such a request, a weighted SES score was calculated using an enrolment weighted average of all individual system school SES scores </w:t>
      </w:r>
      <w:sdt>
        <w:sdtPr>
          <w:id w:val="129448510"/>
          <w:citation/>
        </w:sdtPr>
        <w:sdtContent>
          <w:r>
            <w:fldChar w:fldCharType="begin"/>
          </w:r>
          <w:r>
            <w:instrText xml:space="preserve"> CITATION Aus171 \l 3081 </w:instrText>
          </w:r>
          <w:r>
            <w:fldChar w:fldCharType="separate"/>
          </w:r>
          <w:r w:rsidR="005333F5">
            <w:rPr>
              <w:noProof/>
            </w:rPr>
            <w:t>(Australian Government, 2017)</w:t>
          </w:r>
          <w:r>
            <w:fldChar w:fldCharType="end"/>
          </w:r>
        </w:sdtContent>
      </w:sdt>
      <w:r>
        <w:t xml:space="preserve">. </w:t>
      </w:r>
    </w:p>
    <w:p w:rsidR="001F64DD" w:rsidRDefault="009F0375" w:rsidP="009F0375">
      <w:r>
        <w:t xml:space="preserve">The </w:t>
      </w:r>
      <w:r w:rsidRPr="009F0375">
        <w:rPr>
          <w:i/>
        </w:rPr>
        <w:t>Australian Education Amendment Act 201</w:t>
      </w:r>
      <w:r>
        <w:rPr>
          <w:i/>
        </w:rPr>
        <w:t xml:space="preserve">7 </w:t>
      </w:r>
      <w:r>
        <w:t xml:space="preserve">(Cth) removed </w:t>
      </w:r>
      <w:r w:rsidR="00384DB6">
        <w:t xml:space="preserve">the </w:t>
      </w:r>
      <w:r w:rsidR="00640B8B">
        <w:t xml:space="preserve">ability </w:t>
      </w:r>
      <w:r w:rsidR="00384DB6">
        <w:t xml:space="preserve">of </w:t>
      </w:r>
      <w:r w:rsidR="00640B8B">
        <w:t xml:space="preserve">the </w:t>
      </w:r>
      <w:r w:rsidR="00384DB6">
        <w:t xml:space="preserve">Minister for Education to assign a single </w:t>
      </w:r>
      <w:r w:rsidR="002A02AC">
        <w:t xml:space="preserve">system </w:t>
      </w:r>
      <w:r w:rsidR="00384DB6">
        <w:t xml:space="preserve">SES score to </w:t>
      </w:r>
      <w:r w:rsidR="002A02AC">
        <w:t xml:space="preserve">systemic </w:t>
      </w:r>
      <w:r w:rsidR="00384DB6">
        <w:t xml:space="preserve">schools. In place of the weighted SES score approach, from 2018 SES scores will be applied at the individual school level for </w:t>
      </w:r>
      <w:r w:rsidR="00290ED7">
        <w:t xml:space="preserve">all </w:t>
      </w:r>
      <w:r w:rsidR="00384DB6">
        <w:t xml:space="preserve">schools. Systems will still have the ability to redistribute funding among their schools. </w:t>
      </w:r>
    </w:p>
    <w:p w:rsidR="009F0375" w:rsidRDefault="00612B8F" w:rsidP="009F0375">
      <w:r>
        <w:t>T</w:t>
      </w:r>
      <w:r w:rsidR="00640B8B">
        <w:t xml:space="preserve">he Australian Government has committed to provide funding to approved system authorities in 2018 equivalent to what would be provided by the system-weighted </w:t>
      </w:r>
      <w:r w:rsidR="001F64DD">
        <w:t xml:space="preserve">SES score </w:t>
      </w:r>
      <w:r w:rsidR="00640B8B">
        <w:t>average</w:t>
      </w:r>
      <w:r w:rsidR="00290ED7">
        <w:t xml:space="preserve"> approach</w:t>
      </w:r>
      <w:r w:rsidR="00640B8B">
        <w:t xml:space="preserve"> </w:t>
      </w:r>
      <w:sdt>
        <w:sdtPr>
          <w:id w:val="1468000060"/>
          <w:citation/>
        </w:sdtPr>
        <w:sdtContent>
          <w:r w:rsidR="00384DB6">
            <w:fldChar w:fldCharType="begin"/>
          </w:r>
          <w:r w:rsidR="00384DB6">
            <w:instrText xml:space="preserve"> CITATION Dep17 \l 3081 </w:instrText>
          </w:r>
          <w:r w:rsidR="00384DB6">
            <w:fldChar w:fldCharType="separate"/>
          </w:r>
          <w:r w:rsidR="005333F5">
            <w:rPr>
              <w:noProof/>
            </w:rPr>
            <w:t>(Department of Education and Training, 2017)</w:t>
          </w:r>
          <w:r w:rsidR="00384DB6">
            <w:fldChar w:fldCharType="end"/>
          </w:r>
        </w:sdtContent>
      </w:sdt>
      <w:r w:rsidR="00384DB6">
        <w:t xml:space="preserve">. </w:t>
      </w:r>
    </w:p>
    <w:p w:rsidR="0076688E" w:rsidRDefault="0076688E" w:rsidP="00A260FB">
      <w:pPr>
        <w:pStyle w:val="Heading11"/>
      </w:pPr>
      <w:bookmarkStart w:id="123" w:name="_Toc496792690"/>
      <w:bookmarkStart w:id="124" w:name="_Toc496792766"/>
      <w:bookmarkStart w:id="125" w:name="_Toc496803896"/>
      <w:bookmarkStart w:id="126" w:name="_Ref489967726"/>
      <w:bookmarkStart w:id="127" w:name="_Toc496803897"/>
      <w:bookmarkEnd w:id="37"/>
      <w:bookmarkEnd w:id="123"/>
      <w:bookmarkEnd w:id="124"/>
      <w:bookmarkEnd w:id="125"/>
      <w:r>
        <w:t xml:space="preserve">The </w:t>
      </w:r>
      <w:r w:rsidR="00695B33">
        <w:t>SES score</w:t>
      </w:r>
      <w:r>
        <w:t xml:space="preserve"> </w:t>
      </w:r>
      <w:r w:rsidR="002D279D">
        <w:t>calculation</w:t>
      </w:r>
      <w:r>
        <w:t xml:space="preserve"> methodology</w:t>
      </w:r>
      <w:bookmarkEnd w:id="126"/>
      <w:bookmarkEnd w:id="127"/>
    </w:p>
    <w:p w:rsidR="0052623B" w:rsidRDefault="00841242" w:rsidP="00841242">
      <w:bookmarkStart w:id="128" w:name="OLE_LINK2"/>
      <w:r w:rsidRPr="00841242">
        <w:t xml:space="preserve">This </w:t>
      </w:r>
      <w:r>
        <w:t>section</w:t>
      </w:r>
      <w:r w:rsidRPr="00841242">
        <w:t xml:space="preserve"> </w:t>
      </w:r>
      <w:r w:rsidR="00C56766">
        <w:t>summarises</w:t>
      </w:r>
      <w:r w:rsidR="00D73587">
        <w:t xml:space="preserve"> the</w:t>
      </w:r>
      <w:r>
        <w:t xml:space="preserve"> method used to estimate the SES score of individual schools. Building upon the content of </w:t>
      </w:r>
      <w:r w:rsidR="00A379AD">
        <w:t>Section</w:t>
      </w:r>
      <w:r>
        <w:t xml:space="preserve"> </w:t>
      </w:r>
      <w:r>
        <w:fldChar w:fldCharType="begin"/>
      </w:r>
      <w:r>
        <w:instrText xml:space="preserve"> REF _Ref489967724 \r \h </w:instrText>
      </w:r>
      <w:r>
        <w:fldChar w:fldCharType="separate"/>
      </w:r>
      <w:r w:rsidR="00B52C11">
        <w:t>2</w:t>
      </w:r>
      <w:r>
        <w:fldChar w:fldCharType="end"/>
      </w:r>
      <w:r>
        <w:t xml:space="preserve"> (pp. </w:t>
      </w:r>
      <w:r>
        <w:fldChar w:fldCharType="begin"/>
      </w:r>
      <w:r>
        <w:instrText xml:space="preserve"> PAGEREF _Ref491864933 \h </w:instrText>
      </w:r>
      <w:r>
        <w:fldChar w:fldCharType="separate"/>
      </w:r>
      <w:r w:rsidR="00B52C11">
        <w:rPr>
          <w:noProof/>
        </w:rPr>
        <w:t>10</w:t>
      </w:r>
      <w:r>
        <w:fldChar w:fldCharType="end"/>
      </w:r>
      <w:r>
        <w:t>-</w:t>
      </w:r>
      <w:r>
        <w:fldChar w:fldCharType="begin"/>
      </w:r>
      <w:r>
        <w:instrText xml:space="preserve"> PAGEREF _Ref491693722 \h </w:instrText>
      </w:r>
      <w:r>
        <w:fldChar w:fldCharType="separate"/>
      </w:r>
      <w:r w:rsidR="00B52C11">
        <w:rPr>
          <w:noProof/>
        </w:rPr>
        <w:t>13</w:t>
      </w:r>
      <w:r>
        <w:fldChar w:fldCharType="end"/>
      </w:r>
      <w:r>
        <w:t>), only the final SES score index</w:t>
      </w:r>
      <w:r w:rsidR="00D73587">
        <w:t>—k</w:t>
      </w:r>
      <w:r>
        <w:t xml:space="preserve">nown as </w:t>
      </w:r>
      <w:r w:rsidRPr="00841242">
        <w:t>Index Modified A</w:t>
      </w:r>
      <w:r w:rsidR="00D73587">
        <w:t>—</w:t>
      </w:r>
      <w:r>
        <w:t xml:space="preserve">is examined. </w:t>
      </w:r>
    </w:p>
    <w:p w:rsidR="00047D45" w:rsidRDefault="00047D45" w:rsidP="00841242">
      <w:r>
        <w:t xml:space="preserve">Reflecting the stages of the SES score </w:t>
      </w:r>
      <w:r w:rsidR="002D279D">
        <w:t>calculation</w:t>
      </w:r>
      <w:r>
        <w:t xml:space="preserve"> process, this section has three distinct elements (see </w:t>
      </w:r>
      <w:r>
        <w:fldChar w:fldCharType="begin"/>
      </w:r>
      <w:r>
        <w:instrText xml:space="preserve"> REF _Ref491865577 \h </w:instrText>
      </w:r>
      <w:r>
        <w:fldChar w:fldCharType="separate"/>
      </w:r>
      <w:r w:rsidR="00B52C11">
        <w:t xml:space="preserve">Figure </w:t>
      </w:r>
      <w:r w:rsidR="00B52C11">
        <w:rPr>
          <w:noProof/>
        </w:rPr>
        <w:t>3</w:t>
      </w:r>
      <w:r w:rsidR="00B52C11">
        <w:noBreakHyphen/>
      </w:r>
      <w:r w:rsidR="00B52C11">
        <w:rPr>
          <w:noProof/>
        </w:rPr>
        <w:t>6</w:t>
      </w:r>
      <w:r>
        <w:fldChar w:fldCharType="end"/>
      </w:r>
      <w:r>
        <w:t>):</w:t>
      </w:r>
    </w:p>
    <w:p w:rsidR="00C56766" w:rsidRDefault="00C56766" w:rsidP="00047D45">
      <w:pPr>
        <w:pStyle w:val="Dotpoints"/>
      </w:pPr>
      <w:r>
        <w:t>SES score construction for each SA1</w:t>
      </w:r>
    </w:p>
    <w:p w:rsidR="00047D45" w:rsidRDefault="0011736E" w:rsidP="00047D45">
      <w:pPr>
        <w:pStyle w:val="Dotpoints"/>
      </w:pPr>
      <w:r>
        <w:t>geocoding</w:t>
      </w:r>
      <w:r w:rsidR="00C56766">
        <w:t xml:space="preserve"> </w:t>
      </w:r>
      <w:r w:rsidR="00047D45">
        <w:t>student home addresses</w:t>
      </w:r>
      <w:r w:rsidR="00C56766">
        <w:t xml:space="preserve"> </w:t>
      </w:r>
      <w:r>
        <w:t xml:space="preserve">to identify the numbers of students in each SA1 </w:t>
      </w:r>
      <w:r w:rsidR="00A31866">
        <w:t xml:space="preserve">for </w:t>
      </w:r>
      <w:r>
        <w:t>each school</w:t>
      </w:r>
    </w:p>
    <w:p w:rsidR="00047D45" w:rsidRDefault="00047D45" w:rsidP="00047D45">
      <w:pPr>
        <w:pStyle w:val="Dotpoints"/>
      </w:pPr>
      <w:r>
        <w:t xml:space="preserve">combining the results of the above to </w:t>
      </w:r>
      <w:r w:rsidR="00977153">
        <w:t>calculate</w:t>
      </w:r>
      <w:r>
        <w:t xml:space="preserve"> the SES score </w:t>
      </w:r>
      <w:r w:rsidR="00977153">
        <w:t>for</w:t>
      </w:r>
      <w:r>
        <w:t xml:space="preserve"> individual schools.</w:t>
      </w:r>
    </w:p>
    <w:p w:rsidR="00C56766" w:rsidRDefault="00F92880" w:rsidP="00F92880">
      <w:r>
        <w:t xml:space="preserve">With the exception of </w:t>
      </w:r>
      <w:r w:rsidR="004717E9">
        <w:t>responding</w:t>
      </w:r>
      <w:r>
        <w:t xml:space="preserve"> to modest changes to the ABS Census</w:t>
      </w:r>
      <w:r w:rsidR="00741EED">
        <w:t xml:space="preserve"> and </w:t>
      </w:r>
      <w:r w:rsidR="00A31866">
        <w:t xml:space="preserve">family/household </w:t>
      </w:r>
      <w:r w:rsidR="00741EED">
        <w:t>income growth</w:t>
      </w:r>
      <w:r>
        <w:t xml:space="preserve">, the methodology used to estimate school SES scores has </w:t>
      </w:r>
      <w:r w:rsidR="00E93366">
        <w:t>remained unchanged since</w:t>
      </w:r>
      <w:r w:rsidR="00CD6A6D">
        <w:t xml:space="preserve"> 1998.</w:t>
      </w:r>
      <w:r w:rsidR="00C56766">
        <w:t xml:space="preserve"> </w:t>
      </w:r>
    </w:p>
    <w:p w:rsidR="00F92880" w:rsidRPr="00841242" w:rsidRDefault="00C56766" w:rsidP="00F92880">
      <w:r>
        <w:t xml:space="preserve">This section is intentionally non-technical—readers seeking a more technical description are referred to the reports documenting the original and most recent </w:t>
      </w:r>
      <w:r w:rsidR="002D279D">
        <w:t>calculation</w:t>
      </w:r>
      <w:r>
        <w:t xml:space="preserve">s </w:t>
      </w:r>
      <w:r w:rsidR="00A31866">
        <w:rPr>
          <w:noProof/>
        </w:rPr>
        <w:t>(Department of Education, Training and Youth Affairs, 1998; Farish, 2013)</w:t>
      </w:r>
      <w:r>
        <w:t>.</w:t>
      </w:r>
    </w:p>
    <w:p w:rsidR="0052623B" w:rsidRDefault="00CD6A6D" w:rsidP="00C42A76">
      <w:pPr>
        <w:pStyle w:val="Heading2"/>
      </w:pPr>
      <w:bookmarkStart w:id="129" w:name="_Toc493598475"/>
      <w:bookmarkStart w:id="130" w:name="_Toc495409777"/>
      <w:bookmarkStart w:id="131" w:name="_Toc496792768"/>
      <w:bookmarkStart w:id="132" w:name="_Toc496803898"/>
      <w:r>
        <w:t>SES</w:t>
      </w:r>
      <w:r w:rsidR="00C42A76">
        <w:t xml:space="preserve"> score </w:t>
      </w:r>
      <w:r w:rsidR="0011736E">
        <w:t xml:space="preserve">construction for each </w:t>
      </w:r>
      <w:r w:rsidR="00C42A76">
        <w:t>Statistical Areas Level 1</w:t>
      </w:r>
      <w:bookmarkEnd w:id="129"/>
      <w:bookmarkEnd w:id="130"/>
      <w:bookmarkEnd w:id="131"/>
      <w:bookmarkEnd w:id="132"/>
    </w:p>
    <w:p w:rsidR="0036647F" w:rsidRDefault="0036647F" w:rsidP="0036647F">
      <w:pPr>
        <w:pStyle w:val="Heading3"/>
      </w:pPr>
      <w:bookmarkStart w:id="133" w:name="_Toc493598476"/>
      <w:bookmarkStart w:id="134" w:name="_Toc495409778"/>
      <w:bookmarkStart w:id="135" w:name="_Toc496792769"/>
      <w:bookmarkStart w:id="136" w:name="_Toc496803899"/>
      <w:r>
        <w:t>Extraction of ABS Census data</w:t>
      </w:r>
      <w:bookmarkEnd w:id="133"/>
      <w:bookmarkEnd w:id="134"/>
      <w:bookmarkEnd w:id="135"/>
      <w:bookmarkEnd w:id="136"/>
    </w:p>
    <w:p w:rsidR="00932484" w:rsidRDefault="00F92880" w:rsidP="00CD6A6D">
      <w:r>
        <w:t xml:space="preserve">The </w:t>
      </w:r>
      <w:r w:rsidR="00CD6A6D">
        <w:t xml:space="preserve">first </w:t>
      </w:r>
      <w:r w:rsidR="0036647F">
        <w:t>step</w:t>
      </w:r>
      <w:r w:rsidR="00CD6A6D">
        <w:t xml:space="preserve"> </w:t>
      </w:r>
      <w:r w:rsidR="00A31866">
        <w:t xml:space="preserve">in the SES score construction </w:t>
      </w:r>
      <w:r w:rsidR="00955074">
        <w:t xml:space="preserve">comprises </w:t>
      </w:r>
      <w:r w:rsidR="00CD6A6D">
        <w:t>extract</w:t>
      </w:r>
      <w:r w:rsidR="00E93366">
        <w:t>ing</w:t>
      </w:r>
      <w:r w:rsidR="00CD6A6D">
        <w:t xml:space="preserve"> data from the ABS Census for each SA1</w:t>
      </w:r>
      <w:r w:rsidR="0011736E">
        <w:t xml:space="preserve"> across four </w:t>
      </w:r>
      <w:r w:rsidR="00977153">
        <w:t>dimensions</w:t>
      </w:r>
      <w:r w:rsidR="00DE5144">
        <w:t>:</w:t>
      </w:r>
      <w:r w:rsidR="00CD6A6D">
        <w:t xml:space="preserve"> </w:t>
      </w:r>
    </w:p>
    <w:p w:rsidR="00932484" w:rsidRDefault="00932484" w:rsidP="00932484">
      <w:pPr>
        <w:pStyle w:val="Dotpoints"/>
      </w:pPr>
      <w:r>
        <w:t>Occupation</w:t>
      </w:r>
    </w:p>
    <w:p w:rsidR="00932484" w:rsidRDefault="00932484" w:rsidP="00932484">
      <w:pPr>
        <w:pStyle w:val="Dotpoints"/>
      </w:pPr>
      <w:r>
        <w:t>Education</w:t>
      </w:r>
    </w:p>
    <w:p w:rsidR="00F92880" w:rsidRDefault="00932484" w:rsidP="00932484">
      <w:pPr>
        <w:pStyle w:val="Dotpoints"/>
      </w:pPr>
      <w:r>
        <w:t>Household income</w:t>
      </w:r>
      <w:r w:rsidR="00CD6A6D">
        <w:t xml:space="preserve"> </w:t>
      </w:r>
    </w:p>
    <w:p w:rsidR="00E93366" w:rsidRDefault="00E93366" w:rsidP="00932484">
      <w:pPr>
        <w:pStyle w:val="Dotpoints"/>
      </w:pPr>
      <w:r>
        <w:t>I</w:t>
      </w:r>
      <w:r w:rsidR="00932484">
        <w:t>ncome</w:t>
      </w:r>
      <w:r>
        <w:t xml:space="preserve"> of families with dependent children</w:t>
      </w:r>
      <w:r w:rsidR="00932484">
        <w:t>.</w:t>
      </w:r>
      <w:r w:rsidR="00DE5144">
        <w:rPr>
          <w:rStyle w:val="FootnoteReference"/>
        </w:rPr>
        <w:footnoteReference w:id="4"/>
      </w:r>
    </w:p>
    <w:p w:rsidR="00E93366" w:rsidRDefault="00977153" w:rsidP="00E93366">
      <w:pPr>
        <w:rPr>
          <w:rFonts w:asciiTheme="minorHAnsi" w:hAnsiTheme="minorHAnsi" w:cs="Meta-Normal"/>
          <w:szCs w:val="32"/>
        </w:rPr>
      </w:pPr>
      <w:r>
        <w:t>Data on the percent</w:t>
      </w:r>
      <w:r w:rsidR="0006712A">
        <w:t>age</w:t>
      </w:r>
      <w:r>
        <w:t xml:space="preserve"> of people in the categories listed in the box ‘</w:t>
      </w:r>
      <w:r w:rsidRPr="00CD6A6D">
        <w:t>Australian Bureau of Statistics Census variables</w:t>
      </w:r>
      <w:r>
        <w:t xml:space="preserve">’ </w:t>
      </w:r>
      <w:r w:rsidR="00A31866">
        <w:t>with</w:t>
      </w:r>
      <w:r>
        <w:t xml:space="preserve">in </w:t>
      </w:r>
      <w:r>
        <w:fldChar w:fldCharType="begin"/>
      </w:r>
      <w:r>
        <w:instrText xml:space="preserve"> REF _Ref491865577 \h </w:instrText>
      </w:r>
      <w:r>
        <w:fldChar w:fldCharType="separate"/>
      </w:r>
      <w:r w:rsidR="00B52C11">
        <w:t xml:space="preserve">Figure </w:t>
      </w:r>
      <w:r w:rsidR="00B52C11">
        <w:rPr>
          <w:noProof/>
        </w:rPr>
        <w:t>3</w:t>
      </w:r>
      <w:r w:rsidR="00B52C11">
        <w:noBreakHyphen/>
      </w:r>
      <w:r w:rsidR="00B52C11">
        <w:rPr>
          <w:noProof/>
        </w:rPr>
        <w:t>6</w:t>
      </w:r>
      <w:r>
        <w:fldChar w:fldCharType="end"/>
      </w:r>
      <w:r>
        <w:t xml:space="preserve"> is extracted. </w:t>
      </w:r>
      <w:r w:rsidR="00D73587">
        <w:t xml:space="preserve">The specific variables used in the SES score </w:t>
      </w:r>
      <w:r>
        <w:t>construction</w:t>
      </w:r>
      <w:r w:rsidR="00D73587">
        <w:t xml:space="preserve"> </w:t>
      </w:r>
      <w:r w:rsidR="00D76FBB">
        <w:t>have</w:t>
      </w:r>
      <w:r w:rsidR="00D73587">
        <w:t xml:space="preserve"> either a ‘positive’ or ‘negative’ relationship with SES. For example, the full range of educational attainment is included, ranging from ‘never attended school’ through to the percent</w:t>
      </w:r>
      <w:r w:rsidR="0006712A">
        <w:t>age</w:t>
      </w:r>
      <w:r w:rsidR="00D73587">
        <w:t xml:space="preserve"> of persons aged 15 or over with a Diploma level or higher qualification. The rationale provided for the inclusion of ‘positive’ and ‘negative’ variables was the desire to consider the full spectrum of SES </w:t>
      </w:r>
      <w:sdt>
        <w:sdtPr>
          <w:id w:val="-670792260"/>
          <w:citation/>
        </w:sdtPr>
        <w:sdtContent>
          <w:r w:rsidR="00D73587">
            <w:fldChar w:fldCharType="begin"/>
          </w:r>
          <w:r w:rsidR="00D73587">
            <w:instrText xml:space="preserve"> CITATION Sch \l 3081 </w:instrText>
          </w:r>
          <w:r w:rsidR="00D73587">
            <w:fldChar w:fldCharType="separate"/>
          </w:r>
          <w:r w:rsidR="005333F5">
            <w:rPr>
              <w:noProof/>
            </w:rPr>
            <w:t>(Department of Education, Training and Youth Affairs, 1998)</w:t>
          </w:r>
          <w:r w:rsidR="00D73587">
            <w:fldChar w:fldCharType="end"/>
          </w:r>
        </w:sdtContent>
      </w:sdt>
      <w:r w:rsidR="00D73587">
        <w:t xml:space="preserve">. </w:t>
      </w:r>
    </w:p>
    <w:p w:rsidR="0052623B" w:rsidRDefault="0052623B" w:rsidP="00A260FB">
      <w:pPr>
        <w:pStyle w:val="Heading3"/>
      </w:pPr>
      <w:bookmarkStart w:id="137" w:name="_Ref491865577"/>
      <w:bookmarkStart w:id="138" w:name="_Toc496803957"/>
      <w:r>
        <w:t xml:space="preserve">Figure </w:t>
      </w:r>
      <w:fldSimple w:instr=" STYLEREF  \s &quot;Heading 11&quot; ">
        <w:r w:rsidR="00B52C11">
          <w:rPr>
            <w:noProof/>
          </w:rPr>
          <w:t>3</w:t>
        </w:r>
      </w:fldSimple>
      <w:r w:rsidR="00290ED7">
        <w:noBreakHyphen/>
      </w:r>
      <w:fldSimple w:instr=" SEQ Figure \* ARABIC \s 1 ">
        <w:r w:rsidR="00B52C11">
          <w:rPr>
            <w:noProof/>
          </w:rPr>
          <w:t>6</w:t>
        </w:r>
      </w:fldSimple>
      <w:bookmarkEnd w:id="137"/>
      <w:r>
        <w:tab/>
        <w:t xml:space="preserve">School </w:t>
      </w:r>
      <w:r w:rsidR="00695B33">
        <w:t>SES score</w:t>
      </w:r>
      <w:r>
        <w:t xml:space="preserve"> calculation process</w:t>
      </w:r>
      <w:bookmarkEnd w:id="138"/>
    </w:p>
    <w:p w:rsidR="00E93366" w:rsidRPr="0051627A" w:rsidRDefault="00486D75" w:rsidP="0051627A">
      <w:pPr>
        <w:pStyle w:val="Datasource"/>
      </w:pPr>
      <w:r w:rsidRPr="00486D75">
        <w:rPr>
          <w:noProof/>
          <w:lang w:eastAsia="en-AU"/>
        </w:rPr>
        <w:drawing>
          <wp:inline distT="0" distB="0" distL="0" distR="0" wp14:anchorId="10F54924" wp14:editId="0F7FC1BC">
            <wp:extent cx="5731510" cy="6282268"/>
            <wp:effectExtent l="0" t="0" r="2540" b="0"/>
            <wp:docPr id="11" name="Picture 11" descr="As described in detail in Chapter 3, the picture summarises the process, data and calculations undertaken to produce school SES scores" title="Figure 3-1 School SES score calcul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6282268"/>
                    </a:xfrm>
                    <a:prstGeom prst="rect">
                      <a:avLst/>
                    </a:prstGeom>
                    <a:noFill/>
                    <a:ln>
                      <a:noFill/>
                    </a:ln>
                  </pic:spPr>
                </pic:pic>
              </a:graphicData>
            </a:graphic>
          </wp:inline>
        </w:drawing>
      </w:r>
      <w:r w:rsidR="00E93366" w:rsidRPr="0051627A">
        <w:t xml:space="preserve">Note: The Census variables reported in </w:t>
      </w:r>
      <w:r w:rsidR="00E93366" w:rsidRPr="0051627A">
        <w:fldChar w:fldCharType="begin"/>
      </w:r>
      <w:r w:rsidR="00E93366" w:rsidRPr="0051627A">
        <w:instrText xml:space="preserve"> REF _Ref491865577 \h </w:instrText>
      </w:r>
      <w:r w:rsidR="00E93366" w:rsidRPr="0051627A">
        <w:fldChar w:fldCharType="separate"/>
      </w:r>
      <w:r w:rsidR="00B52C11">
        <w:t xml:space="preserve">Figure </w:t>
      </w:r>
      <w:r w:rsidR="00B52C11">
        <w:rPr>
          <w:noProof/>
        </w:rPr>
        <w:t>3</w:t>
      </w:r>
      <w:r w:rsidR="00B52C11">
        <w:noBreakHyphen/>
      </w:r>
      <w:r w:rsidR="00B52C11">
        <w:rPr>
          <w:noProof/>
        </w:rPr>
        <w:t>6</w:t>
      </w:r>
      <w:r w:rsidR="00E93366" w:rsidRPr="0051627A">
        <w:fldChar w:fldCharType="end"/>
      </w:r>
      <w:r w:rsidR="00E93366" w:rsidRPr="0051627A">
        <w:t xml:space="preserve"> are those used in the latest SES score </w:t>
      </w:r>
      <w:r w:rsidR="002D279D">
        <w:t>calculation</w:t>
      </w:r>
      <w:r w:rsidR="00E93366" w:rsidRPr="0051627A">
        <w:t xml:space="preserve"> in 2013</w:t>
      </w:r>
      <w:r w:rsidR="00D73587" w:rsidRPr="0051627A">
        <w:t>, using data from the 2011 ABS Census.</w:t>
      </w:r>
      <w:r w:rsidR="00E93366" w:rsidRPr="0051627A">
        <w:t xml:space="preserve"> </w:t>
      </w:r>
      <w:r w:rsidR="0007174C">
        <w:t xml:space="preserve">SD= standard deviation. </w:t>
      </w:r>
    </w:p>
    <w:p w:rsidR="0054376B" w:rsidRDefault="004717E9" w:rsidP="0036647F">
      <w:r>
        <w:t xml:space="preserve">National averages of the </w:t>
      </w:r>
      <w:r w:rsidR="00C3742C">
        <w:t xml:space="preserve">2006 and 2011 ABS Census </w:t>
      </w:r>
      <w:r>
        <w:t>variables use</w:t>
      </w:r>
      <w:r w:rsidR="00C3742C">
        <w:t>d</w:t>
      </w:r>
      <w:r>
        <w:t xml:space="preserve"> in the SES score </w:t>
      </w:r>
      <w:r w:rsidR="002D279D">
        <w:t>calculation</w:t>
      </w:r>
      <w:r>
        <w:t xml:space="preserve"> are presented in</w:t>
      </w:r>
      <w:r w:rsidR="00C7785C">
        <w:t xml:space="preserve"> </w:t>
      </w:r>
      <w:r w:rsidR="00977153">
        <w:t xml:space="preserve">Table A-1 (p. </w:t>
      </w:r>
      <w:r w:rsidR="00977153">
        <w:fldChar w:fldCharType="begin"/>
      </w:r>
      <w:r w:rsidR="00977153">
        <w:instrText xml:space="preserve"> PAGEREF _Ref492989573 \h </w:instrText>
      </w:r>
      <w:r w:rsidR="00977153">
        <w:fldChar w:fldCharType="separate"/>
      </w:r>
      <w:r w:rsidR="00B52C11">
        <w:rPr>
          <w:noProof/>
        </w:rPr>
        <w:t>41</w:t>
      </w:r>
      <w:r w:rsidR="00977153">
        <w:fldChar w:fldCharType="end"/>
      </w:r>
      <w:r w:rsidR="00977153">
        <w:t>)</w:t>
      </w:r>
      <w:r w:rsidR="00C3742C">
        <w:t xml:space="preserve">. Across </w:t>
      </w:r>
      <w:r w:rsidR="00F7251F">
        <w:t>most</w:t>
      </w:r>
      <w:r w:rsidR="00C3742C">
        <w:t xml:space="preserve"> variables there has been modest change in the national averages</w:t>
      </w:r>
      <w:r w:rsidR="00E93366">
        <w:t xml:space="preserve"> over a five</w:t>
      </w:r>
      <w:r w:rsidR="00ED6ED6">
        <w:t>-</w:t>
      </w:r>
      <w:r w:rsidR="00E93366">
        <w:t>year period</w:t>
      </w:r>
      <w:r w:rsidR="00C3742C">
        <w:t xml:space="preserve">. </w:t>
      </w:r>
    </w:p>
    <w:p w:rsidR="00C34275" w:rsidRDefault="002D279D" w:rsidP="00741EED">
      <w:pPr>
        <w:pStyle w:val="Heading3"/>
      </w:pPr>
      <w:bookmarkStart w:id="139" w:name="_Toc493598477"/>
      <w:bookmarkStart w:id="140" w:name="_Toc495409779"/>
      <w:bookmarkStart w:id="141" w:name="_Toc496792770"/>
      <w:bookmarkStart w:id="142" w:name="_Toc496803900"/>
      <w:r>
        <w:t>Calculation</w:t>
      </w:r>
      <w:r w:rsidR="0036647F">
        <w:t xml:space="preserve"> of SA1 Dimension scores using Principal Component</w:t>
      </w:r>
      <w:r w:rsidR="00D76FBB">
        <w:t>s</w:t>
      </w:r>
      <w:r w:rsidR="0036647F">
        <w:t xml:space="preserve"> Analysis</w:t>
      </w:r>
      <w:bookmarkEnd w:id="139"/>
      <w:bookmarkEnd w:id="140"/>
      <w:bookmarkEnd w:id="141"/>
      <w:bookmarkEnd w:id="142"/>
    </w:p>
    <w:p w:rsidR="0068434D" w:rsidRDefault="0036647F" w:rsidP="0068434D">
      <w:r>
        <w:t xml:space="preserve">The second step in the </w:t>
      </w:r>
      <w:r w:rsidR="002D279D">
        <w:t>calculation</w:t>
      </w:r>
      <w:r>
        <w:t xml:space="preserve"> process </w:t>
      </w:r>
      <w:r w:rsidR="000B47FA">
        <w:t>uses</w:t>
      </w:r>
      <w:r w:rsidR="00C32405">
        <w:t xml:space="preserve"> a statistical technique </w:t>
      </w:r>
      <w:r w:rsidR="00F415BC">
        <w:t>called</w:t>
      </w:r>
      <w:r w:rsidR="00C32405">
        <w:t xml:space="preserve"> principal component</w:t>
      </w:r>
      <w:r w:rsidR="00C3742C">
        <w:t>s</w:t>
      </w:r>
      <w:r w:rsidR="00C32405">
        <w:t xml:space="preserve"> analysis </w:t>
      </w:r>
      <w:r w:rsidR="00C3742C">
        <w:t>(PCA). PCA is an analytical method from the branch of statistics known as multivariate statistics</w:t>
      </w:r>
      <w:sdt>
        <w:sdtPr>
          <w:id w:val="1162356420"/>
          <w:citation/>
        </w:sdtPr>
        <w:sdtContent>
          <w:r w:rsidR="00C3742C">
            <w:fldChar w:fldCharType="begin"/>
          </w:r>
          <w:r w:rsidR="00C3742C">
            <w:instrText xml:space="preserve"> CITATION Dun89 \l 3081 </w:instrText>
          </w:r>
          <w:r w:rsidR="00C3742C">
            <w:fldChar w:fldCharType="separate"/>
          </w:r>
          <w:r w:rsidR="005333F5">
            <w:rPr>
              <w:noProof/>
            </w:rPr>
            <w:t xml:space="preserve"> (Dunteman, 1989)</w:t>
          </w:r>
          <w:r w:rsidR="00C3742C">
            <w:fldChar w:fldCharType="end"/>
          </w:r>
        </w:sdtContent>
      </w:sdt>
      <w:r w:rsidR="00C3742C">
        <w:t xml:space="preserve">. </w:t>
      </w:r>
      <w:r w:rsidR="000B47FA">
        <w:t xml:space="preserve">The most common application of PCA is data reduction, where a large number of variables </w:t>
      </w:r>
      <w:r w:rsidR="00D76FBB">
        <w:t xml:space="preserve">are replaced </w:t>
      </w:r>
      <w:r w:rsidR="000B47FA">
        <w:t>with a smaller number called components.</w:t>
      </w:r>
      <w:r w:rsidR="0068434D">
        <w:t xml:space="preserve"> This data reduction is achieved through identifying relationships between variables. </w:t>
      </w:r>
    </w:p>
    <w:p w:rsidR="00C3742C" w:rsidRPr="0068434D" w:rsidRDefault="0068434D" w:rsidP="0068434D">
      <w:r>
        <w:t xml:space="preserve">An example of these relationships is identified within the </w:t>
      </w:r>
      <w:r w:rsidR="00676F58">
        <w:t xml:space="preserve">2011 Census </w:t>
      </w:r>
      <w:r>
        <w:t xml:space="preserve">education dimension </w:t>
      </w:r>
      <w:r w:rsidR="00676F58">
        <w:t xml:space="preserve">data used </w:t>
      </w:r>
      <w:r>
        <w:t xml:space="preserve">in the most recent SES score </w:t>
      </w:r>
      <w:r w:rsidR="002D279D">
        <w:t>calculation</w:t>
      </w:r>
      <w:r w:rsidR="00676F58">
        <w:t>. O</w:t>
      </w:r>
      <w:r>
        <w:t>n average,</w:t>
      </w:r>
      <w:r w:rsidRPr="0068434D">
        <w:t xml:space="preserve"> the greater the proportion of people in an SA1 with a diploma or higher, the lower the proportion of people with no qualifications. </w:t>
      </w:r>
      <w:r w:rsidR="00D76FBB">
        <w:t>Furthermore</w:t>
      </w:r>
      <w:r w:rsidRPr="0068434D">
        <w:t>, the proportion of tertiary students aged 15-24 in an SA1 increases as the proportion of people with a diploma or higher increases.</w:t>
      </w:r>
    </w:p>
    <w:p w:rsidR="00676F58" w:rsidRDefault="00977153" w:rsidP="00790294">
      <w:r>
        <w:t xml:space="preserve">PCA is used in the SES score </w:t>
      </w:r>
      <w:r w:rsidR="002D279D">
        <w:t>calculation</w:t>
      </w:r>
      <w:r>
        <w:t xml:space="preserve"> process to </w:t>
      </w:r>
      <w:r w:rsidR="000B47FA">
        <w:t>calculate the ‘SA1 component score’</w:t>
      </w:r>
      <w:r>
        <w:t xml:space="preserve"> </w:t>
      </w:r>
      <w:r w:rsidR="00676F58">
        <w:t xml:space="preserve">(known as the </w:t>
      </w:r>
      <w:r w:rsidR="00790294">
        <w:t xml:space="preserve">first </w:t>
      </w:r>
      <w:r w:rsidR="00676F58">
        <w:t xml:space="preserve">principal component score) </w:t>
      </w:r>
      <w:r w:rsidR="000B47FA">
        <w:t xml:space="preserve">for each </w:t>
      </w:r>
      <w:r>
        <w:t>of the four dimensions. This requires fo</w:t>
      </w:r>
      <w:r w:rsidR="000B47FA">
        <w:t>u</w:t>
      </w:r>
      <w:r>
        <w:t xml:space="preserve">r </w:t>
      </w:r>
      <w:r w:rsidR="000B47FA">
        <w:t>separate</w:t>
      </w:r>
      <w:r>
        <w:t xml:space="preserve"> PCAs to be undertaken. </w:t>
      </w:r>
      <w:r w:rsidR="00790294">
        <w:t>These PCAs first generate what are called variable loadings (known as eigenvectors)—a value between -1 and +1—for each variable included within the PCA.</w:t>
      </w:r>
      <w:r w:rsidR="0007174C">
        <w:rPr>
          <w:rStyle w:val="FootnoteReference"/>
        </w:rPr>
        <w:footnoteReference w:id="5"/>
      </w:r>
      <w:r w:rsidR="00790294">
        <w:t xml:space="preserve"> These loadings are then multiplied by the respective SA1 value for each variable used in the PCA, to generate the SA1 component score. T</w:t>
      </w:r>
      <w:r w:rsidR="00676F58">
        <w:t xml:space="preserve">he SA1 component score is then standardised to have a mean of 100 and a standard deviation of 15. </w:t>
      </w:r>
    </w:p>
    <w:p w:rsidR="00B4458C" w:rsidRDefault="00A6466F" w:rsidP="00A6466F">
      <w:r>
        <w:t>The strength of a</w:t>
      </w:r>
      <w:r w:rsidR="00676F58">
        <w:t>n</w:t>
      </w:r>
      <w:r>
        <w:t xml:space="preserve"> </w:t>
      </w:r>
      <w:r w:rsidR="00676F58">
        <w:t xml:space="preserve">SA1 component score </w:t>
      </w:r>
      <w:r>
        <w:t xml:space="preserve">in representing the variables used in its generation is measured by </w:t>
      </w:r>
      <w:r w:rsidR="000678DC">
        <w:t>its</w:t>
      </w:r>
      <w:r>
        <w:t xml:space="preserve"> eigenvalue. The eigenvalue measures the amount of variation in all the variables explained by a component score. </w:t>
      </w:r>
    </w:p>
    <w:p w:rsidR="00E83965" w:rsidRDefault="00E83965" w:rsidP="00E83965">
      <w:pPr>
        <w:pStyle w:val="Heading3"/>
      </w:pPr>
      <w:bookmarkStart w:id="143" w:name="_Toc493598478"/>
      <w:bookmarkStart w:id="144" w:name="_Toc495409780"/>
      <w:bookmarkStart w:id="145" w:name="_Toc496792771"/>
      <w:bookmarkStart w:id="146" w:name="_Toc496803901"/>
      <w:r>
        <w:t>SA1 SES score calculation</w:t>
      </w:r>
      <w:bookmarkEnd w:id="143"/>
      <w:bookmarkEnd w:id="144"/>
      <w:bookmarkEnd w:id="145"/>
      <w:bookmarkEnd w:id="146"/>
    </w:p>
    <w:p w:rsidR="00CF054D" w:rsidRDefault="00CF054D" w:rsidP="00E83965">
      <w:r>
        <w:t xml:space="preserve">Following </w:t>
      </w:r>
      <w:r w:rsidR="002D279D">
        <w:t>calculation</w:t>
      </w:r>
      <w:r>
        <w:t xml:space="preserve"> of the dimension scores for each SA1, it is a relatively straightforward process </w:t>
      </w:r>
      <w:r w:rsidR="00676F58">
        <w:t xml:space="preserve">to </w:t>
      </w:r>
      <w:r>
        <w:t>estimat</w:t>
      </w:r>
      <w:r w:rsidR="00676F58">
        <w:t>e</w:t>
      </w:r>
      <w:r>
        <w:t xml:space="preserve"> the SES score of each SA1. This is a weighted average using the following formula:</w:t>
      </w:r>
    </w:p>
    <w:p w:rsidR="00E83965" w:rsidRDefault="00CF054D" w:rsidP="00CF054D">
      <w:pPr>
        <w:pStyle w:val="Quote"/>
      </w:pPr>
      <w:r>
        <w:t xml:space="preserve">SA1 SES score = </w:t>
      </w:r>
      <w:r w:rsidRPr="005917CB">
        <w:t>(</w:t>
      </w:r>
      <w:r>
        <w:rPr>
          <w:rFonts w:cs="Calibri"/>
        </w:rPr>
        <w:t>⅓</w:t>
      </w:r>
      <w:r>
        <w:t xml:space="preserve"> </w:t>
      </w:r>
      <w:r w:rsidRPr="005917CB">
        <w:t>Occupation+</w:t>
      </w:r>
      <w:r>
        <w:rPr>
          <w:rFonts w:cs="Calibri"/>
        </w:rPr>
        <w:t xml:space="preserve">⅓ </w:t>
      </w:r>
      <w:r w:rsidRPr="005917CB">
        <w:t>Education+(</w:t>
      </w:r>
      <w:r>
        <w:rPr>
          <w:rFonts w:cs="Calibri"/>
        </w:rPr>
        <w:t>⅙</w:t>
      </w:r>
      <w:r w:rsidRPr="005917CB">
        <w:t xml:space="preserve"> Income+ </w:t>
      </w:r>
      <w:r>
        <w:rPr>
          <w:rFonts w:cs="Calibri"/>
        </w:rPr>
        <w:t>⅙</w:t>
      </w:r>
      <w:r w:rsidRPr="005917CB">
        <w:t xml:space="preserve"> Income</w:t>
      </w:r>
      <w:r>
        <w:t xml:space="preserve"> </w:t>
      </w:r>
      <w:r w:rsidRPr="005917CB">
        <w:t>based on</w:t>
      </w:r>
      <w:r>
        <w:t xml:space="preserve"> </w:t>
      </w:r>
      <w:r w:rsidRPr="005917CB">
        <w:t xml:space="preserve">families with children) </w:t>
      </w:r>
      <w:r>
        <w:t xml:space="preserve"> </w:t>
      </w:r>
    </w:p>
    <w:p w:rsidR="00CF054D" w:rsidRDefault="00F22E5E" w:rsidP="00CF054D">
      <w:r>
        <w:t xml:space="preserve">As noted on p. </w:t>
      </w:r>
      <w:r>
        <w:fldChar w:fldCharType="begin"/>
      </w:r>
      <w:r>
        <w:instrText xml:space="preserve"> PAGEREF _Ref492991626 \h </w:instrText>
      </w:r>
      <w:r>
        <w:fldChar w:fldCharType="separate"/>
      </w:r>
      <w:r w:rsidR="00B52C11">
        <w:rPr>
          <w:noProof/>
        </w:rPr>
        <w:t>12</w:t>
      </w:r>
      <w:r>
        <w:fldChar w:fldCharType="end"/>
      </w:r>
      <w:r>
        <w:t xml:space="preserve">, the choice of weightings used in the above formula was based on a policy decision made in consultation with stakeholders, and not one based on any specific analysis findings. </w:t>
      </w:r>
    </w:p>
    <w:p w:rsidR="00C32405" w:rsidRDefault="00F22E5E" w:rsidP="00D04273">
      <w:pPr>
        <w:pStyle w:val="Heading2"/>
      </w:pPr>
      <w:bookmarkStart w:id="147" w:name="_Toc493598479"/>
      <w:bookmarkStart w:id="148" w:name="_Toc495409781"/>
      <w:bookmarkStart w:id="149" w:name="_Toc496792772"/>
      <w:bookmarkStart w:id="150" w:name="_Toc496803902"/>
      <w:r>
        <w:t xml:space="preserve">Allocating student addresses to </w:t>
      </w:r>
      <w:r w:rsidR="00C32405">
        <w:t>Statistical Areas Level 1s</w:t>
      </w:r>
      <w:bookmarkEnd w:id="147"/>
      <w:bookmarkEnd w:id="148"/>
      <w:bookmarkEnd w:id="149"/>
      <w:bookmarkEnd w:id="150"/>
    </w:p>
    <w:p w:rsidR="00BC147A" w:rsidRDefault="00D04273" w:rsidP="0036647F">
      <w:r>
        <w:t xml:space="preserve">A prerequisite for assigning an SES score to a school is first identifying the SA1 </w:t>
      </w:r>
      <w:r w:rsidR="00D224F5">
        <w:t>where</w:t>
      </w:r>
      <w:r>
        <w:t xml:space="preserve"> each student in a school resides. This identification occurs every five years</w:t>
      </w:r>
      <w:r w:rsidR="00AA33E9">
        <w:t xml:space="preserve"> via schools electronically submitting the home addresses of each student to DET</w:t>
      </w:r>
      <w:r w:rsidR="00D224F5">
        <w:t xml:space="preserve"> </w:t>
      </w:r>
      <w:sdt>
        <w:sdtPr>
          <w:id w:val="849225717"/>
          <w:citation/>
        </w:sdtPr>
        <w:sdtContent>
          <w:r w:rsidR="00D224F5">
            <w:fldChar w:fldCharType="begin"/>
          </w:r>
          <w:r w:rsidR="00D224F5">
            <w:instrText xml:space="preserve">CITATION Dep171 \l 3081 </w:instrText>
          </w:r>
          <w:r w:rsidR="00D224F5">
            <w:fldChar w:fldCharType="separate"/>
          </w:r>
          <w:r w:rsidR="005333F5">
            <w:rPr>
              <w:noProof/>
            </w:rPr>
            <w:t>(Department of Education and Training, 2017)</w:t>
          </w:r>
          <w:r w:rsidR="00D224F5">
            <w:fldChar w:fldCharType="end"/>
          </w:r>
        </w:sdtContent>
      </w:sdt>
      <w:r w:rsidR="00AA33E9">
        <w:t xml:space="preserve">. This collection last occurred between </w:t>
      </w:r>
      <w:r w:rsidR="00AA33E9" w:rsidRPr="00AA33E9">
        <w:t>1 March and 31 May 2017</w:t>
      </w:r>
      <w:r w:rsidR="00AA33E9">
        <w:t xml:space="preserve">. </w:t>
      </w:r>
      <w:r w:rsidR="00BC147A">
        <w:t xml:space="preserve">This identification process has not changed following the ABS transitioning from CDs to SA1s. </w:t>
      </w:r>
    </w:p>
    <w:p w:rsidR="00AA33E9" w:rsidRDefault="00AA33E9" w:rsidP="0036647F">
      <w:r>
        <w:t xml:space="preserve">A feature of this data collection is that </w:t>
      </w:r>
      <w:r w:rsidR="00B72BC0">
        <w:t xml:space="preserve">student information is de-identified, with </w:t>
      </w:r>
      <w:r>
        <w:t xml:space="preserve">no student name or date of birth information submitted to DET. </w:t>
      </w:r>
    </w:p>
    <w:p w:rsidR="00FF4141" w:rsidRDefault="00B72BC0" w:rsidP="0036647F">
      <w:r>
        <w:t>Following the receipt and review of address data submitted by schools, DET undertakes what is called geocoding. Geocoding involve</w:t>
      </w:r>
      <w:r w:rsidR="00F22E5E">
        <w:t>s</w:t>
      </w:r>
      <w:r>
        <w:t xml:space="preserve"> tak</w:t>
      </w:r>
      <w:r w:rsidR="00F22E5E">
        <w:t>ing</w:t>
      </w:r>
      <w:r>
        <w:t xml:space="preserve"> an address and identifying its geographical coordinates. This coordinate information is then used to identify </w:t>
      </w:r>
      <w:r w:rsidR="00F22E5E">
        <w:t>the</w:t>
      </w:r>
      <w:r>
        <w:t xml:space="preserve"> SA1 </w:t>
      </w:r>
      <w:r w:rsidR="00F22E5E">
        <w:t>a</w:t>
      </w:r>
      <w:r>
        <w:t xml:space="preserve"> student’s home address is within. </w:t>
      </w:r>
    </w:p>
    <w:p w:rsidR="00B72BC0" w:rsidRDefault="00B72BC0" w:rsidP="0036647F">
      <w:r>
        <w:t xml:space="preserve">Following this process, </w:t>
      </w:r>
      <w:r w:rsidR="00F22E5E">
        <w:t xml:space="preserve">DET is able to </w:t>
      </w:r>
      <w:r>
        <w:t>identify the number of students residing in individual SA1s</w:t>
      </w:r>
      <w:r w:rsidR="00F22E5E">
        <w:t xml:space="preserve"> for each school</w:t>
      </w:r>
      <w:r>
        <w:t xml:space="preserve">. This information is required for the next step of calculating a school’s SES score. </w:t>
      </w:r>
    </w:p>
    <w:p w:rsidR="00C32405" w:rsidRDefault="00C32405" w:rsidP="00C32405">
      <w:pPr>
        <w:pStyle w:val="Heading2"/>
      </w:pPr>
      <w:bookmarkStart w:id="151" w:name="_Toc493598480"/>
      <w:bookmarkStart w:id="152" w:name="_Toc495409782"/>
      <w:bookmarkStart w:id="153" w:name="_Toc496792773"/>
      <w:bookmarkStart w:id="154" w:name="_Toc496803903"/>
      <w:r>
        <w:t>Calculation of school SES score</w:t>
      </w:r>
      <w:r w:rsidR="002D13E9">
        <w:t>s</w:t>
      </w:r>
      <w:bookmarkEnd w:id="151"/>
      <w:bookmarkEnd w:id="152"/>
      <w:bookmarkEnd w:id="153"/>
      <w:bookmarkEnd w:id="154"/>
    </w:p>
    <w:p w:rsidR="00C32405" w:rsidRDefault="00D21C54" w:rsidP="0036647F">
      <w:r>
        <w:t xml:space="preserve">The final </w:t>
      </w:r>
      <w:r w:rsidR="00F22E5E">
        <w:t xml:space="preserve">steps in the </w:t>
      </w:r>
      <w:r>
        <w:t xml:space="preserve">SES score </w:t>
      </w:r>
      <w:r w:rsidR="002D279D">
        <w:t>calculation</w:t>
      </w:r>
      <w:r w:rsidR="00F22E5E">
        <w:t xml:space="preserve"> process </w:t>
      </w:r>
      <w:r>
        <w:t xml:space="preserve">brings together data on the SES scores of individual SA1s, and the number of students for a school within </w:t>
      </w:r>
      <w:r w:rsidR="00F22E5E">
        <w:t xml:space="preserve">each </w:t>
      </w:r>
      <w:r>
        <w:t xml:space="preserve">SA1. A worked example is provided in </w:t>
      </w:r>
      <w:r w:rsidR="00240DD5">
        <w:fldChar w:fldCharType="begin"/>
      </w:r>
      <w:r w:rsidR="00240DD5">
        <w:instrText xml:space="preserve"> REF _Ref492296555 \h </w:instrText>
      </w:r>
      <w:r w:rsidR="00240DD5">
        <w:fldChar w:fldCharType="separate"/>
      </w:r>
      <w:r w:rsidR="00B52C11">
        <w:t xml:space="preserve">Table </w:t>
      </w:r>
      <w:r w:rsidR="00B52C11">
        <w:rPr>
          <w:noProof/>
        </w:rPr>
        <w:t>3</w:t>
      </w:r>
      <w:r w:rsidR="00B52C11">
        <w:noBreakHyphen/>
      </w:r>
      <w:r w:rsidR="00B52C11">
        <w:rPr>
          <w:noProof/>
        </w:rPr>
        <w:t>4</w:t>
      </w:r>
      <w:r w:rsidR="00240DD5">
        <w:fldChar w:fldCharType="end"/>
      </w:r>
      <w:r w:rsidR="00240DD5">
        <w:t xml:space="preserve"> </w:t>
      </w:r>
      <w:r w:rsidR="00240DD5">
        <w:fldChar w:fldCharType="begin"/>
      </w:r>
      <w:r w:rsidR="00240DD5">
        <w:instrText xml:space="preserve"> REF _Ref492296557 \p \h </w:instrText>
      </w:r>
      <w:r w:rsidR="00240DD5">
        <w:fldChar w:fldCharType="separate"/>
      </w:r>
      <w:r w:rsidR="00B52C11">
        <w:t>below</w:t>
      </w:r>
      <w:r w:rsidR="00240DD5">
        <w:fldChar w:fldCharType="end"/>
      </w:r>
      <w:r w:rsidR="00240DD5">
        <w:t xml:space="preserve"> for a hypothetical </w:t>
      </w:r>
      <w:r w:rsidR="0019705B">
        <w:t xml:space="preserve">1,000 student </w:t>
      </w:r>
      <w:r w:rsidR="00240DD5">
        <w:t>school. In this example, between 100 and 400 students live in five different SA1s. In these five SA1s the SES score is between 83.24 and 93.21.</w:t>
      </w:r>
    </w:p>
    <w:p w:rsidR="00D73587" w:rsidRDefault="00240DD5" w:rsidP="0036647F">
      <w:r>
        <w:t xml:space="preserve">A school’s SES score is an enrolment weighted average of the various SA1 SES scores. In the example in </w:t>
      </w:r>
      <w:r>
        <w:fldChar w:fldCharType="begin"/>
      </w:r>
      <w:r>
        <w:instrText xml:space="preserve"> REF _Ref492296555 \h </w:instrText>
      </w:r>
      <w:r>
        <w:fldChar w:fldCharType="separate"/>
      </w:r>
      <w:r w:rsidR="00B52C11">
        <w:t xml:space="preserve">Table </w:t>
      </w:r>
      <w:r w:rsidR="00B52C11">
        <w:rPr>
          <w:noProof/>
        </w:rPr>
        <w:t>3</w:t>
      </w:r>
      <w:r w:rsidR="00B52C11">
        <w:noBreakHyphen/>
      </w:r>
      <w:r w:rsidR="00B52C11">
        <w:rPr>
          <w:noProof/>
        </w:rPr>
        <w:t>4</w:t>
      </w:r>
      <w:r>
        <w:fldChar w:fldCharType="end"/>
      </w:r>
      <w:r>
        <w:t>, this results in</w:t>
      </w:r>
      <w:r w:rsidR="00FA732E">
        <w:t xml:space="preserve"> a</w:t>
      </w:r>
      <w:r>
        <w:t xml:space="preserve"> school SES score of 88.96</w:t>
      </w:r>
      <w:r w:rsidR="00512837">
        <w:t>. Calculated SES score</w:t>
      </w:r>
      <w:r w:rsidR="00D76FBB">
        <w:t>s</w:t>
      </w:r>
      <w:r w:rsidR="00512837">
        <w:t xml:space="preserve"> are then rounded to the nearest whole number, such that in this example the school SES score is 89. </w:t>
      </w:r>
    </w:p>
    <w:p w:rsidR="00D21C54" w:rsidRDefault="00D21C54" w:rsidP="00A260FB">
      <w:pPr>
        <w:pStyle w:val="Heading3"/>
      </w:pPr>
      <w:bookmarkStart w:id="155" w:name="_Ref492296555"/>
      <w:bookmarkStart w:id="156" w:name="_Ref492296557"/>
      <w:bookmarkStart w:id="157" w:name="_Toc496803947"/>
      <w:r>
        <w:t xml:space="preserve">Table </w:t>
      </w:r>
      <w:fldSimple w:instr=" STYLEREF  \s &quot;Heading 11&quot; ">
        <w:r w:rsidR="00B52C11">
          <w:rPr>
            <w:noProof/>
          </w:rPr>
          <w:t>3</w:t>
        </w:r>
      </w:fldSimple>
      <w:r w:rsidR="002E2D3F">
        <w:noBreakHyphen/>
      </w:r>
      <w:fldSimple w:instr=" SEQ Table \* ARABIC \s 1 ">
        <w:r w:rsidR="00B52C11">
          <w:rPr>
            <w:noProof/>
          </w:rPr>
          <w:t>4</w:t>
        </w:r>
      </w:fldSimple>
      <w:bookmarkEnd w:id="155"/>
      <w:r>
        <w:tab/>
        <w:t xml:space="preserve">Worked example: </w:t>
      </w:r>
      <w:r w:rsidR="002D279D">
        <w:t>calculation</w:t>
      </w:r>
      <w:r>
        <w:t xml:space="preserve"> of </w:t>
      </w:r>
      <w:r w:rsidR="002D279D">
        <w:t xml:space="preserve">the </w:t>
      </w:r>
      <w:r>
        <w:t>SES score</w:t>
      </w:r>
      <w:bookmarkEnd w:id="156"/>
      <w:r w:rsidR="00240DD5">
        <w:t xml:space="preserve"> for a hypothetical school</w:t>
      </w:r>
      <w:bookmarkEnd w:id="157"/>
    </w:p>
    <w:tbl>
      <w:tblPr>
        <w:tblStyle w:val="TableGrid"/>
        <w:tblW w:w="0" w:type="auto"/>
        <w:tblLook w:val="04A0" w:firstRow="1" w:lastRow="0" w:firstColumn="1" w:lastColumn="0" w:noHBand="0" w:noVBand="1"/>
        <w:tblCaption w:val="Table 3.1 Worked example: calculation of the SES score for a hypothetical school"/>
      </w:tblPr>
      <w:tblGrid>
        <w:gridCol w:w="1275"/>
        <w:gridCol w:w="1843"/>
        <w:gridCol w:w="1843"/>
        <w:gridCol w:w="1984"/>
        <w:gridCol w:w="2081"/>
      </w:tblGrid>
      <w:tr w:rsidR="00D21C54" w:rsidRPr="00D21C54" w:rsidTr="00165C42">
        <w:trPr>
          <w:cnfStyle w:val="100000000000" w:firstRow="1" w:lastRow="0" w:firstColumn="0" w:lastColumn="0" w:oddVBand="0" w:evenVBand="0" w:oddHBand="0" w:evenHBand="0" w:firstRowFirstColumn="0" w:firstRowLastColumn="0" w:lastRowFirstColumn="0" w:lastRowLastColumn="0"/>
          <w:tblHeader/>
        </w:trPr>
        <w:tc>
          <w:tcPr>
            <w:tcW w:w="1276" w:type="dxa"/>
          </w:tcPr>
          <w:p w:rsidR="00D21C54" w:rsidRPr="00D21C54" w:rsidRDefault="00D21C54" w:rsidP="00D21C54">
            <w:pPr>
              <w:pStyle w:val="Tablegridheading"/>
            </w:pPr>
            <w:r w:rsidRPr="00D21C54">
              <w:t>SA1</w:t>
            </w:r>
          </w:p>
        </w:tc>
        <w:tc>
          <w:tcPr>
            <w:tcW w:w="1843" w:type="dxa"/>
          </w:tcPr>
          <w:p w:rsidR="00D21C54" w:rsidRPr="00D21C54" w:rsidRDefault="00D21C54" w:rsidP="001611DB">
            <w:pPr>
              <w:pStyle w:val="Tablegridheading"/>
            </w:pPr>
            <w:r w:rsidRPr="00D21C54">
              <w:t>Students</w:t>
            </w:r>
            <w:r>
              <w:t xml:space="preserve"> in SA1</w:t>
            </w:r>
          </w:p>
        </w:tc>
        <w:tc>
          <w:tcPr>
            <w:tcW w:w="1843" w:type="dxa"/>
          </w:tcPr>
          <w:p w:rsidR="00D21C54" w:rsidRPr="00D21C54" w:rsidRDefault="00D21C54" w:rsidP="00D21C54">
            <w:pPr>
              <w:pStyle w:val="Tablegridheading"/>
            </w:pPr>
            <w:r>
              <w:t xml:space="preserve">SA1 </w:t>
            </w:r>
            <w:r w:rsidRPr="00D21C54">
              <w:t>SES score</w:t>
            </w:r>
          </w:p>
        </w:tc>
        <w:tc>
          <w:tcPr>
            <w:tcW w:w="1984" w:type="dxa"/>
          </w:tcPr>
          <w:p w:rsidR="00D21C54" w:rsidRPr="00D21C54" w:rsidRDefault="00D21C54" w:rsidP="00D21C54">
            <w:pPr>
              <w:pStyle w:val="Tablegridheading"/>
            </w:pPr>
            <w:r w:rsidRPr="00D21C54">
              <w:t>Enrolment share</w:t>
            </w:r>
          </w:p>
        </w:tc>
        <w:tc>
          <w:tcPr>
            <w:tcW w:w="2081" w:type="dxa"/>
          </w:tcPr>
          <w:p w:rsidR="00D21C54" w:rsidRPr="00D21C54" w:rsidRDefault="00D21C54" w:rsidP="00D21C54">
            <w:pPr>
              <w:pStyle w:val="Tablegridheading"/>
            </w:pPr>
            <w:r>
              <w:t xml:space="preserve">Weighted SES score </w:t>
            </w:r>
          </w:p>
        </w:tc>
      </w:tr>
      <w:tr w:rsidR="00D21C54" w:rsidRPr="00D21C54" w:rsidTr="00D21C54">
        <w:tc>
          <w:tcPr>
            <w:tcW w:w="1276" w:type="dxa"/>
          </w:tcPr>
          <w:p w:rsidR="00D21C54" w:rsidRPr="00D21C54" w:rsidRDefault="00D21C54" w:rsidP="00D21C54">
            <w:pPr>
              <w:pStyle w:val="Tablegridheading2"/>
            </w:pPr>
          </w:p>
        </w:tc>
        <w:tc>
          <w:tcPr>
            <w:tcW w:w="1843" w:type="dxa"/>
          </w:tcPr>
          <w:p w:rsidR="00D21C54" w:rsidRPr="00D21C54" w:rsidRDefault="00D21C54" w:rsidP="00D21C54">
            <w:pPr>
              <w:pStyle w:val="Tablegridheading2"/>
            </w:pPr>
            <w:r w:rsidRPr="00D21C54">
              <w:t>A</w:t>
            </w:r>
          </w:p>
        </w:tc>
        <w:tc>
          <w:tcPr>
            <w:tcW w:w="1843" w:type="dxa"/>
          </w:tcPr>
          <w:p w:rsidR="00D21C54" w:rsidRPr="00D21C54" w:rsidRDefault="00D21C54" w:rsidP="00D21C54">
            <w:pPr>
              <w:pStyle w:val="Tablegridheading2"/>
            </w:pPr>
            <w:r w:rsidRPr="00D21C54">
              <w:t>B</w:t>
            </w:r>
          </w:p>
        </w:tc>
        <w:tc>
          <w:tcPr>
            <w:tcW w:w="1984" w:type="dxa"/>
          </w:tcPr>
          <w:p w:rsidR="00D21C54" w:rsidRPr="00D21C54" w:rsidRDefault="00D21C54" w:rsidP="00D21C54">
            <w:pPr>
              <w:pStyle w:val="Tablegridheading2"/>
            </w:pPr>
            <w:r w:rsidRPr="00D21C54">
              <w:t>C=A</w:t>
            </w:r>
            <w:r>
              <w:rPr>
                <w:rFonts w:cs="Calibri"/>
              </w:rPr>
              <w:t>÷</w:t>
            </w:r>
            <w:r w:rsidRPr="00D21C54">
              <w:t>(Total A)</w:t>
            </w:r>
          </w:p>
        </w:tc>
        <w:tc>
          <w:tcPr>
            <w:tcW w:w="2081" w:type="dxa"/>
          </w:tcPr>
          <w:p w:rsidR="00D21C54" w:rsidRPr="00D21C54" w:rsidRDefault="00D21C54" w:rsidP="00D21C54">
            <w:pPr>
              <w:pStyle w:val="Tablegridheading2"/>
            </w:pPr>
            <w:r w:rsidRPr="00D21C54">
              <w:t>D=B</w:t>
            </w:r>
            <w:r>
              <w:rPr>
                <w:rFonts w:cs="Calibri"/>
              </w:rPr>
              <w:t>×</w:t>
            </w:r>
            <w:r w:rsidRPr="00D21C54">
              <w:t>C</w:t>
            </w:r>
          </w:p>
        </w:tc>
      </w:tr>
      <w:tr w:rsidR="00D21C54" w:rsidRPr="00D21C54" w:rsidTr="00D21C54">
        <w:tc>
          <w:tcPr>
            <w:tcW w:w="1276" w:type="dxa"/>
          </w:tcPr>
          <w:p w:rsidR="00D21C54" w:rsidRPr="00D21C54" w:rsidRDefault="00F22E5E" w:rsidP="00D21C54">
            <w:pPr>
              <w:pStyle w:val="Tablegridtext"/>
            </w:pPr>
            <w:r>
              <w:t>1</w:t>
            </w:r>
          </w:p>
        </w:tc>
        <w:tc>
          <w:tcPr>
            <w:tcW w:w="1843" w:type="dxa"/>
          </w:tcPr>
          <w:p w:rsidR="00D21C54" w:rsidRPr="00D21C54" w:rsidRDefault="00D21C54" w:rsidP="00D21C54">
            <w:pPr>
              <w:pStyle w:val="Tablegridtext"/>
            </w:pPr>
            <w:r w:rsidRPr="00D21C54">
              <w:t>100</w:t>
            </w:r>
          </w:p>
        </w:tc>
        <w:tc>
          <w:tcPr>
            <w:tcW w:w="1843" w:type="dxa"/>
          </w:tcPr>
          <w:p w:rsidR="00D21C54" w:rsidRPr="00D21C54" w:rsidRDefault="00D21C54" w:rsidP="00D21C54">
            <w:pPr>
              <w:pStyle w:val="Tablegridtext"/>
            </w:pPr>
            <w:r w:rsidRPr="00D21C54">
              <w:t>91.2620</w:t>
            </w:r>
          </w:p>
        </w:tc>
        <w:tc>
          <w:tcPr>
            <w:tcW w:w="1984" w:type="dxa"/>
          </w:tcPr>
          <w:p w:rsidR="00D21C54" w:rsidRPr="00D21C54" w:rsidRDefault="00D21C54" w:rsidP="00D21C54">
            <w:pPr>
              <w:pStyle w:val="Tablegridtext"/>
            </w:pPr>
            <w:r w:rsidRPr="00D21C54">
              <w:t>10%</w:t>
            </w:r>
          </w:p>
        </w:tc>
        <w:tc>
          <w:tcPr>
            <w:tcW w:w="2081" w:type="dxa"/>
          </w:tcPr>
          <w:p w:rsidR="00D21C54" w:rsidRPr="00D21C54" w:rsidRDefault="00D21C54" w:rsidP="00D21C54">
            <w:pPr>
              <w:pStyle w:val="Tablegridtext"/>
            </w:pPr>
            <w:r w:rsidRPr="00D21C54">
              <w:t>9.1262</w:t>
            </w:r>
          </w:p>
        </w:tc>
      </w:tr>
      <w:tr w:rsidR="00D21C54" w:rsidRPr="00D21C54" w:rsidTr="00D21C54">
        <w:tc>
          <w:tcPr>
            <w:tcW w:w="1276" w:type="dxa"/>
          </w:tcPr>
          <w:p w:rsidR="00D21C54" w:rsidRPr="00D21C54" w:rsidRDefault="00F22E5E" w:rsidP="00D21C54">
            <w:pPr>
              <w:pStyle w:val="Tablegridtext"/>
            </w:pPr>
            <w:r>
              <w:t>2</w:t>
            </w:r>
          </w:p>
        </w:tc>
        <w:tc>
          <w:tcPr>
            <w:tcW w:w="1843" w:type="dxa"/>
          </w:tcPr>
          <w:p w:rsidR="00D21C54" w:rsidRPr="00D21C54" w:rsidRDefault="00D21C54" w:rsidP="00D21C54">
            <w:pPr>
              <w:pStyle w:val="Tablegridtext"/>
            </w:pPr>
            <w:r w:rsidRPr="00D21C54">
              <w:t>200</w:t>
            </w:r>
          </w:p>
        </w:tc>
        <w:tc>
          <w:tcPr>
            <w:tcW w:w="1843" w:type="dxa"/>
          </w:tcPr>
          <w:p w:rsidR="00D21C54" w:rsidRPr="00D21C54" w:rsidRDefault="00D21C54" w:rsidP="00D21C54">
            <w:pPr>
              <w:pStyle w:val="Tablegridtext"/>
            </w:pPr>
            <w:r w:rsidRPr="00D21C54">
              <w:t>93.2067</w:t>
            </w:r>
          </w:p>
        </w:tc>
        <w:tc>
          <w:tcPr>
            <w:tcW w:w="1984" w:type="dxa"/>
          </w:tcPr>
          <w:p w:rsidR="00D21C54" w:rsidRPr="00D21C54" w:rsidRDefault="00D21C54" w:rsidP="00D21C54">
            <w:pPr>
              <w:pStyle w:val="Tablegridtext"/>
            </w:pPr>
            <w:r w:rsidRPr="00D21C54">
              <w:t>20%</w:t>
            </w:r>
          </w:p>
        </w:tc>
        <w:tc>
          <w:tcPr>
            <w:tcW w:w="2081" w:type="dxa"/>
          </w:tcPr>
          <w:p w:rsidR="00D21C54" w:rsidRPr="00D21C54" w:rsidRDefault="00D21C54" w:rsidP="00D21C54">
            <w:pPr>
              <w:pStyle w:val="Tablegridtext"/>
            </w:pPr>
            <w:r w:rsidRPr="00D21C54">
              <w:t>18.6413</w:t>
            </w:r>
          </w:p>
        </w:tc>
      </w:tr>
      <w:tr w:rsidR="00D21C54" w:rsidRPr="00D21C54" w:rsidTr="00D21C54">
        <w:tc>
          <w:tcPr>
            <w:tcW w:w="1276" w:type="dxa"/>
          </w:tcPr>
          <w:p w:rsidR="00D21C54" w:rsidRPr="00D21C54" w:rsidRDefault="00F22E5E" w:rsidP="00D21C54">
            <w:pPr>
              <w:pStyle w:val="Tablegridtext"/>
            </w:pPr>
            <w:r>
              <w:t>3</w:t>
            </w:r>
          </w:p>
        </w:tc>
        <w:tc>
          <w:tcPr>
            <w:tcW w:w="1843" w:type="dxa"/>
          </w:tcPr>
          <w:p w:rsidR="00D21C54" w:rsidRPr="00D21C54" w:rsidRDefault="00D21C54" w:rsidP="00D21C54">
            <w:pPr>
              <w:pStyle w:val="Tablegridtext"/>
            </w:pPr>
            <w:r w:rsidRPr="00D21C54">
              <w:t>100</w:t>
            </w:r>
          </w:p>
        </w:tc>
        <w:tc>
          <w:tcPr>
            <w:tcW w:w="1843" w:type="dxa"/>
          </w:tcPr>
          <w:p w:rsidR="00D21C54" w:rsidRPr="00D21C54" w:rsidRDefault="00D21C54" w:rsidP="00D21C54">
            <w:pPr>
              <w:pStyle w:val="Tablegridtext"/>
            </w:pPr>
            <w:r w:rsidRPr="00D21C54">
              <w:t>92.6521</w:t>
            </w:r>
          </w:p>
        </w:tc>
        <w:tc>
          <w:tcPr>
            <w:tcW w:w="1984" w:type="dxa"/>
          </w:tcPr>
          <w:p w:rsidR="00D21C54" w:rsidRPr="00D21C54" w:rsidRDefault="00D21C54" w:rsidP="00D21C54">
            <w:pPr>
              <w:pStyle w:val="Tablegridtext"/>
            </w:pPr>
            <w:r w:rsidRPr="00D21C54">
              <w:t>10%</w:t>
            </w:r>
          </w:p>
        </w:tc>
        <w:tc>
          <w:tcPr>
            <w:tcW w:w="2081" w:type="dxa"/>
          </w:tcPr>
          <w:p w:rsidR="00D21C54" w:rsidRPr="00D21C54" w:rsidRDefault="00D21C54" w:rsidP="00D21C54">
            <w:pPr>
              <w:pStyle w:val="Tablegridtext"/>
            </w:pPr>
            <w:r w:rsidRPr="00D21C54">
              <w:t>9.2652</w:t>
            </w:r>
          </w:p>
        </w:tc>
      </w:tr>
      <w:tr w:rsidR="00D21C54" w:rsidRPr="00D21C54" w:rsidTr="00D21C54">
        <w:tc>
          <w:tcPr>
            <w:tcW w:w="1276" w:type="dxa"/>
          </w:tcPr>
          <w:p w:rsidR="00D21C54" w:rsidRPr="00D21C54" w:rsidRDefault="00F22E5E" w:rsidP="00D21C54">
            <w:pPr>
              <w:pStyle w:val="Tablegridtext"/>
            </w:pPr>
            <w:r>
              <w:t>4</w:t>
            </w:r>
          </w:p>
        </w:tc>
        <w:tc>
          <w:tcPr>
            <w:tcW w:w="1843" w:type="dxa"/>
          </w:tcPr>
          <w:p w:rsidR="00D21C54" w:rsidRPr="00D21C54" w:rsidRDefault="00D21C54" w:rsidP="00D21C54">
            <w:pPr>
              <w:pStyle w:val="Tablegridtext"/>
            </w:pPr>
            <w:r w:rsidRPr="00D21C54">
              <w:t>400</w:t>
            </w:r>
          </w:p>
        </w:tc>
        <w:tc>
          <w:tcPr>
            <w:tcW w:w="1843" w:type="dxa"/>
          </w:tcPr>
          <w:p w:rsidR="00D21C54" w:rsidRPr="00D21C54" w:rsidRDefault="00D21C54" w:rsidP="00D21C54">
            <w:pPr>
              <w:pStyle w:val="Tablegridtext"/>
            </w:pPr>
            <w:r w:rsidRPr="00D21C54">
              <w:t>88.1879</w:t>
            </w:r>
          </w:p>
        </w:tc>
        <w:tc>
          <w:tcPr>
            <w:tcW w:w="1984" w:type="dxa"/>
          </w:tcPr>
          <w:p w:rsidR="00D21C54" w:rsidRPr="00D21C54" w:rsidRDefault="00D21C54" w:rsidP="00D21C54">
            <w:pPr>
              <w:pStyle w:val="Tablegridtext"/>
            </w:pPr>
            <w:r w:rsidRPr="00D21C54">
              <w:t>40%</w:t>
            </w:r>
          </w:p>
        </w:tc>
        <w:tc>
          <w:tcPr>
            <w:tcW w:w="2081" w:type="dxa"/>
          </w:tcPr>
          <w:p w:rsidR="00D21C54" w:rsidRPr="00D21C54" w:rsidRDefault="00D21C54" w:rsidP="00D21C54">
            <w:pPr>
              <w:pStyle w:val="Tablegridtext"/>
            </w:pPr>
            <w:r w:rsidRPr="00D21C54">
              <w:t>35.2752</w:t>
            </w:r>
          </w:p>
        </w:tc>
      </w:tr>
      <w:tr w:rsidR="00D21C54" w:rsidRPr="00D21C54" w:rsidTr="00D21C54">
        <w:tc>
          <w:tcPr>
            <w:tcW w:w="1276" w:type="dxa"/>
          </w:tcPr>
          <w:p w:rsidR="00D21C54" w:rsidRPr="00D21C54" w:rsidRDefault="00F22E5E" w:rsidP="00D21C54">
            <w:pPr>
              <w:pStyle w:val="Tablegridtext"/>
            </w:pPr>
            <w:r>
              <w:t>5</w:t>
            </w:r>
          </w:p>
        </w:tc>
        <w:tc>
          <w:tcPr>
            <w:tcW w:w="1843" w:type="dxa"/>
          </w:tcPr>
          <w:p w:rsidR="00D21C54" w:rsidRPr="00D21C54" w:rsidRDefault="00D21C54" w:rsidP="00D21C54">
            <w:pPr>
              <w:pStyle w:val="Tablegridtext"/>
            </w:pPr>
            <w:r w:rsidRPr="00D21C54">
              <w:t>200</w:t>
            </w:r>
          </w:p>
        </w:tc>
        <w:tc>
          <w:tcPr>
            <w:tcW w:w="1843" w:type="dxa"/>
            <w:tcBorders>
              <w:bottom w:val="single" w:sz="4" w:space="0" w:color="auto"/>
            </w:tcBorders>
          </w:tcPr>
          <w:p w:rsidR="00D21C54" w:rsidRPr="00D21C54" w:rsidRDefault="00D21C54" w:rsidP="00D21C54">
            <w:pPr>
              <w:pStyle w:val="Tablegridtext"/>
            </w:pPr>
            <w:r w:rsidRPr="00D21C54">
              <w:t>83.2359</w:t>
            </w:r>
          </w:p>
        </w:tc>
        <w:tc>
          <w:tcPr>
            <w:tcW w:w="1984" w:type="dxa"/>
            <w:tcBorders>
              <w:bottom w:val="single" w:sz="4" w:space="0" w:color="auto"/>
            </w:tcBorders>
          </w:tcPr>
          <w:p w:rsidR="00D21C54" w:rsidRPr="00D21C54" w:rsidRDefault="00D21C54" w:rsidP="00D21C54">
            <w:pPr>
              <w:pStyle w:val="Tablegridtext"/>
            </w:pPr>
            <w:r w:rsidRPr="00D21C54">
              <w:t>20%</w:t>
            </w:r>
          </w:p>
        </w:tc>
        <w:tc>
          <w:tcPr>
            <w:tcW w:w="2081" w:type="dxa"/>
          </w:tcPr>
          <w:p w:rsidR="00D21C54" w:rsidRPr="00D21C54" w:rsidRDefault="00D21C54" w:rsidP="00D21C54">
            <w:pPr>
              <w:pStyle w:val="Tablegridtext"/>
            </w:pPr>
            <w:r w:rsidRPr="00D21C54">
              <w:t>16.6472</w:t>
            </w:r>
          </w:p>
        </w:tc>
      </w:tr>
      <w:tr w:rsidR="00D21C54" w:rsidRPr="00D21C54" w:rsidTr="00D21C54">
        <w:tc>
          <w:tcPr>
            <w:tcW w:w="1276" w:type="dxa"/>
          </w:tcPr>
          <w:p w:rsidR="00D21C54" w:rsidRPr="00D21C54" w:rsidRDefault="00D21C54" w:rsidP="00D21C54">
            <w:pPr>
              <w:pStyle w:val="Tablegridtext"/>
            </w:pPr>
            <w:r w:rsidRPr="00D21C54">
              <w:t>Total</w:t>
            </w:r>
          </w:p>
        </w:tc>
        <w:tc>
          <w:tcPr>
            <w:tcW w:w="1843" w:type="dxa"/>
          </w:tcPr>
          <w:p w:rsidR="00D21C54" w:rsidRPr="00D21C54" w:rsidRDefault="00D21C54" w:rsidP="00D21C54">
            <w:pPr>
              <w:pStyle w:val="Tablegridtext"/>
            </w:pPr>
            <w:r w:rsidRPr="00D21C54">
              <w:t>1</w:t>
            </w:r>
            <w:r>
              <w:t>,</w:t>
            </w:r>
            <w:r w:rsidRPr="00D21C54">
              <w:t>000</w:t>
            </w:r>
          </w:p>
        </w:tc>
        <w:tc>
          <w:tcPr>
            <w:tcW w:w="1843" w:type="dxa"/>
            <w:shd w:val="diagStripe" w:color="auto" w:fill="auto"/>
          </w:tcPr>
          <w:p w:rsidR="00D21C54" w:rsidRPr="00D21C54" w:rsidRDefault="00D21C54" w:rsidP="00D21C54">
            <w:pPr>
              <w:pStyle w:val="Tablegridtext"/>
            </w:pPr>
          </w:p>
        </w:tc>
        <w:tc>
          <w:tcPr>
            <w:tcW w:w="1984" w:type="dxa"/>
            <w:shd w:val="diagStripe" w:color="auto" w:fill="auto"/>
          </w:tcPr>
          <w:p w:rsidR="00D21C54" w:rsidRPr="00D21C54" w:rsidRDefault="00D21C54" w:rsidP="00D21C54">
            <w:pPr>
              <w:pStyle w:val="Tablegridtext"/>
            </w:pPr>
          </w:p>
        </w:tc>
        <w:tc>
          <w:tcPr>
            <w:tcW w:w="2081" w:type="dxa"/>
          </w:tcPr>
          <w:p w:rsidR="00D21C54" w:rsidRPr="00D21C54" w:rsidRDefault="00D21C54" w:rsidP="00D21C54">
            <w:pPr>
              <w:pStyle w:val="Tablegridtext"/>
              <w:rPr>
                <w:b/>
              </w:rPr>
            </w:pPr>
            <w:r w:rsidRPr="00D21C54">
              <w:rPr>
                <w:b/>
              </w:rPr>
              <w:t>88.9551</w:t>
            </w:r>
          </w:p>
        </w:tc>
      </w:tr>
    </w:tbl>
    <w:p w:rsidR="00F22E5E" w:rsidRDefault="00F22E5E" w:rsidP="003D7705">
      <w:pPr>
        <w:pStyle w:val="Datasource"/>
        <w:spacing w:after="120"/>
        <w:ind w:right="-46"/>
      </w:pPr>
    </w:p>
    <w:p w:rsidR="00367079" w:rsidRDefault="00367079" w:rsidP="00367079">
      <w:pPr>
        <w:pStyle w:val="Heading2"/>
      </w:pPr>
      <w:bookmarkStart w:id="158" w:name="_Toc493598481"/>
      <w:bookmarkStart w:id="159" w:name="_Toc495409783"/>
      <w:bookmarkStart w:id="160" w:name="_Toc496792774"/>
      <w:bookmarkStart w:id="161" w:name="_Toc496803904"/>
      <w:r>
        <w:t>Changes to the SES score calculation</w:t>
      </w:r>
      <w:r w:rsidR="00027C9D">
        <w:t>: ABS Census methodology</w:t>
      </w:r>
      <w:bookmarkEnd w:id="158"/>
      <w:bookmarkEnd w:id="159"/>
      <w:bookmarkEnd w:id="160"/>
      <w:bookmarkEnd w:id="161"/>
    </w:p>
    <w:p w:rsidR="00367079" w:rsidRDefault="003C0586" w:rsidP="00367079">
      <w:r>
        <w:t xml:space="preserve">As noted </w:t>
      </w:r>
      <w:r>
        <w:fldChar w:fldCharType="begin"/>
      </w:r>
      <w:r>
        <w:instrText xml:space="preserve"> REF _Ref492233981 \p \h </w:instrText>
      </w:r>
      <w:r>
        <w:fldChar w:fldCharType="separate"/>
      </w:r>
      <w:r w:rsidR="00B52C11">
        <w:t>above</w:t>
      </w:r>
      <w:r>
        <w:fldChar w:fldCharType="end"/>
      </w:r>
      <w:r>
        <w:t xml:space="preserve"> (p. </w:t>
      </w:r>
      <w:r>
        <w:fldChar w:fldCharType="begin"/>
      </w:r>
      <w:r>
        <w:instrText xml:space="preserve"> PAGEREF _Ref492233983 \h </w:instrText>
      </w:r>
      <w:r>
        <w:fldChar w:fldCharType="separate"/>
      </w:r>
      <w:r w:rsidR="00B52C11">
        <w:rPr>
          <w:noProof/>
        </w:rPr>
        <w:t>15</w:t>
      </w:r>
      <w:r>
        <w:fldChar w:fldCharType="end"/>
      </w:r>
      <w:r>
        <w:t xml:space="preserve">), the release of new ABS Census data every five years </w:t>
      </w:r>
      <w:r w:rsidR="00915963">
        <w:t>provide</w:t>
      </w:r>
      <w:r w:rsidR="002D13E9">
        <w:t>s</w:t>
      </w:r>
      <w:r w:rsidR="00915963">
        <w:t xml:space="preserve"> the impetus for updating the </w:t>
      </w:r>
      <w:r>
        <w:t>SES score</w:t>
      </w:r>
      <w:r w:rsidR="00915963">
        <w:t xml:space="preserve">. </w:t>
      </w:r>
      <w:r w:rsidR="003E3068">
        <w:t xml:space="preserve">This updating </w:t>
      </w:r>
      <w:r w:rsidR="002D3136">
        <w:t>does</w:t>
      </w:r>
      <w:r w:rsidR="003E3068">
        <w:t xml:space="preserve"> not simply involve a replication of the original method first developed in 1998. Rather, </w:t>
      </w:r>
      <w:r w:rsidR="006F6455">
        <w:t xml:space="preserve">two </w:t>
      </w:r>
      <w:r w:rsidR="003E3068">
        <w:t xml:space="preserve">changes in the ABS Census methodology </w:t>
      </w:r>
      <w:r w:rsidR="002D13E9">
        <w:t xml:space="preserve">have </w:t>
      </w:r>
      <w:r w:rsidR="003E3068">
        <w:t>flowed through to the SES score calculation methodology</w:t>
      </w:r>
      <w:r w:rsidR="00027C9D">
        <w:t>:</w:t>
      </w:r>
    </w:p>
    <w:p w:rsidR="00027C9D" w:rsidRDefault="00F22E5E" w:rsidP="00027C9D">
      <w:pPr>
        <w:pStyle w:val="Dotpoints"/>
      </w:pPr>
      <w:r>
        <w:t xml:space="preserve">new or revised </w:t>
      </w:r>
      <w:r w:rsidR="00027C9D">
        <w:t xml:space="preserve">ABS Census variables </w:t>
      </w:r>
    </w:p>
    <w:p w:rsidR="00027C9D" w:rsidRDefault="00F22E5E" w:rsidP="00027C9D">
      <w:pPr>
        <w:pStyle w:val="Dotpoints"/>
      </w:pPr>
      <w:r>
        <w:t>i</w:t>
      </w:r>
      <w:r w:rsidR="00027C9D">
        <w:t xml:space="preserve">ntroduction of a new ABS census geography classification scheme. </w:t>
      </w:r>
    </w:p>
    <w:p w:rsidR="00027C9D" w:rsidRDefault="00027C9D" w:rsidP="00027C9D">
      <w:pPr>
        <w:pStyle w:val="Heading3"/>
      </w:pPr>
      <w:bookmarkStart w:id="162" w:name="_Toc493598482"/>
      <w:bookmarkStart w:id="163" w:name="_Toc495409784"/>
      <w:bookmarkStart w:id="164" w:name="_Toc496792775"/>
      <w:bookmarkStart w:id="165" w:name="_Toc496803905"/>
      <w:r>
        <w:t>Methodological changes associated with changes in ABS Census variables</w:t>
      </w:r>
      <w:bookmarkEnd w:id="162"/>
      <w:bookmarkEnd w:id="163"/>
      <w:bookmarkEnd w:id="164"/>
      <w:bookmarkEnd w:id="165"/>
    </w:p>
    <w:p w:rsidR="006F6455" w:rsidRDefault="006F6455" w:rsidP="00CE37F2">
      <w:pPr>
        <w:pStyle w:val="Heading4"/>
      </w:pPr>
      <w:bookmarkStart w:id="166" w:name="_Toc493598483"/>
      <w:bookmarkStart w:id="167" w:name="_Toc495409785"/>
      <w:bookmarkStart w:id="168" w:name="_Toc496792776"/>
      <w:bookmarkStart w:id="169" w:name="_Toc496803906"/>
      <w:r>
        <w:t xml:space="preserve">Occupation </w:t>
      </w:r>
      <w:r w:rsidR="004068CA">
        <w:t xml:space="preserve">variable </w:t>
      </w:r>
      <w:r>
        <w:t>classification</w:t>
      </w:r>
      <w:bookmarkEnd w:id="166"/>
      <w:bookmarkEnd w:id="167"/>
      <w:bookmarkEnd w:id="168"/>
      <w:bookmarkEnd w:id="169"/>
    </w:p>
    <w:p w:rsidR="003E3068" w:rsidRDefault="006F6455" w:rsidP="006F6455">
      <w:r>
        <w:t>I</w:t>
      </w:r>
      <w:r w:rsidR="003E3068">
        <w:t xml:space="preserve">n 2006, the ABS introduced the </w:t>
      </w:r>
      <w:r w:rsidRPr="006F6455">
        <w:t>Australian and New Zealand Standard Classification of Occupations</w:t>
      </w:r>
      <w:r>
        <w:t xml:space="preserve"> (ANZSCO) for classifying occupations. The ANZSCO replaced the</w:t>
      </w:r>
      <w:r w:rsidRPr="006F6455">
        <w:t xml:space="preserve"> Australian Standard Classification of Occupations (ASCO)</w:t>
      </w:r>
      <w:r>
        <w:t xml:space="preserve">. The key difference was that ANZSCO had eight major occupational groups, in place of the nine major occupational groups in ASCO. </w:t>
      </w:r>
    </w:p>
    <w:p w:rsidR="006F6455" w:rsidRDefault="001A0F54" w:rsidP="006F6455">
      <w:r>
        <w:t>T</w:t>
      </w:r>
      <w:r w:rsidR="006F6455">
        <w:t xml:space="preserve">hese changes </w:t>
      </w:r>
      <w:r>
        <w:t xml:space="preserve">led to the number of variables used in the occupation dimension reducing from 14 to 13. </w:t>
      </w:r>
    </w:p>
    <w:p w:rsidR="001A0F54" w:rsidRDefault="001A0F54" w:rsidP="00CE37F2">
      <w:pPr>
        <w:pStyle w:val="Heading4"/>
      </w:pPr>
      <w:bookmarkStart w:id="170" w:name="_Toc493598484"/>
      <w:bookmarkStart w:id="171" w:name="_Toc495409786"/>
      <w:bookmarkStart w:id="172" w:name="_Toc496792777"/>
      <w:bookmarkStart w:id="173" w:name="_Toc496803907"/>
      <w:r>
        <w:t xml:space="preserve">Education </w:t>
      </w:r>
      <w:r w:rsidR="004068CA">
        <w:t xml:space="preserve">variable </w:t>
      </w:r>
      <w:r>
        <w:t>classification</w:t>
      </w:r>
      <w:bookmarkEnd w:id="170"/>
      <w:bookmarkEnd w:id="171"/>
      <w:bookmarkEnd w:id="172"/>
      <w:bookmarkEnd w:id="173"/>
    </w:p>
    <w:p w:rsidR="001A0F54" w:rsidRDefault="004068CA" w:rsidP="006F6455">
      <w:r>
        <w:t xml:space="preserve">Some modest changes to how the ABS reported education data also affected the SES score </w:t>
      </w:r>
      <w:r w:rsidR="002D279D">
        <w:t>calculation</w:t>
      </w:r>
      <w:r>
        <w:t>. This comprised replac</w:t>
      </w:r>
      <w:r w:rsidR="00D76FBB">
        <w:t>ing</w:t>
      </w:r>
      <w:r>
        <w:t xml:space="preserve"> a measure of the proportion of people that had left school at age 15 (included in the 1996 Census), with a measure of the proportion that left school after year 9 (included from the 2001 Census onwards). </w:t>
      </w:r>
    </w:p>
    <w:p w:rsidR="004068CA" w:rsidRDefault="004068CA" w:rsidP="006F6455">
      <w:r>
        <w:t xml:space="preserve">Separately </w:t>
      </w:r>
      <w:r w:rsidR="009964D9">
        <w:t xml:space="preserve">the 2008 SES score </w:t>
      </w:r>
      <w:r w:rsidR="002D279D">
        <w:t>calculation</w:t>
      </w:r>
      <w:r w:rsidR="009964D9">
        <w:t xml:space="preserve"> (using data from the 2006 Census) added a variable denoting the proportion of people aged 15-</w:t>
      </w:r>
      <w:r w:rsidR="00D76FBB">
        <w:t xml:space="preserve">24 </w:t>
      </w:r>
      <w:r w:rsidR="009964D9">
        <w:t xml:space="preserve">years that were tertiary education students. </w:t>
      </w:r>
    </w:p>
    <w:p w:rsidR="001A0F54" w:rsidRDefault="001A0F54" w:rsidP="001A0F54">
      <w:pPr>
        <w:pStyle w:val="Heading3"/>
      </w:pPr>
      <w:bookmarkStart w:id="174" w:name="_Toc493598485"/>
      <w:bookmarkStart w:id="175" w:name="_Toc495409787"/>
      <w:bookmarkStart w:id="176" w:name="_Toc496792778"/>
      <w:bookmarkStart w:id="177" w:name="_Toc496803908"/>
      <w:r>
        <w:t>Implications of income growth</w:t>
      </w:r>
      <w:bookmarkEnd w:id="174"/>
      <w:bookmarkEnd w:id="175"/>
      <w:bookmarkEnd w:id="176"/>
      <w:bookmarkEnd w:id="177"/>
    </w:p>
    <w:p w:rsidR="003C0586" w:rsidRDefault="009964D9" w:rsidP="00367079">
      <w:r>
        <w:t>The variables used in the two income dimensions were also update</w:t>
      </w:r>
      <w:r w:rsidR="00CE37F2">
        <w:t>d</w:t>
      </w:r>
      <w:r>
        <w:t xml:space="preserve"> to reflect income growth between census releases. For instance, the 1998 SES score calculation using data from the 1996 ABS Census </w:t>
      </w:r>
      <w:r w:rsidR="001836A2">
        <w:t xml:space="preserve">identified lower income households as having an income of less than $36,000 per annum, and higher income households as having an income of greater than $78,000 per annum. </w:t>
      </w:r>
    </w:p>
    <w:p w:rsidR="001836A2" w:rsidRDefault="001836A2" w:rsidP="00367079">
      <w:r>
        <w:t xml:space="preserve">By the time of the 2013 </w:t>
      </w:r>
      <w:r w:rsidR="002D279D">
        <w:t>calculation</w:t>
      </w:r>
      <w:r w:rsidR="00E022B0">
        <w:t xml:space="preserve"> (using 2011 Census data), the threshold for lower income households had increased </w:t>
      </w:r>
      <w:r w:rsidR="00D76FBB">
        <w:t xml:space="preserve">to </w:t>
      </w:r>
      <w:r w:rsidR="00E022B0">
        <w:t>$65,000, and higher income households to $143,000.</w:t>
      </w:r>
    </w:p>
    <w:p w:rsidR="00E022B0" w:rsidRDefault="00E022B0" w:rsidP="00367079">
      <w:r>
        <w:t xml:space="preserve">Similar increases have been implemented for the income of families with children dimension. </w:t>
      </w:r>
    </w:p>
    <w:p w:rsidR="00CE37F2" w:rsidRDefault="00CE37F2" w:rsidP="00CE37F2">
      <w:pPr>
        <w:pStyle w:val="Heading3"/>
      </w:pPr>
      <w:bookmarkStart w:id="178" w:name="_Toc493598486"/>
      <w:bookmarkStart w:id="179" w:name="_Toc495409788"/>
      <w:bookmarkStart w:id="180" w:name="_Toc496792779"/>
      <w:bookmarkStart w:id="181" w:name="_Toc496803909"/>
      <w:r>
        <w:t>Changes to dimension variable loadings</w:t>
      </w:r>
      <w:bookmarkEnd w:id="178"/>
      <w:bookmarkEnd w:id="179"/>
      <w:bookmarkEnd w:id="180"/>
      <w:bookmarkEnd w:id="181"/>
    </w:p>
    <w:p w:rsidR="00E10AFE" w:rsidRDefault="00CE37F2" w:rsidP="00CE37F2">
      <w:r>
        <w:t xml:space="preserve">As at September 2017, the SES score has been estimated four times. The variable loadings generated in each </w:t>
      </w:r>
      <w:r w:rsidR="002D279D">
        <w:t>calculation</w:t>
      </w:r>
      <w:r>
        <w:t xml:space="preserve">, and the associated eigenvalues, are reported in </w:t>
      </w:r>
      <w:r w:rsidR="00790294">
        <w:fldChar w:fldCharType="begin"/>
      </w:r>
      <w:r w:rsidR="00790294">
        <w:instrText xml:space="preserve"> REF _Ref492993295 \h </w:instrText>
      </w:r>
      <w:r w:rsidR="00790294">
        <w:fldChar w:fldCharType="separate"/>
      </w:r>
      <w:r w:rsidR="00B52C11">
        <w:t xml:space="preserve">Table </w:t>
      </w:r>
      <w:r w:rsidR="00B52C11">
        <w:rPr>
          <w:noProof/>
        </w:rPr>
        <w:t>A</w:t>
      </w:r>
      <w:r w:rsidR="00B52C11">
        <w:noBreakHyphen/>
      </w:r>
      <w:r w:rsidR="00B52C11">
        <w:rPr>
          <w:noProof/>
        </w:rPr>
        <w:t>1</w:t>
      </w:r>
      <w:r w:rsidR="00790294">
        <w:fldChar w:fldCharType="end"/>
      </w:r>
      <w:r w:rsidR="00790294">
        <w:t xml:space="preserve"> (p. </w:t>
      </w:r>
      <w:r w:rsidR="00790294">
        <w:fldChar w:fldCharType="begin"/>
      </w:r>
      <w:r w:rsidR="00790294">
        <w:instrText xml:space="preserve"> PAGEREF _Ref492993301 \h </w:instrText>
      </w:r>
      <w:r w:rsidR="00790294">
        <w:fldChar w:fldCharType="separate"/>
      </w:r>
      <w:r w:rsidR="00B52C11">
        <w:rPr>
          <w:noProof/>
        </w:rPr>
        <w:t>42</w:t>
      </w:r>
      <w:r w:rsidR="00790294">
        <w:fldChar w:fldCharType="end"/>
      </w:r>
      <w:r w:rsidR="00790294">
        <w:t>).</w:t>
      </w:r>
    </w:p>
    <w:p w:rsidR="000D7FA6" w:rsidRDefault="000D7FA6" w:rsidP="000D7FA6">
      <w:r>
        <w:t>Generally there has been modest change in the variable loadings. The most significant change is associated with the introduction of new or revised variables</w:t>
      </w:r>
      <w:r w:rsidR="00A15759">
        <w:t xml:space="preserve">—the </w:t>
      </w:r>
      <w:r>
        <w:t xml:space="preserve">introduction of the variable ‘tertiary student aged 15-24’ in the education dimension was associated with changes in the magnitude of other variable loadings. </w:t>
      </w:r>
    </w:p>
    <w:p w:rsidR="000D7FA6" w:rsidRPr="00CE37F2" w:rsidRDefault="000D7FA6" w:rsidP="000D7FA6">
      <w:pPr>
        <w:rPr>
          <w:b/>
        </w:rPr>
      </w:pPr>
      <w:r>
        <w:t xml:space="preserve">The eigenvalues reported in </w:t>
      </w:r>
      <w:r w:rsidR="00790294">
        <w:fldChar w:fldCharType="begin"/>
      </w:r>
      <w:r w:rsidR="00790294">
        <w:instrText xml:space="preserve"> REF _Ref492993295 \h </w:instrText>
      </w:r>
      <w:r w:rsidR="00790294">
        <w:fldChar w:fldCharType="separate"/>
      </w:r>
      <w:r w:rsidR="00B52C11">
        <w:t xml:space="preserve">Table </w:t>
      </w:r>
      <w:r w:rsidR="00B52C11">
        <w:rPr>
          <w:noProof/>
        </w:rPr>
        <w:t>A</w:t>
      </w:r>
      <w:r w:rsidR="00B52C11">
        <w:noBreakHyphen/>
      </w:r>
      <w:r w:rsidR="00B52C11">
        <w:rPr>
          <w:noProof/>
        </w:rPr>
        <w:t>1</w:t>
      </w:r>
      <w:r w:rsidR="00790294">
        <w:fldChar w:fldCharType="end"/>
      </w:r>
      <w:r>
        <w:t xml:space="preserve"> indicate that the percentage of variation explained by the loadings associated with each dimension has either remained steady, or improved. </w:t>
      </w:r>
    </w:p>
    <w:p w:rsidR="00027C9D" w:rsidRDefault="00027C9D" w:rsidP="00027C9D">
      <w:pPr>
        <w:pStyle w:val="Heading3"/>
      </w:pPr>
      <w:bookmarkStart w:id="182" w:name="_Ref492290601"/>
      <w:bookmarkStart w:id="183" w:name="_Toc493598487"/>
      <w:bookmarkStart w:id="184" w:name="_Toc495409789"/>
      <w:bookmarkStart w:id="185" w:name="_Toc496792780"/>
      <w:bookmarkStart w:id="186" w:name="_Toc496803910"/>
      <w:r>
        <w:t>Introduction of a new ABS census geography classification scheme</w:t>
      </w:r>
      <w:bookmarkEnd w:id="182"/>
      <w:bookmarkEnd w:id="183"/>
      <w:bookmarkEnd w:id="184"/>
      <w:bookmarkEnd w:id="185"/>
      <w:bookmarkEnd w:id="186"/>
    </w:p>
    <w:p w:rsidR="00FB0815" w:rsidRDefault="00FB0815" w:rsidP="00027C9D">
      <w:r>
        <w:t xml:space="preserve">The initial </w:t>
      </w:r>
      <w:r w:rsidR="002D279D">
        <w:t>calculation</w:t>
      </w:r>
      <w:r>
        <w:t xml:space="preserve"> of the SES score used CDs. At the time of the first SES score </w:t>
      </w:r>
      <w:r w:rsidR="002D279D">
        <w:t>calculation</w:t>
      </w:r>
      <w:r>
        <w:t xml:space="preserve"> using 1996 Census data there were 34,500 CDs across Australia. In urban areas CDs </w:t>
      </w:r>
      <w:r w:rsidR="00D76FBB">
        <w:t xml:space="preserve">had </w:t>
      </w:r>
      <w:r>
        <w:t>an average of 220 dwellings. In rural areas the number of dwellings per CD is generally lower, reducing as population densities decrease</w:t>
      </w:r>
      <w:sdt>
        <w:sdtPr>
          <w:id w:val="-408850670"/>
          <w:citation/>
        </w:sdtPr>
        <w:sdtContent>
          <w:r>
            <w:fldChar w:fldCharType="begin"/>
          </w:r>
          <w:r>
            <w:instrText xml:space="preserve"> CITATION Aus99 \l 3081 </w:instrText>
          </w:r>
          <w:r>
            <w:fldChar w:fldCharType="separate"/>
          </w:r>
          <w:r w:rsidR="005333F5">
            <w:rPr>
              <w:noProof/>
            </w:rPr>
            <w:t xml:space="preserve"> (Australian Bureau of Statistics, 1999)</w:t>
          </w:r>
          <w:r>
            <w:fldChar w:fldCharType="end"/>
          </w:r>
        </w:sdtContent>
      </w:sdt>
      <w:r>
        <w:t>.</w:t>
      </w:r>
    </w:p>
    <w:p w:rsidR="00027C9D" w:rsidRPr="00027C9D" w:rsidRDefault="00027C9D" w:rsidP="00027C9D">
      <w:r>
        <w:t xml:space="preserve">From the 2011 Census, the ABS introduced a new geography classification scheme. This </w:t>
      </w:r>
      <w:r w:rsidR="00D67BC3">
        <w:t>resulted in</w:t>
      </w:r>
      <w:r>
        <w:t xml:space="preserve"> SES scores </w:t>
      </w:r>
      <w:r w:rsidR="00D67BC3">
        <w:t xml:space="preserve">being </w:t>
      </w:r>
      <w:r>
        <w:t xml:space="preserve">generated using SA1s. In 2011 there were 54,805 SA1s across Australia. </w:t>
      </w:r>
      <w:r w:rsidRPr="007E6FC4">
        <w:t>SA1s generally have a population of 200 to 800 persons, and an average population of about 400 persons</w:t>
      </w:r>
      <w:r>
        <w:t xml:space="preserve"> </w:t>
      </w:r>
      <w:sdt>
        <w:sdtPr>
          <w:id w:val="-1352336010"/>
          <w:citation/>
        </w:sdtPr>
        <w:sdtContent>
          <w:r>
            <w:fldChar w:fldCharType="begin"/>
          </w:r>
          <w:r>
            <w:instrText xml:space="preserve"> CITATION Aus10 \l 3081 </w:instrText>
          </w:r>
          <w:r>
            <w:fldChar w:fldCharType="separate"/>
          </w:r>
          <w:r w:rsidR="005333F5">
            <w:rPr>
              <w:noProof/>
            </w:rPr>
            <w:t>(Australian Bureau of Statistics, 2010)</w:t>
          </w:r>
          <w:r>
            <w:fldChar w:fldCharType="end"/>
          </w:r>
        </w:sdtContent>
      </w:sdt>
      <w:r>
        <w:t>.</w:t>
      </w:r>
    </w:p>
    <w:p w:rsidR="00F7744D" w:rsidRDefault="00E022B0" w:rsidP="00E022B0">
      <w:pPr>
        <w:pStyle w:val="Heading2"/>
      </w:pPr>
      <w:bookmarkStart w:id="187" w:name="_Toc493598488"/>
      <w:bookmarkStart w:id="188" w:name="_Toc495409790"/>
      <w:bookmarkStart w:id="189" w:name="_Toc496792781"/>
      <w:bookmarkStart w:id="190" w:name="_Toc496803911"/>
      <w:r>
        <w:t>Changes to estimated SES scores</w:t>
      </w:r>
      <w:r w:rsidR="00654C16">
        <w:t xml:space="preserve"> </w:t>
      </w:r>
      <w:r w:rsidR="005C7496">
        <w:t>following periodic</w:t>
      </w:r>
      <w:r w:rsidR="00654C16">
        <w:t xml:space="preserve"> updating</w:t>
      </w:r>
      <w:bookmarkEnd w:id="187"/>
      <w:bookmarkEnd w:id="188"/>
      <w:bookmarkEnd w:id="189"/>
      <w:bookmarkEnd w:id="190"/>
    </w:p>
    <w:p w:rsidR="00565E1C" w:rsidRDefault="00F153BD" w:rsidP="00367079">
      <w:r>
        <w:t xml:space="preserve">At the time of </w:t>
      </w:r>
      <w:r w:rsidR="00D67BC3">
        <w:t>each</w:t>
      </w:r>
      <w:r>
        <w:t xml:space="preserve"> period</w:t>
      </w:r>
      <w:r w:rsidR="00D67BC3">
        <w:t>ic</w:t>
      </w:r>
      <w:r>
        <w:t xml:space="preserve"> updating of SES scores using new ABS Census data, analysis was undertaken to examine the extent to which SES scores had changed since </w:t>
      </w:r>
      <w:r w:rsidR="00D67BC3">
        <w:t xml:space="preserve">the </w:t>
      </w:r>
      <w:r>
        <w:t xml:space="preserve">preceding </w:t>
      </w:r>
      <w:r w:rsidR="002D279D">
        <w:t>calculation</w:t>
      </w:r>
      <w:r>
        <w:t xml:space="preserve">. </w:t>
      </w:r>
      <w:r w:rsidR="00D04273">
        <w:t xml:space="preserve">The comparisons reported in 2004 and 2008 compared CD level SES scores. </w:t>
      </w:r>
    </w:p>
    <w:p w:rsidR="00D04273" w:rsidRDefault="00D04273" w:rsidP="00367079">
      <w:r>
        <w:t xml:space="preserve">Due to the change from CDs to SA1s, the comparison reported in 2013 </w:t>
      </w:r>
      <w:r w:rsidR="00D67BC3">
        <w:t xml:space="preserve">using 2011 ABS Census data applied </w:t>
      </w:r>
      <w:r>
        <w:t xml:space="preserve">postcode level data. After first limiting the analysis to ensure CD comparability, the comparison found little change in SES scores between </w:t>
      </w:r>
      <w:r w:rsidR="002D279D">
        <w:t>calculation</w:t>
      </w:r>
      <w:r>
        <w:t>s. In all cases, there was a high correlation between the estimated SES scores</w:t>
      </w:r>
      <w:r w:rsidR="00D224F5">
        <w:t xml:space="preserve"> </w:t>
      </w:r>
      <w:r w:rsidR="00A15759">
        <w:rPr>
          <w:noProof/>
        </w:rPr>
        <w:t>(Farish, 2004; Farish, 2008 &amp; Farish, 2013)</w:t>
      </w:r>
      <w:r>
        <w:t xml:space="preserve">. </w:t>
      </w:r>
    </w:p>
    <w:p w:rsidR="00FF4141" w:rsidRDefault="00FF4141" w:rsidP="00367079"/>
    <w:p w:rsidR="0076688E" w:rsidRDefault="00D76FBB" w:rsidP="00A260FB">
      <w:pPr>
        <w:pStyle w:val="Heading11"/>
      </w:pPr>
      <w:bookmarkStart w:id="191" w:name="_Ref489967728"/>
      <w:bookmarkStart w:id="192" w:name="_Toc496803912"/>
      <w:bookmarkEnd w:id="128"/>
      <w:r>
        <w:t>C</w:t>
      </w:r>
      <w:r w:rsidR="0076688E">
        <w:t xml:space="preserve">oncerns </w:t>
      </w:r>
      <w:r w:rsidR="00ED727F">
        <w:t xml:space="preserve">and views about the </w:t>
      </w:r>
      <w:r w:rsidR="00695B33">
        <w:t>SES score</w:t>
      </w:r>
      <w:bookmarkEnd w:id="191"/>
      <w:bookmarkEnd w:id="192"/>
    </w:p>
    <w:p w:rsidR="00B273E0" w:rsidRDefault="00A23EEC" w:rsidP="00FC34D6">
      <w:r>
        <w:t xml:space="preserve">This section provides a summary of </w:t>
      </w:r>
      <w:r w:rsidR="00D76FBB">
        <w:t xml:space="preserve">stakeholder </w:t>
      </w:r>
      <w:r>
        <w:t xml:space="preserve">concerns and views raised about the SES score since it was first </w:t>
      </w:r>
      <w:r w:rsidR="00B273E0">
        <w:t>developed</w:t>
      </w:r>
      <w:r>
        <w:t xml:space="preserve"> in the late 1990s, and implemented from 2001. </w:t>
      </w:r>
      <w:r w:rsidR="00FC34D6">
        <w:t>These concerns and views are largely those of stakeholders, including system authorities.</w:t>
      </w:r>
    </w:p>
    <w:p w:rsidR="00527397" w:rsidRDefault="002459B6" w:rsidP="0076688E">
      <w:r>
        <w:t>T</w:t>
      </w:r>
      <w:r w:rsidR="00A23EEC">
        <w:t xml:space="preserve">he focus is upon the </w:t>
      </w:r>
      <w:r w:rsidR="00D76FBB">
        <w:t xml:space="preserve">purpose and </w:t>
      </w:r>
      <w:r w:rsidR="002E4F0B">
        <w:t xml:space="preserve">objective of the SES </w:t>
      </w:r>
      <w:r w:rsidR="005E5FE9">
        <w:t>score</w:t>
      </w:r>
      <w:r w:rsidR="002E4F0B">
        <w:t>, its</w:t>
      </w:r>
      <w:r w:rsidR="005E5FE9">
        <w:t xml:space="preserve"> </w:t>
      </w:r>
      <w:r w:rsidR="002E4F0B">
        <w:t xml:space="preserve">calculation </w:t>
      </w:r>
      <w:r w:rsidR="00A23EEC">
        <w:t>methodology</w:t>
      </w:r>
      <w:r w:rsidR="002E4F0B">
        <w:t xml:space="preserve">, and the resulting </w:t>
      </w:r>
      <w:r w:rsidR="00C0757E">
        <w:t xml:space="preserve">SA1 and school SES </w:t>
      </w:r>
      <w:r w:rsidR="002E4F0B">
        <w:t xml:space="preserve">scores. This discussion is underpinned by the </w:t>
      </w:r>
      <w:r w:rsidR="00CC0B08">
        <w:t xml:space="preserve">current objective of the </w:t>
      </w:r>
      <w:r w:rsidR="00C0757E">
        <w:t xml:space="preserve">school </w:t>
      </w:r>
      <w:r w:rsidR="00CC0B08">
        <w:t>SES score—</w:t>
      </w:r>
      <w:r w:rsidR="00B3279D">
        <w:t xml:space="preserve">to </w:t>
      </w:r>
      <w:r w:rsidR="00CC0B08">
        <w:t xml:space="preserve">measure the </w:t>
      </w:r>
      <w:r w:rsidR="00764323">
        <w:t>capacity to contribute</w:t>
      </w:r>
      <w:r w:rsidR="00C36BE8">
        <w:t xml:space="preserve">, </w:t>
      </w:r>
      <w:r w:rsidR="00CC0B08">
        <w:t>reflect</w:t>
      </w:r>
      <w:r w:rsidR="00BB1F7D">
        <w:t>ing</w:t>
      </w:r>
      <w:r w:rsidR="00CC0B08">
        <w:t xml:space="preserve"> that</w:t>
      </w:r>
      <w:r w:rsidR="00527397">
        <w:t>:</w:t>
      </w:r>
    </w:p>
    <w:p w:rsidR="00527397" w:rsidRDefault="00D33118" w:rsidP="00527397">
      <w:pPr>
        <w:pStyle w:val="Quote"/>
      </w:pPr>
      <w:r w:rsidRPr="00D33118">
        <w:t>some parents and school communities are more able than others to contribute financially to their school’s operating costs</w:t>
      </w:r>
      <w:sdt>
        <w:sdtPr>
          <w:id w:val="604465522"/>
          <w:citation/>
        </w:sdtPr>
        <w:sdtContent>
          <w:r w:rsidR="00CC0B08">
            <w:fldChar w:fldCharType="begin"/>
          </w:r>
          <w:r w:rsidR="00CC0B08">
            <w:instrText xml:space="preserve"> CITATION Aus172 \l 3081 </w:instrText>
          </w:r>
          <w:r w:rsidR="00CC0B08">
            <w:fldChar w:fldCharType="separate"/>
          </w:r>
          <w:r w:rsidR="005333F5">
            <w:rPr>
              <w:noProof/>
            </w:rPr>
            <w:t xml:space="preserve"> (Australian Government, 2017)</w:t>
          </w:r>
          <w:r w:rsidR="00CC0B08">
            <w:fldChar w:fldCharType="end"/>
          </w:r>
        </w:sdtContent>
      </w:sdt>
      <w:r w:rsidR="00CC0B08">
        <w:t>.</w:t>
      </w:r>
    </w:p>
    <w:p w:rsidR="002E4F0B" w:rsidRDefault="002E4F0B" w:rsidP="00527397">
      <w:r>
        <w:t>A</w:t>
      </w:r>
      <w:r w:rsidR="00527397">
        <w:t xml:space="preserve"> framework </w:t>
      </w:r>
      <w:r>
        <w:t xml:space="preserve">considering four elements is applied to categorise concerns and views on whether </w:t>
      </w:r>
      <w:r w:rsidR="00B273E0">
        <w:t>the above objective is being met</w:t>
      </w:r>
      <w:r w:rsidR="009F1D16">
        <w:t xml:space="preserve"> (see </w:t>
      </w:r>
      <w:r w:rsidR="009F1D16">
        <w:fldChar w:fldCharType="begin"/>
      </w:r>
      <w:r w:rsidR="009F1D16">
        <w:instrText xml:space="preserve"> REF _Ref492999101 \h </w:instrText>
      </w:r>
      <w:r w:rsidR="009F1D16">
        <w:fldChar w:fldCharType="separate"/>
      </w:r>
      <w:r w:rsidR="00B52C11">
        <w:t xml:space="preserve">Figure </w:t>
      </w:r>
      <w:r w:rsidR="00B52C11">
        <w:rPr>
          <w:noProof/>
        </w:rPr>
        <w:t>4</w:t>
      </w:r>
      <w:r w:rsidR="00B52C11">
        <w:noBreakHyphen/>
      </w:r>
      <w:r w:rsidR="00B52C11">
        <w:rPr>
          <w:noProof/>
        </w:rPr>
        <w:t>7</w:t>
      </w:r>
      <w:r w:rsidR="009F1D16">
        <w:fldChar w:fldCharType="end"/>
      </w:r>
      <w:r w:rsidR="009F1D16">
        <w:t>)</w:t>
      </w:r>
      <w:r>
        <w:t>:</w:t>
      </w:r>
    </w:p>
    <w:p w:rsidR="002E4F0B" w:rsidRDefault="002E4F0B" w:rsidP="002E4F0B">
      <w:pPr>
        <w:pStyle w:val="Dotpoints"/>
      </w:pPr>
      <w:r>
        <w:t xml:space="preserve">design—the extent </w:t>
      </w:r>
      <w:r w:rsidR="007C4913">
        <w:t>that</w:t>
      </w:r>
      <w:r>
        <w:t xml:space="preserve"> the design of the SES score is in line with the objective</w:t>
      </w:r>
    </w:p>
    <w:p w:rsidR="002E4F0B" w:rsidRDefault="002E4F0B" w:rsidP="002E4F0B">
      <w:pPr>
        <w:pStyle w:val="Dotpoints"/>
      </w:pPr>
      <w:r>
        <w:t xml:space="preserve">accuracy—the extent </w:t>
      </w:r>
      <w:r w:rsidR="007C4913">
        <w:t>that</w:t>
      </w:r>
      <w:r>
        <w:t xml:space="preserve"> the SES score provides an accurate estimat</w:t>
      </w:r>
      <w:r w:rsidR="002D279D">
        <w:t>e</w:t>
      </w:r>
      <w:r>
        <w:t xml:space="preserve"> of the relative capacity to contribute of individual schools</w:t>
      </w:r>
    </w:p>
    <w:p w:rsidR="0081713D" w:rsidRDefault="0081713D" w:rsidP="00CD0AE1">
      <w:pPr>
        <w:pStyle w:val="Dotpoints"/>
      </w:pPr>
      <w:r>
        <w:t>timeliness—that the SES score is timely and up-to-date</w:t>
      </w:r>
      <w:r w:rsidR="00022D51">
        <w:t>.</w:t>
      </w:r>
    </w:p>
    <w:p w:rsidR="00B273E0" w:rsidRDefault="004E10AD" w:rsidP="00A260FB">
      <w:pPr>
        <w:pStyle w:val="Heading3"/>
      </w:pPr>
      <w:bookmarkStart w:id="193" w:name="_Ref492999101"/>
      <w:bookmarkStart w:id="194" w:name="_Toc496803958"/>
      <w:r>
        <w:t xml:space="preserve">Figure </w:t>
      </w:r>
      <w:fldSimple w:instr=" STYLEREF  \s &quot;Heading 11&quot; ">
        <w:r w:rsidR="00B52C11">
          <w:rPr>
            <w:noProof/>
          </w:rPr>
          <w:t>4</w:t>
        </w:r>
      </w:fldSimple>
      <w:r w:rsidR="00290ED7">
        <w:noBreakHyphen/>
      </w:r>
      <w:fldSimple w:instr=" SEQ Figure \* ARABIC \s 1 ">
        <w:r w:rsidR="00B52C11">
          <w:rPr>
            <w:noProof/>
          </w:rPr>
          <w:t>7</w:t>
        </w:r>
      </w:fldSimple>
      <w:bookmarkEnd w:id="193"/>
      <w:r>
        <w:tab/>
      </w:r>
      <w:r w:rsidR="005E5FE9">
        <w:t>Elements</w:t>
      </w:r>
      <w:r>
        <w:t xml:space="preserve"> for considering concerns and views on the SES score</w:t>
      </w:r>
      <w:bookmarkEnd w:id="194"/>
    </w:p>
    <w:p w:rsidR="00BD28D3" w:rsidRDefault="00D76FBB" w:rsidP="00527397">
      <w:pPr>
        <w:jc w:val="center"/>
      </w:pPr>
      <w:r w:rsidRPr="00D76FBB">
        <w:t xml:space="preserve"> </w:t>
      </w:r>
      <w:r w:rsidRPr="00D76FBB">
        <w:rPr>
          <w:noProof/>
          <w:lang w:eastAsia="en-AU"/>
        </w:rPr>
        <w:drawing>
          <wp:inline distT="0" distB="0" distL="0" distR="0" wp14:anchorId="2960D951" wp14:editId="2669350D">
            <wp:extent cx="4314825" cy="904875"/>
            <wp:effectExtent l="0" t="0" r="9525" b="0"/>
            <wp:docPr id="4" name="Picture 4" descr="Simple diagram with an overarching heading Purpose and objective and three subheadings: Design, Accuracy and Timeliness" title="Figure 4-1 Elements for considering concerns and views on the SES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14825" cy="904875"/>
                    </a:xfrm>
                    <a:prstGeom prst="rect">
                      <a:avLst/>
                    </a:prstGeom>
                    <a:noFill/>
                    <a:ln>
                      <a:noFill/>
                    </a:ln>
                  </pic:spPr>
                </pic:pic>
              </a:graphicData>
            </a:graphic>
          </wp:inline>
        </w:drawing>
      </w:r>
    </w:p>
    <w:p w:rsidR="00314F66" w:rsidRDefault="00314F66" w:rsidP="00314F66">
      <w:r>
        <w:t>These elements are not mutually exclusive—concerns about the design of the SES score will undoubtedly also apply to accuracy. In these cases the issue</w:t>
      </w:r>
      <w:r w:rsidR="0081713D">
        <w:t xml:space="preserve"> or concern</w:t>
      </w:r>
      <w:r>
        <w:t xml:space="preserve"> is identified under the most relevant element. The following analysis also considers issues raised about the objective of the SES score</w:t>
      </w:r>
      <w:r w:rsidR="0081713D">
        <w:t xml:space="preserve"> itself</w:t>
      </w:r>
      <w:r>
        <w:t xml:space="preserve">—many </w:t>
      </w:r>
      <w:r w:rsidR="00CD0AE1">
        <w:t xml:space="preserve">issues and </w:t>
      </w:r>
      <w:r>
        <w:t xml:space="preserve">concerns raised over the years relate to the objective of the SES score, rather than how it is estimated. </w:t>
      </w:r>
    </w:p>
    <w:p w:rsidR="00314F66" w:rsidRDefault="00314F66" w:rsidP="00314F66">
      <w:r>
        <w:t>Concerns and issues have largely been drawn from school funding focussed materials</w:t>
      </w:r>
      <w:r w:rsidR="00CD0AE1">
        <w:t>, with r</w:t>
      </w:r>
      <w:r>
        <w:t xml:space="preserve">elated issues raised in non-school funding contexts, such as in </w:t>
      </w:r>
      <w:r w:rsidR="0081713D">
        <w:t>analysis</w:t>
      </w:r>
      <w:r>
        <w:t xml:space="preserve"> of area-based measures of SES</w:t>
      </w:r>
      <w:r w:rsidR="0081713D">
        <w:t xml:space="preserve"> undertaken by the ABS</w:t>
      </w:r>
      <w:r>
        <w:t xml:space="preserve">. </w:t>
      </w:r>
    </w:p>
    <w:p w:rsidR="003C1522" w:rsidRDefault="00025C6B" w:rsidP="003C1522">
      <w:pPr>
        <w:pStyle w:val="Heading2"/>
      </w:pPr>
      <w:bookmarkStart w:id="195" w:name="_Toc493598490"/>
      <w:bookmarkStart w:id="196" w:name="_Toc495409792"/>
      <w:bookmarkStart w:id="197" w:name="_Toc496792783"/>
      <w:bookmarkStart w:id="198" w:name="_Toc496803913"/>
      <w:r>
        <w:t>Purpose and o</w:t>
      </w:r>
      <w:r w:rsidR="003C1522">
        <w:t>bjective of the SES score</w:t>
      </w:r>
      <w:bookmarkEnd w:id="195"/>
      <w:bookmarkEnd w:id="196"/>
      <w:bookmarkEnd w:id="197"/>
      <w:bookmarkEnd w:id="198"/>
    </w:p>
    <w:p w:rsidR="00F54ADB" w:rsidRDefault="0045032C" w:rsidP="00F54ADB">
      <w:pPr>
        <w:pStyle w:val="Heading3"/>
      </w:pPr>
      <w:bookmarkStart w:id="199" w:name="_Toc495409793"/>
      <w:bookmarkStart w:id="200" w:name="_Toc496792784"/>
      <w:bookmarkStart w:id="201" w:name="_Toc496803914"/>
      <w:r>
        <w:t>C</w:t>
      </w:r>
      <w:r w:rsidR="00877972">
        <w:t>onsider</w:t>
      </w:r>
      <w:r>
        <w:t>ation of</w:t>
      </w:r>
      <w:r w:rsidR="00877972">
        <w:t xml:space="preserve"> school resources</w:t>
      </w:r>
      <w:bookmarkEnd w:id="199"/>
      <w:bookmarkEnd w:id="200"/>
      <w:bookmarkEnd w:id="201"/>
    </w:p>
    <w:p w:rsidR="00954971" w:rsidRDefault="00C20451" w:rsidP="00056A66">
      <w:r>
        <w:t xml:space="preserve">Issues and concerns </w:t>
      </w:r>
      <w:r w:rsidR="00CD0AE1">
        <w:t>with</w:t>
      </w:r>
      <w:r>
        <w:t xml:space="preserve"> the </w:t>
      </w:r>
      <w:r w:rsidR="00A04C8C">
        <w:t xml:space="preserve">SES score’s </w:t>
      </w:r>
      <w:r>
        <w:t xml:space="preserve">objective </w:t>
      </w:r>
      <w:r w:rsidR="00A04C8C">
        <w:t xml:space="preserve">question </w:t>
      </w:r>
      <w:r w:rsidR="009B503B">
        <w:t>the</w:t>
      </w:r>
      <w:r w:rsidR="00A04C8C">
        <w:t xml:space="preserve"> </w:t>
      </w:r>
      <w:r w:rsidR="00CD0AE1">
        <w:t>sole</w:t>
      </w:r>
      <w:r w:rsidR="00BF4FF0">
        <w:t xml:space="preserve"> </w:t>
      </w:r>
      <w:r w:rsidR="00CD0AE1">
        <w:t xml:space="preserve">use of SES to measure </w:t>
      </w:r>
      <w:r w:rsidR="00BF4FF0">
        <w:t xml:space="preserve">the </w:t>
      </w:r>
      <w:r>
        <w:t xml:space="preserve">ability of </w:t>
      </w:r>
      <w:r w:rsidR="00983089">
        <w:t>parents to contribute financially towards a school’s resource requirements</w:t>
      </w:r>
      <w:r>
        <w:t>. Two papers</w:t>
      </w:r>
      <w:r w:rsidR="0082071B">
        <w:t xml:space="preserve">—one by a researcher in 2004, and another by a peak body in </w:t>
      </w:r>
      <w:r>
        <w:t>2011</w:t>
      </w:r>
      <w:r w:rsidR="0082071B">
        <w:t>—</w:t>
      </w:r>
      <w:r w:rsidR="00A04C8C">
        <w:t>a</w:t>
      </w:r>
      <w:r>
        <w:t>rgu</w:t>
      </w:r>
      <w:r w:rsidR="00A04C8C">
        <w:t>e</w:t>
      </w:r>
      <w:r>
        <w:t xml:space="preserve"> that funding provided to </w:t>
      </w:r>
      <w:r w:rsidR="002263C4">
        <w:t>non</w:t>
      </w:r>
      <w:r w:rsidR="002263C4">
        <w:noBreakHyphen/>
        <w:t>government</w:t>
      </w:r>
      <w:r>
        <w:t xml:space="preserve"> schools should not just be </w:t>
      </w:r>
      <w:r w:rsidR="00822F1E">
        <w:t>based on</w:t>
      </w:r>
      <w:r>
        <w:t xml:space="preserve"> </w:t>
      </w:r>
      <w:r w:rsidR="00983089">
        <w:t>parental capacity</w:t>
      </w:r>
      <w:r w:rsidR="009E4658">
        <w:t xml:space="preserve"> </w:t>
      </w:r>
      <w:r w:rsidR="0082071B">
        <w:t xml:space="preserve">to contribute </w:t>
      </w:r>
      <w:r w:rsidR="009E4658">
        <w:t>(</w:t>
      </w:r>
      <w:r w:rsidR="00D76FBB">
        <w:t xml:space="preserve">see </w:t>
      </w:r>
      <w:r w:rsidR="00D76FBB">
        <w:fldChar w:fldCharType="begin"/>
      </w:r>
      <w:r w:rsidR="00D76FBB">
        <w:instrText xml:space="preserve"> REF _Ref496881400 \h </w:instrText>
      </w:r>
      <w:r w:rsidR="00D76FBB">
        <w:fldChar w:fldCharType="separate"/>
      </w:r>
      <w:r w:rsidR="00B52C11">
        <w:t xml:space="preserve">Table </w:t>
      </w:r>
      <w:r w:rsidR="00B52C11">
        <w:rPr>
          <w:noProof/>
        </w:rPr>
        <w:t>B</w:t>
      </w:r>
      <w:r w:rsidR="00B52C11">
        <w:noBreakHyphen/>
      </w:r>
      <w:r w:rsidR="00B52C11">
        <w:rPr>
          <w:noProof/>
        </w:rPr>
        <w:t>1</w:t>
      </w:r>
      <w:r w:rsidR="00D76FBB">
        <w:fldChar w:fldCharType="end"/>
      </w:r>
      <w:r w:rsidR="009E4658">
        <w:t>)</w:t>
      </w:r>
      <w:r>
        <w:t xml:space="preserve">. </w:t>
      </w:r>
    </w:p>
    <w:p w:rsidR="00A14F9A" w:rsidRDefault="00C20451" w:rsidP="003C1522">
      <w:r>
        <w:t xml:space="preserve">The 2004 paper argues that consideration </w:t>
      </w:r>
      <w:r w:rsidR="00954971">
        <w:t xml:space="preserve">of school private income </w:t>
      </w:r>
      <w:r>
        <w:t>should be limited to</w:t>
      </w:r>
      <w:r w:rsidRPr="00C20451">
        <w:t xml:space="preserve"> private recurrent income from endowments or donations</w:t>
      </w:r>
      <w:r w:rsidR="00954971">
        <w:t xml:space="preserve"> </w:t>
      </w:r>
      <w:sdt>
        <w:sdtPr>
          <w:id w:val="-1423797107"/>
          <w:citation/>
        </w:sdtPr>
        <w:sdtContent>
          <w:r w:rsidR="00954971">
            <w:fldChar w:fldCharType="begin"/>
          </w:r>
          <w:r w:rsidR="003D42AD">
            <w:instrText xml:space="preserve">CITATION Wat04 \l 3081 </w:instrText>
          </w:r>
          <w:r w:rsidR="00954971">
            <w:fldChar w:fldCharType="separate"/>
          </w:r>
          <w:r w:rsidR="005333F5">
            <w:rPr>
              <w:noProof/>
            </w:rPr>
            <w:t>(Watson, 2004)</w:t>
          </w:r>
          <w:r w:rsidR="00954971">
            <w:fldChar w:fldCharType="end"/>
          </w:r>
        </w:sdtContent>
      </w:sdt>
      <w:r w:rsidRPr="00C20451">
        <w:t>.</w:t>
      </w:r>
      <w:r>
        <w:t xml:space="preserve"> </w:t>
      </w:r>
      <w:r w:rsidR="00A14F9A">
        <w:t>The point is made that this limited approach would avoid returning to the problems associated with the ERI-funding mechanism</w:t>
      </w:r>
      <w:r w:rsidR="00E341F2">
        <w:t xml:space="preserve"> </w:t>
      </w:r>
      <w:r w:rsidR="00954971">
        <w:t>that</w:t>
      </w:r>
      <w:r w:rsidR="00E341F2">
        <w:t xml:space="preserve"> led to the introduction of the SES score (see </w:t>
      </w:r>
      <w:r w:rsidR="003D42AD">
        <w:t>S</w:t>
      </w:r>
      <w:r w:rsidR="00E341F2">
        <w:t xml:space="preserve">ection </w:t>
      </w:r>
      <w:r w:rsidR="00E341F2">
        <w:fldChar w:fldCharType="begin"/>
      </w:r>
      <w:r w:rsidR="00E341F2">
        <w:instrText xml:space="preserve"> REF _Ref489967724 \r \h </w:instrText>
      </w:r>
      <w:r w:rsidR="00E341F2">
        <w:fldChar w:fldCharType="separate"/>
      </w:r>
      <w:r w:rsidR="00B52C11">
        <w:t>2</w:t>
      </w:r>
      <w:r w:rsidR="00E341F2">
        <w:fldChar w:fldCharType="end"/>
      </w:r>
      <w:r w:rsidR="00E341F2">
        <w:t xml:space="preserve">, p. </w:t>
      </w:r>
      <w:r w:rsidR="00E341F2">
        <w:fldChar w:fldCharType="begin"/>
      </w:r>
      <w:r w:rsidR="00E341F2">
        <w:instrText xml:space="preserve"> PAGEREF _Ref493587127 \h </w:instrText>
      </w:r>
      <w:r w:rsidR="00E341F2">
        <w:fldChar w:fldCharType="separate"/>
      </w:r>
      <w:r w:rsidR="00B52C11">
        <w:rPr>
          <w:noProof/>
        </w:rPr>
        <w:t>4</w:t>
      </w:r>
      <w:r w:rsidR="00E341F2">
        <w:fldChar w:fldCharType="end"/>
      </w:r>
      <w:r w:rsidR="00E341F2">
        <w:t>)</w:t>
      </w:r>
      <w:r w:rsidR="00A14F9A">
        <w:t xml:space="preserve">. </w:t>
      </w:r>
    </w:p>
    <w:p w:rsidR="006429E3" w:rsidRDefault="00A14F9A" w:rsidP="005C7496">
      <w:r>
        <w:t>In contrast, t</w:t>
      </w:r>
      <w:r w:rsidR="00C20451">
        <w:t>he 2011 paper, which was a submission to the Review of Fund</w:t>
      </w:r>
      <w:r>
        <w:t>ing for Schooling, argue</w:t>
      </w:r>
      <w:r w:rsidR="001B45E7">
        <w:t>s</w:t>
      </w:r>
      <w:r>
        <w:t xml:space="preserve"> that </w:t>
      </w:r>
      <w:r w:rsidRPr="00D12EBC">
        <w:rPr>
          <w:i/>
        </w:rPr>
        <w:t>all</w:t>
      </w:r>
      <w:r>
        <w:t xml:space="preserve"> school private income should be considered, as well as school SES, in the provision of </w:t>
      </w:r>
      <w:r w:rsidR="00E341F2">
        <w:t xml:space="preserve">Australian Government </w:t>
      </w:r>
      <w:r>
        <w:t xml:space="preserve">funding to </w:t>
      </w:r>
      <w:r w:rsidR="002263C4">
        <w:t>non</w:t>
      </w:r>
      <w:r w:rsidR="002263C4">
        <w:noBreakHyphen/>
        <w:t>government</w:t>
      </w:r>
      <w:r w:rsidR="00E341F2">
        <w:t xml:space="preserve"> </w:t>
      </w:r>
      <w:r>
        <w:t>schools</w:t>
      </w:r>
      <w:r w:rsidR="00954971">
        <w:t xml:space="preserve"> </w:t>
      </w:r>
      <w:sdt>
        <w:sdtPr>
          <w:id w:val="-1360202739"/>
          <w:citation/>
        </w:sdtPr>
        <w:sdtContent>
          <w:r w:rsidR="00954971">
            <w:fldChar w:fldCharType="begin"/>
          </w:r>
          <w:r w:rsidR="00954971">
            <w:instrText xml:space="preserve">CITATION Nat11 \p 22-24 \l 3081 </w:instrText>
          </w:r>
          <w:r w:rsidR="00954971">
            <w:fldChar w:fldCharType="separate"/>
          </w:r>
          <w:r w:rsidR="005333F5">
            <w:rPr>
              <w:noProof/>
            </w:rPr>
            <w:t>(National Catholic Education Commission, 2011, pp. 22-24)</w:t>
          </w:r>
          <w:r w:rsidR="00954971">
            <w:fldChar w:fldCharType="end"/>
          </w:r>
        </w:sdtContent>
      </w:sdt>
      <w:r>
        <w:t xml:space="preserve">. </w:t>
      </w:r>
      <w:r w:rsidR="00D12EBC">
        <w:t xml:space="preserve">The consideration of all school private income would have parallels to the earlier ERI funding mechanism. </w:t>
      </w:r>
      <w:r w:rsidR="003D42AD">
        <w:t xml:space="preserve">Documentation on the SES score development process does not mention </w:t>
      </w:r>
      <w:r w:rsidR="005C7496">
        <w:t>consideration</w:t>
      </w:r>
      <w:r w:rsidR="003D42AD">
        <w:t xml:space="preserve"> of a funding approach </w:t>
      </w:r>
      <w:r w:rsidR="005C7496">
        <w:t>incorporating</w:t>
      </w:r>
      <w:r w:rsidR="003D42AD">
        <w:t xml:space="preserve"> both school SES and private income </w:t>
      </w:r>
      <w:sdt>
        <w:sdtPr>
          <w:id w:val="-51316345"/>
          <w:citation/>
        </w:sdtPr>
        <w:sdtContent>
          <w:r w:rsidR="003D42AD">
            <w:fldChar w:fldCharType="begin"/>
          </w:r>
          <w:r w:rsidR="003D42AD">
            <w:instrText xml:space="preserve"> CITATION Dep97 \l 3081 </w:instrText>
          </w:r>
          <w:r w:rsidR="003D42AD">
            <w:fldChar w:fldCharType="separate"/>
          </w:r>
          <w:r w:rsidR="005333F5">
            <w:rPr>
              <w:noProof/>
            </w:rPr>
            <w:t>(Department of Employment, Education, Training and Youth Affairs, 1997)</w:t>
          </w:r>
          <w:r w:rsidR="003D42AD">
            <w:fldChar w:fldCharType="end"/>
          </w:r>
        </w:sdtContent>
      </w:sdt>
      <w:r w:rsidR="003D42AD">
        <w:t>.</w:t>
      </w:r>
    </w:p>
    <w:p w:rsidR="00954971" w:rsidRDefault="00877972" w:rsidP="00954971">
      <w:r>
        <w:t xml:space="preserve">A book published in </w:t>
      </w:r>
      <w:r w:rsidR="00954971">
        <w:t>2014</w:t>
      </w:r>
      <w:r>
        <w:t xml:space="preserve"> </w:t>
      </w:r>
      <w:r w:rsidR="00954971">
        <w:t>argues that the SES score does not consider the resources accumulated by a school in the past. This issue alludes to consider</w:t>
      </w:r>
      <w:r w:rsidR="001B45E7">
        <w:t>ing</w:t>
      </w:r>
      <w:r w:rsidR="00954971">
        <w:t xml:space="preserve"> not just school fee</w:t>
      </w:r>
      <w:r w:rsidR="001B45E7">
        <w:t xml:space="preserve"> income</w:t>
      </w:r>
      <w:r w:rsidR="00954971">
        <w:t xml:space="preserve">, but also accumulated resources. The author does not </w:t>
      </w:r>
      <w:r>
        <w:t>elaborate on what specific accumulated resources should be considered—they may have been referring to school financial and fixed capital assets</w:t>
      </w:r>
      <w:r w:rsidR="00D76FBB">
        <w:t xml:space="preserve"> </w:t>
      </w:r>
      <w:sdt>
        <w:sdtPr>
          <w:id w:val="2035155683"/>
          <w:citation/>
        </w:sdtPr>
        <w:sdtContent>
          <w:r w:rsidR="00D76FBB">
            <w:fldChar w:fldCharType="begin"/>
          </w:r>
          <w:r w:rsidR="00D76FBB">
            <w:instrText xml:space="preserve"> CITATION Mad14 \l 3081 </w:instrText>
          </w:r>
          <w:r w:rsidR="00D76FBB">
            <w:fldChar w:fldCharType="separate"/>
          </w:r>
          <w:r w:rsidR="005333F5">
            <w:rPr>
              <w:noProof/>
            </w:rPr>
            <w:t>(Maddox, 2014)</w:t>
          </w:r>
          <w:r w:rsidR="00D76FBB">
            <w:fldChar w:fldCharType="end"/>
          </w:r>
        </w:sdtContent>
      </w:sdt>
      <w:r>
        <w:t xml:space="preserve">. </w:t>
      </w:r>
    </w:p>
    <w:p w:rsidR="00FC34D6" w:rsidRDefault="00822F1E" w:rsidP="0051054D">
      <w:r w:rsidRPr="00F54ADB">
        <w:t xml:space="preserve">A </w:t>
      </w:r>
      <w:r w:rsidR="00D76FBB">
        <w:t>different</w:t>
      </w:r>
      <w:r w:rsidR="00D76FBB" w:rsidRPr="00F54ADB">
        <w:t xml:space="preserve"> </w:t>
      </w:r>
      <w:r w:rsidRPr="00F54ADB">
        <w:t xml:space="preserve">point was made in a separate </w:t>
      </w:r>
      <w:r w:rsidR="00F54ADB">
        <w:t xml:space="preserve">2011 </w:t>
      </w:r>
      <w:r w:rsidRPr="00F54ADB">
        <w:t xml:space="preserve">submission to the Review of Funding for Schooling, </w:t>
      </w:r>
      <w:r w:rsidR="00C56681">
        <w:t>stating</w:t>
      </w:r>
      <w:r w:rsidRPr="00F54ADB">
        <w:t xml:space="preserve"> that consideration should be given to ensuring low fee independent schools have an adequate resource base. This submission indicated that low fee independent schools in the lower SES score bands have limited capacity to raise private income. As this feedback was focussed on the previous SES funding model, it is not known whether the current SRS funding model has addressed these issues</w:t>
      </w:r>
      <w:r w:rsidR="00F54ADB">
        <w:t xml:space="preserve"> </w:t>
      </w:r>
      <w:sdt>
        <w:sdtPr>
          <w:id w:val="-1276330963"/>
          <w:citation/>
        </w:sdtPr>
        <w:sdtContent>
          <w:r w:rsidR="00F54ADB">
            <w:fldChar w:fldCharType="begin"/>
          </w:r>
          <w:r w:rsidR="00F54ADB">
            <w:instrText xml:space="preserve"> CITATION Ind11 \l 3081 </w:instrText>
          </w:r>
          <w:r w:rsidR="00F54ADB">
            <w:fldChar w:fldCharType="separate"/>
          </w:r>
          <w:r w:rsidR="005333F5">
            <w:rPr>
              <w:noProof/>
            </w:rPr>
            <w:t>(Independent Schools Council of Australia, 2011)</w:t>
          </w:r>
          <w:r w:rsidR="00F54ADB">
            <w:fldChar w:fldCharType="end"/>
          </w:r>
        </w:sdtContent>
      </w:sdt>
      <w:r w:rsidRPr="00F54ADB">
        <w:t xml:space="preserve">. </w:t>
      </w:r>
    </w:p>
    <w:p w:rsidR="00754ACC" w:rsidRDefault="00754ACC" w:rsidP="00754ACC">
      <w:pPr>
        <w:pStyle w:val="Heading3"/>
      </w:pPr>
      <w:bookmarkStart w:id="202" w:name="_Toc495409794"/>
      <w:bookmarkStart w:id="203" w:name="_Toc496792785"/>
      <w:bookmarkStart w:id="204" w:name="_Toc496803915"/>
      <w:r>
        <w:t>The policy choice identified by the Review of Funding for Schooling</w:t>
      </w:r>
      <w:bookmarkEnd w:id="202"/>
      <w:bookmarkEnd w:id="203"/>
      <w:bookmarkEnd w:id="204"/>
    </w:p>
    <w:p w:rsidR="00754ACC" w:rsidRDefault="00754ACC" w:rsidP="00754ACC">
      <w:r>
        <w:t xml:space="preserve">In its report, the Review of Funding for Schooling conceptualised </w:t>
      </w:r>
      <w:r w:rsidR="00D76FBB">
        <w:t xml:space="preserve">the </w:t>
      </w:r>
      <w:r>
        <w:t xml:space="preserve">policy choice of </w:t>
      </w:r>
      <w:r w:rsidR="00D76FBB">
        <w:t xml:space="preserve">how the Australian Government provides </w:t>
      </w:r>
      <w:r>
        <w:t xml:space="preserve">funding for </w:t>
      </w:r>
      <w:r w:rsidR="002263C4">
        <w:t>non</w:t>
      </w:r>
      <w:r w:rsidR="002263C4">
        <w:noBreakHyphen/>
        <w:t>government</w:t>
      </w:r>
      <w:r>
        <w:t xml:space="preserve"> schools being based on either: </w:t>
      </w:r>
    </w:p>
    <w:p w:rsidR="00754ACC" w:rsidRDefault="00754ACC" w:rsidP="00754ACC">
      <w:pPr>
        <w:pStyle w:val="Quote"/>
        <w:numPr>
          <w:ilvl w:val="0"/>
          <w:numId w:val="39"/>
        </w:numPr>
      </w:pPr>
      <w:r>
        <w:t>the capacity for parents and a school community to contribute towards the cost of schooling through fees and other private assistance</w:t>
      </w:r>
    </w:p>
    <w:p w:rsidR="00754ACC" w:rsidRDefault="00754ACC" w:rsidP="00754ACC">
      <w:pPr>
        <w:pStyle w:val="Quote"/>
        <w:numPr>
          <w:ilvl w:val="0"/>
          <w:numId w:val="39"/>
        </w:numPr>
      </w:pPr>
      <w:r>
        <w:t xml:space="preserve">the actual extent to which </w:t>
      </w:r>
      <w:r w:rsidR="00D76FBB">
        <w:t xml:space="preserve">[…] [parents and school communities </w:t>
      </w:r>
      <w:r w:rsidR="00BA5C2E">
        <w:t xml:space="preserve">do </w:t>
      </w:r>
      <w:r w:rsidR="00D76FBB">
        <w:t>contribute towards the cost of schooling]</w:t>
      </w:r>
      <w:r>
        <w:t xml:space="preserve">, which may reflect the extent to which they are asked to contribute by schools or are willing to contribute </w:t>
      </w:r>
      <w:sdt>
        <w:sdtPr>
          <w:id w:val="-225068840"/>
          <w:citation/>
        </w:sdtPr>
        <w:sdtContent>
          <w:r>
            <w:fldChar w:fldCharType="begin"/>
          </w:r>
          <w:r>
            <w:instrText xml:space="preserve">CITATION Gon11 \p 75 \l 3081 </w:instrText>
          </w:r>
          <w:r>
            <w:fldChar w:fldCharType="separate"/>
          </w:r>
          <w:r w:rsidR="005333F5">
            <w:rPr>
              <w:noProof/>
            </w:rPr>
            <w:t>(Gonski, et al., 2011, p. 75)</w:t>
          </w:r>
          <w:r>
            <w:fldChar w:fldCharType="end"/>
          </w:r>
        </w:sdtContent>
      </w:sdt>
      <w:r>
        <w:t>.</w:t>
      </w:r>
    </w:p>
    <w:p w:rsidR="009B6D98" w:rsidRDefault="00754ACC" w:rsidP="00C56681">
      <w:r>
        <w:t xml:space="preserve">As identified in Section </w:t>
      </w:r>
      <w:r>
        <w:fldChar w:fldCharType="begin"/>
      </w:r>
      <w:r>
        <w:instrText xml:space="preserve"> REF _Ref489967724 \r \h </w:instrText>
      </w:r>
      <w:r>
        <w:fldChar w:fldCharType="separate"/>
      </w:r>
      <w:r w:rsidR="00B52C11">
        <w:t>2</w:t>
      </w:r>
      <w:r>
        <w:fldChar w:fldCharType="end"/>
      </w:r>
      <w:r>
        <w:t xml:space="preserve"> (p. </w:t>
      </w:r>
      <w:r>
        <w:fldChar w:fldCharType="begin"/>
      </w:r>
      <w:r>
        <w:instrText xml:space="preserve"> PAGEREF _Ref493512211 \h </w:instrText>
      </w:r>
      <w:r>
        <w:fldChar w:fldCharType="separate"/>
      </w:r>
      <w:r w:rsidR="00B52C11">
        <w:rPr>
          <w:noProof/>
        </w:rPr>
        <w:t>16</w:t>
      </w:r>
      <w:r>
        <w:fldChar w:fldCharType="end"/>
      </w:r>
      <w:r>
        <w:t xml:space="preserve">), the Review of Funding for Schooling recommended that the capacity to contribute </w:t>
      </w:r>
      <w:r w:rsidR="00BA5C2E">
        <w:t xml:space="preserve">concept </w:t>
      </w:r>
      <w:r>
        <w:t xml:space="preserve">continue to be applied. </w:t>
      </w:r>
    </w:p>
    <w:p w:rsidR="00B16FE6" w:rsidRDefault="00345EDB" w:rsidP="00B16FE6">
      <w:bookmarkStart w:id="205" w:name="_Toc493598491"/>
      <w:bookmarkStart w:id="206" w:name="_Toc495409795"/>
      <w:r>
        <w:t xml:space="preserve">Whether the measurement of the capacity to contribute should consider school resources, or be based solely on the SES of school communities, is a fundamental issue requiring further consideration. </w:t>
      </w:r>
      <w:r w:rsidR="00BA5C2E">
        <w:t xml:space="preserve">A specific question requiring decision is whether </w:t>
      </w:r>
      <w:r>
        <w:t xml:space="preserve">Australian Government funding for two different </w:t>
      </w:r>
      <w:r w:rsidR="002263C4">
        <w:t>non</w:t>
      </w:r>
      <w:r w:rsidR="002263C4">
        <w:noBreakHyphen/>
        <w:t>government</w:t>
      </w:r>
      <w:r>
        <w:t xml:space="preserve"> schools </w:t>
      </w:r>
      <w:r w:rsidR="00BA5C2E">
        <w:t xml:space="preserve">should vary </w:t>
      </w:r>
      <w:r>
        <w:t>where parents have exactly the same SES</w:t>
      </w:r>
      <w:r w:rsidR="00BA5C2E">
        <w:t>, even</w:t>
      </w:r>
      <w:r>
        <w:t xml:space="preserve"> if one school has higher fees and private income than the other? In this case the parents at each school are choosing pay </w:t>
      </w:r>
      <w:r w:rsidR="00BA5C2E">
        <w:t>different fees</w:t>
      </w:r>
      <w:r>
        <w:t xml:space="preserve">, despite having an equal capacity to contribute. </w:t>
      </w:r>
    </w:p>
    <w:p w:rsidR="00AC3141" w:rsidRDefault="00AC3141" w:rsidP="00AC3141">
      <w:pPr>
        <w:pStyle w:val="Heading2"/>
      </w:pPr>
      <w:bookmarkStart w:id="207" w:name="_Toc496792786"/>
      <w:bookmarkStart w:id="208" w:name="_Toc496803916"/>
      <w:r>
        <w:t>Design of the SES score</w:t>
      </w:r>
      <w:bookmarkEnd w:id="205"/>
      <w:bookmarkEnd w:id="206"/>
      <w:bookmarkEnd w:id="207"/>
      <w:bookmarkEnd w:id="208"/>
    </w:p>
    <w:p w:rsidR="00322AB3" w:rsidRDefault="000F5B65" w:rsidP="00AC3141">
      <w:r>
        <w:t xml:space="preserve">Several </w:t>
      </w:r>
      <w:r w:rsidR="00AC3141">
        <w:t xml:space="preserve">issues and concerns </w:t>
      </w:r>
      <w:r>
        <w:t xml:space="preserve">have been </w:t>
      </w:r>
      <w:r w:rsidR="00AC3141">
        <w:t xml:space="preserve">raised regarding the </w:t>
      </w:r>
      <w:r>
        <w:t xml:space="preserve">design of the </w:t>
      </w:r>
      <w:r w:rsidR="00AC3141">
        <w:t>SES score</w:t>
      </w:r>
      <w:r w:rsidR="00322AB3">
        <w:t>:</w:t>
      </w:r>
    </w:p>
    <w:p w:rsidR="00E341F2" w:rsidRDefault="00E341F2" w:rsidP="00B904A6">
      <w:pPr>
        <w:pStyle w:val="Dotpoints"/>
      </w:pPr>
      <w:r>
        <w:t>the inclusion of the occupation and education dimensions in the SES score calculation</w:t>
      </w:r>
    </w:p>
    <w:p w:rsidR="00B904A6" w:rsidRDefault="00B904A6" w:rsidP="00B904A6">
      <w:pPr>
        <w:pStyle w:val="Dotpoints"/>
      </w:pPr>
      <w:r>
        <w:t>the weighting applied to the four SES score dimensions when calculating a school SES score</w:t>
      </w:r>
    </w:p>
    <w:p w:rsidR="001D723C" w:rsidRDefault="00322AB3" w:rsidP="00584F7E">
      <w:pPr>
        <w:pStyle w:val="Dotpoints"/>
      </w:pPr>
      <w:r>
        <w:t xml:space="preserve">similar data used in the SES score being applied in the </w:t>
      </w:r>
      <w:r w:rsidR="00ED243A">
        <w:t>application</w:t>
      </w:r>
      <w:r>
        <w:t xml:space="preserve"> of SRS loadings</w:t>
      </w:r>
    </w:p>
    <w:p w:rsidR="00C56681" w:rsidRDefault="00C56681" w:rsidP="00584F7E">
      <w:pPr>
        <w:pStyle w:val="Dotpoints"/>
      </w:pPr>
      <w:r>
        <w:t>household wealth not being included in the SES score</w:t>
      </w:r>
    </w:p>
    <w:p w:rsidR="003762FF" w:rsidRDefault="00C56681" w:rsidP="00584F7E">
      <w:pPr>
        <w:pStyle w:val="Dotpoints"/>
      </w:pPr>
      <w:r>
        <w:t>the treatment of family size in the SES score</w:t>
      </w:r>
      <w:r w:rsidR="003762FF">
        <w:t xml:space="preserve">. </w:t>
      </w:r>
    </w:p>
    <w:p w:rsidR="001D723C" w:rsidRDefault="001D723C" w:rsidP="001D723C">
      <w:pPr>
        <w:pStyle w:val="Heading3"/>
      </w:pPr>
      <w:bookmarkStart w:id="209" w:name="_Toc493598492"/>
      <w:bookmarkStart w:id="210" w:name="_Toc495409796"/>
      <w:bookmarkStart w:id="211" w:name="_Toc496792787"/>
      <w:bookmarkStart w:id="212" w:name="_Toc496803917"/>
      <w:r>
        <w:t>Inclusion of the occupation and education dimensions in the SES score calculation</w:t>
      </w:r>
      <w:bookmarkEnd w:id="209"/>
      <w:bookmarkEnd w:id="210"/>
      <w:bookmarkEnd w:id="211"/>
      <w:bookmarkEnd w:id="212"/>
    </w:p>
    <w:p w:rsidR="002E2082" w:rsidRDefault="001D723C" w:rsidP="002E2082">
      <w:r>
        <w:t xml:space="preserve">The inclusion of the occupation and education dimensions in the SES score calculation, and the </w:t>
      </w:r>
      <w:r w:rsidR="002E2082">
        <w:t xml:space="preserve">weighting for these </w:t>
      </w:r>
      <w:r>
        <w:t>dimensions</w:t>
      </w:r>
      <w:r w:rsidR="002E2082">
        <w:t xml:space="preserve">—occupation </w:t>
      </w:r>
      <w:r w:rsidR="002E2082" w:rsidRPr="00322AB3">
        <w:t>(⅓)</w:t>
      </w:r>
      <w:r w:rsidR="002E2082">
        <w:t xml:space="preserve"> and education </w:t>
      </w:r>
      <w:r w:rsidR="002E2082" w:rsidRPr="00322AB3">
        <w:t>(⅓)</w:t>
      </w:r>
      <w:r w:rsidR="002E2082">
        <w:t xml:space="preserve">—has been </w:t>
      </w:r>
      <w:r w:rsidR="00BD7A97">
        <w:t xml:space="preserve">the subject of </w:t>
      </w:r>
      <w:r w:rsidR="00E341F2">
        <w:t>question</w:t>
      </w:r>
      <w:r w:rsidR="00BD7A97">
        <w:t>ing</w:t>
      </w:r>
      <w:r w:rsidR="00E341F2">
        <w:t>.</w:t>
      </w:r>
      <w:r>
        <w:t xml:space="preserve"> </w:t>
      </w:r>
    </w:p>
    <w:p w:rsidR="00B770FF" w:rsidRDefault="002E2082" w:rsidP="002E2082">
      <w:r>
        <w:t>A</w:t>
      </w:r>
      <w:r w:rsidR="000426A7">
        <w:t xml:space="preserve">s discussed in </w:t>
      </w:r>
      <w:r w:rsidR="00A379AD">
        <w:t>Section</w:t>
      </w:r>
      <w:r w:rsidR="000426A7">
        <w:t xml:space="preserve"> </w:t>
      </w:r>
      <w:r w:rsidR="000426A7">
        <w:fldChar w:fldCharType="begin"/>
      </w:r>
      <w:r w:rsidR="000426A7">
        <w:instrText xml:space="preserve"> REF _Ref489967726 \r \h </w:instrText>
      </w:r>
      <w:r w:rsidR="000426A7">
        <w:fldChar w:fldCharType="separate"/>
      </w:r>
      <w:r w:rsidR="00B52C11">
        <w:t>3</w:t>
      </w:r>
      <w:r w:rsidR="000426A7">
        <w:fldChar w:fldCharType="end"/>
      </w:r>
      <w:r w:rsidR="000426A7">
        <w:t xml:space="preserve"> (p. </w:t>
      </w:r>
      <w:r w:rsidR="000426A7">
        <w:fldChar w:fldCharType="begin"/>
      </w:r>
      <w:r w:rsidR="000426A7">
        <w:instrText xml:space="preserve"> PAGEREF _Ref492991626 \h </w:instrText>
      </w:r>
      <w:r w:rsidR="000426A7">
        <w:fldChar w:fldCharType="separate"/>
      </w:r>
      <w:r w:rsidR="00B52C11">
        <w:rPr>
          <w:noProof/>
        </w:rPr>
        <w:t>12</w:t>
      </w:r>
      <w:r w:rsidR="000426A7">
        <w:fldChar w:fldCharType="end"/>
      </w:r>
      <w:r w:rsidR="000426A7">
        <w:t>) the rationale for including the occupation and education dimensions, and their weights, was that this resulted in a broa</w:t>
      </w:r>
      <w:r>
        <w:t xml:space="preserve">der spread of school SES scores, and a </w:t>
      </w:r>
      <w:r w:rsidRPr="002E2082">
        <w:t>more precise and stable profile of schools</w:t>
      </w:r>
      <w:r>
        <w:t xml:space="preserve">. Furthermore, it is </w:t>
      </w:r>
      <w:r w:rsidR="00B770FF" w:rsidRPr="002E2082">
        <w:t>understood that the choice of dimension weight</w:t>
      </w:r>
      <w:r w:rsidR="00955954">
        <w:t>ing</w:t>
      </w:r>
      <w:r w:rsidR="00B770FF" w:rsidRPr="002E2082">
        <w:t xml:space="preserve"> was a policy decision made in consultation with stakeholders, and not one based on any specific analysis findings.</w:t>
      </w:r>
    </w:p>
    <w:p w:rsidR="00B770FF" w:rsidRDefault="00B770FF" w:rsidP="002E2082">
      <w:r w:rsidRPr="00DA3A17">
        <w:t xml:space="preserve">At the time the SES score was developed, it was noted that education level and occupation type were highly correlated between themselves, and with income </w:t>
      </w:r>
      <w:sdt>
        <w:sdtPr>
          <w:id w:val="1003860726"/>
          <w:citation/>
        </w:sdtPr>
        <w:sdtContent>
          <w:r w:rsidRPr="00DA3A17">
            <w:fldChar w:fldCharType="begin"/>
          </w:r>
          <w:r w:rsidRPr="00DA3A17">
            <w:instrText xml:space="preserve"> CITATION Sch \l 3081 </w:instrText>
          </w:r>
          <w:r w:rsidRPr="00DA3A17">
            <w:fldChar w:fldCharType="separate"/>
          </w:r>
          <w:r w:rsidR="005333F5">
            <w:rPr>
              <w:noProof/>
            </w:rPr>
            <w:t>(Department of Education, Training and Youth Affairs, 1998)</w:t>
          </w:r>
          <w:r w:rsidRPr="00DA3A17">
            <w:fldChar w:fldCharType="end"/>
          </w:r>
        </w:sdtContent>
      </w:sdt>
      <w:r w:rsidRPr="00DA3A17">
        <w:t xml:space="preserve">. </w:t>
      </w:r>
      <w:r w:rsidR="002E2082" w:rsidRPr="00DA3A17">
        <w:t xml:space="preserve">This relationship has also been questioned </w:t>
      </w:r>
      <w:r w:rsidR="00BA5C2E">
        <w:t xml:space="preserve">by a stakeholder </w:t>
      </w:r>
      <w:r w:rsidR="002E2082" w:rsidRPr="00DA3A17">
        <w:t xml:space="preserve">using </w:t>
      </w:r>
      <w:r w:rsidRPr="00DA3A17">
        <w:t>parent</w:t>
      </w:r>
      <w:r w:rsidR="00DA3A17" w:rsidRPr="00DA3A17">
        <w:t>al</w:t>
      </w:r>
      <w:r w:rsidRPr="00DA3A17">
        <w:t xml:space="preserve"> data from </w:t>
      </w:r>
      <w:r w:rsidR="00DA3A17" w:rsidRPr="00DA3A17">
        <w:t>the Longitudinal Study of Australian Children</w:t>
      </w:r>
      <w:r w:rsidR="00DA3A17">
        <w:t xml:space="preserve"> (LSAC)</w:t>
      </w:r>
      <w:r>
        <w:t xml:space="preserve"> to analyse relationships between occupation and income, and education and income. The </w:t>
      </w:r>
      <w:r w:rsidR="00DA3A17">
        <w:t xml:space="preserve">cited </w:t>
      </w:r>
      <w:r>
        <w:t xml:space="preserve">finding </w:t>
      </w:r>
      <w:r w:rsidR="00DA3A17">
        <w:t>from</w:t>
      </w:r>
      <w:r>
        <w:t xml:space="preserve"> </w:t>
      </w:r>
      <w:r w:rsidR="00BD7A97">
        <w:rPr>
          <w:noProof/>
        </w:rPr>
        <w:t>Marks (2016)</w:t>
      </w:r>
      <w:r>
        <w:t xml:space="preserve"> contrast</w:t>
      </w:r>
      <w:r w:rsidR="00DA3A17">
        <w:t>s</w:t>
      </w:r>
      <w:r>
        <w:t xml:space="preserve"> with other Australian research, which finds ‘higher levels of education are estimated to be associated with significantly higher wages </w:t>
      </w:r>
      <w:sdt>
        <w:sdtPr>
          <w:id w:val="1628043080"/>
          <w:citation/>
        </w:sdtPr>
        <w:sdtContent>
          <w:r>
            <w:fldChar w:fldCharType="begin"/>
          </w:r>
          <w:r>
            <w:instrText xml:space="preserve">CITATION For10 \p XII \l 3081 </w:instrText>
          </w:r>
          <w:r>
            <w:fldChar w:fldCharType="separate"/>
          </w:r>
          <w:r w:rsidR="005333F5">
            <w:rPr>
              <w:noProof/>
            </w:rPr>
            <w:t>(Forbes, Barker, &amp; Turner, 2010, p. XII)</w:t>
          </w:r>
          <w:r>
            <w:fldChar w:fldCharType="end"/>
          </w:r>
        </w:sdtContent>
      </w:sdt>
      <w:r>
        <w:t>.</w:t>
      </w:r>
    </w:p>
    <w:p w:rsidR="00345EDB" w:rsidRDefault="00345EDB" w:rsidP="002E2082">
      <w:r>
        <w:t xml:space="preserve">The relevance of including occupation and education in the SES score calculation could be explored by first examining the relationship between both dimensions and income. Further, it is appropriate to also examine whether SES scores are made more stable </w:t>
      </w:r>
      <w:r w:rsidR="00BA5C2E">
        <w:t xml:space="preserve">over time </w:t>
      </w:r>
      <w:r>
        <w:t xml:space="preserve">when also using </w:t>
      </w:r>
      <w:r w:rsidR="00BA5C2E">
        <w:t>education</w:t>
      </w:r>
      <w:r>
        <w:t xml:space="preserve"> and occupation, in combination with income. </w:t>
      </w:r>
    </w:p>
    <w:p w:rsidR="001D723C" w:rsidRDefault="00DA3A17" w:rsidP="00FD4513">
      <w:pPr>
        <w:pStyle w:val="Heading3"/>
      </w:pPr>
      <w:bookmarkStart w:id="213" w:name="_Toc493598493"/>
      <w:bookmarkStart w:id="214" w:name="_Toc495409797"/>
      <w:bookmarkStart w:id="215" w:name="_Toc496792788"/>
      <w:bookmarkStart w:id="216" w:name="_Toc496803918"/>
      <w:r>
        <w:t>The u</w:t>
      </w:r>
      <w:r w:rsidR="001D723C">
        <w:t xml:space="preserve">se of occupation and education variables in </w:t>
      </w:r>
      <w:r>
        <w:t xml:space="preserve">two SRS elements: </w:t>
      </w:r>
      <w:r w:rsidR="001D723C">
        <w:t>SES score and</w:t>
      </w:r>
      <w:r w:rsidR="003762FF">
        <w:t xml:space="preserve"> </w:t>
      </w:r>
      <w:r w:rsidR="001D723C">
        <w:t>ICSEA</w:t>
      </w:r>
      <w:bookmarkEnd w:id="213"/>
      <w:bookmarkEnd w:id="214"/>
      <w:bookmarkEnd w:id="215"/>
      <w:bookmarkEnd w:id="216"/>
      <w:r w:rsidR="001D723C">
        <w:t xml:space="preserve"> </w:t>
      </w:r>
    </w:p>
    <w:p w:rsidR="001D723C" w:rsidRDefault="00DA3A17" w:rsidP="00FD4513">
      <w:pPr>
        <w:spacing w:after="200"/>
      </w:pPr>
      <w:r>
        <w:t>V</w:t>
      </w:r>
      <w:r w:rsidR="001D723C">
        <w:t xml:space="preserve">ariables representing education and occupation are used </w:t>
      </w:r>
      <w:r>
        <w:t xml:space="preserve">in two elements that ultimately form part of the SRS—the </w:t>
      </w:r>
      <w:r w:rsidR="001D723C">
        <w:t xml:space="preserve">calculation of SES scores and ICSEA. </w:t>
      </w:r>
      <w:r>
        <w:t xml:space="preserve">Students in </w:t>
      </w:r>
      <w:r w:rsidR="001D723C">
        <w:t xml:space="preserve">ICSEA quartiles </w:t>
      </w:r>
      <w:r>
        <w:t>1 and 2 attract</w:t>
      </w:r>
      <w:r w:rsidR="001D723C">
        <w:t xml:space="preserve"> low SES loadings within the SRS. </w:t>
      </w:r>
    </w:p>
    <w:p w:rsidR="001D723C" w:rsidRDefault="001D723C" w:rsidP="00FD4513">
      <w:pPr>
        <w:spacing w:after="200"/>
      </w:pPr>
      <w:r>
        <w:t>ICSEA is generated using data collected from schools on the education level and occupation of parents and guardians. In contrast, the SES score us</w:t>
      </w:r>
      <w:r w:rsidR="000426A7">
        <w:t>es</w:t>
      </w:r>
      <w:r>
        <w:t xml:space="preserve"> data on residents in SA1s.</w:t>
      </w:r>
    </w:p>
    <w:p w:rsidR="00B770FF" w:rsidRDefault="001D723C" w:rsidP="00FD4513">
      <w:pPr>
        <w:spacing w:after="200"/>
      </w:pPr>
      <w:r>
        <w:t xml:space="preserve">The implication of these two uses of education and occupation data is that these measures, albeit collected differently, play a greater role </w:t>
      </w:r>
      <w:r w:rsidRPr="00DA3A17">
        <w:t xml:space="preserve">in the allocation of funding to </w:t>
      </w:r>
      <w:r w:rsidR="002263C4">
        <w:t>non</w:t>
      </w:r>
      <w:r w:rsidR="002263C4">
        <w:noBreakHyphen/>
        <w:t>government</w:t>
      </w:r>
      <w:r w:rsidRPr="00DA3A17">
        <w:t xml:space="preserve"> schools than was the </w:t>
      </w:r>
      <w:r w:rsidR="00DA3A17" w:rsidRPr="00DA3A17">
        <w:t xml:space="preserve">case under the SES </w:t>
      </w:r>
      <w:r w:rsidR="00BA5C2E">
        <w:t>funding model</w:t>
      </w:r>
      <w:r w:rsidR="00DA3A17" w:rsidRPr="00DA3A17">
        <w:t xml:space="preserve">. This situation contrasts with the imperative at the time of the original SES score </w:t>
      </w:r>
      <w:r w:rsidR="002D279D">
        <w:t>calculation</w:t>
      </w:r>
      <w:r w:rsidR="00DA3A17" w:rsidRPr="00DA3A17">
        <w:t xml:space="preserve"> to </w:t>
      </w:r>
      <w:r w:rsidR="00B770FF" w:rsidRPr="00DA3A17">
        <w:t xml:space="preserve">avoid duplication of measures of educational disadvantage used to allocate other Australian Government funding for schooling </w:t>
      </w:r>
      <w:sdt>
        <w:sdtPr>
          <w:id w:val="1388001481"/>
          <w:citation/>
        </w:sdtPr>
        <w:sdtContent>
          <w:r w:rsidR="00B770FF" w:rsidRPr="00DA3A17">
            <w:fldChar w:fldCharType="begin"/>
          </w:r>
          <w:r w:rsidR="00DA3A17">
            <w:instrText xml:space="preserve">CITATION Sch \l 3081 </w:instrText>
          </w:r>
          <w:r w:rsidR="00B770FF" w:rsidRPr="00DA3A17">
            <w:fldChar w:fldCharType="separate"/>
          </w:r>
          <w:r w:rsidR="005333F5">
            <w:rPr>
              <w:noProof/>
            </w:rPr>
            <w:t>(Department of Education, Training and Youth Affairs, 1998)</w:t>
          </w:r>
          <w:r w:rsidR="00B770FF" w:rsidRPr="00DA3A17">
            <w:fldChar w:fldCharType="end"/>
          </w:r>
        </w:sdtContent>
      </w:sdt>
      <w:r w:rsidR="00B770FF" w:rsidRPr="00DA3A17">
        <w:t>.</w:t>
      </w:r>
    </w:p>
    <w:p w:rsidR="00345EDB" w:rsidRDefault="00345EDB" w:rsidP="00FD4513">
      <w:pPr>
        <w:spacing w:after="200"/>
      </w:pPr>
      <w:r>
        <w:t xml:space="preserve">In the first instance </w:t>
      </w:r>
      <w:r w:rsidR="00267221">
        <w:t xml:space="preserve">analysis could be undertaken to first understand </w:t>
      </w:r>
      <w:r w:rsidR="00BA5C2E">
        <w:t xml:space="preserve">specific contribution of </w:t>
      </w:r>
      <w:r w:rsidR="00267221">
        <w:t>occupation and education to allocat</w:t>
      </w:r>
      <w:r w:rsidR="00BA5C2E">
        <w:t>ing</w:t>
      </w:r>
      <w:r w:rsidR="00267221">
        <w:t xml:space="preserve"> funding within the SRS. </w:t>
      </w:r>
    </w:p>
    <w:p w:rsidR="00A85958" w:rsidRDefault="00A85958" w:rsidP="00A85958">
      <w:pPr>
        <w:pStyle w:val="Heading3"/>
      </w:pPr>
      <w:bookmarkStart w:id="217" w:name="_Toc493598506"/>
      <w:bookmarkStart w:id="218" w:name="_Toc495409798"/>
      <w:bookmarkStart w:id="219" w:name="_Toc496792789"/>
      <w:bookmarkStart w:id="220" w:name="_Toc496803919"/>
      <w:r>
        <w:t>Consideration of household wealth</w:t>
      </w:r>
      <w:bookmarkEnd w:id="217"/>
      <w:bookmarkEnd w:id="218"/>
      <w:bookmarkEnd w:id="219"/>
      <w:bookmarkEnd w:id="220"/>
    </w:p>
    <w:p w:rsidR="00A85958" w:rsidRDefault="00A85958" w:rsidP="00FD4513">
      <w:pPr>
        <w:spacing w:after="200"/>
      </w:pPr>
      <w:r>
        <w:t xml:space="preserve">The current SES score approach considers education, occupation and income. Household wealth is not currently considered as an element of the capacity to contribute. </w:t>
      </w:r>
      <w:r w:rsidR="00BA5C2E">
        <w:t xml:space="preserve">One stakeholder </w:t>
      </w:r>
      <w:r w:rsidR="00DA3A17">
        <w:t xml:space="preserve">has noted that this approach contrasts to the </w:t>
      </w:r>
      <w:r>
        <w:t>means testing undertaken by the Australian Government for various income support payments</w:t>
      </w:r>
      <w:r w:rsidR="00DA3A17">
        <w:t xml:space="preserve">, which </w:t>
      </w:r>
      <w:r>
        <w:t>considers both income and assets</w:t>
      </w:r>
      <w:r w:rsidR="00DA3A17">
        <w:t xml:space="preserve">. It is suggested that the omission of wealth means that the SES of higher income families may be understated, with analysis of ABS data suggesting that </w:t>
      </w:r>
      <w:r>
        <w:t>high income households represent a lower share of total income than they do of total wealth</w:t>
      </w:r>
      <w:r w:rsidR="00DA3A17">
        <w:t xml:space="preserve">—high </w:t>
      </w:r>
      <w:r>
        <w:t>income households with 48.5 per cent of total income have 62.1 per cent of total wealth.</w:t>
      </w:r>
    </w:p>
    <w:p w:rsidR="00A85958" w:rsidRDefault="00726F68" w:rsidP="00FD4513">
      <w:pPr>
        <w:spacing w:after="200"/>
      </w:pPr>
      <w:r>
        <w:t xml:space="preserve">At present the </w:t>
      </w:r>
      <w:r w:rsidR="00A85958">
        <w:t xml:space="preserve">ABS Census does not collect information on household wealth, with </w:t>
      </w:r>
      <w:r>
        <w:t xml:space="preserve">it </w:t>
      </w:r>
      <w:r w:rsidR="00BA5C2E">
        <w:t xml:space="preserve">acknowledged </w:t>
      </w:r>
      <w:r w:rsidR="00A85958">
        <w:t xml:space="preserve">that the inclusion of household wealth in an assessment of the capacity to contribute would </w:t>
      </w:r>
      <w:r>
        <w:t xml:space="preserve">create a range of complexities, including the need to </w:t>
      </w:r>
      <w:r w:rsidR="00A85958">
        <w:t>collec</w:t>
      </w:r>
      <w:r>
        <w:t>t</w:t>
      </w:r>
      <w:r w:rsidR="00A85958">
        <w:t xml:space="preserve"> new data</w:t>
      </w:r>
      <w:r>
        <w:t xml:space="preserve"> from school families</w:t>
      </w:r>
      <w:r w:rsidR="00A85958">
        <w:t>.</w:t>
      </w:r>
      <w:r>
        <w:t xml:space="preserve"> These complexities are similar to those </w:t>
      </w:r>
      <w:r w:rsidR="00A85958">
        <w:t>identified at the time of the original SES score development when the collection of family level income data was discussed</w:t>
      </w:r>
      <w:sdt>
        <w:sdtPr>
          <w:id w:val="1715236241"/>
          <w:citation/>
        </w:sdtPr>
        <w:sdtContent>
          <w:r w:rsidR="00A85958">
            <w:fldChar w:fldCharType="begin"/>
          </w:r>
          <w:r w:rsidR="00A85958">
            <w:instrText xml:space="preserve"> CITATION Sch \l 3081 </w:instrText>
          </w:r>
          <w:r w:rsidR="00A85958">
            <w:fldChar w:fldCharType="separate"/>
          </w:r>
          <w:r w:rsidR="005333F5">
            <w:rPr>
              <w:noProof/>
            </w:rPr>
            <w:t xml:space="preserve"> (Department of Education, Training and Youth Affairs, 1998)</w:t>
          </w:r>
          <w:r w:rsidR="00A85958">
            <w:fldChar w:fldCharType="end"/>
          </w:r>
        </w:sdtContent>
      </w:sdt>
      <w:r w:rsidR="00A85958">
        <w:t>.</w:t>
      </w:r>
    </w:p>
    <w:p w:rsidR="00267221" w:rsidRDefault="00267221" w:rsidP="00FD4513">
      <w:pPr>
        <w:spacing w:after="200"/>
      </w:pPr>
      <w:r>
        <w:t xml:space="preserve">The importance of household wealth, and whether its omission from SES score </w:t>
      </w:r>
      <w:r w:rsidR="002D279D">
        <w:t>calculation</w:t>
      </w:r>
      <w:r w:rsidR="0045032C">
        <w:t xml:space="preserve"> is significant, could be explored using data such as the </w:t>
      </w:r>
      <w:r w:rsidR="0045032C" w:rsidRPr="00D454FC">
        <w:t>Household, Income and Labour Dynamics in Australia (HILDA) Survey</w:t>
      </w:r>
      <w:r w:rsidR="0045032C">
        <w:t xml:space="preserve">. If wealth is found to be significant in estimating SES, it may be feasible to use alternative Census data as a proxy, such as housing tenure or house size. </w:t>
      </w:r>
    </w:p>
    <w:p w:rsidR="004E10AD" w:rsidRDefault="004E10AD" w:rsidP="004E10AD">
      <w:pPr>
        <w:pStyle w:val="Heading2"/>
      </w:pPr>
      <w:bookmarkStart w:id="221" w:name="_Toc493598495"/>
      <w:bookmarkStart w:id="222" w:name="_Toc495409799"/>
      <w:bookmarkStart w:id="223" w:name="_Toc496792790"/>
      <w:bookmarkStart w:id="224" w:name="_Toc496803920"/>
      <w:r>
        <w:t>Accuracy of the SES score</w:t>
      </w:r>
      <w:bookmarkEnd w:id="221"/>
      <w:bookmarkEnd w:id="222"/>
      <w:bookmarkEnd w:id="223"/>
      <w:bookmarkEnd w:id="224"/>
    </w:p>
    <w:p w:rsidR="004E10AD" w:rsidRDefault="000F5B65" w:rsidP="000F5B65">
      <w:r>
        <w:t>The most common i</w:t>
      </w:r>
      <w:r w:rsidR="00A04C8C">
        <w:t>ssues and concerns</w:t>
      </w:r>
      <w:r w:rsidR="00BA5C2E">
        <w:t xml:space="preserve"> raised by stakeholders</w:t>
      </w:r>
      <w:r w:rsidR="00A04C8C">
        <w:t xml:space="preserve"> </w:t>
      </w:r>
      <w:r>
        <w:t xml:space="preserve">with the SES score relate to its accuracy in estimating the </w:t>
      </w:r>
      <w:r w:rsidR="004B6E3A">
        <w:t>c</w:t>
      </w:r>
      <w:r>
        <w:t xml:space="preserve">apacity </w:t>
      </w:r>
      <w:r w:rsidR="00A671D2">
        <w:t xml:space="preserve">of families and communities </w:t>
      </w:r>
      <w:r>
        <w:t xml:space="preserve">to contribute </w:t>
      </w:r>
      <w:r w:rsidR="00A671D2">
        <w:t>to</w:t>
      </w:r>
      <w:r>
        <w:t xml:space="preserve"> individual schools</w:t>
      </w:r>
      <w:r w:rsidR="004B6E3A">
        <w:t xml:space="preserve">, and </w:t>
      </w:r>
      <w:r>
        <w:t xml:space="preserve">can be grouped into </w:t>
      </w:r>
      <w:r w:rsidR="00726F68">
        <w:t>three</w:t>
      </w:r>
      <w:r>
        <w:t xml:space="preserve"> c</w:t>
      </w:r>
      <w:r w:rsidR="00A04C8C">
        <w:t>ategories:</w:t>
      </w:r>
    </w:p>
    <w:p w:rsidR="00A04C8C" w:rsidRDefault="008E2FC7" w:rsidP="00511B4D">
      <w:pPr>
        <w:pStyle w:val="Dotpoints"/>
      </w:pPr>
      <w:r>
        <w:t>the ‘ecological fallacy’</w:t>
      </w:r>
      <w:r w:rsidR="004932E9">
        <w:t>—</w:t>
      </w:r>
      <w:r w:rsidR="000F5B65">
        <w:t xml:space="preserve">concern that </w:t>
      </w:r>
      <w:r w:rsidR="00971DAC">
        <w:t xml:space="preserve">differences between the SES of the students attending a </w:t>
      </w:r>
      <w:r w:rsidR="002263C4">
        <w:t>non</w:t>
      </w:r>
      <w:r w:rsidR="002263C4">
        <w:noBreakHyphen/>
        <w:t>government</w:t>
      </w:r>
      <w:r w:rsidR="004007DB">
        <w:t xml:space="preserve"> </w:t>
      </w:r>
      <w:r w:rsidR="00971DAC">
        <w:t xml:space="preserve">school, </w:t>
      </w:r>
      <w:r w:rsidR="00ED243A">
        <w:t xml:space="preserve">and the area in which they live, </w:t>
      </w:r>
      <w:r w:rsidR="0030590F">
        <w:t xml:space="preserve">may </w:t>
      </w:r>
      <w:r w:rsidR="00ED243A">
        <w:t>lead to a school’s SES score not accurate</w:t>
      </w:r>
      <w:r w:rsidR="009168DD">
        <w:t>ly</w:t>
      </w:r>
      <w:r w:rsidR="0030590F">
        <w:t xml:space="preserve"> </w:t>
      </w:r>
      <w:r w:rsidR="00511B4D">
        <w:t>reflecting the capacity to contribute of the school community</w:t>
      </w:r>
    </w:p>
    <w:p w:rsidR="00726F68" w:rsidRDefault="00ED243A" w:rsidP="00A04C8C">
      <w:pPr>
        <w:pStyle w:val="Dotpoints"/>
      </w:pPr>
      <w:r>
        <w:t>measurement error</w:t>
      </w:r>
      <w:r w:rsidR="00971DAC">
        <w:t>—data reported in the Census</w:t>
      </w:r>
      <w:r w:rsidR="000F5B65">
        <w:t xml:space="preserve"> used to estimate the SES score</w:t>
      </w:r>
      <w:r w:rsidR="00971DAC">
        <w:t xml:space="preserve"> is </w:t>
      </w:r>
      <w:r>
        <w:t>incomplete or does not accurately measure what is intended</w:t>
      </w:r>
    </w:p>
    <w:p w:rsidR="00971DAC" w:rsidRDefault="00726F68" w:rsidP="00A04C8C">
      <w:pPr>
        <w:pStyle w:val="Dotpoints"/>
      </w:pPr>
      <w:r>
        <w:t xml:space="preserve">the robustness of using Census data, compared to data collected </w:t>
      </w:r>
      <w:r w:rsidR="00BA5C2E">
        <w:t xml:space="preserve">directly </w:t>
      </w:r>
      <w:r>
        <w:t>from parents</w:t>
      </w:r>
      <w:r w:rsidR="00ED243A">
        <w:t xml:space="preserve">. </w:t>
      </w:r>
    </w:p>
    <w:p w:rsidR="002E0A7D" w:rsidRDefault="002E0A7D" w:rsidP="002E0A7D">
      <w:pPr>
        <w:pStyle w:val="Heading3"/>
      </w:pPr>
      <w:bookmarkStart w:id="225" w:name="_Toc493598496"/>
      <w:bookmarkStart w:id="226" w:name="_Toc495409800"/>
      <w:bookmarkStart w:id="227" w:name="_Toc496792791"/>
      <w:bookmarkStart w:id="228" w:name="_Toc496803921"/>
      <w:r>
        <w:t>The ecological fallacy</w:t>
      </w:r>
      <w:bookmarkEnd w:id="225"/>
      <w:bookmarkEnd w:id="226"/>
      <w:bookmarkEnd w:id="227"/>
      <w:bookmarkEnd w:id="228"/>
    </w:p>
    <w:p w:rsidR="004007DB" w:rsidRDefault="00ED243A" w:rsidP="00551163">
      <w:r>
        <w:t xml:space="preserve">The ecological fallacy is often </w:t>
      </w:r>
      <w:r w:rsidR="003D27EF">
        <w:t xml:space="preserve">confronted </w:t>
      </w:r>
      <w:r>
        <w:t xml:space="preserve">in social research where there are </w:t>
      </w:r>
      <w:r w:rsidR="003D27EF">
        <w:t>layers</w:t>
      </w:r>
      <w:r>
        <w:t xml:space="preserve"> of data. A</w:t>
      </w:r>
      <w:r w:rsidR="000F5B65">
        <w:t xml:space="preserve"> common </w:t>
      </w:r>
      <w:r>
        <w:t xml:space="preserve">example from the </w:t>
      </w:r>
      <w:r w:rsidR="000F5B65">
        <w:t xml:space="preserve">school </w:t>
      </w:r>
      <w:r>
        <w:t xml:space="preserve">education context is </w:t>
      </w:r>
      <w:r w:rsidR="000F5B65">
        <w:t xml:space="preserve">that there are </w:t>
      </w:r>
      <w:r>
        <w:t xml:space="preserve">students and schools. Data on the performance of </w:t>
      </w:r>
      <w:r w:rsidR="004007DB">
        <w:t xml:space="preserve">a </w:t>
      </w:r>
      <w:r>
        <w:t xml:space="preserve">school, such as average NAPLAN scores, may </w:t>
      </w:r>
      <w:r w:rsidR="000F5B65">
        <w:t>conceal</w:t>
      </w:r>
      <w:r>
        <w:t xml:space="preserve"> </w:t>
      </w:r>
      <w:r w:rsidR="000F5B65">
        <w:t xml:space="preserve">performance </w:t>
      </w:r>
      <w:r>
        <w:t xml:space="preserve">variation </w:t>
      </w:r>
      <w:r w:rsidR="000F5B65">
        <w:t xml:space="preserve">at </w:t>
      </w:r>
      <w:r>
        <w:t>a student level</w:t>
      </w:r>
      <w:r w:rsidR="000F5B65">
        <w:t xml:space="preserve">. Although a school </w:t>
      </w:r>
      <w:r w:rsidR="004B6E3A">
        <w:t>may be</w:t>
      </w:r>
      <w:r w:rsidR="000F5B65">
        <w:t xml:space="preserve"> doing well</w:t>
      </w:r>
      <w:r w:rsidR="004B6E3A">
        <w:t xml:space="preserve"> on average</w:t>
      </w:r>
      <w:r w:rsidR="000F5B65">
        <w:t>, it does not necessarily mean all its’ student are</w:t>
      </w:r>
      <w:r w:rsidR="000531A5">
        <w:t xml:space="preserve"> doing well</w:t>
      </w:r>
      <w:r w:rsidR="002E0A7D">
        <w:t>.</w:t>
      </w:r>
    </w:p>
    <w:p w:rsidR="000C4E9F" w:rsidRDefault="000F5B65" w:rsidP="000C4E9F">
      <w:r>
        <w:t>A</w:t>
      </w:r>
      <w:r w:rsidR="00551163">
        <w:t xml:space="preserve"> conceptual </w:t>
      </w:r>
      <w:r>
        <w:t xml:space="preserve">example of this </w:t>
      </w:r>
      <w:r w:rsidR="004007DB">
        <w:t>issue</w:t>
      </w:r>
      <w:r w:rsidR="002E0A7D">
        <w:t xml:space="preserve"> </w:t>
      </w:r>
      <w:r>
        <w:t xml:space="preserve">as it relates to the </w:t>
      </w:r>
      <w:r w:rsidR="002E0A7D">
        <w:t>SES score</w:t>
      </w:r>
      <w:r>
        <w:t xml:space="preserve"> is presented in </w:t>
      </w:r>
      <w:r>
        <w:fldChar w:fldCharType="begin"/>
      </w:r>
      <w:r>
        <w:instrText xml:space="preserve"> REF _Ref493176221 \h </w:instrText>
      </w:r>
      <w:r>
        <w:fldChar w:fldCharType="separate"/>
      </w:r>
      <w:r w:rsidR="00B52C11">
        <w:t xml:space="preserve">Figure </w:t>
      </w:r>
      <w:r w:rsidR="00B52C11">
        <w:rPr>
          <w:noProof/>
        </w:rPr>
        <w:t>4</w:t>
      </w:r>
      <w:r w:rsidR="00B52C11">
        <w:noBreakHyphen/>
      </w:r>
      <w:r w:rsidR="00B52C11">
        <w:rPr>
          <w:noProof/>
        </w:rPr>
        <w:t>8</w:t>
      </w:r>
      <w:r>
        <w:fldChar w:fldCharType="end"/>
      </w:r>
      <w:r w:rsidR="004007DB">
        <w:t xml:space="preserve">. </w:t>
      </w:r>
      <w:r w:rsidR="000C4E9F">
        <w:t xml:space="preserve">Using the family income dimension, this conceptual example identifies the implications of the family characteristics of students attending a </w:t>
      </w:r>
      <w:r w:rsidR="002263C4">
        <w:t>non</w:t>
      </w:r>
      <w:r w:rsidR="002263C4">
        <w:noBreakHyphen/>
        <w:t>government</w:t>
      </w:r>
      <w:r w:rsidR="000C4E9F">
        <w:t xml:space="preserve"> school being materially different to that of other residents within the same SA1. In this example, 46 per cent of families with students attending </w:t>
      </w:r>
      <w:r w:rsidR="002263C4">
        <w:t>non</w:t>
      </w:r>
      <w:r w:rsidR="002263C4">
        <w:noBreakHyphen/>
        <w:t>government</w:t>
      </w:r>
      <w:r w:rsidR="000C4E9F">
        <w:t xml:space="preserve"> schools are identified as having a high income. This compares to only 8 per cent among all families. </w:t>
      </w:r>
    </w:p>
    <w:p w:rsidR="008E2FC7" w:rsidRDefault="008511D8" w:rsidP="00A260FB">
      <w:pPr>
        <w:pStyle w:val="Heading3"/>
      </w:pPr>
      <w:bookmarkStart w:id="229" w:name="_Ref493176221"/>
      <w:bookmarkStart w:id="230" w:name="_Toc496803959"/>
      <w:r>
        <w:t xml:space="preserve">Figure </w:t>
      </w:r>
      <w:fldSimple w:instr=" STYLEREF  \s &quot;Heading 11&quot; ">
        <w:r w:rsidR="00B52C11">
          <w:rPr>
            <w:noProof/>
          </w:rPr>
          <w:t>4</w:t>
        </w:r>
      </w:fldSimple>
      <w:r w:rsidR="00290ED7">
        <w:noBreakHyphen/>
      </w:r>
      <w:fldSimple w:instr=" SEQ Figure \* ARABIC \s 1 ">
        <w:r w:rsidR="00B52C11">
          <w:rPr>
            <w:noProof/>
          </w:rPr>
          <w:t>8</w:t>
        </w:r>
      </w:fldSimple>
      <w:bookmarkEnd w:id="229"/>
      <w:r>
        <w:tab/>
      </w:r>
      <w:r w:rsidR="00D04BBB">
        <w:t>E</w:t>
      </w:r>
      <w:r>
        <w:t>cological fallacy</w:t>
      </w:r>
      <w:r w:rsidR="00551163">
        <w:t xml:space="preserve">: </w:t>
      </w:r>
      <w:r w:rsidR="00D04BBB">
        <w:t>family income within an SA1 - conceptual example</w:t>
      </w:r>
      <w:bookmarkEnd w:id="230"/>
    </w:p>
    <w:p w:rsidR="008E2FC7" w:rsidRDefault="00267221" w:rsidP="0015510E">
      <w:pPr>
        <w:pStyle w:val="Datasource"/>
      </w:pPr>
      <w:r w:rsidRPr="00267221">
        <w:rPr>
          <w:noProof/>
          <w:lang w:eastAsia="en-AU"/>
        </w:rPr>
        <w:drawing>
          <wp:inline distT="0" distB="0" distL="0" distR="0" wp14:anchorId="3F6996BD" wp14:editId="3F9C183D">
            <wp:extent cx="5731510" cy="3594016"/>
            <wp:effectExtent l="0" t="0" r="2540" b="6985"/>
            <wp:docPr id="26" name="Picture 26" descr="Ecological fallacy family income example identifies the implications of the family characteristics of students attending a non government school being materially different to that of other residents within the same SA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3594016"/>
                    </a:xfrm>
                    <a:prstGeom prst="rect">
                      <a:avLst/>
                    </a:prstGeom>
                    <a:noFill/>
                    <a:ln>
                      <a:noFill/>
                    </a:ln>
                  </pic:spPr>
                </pic:pic>
              </a:graphicData>
            </a:graphic>
          </wp:inline>
        </w:drawing>
      </w:r>
      <w:r w:rsidR="004007DB" w:rsidRPr="004B6E3A">
        <w:t>Note</w:t>
      </w:r>
      <w:r>
        <w:t>s</w:t>
      </w:r>
      <w:r w:rsidR="004007DB" w:rsidRPr="004B6E3A">
        <w:t xml:space="preserve">: NG = </w:t>
      </w:r>
      <w:r w:rsidR="002263C4">
        <w:t>non</w:t>
      </w:r>
      <w:r w:rsidR="002263C4">
        <w:noBreakHyphen/>
        <w:t>government</w:t>
      </w:r>
      <w:r>
        <w:t xml:space="preserve">. </w:t>
      </w:r>
      <w:r w:rsidR="0045032C">
        <w:t>The s</w:t>
      </w:r>
      <w:r>
        <w:t xml:space="preserve">haded area details all families used within SES score </w:t>
      </w:r>
      <w:r w:rsidR="002D279D">
        <w:t>calculation</w:t>
      </w:r>
      <w:r>
        <w:t xml:space="preserve">. Thresholds are those used in SES scores determined using the 2011 Census. </w:t>
      </w:r>
    </w:p>
    <w:p w:rsidR="00683EC5" w:rsidRDefault="00683EC5" w:rsidP="00683EC5">
      <w:r>
        <w:t xml:space="preserve">If the characteristics of families attending a </w:t>
      </w:r>
      <w:r w:rsidR="002263C4">
        <w:t>non</w:t>
      </w:r>
      <w:r w:rsidR="002263C4">
        <w:noBreakHyphen/>
        <w:t>government</w:t>
      </w:r>
      <w:r>
        <w:t xml:space="preserve"> school are not representative of the SA1 where they live, the SES score estimated for a school may be inaccurate. This is a risk in this hypothetical example, as it is the 8 per cent among all families identified as high income that is used in the calculation of the family income dimension score and ultimately the school SES score.</w:t>
      </w:r>
    </w:p>
    <w:p w:rsidR="000D2E72" w:rsidRDefault="000D2E72" w:rsidP="000D2E72">
      <w:pPr>
        <w:pStyle w:val="Heading4"/>
      </w:pPr>
      <w:bookmarkStart w:id="231" w:name="_Toc493598497"/>
      <w:bookmarkStart w:id="232" w:name="_Toc495409801"/>
      <w:bookmarkStart w:id="233" w:name="_Toc496792792"/>
      <w:bookmarkStart w:id="234" w:name="_Toc496803922"/>
      <w:r>
        <w:t xml:space="preserve">Students attending </w:t>
      </w:r>
      <w:r w:rsidR="002263C4">
        <w:t>non</w:t>
      </w:r>
      <w:r w:rsidR="002263C4">
        <w:noBreakHyphen/>
        <w:t>government</w:t>
      </w:r>
      <w:r>
        <w:t xml:space="preserve"> schools may not be representative of their </w:t>
      </w:r>
      <w:bookmarkEnd w:id="231"/>
      <w:r w:rsidR="00511B4D">
        <w:t>SA1</w:t>
      </w:r>
      <w:bookmarkEnd w:id="232"/>
      <w:bookmarkEnd w:id="233"/>
      <w:bookmarkEnd w:id="234"/>
    </w:p>
    <w:p w:rsidR="004B6E3A" w:rsidRDefault="004B6E3A" w:rsidP="004B6E3A">
      <w:r>
        <w:t>Issues and concerns associated with the ecological fallacy are the most numerous amongst of all those on the SES score</w:t>
      </w:r>
      <w:r w:rsidR="00FD0427">
        <w:t>, comprising the following ‘sides of the same coin’:</w:t>
      </w:r>
    </w:p>
    <w:p w:rsidR="004B6E3A" w:rsidRDefault="004B6E3A" w:rsidP="004B6E3A">
      <w:pPr>
        <w:pStyle w:val="Dotpoints"/>
      </w:pPr>
      <w:r>
        <w:t xml:space="preserve">students from an SA1 attending </w:t>
      </w:r>
      <w:r w:rsidR="002263C4">
        <w:t>non</w:t>
      </w:r>
      <w:r w:rsidR="002263C4">
        <w:noBreakHyphen/>
        <w:t>government</w:t>
      </w:r>
      <w:r>
        <w:t xml:space="preserve"> schools (or a specific </w:t>
      </w:r>
      <w:r w:rsidR="002263C4">
        <w:t>non</w:t>
      </w:r>
      <w:r w:rsidR="002263C4">
        <w:noBreakHyphen/>
        <w:t>government</w:t>
      </w:r>
      <w:r>
        <w:t xml:space="preserve"> school) come from families that are not representative of their SA1 </w:t>
      </w:r>
    </w:p>
    <w:p w:rsidR="004B6E3A" w:rsidRDefault="004B6E3A" w:rsidP="004B6E3A">
      <w:pPr>
        <w:pStyle w:val="Dotpoints"/>
      </w:pPr>
      <w:r>
        <w:t xml:space="preserve">if students attending a school are not from families representative of their SA1, the calculated school SES score </w:t>
      </w:r>
      <w:r w:rsidR="009D626B">
        <w:t>will not</w:t>
      </w:r>
      <w:r>
        <w:t xml:space="preserve"> accurate</w:t>
      </w:r>
      <w:r w:rsidR="00141FCB">
        <w:t>ly</w:t>
      </w:r>
      <w:r>
        <w:t xml:space="preserve"> reflect the capacity of </w:t>
      </w:r>
      <w:r w:rsidR="00151D95">
        <w:t xml:space="preserve">a school’s </w:t>
      </w:r>
      <w:r>
        <w:t xml:space="preserve">parents to contribute financially towards a school. </w:t>
      </w:r>
    </w:p>
    <w:p w:rsidR="000D18A4" w:rsidRDefault="00141FCB" w:rsidP="00141FCB">
      <w:r>
        <w:t xml:space="preserve">An elaboration of this issue is whether students attending </w:t>
      </w:r>
      <w:r w:rsidR="00683EC5">
        <w:t xml:space="preserve">local </w:t>
      </w:r>
      <w:r w:rsidR="002263C4">
        <w:t>non</w:t>
      </w:r>
      <w:r w:rsidR="002263C4">
        <w:noBreakHyphen/>
        <w:t>government</w:t>
      </w:r>
      <w:r>
        <w:t xml:space="preserve"> schools from an SA1 have similar characteristics, or whether student SES influences the specific </w:t>
      </w:r>
      <w:r w:rsidR="002263C4">
        <w:t>non</w:t>
      </w:r>
      <w:r w:rsidR="002263C4">
        <w:noBreakHyphen/>
        <w:t>government</w:t>
      </w:r>
      <w:r>
        <w:t xml:space="preserve"> school they attend. </w:t>
      </w:r>
    </w:p>
    <w:p w:rsidR="00141FCB" w:rsidRDefault="00151D95" w:rsidP="00141FCB">
      <w:r>
        <w:t xml:space="preserve">Several studies have examined this issue, with one using 2011 ABS Census data finding that families with children attending one </w:t>
      </w:r>
      <w:r w:rsidR="002263C4">
        <w:t>non</w:t>
      </w:r>
      <w:r w:rsidR="002263C4">
        <w:noBreakHyphen/>
        <w:t>government</w:t>
      </w:r>
      <w:r>
        <w:t xml:space="preserve"> school sector have lower average incomes in 56 per cent of metropolitan SA1s than the other </w:t>
      </w:r>
      <w:r w:rsidR="002263C4">
        <w:t>non</w:t>
      </w:r>
      <w:r w:rsidR="002263C4">
        <w:noBreakHyphen/>
        <w:t>government</w:t>
      </w:r>
      <w:r>
        <w:t xml:space="preserve"> school sector. </w:t>
      </w:r>
      <w:r w:rsidR="000D18A4">
        <w:t>Another study</w:t>
      </w:r>
      <w:r>
        <w:t xml:space="preserve"> focussed on Penrith in NSW using 2001 ABS Census data </w:t>
      </w:r>
      <w:r w:rsidR="000D18A4">
        <w:t xml:space="preserve">found that students attending </w:t>
      </w:r>
      <w:r w:rsidR="002263C4">
        <w:t>non</w:t>
      </w:r>
      <w:r w:rsidR="002263C4">
        <w:noBreakHyphen/>
        <w:t>government</w:t>
      </w:r>
      <w:r w:rsidR="000D18A4">
        <w:t xml:space="preserve"> schools were twice as likely to have a high family income as a low income, whereas students attending government schools were equally likely to have a low or high family income. </w:t>
      </w:r>
    </w:p>
    <w:p w:rsidR="0045032C" w:rsidRDefault="0045032C" w:rsidP="00141FCB">
      <w:r>
        <w:t xml:space="preserve">As the ABS Census provides data detailing the school sector attended by school students, </w:t>
      </w:r>
      <w:r w:rsidR="00683EC5">
        <w:t xml:space="preserve">it </w:t>
      </w:r>
      <w:r>
        <w:t>is straightforward to explore this issue</w:t>
      </w:r>
      <w:r w:rsidR="00683EC5">
        <w:t xml:space="preserve"> at the SA1 level</w:t>
      </w:r>
      <w:r>
        <w:t xml:space="preserve">. What the ABS Census data does not allow is exploring this issue by comparing specific schools. </w:t>
      </w:r>
    </w:p>
    <w:p w:rsidR="00D47333" w:rsidRDefault="00D47333" w:rsidP="00D47333">
      <w:pPr>
        <w:pStyle w:val="Heading4"/>
      </w:pPr>
      <w:bookmarkStart w:id="235" w:name="_Toc493598499"/>
      <w:bookmarkStart w:id="236" w:name="_Toc495409802"/>
      <w:bookmarkStart w:id="237" w:name="_Toc496792793"/>
      <w:bookmarkStart w:id="238" w:name="_Toc496803923"/>
      <w:r>
        <w:t>The ecological fallacy is exacerbated in schools serving regional students</w:t>
      </w:r>
      <w:bookmarkEnd w:id="235"/>
      <w:bookmarkEnd w:id="236"/>
      <w:bookmarkEnd w:id="237"/>
      <w:bookmarkEnd w:id="238"/>
      <w:r>
        <w:t xml:space="preserve"> </w:t>
      </w:r>
    </w:p>
    <w:p w:rsidR="0064606F" w:rsidRDefault="00D47333" w:rsidP="000C5ED5">
      <w:r>
        <w:t xml:space="preserve">Other analysis builds upon the above points to argue that </w:t>
      </w:r>
      <w:r w:rsidR="002263C4">
        <w:t>non</w:t>
      </w:r>
      <w:r w:rsidR="002263C4">
        <w:noBreakHyphen/>
        <w:t>government</w:t>
      </w:r>
      <w:r>
        <w:t xml:space="preserve"> schools serving regional students—whether they be </w:t>
      </w:r>
      <w:r w:rsidR="00683EC5">
        <w:t xml:space="preserve">schools </w:t>
      </w:r>
      <w:r>
        <w:t xml:space="preserve">located in regional areas, or boarding schools—are advantaged by the ecological fallacy more than other </w:t>
      </w:r>
      <w:r w:rsidR="002263C4">
        <w:t>non</w:t>
      </w:r>
      <w:r w:rsidR="002263C4">
        <w:noBreakHyphen/>
        <w:t>government</w:t>
      </w:r>
      <w:r>
        <w:t xml:space="preserve"> schools. The argument is that as regional students attending </w:t>
      </w:r>
      <w:r w:rsidR="002263C4">
        <w:t>non</w:t>
      </w:r>
      <w:r w:rsidR="002263C4">
        <w:noBreakHyphen/>
        <w:t>government</w:t>
      </w:r>
      <w:r>
        <w:t xml:space="preserve"> schools, specifically independent schools, are likely to be highly unrepresentative of their SA1</w:t>
      </w:r>
      <w:r w:rsidR="00683EC5">
        <w:t xml:space="preserve">, </w:t>
      </w:r>
      <w:r>
        <w:t>the SES of the students’ family is likely to be much higher than their SA1</w:t>
      </w:r>
      <w:r w:rsidR="00683EC5">
        <w:t xml:space="preserve"> average</w:t>
      </w:r>
      <w:r>
        <w:t>. As a consequence, it is argued, school</w:t>
      </w:r>
      <w:r w:rsidR="00683EC5">
        <w:t xml:space="preserve">s serving regional students </w:t>
      </w:r>
      <w:r>
        <w:t xml:space="preserve">obtain an SES score that is much higher than is warranted. </w:t>
      </w:r>
    </w:p>
    <w:p w:rsidR="0045032C" w:rsidRDefault="0045032C" w:rsidP="000C5ED5">
      <w:r>
        <w:t xml:space="preserve">The extent that regional students attending </w:t>
      </w:r>
      <w:r w:rsidR="002263C4">
        <w:t>non</w:t>
      </w:r>
      <w:r w:rsidR="002263C4">
        <w:noBreakHyphen/>
        <w:t>government</w:t>
      </w:r>
      <w:r>
        <w:t xml:space="preserve"> schools are representative of their SA1 can also be explored using ABS Census data. </w:t>
      </w:r>
    </w:p>
    <w:p w:rsidR="0064606F" w:rsidRPr="007B34E8" w:rsidRDefault="0064606F" w:rsidP="0064606F">
      <w:pPr>
        <w:pStyle w:val="Heading4"/>
      </w:pPr>
      <w:bookmarkStart w:id="239" w:name="_Toc495409803"/>
      <w:bookmarkStart w:id="240" w:name="_Toc496792794"/>
      <w:bookmarkStart w:id="241" w:name="_Toc496803924"/>
      <w:r>
        <w:t xml:space="preserve">There can be significant variation in the SES of households </w:t>
      </w:r>
      <w:r w:rsidRPr="00D024F1">
        <w:t>within</w:t>
      </w:r>
      <w:r>
        <w:t xml:space="preserve"> SA1s</w:t>
      </w:r>
      <w:bookmarkEnd w:id="239"/>
      <w:bookmarkEnd w:id="240"/>
      <w:bookmarkEnd w:id="241"/>
    </w:p>
    <w:p w:rsidR="0064606F" w:rsidRPr="004B6E3A" w:rsidRDefault="0064606F" w:rsidP="0064606F">
      <w:r>
        <w:t>A range of non-school specific research has examined the extent of variation within SA1s, identify</w:t>
      </w:r>
      <w:r w:rsidR="00683EC5">
        <w:t>ing</w:t>
      </w:r>
      <w:r>
        <w:t xml:space="preserve"> the extent </w:t>
      </w:r>
      <w:r w:rsidR="00683EC5">
        <w:t xml:space="preserve">that </w:t>
      </w:r>
      <w:r>
        <w:t xml:space="preserve">area-based measures of SES may </w:t>
      </w:r>
      <w:r w:rsidR="00683EC5">
        <w:t xml:space="preserve">conceal </w:t>
      </w:r>
      <w:r>
        <w:t xml:space="preserve">considerable variation in SES within areas. This analysis has largely been undertaken by the ABS examining whether area-based </w:t>
      </w:r>
      <w:r w:rsidRPr="00932484">
        <w:t>Socio-Economic Indexes for Areas</w:t>
      </w:r>
      <w:r w:rsidRPr="004B6E3A">
        <w:t xml:space="preserve"> </w:t>
      </w:r>
      <w:r>
        <w:t>(</w:t>
      </w:r>
      <w:r w:rsidRPr="004B6E3A">
        <w:t>SEIFA</w:t>
      </w:r>
      <w:r>
        <w:t xml:space="preserve">) estimates provide an accurate representation of the SES of individuals within areas. </w:t>
      </w:r>
    </w:p>
    <w:p w:rsidR="0064606F" w:rsidRDefault="0064606F" w:rsidP="0064606F">
      <w:r>
        <w:t xml:space="preserve">Analysis undertaken by ABS researchers has focussed on developing </w:t>
      </w:r>
      <w:r w:rsidRPr="00932484">
        <w:t xml:space="preserve">Socio-Economic Indexes for </w:t>
      </w:r>
      <w:r>
        <w:t xml:space="preserve">Individuals (SEIFI), which are compared with the corresponding SEIFA estimates. Initial analysis using 2001 Census data:  </w:t>
      </w:r>
    </w:p>
    <w:p w:rsidR="0064606F" w:rsidRDefault="0064606F" w:rsidP="0064606F">
      <w:pPr>
        <w:pStyle w:val="Quote"/>
      </w:pPr>
      <w:r>
        <w:t xml:space="preserve">…found that individual and family relative socio-economic disadvantage was quite diverse within areas. This means that there is a high risk of an ecological fallacy if we use the SEIFA indexes as a measure of individual level disadvantage, rather than a measure of area level disadvantage. </w:t>
      </w:r>
      <w:sdt>
        <w:sdtPr>
          <w:id w:val="2101911470"/>
          <w:citation/>
        </w:sdtPr>
        <w:sdtContent>
          <w:r>
            <w:fldChar w:fldCharType="begin"/>
          </w:r>
          <w:r>
            <w:instrText xml:space="preserve"> CITATION Bak07 \l 3081 </w:instrText>
          </w:r>
          <w:r>
            <w:fldChar w:fldCharType="separate"/>
          </w:r>
          <w:r w:rsidR="005333F5">
            <w:rPr>
              <w:noProof/>
            </w:rPr>
            <w:t>(Baker &amp; Adhikari, 2007)</w:t>
          </w:r>
          <w:r>
            <w:fldChar w:fldCharType="end"/>
          </w:r>
        </w:sdtContent>
      </w:sdt>
    </w:p>
    <w:p w:rsidR="00DD7D7F" w:rsidRDefault="004D3F74" w:rsidP="00DD7D7F">
      <w:r>
        <w:t>A similar finding was made in more recent research using 2006 Census data</w:t>
      </w:r>
      <w:sdt>
        <w:sdtPr>
          <w:id w:val="-1040127894"/>
          <w:citation/>
        </w:sdtPr>
        <w:sdtContent>
          <w:r>
            <w:fldChar w:fldCharType="begin"/>
          </w:r>
          <w:r>
            <w:instrText xml:space="preserve"> CITATION Wis11 \l 3081 </w:instrText>
          </w:r>
          <w:r>
            <w:fldChar w:fldCharType="separate"/>
          </w:r>
          <w:r w:rsidR="005333F5">
            <w:rPr>
              <w:noProof/>
            </w:rPr>
            <w:t xml:space="preserve"> (Wise &amp; Mathews, 2011)</w:t>
          </w:r>
          <w:r>
            <w:fldChar w:fldCharType="end"/>
          </w:r>
        </w:sdtContent>
      </w:sdt>
      <w:r>
        <w:t xml:space="preserve">, as well as ACT Government commissioned research </w:t>
      </w:r>
      <w:r w:rsidR="00BD7A97">
        <w:rPr>
          <w:noProof/>
        </w:rPr>
        <w:t>(ACT Government, 2012</w:t>
      </w:r>
      <w:r>
        <w:t xml:space="preserve"> and </w:t>
      </w:r>
      <w:r w:rsidR="00BD7A97">
        <w:rPr>
          <w:noProof/>
        </w:rPr>
        <w:t>Goldie, Kakuk, &amp; Wood, 2014)</w:t>
      </w:r>
      <w:r>
        <w:t xml:space="preserve">. </w:t>
      </w:r>
    </w:p>
    <w:p w:rsidR="004D1659" w:rsidRDefault="00DD7D7F" w:rsidP="00DD7D7F">
      <w:r>
        <w:t xml:space="preserve">The interest of the ACT Government in the ecological fallacy stems from ABS analysis finding that the ACT had the greatest diversity among all Australian jurisdictions, with 7.9 per cent of </w:t>
      </w:r>
      <w:r w:rsidR="004D1659">
        <w:t xml:space="preserve">ACT </w:t>
      </w:r>
      <w:r>
        <w:t>CDs identified as diverse</w:t>
      </w:r>
      <w:sdt>
        <w:sdtPr>
          <w:id w:val="1468937795"/>
          <w:citation/>
        </w:sdtPr>
        <w:sdtContent>
          <w:r>
            <w:fldChar w:fldCharType="begin"/>
          </w:r>
          <w:r>
            <w:instrText xml:space="preserve"> CITATION Wis11 \l 3081 </w:instrText>
          </w:r>
          <w:r>
            <w:fldChar w:fldCharType="separate"/>
          </w:r>
          <w:r w:rsidR="005333F5">
            <w:rPr>
              <w:noProof/>
            </w:rPr>
            <w:t xml:space="preserve"> (Wise &amp; Mathews, 2011)</w:t>
          </w:r>
          <w:r>
            <w:fldChar w:fldCharType="end"/>
          </w:r>
        </w:sdtContent>
      </w:sdt>
      <w:r>
        <w:t>.</w:t>
      </w:r>
      <w:r w:rsidR="004D1659">
        <w:rPr>
          <w:rStyle w:val="FootnoteReference"/>
        </w:rPr>
        <w:footnoteReference w:id="6"/>
      </w:r>
      <w:r>
        <w:t xml:space="preserve"> </w:t>
      </w:r>
      <w:r w:rsidR="004D1659">
        <w:t xml:space="preserve">The least diverse jurisdiction was Queensland, with only 1.7 per cent of CDs. </w:t>
      </w:r>
      <w:r>
        <w:t>Subsequent analysis has found that between 65 and 95 per cent of the ACT’s disadvantaged population live in areas identified as advantaged</w:t>
      </w:r>
      <w:r w:rsidR="000531A5">
        <w:t xml:space="preserve">. </w:t>
      </w:r>
    </w:p>
    <w:p w:rsidR="007947DD" w:rsidRDefault="00511B4D" w:rsidP="008E2FC7">
      <w:r w:rsidRPr="004D1659">
        <w:t xml:space="preserve">No analysis has been identified examining how </w:t>
      </w:r>
      <w:r w:rsidR="004D1659" w:rsidRPr="004D1659">
        <w:t xml:space="preserve">diversity within SA1s may be influencing school SES scores. It may be that the </w:t>
      </w:r>
      <w:r w:rsidR="007947DD" w:rsidRPr="004D1659">
        <w:t xml:space="preserve">variability identified by the ABS comparing </w:t>
      </w:r>
      <w:r w:rsidR="007947DD" w:rsidRPr="004D1659">
        <w:rPr>
          <w:i/>
        </w:rPr>
        <w:t>individuals</w:t>
      </w:r>
      <w:r w:rsidR="007947DD" w:rsidRPr="004D1659">
        <w:t xml:space="preserve"> to </w:t>
      </w:r>
      <w:r w:rsidR="007947DD" w:rsidRPr="004D1659">
        <w:rPr>
          <w:i/>
        </w:rPr>
        <w:t>areas</w:t>
      </w:r>
      <w:r w:rsidR="007947DD" w:rsidRPr="004D1659">
        <w:t xml:space="preserve"> may not be so pronounced when examining </w:t>
      </w:r>
      <w:r w:rsidR="007947DD" w:rsidRPr="004D1659">
        <w:rPr>
          <w:i/>
        </w:rPr>
        <w:t>groups</w:t>
      </w:r>
      <w:r w:rsidR="007947DD" w:rsidRPr="004D1659">
        <w:t xml:space="preserve"> of families with children attending </w:t>
      </w:r>
      <w:r w:rsidR="002263C4">
        <w:t>non</w:t>
      </w:r>
      <w:r w:rsidR="002263C4">
        <w:noBreakHyphen/>
        <w:t>government</w:t>
      </w:r>
      <w:r w:rsidR="007947DD" w:rsidRPr="004D1659">
        <w:t xml:space="preserve"> school</w:t>
      </w:r>
      <w:r w:rsidR="004D1659" w:rsidRPr="004D1659">
        <w:t>s</w:t>
      </w:r>
      <w:r w:rsidR="007947DD" w:rsidRPr="004D1659">
        <w:t>.</w:t>
      </w:r>
      <w:r w:rsidR="00666C1B">
        <w:t xml:space="preserve"> This is certainly an issue that can be explored using ABS Census data, with one possibility to generate household-level SES scores. The SES scores for households with children attending </w:t>
      </w:r>
      <w:r w:rsidR="002263C4">
        <w:t>non</w:t>
      </w:r>
      <w:r w:rsidR="002263C4">
        <w:noBreakHyphen/>
        <w:t>government</w:t>
      </w:r>
      <w:r w:rsidR="00666C1B">
        <w:t xml:space="preserve"> schools (by sector) could then be compared to households with children not attending </w:t>
      </w:r>
      <w:r w:rsidR="002263C4">
        <w:t>non</w:t>
      </w:r>
      <w:r w:rsidR="002263C4">
        <w:noBreakHyphen/>
        <w:t>government</w:t>
      </w:r>
      <w:r w:rsidR="00666C1B">
        <w:t xml:space="preserve"> schools. </w:t>
      </w:r>
    </w:p>
    <w:p w:rsidR="00CF3EF1" w:rsidRDefault="00CF3EF1" w:rsidP="00CF3EF1">
      <w:pPr>
        <w:pStyle w:val="Heading4"/>
      </w:pPr>
      <w:bookmarkStart w:id="242" w:name="_Toc493598504"/>
      <w:bookmarkStart w:id="243" w:name="_Toc495409804"/>
      <w:bookmarkStart w:id="244" w:name="_Toc496792795"/>
      <w:bookmarkStart w:id="245" w:name="_Toc496803925"/>
      <w:r>
        <w:t xml:space="preserve">Using mesh blocks in place of SA1s may overcome the </w:t>
      </w:r>
      <w:bookmarkEnd w:id="242"/>
      <w:r>
        <w:t>ecological fallacy</w:t>
      </w:r>
      <w:bookmarkEnd w:id="243"/>
      <w:bookmarkEnd w:id="244"/>
      <w:bookmarkEnd w:id="245"/>
    </w:p>
    <w:p w:rsidR="00CF3EF1" w:rsidRDefault="00CF3EF1" w:rsidP="00CF3EF1">
      <w:r>
        <w:t xml:space="preserve">As mentioned in </w:t>
      </w:r>
      <w:r w:rsidR="00A379AD">
        <w:t>Section</w:t>
      </w:r>
      <w:r>
        <w:t xml:space="preserve"> </w:t>
      </w:r>
      <w:r>
        <w:fldChar w:fldCharType="begin"/>
      </w:r>
      <w:r>
        <w:instrText xml:space="preserve"> REF _Ref489967726 \r \h </w:instrText>
      </w:r>
      <w:r>
        <w:fldChar w:fldCharType="separate"/>
      </w:r>
      <w:r w:rsidR="00B52C11">
        <w:t>3</w:t>
      </w:r>
      <w:r>
        <w:fldChar w:fldCharType="end"/>
      </w:r>
      <w:r>
        <w:t xml:space="preserve"> (p. </w:t>
      </w:r>
      <w:r>
        <w:fldChar w:fldCharType="begin"/>
      </w:r>
      <w:r>
        <w:instrText xml:space="preserve"> PAGEREF _Ref492290601 \h </w:instrText>
      </w:r>
      <w:r>
        <w:fldChar w:fldCharType="separate"/>
      </w:r>
      <w:r w:rsidR="00B52C11">
        <w:rPr>
          <w:noProof/>
        </w:rPr>
        <w:t>26</w:t>
      </w:r>
      <w:r>
        <w:fldChar w:fldCharType="end"/>
      </w:r>
      <w:r>
        <w:t>), the SES score is currently estimated using SA1 level data. In the 2016 Census there were 57,523 SA1s, with each having between 200 and 800 people. SA1s are made up of several mesh blocks—in the 2016 Census there were just under 360,000 mesh blocks, with residential mesh blocks having an average population of 92 people.</w:t>
      </w:r>
    </w:p>
    <w:p w:rsidR="00CF3EF1" w:rsidRDefault="00CF3EF1" w:rsidP="00CF3EF1">
      <w:r>
        <w:t xml:space="preserve">As part of the Review of Funding for Schooling, the potential for using mesh blocks, instead of SA1s, for estimating SES scores was raised by a peak body. A submission to the Review </w:t>
      </w:r>
      <w:r w:rsidR="00683EC5">
        <w:t xml:space="preserve">indicated </w:t>
      </w:r>
      <w:r>
        <w:t>that mesh blocks provide:</w:t>
      </w:r>
      <w:r w:rsidR="00D06754">
        <w:t xml:space="preserve"> </w:t>
      </w:r>
    </w:p>
    <w:p w:rsidR="00CF3EF1" w:rsidRDefault="00CF3EF1" w:rsidP="00CF3EF1">
      <w:pPr>
        <w:pStyle w:val="Quote"/>
      </w:pPr>
      <w:r>
        <w:t xml:space="preserve">an opportunity to improve the accuracy and reliability of socioeconomic calculations of families </w:t>
      </w:r>
      <w:sdt>
        <w:sdtPr>
          <w:id w:val="-340847180"/>
          <w:citation/>
        </w:sdtPr>
        <w:sdtContent>
          <w:r>
            <w:fldChar w:fldCharType="begin"/>
          </w:r>
          <w:r>
            <w:instrText xml:space="preserve">CITATION Ind111 \p 37 \l 3081 </w:instrText>
          </w:r>
          <w:r>
            <w:fldChar w:fldCharType="separate"/>
          </w:r>
          <w:r w:rsidR="005333F5">
            <w:rPr>
              <w:noProof/>
            </w:rPr>
            <w:t>(Independent Schools Victoria, 2011, p. 37)</w:t>
          </w:r>
          <w:r>
            <w:fldChar w:fldCharType="end"/>
          </w:r>
        </w:sdtContent>
      </w:sdt>
      <w:r w:rsidR="00A15759">
        <w:t>.</w:t>
      </w:r>
    </w:p>
    <w:p w:rsidR="00CF3EF1" w:rsidRDefault="00CF3EF1" w:rsidP="00CF3EF1">
      <w:r>
        <w:t xml:space="preserve">This issue was mentioned in passing as an option in the Review’s report, and </w:t>
      </w:r>
      <w:r w:rsidR="00683EC5">
        <w:t xml:space="preserve">was </w:t>
      </w:r>
      <w:r>
        <w:t>not subject</w:t>
      </w:r>
      <w:r w:rsidR="00683EC5">
        <w:t>ed</w:t>
      </w:r>
      <w:r>
        <w:t xml:space="preserve"> to close analysis. Rather, the Review report suggested that a more accurate measure of school SES could be obtained by using mesh blocks, thus potentially overcoming the ecological fallacy issue </w:t>
      </w:r>
      <w:sdt>
        <w:sdtPr>
          <w:id w:val="-64415160"/>
          <w:citation/>
        </w:sdtPr>
        <w:sdtContent>
          <w:r>
            <w:fldChar w:fldCharType="begin"/>
          </w:r>
          <w:r>
            <w:instrText xml:space="preserve"> CITATION Gon11 \l 3081 </w:instrText>
          </w:r>
          <w:r>
            <w:fldChar w:fldCharType="separate"/>
          </w:r>
          <w:r w:rsidR="005333F5">
            <w:rPr>
              <w:noProof/>
            </w:rPr>
            <w:t>(Gonski, et al., 2011)</w:t>
          </w:r>
          <w:r>
            <w:fldChar w:fldCharType="end"/>
          </w:r>
        </w:sdtContent>
      </w:sdt>
      <w:r>
        <w:t xml:space="preserve">. </w:t>
      </w:r>
    </w:p>
    <w:p w:rsidR="00CF3EF1" w:rsidRDefault="00CF3EF1" w:rsidP="00CF3EF1">
      <w:r>
        <w:t xml:space="preserve">The implications of using mesh blocks will need careful consideration. For instance issues associated with small numbers of people in the variables used to generate SES scores may be accentuated, making the ecological fallacy problem even worse. As a consequence calculated SES scores </w:t>
      </w:r>
      <w:r w:rsidR="00666C1B">
        <w:t xml:space="preserve">at the mesh block level </w:t>
      </w:r>
      <w:r>
        <w:t xml:space="preserve">may be increasingly volatile. </w:t>
      </w:r>
    </w:p>
    <w:p w:rsidR="00D86343" w:rsidRDefault="00DB2812" w:rsidP="00DB2812">
      <w:pPr>
        <w:pStyle w:val="Heading3"/>
      </w:pPr>
      <w:bookmarkStart w:id="246" w:name="_Toc493598500"/>
      <w:bookmarkStart w:id="247" w:name="_Toc495409805"/>
      <w:bookmarkStart w:id="248" w:name="_Toc496792796"/>
      <w:bookmarkStart w:id="249" w:name="_Toc496803926"/>
      <w:r>
        <w:t>Measurement error</w:t>
      </w:r>
      <w:bookmarkEnd w:id="246"/>
      <w:bookmarkEnd w:id="247"/>
      <w:bookmarkEnd w:id="248"/>
      <w:bookmarkEnd w:id="249"/>
    </w:p>
    <w:p w:rsidR="006052CB" w:rsidRPr="006052CB" w:rsidRDefault="007E0B16" w:rsidP="006052CB">
      <w:pPr>
        <w:pStyle w:val="Heading4"/>
      </w:pPr>
      <w:bookmarkStart w:id="250" w:name="_Toc493598501"/>
      <w:bookmarkStart w:id="251" w:name="_Ref494882960"/>
      <w:bookmarkStart w:id="252" w:name="_Toc495409806"/>
      <w:bookmarkStart w:id="253" w:name="_Toc496792797"/>
      <w:bookmarkStart w:id="254" w:name="_Toc496803927"/>
      <w:r>
        <w:t xml:space="preserve">The income dimensions within the SES score </w:t>
      </w:r>
      <w:r w:rsidR="006052CB">
        <w:t>may not adequately capture affluence</w:t>
      </w:r>
      <w:bookmarkEnd w:id="250"/>
      <w:bookmarkEnd w:id="251"/>
      <w:bookmarkEnd w:id="252"/>
      <w:bookmarkEnd w:id="253"/>
      <w:bookmarkEnd w:id="254"/>
    </w:p>
    <w:p w:rsidR="00DB2812" w:rsidRDefault="003762FF" w:rsidP="00D86343">
      <w:r>
        <w:t xml:space="preserve">In the latest </w:t>
      </w:r>
      <w:r w:rsidR="002D279D">
        <w:t>calculation</w:t>
      </w:r>
      <w:r>
        <w:t xml:space="preserve"> of the SES score using 2011 Census data, high income households are identified as </w:t>
      </w:r>
      <w:r w:rsidR="007B2660">
        <w:t xml:space="preserve">having income greater than $143,000, and high income families with school age children as having income greater than $156,000. </w:t>
      </w:r>
    </w:p>
    <w:p w:rsidR="007B2660" w:rsidRDefault="00683EC5" w:rsidP="00D86343">
      <w:r>
        <w:t>Stakeholder c</w:t>
      </w:r>
      <w:r w:rsidR="00B547D6">
        <w:t xml:space="preserve">oncern has been raised </w:t>
      </w:r>
      <w:r w:rsidR="007B2660">
        <w:t xml:space="preserve">that having only one high income threshold may conceal significant income variation among high income households and families. Analysis </w:t>
      </w:r>
      <w:r w:rsidR="00B547D6">
        <w:t xml:space="preserve">has been undertaken </w:t>
      </w:r>
      <w:r w:rsidR="007B2660">
        <w:t xml:space="preserve">identifying that the proportion of families of children at a </w:t>
      </w:r>
      <w:r w:rsidR="002263C4">
        <w:t>non</w:t>
      </w:r>
      <w:r w:rsidR="002263C4">
        <w:noBreakHyphen/>
        <w:t>government</w:t>
      </w:r>
      <w:r w:rsidR="007B2660">
        <w:t xml:space="preserve"> with very high incomes, is consistently higher for one </w:t>
      </w:r>
      <w:r w:rsidR="002263C4">
        <w:t>non</w:t>
      </w:r>
      <w:r w:rsidR="002263C4">
        <w:noBreakHyphen/>
        <w:t>government</w:t>
      </w:r>
      <w:r w:rsidR="007B2660">
        <w:t xml:space="preserve"> school sector over another. </w:t>
      </w:r>
    </w:p>
    <w:p w:rsidR="00DD53A8" w:rsidRPr="00B547D6" w:rsidRDefault="00DD53A8" w:rsidP="00DD53A8">
      <w:r w:rsidRPr="00B547D6">
        <w:t>Th</w:t>
      </w:r>
      <w:r w:rsidR="00B547D6" w:rsidRPr="00B547D6">
        <w:t>e existing</w:t>
      </w:r>
      <w:r w:rsidRPr="00B547D6">
        <w:t xml:space="preserve"> analysis does not examine the extent to which this issue is present within individual SA1s. While the finding that one school sector have a greater proportion of very high income families than the other, this may not necessarily bias the SES score estimates.  </w:t>
      </w:r>
    </w:p>
    <w:p w:rsidR="006052CB" w:rsidRDefault="00666C1B" w:rsidP="006052CB">
      <w:pPr>
        <w:pStyle w:val="Heading4"/>
      </w:pPr>
      <w:bookmarkStart w:id="255" w:name="_Toc496792798"/>
      <w:bookmarkStart w:id="256" w:name="_Toc496803928"/>
      <w:bookmarkStart w:id="257" w:name="_Toc495409807"/>
      <w:r w:rsidRPr="00666C1B">
        <w:t>The income dimensions may not adequately measure affluenc</w:t>
      </w:r>
      <w:r>
        <w:t>e</w:t>
      </w:r>
      <w:bookmarkEnd w:id="255"/>
      <w:bookmarkEnd w:id="256"/>
      <w:bookmarkEnd w:id="257"/>
    </w:p>
    <w:p w:rsidR="007B2660" w:rsidRDefault="007B2660" w:rsidP="00B547D6">
      <w:r>
        <w:t xml:space="preserve">The SES score calculation process currently treats families and households reporting nil or negative income as having a low income. The affected families/households thus influence the SES score calculated for an SA1. </w:t>
      </w:r>
      <w:r w:rsidR="00B547D6">
        <w:t xml:space="preserve">Concern has been raised that </w:t>
      </w:r>
      <w:r>
        <w:t>this approach may bias the</w:t>
      </w:r>
      <w:r w:rsidR="00570D95">
        <w:t xml:space="preserve"> SES score</w:t>
      </w:r>
      <w:r>
        <w:t xml:space="preserve"> results, </w:t>
      </w:r>
      <w:r w:rsidR="00B547D6">
        <w:t xml:space="preserve">with ABS research cited </w:t>
      </w:r>
      <w:r w:rsidR="00683EC5">
        <w:t>finding</w:t>
      </w:r>
      <w:r>
        <w:t xml:space="preserve"> that </w:t>
      </w:r>
    </w:p>
    <w:p w:rsidR="003762FF" w:rsidRDefault="007B2660" w:rsidP="007B2660">
      <w:pPr>
        <w:pStyle w:val="Quote"/>
      </w:pPr>
      <w:r>
        <w:t xml:space="preserve">people living in households with nil or negative income tended to have more similar characteristics to those living in higher income households </w:t>
      </w:r>
      <w:sdt>
        <w:sdtPr>
          <w:id w:val="1759793416"/>
          <w:citation/>
        </w:sdtPr>
        <w:sdtContent>
          <w:r>
            <w:fldChar w:fldCharType="begin"/>
          </w:r>
          <w:r>
            <w:instrText xml:space="preserve">CITATION Pin13 \p 21 \l 3081 </w:instrText>
          </w:r>
          <w:r>
            <w:fldChar w:fldCharType="separate"/>
          </w:r>
          <w:r w:rsidR="005333F5">
            <w:rPr>
              <w:noProof/>
            </w:rPr>
            <w:t>(Pink, 2013, p. 21)</w:t>
          </w:r>
          <w:r>
            <w:fldChar w:fldCharType="end"/>
          </w:r>
        </w:sdtContent>
      </w:sdt>
      <w:r>
        <w:t>.</w:t>
      </w:r>
    </w:p>
    <w:p w:rsidR="003762FF" w:rsidRDefault="00570D95" w:rsidP="00D86343">
      <w:r>
        <w:t xml:space="preserve">The impact of this issue upon SA1 and school SES scores is unclear—this depends on what the ‘true’ income </w:t>
      </w:r>
      <w:r w:rsidR="00666C1B">
        <w:t xml:space="preserve">and affluence </w:t>
      </w:r>
      <w:r>
        <w:t>of the affected households is.</w:t>
      </w:r>
      <w:r w:rsidR="00666C1B">
        <w:t xml:space="preserve"> Related to the above issue regarding household wealth, households with nil or negative income may nevertheless be affluent. </w:t>
      </w:r>
    </w:p>
    <w:p w:rsidR="00DD53A8" w:rsidRPr="00B547D6" w:rsidRDefault="00B547D6" w:rsidP="00DD53A8">
      <w:r w:rsidRPr="00B547D6">
        <w:t xml:space="preserve">A short-term option </w:t>
      </w:r>
      <w:r w:rsidR="00DD53A8" w:rsidRPr="00B547D6">
        <w:t xml:space="preserve">for addressing this issue </w:t>
      </w:r>
      <w:r w:rsidRPr="00B547D6">
        <w:t xml:space="preserve">could </w:t>
      </w:r>
      <w:r w:rsidR="00DD53A8" w:rsidRPr="00B547D6">
        <w:t>include examining the impact of excluding nil/negative income households/families</w:t>
      </w:r>
      <w:r w:rsidRPr="00B547D6">
        <w:t xml:space="preserve"> from the SES </w:t>
      </w:r>
      <w:r w:rsidR="002D279D">
        <w:t>calculation</w:t>
      </w:r>
      <w:r w:rsidR="00DD53A8" w:rsidRPr="00B547D6">
        <w:t xml:space="preserve">, or treating them as mid income. </w:t>
      </w:r>
      <w:r w:rsidR="00666C1B">
        <w:t xml:space="preserve">Furthermore, the accuracy of SA1 level data on nil/negative income households/families may be able to be assessed using ATO income data. </w:t>
      </w:r>
    </w:p>
    <w:p w:rsidR="00570D95" w:rsidRDefault="00570D95" w:rsidP="00570D95">
      <w:pPr>
        <w:pStyle w:val="Heading4"/>
      </w:pPr>
      <w:bookmarkStart w:id="258" w:name="_Toc493598503"/>
      <w:bookmarkStart w:id="259" w:name="_Toc495409808"/>
      <w:bookmarkStart w:id="260" w:name="_Toc496792799"/>
      <w:bookmarkStart w:id="261" w:name="_Toc496803929"/>
      <w:r>
        <w:t>The SES score calculation does not reflect that parents</w:t>
      </w:r>
      <w:r w:rsidR="00B547D6">
        <w:t xml:space="preserve"> may</w:t>
      </w:r>
      <w:r>
        <w:t xml:space="preserve"> live in separate households</w:t>
      </w:r>
      <w:bookmarkEnd w:id="258"/>
      <w:bookmarkEnd w:id="259"/>
      <w:bookmarkEnd w:id="260"/>
      <w:bookmarkEnd w:id="261"/>
    </w:p>
    <w:p w:rsidR="00570D95" w:rsidRDefault="00570D95" w:rsidP="00570D95">
      <w:r>
        <w:t xml:space="preserve">The SES score calculation process only considers one student address, and does not take into account whether parents </w:t>
      </w:r>
      <w:r w:rsidR="00683EC5">
        <w:t xml:space="preserve">are living </w:t>
      </w:r>
      <w:r>
        <w:t xml:space="preserve">in separate households. </w:t>
      </w:r>
      <w:r w:rsidR="00B547D6">
        <w:t xml:space="preserve">Concern has been raised that this situation may bias SES score estimates. </w:t>
      </w:r>
      <w:r w:rsidR="00683EC5">
        <w:t>I</w:t>
      </w:r>
      <w:r w:rsidR="00B547D6">
        <w:t xml:space="preserve">t is argued that </w:t>
      </w:r>
      <w:r>
        <w:t xml:space="preserve">both households </w:t>
      </w:r>
      <w:r w:rsidR="009D626B">
        <w:t>likely</w:t>
      </w:r>
      <w:r>
        <w:t xml:space="preserve"> contribute towards the cost of their child’s education</w:t>
      </w:r>
      <w:r w:rsidR="00B547D6">
        <w:t xml:space="preserve">, such that the capacity to contribute is under-estimated. </w:t>
      </w:r>
      <w:r>
        <w:t xml:space="preserve"> </w:t>
      </w:r>
    </w:p>
    <w:p w:rsidR="00570D95" w:rsidRDefault="00570D95" w:rsidP="00570D95">
      <w:r>
        <w:t>The potential bias that may result from t</w:t>
      </w:r>
      <w:r w:rsidR="00B547D6">
        <w:t>he</w:t>
      </w:r>
      <w:r>
        <w:t xml:space="preserve"> current approach </w:t>
      </w:r>
      <w:r w:rsidR="00B547D6">
        <w:t>has</w:t>
      </w:r>
      <w:r>
        <w:t xml:space="preserve"> not </w:t>
      </w:r>
      <w:r w:rsidR="00B547D6">
        <w:t xml:space="preserve">been </w:t>
      </w:r>
      <w:r>
        <w:t>identified</w:t>
      </w:r>
      <w:r w:rsidR="00B547D6">
        <w:t xml:space="preserve">—the </w:t>
      </w:r>
      <w:r>
        <w:t xml:space="preserve">impact upon SES scores for individual schools depends upon the distribution of affected students across </w:t>
      </w:r>
      <w:r w:rsidR="00683EC5">
        <w:t xml:space="preserve">SA1s and </w:t>
      </w:r>
      <w:r>
        <w:t>schools.</w:t>
      </w:r>
    </w:p>
    <w:p w:rsidR="00666C1B" w:rsidRDefault="00666C1B" w:rsidP="00570D95">
      <w:r>
        <w:t xml:space="preserve">The extent of this issue could be explored in the first instance using ABS Census data to identify the numbers of families with children attending </w:t>
      </w:r>
      <w:r w:rsidR="002263C4">
        <w:t>non</w:t>
      </w:r>
      <w:r w:rsidR="002263C4">
        <w:noBreakHyphen/>
        <w:t>government</w:t>
      </w:r>
      <w:r>
        <w:t xml:space="preserve"> schools where parents may live in separate households. </w:t>
      </w:r>
      <w:r w:rsidR="005B2038">
        <w:t xml:space="preserve">Furthermore, it may be appropriate to assess the feasibility of collecting data from schools on the addresses of parents living in separate households—this data may already be collected by many schools. </w:t>
      </w:r>
    </w:p>
    <w:p w:rsidR="00726F68" w:rsidRDefault="007E39FF" w:rsidP="007E39FF">
      <w:pPr>
        <w:pStyle w:val="Heading4"/>
      </w:pPr>
      <w:bookmarkStart w:id="262" w:name="_Toc495409809"/>
      <w:bookmarkStart w:id="263" w:name="_Toc496792800"/>
      <w:bookmarkStart w:id="264" w:name="_Toc496803930"/>
      <w:r w:rsidRPr="007E39FF">
        <w:t xml:space="preserve">Family size is not considered in </w:t>
      </w:r>
      <w:r w:rsidR="002D279D">
        <w:t xml:space="preserve">the </w:t>
      </w:r>
      <w:r w:rsidRPr="007E39FF">
        <w:t xml:space="preserve">SES score </w:t>
      </w:r>
      <w:r w:rsidR="002D279D">
        <w:t>calculation</w:t>
      </w:r>
      <w:bookmarkEnd w:id="262"/>
      <w:bookmarkEnd w:id="263"/>
      <w:bookmarkEnd w:id="264"/>
    </w:p>
    <w:p w:rsidR="004C5E94" w:rsidRDefault="007E39FF" w:rsidP="004C5E94">
      <w:r>
        <w:t xml:space="preserve">At </w:t>
      </w:r>
      <w:r w:rsidR="00820C22">
        <w:t xml:space="preserve">present the SES score </w:t>
      </w:r>
      <w:r w:rsidR="002D279D">
        <w:t>calculation</w:t>
      </w:r>
      <w:r w:rsidR="00820C22">
        <w:t xml:space="preserve"> does not take family size into account. Concern has been raised that family size is likely to affect the capacity of families to contribute to their child’s education. Furthermore, at a national level ABS Census data indicates that the average number of dependent children in a family declines as family income increases. </w:t>
      </w:r>
    </w:p>
    <w:p w:rsidR="004C5E94" w:rsidRDefault="004C5E94" w:rsidP="004C5E94">
      <w:r>
        <w:t xml:space="preserve">The implication of the current situation is that if two SA1s are identical in every way except for average family size, they will nevertheless receive the same SES score. </w:t>
      </w:r>
    </w:p>
    <w:p w:rsidR="004C5E94" w:rsidRPr="007E39FF" w:rsidRDefault="004C5E94" w:rsidP="004C5E94">
      <w:r>
        <w:t>Family size has also been identified as a particular issue in schools associated with certain religious denominations that have large families. Indeed, as noted in</w:t>
      </w:r>
      <w:r w:rsidR="00683EC5">
        <w:t xml:space="preserve"> Section 2</w:t>
      </w:r>
      <w:r>
        <w:t xml:space="preserve">, family size has been successfully used in appeals to the Australian Government for school’s SES score to be reduced (see p. </w:t>
      </w:r>
      <w:r>
        <w:fldChar w:fldCharType="begin"/>
      </w:r>
      <w:r>
        <w:instrText xml:space="preserve"> PAGEREF _Ref493503127 \h </w:instrText>
      </w:r>
      <w:r>
        <w:fldChar w:fldCharType="separate"/>
      </w:r>
      <w:r w:rsidR="00B52C11">
        <w:rPr>
          <w:noProof/>
        </w:rPr>
        <w:t>16</w:t>
      </w:r>
      <w:r>
        <w:fldChar w:fldCharType="end"/>
      </w:r>
      <w:r>
        <w:t>)</w:t>
      </w:r>
    </w:p>
    <w:p w:rsidR="00820C22" w:rsidRDefault="00820C22" w:rsidP="00820C22">
      <w:r>
        <w:t xml:space="preserve">At the time of the initial SES score </w:t>
      </w:r>
      <w:r w:rsidR="002D279D">
        <w:t>calculation</w:t>
      </w:r>
      <w:r>
        <w:t xml:space="preserve">, the ABS did not report income in a way that adjusted for family size or composition. </w:t>
      </w:r>
      <w:r w:rsidR="004C5E94">
        <w:t>S</w:t>
      </w:r>
      <w:r>
        <w:t xml:space="preserve">ince the 2006 Census the ABS has been estimating and reporting what is known as </w:t>
      </w:r>
      <w:r w:rsidRPr="00820C22">
        <w:t>equivalised household income</w:t>
      </w:r>
      <w:r>
        <w:t>. E</w:t>
      </w:r>
      <w:r w:rsidRPr="00820C22">
        <w:t xml:space="preserve">quivalised </w:t>
      </w:r>
      <w:r w:rsidR="004C5E94">
        <w:t>ho</w:t>
      </w:r>
      <w:r w:rsidRPr="00820C22">
        <w:t>usehold income</w:t>
      </w:r>
      <w:r>
        <w:t xml:space="preserve"> </w:t>
      </w:r>
      <w:r w:rsidRPr="00820C22">
        <w:t>adjusts household income to reflect size and composition.</w:t>
      </w:r>
      <w:r w:rsidR="004C5E94">
        <w:t xml:space="preserve"> </w:t>
      </w:r>
    </w:p>
    <w:p w:rsidR="004C5E94" w:rsidRPr="00820C22" w:rsidRDefault="004C5E94" w:rsidP="00820C22">
      <w:r>
        <w:t xml:space="preserve">The extent to which the use of </w:t>
      </w:r>
      <w:r w:rsidRPr="00820C22">
        <w:t>equivalised household income</w:t>
      </w:r>
      <w:r>
        <w:t xml:space="preserve"> in future SES score </w:t>
      </w:r>
      <w:r w:rsidR="002D279D">
        <w:t>calculation</w:t>
      </w:r>
      <w:r>
        <w:t xml:space="preserve"> </w:t>
      </w:r>
      <w:r w:rsidR="00683EC5">
        <w:t xml:space="preserve">may address this issue </w:t>
      </w:r>
      <w:r>
        <w:t>need</w:t>
      </w:r>
      <w:r w:rsidR="00683EC5">
        <w:t>s</w:t>
      </w:r>
      <w:r>
        <w:t xml:space="preserve"> examination. It may not make a material difference to school </w:t>
      </w:r>
      <w:r w:rsidR="00683EC5">
        <w:t>S</w:t>
      </w:r>
      <w:r>
        <w:t xml:space="preserve">ES scores if affected families represent a small proportion of the SA1s where they live. </w:t>
      </w:r>
    </w:p>
    <w:p w:rsidR="00726F68" w:rsidRDefault="0088631F" w:rsidP="00726F68">
      <w:pPr>
        <w:pStyle w:val="Heading3"/>
      </w:pPr>
      <w:bookmarkStart w:id="265" w:name="_Toc495409810"/>
      <w:bookmarkStart w:id="266" w:name="_Toc496792801"/>
      <w:bookmarkStart w:id="267" w:name="_Toc496803931"/>
      <w:r>
        <w:t>D</w:t>
      </w:r>
      <w:r w:rsidR="00726F68" w:rsidRPr="00726F68">
        <w:t>ata</w:t>
      </w:r>
      <w:r>
        <w:t xml:space="preserve"> robustness</w:t>
      </w:r>
      <w:bookmarkEnd w:id="265"/>
      <w:bookmarkEnd w:id="266"/>
      <w:bookmarkEnd w:id="267"/>
    </w:p>
    <w:p w:rsidR="003D5DA7" w:rsidRPr="003D5DA7" w:rsidRDefault="003D5DA7" w:rsidP="003D5DA7">
      <w:pPr>
        <w:pStyle w:val="Heading4"/>
      </w:pPr>
      <w:bookmarkStart w:id="268" w:name="_Toc495409811"/>
      <w:bookmarkStart w:id="269" w:name="_Toc496792802"/>
      <w:bookmarkStart w:id="270" w:name="_Toc496803932"/>
      <w:r w:rsidRPr="003D5DA7">
        <w:t>Census data is more robust than data collected from parent</w:t>
      </w:r>
      <w:r w:rsidR="002351E9">
        <w:t>s</w:t>
      </w:r>
      <w:bookmarkEnd w:id="268"/>
      <w:bookmarkEnd w:id="269"/>
      <w:bookmarkEnd w:id="270"/>
    </w:p>
    <w:p w:rsidR="002351E9" w:rsidRDefault="002351E9" w:rsidP="00726F68">
      <w:r>
        <w:t xml:space="preserve">There has been little consideration of alternatives to Census data in discussion of issues and concerns with the SES score approach. As part of its submission to the Review of Funding for Schooling, one </w:t>
      </w:r>
      <w:r w:rsidR="002263C4">
        <w:t>non</w:t>
      </w:r>
      <w:r w:rsidR="002263C4">
        <w:noBreakHyphen/>
        <w:t>government</w:t>
      </w:r>
      <w:r>
        <w:t xml:space="preserve"> schooling sector considered the robustness of data collected by the ABS Census, compared to data collected by schools from parents at the time of enrolment. </w:t>
      </w:r>
    </w:p>
    <w:p w:rsidR="002351E9" w:rsidRDefault="002351E9" w:rsidP="002351E9">
      <w:r w:rsidRPr="002351E9">
        <w:t xml:space="preserve">At that time, </w:t>
      </w:r>
      <w:r w:rsidR="00683EC5">
        <w:t>the submission</w:t>
      </w:r>
      <w:r w:rsidRPr="002351E9">
        <w:t xml:space="preserve"> considered that Census data is robust, by virtue of being collected under controlled and consistent conditions. In contrast, it </w:t>
      </w:r>
      <w:r w:rsidR="00683EC5">
        <w:t>was</w:t>
      </w:r>
      <w:r w:rsidR="00683EC5" w:rsidRPr="002351E9">
        <w:t xml:space="preserve"> </w:t>
      </w:r>
      <w:r w:rsidRPr="002351E9">
        <w:t xml:space="preserve">argued, </w:t>
      </w:r>
      <w:r w:rsidR="00726F68" w:rsidRPr="002351E9">
        <w:t>data collected by schools from parents is not robust.</w:t>
      </w:r>
      <w:r w:rsidR="00683EC5">
        <w:t xml:space="preserve"> </w:t>
      </w:r>
    </w:p>
    <w:p w:rsidR="005B2038" w:rsidRPr="002351E9" w:rsidRDefault="005B2038" w:rsidP="002351E9">
      <w:r>
        <w:t xml:space="preserve">To explore this issue it may be appropriate to first seek advice from ACARA and the ABS on the results of analysis undertaken examining the robustness of data collected from the Census and the My School collection. </w:t>
      </w:r>
    </w:p>
    <w:p w:rsidR="005D7451" w:rsidRDefault="005D7451" w:rsidP="005D7451">
      <w:pPr>
        <w:pStyle w:val="Heading2"/>
      </w:pPr>
      <w:bookmarkStart w:id="271" w:name="_Toc493598508"/>
      <w:bookmarkStart w:id="272" w:name="_Toc495409812"/>
      <w:bookmarkStart w:id="273" w:name="_Toc496792803"/>
      <w:bookmarkStart w:id="274" w:name="_Toc496803933"/>
      <w:bookmarkStart w:id="275" w:name="_Ref489967730"/>
      <w:r>
        <w:t>Timeliness of the SES score</w:t>
      </w:r>
      <w:bookmarkEnd w:id="271"/>
      <w:bookmarkEnd w:id="272"/>
      <w:bookmarkEnd w:id="273"/>
      <w:bookmarkEnd w:id="274"/>
    </w:p>
    <w:p w:rsidR="005D7451" w:rsidRDefault="00683EC5" w:rsidP="005D7451">
      <w:r>
        <w:t>Stakeholder c</w:t>
      </w:r>
      <w:r w:rsidR="002351E9">
        <w:t xml:space="preserve">oncern has been raised that </w:t>
      </w:r>
      <w:r w:rsidR="005D7451">
        <w:t xml:space="preserve">SES scores generated for SA1s and schools can </w:t>
      </w:r>
      <w:r w:rsidR="002351E9">
        <w:t xml:space="preserve">soon </w:t>
      </w:r>
      <w:r w:rsidR="005D7451">
        <w:t xml:space="preserve">become out of date due to economic structural change. The example </w:t>
      </w:r>
      <w:r>
        <w:t xml:space="preserve">has been </w:t>
      </w:r>
      <w:r w:rsidR="005D7451">
        <w:t>provided of the Western Australian economy. It is argued that at the time of the 2011 ABS Census, Western Australia has strong economic growth, which flowed through to the SES scores of Western Australian SA1s and schools. However, the Western Australian economy has subsequently contracted, implying that SES score</w:t>
      </w:r>
      <w:r>
        <w:t>s for Western Australian schools</w:t>
      </w:r>
      <w:r w:rsidR="005D7451">
        <w:t xml:space="preserve"> are </w:t>
      </w:r>
      <w:r w:rsidR="005C5FDA">
        <w:t xml:space="preserve">now </w:t>
      </w:r>
      <w:r w:rsidR="005D7451">
        <w:t xml:space="preserve">potentially too high. </w:t>
      </w:r>
    </w:p>
    <w:p w:rsidR="005D7451" w:rsidRDefault="005D7451" w:rsidP="005D7451">
      <w:r>
        <w:t>The additional example is provided of more localised economic structural change, such as in the car manufacturing and dairy industries. Many communities will not be fully impacted by the closure of the car manufacturing industry until late 2017—one year after the 2016 Census. As a result, SES scores calculated for these communities may be inaccurate as soon as they are released.</w:t>
      </w:r>
      <w:r w:rsidR="00CF3EF1">
        <w:t xml:space="preserve"> Although not raised </w:t>
      </w:r>
      <w:r w:rsidR="005C5FDA">
        <w:t xml:space="preserve">in </w:t>
      </w:r>
      <w:r w:rsidR="00CF3EF1">
        <w:t xml:space="preserve">any public documents, the timeliness of the SES score may also be an issue for new communities, such as residential housing developments. </w:t>
      </w:r>
    </w:p>
    <w:p w:rsidR="005D7451" w:rsidRDefault="005B2038" w:rsidP="005D7451">
      <w:r>
        <w:t>The implications of this issue could be examined by first examining chan</w:t>
      </w:r>
      <w:r w:rsidR="0051054D">
        <w:t xml:space="preserve">ges in SA1 SES scores over time, with this analysis focussed on SA1s that have been affected by economic structural change. </w:t>
      </w:r>
    </w:p>
    <w:p w:rsidR="00A23EEC" w:rsidRDefault="00A23EEC" w:rsidP="00A260FB">
      <w:pPr>
        <w:pStyle w:val="Heading11"/>
      </w:pPr>
      <w:bookmarkStart w:id="276" w:name="_Ref493598557"/>
      <w:bookmarkStart w:id="277" w:name="_Toc496803934"/>
      <w:r>
        <w:t>Potential directions for measur</w:t>
      </w:r>
      <w:r w:rsidR="005C5FDA">
        <w:t>ing</w:t>
      </w:r>
      <w:r>
        <w:t xml:space="preserve"> the capacity to contribute</w:t>
      </w:r>
      <w:bookmarkEnd w:id="275"/>
      <w:bookmarkEnd w:id="276"/>
      <w:bookmarkEnd w:id="277"/>
    </w:p>
    <w:p w:rsidR="000E61A4" w:rsidRDefault="000E61A4" w:rsidP="000E61A4">
      <w:r>
        <w:t xml:space="preserve">Despite the application of the SES score changing in 2013—from determining the percentage of the AGSRC allocated to </w:t>
      </w:r>
      <w:r w:rsidR="002263C4">
        <w:t>non</w:t>
      </w:r>
      <w:r w:rsidR="002263C4">
        <w:noBreakHyphen/>
        <w:t>government</w:t>
      </w:r>
      <w:r>
        <w:t xml:space="preserve"> schools, to determining the discount made to a school’s base SRS allocation—the objective of what the SES score is intended to measure, and its calculation method, have not. Neither has the SES score been subjected to focused review and analysis since it was first developed in the late 1990s and then implemented in 2001. </w:t>
      </w:r>
    </w:p>
    <w:p w:rsidR="000E61A4" w:rsidRDefault="006F673F" w:rsidP="000E61A4">
      <w:r>
        <w:t>Moving forward it is considered t</w:t>
      </w:r>
      <w:r w:rsidR="000E61A4">
        <w:t>here is a need to re-affirm the 1999 validation activities to identify whether the SES score</w:t>
      </w:r>
      <w:r w:rsidR="0034539B">
        <w:t xml:space="preserve"> </w:t>
      </w:r>
      <w:r w:rsidR="000E61A4">
        <w:t>is fit for purpose.</w:t>
      </w:r>
      <w:r w:rsidR="000E61A4">
        <w:rPr>
          <w:rStyle w:val="FootnoteReference"/>
        </w:rPr>
        <w:footnoteReference w:id="7"/>
      </w:r>
      <w:r w:rsidR="000E61A4">
        <w:t xml:space="preserve"> The nature of the issues and concerns documented in </w:t>
      </w:r>
      <w:r w:rsidR="00A379AD">
        <w:t>Section</w:t>
      </w:r>
      <w:r w:rsidR="000E61A4">
        <w:t xml:space="preserve"> </w:t>
      </w:r>
      <w:r w:rsidR="000E61A4">
        <w:fldChar w:fldCharType="begin"/>
      </w:r>
      <w:r w:rsidR="000E61A4">
        <w:instrText xml:space="preserve"> REF _Ref489967728 \r \h </w:instrText>
      </w:r>
      <w:r w:rsidR="000E61A4">
        <w:fldChar w:fldCharType="separate"/>
      </w:r>
      <w:r w:rsidR="00B52C11">
        <w:t>4</w:t>
      </w:r>
      <w:r w:rsidR="000E61A4">
        <w:fldChar w:fldCharType="end"/>
      </w:r>
      <w:r w:rsidR="000E61A4">
        <w:t xml:space="preserve"> mean a deeper and broader validation process is likely required. For instance, the original validation activities did not seek to identify whether the SES score was </w:t>
      </w:r>
      <w:r w:rsidR="00105DE3">
        <w:t xml:space="preserve">accurate </w:t>
      </w:r>
      <w:r w:rsidR="000E61A4">
        <w:t xml:space="preserve">for </w:t>
      </w:r>
      <w:r>
        <w:t xml:space="preserve">each </w:t>
      </w:r>
      <w:r w:rsidR="000E61A4">
        <w:t xml:space="preserve">of the </w:t>
      </w:r>
      <w:r w:rsidR="002263C4">
        <w:t>non</w:t>
      </w:r>
      <w:r w:rsidR="002263C4">
        <w:noBreakHyphen/>
        <w:t>government</w:t>
      </w:r>
      <w:r w:rsidR="000E61A4">
        <w:t xml:space="preserve"> school sectors—instead it considered </w:t>
      </w:r>
      <w:r w:rsidR="002263C4">
        <w:t>non</w:t>
      </w:r>
      <w:r w:rsidR="002263C4">
        <w:noBreakHyphen/>
        <w:t>government</w:t>
      </w:r>
      <w:r w:rsidR="000E61A4">
        <w:t xml:space="preserve"> schools as a whole. </w:t>
      </w:r>
    </w:p>
    <w:p w:rsidR="0089729A" w:rsidRDefault="000E61A4" w:rsidP="000E61A4">
      <w:r>
        <w:t xml:space="preserve">The premise of many of the </w:t>
      </w:r>
      <w:r w:rsidR="006F673F">
        <w:t xml:space="preserve">stakeholder </w:t>
      </w:r>
      <w:r>
        <w:t>concerns and issue</w:t>
      </w:r>
      <w:r w:rsidR="0089729A">
        <w:t>s</w:t>
      </w:r>
      <w:r>
        <w:t xml:space="preserve"> documented in </w:t>
      </w:r>
      <w:r w:rsidR="00A379AD">
        <w:t>Section</w:t>
      </w:r>
      <w:r>
        <w:t xml:space="preserve"> </w:t>
      </w:r>
      <w:r>
        <w:fldChar w:fldCharType="begin"/>
      </w:r>
      <w:r>
        <w:instrText xml:space="preserve"> REF _Ref489967728 \r \h </w:instrText>
      </w:r>
      <w:r>
        <w:fldChar w:fldCharType="separate"/>
      </w:r>
      <w:r w:rsidR="00B52C11">
        <w:t>4</w:t>
      </w:r>
      <w:r>
        <w:fldChar w:fldCharType="end"/>
      </w:r>
      <w:r>
        <w:t xml:space="preserve"> is the </w:t>
      </w:r>
      <w:r w:rsidR="0089729A">
        <w:t xml:space="preserve">contention that the </w:t>
      </w:r>
      <w:r>
        <w:t xml:space="preserve">SES score, as currently calculated and applied to </w:t>
      </w:r>
      <w:r w:rsidR="002263C4">
        <w:t>non</w:t>
      </w:r>
      <w:r w:rsidR="002263C4">
        <w:noBreakHyphen/>
        <w:t>government</w:t>
      </w:r>
      <w:r w:rsidR="00DB6083">
        <w:t xml:space="preserve"> </w:t>
      </w:r>
      <w:r>
        <w:t>schools, systematically provides too high a</w:t>
      </w:r>
      <w:r w:rsidR="00955954">
        <w:t>n</w:t>
      </w:r>
      <w:r>
        <w:t xml:space="preserve"> SES score for one </w:t>
      </w:r>
      <w:r w:rsidR="002263C4">
        <w:t>non</w:t>
      </w:r>
      <w:r w:rsidR="002263C4">
        <w:noBreakHyphen/>
        <w:t>government</w:t>
      </w:r>
      <w:r>
        <w:t xml:space="preserve"> school sector, and too low a</w:t>
      </w:r>
      <w:r w:rsidR="00955954">
        <w:t>n</w:t>
      </w:r>
      <w:r>
        <w:t xml:space="preserve"> SES score for the other. </w:t>
      </w:r>
      <w:r w:rsidR="0089729A">
        <w:t xml:space="preserve">And that this alleged bias is a result of the SES of families with children attending </w:t>
      </w:r>
      <w:r w:rsidR="002263C4">
        <w:t>non</w:t>
      </w:r>
      <w:r w:rsidR="002263C4">
        <w:noBreakHyphen/>
        <w:t>government</w:t>
      </w:r>
      <w:r w:rsidR="0089729A">
        <w:t xml:space="preserve"> schools </w:t>
      </w:r>
      <w:r w:rsidR="00EB6ABF">
        <w:t>being</w:t>
      </w:r>
      <w:r w:rsidR="0089729A">
        <w:t xml:space="preserve"> systematically different on the basis of school sector attended. Furthermore, it is argued </w:t>
      </w:r>
      <w:r w:rsidR="006F673F">
        <w:t xml:space="preserve">by stakeholders </w:t>
      </w:r>
      <w:r w:rsidR="0089729A">
        <w:t xml:space="preserve">that this </w:t>
      </w:r>
      <w:r w:rsidR="00EB6ABF">
        <w:t xml:space="preserve">bias is both a result of issues with the Census data used to estimate the SES score, and the SES score </w:t>
      </w:r>
      <w:r w:rsidR="002D279D">
        <w:t>calculation</w:t>
      </w:r>
      <w:r w:rsidR="00EB6ABF">
        <w:t xml:space="preserve"> method itself. </w:t>
      </w:r>
    </w:p>
    <w:p w:rsidR="00800C79" w:rsidRDefault="007F5B6F" w:rsidP="000E61A4">
      <w:r>
        <w:t xml:space="preserve">To </w:t>
      </w:r>
      <w:r w:rsidR="006F673F">
        <w:t>address these points</w:t>
      </w:r>
      <w:r w:rsidR="000E61A4">
        <w:t xml:space="preserve"> a range of policy and analytical activities are identified below. </w:t>
      </w:r>
      <w:r w:rsidR="00800C79">
        <w:t>These comprise c</w:t>
      </w:r>
      <w:r w:rsidR="00800C79" w:rsidRPr="00800C79">
        <w:t>larifying the purpose and objective of the capacity to contribute measure</w:t>
      </w:r>
      <w:r w:rsidR="00800C79">
        <w:t>, follow</w:t>
      </w:r>
      <w:r w:rsidR="006F673F">
        <w:t>ed</w:t>
      </w:r>
      <w:r w:rsidR="00800C79">
        <w:t xml:space="preserve"> by analysis that </w:t>
      </w:r>
      <w:r w:rsidR="00396E68">
        <w:t>seeks to validate the SES score as a capacity to contribute, and t</w:t>
      </w:r>
      <w:r w:rsidR="006F673F">
        <w:t>o</w:t>
      </w:r>
      <w:r w:rsidR="00396E68">
        <w:t xml:space="preserve"> improve upon the current SES score design. </w:t>
      </w:r>
    </w:p>
    <w:p w:rsidR="000E61A4" w:rsidRDefault="00800C79" w:rsidP="000E61A4">
      <w:r>
        <w:t xml:space="preserve">Suggested analytical </w:t>
      </w:r>
      <w:r w:rsidR="000E61A4">
        <w:t xml:space="preserve">activities reflect the context of 2017—datasets are available today that were not in </w:t>
      </w:r>
      <w:r w:rsidR="006F673F">
        <w:t>the late 1990s</w:t>
      </w:r>
      <w:r w:rsidR="000E61A4">
        <w:t xml:space="preserve">. At </w:t>
      </w:r>
      <w:r w:rsidR="00DB6083">
        <w:t xml:space="preserve">a </w:t>
      </w:r>
      <w:r w:rsidR="000E61A4">
        <w:t xml:space="preserve">minimum, these datasets may be able to assist in validating the SES score, and some may have a role in the ongoing estimation of </w:t>
      </w:r>
      <w:r w:rsidR="006F673F">
        <w:t>a</w:t>
      </w:r>
      <w:r w:rsidR="000E61A4">
        <w:t xml:space="preserve"> capacity to contribute</w:t>
      </w:r>
      <w:r w:rsidR="006F673F">
        <w:t xml:space="preserve"> measure</w:t>
      </w:r>
      <w:r w:rsidR="000E61A4">
        <w:t xml:space="preserve">. </w:t>
      </w:r>
    </w:p>
    <w:p w:rsidR="00161042" w:rsidRDefault="00472408" w:rsidP="009E5070">
      <w:pPr>
        <w:pStyle w:val="Heading2"/>
      </w:pPr>
      <w:bookmarkStart w:id="278" w:name="_Toc493598510"/>
      <w:bookmarkStart w:id="279" w:name="_Toc495409814"/>
      <w:bookmarkStart w:id="280" w:name="_Toc496792805"/>
      <w:bookmarkStart w:id="281" w:name="_Toc496803935"/>
      <w:r>
        <w:t xml:space="preserve">Clarifying the </w:t>
      </w:r>
      <w:r w:rsidR="00DD5995">
        <w:t xml:space="preserve">purpose and </w:t>
      </w:r>
      <w:r w:rsidR="009E5070">
        <w:t>objective of the capacity to contribute measure</w:t>
      </w:r>
      <w:bookmarkEnd w:id="278"/>
      <w:bookmarkEnd w:id="279"/>
      <w:bookmarkEnd w:id="280"/>
      <w:bookmarkEnd w:id="281"/>
    </w:p>
    <w:p w:rsidR="009E5070" w:rsidRDefault="009E5070" w:rsidP="009E5070">
      <w:r>
        <w:t>A</w:t>
      </w:r>
      <w:r w:rsidR="006F673F">
        <w:t xml:space="preserve"> preliminary activity </w:t>
      </w:r>
      <w:r>
        <w:t>is confirm</w:t>
      </w:r>
      <w:r w:rsidR="00105DE3">
        <w:t>ing</w:t>
      </w:r>
      <w:r>
        <w:t xml:space="preserve"> the appropriateness of the </w:t>
      </w:r>
      <w:r w:rsidR="00105DE3">
        <w:t xml:space="preserve">SES score’s </w:t>
      </w:r>
      <w:r>
        <w:t xml:space="preserve">objective, and to </w:t>
      </w:r>
      <w:r w:rsidR="00472408">
        <w:t xml:space="preserve">elaborate upon </w:t>
      </w:r>
      <w:r>
        <w:t>this objective. At present the SES score’s objective is to measure the capacity to contribute of individual schools, reflecting that:</w:t>
      </w:r>
    </w:p>
    <w:p w:rsidR="009E5070" w:rsidRDefault="009E5070" w:rsidP="009E5070">
      <w:pPr>
        <w:pStyle w:val="Quote"/>
      </w:pPr>
      <w:r w:rsidRPr="00D33118">
        <w:t>some parents and school communities are more able than others to contribute financially to their school’s operating costs</w:t>
      </w:r>
      <w:sdt>
        <w:sdtPr>
          <w:id w:val="-83534345"/>
          <w:citation/>
        </w:sdtPr>
        <w:sdtContent>
          <w:r>
            <w:fldChar w:fldCharType="begin"/>
          </w:r>
          <w:r>
            <w:instrText xml:space="preserve"> CITATION Aus172 \l 3081 </w:instrText>
          </w:r>
          <w:r>
            <w:fldChar w:fldCharType="separate"/>
          </w:r>
          <w:r w:rsidR="005333F5">
            <w:rPr>
              <w:noProof/>
            </w:rPr>
            <w:t xml:space="preserve"> (Australian Government, 2017)</w:t>
          </w:r>
          <w:r>
            <w:fldChar w:fldCharType="end"/>
          </w:r>
        </w:sdtContent>
      </w:sdt>
      <w:r>
        <w:t>.</w:t>
      </w:r>
    </w:p>
    <w:p w:rsidR="009E5070" w:rsidRDefault="009E5070" w:rsidP="0076688E">
      <w:r>
        <w:t xml:space="preserve">There are several </w:t>
      </w:r>
      <w:r w:rsidR="006F673F">
        <w:t xml:space="preserve">elements </w:t>
      </w:r>
      <w:r>
        <w:t xml:space="preserve">to this objective </w:t>
      </w:r>
      <w:r w:rsidR="007F5B6F">
        <w:t>requir</w:t>
      </w:r>
      <w:r w:rsidR="006F673F">
        <w:t>ing</w:t>
      </w:r>
      <w:r w:rsidR="007F5B6F">
        <w:t xml:space="preserve"> clarification</w:t>
      </w:r>
      <w:r>
        <w:t xml:space="preserve"> before further validation activities can commence. These include confirming:</w:t>
      </w:r>
    </w:p>
    <w:p w:rsidR="009E5070" w:rsidRDefault="009E5070" w:rsidP="009E5070">
      <w:pPr>
        <w:pStyle w:val="Dotpoints"/>
      </w:pPr>
      <w:r>
        <w:t xml:space="preserve">Which parents are in scope? Is it only the parent(s) where a student lives, or all parents? </w:t>
      </w:r>
    </w:p>
    <w:p w:rsidR="00105DE3" w:rsidRDefault="009E5070" w:rsidP="009E5070">
      <w:pPr>
        <w:pStyle w:val="Dotpoints"/>
      </w:pPr>
      <w:r>
        <w:t xml:space="preserve">What is meant by school communities? </w:t>
      </w:r>
    </w:p>
    <w:p w:rsidR="00105DE3" w:rsidRDefault="009E5070" w:rsidP="005E374E">
      <w:pPr>
        <w:pStyle w:val="Dotpoints"/>
        <w:numPr>
          <w:ilvl w:val="1"/>
          <w:numId w:val="23"/>
        </w:numPr>
      </w:pPr>
      <w:r>
        <w:t xml:space="preserve">To the extent possible should the </w:t>
      </w:r>
      <w:r w:rsidR="00C040E4">
        <w:t xml:space="preserve">future estimation of the </w:t>
      </w:r>
      <w:r>
        <w:t xml:space="preserve">capacity to contribute </w:t>
      </w:r>
      <w:r w:rsidR="00C040E4">
        <w:t xml:space="preserve">only use data for families and households where at least one child is attending a </w:t>
      </w:r>
      <w:r w:rsidR="002263C4">
        <w:t>non</w:t>
      </w:r>
      <w:r w:rsidR="002263C4">
        <w:noBreakHyphen/>
        <w:t>government</w:t>
      </w:r>
      <w:r w:rsidR="00C040E4">
        <w:t xml:space="preserve"> school? </w:t>
      </w:r>
    </w:p>
    <w:p w:rsidR="00105DE3" w:rsidRDefault="006F673F" w:rsidP="005E374E">
      <w:pPr>
        <w:pStyle w:val="Dotpoints"/>
        <w:numPr>
          <w:ilvl w:val="1"/>
          <w:numId w:val="23"/>
        </w:numPr>
      </w:pPr>
      <w:r>
        <w:t>S</w:t>
      </w:r>
      <w:r w:rsidR="002C52FC">
        <w:t xml:space="preserve">hould the financial resources of individual schools </w:t>
      </w:r>
      <w:r>
        <w:t xml:space="preserve">not provided by current families </w:t>
      </w:r>
      <w:r w:rsidR="002C52FC">
        <w:t>be considered, such as funds provided to schools by alumni?</w:t>
      </w:r>
      <w:r w:rsidR="00EB6ABF">
        <w:t xml:space="preserve"> </w:t>
      </w:r>
    </w:p>
    <w:p w:rsidR="009E5070" w:rsidRDefault="006F673F" w:rsidP="005E374E">
      <w:pPr>
        <w:pStyle w:val="Dotpoints"/>
        <w:numPr>
          <w:ilvl w:val="1"/>
          <w:numId w:val="23"/>
        </w:numPr>
      </w:pPr>
      <w:r>
        <w:t>W</w:t>
      </w:r>
      <w:r w:rsidR="00EB6ABF">
        <w:t xml:space="preserve">here feasible, should data used to measure the capacity to contribute be sourced directly from </w:t>
      </w:r>
      <w:r w:rsidR="007F5B6F">
        <w:t xml:space="preserve">schools for </w:t>
      </w:r>
      <w:r w:rsidR="00EB6ABF">
        <w:t xml:space="preserve">the families of children attending </w:t>
      </w:r>
      <w:r w:rsidR="002263C4">
        <w:t>non</w:t>
      </w:r>
      <w:r w:rsidR="002263C4">
        <w:noBreakHyphen/>
        <w:t>government</w:t>
      </w:r>
      <w:r w:rsidR="00EB6ABF">
        <w:t xml:space="preserve"> schools? </w:t>
      </w:r>
    </w:p>
    <w:p w:rsidR="00105DE3" w:rsidRDefault="00FA30CF" w:rsidP="009E5070">
      <w:pPr>
        <w:pStyle w:val="Dotpoints"/>
      </w:pPr>
      <w:r>
        <w:t>What is the scope of ‘financial</w:t>
      </w:r>
      <w:r w:rsidR="006F673F">
        <w:t xml:space="preserve"> resources</w:t>
      </w:r>
      <w:r>
        <w:t>’</w:t>
      </w:r>
      <w:r w:rsidR="006F673F">
        <w:t xml:space="preserve"> in the capacity to contribute</w:t>
      </w:r>
      <w:r>
        <w:t>?</w:t>
      </w:r>
    </w:p>
    <w:p w:rsidR="00105DE3" w:rsidRDefault="00FA30CF" w:rsidP="005E374E">
      <w:pPr>
        <w:pStyle w:val="Dotpoints"/>
        <w:numPr>
          <w:ilvl w:val="1"/>
          <w:numId w:val="23"/>
        </w:numPr>
      </w:pPr>
      <w:r>
        <w:t xml:space="preserve">Is it only </w:t>
      </w:r>
      <w:r w:rsidR="006F673F">
        <w:t xml:space="preserve">family/household </w:t>
      </w:r>
      <w:r>
        <w:t xml:space="preserve">income, or should it also encompass, to the extent possible, assets? </w:t>
      </w:r>
    </w:p>
    <w:p w:rsidR="00C040E4" w:rsidRDefault="00FA30CF" w:rsidP="005E374E">
      <w:pPr>
        <w:pStyle w:val="Dotpoints"/>
        <w:numPr>
          <w:ilvl w:val="1"/>
          <w:numId w:val="23"/>
        </w:numPr>
      </w:pPr>
      <w:r>
        <w:t>And which assets should it encompass—should it comprise both financial and fixed assets (e.g. housing)</w:t>
      </w:r>
      <w:r w:rsidR="007F5B6F">
        <w:t>, or other data that provides an approximation of these assets</w:t>
      </w:r>
      <w:r>
        <w:t xml:space="preserve">? </w:t>
      </w:r>
    </w:p>
    <w:p w:rsidR="00E66BCD" w:rsidRDefault="00E66BCD" w:rsidP="00E66BCD">
      <w:pPr>
        <w:pStyle w:val="Heading2"/>
      </w:pPr>
      <w:bookmarkStart w:id="282" w:name="_Toc493598511"/>
      <w:bookmarkStart w:id="283" w:name="_Toc495409815"/>
      <w:bookmarkStart w:id="284" w:name="_Toc496792806"/>
      <w:bookmarkStart w:id="285" w:name="_Toc496803936"/>
      <w:r>
        <w:t xml:space="preserve">Validating </w:t>
      </w:r>
      <w:r w:rsidR="00357C69">
        <w:t xml:space="preserve">and improving </w:t>
      </w:r>
      <w:r>
        <w:t>the SES score as a capacity to contribute</w:t>
      </w:r>
      <w:bookmarkEnd w:id="282"/>
      <w:r w:rsidR="00357C69">
        <w:t xml:space="preserve"> measure</w:t>
      </w:r>
      <w:bookmarkEnd w:id="283"/>
      <w:bookmarkEnd w:id="284"/>
      <w:bookmarkEnd w:id="285"/>
    </w:p>
    <w:p w:rsidR="00E66BCD" w:rsidRPr="00E66BCD" w:rsidRDefault="00E66BCD" w:rsidP="00E66BCD">
      <w:pPr>
        <w:pStyle w:val="Heading3"/>
      </w:pPr>
      <w:bookmarkStart w:id="286" w:name="_Toc493598512"/>
      <w:bookmarkStart w:id="287" w:name="_Toc495409816"/>
      <w:bookmarkStart w:id="288" w:name="_Toc496792807"/>
      <w:bookmarkStart w:id="289" w:name="_Toc496803937"/>
      <w:r>
        <w:t>Data availability</w:t>
      </w:r>
      <w:bookmarkEnd w:id="286"/>
      <w:bookmarkEnd w:id="287"/>
      <w:bookmarkEnd w:id="288"/>
      <w:bookmarkEnd w:id="289"/>
    </w:p>
    <w:p w:rsidR="00105DE3" w:rsidRDefault="00FA30CF" w:rsidP="0076688E">
      <w:r w:rsidRPr="00FA30CF">
        <w:t xml:space="preserve">Answers to the above </w:t>
      </w:r>
      <w:r>
        <w:t xml:space="preserve">questions </w:t>
      </w:r>
      <w:r w:rsidR="00E66BCD">
        <w:t xml:space="preserve">on the </w:t>
      </w:r>
      <w:r w:rsidR="007F5B6F">
        <w:t xml:space="preserve">capacity to contribute </w:t>
      </w:r>
      <w:r w:rsidR="00E66BCD">
        <w:t xml:space="preserve">objective </w:t>
      </w:r>
      <w:r>
        <w:t xml:space="preserve">will </w:t>
      </w:r>
      <w:r w:rsidR="00E66BCD">
        <w:t>provide</w:t>
      </w:r>
      <w:r>
        <w:t xml:space="preserve"> focus </w:t>
      </w:r>
      <w:r w:rsidR="00E66BCD">
        <w:t xml:space="preserve">to </w:t>
      </w:r>
      <w:r>
        <w:t>analysis</w:t>
      </w:r>
      <w:r w:rsidR="00105DE3">
        <w:t xml:space="preserve"> seeking to validate the SES score, and </w:t>
      </w:r>
      <w:r w:rsidR="006F673F">
        <w:t>identify</w:t>
      </w:r>
      <w:r w:rsidR="00105DE3">
        <w:t xml:space="preserve"> potential improvements or alternative</w:t>
      </w:r>
      <w:r w:rsidR="006F673F">
        <w:t>s</w:t>
      </w:r>
      <w:r w:rsidR="00105DE3">
        <w:t xml:space="preserve">. </w:t>
      </w:r>
    </w:p>
    <w:p w:rsidR="00FA30CF" w:rsidRDefault="00105DE3" w:rsidP="0076688E">
      <w:r>
        <w:t xml:space="preserve">The </w:t>
      </w:r>
      <w:r w:rsidR="00122748">
        <w:t>sequence</w:t>
      </w:r>
      <w:r>
        <w:t xml:space="preserve"> </w:t>
      </w:r>
      <w:r w:rsidR="00E66BCD">
        <w:t xml:space="preserve">should </w:t>
      </w:r>
      <w:r w:rsidR="00122748">
        <w:t xml:space="preserve">first </w:t>
      </w:r>
      <w:r>
        <w:t>be</w:t>
      </w:r>
      <w:r w:rsidR="00FA30CF">
        <w:t xml:space="preserve"> on data availability, and th</w:t>
      </w:r>
      <w:r w:rsidR="00E66BCD">
        <w:t xml:space="preserve">en </w:t>
      </w:r>
      <w:r w:rsidR="00FA30CF">
        <w:t xml:space="preserve">analysis. </w:t>
      </w:r>
      <w:r w:rsidR="00E66BCD">
        <w:t xml:space="preserve">For instance, </w:t>
      </w:r>
      <w:r w:rsidR="00FA30CF">
        <w:t xml:space="preserve">it may not be possible to collect data </w:t>
      </w:r>
      <w:r w:rsidR="00E66BCD">
        <w:t xml:space="preserve">on family assets that </w:t>
      </w:r>
      <w:r w:rsidR="009736EE">
        <w:t xml:space="preserve">could </w:t>
      </w:r>
      <w:r w:rsidR="00E66BCD">
        <w:t xml:space="preserve">ultimately be used to construct a school-level measure of capacity to contribute. </w:t>
      </w:r>
      <w:r w:rsidR="00122748">
        <w:t>But</w:t>
      </w:r>
      <w:r w:rsidR="00E66BCD">
        <w:t xml:space="preserve">, it may be possible to </w:t>
      </w:r>
      <w:r w:rsidR="009736EE">
        <w:t xml:space="preserve">analyse </w:t>
      </w:r>
      <w:r w:rsidR="00E66BCD">
        <w:t xml:space="preserve">certain datasets to identify whether family assets are an important measure, and whether other data that is collected in the Census could be used as a proxy (e.g. housing tenure type). </w:t>
      </w:r>
    </w:p>
    <w:p w:rsidR="00FA30CF" w:rsidRDefault="00E66BCD" w:rsidP="002E2D3F">
      <w:pPr>
        <w:pStyle w:val="Heading3"/>
      </w:pPr>
      <w:bookmarkStart w:id="290" w:name="_Toc493598513"/>
      <w:bookmarkStart w:id="291" w:name="_Toc495409817"/>
      <w:bookmarkStart w:id="292" w:name="_Toc496792808"/>
      <w:bookmarkStart w:id="293" w:name="_Toc496803938"/>
      <w:r>
        <w:t>Data analysis</w:t>
      </w:r>
      <w:bookmarkEnd w:id="290"/>
      <w:bookmarkEnd w:id="291"/>
      <w:bookmarkEnd w:id="292"/>
      <w:bookmarkEnd w:id="293"/>
    </w:p>
    <w:p w:rsidR="007F5B6F" w:rsidRDefault="002E2D3F" w:rsidP="007F5B6F">
      <w:r>
        <w:t xml:space="preserve">Following identification of </w:t>
      </w:r>
      <w:r w:rsidR="00122748">
        <w:t xml:space="preserve">data </w:t>
      </w:r>
      <w:r>
        <w:t xml:space="preserve">availability, a suite of analysis </w:t>
      </w:r>
      <w:r w:rsidR="009736EE">
        <w:t xml:space="preserve">is suggested for </w:t>
      </w:r>
      <w:r>
        <w:t>validat</w:t>
      </w:r>
      <w:r w:rsidR="009736EE">
        <w:t>ing</w:t>
      </w:r>
      <w:r>
        <w:t xml:space="preserve"> the SES score, and </w:t>
      </w:r>
      <w:r w:rsidR="009736EE">
        <w:t xml:space="preserve">exploring </w:t>
      </w:r>
      <w:r w:rsidR="00EA3878">
        <w:t>improvement opportunities</w:t>
      </w:r>
      <w:r>
        <w:t xml:space="preserve">. A range of potential datasets and analysis </w:t>
      </w:r>
      <w:r w:rsidR="007F5B6F">
        <w:t>approaches are</w:t>
      </w:r>
      <w:r>
        <w:t xml:space="preserve"> summarised </w:t>
      </w:r>
      <w:r w:rsidR="00403E38">
        <w:t xml:space="preserve">in </w:t>
      </w:r>
      <w:r w:rsidR="00403E38">
        <w:fldChar w:fldCharType="begin"/>
      </w:r>
      <w:r w:rsidR="00403E38">
        <w:instrText xml:space="preserve"> REF _Ref495405897 \h </w:instrText>
      </w:r>
      <w:r w:rsidR="00403E38">
        <w:fldChar w:fldCharType="separate"/>
      </w:r>
      <w:r w:rsidR="00B52C11">
        <w:t xml:space="preserve">Table </w:t>
      </w:r>
      <w:r w:rsidR="00B52C11">
        <w:rPr>
          <w:noProof/>
        </w:rPr>
        <w:t>C</w:t>
      </w:r>
      <w:r w:rsidR="00B52C11">
        <w:noBreakHyphen/>
      </w:r>
      <w:r w:rsidR="00B52C11">
        <w:rPr>
          <w:noProof/>
        </w:rPr>
        <w:t>1</w:t>
      </w:r>
      <w:r w:rsidR="00403E38">
        <w:fldChar w:fldCharType="end"/>
      </w:r>
      <w:r w:rsidR="00122748">
        <w:t xml:space="preserve"> (see p. </w:t>
      </w:r>
      <w:r w:rsidR="00122748">
        <w:fldChar w:fldCharType="begin"/>
      </w:r>
      <w:r w:rsidR="00122748">
        <w:instrText xml:space="preserve"> PAGEREF _Ref496883830 \h </w:instrText>
      </w:r>
      <w:r w:rsidR="00122748">
        <w:fldChar w:fldCharType="separate"/>
      </w:r>
      <w:r w:rsidR="00B52C11">
        <w:rPr>
          <w:noProof/>
        </w:rPr>
        <w:t>49</w:t>
      </w:r>
      <w:r w:rsidR="00122748">
        <w:fldChar w:fldCharType="end"/>
      </w:r>
      <w:r w:rsidR="00122748">
        <w:t>)</w:t>
      </w:r>
      <w:r w:rsidR="007F5B6F">
        <w:t xml:space="preserve">, which seek to address each of the </w:t>
      </w:r>
      <w:r w:rsidR="009736EE">
        <w:t xml:space="preserve">stakeholder </w:t>
      </w:r>
      <w:r w:rsidR="007F5B6F">
        <w:t xml:space="preserve">issues and concerns identified in </w:t>
      </w:r>
      <w:r w:rsidR="00A379AD">
        <w:t>Section</w:t>
      </w:r>
      <w:r w:rsidR="007F5B6F">
        <w:t xml:space="preserve"> </w:t>
      </w:r>
      <w:r w:rsidR="007F5B6F">
        <w:fldChar w:fldCharType="begin"/>
      </w:r>
      <w:r w:rsidR="007F5B6F">
        <w:instrText xml:space="preserve"> REF _Ref489967728 \r \h </w:instrText>
      </w:r>
      <w:r w:rsidR="007F5B6F">
        <w:fldChar w:fldCharType="separate"/>
      </w:r>
      <w:r w:rsidR="00B52C11">
        <w:t>4</w:t>
      </w:r>
      <w:r w:rsidR="007F5B6F">
        <w:fldChar w:fldCharType="end"/>
      </w:r>
      <w:r w:rsidR="007F5B6F">
        <w:t>.</w:t>
      </w:r>
      <w:r w:rsidR="0034539B">
        <w:t xml:space="preserve"> </w:t>
      </w:r>
    </w:p>
    <w:p w:rsidR="00122748" w:rsidRPr="005A2EC0" w:rsidRDefault="00122748" w:rsidP="00122748">
      <w:r w:rsidRPr="005A2EC0">
        <w:t xml:space="preserve">This analysis could be underpinned by a set of principles, </w:t>
      </w:r>
      <w:r>
        <w:t>potentially</w:t>
      </w:r>
      <w:r w:rsidRPr="005A2EC0">
        <w:t xml:space="preserve"> building upon those used when the SES score was first developed—transparency, based on reliable data, simplicity, nationally consistent and avoid duplication. Given stakeholder concerns centre largely on accuracy, this could be another guiding consideration.</w:t>
      </w:r>
    </w:p>
    <w:p w:rsidR="00D02D2D" w:rsidRDefault="002E2D3F" w:rsidP="002E2D3F">
      <w:r>
        <w:t xml:space="preserve">The </w:t>
      </w:r>
      <w:r w:rsidR="009736EE">
        <w:t xml:space="preserve">suggested </w:t>
      </w:r>
      <w:r>
        <w:t xml:space="preserve">analysis seeks to use predominantly </w:t>
      </w:r>
      <w:r w:rsidR="007F5B6F">
        <w:t xml:space="preserve">accessible </w:t>
      </w:r>
      <w:r>
        <w:t>data sets</w:t>
      </w:r>
      <w:r w:rsidR="007F5B6F">
        <w:t>, such as Census data published by the ABS, and data used by DET to generate SA1 and school SES scores</w:t>
      </w:r>
      <w:r>
        <w:t>.</w:t>
      </w:r>
      <w:r w:rsidR="007F5B6F">
        <w:t xml:space="preserve"> However, specialised datasets are identified—with custom data requests from the ABS and Australian Taxation Office (ATO) required. </w:t>
      </w:r>
      <w:r>
        <w:t xml:space="preserve"> </w:t>
      </w:r>
    </w:p>
    <w:p w:rsidR="009B6D98" w:rsidRDefault="0034539B" w:rsidP="009B6D98">
      <w:r>
        <w:t xml:space="preserve">The overarching </w:t>
      </w:r>
      <w:r w:rsidR="001E324E">
        <w:t xml:space="preserve">intent </w:t>
      </w:r>
      <w:r>
        <w:t xml:space="preserve">of </w:t>
      </w:r>
      <w:r w:rsidR="00800C79">
        <w:t xml:space="preserve">the suggested </w:t>
      </w:r>
      <w:r>
        <w:t xml:space="preserve">analysis is to identify whether the SES score, as currently </w:t>
      </w:r>
      <w:r w:rsidR="002D279D">
        <w:t>calculated</w:t>
      </w:r>
      <w:r>
        <w:t>, provide</w:t>
      </w:r>
      <w:r w:rsidR="00396E68">
        <w:t>s</w:t>
      </w:r>
      <w:r>
        <w:t xml:space="preserve"> an accurate measure of the relative capacity to contribute of individual schools. Related to this </w:t>
      </w:r>
      <w:r w:rsidR="001E324E">
        <w:t xml:space="preserve">intent </w:t>
      </w:r>
      <w:r>
        <w:t xml:space="preserve">is identifying whether the SES score is biased in favour of schools with certain characteristics. </w:t>
      </w:r>
    </w:p>
    <w:p w:rsidR="00403E38" w:rsidRDefault="00403E38" w:rsidP="00EA3878">
      <w:r>
        <w:t xml:space="preserve">The range of analysis </w:t>
      </w:r>
      <w:r w:rsidR="00122748">
        <w:t>outlined</w:t>
      </w:r>
      <w:r w:rsidR="00800C79">
        <w:t xml:space="preserve"> </w:t>
      </w:r>
      <w:r>
        <w:t xml:space="preserve">in </w:t>
      </w:r>
      <w:r>
        <w:fldChar w:fldCharType="begin"/>
      </w:r>
      <w:r>
        <w:instrText xml:space="preserve"> REF _Ref495405897 \h </w:instrText>
      </w:r>
      <w:r>
        <w:fldChar w:fldCharType="separate"/>
      </w:r>
      <w:r w:rsidR="00B52C11">
        <w:t xml:space="preserve">Table </w:t>
      </w:r>
      <w:r w:rsidR="00B52C11">
        <w:rPr>
          <w:noProof/>
        </w:rPr>
        <w:t>C</w:t>
      </w:r>
      <w:r w:rsidR="00B52C11">
        <w:noBreakHyphen/>
      </w:r>
      <w:r w:rsidR="00B52C11">
        <w:rPr>
          <w:noProof/>
        </w:rPr>
        <w:t>1</w:t>
      </w:r>
      <w:r>
        <w:fldChar w:fldCharType="end"/>
      </w:r>
      <w:r>
        <w:t xml:space="preserve"> is extensive. It will be necessary to </w:t>
      </w:r>
      <w:r w:rsidR="001E324E">
        <w:t xml:space="preserve">select </w:t>
      </w:r>
      <w:r>
        <w:t>the analysis fundamental to validation and improvement</w:t>
      </w:r>
      <w:r w:rsidR="0008776C">
        <w:t xml:space="preserve">. </w:t>
      </w:r>
      <w:r w:rsidR="001E324E">
        <w:t xml:space="preserve">Initial analysis is proposed that seeks to clarify the objective of the capacity to contribute, including the </w:t>
      </w:r>
      <w:r w:rsidR="001E324E" w:rsidRPr="001E324E">
        <w:t xml:space="preserve">relationship between school base SRS funding and school fees, </w:t>
      </w:r>
      <w:r w:rsidR="001E324E">
        <w:t>alongside</w:t>
      </w:r>
      <w:r w:rsidR="001E324E" w:rsidRPr="001E324E">
        <w:t xml:space="preserve"> school wealth and assets</w:t>
      </w:r>
      <w:r w:rsidR="001E324E">
        <w:t xml:space="preserve">. </w:t>
      </w:r>
      <w:r w:rsidR="001E324E" w:rsidRPr="001E324E">
        <w:t xml:space="preserve"> </w:t>
      </w:r>
    </w:p>
    <w:p w:rsidR="00BE4B13" w:rsidRDefault="0008776C" w:rsidP="00BE4B13">
      <w:r>
        <w:t xml:space="preserve">The </w:t>
      </w:r>
      <w:r w:rsidR="001E324E">
        <w:t xml:space="preserve">outlined </w:t>
      </w:r>
      <w:r>
        <w:t>analysis</w:t>
      </w:r>
      <w:r w:rsidR="001E324E">
        <w:t xml:space="preserve"> also</w:t>
      </w:r>
      <w:r>
        <w:t xml:space="preserve"> </w:t>
      </w:r>
      <w:r w:rsidR="00800C79">
        <w:t xml:space="preserve">proposes to </w:t>
      </w:r>
      <w:r>
        <w:t xml:space="preserve">make use of datasets not available at the time of the original SES score </w:t>
      </w:r>
      <w:r w:rsidR="002D279D">
        <w:t>calculation</w:t>
      </w:r>
      <w:r>
        <w:t xml:space="preserve">, in particular the </w:t>
      </w:r>
      <w:r w:rsidRPr="00D454FC">
        <w:t xml:space="preserve">Household, Income and Labour Dynamics in Australia (HILDA) </w:t>
      </w:r>
      <w:r w:rsidR="007600C5">
        <w:t>s</w:t>
      </w:r>
      <w:r w:rsidRPr="00D454FC">
        <w:t>urvey</w:t>
      </w:r>
      <w:r w:rsidR="007600C5">
        <w:t xml:space="preserve">. The HILDA survey contains data on </w:t>
      </w:r>
      <w:r w:rsidR="000D291E">
        <w:t xml:space="preserve">the education, occupation, income and wealth </w:t>
      </w:r>
      <w:r w:rsidR="00BE4B13">
        <w:t xml:space="preserve">of individuals and households, as well as the </w:t>
      </w:r>
      <w:r w:rsidR="001E324E">
        <w:t xml:space="preserve">school </w:t>
      </w:r>
      <w:r w:rsidR="00BE4B13">
        <w:t>sector attended by children.</w:t>
      </w:r>
      <w:r w:rsidR="00BE4B13">
        <w:rPr>
          <w:rStyle w:val="FootnoteReference"/>
        </w:rPr>
        <w:footnoteReference w:id="8"/>
      </w:r>
      <w:r w:rsidR="00BE4B13">
        <w:t xml:space="preserve"> </w:t>
      </w:r>
    </w:p>
    <w:p w:rsidR="00EA3878" w:rsidRDefault="00BE4B13" w:rsidP="00BE4B13">
      <w:r>
        <w:t xml:space="preserve">There is scope to use HILDA to </w:t>
      </w:r>
      <w:r w:rsidR="00EA3878">
        <w:t xml:space="preserve">examine </w:t>
      </w:r>
      <w:r w:rsidR="00DB6083">
        <w:t xml:space="preserve">the relationship between education, occupation and income, and </w:t>
      </w:r>
      <w:r w:rsidR="00EA3878">
        <w:t xml:space="preserve">whether the omission of assets information has a material impact on the </w:t>
      </w:r>
      <w:r w:rsidR="002D279D">
        <w:t>calculated</w:t>
      </w:r>
      <w:r w:rsidR="00EA3878">
        <w:t xml:space="preserve"> SES score. This can be achieved by </w:t>
      </w:r>
      <w:r>
        <w:t xml:space="preserve">developing a household level SES score, based upon the methodology used by </w:t>
      </w:r>
      <w:r w:rsidR="00740AF4">
        <w:rPr>
          <w:noProof/>
        </w:rPr>
        <w:t>Wise &amp; Mathews (2011)</w:t>
      </w:r>
      <w:r>
        <w:t xml:space="preserve">. </w:t>
      </w:r>
      <w:r w:rsidR="00EA3878">
        <w:t xml:space="preserve">Comparative analysis can </w:t>
      </w:r>
      <w:r>
        <w:t xml:space="preserve">then </w:t>
      </w:r>
      <w:r w:rsidR="00EA3878">
        <w:t xml:space="preserve">identify whether an SES score developed using asset information provides a materially different result to not using asset information. Further, if asset information is important, HILDA can be used to identify whether variables also collected in the Census, such as housing tenure type, provide a close alternative. </w:t>
      </w:r>
      <w:r>
        <w:t>Di</w:t>
      </w:r>
      <w:r w:rsidR="00EA3878">
        <w:t xml:space="preserve">fferences </w:t>
      </w:r>
      <w:r>
        <w:t xml:space="preserve">in SES </w:t>
      </w:r>
      <w:r w:rsidR="00EA3878">
        <w:t xml:space="preserve">on the basis of school sector </w:t>
      </w:r>
      <w:r w:rsidR="00DC0AD8">
        <w:t xml:space="preserve">attended </w:t>
      </w:r>
      <w:r>
        <w:t xml:space="preserve">can </w:t>
      </w:r>
      <w:r w:rsidR="00EA3878">
        <w:t xml:space="preserve">also be examined. </w:t>
      </w:r>
    </w:p>
    <w:p w:rsidR="00DC0AD8" w:rsidRDefault="00DC0AD8" w:rsidP="00EA3878">
      <w:r>
        <w:t xml:space="preserve">Subject to data availability, there may also be potential to improve the accuracy of the SES score using administrative data collected by the Australian Government. </w:t>
      </w:r>
      <w:r w:rsidR="007E3BF8">
        <w:t>For example</w:t>
      </w:r>
      <w:r>
        <w:t xml:space="preserve">, it may be feasible to request the </w:t>
      </w:r>
      <w:r w:rsidR="00740AF4">
        <w:t>ATO</w:t>
      </w:r>
      <w:r>
        <w:t xml:space="preserve"> to provide data on the household income composition of SA1s—this may be more accurate than that reported in the ABS Census. A more complex and challenging approach could be to request </w:t>
      </w:r>
      <w:r w:rsidR="002263C4">
        <w:t>non</w:t>
      </w:r>
      <w:r w:rsidR="002263C4">
        <w:noBreakHyphen/>
        <w:t>government</w:t>
      </w:r>
      <w:r w:rsidR="001E324E">
        <w:t xml:space="preserve"> </w:t>
      </w:r>
      <w:r>
        <w:t xml:space="preserve">schools to collect the Tax File Numbers </w:t>
      </w:r>
      <w:r w:rsidR="00800C79">
        <w:t xml:space="preserve">(TFNs) </w:t>
      </w:r>
      <w:r>
        <w:t>of parents</w:t>
      </w:r>
      <w:r w:rsidR="001E324E">
        <w:t>/guardians</w:t>
      </w:r>
      <w:r>
        <w:t xml:space="preserve">. These TFNs could then be provided to the ATO to generate school level summary information on family income composition. The feasibility of both approaches—from an administrative </w:t>
      </w:r>
      <w:r w:rsidR="00740AF4">
        <w:t>as well as a</w:t>
      </w:r>
      <w:r>
        <w:t xml:space="preserve"> privacy perspective—require</w:t>
      </w:r>
      <w:r w:rsidR="0034539B">
        <w:t>s</w:t>
      </w:r>
      <w:r>
        <w:t xml:space="preserve"> close examination. </w:t>
      </w:r>
    </w:p>
    <w:p w:rsidR="00FD6D10" w:rsidRDefault="00FD6D10" w:rsidP="00FD6D10">
      <w:r>
        <w:t xml:space="preserve">Similarly, the findings of </w:t>
      </w:r>
      <w:r w:rsidR="00800C79">
        <w:t>analysis examining</w:t>
      </w:r>
      <w:r>
        <w:t xml:space="preserve"> the robustness of Census data compared to data collected from parents, may suggest that the education and occupation dimensions used in the SES score are better sourced from the My</w:t>
      </w:r>
      <w:r w:rsidR="0034539B">
        <w:t xml:space="preserve"> </w:t>
      </w:r>
      <w:r>
        <w:t xml:space="preserve">School collection. This potential approach </w:t>
      </w:r>
      <w:r w:rsidR="001E324E">
        <w:t xml:space="preserve">first </w:t>
      </w:r>
      <w:r>
        <w:t>depend</w:t>
      </w:r>
      <w:r w:rsidR="001E324E">
        <w:t>s</w:t>
      </w:r>
      <w:r>
        <w:t xml:space="preserve"> upon whether it is </w:t>
      </w:r>
      <w:r w:rsidR="001E324E">
        <w:t>decided</w:t>
      </w:r>
      <w:r>
        <w:t xml:space="preserve"> the education and occupation dimensions </w:t>
      </w:r>
      <w:r w:rsidR="001E324E">
        <w:t xml:space="preserve">are </w:t>
      </w:r>
      <w:r>
        <w:t xml:space="preserve">maintained in the SES score </w:t>
      </w:r>
      <w:r w:rsidR="002D279D">
        <w:t>calculation</w:t>
      </w:r>
      <w:r>
        <w:t xml:space="preserve">. </w:t>
      </w:r>
    </w:p>
    <w:p w:rsidR="00EA3878" w:rsidRDefault="00EA3878" w:rsidP="00EA3878">
      <w:pPr>
        <w:pStyle w:val="Heading3"/>
      </w:pPr>
      <w:bookmarkStart w:id="294" w:name="_Toc495409818"/>
      <w:bookmarkStart w:id="295" w:name="_Toc496792809"/>
      <w:bookmarkStart w:id="296" w:name="_Toc496803939"/>
      <w:r>
        <w:t>A measure of the capacity to contribute is required</w:t>
      </w:r>
      <w:bookmarkEnd w:id="294"/>
      <w:bookmarkEnd w:id="295"/>
      <w:bookmarkEnd w:id="296"/>
    </w:p>
    <w:p w:rsidR="009B6D98" w:rsidRDefault="00EA3878" w:rsidP="00D02D2D">
      <w:r>
        <w:t xml:space="preserve">Ultimately, there is a need for the Australian Government to use a measure of the capacity to contribute when allocating funds among schools. It is unlikely that an approach can be developed that is ‘perfect’, </w:t>
      </w:r>
      <w:r w:rsidR="00740AF4">
        <w:t xml:space="preserve">as </w:t>
      </w:r>
      <w:r>
        <w:t>such the challenge moving forward is to identify an approach that best meets the needs of the Australian Government, schools and families.</w:t>
      </w:r>
    </w:p>
    <w:p w:rsidR="0076688E" w:rsidRPr="00275E67" w:rsidRDefault="00977153" w:rsidP="00275E67">
      <w:pPr>
        <w:pStyle w:val="Heading6"/>
      </w:pPr>
      <w:bookmarkStart w:id="297" w:name="_Ref492989573"/>
      <w:bookmarkStart w:id="298" w:name="_Toc496803940"/>
      <w:r w:rsidRPr="00275E67">
        <w:t xml:space="preserve">SES </w:t>
      </w:r>
      <w:r w:rsidR="00EA3878">
        <w:t xml:space="preserve">score </w:t>
      </w:r>
      <w:r w:rsidR="002D279D">
        <w:t>calculation</w:t>
      </w:r>
      <w:r w:rsidRPr="00275E67">
        <w:t xml:space="preserve"> variables</w:t>
      </w:r>
      <w:bookmarkEnd w:id="297"/>
      <w:bookmarkEnd w:id="298"/>
    </w:p>
    <w:p w:rsidR="00977153" w:rsidRDefault="00275E67" w:rsidP="00A260FB">
      <w:pPr>
        <w:pStyle w:val="Heading3"/>
      </w:pPr>
      <w:bookmarkStart w:id="299" w:name="_Toc496803948"/>
      <w:bookmarkStart w:id="300" w:name="_Ref491890656"/>
      <w:bookmarkStart w:id="301" w:name="_Ref491890664"/>
      <w:r>
        <w:t xml:space="preserve">Table </w:t>
      </w:r>
      <w:fldSimple w:instr=" STYLEREF 6 \s ">
        <w:r w:rsidR="00B52C11">
          <w:rPr>
            <w:noProof/>
          </w:rPr>
          <w:t>A</w:t>
        </w:r>
      </w:fldSimple>
      <w:r>
        <w:noBreakHyphen/>
      </w:r>
      <w:fldSimple w:instr=" SEQ Table_Apx \* ARABIC \s 6 ">
        <w:r w:rsidR="00B52C11">
          <w:rPr>
            <w:noProof/>
          </w:rPr>
          <w:t>1</w:t>
        </w:r>
      </w:fldSimple>
      <w:r>
        <w:tab/>
        <w:t xml:space="preserve">Variables and national average used in SES score </w:t>
      </w:r>
      <w:r w:rsidR="002D279D">
        <w:t>calculation</w:t>
      </w:r>
      <w:r w:rsidR="00452089">
        <w:t xml:space="preserve">: </w:t>
      </w:r>
      <w:r>
        <w:t>2006 and 2011</w:t>
      </w:r>
      <w:bookmarkEnd w:id="299"/>
    </w:p>
    <w:tbl>
      <w:tblPr>
        <w:tblStyle w:val="TableGrid"/>
        <w:tblW w:w="0" w:type="auto"/>
        <w:tblLook w:val="04A0" w:firstRow="1" w:lastRow="0" w:firstColumn="1" w:lastColumn="0" w:noHBand="0" w:noVBand="1"/>
        <w:tblCaption w:val="Table A.1 Variables and national average used in SES score calculation: 2006 and 2011"/>
      </w:tblPr>
      <w:tblGrid>
        <w:gridCol w:w="3543"/>
        <w:gridCol w:w="969"/>
        <w:gridCol w:w="3425"/>
        <w:gridCol w:w="1089"/>
      </w:tblGrid>
      <w:tr w:rsidR="00977153" w:rsidRPr="00741EED" w:rsidTr="00165C42">
        <w:trPr>
          <w:cnfStyle w:val="100000000000" w:firstRow="1" w:lastRow="0" w:firstColumn="0" w:lastColumn="0" w:oddVBand="0" w:evenVBand="0" w:oddHBand="0" w:evenHBand="0" w:firstRowFirstColumn="0" w:firstRowLastColumn="0" w:lastRowFirstColumn="0" w:lastRowLastColumn="0"/>
          <w:tblHeader/>
        </w:trPr>
        <w:tc>
          <w:tcPr>
            <w:tcW w:w="4512" w:type="dxa"/>
            <w:gridSpan w:val="2"/>
          </w:tcPr>
          <w:bookmarkEnd w:id="300"/>
          <w:bookmarkEnd w:id="301"/>
          <w:p w:rsidR="00977153" w:rsidRDefault="00977153" w:rsidP="00555E88">
            <w:pPr>
              <w:pStyle w:val="Tablegridheading"/>
              <w:jc w:val="center"/>
            </w:pPr>
            <w:r>
              <w:t>2006</w:t>
            </w:r>
          </w:p>
        </w:tc>
        <w:tc>
          <w:tcPr>
            <w:tcW w:w="4514" w:type="dxa"/>
            <w:gridSpan w:val="2"/>
          </w:tcPr>
          <w:p w:rsidR="00977153" w:rsidRDefault="00977153" w:rsidP="00555E88">
            <w:pPr>
              <w:pStyle w:val="Tablegridheading"/>
              <w:jc w:val="center"/>
            </w:pPr>
            <w:r>
              <w:t>2011</w:t>
            </w:r>
          </w:p>
        </w:tc>
      </w:tr>
      <w:tr w:rsidR="00977153" w:rsidRPr="00741EED" w:rsidTr="00275E67">
        <w:tc>
          <w:tcPr>
            <w:tcW w:w="3543" w:type="dxa"/>
          </w:tcPr>
          <w:p w:rsidR="00977153" w:rsidRPr="00741EED" w:rsidRDefault="00977153" w:rsidP="00555E88">
            <w:pPr>
              <w:pStyle w:val="Tablegridheading2"/>
            </w:pPr>
            <w:r>
              <w:t>V</w:t>
            </w:r>
            <w:r w:rsidRPr="00741EED">
              <w:t xml:space="preserve">ariable </w:t>
            </w:r>
          </w:p>
        </w:tc>
        <w:tc>
          <w:tcPr>
            <w:tcW w:w="969" w:type="dxa"/>
          </w:tcPr>
          <w:p w:rsidR="00977153" w:rsidRPr="00741EED" w:rsidRDefault="00977153" w:rsidP="00555E88">
            <w:pPr>
              <w:pStyle w:val="Tablegridheading2"/>
            </w:pPr>
            <w:r>
              <w:t>Per cent</w:t>
            </w:r>
          </w:p>
        </w:tc>
        <w:tc>
          <w:tcPr>
            <w:tcW w:w="3425" w:type="dxa"/>
          </w:tcPr>
          <w:p w:rsidR="00977153" w:rsidRPr="00741EED" w:rsidRDefault="00977153" w:rsidP="00555E88">
            <w:pPr>
              <w:pStyle w:val="Tablegridheading2"/>
            </w:pPr>
            <w:r>
              <w:t>V</w:t>
            </w:r>
            <w:r w:rsidRPr="00741EED">
              <w:t xml:space="preserve">ariable </w:t>
            </w:r>
          </w:p>
        </w:tc>
        <w:tc>
          <w:tcPr>
            <w:tcW w:w="1089" w:type="dxa"/>
          </w:tcPr>
          <w:p w:rsidR="00977153" w:rsidRPr="00741EED" w:rsidRDefault="00977153" w:rsidP="00555E88">
            <w:pPr>
              <w:pStyle w:val="Tablegridheading2"/>
            </w:pPr>
            <w:r>
              <w:t>Per cent</w:t>
            </w:r>
          </w:p>
        </w:tc>
      </w:tr>
      <w:tr w:rsidR="00977153" w:rsidRPr="00741EED" w:rsidTr="00275E67">
        <w:tc>
          <w:tcPr>
            <w:tcW w:w="9026" w:type="dxa"/>
            <w:gridSpan w:val="4"/>
          </w:tcPr>
          <w:p w:rsidR="00977153" w:rsidRPr="00741EED" w:rsidRDefault="00977153" w:rsidP="00555E88">
            <w:pPr>
              <w:pStyle w:val="Tablegridheading2"/>
              <w:jc w:val="center"/>
            </w:pPr>
            <w:r w:rsidRPr="00741EED">
              <w:t>Occupation Dimension</w:t>
            </w:r>
          </w:p>
        </w:tc>
      </w:tr>
      <w:tr w:rsidR="00977153" w:rsidRPr="00741EED" w:rsidTr="00275E67">
        <w:tc>
          <w:tcPr>
            <w:tcW w:w="3543" w:type="dxa"/>
          </w:tcPr>
          <w:p w:rsidR="00977153" w:rsidRPr="00741EED" w:rsidRDefault="00977153" w:rsidP="00555E88">
            <w:pPr>
              <w:pStyle w:val="Tablegridtext"/>
            </w:pPr>
            <w:r w:rsidRPr="00741EED">
              <w:t>Male &amp; Female Labourers</w:t>
            </w:r>
          </w:p>
        </w:tc>
        <w:tc>
          <w:tcPr>
            <w:tcW w:w="969" w:type="dxa"/>
          </w:tcPr>
          <w:p w:rsidR="00977153" w:rsidRPr="00741EED" w:rsidRDefault="00977153" w:rsidP="00555E88">
            <w:pPr>
              <w:pStyle w:val="Tablegridtext"/>
              <w:jc w:val="right"/>
            </w:pPr>
            <w:r w:rsidRPr="00741EED">
              <w:t>11.4</w:t>
            </w:r>
          </w:p>
        </w:tc>
        <w:tc>
          <w:tcPr>
            <w:tcW w:w="3425" w:type="dxa"/>
          </w:tcPr>
          <w:p w:rsidR="00977153" w:rsidRPr="00741EED" w:rsidRDefault="00977153" w:rsidP="00555E88">
            <w:pPr>
              <w:pStyle w:val="Tablegridtext"/>
            </w:pPr>
            <w:r w:rsidRPr="00741EED">
              <w:t>Male &amp; Female Labourers</w:t>
            </w:r>
          </w:p>
        </w:tc>
        <w:tc>
          <w:tcPr>
            <w:tcW w:w="1089" w:type="dxa"/>
          </w:tcPr>
          <w:p w:rsidR="00977153" w:rsidRPr="00741EED" w:rsidRDefault="00977153" w:rsidP="00555E88">
            <w:pPr>
              <w:pStyle w:val="Tablegridtext"/>
              <w:jc w:val="right"/>
            </w:pPr>
            <w:r w:rsidRPr="00741EED">
              <w:t>10.3</w:t>
            </w:r>
          </w:p>
        </w:tc>
      </w:tr>
      <w:tr w:rsidR="00977153" w:rsidRPr="00741EED" w:rsidTr="00275E67">
        <w:tc>
          <w:tcPr>
            <w:tcW w:w="3543" w:type="dxa"/>
          </w:tcPr>
          <w:p w:rsidR="00977153" w:rsidRPr="00741EED" w:rsidRDefault="00977153" w:rsidP="00555E88">
            <w:pPr>
              <w:pStyle w:val="Tablegridtext"/>
            </w:pPr>
            <w:r w:rsidRPr="00741EED">
              <w:t>Male &amp; Female Unemployed</w:t>
            </w:r>
          </w:p>
        </w:tc>
        <w:tc>
          <w:tcPr>
            <w:tcW w:w="969" w:type="dxa"/>
          </w:tcPr>
          <w:p w:rsidR="00977153" w:rsidRPr="00741EED" w:rsidRDefault="00977153" w:rsidP="00555E88">
            <w:pPr>
              <w:pStyle w:val="Tablegridtext"/>
              <w:jc w:val="right"/>
            </w:pPr>
            <w:r w:rsidRPr="00741EED">
              <w:t>5.6</w:t>
            </w:r>
          </w:p>
        </w:tc>
        <w:tc>
          <w:tcPr>
            <w:tcW w:w="3425" w:type="dxa"/>
          </w:tcPr>
          <w:p w:rsidR="00977153" w:rsidRPr="00741EED" w:rsidRDefault="00977153" w:rsidP="00555E88">
            <w:pPr>
              <w:pStyle w:val="Tablegridtext"/>
            </w:pPr>
            <w:r w:rsidRPr="00741EED">
              <w:t>Male &amp; Female Unemployed</w:t>
            </w:r>
          </w:p>
        </w:tc>
        <w:tc>
          <w:tcPr>
            <w:tcW w:w="1089" w:type="dxa"/>
          </w:tcPr>
          <w:p w:rsidR="00977153" w:rsidRPr="00741EED" w:rsidRDefault="00977153" w:rsidP="00555E88">
            <w:pPr>
              <w:pStyle w:val="Tablegridtext"/>
              <w:jc w:val="right"/>
            </w:pPr>
            <w:r w:rsidRPr="00741EED">
              <w:t>6.0</w:t>
            </w:r>
          </w:p>
        </w:tc>
      </w:tr>
      <w:tr w:rsidR="00977153" w:rsidRPr="00741EED" w:rsidTr="00275E67">
        <w:tc>
          <w:tcPr>
            <w:tcW w:w="3543" w:type="dxa"/>
          </w:tcPr>
          <w:p w:rsidR="00977153" w:rsidRPr="00741EED" w:rsidRDefault="00977153" w:rsidP="00555E88">
            <w:pPr>
              <w:pStyle w:val="Tablegridtext"/>
            </w:pPr>
            <w:r w:rsidRPr="00741EED">
              <w:t>Female Managers</w:t>
            </w:r>
          </w:p>
        </w:tc>
        <w:tc>
          <w:tcPr>
            <w:tcW w:w="969" w:type="dxa"/>
          </w:tcPr>
          <w:p w:rsidR="00977153" w:rsidRPr="00741EED" w:rsidRDefault="00977153" w:rsidP="00555E88">
            <w:pPr>
              <w:pStyle w:val="Tablegridtext"/>
              <w:jc w:val="right"/>
            </w:pPr>
            <w:r w:rsidRPr="00741EED">
              <w:t>9.7</w:t>
            </w:r>
          </w:p>
        </w:tc>
        <w:tc>
          <w:tcPr>
            <w:tcW w:w="3425" w:type="dxa"/>
          </w:tcPr>
          <w:p w:rsidR="00977153" w:rsidRPr="00741EED" w:rsidRDefault="00977153" w:rsidP="00555E88">
            <w:pPr>
              <w:pStyle w:val="Tablegridtext"/>
            </w:pPr>
            <w:r w:rsidRPr="00741EED">
              <w:t>Female Managers</w:t>
            </w:r>
          </w:p>
        </w:tc>
        <w:tc>
          <w:tcPr>
            <w:tcW w:w="1089" w:type="dxa"/>
          </w:tcPr>
          <w:p w:rsidR="00977153" w:rsidRPr="00741EED" w:rsidRDefault="00977153" w:rsidP="00555E88">
            <w:pPr>
              <w:pStyle w:val="Tablegridtext"/>
              <w:jc w:val="right"/>
            </w:pPr>
            <w:r w:rsidRPr="00741EED">
              <w:t>9.6</w:t>
            </w:r>
          </w:p>
        </w:tc>
      </w:tr>
      <w:tr w:rsidR="00977153" w:rsidRPr="00741EED" w:rsidTr="00275E67">
        <w:tc>
          <w:tcPr>
            <w:tcW w:w="3543" w:type="dxa"/>
          </w:tcPr>
          <w:p w:rsidR="00977153" w:rsidRPr="00741EED" w:rsidRDefault="00977153" w:rsidP="00555E88">
            <w:pPr>
              <w:pStyle w:val="Tablegridtext"/>
            </w:pPr>
            <w:r w:rsidRPr="00741EED">
              <w:t>Female Sales</w:t>
            </w:r>
          </w:p>
        </w:tc>
        <w:tc>
          <w:tcPr>
            <w:tcW w:w="969" w:type="dxa"/>
          </w:tcPr>
          <w:p w:rsidR="00977153" w:rsidRPr="00741EED" w:rsidRDefault="00977153" w:rsidP="00555E88">
            <w:pPr>
              <w:pStyle w:val="Tablegridtext"/>
              <w:jc w:val="right"/>
            </w:pPr>
            <w:r w:rsidRPr="00741EED">
              <w:t>13.6</w:t>
            </w:r>
          </w:p>
        </w:tc>
        <w:tc>
          <w:tcPr>
            <w:tcW w:w="3425" w:type="dxa"/>
          </w:tcPr>
          <w:p w:rsidR="00977153" w:rsidRPr="00741EED" w:rsidRDefault="00977153" w:rsidP="00555E88">
            <w:pPr>
              <w:pStyle w:val="Tablegridtext"/>
            </w:pPr>
            <w:r w:rsidRPr="00741EED">
              <w:t>Female Sales</w:t>
            </w:r>
          </w:p>
        </w:tc>
        <w:tc>
          <w:tcPr>
            <w:tcW w:w="1089" w:type="dxa"/>
          </w:tcPr>
          <w:p w:rsidR="00977153" w:rsidRPr="00741EED" w:rsidRDefault="00977153" w:rsidP="00555E88">
            <w:pPr>
              <w:pStyle w:val="Tablegridtext"/>
              <w:jc w:val="right"/>
            </w:pPr>
            <w:r w:rsidRPr="00741EED">
              <w:t>12.8</w:t>
            </w:r>
          </w:p>
        </w:tc>
      </w:tr>
      <w:tr w:rsidR="00977153" w:rsidRPr="00741EED" w:rsidTr="00275E67">
        <w:tc>
          <w:tcPr>
            <w:tcW w:w="3543" w:type="dxa"/>
          </w:tcPr>
          <w:p w:rsidR="00977153" w:rsidRPr="00741EED" w:rsidRDefault="00977153" w:rsidP="00555E88">
            <w:pPr>
              <w:pStyle w:val="Tablegridtext"/>
            </w:pPr>
            <w:r w:rsidRPr="00741EED">
              <w:t>Female Machine Operator/Drivers</w:t>
            </w:r>
          </w:p>
        </w:tc>
        <w:tc>
          <w:tcPr>
            <w:tcW w:w="969" w:type="dxa"/>
          </w:tcPr>
          <w:p w:rsidR="00977153" w:rsidRPr="00741EED" w:rsidRDefault="00977153" w:rsidP="00555E88">
            <w:pPr>
              <w:pStyle w:val="Tablegridtext"/>
              <w:jc w:val="right"/>
            </w:pPr>
            <w:r w:rsidRPr="00741EED">
              <w:t>1.7</w:t>
            </w:r>
          </w:p>
        </w:tc>
        <w:tc>
          <w:tcPr>
            <w:tcW w:w="3425" w:type="dxa"/>
          </w:tcPr>
          <w:p w:rsidR="00977153" w:rsidRPr="00741EED" w:rsidRDefault="00977153" w:rsidP="00555E88">
            <w:pPr>
              <w:pStyle w:val="Tablegridtext"/>
            </w:pPr>
            <w:r w:rsidRPr="00741EED">
              <w:t>Female Machine Operator/Drivers</w:t>
            </w:r>
          </w:p>
        </w:tc>
        <w:tc>
          <w:tcPr>
            <w:tcW w:w="1089" w:type="dxa"/>
          </w:tcPr>
          <w:p w:rsidR="00977153" w:rsidRPr="00741EED" w:rsidRDefault="00977153" w:rsidP="00555E88">
            <w:pPr>
              <w:pStyle w:val="Tablegridtext"/>
              <w:jc w:val="right"/>
            </w:pPr>
            <w:r w:rsidRPr="00741EED">
              <w:t>1.6</w:t>
            </w:r>
          </w:p>
        </w:tc>
      </w:tr>
      <w:tr w:rsidR="00977153" w:rsidRPr="00741EED" w:rsidTr="00275E67">
        <w:tc>
          <w:tcPr>
            <w:tcW w:w="3543" w:type="dxa"/>
          </w:tcPr>
          <w:p w:rsidR="00977153" w:rsidRPr="00741EED" w:rsidRDefault="00977153" w:rsidP="00555E88">
            <w:pPr>
              <w:pStyle w:val="Tablegridtext"/>
            </w:pPr>
            <w:r w:rsidRPr="00741EED">
              <w:t>Female Professional</w:t>
            </w:r>
          </w:p>
        </w:tc>
        <w:tc>
          <w:tcPr>
            <w:tcW w:w="969" w:type="dxa"/>
          </w:tcPr>
          <w:p w:rsidR="00977153" w:rsidRPr="00741EED" w:rsidRDefault="00977153" w:rsidP="00555E88">
            <w:pPr>
              <w:pStyle w:val="Tablegridtext"/>
              <w:jc w:val="right"/>
            </w:pPr>
            <w:r w:rsidRPr="00741EED">
              <w:t>22.1</w:t>
            </w:r>
          </w:p>
        </w:tc>
        <w:tc>
          <w:tcPr>
            <w:tcW w:w="3425" w:type="dxa"/>
          </w:tcPr>
          <w:p w:rsidR="00977153" w:rsidRPr="00741EED" w:rsidRDefault="00977153" w:rsidP="00555E88">
            <w:pPr>
              <w:pStyle w:val="Tablegridtext"/>
            </w:pPr>
            <w:r w:rsidRPr="00741EED">
              <w:t>Female Professional</w:t>
            </w:r>
          </w:p>
        </w:tc>
        <w:tc>
          <w:tcPr>
            <w:tcW w:w="1089" w:type="dxa"/>
          </w:tcPr>
          <w:p w:rsidR="00977153" w:rsidRPr="00741EED" w:rsidRDefault="00977153" w:rsidP="00555E88">
            <w:pPr>
              <w:pStyle w:val="Tablegridtext"/>
              <w:jc w:val="right"/>
            </w:pPr>
            <w:r w:rsidRPr="00741EED">
              <w:t>24.0</w:t>
            </w:r>
          </w:p>
        </w:tc>
      </w:tr>
      <w:tr w:rsidR="00977153" w:rsidRPr="00741EED" w:rsidTr="00275E67">
        <w:tc>
          <w:tcPr>
            <w:tcW w:w="3543" w:type="dxa"/>
          </w:tcPr>
          <w:p w:rsidR="00977153" w:rsidRPr="00741EED" w:rsidRDefault="00977153" w:rsidP="00555E88">
            <w:pPr>
              <w:pStyle w:val="Tablegridtext"/>
            </w:pPr>
            <w:r w:rsidRPr="00741EED">
              <w:t xml:space="preserve">Female </w:t>
            </w:r>
            <w:r>
              <w:t xml:space="preserve">Technicians and </w:t>
            </w:r>
            <w:r w:rsidRPr="00741EED">
              <w:t>Trades</w:t>
            </w:r>
          </w:p>
        </w:tc>
        <w:tc>
          <w:tcPr>
            <w:tcW w:w="969" w:type="dxa"/>
          </w:tcPr>
          <w:p w:rsidR="00977153" w:rsidRPr="00741EED" w:rsidRDefault="00977153" w:rsidP="00555E88">
            <w:pPr>
              <w:pStyle w:val="Tablegridtext"/>
              <w:jc w:val="right"/>
            </w:pPr>
            <w:r w:rsidRPr="00741EED">
              <w:t>4.7</w:t>
            </w:r>
          </w:p>
        </w:tc>
        <w:tc>
          <w:tcPr>
            <w:tcW w:w="3425" w:type="dxa"/>
          </w:tcPr>
          <w:p w:rsidR="00977153" w:rsidRPr="00741EED" w:rsidRDefault="00977153" w:rsidP="00555E88">
            <w:pPr>
              <w:pStyle w:val="Tablegridtext"/>
            </w:pPr>
            <w:r w:rsidRPr="00741EED">
              <w:t xml:space="preserve">Female </w:t>
            </w:r>
            <w:r>
              <w:t xml:space="preserve">Technicians and </w:t>
            </w:r>
            <w:r w:rsidRPr="00741EED">
              <w:t>Trades</w:t>
            </w:r>
          </w:p>
        </w:tc>
        <w:tc>
          <w:tcPr>
            <w:tcW w:w="1089" w:type="dxa"/>
          </w:tcPr>
          <w:p w:rsidR="00977153" w:rsidRPr="00741EED" w:rsidRDefault="00977153" w:rsidP="00555E88">
            <w:pPr>
              <w:pStyle w:val="Tablegridtext"/>
              <w:jc w:val="right"/>
            </w:pPr>
            <w:r w:rsidRPr="00741EED">
              <w:t>4.6</w:t>
            </w:r>
          </w:p>
        </w:tc>
      </w:tr>
      <w:tr w:rsidR="00977153" w:rsidRPr="00741EED" w:rsidTr="00275E67">
        <w:tc>
          <w:tcPr>
            <w:tcW w:w="3543" w:type="dxa"/>
          </w:tcPr>
          <w:p w:rsidR="00977153" w:rsidRPr="00741EED" w:rsidRDefault="00977153" w:rsidP="00555E88">
            <w:pPr>
              <w:pStyle w:val="Tablegridtext"/>
            </w:pPr>
            <w:r w:rsidRPr="00741EED">
              <w:t>Female Community Service Workers</w:t>
            </w:r>
          </w:p>
        </w:tc>
        <w:tc>
          <w:tcPr>
            <w:tcW w:w="969" w:type="dxa"/>
          </w:tcPr>
          <w:p w:rsidR="00977153" w:rsidRPr="00741EED" w:rsidRDefault="00977153" w:rsidP="00555E88">
            <w:pPr>
              <w:pStyle w:val="Tablegridtext"/>
              <w:jc w:val="right"/>
            </w:pPr>
            <w:r w:rsidRPr="00741EED">
              <w:t>13.7</w:t>
            </w:r>
          </w:p>
        </w:tc>
        <w:tc>
          <w:tcPr>
            <w:tcW w:w="3425" w:type="dxa"/>
          </w:tcPr>
          <w:p w:rsidR="00977153" w:rsidRPr="00741EED" w:rsidRDefault="00977153" w:rsidP="00555E88">
            <w:pPr>
              <w:pStyle w:val="Tablegridtext"/>
            </w:pPr>
            <w:r w:rsidRPr="00741EED">
              <w:t>Female Community Service Workers</w:t>
            </w:r>
          </w:p>
        </w:tc>
        <w:tc>
          <w:tcPr>
            <w:tcW w:w="1089" w:type="dxa"/>
          </w:tcPr>
          <w:p w:rsidR="00977153" w:rsidRPr="00741EED" w:rsidRDefault="00977153" w:rsidP="00555E88">
            <w:pPr>
              <w:pStyle w:val="Tablegridtext"/>
              <w:jc w:val="right"/>
            </w:pPr>
            <w:r w:rsidRPr="00741EED">
              <w:t>15.0</w:t>
            </w:r>
          </w:p>
        </w:tc>
      </w:tr>
      <w:tr w:rsidR="00977153" w:rsidRPr="00741EED" w:rsidTr="00275E67">
        <w:tc>
          <w:tcPr>
            <w:tcW w:w="3543" w:type="dxa"/>
          </w:tcPr>
          <w:p w:rsidR="00977153" w:rsidRPr="00741EED" w:rsidRDefault="00977153" w:rsidP="00555E88">
            <w:pPr>
              <w:pStyle w:val="Tablegridtext"/>
            </w:pPr>
            <w:r w:rsidRPr="00741EED">
              <w:t>Male Managers</w:t>
            </w:r>
          </w:p>
        </w:tc>
        <w:tc>
          <w:tcPr>
            <w:tcW w:w="969" w:type="dxa"/>
          </w:tcPr>
          <w:p w:rsidR="00977153" w:rsidRPr="00741EED" w:rsidRDefault="00977153" w:rsidP="00555E88">
            <w:pPr>
              <w:pStyle w:val="Tablegridtext"/>
              <w:jc w:val="right"/>
            </w:pPr>
            <w:r w:rsidRPr="00741EED">
              <w:t>15.8</w:t>
            </w:r>
          </w:p>
        </w:tc>
        <w:tc>
          <w:tcPr>
            <w:tcW w:w="3425" w:type="dxa"/>
          </w:tcPr>
          <w:p w:rsidR="00977153" w:rsidRPr="00741EED" w:rsidRDefault="00977153" w:rsidP="00555E88">
            <w:pPr>
              <w:pStyle w:val="Tablegridtext"/>
            </w:pPr>
            <w:r w:rsidRPr="00741EED">
              <w:t>Male Managers</w:t>
            </w:r>
          </w:p>
        </w:tc>
        <w:tc>
          <w:tcPr>
            <w:tcW w:w="1089" w:type="dxa"/>
          </w:tcPr>
          <w:p w:rsidR="00977153" w:rsidRPr="00741EED" w:rsidRDefault="00977153" w:rsidP="00555E88">
            <w:pPr>
              <w:pStyle w:val="Tablegridtext"/>
              <w:jc w:val="right"/>
            </w:pPr>
            <w:r w:rsidRPr="00741EED">
              <w:t>15.4</w:t>
            </w:r>
          </w:p>
        </w:tc>
      </w:tr>
      <w:tr w:rsidR="00977153" w:rsidRPr="00741EED" w:rsidTr="00275E67">
        <w:tc>
          <w:tcPr>
            <w:tcW w:w="3543" w:type="dxa"/>
          </w:tcPr>
          <w:p w:rsidR="00977153" w:rsidRPr="00741EED" w:rsidRDefault="00977153" w:rsidP="00555E88">
            <w:pPr>
              <w:pStyle w:val="Tablegridtext"/>
            </w:pPr>
            <w:r w:rsidRPr="00741EED">
              <w:t>Male Clerical/Admin</w:t>
            </w:r>
          </w:p>
        </w:tc>
        <w:tc>
          <w:tcPr>
            <w:tcW w:w="969" w:type="dxa"/>
          </w:tcPr>
          <w:p w:rsidR="00977153" w:rsidRPr="00741EED" w:rsidRDefault="00977153" w:rsidP="00555E88">
            <w:pPr>
              <w:pStyle w:val="Tablegridtext"/>
              <w:jc w:val="right"/>
            </w:pPr>
            <w:r w:rsidRPr="00741EED">
              <w:t>6.5</w:t>
            </w:r>
          </w:p>
        </w:tc>
        <w:tc>
          <w:tcPr>
            <w:tcW w:w="3425" w:type="dxa"/>
          </w:tcPr>
          <w:p w:rsidR="00977153" w:rsidRPr="00741EED" w:rsidRDefault="00977153" w:rsidP="00555E88">
            <w:pPr>
              <w:pStyle w:val="Tablegridtext"/>
            </w:pPr>
            <w:r w:rsidRPr="00741EED">
              <w:t>Male Clerical/Admin</w:t>
            </w:r>
          </w:p>
        </w:tc>
        <w:tc>
          <w:tcPr>
            <w:tcW w:w="1089" w:type="dxa"/>
          </w:tcPr>
          <w:p w:rsidR="00977153" w:rsidRPr="00741EED" w:rsidRDefault="00977153" w:rsidP="00555E88">
            <w:pPr>
              <w:pStyle w:val="Tablegridtext"/>
              <w:jc w:val="right"/>
            </w:pPr>
            <w:r w:rsidRPr="00741EED">
              <w:t>6.6</w:t>
            </w:r>
          </w:p>
        </w:tc>
      </w:tr>
      <w:tr w:rsidR="00977153" w:rsidRPr="00741EED" w:rsidTr="00275E67">
        <w:tc>
          <w:tcPr>
            <w:tcW w:w="3543" w:type="dxa"/>
          </w:tcPr>
          <w:p w:rsidR="00977153" w:rsidRPr="00741EED" w:rsidRDefault="00977153" w:rsidP="00555E88">
            <w:pPr>
              <w:pStyle w:val="Tablegridtext"/>
            </w:pPr>
            <w:r w:rsidRPr="00741EED">
              <w:t>Male Machine Operator/Drivers</w:t>
            </w:r>
          </w:p>
        </w:tc>
        <w:tc>
          <w:tcPr>
            <w:tcW w:w="969" w:type="dxa"/>
          </w:tcPr>
          <w:p w:rsidR="00977153" w:rsidRPr="00741EED" w:rsidRDefault="00977153" w:rsidP="00555E88">
            <w:pPr>
              <w:pStyle w:val="Tablegridtext"/>
              <w:jc w:val="right"/>
            </w:pPr>
            <w:r w:rsidRPr="00741EED">
              <w:t>11.6</w:t>
            </w:r>
          </w:p>
        </w:tc>
        <w:tc>
          <w:tcPr>
            <w:tcW w:w="3425" w:type="dxa"/>
          </w:tcPr>
          <w:p w:rsidR="00977153" w:rsidRPr="00741EED" w:rsidRDefault="00977153" w:rsidP="00555E88">
            <w:pPr>
              <w:pStyle w:val="Tablegridtext"/>
            </w:pPr>
            <w:r w:rsidRPr="00741EED">
              <w:t>Male Machine Operator/Drivers</w:t>
            </w:r>
          </w:p>
        </w:tc>
        <w:tc>
          <w:tcPr>
            <w:tcW w:w="1089" w:type="dxa"/>
          </w:tcPr>
          <w:p w:rsidR="00977153" w:rsidRPr="00741EED" w:rsidRDefault="00977153" w:rsidP="00555E88">
            <w:pPr>
              <w:pStyle w:val="Tablegridtext"/>
              <w:jc w:val="right"/>
            </w:pPr>
            <w:r w:rsidRPr="00741EED">
              <w:t>11.7</w:t>
            </w:r>
          </w:p>
        </w:tc>
      </w:tr>
      <w:tr w:rsidR="00977153" w:rsidRPr="00741EED" w:rsidTr="00275E67">
        <w:tc>
          <w:tcPr>
            <w:tcW w:w="3543" w:type="dxa"/>
          </w:tcPr>
          <w:p w:rsidR="00977153" w:rsidRPr="00741EED" w:rsidRDefault="00977153" w:rsidP="00555E88">
            <w:pPr>
              <w:pStyle w:val="Tablegridtext"/>
            </w:pPr>
            <w:r w:rsidRPr="00741EED">
              <w:t>Male Professional</w:t>
            </w:r>
          </w:p>
        </w:tc>
        <w:tc>
          <w:tcPr>
            <w:tcW w:w="969" w:type="dxa"/>
          </w:tcPr>
          <w:p w:rsidR="00977153" w:rsidRPr="00741EED" w:rsidRDefault="00977153" w:rsidP="00555E88">
            <w:pPr>
              <w:pStyle w:val="Tablegridtext"/>
              <w:jc w:val="right"/>
            </w:pPr>
            <w:r w:rsidRPr="00741EED">
              <w:t>17.1</w:t>
            </w:r>
          </w:p>
        </w:tc>
        <w:tc>
          <w:tcPr>
            <w:tcW w:w="3425" w:type="dxa"/>
          </w:tcPr>
          <w:p w:rsidR="00977153" w:rsidRPr="00741EED" w:rsidRDefault="00977153" w:rsidP="00555E88">
            <w:pPr>
              <w:pStyle w:val="Tablegridtext"/>
            </w:pPr>
            <w:r w:rsidRPr="00741EED">
              <w:t>Male Professional</w:t>
            </w:r>
          </w:p>
        </w:tc>
        <w:tc>
          <w:tcPr>
            <w:tcW w:w="1089" w:type="dxa"/>
          </w:tcPr>
          <w:p w:rsidR="00977153" w:rsidRPr="00741EED" w:rsidRDefault="00977153" w:rsidP="00555E88">
            <w:pPr>
              <w:pStyle w:val="Tablegridtext"/>
              <w:jc w:val="right"/>
            </w:pPr>
            <w:r w:rsidRPr="00741EED">
              <w:t>18.2</w:t>
            </w:r>
          </w:p>
        </w:tc>
      </w:tr>
      <w:tr w:rsidR="00977153" w:rsidRPr="00741EED" w:rsidTr="00275E67">
        <w:tc>
          <w:tcPr>
            <w:tcW w:w="3543" w:type="dxa"/>
          </w:tcPr>
          <w:p w:rsidR="00977153" w:rsidRPr="00741EED" w:rsidRDefault="00977153" w:rsidP="00555E88">
            <w:pPr>
              <w:pStyle w:val="Tablegridtext"/>
            </w:pPr>
            <w:r w:rsidRPr="00741EED">
              <w:t xml:space="preserve">Male </w:t>
            </w:r>
            <w:r>
              <w:t xml:space="preserve">Technicians and </w:t>
            </w:r>
            <w:r w:rsidRPr="00741EED">
              <w:t>Trades</w:t>
            </w:r>
          </w:p>
        </w:tc>
        <w:tc>
          <w:tcPr>
            <w:tcW w:w="969" w:type="dxa"/>
          </w:tcPr>
          <w:p w:rsidR="00977153" w:rsidRPr="00741EED" w:rsidRDefault="00977153" w:rsidP="00555E88">
            <w:pPr>
              <w:pStyle w:val="Tablegridtext"/>
              <w:jc w:val="right"/>
            </w:pPr>
            <w:r w:rsidRPr="00741EED">
              <w:t>23.4</w:t>
            </w:r>
          </w:p>
        </w:tc>
        <w:tc>
          <w:tcPr>
            <w:tcW w:w="3425" w:type="dxa"/>
          </w:tcPr>
          <w:p w:rsidR="00977153" w:rsidRPr="00741EED" w:rsidRDefault="00977153" w:rsidP="00555E88">
            <w:pPr>
              <w:pStyle w:val="Tablegridtext"/>
            </w:pPr>
            <w:r w:rsidRPr="00741EED">
              <w:t xml:space="preserve">Male </w:t>
            </w:r>
            <w:r>
              <w:t xml:space="preserve">Technicians and </w:t>
            </w:r>
            <w:r w:rsidRPr="00741EED">
              <w:t>Trades</w:t>
            </w:r>
          </w:p>
        </w:tc>
        <w:tc>
          <w:tcPr>
            <w:tcW w:w="1089" w:type="dxa"/>
          </w:tcPr>
          <w:p w:rsidR="00977153" w:rsidRPr="00741EED" w:rsidRDefault="00977153" w:rsidP="00555E88">
            <w:pPr>
              <w:pStyle w:val="Tablegridtext"/>
              <w:jc w:val="right"/>
            </w:pPr>
            <w:r w:rsidRPr="00741EED">
              <w:t>23.2</w:t>
            </w:r>
          </w:p>
        </w:tc>
      </w:tr>
      <w:tr w:rsidR="00977153" w:rsidRPr="00741EED" w:rsidTr="00275E67">
        <w:tc>
          <w:tcPr>
            <w:tcW w:w="9026" w:type="dxa"/>
            <w:gridSpan w:val="4"/>
          </w:tcPr>
          <w:p w:rsidR="00977153" w:rsidRPr="00741EED" w:rsidRDefault="00977153" w:rsidP="00555E88">
            <w:pPr>
              <w:pStyle w:val="Tablegridheading2"/>
              <w:jc w:val="center"/>
            </w:pPr>
            <w:r w:rsidRPr="00741EED">
              <w:t>Education Dimension</w:t>
            </w:r>
          </w:p>
        </w:tc>
      </w:tr>
      <w:tr w:rsidR="00977153" w:rsidRPr="00741EED" w:rsidTr="00275E67">
        <w:tc>
          <w:tcPr>
            <w:tcW w:w="3543" w:type="dxa"/>
          </w:tcPr>
          <w:p w:rsidR="00977153" w:rsidRPr="00741EED" w:rsidRDefault="00977153" w:rsidP="00555E88">
            <w:pPr>
              <w:pStyle w:val="Tablegridtext"/>
            </w:pPr>
            <w:r w:rsidRPr="00741EED">
              <w:t>Diploma, degree+</w:t>
            </w:r>
          </w:p>
        </w:tc>
        <w:tc>
          <w:tcPr>
            <w:tcW w:w="969" w:type="dxa"/>
          </w:tcPr>
          <w:p w:rsidR="00977153" w:rsidRPr="00741EED" w:rsidRDefault="00977153" w:rsidP="00555E88">
            <w:pPr>
              <w:pStyle w:val="Tablegridtext"/>
              <w:jc w:val="right"/>
            </w:pPr>
            <w:r w:rsidRPr="00741EED">
              <w:t>23.1</w:t>
            </w:r>
          </w:p>
        </w:tc>
        <w:tc>
          <w:tcPr>
            <w:tcW w:w="3425" w:type="dxa"/>
          </w:tcPr>
          <w:p w:rsidR="00977153" w:rsidRPr="00741EED" w:rsidRDefault="00977153" w:rsidP="00555E88">
            <w:pPr>
              <w:pStyle w:val="Tablegridtext"/>
            </w:pPr>
            <w:r w:rsidRPr="00741EED">
              <w:t>Diploma, degree+</w:t>
            </w:r>
          </w:p>
        </w:tc>
        <w:tc>
          <w:tcPr>
            <w:tcW w:w="1089" w:type="dxa"/>
          </w:tcPr>
          <w:p w:rsidR="00977153" w:rsidRPr="00741EED" w:rsidRDefault="00977153" w:rsidP="00555E88">
            <w:pPr>
              <w:pStyle w:val="Tablegridtext"/>
              <w:jc w:val="right"/>
            </w:pPr>
            <w:r w:rsidRPr="00741EED">
              <w:t>26.6</w:t>
            </w:r>
          </w:p>
        </w:tc>
      </w:tr>
      <w:tr w:rsidR="00977153" w:rsidRPr="00741EED" w:rsidTr="00275E67">
        <w:tc>
          <w:tcPr>
            <w:tcW w:w="3543" w:type="dxa"/>
          </w:tcPr>
          <w:p w:rsidR="00977153" w:rsidRPr="00741EED" w:rsidRDefault="00977153" w:rsidP="00555E88">
            <w:pPr>
              <w:pStyle w:val="Tablegridtext"/>
            </w:pPr>
            <w:r w:rsidRPr="00741EED">
              <w:t>Left school year 9</w:t>
            </w:r>
          </w:p>
        </w:tc>
        <w:tc>
          <w:tcPr>
            <w:tcW w:w="969" w:type="dxa"/>
          </w:tcPr>
          <w:p w:rsidR="00977153" w:rsidRPr="00741EED" w:rsidRDefault="00977153" w:rsidP="00555E88">
            <w:pPr>
              <w:pStyle w:val="Tablegridtext"/>
              <w:jc w:val="right"/>
            </w:pPr>
            <w:r w:rsidRPr="00741EED">
              <w:t>14.2</w:t>
            </w:r>
          </w:p>
        </w:tc>
        <w:tc>
          <w:tcPr>
            <w:tcW w:w="3425" w:type="dxa"/>
          </w:tcPr>
          <w:p w:rsidR="00977153" w:rsidRPr="00741EED" w:rsidRDefault="00977153" w:rsidP="00555E88">
            <w:pPr>
              <w:pStyle w:val="Tablegridtext"/>
            </w:pPr>
            <w:r w:rsidRPr="00741EED">
              <w:t>Left school year 9</w:t>
            </w:r>
          </w:p>
        </w:tc>
        <w:tc>
          <w:tcPr>
            <w:tcW w:w="1089" w:type="dxa"/>
          </w:tcPr>
          <w:p w:rsidR="00977153" w:rsidRPr="00741EED" w:rsidRDefault="00977153" w:rsidP="00555E88">
            <w:pPr>
              <w:pStyle w:val="Tablegridtext"/>
              <w:jc w:val="right"/>
            </w:pPr>
            <w:r w:rsidRPr="00741EED">
              <w:t>13.4</w:t>
            </w:r>
          </w:p>
        </w:tc>
      </w:tr>
      <w:tr w:rsidR="00977153" w:rsidRPr="00741EED" w:rsidTr="00275E67">
        <w:tc>
          <w:tcPr>
            <w:tcW w:w="3543" w:type="dxa"/>
          </w:tcPr>
          <w:p w:rsidR="00977153" w:rsidRPr="00741EED" w:rsidRDefault="00977153" w:rsidP="00555E88">
            <w:pPr>
              <w:pStyle w:val="Tablegridtext"/>
            </w:pPr>
            <w:r w:rsidRPr="00741EED">
              <w:t>Never attend</w:t>
            </w:r>
            <w:r>
              <w:t>ed</w:t>
            </w:r>
            <w:r w:rsidRPr="00741EED">
              <w:t xml:space="preserve"> school</w:t>
            </w:r>
          </w:p>
        </w:tc>
        <w:tc>
          <w:tcPr>
            <w:tcW w:w="969" w:type="dxa"/>
          </w:tcPr>
          <w:p w:rsidR="00977153" w:rsidRPr="00741EED" w:rsidRDefault="00977153" w:rsidP="00555E88">
            <w:pPr>
              <w:pStyle w:val="Tablegridtext"/>
              <w:jc w:val="right"/>
            </w:pPr>
            <w:r w:rsidRPr="00741EED">
              <w:t>0.9</w:t>
            </w:r>
          </w:p>
        </w:tc>
        <w:tc>
          <w:tcPr>
            <w:tcW w:w="3425" w:type="dxa"/>
          </w:tcPr>
          <w:p w:rsidR="00977153" w:rsidRPr="00741EED" w:rsidRDefault="00977153" w:rsidP="00555E88">
            <w:pPr>
              <w:pStyle w:val="Tablegridtext"/>
            </w:pPr>
            <w:r w:rsidRPr="00741EED">
              <w:t>Never attend</w:t>
            </w:r>
            <w:r>
              <w:t>ed</w:t>
            </w:r>
            <w:r w:rsidRPr="00741EED">
              <w:t xml:space="preserve"> school</w:t>
            </w:r>
          </w:p>
        </w:tc>
        <w:tc>
          <w:tcPr>
            <w:tcW w:w="1089" w:type="dxa"/>
          </w:tcPr>
          <w:p w:rsidR="00977153" w:rsidRPr="00741EED" w:rsidRDefault="00977153" w:rsidP="00555E88">
            <w:pPr>
              <w:pStyle w:val="Tablegridtext"/>
              <w:jc w:val="right"/>
            </w:pPr>
            <w:r w:rsidRPr="00741EED">
              <w:t>0.9</w:t>
            </w:r>
          </w:p>
        </w:tc>
      </w:tr>
      <w:tr w:rsidR="00977153" w:rsidRPr="00741EED" w:rsidTr="00275E67">
        <w:tc>
          <w:tcPr>
            <w:tcW w:w="3543" w:type="dxa"/>
          </w:tcPr>
          <w:p w:rsidR="00977153" w:rsidRPr="00741EED" w:rsidRDefault="00977153" w:rsidP="00555E88">
            <w:pPr>
              <w:pStyle w:val="Tablegridtext"/>
            </w:pPr>
            <w:r w:rsidRPr="00741EED">
              <w:t>Tertiary students 15-24</w:t>
            </w:r>
          </w:p>
        </w:tc>
        <w:tc>
          <w:tcPr>
            <w:tcW w:w="969" w:type="dxa"/>
          </w:tcPr>
          <w:p w:rsidR="00977153" w:rsidRPr="00741EED" w:rsidRDefault="00977153" w:rsidP="00555E88">
            <w:pPr>
              <w:pStyle w:val="Tablegridtext"/>
              <w:jc w:val="right"/>
            </w:pPr>
            <w:r w:rsidRPr="00741EED">
              <w:t>22.0</w:t>
            </w:r>
          </w:p>
        </w:tc>
        <w:tc>
          <w:tcPr>
            <w:tcW w:w="3425" w:type="dxa"/>
          </w:tcPr>
          <w:p w:rsidR="00977153" w:rsidRPr="00741EED" w:rsidRDefault="00977153" w:rsidP="00555E88">
            <w:pPr>
              <w:pStyle w:val="Tablegridtext"/>
            </w:pPr>
            <w:r w:rsidRPr="00741EED">
              <w:t>Tertiary students 15-24</w:t>
            </w:r>
          </w:p>
        </w:tc>
        <w:tc>
          <w:tcPr>
            <w:tcW w:w="1089" w:type="dxa"/>
          </w:tcPr>
          <w:p w:rsidR="00977153" w:rsidRPr="00741EED" w:rsidRDefault="00977153" w:rsidP="00555E88">
            <w:pPr>
              <w:pStyle w:val="Tablegridtext"/>
              <w:jc w:val="right"/>
            </w:pPr>
            <w:r w:rsidRPr="00741EED">
              <w:t>24.9</w:t>
            </w:r>
          </w:p>
        </w:tc>
      </w:tr>
      <w:tr w:rsidR="00977153" w:rsidRPr="00741EED" w:rsidTr="00275E67">
        <w:tc>
          <w:tcPr>
            <w:tcW w:w="3543" w:type="dxa"/>
          </w:tcPr>
          <w:p w:rsidR="00977153" w:rsidRPr="00741EED" w:rsidRDefault="00977153" w:rsidP="00555E88">
            <w:pPr>
              <w:pStyle w:val="Tablegridtext"/>
            </w:pPr>
            <w:r w:rsidRPr="00741EED">
              <w:t>Trade certificate</w:t>
            </w:r>
          </w:p>
        </w:tc>
        <w:tc>
          <w:tcPr>
            <w:tcW w:w="969" w:type="dxa"/>
          </w:tcPr>
          <w:p w:rsidR="00977153" w:rsidRPr="00741EED" w:rsidRDefault="00977153" w:rsidP="00555E88">
            <w:pPr>
              <w:pStyle w:val="Tablegridtext"/>
              <w:jc w:val="right"/>
            </w:pPr>
            <w:r w:rsidRPr="00741EED">
              <w:t>17.6</w:t>
            </w:r>
          </w:p>
        </w:tc>
        <w:tc>
          <w:tcPr>
            <w:tcW w:w="3425" w:type="dxa"/>
          </w:tcPr>
          <w:p w:rsidR="00977153" w:rsidRPr="00741EED" w:rsidRDefault="00977153" w:rsidP="00555E88">
            <w:pPr>
              <w:pStyle w:val="Tablegridtext"/>
            </w:pPr>
            <w:r w:rsidRPr="00741EED">
              <w:t>Trade certificate</w:t>
            </w:r>
          </w:p>
        </w:tc>
        <w:tc>
          <w:tcPr>
            <w:tcW w:w="1089" w:type="dxa"/>
          </w:tcPr>
          <w:p w:rsidR="00977153" w:rsidRPr="00741EED" w:rsidRDefault="00977153" w:rsidP="00555E88">
            <w:pPr>
              <w:pStyle w:val="Tablegridtext"/>
              <w:jc w:val="right"/>
            </w:pPr>
            <w:r w:rsidRPr="00741EED">
              <w:t>18.2</w:t>
            </w:r>
          </w:p>
        </w:tc>
      </w:tr>
      <w:tr w:rsidR="00977153" w:rsidRPr="00741EED" w:rsidTr="00275E67">
        <w:tc>
          <w:tcPr>
            <w:tcW w:w="3543" w:type="dxa"/>
          </w:tcPr>
          <w:p w:rsidR="00977153" w:rsidRPr="00741EED" w:rsidRDefault="00977153" w:rsidP="00555E88">
            <w:pPr>
              <w:pStyle w:val="Tablegridtext"/>
            </w:pPr>
            <w:r w:rsidRPr="00741EED">
              <w:t>No qualifications</w:t>
            </w:r>
          </w:p>
        </w:tc>
        <w:tc>
          <w:tcPr>
            <w:tcW w:w="969" w:type="dxa"/>
          </w:tcPr>
          <w:p w:rsidR="00977153" w:rsidRPr="00741EED" w:rsidRDefault="00977153" w:rsidP="00555E88">
            <w:pPr>
              <w:pStyle w:val="Tablegridtext"/>
              <w:jc w:val="right"/>
            </w:pPr>
            <w:r w:rsidRPr="00741EED">
              <w:t>59.3</w:t>
            </w:r>
          </w:p>
        </w:tc>
        <w:tc>
          <w:tcPr>
            <w:tcW w:w="3425" w:type="dxa"/>
          </w:tcPr>
          <w:p w:rsidR="00977153" w:rsidRPr="00741EED" w:rsidRDefault="00977153" w:rsidP="00555E88">
            <w:pPr>
              <w:pStyle w:val="Tablegridtext"/>
            </w:pPr>
            <w:r w:rsidRPr="00741EED">
              <w:t>No qualifications</w:t>
            </w:r>
          </w:p>
        </w:tc>
        <w:tc>
          <w:tcPr>
            <w:tcW w:w="1089" w:type="dxa"/>
          </w:tcPr>
          <w:p w:rsidR="00977153" w:rsidRPr="00741EED" w:rsidRDefault="00977153" w:rsidP="00555E88">
            <w:pPr>
              <w:pStyle w:val="Tablegridtext"/>
              <w:jc w:val="right"/>
            </w:pPr>
            <w:r w:rsidRPr="00741EED">
              <w:t>55.2</w:t>
            </w:r>
          </w:p>
        </w:tc>
      </w:tr>
      <w:tr w:rsidR="00977153" w:rsidRPr="00741EED" w:rsidTr="00275E67">
        <w:tc>
          <w:tcPr>
            <w:tcW w:w="9026" w:type="dxa"/>
            <w:gridSpan w:val="4"/>
          </w:tcPr>
          <w:p w:rsidR="00977153" w:rsidRPr="00741EED" w:rsidRDefault="00977153" w:rsidP="00555E88">
            <w:pPr>
              <w:pStyle w:val="Tablegridheading2"/>
              <w:jc w:val="center"/>
            </w:pPr>
            <w:r w:rsidRPr="00741EED">
              <w:t>Household Income Dimension</w:t>
            </w:r>
          </w:p>
        </w:tc>
      </w:tr>
      <w:tr w:rsidR="00977153" w:rsidRPr="00741EED" w:rsidTr="00275E67">
        <w:tc>
          <w:tcPr>
            <w:tcW w:w="3543" w:type="dxa"/>
          </w:tcPr>
          <w:p w:rsidR="00977153" w:rsidRPr="00741EED" w:rsidRDefault="00977153" w:rsidP="00555E88">
            <w:pPr>
              <w:pStyle w:val="Tablegridtext"/>
            </w:pPr>
            <w:r w:rsidRPr="00741EED">
              <w:t>Household Income &lt; $52,000 pa</w:t>
            </w:r>
          </w:p>
        </w:tc>
        <w:tc>
          <w:tcPr>
            <w:tcW w:w="969" w:type="dxa"/>
          </w:tcPr>
          <w:p w:rsidR="00977153" w:rsidRPr="00741EED" w:rsidRDefault="00977153" w:rsidP="00555E88">
            <w:pPr>
              <w:pStyle w:val="Tablegridtext"/>
              <w:jc w:val="right"/>
            </w:pPr>
            <w:r w:rsidRPr="00741EED">
              <w:t>47.0</w:t>
            </w:r>
          </w:p>
        </w:tc>
        <w:tc>
          <w:tcPr>
            <w:tcW w:w="3425" w:type="dxa"/>
          </w:tcPr>
          <w:p w:rsidR="00977153" w:rsidRPr="00741EED" w:rsidRDefault="00977153" w:rsidP="00555E88">
            <w:pPr>
              <w:pStyle w:val="Tablegridtext"/>
            </w:pPr>
            <w:r w:rsidRPr="00741EED">
              <w:t>Household Income &lt; $65,000 pa</w:t>
            </w:r>
          </w:p>
        </w:tc>
        <w:tc>
          <w:tcPr>
            <w:tcW w:w="1089" w:type="dxa"/>
          </w:tcPr>
          <w:p w:rsidR="00977153" w:rsidRPr="00741EED" w:rsidRDefault="00977153" w:rsidP="00555E88">
            <w:pPr>
              <w:pStyle w:val="Tablegridtext"/>
              <w:jc w:val="right"/>
            </w:pPr>
            <w:r w:rsidRPr="00741EED">
              <w:t>49.2</w:t>
            </w:r>
          </w:p>
        </w:tc>
      </w:tr>
      <w:tr w:rsidR="00977153" w:rsidRPr="00741EED" w:rsidTr="00275E67">
        <w:tc>
          <w:tcPr>
            <w:tcW w:w="3543" w:type="dxa"/>
          </w:tcPr>
          <w:p w:rsidR="00977153" w:rsidRPr="00741EED" w:rsidRDefault="00977153" w:rsidP="00555E88">
            <w:pPr>
              <w:pStyle w:val="Tablegridtext"/>
            </w:pPr>
            <w:r w:rsidRPr="00741EED">
              <w:t>Household Income &gt;$117,000 pa</w:t>
            </w:r>
          </w:p>
        </w:tc>
        <w:tc>
          <w:tcPr>
            <w:tcW w:w="969" w:type="dxa"/>
          </w:tcPr>
          <w:p w:rsidR="00977153" w:rsidRPr="00741EED" w:rsidRDefault="00977153" w:rsidP="00555E88">
            <w:pPr>
              <w:pStyle w:val="Tablegridtext"/>
              <w:jc w:val="right"/>
            </w:pPr>
            <w:r w:rsidRPr="00741EED">
              <w:t>15.5</w:t>
            </w:r>
          </w:p>
        </w:tc>
        <w:tc>
          <w:tcPr>
            <w:tcW w:w="3425" w:type="dxa"/>
          </w:tcPr>
          <w:p w:rsidR="00977153" w:rsidRPr="00741EED" w:rsidRDefault="00977153" w:rsidP="00555E88">
            <w:pPr>
              <w:pStyle w:val="Tablegridtext"/>
            </w:pPr>
            <w:r w:rsidRPr="00741EED">
              <w:t>Household Income &gt; $143,000 pa</w:t>
            </w:r>
          </w:p>
        </w:tc>
        <w:tc>
          <w:tcPr>
            <w:tcW w:w="1089" w:type="dxa"/>
          </w:tcPr>
          <w:p w:rsidR="00977153" w:rsidRPr="00741EED" w:rsidRDefault="00977153" w:rsidP="00555E88">
            <w:pPr>
              <w:pStyle w:val="Tablegridtext"/>
              <w:jc w:val="right"/>
            </w:pPr>
            <w:r w:rsidRPr="00741EED">
              <w:t>16.1</w:t>
            </w:r>
          </w:p>
        </w:tc>
      </w:tr>
      <w:tr w:rsidR="00977153" w:rsidRPr="00741EED" w:rsidTr="00275E67">
        <w:tc>
          <w:tcPr>
            <w:tcW w:w="9026" w:type="dxa"/>
            <w:gridSpan w:val="4"/>
          </w:tcPr>
          <w:p w:rsidR="00977153" w:rsidRPr="00741EED" w:rsidRDefault="00977153" w:rsidP="00555E88">
            <w:pPr>
              <w:pStyle w:val="Tablegridheading2"/>
              <w:jc w:val="center"/>
            </w:pPr>
            <w:r w:rsidRPr="00741EED">
              <w:t>Family Income Dimension</w:t>
            </w:r>
          </w:p>
        </w:tc>
      </w:tr>
      <w:tr w:rsidR="00977153" w:rsidRPr="00741EED" w:rsidTr="00275E67">
        <w:tc>
          <w:tcPr>
            <w:tcW w:w="3543" w:type="dxa"/>
          </w:tcPr>
          <w:p w:rsidR="00977153" w:rsidRPr="00741EED" w:rsidRDefault="00977153" w:rsidP="00555E88">
            <w:pPr>
              <w:pStyle w:val="Tablegridtext"/>
            </w:pPr>
            <w:r w:rsidRPr="00741EED">
              <w:t>Family Income &lt; $52,000 pa</w:t>
            </w:r>
          </w:p>
        </w:tc>
        <w:tc>
          <w:tcPr>
            <w:tcW w:w="969" w:type="dxa"/>
          </w:tcPr>
          <w:p w:rsidR="00977153" w:rsidRPr="00741EED" w:rsidRDefault="00977153" w:rsidP="00555E88">
            <w:pPr>
              <w:pStyle w:val="Tablegridtext"/>
              <w:jc w:val="right"/>
            </w:pPr>
            <w:r w:rsidRPr="00741EED">
              <w:t>35.4</w:t>
            </w:r>
          </w:p>
        </w:tc>
        <w:tc>
          <w:tcPr>
            <w:tcW w:w="3425" w:type="dxa"/>
          </w:tcPr>
          <w:p w:rsidR="00977153" w:rsidRPr="00741EED" w:rsidRDefault="00977153" w:rsidP="00555E88">
            <w:pPr>
              <w:pStyle w:val="Tablegridtext"/>
            </w:pPr>
            <w:r w:rsidRPr="00741EED">
              <w:t>Family Income &lt; $65,000 pa</w:t>
            </w:r>
          </w:p>
        </w:tc>
        <w:tc>
          <w:tcPr>
            <w:tcW w:w="1089" w:type="dxa"/>
          </w:tcPr>
          <w:p w:rsidR="00977153" w:rsidRPr="00741EED" w:rsidRDefault="00977153" w:rsidP="00555E88">
            <w:pPr>
              <w:pStyle w:val="Tablegridtext"/>
              <w:jc w:val="right"/>
            </w:pPr>
            <w:r w:rsidRPr="00741EED">
              <w:t>38.1</w:t>
            </w:r>
          </w:p>
        </w:tc>
      </w:tr>
      <w:tr w:rsidR="00977153" w:rsidRPr="00741EED" w:rsidTr="00275E67">
        <w:tc>
          <w:tcPr>
            <w:tcW w:w="3543" w:type="dxa"/>
          </w:tcPr>
          <w:p w:rsidR="00977153" w:rsidRPr="00741EED" w:rsidRDefault="00977153" w:rsidP="00555E88">
            <w:pPr>
              <w:pStyle w:val="Tablegridtext"/>
            </w:pPr>
            <w:r w:rsidRPr="00741EED">
              <w:t>Family Income &gt; $130,000 pa</w:t>
            </w:r>
          </w:p>
        </w:tc>
        <w:tc>
          <w:tcPr>
            <w:tcW w:w="969" w:type="dxa"/>
          </w:tcPr>
          <w:p w:rsidR="00977153" w:rsidRPr="00741EED" w:rsidRDefault="00977153" w:rsidP="00555E88">
            <w:pPr>
              <w:pStyle w:val="Tablegridtext"/>
              <w:jc w:val="right"/>
            </w:pPr>
            <w:r w:rsidRPr="00741EED">
              <w:t>15.9</w:t>
            </w:r>
          </w:p>
        </w:tc>
        <w:tc>
          <w:tcPr>
            <w:tcW w:w="3425" w:type="dxa"/>
          </w:tcPr>
          <w:p w:rsidR="00977153" w:rsidRPr="00741EED" w:rsidRDefault="00977153" w:rsidP="00555E88">
            <w:pPr>
              <w:pStyle w:val="Tablegridtext"/>
            </w:pPr>
            <w:r w:rsidRPr="00741EED">
              <w:t>Family Income &gt; $156,000 pa</w:t>
            </w:r>
          </w:p>
        </w:tc>
        <w:tc>
          <w:tcPr>
            <w:tcW w:w="1089" w:type="dxa"/>
          </w:tcPr>
          <w:p w:rsidR="00977153" w:rsidRPr="00741EED" w:rsidRDefault="00977153" w:rsidP="00555E88">
            <w:pPr>
              <w:pStyle w:val="Tablegridtext"/>
              <w:jc w:val="right"/>
            </w:pPr>
            <w:r w:rsidRPr="00741EED">
              <w:t>15.1</w:t>
            </w:r>
          </w:p>
        </w:tc>
      </w:tr>
    </w:tbl>
    <w:p w:rsidR="00977153" w:rsidRPr="0051627A" w:rsidRDefault="00977153" w:rsidP="0051627A">
      <w:pPr>
        <w:pStyle w:val="Datasource"/>
      </w:pPr>
      <w:r w:rsidRPr="0051627A">
        <w:t xml:space="preserve">Note: Percentages are national averages from across all CDs in 2006, and SA1s in 2011. Averages are weighted by the population of each CD or SA1. </w:t>
      </w:r>
    </w:p>
    <w:p w:rsidR="00275E67" w:rsidRDefault="00977153" w:rsidP="00275E67">
      <w:pPr>
        <w:pStyle w:val="Datasource"/>
      </w:pPr>
      <w:r>
        <w:t xml:space="preserve">Source: </w:t>
      </w:r>
      <w:r w:rsidR="00A15759">
        <w:rPr>
          <w:noProof/>
        </w:rPr>
        <w:t>Farish (2013), p. 9.</w:t>
      </w:r>
      <w:r w:rsidR="00275E67">
        <w:br w:type="page"/>
      </w:r>
    </w:p>
    <w:p w:rsidR="00275E67" w:rsidRDefault="00275E67" w:rsidP="00A260FB">
      <w:pPr>
        <w:pStyle w:val="Heading3"/>
      </w:pPr>
      <w:bookmarkStart w:id="302" w:name="_Ref492993295"/>
      <w:bookmarkStart w:id="303" w:name="_Ref492993301"/>
      <w:bookmarkStart w:id="304" w:name="_Toc496803949"/>
      <w:bookmarkStart w:id="305" w:name="_Ref492290043"/>
      <w:r>
        <w:t xml:space="preserve">Table </w:t>
      </w:r>
      <w:fldSimple w:instr=" STYLEREF 6 \s ">
        <w:r w:rsidR="00B52C11">
          <w:rPr>
            <w:noProof/>
          </w:rPr>
          <w:t>A</w:t>
        </w:r>
      </w:fldSimple>
      <w:r>
        <w:noBreakHyphen/>
      </w:r>
      <w:fldSimple w:instr=" SEQ Table_Apx \* ARABIC \s 6 ">
        <w:r w:rsidR="00B52C11">
          <w:rPr>
            <w:noProof/>
          </w:rPr>
          <w:t>1</w:t>
        </w:r>
      </w:fldSimple>
      <w:bookmarkEnd w:id="302"/>
      <w:r>
        <w:tab/>
        <w:t xml:space="preserve">Dimension variable loadings </w:t>
      </w:r>
      <w:r w:rsidR="002D279D">
        <w:t>calculat</w:t>
      </w:r>
      <w:r>
        <w:t>ed using ABS Census data</w:t>
      </w:r>
      <w:r w:rsidR="00452089">
        <w:t>:</w:t>
      </w:r>
      <w:r>
        <w:t xml:space="preserve"> 1996 to 2011</w:t>
      </w:r>
      <w:bookmarkEnd w:id="303"/>
      <w:bookmarkEnd w:id="304"/>
    </w:p>
    <w:bookmarkEnd w:id="305"/>
    <w:tbl>
      <w:tblPr>
        <w:tblStyle w:val="TableGrid"/>
        <w:tblW w:w="0" w:type="auto"/>
        <w:tblLook w:val="04A0" w:firstRow="1" w:lastRow="0" w:firstColumn="1" w:lastColumn="0" w:noHBand="0" w:noVBand="1"/>
        <w:tblCaption w:val="Table A.2 Dimension variable loadings calculated using ABS Census data: 1996 to 2011"/>
      </w:tblPr>
      <w:tblGrid>
        <w:gridCol w:w="3968"/>
        <w:gridCol w:w="1276"/>
        <w:gridCol w:w="1276"/>
        <w:gridCol w:w="1276"/>
        <w:gridCol w:w="1230"/>
      </w:tblGrid>
      <w:tr w:rsidR="00275E67" w:rsidRPr="00F7744D" w:rsidTr="00275E67">
        <w:trPr>
          <w:cnfStyle w:val="100000000000" w:firstRow="1" w:lastRow="0" w:firstColumn="0" w:lastColumn="0" w:oddVBand="0" w:evenVBand="0" w:oddHBand="0" w:evenHBand="0" w:firstRowFirstColumn="0" w:firstRowLastColumn="0" w:lastRowFirstColumn="0" w:lastRowLastColumn="0"/>
          <w:tblHeader/>
        </w:trPr>
        <w:tc>
          <w:tcPr>
            <w:tcW w:w="3968" w:type="dxa"/>
          </w:tcPr>
          <w:p w:rsidR="00275E67" w:rsidRPr="00F7744D" w:rsidRDefault="00275E67" w:rsidP="00555E88">
            <w:pPr>
              <w:pStyle w:val="Tablegridheading"/>
            </w:pPr>
          </w:p>
        </w:tc>
        <w:tc>
          <w:tcPr>
            <w:tcW w:w="5058" w:type="dxa"/>
            <w:gridSpan w:val="4"/>
          </w:tcPr>
          <w:p w:rsidR="00275E67" w:rsidRPr="00F7744D" w:rsidRDefault="00275E67" w:rsidP="00555E88">
            <w:pPr>
              <w:pStyle w:val="Tablegridheading"/>
              <w:jc w:val="center"/>
            </w:pPr>
            <w:r w:rsidRPr="00F7744D">
              <w:t>Census year</w:t>
            </w:r>
            <w:r w:rsidRPr="009964D9">
              <w:rPr>
                <w:vertAlign w:val="superscript"/>
              </w:rPr>
              <w:t>a</w:t>
            </w:r>
          </w:p>
        </w:tc>
      </w:tr>
      <w:tr w:rsidR="00275E67" w:rsidRPr="00F7744D" w:rsidTr="00275E67">
        <w:trPr>
          <w:cnfStyle w:val="100000000000" w:firstRow="1" w:lastRow="0" w:firstColumn="0" w:lastColumn="0" w:oddVBand="0" w:evenVBand="0" w:oddHBand="0" w:evenHBand="0" w:firstRowFirstColumn="0" w:firstRowLastColumn="0" w:lastRowFirstColumn="0" w:lastRowLastColumn="0"/>
          <w:tblHeader/>
        </w:trPr>
        <w:tc>
          <w:tcPr>
            <w:tcW w:w="3968" w:type="dxa"/>
          </w:tcPr>
          <w:p w:rsidR="00275E67" w:rsidRPr="00F7744D" w:rsidRDefault="00275E67" w:rsidP="00555E88">
            <w:pPr>
              <w:pStyle w:val="Tablegridtext"/>
            </w:pPr>
          </w:p>
        </w:tc>
        <w:tc>
          <w:tcPr>
            <w:tcW w:w="1276" w:type="dxa"/>
          </w:tcPr>
          <w:p w:rsidR="00275E67" w:rsidRPr="00F7744D" w:rsidRDefault="00275E67" w:rsidP="00555E88">
            <w:pPr>
              <w:pStyle w:val="Tablegridheading2"/>
              <w:ind w:left="-110"/>
              <w:jc w:val="center"/>
            </w:pPr>
            <w:r w:rsidRPr="00F7744D">
              <w:t>1996</w:t>
            </w:r>
            <w:r>
              <w:t xml:space="preserve"> (1998)</w:t>
            </w:r>
          </w:p>
        </w:tc>
        <w:tc>
          <w:tcPr>
            <w:tcW w:w="1276" w:type="dxa"/>
          </w:tcPr>
          <w:p w:rsidR="00275E67" w:rsidRPr="00F7744D" w:rsidRDefault="00275E67" w:rsidP="00555E88">
            <w:pPr>
              <w:pStyle w:val="Tablegridheading2"/>
              <w:ind w:left="-109"/>
              <w:jc w:val="center"/>
            </w:pPr>
            <w:r w:rsidRPr="00F7744D">
              <w:t>2001</w:t>
            </w:r>
            <w:r>
              <w:t xml:space="preserve"> (2003)</w:t>
            </w:r>
          </w:p>
        </w:tc>
        <w:tc>
          <w:tcPr>
            <w:tcW w:w="1276" w:type="dxa"/>
          </w:tcPr>
          <w:p w:rsidR="00275E67" w:rsidRPr="00F7744D" w:rsidRDefault="00275E67" w:rsidP="00555E88">
            <w:pPr>
              <w:pStyle w:val="Tablegridheading2"/>
              <w:ind w:left="-108"/>
              <w:jc w:val="center"/>
            </w:pPr>
            <w:r w:rsidRPr="00F7744D">
              <w:t>2006</w:t>
            </w:r>
            <w:r>
              <w:t xml:space="preserve"> (2008)</w:t>
            </w:r>
          </w:p>
        </w:tc>
        <w:tc>
          <w:tcPr>
            <w:tcW w:w="1230" w:type="dxa"/>
          </w:tcPr>
          <w:p w:rsidR="00275E67" w:rsidRPr="00F7744D" w:rsidRDefault="00275E67" w:rsidP="00555E88">
            <w:pPr>
              <w:pStyle w:val="Tablegridheading2"/>
              <w:ind w:left="-107"/>
              <w:jc w:val="center"/>
            </w:pPr>
            <w:r w:rsidRPr="00F7744D">
              <w:t>2011</w:t>
            </w:r>
            <w:r>
              <w:t xml:space="preserve"> (2013)</w:t>
            </w:r>
          </w:p>
        </w:tc>
      </w:tr>
      <w:tr w:rsidR="00275E67" w:rsidRPr="00F7744D" w:rsidTr="00275E67">
        <w:tc>
          <w:tcPr>
            <w:tcW w:w="3968" w:type="dxa"/>
          </w:tcPr>
          <w:p w:rsidR="00275E67" w:rsidRPr="00F7744D" w:rsidRDefault="00275E67" w:rsidP="00555E88">
            <w:pPr>
              <w:pStyle w:val="Tablegridheading2"/>
            </w:pPr>
            <w:r w:rsidRPr="00F7744D">
              <w:t>Occupation</w:t>
            </w: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30" w:type="dxa"/>
          </w:tcPr>
          <w:p w:rsidR="00275E67" w:rsidRPr="00F7744D" w:rsidRDefault="00275E67" w:rsidP="00555E88">
            <w:pPr>
              <w:pStyle w:val="Tablegridheading2"/>
            </w:pPr>
          </w:p>
        </w:tc>
      </w:tr>
      <w:tr w:rsidR="00275E67" w:rsidRPr="00F7744D" w:rsidTr="00275E67">
        <w:tc>
          <w:tcPr>
            <w:tcW w:w="3968" w:type="dxa"/>
          </w:tcPr>
          <w:p w:rsidR="00275E67" w:rsidRPr="00F7744D" w:rsidRDefault="00275E67" w:rsidP="00555E88">
            <w:pPr>
              <w:pStyle w:val="Tablegridtext"/>
            </w:pPr>
            <w:r w:rsidRPr="00F7744D">
              <w:t>Eigenvalue</w:t>
            </w:r>
            <w:r>
              <w:rPr>
                <w:vertAlign w:val="superscript"/>
              </w:rPr>
              <w:t>b</w:t>
            </w:r>
          </w:p>
        </w:tc>
        <w:tc>
          <w:tcPr>
            <w:tcW w:w="1276" w:type="dxa"/>
          </w:tcPr>
          <w:p w:rsidR="00275E67" w:rsidRPr="00F7744D" w:rsidRDefault="00275E67" w:rsidP="00555E88">
            <w:pPr>
              <w:pStyle w:val="Tablegridtext"/>
            </w:pPr>
            <w:r w:rsidRPr="00F7744D">
              <w:t>4.120 (29%)</w:t>
            </w:r>
          </w:p>
        </w:tc>
        <w:tc>
          <w:tcPr>
            <w:tcW w:w="1276" w:type="dxa"/>
          </w:tcPr>
          <w:p w:rsidR="00275E67" w:rsidRPr="00F7744D" w:rsidRDefault="00275E67" w:rsidP="00555E88">
            <w:pPr>
              <w:pStyle w:val="Tablegridtext"/>
            </w:pPr>
            <w:r w:rsidRPr="00F7744D">
              <w:t>4.363 (31%)</w:t>
            </w:r>
          </w:p>
        </w:tc>
        <w:tc>
          <w:tcPr>
            <w:tcW w:w="1276" w:type="dxa"/>
          </w:tcPr>
          <w:p w:rsidR="00275E67" w:rsidRPr="00F7744D" w:rsidRDefault="00275E67" w:rsidP="00555E88">
            <w:pPr>
              <w:pStyle w:val="Tablegridtext"/>
            </w:pPr>
            <w:r w:rsidRPr="00F7744D">
              <w:t>4.34 (33%)</w:t>
            </w:r>
          </w:p>
        </w:tc>
        <w:tc>
          <w:tcPr>
            <w:tcW w:w="1230" w:type="dxa"/>
          </w:tcPr>
          <w:p w:rsidR="00275E67" w:rsidRPr="00F7744D" w:rsidRDefault="00275E67" w:rsidP="00555E88">
            <w:pPr>
              <w:pStyle w:val="Tablegridtext"/>
            </w:pPr>
            <w:r w:rsidRPr="00F7744D">
              <w:t>4.44 (34%)</w:t>
            </w:r>
          </w:p>
        </w:tc>
      </w:tr>
      <w:tr w:rsidR="00275E67" w:rsidRPr="00F7744D" w:rsidTr="00275E67">
        <w:tc>
          <w:tcPr>
            <w:tcW w:w="3968" w:type="dxa"/>
          </w:tcPr>
          <w:p w:rsidR="00275E67" w:rsidRPr="00F7744D" w:rsidRDefault="00275E67" w:rsidP="00555E88">
            <w:pPr>
              <w:pStyle w:val="Tablegridtext"/>
            </w:pPr>
            <w:r w:rsidRPr="00F7744D">
              <w:t>Male &amp; Female Labourers</w:t>
            </w:r>
          </w:p>
        </w:tc>
        <w:tc>
          <w:tcPr>
            <w:tcW w:w="1276" w:type="dxa"/>
            <w:vAlign w:val="top"/>
          </w:tcPr>
          <w:p w:rsidR="00275E67" w:rsidRPr="00F7744D" w:rsidRDefault="00275E67" w:rsidP="00555E88">
            <w:pPr>
              <w:pStyle w:val="Tablegridtext"/>
            </w:pPr>
            <w:r w:rsidRPr="00216876">
              <w:t>-0.3518</w:t>
            </w:r>
          </w:p>
        </w:tc>
        <w:tc>
          <w:tcPr>
            <w:tcW w:w="1276" w:type="dxa"/>
            <w:vAlign w:val="top"/>
          </w:tcPr>
          <w:p w:rsidR="00275E67" w:rsidRPr="00F7744D" w:rsidRDefault="00275E67" w:rsidP="00555E88">
            <w:pPr>
              <w:pStyle w:val="Tablegridtext"/>
            </w:pPr>
            <w:r w:rsidRPr="00216876">
              <w:t>-0.3305</w:t>
            </w:r>
          </w:p>
        </w:tc>
        <w:tc>
          <w:tcPr>
            <w:tcW w:w="1276" w:type="dxa"/>
            <w:vAlign w:val="top"/>
          </w:tcPr>
          <w:p w:rsidR="00275E67" w:rsidRPr="00F7744D" w:rsidRDefault="00275E67" w:rsidP="00555E88">
            <w:pPr>
              <w:pStyle w:val="Tablegridtext"/>
            </w:pPr>
            <w:r w:rsidRPr="00216876">
              <w:t>-0.4562</w:t>
            </w:r>
          </w:p>
        </w:tc>
        <w:tc>
          <w:tcPr>
            <w:tcW w:w="1230" w:type="dxa"/>
            <w:vAlign w:val="top"/>
          </w:tcPr>
          <w:p w:rsidR="00275E67" w:rsidRPr="00F7744D" w:rsidRDefault="00275E67" w:rsidP="00555E88">
            <w:pPr>
              <w:pStyle w:val="Tablegridtext"/>
            </w:pPr>
            <w:r w:rsidRPr="00216876">
              <w:t>-0.3527</w:t>
            </w:r>
          </w:p>
        </w:tc>
      </w:tr>
      <w:tr w:rsidR="00275E67" w:rsidRPr="00F7744D" w:rsidTr="00275E67">
        <w:tc>
          <w:tcPr>
            <w:tcW w:w="3968" w:type="dxa"/>
          </w:tcPr>
          <w:p w:rsidR="00275E67" w:rsidRPr="00F7744D" w:rsidRDefault="00275E67" w:rsidP="00555E88">
            <w:pPr>
              <w:pStyle w:val="Tablegridtext"/>
            </w:pPr>
            <w:r w:rsidRPr="00F7744D">
              <w:t>Male &amp; Female Unemployed</w:t>
            </w:r>
          </w:p>
        </w:tc>
        <w:tc>
          <w:tcPr>
            <w:tcW w:w="1276" w:type="dxa"/>
            <w:vAlign w:val="top"/>
          </w:tcPr>
          <w:p w:rsidR="00275E67" w:rsidRPr="00F7744D" w:rsidRDefault="00275E67" w:rsidP="00555E88">
            <w:pPr>
              <w:pStyle w:val="Tablegridtext"/>
            </w:pPr>
            <w:r w:rsidRPr="00216876">
              <w:t>-0.2643</w:t>
            </w:r>
          </w:p>
        </w:tc>
        <w:tc>
          <w:tcPr>
            <w:tcW w:w="1276" w:type="dxa"/>
            <w:vAlign w:val="top"/>
          </w:tcPr>
          <w:p w:rsidR="00275E67" w:rsidRPr="00F7744D" w:rsidRDefault="00275E67" w:rsidP="00555E88">
            <w:pPr>
              <w:pStyle w:val="Tablegridtext"/>
            </w:pPr>
            <w:r w:rsidRPr="00216876">
              <w:t>-0.2662</w:t>
            </w:r>
          </w:p>
        </w:tc>
        <w:tc>
          <w:tcPr>
            <w:tcW w:w="1276" w:type="dxa"/>
            <w:vAlign w:val="top"/>
          </w:tcPr>
          <w:p w:rsidR="00275E67" w:rsidRPr="00F7744D" w:rsidRDefault="00275E67" w:rsidP="00555E88">
            <w:pPr>
              <w:pStyle w:val="Tablegridtext"/>
            </w:pPr>
            <w:r w:rsidRPr="00216876">
              <w:t>-0.2487</w:t>
            </w:r>
          </w:p>
        </w:tc>
        <w:tc>
          <w:tcPr>
            <w:tcW w:w="1230" w:type="dxa"/>
            <w:vAlign w:val="top"/>
          </w:tcPr>
          <w:p w:rsidR="00275E67" w:rsidRPr="00F7744D" w:rsidRDefault="00275E67" w:rsidP="00555E88">
            <w:pPr>
              <w:pStyle w:val="Tablegridtext"/>
            </w:pPr>
            <w:r w:rsidRPr="00216876">
              <w:t>-0.2225</w:t>
            </w:r>
          </w:p>
        </w:tc>
      </w:tr>
      <w:tr w:rsidR="00275E67" w:rsidRPr="00F7744D" w:rsidTr="00275E67">
        <w:tc>
          <w:tcPr>
            <w:tcW w:w="3968" w:type="dxa"/>
          </w:tcPr>
          <w:p w:rsidR="00275E67" w:rsidRPr="00F7744D" w:rsidRDefault="00275E67" w:rsidP="00555E88">
            <w:pPr>
              <w:pStyle w:val="Tablegridtext"/>
            </w:pPr>
            <w:r w:rsidRPr="00F7744D">
              <w:t>Female Managers/Administrators</w:t>
            </w:r>
          </w:p>
        </w:tc>
        <w:tc>
          <w:tcPr>
            <w:tcW w:w="1276" w:type="dxa"/>
            <w:vAlign w:val="top"/>
          </w:tcPr>
          <w:p w:rsidR="00275E67" w:rsidRPr="00F7744D" w:rsidRDefault="00275E67" w:rsidP="00555E88">
            <w:pPr>
              <w:pStyle w:val="Tablegridtext"/>
            </w:pPr>
            <w:r w:rsidRPr="00216876">
              <w:t>0.1251</w:t>
            </w:r>
          </w:p>
        </w:tc>
        <w:tc>
          <w:tcPr>
            <w:tcW w:w="1276" w:type="dxa"/>
            <w:vAlign w:val="top"/>
          </w:tcPr>
          <w:p w:rsidR="00275E67" w:rsidRPr="00F7744D" w:rsidRDefault="00275E67" w:rsidP="00555E88">
            <w:pPr>
              <w:pStyle w:val="Tablegridtext"/>
            </w:pPr>
            <w:r w:rsidRPr="00216876">
              <w:t>0.1869</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Female Managers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0.2277</w:t>
            </w:r>
          </w:p>
        </w:tc>
        <w:tc>
          <w:tcPr>
            <w:tcW w:w="1230" w:type="dxa"/>
            <w:vAlign w:val="top"/>
          </w:tcPr>
          <w:p w:rsidR="00275E67" w:rsidRPr="00F7744D" w:rsidRDefault="00275E67" w:rsidP="00555E88">
            <w:pPr>
              <w:pStyle w:val="Tablegridtext"/>
            </w:pPr>
            <w:r w:rsidRPr="00216876">
              <w:t>0.2409</w:t>
            </w:r>
          </w:p>
        </w:tc>
      </w:tr>
      <w:tr w:rsidR="00275E67" w:rsidRPr="00F7744D" w:rsidTr="00275E67">
        <w:tc>
          <w:tcPr>
            <w:tcW w:w="3968" w:type="dxa"/>
          </w:tcPr>
          <w:p w:rsidR="00275E67" w:rsidRPr="00F7744D" w:rsidRDefault="00275E67" w:rsidP="00555E88">
            <w:pPr>
              <w:pStyle w:val="Tablegridtext"/>
            </w:pPr>
            <w:r w:rsidRPr="00F7744D">
              <w:t>Female Elementary Clerical/Sales/Service</w:t>
            </w:r>
          </w:p>
        </w:tc>
        <w:tc>
          <w:tcPr>
            <w:tcW w:w="1276" w:type="dxa"/>
            <w:vAlign w:val="top"/>
          </w:tcPr>
          <w:p w:rsidR="00275E67" w:rsidRPr="00F7744D" w:rsidRDefault="00275E67" w:rsidP="00555E88">
            <w:pPr>
              <w:pStyle w:val="Tablegridtext"/>
            </w:pPr>
            <w:r w:rsidRPr="00216876">
              <w:t>-0.1438</w:t>
            </w:r>
          </w:p>
        </w:tc>
        <w:tc>
          <w:tcPr>
            <w:tcW w:w="1276" w:type="dxa"/>
            <w:vAlign w:val="top"/>
          </w:tcPr>
          <w:p w:rsidR="00275E67" w:rsidRPr="00F7744D" w:rsidRDefault="00275E67" w:rsidP="00555E88">
            <w:pPr>
              <w:pStyle w:val="Tablegridtext"/>
            </w:pPr>
            <w:r w:rsidRPr="00216876">
              <w:t>-0.2498</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Female Sales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-0.1883</w:t>
            </w:r>
          </w:p>
        </w:tc>
        <w:tc>
          <w:tcPr>
            <w:tcW w:w="1230" w:type="dxa"/>
            <w:vAlign w:val="top"/>
          </w:tcPr>
          <w:p w:rsidR="00275E67" w:rsidRPr="00F7744D" w:rsidRDefault="00275E67" w:rsidP="00555E88">
            <w:pPr>
              <w:pStyle w:val="Tablegridtext"/>
            </w:pPr>
            <w:r w:rsidRPr="00216876">
              <w:t>-0.1918</w:t>
            </w:r>
          </w:p>
        </w:tc>
      </w:tr>
      <w:tr w:rsidR="00275E67" w:rsidRPr="00F7744D" w:rsidTr="00275E67">
        <w:tc>
          <w:tcPr>
            <w:tcW w:w="3968" w:type="dxa"/>
          </w:tcPr>
          <w:p w:rsidR="00275E67" w:rsidRPr="00F7744D" w:rsidRDefault="00275E67" w:rsidP="00555E88">
            <w:pPr>
              <w:pStyle w:val="Tablegridtext"/>
            </w:pPr>
            <w:r w:rsidRPr="00F7744D">
              <w:t>Female Production/Process Workers</w:t>
            </w:r>
          </w:p>
        </w:tc>
        <w:tc>
          <w:tcPr>
            <w:tcW w:w="1276" w:type="dxa"/>
            <w:vAlign w:val="top"/>
          </w:tcPr>
          <w:p w:rsidR="00275E67" w:rsidRPr="00F7744D" w:rsidRDefault="00275E67" w:rsidP="00555E88">
            <w:pPr>
              <w:pStyle w:val="Tablegridtext"/>
            </w:pPr>
            <w:r w:rsidRPr="00216876">
              <w:t>-0.2895</w:t>
            </w:r>
          </w:p>
        </w:tc>
        <w:tc>
          <w:tcPr>
            <w:tcW w:w="1276" w:type="dxa"/>
            <w:vAlign w:val="top"/>
          </w:tcPr>
          <w:p w:rsidR="00275E67" w:rsidRPr="00F7744D" w:rsidRDefault="00275E67" w:rsidP="00555E88">
            <w:pPr>
              <w:pStyle w:val="Tablegridtext"/>
            </w:pPr>
            <w:r w:rsidRPr="00216876">
              <w:t>-0.2553</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Female service, sport, recreation workers</w:t>
            </w:r>
          </w:p>
        </w:tc>
        <w:tc>
          <w:tcPr>
            <w:tcW w:w="1276" w:type="dxa"/>
            <w:vAlign w:val="top"/>
          </w:tcPr>
          <w:p w:rsidR="00275E67" w:rsidRPr="00F7744D" w:rsidRDefault="00275E67" w:rsidP="00555E88">
            <w:pPr>
              <w:pStyle w:val="Tablegridtext"/>
            </w:pPr>
            <w:r w:rsidRPr="00216876">
              <w:t>0.1372</w:t>
            </w:r>
          </w:p>
        </w:tc>
        <w:tc>
          <w:tcPr>
            <w:tcW w:w="1276" w:type="dxa"/>
            <w:vAlign w:val="top"/>
          </w:tcPr>
          <w:p w:rsidR="00275E67" w:rsidRPr="00F7744D" w:rsidRDefault="00275E67" w:rsidP="00555E88">
            <w:pPr>
              <w:pStyle w:val="Tablegridtext"/>
            </w:pPr>
            <w:r w:rsidRPr="00216876">
              <w:t>0.1229</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Female Machine Operator/Drivers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-0.1785</w:t>
            </w:r>
          </w:p>
        </w:tc>
        <w:tc>
          <w:tcPr>
            <w:tcW w:w="1230" w:type="dxa"/>
            <w:vAlign w:val="top"/>
          </w:tcPr>
          <w:p w:rsidR="00275E67" w:rsidRPr="00F7744D" w:rsidRDefault="00275E67" w:rsidP="00555E88">
            <w:pPr>
              <w:pStyle w:val="Tablegridtext"/>
            </w:pPr>
            <w:r w:rsidRPr="00216876">
              <w:t>-0.1906</w:t>
            </w:r>
          </w:p>
        </w:tc>
      </w:tr>
      <w:tr w:rsidR="00275E67" w:rsidRPr="00F7744D" w:rsidTr="00275E67">
        <w:tc>
          <w:tcPr>
            <w:tcW w:w="3968" w:type="dxa"/>
          </w:tcPr>
          <w:p w:rsidR="00275E67" w:rsidRPr="00F7744D" w:rsidRDefault="00275E67" w:rsidP="00555E88">
            <w:pPr>
              <w:pStyle w:val="Tablegridtext"/>
            </w:pPr>
            <w:r w:rsidRPr="00F7744D">
              <w:t>Female Professional</w:t>
            </w:r>
          </w:p>
        </w:tc>
        <w:tc>
          <w:tcPr>
            <w:tcW w:w="1276" w:type="dxa"/>
            <w:vAlign w:val="top"/>
          </w:tcPr>
          <w:p w:rsidR="00275E67" w:rsidRPr="00F7744D" w:rsidRDefault="00275E67" w:rsidP="00555E88">
            <w:pPr>
              <w:pStyle w:val="Tablegridtext"/>
            </w:pPr>
            <w:r w:rsidRPr="00216876">
              <w:t>0.3838</w:t>
            </w:r>
          </w:p>
        </w:tc>
        <w:tc>
          <w:tcPr>
            <w:tcW w:w="1276" w:type="dxa"/>
            <w:vAlign w:val="top"/>
          </w:tcPr>
          <w:p w:rsidR="00275E67" w:rsidRPr="00F7744D" w:rsidRDefault="00275E67" w:rsidP="00555E88">
            <w:pPr>
              <w:pStyle w:val="Tablegridtext"/>
            </w:pPr>
            <w:r w:rsidRPr="00216876">
              <w:t>0.3809</w:t>
            </w:r>
          </w:p>
        </w:tc>
        <w:tc>
          <w:tcPr>
            <w:tcW w:w="1276" w:type="dxa"/>
            <w:vAlign w:val="top"/>
          </w:tcPr>
          <w:p w:rsidR="00275E67" w:rsidRPr="00F7744D" w:rsidRDefault="00275E67" w:rsidP="00555E88">
            <w:pPr>
              <w:pStyle w:val="Tablegridtext"/>
            </w:pPr>
            <w:r w:rsidRPr="00216876">
              <w:t>0.3864</w:t>
            </w:r>
          </w:p>
        </w:tc>
        <w:tc>
          <w:tcPr>
            <w:tcW w:w="1230" w:type="dxa"/>
            <w:vAlign w:val="top"/>
          </w:tcPr>
          <w:p w:rsidR="00275E67" w:rsidRPr="00F7744D" w:rsidRDefault="00275E67" w:rsidP="00555E88">
            <w:pPr>
              <w:pStyle w:val="Tablegridtext"/>
            </w:pPr>
            <w:r w:rsidRPr="00216876">
              <w:t>0.3880</w:t>
            </w:r>
          </w:p>
        </w:tc>
      </w:tr>
      <w:tr w:rsidR="00275E67" w:rsidRPr="00F7744D" w:rsidTr="00275E67">
        <w:tc>
          <w:tcPr>
            <w:tcW w:w="3968" w:type="dxa"/>
          </w:tcPr>
          <w:p w:rsidR="00275E67" w:rsidRPr="00F7744D" w:rsidRDefault="00275E67" w:rsidP="00555E88">
            <w:pPr>
              <w:pStyle w:val="Tablegridtext"/>
            </w:pPr>
            <w:r w:rsidRPr="00F7744D">
              <w:t>Female Trades</w:t>
            </w:r>
          </w:p>
        </w:tc>
        <w:tc>
          <w:tcPr>
            <w:tcW w:w="1276" w:type="dxa"/>
            <w:vAlign w:val="top"/>
          </w:tcPr>
          <w:p w:rsidR="00275E67" w:rsidRPr="00F7744D" w:rsidRDefault="00275E67" w:rsidP="00555E88">
            <w:pPr>
              <w:pStyle w:val="Tablegridtext"/>
            </w:pPr>
            <w:r w:rsidRPr="00216876">
              <w:t>-0.1310</w:t>
            </w:r>
          </w:p>
        </w:tc>
        <w:tc>
          <w:tcPr>
            <w:tcW w:w="1276" w:type="dxa"/>
            <w:vAlign w:val="top"/>
          </w:tcPr>
          <w:p w:rsidR="00275E67" w:rsidRPr="00F7744D" w:rsidRDefault="00275E67" w:rsidP="00555E88">
            <w:pPr>
              <w:pStyle w:val="Tablegridtext"/>
            </w:pPr>
            <w:r w:rsidRPr="00216876">
              <w:t>-0.1175</w:t>
            </w:r>
          </w:p>
        </w:tc>
        <w:tc>
          <w:tcPr>
            <w:tcW w:w="1276" w:type="dxa"/>
            <w:vAlign w:val="top"/>
          </w:tcPr>
          <w:p w:rsidR="00275E67" w:rsidRPr="00F7744D" w:rsidRDefault="00275E67" w:rsidP="00555E88">
            <w:pPr>
              <w:pStyle w:val="Tablegridtext"/>
            </w:pPr>
            <w:r w:rsidRPr="00216876">
              <w:t>-0.1042</w:t>
            </w:r>
          </w:p>
        </w:tc>
        <w:tc>
          <w:tcPr>
            <w:tcW w:w="1230" w:type="dxa"/>
            <w:vAlign w:val="top"/>
          </w:tcPr>
          <w:p w:rsidR="00275E67" w:rsidRPr="00F7744D" w:rsidRDefault="00275E67" w:rsidP="00555E88">
            <w:pPr>
              <w:pStyle w:val="Tablegridtext"/>
            </w:pPr>
            <w:r w:rsidRPr="00216876">
              <w:t>-0.1140</w:t>
            </w:r>
          </w:p>
        </w:tc>
      </w:tr>
      <w:tr w:rsidR="00275E67" w:rsidRPr="00F7744D" w:rsidTr="00275E67">
        <w:tc>
          <w:tcPr>
            <w:tcW w:w="3968" w:type="dxa"/>
          </w:tcPr>
          <w:p w:rsidR="00275E67" w:rsidRPr="00F7744D" w:rsidRDefault="00275E67" w:rsidP="00555E88">
            <w:pPr>
              <w:pStyle w:val="Tablegridtext"/>
            </w:pPr>
            <w:r w:rsidRPr="00F7744D">
              <w:t>Female Community Service Workers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-0.2340</w:t>
            </w:r>
          </w:p>
        </w:tc>
        <w:tc>
          <w:tcPr>
            <w:tcW w:w="1230" w:type="dxa"/>
            <w:vAlign w:val="top"/>
          </w:tcPr>
          <w:p w:rsidR="00275E67" w:rsidRPr="00F7744D" w:rsidRDefault="00275E67" w:rsidP="00555E88">
            <w:pPr>
              <w:pStyle w:val="Tablegridtext"/>
            </w:pPr>
            <w:r w:rsidRPr="00216876">
              <w:t>-0.2554</w:t>
            </w:r>
          </w:p>
        </w:tc>
      </w:tr>
      <w:tr w:rsidR="00275E67" w:rsidRPr="00F7744D" w:rsidTr="00275E67">
        <w:tc>
          <w:tcPr>
            <w:tcW w:w="3968" w:type="dxa"/>
          </w:tcPr>
          <w:p w:rsidR="00275E67" w:rsidRPr="00F7744D" w:rsidRDefault="00275E67" w:rsidP="00555E88">
            <w:pPr>
              <w:pStyle w:val="Tablegridtext"/>
            </w:pPr>
            <w:r w:rsidRPr="00F7744D">
              <w:t>Male Managers/Administrators</w:t>
            </w:r>
          </w:p>
        </w:tc>
        <w:tc>
          <w:tcPr>
            <w:tcW w:w="1276" w:type="dxa"/>
            <w:vAlign w:val="top"/>
          </w:tcPr>
          <w:p w:rsidR="00275E67" w:rsidRPr="00F7744D" w:rsidRDefault="00275E67" w:rsidP="00555E88">
            <w:pPr>
              <w:pStyle w:val="Tablegridtext"/>
            </w:pPr>
            <w:r w:rsidRPr="00216876">
              <w:t>0.1962</w:t>
            </w:r>
          </w:p>
        </w:tc>
        <w:tc>
          <w:tcPr>
            <w:tcW w:w="1276" w:type="dxa"/>
            <w:vAlign w:val="top"/>
          </w:tcPr>
          <w:p w:rsidR="00275E67" w:rsidRPr="00F7744D" w:rsidRDefault="00275E67" w:rsidP="00555E88">
            <w:pPr>
              <w:pStyle w:val="Tablegridtext"/>
            </w:pPr>
            <w:r w:rsidRPr="00216876">
              <w:t>0.2415</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Male Managers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0.2853</w:t>
            </w:r>
          </w:p>
        </w:tc>
        <w:tc>
          <w:tcPr>
            <w:tcW w:w="1230" w:type="dxa"/>
            <w:vAlign w:val="top"/>
          </w:tcPr>
          <w:p w:rsidR="00275E67" w:rsidRPr="00F7744D" w:rsidRDefault="00275E67" w:rsidP="00555E88">
            <w:pPr>
              <w:pStyle w:val="Tablegridtext"/>
            </w:pPr>
            <w:r w:rsidRPr="00216876">
              <w:t>0.2835</w:t>
            </w:r>
          </w:p>
        </w:tc>
      </w:tr>
      <w:tr w:rsidR="00275E67" w:rsidRPr="00F7744D" w:rsidTr="00275E67">
        <w:tc>
          <w:tcPr>
            <w:tcW w:w="3968" w:type="dxa"/>
          </w:tcPr>
          <w:p w:rsidR="00275E67" w:rsidRPr="00F7744D" w:rsidRDefault="00275E67" w:rsidP="00555E88">
            <w:pPr>
              <w:pStyle w:val="Tablegridtext"/>
            </w:pPr>
            <w:r w:rsidRPr="00F7744D">
              <w:t>Male Clerical Workers</w:t>
            </w:r>
          </w:p>
        </w:tc>
        <w:tc>
          <w:tcPr>
            <w:tcW w:w="1276" w:type="dxa"/>
            <w:vAlign w:val="top"/>
          </w:tcPr>
          <w:p w:rsidR="00275E67" w:rsidRPr="00F7744D" w:rsidRDefault="00275E67" w:rsidP="00555E88">
            <w:pPr>
              <w:pStyle w:val="Tablegridtext"/>
            </w:pPr>
            <w:r w:rsidRPr="00216876">
              <w:t>0.1491</w:t>
            </w:r>
          </w:p>
        </w:tc>
        <w:tc>
          <w:tcPr>
            <w:tcW w:w="1276" w:type="dxa"/>
            <w:vAlign w:val="top"/>
          </w:tcPr>
          <w:p w:rsidR="00275E67" w:rsidRPr="00F7744D" w:rsidRDefault="00275E67" w:rsidP="00555E88">
            <w:pPr>
              <w:pStyle w:val="Tablegridtext"/>
            </w:pPr>
            <w:r w:rsidRPr="00216876">
              <w:t>0.1177</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Male Clerical/Admin</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0.1021</w:t>
            </w:r>
          </w:p>
        </w:tc>
        <w:tc>
          <w:tcPr>
            <w:tcW w:w="1230" w:type="dxa"/>
            <w:vAlign w:val="top"/>
          </w:tcPr>
          <w:p w:rsidR="00275E67" w:rsidRPr="00F7744D" w:rsidRDefault="00275E67" w:rsidP="00555E88">
            <w:pPr>
              <w:pStyle w:val="Tablegridtext"/>
            </w:pPr>
            <w:r w:rsidRPr="00216876">
              <w:t>0.1135</w:t>
            </w:r>
          </w:p>
        </w:tc>
      </w:tr>
      <w:tr w:rsidR="00275E67" w:rsidRPr="00F7744D" w:rsidTr="00275E67">
        <w:tc>
          <w:tcPr>
            <w:tcW w:w="3968" w:type="dxa"/>
          </w:tcPr>
          <w:p w:rsidR="00275E67" w:rsidRPr="00F7744D" w:rsidRDefault="00275E67" w:rsidP="00555E88">
            <w:pPr>
              <w:pStyle w:val="Tablegridtext"/>
            </w:pPr>
            <w:r w:rsidRPr="00F7744D">
              <w:t>Male Production/Process Workers</w:t>
            </w:r>
          </w:p>
        </w:tc>
        <w:tc>
          <w:tcPr>
            <w:tcW w:w="1276" w:type="dxa"/>
            <w:vAlign w:val="top"/>
          </w:tcPr>
          <w:p w:rsidR="00275E67" w:rsidRPr="00F7744D" w:rsidRDefault="00275E67" w:rsidP="00555E88">
            <w:pPr>
              <w:pStyle w:val="Tablegridtext"/>
            </w:pPr>
            <w:r w:rsidRPr="00216876">
              <w:t>-0.4027</w:t>
            </w:r>
          </w:p>
        </w:tc>
        <w:tc>
          <w:tcPr>
            <w:tcW w:w="1276" w:type="dxa"/>
            <w:vAlign w:val="top"/>
          </w:tcPr>
          <w:p w:rsidR="00275E67" w:rsidRPr="00F7744D" w:rsidRDefault="00275E67" w:rsidP="00555E88">
            <w:pPr>
              <w:pStyle w:val="Tablegridtext"/>
            </w:pPr>
            <w:r w:rsidRPr="00216876">
              <w:t>-0.3882</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Male Elementary Clerical/Sales/Service</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Male Operator/Drivers</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216876">
              <w:t>-0.3692</w:t>
            </w:r>
          </w:p>
        </w:tc>
        <w:tc>
          <w:tcPr>
            <w:tcW w:w="1230" w:type="dxa"/>
            <w:vAlign w:val="top"/>
          </w:tcPr>
          <w:p w:rsidR="00275E67" w:rsidRPr="00F7744D" w:rsidRDefault="00275E67" w:rsidP="00555E88">
            <w:pPr>
              <w:pStyle w:val="Tablegridtext"/>
            </w:pPr>
            <w:r w:rsidRPr="00216876">
              <w:t>-0.3642</w:t>
            </w:r>
          </w:p>
        </w:tc>
      </w:tr>
      <w:tr w:rsidR="00275E67" w:rsidRPr="00F7744D" w:rsidTr="00275E67">
        <w:tc>
          <w:tcPr>
            <w:tcW w:w="3968" w:type="dxa"/>
          </w:tcPr>
          <w:p w:rsidR="00275E67" w:rsidRPr="00F7744D" w:rsidRDefault="00275E67" w:rsidP="00555E88">
            <w:pPr>
              <w:pStyle w:val="Tablegridtext"/>
            </w:pPr>
            <w:r w:rsidRPr="00F7744D">
              <w:t>Male Professional</w:t>
            </w:r>
          </w:p>
        </w:tc>
        <w:tc>
          <w:tcPr>
            <w:tcW w:w="1276" w:type="dxa"/>
            <w:vAlign w:val="top"/>
          </w:tcPr>
          <w:p w:rsidR="00275E67" w:rsidRPr="00F7744D" w:rsidRDefault="00275E67" w:rsidP="00555E88">
            <w:pPr>
              <w:pStyle w:val="Tablegridtext"/>
            </w:pPr>
            <w:r w:rsidRPr="00216876">
              <w:t>0.4091</w:t>
            </w:r>
          </w:p>
        </w:tc>
        <w:tc>
          <w:tcPr>
            <w:tcW w:w="1276" w:type="dxa"/>
            <w:vAlign w:val="top"/>
          </w:tcPr>
          <w:p w:rsidR="00275E67" w:rsidRPr="00F7744D" w:rsidRDefault="00275E67" w:rsidP="00555E88">
            <w:pPr>
              <w:pStyle w:val="Tablegridtext"/>
            </w:pPr>
            <w:r w:rsidRPr="00216876">
              <w:t>0.3888</w:t>
            </w:r>
          </w:p>
        </w:tc>
        <w:tc>
          <w:tcPr>
            <w:tcW w:w="1276" w:type="dxa"/>
            <w:vAlign w:val="top"/>
          </w:tcPr>
          <w:p w:rsidR="00275E67" w:rsidRPr="00F7744D" w:rsidRDefault="00275E67" w:rsidP="00555E88">
            <w:pPr>
              <w:pStyle w:val="Tablegridtext"/>
            </w:pPr>
            <w:r w:rsidRPr="00216876">
              <w:t>0.3899</w:t>
            </w:r>
          </w:p>
        </w:tc>
        <w:tc>
          <w:tcPr>
            <w:tcW w:w="1230" w:type="dxa"/>
            <w:vAlign w:val="top"/>
          </w:tcPr>
          <w:p w:rsidR="00275E67" w:rsidRPr="00F7744D" w:rsidRDefault="00275E67" w:rsidP="00555E88">
            <w:pPr>
              <w:pStyle w:val="Tablegridtext"/>
            </w:pPr>
            <w:r w:rsidRPr="00216876">
              <w:t>0.3892</w:t>
            </w:r>
          </w:p>
        </w:tc>
      </w:tr>
      <w:tr w:rsidR="00275E67" w:rsidRPr="00F7744D" w:rsidTr="00275E67">
        <w:tc>
          <w:tcPr>
            <w:tcW w:w="3968" w:type="dxa"/>
          </w:tcPr>
          <w:p w:rsidR="00275E67" w:rsidRPr="00F7744D" w:rsidRDefault="00275E67" w:rsidP="00555E88">
            <w:pPr>
              <w:pStyle w:val="Tablegridtext"/>
            </w:pPr>
            <w:r w:rsidRPr="00F7744D">
              <w:t>Male Sales</w:t>
            </w:r>
          </w:p>
        </w:tc>
        <w:tc>
          <w:tcPr>
            <w:tcW w:w="1276" w:type="dxa"/>
            <w:vAlign w:val="top"/>
          </w:tcPr>
          <w:p w:rsidR="00275E67" w:rsidRPr="00F7744D" w:rsidRDefault="00275E67" w:rsidP="00555E88">
            <w:pPr>
              <w:pStyle w:val="Tablegridtext"/>
            </w:pPr>
            <w:r w:rsidRPr="00216876">
              <w:t>0.1267</w:t>
            </w:r>
          </w:p>
        </w:tc>
        <w:tc>
          <w:tcPr>
            <w:tcW w:w="1276" w:type="dxa"/>
            <w:vAlign w:val="top"/>
          </w:tcPr>
          <w:p w:rsidR="00275E67" w:rsidRPr="00F7744D" w:rsidRDefault="00275E67" w:rsidP="00555E88">
            <w:pPr>
              <w:pStyle w:val="Tablegridtext"/>
            </w:pPr>
            <w:r w:rsidRPr="00216876">
              <w:t>0.0988</w:t>
            </w: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Male Trades</w:t>
            </w:r>
          </w:p>
        </w:tc>
        <w:tc>
          <w:tcPr>
            <w:tcW w:w="1276" w:type="dxa"/>
            <w:vAlign w:val="top"/>
          </w:tcPr>
          <w:p w:rsidR="00275E67" w:rsidRPr="00F7744D" w:rsidRDefault="00275E67" w:rsidP="00555E88">
            <w:pPr>
              <w:pStyle w:val="Tablegridtext"/>
            </w:pPr>
            <w:r w:rsidRPr="00216876">
              <w:t>-0.3109</w:t>
            </w:r>
          </w:p>
        </w:tc>
        <w:tc>
          <w:tcPr>
            <w:tcW w:w="1276" w:type="dxa"/>
            <w:vAlign w:val="top"/>
          </w:tcPr>
          <w:p w:rsidR="00275E67" w:rsidRPr="00F7744D" w:rsidRDefault="00275E67" w:rsidP="00555E88">
            <w:pPr>
              <w:pStyle w:val="Tablegridtext"/>
            </w:pPr>
            <w:r w:rsidRPr="00216876">
              <w:t>-0.3156</w:t>
            </w:r>
          </w:p>
        </w:tc>
        <w:tc>
          <w:tcPr>
            <w:tcW w:w="1276" w:type="dxa"/>
            <w:vAlign w:val="top"/>
          </w:tcPr>
          <w:p w:rsidR="00275E67" w:rsidRPr="00F7744D" w:rsidRDefault="00275E67" w:rsidP="00555E88">
            <w:pPr>
              <w:pStyle w:val="Tablegridtext"/>
            </w:pPr>
            <w:r w:rsidRPr="00216876">
              <w:t>-0.3114</w:t>
            </w:r>
          </w:p>
        </w:tc>
        <w:tc>
          <w:tcPr>
            <w:tcW w:w="1230" w:type="dxa"/>
            <w:vAlign w:val="top"/>
          </w:tcPr>
          <w:p w:rsidR="00275E67" w:rsidRPr="00F7744D" w:rsidRDefault="00275E67" w:rsidP="00555E88">
            <w:pPr>
              <w:pStyle w:val="Tablegridtext"/>
            </w:pPr>
            <w:r w:rsidRPr="00216876">
              <w:t>-0.2979</w:t>
            </w:r>
          </w:p>
        </w:tc>
      </w:tr>
      <w:tr w:rsidR="00275E67" w:rsidRPr="00F7744D" w:rsidTr="00275E67">
        <w:tc>
          <w:tcPr>
            <w:tcW w:w="3968" w:type="dxa"/>
          </w:tcPr>
          <w:p w:rsidR="00275E67" w:rsidRPr="00F7744D" w:rsidRDefault="00275E67" w:rsidP="00555E88">
            <w:pPr>
              <w:pStyle w:val="Tablegridheading2"/>
            </w:pPr>
            <w:r w:rsidRPr="00F7744D">
              <w:t>Education</w:t>
            </w: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30" w:type="dxa"/>
          </w:tcPr>
          <w:p w:rsidR="00275E67" w:rsidRPr="00F7744D" w:rsidRDefault="00275E67" w:rsidP="00555E88">
            <w:pPr>
              <w:pStyle w:val="Tablegridheading2"/>
            </w:pPr>
          </w:p>
        </w:tc>
      </w:tr>
      <w:tr w:rsidR="00275E67" w:rsidRPr="00F7744D" w:rsidTr="00275E67">
        <w:tc>
          <w:tcPr>
            <w:tcW w:w="3968" w:type="dxa"/>
          </w:tcPr>
          <w:p w:rsidR="00275E67" w:rsidRPr="00F7744D" w:rsidRDefault="00275E67" w:rsidP="00A15759">
            <w:pPr>
              <w:pStyle w:val="Tablegridtext"/>
            </w:pPr>
            <w:r w:rsidRPr="00F7744D">
              <w:t>Eigenvalue</w:t>
            </w:r>
            <w:r w:rsidR="00A15759">
              <w:rPr>
                <w:vertAlign w:val="superscript"/>
              </w:rPr>
              <w:t>b</w:t>
            </w:r>
          </w:p>
        </w:tc>
        <w:tc>
          <w:tcPr>
            <w:tcW w:w="1276" w:type="dxa"/>
          </w:tcPr>
          <w:p w:rsidR="00275E67" w:rsidRPr="00F7744D" w:rsidRDefault="00275E67" w:rsidP="00555E88">
            <w:pPr>
              <w:pStyle w:val="Tablegridtext"/>
            </w:pPr>
            <w:r w:rsidRPr="00F7744D">
              <w:t>2.457 (49%)</w:t>
            </w:r>
          </w:p>
        </w:tc>
        <w:tc>
          <w:tcPr>
            <w:tcW w:w="1276" w:type="dxa"/>
          </w:tcPr>
          <w:p w:rsidR="00275E67" w:rsidRPr="00F7744D" w:rsidRDefault="00275E67" w:rsidP="00555E88">
            <w:pPr>
              <w:pStyle w:val="Tablegridtext"/>
            </w:pPr>
            <w:r w:rsidRPr="00F7744D">
              <w:t>2.708 (54%)</w:t>
            </w:r>
          </w:p>
        </w:tc>
        <w:tc>
          <w:tcPr>
            <w:tcW w:w="1276" w:type="dxa"/>
          </w:tcPr>
          <w:p w:rsidR="00275E67" w:rsidRPr="00F7744D" w:rsidRDefault="00275E67" w:rsidP="00555E88">
            <w:pPr>
              <w:pStyle w:val="Tablegridtext"/>
            </w:pPr>
            <w:r w:rsidRPr="00F7744D">
              <w:t>3.14 (52%)</w:t>
            </w:r>
          </w:p>
        </w:tc>
        <w:tc>
          <w:tcPr>
            <w:tcW w:w="1230" w:type="dxa"/>
          </w:tcPr>
          <w:p w:rsidR="00275E67" w:rsidRPr="00F7744D" w:rsidRDefault="00275E67" w:rsidP="00555E88">
            <w:pPr>
              <w:pStyle w:val="Tablegridtext"/>
            </w:pPr>
            <w:r w:rsidRPr="00F7744D">
              <w:t>3.24 (54%)</w:t>
            </w:r>
          </w:p>
        </w:tc>
      </w:tr>
      <w:tr w:rsidR="00275E67" w:rsidRPr="00F7744D" w:rsidTr="00275E67">
        <w:tc>
          <w:tcPr>
            <w:tcW w:w="3968" w:type="dxa"/>
          </w:tcPr>
          <w:p w:rsidR="00275E67" w:rsidRPr="00F7744D" w:rsidRDefault="00275E67" w:rsidP="00555E88">
            <w:pPr>
              <w:pStyle w:val="Tablegridtext"/>
            </w:pPr>
            <w:r w:rsidRPr="00F7744D">
              <w:t>Diploma, degree+</w:t>
            </w:r>
          </w:p>
        </w:tc>
        <w:tc>
          <w:tcPr>
            <w:tcW w:w="1276" w:type="dxa"/>
            <w:vAlign w:val="top"/>
          </w:tcPr>
          <w:p w:rsidR="00275E67" w:rsidRPr="00F7744D" w:rsidRDefault="00275E67" w:rsidP="00555E88">
            <w:pPr>
              <w:pStyle w:val="Tablegridtext"/>
            </w:pPr>
            <w:r w:rsidRPr="00493425">
              <w:t>0.5521</w:t>
            </w:r>
          </w:p>
        </w:tc>
        <w:tc>
          <w:tcPr>
            <w:tcW w:w="1276" w:type="dxa"/>
            <w:vAlign w:val="top"/>
          </w:tcPr>
          <w:p w:rsidR="00275E67" w:rsidRPr="00F7744D" w:rsidRDefault="00275E67" w:rsidP="00555E88">
            <w:pPr>
              <w:pStyle w:val="Tablegridtext"/>
            </w:pPr>
            <w:r w:rsidRPr="00493425">
              <w:t>0.5714</w:t>
            </w:r>
          </w:p>
        </w:tc>
        <w:tc>
          <w:tcPr>
            <w:tcW w:w="1276" w:type="dxa"/>
            <w:vAlign w:val="top"/>
          </w:tcPr>
          <w:p w:rsidR="00275E67" w:rsidRPr="00F7744D" w:rsidRDefault="00275E67" w:rsidP="00555E88">
            <w:pPr>
              <w:pStyle w:val="Tablegridtext"/>
            </w:pPr>
            <w:r w:rsidRPr="00493425">
              <w:t>0.5436</w:t>
            </w:r>
          </w:p>
        </w:tc>
        <w:tc>
          <w:tcPr>
            <w:tcW w:w="1230" w:type="dxa"/>
            <w:vAlign w:val="top"/>
          </w:tcPr>
          <w:p w:rsidR="00275E67" w:rsidRPr="00F7744D" w:rsidRDefault="00275E67" w:rsidP="00555E88">
            <w:pPr>
              <w:pStyle w:val="Tablegridtext"/>
            </w:pPr>
            <w:r w:rsidRPr="00493425">
              <w:t>0.5373</w:t>
            </w:r>
          </w:p>
        </w:tc>
      </w:tr>
      <w:tr w:rsidR="00275E67" w:rsidRPr="00F7744D" w:rsidTr="00275E67">
        <w:tc>
          <w:tcPr>
            <w:tcW w:w="3968" w:type="dxa"/>
          </w:tcPr>
          <w:p w:rsidR="00275E67" w:rsidRPr="00F7744D" w:rsidRDefault="00275E67" w:rsidP="00555E88">
            <w:pPr>
              <w:pStyle w:val="Tablegridtext"/>
            </w:pPr>
            <w:r w:rsidRPr="00F7744D">
              <w:t>Left school at age 15</w:t>
            </w:r>
          </w:p>
        </w:tc>
        <w:tc>
          <w:tcPr>
            <w:tcW w:w="1276" w:type="dxa"/>
            <w:vAlign w:val="top"/>
          </w:tcPr>
          <w:p w:rsidR="00275E67" w:rsidRPr="00F7744D" w:rsidRDefault="00275E67" w:rsidP="00555E88">
            <w:pPr>
              <w:pStyle w:val="Tablegridtext"/>
            </w:pPr>
            <w:r w:rsidRPr="00493425">
              <w:t>-0.5272</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30" w:type="dxa"/>
            <w:vAlign w:val="top"/>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 xml:space="preserve">Left school </w:t>
            </w:r>
            <w:r>
              <w:t xml:space="preserve">after </w:t>
            </w:r>
            <w:r w:rsidRPr="00F7744D">
              <w:t>year 9</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493425">
              <w:t>-0.5286</w:t>
            </w:r>
          </w:p>
        </w:tc>
        <w:tc>
          <w:tcPr>
            <w:tcW w:w="1276" w:type="dxa"/>
            <w:vAlign w:val="top"/>
          </w:tcPr>
          <w:p w:rsidR="00275E67" w:rsidRPr="00F7744D" w:rsidRDefault="00275E67" w:rsidP="00555E88">
            <w:pPr>
              <w:pStyle w:val="Tablegridtext"/>
            </w:pPr>
            <w:r w:rsidRPr="00493425">
              <w:t>-0.4567</w:t>
            </w:r>
          </w:p>
        </w:tc>
        <w:tc>
          <w:tcPr>
            <w:tcW w:w="1230" w:type="dxa"/>
            <w:vAlign w:val="top"/>
          </w:tcPr>
          <w:p w:rsidR="00275E67" w:rsidRPr="00F7744D" w:rsidRDefault="00275E67" w:rsidP="00555E88">
            <w:pPr>
              <w:pStyle w:val="Tablegridtext"/>
            </w:pPr>
            <w:r w:rsidRPr="00493425">
              <w:t>-0.4522</w:t>
            </w:r>
          </w:p>
        </w:tc>
      </w:tr>
      <w:tr w:rsidR="00275E67" w:rsidRPr="00F7744D" w:rsidTr="00275E67">
        <w:tc>
          <w:tcPr>
            <w:tcW w:w="3968" w:type="dxa"/>
          </w:tcPr>
          <w:p w:rsidR="00275E67" w:rsidRPr="00F7744D" w:rsidRDefault="00275E67" w:rsidP="00555E88">
            <w:pPr>
              <w:pStyle w:val="Tablegridtext"/>
            </w:pPr>
            <w:r w:rsidRPr="00F7744D">
              <w:t>Never attend school</w:t>
            </w:r>
          </w:p>
        </w:tc>
        <w:tc>
          <w:tcPr>
            <w:tcW w:w="1276" w:type="dxa"/>
            <w:vAlign w:val="top"/>
          </w:tcPr>
          <w:p w:rsidR="00275E67" w:rsidRPr="00F7744D" w:rsidRDefault="00275E67" w:rsidP="00555E88">
            <w:pPr>
              <w:pStyle w:val="Tablegridtext"/>
            </w:pPr>
            <w:r w:rsidRPr="00493425">
              <w:t>-0.2965</w:t>
            </w:r>
          </w:p>
        </w:tc>
        <w:tc>
          <w:tcPr>
            <w:tcW w:w="1276" w:type="dxa"/>
            <w:vAlign w:val="top"/>
          </w:tcPr>
          <w:p w:rsidR="00275E67" w:rsidRPr="00F7744D" w:rsidRDefault="00275E67" w:rsidP="00555E88">
            <w:pPr>
              <w:pStyle w:val="Tablegridtext"/>
            </w:pPr>
            <w:r w:rsidRPr="00493425">
              <w:t>-0.2164</w:t>
            </w:r>
          </w:p>
        </w:tc>
        <w:tc>
          <w:tcPr>
            <w:tcW w:w="1276" w:type="dxa"/>
            <w:vAlign w:val="top"/>
          </w:tcPr>
          <w:p w:rsidR="00275E67" w:rsidRPr="00F7744D" w:rsidRDefault="00275E67" w:rsidP="00555E88">
            <w:pPr>
              <w:pStyle w:val="Tablegridtext"/>
            </w:pPr>
            <w:r w:rsidRPr="00493425">
              <w:t>-0.1106</w:t>
            </w:r>
          </w:p>
        </w:tc>
        <w:tc>
          <w:tcPr>
            <w:tcW w:w="1230" w:type="dxa"/>
            <w:vAlign w:val="top"/>
          </w:tcPr>
          <w:p w:rsidR="00275E67" w:rsidRPr="00F7744D" w:rsidRDefault="00275E67" w:rsidP="00555E88">
            <w:pPr>
              <w:pStyle w:val="Tablegridtext"/>
            </w:pPr>
            <w:r w:rsidRPr="00493425">
              <w:t>-0.1073</w:t>
            </w:r>
          </w:p>
        </w:tc>
      </w:tr>
      <w:tr w:rsidR="00275E67" w:rsidRPr="00F7744D" w:rsidTr="00275E67">
        <w:tc>
          <w:tcPr>
            <w:tcW w:w="3968" w:type="dxa"/>
          </w:tcPr>
          <w:p w:rsidR="00275E67" w:rsidRPr="00F7744D" w:rsidRDefault="00275E67" w:rsidP="00555E88">
            <w:pPr>
              <w:pStyle w:val="Tablegridtext"/>
            </w:pPr>
            <w:r w:rsidRPr="00F7744D">
              <w:t>Tertiary students 15-24</w:t>
            </w: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p>
        </w:tc>
        <w:tc>
          <w:tcPr>
            <w:tcW w:w="1276" w:type="dxa"/>
            <w:vAlign w:val="top"/>
          </w:tcPr>
          <w:p w:rsidR="00275E67" w:rsidRPr="00F7744D" w:rsidRDefault="00275E67" w:rsidP="00555E88">
            <w:pPr>
              <w:pStyle w:val="Tablegridtext"/>
            </w:pPr>
            <w:r w:rsidRPr="00493425">
              <w:t>0.4029</w:t>
            </w:r>
          </w:p>
        </w:tc>
        <w:tc>
          <w:tcPr>
            <w:tcW w:w="1230" w:type="dxa"/>
            <w:vAlign w:val="top"/>
          </w:tcPr>
          <w:p w:rsidR="00275E67" w:rsidRPr="00F7744D" w:rsidRDefault="00275E67" w:rsidP="00555E88">
            <w:pPr>
              <w:pStyle w:val="Tablegridtext"/>
            </w:pPr>
            <w:r w:rsidRPr="00493425">
              <w:t>0.4020</w:t>
            </w:r>
          </w:p>
        </w:tc>
      </w:tr>
      <w:tr w:rsidR="00275E67" w:rsidRPr="00F7744D" w:rsidTr="00275E67">
        <w:tc>
          <w:tcPr>
            <w:tcW w:w="3968" w:type="dxa"/>
          </w:tcPr>
          <w:p w:rsidR="00275E67" w:rsidRPr="00F7744D" w:rsidRDefault="00275E67" w:rsidP="00555E88">
            <w:pPr>
              <w:pStyle w:val="Tablegridtext"/>
            </w:pPr>
            <w:r w:rsidRPr="00F7744D">
              <w:t>Trade certificate</w:t>
            </w:r>
          </w:p>
        </w:tc>
        <w:tc>
          <w:tcPr>
            <w:tcW w:w="1276" w:type="dxa"/>
            <w:vAlign w:val="top"/>
          </w:tcPr>
          <w:p w:rsidR="00275E67" w:rsidRPr="00F7744D" w:rsidRDefault="00275E67" w:rsidP="00555E88">
            <w:pPr>
              <w:pStyle w:val="Tablegridtext"/>
            </w:pPr>
            <w:r w:rsidRPr="00493425">
              <w:t>0.0708</w:t>
            </w:r>
          </w:p>
        </w:tc>
        <w:tc>
          <w:tcPr>
            <w:tcW w:w="1276" w:type="dxa"/>
            <w:vAlign w:val="top"/>
          </w:tcPr>
          <w:p w:rsidR="00275E67" w:rsidRPr="00F7744D" w:rsidRDefault="00275E67" w:rsidP="00555E88">
            <w:pPr>
              <w:pStyle w:val="Tablegridtext"/>
            </w:pPr>
            <w:r w:rsidRPr="00493425">
              <w:t>-0.0883</w:t>
            </w:r>
          </w:p>
        </w:tc>
        <w:tc>
          <w:tcPr>
            <w:tcW w:w="1276" w:type="dxa"/>
            <w:vAlign w:val="top"/>
          </w:tcPr>
          <w:p w:rsidR="00275E67" w:rsidRPr="00F7744D" w:rsidRDefault="00275E67" w:rsidP="00555E88">
            <w:pPr>
              <w:pStyle w:val="Tablegridtext"/>
            </w:pPr>
            <w:r w:rsidRPr="00493425">
              <w:t>-0.2730</w:t>
            </w:r>
          </w:p>
        </w:tc>
        <w:tc>
          <w:tcPr>
            <w:tcW w:w="1230" w:type="dxa"/>
            <w:vAlign w:val="top"/>
          </w:tcPr>
          <w:p w:rsidR="00275E67" w:rsidRPr="00F7744D" w:rsidRDefault="00275E67" w:rsidP="00555E88">
            <w:pPr>
              <w:pStyle w:val="Tablegridtext"/>
            </w:pPr>
            <w:r w:rsidRPr="00493425">
              <w:t>-0.3002</w:t>
            </w:r>
          </w:p>
        </w:tc>
      </w:tr>
      <w:tr w:rsidR="00275E67" w:rsidRPr="00F7744D" w:rsidTr="00275E67">
        <w:tc>
          <w:tcPr>
            <w:tcW w:w="3968" w:type="dxa"/>
          </w:tcPr>
          <w:p w:rsidR="00275E67" w:rsidRPr="00F7744D" w:rsidRDefault="00275E67" w:rsidP="00555E88">
            <w:pPr>
              <w:pStyle w:val="Tablegridtext"/>
            </w:pPr>
            <w:r w:rsidRPr="00F7744D">
              <w:t>No qualifications</w:t>
            </w:r>
          </w:p>
        </w:tc>
        <w:tc>
          <w:tcPr>
            <w:tcW w:w="1276" w:type="dxa"/>
            <w:vAlign w:val="top"/>
          </w:tcPr>
          <w:p w:rsidR="00275E67" w:rsidRPr="00F7744D" w:rsidRDefault="00275E67" w:rsidP="00555E88">
            <w:pPr>
              <w:pStyle w:val="Tablegridtext"/>
            </w:pPr>
            <w:r w:rsidRPr="00493425">
              <w:t>-0.5695</w:t>
            </w:r>
          </w:p>
        </w:tc>
        <w:tc>
          <w:tcPr>
            <w:tcW w:w="1276" w:type="dxa"/>
            <w:vAlign w:val="top"/>
          </w:tcPr>
          <w:p w:rsidR="00275E67" w:rsidRPr="00F7744D" w:rsidRDefault="00275E67" w:rsidP="00555E88">
            <w:pPr>
              <w:pStyle w:val="Tablegridtext"/>
            </w:pPr>
            <w:r w:rsidRPr="00493425">
              <w:t>-0.5827</w:t>
            </w:r>
          </w:p>
        </w:tc>
        <w:tc>
          <w:tcPr>
            <w:tcW w:w="1276" w:type="dxa"/>
            <w:vAlign w:val="top"/>
          </w:tcPr>
          <w:p w:rsidR="00275E67" w:rsidRPr="00F7744D" w:rsidRDefault="00275E67" w:rsidP="00555E88">
            <w:pPr>
              <w:pStyle w:val="Tablegridtext"/>
            </w:pPr>
            <w:r w:rsidRPr="00493425">
              <w:t>-0.4968</w:t>
            </w:r>
          </w:p>
        </w:tc>
        <w:tc>
          <w:tcPr>
            <w:tcW w:w="1230" w:type="dxa"/>
            <w:vAlign w:val="top"/>
          </w:tcPr>
          <w:p w:rsidR="00275E67" w:rsidRPr="00F7744D" w:rsidRDefault="00275E67" w:rsidP="00555E88">
            <w:pPr>
              <w:pStyle w:val="Tablegridtext"/>
            </w:pPr>
            <w:r w:rsidRPr="00493425">
              <w:t>-0.4935</w:t>
            </w:r>
          </w:p>
        </w:tc>
      </w:tr>
      <w:tr w:rsidR="00275E67" w:rsidRPr="00F7744D" w:rsidTr="00275E67">
        <w:tc>
          <w:tcPr>
            <w:tcW w:w="3968" w:type="dxa"/>
          </w:tcPr>
          <w:p w:rsidR="00275E67" w:rsidRPr="00F7744D" w:rsidRDefault="00275E67" w:rsidP="00555E88">
            <w:pPr>
              <w:pStyle w:val="Tablegridheading2"/>
            </w:pPr>
            <w:r w:rsidRPr="00F7744D">
              <w:t>Household Income</w:t>
            </w: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30" w:type="dxa"/>
          </w:tcPr>
          <w:p w:rsidR="00275E67" w:rsidRPr="00F7744D" w:rsidRDefault="00275E67" w:rsidP="00555E88">
            <w:pPr>
              <w:pStyle w:val="Tablegridheading2"/>
            </w:pPr>
          </w:p>
        </w:tc>
      </w:tr>
      <w:tr w:rsidR="00275E67" w:rsidRPr="00F7744D" w:rsidTr="00275E67">
        <w:tc>
          <w:tcPr>
            <w:tcW w:w="3968" w:type="dxa"/>
          </w:tcPr>
          <w:p w:rsidR="00275E67" w:rsidRPr="00F7744D" w:rsidRDefault="00275E67" w:rsidP="00A15759">
            <w:pPr>
              <w:pStyle w:val="Tablegridtext"/>
            </w:pPr>
            <w:r w:rsidRPr="00F7744D">
              <w:t>Eigenvalue</w:t>
            </w:r>
            <w:r w:rsidR="00A15759">
              <w:rPr>
                <w:vertAlign w:val="superscript"/>
              </w:rPr>
              <w:t>b</w:t>
            </w:r>
          </w:p>
        </w:tc>
        <w:tc>
          <w:tcPr>
            <w:tcW w:w="1276" w:type="dxa"/>
          </w:tcPr>
          <w:p w:rsidR="00275E67" w:rsidRPr="00F7744D" w:rsidRDefault="00275E67" w:rsidP="00555E88">
            <w:pPr>
              <w:pStyle w:val="Tablegridtext"/>
            </w:pPr>
            <w:r w:rsidRPr="00F7744D">
              <w:t>1.795 (90%)</w:t>
            </w:r>
          </w:p>
        </w:tc>
        <w:tc>
          <w:tcPr>
            <w:tcW w:w="1276" w:type="dxa"/>
          </w:tcPr>
          <w:p w:rsidR="00275E67" w:rsidRPr="00F7744D" w:rsidRDefault="00275E67" w:rsidP="00555E88">
            <w:pPr>
              <w:pStyle w:val="Tablegridtext"/>
            </w:pPr>
            <w:r w:rsidRPr="00F7744D">
              <w:t>1.882 (94%)</w:t>
            </w:r>
          </w:p>
        </w:tc>
        <w:tc>
          <w:tcPr>
            <w:tcW w:w="1276" w:type="dxa"/>
          </w:tcPr>
          <w:p w:rsidR="00275E67" w:rsidRPr="00F7744D" w:rsidRDefault="00275E67" w:rsidP="00555E88">
            <w:pPr>
              <w:pStyle w:val="Tablegridtext"/>
            </w:pPr>
            <w:r w:rsidRPr="00F7744D">
              <w:t>1.81 (91 %)</w:t>
            </w:r>
          </w:p>
        </w:tc>
        <w:tc>
          <w:tcPr>
            <w:tcW w:w="1230" w:type="dxa"/>
          </w:tcPr>
          <w:p w:rsidR="00275E67" w:rsidRPr="00F7744D" w:rsidRDefault="00275E67" w:rsidP="00555E88">
            <w:pPr>
              <w:pStyle w:val="Tablegridtext"/>
            </w:pPr>
            <w:r w:rsidRPr="00F7744D">
              <w:t>1.84 (92%)</w:t>
            </w:r>
          </w:p>
        </w:tc>
      </w:tr>
      <w:tr w:rsidR="00275E67" w:rsidRPr="00F7744D" w:rsidTr="00275E67">
        <w:tc>
          <w:tcPr>
            <w:tcW w:w="3968" w:type="dxa"/>
          </w:tcPr>
          <w:p w:rsidR="00275E67" w:rsidRPr="00F7744D" w:rsidRDefault="00275E67" w:rsidP="00555E88">
            <w:pPr>
              <w:pStyle w:val="Tablegridtext"/>
            </w:pPr>
            <w:r w:rsidRPr="00F7744D">
              <w:t>Household Income &lt; $36,000 pa</w:t>
            </w: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&gt;$78,000 pa</w:t>
            </w: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&lt; $41,600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&gt;$90,000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&lt; $52,000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&gt;$117,000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Household Income &lt; $65,000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r w:rsidRPr="00F7744D">
              <w:t>0.7071</w:t>
            </w:r>
          </w:p>
        </w:tc>
      </w:tr>
      <w:tr w:rsidR="00275E67" w:rsidRPr="00F7744D" w:rsidTr="00275E67">
        <w:tc>
          <w:tcPr>
            <w:tcW w:w="3968" w:type="dxa"/>
          </w:tcPr>
          <w:p w:rsidR="00275E67" w:rsidRPr="00F7744D" w:rsidRDefault="00275E67" w:rsidP="00555E88">
            <w:pPr>
              <w:pStyle w:val="Tablegridtext"/>
            </w:pPr>
            <w:r w:rsidRPr="00F7744D">
              <w:t>Household Income &gt; $143,000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r w:rsidRPr="00F7744D">
              <w:t>-0.7071</w:t>
            </w:r>
          </w:p>
        </w:tc>
      </w:tr>
      <w:tr w:rsidR="00275E67" w:rsidRPr="00F7744D" w:rsidTr="00275E67">
        <w:tc>
          <w:tcPr>
            <w:tcW w:w="3968" w:type="dxa"/>
          </w:tcPr>
          <w:p w:rsidR="00275E67" w:rsidRPr="00F7744D" w:rsidRDefault="00275E67" w:rsidP="00555E88">
            <w:pPr>
              <w:pStyle w:val="Tablegridheading2"/>
            </w:pPr>
            <w:r w:rsidRPr="00F7744D">
              <w:t>Income of families with children</w:t>
            </w: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76" w:type="dxa"/>
          </w:tcPr>
          <w:p w:rsidR="00275E67" w:rsidRPr="00F7744D" w:rsidRDefault="00275E67" w:rsidP="00555E88">
            <w:pPr>
              <w:pStyle w:val="Tablegridheading2"/>
            </w:pPr>
          </w:p>
        </w:tc>
        <w:tc>
          <w:tcPr>
            <w:tcW w:w="1230" w:type="dxa"/>
          </w:tcPr>
          <w:p w:rsidR="00275E67" w:rsidRPr="00F7744D" w:rsidRDefault="00275E67" w:rsidP="00555E88">
            <w:pPr>
              <w:pStyle w:val="Tablegridheading2"/>
            </w:pPr>
          </w:p>
        </w:tc>
      </w:tr>
      <w:tr w:rsidR="00275E67" w:rsidRPr="00F7744D" w:rsidTr="00275E67">
        <w:tc>
          <w:tcPr>
            <w:tcW w:w="3968" w:type="dxa"/>
          </w:tcPr>
          <w:p w:rsidR="00275E67" w:rsidRPr="00F7744D" w:rsidRDefault="00275E67" w:rsidP="00A15759">
            <w:pPr>
              <w:pStyle w:val="Tablegridtext"/>
            </w:pPr>
            <w:r w:rsidRPr="00F7744D">
              <w:t>Eigenvalue</w:t>
            </w:r>
            <w:r w:rsidR="00A15759">
              <w:rPr>
                <w:vertAlign w:val="superscript"/>
              </w:rPr>
              <w:t>b</w:t>
            </w:r>
          </w:p>
        </w:tc>
        <w:tc>
          <w:tcPr>
            <w:tcW w:w="1276" w:type="dxa"/>
          </w:tcPr>
          <w:p w:rsidR="00275E67" w:rsidRPr="00F7744D" w:rsidRDefault="00275E67" w:rsidP="00555E88">
            <w:pPr>
              <w:pStyle w:val="Tablegridtext"/>
            </w:pPr>
            <w:r w:rsidRPr="00F7744D">
              <w:t>1.58</w:t>
            </w:r>
            <w:r>
              <w:t xml:space="preserve">8 </w:t>
            </w:r>
            <w:r w:rsidRPr="00F7744D">
              <w:t>(79%)</w:t>
            </w:r>
          </w:p>
        </w:tc>
        <w:tc>
          <w:tcPr>
            <w:tcW w:w="1276" w:type="dxa"/>
          </w:tcPr>
          <w:p w:rsidR="00275E67" w:rsidRPr="00F7744D" w:rsidRDefault="00275E67" w:rsidP="00555E88">
            <w:pPr>
              <w:pStyle w:val="Tablegridtext"/>
            </w:pPr>
            <w:r w:rsidRPr="00F7744D">
              <w:t>1.724 (86%)</w:t>
            </w:r>
          </w:p>
        </w:tc>
        <w:tc>
          <w:tcPr>
            <w:tcW w:w="1276" w:type="dxa"/>
          </w:tcPr>
          <w:p w:rsidR="00275E67" w:rsidRPr="00F7744D" w:rsidRDefault="00275E67" w:rsidP="00555E88">
            <w:pPr>
              <w:pStyle w:val="Tablegridtext"/>
            </w:pPr>
            <w:r w:rsidRPr="00F7744D">
              <w:t>1.68 (84%)</w:t>
            </w:r>
          </w:p>
        </w:tc>
        <w:tc>
          <w:tcPr>
            <w:tcW w:w="1230" w:type="dxa"/>
          </w:tcPr>
          <w:p w:rsidR="00275E67" w:rsidRPr="00F7744D" w:rsidRDefault="00275E67" w:rsidP="00555E88">
            <w:pPr>
              <w:pStyle w:val="Tablegridtext"/>
            </w:pPr>
            <w:r w:rsidRPr="00F7744D">
              <w:t>1.72 (86%)</w:t>
            </w:r>
          </w:p>
        </w:tc>
      </w:tr>
      <w:tr w:rsidR="00275E67" w:rsidRPr="00F7744D" w:rsidTr="00275E67">
        <w:tc>
          <w:tcPr>
            <w:tcW w:w="3968" w:type="dxa"/>
          </w:tcPr>
          <w:p w:rsidR="00275E67" w:rsidRPr="00F7744D" w:rsidRDefault="00275E67" w:rsidP="00555E88">
            <w:pPr>
              <w:pStyle w:val="Tablegridtext"/>
            </w:pPr>
            <w:r w:rsidRPr="00F7744D">
              <w:t>Family Income &lt; $26,000 pa</w:t>
            </w: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&gt;$78,000 pa</w:t>
            </w: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&lt; $41,600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&gt;$90,000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&lt; $52,000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&gt; $130,000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r w:rsidRPr="00F7744D">
              <w:t>-0.7071</w:t>
            </w:r>
          </w:p>
        </w:tc>
        <w:tc>
          <w:tcPr>
            <w:tcW w:w="1230" w:type="dxa"/>
          </w:tcPr>
          <w:p w:rsidR="00275E67" w:rsidRPr="00F7744D" w:rsidRDefault="00275E67" w:rsidP="00555E88">
            <w:pPr>
              <w:pStyle w:val="Tablegridtext"/>
            </w:pPr>
          </w:p>
        </w:tc>
      </w:tr>
      <w:tr w:rsidR="00275E67" w:rsidRPr="00F7744D" w:rsidTr="00275E67">
        <w:tc>
          <w:tcPr>
            <w:tcW w:w="3968" w:type="dxa"/>
          </w:tcPr>
          <w:p w:rsidR="00275E67" w:rsidRPr="00F7744D" w:rsidRDefault="00275E67" w:rsidP="00555E88">
            <w:pPr>
              <w:pStyle w:val="Tablegridtext"/>
            </w:pPr>
            <w:r w:rsidRPr="00F7744D">
              <w:t>Family Income &lt; $65,000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r w:rsidRPr="00F7744D">
              <w:t>0.7071</w:t>
            </w:r>
          </w:p>
        </w:tc>
      </w:tr>
      <w:tr w:rsidR="00275E67" w:rsidRPr="00F7744D" w:rsidTr="00275E67">
        <w:tc>
          <w:tcPr>
            <w:tcW w:w="3968" w:type="dxa"/>
          </w:tcPr>
          <w:p w:rsidR="00275E67" w:rsidRPr="00F7744D" w:rsidRDefault="00275E67" w:rsidP="00555E88">
            <w:pPr>
              <w:pStyle w:val="Tablegridtext"/>
            </w:pPr>
            <w:r w:rsidRPr="00F7744D">
              <w:t>Family Income &gt; $156,000 pa</w:t>
            </w: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76" w:type="dxa"/>
          </w:tcPr>
          <w:p w:rsidR="00275E67" w:rsidRPr="00F7744D" w:rsidRDefault="00275E67" w:rsidP="00555E88">
            <w:pPr>
              <w:pStyle w:val="Tablegridtext"/>
            </w:pPr>
          </w:p>
        </w:tc>
        <w:tc>
          <w:tcPr>
            <w:tcW w:w="1230" w:type="dxa"/>
          </w:tcPr>
          <w:p w:rsidR="00275E67" w:rsidRPr="00F7744D" w:rsidRDefault="00275E67" w:rsidP="00555E88">
            <w:pPr>
              <w:pStyle w:val="Tablegridtext"/>
            </w:pPr>
            <w:r w:rsidRPr="00F7744D">
              <w:t>-0.7071</w:t>
            </w:r>
          </w:p>
        </w:tc>
      </w:tr>
    </w:tbl>
    <w:p w:rsidR="00275E67" w:rsidRPr="0051627A" w:rsidRDefault="00275E67" w:rsidP="0051627A">
      <w:pPr>
        <w:pStyle w:val="Datasource"/>
      </w:pPr>
      <w:r w:rsidRPr="0051627A">
        <w:t xml:space="preserve">Note: </w:t>
      </w:r>
      <w:r w:rsidRPr="0051627A">
        <w:rPr>
          <w:vertAlign w:val="superscript"/>
        </w:rPr>
        <w:t>a</w:t>
      </w:r>
      <w:r w:rsidRPr="0051627A">
        <w:t xml:space="preserve"> Years in brackets indicate when the SES score </w:t>
      </w:r>
      <w:r w:rsidR="002D279D">
        <w:t>calculation</w:t>
      </w:r>
      <w:r w:rsidRPr="0051627A">
        <w:t xml:space="preserve"> occurred. </w:t>
      </w:r>
      <w:r w:rsidRPr="0051627A">
        <w:rPr>
          <w:vertAlign w:val="superscript"/>
        </w:rPr>
        <w:t>b</w:t>
      </w:r>
      <w:r w:rsidRPr="0051627A">
        <w:t xml:space="preserve"> Percentage value in brackets comprises the per cent of variation in all dimension variables explained by the first principal component. </w:t>
      </w:r>
    </w:p>
    <w:p w:rsidR="00B16FE6" w:rsidRDefault="00275E67" w:rsidP="00A260FB">
      <w:pPr>
        <w:pStyle w:val="Datasource"/>
      </w:pPr>
      <w:r w:rsidRPr="0051627A">
        <w:t xml:space="preserve">Sources: </w:t>
      </w:r>
      <w:r w:rsidR="00A15759">
        <w:rPr>
          <w:noProof/>
        </w:rPr>
        <w:t>Department of Education, Training and Youth Affairs (1998)</w:t>
      </w:r>
      <w:r w:rsidRPr="0051627A">
        <w:t xml:space="preserve">; </w:t>
      </w:r>
      <w:r w:rsidR="00A15759">
        <w:rPr>
          <w:noProof/>
        </w:rPr>
        <w:t>Farish (2004); Farish (2008)</w:t>
      </w:r>
      <w:r w:rsidRPr="0051627A">
        <w:t xml:space="preserve"> </w:t>
      </w:r>
      <w:r w:rsidR="00A15759">
        <w:t xml:space="preserve">and </w:t>
      </w:r>
      <w:r w:rsidR="00A15759">
        <w:rPr>
          <w:noProof/>
        </w:rPr>
        <w:t>Farish (2013).</w:t>
      </w:r>
    </w:p>
    <w:p w:rsidR="00B16FE6" w:rsidRDefault="00B16FE6" w:rsidP="00B16FE6">
      <w:pPr>
        <w:sectPr w:rsidR="00B16FE6" w:rsidSect="006408E8">
          <w:headerReference w:type="even" r:id="rId51"/>
          <w:headerReference w:type="default" r:id="rId52"/>
          <w:headerReference w:type="first" r:id="rId53"/>
          <w:pgSz w:w="11906" w:h="16838" w:code="9"/>
          <w:pgMar w:top="1440" w:right="1440" w:bottom="1440" w:left="1440" w:header="720" w:footer="720" w:gutter="0"/>
          <w:cols w:space="720"/>
          <w:noEndnote/>
          <w:docGrid w:linePitch="326"/>
        </w:sectPr>
      </w:pPr>
    </w:p>
    <w:p w:rsidR="0051054D" w:rsidRPr="00275E67" w:rsidRDefault="0051054D" w:rsidP="0051054D">
      <w:pPr>
        <w:pStyle w:val="Heading6"/>
      </w:pPr>
      <w:bookmarkStart w:id="306" w:name="_Toc496803941"/>
      <w:bookmarkStart w:id="307" w:name="_Ref493064384"/>
      <w:r w:rsidRPr="0051054D">
        <w:t>Stakeholder issues and concerns with the SES score</w:t>
      </w:r>
      <w:bookmarkEnd w:id="306"/>
    </w:p>
    <w:p w:rsidR="00B16FE6" w:rsidRDefault="00452089" w:rsidP="00A260FB">
      <w:pPr>
        <w:pStyle w:val="Heading3"/>
      </w:pPr>
      <w:bookmarkStart w:id="308" w:name="_Ref496881400"/>
      <w:bookmarkStart w:id="309" w:name="_Toc496803950"/>
      <w:r>
        <w:t xml:space="preserve">Table </w:t>
      </w:r>
      <w:fldSimple w:instr=" STYLEREF 6 \s ">
        <w:r w:rsidR="00B52C11">
          <w:rPr>
            <w:noProof/>
          </w:rPr>
          <w:t>B</w:t>
        </w:r>
      </w:fldSimple>
      <w:r>
        <w:noBreakHyphen/>
      </w:r>
      <w:fldSimple w:instr=" SEQ Table_Apx \* ARABIC \s 6 ">
        <w:r w:rsidR="00B52C11">
          <w:rPr>
            <w:noProof/>
          </w:rPr>
          <w:t>1</w:t>
        </w:r>
      </w:fldSimple>
      <w:bookmarkEnd w:id="308"/>
      <w:r w:rsidR="0051054D">
        <w:tab/>
      </w:r>
      <w:bookmarkEnd w:id="307"/>
      <w:r w:rsidR="00B16FE6">
        <w:t>Stakeholder issues and concerns with the SES score</w:t>
      </w:r>
      <w:bookmarkEnd w:id="309"/>
    </w:p>
    <w:tbl>
      <w:tblPr>
        <w:tblStyle w:val="TableGrid"/>
        <w:tblW w:w="5000" w:type="pct"/>
        <w:tblLook w:val="04A0" w:firstRow="1" w:lastRow="0" w:firstColumn="1" w:lastColumn="0" w:noHBand="0" w:noVBand="1"/>
        <w:tblCaption w:val="Table B.1 Stakeholder issues and concerns with the SES score"/>
        <w:tblDescription w:val="Describes summary of issues including: Purpose and objective of the SES score; Design of the score; Accuracy; Timeliness and measurement error."/>
      </w:tblPr>
      <w:tblGrid>
        <w:gridCol w:w="5983"/>
        <w:gridCol w:w="1993"/>
        <w:gridCol w:w="5982"/>
      </w:tblGrid>
      <w:tr w:rsidR="00B16FE6" w:rsidTr="0051054D">
        <w:trPr>
          <w:cnfStyle w:val="100000000000" w:firstRow="1" w:lastRow="0" w:firstColumn="0" w:lastColumn="0" w:oddVBand="0" w:evenVBand="0" w:oddHBand="0" w:evenHBand="0" w:firstRowFirstColumn="0" w:firstRowLastColumn="0" w:lastRowFirstColumn="0" w:lastRowLastColumn="0"/>
          <w:tblHeader/>
        </w:trPr>
        <w:tc>
          <w:tcPr>
            <w:tcW w:w="2143" w:type="pct"/>
          </w:tcPr>
          <w:p w:rsidR="00B16FE6" w:rsidRDefault="00B16FE6" w:rsidP="0051054D">
            <w:pPr>
              <w:pStyle w:val="Tablegridheading"/>
            </w:pPr>
            <w:r>
              <w:t>Summary of raised issue or concern</w:t>
            </w:r>
          </w:p>
        </w:tc>
        <w:tc>
          <w:tcPr>
            <w:tcW w:w="714" w:type="pct"/>
          </w:tcPr>
          <w:p w:rsidR="00B16FE6" w:rsidRDefault="00B16FE6" w:rsidP="0051054D">
            <w:pPr>
              <w:pStyle w:val="Tablegridheading"/>
            </w:pPr>
            <w:r>
              <w:t>Source</w:t>
            </w:r>
          </w:p>
        </w:tc>
        <w:tc>
          <w:tcPr>
            <w:tcW w:w="2143" w:type="pct"/>
          </w:tcPr>
          <w:p w:rsidR="00B16FE6" w:rsidRDefault="00B16FE6" w:rsidP="0051054D">
            <w:pPr>
              <w:pStyle w:val="Tablegridheading"/>
            </w:pPr>
            <w:r>
              <w:t>Presented evidence</w:t>
            </w:r>
          </w:p>
        </w:tc>
      </w:tr>
      <w:tr w:rsidR="00B16FE6" w:rsidTr="0051054D">
        <w:tc>
          <w:tcPr>
            <w:tcW w:w="2143" w:type="pct"/>
            <w:shd w:val="clear" w:color="auto" w:fill="000000" w:themeFill="text1"/>
          </w:tcPr>
          <w:p w:rsidR="00B16FE6" w:rsidRDefault="00025C6B" w:rsidP="00025C6B">
            <w:pPr>
              <w:pStyle w:val="Tablegridtext"/>
            </w:pPr>
            <w:r>
              <w:t>Purpose and o</w:t>
            </w:r>
            <w:r w:rsidR="00B16FE6">
              <w:t>bjective of the SES score</w:t>
            </w:r>
          </w:p>
        </w:tc>
        <w:tc>
          <w:tcPr>
            <w:tcW w:w="714" w:type="pct"/>
            <w:shd w:val="clear" w:color="auto" w:fill="000000" w:themeFill="text1"/>
          </w:tcPr>
          <w:p w:rsidR="00B16FE6" w:rsidRDefault="00B16FE6" w:rsidP="0051054D">
            <w:pPr>
              <w:pStyle w:val="Tablegridtext"/>
            </w:pPr>
          </w:p>
        </w:tc>
        <w:tc>
          <w:tcPr>
            <w:tcW w:w="2143" w:type="pct"/>
            <w:shd w:val="clear" w:color="auto" w:fill="000000" w:themeFill="text1"/>
          </w:tcPr>
          <w:p w:rsidR="00B16FE6" w:rsidRDefault="00B16FE6" w:rsidP="0051054D">
            <w:pPr>
              <w:pStyle w:val="Tablegridtext"/>
            </w:pPr>
          </w:p>
        </w:tc>
      </w:tr>
      <w:tr w:rsidR="00B16FE6" w:rsidTr="0051054D">
        <w:tc>
          <w:tcPr>
            <w:tcW w:w="2143" w:type="pct"/>
          </w:tcPr>
          <w:p w:rsidR="00B16FE6" w:rsidRPr="009B503B" w:rsidRDefault="00B16FE6" w:rsidP="0051054D">
            <w:pPr>
              <w:pStyle w:val="Tablegridtext"/>
              <w:rPr>
                <w:b/>
                <w:i/>
              </w:rPr>
            </w:pPr>
            <w:r w:rsidRPr="009B503B">
              <w:rPr>
                <w:b/>
                <w:i/>
              </w:rPr>
              <w:t>An SES-based measure of capacity to contribute is too narrow</w:t>
            </w:r>
          </w:p>
          <w:p w:rsidR="00B16FE6" w:rsidRDefault="00B16FE6" w:rsidP="0051054D">
            <w:pPr>
              <w:pStyle w:val="Tablegriddotpoints"/>
            </w:pPr>
            <w:r>
              <w:t xml:space="preserve">Assessing the capacity to contribute by looking at characteristics of students’ families is too narrow in scope </w:t>
            </w:r>
          </w:p>
          <w:p w:rsidR="00B16FE6" w:rsidRPr="001F193F" w:rsidRDefault="00B16FE6" w:rsidP="0051054D">
            <w:pPr>
              <w:pStyle w:val="Tablegriddotpoints"/>
              <w:rPr>
                <w:i/>
              </w:rPr>
            </w:pPr>
            <w:r>
              <w:t xml:space="preserve">Endowments or donations, should be taken into account. </w:t>
            </w:r>
          </w:p>
        </w:tc>
        <w:tc>
          <w:tcPr>
            <w:tcW w:w="714" w:type="pct"/>
          </w:tcPr>
          <w:p w:rsidR="00B16FE6" w:rsidRPr="007C4913" w:rsidRDefault="00B16FE6" w:rsidP="0051054D">
            <w:pPr>
              <w:pStyle w:val="Tablegridtext"/>
              <w:rPr>
                <w:b/>
                <w:i/>
              </w:rPr>
            </w:pPr>
            <w:r w:rsidRPr="007C4913">
              <w:rPr>
                <w:b/>
                <w:i/>
              </w:rPr>
              <w:t xml:space="preserve">Researcher </w:t>
            </w:r>
          </w:p>
          <w:p w:rsidR="00B16FE6" w:rsidRDefault="00B16FE6" w:rsidP="0051054D">
            <w:pPr>
              <w:pStyle w:val="Tablegridtext"/>
            </w:pPr>
            <w:r>
              <w:rPr>
                <w:noProof/>
              </w:rPr>
              <w:t>Watson (2004), p. 233.</w:t>
            </w:r>
          </w:p>
        </w:tc>
        <w:tc>
          <w:tcPr>
            <w:tcW w:w="2143" w:type="pct"/>
          </w:tcPr>
          <w:p w:rsidR="00B16FE6" w:rsidRDefault="00B16FE6" w:rsidP="0051054D">
            <w:pPr>
              <w:pStyle w:val="Tablegriddotpoints"/>
            </w:pPr>
            <w:r>
              <w:t xml:space="preserve">‘Established schools’ receiving income from endowments </w:t>
            </w:r>
          </w:p>
          <w:p w:rsidR="00B16FE6" w:rsidRDefault="00B16FE6" w:rsidP="0051054D">
            <w:pPr>
              <w:pStyle w:val="Tablegriddotpoints"/>
            </w:pPr>
            <w:r>
              <w:t xml:space="preserve">A regional Queensland school received income from local businesses, and was in the lowest ERI funding category </w:t>
            </w:r>
          </w:p>
          <w:p w:rsidR="00B16FE6" w:rsidRDefault="00B16FE6" w:rsidP="0051054D">
            <w:pPr>
              <w:pStyle w:val="Tablegriddotpoints"/>
            </w:pPr>
            <w:r>
              <w:t xml:space="preserve">In contrast, this school had a below average SES score (93). </w:t>
            </w:r>
          </w:p>
        </w:tc>
      </w:tr>
      <w:tr w:rsidR="00B16FE6" w:rsidTr="0051054D">
        <w:tc>
          <w:tcPr>
            <w:tcW w:w="2143" w:type="pct"/>
          </w:tcPr>
          <w:p w:rsidR="00B16FE6" w:rsidRPr="00BF4FF0" w:rsidRDefault="00B16FE6" w:rsidP="0051054D">
            <w:pPr>
              <w:pStyle w:val="Tablegridtext"/>
              <w:rPr>
                <w:b/>
                <w:i/>
              </w:rPr>
            </w:pPr>
            <w:r w:rsidRPr="00BF4FF0">
              <w:rPr>
                <w:b/>
                <w:i/>
              </w:rPr>
              <w:t>School</w:t>
            </w:r>
            <w:r>
              <w:rPr>
                <w:b/>
                <w:i/>
              </w:rPr>
              <w:t>s</w:t>
            </w:r>
            <w:r w:rsidRPr="00BF4FF0">
              <w:rPr>
                <w:b/>
                <w:i/>
              </w:rPr>
              <w:t xml:space="preserve"> that set low fees to facilitate access are penalised</w:t>
            </w:r>
          </w:p>
          <w:p w:rsidR="00B16FE6" w:rsidRDefault="00B16FE6" w:rsidP="0051054D">
            <w:pPr>
              <w:pStyle w:val="Tablegriddotpoints"/>
            </w:pPr>
            <w:r>
              <w:t xml:space="preserve">The SES score penalises schools that set low fees to facilitate access </w:t>
            </w:r>
          </w:p>
          <w:p w:rsidR="00B16FE6" w:rsidRDefault="00B16FE6" w:rsidP="0051054D">
            <w:pPr>
              <w:pStyle w:val="Tablegriddotpoints"/>
            </w:pPr>
            <w:r>
              <w:t xml:space="preserve">Base funding provided to schools should take into account both school SES, and school recurrent private income. </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National Catholic Education Commission (2011), pp. 22-24.</w:t>
            </w:r>
          </w:p>
        </w:tc>
        <w:tc>
          <w:tcPr>
            <w:tcW w:w="2143" w:type="pct"/>
          </w:tcPr>
          <w:p w:rsidR="00B16FE6" w:rsidRDefault="00B16FE6" w:rsidP="0051054D">
            <w:pPr>
              <w:pStyle w:val="Tablegriddotpoints"/>
            </w:pPr>
            <w:r>
              <w:t xml:space="preserve">The conceptual example is used of schools with similar Australian Government funding levels (due to similar SES scores), but different levels of private resources </w:t>
            </w:r>
          </w:p>
          <w:p w:rsidR="00B16FE6" w:rsidRDefault="00B16FE6" w:rsidP="0051054D">
            <w:pPr>
              <w:pStyle w:val="Tablegriddotpoints"/>
            </w:pPr>
            <w:r>
              <w:t xml:space="preserve">It is argued that this situation is at odds with the objective of certain schools/sectors to promote access to its schools. </w:t>
            </w:r>
          </w:p>
        </w:tc>
      </w:tr>
      <w:tr w:rsidR="00B16FE6" w:rsidTr="0051054D">
        <w:tc>
          <w:tcPr>
            <w:tcW w:w="2143" w:type="pct"/>
          </w:tcPr>
          <w:p w:rsidR="00B16FE6" w:rsidRDefault="00B16FE6" w:rsidP="0051054D">
            <w:pPr>
              <w:pStyle w:val="Tablegridtext"/>
              <w:rPr>
                <w:b/>
                <w:i/>
              </w:rPr>
            </w:pPr>
            <w:r>
              <w:rPr>
                <w:b/>
                <w:i/>
              </w:rPr>
              <w:t>Low fee schools should have a reasonable resource base</w:t>
            </w:r>
          </w:p>
          <w:p w:rsidR="00B16FE6" w:rsidRDefault="00B16FE6" w:rsidP="0051054D">
            <w:pPr>
              <w:pStyle w:val="Tablegriddotpoints"/>
              <w:tabs>
                <w:tab w:val="clear" w:pos="567"/>
              </w:tabs>
              <w:ind w:left="568" w:hanging="284"/>
            </w:pPr>
            <w:r>
              <w:t>In 2011 low fee independent schools with the low revenues were experiencing rapid enrolment growth</w:t>
            </w:r>
          </w:p>
          <w:p w:rsidR="00B16FE6" w:rsidRPr="009F4B93" w:rsidRDefault="00B16FE6" w:rsidP="0051054D">
            <w:pPr>
              <w:pStyle w:val="Tablegriddotpoints"/>
            </w:pPr>
            <w:r>
              <w:t>The then SES funding model didn’t accurately reflect the ability of low fee schools to raise income.</w:t>
            </w:r>
          </w:p>
        </w:tc>
        <w:tc>
          <w:tcPr>
            <w:tcW w:w="714" w:type="pct"/>
          </w:tcPr>
          <w:p w:rsidR="00B16FE6" w:rsidRPr="007C4913" w:rsidRDefault="00B16FE6" w:rsidP="0051054D">
            <w:pPr>
              <w:pStyle w:val="Tablegridtext"/>
              <w:rPr>
                <w:b/>
                <w:i/>
              </w:rPr>
            </w:pPr>
            <w:r w:rsidRPr="007C4913">
              <w:rPr>
                <w:b/>
                <w:i/>
              </w:rPr>
              <w:t>Peak body</w:t>
            </w:r>
          </w:p>
          <w:p w:rsidR="00B16FE6" w:rsidRPr="00A85958" w:rsidRDefault="00B16FE6" w:rsidP="0051054D">
            <w:pPr>
              <w:pStyle w:val="Tablegridtext"/>
            </w:pPr>
            <w:r>
              <w:rPr>
                <w:noProof/>
              </w:rPr>
              <w:t>Independent Schools Council of Australia (2011), pp. 7-8.</w:t>
            </w:r>
          </w:p>
        </w:tc>
        <w:tc>
          <w:tcPr>
            <w:tcW w:w="2143" w:type="pct"/>
          </w:tcPr>
          <w:p w:rsidR="00B16FE6" w:rsidRDefault="00B16FE6" w:rsidP="0051054D">
            <w:pPr>
              <w:pStyle w:val="Tablegriddotpoints"/>
            </w:pPr>
            <w:r>
              <w:t xml:space="preserve">Analysis is used showing that independent schools with an SES score of between 86 and 100 had significantly lower per student revenues than other independent schools </w:t>
            </w:r>
          </w:p>
          <w:p w:rsidR="00B16FE6" w:rsidRDefault="00B16FE6" w:rsidP="0051054D">
            <w:pPr>
              <w:pStyle w:val="Tablegriddotpoints"/>
            </w:pPr>
            <w:r>
              <w:t xml:space="preserve">These low fee schools also have the bulk of independent school enrolments, and the fastest enrolment growth.  </w:t>
            </w:r>
          </w:p>
        </w:tc>
      </w:tr>
      <w:tr w:rsidR="00B16FE6" w:rsidTr="0051054D">
        <w:tc>
          <w:tcPr>
            <w:tcW w:w="2143" w:type="pct"/>
          </w:tcPr>
          <w:p w:rsidR="00B16FE6" w:rsidRPr="00341FEF" w:rsidRDefault="00B16FE6" w:rsidP="0051054D">
            <w:pPr>
              <w:pStyle w:val="Tablegridtext"/>
              <w:rPr>
                <w:b/>
                <w:i/>
              </w:rPr>
            </w:pPr>
            <w:r w:rsidRPr="00341FEF">
              <w:rPr>
                <w:b/>
                <w:i/>
              </w:rPr>
              <w:t xml:space="preserve">The SES score makes no adjustment for </w:t>
            </w:r>
            <w:r>
              <w:rPr>
                <w:b/>
                <w:i/>
              </w:rPr>
              <w:t>school wealth</w:t>
            </w:r>
          </w:p>
          <w:p w:rsidR="00B16FE6" w:rsidRDefault="00B16FE6" w:rsidP="0051054D">
            <w:pPr>
              <w:pStyle w:val="Tablegriddotpoints"/>
              <w:tabs>
                <w:tab w:val="clear" w:pos="567"/>
              </w:tabs>
              <w:ind w:left="568" w:hanging="284"/>
            </w:pPr>
            <w:r>
              <w:t xml:space="preserve">The </w:t>
            </w:r>
            <w:r w:rsidRPr="009E4658">
              <w:t xml:space="preserve">SES </w:t>
            </w:r>
            <w:r>
              <w:t xml:space="preserve">funding model does not consider resources previously accumulated by schools </w:t>
            </w:r>
          </w:p>
          <w:p w:rsidR="00B16FE6" w:rsidRPr="009E4658" w:rsidRDefault="00B16FE6" w:rsidP="0051054D">
            <w:pPr>
              <w:pStyle w:val="Tablegriddotpoints"/>
            </w:pPr>
            <w:r>
              <w:t xml:space="preserve">As a result school wealth is not taken into account. </w:t>
            </w:r>
          </w:p>
        </w:tc>
        <w:tc>
          <w:tcPr>
            <w:tcW w:w="714" w:type="pct"/>
          </w:tcPr>
          <w:p w:rsidR="00B16FE6" w:rsidRPr="007C4913" w:rsidRDefault="00B16FE6" w:rsidP="0051054D">
            <w:pPr>
              <w:pStyle w:val="Tablegridtext"/>
              <w:rPr>
                <w:b/>
                <w:i/>
              </w:rPr>
            </w:pPr>
            <w:r w:rsidRPr="007C4913">
              <w:rPr>
                <w:b/>
                <w:i/>
              </w:rPr>
              <w:t xml:space="preserve">Researcher </w:t>
            </w:r>
          </w:p>
          <w:p w:rsidR="00B16FE6" w:rsidRDefault="00B16FE6" w:rsidP="0051054D">
            <w:pPr>
              <w:pStyle w:val="Tablegridtext"/>
            </w:pPr>
            <w:r>
              <w:rPr>
                <w:noProof/>
              </w:rPr>
              <w:t>Maddox (2014), p. 74.</w:t>
            </w:r>
          </w:p>
        </w:tc>
        <w:tc>
          <w:tcPr>
            <w:tcW w:w="2143" w:type="pct"/>
          </w:tcPr>
          <w:p w:rsidR="00B16FE6" w:rsidRDefault="00B16FE6" w:rsidP="0051054D">
            <w:pPr>
              <w:pStyle w:val="Tablegriddotpoints"/>
            </w:pPr>
            <w:r>
              <w:t>The SES funding model led to large percentage funding increases to the ‘wealthiest, high-fee-charging schools’</w:t>
            </w:r>
          </w:p>
          <w:p w:rsidR="00B16FE6" w:rsidRDefault="00B16FE6" w:rsidP="0051054D">
            <w:pPr>
              <w:pStyle w:val="Tablegriddotpoints"/>
            </w:pPr>
            <w:r>
              <w:t xml:space="preserve">In contrast, modest funding increases were by received ‘poorer private schools’. </w:t>
            </w:r>
          </w:p>
        </w:tc>
      </w:tr>
      <w:tr w:rsidR="00B16FE6" w:rsidTr="0051054D">
        <w:tc>
          <w:tcPr>
            <w:tcW w:w="2143" w:type="pct"/>
            <w:shd w:val="clear" w:color="auto" w:fill="000000" w:themeFill="text1"/>
          </w:tcPr>
          <w:p w:rsidR="00B16FE6" w:rsidRDefault="00B16FE6" w:rsidP="0051054D">
            <w:pPr>
              <w:pStyle w:val="Tablegridtext"/>
            </w:pPr>
            <w:r>
              <w:t>Design of the SES score</w:t>
            </w:r>
          </w:p>
        </w:tc>
        <w:tc>
          <w:tcPr>
            <w:tcW w:w="714" w:type="pct"/>
            <w:shd w:val="clear" w:color="auto" w:fill="000000" w:themeFill="text1"/>
          </w:tcPr>
          <w:p w:rsidR="00B16FE6" w:rsidRDefault="00B16FE6" w:rsidP="0051054D">
            <w:pPr>
              <w:pStyle w:val="Tablegridtext"/>
            </w:pPr>
          </w:p>
        </w:tc>
        <w:tc>
          <w:tcPr>
            <w:tcW w:w="2143" w:type="pct"/>
            <w:shd w:val="clear" w:color="auto" w:fill="000000" w:themeFill="text1"/>
          </w:tcPr>
          <w:p w:rsidR="00B16FE6" w:rsidRDefault="00B16FE6" w:rsidP="0051054D">
            <w:pPr>
              <w:pStyle w:val="Tablegridtext"/>
            </w:pPr>
          </w:p>
        </w:tc>
      </w:tr>
      <w:tr w:rsidR="00B16FE6" w:rsidTr="0051054D">
        <w:tc>
          <w:tcPr>
            <w:tcW w:w="2143" w:type="pct"/>
          </w:tcPr>
          <w:p w:rsidR="00B16FE6" w:rsidRPr="00B770FF" w:rsidRDefault="00B16FE6" w:rsidP="0051054D">
            <w:pPr>
              <w:pStyle w:val="Tablegridtext"/>
              <w:rPr>
                <w:b/>
                <w:i/>
              </w:rPr>
            </w:pPr>
            <w:r>
              <w:rPr>
                <w:b/>
                <w:i/>
              </w:rPr>
              <w:t>Unclear r</w:t>
            </w:r>
            <w:r w:rsidRPr="00B770FF">
              <w:rPr>
                <w:b/>
                <w:i/>
              </w:rPr>
              <w:t>elevance of the education and occupation dimensions</w:t>
            </w:r>
          </w:p>
          <w:p w:rsidR="00B16FE6" w:rsidRDefault="00B16FE6" w:rsidP="0051054D">
            <w:pPr>
              <w:pStyle w:val="Tablegriddotpoints"/>
            </w:pPr>
            <w:r w:rsidRPr="008A45D6">
              <w:t>The relevance of education and occupation to a family's capacity</w:t>
            </w:r>
            <w:r>
              <w:t xml:space="preserve"> to contribute is questionable</w:t>
            </w:r>
          </w:p>
          <w:p w:rsidR="00B16FE6" w:rsidRDefault="00B16FE6" w:rsidP="0051054D">
            <w:pPr>
              <w:pStyle w:val="Tablegriddotpoints"/>
            </w:pPr>
            <w:r w:rsidRPr="008A45D6">
              <w:t>School SES score</w:t>
            </w:r>
            <w:r>
              <w:t>s</w:t>
            </w:r>
            <w:r w:rsidRPr="008A45D6">
              <w:t xml:space="preserve"> can differ when measured using family and household income versus education and occupation.</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12-14.</w:t>
            </w:r>
          </w:p>
        </w:tc>
        <w:tc>
          <w:tcPr>
            <w:tcW w:w="2143" w:type="pct"/>
          </w:tcPr>
          <w:p w:rsidR="00B16FE6" w:rsidRDefault="00B16FE6" w:rsidP="0051054D">
            <w:pPr>
              <w:pStyle w:val="Tablegriddotpoints"/>
            </w:pPr>
            <w:r>
              <w:t xml:space="preserve">Analysis is presented comparing SES scores derived from the two income dimensions, to one generated from the education and occupation dimensions </w:t>
            </w:r>
          </w:p>
          <w:p w:rsidR="00B16FE6" w:rsidRDefault="00B16FE6" w:rsidP="0051054D">
            <w:pPr>
              <w:pStyle w:val="Tablegriddotpoints"/>
            </w:pPr>
            <w:r>
              <w:t xml:space="preserve">This analysis finds significant variation for all Australian SA1s and for Victorian Catholic schools. </w:t>
            </w:r>
          </w:p>
        </w:tc>
      </w:tr>
      <w:tr w:rsidR="00B16FE6" w:rsidTr="0051054D">
        <w:tc>
          <w:tcPr>
            <w:tcW w:w="2143" w:type="pct"/>
          </w:tcPr>
          <w:p w:rsidR="00B16FE6" w:rsidRPr="00B770FF" w:rsidRDefault="00B16FE6" w:rsidP="0051054D">
            <w:pPr>
              <w:pStyle w:val="Tablegridtext"/>
              <w:rPr>
                <w:b/>
                <w:i/>
              </w:rPr>
            </w:pPr>
            <w:r w:rsidRPr="00B770FF">
              <w:rPr>
                <w:b/>
                <w:i/>
              </w:rPr>
              <w:t>The weight</w:t>
            </w:r>
            <w:r w:rsidR="00955954">
              <w:rPr>
                <w:b/>
                <w:i/>
              </w:rPr>
              <w:t>ing</w:t>
            </w:r>
            <w:r w:rsidRPr="00B770FF">
              <w:rPr>
                <w:b/>
                <w:i/>
              </w:rPr>
              <w:t xml:space="preserve"> given to </w:t>
            </w:r>
            <w:r>
              <w:rPr>
                <w:b/>
                <w:i/>
              </w:rPr>
              <w:t xml:space="preserve">the </w:t>
            </w:r>
            <w:r w:rsidRPr="00B770FF">
              <w:rPr>
                <w:b/>
                <w:i/>
              </w:rPr>
              <w:t>SES score dimensions are arbitrary</w:t>
            </w:r>
          </w:p>
          <w:p w:rsidR="00B16FE6" w:rsidRDefault="00B16FE6" w:rsidP="0051054D">
            <w:pPr>
              <w:pStyle w:val="Tablegriddotpoints"/>
            </w:pPr>
            <w:r>
              <w:t>T</w:t>
            </w:r>
            <w:r w:rsidRPr="00322AB3">
              <w:t>he four dimensions</w:t>
            </w:r>
            <w:r>
              <w:t xml:space="preserve"> </w:t>
            </w:r>
            <w:r w:rsidRPr="00322AB3">
              <w:t>used to calculate school SES scores</w:t>
            </w:r>
            <w:r>
              <w:t xml:space="preserve"> are weighted—</w:t>
            </w:r>
            <w:r w:rsidRPr="00322AB3">
              <w:t>Occupation (⅓), Education (⅓), Household income (⅙) and Income of families with children (⅙)</w:t>
            </w:r>
          </w:p>
          <w:p w:rsidR="00B16FE6" w:rsidRPr="00322AB3" w:rsidRDefault="00B16FE6" w:rsidP="0051054D">
            <w:pPr>
              <w:pStyle w:val="Tablegriddotpoints"/>
            </w:pPr>
            <w:r>
              <w:t xml:space="preserve">It is argued that these weights are </w:t>
            </w:r>
            <w:r w:rsidRPr="0002059A">
              <w:rPr>
                <w:i/>
              </w:rPr>
              <w:t>‘more or less arbitrary’.</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 8.</w:t>
            </w:r>
          </w:p>
        </w:tc>
        <w:tc>
          <w:tcPr>
            <w:tcW w:w="2143" w:type="pct"/>
          </w:tcPr>
          <w:p w:rsidR="00B16FE6" w:rsidRDefault="00B16FE6" w:rsidP="0051054D">
            <w:pPr>
              <w:pStyle w:val="Tablegriddotpoints"/>
            </w:pPr>
            <w:r>
              <w:t xml:space="preserve">No evidence is presented on the implications of the current weighting </w:t>
            </w:r>
          </w:p>
          <w:p w:rsidR="00B16FE6" w:rsidRDefault="00B16FE6" w:rsidP="0051054D">
            <w:pPr>
              <w:pStyle w:val="Tablegriddotpoints"/>
            </w:pPr>
            <w:r>
              <w:t xml:space="preserve">Neither is an alternative weighting proposed </w:t>
            </w:r>
          </w:p>
          <w:p w:rsidR="00B16FE6" w:rsidRDefault="00B16FE6" w:rsidP="0051054D">
            <w:pPr>
              <w:pStyle w:val="Tablegriddotpoints"/>
            </w:pPr>
            <w:r>
              <w:t xml:space="preserve">Rather, the paper goes onto question the inclusion of the education and occupation dimensions at all (see below). </w:t>
            </w:r>
          </w:p>
        </w:tc>
      </w:tr>
      <w:tr w:rsidR="00B16FE6" w:rsidTr="0051054D">
        <w:tc>
          <w:tcPr>
            <w:tcW w:w="2143" w:type="pct"/>
          </w:tcPr>
          <w:p w:rsidR="00B16FE6" w:rsidRPr="00514BB9" w:rsidRDefault="00B16FE6" w:rsidP="0051054D">
            <w:pPr>
              <w:pStyle w:val="Tablegridtext"/>
              <w:rPr>
                <w:b/>
                <w:i/>
              </w:rPr>
            </w:pPr>
            <w:r>
              <w:rPr>
                <w:b/>
                <w:i/>
              </w:rPr>
              <w:t>E</w:t>
            </w:r>
            <w:r w:rsidRPr="00514BB9">
              <w:rPr>
                <w:b/>
                <w:i/>
              </w:rPr>
              <w:t>ducation, occupation and income</w:t>
            </w:r>
            <w:r>
              <w:rPr>
                <w:b/>
                <w:i/>
              </w:rPr>
              <w:t xml:space="preserve"> are weakly correlated</w:t>
            </w:r>
          </w:p>
          <w:p w:rsidR="00B16FE6" w:rsidRPr="00FC6E46" w:rsidRDefault="00B16FE6" w:rsidP="0051054D">
            <w:pPr>
              <w:pStyle w:val="Tablegriddotpoints"/>
              <w:rPr>
                <w:i/>
              </w:rPr>
            </w:pPr>
            <w:r>
              <w:t xml:space="preserve">An argument supporting education and occupation being included in the SES score was their correlation with income </w:t>
            </w:r>
          </w:p>
          <w:p w:rsidR="00B16FE6" w:rsidRPr="009E4658" w:rsidRDefault="00B16FE6" w:rsidP="0051054D">
            <w:pPr>
              <w:pStyle w:val="Tablegriddotpoints"/>
              <w:rPr>
                <w:i/>
              </w:rPr>
            </w:pPr>
            <w:r>
              <w:t>However, the correlation between education and occupation</w:t>
            </w:r>
            <w:r w:rsidRPr="008A45D6">
              <w:t xml:space="preserve"> with income is low at the individual level.</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12-14.</w:t>
            </w:r>
          </w:p>
        </w:tc>
        <w:tc>
          <w:tcPr>
            <w:tcW w:w="2143" w:type="pct"/>
          </w:tcPr>
          <w:p w:rsidR="00B16FE6" w:rsidRDefault="00B16FE6" w:rsidP="0051054D">
            <w:pPr>
              <w:pStyle w:val="Tablegriddotpoints"/>
            </w:pPr>
            <w:r>
              <w:t xml:space="preserve">Evidence of low correlation between education and income, and occupation and income, is drawn from </w:t>
            </w:r>
            <w:r>
              <w:rPr>
                <w:noProof/>
              </w:rPr>
              <w:t>Marks (2016), p. 196</w:t>
            </w:r>
          </w:p>
          <w:p w:rsidR="00B16FE6" w:rsidRDefault="00B16FE6" w:rsidP="0051054D">
            <w:pPr>
              <w:pStyle w:val="Tablegriddotpoints"/>
            </w:pPr>
            <w:r>
              <w:t>This article analysed the LSAC.</w:t>
            </w:r>
          </w:p>
        </w:tc>
      </w:tr>
      <w:tr w:rsidR="00B16FE6" w:rsidTr="0051054D">
        <w:tc>
          <w:tcPr>
            <w:tcW w:w="2143" w:type="pct"/>
          </w:tcPr>
          <w:p w:rsidR="00B16FE6" w:rsidRPr="00FC6E46" w:rsidRDefault="00B16FE6" w:rsidP="0051054D">
            <w:pPr>
              <w:pStyle w:val="Tablegridtext"/>
              <w:rPr>
                <w:b/>
                <w:i/>
              </w:rPr>
            </w:pPr>
            <w:r>
              <w:rPr>
                <w:b/>
                <w:i/>
              </w:rPr>
              <w:t>E</w:t>
            </w:r>
            <w:r w:rsidRPr="00FC6E46">
              <w:rPr>
                <w:b/>
                <w:i/>
              </w:rPr>
              <w:t>ducation and occupation</w:t>
            </w:r>
            <w:r>
              <w:rPr>
                <w:b/>
                <w:i/>
              </w:rPr>
              <w:t xml:space="preserve"> are used twice in the SRS</w:t>
            </w:r>
          </w:p>
          <w:p w:rsidR="00B16FE6" w:rsidRDefault="00B16FE6" w:rsidP="0051054D">
            <w:pPr>
              <w:pStyle w:val="Tablegriddotpoints"/>
            </w:pPr>
            <w:r>
              <w:t>E</w:t>
            </w:r>
            <w:r w:rsidRPr="003F7335">
              <w:t xml:space="preserve">ducation and occupation are used </w:t>
            </w:r>
            <w:r>
              <w:t xml:space="preserve">twice in the SRS—in </w:t>
            </w:r>
            <w:r w:rsidRPr="003F7335">
              <w:t>the SES score and the low-SES loading</w:t>
            </w:r>
            <w:r>
              <w:t xml:space="preserve"> </w:t>
            </w:r>
          </w:p>
          <w:p w:rsidR="00B16FE6" w:rsidRDefault="00B16FE6" w:rsidP="0051054D">
            <w:pPr>
              <w:pStyle w:val="Tablegriddotpoints"/>
            </w:pPr>
            <w:r>
              <w:t>The low SES loading uses occupation and education data collected by ACARA for use in developing ICSEA</w:t>
            </w:r>
          </w:p>
          <w:p w:rsidR="00B16FE6" w:rsidRPr="00D32146" w:rsidRDefault="00B16FE6" w:rsidP="0051054D">
            <w:pPr>
              <w:pStyle w:val="Tablegriddotpoints"/>
            </w:pPr>
            <w:r>
              <w:t>Education and occupation</w:t>
            </w:r>
            <w:r w:rsidRPr="003F7335">
              <w:t xml:space="preserve"> </w:t>
            </w:r>
            <w:r>
              <w:t xml:space="preserve">play a great role in </w:t>
            </w:r>
            <w:r w:rsidRPr="003F7335">
              <w:t>determining school funding</w:t>
            </w:r>
            <w:r>
              <w:t>, with income having a lesser role.</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15-16.</w:t>
            </w:r>
            <w:r>
              <w:t xml:space="preserve"> </w:t>
            </w:r>
          </w:p>
          <w:p w:rsidR="00B16FE6" w:rsidRPr="007C4913" w:rsidRDefault="00B16FE6" w:rsidP="0051054D">
            <w:pPr>
              <w:pStyle w:val="Tablegridtext"/>
              <w:rPr>
                <w:b/>
                <w:i/>
              </w:rPr>
            </w:pPr>
            <w:r w:rsidRPr="007C4913">
              <w:rPr>
                <w:b/>
                <w:i/>
              </w:rPr>
              <w:t>Researcher</w:t>
            </w:r>
          </w:p>
          <w:p w:rsidR="00B16FE6" w:rsidRDefault="00B16FE6" w:rsidP="0051054D">
            <w:pPr>
              <w:pStyle w:val="Tablegridtext"/>
            </w:pPr>
            <w:r>
              <w:rPr>
                <w:noProof/>
              </w:rPr>
              <w:t>Farish (2017), p. 2.</w:t>
            </w:r>
          </w:p>
        </w:tc>
        <w:tc>
          <w:tcPr>
            <w:tcW w:w="2143" w:type="pct"/>
          </w:tcPr>
          <w:p w:rsidR="00B16FE6" w:rsidRDefault="00B16FE6" w:rsidP="0051054D">
            <w:pPr>
              <w:pStyle w:val="Tablegriddotpoints"/>
            </w:pPr>
            <w:r>
              <w:rPr>
                <w:noProof/>
              </w:rPr>
              <w:t>Catholic Education Commission of Victoria (2017)</w:t>
            </w:r>
            <w:r>
              <w:t xml:space="preserve"> compare the education and occupation data elements used to generate the SES score and ICSEA </w:t>
            </w:r>
          </w:p>
          <w:p w:rsidR="00B16FE6" w:rsidRDefault="00B16FE6" w:rsidP="0051054D">
            <w:pPr>
              <w:pStyle w:val="Tablegriddotpoints"/>
            </w:pPr>
            <w:r>
              <w:t xml:space="preserve">A high degree of commonality is identified in the specific education and occupation data elements used in both the SES score and ICSEA. </w:t>
            </w:r>
          </w:p>
        </w:tc>
      </w:tr>
      <w:tr w:rsidR="00B16FE6" w:rsidTr="0051054D">
        <w:tc>
          <w:tcPr>
            <w:tcW w:w="2143" w:type="pct"/>
          </w:tcPr>
          <w:p w:rsidR="00B16FE6" w:rsidRPr="00FC6E46" w:rsidRDefault="00B16FE6" w:rsidP="0051054D">
            <w:pPr>
              <w:pStyle w:val="Tablegridtext"/>
              <w:rPr>
                <w:b/>
                <w:i/>
              </w:rPr>
            </w:pPr>
            <w:r w:rsidRPr="00FC6E46">
              <w:rPr>
                <w:b/>
                <w:i/>
              </w:rPr>
              <w:t>Family/household wealth is not used</w:t>
            </w:r>
            <w:r>
              <w:rPr>
                <w:b/>
                <w:i/>
              </w:rPr>
              <w:t xml:space="preserve"> in the SES score</w:t>
            </w:r>
          </w:p>
          <w:p w:rsidR="00B16FE6" w:rsidRDefault="00B16FE6" w:rsidP="0051054D">
            <w:pPr>
              <w:pStyle w:val="Tablegriddotpoints"/>
            </w:pPr>
            <w:r>
              <w:t>F</w:t>
            </w:r>
            <w:r w:rsidRPr="00AC7FBE">
              <w:t>amily/household wealth is relevant to estimat</w:t>
            </w:r>
            <w:r>
              <w:t>ing</w:t>
            </w:r>
            <w:r w:rsidRPr="00AC7FBE">
              <w:t xml:space="preserve"> fami</w:t>
            </w:r>
            <w:r>
              <w:t>ly</w:t>
            </w:r>
            <w:r w:rsidRPr="00AC7FBE">
              <w:t xml:space="preserve"> capacity to contribute financially to their children's education, yet it is missing</w:t>
            </w:r>
            <w:r>
              <w:t xml:space="preserve"> from the SES score calculation</w:t>
            </w:r>
          </w:p>
          <w:p w:rsidR="00B16FE6" w:rsidRPr="00A43E3D" w:rsidRDefault="00B16FE6" w:rsidP="0051054D">
            <w:pPr>
              <w:pStyle w:val="Tablegriddotpoints"/>
              <w:rPr>
                <w:i/>
              </w:rPr>
            </w:pPr>
            <w:r w:rsidRPr="00A43E3D">
              <w:rPr>
                <w:i/>
              </w:rPr>
              <w:t xml:space="preserve">‘A ‘fit for purpose’ measure of capacity to contribute would take into account all of the financial means available to student families to contribute to school costs. </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15-16.</w:t>
            </w:r>
          </w:p>
          <w:p w:rsidR="00B16FE6" w:rsidRPr="007C4913" w:rsidRDefault="00B16FE6" w:rsidP="0051054D">
            <w:pPr>
              <w:pStyle w:val="Tablegridtext"/>
              <w:rPr>
                <w:b/>
                <w:i/>
              </w:rPr>
            </w:pPr>
            <w:r w:rsidRPr="007C4913">
              <w:rPr>
                <w:b/>
                <w:i/>
              </w:rPr>
              <w:t>Researcher</w:t>
            </w:r>
          </w:p>
          <w:p w:rsidR="00B16FE6" w:rsidRDefault="00B16FE6" w:rsidP="0051054D">
            <w:pPr>
              <w:pStyle w:val="Tablegridtext"/>
            </w:pPr>
            <w:r>
              <w:rPr>
                <w:noProof/>
              </w:rPr>
              <w:t>Farish (2017), p. 8.</w:t>
            </w:r>
          </w:p>
        </w:tc>
        <w:tc>
          <w:tcPr>
            <w:tcW w:w="2143" w:type="pct"/>
          </w:tcPr>
          <w:p w:rsidR="00B16FE6" w:rsidRDefault="00B16FE6" w:rsidP="0051054D">
            <w:pPr>
              <w:pStyle w:val="Tablegriddotpoints"/>
            </w:pPr>
            <w:r>
              <w:rPr>
                <w:noProof/>
              </w:rPr>
              <w:t>Catholic Education Commission of Victoria (2017)</w:t>
            </w:r>
            <w:r>
              <w:t xml:space="preserve"> compare the SES score to means testing for income support payments, where income and assets tests are used </w:t>
            </w:r>
          </w:p>
          <w:p w:rsidR="00B16FE6" w:rsidRDefault="00B16FE6" w:rsidP="0051054D">
            <w:pPr>
              <w:pStyle w:val="Tablegriddotpoints"/>
            </w:pPr>
            <w:r>
              <w:t>ABS data shows younger families are more likely to have less wealth than older families, but similar income levels</w:t>
            </w:r>
          </w:p>
          <w:p w:rsidR="00B16FE6" w:rsidRDefault="00B16FE6" w:rsidP="0051054D">
            <w:pPr>
              <w:pStyle w:val="Tablegriddotpoints"/>
            </w:pPr>
            <w:r>
              <w:t xml:space="preserve">Wealth and income are not in line—high income households have 48.5% of income and 62.1% of wealth. </w:t>
            </w:r>
          </w:p>
        </w:tc>
      </w:tr>
      <w:tr w:rsidR="00B16FE6" w:rsidTr="0051054D">
        <w:tc>
          <w:tcPr>
            <w:tcW w:w="2143" w:type="pct"/>
            <w:shd w:val="clear" w:color="auto" w:fill="000000" w:themeFill="text1"/>
          </w:tcPr>
          <w:p w:rsidR="00B16FE6" w:rsidRDefault="00B16FE6" w:rsidP="0051054D">
            <w:pPr>
              <w:pStyle w:val="Tablegridtext"/>
            </w:pPr>
            <w:r>
              <w:t>Accuracy of the SES score</w:t>
            </w:r>
          </w:p>
        </w:tc>
        <w:tc>
          <w:tcPr>
            <w:tcW w:w="714" w:type="pct"/>
            <w:shd w:val="clear" w:color="auto" w:fill="000000" w:themeFill="text1"/>
          </w:tcPr>
          <w:p w:rsidR="00B16FE6" w:rsidRDefault="00B16FE6" w:rsidP="0051054D">
            <w:pPr>
              <w:pStyle w:val="Tablegridtext"/>
            </w:pPr>
          </w:p>
        </w:tc>
        <w:tc>
          <w:tcPr>
            <w:tcW w:w="2143" w:type="pct"/>
            <w:shd w:val="clear" w:color="auto" w:fill="000000" w:themeFill="text1"/>
          </w:tcPr>
          <w:p w:rsidR="00B16FE6" w:rsidRDefault="00B16FE6" w:rsidP="0051054D">
            <w:pPr>
              <w:pStyle w:val="Tablegridtext"/>
            </w:pPr>
          </w:p>
        </w:tc>
      </w:tr>
      <w:tr w:rsidR="00B16FE6" w:rsidTr="0051054D">
        <w:tc>
          <w:tcPr>
            <w:tcW w:w="2143" w:type="pct"/>
            <w:vAlign w:val="top"/>
          </w:tcPr>
          <w:p w:rsidR="00B16FE6" w:rsidRPr="007B34E8" w:rsidRDefault="00B16FE6" w:rsidP="0051054D">
            <w:pPr>
              <w:pStyle w:val="Tablegridheading2"/>
            </w:pPr>
            <w:r w:rsidRPr="007B34E8">
              <w:t>The ecological fallacy</w:t>
            </w:r>
          </w:p>
        </w:tc>
        <w:tc>
          <w:tcPr>
            <w:tcW w:w="714" w:type="pct"/>
          </w:tcPr>
          <w:p w:rsidR="00B16FE6" w:rsidRPr="00984E92" w:rsidRDefault="00B16FE6" w:rsidP="0051054D">
            <w:pPr>
              <w:pStyle w:val="Tablegridheading2"/>
            </w:pPr>
          </w:p>
        </w:tc>
        <w:tc>
          <w:tcPr>
            <w:tcW w:w="2143" w:type="pct"/>
          </w:tcPr>
          <w:p w:rsidR="00B16FE6" w:rsidRDefault="00B16FE6" w:rsidP="0051054D">
            <w:pPr>
              <w:pStyle w:val="Tablegridheading2"/>
            </w:pPr>
          </w:p>
        </w:tc>
      </w:tr>
      <w:tr w:rsidR="00B16FE6" w:rsidTr="0051054D">
        <w:tc>
          <w:tcPr>
            <w:tcW w:w="2143" w:type="pct"/>
            <w:vAlign w:val="top"/>
          </w:tcPr>
          <w:p w:rsidR="00B16FE6" w:rsidRPr="00607AA0" w:rsidRDefault="002263C4" w:rsidP="0051054D">
            <w:pPr>
              <w:pStyle w:val="Tablegridtext"/>
              <w:rPr>
                <w:b/>
                <w:i/>
              </w:rPr>
            </w:pPr>
            <w:r>
              <w:rPr>
                <w:b/>
                <w:i/>
              </w:rPr>
              <w:t>Non</w:t>
            </w:r>
            <w:r>
              <w:rPr>
                <w:b/>
                <w:i/>
              </w:rPr>
              <w:noBreakHyphen/>
              <w:t>government</w:t>
            </w:r>
            <w:r w:rsidR="00B16FE6" w:rsidRPr="00607AA0">
              <w:rPr>
                <w:b/>
                <w:i/>
              </w:rPr>
              <w:t xml:space="preserve"> school</w:t>
            </w:r>
            <w:r w:rsidR="00B16FE6">
              <w:rPr>
                <w:b/>
                <w:i/>
              </w:rPr>
              <w:t xml:space="preserve"> students</w:t>
            </w:r>
            <w:r w:rsidR="00B16FE6" w:rsidRPr="00607AA0">
              <w:rPr>
                <w:b/>
                <w:i/>
              </w:rPr>
              <w:t xml:space="preserve"> </w:t>
            </w:r>
            <w:r w:rsidR="00B16FE6">
              <w:rPr>
                <w:b/>
                <w:i/>
              </w:rPr>
              <w:t>are unrepresentative of SA1s</w:t>
            </w:r>
          </w:p>
          <w:p w:rsidR="00B16FE6" w:rsidRDefault="00B16FE6" w:rsidP="0051054D">
            <w:pPr>
              <w:pStyle w:val="Tablegriddotpoints"/>
            </w:pPr>
            <w:r>
              <w:t>T</w:t>
            </w:r>
            <w:r w:rsidRPr="004C16FD">
              <w:t xml:space="preserve">he distribution of </w:t>
            </w:r>
            <w:r>
              <w:t>students</w:t>
            </w:r>
            <w:r w:rsidRPr="004C16FD">
              <w:t xml:space="preserve"> from a given </w:t>
            </w:r>
            <w:r>
              <w:t>SA1</w:t>
            </w:r>
            <w:r w:rsidRPr="004C16FD">
              <w:t xml:space="preserve"> across different schools is not socioeconomically neutral</w:t>
            </w:r>
          </w:p>
          <w:p w:rsidR="00B16FE6" w:rsidRDefault="00B16FE6" w:rsidP="0051054D">
            <w:pPr>
              <w:pStyle w:val="Tablegriddotpoints"/>
            </w:pPr>
            <w:r>
              <w:t>More</w:t>
            </w:r>
            <w:r w:rsidRPr="004C16FD">
              <w:t xml:space="preserve"> affluent families from a</w:t>
            </w:r>
            <w:r>
              <w:t>n</w:t>
            </w:r>
            <w:r w:rsidRPr="004C16FD">
              <w:t xml:space="preserve"> SA1 tend to attend </w:t>
            </w:r>
            <w:r>
              <w:t xml:space="preserve">different schools to less affluent </w:t>
            </w:r>
            <w:r w:rsidRPr="004C16FD">
              <w:t xml:space="preserve">families </w:t>
            </w:r>
          </w:p>
          <w:p w:rsidR="00B16FE6" w:rsidRDefault="00B16FE6" w:rsidP="0051054D">
            <w:pPr>
              <w:pStyle w:val="Tablegriddotpoints"/>
              <w:rPr>
                <w:b/>
                <w:i/>
              </w:rPr>
            </w:pPr>
            <w:r>
              <w:t xml:space="preserve">This situation </w:t>
            </w:r>
            <w:r w:rsidRPr="004C16FD">
              <w:t>bias</w:t>
            </w:r>
            <w:r>
              <w:t>es</w:t>
            </w:r>
            <w:r w:rsidRPr="004C16FD">
              <w:t xml:space="preserve"> SES scores</w:t>
            </w:r>
            <w:r>
              <w:t>--</w:t>
            </w:r>
            <w:r w:rsidR="002263C4">
              <w:t>non</w:t>
            </w:r>
            <w:r w:rsidR="002263C4">
              <w:noBreakHyphen/>
              <w:t>government</w:t>
            </w:r>
            <w:r>
              <w:t xml:space="preserve"> </w:t>
            </w:r>
            <w:r w:rsidRPr="004C16FD">
              <w:t>schools</w:t>
            </w:r>
            <w:r>
              <w:t xml:space="preserve"> attracting more affluent families from an SA1 receive a lower SES score than is representative of their students.</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24-25.</w:t>
            </w:r>
          </w:p>
          <w:p w:rsidR="00B16FE6" w:rsidRPr="00373F55" w:rsidRDefault="00B16FE6" w:rsidP="0051054D">
            <w:pPr>
              <w:pStyle w:val="Tablegridtext"/>
              <w:rPr>
                <w:b/>
                <w:i/>
              </w:rPr>
            </w:pPr>
            <w:r w:rsidRPr="00373F55">
              <w:rPr>
                <w:b/>
                <w:i/>
              </w:rPr>
              <w:t>Researcher</w:t>
            </w:r>
          </w:p>
          <w:p w:rsidR="00B16FE6" w:rsidRPr="00984E92" w:rsidRDefault="00B16FE6" w:rsidP="0051054D">
            <w:pPr>
              <w:pStyle w:val="Tablegridtext"/>
              <w:rPr>
                <w:b/>
              </w:rPr>
            </w:pPr>
            <w:r>
              <w:rPr>
                <w:noProof/>
              </w:rPr>
              <w:t>Preston (2010).</w:t>
            </w:r>
          </w:p>
        </w:tc>
        <w:tc>
          <w:tcPr>
            <w:tcW w:w="2143" w:type="pct"/>
          </w:tcPr>
          <w:p w:rsidR="00B16FE6" w:rsidRDefault="00B16FE6" w:rsidP="0051054D">
            <w:pPr>
              <w:pStyle w:val="Tablegriddotpoints"/>
            </w:pPr>
            <w:r>
              <w:rPr>
                <w:noProof/>
              </w:rPr>
              <w:t xml:space="preserve">Catholic Education Commission of Victoria (2017) </w:t>
            </w:r>
            <w:r>
              <w:t>compare average family income by school sector attended</w:t>
            </w:r>
          </w:p>
          <w:p w:rsidR="00B16FE6" w:rsidRDefault="00B16FE6" w:rsidP="0051054D">
            <w:pPr>
              <w:pStyle w:val="Tablegriddotpoints"/>
            </w:pPr>
            <w:r>
              <w:t>The analysis found one sector has lower average incomes in 56 per cent of metropolitan SA1s than the other sector</w:t>
            </w:r>
          </w:p>
          <w:p w:rsidR="00B16FE6" w:rsidRDefault="00B16FE6" w:rsidP="0051054D">
            <w:pPr>
              <w:pStyle w:val="Tablegriddotpoints"/>
            </w:pPr>
            <w:r>
              <w:rPr>
                <w:noProof/>
              </w:rPr>
              <w:t>Preston (2010)</w:t>
            </w:r>
            <w:r>
              <w:t xml:space="preserve"> undertook CD-level analysis of the 2001 Census on families with secondary students in Penrith</w:t>
            </w:r>
          </w:p>
          <w:p w:rsidR="00B16FE6" w:rsidRDefault="00B16FE6" w:rsidP="0051054D">
            <w:pPr>
              <w:pStyle w:val="Tablegriddotpoints"/>
            </w:pPr>
            <w:r>
              <w:t>Government school secondary students were equally likely to have a low or high family income</w:t>
            </w:r>
          </w:p>
          <w:p w:rsidR="00B16FE6" w:rsidRDefault="002263C4" w:rsidP="0051054D">
            <w:pPr>
              <w:pStyle w:val="Tablegriddotpoints"/>
            </w:pPr>
            <w:r>
              <w:t>Non</w:t>
            </w:r>
            <w:r>
              <w:noBreakHyphen/>
              <w:t>government</w:t>
            </w:r>
            <w:r w:rsidR="00B16FE6">
              <w:t xml:space="preserve"> school students were more than twice as likely to have a high income as a low income. </w:t>
            </w:r>
          </w:p>
        </w:tc>
      </w:tr>
      <w:tr w:rsidR="00B16FE6" w:rsidTr="0051054D">
        <w:tc>
          <w:tcPr>
            <w:tcW w:w="2143" w:type="pct"/>
            <w:vAlign w:val="top"/>
          </w:tcPr>
          <w:p w:rsidR="00B16FE6" w:rsidRPr="00FB1F54" w:rsidRDefault="00B16FE6" w:rsidP="0051054D">
            <w:pPr>
              <w:pStyle w:val="Tablegridtext"/>
              <w:rPr>
                <w:b/>
                <w:i/>
              </w:rPr>
            </w:pPr>
            <w:r w:rsidRPr="00FB1F54">
              <w:rPr>
                <w:b/>
                <w:i/>
              </w:rPr>
              <w:t xml:space="preserve">The SES score </w:t>
            </w:r>
            <w:r>
              <w:rPr>
                <w:b/>
                <w:i/>
              </w:rPr>
              <w:t>favours</w:t>
            </w:r>
            <w:r w:rsidRPr="00FB1F54">
              <w:rPr>
                <w:b/>
                <w:i/>
              </w:rPr>
              <w:t xml:space="preserve"> schools serving </w:t>
            </w:r>
            <w:r>
              <w:rPr>
                <w:b/>
                <w:i/>
              </w:rPr>
              <w:t xml:space="preserve">regional </w:t>
            </w:r>
            <w:r w:rsidRPr="00FB1F54">
              <w:rPr>
                <w:b/>
                <w:i/>
              </w:rPr>
              <w:t>students</w:t>
            </w:r>
          </w:p>
          <w:p w:rsidR="00B16FE6" w:rsidRDefault="00B16FE6" w:rsidP="0051054D">
            <w:pPr>
              <w:pStyle w:val="Tablegriddotpoints"/>
            </w:pPr>
            <w:r>
              <w:t>T</w:t>
            </w:r>
            <w:r w:rsidRPr="004C16FD">
              <w:t>he social geography and density of population</w:t>
            </w:r>
            <w:r>
              <w:t>s</w:t>
            </w:r>
            <w:r w:rsidRPr="004C16FD">
              <w:t xml:space="preserve"> across metropolitan and regional areas tends to advantage regional schools</w:t>
            </w:r>
            <w:r>
              <w:t xml:space="preserve"> and schools serving high proportions of students from regional areas (e.g. boarding schools) </w:t>
            </w:r>
          </w:p>
          <w:p w:rsidR="00B16FE6" w:rsidRDefault="00B16FE6" w:rsidP="0051054D">
            <w:pPr>
              <w:pStyle w:val="Tablegriddotpoints"/>
              <w:rPr>
                <w:b/>
                <w:i/>
              </w:rPr>
            </w:pPr>
            <w:r>
              <w:t xml:space="preserve">These schools tend </w:t>
            </w:r>
            <w:r w:rsidRPr="004C16FD">
              <w:t xml:space="preserve">draw students </w:t>
            </w:r>
            <w:r>
              <w:t>from regional areas with more diverse SES within SA1s than in metropolitan areas.</w:t>
            </w:r>
          </w:p>
        </w:tc>
        <w:tc>
          <w:tcPr>
            <w:tcW w:w="714" w:type="pct"/>
          </w:tcPr>
          <w:p w:rsidR="00B16FE6" w:rsidRPr="00373F55" w:rsidRDefault="00B16FE6" w:rsidP="0051054D">
            <w:pPr>
              <w:pStyle w:val="Tablegridtext"/>
              <w:rPr>
                <w:b/>
                <w:i/>
              </w:rPr>
            </w:pPr>
            <w:r w:rsidRPr="00373F55">
              <w:rPr>
                <w:b/>
                <w:i/>
              </w:rPr>
              <w:t>Researcher</w:t>
            </w:r>
          </w:p>
          <w:p w:rsidR="00B16FE6" w:rsidRPr="00984E92" w:rsidRDefault="00B16FE6" w:rsidP="0051054D">
            <w:pPr>
              <w:pStyle w:val="Tablegridtext"/>
              <w:rPr>
                <w:b/>
              </w:rPr>
            </w:pPr>
            <w:r>
              <w:rPr>
                <w:noProof/>
              </w:rPr>
              <w:t>Watson (2004), pp. 233-234.</w:t>
            </w:r>
          </w:p>
        </w:tc>
        <w:tc>
          <w:tcPr>
            <w:tcW w:w="2143" w:type="pct"/>
          </w:tcPr>
          <w:p w:rsidR="00B16FE6" w:rsidRDefault="00B16FE6" w:rsidP="0051054D">
            <w:pPr>
              <w:pStyle w:val="Tablegriddotpoints"/>
            </w:pPr>
            <w:r>
              <w:t xml:space="preserve">Evidence is presented examining the SES scores for several independent schools located in regional areas, or serving students from regional areas </w:t>
            </w:r>
          </w:p>
          <w:p w:rsidR="00B16FE6" w:rsidRDefault="00B16FE6" w:rsidP="0051054D">
            <w:pPr>
              <w:pStyle w:val="Tablegriddotpoints"/>
            </w:pPr>
            <w:r>
              <w:t>These schools were identified as having relatively high fees, but SES scores that were significantly lower than metropolitan-based schools with similar fee levels.</w:t>
            </w:r>
          </w:p>
        </w:tc>
      </w:tr>
      <w:tr w:rsidR="00B16FE6" w:rsidTr="0051054D">
        <w:tc>
          <w:tcPr>
            <w:tcW w:w="2143" w:type="pct"/>
            <w:vAlign w:val="top"/>
          </w:tcPr>
          <w:p w:rsidR="00B16FE6" w:rsidRPr="007B34E8" w:rsidRDefault="00B16FE6" w:rsidP="0051054D">
            <w:pPr>
              <w:pStyle w:val="Tablegridtext"/>
              <w:rPr>
                <w:b/>
                <w:i/>
              </w:rPr>
            </w:pPr>
            <w:r>
              <w:rPr>
                <w:b/>
                <w:i/>
              </w:rPr>
              <w:t xml:space="preserve">There can be significant variation in household SES </w:t>
            </w:r>
            <w:r w:rsidRPr="00D024F1">
              <w:rPr>
                <w:b/>
              </w:rPr>
              <w:t>within</w:t>
            </w:r>
            <w:r>
              <w:rPr>
                <w:b/>
                <w:i/>
              </w:rPr>
              <w:t xml:space="preserve"> SA1s</w:t>
            </w:r>
          </w:p>
          <w:p w:rsidR="00B16FE6" w:rsidRDefault="00B16FE6" w:rsidP="0051054D">
            <w:pPr>
              <w:pStyle w:val="Tablegriddotpoints"/>
            </w:pPr>
            <w:r>
              <w:t>H</w:t>
            </w:r>
            <w:r w:rsidRPr="004C16FD">
              <w:t>ousehold resources within SA1</w:t>
            </w:r>
            <w:r>
              <w:t>s</w:t>
            </w:r>
            <w:r w:rsidRPr="004C16FD">
              <w:t xml:space="preserve"> </w:t>
            </w:r>
            <w:r>
              <w:t xml:space="preserve">can vary greatly </w:t>
            </w:r>
          </w:p>
          <w:p w:rsidR="00B16FE6" w:rsidRDefault="00B16FE6" w:rsidP="0051054D">
            <w:pPr>
              <w:pStyle w:val="Tablegriddotpoints"/>
            </w:pPr>
            <w:r>
              <w:t xml:space="preserve">ABS research compares individual and area-level SES </w:t>
            </w:r>
          </w:p>
          <w:p w:rsidR="00B16FE6" w:rsidRDefault="00B16FE6" w:rsidP="0051054D">
            <w:pPr>
              <w:pStyle w:val="Tablegriddotpoints"/>
            </w:pPr>
            <w:r>
              <w:t xml:space="preserve">SES scores calculated using area-level data may not accurately reflect the family characteristics of students attending </w:t>
            </w:r>
            <w:r w:rsidR="002263C4">
              <w:t>non</w:t>
            </w:r>
            <w:r w:rsidR="002263C4">
              <w:noBreakHyphen/>
              <w:t>government</w:t>
            </w:r>
            <w:r>
              <w:t xml:space="preserve"> schools.</w:t>
            </w:r>
          </w:p>
        </w:tc>
        <w:tc>
          <w:tcPr>
            <w:tcW w:w="714" w:type="pct"/>
          </w:tcPr>
          <w:p w:rsidR="00B16FE6" w:rsidRPr="00984E92" w:rsidRDefault="00B16FE6" w:rsidP="0051054D">
            <w:pPr>
              <w:pStyle w:val="Tablegridtext"/>
              <w:rPr>
                <w:b/>
              </w:rPr>
            </w:pPr>
            <w:r w:rsidRPr="00984E92">
              <w:rPr>
                <w:b/>
              </w:rPr>
              <w:t>Statistics agency</w:t>
            </w:r>
          </w:p>
          <w:p w:rsidR="00B16FE6" w:rsidRDefault="00B16FE6" w:rsidP="0051054D">
            <w:pPr>
              <w:pStyle w:val="Tablegridtext"/>
            </w:pPr>
            <w:r>
              <w:rPr>
                <w:noProof/>
              </w:rPr>
              <w:t>Wise &amp; Mathews (2011).</w:t>
            </w:r>
          </w:p>
        </w:tc>
        <w:tc>
          <w:tcPr>
            <w:tcW w:w="2143" w:type="pct"/>
          </w:tcPr>
          <w:p w:rsidR="00B16FE6" w:rsidRDefault="00B16FE6" w:rsidP="0051054D">
            <w:pPr>
              <w:pStyle w:val="Tablegriddotpoints"/>
            </w:pPr>
            <w:r>
              <w:rPr>
                <w:noProof/>
              </w:rPr>
              <w:t>Wise &amp; Mathews (2011)</w:t>
            </w:r>
            <w:r>
              <w:t xml:space="preserve"> examine individual level diversity within areas, compared to area-level analysis </w:t>
            </w:r>
          </w:p>
          <w:p w:rsidR="00B16FE6" w:rsidRDefault="00B16FE6" w:rsidP="0051054D">
            <w:pPr>
              <w:pStyle w:val="Tablegriddotpoints"/>
            </w:pPr>
            <w:r>
              <w:t>Equivalent individual indexes of IRSAD and IRSD were developed, using ABS 2006 Census data</w:t>
            </w:r>
          </w:p>
          <w:p w:rsidR="00B16FE6" w:rsidRDefault="00B16FE6" w:rsidP="0051054D">
            <w:pPr>
              <w:pStyle w:val="Tablegriddotpoints"/>
            </w:pPr>
            <w:r>
              <w:t>The analysis identified significant diversity within CDs, varying between states and territories.</w:t>
            </w:r>
          </w:p>
        </w:tc>
      </w:tr>
      <w:tr w:rsidR="00B16FE6" w:rsidTr="0051054D">
        <w:tc>
          <w:tcPr>
            <w:tcW w:w="2143" w:type="pct"/>
          </w:tcPr>
          <w:p w:rsidR="00B16FE6" w:rsidRPr="00DA2935" w:rsidRDefault="00B16FE6" w:rsidP="0051054D">
            <w:pPr>
              <w:pStyle w:val="Tablegridtext"/>
              <w:rPr>
                <w:b/>
                <w:i/>
              </w:rPr>
            </w:pPr>
            <w:r w:rsidRPr="0025185A">
              <w:rPr>
                <w:b/>
                <w:i/>
              </w:rPr>
              <w:t>Mesh blocks may overcome the ecological fallacy</w:t>
            </w:r>
          </w:p>
          <w:p w:rsidR="00B16FE6" w:rsidRDefault="00B16FE6" w:rsidP="0051054D">
            <w:pPr>
              <w:pStyle w:val="Tablegriddotpoints"/>
            </w:pPr>
            <w:r>
              <w:t>The Review of Funding for Schooling suggested SES scores be generated using mesh blocks in place of CDs</w:t>
            </w:r>
          </w:p>
          <w:p w:rsidR="00B16FE6" w:rsidRPr="004C16FD" w:rsidRDefault="00B16FE6" w:rsidP="0051054D">
            <w:pPr>
              <w:pStyle w:val="Tablegriddotpoints"/>
            </w:pPr>
            <w:r>
              <w:t xml:space="preserve">Mesh blocks are smaller than SA1s, providing an opportunity to improve SES score ‘accuracy and reliability’. </w:t>
            </w:r>
          </w:p>
        </w:tc>
        <w:tc>
          <w:tcPr>
            <w:tcW w:w="714" w:type="pct"/>
          </w:tcPr>
          <w:p w:rsidR="00B16FE6" w:rsidRPr="00392D87" w:rsidRDefault="00B16FE6" w:rsidP="0051054D">
            <w:pPr>
              <w:pStyle w:val="Tablegridtext"/>
              <w:rPr>
                <w:b/>
                <w:i/>
              </w:rPr>
            </w:pPr>
            <w:r w:rsidRPr="00392D87">
              <w:rPr>
                <w:b/>
                <w:i/>
              </w:rPr>
              <w:t>Government review</w:t>
            </w:r>
          </w:p>
          <w:p w:rsidR="00B16FE6" w:rsidRDefault="00B16FE6" w:rsidP="0051054D">
            <w:pPr>
              <w:pStyle w:val="Tablegridtext"/>
            </w:pPr>
            <w:r>
              <w:rPr>
                <w:noProof/>
              </w:rPr>
              <w:t>Gonski, et al. (2011), p. 177.</w:t>
            </w:r>
          </w:p>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Independent Schools Victoria (2011), p. 37.</w:t>
            </w:r>
          </w:p>
        </w:tc>
        <w:tc>
          <w:tcPr>
            <w:tcW w:w="2143" w:type="pct"/>
          </w:tcPr>
          <w:p w:rsidR="00B16FE6" w:rsidRDefault="00B16FE6" w:rsidP="0051054D">
            <w:pPr>
              <w:pStyle w:val="Tablegriddotpoints"/>
            </w:pPr>
            <w:r>
              <w:t xml:space="preserve">This option was not closely examined in the Review of Funding for Schooling report or the </w:t>
            </w:r>
            <w:r>
              <w:rPr>
                <w:noProof/>
              </w:rPr>
              <w:t>Independent Schools Victoria</w:t>
            </w:r>
            <w:r>
              <w:t xml:space="preserve"> submission</w:t>
            </w:r>
          </w:p>
          <w:p w:rsidR="00B16FE6" w:rsidRDefault="00B16FE6" w:rsidP="0051054D">
            <w:pPr>
              <w:pStyle w:val="Tablegriddotpoints"/>
            </w:pPr>
            <w:r>
              <w:t xml:space="preserve">Rather, it was flagged as a possibility only. </w:t>
            </w:r>
          </w:p>
        </w:tc>
      </w:tr>
      <w:tr w:rsidR="00B16FE6" w:rsidTr="0051054D">
        <w:tc>
          <w:tcPr>
            <w:tcW w:w="2143" w:type="pct"/>
          </w:tcPr>
          <w:p w:rsidR="00B16FE6" w:rsidRPr="004C16FD" w:rsidRDefault="00B16FE6" w:rsidP="0051054D">
            <w:pPr>
              <w:pStyle w:val="Tablegridheading2"/>
            </w:pPr>
            <w:r>
              <w:t>Measurement error</w:t>
            </w:r>
          </w:p>
        </w:tc>
        <w:tc>
          <w:tcPr>
            <w:tcW w:w="714" w:type="pct"/>
          </w:tcPr>
          <w:p w:rsidR="00B16FE6" w:rsidRDefault="00B16FE6" w:rsidP="0051054D">
            <w:pPr>
              <w:pStyle w:val="Tablegridheading2"/>
            </w:pPr>
          </w:p>
        </w:tc>
        <w:tc>
          <w:tcPr>
            <w:tcW w:w="2143" w:type="pct"/>
          </w:tcPr>
          <w:p w:rsidR="00B16FE6" w:rsidRDefault="00B16FE6" w:rsidP="0051054D">
            <w:pPr>
              <w:pStyle w:val="Tablegridheading2"/>
            </w:pPr>
          </w:p>
        </w:tc>
      </w:tr>
      <w:tr w:rsidR="00B16FE6" w:rsidTr="0051054D">
        <w:tc>
          <w:tcPr>
            <w:tcW w:w="2143" w:type="pct"/>
          </w:tcPr>
          <w:p w:rsidR="00B16FE6" w:rsidRPr="001E6252" w:rsidRDefault="00B16FE6" w:rsidP="0051054D">
            <w:pPr>
              <w:pStyle w:val="Tablegridtext"/>
              <w:rPr>
                <w:b/>
                <w:i/>
              </w:rPr>
            </w:pPr>
            <w:r w:rsidRPr="001E6252">
              <w:rPr>
                <w:b/>
                <w:i/>
              </w:rPr>
              <w:t xml:space="preserve">The income </w:t>
            </w:r>
            <w:r>
              <w:rPr>
                <w:b/>
                <w:i/>
              </w:rPr>
              <w:t>dimensions may not adequately measure affluence</w:t>
            </w:r>
          </w:p>
          <w:p w:rsidR="00B16FE6" w:rsidRDefault="00B16FE6" w:rsidP="0051054D">
            <w:pPr>
              <w:pStyle w:val="Tablegriddotpoints"/>
            </w:pPr>
            <w:r>
              <w:t xml:space="preserve">The </w:t>
            </w:r>
            <w:r w:rsidRPr="006D3290">
              <w:t>thresholds determin</w:t>
            </w:r>
            <w:r>
              <w:t>ing</w:t>
            </w:r>
            <w:r w:rsidRPr="006D3290">
              <w:t xml:space="preserve"> the 'income' profile of SA1s </w:t>
            </w:r>
            <w:r>
              <w:t>within the SES score are</w:t>
            </w:r>
            <w:r w:rsidRPr="006D3290">
              <w:t xml:space="preserve"> an imprecise way of assessing capacity to contribute </w:t>
            </w:r>
          </w:p>
          <w:p w:rsidR="00B16FE6" w:rsidRPr="004C16FD" w:rsidRDefault="00B16FE6" w:rsidP="0051054D">
            <w:pPr>
              <w:pStyle w:val="Tablegriddotpoints"/>
            </w:pPr>
            <w:r>
              <w:t xml:space="preserve">Rather there can be significant variation in resources—families </w:t>
            </w:r>
            <w:r w:rsidRPr="006D3290">
              <w:t xml:space="preserve">below the lower threshold and above the upper threshold </w:t>
            </w:r>
            <w:r>
              <w:t xml:space="preserve">do not </w:t>
            </w:r>
            <w:r w:rsidRPr="006D3290">
              <w:t>have equal resources</w:t>
            </w:r>
            <w:r>
              <w:t>.</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pp. 29-32.</w:t>
            </w:r>
          </w:p>
        </w:tc>
        <w:tc>
          <w:tcPr>
            <w:tcW w:w="2143" w:type="pct"/>
          </w:tcPr>
          <w:p w:rsidR="00B16FE6" w:rsidRDefault="00B16FE6" w:rsidP="0051054D">
            <w:pPr>
              <w:pStyle w:val="Tablegriddotpoints"/>
            </w:pPr>
            <w:r>
              <w:t xml:space="preserve">2011 Census data shows diversity in families with incomes above the high-income threshold ($156,000 per annum) </w:t>
            </w:r>
          </w:p>
          <w:p w:rsidR="00B16FE6" w:rsidRDefault="00B16FE6" w:rsidP="0051054D">
            <w:pPr>
              <w:pStyle w:val="Tablegriddotpoints"/>
            </w:pPr>
            <w:r>
              <w:t>Many SA1s have similar proportions of families with incomes above $156,000 per annum, but variable proportions of families with incomes above $260,000</w:t>
            </w:r>
          </w:p>
          <w:p w:rsidR="00B16FE6" w:rsidRDefault="00B16FE6" w:rsidP="0051054D">
            <w:pPr>
              <w:pStyle w:val="Tablegriddotpoints"/>
            </w:pPr>
            <w:r>
              <w:t xml:space="preserve">The proportion of families with very high incomes are consistently higher in one </w:t>
            </w:r>
            <w:r w:rsidR="002263C4">
              <w:t>non</w:t>
            </w:r>
            <w:r w:rsidR="002263C4">
              <w:noBreakHyphen/>
              <w:t>government</w:t>
            </w:r>
            <w:r>
              <w:t xml:space="preserve"> school sector.</w:t>
            </w:r>
          </w:p>
        </w:tc>
      </w:tr>
      <w:tr w:rsidR="00B16FE6" w:rsidTr="0051054D">
        <w:tc>
          <w:tcPr>
            <w:tcW w:w="2143" w:type="pct"/>
          </w:tcPr>
          <w:p w:rsidR="00B16FE6" w:rsidRPr="00EA2EAB" w:rsidRDefault="00B16FE6" w:rsidP="0051054D">
            <w:pPr>
              <w:pStyle w:val="Tablegridtext"/>
              <w:rPr>
                <w:b/>
                <w:i/>
              </w:rPr>
            </w:pPr>
            <w:r>
              <w:rPr>
                <w:b/>
                <w:i/>
              </w:rPr>
              <w:t>F</w:t>
            </w:r>
            <w:r w:rsidRPr="00EA2EAB">
              <w:rPr>
                <w:b/>
                <w:i/>
              </w:rPr>
              <w:t xml:space="preserve">amilies with a nil/negative income may </w:t>
            </w:r>
            <w:r>
              <w:rPr>
                <w:b/>
                <w:i/>
              </w:rPr>
              <w:t>still be affluent</w:t>
            </w:r>
          </w:p>
          <w:p w:rsidR="00B16FE6" w:rsidRDefault="00B16FE6" w:rsidP="0051054D">
            <w:pPr>
              <w:pStyle w:val="Tablegriddotpoints"/>
            </w:pPr>
            <w:r w:rsidRPr="006D3290">
              <w:t>Households/families with a nil/negative income are included in the 'low</w:t>
            </w:r>
            <w:r>
              <w:t xml:space="preserve"> </w:t>
            </w:r>
            <w:r w:rsidRPr="006D3290">
              <w:t>income' category</w:t>
            </w:r>
            <w:r>
              <w:t xml:space="preserve"> </w:t>
            </w:r>
          </w:p>
          <w:p w:rsidR="00B16FE6" w:rsidRPr="004C16FD" w:rsidRDefault="00B16FE6" w:rsidP="0051054D">
            <w:pPr>
              <w:pStyle w:val="Tablegriddotpoints"/>
            </w:pPr>
            <w:r>
              <w:t xml:space="preserve">It is contended that </w:t>
            </w:r>
            <w:r w:rsidRPr="006D3290">
              <w:t xml:space="preserve">many of </w:t>
            </w:r>
            <w:r>
              <w:t xml:space="preserve">these households/families may actually have higher incomes or be affluent, meaning the income dimensions included in the SES score may be inaccurate. </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 18.</w:t>
            </w:r>
          </w:p>
        </w:tc>
        <w:tc>
          <w:tcPr>
            <w:tcW w:w="2143" w:type="pct"/>
          </w:tcPr>
          <w:p w:rsidR="00B16FE6" w:rsidRDefault="00B16FE6" w:rsidP="0051054D">
            <w:pPr>
              <w:pStyle w:val="Tablegriddotpoints"/>
            </w:pPr>
            <w:r>
              <w:t xml:space="preserve">‘[P]eople living in households with nil or negative income tended to have more similar characteristics to those living in higher income households’ </w:t>
            </w:r>
            <w:sdt>
              <w:sdtPr>
                <w:id w:val="-157390503"/>
                <w:citation/>
              </w:sdtPr>
              <w:sdtContent>
                <w:r>
                  <w:fldChar w:fldCharType="begin"/>
                </w:r>
                <w:r>
                  <w:instrText xml:space="preserve">CITATION Pin13 \p 21 \l 3081 </w:instrText>
                </w:r>
                <w:r>
                  <w:fldChar w:fldCharType="separate"/>
                </w:r>
                <w:r w:rsidR="005333F5">
                  <w:rPr>
                    <w:noProof/>
                  </w:rPr>
                  <w:t>(Pink, 2013, p. 21)</w:t>
                </w:r>
                <w:r>
                  <w:fldChar w:fldCharType="end"/>
                </w:r>
              </w:sdtContent>
            </w:sdt>
            <w:r>
              <w:t xml:space="preserve"> </w:t>
            </w:r>
          </w:p>
          <w:p w:rsidR="00B16FE6" w:rsidRDefault="00B16FE6" w:rsidP="0051054D">
            <w:pPr>
              <w:pStyle w:val="Tablegriddotpoints"/>
            </w:pPr>
            <w:r>
              <w:t xml:space="preserve">Few families are affected—1.2 per cent of usable observations. In almost 10 per cent of SA1s, more than 5 per cent of observations have a nil or negative income. </w:t>
            </w:r>
          </w:p>
        </w:tc>
      </w:tr>
      <w:tr w:rsidR="00B16FE6" w:rsidTr="0051054D">
        <w:tc>
          <w:tcPr>
            <w:tcW w:w="2143" w:type="pct"/>
          </w:tcPr>
          <w:p w:rsidR="00B16FE6" w:rsidRPr="005D09ED" w:rsidRDefault="00B16FE6" w:rsidP="0051054D">
            <w:pPr>
              <w:pStyle w:val="Tablegridtext"/>
              <w:rPr>
                <w:b/>
                <w:i/>
              </w:rPr>
            </w:pPr>
            <w:r>
              <w:rPr>
                <w:b/>
                <w:i/>
              </w:rPr>
              <w:t>P</w:t>
            </w:r>
            <w:r w:rsidRPr="005D09ED">
              <w:rPr>
                <w:b/>
                <w:i/>
              </w:rPr>
              <w:t xml:space="preserve">arents may live in </w:t>
            </w:r>
            <w:r>
              <w:rPr>
                <w:b/>
                <w:i/>
              </w:rPr>
              <w:t xml:space="preserve">a </w:t>
            </w:r>
            <w:r w:rsidRPr="005D09ED">
              <w:rPr>
                <w:b/>
                <w:i/>
              </w:rPr>
              <w:t xml:space="preserve">different </w:t>
            </w:r>
            <w:r>
              <w:rPr>
                <w:b/>
                <w:i/>
              </w:rPr>
              <w:t>location to their child</w:t>
            </w:r>
          </w:p>
          <w:p w:rsidR="00B16FE6" w:rsidRDefault="00B16FE6" w:rsidP="0051054D">
            <w:pPr>
              <w:pStyle w:val="Tablegriddotpoints"/>
            </w:pPr>
            <w:r>
              <w:t>C</w:t>
            </w:r>
            <w:r w:rsidRPr="006D3290">
              <w:t xml:space="preserve">apacity to contribute cannot be deduced directly from the resources available to </w:t>
            </w:r>
            <w:r>
              <w:t>the</w:t>
            </w:r>
            <w:r w:rsidRPr="006D3290">
              <w:t xml:space="preserve"> family </w:t>
            </w:r>
            <w:r>
              <w:t>a student lives with</w:t>
            </w:r>
          </w:p>
          <w:p w:rsidR="00B16FE6" w:rsidRPr="004C16FD" w:rsidRDefault="00B16FE6" w:rsidP="0051054D">
            <w:pPr>
              <w:pStyle w:val="Tablegriddotpoints"/>
            </w:pPr>
            <w:r>
              <w:t>M</w:t>
            </w:r>
            <w:r w:rsidRPr="006D3290">
              <w:t xml:space="preserve">any parents live in separate households </w:t>
            </w:r>
            <w:r>
              <w:t xml:space="preserve">to the student, </w:t>
            </w:r>
            <w:r w:rsidRPr="006D3290">
              <w:t>yet can contribute to their children's education</w:t>
            </w:r>
            <w:r>
              <w:t>.</w:t>
            </w:r>
          </w:p>
        </w:tc>
        <w:tc>
          <w:tcPr>
            <w:tcW w:w="714" w:type="pct"/>
          </w:tcPr>
          <w:p w:rsidR="00B16FE6" w:rsidRPr="007C4913" w:rsidRDefault="00B16FE6" w:rsidP="0051054D">
            <w:pPr>
              <w:pStyle w:val="Tablegridtext"/>
              <w:rPr>
                <w:b/>
                <w:i/>
              </w:rPr>
            </w:pPr>
            <w:r w:rsidRPr="007C4913">
              <w:rPr>
                <w:b/>
                <w:i/>
              </w:rPr>
              <w:t>Peak body</w:t>
            </w:r>
          </w:p>
          <w:p w:rsidR="00B16FE6" w:rsidRDefault="00B16FE6" w:rsidP="0051054D">
            <w:pPr>
              <w:pStyle w:val="Tablegridtext"/>
            </w:pPr>
            <w:r>
              <w:rPr>
                <w:noProof/>
              </w:rPr>
              <w:t>Catholic Education Commission of Victoria (2017), p. 34.</w:t>
            </w:r>
          </w:p>
        </w:tc>
        <w:tc>
          <w:tcPr>
            <w:tcW w:w="2143" w:type="pct"/>
          </w:tcPr>
          <w:p w:rsidR="00B16FE6" w:rsidRDefault="00B16FE6" w:rsidP="0051054D">
            <w:pPr>
              <w:pStyle w:val="Tablegriddotpoints"/>
            </w:pPr>
            <w:r>
              <w:t xml:space="preserve">The 2011 ABS Census indicates that 14.5 per cent of households comprise one-parent families. This implies that in many cases a parent is living in a different location </w:t>
            </w:r>
          </w:p>
          <w:p w:rsidR="00B16FE6" w:rsidRDefault="00B16FE6" w:rsidP="0051054D">
            <w:pPr>
              <w:pStyle w:val="Tablegriddotpoints"/>
            </w:pPr>
            <w:r>
              <w:t xml:space="preserve">It is noted that only the SA1 where a student resides is considered in the SES score calculation. </w:t>
            </w:r>
          </w:p>
        </w:tc>
      </w:tr>
      <w:tr w:rsidR="00B16FE6" w:rsidTr="0051054D">
        <w:tc>
          <w:tcPr>
            <w:tcW w:w="2143" w:type="pct"/>
          </w:tcPr>
          <w:p w:rsidR="00B16FE6" w:rsidRPr="004637DB" w:rsidRDefault="00B16FE6" w:rsidP="0051054D">
            <w:pPr>
              <w:pStyle w:val="Tablegridtext"/>
              <w:rPr>
                <w:b/>
                <w:i/>
              </w:rPr>
            </w:pPr>
            <w:r w:rsidRPr="004637DB">
              <w:rPr>
                <w:b/>
                <w:i/>
              </w:rPr>
              <w:t xml:space="preserve">Family size is not </w:t>
            </w:r>
            <w:r>
              <w:rPr>
                <w:b/>
                <w:i/>
              </w:rPr>
              <w:t xml:space="preserve">considered in SES score </w:t>
            </w:r>
            <w:r w:rsidR="002D279D">
              <w:rPr>
                <w:b/>
                <w:i/>
              </w:rPr>
              <w:t>calculation</w:t>
            </w:r>
          </w:p>
          <w:p w:rsidR="00B16FE6" w:rsidRDefault="00B16FE6" w:rsidP="0051054D">
            <w:pPr>
              <w:pStyle w:val="Tablegriddotpoints"/>
            </w:pPr>
            <w:r w:rsidRPr="00D32146">
              <w:t xml:space="preserve">The diversity in family/household size is not accounted for in </w:t>
            </w:r>
            <w:r>
              <w:t>the SES score calculation</w:t>
            </w:r>
          </w:p>
          <w:p w:rsidR="00B16FE6" w:rsidRDefault="00B16FE6" w:rsidP="0051054D">
            <w:pPr>
              <w:pStyle w:val="Tablegriddotpoints"/>
            </w:pPr>
            <w:r>
              <w:t xml:space="preserve">As a consequence </w:t>
            </w:r>
            <w:r w:rsidRPr="00D32146">
              <w:t xml:space="preserve">the number of children whose </w:t>
            </w:r>
            <w:r>
              <w:t xml:space="preserve">families are </w:t>
            </w:r>
            <w:r w:rsidRPr="00D32146">
              <w:t>expected to contribute towards</w:t>
            </w:r>
            <w:r>
              <w:t xml:space="preserve"> their education is not taken into account when generating SES scores. </w:t>
            </w:r>
          </w:p>
        </w:tc>
        <w:tc>
          <w:tcPr>
            <w:tcW w:w="714" w:type="pct"/>
          </w:tcPr>
          <w:p w:rsidR="00B16FE6" w:rsidRPr="007C4913" w:rsidRDefault="00B16FE6" w:rsidP="0051054D">
            <w:pPr>
              <w:pStyle w:val="Tablegridtext"/>
              <w:rPr>
                <w:b/>
                <w:i/>
              </w:rPr>
            </w:pPr>
            <w:r>
              <w:rPr>
                <w:b/>
                <w:i/>
              </w:rPr>
              <w:t>Peak bodies</w:t>
            </w:r>
          </w:p>
          <w:p w:rsidR="00B16FE6" w:rsidRDefault="00B16FE6" w:rsidP="0051054D">
            <w:pPr>
              <w:pStyle w:val="Tablegridtext"/>
              <w:rPr>
                <w:noProof/>
              </w:rPr>
            </w:pPr>
            <w:r>
              <w:rPr>
                <w:noProof/>
              </w:rPr>
              <w:t>Catholic Education Commission of Victoria (2017), p. 19.</w:t>
            </w:r>
          </w:p>
          <w:p w:rsidR="00B16FE6" w:rsidRDefault="00B16FE6" w:rsidP="0051054D">
            <w:pPr>
              <w:pStyle w:val="Tablegridtext"/>
            </w:pPr>
            <w:r>
              <w:rPr>
                <w:noProof/>
              </w:rPr>
              <w:t>Independent Schools Victoria, (2011), p. 37.</w:t>
            </w:r>
          </w:p>
          <w:p w:rsidR="00B16FE6" w:rsidRDefault="00B16FE6" w:rsidP="0051054D">
            <w:pPr>
              <w:pStyle w:val="Tablegridtext"/>
            </w:pPr>
            <w:r>
              <w:rPr>
                <w:noProof/>
              </w:rPr>
              <w:t>Australian Council of Jewish Schools (2017), p. 6.</w:t>
            </w:r>
          </w:p>
          <w:p w:rsidR="00B16FE6" w:rsidRPr="007C4913" w:rsidRDefault="00B16FE6" w:rsidP="0051054D">
            <w:pPr>
              <w:pStyle w:val="Tablegridtext"/>
              <w:rPr>
                <w:b/>
                <w:i/>
              </w:rPr>
            </w:pPr>
            <w:r w:rsidRPr="007C4913">
              <w:rPr>
                <w:b/>
                <w:i/>
              </w:rPr>
              <w:t xml:space="preserve">Researcher </w:t>
            </w:r>
          </w:p>
          <w:p w:rsidR="00B16FE6" w:rsidRDefault="00B16FE6" w:rsidP="0051054D">
            <w:pPr>
              <w:pStyle w:val="Tablegridtext"/>
            </w:pPr>
            <w:r>
              <w:rPr>
                <w:noProof/>
              </w:rPr>
              <w:t>Farish (2017), p. 2.</w:t>
            </w:r>
          </w:p>
        </w:tc>
        <w:tc>
          <w:tcPr>
            <w:tcW w:w="2143" w:type="pct"/>
          </w:tcPr>
          <w:p w:rsidR="00B16FE6" w:rsidRDefault="00B16FE6" w:rsidP="0051054D">
            <w:pPr>
              <w:pStyle w:val="Tablegriddotpoints"/>
            </w:pPr>
            <w:r>
              <w:rPr>
                <w:noProof/>
              </w:rPr>
              <w:t>Catholic Education Commission of Victoria (2017)</w:t>
            </w:r>
            <w:r>
              <w:t xml:space="preserve"> present 2011 ABS Census data showing the average number of dependent children in a family declines as income increases </w:t>
            </w:r>
          </w:p>
          <w:p w:rsidR="00B16FE6" w:rsidRDefault="00B16FE6" w:rsidP="0051054D">
            <w:pPr>
              <w:pStyle w:val="Tablegriddotpoints"/>
            </w:pPr>
            <w:r>
              <w:t xml:space="preserve">A number of schools have successfully appealed their SES score on the basis that their school communities have </w:t>
            </w:r>
            <w:r w:rsidR="00955954">
              <w:t xml:space="preserve">significantly </w:t>
            </w:r>
            <w:r>
              <w:t xml:space="preserve">larger families than the average. </w:t>
            </w:r>
          </w:p>
        </w:tc>
      </w:tr>
      <w:tr w:rsidR="00B16FE6" w:rsidTr="0051054D">
        <w:tc>
          <w:tcPr>
            <w:tcW w:w="2143" w:type="pct"/>
          </w:tcPr>
          <w:p w:rsidR="00B16FE6" w:rsidRPr="00056A0B" w:rsidRDefault="00B16FE6" w:rsidP="0051054D">
            <w:pPr>
              <w:pStyle w:val="Tablegridheading2"/>
            </w:pPr>
            <w:r>
              <w:t>Data robustness</w:t>
            </w:r>
          </w:p>
        </w:tc>
        <w:tc>
          <w:tcPr>
            <w:tcW w:w="714" w:type="pct"/>
          </w:tcPr>
          <w:p w:rsidR="00B16FE6" w:rsidRPr="0098647E" w:rsidRDefault="00B16FE6" w:rsidP="0051054D">
            <w:pPr>
              <w:pStyle w:val="Tablegridtext"/>
              <w:rPr>
                <w:b/>
                <w:i/>
              </w:rPr>
            </w:pPr>
          </w:p>
        </w:tc>
        <w:tc>
          <w:tcPr>
            <w:tcW w:w="2143" w:type="pct"/>
          </w:tcPr>
          <w:p w:rsidR="00B16FE6" w:rsidRDefault="00B16FE6" w:rsidP="0051054D">
            <w:pPr>
              <w:pStyle w:val="Tablegridtext"/>
            </w:pPr>
          </w:p>
        </w:tc>
      </w:tr>
      <w:tr w:rsidR="00B16FE6" w:rsidTr="0051054D">
        <w:tc>
          <w:tcPr>
            <w:tcW w:w="2143" w:type="pct"/>
          </w:tcPr>
          <w:p w:rsidR="00B16FE6" w:rsidRDefault="00B16FE6" w:rsidP="0051054D">
            <w:pPr>
              <w:pStyle w:val="Tablegridtext"/>
              <w:rPr>
                <w:b/>
                <w:i/>
              </w:rPr>
            </w:pPr>
            <w:r w:rsidRPr="00056A0B">
              <w:rPr>
                <w:b/>
                <w:i/>
              </w:rPr>
              <w:t xml:space="preserve">Census data is </w:t>
            </w:r>
            <w:r>
              <w:rPr>
                <w:b/>
                <w:i/>
              </w:rPr>
              <w:t>more robust than data collected from parents</w:t>
            </w:r>
          </w:p>
          <w:p w:rsidR="00B16FE6" w:rsidRDefault="00B16FE6" w:rsidP="0051054D">
            <w:pPr>
              <w:pStyle w:val="Tablegriddotpoints"/>
            </w:pPr>
            <w:r>
              <w:t xml:space="preserve">Census data used to </w:t>
            </w:r>
            <w:r w:rsidR="002D279D">
              <w:t>calculat</w:t>
            </w:r>
            <w:r>
              <w:t xml:space="preserve">e the SES score is </w:t>
            </w:r>
            <w:r w:rsidRPr="006F77E6">
              <w:t>collected under controlled and consistent conditions</w:t>
            </w:r>
          </w:p>
          <w:p w:rsidR="00B16FE6" w:rsidRDefault="00B16FE6" w:rsidP="0051054D">
            <w:pPr>
              <w:pStyle w:val="Tablegriddotpoints"/>
            </w:pPr>
            <w:r>
              <w:t>Accordingly, Census data is a reliable source of SES data on which to base a funding model</w:t>
            </w:r>
          </w:p>
          <w:p w:rsidR="00B16FE6" w:rsidRPr="00056A0B" w:rsidRDefault="00B16FE6" w:rsidP="0051054D">
            <w:pPr>
              <w:pStyle w:val="Tablegriddotpoints"/>
            </w:pPr>
            <w:r>
              <w:t>Data collected by schools from parents is not robust.</w:t>
            </w:r>
          </w:p>
        </w:tc>
        <w:tc>
          <w:tcPr>
            <w:tcW w:w="714" w:type="pct"/>
          </w:tcPr>
          <w:p w:rsidR="00B16FE6" w:rsidRPr="0098647E" w:rsidRDefault="00B16FE6" w:rsidP="0051054D">
            <w:pPr>
              <w:pStyle w:val="Tablegridtext"/>
              <w:rPr>
                <w:b/>
                <w:i/>
              </w:rPr>
            </w:pPr>
            <w:r w:rsidRPr="0098647E">
              <w:rPr>
                <w:b/>
                <w:i/>
              </w:rPr>
              <w:t>Peak body</w:t>
            </w:r>
          </w:p>
          <w:p w:rsidR="00B16FE6" w:rsidRPr="006F77E6" w:rsidRDefault="00B16FE6" w:rsidP="0051054D">
            <w:pPr>
              <w:pStyle w:val="Tablegridtext"/>
            </w:pPr>
            <w:r>
              <w:rPr>
                <w:noProof/>
              </w:rPr>
              <w:t>Independent Schools Council of Australia (2011), p. 3</w:t>
            </w:r>
            <w:r>
              <w:t xml:space="preserve"> and </w:t>
            </w:r>
            <w:r>
              <w:rPr>
                <w:noProof/>
              </w:rPr>
              <w:t>Independent Schools Victoria, (2011), p. 37.</w:t>
            </w:r>
          </w:p>
        </w:tc>
        <w:tc>
          <w:tcPr>
            <w:tcW w:w="2143" w:type="pct"/>
          </w:tcPr>
          <w:p w:rsidR="00B16FE6" w:rsidRDefault="00B16FE6" w:rsidP="0051054D">
            <w:pPr>
              <w:pStyle w:val="Tablegriddotpoints"/>
            </w:pPr>
            <w:r>
              <w:t xml:space="preserve">No evidence is provided supporting this view that Census data is more robust than data collected from parents.  </w:t>
            </w:r>
          </w:p>
        </w:tc>
      </w:tr>
      <w:tr w:rsidR="00B16FE6" w:rsidTr="0051054D">
        <w:tc>
          <w:tcPr>
            <w:tcW w:w="2143" w:type="pct"/>
            <w:shd w:val="clear" w:color="auto" w:fill="000000" w:themeFill="text1"/>
          </w:tcPr>
          <w:p w:rsidR="00B16FE6" w:rsidRDefault="00B16FE6" w:rsidP="0051054D">
            <w:pPr>
              <w:pStyle w:val="Tablegridtext"/>
            </w:pPr>
            <w:r>
              <w:t>Timeliness of the SES score</w:t>
            </w:r>
          </w:p>
        </w:tc>
        <w:tc>
          <w:tcPr>
            <w:tcW w:w="714" w:type="pct"/>
            <w:shd w:val="clear" w:color="auto" w:fill="000000" w:themeFill="text1"/>
          </w:tcPr>
          <w:p w:rsidR="00B16FE6" w:rsidRDefault="00B16FE6" w:rsidP="0051054D">
            <w:pPr>
              <w:pStyle w:val="Tablegridtext"/>
            </w:pPr>
          </w:p>
        </w:tc>
        <w:tc>
          <w:tcPr>
            <w:tcW w:w="2143" w:type="pct"/>
            <w:shd w:val="clear" w:color="auto" w:fill="000000" w:themeFill="text1"/>
          </w:tcPr>
          <w:p w:rsidR="00B16FE6" w:rsidRDefault="00B16FE6" w:rsidP="0051054D">
            <w:pPr>
              <w:pStyle w:val="Tablegridtext"/>
            </w:pPr>
          </w:p>
        </w:tc>
      </w:tr>
      <w:tr w:rsidR="00B16FE6" w:rsidTr="0051054D">
        <w:tc>
          <w:tcPr>
            <w:tcW w:w="2143" w:type="pct"/>
          </w:tcPr>
          <w:p w:rsidR="00B16FE6" w:rsidRPr="00C50E7C" w:rsidRDefault="00B16FE6" w:rsidP="0051054D">
            <w:pPr>
              <w:pStyle w:val="Tablegridtext"/>
              <w:rPr>
                <w:b/>
                <w:i/>
              </w:rPr>
            </w:pPr>
            <w:r w:rsidRPr="00C50E7C">
              <w:rPr>
                <w:b/>
                <w:i/>
              </w:rPr>
              <w:t xml:space="preserve">The </w:t>
            </w:r>
            <w:r>
              <w:rPr>
                <w:b/>
                <w:i/>
              </w:rPr>
              <w:t xml:space="preserve">five years </w:t>
            </w:r>
            <w:r w:rsidRPr="00C50E7C">
              <w:rPr>
                <w:b/>
                <w:i/>
              </w:rPr>
              <w:t>between Census</w:t>
            </w:r>
            <w:r>
              <w:rPr>
                <w:b/>
                <w:i/>
              </w:rPr>
              <w:t>es makes the data soon outdated</w:t>
            </w:r>
          </w:p>
          <w:p w:rsidR="00B16FE6" w:rsidRDefault="00B16FE6" w:rsidP="0051054D">
            <w:pPr>
              <w:pStyle w:val="Tablegriddotpoints"/>
            </w:pPr>
            <w:r w:rsidRPr="00D86343">
              <w:t xml:space="preserve">The </w:t>
            </w:r>
            <w:r>
              <w:t xml:space="preserve">five yearly Census </w:t>
            </w:r>
            <w:r w:rsidRPr="00D86343">
              <w:t xml:space="preserve">means information on </w:t>
            </w:r>
            <w:r>
              <w:t>communities, and thus</w:t>
            </w:r>
            <w:r w:rsidRPr="00D86343">
              <w:t xml:space="preserve"> capacity to contribute</w:t>
            </w:r>
            <w:r>
              <w:t>,</w:t>
            </w:r>
            <w:r w:rsidRPr="00D86343">
              <w:t xml:space="preserve"> </w:t>
            </w:r>
            <w:r>
              <w:t xml:space="preserve">is soon out of date. </w:t>
            </w:r>
          </w:p>
          <w:p w:rsidR="00B16FE6" w:rsidRDefault="00B16FE6" w:rsidP="0051054D">
            <w:pPr>
              <w:pStyle w:val="Tablegriddotpoints"/>
            </w:pPr>
            <w:r>
              <w:t xml:space="preserve">Specific issues impacting SES score timeliness include urban fringe residential development, structural change and population movement. </w:t>
            </w:r>
          </w:p>
        </w:tc>
        <w:tc>
          <w:tcPr>
            <w:tcW w:w="714" w:type="pct"/>
          </w:tcPr>
          <w:p w:rsidR="00B16FE6" w:rsidRPr="0098647E" w:rsidRDefault="00B16FE6" w:rsidP="0051054D">
            <w:pPr>
              <w:pStyle w:val="Tablegridtext"/>
              <w:rPr>
                <w:b/>
                <w:i/>
              </w:rPr>
            </w:pPr>
            <w:r w:rsidRPr="0098647E">
              <w:rPr>
                <w:b/>
                <w:i/>
              </w:rPr>
              <w:t>Peak body</w:t>
            </w:r>
          </w:p>
          <w:p w:rsidR="00B16FE6" w:rsidRDefault="00B16FE6" w:rsidP="0051054D">
            <w:pPr>
              <w:pStyle w:val="Tablegridtext"/>
            </w:pPr>
            <w:r>
              <w:rPr>
                <w:noProof/>
              </w:rPr>
              <w:t>Catholic Education Commission of Victoria (2017), pp. 32-34.</w:t>
            </w:r>
          </w:p>
        </w:tc>
        <w:tc>
          <w:tcPr>
            <w:tcW w:w="2143" w:type="pct"/>
          </w:tcPr>
          <w:p w:rsidR="00B16FE6" w:rsidRDefault="00B16FE6" w:rsidP="0051054D">
            <w:pPr>
              <w:pStyle w:val="Tablegriddotpoints"/>
            </w:pPr>
            <w:r>
              <w:t xml:space="preserve">The example of the impact of the 2010-11 ‘mining investment boom’ in Western Australia is used </w:t>
            </w:r>
          </w:p>
          <w:p w:rsidR="00B16FE6" w:rsidRDefault="00B16FE6" w:rsidP="0051054D">
            <w:pPr>
              <w:pStyle w:val="Tablegriddotpoints"/>
            </w:pPr>
            <w:r>
              <w:t xml:space="preserve">It is argued the boom led to the average household and family income dimension scores for Western Australian SA1s being 104, compared to 99 in the rest of Australia </w:t>
            </w:r>
          </w:p>
          <w:p w:rsidR="00B16FE6" w:rsidRDefault="00B16FE6" w:rsidP="0051054D">
            <w:pPr>
              <w:pStyle w:val="Tablegriddotpoints"/>
            </w:pPr>
            <w:r>
              <w:t xml:space="preserve">The subsequent contraction in the Western Australian economy is not reflected in the SES score calculation. </w:t>
            </w:r>
          </w:p>
        </w:tc>
      </w:tr>
    </w:tbl>
    <w:p w:rsidR="00B16FE6" w:rsidRDefault="00B16FE6" w:rsidP="00B16FE6"/>
    <w:p w:rsidR="00B16FE6" w:rsidRDefault="00B16FE6" w:rsidP="00B16FE6"/>
    <w:p w:rsidR="005E47D0" w:rsidRDefault="005E47D0" w:rsidP="00B16FE6">
      <w:pPr>
        <w:sectPr w:rsidR="005E47D0" w:rsidSect="001F193F">
          <w:headerReference w:type="default" r:id="rId54"/>
          <w:pgSz w:w="16838" w:h="11906" w:orient="landscape" w:code="9"/>
          <w:pgMar w:top="1440" w:right="1440" w:bottom="1440" w:left="1440" w:header="720" w:footer="720" w:gutter="0"/>
          <w:cols w:space="720"/>
          <w:noEndnote/>
          <w:docGrid w:linePitch="326"/>
        </w:sectPr>
      </w:pPr>
    </w:p>
    <w:p w:rsidR="0051054D" w:rsidRPr="00275E67" w:rsidRDefault="0051054D" w:rsidP="0051054D">
      <w:pPr>
        <w:pStyle w:val="Heading6"/>
      </w:pPr>
      <w:bookmarkStart w:id="310" w:name="_Toc496803942"/>
      <w:r>
        <w:t>V</w:t>
      </w:r>
      <w:r w:rsidRPr="0051054D">
        <w:t>alidation and analysis of SES score: suggested activities</w:t>
      </w:r>
      <w:bookmarkEnd w:id="310"/>
    </w:p>
    <w:p w:rsidR="005E47D0" w:rsidRDefault="00452089" w:rsidP="00A260FB">
      <w:pPr>
        <w:pStyle w:val="Heading3"/>
      </w:pPr>
      <w:bookmarkStart w:id="311" w:name="_Ref495405897"/>
      <w:bookmarkStart w:id="312" w:name="_Toc496803951"/>
      <w:bookmarkStart w:id="313" w:name="_Ref496883830"/>
      <w:r>
        <w:t xml:space="preserve">Table </w:t>
      </w:r>
      <w:fldSimple w:instr=" STYLEREF 6 \s ">
        <w:r w:rsidR="00B52C11">
          <w:rPr>
            <w:noProof/>
          </w:rPr>
          <w:t>C</w:t>
        </w:r>
      </w:fldSimple>
      <w:r>
        <w:noBreakHyphen/>
      </w:r>
      <w:fldSimple w:instr=" SEQ Table_Apx \* ARABIC \s 6 ">
        <w:r w:rsidR="00B52C11">
          <w:rPr>
            <w:noProof/>
          </w:rPr>
          <w:t>1</w:t>
        </w:r>
      </w:fldSimple>
      <w:bookmarkEnd w:id="311"/>
      <w:r w:rsidR="005E47D0">
        <w:tab/>
      </w:r>
      <w:r w:rsidR="0051054D">
        <w:t>V</w:t>
      </w:r>
      <w:r w:rsidR="005E47D0">
        <w:t xml:space="preserve">alidation and analysis of </w:t>
      </w:r>
      <w:r w:rsidR="0051054D">
        <w:t xml:space="preserve">the </w:t>
      </w:r>
      <w:r w:rsidR="005E47D0">
        <w:t>SES score</w:t>
      </w:r>
      <w:r w:rsidR="0051054D">
        <w:t>: suggested activities</w:t>
      </w:r>
      <w:bookmarkEnd w:id="312"/>
      <w:bookmarkEnd w:id="313"/>
    </w:p>
    <w:tbl>
      <w:tblPr>
        <w:tblStyle w:val="TableGrid"/>
        <w:tblW w:w="5000" w:type="pct"/>
        <w:tblLayout w:type="fixed"/>
        <w:tblLook w:val="04A0" w:firstRow="1" w:lastRow="0" w:firstColumn="1" w:lastColumn="0" w:noHBand="0" w:noVBand="1"/>
        <w:tblCaption w:val="Table C.1 Validation and analysis of the SES score: suggested activities"/>
      </w:tblPr>
      <w:tblGrid>
        <w:gridCol w:w="3506"/>
        <w:gridCol w:w="1170"/>
        <w:gridCol w:w="1558"/>
        <w:gridCol w:w="1842"/>
        <w:gridCol w:w="5882"/>
      </w:tblGrid>
      <w:tr w:rsidR="005E47D0" w:rsidTr="0051054D">
        <w:trPr>
          <w:cnfStyle w:val="100000000000" w:firstRow="1" w:lastRow="0" w:firstColumn="0" w:lastColumn="0" w:oddVBand="0" w:evenVBand="0" w:oddHBand="0" w:evenHBand="0" w:firstRowFirstColumn="0" w:firstRowLastColumn="0" w:lastRowFirstColumn="0" w:lastRowLastColumn="0"/>
          <w:tblHeader/>
        </w:trPr>
        <w:tc>
          <w:tcPr>
            <w:tcW w:w="1256" w:type="pct"/>
          </w:tcPr>
          <w:p w:rsidR="005E47D0" w:rsidRDefault="005E47D0" w:rsidP="0051054D">
            <w:pPr>
              <w:pStyle w:val="Tablegridheading"/>
            </w:pPr>
            <w:r>
              <w:t>Raised issue or concern</w:t>
            </w:r>
          </w:p>
        </w:tc>
        <w:tc>
          <w:tcPr>
            <w:tcW w:w="419" w:type="pct"/>
          </w:tcPr>
          <w:p w:rsidR="005E47D0" w:rsidRDefault="005E47D0" w:rsidP="0051054D">
            <w:pPr>
              <w:pStyle w:val="Tablegridheading"/>
            </w:pPr>
            <w:r>
              <w:t>Validation</w:t>
            </w:r>
          </w:p>
        </w:tc>
        <w:tc>
          <w:tcPr>
            <w:tcW w:w="558" w:type="pct"/>
          </w:tcPr>
          <w:p w:rsidR="005E47D0" w:rsidRDefault="005E47D0" w:rsidP="0051054D">
            <w:pPr>
              <w:pStyle w:val="Tablegridheading"/>
            </w:pPr>
            <w:r>
              <w:t>Improvement</w:t>
            </w:r>
          </w:p>
        </w:tc>
        <w:tc>
          <w:tcPr>
            <w:tcW w:w="660" w:type="pct"/>
          </w:tcPr>
          <w:p w:rsidR="005E47D0" w:rsidRDefault="005E47D0" w:rsidP="0051054D">
            <w:pPr>
              <w:pStyle w:val="Tablegridheading"/>
            </w:pPr>
            <w:r>
              <w:t>Data source</w:t>
            </w:r>
          </w:p>
        </w:tc>
        <w:tc>
          <w:tcPr>
            <w:tcW w:w="2106" w:type="pct"/>
          </w:tcPr>
          <w:p w:rsidR="005E47D0" w:rsidRDefault="005E47D0" w:rsidP="0051054D">
            <w:pPr>
              <w:pStyle w:val="Tablegridheading"/>
            </w:pPr>
            <w:r>
              <w:t>Analysis approach</w:t>
            </w:r>
          </w:p>
        </w:tc>
      </w:tr>
      <w:tr w:rsidR="00025C6B" w:rsidTr="00025C6B">
        <w:tc>
          <w:tcPr>
            <w:tcW w:w="5000" w:type="pct"/>
            <w:gridSpan w:val="5"/>
            <w:shd w:val="clear" w:color="auto" w:fill="000000" w:themeFill="text1"/>
          </w:tcPr>
          <w:p w:rsidR="00025C6B" w:rsidRDefault="00025C6B" w:rsidP="0051054D">
            <w:pPr>
              <w:pStyle w:val="Tablegridtext"/>
            </w:pPr>
            <w:r>
              <w:t>Purpose and objective of the SES score</w:t>
            </w:r>
          </w:p>
        </w:tc>
      </w:tr>
      <w:tr w:rsidR="005E47D0" w:rsidTr="0051054D">
        <w:tc>
          <w:tcPr>
            <w:tcW w:w="1256" w:type="pct"/>
          </w:tcPr>
          <w:p w:rsidR="005E47D0" w:rsidRPr="00423DCD" w:rsidRDefault="005E47D0" w:rsidP="0051054D">
            <w:pPr>
              <w:pStyle w:val="Tablegridnumbering"/>
            </w:pPr>
            <w:r w:rsidRPr="00423DCD">
              <w:t xml:space="preserve">An SES-based measure of capacity to contribute is too narrow </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vMerge w:val="restart"/>
          </w:tcPr>
          <w:p w:rsidR="005E47D0" w:rsidRDefault="005E47D0" w:rsidP="0051054D">
            <w:pPr>
              <w:pStyle w:val="Tablegridtext"/>
            </w:pPr>
            <w:r w:rsidRPr="001103E3">
              <w:t>Financial Questionnaire</w:t>
            </w:r>
            <w:r>
              <w:t xml:space="preserve"> (FQ), enrolment and student characteristics data collected via My School.</w:t>
            </w:r>
          </w:p>
        </w:tc>
        <w:tc>
          <w:tcPr>
            <w:tcW w:w="2106" w:type="pct"/>
            <w:vMerge w:val="restart"/>
          </w:tcPr>
          <w:p w:rsidR="005E47D0" w:rsidRDefault="005E47D0" w:rsidP="0051054D">
            <w:pPr>
              <w:pStyle w:val="Tablegridtext"/>
            </w:pPr>
            <w:r>
              <w:t>Analysis will be guided by the clarification of the capacity to contribute measure objective. Analysis could involve analysing:</w:t>
            </w:r>
          </w:p>
          <w:p w:rsidR="005E47D0" w:rsidRDefault="005E47D0" w:rsidP="0051054D">
            <w:pPr>
              <w:pStyle w:val="Tablegriddotpoints"/>
            </w:pPr>
            <w:r>
              <w:t xml:space="preserve">the relationship between school base SRS funding and school fees, and also school wealth and assets </w:t>
            </w:r>
          </w:p>
          <w:p w:rsidR="005E47D0" w:rsidRDefault="005E47D0" w:rsidP="0051054D">
            <w:pPr>
              <w:pStyle w:val="Tablegriddotpoints"/>
            </w:pPr>
            <w:r>
              <w:t>SES scores and base SRS funding received by schools with similar student characteristics using My School data.</w:t>
            </w:r>
          </w:p>
        </w:tc>
      </w:tr>
      <w:tr w:rsidR="005E47D0" w:rsidTr="0051054D">
        <w:tc>
          <w:tcPr>
            <w:tcW w:w="1256" w:type="pct"/>
          </w:tcPr>
          <w:p w:rsidR="005E47D0" w:rsidRPr="00423DCD" w:rsidRDefault="005E47D0" w:rsidP="0051054D">
            <w:pPr>
              <w:pStyle w:val="Tablegridnumbering"/>
            </w:pPr>
            <w:r w:rsidRPr="00423DCD">
              <w:t xml:space="preserve">Schools that set low fees to facilitate access are penalised </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vMerge/>
          </w:tcPr>
          <w:p w:rsidR="005E47D0" w:rsidRDefault="005E47D0" w:rsidP="0051054D">
            <w:pPr>
              <w:pStyle w:val="Tablegridtext"/>
            </w:pPr>
          </w:p>
        </w:tc>
        <w:tc>
          <w:tcPr>
            <w:tcW w:w="2106" w:type="pct"/>
            <w:vMerge/>
          </w:tcPr>
          <w:p w:rsidR="005E47D0" w:rsidRDefault="005E47D0" w:rsidP="0051054D">
            <w:pPr>
              <w:pStyle w:val="Tablegridtext"/>
            </w:pPr>
          </w:p>
        </w:tc>
      </w:tr>
      <w:tr w:rsidR="005E47D0" w:rsidTr="0051054D">
        <w:tc>
          <w:tcPr>
            <w:tcW w:w="1256" w:type="pct"/>
          </w:tcPr>
          <w:p w:rsidR="005E47D0" w:rsidRPr="00423DCD" w:rsidRDefault="005E47D0" w:rsidP="0051054D">
            <w:pPr>
              <w:pStyle w:val="Tablegridnumbering"/>
            </w:pPr>
            <w:r w:rsidRPr="00423DCD">
              <w:t>Low fee schools should have a reasonable resource base</w:t>
            </w:r>
          </w:p>
        </w:tc>
        <w:tc>
          <w:tcPr>
            <w:tcW w:w="419" w:type="pct"/>
          </w:tcPr>
          <w:p w:rsidR="005E47D0" w:rsidRPr="00A85958"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vMerge/>
          </w:tcPr>
          <w:p w:rsidR="005E47D0" w:rsidRDefault="005E47D0" w:rsidP="0051054D">
            <w:pPr>
              <w:pStyle w:val="Tablegridtext"/>
            </w:pPr>
          </w:p>
        </w:tc>
        <w:tc>
          <w:tcPr>
            <w:tcW w:w="2106" w:type="pct"/>
            <w:vMerge/>
          </w:tcPr>
          <w:p w:rsidR="005E47D0" w:rsidRDefault="005E47D0" w:rsidP="0051054D">
            <w:pPr>
              <w:pStyle w:val="Tablegridtext"/>
            </w:pPr>
          </w:p>
        </w:tc>
      </w:tr>
      <w:tr w:rsidR="005E47D0" w:rsidTr="0051054D">
        <w:tc>
          <w:tcPr>
            <w:tcW w:w="1256" w:type="pct"/>
          </w:tcPr>
          <w:p w:rsidR="005E47D0" w:rsidRPr="00423DCD" w:rsidRDefault="005E47D0" w:rsidP="0051054D">
            <w:pPr>
              <w:pStyle w:val="Tablegridnumbering"/>
            </w:pPr>
            <w:r w:rsidRPr="00423DCD">
              <w:t xml:space="preserve">The SES score makes no adjustment for school wealth </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vMerge/>
          </w:tcPr>
          <w:p w:rsidR="005E47D0" w:rsidRDefault="005E47D0" w:rsidP="0051054D">
            <w:pPr>
              <w:pStyle w:val="Tablegridtext"/>
            </w:pPr>
          </w:p>
        </w:tc>
        <w:tc>
          <w:tcPr>
            <w:tcW w:w="2106" w:type="pct"/>
            <w:vMerge/>
          </w:tcPr>
          <w:p w:rsidR="005E47D0" w:rsidRDefault="005E47D0" w:rsidP="0051054D">
            <w:pPr>
              <w:pStyle w:val="Tablegridtext"/>
            </w:pPr>
          </w:p>
        </w:tc>
      </w:tr>
      <w:tr w:rsidR="005E47D0" w:rsidTr="0051054D">
        <w:tc>
          <w:tcPr>
            <w:tcW w:w="1256" w:type="pct"/>
            <w:shd w:val="clear" w:color="auto" w:fill="000000" w:themeFill="text1"/>
          </w:tcPr>
          <w:p w:rsidR="005E47D0" w:rsidRDefault="005E47D0" w:rsidP="0051054D">
            <w:pPr>
              <w:pStyle w:val="Tablegridtext"/>
            </w:pPr>
            <w:r>
              <w:t>Design of the SES score</w:t>
            </w:r>
          </w:p>
        </w:tc>
        <w:tc>
          <w:tcPr>
            <w:tcW w:w="419" w:type="pct"/>
            <w:shd w:val="clear" w:color="auto" w:fill="000000" w:themeFill="text1"/>
          </w:tcPr>
          <w:p w:rsidR="005E47D0" w:rsidRDefault="005E47D0" w:rsidP="0051054D">
            <w:pPr>
              <w:pStyle w:val="Tablegridtext"/>
            </w:pPr>
          </w:p>
        </w:tc>
        <w:tc>
          <w:tcPr>
            <w:tcW w:w="558" w:type="pct"/>
            <w:shd w:val="clear" w:color="auto" w:fill="000000" w:themeFill="text1"/>
          </w:tcPr>
          <w:p w:rsidR="005E47D0" w:rsidRDefault="005E47D0" w:rsidP="0051054D">
            <w:pPr>
              <w:pStyle w:val="Tablegridtext"/>
            </w:pPr>
          </w:p>
        </w:tc>
        <w:tc>
          <w:tcPr>
            <w:tcW w:w="660" w:type="pct"/>
            <w:shd w:val="clear" w:color="auto" w:fill="000000" w:themeFill="text1"/>
          </w:tcPr>
          <w:p w:rsidR="005E47D0" w:rsidRDefault="005E47D0" w:rsidP="0051054D">
            <w:pPr>
              <w:pStyle w:val="Tablegridtext"/>
            </w:pPr>
          </w:p>
        </w:tc>
        <w:tc>
          <w:tcPr>
            <w:tcW w:w="2106" w:type="pct"/>
            <w:shd w:val="clear" w:color="auto" w:fill="000000" w:themeFill="text1"/>
          </w:tcPr>
          <w:p w:rsidR="005E47D0" w:rsidRDefault="005E47D0" w:rsidP="0051054D">
            <w:pPr>
              <w:pStyle w:val="Tablegridtext"/>
            </w:pPr>
          </w:p>
        </w:tc>
      </w:tr>
      <w:tr w:rsidR="005E47D0" w:rsidTr="0051054D">
        <w:tc>
          <w:tcPr>
            <w:tcW w:w="1256" w:type="pct"/>
          </w:tcPr>
          <w:p w:rsidR="005E47D0" w:rsidRPr="00423DCD" w:rsidRDefault="005E47D0" w:rsidP="0051054D">
            <w:pPr>
              <w:pStyle w:val="Tablegridnumbering"/>
            </w:pPr>
            <w:bookmarkStart w:id="314" w:name="_Ref495402207"/>
            <w:r w:rsidRPr="00423DCD">
              <w:t>Unclear relevance of the education and occupation dimensions</w:t>
            </w:r>
            <w:bookmarkEnd w:id="314"/>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 xml:space="preserve">SA1 dimension scores </w:t>
            </w:r>
          </w:p>
        </w:tc>
        <w:tc>
          <w:tcPr>
            <w:tcW w:w="2106" w:type="pct"/>
          </w:tcPr>
          <w:p w:rsidR="005E47D0" w:rsidRDefault="005E47D0" w:rsidP="0051054D">
            <w:pPr>
              <w:pStyle w:val="Tablegridtext"/>
            </w:pPr>
            <w:r>
              <w:t xml:space="preserve">Analysis focussed on validating rationale for including occupation and education in the SES score (see p. </w:t>
            </w:r>
            <w:r>
              <w:fldChar w:fldCharType="begin"/>
            </w:r>
            <w:r>
              <w:instrText xml:space="preserve"> PAGEREF _Ref492991626 \h </w:instrText>
            </w:r>
            <w:r>
              <w:fldChar w:fldCharType="separate"/>
            </w:r>
            <w:r w:rsidR="00B52C11">
              <w:rPr>
                <w:noProof/>
              </w:rPr>
              <w:t>12</w:t>
            </w:r>
            <w:r>
              <w:fldChar w:fldCharType="end"/>
            </w:r>
            <w:r>
              <w:t>), examining whether if only using income dimensions:</w:t>
            </w:r>
          </w:p>
          <w:p w:rsidR="005E47D0" w:rsidRDefault="005E47D0" w:rsidP="0051054D">
            <w:pPr>
              <w:pStyle w:val="Tablegriddotpoints"/>
            </w:pPr>
            <w:r>
              <w:t>school SES scores would differ markedly from status quo</w:t>
            </w:r>
          </w:p>
          <w:p w:rsidR="005E47D0" w:rsidRDefault="005E47D0" w:rsidP="0051054D">
            <w:pPr>
              <w:pStyle w:val="Tablegriddotpoints"/>
            </w:pPr>
            <w:r>
              <w:t>school SES scores would vary more over time.</w:t>
            </w:r>
          </w:p>
        </w:tc>
      </w:tr>
      <w:tr w:rsidR="005E47D0" w:rsidTr="0051054D">
        <w:trPr>
          <w:trHeight w:val="564"/>
        </w:trPr>
        <w:tc>
          <w:tcPr>
            <w:tcW w:w="1256" w:type="pct"/>
            <w:vMerge w:val="restart"/>
          </w:tcPr>
          <w:p w:rsidR="005E47D0" w:rsidRPr="00423DCD" w:rsidRDefault="005E47D0" w:rsidP="0051054D">
            <w:pPr>
              <w:pStyle w:val="Tablegridnumbering"/>
            </w:pPr>
            <w:r w:rsidRPr="00423DCD">
              <w:t>The weights given to the SES score dimensions are arbitrary</w:t>
            </w:r>
          </w:p>
        </w:tc>
        <w:tc>
          <w:tcPr>
            <w:tcW w:w="419" w:type="pct"/>
            <w:vMerge w:val="restart"/>
          </w:tcPr>
          <w:p w:rsidR="005E47D0" w:rsidRDefault="005E47D0" w:rsidP="0051054D">
            <w:pPr>
              <w:pStyle w:val="Tablegridtext"/>
              <w:jc w:val="center"/>
            </w:pPr>
            <w:r>
              <w:sym w:font="Wingdings" w:char="F0FC"/>
            </w:r>
          </w:p>
        </w:tc>
        <w:tc>
          <w:tcPr>
            <w:tcW w:w="558" w:type="pct"/>
            <w:vMerge w:val="restar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 xml:space="preserve">SA1 dimension scores </w:t>
            </w:r>
          </w:p>
        </w:tc>
        <w:tc>
          <w:tcPr>
            <w:tcW w:w="2106" w:type="pct"/>
          </w:tcPr>
          <w:p w:rsidR="005E47D0" w:rsidRDefault="005E47D0" w:rsidP="0051054D">
            <w:pPr>
              <w:pStyle w:val="Tablegridtext"/>
            </w:pPr>
            <w:r>
              <w:t xml:space="preserve">Use simulation methods to examine distribution of school SES scores when using alternative weights.  </w:t>
            </w:r>
          </w:p>
        </w:tc>
      </w:tr>
      <w:tr w:rsidR="005E47D0" w:rsidTr="0051054D">
        <w:trPr>
          <w:trHeight w:val="1147"/>
        </w:trPr>
        <w:tc>
          <w:tcPr>
            <w:tcW w:w="1256" w:type="pct"/>
            <w:vMerge/>
          </w:tcPr>
          <w:p w:rsidR="005E47D0" w:rsidRPr="00423DCD" w:rsidRDefault="005E47D0" w:rsidP="0051054D">
            <w:pPr>
              <w:pStyle w:val="Tablegridnumbering"/>
            </w:pPr>
          </w:p>
        </w:tc>
        <w:tc>
          <w:tcPr>
            <w:tcW w:w="419" w:type="pct"/>
            <w:vMerge/>
          </w:tcPr>
          <w:p w:rsidR="005E47D0" w:rsidRDefault="005E47D0" w:rsidP="0051054D">
            <w:pPr>
              <w:pStyle w:val="Tablegridtext"/>
              <w:jc w:val="center"/>
            </w:pPr>
          </w:p>
        </w:tc>
        <w:tc>
          <w:tcPr>
            <w:tcW w:w="558" w:type="pct"/>
            <w:vMerge/>
          </w:tcPr>
          <w:p w:rsidR="005E47D0" w:rsidRDefault="005E47D0" w:rsidP="0051054D">
            <w:pPr>
              <w:pStyle w:val="Tablegridtext"/>
              <w:jc w:val="center"/>
            </w:pPr>
          </w:p>
        </w:tc>
        <w:tc>
          <w:tcPr>
            <w:tcW w:w="660" w:type="pct"/>
          </w:tcPr>
          <w:p w:rsidR="005E47D0" w:rsidRDefault="005E47D0" w:rsidP="0051054D">
            <w:pPr>
              <w:pStyle w:val="Tablegridtext"/>
            </w:pPr>
            <w:r>
              <w:t>Advice from ABS on SEIFA estimation of the IRSAD</w:t>
            </w:r>
          </w:p>
        </w:tc>
        <w:tc>
          <w:tcPr>
            <w:tcW w:w="2106" w:type="pct"/>
          </w:tcPr>
          <w:p w:rsidR="005E47D0" w:rsidRDefault="005E47D0" w:rsidP="0051054D">
            <w:pPr>
              <w:pStyle w:val="Tablegridtext"/>
            </w:pPr>
            <w:r>
              <w:t xml:space="preserve">Identify whether </w:t>
            </w:r>
            <w:r w:rsidRPr="00E770A8">
              <w:t>implied</w:t>
            </w:r>
            <w:r>
              <w:t xml:space="preserve"> weights for the education, occupation and income dimensions within the ABS IRSAD are similar to that used in the SES score </w:t>
            </w:r>
            <w:r w:rsidR="002D279D">
              <w:t>calculat</w:t>
            </w:r>
            <w:r>
              <w:t xml:space="preserve">ion. This will require re-analysis, potentially by the ABS, of the data used to estimate the IRSAD.  </w:t>
            </w:r>
          </w:p>
        </w:tc>
      </w:tr>
      <w:tr w:rsidR="005E47D0" w:rsidTr="0051054D">
        <w:tc>
          <w:tcPr>
            <w:tcW w:w="1256" w:type="pct"/>
          </w:tcPr>
          <w:p w:rsidR="005E47D0" w:rsidRPr="00423DCD" w:rsidRDefault="005E47D0" w:rsidP="0051054D">
            <w:pPr>
              <w:pStyle w:val="Tablegridnumbering"/>
            </w:pPr>
            <w:r w:rsidRPr="00423DCD">
              <w:t>Education, occupation and income are weakly correlated</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rsidRPr="00D454FC">
              <w:t xml:space="preserve">HILDA </w:t>
            </w:r>
            <w:r>
              <w:t>s</w:t>
            </w:r>
            <w:r w:rsidRPr="00D454FC">
              <w:t>urvey</w:t>
            </w:r>
          </w:p>
        </w:tc>
        <w:tc>
          <w:tcPr>
            <w:tcW w:w="2106" w:type="pct"/>
          </w:tcPr>
          <w:p w:rsidR="005E47D0" w:rsidRDefault="005E47D0" w:rsidP="0051054D">
            <w:pPr>
              <w:pStyle w:val="Tablegridtext"/>
            </w:pPr>
            <w:r>
              <w:t xml:space="preserve">Use HILDA survey to examine correlation between education, occupation and income, and whether this correlation varies on basis of school sector attended by children. </w:t>
            </w:r>
          </w:p>
        </w:tc>
      </w:tr>
      <w:tr w:rsidR="005E47D0" w:rsidTr="0051054D">
        <w:tc>
          <w:tcPr>
            <w:tcW w:w="1256" w:type="pct"/>
          </w:tcPr>
          <w:p w:rsidR="005E47D0" w:rsidRPr="00555EFE" w:rsidRDefault="005E47D0" w:rsidP="0051054D">
            <w:pPr>
              <w:pStyle w:val="Tablegridnumbering"/>
            </w:pPr>
            <w:r w:rsidRPr="00555EFE">
              <w:t>Education and occupation are used twice in the SRS</w:t>
            </w:r>
          </w:p>
        </w:tc>
        <w:tc>
          <w:tcPr>
            <w:tcW w:w="419" w:type="pct"/>
          </w:tcPr>
          <w:p w:rsidR="005E47D0" w:rsidRDefault="005E47D0" w:rsidP="0051054D">
            <w:pPr>
              <w:pStyle w:val="Tablegridtext"/>
              <w:jc w:val="center"/>
            </w:pP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SRS funding model, and advice from ACARA on ICSEA estimation</w:t>
            </w:r>
          </w:p>
        </w:tc>
        <w:tc>
          <w:tcPr>
            <w:tcW w:w="2106" w:type="pct"/>
          </w:tcPr>
          <w:p w:rsidR="005E47D0" w:rsidRDefault="005E47D0" w:rsidP="0051054D">
            <w:pPr>
              <w:pStyle w:val="Tablegridtext"/>
            </w:pPr>
            <w:r>
              <w:t xml:space="preserve">Identify the relative importance of parental education and occupation in the estimation of SEA quartiles. The need for this analysis will depend upon the item </w:t>
            </w:r>
            <w:r>
              <w:fldChar w:fldCharType="begin"/>
            </w:r>
            <w:r>
              <w:instrText xml:space="preserve"> REF _Ref495402207 \r \h </w:instrText>
            </w:r>
            <w:r>
              <w:fldChar w:fldCharType="separate"/>
            </w:r>
            <w:r w:rsidR="00B52C11">
              <w:t>5</w:t>
            </w:r>
            <w:r>
              <w:fldChar w:fldCharType="end"/>
            </w:r>
            <w:r>
              <w:t xml:space="preserve"> analysis findings. </w:t>
            </w:r>
          </w:p>
        </w:tc>
      </w:tr>
      <w:tr w:rsidR="005E47D0" w:rsidTr="0051054D">
        <w:tc>
          <w:tcPr>
            <w:tcW w:w="1256" w:type="pct"/>
          </w:tcPr>
          <w:p w:rsidR="005E47D0" w:rsidRPr="00555EFE" w:rsidRDefault="005E47D0" w:rsidP="0051054D">
            <w:pPr>
              <w:pStyle w:val="Tablegridnumbering"/>
            </w:pPr>
            <w:r w:rsidRPr="00555EFE">
              <w:t>Family/household wealth is not used in the SES score</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t>HILDA</w:t>
            </w:r>
            <w:r w:rsidR="00142741">
              <w:t xml:space="preserve"> survey</w:t>
            </w:r>
          </w:p>
        </w:tc>
        <w:tc>
          <w:tcPr>
            <w:tcW w:w="2106" w:type="pct"/>
          </w:tcPr>
          <w:p w:rsidR="005E47D0" w:rsidRDefault="005E47D0" w:rsidP="0051054D">
            <w:pPr>
              <w:pStyle w:val="Tablegridtext"/>
            </w:pPr>
            <w:r>
              <w:t xml:space="preserve">Based upon </w:t>
            </w:r>
            <w:sdt>
              <w:sdtPr>
                <w:id w:val="-141352787"/>
                <w:citation/>
              </w:sdtPr>
              <w:sdtContent>
                <w:r>
                  <w:fldChar w:fldCharType="begin"/>
                </w:r>
                <w:r>
                  <w:instrText xml:space="preserve"> CITATION Wis11 \l 3081 </w:instrText>
                </w:r>
                <w:r>
                  <w:fldChar w:fldCharType="separate"/>
                </w:r>
                <w:r w:rsidR="005333F5">
                  <w:rPr>
                    <w:noProof/>
                  </w:rPr>
                  <w:t>(Wise &amp; Mathews, 2011)</w:t>
                </w:r>
                <w:r>
                  <w:fldChar w:fldCharType="end"/>
                </w:r>
              </w:sdtContent>
            </w:sdt>
            <w:r>
              <w:t xml:space="preserve">, use HILDA to generate household level SES scores. Also identify whether the inclusion of household wealth generates a markedly different SES score. This analysis should compare </w:t>
            </w:r>
            <w:r w:rsidR="002D279D">
              <w:t>calculat</w:t>
            </w:r>
            <w:r>
              <w:t xml:space="preserve">ed SES scores by school sector attended. Finally, if wealth is identified as significant, the analysis can test whether proxy wealth measures collected in ABS Census, such as housing tenure type or number of bedrooms per resident, provide a close approximation. </w:t>
            </w:r>
          </w:p>
        </w:tc>
      </w:tr>
      <w:tr w:rsidR="005E47D0" w:rsidTr="0051054D">
        <w:tc>
          <w:tcPr>
            <w:tcW w:w="1256" w:type="pct"/>
            <w:shd w:val="clear" w:color="auto" w:fill="000000" w:themeFill="text1"/>
          </w:tcPr>
          <w:p w:rsidR="005E47D0" w:rsidRDefault="005E47D0" w:rsidP="0051054D">
            <w:pPr>
              <w:pStyle w:val="Tablegridtext"/>
            </w:pPr>
            <w:r>
              <w:t>Accuracy of the SES score</w:t>
            </w:r>
          </w:p>
        </w:tc>
        <w:tc>
          <w:tcPr>
            <w:tcW w:w="419" w:type="pct"/>
            <w:shd w:val="clear" w:color="auto" w:fill="000000" w:themeFill="text1"/>
          </w:tcPr>
          <w:p w:rsidR="005E47D0" w:rsidRDefault="005E47D0" w:rsidP="0051054D">
            <w:pPr>
              <w:pStyle w:val="Tablegridtext"/>
              <w:jc w:val="center"/>
            </w:pPr>
          </w:p>
        </w:tc>
        <w:tc>
          <w:tcPr>
            <w:tcW w:w="558" w:type="pct"/>
            <w:shd w:val="clear" w:color="auto" w:fill="000000" w:themeFill="text1"/>
          </w:tcPr>
          <w:p w:rsidR="005E47D0" w:rsidRDefault="005E47D0" w:rsidP="0051054D">
            <w:pPr>
              <w:pStyle w:val="Tablegridtext"/>
              <w:jc w:val="center"/>
            </w:pPr>
          </w:p>
        </w:tc>
        <w:tc>
          <w:tcPr>
            <w:tcW w:w="660" w:type="pct"/>
            <w:shd w:val="clear" w:color="auto" w:fill="000000" w:themeFill="text1"/>
          </w:tcPr>
          <w:p w:rsidR="005E47D0" w:rsidRDefault="005E47D0" w:rsidP="0051054D">
            <w:pPr>
              <w:pStyle w:val="Tablegridtext"/>
            </w:pPr>
          </w:p>
        </w:tc>
        <w:tc>
          <w:tcPr>
            <w:tcW w:w="2106" w:type="pct"/>
            <w:shd w:val="clear" w:color="auto" w:fill="000000" w:themeFill="text1"/>
          </w:tcPr>
          <w:p w:rsidR="005E47D0" w:rsidRDefault="005E47D0" w:rsidP="0051054D">
            <w:pPr>
              <w:pStyle w:val="Tablegridtext"/>
            </w:pPr>
          </w:p>
        </w:tc>
      </w:tr>
      <w:tr w:rsidR="005E47D0" w:rsidTr="0051054D">
        <w:tc>
          <w:tcPr>
            <w:tcW w:w="1256" w:type="pct"/>
            <w:vAlign w:val="top"/>
          </w:tcPr>
          <w:p w:rsidR="005E47D0" w:rsidRPr="0072567E" w:rsidRDefault="005E47D0" w:rsidP="0051054D">
            <w:pPr>
              <w:pStyle w:val="Tablegridheading2"/>
              <w:rPr>
                <w:i/>
              </w:rPr>
            </w:pPr>
            <w:r w:rsidRPr="0072567E">
              <w:rPr>
                <w:i/>
              </w:rPr>
              <w:t>The ecological fallacy</w:t>
            </w:r>
          </w:p>
        </w:tc>
        <w:tc>
          <w:tcPr>
            <w:tcW w:w="419" w:type="pct"/>
          </w:tcPr>
          <w:p w:rsidR="005E47D0" w:rsidRPr="00984E92" w:rsidRDefault="005E47D0" w:rsidP="0051054D">
            <w:pPr>
              <w:pStyle w:val="Tablegridheading2"/>
              <w:jc w:val="center"/>
            </w:pP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p>
        </w:tc>
        <w:tc>
          <w:tcPr>
            <w:tcW w:w="2106" w:type="pct"/>
          </w:tcPr>
          <w:p w:rsidR="005E47D0" w:rsidRDefault="005E47D0" w:rsidP="0051054D">
            <w:pPr>
              <w:pStyle w:val="Tablegridtext"/>
            </w:pPr>
          </w:p>
        </w:tc>
      </w:tr>
      <w:tr w:rsidR="005E47D0" w:rsidTr="0051054D">
        <w:trPr>
          <w:trHeight w:val="1200"/>
        </w:trPr>
        <w:tc>
          <w:tcPr>
            <w:tcW w:w="1256" w:type="pct"/>
          </w:tcPr>
          <w:p w:rsidR="005E47D0" w:rsidRPr="00423DCD" w:rsidRDefault="002263C4" w:rsidP="0051054D">
            <w:pPr>
              <w:pStyle w:val="Tablegridnumbering"/>
              <w:jc w:val="left"/>
            </w:pPr>
            <w:r>
              <w:t>Non</w:t>
            </w:r>
            <w:r>
              <w:noBreakHyphen/>
              <w:t>government</w:t>
            </w:r>
            <w:r w:rsidR="005E47D0" w:rsidRPr="00423DCD">
              <w:t xml:space="preserve"> school students are unrepresentative of SA1s</w:t>
            </w:r>
          </w:p>
        </w:tc>
        <w:tc>
          <w:tcPr>
            <w:tcW w:w="419" w:type="pct"/>
          </w:tcPr>
          <w:p w:rsidR="005E47D0" w:rsidRPr="00984E92" w:rsidRDefault="005E47D0" w:rsidP="0051054D">
            <w:pPr>
              <w:pStyle w:val="Tablegridtext"/>
              <w:jc w:val="center"/>
              <w:rPr>
                <w:b/>
              </w:rP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t>ABS Census, customised data request</w:t>
            </w:r>
          </w:p>
        </w:tc>
        <w:tc>
          <w:tcPr>
            <w:tcW w:w="2106" w:type="pct"/>
          </w:tcPr>
          <w:p w:rsidR="005E47D0" w:rsidRDefault="005E47D0" w:rsidP="0051054D">
            <w:pPr>
              <w:pStyle w:val="Tablegridtext"/>
            </w:pPr>
            <w:r>
              <w:t xml:space="preserve">Generate school SES scores using SA1-level data for households where students attend </w:t>
            </w:r>
            <w:r w:rsidR="002263C4">
              <w:t>non</w:t>
            </w:r>
            <w:r w:rsidR="002263C4">
              <w:noBreakHyphen/>
              <w:t>government</w:t>
            </w:r>
            <w:r>
              <w:t xml:space="preserve"> schools, and compare to status quo SES scores. SA2 level data may be required to ensure adequate quantity of data. </w:t>
            </w:r>
          </w:p>
        </w:tc>
      </w:tr>
      <w:tr w:rsidR="005E47D0" w:rsidTr="0051054D">
        <w:tc>
          <w:tcPr>
            <w:tcW w:w="1256" w:type="pct"/>
          </w:tcPr>
          <w:p w:rsidR="005E47D0" w:rsidRPr="00423DCD" w:rsidRDefault="005E47D0" w:rsidP="0051054D">
            <w:pPr>
              <w:pStyle w:val="Tablegridnumbering"/>
              <w:jc w:val="left"/>
            </w:pPr>
            <w:r w:rsidRPr="00423DCD">
              <w:t>The SES score favours schools serving regional students</w:t>
            </w:r>
          </w:p>
        </w:tc>
        <w:tc>
          <w:tcPr>
            <w:tcW w:w="419" w:type="pct"/>
          </w:tcPr>
          <w:p w:rsidR="005E47D0" w:rsidRPr="00984E92" w:rsidRDefault="005E47D0" w:rsidP="0051054D">
            <w:pPr>
              <w:pStyle w:val="Tablegridtext"/>
              <w:jc w:val="center"/>
              <w:rPr>
                <w:b/>
              </w:rP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t>ABS Census, customised data request</w:t>
            </w:r>
          </w:p>
        </w:tc>
        <w:tc>
          <w:tcPr>
            <w:tcW w:w="2106" w:type="pct"/>
          </w:tcPr>
          <w:p w:rsidR="005E47D0" w:rsidRDefault="005E47D0" w:rsidP="0051054D">
            <w:pPr>
              <w:pStyle w:val="Tablegridtext"/>
            </w:pPr>
            <w:r>
              <w:t xml:space="preserve">Identify home SA1s of students attending boarding schools, and compare SES of households where students attend </w:t>
            </w:r>
            <w:r w:rsidR="002263C4">
              <w:t>non</w:t>
            </w:r>
            <w:r w:rsidR="002263C4">
              <w:noBreakHyphen/>
              <w:t>government</w:t>
            </w:r>
            <w:r>
              <w:t xml:space="preserve"> schools, to other households. Re-</w:t>
            </w:r>
            <w:r w:rsidR="002D279D">
              <w:t>calculat</w:t>
            </w:r>
            <w:r>
              <w:t>e SA1 and school SES scores to estimate impact of differences, if identified.</w:t>
            </w:r>
          </w:p>
        </w:tc>
      </w:tr>
      <w:tr w:rsidR="005E47D0" w:rsidTr="0051054D">
        <w:tc>
          <w:tcPr>
            <w:tcW w:w="1256" w:type="pct"/>
          </w:tcPr>
          <w:p w:rsidR="005E47D0" w:rsidRPr="00423DCD" w:rsidRDefault="005E47D0" w:rsidP="0051054D">
            <w:pPr>
              <w:pStyle w:val="Tablegridnumbering"/>
              <w:jc w:val="left"/>
            </w:pPr>
            <w:bookmarkStart w:id="315" w:name="_Ref495398352"/>
            <w:r w:rsidRPr="00423DCD">
              <w:t>There can be significant variation in household SES within SA1s</w:t>
            </w:r>
            <w:bookmarkEnd w:id="315"/>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rsidRPr="001B597E">
              <w:t xml:space="preserve">Census of Population and Housing, </w:t>
            </w:r>
            <w:r>
              <w:t xml:space="preserve">5% </w:t>
            </w:r>
            <w:r w:rsidRPr="001B597E">
              <w:t>Census Sample File, 2011</w:t>
            </w:r>
          </w:p>
        </w:tc>
        <w:tc>
          <w:tcPr>
            <w:tcW w:w="2106" w:type="pct"/>
          </w:tcPr>
          <w:p w:rsidR="005E47D0" w:rsidRDefault="005E47D0" w:rsidP="0051054D">
            <w:pPr>
              <w:pStyle w:val="Tablegridtext"/>
            </w:pPr>
            <w:r>
              <w:t xml:space="preserve">Generate household level SES scores and compare </w:t>
            </w:r>
            <w:r w:rsidR="002D279D">
              <w:t>calculat</w:t>
            </w:r>
            <w:r>
              <w:t xml:space="preserve">ed SES scores of households where students attended </w:t>
            </w:r>
            <w:r w:rsidR="002263C4">
              <w:t>non</w:t>
            </w:r>
            <w:r w:rsidR="002263C4">
              <w:noBreakHyphen/>
              <w:t>government</w:t>
            </w:r>
            <w:r>
              <w:t xml:space="preserve"> schools, to all households. Analysis will need to use groupings of SA3s, unless ABS is able to undertake analysis using full population data file. </w:t>
            </w:r>
          </w:p>
        </w:tc>
      </w:tr>
      <w:tr w:rsidR="005E47D0" w:rsidTr="0051054D">
        <w:tc>
          <w:tcPr>
            <w:tcW w:w="1256" w:type="pct"/>
          </w:tcPr>
          <w:p w:rsidR="005E47D0" w:rsidRPr="00423DCD" w:rsidRDefault="005E47D0" w:rsidP="0051054D">
            <w:pPr>
              <w:pStyle w:val="Tablegridnumbering"/>
            </w:pPr>
            <w:r w:rsidRPr="00423DCD">
              <w:t xml:space="preserve">Mesh </w:t>
            </w:r>
            <w:r w:rsidRPr="00555EFE">
              <w:t>blocks may overcome the ecological fallacy</w:t>
            </w:r>
          </w:p>
        </w:tc>
        <w:tc>
          <w:tcPr>
            <w:tcW w:w="419" w:type="pct"/>
          </w:tcPr>
          <w:p w:rsidR="005E47D0" w:rsidRDefault="005E47D0" w:rsidP="0051054D">
            <w:pPr>
              <w:pStyle w:val="Tablegridtext"/>
              <w:jc w:val="center"/>
            </w:pP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Advice from the ABS</w:t>
            </w:r>
          </w:p>
        </w:tc>
        <w:tc>
          <w:tcPr>
            <w:tcW w:w="2106" w:type="pct"/>
          </w:tcPr>
          <w:p w:rsidR="005E47D0" w:rsidRDefault="005E47D0" w:rsidP="0051054D">
            <w:pPr>
              <w:pStyle w:val="Tablegridtext"/>
            </w:pPr>
            <w:r>
              <w:t xml:space="preserve">Seek ABS advice on the feasibility of using mesh block level data. </w:t>
            </w:r>
          </w:p>
        </w:tc>
      </w:tr>
      <w:tr w:rsidR="005E47D0" w:rsidTr="0051054D">
        <w:tc>
          <w:tcPr>
            <w:tcW w:w="1256" w:type="pct"/>
          </w:tcPr>
          <w:p w:rsidR="005E47D0" w:rsidRPr="0072567E" w:rsidRDefault="005E47D0" w:rsidP="0051054D">
            <w:pPr>
              <w:pStyle w:val="Tablegridheading2"/>
              <w:rPr>
                <w:i/>
              </w:rPr>
            </w:pPr>
            <w:r w:rsidRPr="0072567E">
              <w:rPr>
                <w:i/>
              </w:rPr>
              <w:t>Measurement error</w:t>
            </w:r>
          </w:p>
        </w:tc>
        <w:tc>
          <w:tcPr>
            <w:tcW w:w="419" w:type="pct"/>
          </w:tcPr>
          <w:p w:rsidR="005E47D0" w:rsidRDefault="005E47D0" w:rsidP="0051054D">
            <w:pPr>
              <w:pStyle w:val="Tablegridheading2"/>
              <w:jc w:val="center"/>
            </w:pP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p>
        </w:tc>
        <w:tc>
          <w:tcPr>
            <w:tcW w:w="2106" w:type="pct"/>
          </w:tcPr>
          <w:p w:rsidR="005E47D0" w:rsidRDefault="005E47D0" w:rsidP="0051054D">
            <w:pPr>
              <w:pStyle w:val="Tablegridtext"/>
            </w:pPr>
          </w:p>
        </w:tc>
      </w:tr>
      <w:tr w:rsidR="005E47D0" w:rsidTr="0051054D">
        <w:trPr>
          <w:trHeight w:val="564"/>
        </w:trPr>
        <w:tc>
          <w:tcPr>
            <w:tcW w:w="1256" w:type="pct"/>
            <w:vMerge w:val="restart"/>
          </w:tcPr>
          <w:p w:rsidR="005E47D0" w:rsidRPr="00423DCD" w:rsidRDefault="005E47D0" w:rsidP="0051054D">
            <w:pPr>
              <w:pStyle w:val="Tablegridnumbering"/>
            </w:pPr>
            <w:r w:rsidRPr="00423DCD">
              <w:t xml:space="preserve">The </w:t>
            </w:r>
            <w:r>
              <w:t xml:space="preserve">current SES score </w:t>
            </w:r>
            <w:r w:rsidRPr="00423DCD">
              <w:t>income dimensions may not adequately measure affluence</w:t>
            </w:r>
          </w:p>
        </w:tc>
        <w:tc>
          <w:tcPr>
            <w:tcW w:w="419" w:type="pct"/>
            <w:vMerge w:val="restart"/>
          </w:tcPr>
          <w:p w:rsidR="005E47D0" w:rsidRDefault="005E47D0" w:rsidP="0051054D">
            <w:pPr>
              <w:pStyle w:val="Tablegridtext"/>
              <w:jc w:val="center"/>
            </w:pPr>
            <w:r>
              <w:sym w:font="Wingdings" w:char="F0FC"/>
            </w:r>
          </w:p>
        </w:tc>
        <w:tc>
          <w:tcPr>
            <w:tcW w:w="558" w:type="pct"/>
            <w:vMerge w:val="restar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 xml:space="preserve">ABS Census and HILDA </w:t>
            </w:r>
          </w:p>
        </w:tc>
        <w:tc>
          <w:tcPr>
            <w:tcW w:w="2106" w:type="pct"/>
          </w:tcPr>
          <w:p w:rsidR="005E47D0" w:rsidRDefault="005E47D0" w:rsidP="0051054D">
            <w:pPr>
              <w:pStyle w:val="Tablegridtext"/>
            </w:pPr>
            <w:r>
              <w:t xml:space="preserve">Undertake analysis of ABS Census and HILDA to identify whether there are differences between </w:t>
            </w:r>
            <w:r w:rsidR="002263C4">
              <w:t>non</w:t>
            </w:r>
            <w:r w:rsidR="002263C4">
              <w:noBreakHyphen/>
              <w:t>government</w:t>
            </w:r>
            <w:r>
              <w:t xml:space="preserve"> school sectors </w:t>
            </w:r>
            <w:r w:rsidRPr="00093678">
              <w:rPr>
                <w:i/>
              </w:rPr>
              <w:t>within</w:t>
            </w:r>
            <w:r>
              <w:t xml:space="preserve"> the SES score income dimensions. If appropriate, re-</w:t>
            </w:r>
            <w:r w:rsidR="002D279D">
              <w:t>calculat</w:t>
            </w:r>
            <w:r>
              <w:t xml:space="preserve">e SA1 and school SES scores with alternative dimensions. </w:t>
            </w:r>
          </w:p>
        </w:tc>
      </w:tr>
      <w:tr w:rsidR="005E47D0" w:rsidTr="0051054D">
        <w:trPr>
          <w:trHeight w:val="563"/>
        </w:trPr>
        <w:tc>
          <w:tcPr>
            <w:tcW w:w="1256" w:type="pct"/>
            <w:vMerge/>
          </w:tcPr>
          <w:p w:rsidR="005E47D0" w:rsidRPr="00423DCD" w:rsidRDefault="005E47D0" w:rsidP="0051054D">
            <w:pPr>
              <w:pStyle w:val="Tablegridnumbering"/>
            </w:pPr>
          </w:p>
        </w:tc>
        <w:tc>
          <w:tcPr>
            <w:tcW w:w="419" w:type="pct"/>
            <w:vMerge/>
          </w:tcPr>
          <w:p w:rsidR="005E47D0" w:rsidRDefault="005E47D0" w:rsidP="0051054D">
            <w:pPr>
              <w:pStyle w:val="Tablegridtext"/>
              <w:jc w:val="center"/>
            </w:pPr>
          </w:p>
        </w:tc>
        <w:tc>
          <w:tcPr>
            <w:tcW w:w="558" w:type="pct"/>
            <w:vMerge/>
          </w:tcPr>
          <w:p w:rsidR="005E47D0" w:rsidRDefault="005E47D0" w:rsidP="0051054D">
            <w:pPr>
              <w:pStyle w:val="Tablegridtext"/>
              <w:jc w:val="center"/>
            </w:pPr>
          </w:p>
        </w:tc>
        <w:tc>
          <w:tcPr>
            <w:tcW w:w="660" w:type="pct"/>
          </w:tcPr>
          <w:p w:rsidR="005E47D0" w:rsidRDefault="005E47D0" w:rsidP="0051054D">
            <w:pPr>
              <w:pStyle w:val="Tablegridtext"/>
            </w:pPr>
            <w:r>
              <w:t>ATO and ABS Census</w:t>
            </w:r>
          </w:p>
        </w:tc>
        <w:tc>
          <w:tcPr>
            <w:tcW w:w="2106" w:type="pct"/>
          </w:tcPr>
          <w:p w:rsidR="005E47D0" w:rsidRDefault="005E47D0" w:rsidP="0051054D">
            <w:pPr>
              <w:pStyle w:val="Tablegridtext"/>
            </w:pPr>
            <w:r>
              <w:t>Analyse SA1 family income distribution using ATO income taxation data, and compare to the ABS Census. Subject to these findings, re-</w:t>
            </w:r>
            <w:r w:rsidR="002D279D">
              <w:t>calculat</w:t>
            </w:r>
            <w:r>
              <w:t xml:space="preserve">e SA1 and school SES scores using income tax data. The ATO may need to undertake some of this analysis. </w:t>
            </w:r>
          </w:p>
        </w:tc>
      </w:tr>
      <w:tr w:rsidR="005E47D0" w:rsidTr="0051054D">
        <w:tc>
          <w:tcPr>
            <w:tcW w:w="1256" w:type="pct"/>
          </w:tcPr>
          <w:p w:rsidR="005E47D0" w:rsidRPr="00423DCD" w:rsidRDefault="005E47D0" w:rsidP="0051054D">
            <w:pPr>
              <w:pStyle w:val="Tablegridnumbering"/>
            </w:pPr>
            <w:bookmarkStart w:id="316" w:name="_Ref495403042"/>
            <w:r w:rsidRPr="00423DCD">
              <w:t>Families with a nil/negative income may have higher incomes</w:t>
            </w:r>
            <w:bookmarkEnd w:id="316"/>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 xml:space="preserve">Advice from ATO and </w:t>
            </w:r>
            <w:r w:rsidR="002263C4">
              <w:t>non</w:t>
            </w:r>
            <w:r w:rsidR="002263C4">
              <w:noBreakHyphen/>
              <w:t>government</w:t>
            </w:r>
            <w:r>
              <w:t xml:space="preserve"> school representatives</w:t>
            </w:r>
          </w:p>
        </w:tc>
        <w:tc>
          <w:tcPr>
            <w:tcW w:w="2106" w:type="pct"/>
          </w:tcPr>
          <w:p w:rsidR="005E47D0" w:rsidRDefault="005E47D0" w:rsidP="0051054D">
            <w:pPr>
              <w:pStyle w:val="Tablegridtext"/>
            </w:pPr>
            <w:r>
              <w:t xml:space="preserve">Identify the feasibility of collecting the Tax File Number (TFN) of </w:t>
            </w:r>
            <w:r w:rsidR="002263C4">
              <w:t>non</w:t>
            </w:r>
            <w:r w:rsidR="002263C4">
              <w:noBreakHyphen/>
              <w:t>government</w:t>
            </w:r>
            <w:r>
              <w:t xml:space="preserve"> school parents, which are then used by the ATO to collate taxable income data for use in the SES score. </w:t>
            </w:r>
          </w:p>
        </w:tc>
      </w:tr>
      <w:tr w:rsidR="005E47D0" w:rsidTr="0051054D">
        <w:trPr>
          <w:trHeight w:val="451"/>
        </w:trPr>
        <w:tc>
          <w:tcPr>
            <w:tcW w:w="1256" w:type="pct"/>
            <w:vMerge w:val="restart"/>
          </w:tcPr>
          <w:p w:rsidR="005E47D0" w:rsidRPr="00423DCD" w:rsidRDefault="005E47D0" w:rsidP="0051054D">
            <w:pPr>
              <w:pStyle w:val="Tablegridnumbering"/>
            </w:pPr>
            <w:r w:rsidRPr="00423DCD">
              <w:t>Parents may live in a different location to their child</w:t>
            </w:r>
          </w:p>
        </w:tc>
        <w:tc>
          <w:tcPr>
            <w:tcW w:w="419" w:type="pct"/>
            <w:vMerge w:val="restart"/>
          </w:tcPr>
          <w:p w:rsidR="005E47D0" w:rsidRDefault="005E47D0" w:rsidP="0051054D">
            <w:pPr>
              <w:pStyle w:val="Tablegridtext"/>
              <w:jc w:val="center"/>
            </w:pPr>
            <w:r>
              <w:sym w:font="Wingdings" w:char="F0FC"/>
            </w:r>
          </w:p>
        </w:tc>
        <w:tc>
          <w:tcPr>
            <w:tcW w:w="558" w:type="pct"/>
            <w:vMerge w:val="restar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rsidRPr="001B597E">
              <w:t xml:space="preserve">Census of Population and Housing, </w:t>
            </w:r>
            <w:r>
              <w:t xml:space="preserve">5% </w:t>
            </w:r>
            <w:r w:rsidRPr="001B597E">
              <w:t>Census Sample File, 2011</w:t>
            </w:r>
          </w:p>
        </w:tc>
        <w:tc>
          <w:tcPr>
            <w:tcW w:w="2106" w:type="pct"/>
          </w:tcPr>
          <w:p w:rsidR="005E47D0" w:rsidRDefault="005E47D0" w:rsidP="0051054D">
            <w:pPr>
              <w:pStyle w:val="Tablegridtext"/>
            </w:pPr>
            <w:r>
              <w:t xml:space="preserve">Building upon the approach used for item </w:t>
            </w:r>
            <w:r>
              <w:fldChar w:fldCharType="begin"/>
            </w:r>
            <w:r>
              <w:instrText xml:space="preserve"> REF _Ref495398352 \r \h </w:instrText>
            </w:r>
            <w:r>
              <w:fldChar w:fldCharType="separate"/>
            </w:r>
            <w:r w:rsidR="00B52C11">
              <w:t>12</w:t>
            </w:r>
            <w:r>
              <w:fldChar w:fldCharType="end"/>
            </w:r>
            <w:r>
              <w:t xml:space="preserve">, identify whether SES score results are materially different for single parent households where a child attends a </w:t>
            </w:r>
            <w:r w:rsidR="002263C4">
              <w:t>non</w:t>
            </w:r>
            <w:r w:rsidR="002263C4">
              <w:noBreakHyphen/>
              <w:t>government</w:t>
            </w:r>
            <w:r>
              <w:t xml:space="preserve"> school. </w:t>
            </w:r>
          </w:p>
        </w:tc>
      </w:tr>
      <w:tr w:rsidR="005E47D0" w:rsidTr="0051054D">
        <w:trPr>
          <w:trHeight w:val="451"/>
        </w:trPr>
        <w:tc>
          <w:tcPr>
            <w:tcW w:w="1256" w:type="pct"/>
            <w:vMerge/>
          </w:tcPr>
          <w:p w:rsidR="005E47D0" w:rsidRPr="00423DCD" w:rsidRDefault="005E47D0" w:rsidP="0051054D">
            <w:pPr>
              <w:pStyle w:val="Tablegridtext"/>
            </w:pPr>
          </w:p>
        </w:tc>
        <w:tc>
          <w:tcPr>
            <w:tcW w:w="419" w:type="pct"/>
            <w:vMerge/>
          </w:tcPr>
          <w:p w:rsidR="005E47D0" w:rsidRDefault="005E47D0" w:rsidP="0051054D">
            <w:pPr>
              <w:pStyle w:val="Tablegridtext"/>
              <w:jc w:val="center"/>
            </w:pPr>
          </w:p>
        </w:tc>
        <w:tc>
          <w:tcPr>
            <w:tcW w:w="558" w:type="pct"/>
            <w:vMerge/>
          </w:tcPr>
          <w:p w:rsidR="005E47D0" w:rsidRDefault="005E47D0" w:rsidP="0051054D">
            <w:pPr>
              <w:pStyle w:val="Tablegridtext"/>
              <w:jc w:val="center"/>
            </w:pPr>
          </w:p>
        </w:tc>
        <w:tc>
          <w:tcPr>
            <w:tcW w:w="660" w:type="pct"/>
          </w:tcPr>
          <w:p w:rsidR="005E47D0" w:rsidRDefault="005E47D0" w:rsidP="0051054D">
            <w:pPr>
              <w:pStyle w:val="Tablegridtext"/>
            </w:pPr>
            <w:r>
              <w:t xml:space="preserve">Advice from </w:t>
            </w:r>
            <w:r w:rsidR="002263C4">
              <w:t>non</w:t>
            </w:r>
            <w:r w:rsidR="002263C4">
              <w:noBreakHyphen/>
              <w:t>government</w:t>
            </w:r>
            <w:r>
              <w:t xml:space="preserve"> school representatives</w:t>
            </w:r>
          </w:p>
        </w:tc>
        <w:tc>
          <w:tcPr>
            <w:tcW w:w="2106" w:type="pct"/>
          </w:tcPr>
          <w:p w:rsidR="005E47D0" w:rsidRDefault="005E47D0" w:rsidP="0051054D">
            <w:pPr>
              <w:pStyle w:val="Tablegridtext"/>
            </w:pPr>
            <w:r>
              <w:t xml:space="preserve">Identify feasibility of collecting additional address information from schools, for where parents live in a different location to student address. Related to item </w:t>
            </w:r>
            <w:r>
              <w:fldChar w:fldCharType="begin"/>
            </w:r>
            <w:r>
              <w:instrText xml:space="preserve"> REF _Ref495403042 \r \h </w:instrText>
            </w:r>
            <w:r>
              <w:fldChar w:fldCharType="separate"/>
            </w:r>
            <w:r w:rsidR="00B52C11">
              <w:t>15</w:t>
            </w:r>
            <w:r>
              <w:fldChar w:fldCharType="end"/>
            </w:r>
            <w:r>
              <w:t>.</w:t>
            </w:r>
          </w:p>
        </w:tc>
      </w:tr>
      <w:tr w:rsidR="005E47D0" w:rsidTr="0051054D">
        <w:tc>
          <w:tcPr>
            <w:tcW w:w="1256" w:type="pct"/>
          </w:tcPr>
          <w:p w:rsidR="005E47D0" w:rsidRPr="00423DCD" w:rsidRDefault="005E47D0" w:rsidP="0051054D">
            <w:pPr>
              <w:pStyle w:val="Tablegridnumbering"/>
            </w:pPr>
            <w:r w:rsidRPr="00423DCD">
              <w:t xml:space="preserve">Family size is not considered in SES score </w:t>
            </w:r>
            <w:r w:rsidR="002D279D">
              <w:t>calculation</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rsidRPr="001B597E">
              <w:t>Census of Population and Housing, 2011</w:t>
            </w:r>
            <w:r>
              <w:t>: Tablebuilder Pro</w:t>
            </w:r>
          </w:p>
        </w:tc>
        <w:tc>
          <w:tcPr>
            <w:tcW w:w="2106" w:type="pct"/>
          </w:tcPr>
          <w:p w:rsidR="005E47D0" w:rsidRDefault="005E47D0" w:rsidP="0051054D">
            <w:pPr>
              <w:pStyle w:val="Tablegridtext"/>
            </w:pPr>
            <w:r>
              <w:t>Re-</w:t>
            </w:r>
            <w:r w:rsidR="002D279D">
              <w:t>calculat</w:t>
            </w:r>
            <w:r>
              <w:t xml:space="preserve">e 2011 SA1 and school SES scores using equivalised household income data, and compare to status quo </w:t>
            </w:r>
            <w:r w:rsidR="002D279D">
              <w:t>calculat</w:t>
            </w:r>
            <w:r>
              <w:t xml:space="preserve">es. </w:t>
            </w:r>
          </w:p>
        </w:tc>
      </w:tr>
      <w:tr w:rsidR="005E47D0" w:rsidTr="0051054D">
        <w:tc>
          <w:tcPr>
            <w:tcW w:w="1256" w:type="pct"/>
          </w:tcPr>
          <w:p w:rsidR="005E47D0" w:rsidRPr="0072567E" w:rsidRDefault="005E47D0" w:rsidP="0051054D">
            <w:pPr>
              <w:pStyle w:val="Tablegridheading2"/>
              <w:rPr>
                <w:i/>
              </w:rPr>
            </w:pPr>
            <w:r w:rsidRPr="0072567E">
              <w:rPr>
                <w:i/>
              </w:rPr>
              <w:t>Data robustness</w:t>
            </w:r>
          </w:p>
        </w:tc>
        <w:tc>
          <w:tcPr>
            <w:tcW w:w="419" w:type="pct"/>
          </w:tcPr>
          <w:p w:rsidR="005E47D0" w:rsidRPr="0098647E" w:rsidRDefault="005E47D0" w:rsidP="0051054D">
            <w:pPr>
              <w:pStyle w:val="Tablegridtext"/>
              <w:jc w:val="center"/>
              <w:rPr>
                <w:b/>
                <w:i/>
              </w:rPr>
            </w:pP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p>
        </w:tc>
        <w:tc>
          <w:tcPr>
            <w:tcW w:w="2106" w:type="pct"/>
          </w:tcPr>
          <w:p w:rsidR="005E47D0" w:rsidRDefault="005E47D0" w:rsidP="0051054D">
            <w:pPr>
              <w:pStyle w:val="Tablegridtext"/>
            </w:pPr>
          </w:p>
        </w:tc>
      </w:tr>
      <w:tr w:rsidR="005E47D0" w:rsidTr="0051054D">
        <w:tc>
          <w:tcPr>
            <w:tcW w:w="1256" w:type="pct"/>
          </w:tcPr>
          <w:p w:rsidR="005E47D0" w:rsidRPr="00423DCD" w:rsidRDefault="005E47D0" w:rsidP="0051054D">
            <w:pPr>
              <w:pStyle w:val="Tablegridnumbering"/>
            </w:pPr>
            <w:bookmarkStart w:id="317" w:name="_Ref495409481"/>
            <w:r w:rsidRPr="00423DCD">
              <w:t>Census data is more robust than data collected from parents</w:t>
            </w:r>
            <w:bookmarkEnd w:id="317"/>
          </w:p>
        </w:tc>
        <w:tc>
          <w:tcPr>
            <w:tcW w:w="419" w:type="pct"/>
          </w:tcPr>
          <w:p w:rsidR="005E47D0" w:rsidRPr="006F77E6" w:rsidRDefault="005E47D0" w:rsidP="0051054D">
            <w:pPr>
              <w:pStyle w:val="Tablegridtext"/>
              <w:jc w:val="center"/>
            </w:pPr>
            <w:r>
              <w:sym w:font="Wingdings" w:char="F0FC"/>
            </w:r>
          </w:p>
        </w:tc>
        <w:tc>
          <w:tcPr>
            <w:tcW w:w="558" w:type="pct"/>
          </w:tcPr>
          <w:p w:rsidR="005E47D0" w:rsidRDefault="005E47D0" w:rsidP="0051054D">
            <w:pPr>
              <w:pStyle w:val="Tablegridtext"/>
              <w:jc w:val="center"/>
            </w:pPr>
          </w:p>
        </w:tc>
        <w:tc>
          <w:tcPr>
            <w:tcW w:w="660" w:type="pct"/>
          </w:tcPr>
          <w:p w:rsidR="005E47D0" w:rsidRDefault="005E47D0" w:rsidP="0051054D">
            <w:pPr>
              <w:pStyle w:val="Tablegridtext"/>
            </w:pPr>
            <w:r>
              <w:t>Advice from ABS and ACARA</w:t>
            </w:r>
          </w:p>
        </w:tc>
        <w:tc>
          <w:tcPr>
            <w:tcW w:w="2106" w:type="pct"/>
          </w:tcPr>
          <w:p w:rsidR="005E47D0" w:rsidRDefault="005E47D0" w:rsidP="0051054D">
            <w:pPr>
              <w:pStyle w:val="Tablegridtext"/>
            </w:pPr>
            <w:r>
              <w:t xml:space="preserve">Undertake comparative assessment of data robustness in the ABS Census, and the ACARA ICSEA score. </w:t>
            </w:r>
          </w:p>
        </w:tc>
      </w:tr>
      <w:tr w:rsidR="005E47D0" w:rsidTr="0051054D">
        <w:tc>
          <w:tcPr>
            <w:tcW w:w="1256" w:type="pct"/>
            <w:shd w:val="clear" w:color="auto" w:fill="000000" w:themeFill="text1"/>
          </w:tcPr>
          <w:p w:rsidR="005E47D0" w:rsidRDefault="005E47D0" w:rsidP="0051054D">
            <w:pPr>
              <w:pStyle w:val="Tablegridtext"/>
            </w:pPr>
            <w:r>
              <w:t>Timeliness of the SES score</w:t>
            </w:r>
          </w:p>
        </w:tc>
        <w:tc>
          <w:tcPr>
            <w:tcW w:w="419" w:type="pct"/>
            <w:shd w:val="clear" w:color="auto" w:fill="000000" w:themeFill="text1"/>
          </w:tcPr>
          <w:p w:rsidR="005E47D0" w:rsidRDefault="005E47D0" w:rsidP="0051054D">
            <w:pPr>
              <w:pStyle w:val="Tablegridtext"/>
              <w:jc w:val="center"/>
            </w:pPr>
          </w:p>
        </w:tc>
        <w:tc>
          <w:tcPr>
            <w:tcW w:w="558" w:type="pct"/>
            <w:shd w:val="clear" w:color="auto" w:fill="000000" w:themeFill="text1"/>
          </w:tcPr>
          <w:p w:rsidR="005E47D0" w:rsidRDefault="005E47D0" w:rsidP="0051054D">
            <w:pPr>
              <w:pStyle w:val="Tablegridtext"/>
              <w:jc w:val="center"/>
            </w:pPr>
          </w:p>
        </w:tc>
        <w:tc>
          <w:tcPr>
            <w:tcW w:w="660" w:type="pct"/>
            <w:shd w:val="clear" w:color="auto" w:fill="000000" w:themeFill="text1"/>
          </w:tcPr>
          <w:p w:rsidR="005E47D0" w:rsidRDefault="005E47D0" w:rsidP="0051054D">
            <w:pPr>
              <w:pStyle w:val="Tablegridtext"/>
            </w:pPr>
          </w:p>
        </w:tc>
        <w:tc>
          <w:tcPr>
            <w:tcW w:w="2106" w:type="pct"/>
            <w:shd w:val="clear" w:color="auto" w:fill="000000" w:themeFill="text1"/>
          </w:tcPr>
          <w:p w:rsidR="005E47D0" w:rsidRDefault="005E47D0" w:rsidP="0051054D">
            <w:pPr>
              <w:pStyle w:val="Tablegridtext"/>
            </w:pPr>
          </w:p>
        </w:tc>
      </w:tr>
      <w:tr w:rsidR="005E47D0" w:rsidTr="0051054D">
        <w:tc>
          <w:tcPr>
            <w:tcW w:w="1256" w:type="pct"/>
          </w:tcPr>
          <w:p w:rsidR="005E47D0" w:rsidRPr="00423DCD" w:rsidRDefault="005E47D0" w:rsidP="0051054D">
            <w:pPr>
              <w:pStyle w:val="Tablegridnumbering"/>
            </w:pPr>
            <w:r w:rsidRPr="00423DCD">
              <w:t>The five years between Censuses makes the data soon outdated</w:t>
            </w:r>
          </w:p>
        </w:tc>
        <w:tc>
          <w:tcPr>
            <w:tcW w:w="419" w:type="pct"/>
          </w:tcPr>
          <w:p w:rsidR="005E47D0" w:rsidRDefault="005E47D0" w:rsidP="0051054D">
            <w:pPr>
              <w:pStyle w:val="Tablegridtext"/>
              <w:jc w:val="center"/>
            </w:pPr>
            <w:r>
              <w:sym w:font="Wingdings" w:char="F0FC"/>
            </w:r>
          </w:p>
        </w:tc>
        <w:tc>
          <w:tcPr>
            <w:tcW w:w="558" w:type="pct"/>
          </w:tcPr>
          <w:p w:rsidR="005E47D0" w:rsidRDefault="005E47D0" w:rsidP="0051054D">
            <w:pPr>
              <w:pStyle w:val="Tablegridtext"/>
              <w:jc w:val="center"/>
            </w:pPr>
            <w:r>
              <w:sym w:font="Wingdings" w:char="F0FC"/>
            </w:r>
          </w:p>
        </w:tc>
        <w:tc>
          <w:tcPr>
            <w:tcW w:w="660" w:type="pct"/>
          </w:tcPr>
          <w:p w:rsidR="005E47D0" w:rsidRDefault="005E47D0" w:rsidP="0051054D">
            <w:pPr>
              <w:pStyle w:val="Tablegridtext"/>
            </w:pPr>
            <w:r>
              <w:t>SA1 and school SES scores. Advice from ABS and ATO</w:t>
            </w:r>
          </w:p>
        </w:tc>
        <w:tc>
          <w:tcPr>
            <w:tcW w:w="2106" w:type="pct"/>
          </w:tcPr>
          <w:p w:rsidR="005E47D0" w:rsidRDefault="005E47D0" w:rsidP="0051054D">
            <w:pPr>
              <w:pStyle w:val="Tablegridtext"/>
            </w:pPr>
            <w:r>
              <w:t xml:space="preserve">Undertake analysis of the change in SA1 and school SES scores over time. Identify whether there is scope to use other data (e.g. ABS labour force, ATO income tax data to adjust SES scores. </w:t>
            </w:r>
          </w:p>
        </w:tc>
      </w:tr>
    </w:tbl>
    <w:p w:rsidR="005E47D0" w:rsidRDefault="005E47D0" w:rsidP="005E47D0">
      <w:pPr>
        <w:sectPr w:rsidR="005E47D0" w:rsidSect="001F193F">
          <w:headerReference w:type="default" r:id="rId55"/>
          <w:pgSz w:w="16838" w:h="11906" w:orient="landscape" w:code="9"/>
          <w:pgMar w:top="1440" w:right="1440" w:bottom="1440" w:left="1440" w:header="720" w:footer="720" w:gutter="0"/>
          <w:cols w:space="720"/>
          <w:noEndnote/>
          <w:docGrid w:linePitch="326"/>
        </w:sectPr>
      </w:pPr>
    </w:p>
    <w:p w:rsidR="00CB0FFA" w:rsidRDefault="00095D9E" w:rsidP="00A12411">
      <w:pPr>
        <w:pStyle w:val="HeadingTOC"/>
      </w:pPr>
      <w:bookmarkStart w:id="318" w:name="_Toc481431402"/>
      <w:bookmarkStart w:id="319" w:name="_Toc496803943"/>
      <w:r w:rsidRPr="006242E5">
        <w:t>References</w:t>
      </w:r>
      <w:bookmarkEnd w:id="318"/>
      <w:bookmarkEnd w:id="319"/>
    </w:p>
    <w:p w:rsidR="005333F5" w:rsidRDefault="00D21637" w:rsidP="005333F5">
      <w:pPr>
        <w:pStyle w:val="Bibliography"/>
        <w:ind w:left="720" w:hanging="720"/>
        <w:rPr>
          <w:noProof/>
        </w:rPr>
      </w:pPr>
      <w:r>
        <w:fldChar w:fldCharType="begin"/>
      </w:r>
      <w:r>
        <w:instrText xml:space="preserve"> BIBLIOGRAPHY  \l 3081 </w:instrText>
      </w:r>
      <w:r>
        <w:fldChar w:fldCharType="separate"/>
      </w:r>
      <w:r w:rsidR="005333F5">
        <w:rPr>
          <w:noProof/>
        </w:rPr>
        <w:t xml:space="preserve">ACT Government. (2012). </w:t>
      </w:r>
      <w:r w:rsidR="005333F5">
        <w:rPr>
          <w:i/>
          <w:iCs/>
          <w:noProof/>
        </w:rPr>
        <w:t>Detecting Disadvantage in the ACT: Report on the comparative analysis of the SEIFI and SEIFA indexes of relative socio-economic disadvantage in the Australian Capital Territory.</w:t>
      </w:r>
      <w:r w:rsidR="005333F5">
        <w:rPr>
          <w:noProof/>
        </w:rPr>
        <w:t xml:space="preserve"> Canberra: ACT Government.</w:t>
      </w:r>
    </w:p>
    <w:p w:rsidR="005333F5" w:rsidRDefault="005333F5" w:rsidP="005333F5">
      <w:pPr>
        <w:pStyle w:val="Bibliography"/>
        <w:ind w:left="720" w:hanging="720"/>
        <w:rPr>
          <w:noProof/>
        </w:rPr>
      </w:pPr>
      <w:r>
        <w:rPr>
          <w:noProof/>
        </w:rPr>
        <w:t xml:space="preserve">Australian Bureau of Statistics. (1999). </w:t>
      </w:r>
      <w:r>
        <w:rPr>
          <w:i/>
          <w:iCs/>
          <w:noProof/>
        </w:rPr>
        <w:t>Australian Standard Geographical Classification (ASGC), cat. no. 1216.0.</w:t>
      </w:r>
      <w:r>
        <w:rPr>
          <w:noProof/>
        </w:rPr>
        <w:t xml:space="preserve"> Canberra: Australian Bureau of Statistics.</w:t>
      </w:r>
    </w:p>
    <w:p w:rsidR="005333F5" w:rsidRDefault="005333F5" w:rsidP="005333F5">
      <w:pPr>
        <w:pStyle w:val="Bibliography"/>
        <w:ind w:left="720" w:hanging="720"/>
        <w:rPr>
          <w:noProof/>
        </w:rPr>
      </w:pPr>
      <w:r>
        <w:rPr>
          <w:noProof/>
        </w:rPr>
        <w:t xml:space="preserve">Australian Bureau of Statistics. (2010). </w:t>
      </w:r>
      <w:r>
        <w:rPr>
          <w:i/>
          <w:iCs/>
          <w:noProof/>
        </w:rPr>
        <w:t>1270.0.55.001 - Australian Statistical Geography Standard (ASGS): Volume 1 - Main Structure and Greater Capital City Statistical Areas, July 2011, Cat. No. 1270.0.55.001.</w:t>
      </w:r>
      <w:r>
        <w:rPr>
          <w:noProof/>
        </w:rPr>
        <w:t xml:space="preserve"> Canberra: Australian Bureau of Statistics.</w:t>
      </w:r>
    </w:p>
    <w:p w:rsidR="005333F5" w:rsidRDefault="005333F5" w:rsidP="005333F5">
      <w:pPr>
        <w:pStyle w:val="Bibliography"/>
        <w:ind w:left="720" w:hanging="720"/>
        <w:rPr>
          <w:noProof/>
        </w:rPr>
      </w:pPr>
      <w:r>
        <w:rPr>
          <w:noProof/>
        </w:rPr>
        <w:t xml:space="preserve">Australian Bureau of Statistics. (2010). </w:t>
      </w:r>
      <w:r>
        <w:rPr>
          <w:i/>
          <w:iCs/>
          <w:noProof/>
        </w:rPr>
        <w:t>Australian Statistical Geography Standard (ASGS): Volume 1 - Main Structure and Greater Capital City Statistical Areas, July 2011, cat. no. 1270.0.55.001.</w:t>
      </w:r>
      <w:r>
        <w:rPr>
          <w:noProof/>
        </w:rPr>
        <w:t xml:space="preserve"> Canberra: Australian Bureau of Statistics.</w:t>
      </w:r>
    </w:p>
    <w:p w:rsidR="005333F5" w:rsidRDefault="005333F5" w:rsidP="005333F5">
      <w:pPr>
        <w:pStyle w:val="Bibliography"/>
        <w:ind w:left="720" w:hanging="720"/>
        <w:rPr>
          <w:noProof/>
        </w:rPr>
      </w:pPr>
      <w:r>
        <w:rPr>
          <w:noProof/>
        </w:rPr>
        <w:t>Australian Council of Jewish Schools. (2017). Submission to the Senate Education and Employment Legislation Committee – Inquiry into the Australian Education Amendment Bill 2017. Caulfield. Retrieved from http://www.aph.gov.au/DocumentStore.ashx?id=28827410-762b-4c75-8815-13573e3dd21f&amp;subId=511491</w:t>
      </w:r>
    </w:p>
    <w:p w:rsidR="005333F5" w:rsidRDefault="005333F5" w:rsidP="005333F5">
      <w:pPr>
        <w:pStyle w:val="Bibliography"/>
        <w:ind w:left="720" w:hanging="720"/>
        <w:rPr>
          <w:noProof/>
        </w:rPr>
      </w:pPr>
      <w:r>
        <w:rPr>
          <w:noProof/>
        </w:rPr>
        <w:t xml:space="preserve">Australian Government. (2017, September 13). </w:t>
      </w:r>
      <w:r>
        <w:rPr>
          <w:i/>
          <w:iCs/>
          <w:noProof/>
        </w:rPr>
        <w:t>B.2.1.3 - Capacity to contribute</w:t>
      </w:r>
      <w:r>
        <w:rPr>
          <w:noProof/>
        </w:rPr>
        <w:t>. Retrieved from Guide to the Australian Education Act 2013: https://aeaguide.education.gov.au/content/b213-capacity-contribute</w:t>
      </w:r>
    </w:p>
    <w:p w:rsidR="005333F5" w:rsidRDefault="005333F5" w:rsidP="005333F5">
      <w:pPr>
        <w:pStyle w:val="Bibliography"/>
        <w:ind w:left="720" w:hanging="720"/>
        <w:rPr>
          <w:noProof/>
        </w:rPr>
      </w:pPr>
      <w:r>
        <w:rPr>
          <w:noProof/>
        </w:rPr>
        <w:t xml:space="preserve">Australian Government. (2017, August 29). </w:t>
      </w:r>
      <w:r>
        <w:rPr>
          <w:i/>
          <w:iCs/>
          <w:noProof/>
        </w:rPr>
        <w:t>Process for determination of an SES score by legislative instrument.</w:t>
      </w:r>
      <w:r>
        <w:rPr>
          <w:noProof/>
        </w:rPr>
        <w:t xml:space="preserve"> Retrieved from Guide to the Australian Education Act 2013: https://aeaguide.education.gov.au/content/f1131-process-determination-ses-score-legislative-instrument</w:t>
      </w:r>
    </w:p>
    <w:p w:rsidR="005333F5" w:rsidRDefault="005333F5" w:rsidP="005333F5">
      <w:pPr>
        <w:pStyle w:val="Bibliography"/>
        <w:ind w:left="720" w:hanging="720"/>
        <w:rPr>
          <w:noProof/>
        </w:rPr>
      </w:pPr>
      <w:r>
        <w:rPr>
          <w:noProof/>
        </w:rPr>
        <w:t xml:space="preserve">Baker, J., &amp; Adhikari, P. (2007). </w:t>
      </w:r>
      <w:r>
        <w:rPr>
          <w:i/>
          <w:iCs/>
          <w:noProof/>
        </w:rPr>
        <w:t>Socio-Economic Indexes for Individuals and Families: Research Paper.</w:t>
      </w:r>
      <w:r>
        <w:rPr>
          <w:noProof/>
        </w:rPr>
        <w:t xml:space="preserve"> 2007: Australian Bureau of Statistics.</w:t>
      </w:r>
    </w:p>
    <w:p w:rsidR="005333F5" w:rsidRDefault="005333F5" w:rsidP="005333F5">
      <w:pPr>
        <w:pStyle w:val="Bibliography"/>
        <w:ind w:left="720" w:hanging="720"/>
        <w:rPr>
          <w:noProof/>
        </w:rPr>
      </w:pPr>
      <w:r>
        <w:rPr>
          <w:noProof/>
        </w:rPr>
        <w:t xml:space="preserve">Catholic Education Commission of Victoria. (2017). </w:t>
      </w:r>
      <w:r>
        <w:rPr>
          <w:i/>
          <w:iCs/>
          <w:noProof/>
        </w:rPr>
        <w:t>Capacity to contribute and school SES scores.</w:t>
      </w:r>
      <w:r>
        <w:rPr>
          <w:noProof/>
        </w:rPr>
        <w:t xml:space="preserve"> Melbourne: Catholic Education Commission of Victoria.</w:t>
      </w:r>
    </w:p>
    <w:p w:rsidR="005333F5" w:rsidRDefault="005333F5" w:rsidP="005333F5">
      <w:pPr>
        <w:pStyle w:val="Bibliography"/>
        <w:ind w:left="720" w:hanging="720"/>
        <w:rPr>
          <w:noProof/>
        </w:rPr>
      </w:pPr>
      <w:r>
        <w:rPr>
          <w:noProof/>
        </w:rPr>
        <w:t xml:space="preserve">Department of Education and Training. (2017). </w:t>
      </w:r>
      <w:r>
        <w:rPr>
          <w:i/>
          <w:iCs/>
          <w:noProof/>
        </w:rPr>
        <w:t>School User Manual: Preparing and submitting a Statement of Addresses.</w:t>
      </w:r>
      <w:r>
        <w:rPr>
          <w:noProof/>
        </w:rPr>
        <w:t xml:space="preserve"> Canberra: Department of Education and Training. Retrieved from https://ssphelp.education.gov.au/sites/ssphelp/files/files/school_user_manual.pdf</w:t>
      </w:r>
    </w:p>
    <w:p w:rsidR="005333F5" w:rsidRDefault="005333F5" w:rsidP="005333F5">
      <w:pPr>
        <w:pStyle w:val="Bibliography"/>
        <w:ind w:left="720" w:hanging="720"/>
        <w:rPr>
          <w:noProof/>
        </w:rPr>
      </w:pPr>
      <w:r>
        <w:rPr>
          <w:noProof/>
        </w:rPr>
        <w:t xml:space="preserve">Department of Education and Training. (2017, August 29). </w:t>
      </w:r>
      <w:r>
        <w:rPr>
          <w:i/>
          <w:iCs/>
          <w:noProof/>
        </w:rPr>
        <w:t>What are the interim arrangements for non-government school systems while the review socio-economic status (SES) score methodology review is undertaken?</w:t>
      </w:r>
      <w:r>
        <w:rPr>
          <w:noProof/>
        </w:rPr>
        <w:t xml:space="preserve"> Retrieved from Quality Schools – frequently asked questions: https://www.education.gov.au/quality-schools-frequently-asked-questions#what-are-the-interim-arrangements</w:t>
      </w:r>
    </w:p>
    <w:p w:rsidR="005333F5" w:rsidRDefault="005333F5" w:rsidP="005333F5">
      <w:pPr>
        <w:pStyle w:val="Bibliography"/>
        <w:ind w:left="720" w:hanging="720"/>
        <w:rPr>
          <w:noProof/>
        </w:rPr>
      </w:pPr>
      <w:r>
        <w:rPr>
          <w:noProof/>
        </w:rPr>
        <w:t xml:space="preserve">Department of Education, Training and Youth Affairs. (1998). </w:t>
      </w:r>
      <w:r>
        <w:rPr>
          <w:i/>
          <w:iCs/>
          <w:noProof/>
        </w:rPr>
        <w:t>Schools Funding: SES Simulation Project Report.</w:t>
      </w:r>
      <w:r>
        <w:rPr>
          <w:noProof/>
        </w:rPr>
        <w:t xml:space="preserve"> Canberra: Department of Education, Training and Youth Affairs.</w:t>
      </w:r>
    </w:p>
    <w:p w:rsidR="005333F5" w:rsidRDefault="005333F5" w:rsidP="005333F5">
      <w:pPr>
        <w:pStyle w:val="Bibliography"/>
        <w:ind w:left="720" w:hanging="720"/>
        <w:rPr>
          <w:noProof/>
        </w:rPr>
      </w:pPr>
      <w:r>
        <w:rPr>
          <w:noProof/>
        </w:rPr>
        <w:t xml:space="preserve">Department of Education, Training and Youth Affairs. (1999). </w:t>
      </w:r>
      <w:r>
        <w:rPr>
          <w:i/>
          <w:iCs/>
          <w:noProof/>
        </w:rPr>
        <w:t>SES Simulation Project: Validation Report.</w:t>
      </w:r>
      <w:r>
        <w:rPr>
          <w:noProof/>
        </w:rPr>
        <w:t xml:space="preserve"> Canberra: Department of Education, Training and Youth Affairs.</w:t>
      </w:r>
    </w:p>
    <w:p w:rsidR="005333F5" w:rsidRDefault="005333F5" w:rsidP="005333F5">
      <w:pPr>
        <w:pStyle w:val="Bibliography"/>
        <w:ind w:left="720" w:hanging="720"/>
        <w:rPr>
          <w:noProof/>
        </w:rPr>
      </w:pPr>
      <w:r>
        <w:rPr>
          <w:noProof/>
        </w:rPr>
        <w:t xml:space="preserve">Department of Employment, Education, Training and Youth Affairs. (1997). </w:t>
      </w:r>
      <w:r>
        <w:rPr>
          <w:i/>
          <w:iCs/>
          <w:noProof/>
        </w:rPr>
        <w:t>Schools Funding: Consultation Report.</w:t>
      </w:r>
      <w:r>
        <w:rPr>
          <w:noProof/>
        </w:rPr>
        <w:t xml:space="preserve"> Canberra: Department of Employment, Education, Training and Youth Affairs.</w:t>
      </w:r>
    </w:p>
    <w:p w:rsidR="005333F5" w:rsidRDefault="005333F5" w:rsidP="005333F5">
      <w:pPr>
        <w:pStyle w:val="Bibliography"/>
        <w:ind w:left="720" w:hanging="720"/>
        <w:rPr>
          <w:noProof/>
        </w:rPr>
      </w:pPr>
      <w:r>
        <w:rPr>
          <w:noProof/>
        </w:rPr>
        <w:t xml:space="preserve">Dunteman, G. H. (1989). </w:t>
      </w:r>
      <w:r>
        <w:rPr>
          <w:i/>
          <w:iCs/>
          <w:noProof/>
        </w:rPr>
        <w:t>Principal Components Analysis.</w:t>
      </w:r>
      <w:r>
        <w:rPr>
          <w:noProof/>
        </w:rPr>
        <w:t xml:space="preserve"> Newbury Park, California: Sage Publications.</w:t>
      </w:r>
    </w:p>
    <w:p w:rsidR="005333F5" w:rsidRDefault="005333F5" w:rsidP="005333F5">
      <w:pPr>
        <w:pStyle w:val="Bibliography"/>
        <w:ind w:left="720" w:hanging="720"/>
        <w:rPr>
          <w:noProof/>
        </w:rPr>
      </w:pPr>
      <w:r>
        <w:rPr>
          <w:noProof/>
        </w:rPr>
        <w:t xml:space="preserve">Farish, S. (2004). </w:t>
      </w:r>
      <w:r>
        <w:rPr>
          <w:i/>
          <w:iCs/>
          <w:noProof/>
        </w:rPr>
        <w:t>Funding Arrangements for Non-government Schools 2005-2008: Recalculation of the Modified A Socioeconomic Status (SES) Indicator using 2001 Australian Bureau of Statistics Census Data.</w:t>
      </w:r>
      <w:r>
        <w:rPr>
          <w:noProof/>
        </w:rPr>
        <w:t xml:space="preserve"> Canberra: Department of Education, Science and Training.</w:t>
      </w:r>
    </w:p>
    <w:p w:rsidR="005333F5" w:rsidRDefault="005333F5" w:rsidP="005333F5">
      <w:pPr>
        <w:pStyle w:val="Bibliography"/>
        <w:ind w:left="720" w:hanging="720"/>
        <w:rPr>
          <w:noProof/>
        </w:rPr>
      </w:pPr>
      <w:r>
        <w:rPr>
          <w:noProof/>
        </w:rPr>
        <w:t xml:space="preserve">Farish, S. (2008). </w:t>
      </w:r>
      <w:r>
        <w:rPr>
          <w:i/>
          <w:iCs/>
          <w:noProof/>
        </w:rPr>
        <w:t>Funding Arrangements for Non-government schools 2009-2012: Recalculation of the Modified A Socioeconomic Status (SES) Indicator using 2006 Australian Bureau of Statistics Census Data.</w:t>
      </w:r>
      <w:r>
        <w:rPr>
          <w:noProof/>
        </w:rPr>
        <w:t xml:space="preserve"> Canberra: Department of Education, Employment and Workplace Relations.</w:t>
      </w:r>
    </w:p>
    <w:p w:rsidR="005333F5" w:rsidRDefault="005333F5" w:rsidP="005333F5">
      <w:pPr>
        <w:pStyle w:val="Bibliography"/>
        <w:ind w:left="720" w:hanging="720"/>
        <w:rPr>
          <w:noProof/>
        </w:rPr>
      </w:pPr>
      <w:r>
        <w:rPr>
          <w:noProof/>
        </w:rPr>
        <w:t xml:space="preserve">Farish, S. (2013). </w:t>
      </w:r>
      <w:r>
        <w:rPr>
          <w:i/>
          <w:iCs/>
          <w:noProof/>
        </w:rPr>
        <w:t>Recalculation of the Modified A Socioeconomic Status (SES) Indicator using 2011 Australian Bureau of Statistics Census Data.</w:t>
      </w:r>
      <w:r>
        <w:rPr>
          <w:noProof/>
        </w:rPr>
        <w:t xml:space="preserve"> Canberra: Department of Education, Employment and Workplace Relations.</w:t>
      </w:r>
    </w:p>
    <w:p w:rsidR="005333F5" w:rsidRDefault="005333F5" w:rsidP="005333F5">
      <w:pPr>
        <w:pStyle w:val="Bibliography"/>
        <w:ind w:left="720" w:hanging="720"/>
        <w:rPr>
          <w:noProof/>
        </w:rPr>
      </w:pPr>
      <w:r>
        <w:rPr>
          <w:noProof/>
        </w:rPr>
        <w:t xml:space="preserve">Farish, S. (2017). Senate Employment Legislation Committee inquiry into the Australian Education Amendment Bill 2017. </w:t>
      </w:r>
      <w:r>
        <w:rPr>
          <w:i/>
          <w:iCs/>
          <w:noProof/>
        </w:rPr>
        <w:t>Senate Education and Employment Legislation Committee</w:t>
      </w:r>
      <w:r>
        <w:rPr>
          <w:noProof/>
        </w:rPr>
        <w:t xml:space="preserve"> (pp. 1-8). Canberra: Commonwealth of Australia.</w:t>
      </w:r>
    </w:p>
    <w:p w:rsidR="005333F5" w:rsidRDefault="005333F5" w:rsidP="005333F5">
      <w:pPr>
        <w:pStyle w:val="Bibliography"/>
        <w:ind w:left="720" w:hanging="720"/>
        <w:rPr>
          <w:noProof/>
        </w:rPr>
      </w:pPr>
      <w:r>
        <w:rPr>
          <w:noProof/>
        </w:rPr>
        <w:t xml:space="preserve">Forbes, M., Barker, A., &amp; Turner, S. (2010). </w:t>
      </w:r>
      <w:r>
        <w:rPr>
          <w:i/>
          <w:iCs/>
          <w:noProof/>
        </w:rPr>
        <w:t>The Effects of Education and Health on Wages and Productivity.</w:t>
      </w:r>
      <w:r>
        <w:rPr>
          <w:noProof/>
        </w:rPr>
        <w:t xml:space="preserve"> Melbourne: Productivity Commmission.</w:t>
      </w:r>
    </w:p>
    <w:p w:rsidR="005333F5" w:rsidRDefault="005333F5" w:rsidP="005333F5">
      <w:pPr>
        <w:pStyle w:val="Bibliography"/>
        <w:ind w:left="720" w:hanging="720"/>
        <w:rPr>
          <w:noProof/>
        </w:rPr>
      </w:pPr>
      <w:r>
        <w:rPr>
          <w:noProof/>
        </w:rPr>
        <w:t xml:space="preserve">Goldie, X., Kakuk, I., &amp; Wood, G. (2014). Two Tales of a City: detecting socio-economic disadvantage in an ‘advantaged’ Australian urban centre. </w:t>
      </w:r>
      <w:r>
        <w:rPr>
          <w:i/>
          <w:iCs/>
          <w:noProof/>
        </w:rPr>
        <w:t>Australian Geographer, 45</w:t>
      </w:r>
      <w:r>
        <w:rPr>
          <w:noProof/>
        </w:rPr>
        <w:t>(4), 521-540.</w:t>
      </w:r>
    </w:p>
    <w:p w:rsidR="005333F5" w:rsidRDefault="005333F5" w:rsidP="005333F5">
      <w:pPr>
        <w:pStyle w:val="Bibliography"/>
        <w:ind w:left="720" w:hanging="720"/>
        <w:rPr>
          <w:noProof/>
        </w:rPr>
      </w:pPr>
      <w:r>
        <w:rPr>
          <w:noProof/>
        </w:rPr>
        <w:t xml:space="preserve">Gonski, D., Boston, K., Greiner, K., Lawrence, C., Scales, B., &amp; Tannock, P. (2011). </w:t>
      </w:r>
      <w:r>
        <w:rPr>
          <w:i/>
          <w:iCs/>
          <w:noProof/>
        </w:rPr>
        <w:t>Review of Funding for Schooling: Final Report.</w:t>
      </w:r>
      <w:r>
        <w:rPr>
          <w:noProof/>
        </w:rPr>
        <w:t xml:space="preserve"> Canberra: Department of Education, Employment and Workplace Relations.</w:t>
      </w:r>
    </w:p>
    <w:p w:rsidR="005333F5" w:rsidRDefault="005333F5" w:rsidP="005333F5">
      <w:pPr>
        <w:pStyle w:val="Bibliography"/>
        <w:ind w:left="720" w:hanging="720"/>
        <w:rPr>
          <w:noProof/>
        </w:rPr>
      </w:pPr>
      <w:r>
        <w:rPr>
          <w:noProof/>
        </w:rPr>
        <w:t xml:space="preserve">Hain, L. (2017). </w:t>
      </w:r>
      <w:r>
        <w:rPr>
          <w:i/>
          <w:iCs/>
          <w:noProof/>
        </w:rPr>
        <w:t>Australian Education Amendment Bill 2017: Senate Education and Employment Committee, 2 June.</w:t>
      </w:r>
      <w:r>
        <w:rPr>
          <w:noProof/>
        </w:rPr>
        <w:t xml:space="preserve"> Canberra: Commonwealth of Australia.</w:t>
      </w:r>
    </w:p>
    <w:p w:rsidR="005333F5" w:rsidRDefault="005333F5" w:rsidP="005333F5">
      <w:pPr>
        <w:pStyle w:val="Bibliography"/>
        <w:ind w:left="720" w:hanging="720"/>
        <w:rPr>
          <w:noProof/>
        </w:rPr>
      </w:pPr>
      <w:r>
        <w:rPr>
          <w:noProof/>
        </w:rPr>
        <w:t xml:space="preserve">Hinz, B. (2016). </w:t>
      </w:r>
      <w:r>
        <w:rPr>
          <w:i/>
          <w:iCs/>
          <w:noProof/>
        </w:rPr>
        <w:t>Federalism and schooling reforms in Australia.</w:t>
      </w:r>
      <w:r>
        <w:rPr>
          <w:noProof/>
        </w:rPr>
        <w:t xml:space="preserve"> Melbourne: PhD thesis, University of Melbourne. Retrieved from https://minerva-access.unimelb.edu.au/bitstream/handle/11343/92270/Hinz_PhD%20federalism%20and%20schooling%20reform%20MASTER%20revised%20FINAL.pdf?sequence=1&amp;isAllowed=y</w:t>
      </w:r>
    </w:p>
    <w:p w:rsidR="005333F5" w:rsidRDefault="005333F5" w:rsidP="005333F5">
      <w:pPr>
        <w:pStyle w:val="Bibliography"/>
        <w:ind w:left="720" w:hanging="720"/>
        <w:rPr>
          <w:noProof/>
        </w:rPr>
      </w:pPr>
      <w:r>
        <w:rPr>
          <w:noProof/>
        </w:rPr>
        <w:t xml:space="preserve">Independent Schools Council of Australia. (2011). </w:t>
      </w:r>
      <w:r>
        <w:rPr>
          <w:i/>
          <w:iCs/>
          <w:noProof/>
        </w:rPr>
        <w:t>Review of Funding for Schooling: Submission.</w:t>
      </w:r>
      <w:r>
        <w:rPr>
          <w:noProof/>
        </w:rPr>
        <w:t xml:space="preserve"> Canberra: Independent Schools Council of Australia.</w:t>
      </w:r>
    </w:p>
    <w:p w:rsidR="005333F5" w:rsidRDefault="005333F5" w:rsidP="005333F5">
      <w:pPr>
        <w:pStyle w:val="Bibliography"/>
        <w:ind w:left="720" w:hanging="720"/>
        <w:rPr>
          <w:noProof/>
        </w:rPr>
      </w:pPr>
      <w:r>
        <w:rPr>
          <w:noProof/>
        </w:rPr>
        <w:t xml:space="preserve">Independent Schools Victoria. (2011). </w:t>
      </w:r>
      <w:r>
        <w:rPr>
          <w:i/>
          <w:iCs/>
          <w:noProof/>
        </w:rPr>
        <w:t>Review of Funding for Schooling Response.</w:t>
      </w:r>
      <w:r>
        <w:rPr>
          <w:noProof/>
        </w:rPr>
        <w:t xml:space="preserve"> Melbourne: Independent Schools Victoria.</w:t>
      </w:r>
    </w:p>
    <w:p w:rsidR="005333F5" w:rsidRDefault="005333F5" w:rsidP="005333F5">
      <w:pPr>
        <w:pStyle w:val="Bibliography"/>
        <w:ind w:left="720" w:hanging="720"/>
        <w:rPr>
          <w:noProof/>
        </w:rPr>
      </w:pPr>
      <w:r>
        <w:rPr>
          <w:noProof/>
        </w:rPr>
        <w:t xml:space="preserve">Kemp, D. (2000, June 29). States Grants (Primary and Secondary Education Assistance) Bill 2000: Second Reading Speect. </w:t>
      </w:r>
      <w:r>
        <w:rPr>
          <w:i/>
          <w:iCs/>
          <w:noProof/>
        </w:rPr>
        <w:t>Parliamentary Debates</w:t>
      </w:r>
      <w:r>
        <w:rPr>
          <w:noProof/>
        </w:rPr>
        <w:t>. Canberra, Australian Capital Territory, Australia: Commonwealth of Australia.</w:t>
      </w:r>
    </w:p>
    <w:p w:rsidR="005333F5" w:rsidRDefault="005333F5" w:rsidP="005333F5">
      <w:pPr>
        <w:pStyle w:val="Bibliography"/>
        <w:ind w:left="720" w:hanging="720"/>
        <w:rPr>
          <w:noProof/>
        </w:rPr>
      </w:pPr>
      <w:r>
        <w:rPr>
          <w:noProof/>
        </w:rPr>
        <w:t xml:space="preserve">KPMG Management Consulting. (1996). </w:t>
      </w:r>
      <w:r>
        <w:rPr>
          <w:i/>
          <w:iCs/>
          <w:noProof/>
        </w:rPr>
        <w:t>Evaluation of the Administration of the General Recurrent Grants for Schools Programs.</w:t>
      </w:r>
      <w:r>
        <w:rPr>
          <w:noProof/>
        </w:rPr>
        <w:t xml:space="preserve"> Canberra: Department of Employment, Education, Training and Youth Affairs.</w:t>
      </w:r>
    </w:p>
    <w:p w:rsidR="005333F5" w:rsidRDefault="005333F5" w:rsidP="005333F5">
      <w:pPr>
        <w:pStyle w:val="Bibliography"/>
        <w:ind w:left="720" w:hanging="720"/>
        <w:rPr>
          <w:noProof/>
        </w:rPr>
      </w:pPr>
      <w:r>
        <w:rPr>
          <w:noProof/>
        </w:rPr>
        <w:t xml:space="preserve">Maddox, M. (2014). </w:t>
      </w:r>
      <w:r>
        <w:rPr>
          <w:i/>
          <w:iCs/>
          <w:noProof/>
        </w:rPr>
        <w:t>Taking God to School: The End of Australia's Egalitarian Education.</w:t>
      </w:r>
      <w:r>
        <w:rPr>
          <w:noProof/>
        </w:rPr>
        <w:t xml:space="preserve"> Crows Nest: Allen &amp; Unwin.</w:t>
      </w:r>
    </w:p>
    <w:p w:rsidR="005333F5" w:rsidRDefault="005333F5" w:rsidP="005333F5">
      <w:pPr>
        <w:pStyle w:val="Bibliography"/>
        <w:ind w:left="720" w:hanging="720"/>
        <w:rPr>
          <w:noProof/>
        </w:rPr>
      </w:pPr>
      <w:r>
        <w:rPr>
          <w:noProof/>
        </w:rPr>
        <w:t xml:space="preserve">Marks, G. N. (2016, December). Is SES really that important for education outcomes in Australia? A review and some recent evidence. </w:t>
      </w:r>
      <w:r>
        <w:rPr>
          <w:i/>
          <w:iCs/>
          <w:noProof/>
        </w:rPr>
        <w:t>The Australian Education Researcher, 44</w:t>
      </w:r>
      <w:r>
        <w:rPr>
          <w:noProof/>
        </w:rPr>
        <w:t>, 191-211.</w:t>
      </w:r>
    </w:p>
    <w:p w:rsidR="005333F5" w:rsidRDefault="005333F5" w:rsidP="005333F5">
      <w:pPr>
        <w:pStyle w:val="Bibliography"/>
        <w:ind w:left="720" w:hanging="720"/>
        <w:rPr>
          <w:noProof/>
        </w:rPr>
      </w:pPr>
      <w:r>
        <w:rPr>
          <w:noProof/>
        </w:rPr>
        <w:t xml:space="preserve">National Catholic Education Commission. (2011). </w:t>
      </w:r>
      <w:r>
        <w:rPr>
          <w:i/>
          <w:iCs/>
          <w:noProof/>
        </w:rPr>
        <w:t>Submission to the Review of Funding for Schooling.</w:t>
      </w:r>
      <w:r>
        <w:rPr>
          <w:noProof/>
        </w:rPr>
        <w:t xml:space="preserve"> Canberra: National Catholic Education Commission.</w:t>
      </w:r>
    </w:p>
    <w:p w:rsidR="005333F5" w:rsidRDefault="005333F5" w:rsidP="005333F5">
      <w:pPr>
        <w:pStyle w:val="Bibliography"/>
        <w:ind w:left="720" w:hanging="720"/>
        <w:rPr>
          <w:noProof/>
        </w:rPr>
      </w:pPr>
      <w:r>
        <w:rPr>
          <w:noProof/>
        </w:rPr>
        <w:t xml:space="preserve">Pink, B. (2013). </w:t>
      </w:r>
      <w:r>
        <w:rPr>
          <w:i/>
          <w:iCs/>
          <w:noProof/>
        </w:rPr>
        <w:t>Socio-Economic Indexes for Areas (SEIFA): Technical Paper, 2011, Cat. No. 2033.0.55.001.</w:t>
      </w:r>
      <w:r>
        <w:rPr>
          <w:noProof/>
        </w:rPr>
        <w:t xml:space="preserve"> Canberra: Australian Bureau of Statistics.</w:t>
      </w:r>
    </w:p>
    <w:p w:rsidR="005333F5" w:rsidRDefault="005333F5" w:rsidP="005333F5">
      <w:pPr>
        <w:pStyle w:val="Bibliography"/>
        <w:ind w:left="720" w:hanging="720"/>
        <w:rPr>
          <w:noProof/>
        </w:rPr>
      </w:pPr>
      <w:r>
        <w:rPr>
          <w:noProof/>
        </w:rPr>
        <w:t xml:space="preserve">Preston, B. (2010, March). </w:t>
      </w:r>
      <w:r>
        <w:rPr>
          <w:i/>
          <w:iCs/>
          <w:noProof/>
        </w:rPr>
        <w:t>Notes on the ecological fallacy when area-based indexes of disadvantage/advantage are applied to schooling in Australia.</w:t>
      </w:r>
      <w:r>
        <w:rPr>
          <w:noProof/>
        </w:rPr>
        <w:t xml:space="preserve"> Retrieved from Barbara Preston Reseach: http://www.barbaraprestonresearch.com.au/wp-content/uploads/2010-BPreston-Notes-on-the-ecological-fallacy-and-area-based-indexes-of-disadvantage-applied-to-schooling-in-Australia.pdf</w:t>
      </w:r>
    </w:p>
    <w:p w:rsidR="005333F5" w:rsidRDefault="005333F5" w:rsidP="005333F5">
      <w:pPr>
        <w:pStyle w:val="Bibliography"/>
        <w:ind w:left="720" w:hanging="720"/>
        <w:rPr>
          <w:noProof/>
        </w:rPr>
      </w:pPr>
      <w:r>
        <w:rPr>
          <w:noProof/>
        </w:rPr>
        <w:t xml:space="preserve">The Allen Consulting Group. (2011). </w:t>
      </w:r>
      <w:r>
        <w:rPr>
          <w:i/>
          <w:iCs/>
          <w:noProof/>
        </w:rPr>
        <w:t>Feasibility of a National Schooling Recurrent Resouce Standard.</w:t>
      </w:r>
      <w:r>
        <w:rPr>
          <w:noProof/>
        </w:rPr>
        <w:t xml:space="preserve"> Melbourne: The Allen Consulting Group.</w:t>
      </w:r>
    </w:p>
    <w:p w:rsidR="005333F5" w:rsidRDefault="005333F5" w:rsidP="005333F5">
      <w:pPr>
        <w:pStyle w:val="Bibliography"/>
        <w:ind w:left="720" w:hanging="720"/>
        <w:rPr>
          <w:noProof/>
        </w:rPr>
      </w:pPr>
      <w:r>
        <w:rPr>
          <w:noProof/>
        </w:rPr>
        <w:t xml:space="preserve">Watson, L. (2004). Don't Throw Out the Baby with the Bathwater: The Case for a Reformed SES Funding Scheme. </w:t>
      </w:r>
      <w:r>
        <w:rPr>
          <w:i/>
          <w:iCs/>
          <w:noProof/>
        </w:rPr>
        <w:t>Australian Journal of Education</w:t>
      </w:r>
      <w:r>
        <w:rPr>
          <w:noProof/>
        </w:rPr>
        <w:t>, 227-238.</w:t>
      </w:r>
    </w:p>
    <w:p w:rsidR="005333F5" w:rsidRDefault="005333F5" w:rsidP="005333F5">
      <w:pPr>
        <w:pStyle w:val="Bibliography"/>
        <w:ind w:left="720" w:hanging="720"/>
        <w:rPr>
          <w:noProof/>
        </w:rPr>
      </w:pPr>
      <w:r>
        <w:rPr>
          <w:noProof/>
        </w:rPr>
        <w:t xml:space="preserve">Wilkinson, I. R., Caldwell, B. J., Selleck, R., Harris, J., &amp; Dettman, P. (2006). </w:t>
      </w:r>
      <w:r>
        <w:rPr>
          <w:i/>
          <w:iCs/>
          <w:noProof/>
        </w:rPr>
        <w:t>A History of State Aid to Non-Government Schools in Australia.</w:t>
      </w:r>
      <w:r>
        <w:rPr>
          <w:noProof/>
        </w:rPr>
        <w:t xml:space="preserve"> Canberra: Department of Education, Science and Training.</w:t>
      </w:r>
    </w:p>
    <w:p w:rsidR="005333F5" w:rsidRDefault="005333F5" w:rsidP="005333F5">
      <w:pPr>
        <w:pStyle w:val="Bibliography"/>
        <w:ind w:left="720" w:hanging="720"/>
        <w:rPr>
          <w:noProof/>
        </w:rPr>
      </w:pPr>
      <w:r>
        <w:rPr>
          <w:noProof/>
        </w:rPr>
        <w:t xml:space="preserve">Wise, P., &amp; Mathews, R. (2011). </w:t>
      </w:r>
      <w:r>
        <w:rPr>
          <w:i/>
          <w:iCs/>
          <w:noProof/>
        </w:rPr>
        <w:t>Research Paper: Socio-Economic Indexes For Areas: Getting a Handle on Individual Diversity Within Areas, Sep 2011  .</w:t>
      </w:r>
      <w:r>
        <w:rPr>
          <w:noProof/>
        </w:rPr>
        <w:t xml:space="preserve"> Canberra: Australian Bureau of Statistics.</w:t>
      </w:r>
    </w:p>
    <w:p w:rsidR="00D21637" w:rsidRDefault="00D21637" w:rsidP="005333F5">
      <w:pPr>
        <w:pStyle w:val="Bibliography"/>
        <w:ind w:left="720" w:hanging="720"/>
      </w:pPr>
      <w:r>
        <w:fldChar w:fldCharType="end"/>
      </w:r>
    </w:p>
    <w:sectPr w:rsidR="00D21637" w:rsidSect="006408E8">
      <w:headerReference w:type="even" r:id="rId56"/>
      <w:headerReference w:type="default" r:id="rId57"/>
      <w:headerReference w:type="first" r:id="rId58"/>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3E" w:rsidRDefault="0063193E" w:rsidP="00C44628">
      <w:r>
        <w:separator/>
      </w:r>
    </w:p>
  </w:endnote>
  <w:endnote w:type="continuationSeparator" w:id="0">
    <w:p w:rsidR="0063193E" w:rsidRDefault="0063193E" w:rsidP="00C4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pPr>
      <w:pStyle w:val="Footer"/>
    </w:pPr>
    <w:r>
      <w:rPr>
        <w:noProof/>
        <w:lang w:val="en-AU" w:eastAsia="en-AU"/>
      </w:rPr>
      <w:drawing>
        <wp:anchor distT="0" distB="0" distL="114300" distR="114300" simplePos="0" relativeHeight="251686912" behindDoc="0" locked="1" layoutInCell="1" allowOverlap="1" wp14:anchorId="2E120893" wp14:editId="3C4D3971">
          <wp:simplePos x="0" y="0"/>
          <wp:positionH relativeFrom="column">
            <wp:posOffset>4914900</wp:posOffset>
          </wp:positionH>
          <wp:positionV relativeFrom="paragraph">
            <wp:posOffset>-211455</wp:posOffset>
          </wp:positionV>
          <wp:extent cx="1609090" cy="730250"/>
          <wp:effectExtent l="0" t="0" r="0" b="0"/>
          <wp:wrapNone/>
          <wp:docPr id="55" name="Picture 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RSED_CIRES big TRANS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730250"/>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pPr>
      <w:rPr>
        <w:rFonts w:eastAsiaTheme="majorEastAsia"/>
        <w:noProof/>
      </w:rPr>
    </w:pPr>
    <w:r w:rsidRPr="002F0610">
      <w:rPr>
        <w:noProof/>
        <w:lang w:eastAsia="en-AU"/>
      </w:rPr>
      <w:drawing>
        <wp:anchor distT="0" distB="0" distL="114300" distR="114300" simplePos="0" relativeHeight="251692032" behindDoc="0" locked="1" layoutInCell="1" allowOverlap="1" wp14:anchorId="74D448C7" wp14:editId="66063149">
          <wp:simplePos x="0" y="0"/>
          <wp:positionH relativeFrom="margin">
            <wp:posOffset>903605</wp:posOffset>
          </wp:positionH>
          <wp:positionV relativeFrom="paragraph">
            <wp:posOffset>79375</wp:posOffset>
          </wp:positionV>
          <wp:extent cx="1807200" cy="633600"/>
          <wp:effectExtent l="0" t="0" r="3175" b="0"/>
          <wp:wrapNone/>
          <wp:docPr id="56" name="Picture 56" descr="Victoria University">
            <a:hlinkClick xmlns:a="http://schemas.openxmlformats.org/drawingml/2006/main" r:id="rId1" tooltip="Victoria University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University-logo-high-re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7200" cy="633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9984" behindDoc="0" locked="1" layoutInCell="1" allowOverlap="1" wp14:anchorId="7CE8D755" wp14:editId="7FA97A43">
          <wp:simplePos x="0" y="0"/>
          <wp:positionH relativeFrom="margin">
            <wp:posOffset>3018134</wp:posOffset>
          </wp:positionH>
          <wp:positionV relativeFrom="paragraph">
            <wp:posOffset>114935</wp:posOffset>
          </wp:positionV>
          <wp:extent cx="1756800" cy="633600"/>
          <wp:effectExtent l="0" t="0" r="0" b="0"/>
          <wp:wrapNone/>
          <wp:docPr id="57" name="Picture 57" descr="Centre for International Research on Educa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ES big.jpg"/>
                  <pic:cNvPicPr/>
                </pic:nvPicPr>
                <pic:blipFill rotWithShape="1">
                  <a:blip r:embed="rId3" cstate="print">
                    <a:extLst>
                      <a:ext uri="{28A0092B-C50C-407E-A947-70E740481C1C}">
                        <a14:useLocalDpi xmlns:a14="http://schemas.microsoft.com/office/drawing/2010/main" val="0"/>
                      </a:ext>
                    </a:extLst>
                  </a:blip>
                  <a:srcRect l="2712" t="13613" r="7960" b="15745"/>
                  <a:stretch/>
                </pic:blipFill>
                <pic:spPr bwMode="auto">
                  <a:xfrm>
                    <a:off x="0" y="0"/>
                    <a:ext cx="1756800" cy="63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193E" w:rsidRDefault="0063193E" w:rsidP="00C44628">
    <w:pPr>
      <w:rPr>
        <w:rFonts w:eastAsiaTheme="majorEastAsia"/>
        <w:noProof/>
      </w:rPr>
    </w:pPr>
  </w:p>
  <w:p w:rsidR="0063193E" w:rsidRDefault="0063193E" w:rsidP="00C44628">
    <w:pPr>
      <w:rPr>
        <w:rFonts w:eastAsiaTheme="majorEastAsia"/>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B742BC">
    <w:pPr>
      <w:pStyle w:val="InsideCoverHeading"/>
    </w:pPr>
    <w:r>
      <w:t>About CIRES</w:t>
    </w:r>
  </w:p>
  <w:p w:rsidR="0063193E" w:rsidRDefault="0063193E" w:rsidP="00B742BC">
    <w:pPr>
      <w:pStyle w:val="FootnoteText"/>
      <w:spacing w:after="0"/>
    </w:pPr>
    <w:r>
      <w:t>The Centre for International Research on Education Systems, located at Victoria University, conducts strategic research that identifies how well education systems work, for whom, and how they can be improved to work well for all. The Centre undertakes large-scale survey and policy-related projects covering every state and territory in Australia and every sector of education and training. It also undertakes international comparative research examining the features and performance of education systems around the world.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B742BC">
    <w:pPr>
      <w:pStyle w:val="InsideCoverHeading"/>
    </w:pPr>
    <w:r>
      <w:t>About CIRES</w:t>
    </w:r>
  </w:p>
  <w:p w:rsidR="0063193E" w:rsidRDefault="0063193E" w:rsidP="00B742BC">
    <w:pPr>
      <w:pStyle w:val="FootnoteText"/>
      <w:spacing w:after="0"/>
    </w:pPr>
    <w:r>
      <w:t>The Centre for International Research on Education Systems, located at Victoria University, conducts strategic research that identifies how well education systems work, for whom, and how they can be improved to work well for all. The Centre undertakes large-scale survey and policy-related projects covering every state and territory in Australia and every sector of education and training. It also undertakes international comparative research examining the features and performance of education systems around the world.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87495B" w:rsidRDefault="0063193E" w:rsidP="00950AEE">
    <w:pPr>
      <w:pStyle w:val="Footer"/>
    </w:pPr>
    <w:r w:rsidRPr="0087495B">
      <w:t xml:space="preserve">Centre for International Research on </w:t>
    </w:r>
    <w:r w:rsidRPr="00472572">
      <w:t>Education</w:t>
    </w:r>
    <w:r w:rsidRPr="0087495B">
      <w:t xml:space="preserve"> Systems</w:t>
    </w:r>
    <w:r w:rsidRPr="0087495B">
      <w:tab/>
      <w:t>Victoria University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87495B" w:rsidRDefault="0063193E" w:rsidP="00EB0609">
    <w:pPr>
      <w:pStyle w:val="Footer"/>
      <w:tabs>
        <w:tab w:val="clear" w:pos="9027"/>
        <w:tab w:val="right" w:pos="13892"/>
      </w:tabs>
    </w:pPr>
    <w:r w:rsidRPr="0087495B">
      <w:t xml:space="preserve">Centre for International Research on </w:t>
    </w:r>
    <w:r w:rsidRPr="00472572">
      <w:t>Education</w:t>
    </w:r>
    <w:r w:rsidRPr="0087495B">
      <w:t xml:space="preserve"> Systems</w:t>
    </w:r>
    <w:r w:rsidRPr="0087495B">
      <w:tab/>
      <w:t>Victoria University</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87495B" w:rsidRDefault="0063193E" w:rsidP="00950AEE">
    <w:pPr>
      <w:pStyle w:val="Footer"/>
    </w:pPr>
    <w:r w:rsidRPr="0087495B">
      <w:t xml:space="preserve">Centre for International Research on </w:t>
    </w:r>
    <w:r w:rsidRPr="00472572">
      <w:t>Education</w:t>
    </w:r>
    <w:r w:rsidRPr="0087495B">
      <w:t xml:space="preserve"> Systems</w:t>
    </w:r>
    <w:r w:rsidRPr="0087495B">
      <w:tab/>
      <w:t>Victoria University</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87495B" w:rsidRDefault="0063193E" w:rsidP="004443D0">
    <w:pPr>
      <w:pStyle w:val="Footer"/>
      <w:tabs>
        <w:tab w:val="clear" w:pos="9027"/>
        <w:tab w:val="right" w:pos="13892"/>
      </w:tabs>
    </w:pPr>
    <w:r w:rsidRPr="0087495B">
      <w:t xml:space="preserve">Centre for International Research on </w:t>
    </w:r>
    <w:r w:rsidRPr="00472572">
      <w:t>Education</w:t>
    </w:r>
    <w:r w:rsidRPr="0087495B">
      <w:t xml:space="preserve"> Systems</w:t>
    </w:r>
    <w:r w:rsidRPr="0087495B">
      <w:tab/>
      <w:t>Victoria University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3E" w:rsidRDefault="0063193E" w:rsidP="00C44628">
      <w:r>
        <w:separator/>
      </w:r>
    </w:p>
  </w:footnote>
  <w:footnote w:type="continuationSeparator" w:id="0">
    <w:p w:rsidR="0063193E" w:rsidRDefault="0063193E" w:rsidP="00C44628">
      <w:r>
        <w:continuationSeparator/>
      </w:r>
    </w:p>
  </w:footnote>
  <w:footnote w:id="1">
    <w:p w:rsidR="0063193E" w:rsidRDefault="0063193E" w:rsidP="007313F0">
      <w:pPr>
        <w:pStyle w:val="FootnoteText"/>
      </w:pPr>
      <w:r>
        <w:rPr>
          <w:rStyle w:val="FootnoteReference"/>
        </w:rPr>
        <w:footnoteRef/>
      </w:r>
      <w:r>
        <w:t xml:space="preserve"> The ‘community standard’ reflected judgements about standards required in all schools. These included desirable class sizes; time allowances for teacher professional duties; and the number of specialist and ancillary staff </w:t>
      </w:r>
      <w:sdt>
        <w:sdtPr>
          <w:id w:val="771519146"/>
          <w:citation/>
        </w:sdtPr>
        <w:sdtContent>
          <w:r>
            <w:fldChar w:fldCharType="begin"/>
          </w:r>
          <w:r>
            <w:instrText xml:space="preserve"> CITATION Wil \l 3081 </w:instrText>
          </w:r>
          <w:r>
            <w:fldChar w:fldCharType="separate"/>
          </w:r>
          <w:r>
            <w:rPr>
              <w:noProof/>
            </w:rPr>
            <w:t>(Wilkinson, Caldwell, Selleck, Harris, &amp; Dettman, 2006)</w:t>
          </w:r>
          <w:r>
            <w:fldChar w:fldCharType="end"/>
          </w:r>
        </w:sdtContent>
      </w:sdt>
      <w:r>
        <w:t xml:space="preserve">. </w:t>
      </w:r>
    </w:p>
  </w:footnote>
  <w:footnote w:id="2">
    <w:p w:rsidR="0063193E" w:rsidRDefault="0063193E">
      <w:pPr>
        <w:pStyle w:val="FootnoteText"/>
      </w:pPr>
      <w:r>
        <w:rPr>
          <w:rStyle w:val="FootnoteReference"/>
        </w:rPr>
        <w:footnoteRef/>
      </w:r>
      <w:r>
        <w:t xml:space="preserve"> At this time only Victoria, South Australia and Tasmania provided means-tested allowances to students in non</w:t>
      </w:r>
      <w:r>
        <w:noBreakHyphen/>
        <w:t xml:space="preserve">government schools. </w:t>
      </w:r>
    </w:p>
  </w:footnote>
  <w:footnote w:id="3">
    <w:p w:rsidR="0063193E" w:rsidRDefault="0063193E">
      <w:pPr>
        <w:pStyle w:val="FootnoteText"/>
      </w:pPr>
      <w:r>
        <w:rPr>
          <w:rStyle w:val="FootnoteReference"/>
        </w:rPr>
        <w:footnoteRef/>
      </w:r>
      <w:r>
        <w:t xml:space="preserve"> Advice from the Australian Government Department of Education and Training. </w:t>
      </w:r>
    </w:p>
  </w:footnote>
  <w:footnote w:id="4">
    <w:p w:rsidR="0063193E" w:rsidRDefault="0063193E" w:rsidP="00DE5144">
      <w:pPr>
        <w:pStyle w:val="FootnoteText"/>
      </w:pPr>
      <w:r>
        <w:rPr>
          <w:rStyle w:val="FootnoteReference"/>
        </w:rPr>
        <w:footnoteRef/>
      </w:r>
      <w:r>
        <w:t xml:space="preserve"> As noted earlier, this extraction was originally at the CD level. From the 2011 ABS Census, data was reported at the SA1 level. </w:t>
      </w:r>
    </w:p>
  </w:footnote>
  <w:footnote w:id="5">
    <w:p w:rsidR="0063193E" w:rsidRDefault="0063193E">
      <w:pPr>
        <w:pStyle w:val="FootnoteText"/>
      </w:pPr>
      <w:r>
        <w:rPr>
          <w:rStyle w:val="FootnoteReference"/>
        </w:rPr>
        <w:footnoteRef/>
      </w:r>
      <w:r>
        <w:t xml:space="preserve"> Variables within a PCA are standardised to have a mean of 0 and standard deviation of 1. </w:t>
      </w:r>
    </w:p>
  </w:footnote>
  <w:footnote w:id="6">
    <w:p w:rsidR="0063193E" w:rsidRDefault="0063193E">
      <w:pPr>
        <w:pStyle w:val="FootnoteText"/>
      </w:pPr>
      <w:r>
        <w:rPr>
          <w:rStyle w:val="FootnoteReference"/>
        </w:rPr>
        <w:footnoteRef/>
      </w:r>
      <w:r>
        <w:t xml:space="preserve"> </w:t>
      </w:r>
      <w:r w:rsidRPr="004D1659">
        <w:t xml:space="preserve">A diverse CD </w:t>
      </w:r>
      <w:r>
        <w:t>is one where</w:t>
      </w:r>
      <w:r w:rsidRPr="004D1659">
        <w:t xml:space="preserve"> at least 20 per cent of individuals were in the bottom quintile of all Australian individuals, and at least 30 per cent in the top 30 per cent of all Australian individuals</w:t>
      </w:r>
      <w:r>
        <w:t xml:space="preserve">. </w:t>
      </w:r>
    </w:p>
  </w:footnote>
  <w:footnote w:id="7">
    <w:p w:rsidR="0063193E" w:rsidRDefault="0063193E" w:rsidP="000E61A4">
      <w:pPr>
        <w:pStyle w:val="FootnoteText"/>
      </w:pPr>
      <w:r>
        <w:rPr>
          <w:rStyle w:val="FootnoteReference"/>
        </w:rPr>
        <w:footnoteRef/>
      </w:r>
      <w:r>
        <w:t xml:space="preserve"> These previous validation activities are described in Section </w:t>
      </w:r>
      <w:r>
        <w:fldChar w:fldCharType="begin"/>
      </w:r>
      <w:r>
        <w:instrText xml:space="preserve"> REF _Ref489967724 \r \h </w:instrText>
      </w:r>
      <w:r>
        <w:fldChar w:fldCharType="separate"/>
      </w:r>
      <w:r w:rsidR="00B52C11">
        <w:t>2</w:t>
      </w:r>
      <w:r>
        <w:fldChar w:fldCharType="end"/>
      </w:r>
      <w:r>
        <w:t xml:space="preserve">, pp. </w:t>
      </w:r>
      <w:r>
        <w:fldChar w:fldCharType="begin"/>
      </w:r>
      <w:r>
        <w:instrText xml:space="preserve"> PAGEREF _Ref492991626 \h </w:instrText>
      </w:r>
      <w:r>
        <w:fldChar w:fldCharType="separate"/>
      </w:r>
      <w:r>
        <w:rPr>
          <w:noProof/>
        </w:rPr>
        <w:t>12</w:t>
      </w:r>
      <w:r>
        <w:fldChar w:fldCharType="end"/>
      </w:r>
      <w:r>
        <w:t>-</w:t>
      </w:r>
      <w:r>
        <w:fldChar w:fldCharType="begin"/>
      </w:r>
      <w:r>
        <w:instrText xml:space="preserve"> PAGEREF _Ref491693722 \h </w:instrText>
      </w:r>
      <w:r>
        <w:fldChar w:fldCharType="separate"/>
      </w:r>
      <w:r>
        <w:rPr>
          <w:noProof/>
        </w:rPr>
        <w:t>13</w:t>
      </w:r>
      <w:r>
        <w:fldChar w:fldCharType="end"/>
      </w:r>
      <w:r>
        <w:t xml:space="preserve">. </w:t>
      </w:r>
    </w:p>
  </w:footnote>
  <w:footnote w:id="8">
    <w:p w:rsidR="0063193E" w:rsidRDefault="0063193E">
      <w:pPr>
        <w:pStyle w:val="FootnoteText"/>
      </w:pPr>
      <w:r>
        <w:rPr>
          <w:rStyle w:val="FootnoteReference"/>
        </w:rPr>
        <w:footnoteRef/>
      </w:r>
      <w:r>
        <w:t xml:space="preserve"> A question about the school sector attended by children was last asked as part of the HILDA survey in 2012. See </w:t>
      </w:r>
      <w:r w:rsidRPr="00FD6D10">
        <w:t>https://www.online.fbe.unimelb.edu.au/HILDAodd/KWCrossWaveCategoryDetails.aspx?varnt=cety01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r w:rsidRPr="00AA5264">
      <w:rPr>
        <w:rFonts w:eastAsiaTheme="majorEastAsia"/>
        <w:noProof/>
        <w:lang w:eastAsia="en-AU"/>
      </w:rPr>
      <mc:AlternateContent>
        <mc:Choice Requires="wps">
          <w:drawing>
            <wp:anchor distT="0" distB="0" distL="114300" distR="114300" simplePos="0" relativeHeight="251681792" behindDoc="0" locked="0" layoutInCell="0" allowOverlap="1" wp14:anchorId="7018FB2A" wp14:editId="09685E11">
              <wp:simplePos x="0" y="0"/>
              <wp:positionH relativeFrom="page">
                <wp:posOffset>5732145</wp:posOffset>
              </wp:positionH>
              <wp:positionV relativeFrom="topMargin">
                <wp:posOffset>346710</wp:posOffset>
              </wp:positionV>
              <wp:extent cx="620395" cy="20880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7</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7018FB2A" id="_x0000_t202" coordsize="21600,21600" o:spt="202" path="m,l,21600r21600,l21600,xe">
              <v:stroke joinstyle="miter"/>
              <v:path gradientshapeok="t" o:connecttype="rect"/>
            </v:shapetype>
            <v:shape id="Text Box 5" o:spid="_x0000_s1030" type="#_x0000_t202" style="position:absolute;left:0;text-align:left;margin-left:451.35pt;margin-top:27.3pt;width:48.85pt;height:16.45pt;z-index:25168179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" o:allowincell="f" fillcolor="#c00000" stroked="f">
              <v:textbox inset=",0,,0">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7</w:t>
                    </w:r>
                    <w:r w:rsidRPr="00C25C17">
                      <w:rPr>
                        <w:rStyle w:val="PageNumber"/>
                      </w:rPr>
                      <w:fldChar w:fldCharType="end"/>
                    </w:r>
                  </w:p>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r w:rsidRPr="00AA5264">
      <w:rPr>
        <w:rFonts w:eastAsiaTheme="majorEastAsia"/>
        <w:noProof/>
        <w:lang w:eastAsia="en-AU"/>
      </w:rPr>
      <mc:AlternateContent>
        <mc:Choice Requires="wps">
          <w:drawing>
            <wp:anchor distT="0" distB="0" distL="114300" distR="114300" simplePos="0" relativeHeight="251695104" behindDoc="0" locked="0" layoutInCell="0" allowOverlap="1" wp14:anchorId="465F3FDC" wp14:editId="1AC82E21">
              <wp:simplePos x="0" y="0"/>
              <wp:positionH relativeFrom="page">
                <wp:posOffset>8903970</wp:posOffset>
              </wp:positionH>
              <wp:positionV relativeFrom="topMargin">
                <wp:posOffset>346710</wp:posOffset>
              </wp:positionV>
              <wp:extent cx="620395" cy="2088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9</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465F3FDC" id="_x0000_t202" coordsize="21600,21600" o:spt="202" path="m,l,21600r21600,l21600,xe">
              <v:stroke joinstyle="miter"/>
              <v:path gradientshapeok="t" o:connecttype="rect"/>
            </v:shapetype>
            <v:shape id="Text Box 1" o:spid="_x0000_s1031" type="#_x0000_t202" style="position:absolute;left:0;text-align:left;margin-left:701.1pt;margin-top:27.3pt;width:48.85pt;height:16.45pt;z-index:25169510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" o:allowincell="f" fillcolor="#c00000" stroked="f">
              <v:textbox inset=",0,,0">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9</w:t>
                    </w:r>
                    <w:r w:rsidRPr="00C25C17">
                      <w:rPr>
                        <w:rStyle w:val="PageNumber"/>
                      </w:rPr>
                      <w:fldChar w:fldCharType="end"/>
                    </w:r>
                  </w:p>
                </w:txbxContent>
              </v:textbox>
              <w10:wrap anchorx="page"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r w:rsidRPr="00AA5264">
      <w:rPr>
        <w:rFonts w:eastAsiaTheme="majorEastAsia"/>
        <w:noProof/>
        <w:lang w:eastAsia="en-AU"/>
      </w:rPr>
      <mc:AlternateContent>
        <mc:Choice Requires="wps">
          <w:drawing>
            <wp:anchor distT="0" distB="0" distL="114300" distR="114300" simplePos="0" relativeHeight="251697152" behindDoc="0" locked="0" layoutInCell="0" allowOverlap="1" wp14:anchorId="6C3FF141" wp14:editId="6C1732D6">
              <wp:simplePos x="0" y="0"/>
              <wp:positionH relativeFrom="page">
                <wp:posOffset>5732145</wp:posOffset>
              </wp:positionH>
              <wp:positionV relativeFrom="topMargin">
                <wp:posOffset>346710</wp:posOffset>
              </wp:positionV>
              <wp:extent cx="620395" cy="20880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10</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6C3FF141" id="_x0000_t202" coordsize="21600,21600" o:spt="202" path="m,l,21600r21600,l21600,xe">
              <v:stroke joinstyle="miter"/>
              <v:path gradientshapeok="t" o:connecttype="rect"/>
            </v:shapetype>
            <v:shape id="Text Box 6" o:spid="_x0000_s1032" type="#_x0000_t202" style="position:absolute;left:0;text-align:left;margin-left:451.35pt;margin-top:27.3pt;width:48.85pt;height:16.45pt;z-index:25169715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" o:allowincell="f" fillcolor="#c00000" stroked="f">
              <v:textbox inset=",0,,0">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10</w:t>
                    </w:r>
                    <w:r w:rsidRPr="00C25C17">
                      <w:rPr>
                        <w:rStyle w:val="PageNumber"/>
                      </w:rPr>
                      <w:fldChar w:fldCharType="end"/>
                    </w:r>
                  </w:p>
                </w:txbxContent>
              </v:textbox>
              <w10:wrap anchorx="page"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r w:rsidRPr="00AA5264">
      <w:rPr>
        <w:rFonts w:eastAsiaTheme="majorEastAsia"/>
        <w:noProof/>
        <w:lang w:eastAsia="en-AU"/>
      </w:rPr>
      <mc:AlternateContent>
        <mc:Choice Requires="wps">
          <w:drawing>
            <wp:anchor distT="0" distB="0" distL="114300" distR="114300" simplePos="0" relativeHeight="251699200" behindDoc="0" locked="0" layoutInCell="0" allowOverlap="1" wp14:anchorId="4977AB5C" wp14:editId="1C2C3C58">
              <wp:simplePos x="0" y="0"/>
              <wp:positionH relativeFrom="page">
                <wp:posOffset>8884920</wp:posOffset>
              </wp:positionH>
              <wp:positionV relativeFrom="topMargin">
                <wp:posOffset>346710</wp:posOffset>
              </wp:positionV>
              <wp:extent cx="620395" cy="20880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11</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4977AB5C" id="_x0000_t202" coordsize="21600,21600" o:spt="202" path="m,l,21600r21600,l21600,xe">
              <v:stroke joinstyle="miter"/>
              <v:path gradientshapeok="t" o:connecttype="rect"/>
            </v:shapetype>
            <v:shape id="Text Box 15" o:spid="_x0000_s1033" type="#_x0000_t202" style="position:absolute;left:0;text-align:left;margin-left:699.6pt;margin-top:27.3pt;width:48.85pt;height:16.45pt;z-index:25169920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" o:allowincell="f" fillcolor="#c00000" stroked="f">
              <v:textbox inset=",0,,0">
                <w:txbxContent>
                  <w:p w:rsidR="0063193E" w:rsidRPr="00C25C17" w:rsidRDefault="0063193E" w:rsidP="00D34B38">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11</w:t>
                    </w:r>
                    <w:r w:rsidRPr="00C25C17">
                      <w:rPr>
                        <w:rStyle w:val="PageNumber"/>
                      </w:rPr>
                      <w:fldChar w:fldCharType="end"/>
                    </w:r>
                  </w:p>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0426A7" w:rsidRDefault="0063193E" w:rsidP="000426A7">
    <w:r w:rsidRPr="00AA5264">
      <w:rPr>
        <w:rFonts w:eastAsiaTheme="majorEastAsia"/>
        <w:noProof/>
        <w:lang w:eastAsia="en-AU"/>
      </w:rPr>
      <mc:AlternateContent>
        <mc:Choice Requires="wps">
          <w:drawing>
            <wp:anchor distT="0" distB="0" distL="114300" distR="114300" simplePos="0" relativeHeight="251770880" behindDoc="0" locked="0" layoutInCell="0" allowOverlap="1" wp14:anchorId="08005604" wp14:editId="0FF08C35">
              <wp:simplePos x="0" y="0"/>
              <wp:positionH relativeFrom="page">
                <wp:posOffset>5732145</wp:posOffset>
              </wp:positionH>
              <wp:positionV relativeFrom="topMargin">
                <wp:posOffset>346710</wp:posOffset>
              </wp:positionV>
              <wp:extent cx="620395" cy="20880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25</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08005604" id="_x0000_t202" coordsize="21600,21600" o:spt="202" path="m,l,21600r21600,l21600,xe">
              <v:stroke joinstyle="miter"/>
              <v:path gradientshapeok="t" o:connecttype="rect"/>
            </v:shapetype>
            <v:shape id="Text Box 19" o:spid="_x0000_s1034" type="#_x0000_t202" style="position:absolute;left:0;text-align:left;margin-left:451.35pt;margin-top:27.3pt;width:48.85pt;height:16.45pt;z-index:25177088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" o:allowincell="f" fillcolor="#c00000" stroked="f">
              <v:textbox inset=",0,,0">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25</w:t>
                    </w:r>
                    <w:r w:rsidRPr="00C25C17">
                      <w:rPr>
                        <w:rStyle w:val="PageNumber"/>
                      </w:rPr>
                      <w:fldChar w:fldCharType="end"/>
                    </w:r>
                  </w:p>
                </w:txbxContent>
              </v:textbox>
              <w10:wrap anchorx="page"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0426A7" w:rsidRDefault="0063193E" w:rsidP="000426A7">
    <w:r w:rsidRPr="00AA5264">
      <w:rPr>
        <w:rFonts w:eastAsiaTheme="majorEastAsia"/>
        <w:noProof/>
        <w:lang w:eastAsia="en-AU"/>
      </w:rPr>
      <mc:AlternateContent>
        <mc:Choice Requires="wps">
          <w:drawing>
            <wp:anchor distT="0" distB="0" distL="114300" distR="114300" simplePos="0" relativeHeight="251771904" behindDoc="0" locked="0" layoutInCell="0" allowOverlap="1" wp14:anchorId="1A3F7BF0" wp14:editId="10825FE3">
              <wp:simplePos x="0" y="0"/>
              <wp:positionH relativeFrom="page">
                <wp:posOffset>8876191</wp:posOffset>
              </wp:positionH>
              <wp:positionV relativeFrom="topMargin">
                <wp:posOffset>346710</wp:posOffset>
              </wp:positionV>
              <wp:extent cx="620395" cy="208800"/>
              <wp:effectExtent l="0" t="0" r="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48</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1A3F7BF0" id="_x0000_t202" coordsize="21600,21600" o:spt="202" path="m,l,21600r21600,l21600,xe">
              <v:stroke joinstyle="miter"/>
              <v:path gradientshapeok="t" o:connecttype="rect"/>
            </v:shapetype>
            <v:shape id="Text Box 32" o:spid="_x0000_s1035" type="#_x0000_t202" style="position:absolute;left:0;text-align:left;margin-left:698.9pt;margin-top:27.3pt;width:48.85pt;height:16.45pt;z-index:25177190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" o:allowincell="f" fillcolor="#c00000" stroked="f">
              <v:textbox inset=",0,,0">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48</w:t>
                    </w:r>
                    <w:r w:rsidRPr="00C25C17">
                      <w:rPr>
                        <w:rStyle w:val="PageNumber"/>
                      </w:rPr>
                      <w:fldChar w:fldCharType="end"/>
                    </w:r>
                  </w:p>
                </w:txbxContent>
              </v:textbox>
              <w10:wrap anchorx="page"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0426A7" w:rsidRDefault="0063193E" w:rsidP="000426A7">
    <w:r w:rsidRPr="00AA5264">
      <w:rPr>
        <w:rFonts w:eastAsiaTheme="majorEastAsia"/>
        <w:noProof/>
        <w:lang w:eastAsia="en-AU"/>
      </w:rPr>
      <mc:AlternateContent>
        <mc:Choice Requires="wps">
          <w:drawing>
            <wp:anchor distT="0" distB="0" distL="114300" distR="114300" simplePos="0" relativeHeight="251774976" behindDoc="0" locked="0" layoutInCell="0" allowOverlap="1" wp14:anchorId="04F81261" wp14:editId="3BE5D746">
              <wp:simplePos x="0" y="0"/>
              <wp:positionH relativeFrom="page">
                <wp:posOffset>8876191</wp:posOffset>
              </wp:positionH>
              <wp:positionV relativeFrom="topMargin">
                <wp:posOffset>346710</wp:posOffset>
              </wp:positionV>
              <wp:extent cx="620395" cy="208800"/>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52</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04F81261" id="_x0000_t202" coordsize="21600,21600" o:spt="202" path="m,l,21600r21600,l21600,xe">
              <v:stroke joinstyle="miter"/>
              <v:path gradientshapeok="t" o:connecttype="rect"/>
            </v:shapetype>
            <v:shape id="Text Box 16" o:spid="_x0000_s1036" type="#_x0000_t202" style="position:absolute;left:0;text-align:left;margin-left:698.9pt;margin-top:27.3pt;width:48.85pt;height:16.45pt;z-index:25177497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" o:allowincell="f" fillcolor="#c00000" stroked="f">
              <v:textbox inset=",0,,0">
                <w:txbxContent>
                  <w:p w:rsidR="0063193E" w:rsidRPr="00C25C17" w:rsidRDefault="0063193E" w:rsidP="000426A7">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52</w:t>
                    </w:r>
                    <w:r w:rsidRPr="00C25C17">
                      <w:rPr>
                        <w:rStyle w:val="PageNumber"/>
                      </w:rPr>
                      <w:fldChar w:fldCharType="end"/>
                    </w:r>
                  </w:p>
                </w:txbxContent>
              </v:textbox>
              <w10:wrap anchorx="page"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r>
      <w:rPr>
        <w:noProof/>
        <w:lang w:eastAsia="en-AU"/>
      </w:rPr>
      <mc:AlternateContent>
        <mc:Choice Requires="wps">
          <w:drawing>
            <wp:anchor distT="0" distB="0" distL="114300" distR="114300" simplePos="0" relativeHeight="251761664" behindDoc="1" locked="0" layoutInCell="0" allowOverlap="1" wp14:anchorId="68663959" wp14:editId="34B2FDE6">
              <wp:simplePos x="0" y="0"/>
              <wp:positionH relativeFrom="margin">
                <wp:align>center</wp:align>
              </wp:positionH>
              <wp:positionV relativeFrom="margin">
                <wp:align>center</wp:align>
              </wp:positionV>
              <wp:extent cx="5050790" cy="3030220"/>
              <wp:effectExtent l="0" t="1104900" r="0" b="636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193E" w:rsidRDefault="0063193E" w:rsidP="00FD042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63959" id="_x0000_t202" coordsize="21600,21600" o:spt="202" path="m,l,21600r21600,l21600,xe">
              <v:stroke joinstyle="miter"/>
              <v:path gradientshapeok="t" o:connecttype="rect"/>
            </v:shapetype>
            <v:shape id="Text Box 27" o:spid="_x0000_s1037" type="#_x0000_t202" style="position:absolute;left:0;text-align:left;margin-left:0;margin-top:0;width:397.7pt;height:238.6pt;rotation:-45;z-index:-251554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" o:allowincell="f" filled="f" stroked="f">
              <v:stroke joinstyle="round"/>
              <o:lock v:ext="edit" shapetype="t"/>
              <v:textbox style="mso-fit-shape-to-text:t">
                <w:txbxContent>
                  <w:p w:rsidR="00165C42" w:rsidRDefault="00165C42" w:rsidP="00FD042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2E6AC2" w:rsidRDefault="0063193E" w:rsidP="002E6AC2">
    <w:r w:rsidRPr="00AA5264">
      <w:rPr>
        <w:rFonts w:eastAsiaTheme="majorEastAsia"/>
        <w:noProof/>
        <w:lang w:eastAsia="en-AU"/>
      </w:rPr>
      <mc:AlternateContent>
        <mc:Choice Requires="wps">
          <w:drawing>
            <wp:anchor distT="0" distB="0" distL="114300" distR="114300" simplePos="0" relativeHeight="251762688" behindDoc="0" locked="0" layoutInCell="0" allowOverlap="1" wp14:anchorId="51C32FFA" wp14:editId="48147857">
              <wp:simplePos x="0" y="0"/>
              <wp:positionH relativeFrom="page">
                <wp:posOffset>5732145</wp:posOffset>
              </wp:positionH>
              <wp:positionV relativeFrom="topMargin">
                <wp:posOffset>346710</wp:posOffset>
              </wp:positionV>
              <wp:extent cx="620395" cy="208800"/>
              <wp:effectExtent l="0"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08800"/>
                      </a:xfrm>
                      <a:prstGeom prst="rect">
                        <a:avLst/>
                      </a:prstGeom>
                      <a:solidFill>
                        <a:srgbClr val="C00000"/>
                      </a:solidFill>
                      <a:extLst/>
                    </wps:spPr>
                    <wps:txbx>
                      <w:txbxContent>
                        <w:p w:rsidR="0063193E" w:rsidRPr="00C25C17" w:rsidRDefault="0063193E" w:rsidP="002E6AC2">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56</w:t>
                          </w:r>
                          <w:r w:rsidRPr="00C25C17">
                            <w:rPr>
                              <w:rStyle w:val="PageNumber"/>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51C32FFA" id="_x0000_t202" coordsize="21600,21600" o:spt="202" path="m,l,21600r21600,l21600,xe">
              <v:stroke joinstyle="miter"/>
              <v:path gradientshapeok="t" o:connecttype="rect"/>
            </v:shapetype>
            <v:shape id="Text Box 28" o:spid="_x0000_s1038" type="#_x0000_t202" style="position:absolute;left:0;text-align:left;margin-left:451.35pt;margin-top:27.3pt;width:48.85pt;height:16.45pt;z-index:25176268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" o:allowincell="f" fillcolor="#c00000" stroked="f">
              <v:textbox inset=",0,,0">
                <w:txbxContent>
                  <w:p w:rsidR="0063193E" w:rsidRPr="00C25C17" w:rsidRDefault="0063193E" w:rsidP="002E6AC2">
                    <w:pPr>
                      <w:jc w:val="center"/>
                      <w:rPr>
                        <w:rStyle w:val="PageNumber"/>
                      </w:rPr>
                    </w:pPr>
                    <w:r w:rsidRPr="00C25C17">
                      <w:rPr>
                        <w:rStyle w:val="PageNumber"/>
                      </w:rPr>
                      <w:fldChar w:fldCharType="begin"/>
                    </w:r>
                    <w:r w:rsidRPr="00C25C17">
                      <w:rPr>
                        <w:rStyle w:val="PageNumber"/>
                      </w:rPr>
                      <w:instrText xml:space="preserve"> PAGE   \* MERGEFORMAT </w:instrText>
                    </w:r>
                    <w:r w:rsidRPr="00C25C17">
                      <w:rPr>
                        <w:rStyle w:val="PageNumber"/>
                      </w:rPr>
                      <w:fldChar w:fldCharType="separate"/>
                    </w:r>
                    <w:r w:rsidR="00B52C11">
                      <w:rPr>
                        <w:rStyle w:val="PageNumber"/>
                        <w:noProof/>
                      </w:rPr>
                      <w:t>56</w:t>
                    </w:r>
                    <w:r w:rsidRPr="00C25C17">
                      <w:rPr>
                        <w:rStyle w:val="PageNumber"/>
                      </w:rPr>
                      <w:fldChar w:fldCharType="end"/>
                    </w:r>
                  </w:p>
                </w:txbxContent>
              </v:textbox>
              <w10:wrap anchorx="page"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r>
      <w:rPr>
        <w:noProof/>
        <w:lang w:eastAsia="en-AU"/>
      </w:rPr>
      <mc:AlternateContent>
        <mc:Choice Requires="wps">
          <w:drawing>
            <wp:anchor distT="0" distB="0" distL="114300" distR="114300" simplePos="0" relativeHeight="251760640" behindDoc="1" locked="0" layoutInCell="0" allowOverlap="1" wp14:anchorId="5459785F" wp14:editId="076BBB64">
              <wp:simplePos x="0" y="0"/>
              <wp:positionH relativeFrom="margin">
                <wp:align>center</wp:align>
              </wp:positionH>
              <wp:positionV relativeFrom="margin">
                <wp:align>center</wp:align>
              </wp:positionV>
              <wp:extent cx="5050790" cy="3030220"/>
              <wp:effectExtent l="0" t="1104900" r="0" b="636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193E" w:rsidRDefault="0063193E" w:rsidP="00FD042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59785F" id="_x0000_t202" coordsize="21600,21600" o:spt="202" path="m,l,21600r21600,l21600,xe">
              <v:stroke joinstyle="miter"/>
              <v:path gradientshapeok="t" o:connecttype="rect"/>
            </v:shapetype>
            <v:shape id="Text Box 29" o:spid="_x0000_s1039" type="#_x0000_t202" style="position:absolute;left:0;text-align:left;margin-left:0;margin-top:0;width:397.7pt;height:238.6pt;rotation:-45;z-index:-251555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" o:allowincell="f" filled="f" stroked="f">
              <v:stroke joinstyle="round"/>
              <o:lock v:ext="edit" shapetype="t"/>
              <v:textbox style="mso-fit-shape-to-text:t">
                <w:txbxContent>
                  <w:p w:rsidR="00165C42" w:rsidRDefault="00165C42" w:rsidP="00FD042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BD17A3" w:rsidRDefault="0063193E" w:rsidP="00C4462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Pr="00BD17A3" w:rsidRDefault="0063193E" w:rsidP="00C4462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rsidP="00C44628">
    <w:r w:rsidRPr="00AA5264">
      <w:rPr>
        <w:rFonts w:eastAsiaTheme="majorEastAsia"/>
        <w:noProof/>
        <w:lang w:eastAsia="en-AU"/>
      </w:rPr>
      <mc:AlternateContent>
        <mc:Choice Requires="wps">
          <w:drawing>
            <wp:anchor distT="0" distB="0" distL="114300" distR="114300" simplePos="0" relativeHeight="251683840" behindDoc="0" locked="0" layoutInCell="0" allowOverlap="1" wp14:anchorId="0463DADB" wp14:editId="05CFA55B">
              <wp:simplePos x="0" y="0"/>
              <wp:positionH relativeFrom="page">
                <wp:posOffset>5732145</wp:posOffset>
              </wp:positionH>
              <wp:positionV relativeFrom="topMargin">
                <wp:posOffset>346710</wp:posOffset>
              </wp:positionV>
              <wp:extent cx="710565" cy="2088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08800"/>
                      </a:xfrm>
                      <a:prstGeom prst="rect">
                        <a:avLst/>
                      </a:prstGeom>
                      <a:solidFill>
                        <a:srgbClr val="C00000"/>
                      </a:solidFill>
                      <a:extLst/>
                    </wps:spPr>
                    <wps:txbx>
                      <w:txbxContent>
                        <w:p w:rsidR="0063193E" w:rsidRPr="00D34B38" w:rsidRDefault="0063193E" w:rsidP="00D34B38">
                          <w:pPr>
                            <w:jc w:val="center"/>
                            <w:rPr>
                              <w:rStyle w:val="PageNumber"/>
                            </w:rPr>
                          </w:pPr>
                          <w:r w:rsidRPr="00D34B38">
                            <w:rPr>
                              <w:rStyle w:val="PageNumber"/>
                            </w:rPr>
                            <w:fldChar w:fldCharType="begin"/>
                          </w:r>
                          <w:r w:rsidRPr="00D34B38">
                            <w:rPr>
                              <w:rStyle w:val="PageNumber"/>
                            </w:rPr>
                            <w:instrText xml:space="preserve"> PAGE   \* MERGEFORMAT </w:instrText>
                          </w:r>
                          <w:r w:rsidRPr="00D34B38">
                            <w:rPr>
                              <w:rStyle w:val="PageNumber"/>
                            </w:rPr>
                            <w:fldChar w:fldCharType="separate"/>
                          </w:r>
                          <w:r w:rsidR="00B52C11">
                            <w:rPr>
                              <w:rStyle w:val="PageNumber"/>
                              <w:noProof/>
                            </w:rPr>
                            <w:t>viii</w:t>
                          </w:r>
                          <w:r w:rsidRPr="00D34B38">
                            <w:rPr>
                              <w:rStyle w:val="PageNumber"/>
                            </w:rPr>
                            <w:fldChar w:fldCharType="end"/>
                          </w:r>
                        </w:p>
                        <w:p w:rsidR="0063193E" w:rsidRDefault="0063193E" w:rsidP="00C44628"/>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0463DADB" id="_x0000_t202" coordsize="21600,21600" o:spt="202" path="m,l,21600r21600,l21600,xe">
              <v:stroke joinstyle="miter"/>
              <v:path gradientshapeok="t" o:connecttype="rect"/>
            </v:shapetype>
            <v:shape id="Text Box 2" o:spid="_x0000_s1029" type="#_x0000_t202" style="position:absolute;left:0;text-align:left;margin-left:451.35pt;margin-top:27.3pt;width:55.95pt;height:16.45pt;z-index:2516838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" o:allowincell="f" fillcolor="#c00000" stroked="f">
              <v:textbox inset=",0,,0">
                <w:txbxContent>
                  <w:p w:rsidR="0063193E" w:rsidRPr="00D34B38" w:rsidRDefault="0063193E" w:rsidP="00D34B38">
                    <w:pPr>
                      <w:jc w:val="center"/>
                      <w:rPr>
                        <w:rStyle w:val="PageNumber"/>
                      </w:rPr>
                    </w:pPr>
                    <w:r w:rsidRPr="00D34B38">
                      <w:rPr>
                        <w:rStyle w:val="PageNumber"/>
                      </w:rPr>
                      <w:fldChar w:fldCharType="begin"/>
                    </w:r>
                    <w:r w:rsidRPr="00D34B38">
                      <w:rPr>
                        <w:rStyle w:val="PageNumber"/>
                      </w:rPr>
                      <w:instrText xml:space="preserve"> PAGE   \* MERGEFORMAT </w:instrText>
                    </w:r>
                    <w:r w:rsidRPr="00D34B38">
                      <w:rPr>
                        <w:rStyle w:val="PageNumber"/>
                      </w:rPr>
                      <w:fldChar w:fldCharType="separate"/>
                    </w:r>
                    <w:r w:rsidR="00B52C11">
                      <w:rPr>
                        <w:rStyle w:val="PageNumber"/>
                        <w:noProof/>
                      </w:rPr>
                      <w:t>viii</w:t>
                    </w:r>
                    <w:r w:rsidRPr="00D34B38">
                      <w:rPr>
                        <w:rStyle w:val="PageNumber"/>
                      </w:rPr>
                      <w:fldChar w:fldCharType="end"/>
                    </w:r>
                  </w:p>
                  <w:p w:rsidR="0063193E" w:rsidRDefault="0063193E" w:rsidP="00C44628"/>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3E" w:rsidRDefault="00631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A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8D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84E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D28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3E4D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E04F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64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36D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2E7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2A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B2C7F"/>
    <w:multiLevelType w:val="hybridMultilevel"/>
    <w:tmpl w:val="EDD49CC8"/>
    <w:lvl w:ilvl="0" w:tplc="2180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5246E43"/>
    <w:multiLevelType w:val="hybridMultilevel"/>
    <w:tmpl w:val="CD62AC9E"/>
    <w:lvl w:ilvl="0" w:tplc="8E76D7F8">
      <w:start w:val="2"/>
      <w:numFmt w:val="bullet"/>
      <w:lvlText w:val="-"/>
      <w:lvlJc w:val="left"/>
      <w:pPr>
        <w:ind w:left="927" w:hanging="360"/>
      </w:pPr>
      <w:rPr>
        <w:rFonts w:ascii="Calibri" w:eastAsia="Times New Roman"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07C70955"/>
    <w:multiLevelType w:val="hybridMultilevel"/>
    <w:tmpl w:val="8AFC5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F268D7"/>
    <w:multiLevelType w:val="hybridMultilevel"/>
    <w:tmpl w:val="8AEE6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2A5929"/>
    <w:multiLevelType w:val="hybridMultilevel"/>
    <w:tmpl w:val="272C43EE"/>
    <w:lvl w:ilvl="0" w:tplc="5358C2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DA6851"/>
    <w:multiLevelType w:val="hybridMultilevel"/>
    <w:tmpl w:val="60F85E18"/>
    <w:lvl w:ilvl="0" w:tplc="39BAFA54">
      <w:start w:val="1"/>
      <w:numFmt w:val="decimal"/>
      <w:pStyle w:val="Numberedlistwith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F02E5F"/>
    <w:multiLevelType w:val="hybridMultilevel"/>
    <w:tmpl w:val="722ECE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153D7BB4"/>
    <w:multiLevelType w:val="multilevel"/>
    <w:tmpl w:val="410E2C24"/>
    <w:lvl w:ilvl="0">
      <w:start w:val="1"/>
      <w:numFmt w:val="decimal"/>
      <w:suff w:val="space"/>
      <w:lvlText w:val="Chapter %1"/>
      <w:lvlJc w:val="left"/>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1A835957"/>
    <w:multiLevelType w:val="hybridMultilevel"/>
    <w:tmpl w:val="331AC542"/>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985DB6"/>
    <w:multiLevelType w:val="hybridMultilevel"/>
    <w:tmpl w:val="FC7CCBB0"/>
    <w:lvl w:ilvl="0" w:tplc="A28AF3BE">
      <w:start w:val="1"/>
      <w:numFmt w:val="decimal"/>
      <w:pStyle w:val="Tablegrid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0657AED"/>
    <w:multiLevelType w:val="hybridMultilevel"/>
    <w:tmpl w:val="F06AB0E4"/>
    <w:lvl w:ilvl="0" w:tplc="AA82C100">
      <w:start w:val="1"/>
      <w:numFmt w:val="bullet"/>
      <w:pStyle w:val="Tablegriddotpoints"/>
      <w:lvlText w:val=""/>
      <w:lvlJc w:val="left"/>
      <w:pPr>
        <w:tabs>
          <w:tab w:val="num" w:pos="567"/>
        </w:tabs>
        <w:ind w:left="567" w:hanging="283"/>
      </w:pPr>
      <w:rPr>
        <w:rFonts w:ascii="Symbol" w:hAnsi="Symbol" w:cs="Times New Roman"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178F8"/>
    <w:multiLevelType w:val="singleLevel"/>
    <w:tmpl w:val="E4FE8910"/>
    <w:lvl w:ilvl="0">
      <w:start w:val="1"/>
      <w:numFmt w:val="bullet"/>
      <w:lvlText w:val="•"/>
      <w:lvlJc w:val="left"/>
      <w:pPr>
        <w:tabs>
          <w:tab w:val="num" w:pos="340"/>
        </w:tabs>
        <w:ind w:left="340" w:hanging="340"/>
      </w:pPr>
      <w:rPr>
        <w:rFonts w:ascii="Times New Roman" w:hAnsi="Times New Roman" w:cs="Times New Roman" w:hint="default"/>
      </w:rPr>
    </w:lvl>
  </w:abstractNum>
  <w:abstractNum w:abstractNumId="23" w15:restartNumberingAfterBreak="0">
    <w:nsid w:val="2BB20D3F"/>
    <w:multiLevelType w:val="hybridMultilevel"/>
    <w:tmpl w:val="9E58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DB26D7"/>
    <w:multiLevelType w:val="hybridMultilevel"/>
    <w:tmpl w:val="101EAF1E"/>
    <w:lvl w:ilvl="0" w:tplc="986AA4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644493"/>
    <w:multiLevelType w:val="hybridMultilevel"/>
    <w:tmpl w:val="73305E94"/>
    <w:lvl w:ilvl="0" w:tplc="B2A4E106">
      <w:start w:val="1"/>
      <w:numFmt w:val="bullet"/>
      <w:pStyle w:val="Dotpoints"/>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3CD2064E"/>
    <w:multiLevelType w:val="hybridMultilevel"/>
    <w:tmpl w:val="2E9A1070"/>
    <w:lvl w:ilvl="0" w:tplc="B4AA8DF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7A2905"/>
    <w:multiLevelType w:val="hybridMultilevel"/>
    <w:tmpl w:val="85187E4A"/>
    <w:lvl w:ilvl="0" w:tplc="813AF5D6">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B87A63"/>
    <w:multiLevelType w:val="hybridMultilevel"/>
    <w:tmpl w:val="4EEAFAE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37531D1"/>
    <w:multiLevelType w:val="hybridMultilevel"/>
    <w:tmpl w:val="AE36D2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3219E3"/>
    <w:multiLevelType w:val="hybridMultilevel"/>
    <w:tmpl w:val="B9462E56"/>
    <w:lvl w:ilvl="0" w:tplc="500E7A26">
      <w:start w:val="1"/>
      <w:numFmt w:val="bullet"/>
      <w:pStyle w:val="Dotpointswithspacing"/>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0434FC0"/>
    <w:multiLevelType w:val="hybridMultilevel"/>
    <w:tmpl w:val="585C544C"/>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24602E0"/>
    <w:multiLevelType w:val="hybridMultilevel"/>
    <w:tmpl w:val="B95C6E6E"/>
    <w:lvl w:ilvl="0" w:tplc="EB1A0C7E">
      <w:start w:val="1"/>
      <w:numFmt w:val="upperLetter"/>
      <w:pStyle w:val="AppendixHeadingA1"/>
      <w:lvlText w:val="Appendix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656E00"/>
    <w:multiLevelType w:val="hybridMultilevel"/>
    <w:tmpl w:val="BC0A81C4"/>
    <w:lvl w:ilvl="0" w:tplc="0C09000F">
      <w:start w:val="1"/>
      <w:numFmt w:val="decimal"/>
      <w:lvlText w:val="%1."/>
      <w:lvlJc w:val="left"/>
      <w:pPr>
        <w:tabs>
          <w:tab w:val="num" w:pos="900"/>
        </w:tabs>
        <w:ind w:left="900" w:hanging="360"/>
      </w:pPr>
    </w:lvl>
    <w:lvl w:ilvl="1" w:tplc="00FC3B0E">
      <w:start w:val="1"/>
      <w:numFmt w:val="bullet"/>
      <w:lvlText w:val=""/>
      <w:lvlJc w:val="left"/>
      <w:pPr>
        <w:tabs>
          <w:tab w:val="num" w:pos="567"/>
        </w:tabs>
        <w:ind w:left="567" w:hanging="283"/>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E4E2037"/>
    <w:multiLevelType w:val="hybridMultilevel"/>
    <w:tmpl w:val="08E46E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844EF4"/>
    <w:multiLevelType w:val="hybridMultilevel"/>
    <w:tmpl w:val="A516A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1C62DB"/>
    <w:multiLevelType w:val="hybridMultilevel"/>
    <w:tmpl w:val="B85056EA"/>
    <w:lvl w:ilvl="0" w:tplc="BAE0CEAC">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17"/>
  </w:num>
  <w:num w:numId="3">
    <w:abstractNumId w:val="33"/>
  </w:num>
  <w:num w:numId="4">
    <w:abstractNumId w:val="21"/>
  </w:num>
  <w:num w:numId="5">
    <w:abstractNumId w:val="14"/>
  </w:num>
  <w:num w:numId="6">
    <w:abstractNumId w:val="35"/>
  </w:num>
  <w:num w:numId="7">
    <w:abstractNumId w:val="36"/>
  </w:num>
  <w:num w:numId="8">
    <w:abstractNumId w:val="34"/>
  </w:num>
  <w:num w:numId="9">
    <w:abstractNumId w:val="26"/>
  </w:num>
  <w:num w:numId="10">
    <w:abstractNumId w:val="31"/>
  </w:num>
  <w:num w:numId="11">
    <w:abstractNumId w:val="28"/>
  </w:num>
  <w:num w:numId="12">
    <w:abstractNumId w:val="10"/>
  </w:num>
  <w:num w:numId="13">
    <w:abstractNumId w:val="29"/>
  </w:num>
  <w:num w:numId="14">
    <w:abstractNumId w:val="19"/>
  </w:num>
  <w:num w:numId="15">
    <w:abstractNumId w:val="13"/>
  </w:num>
  <w:num w:numId="16">
    <w:abstractNumId w:val="12"/>
  </w:num>
  <w:num w:numId="17">
    <w:abstractNumId w:val="27"/>
  </w:num>
  <w:num w:numId="18">
    <w:abstractNumId w:val="24"/>
  </w:num>
  <w:num w:numId="19">
    <w:abstractNumId w:val="7"/>
  </w:num>
  <w:num w:numId="20">
    <w:abstractNumId w:val="6"/>
  </w:num>
  <w:num w:numId="21">
    <w:abstractNumId w:val="27"/>
    <w:lvlOverride w:ilvl="0">
      <w:startOverride w:val="1"/>
    </w:lvlOverride>
  </w:num>
  <w:num w:numId="22">
    <w:abstractNumId w:val="27"/>
    <w:lvlOverride w:ilvl="0">
      <w:startOverride w:val="1"/>
    </w:lvlOverride>
  </w:num>
  <w:num w:numId="23">
    <w:abstractNumId w:val="25"/>
  </w:num>
  <w:num w:numId="24">
    <w:abstractNumId w:val="23"/>
  </w:num>
  <w:num w:numId="25">
    <w:abstractNumId w:val="25"/>
  </w:num>
  <w:num w:numId="26">
    <w:abstractNumId w:val="30"/>
  </w:num>
  <w:num w:numId="27">
    <w:abstractNumId w:val="15"/>
  </w:num>
  <w:num w:numId="28">
    <w:abstractNumId w:val="25"/>
  </w:num>
  <w:num w:numId="29">
    <w:abstractNumId w:val="32"/>
  </w:num>
  <w:num w:numId="30">
    <w:abstractNumId w:val="11"/>
  </w:num>
  <w:num w:numId="31">
    <w:abstractNumId w:val="9"/>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21"/>
  </w:num>
  <w:num w:numId="41">
    <w:abstractNumId w:val="21"/>
  </w:num>
  <w:num w:numId="42">
    <w:abstractNumId w:val="20"/>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350534"/>
    <w:rsid w:val="00001133"/>
    <w:rsid w:val="000014A2"/>
    <w:rsid w:val="00001C3B"/>
    <w:rsid w:val="00002F91"/>
    <w:rsid w:val="00005927"/>
    <w:rsid w:val="000111E8"/>
    <w:rsid w:val="0001294F"/>
    <w:rsid w:val="0001382C"/>
    <w:rsid w:val="000167B7"/>
    <w:rsid w:val="0002059A"/>
    <w:rsid w:val="00021284"/>
    <w:rsid w:val="00022182"/>
    <w:rsid w:val="000222E8"/>
    <w:rsid w:val="00022539"/>
    <w:rsid w:val="000225A6"/>
    <w:rsid w:val="00022D51"/>
    <w:rsid w:val="000251DE"/>
    <w:rsid w:val="00025C6B"/>
    <w:rsid w:val="0002703F"/>
    <w:rsid w:val="0002750C"/>
    <w:rsid w:val="00027AEA"/>
    <w:rsid w:val="00027C9D"/>
    <w:rsid w:val="00030611"/>
    <w:rsid w:val="00030B41"/>
    <w:rsid w:val="0003258A"/>
    <w:rsid w:val="0003419B"/>
    <w:rsid w:val="00034CAE"/>
    <w:rsid w:val="00035AC6"/>
    <w:rsid w:val="00037526"/>
    <w:rsid w:val="00040164"/>
    <w:rsid w:val="00040C4B"/>
    <w:rsid w:val="00041829"/>
    <w:rsid w:val="000420D6"/>
    <w:rsid w:val="00042598"/>
    <w:rsid w:val="000426A7"/>
    <w:rsid w:val="00042FD0"/>
    <w:rsid w:val="000435E4"/>
    <w:rsid w:val="000436B2"/>
    <w:rsid w:val="00046A55"/>
    <w:rsid w:val="0004746F"/>
    <w:rsid w:val="000478EF"/>
    <w:rsid w:val="00047D45"/>
    <w:rsid w:val="0005183E"/>
    <w:rsid w:val="00052686"/>
    <w:rsid w:val="000531A5"/>
    <w:rsid w:val="000534D5"/>
    <w:rsid w:val="00053B68"/>
    <w:rsid w:val="00055EFE"/>
    <w:rsid w:val="00056A0B"/>
    <w:rsid w:val="00056A66"/>
    <w:rsid w:val="0005735E"/>
    <w:rsid w:val="00061DC4"/>
    <w:rsid w:val="000632B6"/>
    <w:rsid w:val="000636CD"/>
    <w:rsid w:val="000656BB"/>
    <w:rsid w:val="0006712A"/>
    <w:rsid w:val="000678DC"/>
    <w:rsid w:val="00070FFA"/>
    <w:rsid w:val="0007174C"/>
    <w:rsid w:val="00071B0A"/>
    <w:rsid w:val="00072184"/>
    <w:rsid w:val="00072B27"/>
    <w:rsid w:val="00072FD4"/>
    <w:rsid w:val="00075286"/>
    <w:rsid w:val="00076418"/>
    <w:rsid w:val="0007663E"/>
    <w:rsid w:val="00077BF0"/>
    <w:rsid w:val="00077F0B"/>
    <w:rsid w:val="00080B4A"/>
    <w:rsid w:val="0008149F"/>
    <w:rsid w:val="00083254"/>
    <w:rsid w:val="00083B45"/>
    <w:rsid w:val="00084F95"/>
    <w:rsid w:val="0008776C"/>
    <w:rsid w:val="00091182"/>
    <w:rsid w:val="00091C65"/>
    <w:rsid w:val="00091C96"/>
    <w:rsid w:val="00093678"/>
    <w:rsid w:val="00093B83"/>
    <w:rsid w:val="00095D9E"/>
    <w:rsid w:val="0009792A"/>
    <w:rsid w:val="000A19C4"/>
    <w:rsid w:val="000A27BA"/>
    <w:rsid w:val="000A29CB"/>
    <w:rsid w:val="000A2EB7"/>
    <w:rsid w:val="000A396E"/>
    <w:rsid w:val="000A3C13"/>
    <w:rsid w:val="000A3F11"/>
    <w:rsid w:val="000A44AC"/>
    <w:rsid w:val="000A4697"/>
    <w:rsid w:val="000A4B38"/>
    <w:rsid w:val="000A5920"/>
    <w:rsid w:val="000A6916"/>
    <w:rsid w:val="000B025E"/>
    <w:rsid w:val="000B05FB"/>
    <w:rsid w:val="000B0743"/>
    <w:rsid w:val="000B2870"/>
    <w:rsid w:val="000B4737"/>
    <w:rsid w:val="000B47FA"/>
    <w:rsid w:val="000B5364"/>
    <w:rsid w:val="000B67E8"/>
    <w:rsid w:val="000B7310"/>
    <w:rsid w:val="000B7FD1"/>
    <w:rsid w:val="000C0400"/>
    <w:rsid w:val="000C043C"/>
    <w:rsid w:val="000C0F1E"/>
    <w:rsid w:val="000C106C"/>
    <w:rsid w:val="000C148C"/>
    <w:rsid w:val="000C312E"/>
    <w:rsid w:val="000C424E"/>
    <w:rsid w:val="000C4543"/>
    <w:rsid w:val="000C4E9F"/>
    <w:rsid w:val="000C5ED5"/>
    <w:rsid w:val="000D16B9"/>
    <w:rsid w:val="000D18A4"/>
    <w:rsid w:val="000D19C4"/>
    <w:rsid w:val="000D291E"/>
    <w:rsid w:val="000D2E72"/>
    <w:rsid w:val="000D3970"/>
    <w:rsid w:val="000D3ACF"/>
    <w:rsid w:val="000D5998"/>
    <w:rsid w:val="000D5F35"/>
    <w:rsid w:val="000D6169"/>
    <w:rsid w:val="000D6353"/>
    <w:rsid w:val="000D6E76"/>
    <w:rsid w:val="000D7AEE"/>
    <w:rsid w:val="000D7FA6"/>
    <w:rsid w:val="000E10EE"/>
    <w:rsid w:val="000E4E9E"/>
    <w:rsid w:val="000E5405"/>
    <w:rsid w:val="000E61A4"/>
    <w:rsid w:val="000E7E40"/>
    <w:rsid w:val="000F0499"/>
    <w:rsid w:val="000F2A7E"/>
    <w:rsid w:val="000F3C9A"/>
    <w:rsid w:val="000F4F33"/>
    <w:rsid w:val="000F5226"/>
    <w:rsid w:val="000F5B65"/>
    <w:rsid w:val="00102C19"/>
    <w:rsid w:val="00103CBD"/>
    <w:rsid w:val="00105DE3"/>
    <w:rsid w:val="001060A7"/>
    <w:rsid w:val="0010658C"/>
    <w:rsid w:val="00106F4A"/>
    <w:rsid w:val="001103E3"/>
    <w:rsid w:val="00110E1B"/>
    <w:rsid w:val="001116B5"/>
    <w:rsid w:val="00112F04"/>
    <w:rsid w:val="0011393A"/>
    <w:rsid w:val="00113EDE"/>
    <w:rsid w:val="0011736E"/>
    <w:rsid w:val="001174E5"/>
    <w:rsid w:val="0011752C"/>
    <w:rsid w:val="00117617"/>
    <w:rsid w:val="001179DC"/>
    <w:rsid w:val="00117B5F"/>
    <w:rsid w:val="001206A5"/>
    <w:rsid w:val="001220DD"/>
    <w:rsid w:val="00122748"/>
    <w:rsid w:val="00123A11"/>
    <w:rsid w:val="00123A27"/>
    <w:rsid w:val="00124008"/>
    <w:rsid w:val="0012437B"/>
    <w:rsid w:val="0012475B"/>
    <w:rsid w:val="00124D32"/>
    <w:rsid w:val="001260DE"/>
    <w:rsid w:val="001261D2"/>
    <w:rsid w:val="00127643"/>
    <w:rsid w:val="00127972"/>
    <w:rsid w:val="00127C05"/>
    <w:rsid w:val="00130A17"/>
    <w:rsid w:val="0013166B"/>
    <w:rsid w:val="0013169A"/>
    <w:rsid w:val="001407F1"/>
    <w:rsid w:val="0014156D"/>
    <w:rsid w:val="00141F64"/>
    <w:rsid w:val="00141FCB"/>
    <w:rsid w:val="00142741"/>
    <w:rsid w:val="0014323A"/>
    <w:rsid w:val="00143563"/>
    <w:rsid w:val="00144023"/>
    <w:rsid w:val="00144762"/>
    <w:rsid w:val="00144EA1"/>
    <w:rsid w:val="0015026D"/>
    <w:rsid w:val="00150738"/>
    <w:rsid w:val="00151D95"/>
    <w:rsid w:val="0015510E"/>
    <w:rsid w:val="00155C7F"/>
    <w:rsid w:val="00156D56"/>
    <w:rsid w:val="00161042"/>
    <w:rsid w:val="001611DB"/>
    <w:rsid w:val="00163A9A"/>
    <w:rsid w:val="00165B66"/>
    <w:rsid w:val="00165C42"/>
    <w:rsid w:val="00166D8D"/>
    <w:rsid w:val="001670E2"/>
    <w:rsid w:val="0017015D"/>
    <w:rsid w:val="00170474"/>
    <w:rsid w:val="00170741"/>
    <w:rsid w:val="001739FB"/>
    <w:rsid w:val="00173F24"/>
    <w:rsid w:val="00173F7E"/>
    <w:rsid w:val="001741AE"/>
    <w:rsid w:val="00176F02"/>
    <w:rsid w:val="001774A9"/>
    <w:rsid w:val="00180218"/>
    <w:rsid w:val="00180B0E"/>
    <w:rsid w:val="00182C7B"/>
    <w:rsid w:val="0018326F"/>
    <w:rsid w:val="0018337E"/>
    <w:rsid w:val="001836A2"/>
    <w:rsid w:val="001852BD"/>
    <w:rsid w:val="001863B1"/>
    <w:rsid w:val="001865E3"/>
    <w:rsid w:val="0018673C"/>
    <w:rsid w:val="00187A04"/>
    <w:rsid w:val="00190386"/>
    <w:rsid w:val="00191C5E"/>
    <w:rsid w:val="001953B8"/>
    <w:rsid w:val="001968B1"/>
    <w:rsid w:val="00196999"/>
    <w:rsid w:val="0019705B"/>
    <w:rsid w:val="001A0499"/>
    <w:rsid w:val="001A0F54"/>
    <w:rsid w:val="001A1DC5"/>
    <w:rsid w:val="001A2D9E"/>
    <w:rsid w:val="001A44E6"/>
    <w:rsid w:val="001B03B6"/>
    <w:rsid w:val="001B0C77"/>
    <w:rsid w:val="001B2EAA"/>
    <w:rsid w:val="001B38D1"/>
    <w:rsid w:val="001B45E7"/>
    <w:rsid w:val="001B4897"/>
    <w:rsid w:val="001B597E"/>
    <w:rsid w:val="001B663C"/>
    <w:rsid w:val="001B732E"/>
    <w:rsid w:val="001B7678"/>
    <w:rsid w:val="001C0011"/>
    <w:rsid w:val="001C080E"/>
    <w:rsid w:val="001C0F44"/>
    <w:rsid w:val="001C4A24"/>
    <w:rsid w:val="001C501B"/>
    <w:rsid w:val="001C60F5"/>
    <w:rsid w:val="001C7FCC"/>
    <w:rsid w:val="001D19A8"/>
    <w:rsid w:val="001D2002"/>
    <w:rsid w:val="001D2107"/>
    <w:rsid w:val="001D723C"/>
    <w:rsid w:val="001E2871"/>
    <w:rsid w:val="001E2B91"/>
    <w:rsid w:val="001E2C30"/>
    <w:rsid w:val="001E324E"/>
    <w:rsid w:val="001E3281"/>
    <w:rsid w:val="001E5F86"/>
    <w:rsid w:val="001E6252"/>
    <w:rsid w:val="001F02E4"/>
    <w:rsid w:val="001F193F"/>
    <w:rsid w:val="001F2DC9"/>
    <w:rsid w:val="001F3291"/>
    <w:rsid w:val="001F50DB"/>
    <w:rsid w:val="001F64DD"/>
    <w:rsid w:val="001F7CD2"/>
    <w:rsid w:val="00202408"/>
    <w:rsid w:val="002048ED"/>
    <w:rsid w:val="00205BA5"/>
    <w:rsid w:val="00206050"/>
    <w:rsid w:val="002062B1"/>
    <w:rsid w:val="00206EB3"/>
    <w:rsid w:val="00211598"/>
    <w:rsid w:val="002140D2"/>
    <w:rsid w:val="0021434D"/>
    <w:rsid w:val="002160A7"/>
    <w:rsid w:val="00221952"/>
    <w:rsid w:val="00223C6C"/>
    <w:rsid w:val="00223E72"/>
    <w:rsid w:val="00224510"/>
    <w:rsid w:val="002245BA"/>
    <w:rsid w:val="002252F3"/>
    <w:rsid w:val="002263C4"/>
    <w:rsid w:val="00226E35"/>
    <w:rsid w:val="0023018E"/>
    <w:rsid w:val="00233519"/>
    <w:rsid w:val="00233DC7"/>
    <w:rsid w:val="002343A3"/>
    <w:rsid w:val="002345A3"/>
    <w:rsid w:val="0023468B"/>
    <w:rsid w:val="00234B77"/>
    <w:rsid w:val="00234D9B"/>
    <w:rsid w:val="00234F2C"/>
    <w:rsid w:val="002351E9"/>
    <w:rsid w:val="002377E0"/>
    <w:rsid w:val="002379E2"/>
    <w:rsid w:val="00240DD5"/>
    <w:rsid w:val="0024178B"/>
    <w:rsid w:val="002427BE"/>
    <w:rsid w:val="00243BF6"/>
    <w:rsid w:val="00244234"/>
    <w:rsid w:val="002450C1"/>
    <w:rsid w:val="002459B6"/>
    <w:rsid w:val="00247BEC"/>
    <w:rsid w:val="0025185A"/>
    <w:rsid w:val="00251BB3"/>
    <w:rsid w:val="002528F7"/>
    <w:rsid w:val="002537F1"/>
    <w:rsid w:val="0025390A"/>
    <w:rsid w:val="002561EB"/>
    <w:rsid w:val="002573B5"/>
    <w:rsid w:val="00260469"/>
    <w:rsid w:val="0026085B"/>
    <w:rsid w:val="002609E3"/>
    <w:rsid w:val="00260B35"/>
    <w:rsid w:val="0026232E"/>
    <w:rsid w:val="002623BE"/>
    <w:rsid w:val="00262D0B"/>
    <w:rsid w:val="00262DAB"/>
    <w:rsid w:val="0026346A"/>
    <w:rsid w:val="002638FC"/>
    <w:rsid w:val="00264EF5"/>
    <w:rsid w:val="00265011"/>
    <w:rsid w:val="0026546F"/>
    <w:rsid w:val="002655CC"/>
    <w:rsid w:val="00267221"/>
    <w:rsid w:val="002677C2"/>
    <w:rsid w:val="00270AB0"/>
    <w:rsid w:val="00270AD5"/>
    <w:rsid w:val="00271A4C"/>
    <w:rsid w:val="002742D1"/>
    <w:rsid w:val="0027471C"/>
    <w:rsid w:val="00275326"/>
    <w:rsid w:val="00275E67"/>
    <w:rsid w:val="0027734E"/>
    <w:rsid w:val="0028067D"/>
    <w:rsid w:val="00283E82"/>
    <w:rsid w:val="00285921"/>
    <w:rsid w:val="0028684D"/>
    <w:rsid w:val="002868FF"/>
    <w:rsid w:val="00287716"/>
    <w:rsid w:val="00290ED7"/>
    <w:rsid w:val="0029101D"/>
    <w:rsid w:val="0029324D"/>
    <w:rsid w:val="002932EC"/>
    <w:rsid w:val="00293D4C"/>
    <w:rsid w:val="00294443"/>
    <w:rsid w:val="00294EC3"/>
    <w:rsid w:val="00295AC1"/>
    <w:rsid w:val="00296169"/>
    <w:rsid w:val="002963B5"/>
    <w:rsid w:val="002A02AC"/>
    <w:rsid w:val="002A02EC"/>
    <w:rsid w:val="002A0A85"/>
    <w:rsid w:val="002A0C07"/>
    <w:rsid w:val="002A7EF5"/>
    <w:rsid w:val="002B2435"/>
    <w:rsid w:val="002B35CD"/>
    <w:rsid w:val="002B49D7"/>
    <w:rsid w:val="002B4F10"/>
    <w:rsid w:val="002B5338"/>
    <w:rsid w:val="002B69DE"/>
    <w:rsid w:val="002C0244"/>
    <w:rsid w:val="002C0C85"/>
    <w:rsid w:val="002C379D"/>
    <w:rsid w:val="002C52FC"/>
    <w:rsid w:val="002C5309"/>
    <w:rsid w:val="002C554E"/>
    <w:rsid w:val="002C6067"/>
    <w:rsid w:val="002C60AC"/>
    <w:rsid w:val="002C6A39"/>
    <w:rsid w:val="002C70A0"/>
    <w:rsid w:val="002C7421"/>
    <w:rsid w:val="002C7CEB"/>
    <w:rsid w:val="002D13E9"/>
    <w:rsid w:val="002D16A3"/>
    <w:rsid w:val="002D22C9"/>
    <w:rsid w:val="002D279D"/>
    <w:rsid w:val="002D3136"/>
    <w:rsid w:val="002D3285"/>
    <w:rsid w:val="002D46A9"/>
    <w:rsid w:val="002D51A4"/>
    <w:rsid w:val="002D6099"/>
    <w:rsid w:val="002D7F00"/>
    <w:rsid w:val="002E0459"/>
    <w:rsid w:val="002E073F"/>
    <w:rsid w:val="002E0A7D"/>
    <w:rsid w:val="002E0B90"/>
    <w:rsid w:val="002E0DFF"/>
    <w:rsid w:val="002E1368"/>
    <w:rsid w:val="002E2082"/>
    <w:rsid w:val="002E2D3F"/>
    <w:rsid w:val="002E3A1A"/>
    <w:rsid w:val="002E3A6A"/>
    <w:rsid w:val="002E459A"/>
    <w:rsid w:val="002E4F0B"/>
    <w:rsid w:val="002E68B2"/>
    <w:rsid w:val="002E6AC2"/>
    <w:rsid w:val="002E6D6D"/>
    <w:rsid w:val="002E6E78"/>
    <w:rsid w:val="002F17E6"/>
    <w:rsid w:val="002F2C6F"/>
    <w:rsid w:val="002F4413"/>
    <w:rsid w:val="002F5DBB"/>
    <w:rsid w:val="0030028B"/>
    <w:rsid w:val="00301878"/>
    <w:rsid w:val="0030289D"/>
    <w:rsid w:val="003030B1"/>
    <w:rsid w:val="00303180"/>
    <w:rsid w:val="003033BE"/>
    <w:rsid w:val="003056B4"/>
    <w:rsid w:val="0030590F"/>
    <w:rsid w:val="0030638D"/>
    <w:rsid w:val="0030646E"/>
    <w:rsid w:val="00306963"/>
    <w:rsid w:val="003077E9"/>
    <w:rsid w:val="00307BDF"/>
    <w:rsid w:val="003109E4"/>
    <w:rsid w:val="00311C8A"/>
    <w:rsid w:val="00312120"/>
    <w:rsid w:val="00312405"/>
    <w:rsid w:val="00314F66"/>
    <w:rsid w:val="00315346"/>
    <w:rsid w:val="00316288"/>
    <w:rsid w:val="00317D9E"/>
    <w:rsid w:val="003204CF"/>
    <w:rsid w:val="0032076F"/>
    <w:rsid w:val="003207BE"/>
    <w:rsid w:val="00322AB3"/>
    <w:rsid w:val="00323127"/>
    <w:rsid w:val="00323297"/>
    <w:rsid w:val="00324690"/>
    <w:rsid w:val="003268DE"/>
    <w:rsid w:val="003276D3"/>
    <w:rsid w:val="00330BB0"/>
    <w:rsid w:val="0033152D"/>
    <w:rsid w:val="00331754"/>
    <w:rsid w:val="00331CF3"/>
    <w:rsid w:val="00334DCE"/>
    <w:rsid w:val="00335258"/>
    <w:rsid w:val="00335940"/>
    <w:rsid w:val="0033620C"/>
    <w:rsid w:val="00337AAE"/>
    <w:rsid w:val="00337CA0"/>
    <w:rsid w:val="00337CD9"/>
    <w:rsid w:val="003409B3"/>
    <w:rsid w:val="00341736"/>
    <w:rsid w:val="0034194C"/>
    <w:rsid w:val="00341FEF"/>
    <w:rsid w:val="00342828"/>
    <w:rsid w:val="00343FE2"/>
    <w:rsid w:val="0034539B"/>
    <w:rsid w:val="00345EDB"/>
    <w:rsid w:val="003466C2"/>
    <w:rsid w:val="00346B77"/>
    <w:rsid w:val="003478DF"/>
    <w:rsid w:val="003479F1"/>
    <w:rsid w:val="00350534"/>
    <w:rsid w:val="0035120D"/>
    <w:rsid w:val="00351B6B"/>
    <w:rsid w:val="00352198"/>
    <w:rsid w:val="00352F74"/>
    <w:rsid w:val="00354230"/>
    <w:rsid w:val="00354591"/>
    <w:rsid w:val="00354888"/>
    <w:rsid w:val="003557B8"/>
    <w:rsid w:val="00355C89"/>
    <w:rsid w:val="00355E6D"/>
    <w:rsid w:val="00356DDA"/>
    <w:rsid w:val="003574AF"/>
    <w:rsid w:val="003574E0"/>
    <w:rsid w:val="00357AF0"/>
    <w:rsid w:val="00357C69"/>
    <w:rsid w:val="00360761"/>
    <w:rsid w:val="00362073"/>
    <w:rsid w:val="003624C1"/>
    <w:rsid w:val="00364BE2"/>
    <w:rsid w:val="00365E51"/>
    <w:rsid w:val="0036647F"/>
    <w:rsid w:val="00366E06"/>
    <w:rsid w:val="00367079"/>
    <w:rsid w:val="0036728F"/>
    <w:rsid w:val="0037083C"/>
    <w:rsid w:val="00371126"/>
    <w:rsid w:val="003712EF"/>
    <w:rsid w:val="00371E69"/>
    <w:rsid w:val="00373635"/>
    <w:rsid w:val="00373F55"/>
    <w:rsid w:val="00374637"/>
    <w:rsid w:val="00375481"/>
    <w:rsid w:val="00375BDB"/>
    <w:rsid w:val="0037617F"/>
    <w:rsid w:val="003762FF"/>
    <w:rsid w:val="003767B4"/>
    <w:rsid w:val="00376D17"/>
    <w:rsid w:val="0038036B"/>
    <w:rsid w:val="00384DB6"/>
    <w:rsid w:val="00384E93"/>
    <w:rsid w:val="00385CBB"/>
    <w:rsid w:val="0038641B"/>
    <w:rsid w:val="00392B17"/>
    <w:rsid w:val="00392CB5"/>
    <w:rsid w:val="00392D37"/>
    <w:rsid w:val="00392D87"/>
    <w:rsid w:val="00392E5D"/>
    <w:rsid w:val="00393546"/>
    <w:rsid w:val="003948EA"/>
    <w:rsid w:val="00396E30"/>
    <w:rsid w:val="00396E48"/>
    <w:rsid w:val="00396E68"/>
    <w:rsid w:val="003A1D03"/>
    <w:rsid w:val="003A4438"/>
    <w:rsid w:val="003A5047"/>
    <w:rsid w:val="003B0FD8"/>
    <w:rsid w:val="003B172C"/>
    <w:rsid w:val="003B21D0"/>
    <w:rsid w:val="003B5BE4"/>
    <w:rsid w:val="003B6F77"/>
    <w:rsid w:val="003B6FAE"/>
    <w:rsid w:val="003C02AC"/>
    <w:rsid w:val="003C0586"/>
    <w:rsid w:val="003C1522"/>
    <w:rsid w:val="003C34F4"/>
    <w:rsid w:val="003C46AD"/>
    <w:rsid w:val="003C493B"/>
    <w:rsid w:val="003C6AB3"/>
    <w:rsid w:val="003D07C5"/>
    <w:rsid w:val="003D26F4"/>
    <w:rsid w:val="003D27EF"/>
    <w:rsid w:val="003D3CBD"/>
    <w:rsid w:val="003D40EC"/>
    <w:rsid w:val="003D42AD"/>
    <w:rsid w:val="003D5DA7"/>
    <w:rsid w:val="003D7705"/>
    <w:rsid w:val="003D7B9B"/>
    <w:rsid w:val="003E0263"/>
    <w:rsid w:val="003E13F3"/>
    <w:rsid w:val="003E2A4C"/>
    <w:rsid w:val="003E3068"/>
    <w:rsid w:val="003E35B9"/>
    <w:rsid w:val="003E36F7"/>
    <w:rsid w:val="003E3E91"/>
    <w:rsid w:val="003E44DF"/>
    <w:rsid w:val="003E4599"/>
    <w:rsid w:val="003F014E"/>
    <w:rsid w:val="003F17C1"/>
    <w:rsid w:val="003F1A8D"/>
    <w:rsid w:val="003F1B0F"/>
    <w:rsid w:val="003F1F43"/>
    <w:rsid w:val="003F20B8"/>
    <w:rsid w:val="003F2344"/>
    <w:rsid w:val="003F2A7E"/>
    <w:rsid w:val="003F2B66"/>
    <w:rsid w:val="003F2DBC"/>
    <w:rsid w:val="003F36DC"/>
    <w:rsid w:val="003F6C3E"/>
    <w:rsid w:val="003F7335"/>
    <w:rsid w:val="003F7B7D"/>
    <w:rsid w:val="004007DB"/>
    <w:rsid w:val="004017AC"/>
    <w:rsid w:val="00401E19"/>
    <w:rsid w:val="00401E74"/>
    <w:rsid w:val="00402EFB"/>
    <w:rsid w:val="00403CC9"/>
    <w:rsid w:val="00403E38"/>
    <w:rsid w:val="004042F5"/>
    <w:rsid w:val="00404343"/>
    <w:rsid w:val="00404CFF"/>
    <w:rsid w:val="00405EEC"/>
    <w:rsid w:val="004068CA"/>
    <w:rsid w:val="00407384"/>
    <w:rsid w:val="0040751A"/>
    <w:rsid w:val="00410713"/>
    <w:rsid w:val="00410FEF"/>
    <w:rsid w:val="00411007"/>
    <w:rsid w:val="00412681"/>
    <w:rsid w:val="00413148"/>
    <w:rsid w:val="004147AB"/>
    <w:rsid w:val="00414B35"/>
    <w:rsid w:val="00415FAC"/>
    <w:rsid w:val="00416418"/>
    <w:rsid w:val="00416712"/>
    <w:rsid w:val="004228A2"/>
    <w:rsid w:val="004237B7"/>
    <w:rsid w:val="00423DCD"/>
    <w:rsid w:val="004241D7"/>
    <w:rsid w:val="004243E4"/>
    <w:rsid w:val="0042448D"/>
    <w:rsid w:val="00424AF5"/>
    <w:rsid w:val="00430D43"/>
    <w:rsid w:val="004323A0"/>
    <w:rsid w:val="00432F9B"/>
    <w:rsid w:val="0043421B"/>
    <w:rsid w:val="00434271"/>
    <w:rsid w:val="00434629"/>
    <w:rsid w:val="00435808"/>
    <w:rsid w:val="00435B41"/>
    <w:rsid w:val="0044034A"/>
    <w:rsid w:val="00440B43"/>
    <w:rsid w:val="00440E15"/>
    <w:rsid w:val="00441604"/>
    <w:rsid w:val="004419B5"/>
    <w:rsid w:val="00441CEC"/>
    <w:rsid w:val="00443529"/>
    <w:rsid w:val="00444309"/>
    <w:rsid w:val="004443D0"/>
    <w:rsid w:val="0044699F"/>
    <w:rsid w:val="00447158"/>
    <w:rsid w:val="00447FE2"/>
    <w:rsid w:val="0045032C"/>
    <w:rsid w:val="00450ABB"/>
    <w:rsid w:val="00452071"/>
    <w:rsid w:val="00452089"/>
    <w:rsid w:val="00453C61"/>
    <w:rsid w:val="00454511"/>
    <w:rsid w:val="0045481C"/>
    <w:rsid w:val="00455044"/>
    <w:rsid w:val="0045687B"/>
    <w:rsid w:val="00456D6D"/>
    <w:rsid w:val="004571D4"/>
    <w:rsid w:val="004576FA"/>
    <w:rsid w:val="004632C3"/>
    <w:rsid w:val="00463391"/>
    <w:rsid w:val="004637DB"/>
    <w:rsid w:val="004637F4"/>
    <w:rsid w:val="00466873"/>
    <w:rsid w:val="004672D0"/>
    <w:rsid w:val="00467554"/>
    <w:rsid w:val="0047078E"/>
    <w:rsid w:val="004716C3"/>
    <w:rsid w:val="004717E9"/>
    <w:rsid w:val="00472408"/>
    <w:rsid w:val="00472572"/>
    <w:rsid w:val="00473690"/>
    <w:rsid w:val="00473B90"/>
    <w:rsid w:val="00475681"/>
    <w:rsid w:val="00476D2E"/>
    <w:rsid w:val="00482E9E"/>
    <w:rsid w:val="00483983"/>
    <w:rsid w:val="00486D75"/>
    <w:rsid w:val="0049074F"/>
    <w:rsid w:val="0049083D"/>
    <w:rsid w:val="00493150"/>
    <w:rsid w:val="004932E9"/>
    <w:rsid w:val="0049381A"/>
    <w:rsid w:val="00493924"/>
    <w:rsid w:val="00493FC3"/>
    <w:rsid w:val="004948F9"/>
    <w:rsid w:val="00497801"/>
    <w:rsid w:val="00497BD0"/>
    <w:rsid w:val="00497C75"/>
    <w:rsid w:val="004A0F3B"/>
    <w:rsid w:val="004A11FF"/>
    <w:rsid w:val="004A1595"/>
    <w:rsid w:val="004A1CC8"/>
    <w:rsid w:val="004A1EAC"/>
    <w:rsid w:val="004A240E"/>
    <w:rsid w:val="004A291C"/>
    <w:rsid w:val="004A2A7B"/>
    <w:rsid w:val="004A37BD"/>
    <w:rsid w:val="004A4CB5"/>
    <w:rsid w:val="004A4F79"/>
    <w:rsid w:val="004A66BD"/>
    <w:rsid w:val="004A7FDC"/>
    <w:rsid w:val="004B0D8C"/>
    <w:rsid w:val="004B0E50"/>
    <w:rsid w:val="004B203A"/>
    <w:rsid w:val="004B3478"/>
    <w:rsid w:val="004B37DC"/>
    <w:rsid w:val="004B38FE"/>
    <w:rsid w:val="004B4D12"/>
    <w:rsid w:val="004B5771"/>
    <w:rsid w:val="004B6C06"/>
    <w:rsid w:val="004B6E3A"/>
    <w:rsid w:val="004B7CF3"/>
    <w:rsid w:val="004C060A"/>
    <w:rsid w:val="004C1E0B"/>
    <w:rsid w:val="004C334D"/>
    <w:rsid w:val="004C403D"/>
    <w:rsid w:val="004C5440"/>
    <w:rsid w:val="004C5E94"/>
    <w:rsid w:val="004C6288"/>
    <w:rsid w:val="004D125C"/>
    <w:rsid w:val="004D1659"/>
    <w:rsid w:val="004D16B4"/>
    <w:rsid w:val="004D27E4"/>
    <w:rsid w:val="004D3F74"/>
    <w:rsid w:val="004D48DF"/>
    <w:rsid w:val="004D4EA9"/>
    <w:rsid w:val="004D5BDD"/>
    <w:rsid w:val="004D7504"/>
    <w:rsid w:val="004D7743"/>
    <w:rsid w:val="004D7B46"/>
    <w:rsid w:val="004E10AD"/>
    <w:rsid w:val="004E15DE"/>
    <w:rsid w:val="004E1870"/>
    <w:rsid w:val="004E2F54"/>
    <w:rsid w:val="004E45F6"/>
    <w:rsid w:val="004E476B"/>
    <w:rsid w:val="004E536E"/>
    <w:rsid w:val="004E64D1"/>
    <w:rsid w:val="004E6C64"/>
    <w:rsid w:val="004F0FA3"/>
    <w:rsid w:val="004F115D"/>
    <w:rsid w:val="004F15FE"/>
    <w:rsid w:val="004F1ACF"/>
    <w:rsid w:val="004F1FC8"/>
    <w:rsid w:val="004F267D"/>
    <w:rsid w:val="004F2992"/>
    <w:rsid w:val="004F2D0B"/>
    <w:rsid w:val="004F3DDD"/>
    <w:rsid w:val="004F4CEE"/>
    <w:rsid w:val="004F633E"/>
    <w:rsid w:val="00500828"/>
    <w:rsid w:val="00501E62"/>
    <w:rsid w:val="00505F36"/>
    <w:rsid w:val="00505FAC"/>
    <w:rsid w:val="00506A56"/>
    <w:rsid w:val="00506DEB"/>
    <w:rsid w:val="00507052"/>
    <w:rsid w:val="0051054D"/>
    <w:rsid w:val="00510E24"/>
    <w:rsid w:val="00511B4D"/>
    <w:rsid w:val="00512837"/>
    <w:rsid w:val="00512879"/>
    <w:rsid w:val="00514BB9"/>
    <w:rsid w:val="0051627A"/>
    <w:rsid w:val="00520154"/>
    <w:rsid w:val="0052121C"/>
    <w:rsid w:val="0052518F"/>
    <w:rsid w:val="0052623B"/>
    <w:rsid w:val="00526F57"/>
    <w:rsid w:val="0052713E"/>
    <w:rsid w:val="00527397"/>
    <w:rsid w:val="00527CC2"/>
    <w:rsid w:val="0053042F"/>
    <w:rsid w:val="00530A3F"/>
    <w:rsid w:val="00533251"/>
    <w:rsid w:val="00533331"/>
    <w:rsid w:val="005333F5"/>
    <w:rsid w:val="00533A73"/>
    <w:rsid w:val="0053412A"/>
    <w:rsid w:val="00535AC9"/>
    <w:rsid w:val="00535E25"/>
    <w:rsid w:val="00536FAD"/>
    <w:rsid w:val="005401B5"/>
    <w:rsid w:val="00540C59"/>
    <w:rsid w:val="00541DD4"/>
    <w:rsid w:val="00542972"/>
    <w:rsid w:val="0054376B"/>
    <w:rsid w:val="00544F86"/>
    <w:rsid w:val="00545231"/>
    <w:rsid w:val="0054785F"/>
    <w:rsid w:val="0055081A"/>
    <w:rsid w:val="00551163"/>
    <w:rsid w:val="00552B69"/>
    <w:rsid w:val="00555331"/>
    <w:rsid w:val="00555E88"/>
    <w:rsid w:val="00555EFE"/>
    <w:rsid w:val="00556011"/>
    <w:rsid w:val="005568A6"/>
    <w:rsid w:val="00557658"/>
    <w:rsid w:val="005621E9"/>
    <w:rsid w:val="0056339D"/>
    <w:rsid w:val="00563589"/>
    <w:rsid w:val="005645A0"/>
    <w:rsid w:val="0056592B"/>
    <w:rsid w:val="00565A2A"/>
    <w:rsid w:val="00565E1C"/>
    <w:rsid w:val="005665A0"/>
    <w:rsid w:val="0056682E"/>
    <w:rsid w:val="005670AE"/>
    <w:rsid w:val="005672A0"/>
    <w:rsid w:val="005705A5"/>
    <w:rsid w:val="00570D95"/>
    <w:rsid w:val="00571321"/>
    <w:rsid w:val="00573764"/>
    <w:rsid w:val="00573803"/>
    <w:rsid w:val="005749F2"/>
    <w:rsid w:val="00575895"/>
    <w:rsid w:val="005764BE"/>
    <w:rsid w:val="005821EC"/>
    <w:rsid w:val="00583028"/>
    <w:rsid w:val="0058387F"/>
    <w:rsid w:val="00583C67"/>
    <w:rsid w:val="00584F7E"/>
    <w:rsid w:val="00585AFE"/>
    <w:rsid w:val="00587DA8"/>
    <w:rsid w:val="005917CB"/>
    <w:rsid w:val="0059267E"/>
    <w:rsid w:val="005931DE"/>
    <w:rsid w:val="0059332D"/>
    <w:rsid w:val="00593D46"/>
    <w:rsid w:val="00594FF9"/>
    <w:rsid w:val="005961AB"/>
    <w:rsid w:val="0059681E"/>
    <w:rsid w:val="0059758C"/>
    <w:rsid w:val="005A2EC0"/>
    <w:rsid w:val="005A4AC3"/>
    <w:rsid w:val="005B11A2"/>
    <w:rsid w:val="005B1F02"/>
    <w:rsid w:val="005B2038"/>
    <w:rsid w:val="005B2B56"/>
    <w:rsid w:val="005B2E55"/>
    <w:rsid w:val="005B3837"/>
    <w:rsid w:val="005B3EBE"/>
    <w:rsid w:val="005B5496"/>
    <w:rsid w:val="005B5C6E"/>
    <w:rsid w:val="005B606D"/>
    <w:rsid w:val="005B688F"/>
    <w:rsid w:val="005B6A91"/>
    <w:rsid w:val="005B709C"/>
    <w:rsid w:val="005C01C3"/>
    <w:rsid w:val="005C2BCC"/>
    <w:rsid w:val="005C3697"/>
    <w:rsid w:val="005C4EE4"/>
    <w:rsid w:val="005C4EFB"/>
    <w:rsid w:val="005C5FDA"/>
    <w:rsid w:val="005C62A3"/>
    <w:rsid w:val="005C7493"/>
    <w:rsid w:val="005C7496"/>
    <w:rsid w:val="005C7DED"/>
    <w:rsid w:val="005D09ED"/>
    <w:rsid w:val="005D0DD0"/>
    <w:rsid w:val="005D1D0E"/>
    <w:rsid w:val="005D1FDE"/>
    <w:rsid w:val="005D2743"/>
    <w:rsid w:val="005D4EBE"/>
    <w:rsid w:val="005D51AF"/>
    <w:rsid w:val="005D5694"/>
    <w:rsid w:val="005D6B2E"/>
    <w:rsid w:val="005D6C45"/>
    <w:rsid w:val="005D7451"/>
    <w:rsid w:val="005E0C13"/>
    <w:rsid w:val="005E266A"/>
    <w:rsid w:val="005E2836"/>
    <w:rsid w:val="005E2DE9"/>
    <w:rsid w:val="005E374E"/>
    <w:rsid w:val="005E3D0C"/>
    <w:rsid w:val="005E4289"/>
    <w:rsid w:val="005E47D0"/>
    <w:rsid w:val="005E4D0F"/>
    <w:rsid w:val="005E5FE9"/>
    <w:rsid w:val="005E647F"/>
    <w:rsid w:val="005E6675"/>
    <w:rsid w:val="005F01D2"/>
    <w:rsid w:val="005F0256"/>
    <w:rsid w:val="005F0266"/>
    <w:rsid w:val="005F0A1B"/>
    <w:rsid w:val="005F11C4"/>
    <w:rsid w:val="005F1EB8"/>
    <w:rsid w:val="005F2DDF"/>
    <w:rsid w:val="005F5B1A"/>
    <w:rsid w:val="005F65C3"/>
    <w:rsid w:val="005F6E3F"/>
    <w:rsid w:val="005F77D4"/>
    <w:rsid w:val="005F7D2E"/>
    <w:rsid w:val="00601910"/>
    <w:rsid w:val="00601F59"/>
    <w:rsid w:val="0060321A"/>
    <w:rsid w:val="00604481"/>
    <w:rsid w:val="00604530"/>
    <w:rsid w:val="00604DE1"/>
    <w:rsid w:val="006052CB"/>
    <w:rsid w:val="006058A4"/>
    <w:rsid w:val="00605ECD"/>
    <w:rsid w:val="006073FB"/>
    <w:rsid w:val="00607AA0"/>
    <w:rsid w:val="00612B8F"/>
    <w:rsid w:val="00612E07"/>
    <w:rsid w:val="006132D8"/>
    <w:rsid w:val="006216DC"/>
    <w:rsid w:val="0062351E"/>
    <w:rsid w:val="006242B2"/>
    <w:rsid w:val="006242E5"/>
    <w:rsid w:val="00625398"/>
    <w:rsid w:val="00625A6F"/>
    <w:rsid w:val="00625D5F"/>
    <w:rsid w:val="0062711A"/>
    <w:rsid w:val="006275BD"/>
    <w:rsid w:val="00627F13"/>
    <w:rsid w:val="00630380"/>
    <w:rsid w:val="0063193E"/>
    <w:rsid w:val="0063237B"/>
    <w:rsid w:val="00632768"/>
    <w:rsid w:val="0063468B"/>
    <w:rsid w:val="00635DC6"/>
    <w:rsid w:val="00636777"/>
    <w:rsid w:val="006408E8"/>
    <w:rsid w:val="00640B8B"/>
    <w:rsid w:val="00641042"/>
    <w:rsid w:val="00641195"/>
    <w:rsid w:val="00641D26"/>
    <w:rsid w:val="00642031"/>
    <w:rsid w:val="006429E3"/>
    <w:rsid w:val="00644847"/>
    <w:rsid w:val="006452B1"/>
    <w:rsid w:val="00645A75"/>
    <w:rsid w:val="0064606F"/>
    <w:rsid w:val="00646636"/>
    <w:rsid w:val="006477FD"/>
    <w:rsid w:val="00650F15"/>
    <w:rsid w:val="00651B00"/>
    <w:rsid w:val="00654C16"/>
    <w:rsid w:val="0065708A"/>
    <w:rsid w:val="006579DF"/>
    <w:rsid w:val="00660B86"/>
    <w:rsid w:val="00661BAB"/>
    <w:rsid w:val="006629FB"/>
    <w:rsid w:val="00662CDF"/>
    <w:rsid w:val="00664661"/>
    <w:rsid w:val="00664CA6"/>
    <w:rsid w:val="0066508F"/>
    <w:rsid w:val="00666C1B"/>
    <w:rsid w:val="006736F4"/>
    <w:rsid w:val="00676F58"/>
    <w:rsid w:val="00677F4F"/>
    <w:rsid w:val="0068127C"/>
    <w:rsid w:val="00683467"/>
    <w:rsid w:val="00683EC5"/>
    <w:rsid w:val="0068434D"/>
    <w:rsid w:val="006846F4"/>
    <w:rsid w:val="006858DD"/>
    <w:rsid w:val="006859ED"/>
    <w:rsid w:val="00685B52"/>
    <w:rsid w:val="00687702"/>
    <w:rsid w:val="0069285D"/>
    <w:rsid w:val="006928C8"/>
    <w:rsid w:val="00692D15"/>
    <w:rsid w:val="00692E57"/>
    <w:rsid w:val="006934AB"/>
    <w:rsid w:val="00693D5E"/>
    <w:rsid w:val="0069555A"/>
    <w:rsid w:val="00695AB4"/>
    <w:rsid w:val="00695B33"/>
    <w:rsid w:val="006965DF"/>
    <w:rsid w:val="006A181B"/>
    <w:rsid w:val="006A18BC"/>
    <w:rsid w:val="006A3EBB"/>
    <w:rsid w:val="006A436D"/>
    <w:rsid w:val="006A4781"/>
    <w:rsid w:val="006A47FC"/>
    <w:rsid w:val="006A48AE"/>
    <w:rsid w:val="006A6E38"/>
    <w:rsid w:val="006A726A"/>
    <w:rsid w:val="006B2F0E"/>
    <w:rsid w:val="006B5D46"/>
    <w:rsid w:val="006B6BFF"/>
    <w:rsid w:val="006B74AA"/>
    <w:rsid w:val="006C40A6"/>
    <w:rsid w:val="006C4AFC"/>
    <w:rsid w:val="006C740A"/>
    <w:rsid w:val="006C7684"/>
    <w:rsid w:val="006C7BC0"/>
    <w:rsid w:val="006D11A3"/>
    <w:rsid w:val="006D25FE"/>
    <w:rsid w:val="006D2851"/>
    <w:rsid w:val="006D2950"/>
    <w:rsid w:val="006D3632"/>
    <w:rsid w:val="006D3904"/>
    <w:rsid w:val="006D3B53"/>
    <w:rsid w:val="006D3C02"/>
    <w:rsid w:val="006D671E"/>
    <w:rsid w:val="006D67DB"/>
    <w:rsid w:val="006D70DE"/>
    <w:rsid w:val="006D7609"/>
    <w:rsid w:val="006D7DE9"/>
    <w:rsid w:val="006E128E"/>
    <w:rsid w:val="006E2C0D"/>
    <w:rsid w:val="006E2C2A"/>
    <w:rsid w:val="006E35FA"/>
    <w:rsid w:val="006E4282"/>
    <w:rsid w:val="006E584B"/>
    <w:rsid w:val="006E7EDB"/>
    <w:rsid w:val="006F0073"/>
    <w:rsid w:val="006F1193"/>
    <w:rsid w:val="006F44B6"/>
    <w:rsid w:val="006F5408"/>
    <w:rsid w:val="006F6455"/>
    <w:rsid w:val="006F673F"/>
    <w:rsid w:val="006F77E6"/>
    <w:rsid w:val="0070050F"/>
    <w:rsid w:val="00700CD0"/>
    <w:rsid w:val="0070116D"/>
    <w:rsid w:val="007011BA"/>
    <w:rsid w:val="0070216C"/>
    <w:rsid w:val="00704684"/>
    <w:rsid w:val="00705071"/>
    <w:rsid w:val="00705DA6"/>
    <w:rsid w:val="00710C09"/>
    <w:rsid w:val="00712424"/>
    <w:rsid w:val="00712E62"/>
    <w:rsid w:val="00714462"/>
    <w:rsid w:val="00716531"/>
    <w:rsid w:val="00717D20"/>
    <w:rsid w:val="00722B7E"/>
    <w:rsid w:val="0072448D"/>
    <w:rsid w:val="007250C6"/>
    <w:rsid w:val="00725506"/>
    <w:rsid w:val="0072567E"/>
    <w:rsid w:val="007256FC"/>
    <w:rsid w:val="0072593C"/>
    <w:rsid w:val="0072602C"/>
    <w:rsid w:val="00726570"/>
    <w:rsid w:val="00726F68"/>
    <w:rsid w:val="00731081"/>
    <w:rsid w:val="007313F0"/>
    <w:rsid w:val="007334C7"/>
    <w:rsid w:val="00734E7D"/>
    <w:rsid w:val="00734F18"/>
    <w:rsid w:val="007355BC"/>
    <w:rsid w:val="00735642"/>
    <w:rsid w:val="00735E41"/>
    <w:rsid w:val="007365EF"/>
    <w:rsid w:val="00737E3C"/>
    <w:rsid w:val="00740AF4"/>
    <w:rsid w:val="00741EED"/>
    <w:rsid w:val="00742E76"/>
    <w:rsid w:val="00743AC8"/>
    <w:rsid w:val="0074560C"/>
    <w:rsid w:val="00747DB7"/>
    <w:rsid w:val="00752663"/>
    <w:rsid w:val="007531A4"/>
    <w:rsid w:val="00754219"/>
    <w:rsid w:val="007543C1"/>
    <w:rsid w:val="007547A5"/>
    <w:rsid w:val="00754ACC"/>
    <w:rsid w:val="007572D2"/>
    <w:rsid w:val="007600C5"/>
    <w:rsid w:val="007600E4"/>
    <w:rsid w:val="00760EDE"/>
    <w:rsid w:val="00761206"/>
    <w:rsid w:val="00761DF3"/>
    <w:rsid w:val="00762CE7"/>
    <w:rsid w:val="007634A8"/>
    <w:rsid w:val="00763C14"/>
    <w:rsid w:val="007642B7"/>
    <w:rsid w:val="00764323"/>
    <w:rsid w:val="0076472A"/>
    <w:rsid w:val="00764DE8"/>
    <w:rsid w:val="007664E4"/>
    <w:rsid w:val="0076688E"/>
    <w:rsid w:val="007672ED"/>
    <w:rsid w:val="00770215"/>
    <w:rsid w:val="00772193"/>
    <w:rsid w:val="007721B4"/>
    <w:rsid w:val="00772761"/>
    <w:rsid w:val="00772BFA"/>
    <w:rsid w:val="00772D38"/>
    <w:rsid w:val="0077310C"/>
    <w:rsid w:val="00773F6C"/>
    <w:rsid w:val="00774D34"/>
    <w:rsid w:val="00775ABA"/>
    <w:rsid w:val="00776174"/>
    <w:rsid w:val="0077688F"/>
    <w:rsid w:val="007820C8"/>
    <w:rsid w:val="00783C63"/>
    <w:rsid w:val="00783D74"/>
    <w:rsid w:val="0078509C"/>
    <w:rsid w:val="00785E21"/>
    <w:rsid w:val="00786E92"/>
    <w:rsid w:val="00790294"/>
    <w:rsid w:val="0079097A"/>
    <w:rsid w:val="0079456A"/>
    <w:rsid w:val="007947DD"/>
    <w:rsid w:val="00794EC3"/>
    <w:rsid w:val="00796081"/>
    <w:rsid w:val="007975E6"/>
    <w:rsid w:val="007A026F"/>
    <w:rsid w:val="007A20AF"/>
    <w:rsid w:val="007A226F"/>
    <w:rsid w:val="007A5C0B"/>
    <w:rsid w:val="007B0806"/>
    <w:rsid w:val="007B0B05"/>
    <w:rsid w:val="007B0F88"/>
    <w:rsid w:val="007B1177"/>
    <w:rsid w:val="007B1662"/>
    <w:rsid w:val="007B1CD6"/>
    <w:rsid w:val="007B2660"/>
    <w:rsid w:val="007B34E8"/>
    <w:rsid w:val="007B356F"/>
    <w:rsid w:val="007B587C"/>
    <w:rsid w:val="007B5CCD"/>
    <w:rsid w:val="007B6708"/>
    <w:rsid w:val="007B6BD5"/>
    <w:rsid w:val="007B6CF4"/>
    <w:rsid w:val="007B74A0"/>
    <w:rsid w:val="007C0430"/>
    <w:rsid w:val="007C2E7F"/>
    <w:rsid w:val="007C4749"/>
    <w:rsid w:val="007C4913"/>
    <w:rsid w:val="007C4CB3"/>
    <w:rsid w:val="007C6650"/>
    <w:rsid w:val="007D07C6"/>
    <w:rsid w:val="007D2955"/>
    <w:rsid w:val="007D310B"/>
    <w:rsid w:val="007E0A49"/>
    <w:rsid w:val="007E0B16"/>
    <w:rsid w:val="007E1197"/>
    <w:rsid w:val="007E2118"/>
    <w:rsid w:val="007E307C"/>
    <w:rsid w:val="007E38D2"/>
    <w:rsid w:val="007E39FF"/>
    <w:rsid w:val="007E3BF8"/>
    <w:rsid w:val="007E5400"/>
    <w:rsid w:val="007E5EE9"/>
    <w:rsid w:val="007E6FC4"/>
    <w:rsid w:val="007E716D"/>
    <w:rsid w:val="007F0B2D"/>
    <w:rsid w:val="007F10A8"/>
    <w:rsid w:val="007F10A9"/>
    <w:rsid w:val="007F21D7"/>
    <w:rsid w:val="007F22C7"/>
    <w:rsid w:val="007F3A6F"/>
    <w:rsid w:val="007F403B"/>
    <w:rsid w:val="007F5A13"/>
    <w:rsid w:val="007F5B6F"/>
    <w:rsid w:val="00800C79"/>
    <w:rsid w:val="00802E40"/>
    <w:rsid w:val="00802F60"/>
    <w:rsid w:val="0080482E"/>
    <w:rsid w:val="00806112"/>
    <w:rsid w:val="00806484"/>
    <w:rsid w:val="00806F12"/>
    <w:rsid w:val="00807BEB"/>
    <w:rsid w:val="00810A34"/>
    <w:rsid w:val="00814797"/>
    <w:rsid w:val="008160EF"/>
    <w:rsid w:val="00816627"/>
    <w:rsid w:val="0081713D"/>
    <w:rsid w:val="0082071B"/>
    <w:rsid w:val="00820C22"/>
    <w:rsid w:val="00822987"/>
    <w:rsid w:val="00822F1E"/>
    <w:rsid w:val="0083288C"/>
    <w:rsid w:val="00834301"/>
    <w:rsid w:val="0083447F"/>
    <w:rsid w:val="008344D2"/>
    <w:rsid w:val="00834A1C"/>
    <w:rsid w:val="0083575A"/>
    <w:rsid w:val="00835CD9"/>
    <w:rsid w:val="00836832"/>
    <w:rsid w:val="00837A41"/>
    <w:rsid w:val="00841242"/>
    <w:rsid w:val="008438CD"/>
    <w:rsid w:val="00844263"/>
    <w:rsid w:val="00845793"/>
    <w:rsid w:val="00845990"/>
    <w:rsid w:val="0084640F"/>
    <w:rsid w:val="008465EC"/>
    <w:rsid w:val="00847565"/>
    <w:rsid w:val="00847711"/>
    <w:rsid w:val="008511D8"/>
    <w:rsid w:val="00851EDF"/>
    <w:rsid w:val="0085223E"/>
    <w:rsid w:val="0085255D"/>
    <w:rsid w:val="00852849"/>
    <w:rsid w:val="0085342C"/>
    <w:rsid w:val="00853553"/>
    <w:rsid w:val="0085404A"/>
    <w:rsid w:val="008548BF"/>
    <w:rsid w:val="00857425"/>
    <w:rsid w:val="00857CE2"/>
    <w:rsid w:val="00857EF2"/>
    <w:rsid w:val="00860C2D"/>
    <w:rsid w:val="00861443"/>
    <w:rsid w:val="008627EA"/>
    <w:rsid w:val="008637B0"/>
    <w:rsid w:val="00864090"/>
    <w:rsid w:val="00864228"/>
    <w:rsid w:val="008647D6"/>
    <w:rsid w:val="00870B08"/>
    <w:rsid w:val="00870BD0"/>
    <w:rsid w:val="008711A2"/>
    <w:rsid w:val="008720FA"/>
    <w:rsid w:val="008732E5"/>
    <w:rsid w:val="00873F49"/>
    <w:rsid w:val="0087495B"/>
    <w:rsid w:val="00877972"/>
    <w:rsid w:val="00880A1F"/>
    <w:rsid w:val="00883940"/>
    <w:rsid w:val="00884568"/>
    <w:rsid w:val="0088499C"/>
    <w:rsid w:val="0088631F"/>
    <w:rsid w:val="00886DEF"/>
    <w:rsid w:val="0089038E"/>
    <w:rsid w:val="008919DF"/>
    <w:rsid w:val="00892A59"/>
    <w:rsid w:val="0089489F"/>
    <w:rsid w:val="00895A8D"/>
    <w:rsid w:val="008967A2"/>
    <w:rsid w:val="0089729A"/>
    <w:rsid w:val="00897CCE"/>
    <w:rsid w:val="00897F45"/>
    <w:rsid w:val="008A38DA"/>
    <w:rsid w:val="008A45D6"/>
    <w:rsid w:val="008A47ED"/>
    <w:rsid w:val="008A6453"/>
    <w:rsid w:val="008A7D8D"/>
    <w:rsid w:val="008B0995"/>
    <w:rsid w:val="008B15E5"/>
    <w:rsid w:val="008B2293"/>
    <w:rsid w:val="008B4AED"/>
    <w:rsid w:val="008C1F95"/>
    <w:rsid w:val="008C290F"/>
    <w:rsid w:val="008C343F"/>
    <w:rsid w:val="008C4764"/>
    <w:rsid w:val="008C7A53"/>
    <w:rsid w:val="008C7B6C"/>
    <w:rsid w:val="008D1D3A"/>
    <w:rsid w:val="008D2F69"/>
    <w:rsid w:val="008D30E1"/>
    <w:rsid w:val="008D36D9"/>
    <w:rsid w:val="008D37DC"/>
    <w:rsid w:val="008D459B"/>
    <w:rsid w:val="008D4D58"/>
    <w:rsid w:val="008D5319"/>
    <w:rsid w:val="008D65DB"/>
    <w:rsid w:val="008D6BDD"/>
    <w:rsid w:val="008E0481"/>
    <w:rsid w:val="008E0E74"/>
    <w:rsid w:val="008E1254"/>
    <w:rsid w:val="008E1528"/>
    <w:rsid w:val="008E18B0"/>
    <w:rsid w:val="008E1C8D"/>
    <w:rsid w:val="008E2C04"/>
    <w:rsid w:val="008E2FC7"/>
    <w:rsid w:val="008E309F"/>
    <w:rsid w:val="008E38CC"/>
    <w:rsid w:val="008E39A8"/>
    <w:rsid w:val="008E535E"/>
    <w:rsid w:val="008E577B"/>
    <w:rsid w:val="008E598F"/>
    <w:rsid w:val="008E71D2"/>
    <w:rsid w:val="008F061D"/>
    <w:rsid w:val="008F1D2B"/>
    <w:rsid w:val="008F231E"/>
    <w:rsid w:val="008F2FEE"/>
    <w:rsid w:val="008F38C6"/>
    <w:rsid w:val="008F578F"/>
    <w:rsid w:val="008F6306"/>
    <w:rsid w:val="00901966"/>
    <w:rsid w:val="0090256B"/>
    <w:rsid w:val="00902C5B"/>
    <w:rsid w:val="00903CEA"/>
    <w:rsid w:val="009048DC"/>
    <w:rsid w:val="009056E6"/>
    <w:rsid w:val="009059DB"/>
    <w:rsid w:val="00905F2D"/>
    <w:rsid w:val="0090720C"/>
    <w:rsid w:val="0090721B"/>
    <w:rsid w:val="00913067"/>
    <w:rsid w:val="00914705"/>
    <w:rsid w:val="00914AF1"/>
    <w:rsid w:val="00915963"/>
    <w:rsid w:val="00915CF0"/>
    <w:rsid w:val="00915E63"/>
    <w:rsid w:val="00916430"/>
    <w:rsid w:val="009168DD"/>
    <w:rsid w:val="00916A37"/>
    <w:rsid w:val="00916FA4"/>
    <w:rsid w:val="0092208C"/>
    <w:rsid w:val="00925DC8"/>
    <w:rsid w:val="00927182"/>
    <w:rsid w:val="00927ED7"/>
    <w:rsid w:val="00931B60"/>
    <w:rsid w:val="00931EA8"/>
    <w:rsid w:val="00931F95"/>
    <w:rsid w:val="00932484"/>
    <w:rsid w:val="00934169"/>
    <w:rsid w:val="009341AB"/>
    <w:rsid w:val="0093663C"/>
    <w:rsid w:val="00937804"/>
    <w:rsid w:val="00937FB9"/>
    <w:rsid w:val="00940DEE"/>
    <w:rsid w:val="009410DA"/>
    <w:rsid w:val="009424EC"/>
    <w:rsid w:val="009436A9"/>
    <w:rsid w:val="009450CE"/>
    <w:rsid w:val="00946E0B"/>
    <w:rsid w:val="009470E9"/>
    <w:rsid w:val="009502F8"/>
    <w:rsid w:val="009506E4"/>
    <w:rsid w:val="00950AEE"/>
    <w:rsid w:val="00951662"/>
    <w:rsid w:val="00951A45"/>
    <w:rsid w:val="0095384A"/>
    <w:rsid w:val="009540D3"/>
    <w:rsid w:val="00954971"/>
    <w:rsid w:val="00955074"/>
    <w:rsid w:val="00955954"/>
    <w:rsid w:val="009560A9"/>
    <w:rsid w:val="00956178"/>
    <w:rsid w:val="00957274"/>
    <w:rsid w:val="0096082E"/>
    <w:rsid w:val="00963133"/>
    <w:rsid w:val="00963FE3"/>
    <w:rsid w:val="009651C5"/>
    <w:rsid w:val="0096666A"/>
    <w:rsid w:val="0096676B"/>
    <w:rsid w:val="00970659"/>
    <w:rsid w:val="00970A36"/>
    <w:rsid w:val="00971AAF"/>
    <w:rsid w:val="00971DAC"/>
    <w:rsid w:val="009736EE"/>
    <w:rsid w:val="0097421A"/>
    <w:rsid w:val="00974EFB"/>
    <w:rsid w:val="00977153"/>
    <w:rsid w:val="00980CB3"/>
    <w:rsid w:val="00981305"/>
    <w:rsid w:val="00982174"/>
    <w:rsid w:val="00982189"/>
    <w:rsid w:val="00982E9E"/>
    <w:rsid w:val="00983089"/>
    <w:rsid w:val="0098443C"/>
    <w:rsid w:val="00984E92"/>
    <w:rsid w:val="0098512B"/>
    <w:rsid w:val="00985C61"/>
    <w:rsid w:val="00985E81"/>
    <w:rsid w:val="0098647E"/>
    <w:rsid w:val="0098666D"/>
    <w:rsid w:val="00986739"/>
    <w:rsid w:val="00986FD5"/>
    <w:rsid w:val="0098710F"/>
    <w:rsid w:val="009904F0"/>
    <w:rsid w:val="00990F77"/>
    <w:rsid w:val="00991195"/>
    <w:rsid w:val="009913B0"/>
    <w:rsid w:val="00993000"/>
    <w:rsid w:val="0099493C"/>
    <w:rsid w:val="00994D72"/>
    <w:rsid w:val="0099632B"/>
    <w:rsid w:val="009964D9"/>
    <w:rsid w:val="00997461"/>
    <w:rsid w:val="009A09C0"/>
    <w:rsid w:val="009A1F84"/>
    <w:rsid w:val="009A212A"/>
    <w:rsid w:val="009A2A90"/>
    <w:rsid w:val="009A6738"/>
    <w:rsid w:val="009A76CD"/>
    <w:rsid w:val="009A7D30"/>
    <w:rsid w:val="009B09C2"/>
    <w:rsid w:val="009B0A34"/>
    <w:rsid w:val="009B42B9"/>
    <w:rsid w:val="009B503B"/>
    <w:rsid w:val="009B5CB0"/>
    <w:rsid w:val="009B6144"/>
    <w:rsid w:val="009B6D98"/>
    <w:rsid w:val="009B7A55"/>
    <w:rsid w:val="009C07BA"/>
    <w:rsid w:val="009C294F"/>
    <w:rsid w:val="009C4F77"/>
    <w:rsid w:val="009C5E1C"/>
    <w:rsid w:val="009C6242"/>
    <w:rsid w:val="009C71E9"/>
    <w:rsid w:val="009D01A2"/>
    <w:rsid w:val="009D16BA"/>
    <w:rsid w:val="009D1821"/>
    <w:rsid w:val="009D1D40"/>
    <w:rsid w:val="009D36E9"/>
    <w:rsid w:val="009D5A9F"/>
    <w:rsid w:val="009D626B"/>
    <w:rsid w:val="009D634C"/>
    <w:rsid w:val="009E0257"/>
    <w:rsid w:val="009E0FFA"/>
    <w:rsid w:val="009E1AD6"/>
    <w:rsid w:val="009E2277"/>
    <w:rsid w:val="009E23D7"/>
    <w:rsid w:val="009E3782"/>
    <w:rsid w:val="009E3A8A"/>
    <w:rsid w:val="009E3F94"/>
    <w:rsid w:val="009E3FC5"/>
    <w:rsid w:val="009E4658"/>
    <w:rsid w:val="009E49E6"/>
    <w:rsid w:val="009E4A01"/>
    <w:rsid w:val="009E4A8F"/>
    <w:rsid w:val="009E4B64"/>
    <w:rsid w:val="009E5070"/>
    <w:rsid w:val="009E507E"/>
    <w:rsid w:val="009E588A"/>
    <w:rsid w:val="009E75C0"/>
    <w:rsid w:val="009E7989"/>
    <w:rsid w:val="009F0375"/>
    <w:rsid w:val="009F118C"/>
    <w:rsid w:val="009F1D16"/>
    <w:rsid w:val="009F1FE4"/>
    <w:rsid w:val="009F42CA"/>
    <w:rsid w:val="009F4B93"/>
    <w:rsid w:val="009F5DC5"/>
    <w:rsid w:val="009F64B7"/>
    <w:rsid w:val="009F7718"/>
    <w:rsid w:val="00A00DE1"/>
    <w:rsid w:val="00A0185A"/>
    <w:rsid w:val="00A037B5"/>
    <w:rsid w:val="00A044DB"/>
    <w:rsid w:val="00A04C8C"/>
    <w:rsid w:val="00A055DF"/>
    <w:rsid w:val="00A05C0D"/>
    <w:rsid w:val="00A107C0"/>
    <w:rsid w:val="00A108A5"/>
    <w:rsid w:val="00A11179"/>
    <w:rsid w:val="00A12411"/>
    <w:rsid w:val="00A12FF0"/>
    <w:rsid w:val="00A14CD5"/>
    <w:rsid w:val="00A14F9A"/>
    <w:rsid w:val="00A15332"/>
    <w:rsid w:val="00A154F6"/>
    <w:rsid w:val="00A15759"/>
    <w:rsid w:val="00A16352"/>
    <w:rsid w:val="00A17F11"/>
    <w:rsid w:val="00A23EEC"/>
    <w:rsid w:val="00A260FB"/>
    <w:rsid w:val="00A27B28"/>
    <w:rsid w:val="00A31866"/>
    <w:rsid w:val="00A337B0"/>
    <w:rsid w:val="00A3392D"/>
    <w:rsid w:val="00A352B4"/>
    <w:rsid w:val="00A35581"/>
    <w:rsid w:val="00A35F76"/>
    <w:rsid w:val="00A3612E"/>
    <w:rsid w:val="00A36C5B"/>
    <w:rsid w:val="00A379AD"/>
    <w:rsid w:val="00A37A40"/>
    <w:rsid w:val="00A40773"/>
    <w:rsid w:val="00A40D7D"/>
    <w:rsid w:val="00A42A68"/>
    <w:rsid w:val="00A43A2E"/>
    <w:rsid w:val="00A43E3D"/>
    <w:rsid w:val="00A452C6"/>
    <w:rsid w:val="00A45931"/>
    <w:rsid w:val="00A45C66"/>
    <w:rsid w:val="00A47EFB"/>
    <w:rsid w:val="00A5327E"/>
    <w:rsid w:val="00A53CA5"/>
    <w:rsid w:val="00A557D4"/>
    <w:rsid w:val="00A56957"/>
    <w:rsid w:val="00A56964"/>
    <w:rsid w:val="00A60760"/>
    <w:rsid w:val="00A60A47"/>
    <w:rsid w:val="00A6259D"/>
    <w:rsid w:val="00A62D46"/>
    <w:rsid w:val="00A636DE"/>
    <w:rsid w:val="00A6466F"/>
    <w:rsid w:val="00A6517F"/>
    <w:rsid w:val="00A654F5"/>
    <w:rsid w:val="00A67187"/>
    <w:rsid w:val="00A671D2"/>
    <w:rsid w:val="00A673C1"/>
    <w:rsid w:val="00A67EAD"/>
    <w:rsid w:val="00A713B5"/>
    <w:rsid w:val="00A722C8"/>
    <w:rsid w:val="00A72883"/>
    <w:rsid w:val="00A728A8"/>
    <w:rsid w:val="00A73C8D"/>
    <w:rsid w:val="00A74153"/>
    <w:rsid w:val="00A743A1"/>
    <w:rsid w:val="00A74929"/>
    <w:rsid w:val="00A75212"/>
    <w:rsid w:val="00A756B3"/>
    <w:rsid w:val="00A75FD0"/>
    <w:rsid w:val="00A764D5"/>
    <w:rsid w:val="00A808DE"/>
    <w:rsid w:val="00A8101A"/>
    <w:rsid w:val="00A813C0"/>
    <w:rsid w:val="00A818F1"/>
    <w:rsid w:val="00A84C2D"/>
    <w:rsid w:val="00A853BD"/>
    <w:rsid w:val="00A856C8"/>
    <w:rsid w:val="00A85958"/>
    <w:rsid w:val="00A85E42"/>
    <w:rsid w:val="00A862A8"/>
    <w:rsid w:val="00A8688C"/>
    <w:rsid w:val="00A90CBA"/>
    <w:rsid w:val="00A93162"/>
    <w:rsid w:val="00A9375D"/>
    <w:rsid w:val="00A944C0"/>
    <w:rsid w:val="00A94E87"/>
    <w:rsid w:val="00A96B99"/>
    <w:rsid w:val="00A970D4"/>
    <w:rsid w:val="00AA1EA4"/>
    <w:rsid w:val="00AA33E9"/>
    <w:rsid w:val="00AA3F61"/>
    <w:rsid w:val="00AA4262"/>
    <w:rsid w:val="00AA5264"/>
    <w:rsid w:val="00AA7C3A"/>
    <w:rsid w:val="00AB0AA0"/>
    <w:rsid w:val="00AB187A"/>
    <w:rsid w:val="00AB2A7C"/>
    <w:rsid w:val="00AB3C5F"/>
    <w:rsid w:val="00AB3CB9"/>
    <w:rsid w:val="00AB40D9"/>
    <w:rsid w:val="00AB43CD"/>
    <w:rsid w:val="00AB4E01"/>
    <w:rsid w:val="00AB58B7"/>
    <w:rsid w:val="00AB7925"/>
    <w:rsid w:val="00AB7C1C"/>
    <w:rsid w:val="00AB7E0F"/>
    <w:rsid w:val="00AC0826"/>
    <w:rsid w:val="00AC1987"/>
    <w:rsid w:val="00AC22BB"/>
    <w:rsid w:val="00AC3141"/>
    <w:rsid w:val="00AC6834"/>
    <w:rsid w:val="00AC7FBE"/>
    <w:rsid w:val="00AD1A23"/>
    <w:rsid w:val="00AD2FB0"/>
    <w:rsid w:val="00AD4449"/>
    <w:rsid w:val="00AD4946"/>
    <w:rsid w:val="00AD49AE"/>
    <w:rsid w:val="00AD73F7"/>
    <w:rsid w:val="00AD74B3"/>
    <w:rsid w:val="00AD7F8A"/>
    <w:rsid w:val="00AE2606"/>
    <w:rsid w:val="00AE4647"/>
    <w:rsid w:val="00AE6F2B"/>
    <w:rsid w:val="00AE76B3"/>
    <w:rsid w:val="00AF5BCF"/>
    <w:rsid w:val="00AF5C28"/>
    <w:rsid w:val="00AF5DD0"/>
    <w:rsid w:val="00AF65F9"/>
    <w:rsid w:val="00AF77B6"/>
    <w:rsid w:val="00B00CE9"/>
    <w:rsid w:val="00B013CC"/>
    <w:rsid w:val="00B01A09"/>
    <w:rsid w:val="00B0204E"/>
    <w:rsid w:val="00B02A78"/>
    <w:rsid w:val="00B03606"/>
    <w:rsid w:val="00B037F5"/>
    <w:rsid w:val="00B068C6"/>
    <w:rsid w:val="00B06CAB"/>
    <w:rsid w:val="00B0719F"/>
    <w:rsid w:val="00B0739E"/>
    <w:rsid w:val="00B10B9C"/>
    <w:rsid w:val="00B10C4C"/>
    <w:rsid w:val="00B1276C"/>
    <w:rsid w:val="00B12C17"/>
    <w:rsid w:val="00B14CCF"/>
    <w:rsid w:val="00B153FE"/>
    <w:rsid w:val="00B16FE6"/>
    <w:rsid w:val="00B17655"/>
    <w:rsid w:val="00B17C78"/>
    <w:rsid w:val="00B204DF"/>
    <w:rsid w:val="00B2085F"/>
    <w:rsid w:val="00B2155E"/>
    <w:rsid w:val="00B219D6"/>
    <w:rsid w:val="00B21FA3"/>
    <w:rsid w:val="00B225A8"/>
    <w:rsid w:val="00B22711"/>
    <w:rsid w:val="00B252C8"/>
    <w:rsid w:val="00B26AF4"/>
    <w:rsid w:val="00B272BA"/>
    <w:rsid w:val="00B273E0"/>
    <w:rsid w:val="00B27AFD"/>
    <w:rsid w:val="00B27B56"/>
    <w:rsid w:val="00B31C1E"/>
    <w:rsid w:val="00B3279D"/>
    <w:rsid w:val="00B34434"/>
    <w:rsid w:val="00B36776"/>
    <w:rsid w:val="00B370A8"/>
    <w:rsid w:val="00B40CA6"/>
    <w:rsid w:val="00B40DDB"/>
    <w:rsid w:val="00B41526"/>
    <w:rsid w:val="00B42AEB"/>
    <w:rsid w:val="00B43A91"/>
    <w:rsid w:val="00B4458C"/>
    <w:rsid w:val="00B4496B"/>
    <w:rsid w:val="00B45ED4"/>
    <w:rsid w:val="00B46136"/>
    <w:rsid w:val="00B479D5"/>
    <w:rsid w:val="00B50404"/>
    <w:rsid w:val="00B5081E"/>
    <w:rsid w:val="00B511B2"/>
    <w:rsid w:val="00B52C11"/>
    <w:rsid w:val="00B547D6"/>
    <w:rsid w:val="00B562C1"/>
    <w:rsid w:val="00B5773D"/>
    <w:rsid w:val="00B647D1"/>
    <w:rsid w:val="00B64B87"/>
    <w:rsid w:val="00B65D0C"/>
    <w:rsid w:val="00B65E18"/>
    <w:rsid w:val="00B66601"/>
    <w:rsid w:val="00B66A78"/>
    <w:rsid w:val="00B72BC0"/>
    <w:rsid w:val="00B742BC"/>
    <w:rsid w:val="00B74AEB"/>
    <w:rsid w:val="00B7687F"/>
    <w:rsid w:val="00B770FF"/>
    <w:rsid w:val="00B77381"/>
    <w:rsid w:val="00B775AF"/>
    <w:rsid w:val="00B77935"/>
    <w:rsid w:val="00B80E0F"/>
    <w:rsid w:val="00B814A9"/>
    <w:rsid w:val="00B82587"/>
    <w:rsid w:val="00B82CC6"/>
    <w:rsid w:val="00B85CC4"/>
    <w:rsid w:val="00B863F8"/>
    <w:rsid w:val="00B86E0F"/>
    <w:rsid w:val="00B9017D"/>
    <w:rsid w:val="00B904A6"/>
    <w:rsid w:val="00B919F3"/>
    <w:rsid w:val="00B924DF"/>
    <w:rsid w:val="00B937A2"/>
    <w:rsid w:val="00B93B6F"/>
    <w:rsid w:val="00B96DC3"/>
    <w:rsid w:val="00BA111F"/>
    <w:rsid w:val="00BA36FF"/>
    <w:rsid w:val="00BA4DE5"/>
    <w:rsid w:val="00BA55D3"/>
    <w:rsid w:val="00BA5C2E"/>
    <w:rsid w:val="00BA78F6"/>
    <w:rsid w:val="00BB1F7D"/>
    <w:rsid w:val="00BB2122"/>
    <w:rsid w:val="00BB799A"/>
    <w:rsid w:val="00BC147A"/>
    <w:rsid w:val="00BC2D1D"/>
    <w:rsid w:val="00BC3A28"/>
    <w:rsid w:val="00BC631B"/>
    <w:rsid w:val="00BC711D"/>
    <w:rsid w:val="00BC7532"/>
    <w:rsid w:val="00BC778A"/>
    <w:rsid w:val="00BC7DA5"/>
    <w:rsid w:val="00BC7DD5"/>
    <w:rsid w:val="00BD0FD0"/>
    <w:rsid w:val="00BD17A3"/>
    <w:rsid w:val="00BD28D3"/>
    <w:rsid w:val="00BD2DE1"/>
    <w:rsid w:val="00BD51C2"/>
    <w:rsid w:val="00BD5772"/>
    <w:rsid w:val="00BD686A"/>
    <w:rsid w:val="00BD68EC"/>
    <w:rsid w:val="00BD748D"/>
    <w:rsid w:val="00BD751C"/>
    <w:rsid w:val="00BD7A97"/>
    <w:rsid w:val="00BD7F8F"/>
    <w:rsid w:val="00BE1304"/>
    <w:rsid w:val="00BE1660"/>
    <w:rsid w:val="00BE1E6B"/>
    <w:rsid w:val="00BE40D2"/>
    <w:rsid w:val="00BE4B13"/>
    <w:rsid w:val="00BE6440"/>
    <w:rsid w:val="00BE6FA5"/>
    <w:rsid w:val="00BF1F43"/>
    <w:rsid w:val="00BF409A"/>
    <w:rsid w:val="00BF40CB"/>
    <w:rsid w:val="00BF422E"/>
    <w:rsid w:val="00BF433D"/>
    <w:rsid w:val="00BF4FF0"/>
    <w:rsid w:val="00C00412"/>
    <w:rsid w:val="00C00EA7"/>
    <w:rsid w:val="00C01FDA"/>
    <w:rsid w:val="00C03613"/>
    <w:rsid w:val="00C03A22"/>
    <w:rsid w:val="00C03E7E"/>
    <w:rsid w:val="00C040E4"/>
    <w:rsid w:val="00C04540"/>
    <w:rsid w:val="00C0757E"/>
    <w:rsid w:val="00C108DE"/>
    <w:rsid w:val="00C10DA7"/>
    <w:rsid w:val="00C12141"/>
    <w:rsid w:val="00C12EC1"/>
    <w:rsid w:val="00C14026"/>
    <w:rsid w:val="00C1461E"/>
    <w:rsid w:val="00C20451"/>
    <w:rsid w:val="00C21836"/>
    <w:rsid w:val="00C21EDA"/>
    <w:rsid w:val="00C22651"/>
    <w:rsid w:val="00C22DD5"/>
    <w:rsid w:val="00C24EA1"/>
    <w:rsid w:val="00C25795"/>
    <w:rsid w:val="00C25C17"/>
    <w:rsid w:val="00C26AC2"/>
    <w:rsid w:val="00C30EA5"/>
    <w:rsid w:val="00C32405"/>
    <w:rsid w:val="00C334D5"/>
    <w:rsid w:val="00C34275"/>
    <w:rsid w:val="00C36BE8"/>
    <w:rsid w:val="00C373FC"/>
    <w:rsid w:val="00C3742C"/>
    <w:rsid w:val="00C42A76"/>
    <w:rsid w:val="00C43BD4"/>
    <w:rsid w:val="00C43DBF"/>
    <w:rsid w:val="00C44628"/>
    <w:rsid w:val="00C46BD5"/>
    <w:rsid w:val="00C4798D"/>
    <w:rsid w:val="00C47F73"/>
    <w:rsid w:val="00C50E7C"/>
    <w:rsid w:val="00C514FD"/>
    <w:rsid w:val="00C52506"/>
    <w:rsid w:val="00C5265F"/>
    <w:rsid w:val="00C536D4"/>
    <w:rsid w:val="00C56189"/>
    <w:rsid w:val="00C56681"/>
    <w:rsid w:val="00C56766"/>
    <w:rsid w:val="00C60AD0"/>
    <w:rsid w:val="00C64E23"/>
    <w:rsid w:val="00C658A2"/>
    <w:rsid w:val="00C65B3D"/>
    <w:rsid w:val="00C70E30"/>
    <w:rsid w:val="00C70F85"/>
    <w:rsid w:val="00C717CE"/>
    <w:rsid w:val="00C719E5"/>
    <w:rsid w:val="00C74168"/>
    <w:rsid w:val="00C74952"/>
    <w:rsid w:val="00C74E9C"/>
    <w:rsid w:val="00C75061"/>
    <w:rsid w:val="00C762BB"/>
    <w:rsid w:val="00C7785C"/>
    <w:rsid w:val="00C81557"/>
    <w:rsid w:val="00C826E9"/>
    <w:rsid w:val="00C8271E"/>
    <w:rsid w:val="00C83805"/>
    <w:rsid w:val="00C84C67"/>
    <w:rsid w:val="00C85198"/>
    <w:rsid w:val="00C85A2C"/>
    <w:rsid w:val="00C86CBC"/>
    <w:rsid w:val="00C8794F"/>
    <w:rsid w:val="00C87A32"/>
    <w:rsid w:val="00C9197B"/>
    <w:rsid w:val="00C91E0E"/>
    <w:rsid w:val="00C920DA"/>
    <w:rsid w:val="00C9228E"/>
    <w:rsid w:val="00C925BE"/>
    <w:rsid w:val="00C926A2"/>
    <w:rsid w:val="00C92E22"/>
    <w:rsid w:val="00C94799"/>
    <w:rsid w:val="00C94948"/>
    <w:rsid w:val="00C96143"/>
    <w:rsid w:val="00CA13E6"/>
    <w:rsid w:val="00CA2984"/>
    <w:rsid w:val="00CA30ED"/>
    <w:rsid w:val="00CB00A9"/>
    <w:rsid w:val="00CB0FFA"/>
    <w:rsid w:val="00CB1699"/>
    <w:rsid w:val="00CB4888"/>
    <w:rsid w:val="00CB525C"/>
    <w:rsid w:val="00CB6803"/>
    <w:rsid w:val="00CB749F"/>
    <w:rsid w:val="00CB763A"/>
    <w:rsid w:val="00CC0B08"/>
    <w:rsid w:val="00CC0B2A"/>
    <w:rsid w:val="00CC206A"/>
    <w:rsid w:val="00CC270C"/>
    <w:rsid w:val="00CC40FA"/>
    <w:rsid w:val="00CC586F"/>
    <w:rsid w:val="00CC7FB6"/>
    <w:rsid w:val="00CD0AE1"/>
    <w:rsid w:val="00CD1092"/>
    <w:rsid w:val="00CD2F20"/>
    <w:rsid w:val="00CD48BB"/>
    <w:rsid w:val="00CD4AE1"/>
    <w:rsid w:val="00CD5A74"/>
    <w:rsid w:val="00CD6599"/>
    <w:rsid w:val="00CD6A6D"/>
    <w:rsid w:val="00CD7ACC"/>
    <w:rsid w:val="00CE0D30"/>
    <w:rsid w:val="00CE1A44"/>
    <w:rsid w:val="00CE1B78"/>
    <w:rsid w:val="00CE1C6D"/>
    <w:rsid w:val="00CE37F2"/>
    <w:rsid w:val="00CE4F78"/>
    <w:rsid w:val="00CE69E7"/>
    <w:rsid w:val="00CF054D"/>
    <w:rsid w:val="00CF0963"/>
    <w:rsid w:val="00CF1501"/>
    <w:rsid w:val="00CF1AC0"/>
    <w:rsid w:val="00CF1D7F"/>
    <w:rsid w:val="00CF3508"/>
    <w:rsid w:val="00CF3EF1"/>
    <w:rsid w:val="00CF543E"/>
    <w:rsid w:val="00CF572E"/>
    <w:rsid w:val="00CF617B"/>
    <w:rsid w:val="00CF620E"/>
    <w:rsid w:val="00CF62B6"/>
    <w:rsid w:val="00CF6551"/>
    <w:rsid w:val="00CF7787"/>
    <w:rsid w:val="00CF7BFD"/>
    <w:rsid w:val="00CF7E15"/>
    <w:rsid w:val="00D0076A"/>
    <w:rsid w:val="00D012BD"/>
    <w:rsid w:val="00D02096"/>
    <w:rsid w:val="00D024F1"/>
    <w:rsid w:val="00D02C0F"/>
    <w:rsid w:val="00D02D2D"/>
    <w:rsid w:val="00D03611"/>
    <w:rsid w:val="00D04273"/>
    <w:rsid w:val="00D04BBB"/>
    <w:rsid w:val="00D05040"/>
    <w:rsid w:val="00D06754"/>
    <w:rsid w:val="00D07A12"/>
    <w:rsid w:val="00D1052F"/>
    <w:rsid w:val="00D12817"/>
    <w:rsid w:val="00D12EBC"/>
    <w:rsid w:val="00D138DB"/>
    <w:rsid w:val="00D14F1F"/>
    <w:rsid w:val="00D16919"/>
    <w:rsid w:val="00D16F5A"/>
    <w:rsid w:val="00D170D9"/>
    <w:rsid w:val="00D170E0"/>
    <w:rsid w:val="00D1787E"/>
    <w:rsid w:val="00D17BB1"/>
    <w:rsid w:val="00D205C1"/>
    <w:rsid w:val="00D210BC"/>
    <w:rsid w:val="00D210FB"/>
    <w:rsid w:val="00D21637"/>
    <w:rsid w:val="00D21917"/>
    <w:rsid w:val="00D21C54"/>
    <w:rsid w:val="00D21DC2"/>
    <w:rsid w:val="00D224F5"/>
    <w:rsid w:val="00D2252A"/>
    <w:rsid w:val="00D22FF3"/>
    <w:rsid w:val="00D23A81"/>
    <w:rsid w:val="00D256E6"/>
    <w:rsid w:val="00D2579D"/>
    <w:rsid w:val="00D260BB"/>
    <w:rsid w:val="00D26EE5"/>
    <w:rsid w:val="00D30535"/>
    <w:rsid w:val="00D30D9B"/>
    <w:rsid w:val="00D30FEE"/>
    <w:rsid w:val="00D31ED6"/>
    <w:rsid w:val="00D32146"/>
    <w:rsid w:val="00D33118"/>
    <w:rsid w:val="00D33AA9"/>
    <w:rsid w:val="00D33FDA"/>
    <w:rsid w:val="00D341A6"/>
    <w:rsid w:val="00D3466F"/>
    <w:rsid w:val="00D3484E"/>
    <w:rsid w:val="00D34B38"/>
    <w:rsid w:val="00D35FA7"/>
    <w:rsid w:val="00D37531"/>
    <w:rsid w:val="00D40978"/>
    <w:rsid w:val="00D40EBD"/>
    <w:rsid w:val="00D421BE"/>
    <w:rsid w:val="00D4275C"/>
    <w:rsid w:val="00D42A08"/>
    <w:rsid w:val="00D43F7D"/>
    <w:rsid w:val="00D43FEC"/>
    <w:rsid w:val="00D44280"/>
    <w:rsid w:val="00D44413"/>
    <w:rsid w:val="00D454FC"/>
    <w:rsid w:val="00D45F67"/>
    <w:rsid w:val="00D469CF"/>
    <w:rsid w:val="00D46B67"/>
    <w:rsid w:val="00D47333"/>
    <w:rsid w:val="00D4769B"/>
    <w:rsid w:val="00D47F90"/>
    <w:rsid w:val="00D50497"/>
    <w:rsid w:val="00D50607"/>
    <w:rsid w:val="00D50726"/>
    <w:rsid w:val="00D50A83"/>
    <w:rsid w:val="00D51C70"/>
    <w:rsid w:val="00D53BFD"/>
    <w:rsid w:val="00D5418F"/>
    <w:rsid w:val="00D54394"/>
    <w:rsid w:val="00D545E6"/>
    <w:rsid w:val="00D55B27"/>
    <w:rsid w:val="00D57232"/>
    <w:rsid w:val="00D57CEB"/>
    <w:rsid w:val="00D6010F"/>
    <w:rsid w:val="00D60BAE"/>
    <w:rsid w:val="00D60EB9"/>
    <w:rsid w:val="00D61CB6"/>
    <w:rsid w:val="00D63572"/>
    <w:rsid w:val="00D63A71"/>
    <w:rsid w:val="00D65A08"/>
    <w:rsid w:val="00D66AA2"/>
    <w:rsid w:val="00D6782A"/>
    <w:rsid w:val="00D67BC3"/>
    <w:rsid w:val="00D71191"/>
    <w:rsid w:val="00D73286"/>
    <w:rsid w:val="00D73587"/>
    <w:rsid w:val="00D7517F"/>
    <w:rsid w:val="00D756E4"/>
    <w:rsid w:val="00D75B35"/>
    <w:rsid w:val="00D76C67"/>
    <w:rsid w:val="00D76FBB"/>
    <w:rsid w:val="00D776E9"/>
    <w:rsid w:val="00D77D45"/>
    <w:rsid w:val="00D80786"/>
    <w:rsid w:val="00D80ADC"/>
    <w:rsid w:val="00D81533"/>
    <w:rsid w:val="00D8246E"/>
    <w:rsid w:val="00D82F4E"/>
    <w:rsid w:val="00D83642"/>
    <w:rsid w:val="00D83985"/>
    <w:rsid w:val="00D85EB7"/>
    <w:rsid w:val="00D86343"/>
    <w:rsid w:val="00D86571"/>
    <w:rsid w:val="00D91219"/>
    <w:rsid w:val="00D92021"/>
    <w:rsid w:val="00D93A07"/>
    <w:rsid w:val="00D95299"/>
    <w:rsid w:val="00D95F7A"/>
    <w:rsid w:val="00D97B16"/>
    <w:rsid w:val="00DA0393"/>
    <w:rsid w:val="00DA0A23"/>
    <w:rsid w:val="00DA0A31"/>
    <w:rsid w:val="00DA1FDA"/>
    <w:rsid w:val="00DA255E"/>
    <w:rsid w:val="00DA2935"/>
    <w:rsid w:val="00DA3A17"/>
    <w:rsid w:val="00DA3B07"/>
    <w:rsid w:val="00DA5E63"/>
    <w:rsid w:val="00DA6CDB"/>
    <w:rsid w:val="00DB0B19"/>
    <w:rsid w:val="00DB1035"/>
    <w:rsid w:val="00DB2812"/>
    <w:rsid w:val="00DB32DC"/>
    <w:rsid w:val="00DB37FF"/>
    <w:rsid w:val="00DB450C"/>
    <w:rsid w:val="00DB6083"/>
    <w:rsid w:val="00DB639F"/>
    <w:rsid w:val="00DB727F"/>
    <w:rsid w:val="00DB79A4"/>
    <w:rsid w:val="00DC0AD8"/>
    <w:rsid w:val="00DC11AF"/>
    <w:rsid w:val="00DC25D0"/>
    <w:rsid w:val="00DC2ECA"/>
    <w:rsid w:val="00DC38F8"/>
    <w:rsid w:val="00DC407E"/>
    <w:rsid w:val="00DC4CC1"/>
    <w:rsid w:val="00DC5503"/>
    <w:rsid w:val="00DC5A2F"/>
    <w:rsid w:val="00DC5D0F"/>
    <w:rsid w:val="00DC66E3"/>
    <w:rsid w:val="00DC6776"/>
    <w:rsid w:val="00DC6CDC"/>
    <w:rsid w:val="00DC6F5D"/>
    <w:rsid w:val="00DD0B08"/>
    <w:rsid w:val="00DD4394"/>
    <w:rsid w:val="00DD480E"/>
    <w:rsid w:val="00DD53A8"/>
    <w:rsid w:val="00DD5805"/>
    <w:rsid w:val="00DD5995"/>
    <w:rsid w:val="00DD657B"/>
    <w:rsid w:val="00DD6D0A"/>
    <w:rsid w:val="00DD7D7F"/>
    <w:rsid w:val="00DE0717"/>
    <w:rsid w:val="00DE0DB9"/>
    <w:rsid w:val="00DE2C13"/>
    <w:rsid w:val="00DE43EC"/>
    <w:rsid w:val="00DE4D3E"/>
    <w:rsid w:val="00DE4F94"/>
    <w:rsid w:val="00DE5144"/>
    <w:rsid w:val="00DE557E"/>
    <w:rsid w:val="00DE6E45"/>
    <w:rsid w:val="00DF04C9"/>
    <w:rsid w:val="00DF09E9"/>
    <w:rsid w:val="00DF0BF4"/>
    <w:rsid w:val="00DF14B5"/>
    <w:rsid w:val="00DF3D42"/>
    <w:rsid w:val="00DF5AC3"/>
    <w:rsid w:val="00DF7378"/>
    <w:rsid w:val="00DF7CAE"/>
    <w:rsid w:val="00E01463"/>
    <w:rsid w:val="00E022B0"/>
    <w:rsid w:val="00E02CCC"/>
    <w:rsid w:val="00E0613C"/>
    <w:rsid w:val="00E07164"/>
    <w:rsid w:val="00E07718"/>
    <w:rsid w:val="00E07C74"/>
    <w:rsid w:val="00E07C7C"/>
    <w:rsid w:val="00E10AFE"/>
    <w:rsid w:val="00E10CB1"/>
    <w:rsid w:val="00E114E8"/>
    <w:rsid w:val="00E12394"/>
    <w:rsid w:val="00E1345A"/>
    <w:rsid w:val="00E14318"/>
    <w:rsid w:val="00E14B66"/>
    <w:rsid w:val="00E16C4A"/>
    <w:rsid w:val="00E1706E"/>
    <w:rsid w:val="00E170BA"/>
    <w:rsid w:val="00E17507"/>
    <w:rsid w:val="00E21C23"/>
    <w:rsid w:val="00E25277"/>
    <w:rsid w:val="00E31105"/>
    <w:rsid w:val="00E32922"/>
    <w:rsid w:val="00E33A74"/>
    <w:rsid w:val="00E341B8"/>
    <w:rsid w:val="00E341F2"/>
    <w:rsid w:val="00E3508C"/>
    <w:rsid w:val="00E35311"/>
    <w:rsid w:val="00E354A2"/>
    <w:rsid w:val="00E3593E"/>
    <w:rsid w:val="00E36F5F"/>
    <w:rsid w:val="00E3758B"/>
    <w:rsid w:val="00E37E27"/>
    <w:rsid w:val="00E402EA"/>
    <w:rsid w:val="00E408CC"/>
    <w:rsid w:val="00E40F44"/>
    <w:rsid w:val="00E41246"/>
    <w:rsid w:val="00E428D4"/>
    <w:rsid w:val="00E4310A"/>
    <w:rsid w:val="00E436B9"/>
    <w:rsid w:val="00E45F86"/>
    <w:rsid w:val="00E503BC"/>
    <w:rsid w:val="00E50C4E"/>
    <w:rsid w:val="00E53DD0"/>
    <w:rsid w:val="00E53EED"/>
    <w:rsid w:val="00E54FB0"/>
    <w:rsid w:val="00E56824"/>
    <w:rsid w:val="00E572D8"/>
    <w:rsid w:val="00E6107A"/>
    <w:rsid w:val="00E61D9F"/>
    <w:rsid w:val="00E61ECC"/>
    <w:rsid w:val="00E62D2B"/>
    <w:rsid w:val="00E63510"/>
    <w:rsid w:val="00E636BB"/>
    <w:rsid w:val="00E64B95"/>
    <w:rsid w:val="00E65C87"/>
    <w:rsid w:val="00E661FA"/>
    <w:rsid w:val="00E66BCD"/>
    <w:rsid w:val="00E66FF2"/>
    <w:rsid w:val="00E71BD0"/>
    <w:rsid w:val="00E72BB2"/>
    <w:rsid w:val="00E7324C"/>
    <w:rsid w:val="00E74523"/>
    <w:rsid w:val="00E770A8"/>
    <w:rsid w:val="00E81953"/>
    <w:rsid w:val="00E819D7"/>
    <w:rsid w:val="00E82BD5"/>
    <w:rsid w:val="00E83965"/>
    <w:rsid w:val="00E8749E"/>
    <w:rsid w:val="00E877C1"/>
    <w:rsid w:val="00E879A0"/>
    <w:rsid w:val="00E93366"/>
    <w:rsid w:val="00E93897"/>
    <w:rsid w:val="00E93D9E"/>
    <w:rsid w:val="00E95BD0"/>
    <w:rsid w:val="00E962E3"/>
    <w:rsid w:val="00E9730F"/>
    <w:rsid w:val="00E9789C"/>
    <w:rsid w:val="00E97C5D"/>
    <w:rsid w:val="00EA06CE"/>
    <w:rsid w:val="00EA089C"/>
    <w:rsid w:val="00EA1481"/>
    <w:rsid w:val="00EA275A"/>
    <w:rsid w:val="00EA27EA"/>
    <w:rsid w:val="00EA2CE5"/>
    <w:rsid w:val="00EA2EAB"/>
    <w:rsid w:val="00EA3556"/>
    <w:rsid w:val="00EA3878"/>
    <w:rsid w:val="00EA3AE7"/>
    <w:rsid w:val="00EA48D0"/>
    <w:rsid w:val="00EA610B"/>
    <w:rsid w:val="00EA6FD5"/>
    <w:rsid w:val="00EB0609"/>
    <w:rsid w:val="00EB15D4"/>
    <w:rsid w:val="00EB1961"/>
    <w:rsid w:val="00EB243D"/>
    <w:rsid w:val="00EB5EA8"/>
    <w:rsid w:val="00EB5FDE"/>
    <w:rsid w:val="00EB63F9"/>
    <w:rsid w:val="00EB6ABF"/>
    <w:rsid w:val="00EB78A9"/>
    <w:rsid w:val="00EC0572"/>
    <w:rsid w:val="00EC102A"/>
    <w:rsid w:val="00EC155B"/>
    <w:rsid w:val="00EC5D79"/>
    <w:rsid w:val="00EC5F86"/>
    <w:rsid w:val="00EC5FE7"/>
    <w:rsid w:val="00EC6325"/>
    <w:rsid w:val="00EC6AB8"/>
    <w:rsid w:val="00EC7537"/>
    <w:rsid w:val="00EC7E53"/>
    <w:rsid w:val="00EC7F7E"/>
    <w:rsid w:val="00ED0AE2"/>
    <w:rsid w:val="00ED1A2C"/>
    <w:rsid w:val="00ED1D6D"/>
    <w:rsid w:val="00ED243A"/>
    <w:rsid w:val="00ED26DF"/>
    <w:rsid w:val="00ED26E8"/>
    <w:rsid w:val="00ED3927"/>
    <w:rsid w:val="00ED6BCA"/>
    <w:rsid w:val="00ED6ED6"/>
    <w:rsid w:val="00ED727F"/>
    <w:rsid w:val="00EE009E"/>
    <w:rsid w:val="00EE1114"/>
    <w:rsid w:val="00EE1593"/>
    <w:rsid w:val="00EE19B9"/>
    <w:rsid w:val="00EE28BF"/>
    <w:rsid w:val="00EE3B28"/>
    <w:rsid w:val="00EE46BD"/>
    <w:rsid w:val="00EE7971"/>
    <w:rsid w:val="00EF05AA"/>
    <w:rsid w:val="00EF1F73"/>
    <w:rsid w:val="00EF20D6"/>
    <w:rsid w:val="00EF2E41"/>
    <w:rsid w:val="00EF33A6"/>
    <w:rsid w:val="00EF3EF3"/>
    <w:rsid w:val="00EF43B8"/>
    <w:rsid w:val="00EF62F4"/>
    <w:rsid w:val="00EF632E"/>
    <w:rsid w:val="00EF63C9"/>
    <w:rsid w:val="00EF6E4F"/>
    <w:rsid w:val="00EF7AB0"/>
    <w:rsid w:val="00F003C5"/>
    <w:rsid w:val="00F0049D"/>
    <w:rsid w:val="00F01904"/>
    <w:rsid w:val="00F03BC1"/>
    <w:rsid w:val="00F03D44"/>
    <w:rsid w:val="00F043A0"/>
    <w:rsid w:val="00F058BA"/>
    <w:rsid w:val="00F071AA"/>
    <w:rsid w:val="00F07B7E"/>
    <w:rsid w:val="00F10AF9"/>
    <w:rsid w:val="00F127FB"/>
    <w:rsid w:val="00F131DD"/>
    <w:rsid w:val="00F140A2"/>
    <w:rsid w:val="00F14A88"/>
    <w:rsid w:val="00F15150"/>
    <w:rsid w:val="00F153BD"/>
    <w:rsid w:val="00F16767"/>
    <w:rsid w:val="00F21145"/>
    <w:rsid w:val="00F220A5"/>
    <w:rsid w:val="00F22E5E"/>
    <w:rsid w:val="00F23243"/>
    <w:rsid w:val="00F268F1"/>
    <w:rsid w:val="00F2736A"/>
    <w:rsid w:val="00F3047A"/>
    <w:rsid w:val="00F349F8"/>
    <w:rsid w:val="00F40726"/>
    <w:rsid w:val="00F40A51"/>
    <w:rsid w:val="00F415BC"/>
    <w:rsid w:val="00F4219B"/>
    <w:rsid w:val="00F463F6"/>
    <w:rsid w:val="00F46C02"/>
    <w:rsid w:val="00F47327"/>
    <w:rsid w:val="00F47E33"/>
    <w:rsid w:val="00F50E90"/>
    <w:rsid w:val="00F515DC"/>
    <w:rsid w:val="00F52082"/>
    <w:rsid w:val="00F52149"/>
    <w:rsid w:val="00F5258B"/>
    <w:rsid w:val="00F52645"/>
    <w:rsid w:val="00F54136"/>
    <w:rsid w:val="00F54ADB"/>
    <w:rsid w:val="00F54D36"/>
    <w:rsid w:val="00F5523A"/>
    <w:rsid w:val="00F554F1"/>
    <w:rsid w:val="00F56C69"/>
    <w:rsid w:val="00F56FF7"/>
    <w:rsid w:val="00F57385"/>
    <w:rsid w:val="00F57B67"/>
    <w:rsid w:val="00F61754"/>
    <w:rsid w:val="00F6447D"/>
    <w:rsid w:val="00F672EA"/>
    <w:rsid w:val="00F678AE"/>
    <w:rsid w:val="00F708AB"/>
    <w:rsid w:val="00F7251F"/>
    <w:rsid w:val="00F72CB9"/>
    <w:rsid w:val="00F74284"/>
    <w:rsid w:val="00F75AEA"/>
    <w:rsid w:val="00F763A6"/>
    <w:rsid w:val="00F7744D"/>
    <w:rsid w:val="00F8035B"/>
    <w:rsid w:val="00F8222C"/>
    <w:rsid w:val="00F83D8D"/>
    <w:rsid w:val="00F83F8B"/>
    <w:rsid w:val="00F84A04"/>
    <w:rsid w:val="00F85684"/>
    <w:rsid w:val="00F90BFA"/>
    <w:rsid w:val="00F91503"/>
    <w:rsid w:val="00F9238D"/>
    <w:rsid w:val="00F92880"/>
    <w:rsid w:val="00F92B40"/>
    <w:rsid w:val="00F945A2"/>
    <w:rsid w:val="00F947B9"/>
    <w:rsid w:val="00F94C52"/>
    <w:rsid w:val="00F963AB"/>
    <w:rsid w:val="00F96C65"/>
    <w:rsid w:val="00F96CB8"/>
    <w:rsid w:val="00FA0742"/>
    <w:rsid w:val="00FA0A59"/>
    <w:rsid w:val="00FA0F2E"/>
    <w:rsid w:val="00FA166D"/>
    <w:rsid w:val="00FA1CF4"/>
    <w:rsid w:val="00FA2ABD"/>
    <w:rsid w:val="00FA2CCB"/>
    <w:rsid w:val="00FA30CF"/>
    <w:rsid w:val="00FA4279"/>
    <w:rsid w:val="00FA42A5"/>
    <w:rsid w:val="00FA4583"/>
    <w:rsid w:val="00FA4BA0"/>
    <w:rsid w:val="00FA4D0B"/>
    <w:rsid w:val="00FA732E"/>
    <w:rsid w:val="00FA7DAE"/>
    <w:rsid w:val="00FB0510"/>
    <w:rsid w:val="00FB0815"/>
    <w:rsid w:val="00FB0F0F"/>
    <w:rsid w:val="00FB1F54"/>
    <w:rsid w:val="00FB419A"/>
    <w:rsid w:val="00FB4B6D"/>
    <w:rsid w:val="00FB653D"/>
    <w:rsid w:val="00FB6680"/>
    <w:rsid w:val="00FB6CD6"/>
    <w:rsid w:val="00FB6D07"/>
    <w:rsid w:val="00FB7D73"/>
    <w:rsid w:val="00FC1301"/>
    <w:rsid w:val="00FC160E"/>
    <w:rsid w:val="00FC2839"/>
    <w:rsid w:val="00FC34D6"/>
    <w:rsid w:val="00FC43EA"/>
    <w:rsid w:val="00FC5C02"/>
    <w:rsid w:val="00FC6C20"/>
    <w:rsid w:val="00FC6E46"/>
    <w:rsid w:val="00FC733F"/>
    <w:rsid w:val="00FC77E1"/>
    <w:rsid w:val="00FD0271"/>
    <w:rsid w:val="00FD0427"/>
    <w:rsid w:val="00FD05BC"/>
    <w:rsid w:val="00FD0CD7"/>
    <w:rsid w:val="00FD3086"/>
    <w:rsid w:val="00FD3A01"/>
    <w:rsid w:val="00FD3DCC"/>
    <w:rsid w:val="00FD4513"/>
    <w:rsid w:val="00FD456B"/>
    <w:rsid w:val="00FD6632"/>
    <w:rsid w:val="00FD6D10"/>
    <w:rsid w:val="00FD76B2"/>
    <w:rsid w:val="00FD7F9F"/>
    <w:rsid w:val="00FE0ECC"/>
    <w:rsid w:val="00FE1479"/>
    <w:rsid w:val="00FE223A"/>
    <w:rsid w:val="00FE3A2B"/>
    <w:rsid w:val="00FE3F8E"/>
    <w:rsid w:val="00FE601A"/>
    <w:rsid w:val="00FE67DA"/>
    <w:rsid w:val="00FE7624"/>
    <w:rsid w:val="00FF1E77"/>
    <w:rsid w:val="00FF1ED8"/>
    <w:rsid w:val="00FF3DD9"/>
    <w:rsid w:val="00FF4141"/>
    <w:rsid w:val="00FF6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83A16E-1FDC-4BB8-A3F2-9C0DF116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E3"/>
    <w:pPr>
      <w:spacing w:after="288"/>
    </w:pPr>
  </w:style>
  <w:style w:type="paragraph" w:styleId="Heading1">
    <w:name w:val="heading 1"/>
    <w:basedOn w:val="Normal"/>
    <w:next w:val="Normal"/>
    <w:link w:val="Heading1Char"/>
    <w:uiPriority w:val="9"/>
    <w:qFormat/>
    <w:rsid w:val="006242E5"/>
    <w:pPr>
      <w:pageBreakBefore/>
      <w:numPr>
        <w:numId w:val="7"/>
      </w:numPr>
      <w:pBdr>
        <w:bottom w:val="single" w:sz="8" w:space="1" w:color="000080"/>
      </w:pBdr>
      <w:spacing w:after="576"/>
      <w:ind w:left="357" w:hanging="357"/>
      <w:jc w:val="right"/>
      <w:outlineLvl w:val="0"/>
    </w:pPr>
    <w:rPr>
      <w:rFonts w:cstheme="minorHAnsi"/>
      <w:b/>
      <w:color w:val="000080"/>
      <w:sz w:val="40"/>
      <w:szCs w:val="40"/>
    </w:rPr>
  </w:style>
  <w:style w:type="paragraph" w:styleId="Heading2">
    <w:name w:val="heading 2"/>
    <w:basedOn w:val="Normal"/>
    <w:next w:val="Normal"/>
    <w:link w:val="Heading2Char"/>
    <w:qFormat/>
    <w:rsid w:val="00093B83"/>
    <w:pPr>
      <w:keepNext/>
      <w:outlineLvl w:val="1"/>
    </w:pPr>
    <w:rPr>
      <w:rFonts w:cstheme="minorHAnsi"/>
      <w:b/>
      <w:color w:val="000080"/>
      <w:sz w:val="28"/>
    </w:rPr>
  </w:style>
  <w:style w:type="paragraph" w:styleId="Heading3">
    <w:name w:val="heading 3"/>
    <w:basedOn w:val="Normal"/>
    <w:next w:val="Normal"/>
    <w:qFormat/>
    <w:rsid w:val="00093B83"/>
    <w:pPr>
      <w:keepNext/>
      <w:outlineLvl w:val="2"/>
    </w:pPr>
    <w:rPr>
      <w:rFonts w:cstheme="minorHAnsi"/>
      <w:b/>
      <w:color w:val="000080"/>
    </w:rPr>
  </w:style>
  <w:style w:type="paragraph" w:styleId="Heading4">
    <w:name w:val="heading 4"/>
    <w:basedOn w:val="Normal"/>
    <w:next w:val="Normal"/>
    <w:qFormat/>
    <w:rsid w:val="00093B83"/>
    <w:pPr>
      <w:keepNext/>
      <w:outlineLvl w:val="3"/>
    </w:pPr>
    <w:rPr>
      <w:bCs/>
      <w:i/>
      <w:color w:val="000080"/>
      <w:szCs w:val="28"/>
    </w:rPr>
  </w:style>
  <w:style w:type="paragraph" w:styleId="Heading5">
    <w:name w:val="heading 5"/>
    <w:basedOn w:val="Normal"/>
    <w:next w:val="Normal"/>
    <w:link w:val="Heading5Char"/>
    <w:unhideWhenUsed/>
    <w:qFormat/>
    <w:rsid w:val="00A12411"/>
    <w:pPr>
      <w:keepNext/>
      <w:keepLines/>
      <w:spacing w:after="0"/>
      <w:outlineLvl w:val="4"/>
    </w:pPr>
    <w:rPr>
      <w:rFonts w:eastAsiaTheme="majorEastAsia" w:cstheme="majorBidi"/>
      <w:i/>
      <w:color w:val="000080"/>
    </w:rPr>
  </w:style>
  <w:style w:type="paragraph" w:styleId="Heading6">
    <w:name w:val="heading 6"/>
    <w:basedOn w:val="AppendixHeadingA1"/>
    <w:next w:val="Normal"/>
    <w:link w:val="Heading6Char"/>
    <w:unhideWhenUsed/>
    <w:qFormat/>
    <w:rsid w:val="00275E67"/>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E5"/>
    <w:rPr>
      <w:rFonts w:cstheme="minorHAnsi"/>
      <w:b/>
      <w:color w:val="000080"/>
      <w:sz w:val="40"/>
      <w:szCs w:val="40"/>
    </w:rPr>
  </w:style>
  <w:style w:type="character" w:customStyle="1" w:styleId="Heading2Char">
    <w:name w:val="Heading 2 Char"/>
    <w:basedOn w:val="DefaultParagraphFont"/>
    <w:link w:val="Heading2"/>
    <w:rsid w:val="00093B83"/>
    <w:rPr>
      <w:rFonts w:cstheme="minorHAnsi"/>
      <w:b/>
      <w:color w:val="000080"/>
      <w:sz w:val="28"/>
    </w:rPr>
  </w:style>
  <w:style w:type="character" w:customStyle="1" w:styleId="Heading6Char">
    <w:name w:val="Heading 6 Char"/>
    <w:basedOn w:val="DefaultParagraphFont"/>
    <w:link w:val="Heading6"/>
    <w:rsid w:val="00275E67"/>
    <w:rPr>
      <w:rFonts w:cstheme="minorHAnsi"/>
      <w:b/>
      <w:color w:val="000080"/>
      <w:sz w:val="40"/>
      <w:szCs w:val="40"/>
    </w:rPr>
  </w:style>
  <w:style w:type="paragraph" w:styleId="Footer">
    <w:name w:val="footer"/>
    <w:basedOn w:val="Normal"/>
    <w:link w:val="FooterChar"/>
    <w:uiPriority w:val="99"/>
    <w:rsid w:val="00B742BC"/>
    <w:pPr>
      <w:tabs>
        <w:tab w:val="center" w:pos="4153"/>
        <w:tab w:val="right" w:pos="9027"/>
      </w:tabs>
      <w:spacing w:after="0"/>
      <w:jc w:val="left"/>
    </w:pPr>
    <w:rPr>
      <w:b/>
      <w:color w:val="C0504D"/>
      <w:sz w:val="20"/>
      <w:szCs w:val="20"/>
      <w:lang w:val="en-US"/>
    </w:rPr>
  </w:style>
  <w:style w:type="character" w:customStyle="1" w:styleId="FooterChar">
    <w:name w:val="Footer Char"/>
    <w:basedOn w:val="DefaultParagraphFont"/>
    <w:link w:val="Footer"/>
    <w:uiPriority w:val="99"/>
    <w:rsid w:val="00B742BC"/>
    <w:rPr>
      <w:b/>
      <w:color w:val="C0504D"/>
      <w:sz w:val="20"/>
      <w:szCs w:val="20"/>
      <w:lang w:val="en-US"/>
    </w:rPr>
  </w:style>
  <w:style w:type="character" w:styleId="Hyperlink">
    <w:name w:val="Hyperlink"/>
    <w:basedOn w:val="DefaultParagraphFont"/>
    <w:uiPriority w:val="99"/>
    <w:rsid w:val="00CE69E7"/>
    <w:rPr>
      <w:color w:val="0000FF"/>
      <w:u w:val="single"/>
    </w:rPr>
  </w:style>
  <w:style w:type="table" w:styleId="TableGrid">
    <w:name w:val="Table Grid"/>
    <w:aliases w:val="CIRES table"/>
    <w:basedOn w:val="TableNormal"/>
    <w:uiPriority w:val="59"/>
    <w:rsid w:val="00EC155B"/>
    <w:rPr>
      <w:sz w:val="22"/>
    </w:rPr>
    <w:tblPr>
      <w:tblBorders>
        <w:top w:val="single" w:sz="4" w:space="0" w:color="auto"/>
        <w:bottom w:val="single" w:sz="4" w:space="0" w:color="auto"/>
        <w:insideH w:val="single" w:sz="4" w:space="0" w:color="auto"/>
        <w:insideV w:val="single" w:sz="4" w:space="0" w:color="auto"/>
      </w:tblBorders>
    </w:tblPr>
    <w:tcPr>
      <w:vAlign w:val="center"/>
    </w:tcPr>
    <w:tblStylePr w:type="firstRow">
      <w:pPr>
        <w:wordWrap/>
        <w:jc w:val="left"/>
      </w:pPr>
      <w:rPr>
        <w:rFonts w:ascii="Calibri" w:hAnsi="Calibri"/>
        <w:b w:val="0"/>
        <w:sz w:val="22"/>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styleId="LightShading-Accent2">
    <w:name w:val="Light Shading Accent 2"/>
    <w:basedOn w:val="TableNormal"/>
    <w:uiPriority w:val="60"/>
    <w:rsid w:val="00D42A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otpoints">
    <w:name w:val="Dot points"/>
    <w:basedOn w:val="Normal"/>
    <w:link w:val="DotpointsChar"/>
    <w:uiPriority w:val="2"/>
    <w:qFormat/>
    <w:rsid w:val="0038036B"/>
    <w:pPr>
      <w:numPr>
        <w:numId w:val="23"/>
      </w:numPr>
      <w:contextualSpacing/>
    </w:pPr>
    <w:rPr>
      <w:rFonts w:asciiTheme="minorHAnsi" w:hAnsiTheme="minorHAnsi" w:cs="Meta-Normal"/>
      <w:szCs w:val="32"/>
    </w:rPr>
  </w:style>
  <w:style w:type="character" w:customStyle="1" w:styleId="DotpointsChar">
    <w:name w:val="Dot points Char"/>
    <w:basedOn w:val="DefaultParagraphFont"/>
    <w:link w:val="Dotpoints"/>
    <w:uiPriority w:val="2"/>
    <w:rsid w:val="00C03A22"/>
    <w:rPr>
      <w:rFonts w:asciiTheme="minorHAnsi" w:hAnsiTheme="minorHAnsi" w:cs="Meta-Normal"/>
      <w:szCs w:val="32"/>
    </w:rPr>
  </w:style>
  <w:style w:type="paragraph" w:customStyle="1" w:styleId="Reference">
    <w:name w:val="Reference"/>
    <w:basedOn w:val="Normal"/>
    <w:uiPriority w:val="3"/>
    <w:qFormat/>
    <w:rsid w:val="00CD5A74"/>
    <w:pPr>
      <w:ind w:left="851" w:hanging="851"/>
      <w:contextualSpacing/>
    </w:pPr>
    <w:rPr>
      <w:noProof/>
    </w:rPr>
  </w:style>
  <w:style w:type="character" w:customStyle="1" w:styleId="TOC1Char">
    <w:name w:val="TOC 1 Char"/>
    <w:basedOn w:val="DefaultParagraphFont"/>
    <w:link w:val="TOC1"/>
    <w:uiPriority w:val="39"/>
    <w:rsid w:val="009E3A8A"/>
    <w:rPr>
      <w:b/>
      <w:noProof/>
    </w:rPr>
  </w:style>
  <w:style w:type="paragraph" w:styleId="TOC1">
    <w:name w:val="toc 1"/>
    <w:basedOn w:val="Normal"/>
    <w:next w:val="Normal"/>
    <w:link w:val="TOC1Char"/>
    <w:autoRedefine/>
    <w:uiPriority w:val="39"/>
    <w:unhideWhenUsed/>
    <w:rsid w:val="009E3A8A"/>
    <w:pPr>
      <w:tabs>
        <w:tab w:val="left" w:pos="440"/>
        <w:tab w:val="right" w:leader="dot" w:pos="9017"/>
      </w:tabs>
      <w:spacing w:after="100"/>
    </w:pPr>
    <w:rPr>
      <w:b/>
      <w:noProof/>
    </w:rPr>
  </w:style>
  <w:style w:type="character" w:styleId="PageNumber">
    <w:name w:val="page number"/>
    <w:uiPriority w:val="3"/>
    <w:rsid w:val="00D34B38"/>
  </w:style>
  <w:style w:type="character" w:styleId="FollowedHyperlink">
    <w:name w:val="FollowedHyperlink"/>
    <w:basedOn w:val="DefaultParagraphFont"/>
    <w:rsid w:val="00B10C4C"/>
    <w:rPr>
      <w:color w:val="606420"/>
      <w:u w:val="single"/>
    </w:rPr>
  </w:style>
  <w:style w:type="paragraph" w:styleId="FootnoteText">
    <w:name w:val="footnote text"/>
    <w:basedOn w:val="Normal"/>
    <w:link w:val="FootnoteTextChar"/>
    <w:uiPriority w:val="3"/>
    <w:qFormat/>
    <w:rsid w:val="004A1CC8"/>
    <w:rPr>
      <w:sz w:val="20"/>
      <w:szCs w:val="20"/>
    </w:rPr>
  </w:style>
  <w:style w:type="character" w:customStyle="1" w:styleId="FootnoteTextChar">
    <w:name w:val="Footnote Text Char"/>
    <w:basedOn w:val="DefaultParagraphFont"/>
    <w:link w:val="FootnoteText"/>
    <w:uiPriority w:val="3"/>
    <w:rsid w:val="000478EF"/>
    <w:rPr>
      <w:sz w:val="20"/>
      <w:szCs w:val="20"/>
    </w:rPr>
  </w:style>
  <w:style w:type="character" w:styleId="FootnoteReference">
    <w:name w:val="footnote reference"/>
    <w:basedOn w:val="DefaultParagraphFont"/>
    <w:uiPriority w:val="99"/>
    <w:semiHidden/>
    <w:rsid w:val="004A1CC8"/>
    <w:rPr>
      <w:vertAlign w:val="superscript"/>
    </w:rPr>
  </w:style>
  <w:style w:type="character" w:styleId="CommentReference">
    <w:name w:val="annotation reference"/>
    <w:basedOn w:val="DefaultParagraphFont"/>
    <w:semiHidden/>
    <w:rsid w:val="00F72CB9"/>
    <w:rPr>
      <w:sz w:val="16"/>
      <w:szCs w:val="16"/>
    </w:rPr>
  </w:style>
  <w:style w:type="paragraph" w:styleId="CommentText">
    <w:name w:val="annotation text"/>
    <w:basedOn w:val="Normal"/>
    <w:semiHidden/>
    <w:rsid w:val="00F72CB9"/>
    <w:rPr>
      <w:sz w:val="20"/>
      <w:szCs w:val="20"/>
    </w:rPr>
  </w:style>
  <w:style w:type="paragraph" w:styleId="CommentSubject">
    <w:name w:val="annotation subject"/>
    <w:basedOn w:val="CommentText"/>
    <w:next w:val="CommentText"/>
    <w:semiHidden/>
    <w:rsid w:val="00F72CB9"/>
    <w:rPr>
      <w:b/>
      <w:bCs/>
    </w:rPr>
  </w:style>
  <w:style w:type="paragraph" w:styleId="BalloonText">
    <w:name w:val="Balloon Text"/>
    <w:basedOn w:val="Normal"/>
    <w:semiHidden/>
    <w:rsid w:val="00F72CB9"/>
    <w:rPr>
      <w:rFonts w:ascii="Tahoma" w:hAnsi="Tahoma"/>
      <w:sz w:val="16"/>
      <w:szCs w:val="16"/>
    </w:rPr>
  </w:style>
  <w:style w:type="paragraph" w:customStyle="1" w:styleId="Tablegriddotpoints">
    <w:name w:val="Table grid dot points"/>
    <w:basedOn w:val="Normal"/>
    <w:link w:val="TablegriddotpointsChar"/>
    <w:uiPriority w:val="4"/>
    <w:qFormat/>
    <w:rsid w:val="004E45F6"/>
    <w:pPr>
      <w:numPr>
        <w:numId w:val="4"/>
      </w:numPr>
      <w:spacing w:after="0"/>
    </w:pPr>
    <w:rPr>
      <w:sz w:val="22"/>
    </w:rPr>
  </w:style>
  <w:style w:type="paragraph" w:customStyle="1" w:styleId="FrontPagesub-heading">
    <w:name w:val="Front Page sub-heading"/>
    <w:basedOn w:val="Normal"/>
    <w:next w:val="Normal"/>
    <w:link w:val="FrontPagesub-headingChar"/>
    <w:uiPriority w:val="1"/>
    <w:rsid w:val="00B742BC"/>
    <w:pPr>
      <w:spacing w:after="0"/>
      <w:jc w:val="right"/>
    </w:pPr>
    <w:rPr>
      <w:color w:val="EEECE1" w:themeColor="background2"/>
      <w:sz w:val="44"/>
    </w:rPr>
  </w:style>
  <w:style w:type="paragraph" w:styleId="TableofFigures">
    <w:name w:val="table of figures"/>
    <w:basedOn w:val="Normal"/>
    <w:next w:val="Normal"/>
    <w:uiPriority w:val="99"/>
    <w:unhideWhenUsed/>
    <w:rsid w:val="00CE69E7"/>
    <w:pPr>
      <w:tabs>
        <w:tab w:val="right" w:leader="dot" w:pos="9015"/>
      </w:tabs>
      <w:spacing w:after="0"/>
      <w:ind w:left="1440" w:right="567" w:hanging="1440"/>
    </w:pPr>
    <w:rPr>
      <w:noProof/>
    </w:rPr>
  </w:style>
  <w:style w:type="table" w:styleId="LightShading-Accent1">
    <w:name w:val="Light Shading Accent 1"/>
    <w:basedOn w:val="TableNormal"/>
    <w:uiPriority w:val="60"/>
    <w:rsid w:val="000D5998"/>
    <w:rPr>
      <w:rFonts w:asciiTheme="minorHAnsi" w:eastAsiaTheme="minorEastAsia" w:hAnsiTheme="minorHAnsi" w:cstheme="minorBidi"/>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0D59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915CF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NoSpacing">
    <w:name w:val="No Spacing"/>
    <w:link w:val="NoSpacingChar"/>
    <w:qFormat/>
    <w:rsid w:val="00176F02"/>
    <w:rPr>
      <w:rFonts w:asciiTheme="minorHAnsi" w:eastAsiaTheme="minorEastAsia" w:hAnsiTheme="minorHAnsi" w:cstheme="minorBidi"/>
      <w:lang w:val="en-US"/>
    </w:rPr>
  </w:style>
  <w:style w:type="character" w:customStyle="1" w:styleId="NoSpacingChar">
    <w:name w:val="No Spacing Char"/>
    <w:basedOn w:val="DefaultParagraphFont"/>
    <w:link w:val="NoSpacing"/>
    <w:rsid w:val="00847565"/>
    <w:rPr>
      <w:rFonts w:asciiTheme="minorHAnsi" w:eastAsiaTheme="minorEastAsia" w:hAnsiTheme="minorHAnsi" w:cstheme="minorBidi"/>
      <w:lang w:val="en-US"/>
    </w:rPr>
  </w:style>
  <w:style w:type="table" w:styleId="ColorfulList-Accent1">
    <w:name w:val="Colorful List Accent 1"/>
    <w:basedOn w:val="TableNormal"/>
    <w:uiPriority w:val="72"/>
    <w:rsid w:val="00914AF1"/>
    <w:rPr>
      <w:rFonts w:eastAsiaTheme="minorHAnsi"/>
      <w:color w:val="000000" w:themeColor="text1"/>
      <w:lang w:val="en-US"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Caption">
    <w:name w:val="caption"/>
    <w:basedOn w:val="Normal"/>
    <w:next w:val="Normal"/>
    <w:uiPriority w:val="3"/>
    <w:qFormat/>
    <w:rsid w:val="00897CCE"/>
    <w:pPr>
      <w:tabs>
        <w:tab w:val="left" w:pos="1440"/>
      </w:tabs>
      <w:ind w:left="1440" w:hanging="1440"/>
    </w:pPr>
    <w:rPr>
      <w:b/>
      <w:color w:val="000080"/>
    </w:rPr>
  </w:style>
  <w:style w:type="paragraph" w:customStyle="1" w:styleId="Tablegridheading">
    <w:name w:val="Table grid heading"/>
    <w:basedOn w:val="Normal"/>
    <w:link w:val="TablegridheadingChar"/>
    <w:uiPriority w:val="4"/>
    <w:qFormat/>
    <w:rsid w:val="00027AEA"/>
    <w:pPr>
      <w:spacing w:before="60" w:after="60"/>
      <w:jc w:val="left"/>
    </w:pPr>
    <w:rPr>
      <w:b/>
      <w:bCs/>
      <w:sz w:val="22"/>
      <w:szCs w:val="20"/>
    </w:rPr>
  </w:style>
  <w:style w:type="table" w:styleId="ColorfulShading-Accent5">
    <w:name w:val="Colorful Shading Accent 5"/>
    <w:basedOn w:val="TableNormal"/>
    <w:uiPriority w:val="71"/>
    <w:rsid w:val="00D30FE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Shading1-Accent1">
    <w:name w:val="Medium Shading 1 Accent 1"/>
    <w:basedOn w:val="TableNormal"/>
    <w:uiPriority w:val="63"/>
    <w:rsid w:val="00D30F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A9375D"/>
    <w:pPr>
      <w:keepLines/>
      <w:numPr>
        <w:numId w:val="0"/>
      </w:numPr>
      <w:spacing w:before="480" w:line="276" w:lineRule="auto"/>
      <w:jc w:val="left"/>
      <w:outlineLvl w:val="9"/>
    </w:pPr>
    <w:rPr>
      <w:rFonts w:eastAsiaTheme="majorEastAsia" w:cstheme="majorBidi"/>
      <w:bCs/>
      <w:color w:val="365F91" w:themeColor="accent1" w:themeShade="BF"/>
      <w:sz w:val="28"/>
      <w:lang w:val="en-US" w:eastAsia="ja-JP"/>
    </w:rPr>
  </w:style>
  <w:style w:type="paragraph" w:styleId="TOC2">
    <w:name w:val="toc 2"/>
    <w:basedOn w:val="Normal"/>
    <w:next w:val="Normal"/>
    <w:autoRedefine/>
    <w:uiPriority w:val="39"/>
    <w:unhideWhenUsed/>
    <w:rsid w:val="009E3A8A"/>
    <w:pPr>
      <w:tabs>
        <w:tab w:val="right" w:leader="dot" w:pos="9017"/>
      </w:tabs>
      <w:spacing w:after="100"/>
    </w:pPr>
  </w:style>
  <w:style w:type="paragraph" w:styleId="TOC3">
    <w:name w:val="toc 3"/>
    <w:basedOn w:val="Normal"/>
    <w:next w:val="Normal"/>
    <w:autoRedefine/>
    <w:uiPriority w:val="39"/>
    <w:unhideWhenUsed/>
    <w:rsid w:val="00323127"/>
    <w:pPr>
      <w:tabs>
        <w:tab w:val="right" w:leader="dot" w:pos="9015"/>
      </w:tabs>
      <w:spacing w:after="100"/>
      <w:ind w:left="720"/>
    </w:pPr>
    <w:rPr>
      <w:noProof/>
    </w:rPr>
  </w:style>
  <w:style w:type="paragraph" w:styleId="TOC4">
    <w:name w:val="toc 4"/>
    <w:basedOn w:val="Normal"/>
    <w:next w:val="Normal"/>
    <w:autoRedefine/>
    <w:uiPriority w:val="39"/>
    <w:unhideWhenUsed/>
    <w:rsid w:val="003056B4"/>
    <w:pPr>
      <w:spacing w:after="100"/>
      <w:ind w:left="660"/>
    </w:pPr>
  </w:style>
  <w:style w:type="character" w:customStyle="1" w:styleId="FrontPagesub-headingChar">
    <w:name w:val="Front Page sub-heading Char"/>
    <w:basedOn w:val="DefaultParagraphFont"/>
    <w:link w:val="FrontPagesub-heading"/>
    <w:uiPriority w:val="1"/>
    <w:rsid w:val="00B742BC"/>
    <w:rPr>
      <w:color w:val="EEECE1" w:themeColor="background2"/>
      <w:sz w:val="44"/>
    </w:rPr>
  </w:style>
  <w:style w:type="paragraph" w:customStyle="1" w:styleId="FrontPagesub-heading2">
    <w:name w:val="Front Page sub-heading 2"/>
    <w:basedOn w:val="Normal"/>
    <w:link w:val="FrontPagesub-heading2Char"/>
    <w:uiPriority w:val="1"/>
    <w:rsid w:val="00B742BC"/>
    <w:pPr>
      <w:spacing w:after="0"/>
      <w:jc w:val="center"/>
    </w:pPr>
    <w:rPr>
      <w:rFonts w:asciiTheme="minorHAnsi" w:hAnsiTheme="minorHAnsi" w:cstheme="minorHAnsi"/>
      <w:color w:val="000080"/>
      <w:sz w:val="28"/>
      <w:szCs w:val="28"/>
    </w:rPr>
  </w:style>
  <w:style w:type="character" w:customStyle="1" w:styleId="FrontPagesub-heading2Char">
    <w:name w:val="Front Page sub-heading 2 Char"/>
    <w:basedOn w:val="DefaultParagraphFont"/>
    <w:link w:val="FrontPagesub-heading2"/>
    <w:uiPriority w:val="1"/>
    <w:rsid w:val="00B742BC"/>
    <w:rPr>
      <w:rFonts w:asciiTheme="minorHAnsi" w:hAnsiTheme="minorHAnsi" w:cstheme="minorHAnsi"/>
      <w:color w:val="000080"/>
      <w:sz w:val="28"/>
      <w:szCs w:val="28"/>
    </w:rPr>
  </w:style>
  <w:style w:type="paragraph" w:customStyle="1" w:styleId="Numberedlist">
    <w:name w:val="Numbered list"/>
    <w:basedOn w:val="Normal"/>
    <w:link w:val="NumberedlistChar"/>
    <w:uiPriority w:val="2"/>
    <w:qFormat/>
    <w:rsid w:val="003F17C1"/>
    <w:pPr>
      <w:numPr>
        <w:numId w:val="17"/>
      </w:numPr>
      <w:ind w:left="714" w:hanging="357"/>
      <w:contextualSpacing/>
    </w:pPr>
    <w:rPr>
      <w:rFonts w:asciiTheme="minorHAnsi" w:hAnsiTheme="minorHAnsi" w:cs="Meta-Normal"/>
      <w:szCs w:val="32"/>
    </w:rPr>
  </w:style>
  <w:style w:type="character" w:customStyle="1" w:styleId="NumberedlistChar">
    <w:name w:val="Numbered list Char"/>
    <w:basedOn w:val="DefaultParagraphFont"/>
    <w:link w:val="Numberedlist"/>
    <w:uiPriority w:val="2"/>
    <w:rsid w:val="00C03A22"/>
    <w:rPr>
      <w:rFonts w:asciiTheme="minorHAnsi" w:hAnsiTheme="minorHAnsi" w:cs="Meta-Normal"/>
      <w:szCs w:val="32"/>
    </w:rPr>
  </w:style>
  <w:style w:type="paragraph" w:customStyle="1" w:styleId="FrontPagereporttitle">
    <w:name w:val="Front Page report title"/>
    <w:basedOn w:val="Normal"/>
    <w:link w:val="FrontPagereporttitleChar"/>
    <w:uiPriority w:val="1"/>
    <w:rsid w:val="00B742BC"/>
    <w:pPr>
      <w:spacing w:after="0"/>
      <w:jc w:val="center"/>
    </w:pPr>
    <w:rPr>
      <w:rFonts w:asciiTheme="minorHAnsi" w:eastAsiaTheme="majorEastAsia" w:hAnsiTheme="minorHAnsi" w:cstheme="majorBidi"/>
      <w:noProof/>
      <w:color w:val="C0504D"/>
      <w:sz w:val="72"/>
      <w:szCs w:val="72"/>
      <w:lang w:eastAsia="en-AU"/>
    </w:rPr>
  </w:style>
  <w:style w:type="character" w:customStyle="1" w:styleId="FrontPagereporttitleChar">
    <w:name w:val="Front Page report title Char"/>
    <w:basedOn w:val="DefaultParagraphFont"/>
    <w:link w:val="FrontPagereporttitle"/>
    <w:uiPriority w:val="1"/>
    <w:rsid w:val="00B742BC"/>
    <w:rPr>
      <w:rFonts w:asciiTheme="minorHAnsi" w:eastAsiaTheme="majorEastAsia" w:hAnsiTheme="minorHAnsi" w:cstheme="majorBidi"/>
      <w:noProof/>
      <w:color w:val="C0504D"/>
      <w:sz w:val="72"/>
      <w:szCs w:val="72"/>
      <w:lang w:eastAsia="en-AU"/>
    </w:rPr>
  </w:style>
  <w:style w:type="character" w:customStyle="1" w:styleId="BoldText">
    <w:name w:val="Bold Text"/>
    <w:basedOn w:val="DefaultParagraphFont"/>
    <w:uiPriority w:val="1"/>
    <w:qFormat/>
    <w:rsid w:val="00D260BB"/>
    <w:rPr>
      <w:b/>
    </w:rPr>
  </w:style>
  <w:style w:type="character" w:customStyle="1" w:styleId="Italics">
    <w:name w:val="Italics"/>
    <w:basedOn w:val="DefaultParagraphFont"/>
    <w:uiPriority w:val="1"/>
    <w:qFormat/>
    <w:rsid w:val="002377E0"/>
    <w:rPr>
      <w:i/>
      <w:iCs/>
    </w:rPr>
  </w:style>
  <w:style w:type="paragraph" w:styleId="Quote">
    <w:name w:val="Quote"/>
    <w:basedOn w:val="Normal"/>
    <w:next w:val="Normal"/>
    <w:link w:val="QuoteChar"/>
    <w:uiPriority w:val="3"/>
    <w:qFormat/>
    <w:rsid w:val="00247BEC"/>
    <w:pPr>
      <w:ind w:left="567" w:right="567"/>
    </w:pPr>
    <w:rPr>
      <w:i/>
      <w:sz w:val="22"/>
    </w:rPr>
  </w:style>
  <w:style w:type="character" w:customStyle="1" w:styleId="QuoteChar">
    <w:name w:val="Quote Char"/>
    <w:basedOn w:val="DefaultParagraphFont"/>
    <w:link w:val="Quote"/>
    <w:uiPriority w:val="3"/>
    <w:rsid w:val="00C03A22"/>
    <w:rPr>
      <w:i/>
      <w:sz w:val="22"/>
    </w:rPr>
  </w:style>
  <w:style w:type="paragraph" w:customStyle="1" w:styleId="InsideCoverHeading">
    <w:name w:val="Inside Cover Heading"/>
    <w:basedOn w:val="Normal"/>
    <w:next w:val="Normal"/>
    <w:uiPriority w:val="1"/>
    <w:rsid w:val="007F21D7"/>
    <w:rPr>
      <w:b/>
      <w:color w:val="C0504D"/>
      <w:sz w:val="26"/>
    </w:rPr>
  </w:style>
  <w:style w:type="paragraph" w:customStyle="1" w:styleId="HeadingTOC">
    <w:name w:val="Heading TOC"/>
    <w:basedOn w:val="Heading2"/>
    <w:next w:val="Normal"/>
    <w:link w:val="HeadingTOCChar"/>
    <w:qFormat/>
    <w:rsid w:val="00A12411"/>
    <w:pPr>
      <w:jc w:val="center"/>
    </w:pPr>
    <w:rPr>
      <w:sz w:val="36"/>
    </w:rPr>
  </w:style>
  <w:style w:type="character" w:customStyle="1" w:styleId="HeadingTOCChar">
    <w:name w:val="Heading TOC Char"/>
    <w:basedOn w:val="Heading2Char"/>
    <w:link w:val="HeadingTOC"/>
    <w:rsid w:val="00847565"/>
    <w:rPr>
      <w:rFonts w:cstheme="minorHAnsi"/>
      <w:b/>
      <w:color w:val="000080"/>
      <w:sz w:val="36"/>
    </w:rPr>
  </w:style>
  <w:style w:type="paragraph" w:customStyle="1" w:styleId="Datasource">
    <w:name w:val="Data source"/>
    <w:basedOn w:val="Normal"/>
    <w:next w:val="Normal"/>
    <w:uiPriority w:val="3"/>
    <w:qFormat/>
    <w:rsid w:val="0051627A"/>
    <w:pPr>
      <w:tabs>
        <w:tab w:val="left" w:pos="720"/>
      </w:tabs>
      <w:spacing w:before="120"/>
      <w:contextualSpacing/>
    </w:pPr>
    <w:rPr>
      <w:sz w:val="20"/>
    </w:rPr>
  </w:style>
  <w:style w:type="paragraph" w:styleId="Header">
    <w:name w:val="header"/>
    <w:basedOn w:val="Normal"/>
    <w:link w:val="HeaderChar"/>
    <w:uiPriority w:val="99"/>
    <w:unhideWhenUsed/>
    <w:rsid w:val="00D46B67"/>
    <w:pPr>
      <w:tabs>
        <w:tab w:val="center" w:pos="4513"/>
        <w:tab w:val="right" w:pos="9026"/>
      </w:tabs>
    </w:pPr>
  </w:style>
  <w:style w:type="character" w:customStyle="1" w:styleId="HeaderChar">
    <w:name w:val="Header Char"/>
    <w:basedOn w:val="DefaultParagraphFont"/>
    <w:link w:val="Header"/>
    <w:uiPriority w:val="99"/>
    <w:rsid w:val="00D46B67"/>
    <w:rPr>
      <w:sz w:val="24"/>
    </w:rPr>
  </w:style>
  <w:style w:type="table" w:customStyle="1" w:styleId="Calendar1">
    <w:name w:val="Calendar 1"/>
    <w:basedOn w:val="TableNormal"/>
    <w:uiPriority w:val="99"/>
    <w:qFormat/>
    <w:rsid w:val="00A60760"/>
    <w:rPr>
      <w:rFonts w:asciiTheme="minorHAnsi" w:eastAsiaTheme="minorEastAsia" w:hAnsiTheme="minorHAnsi" w:cstheme="minorBidi"/>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
    <w:name w:val="Light Shading"/>
    <w:basedOn w:val="TableNormal"/>
    <w:uiPriority w:val="60"/>
    <w:rsid w:val="001247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gridheadingChar">
    <w:name w:val="Table grid heading Char"/>
    <w:basedOn w:val="DefaultParagraphFont"/>
    <w:link w:val="Tablegridheading"/>
    <w:uiPriority w:val="4"/>
    <w:rsid w:val="00C03A22"/>
    <w:rPr>
      <w:b/>
      <w:bCs/>
      <w:sz w:val="22"/>
      <w:szCs w:val="20"/>
    </w:rPr>
  </w:style>
  <w:style w:type="paragraph" w:customStyle="1" w:styleId="Tablegridheading2">
    <w:name w:val="Table grid heading 2"/>
    <w:basedOn w:val="Normal"/>
    <w:link w:val="Tablegridheading2Char"/>
    <w:uiPriority w:val="4"/>
    <w:qFormat/>
    <w:rsid w:val="00027AEA"/>
    <w:pPr>
      <w:spacing w:before="60" w:after="60"/>
      <w:jc w:val="left"/>
    </w:pPr>
    <w:rPr>
      <w:bCs/>
      <w:sz w:val="22"/>
    </w:rPr>
  </w:style>
  <w:style w:type="paragraph" w:customStyle="1" w:styleId="Tablegridtextdecimalaligned">
    <w:name w:val="Table grid text decimal aligned"/>
    <w:basedOn w:val="Normal"/>
    <w:link w:val="TablegridtextdecimalalignedChar"/>
    <w:uiPriority w:val="4"/>
    <w:qFormat/>
    <w:rsid w:val="004E45F6"/>
    <w:pPr>
      <w:tabs>
        <w:tab w:val="decimal" w:pos="284"/>
      </w:tabs>
      <w:spacing w:after="0"/>
      <w:jc w:val="left"/>
    </w:pPr>
    <w:rPr>
      <w:bCs/>
      <w:sz w:val="22"/>
      <w:szCs w:val="20"/>
    </w:rPr>
  </w:style>
  <w:style w:type="character" w:customStyle="1" w:styleId="Tablegridheading2Char">
    <w:name w:val="Table grid heading 2 Char"/>
    <w:basedOn w:val="DefaultParagraphFont"/>
    <w:link w:val="Tablegridheading2"/>
    <w:uiPriority w:val="4"/>
    <w:rsid w:val="00C03A22"/>
    <w:rPr>
      <w:bCs/>
      <w:sz w:val="22"/>
    </w:rPr>
  </w:style>
  <w:style w:type="character" w:customStyle="1" w:styleId="TablegriddotpointsChar">
    <w:name w:val="Table grid dot points Char"/>
    <w:basedOn w:val="DefaultParagraphFont"/>
    <w:link w:val="Tablegriddotpoints"/>
    <w:uiPriority w:val="4"/>
    <w:rsid w:val="00C03A22"/>
    <w:rPr>
      <w:sz w:val="22"/>
    </w:rPr>
  </w:style>
  <w:style w:type="character" w:customStyle="1" w:styleId="TablegridtextdecimalalignedChar">
    <w:name w:val="Table grid text decimal aligned Char"/>
    <w:basedOn w:val="DefaultParagraphFont"/>
    <w:link w:val="Tablegridtextdecimalaligned"/>
    <w:uiPriority w:val="4"/>
    <w:rsid w:val="00C03A22"/>
    <w:rPr>
      <w:bCs/>
      <w:sz w:val="22"/>
      <w:szCs w:val="20"/>
    </w:rPr>
  </w:style>
  <w:style w:type="table" w:styleId="MediumShading2-Accent2">
    <w:name w:val="Medium Shading 2 Accent 2"/>
    <w:basedOn w:val="TableNormal"/>
    <w:uiPriority w:val="64"/>
    <w:rsid w:val="00D42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gridtext">
    <w:name w:val="Table grid text"/>
    <w:basedOn w:val="Normal"/>
    <w:link w:val="TablegridtextChar"/>
    <w:uiPriority w:val="4"/>
    <w:qFormat/>
    <w:rsid w:val="004E45F6"/>
    <w:pPr>
      <w:spacing w:after="0"/>
    </w:pPr>
    <w:rPr>
      <w:sz w:val="22"/>
    </w:rPr>
  </w:style>
  <w:style w:type="character" w:customStyle="1" w:styleId="TablegridtextChar">
    <w:name w:val="Table grid text Char"/>
    <w:basedOn w:val="DefaultParagraphFont"/>
    <w:link w:val="Tablegridtext"/>
    <w:uiPriority w:val="4"/>
    <w:rsid w:val="00C03A22"/>
    <w:rPr>
      <w:sz w:val="22"/>
    </w:rPr>
  </w:style>
  <w:style w:type="character" w:customStyle="1" w:styleId="Heading5Char">
    <w:name w:val="Heading 5 Char"/>
    <w:basedOn w:val="DefaultParagraphFont"/>
    <w:link w:val="Heading5"/>
    <w:rsid w:val="00A12411"/>
    <w:rPr>
      <w:rFonts w:eastAsiaTheme="majorEastAsia" w:cstheme="majorBidi"/>
      <w:i/>
      <w:color w:val="000080"/>
    </w:rPr>
  </w:style>
  <w:style w:type="paragraph" w:customStyle="1" w:styleId="Dotpointswithspacing">
    <w:name w:val="Dot points with spacing"/>
    <w:basedOn w:val="Normal"/>
    <w:link w:val="DotpointswithspacingChar"/>
    <w:uiPriority w:val="2"/>
    <w:qFormat/>
    <w:rsid w:val="0038036B"/>
    <w:pPr>
      <w:numPr>
        <w:numId w:val="26"/>
      </w:numPr>
      <w:ind w:left="714" w:hanging="357"/>
    </w:pPr>
  </w:style>
  <w:style w:type="character" w:customStyle="1" w:styleId="DotpointswithspacingChar">
    <w:name w:val="Dot points with spacing Char"/>
    <w:basedOn w:val="DefaultParagraphFont"/>
    <w:link w:val="Dotpointswithspacing"/>
    <w:uiPriority w:val="2"/>
    <w:rsid w:val="00C03A22"/>
  </w:style>
  <w:style w:type="paragraph" w:customStyle="1" w:styleId="Numberedlistwithspacing">
    <w:name w:val="Numbered list with spacing"/>
    <w:basedOn w:val="Normal"/>
    <w:link w:val="NumberedlistwithspacingChar"/>
    <w:uiPriority w:val="2"/>
    <w:qFormat/>
    <w:rsid w:val="0038036B"/>
    <w:pPr>
      <w:numPr>
        <w:numId w:val="27"/>
      </w:numPr>
      <w:ind w:left="714" w:hanging="357"/>
    </w:pPr>
  </w:style>
  <w:style w:type="character" w:customStyle="1" w:styleId="NumberedlistwithspacingChar">
    <w:name w:val="Numbered list with spacing Char"/>
    <w:basedOn w:val="DefaultParagraphFont"/>
    <w:link w:val="Numberedlistwithspacing"/>
    <w:uiPriority w:val="2"/>
    <w:rsid w:val="00C03A22"/>
  </w:style>
  <w:style w:type="paragraph" w:customStyle="1" w:styleId="AppendixHeadingA1">
    <w:name w:val="Appendix Heading A1"/>
    <w:basedOn w:val="Heading1"/>
    <w:qFormat/>
    <w:rsid w:val="00F071AA"/>
    <w:pPr>
      <w:numPr>
        <w:numId w:val="29"/>
      </w:numPr>
    </w:pPr>
  </w:style>
  <w:style w:type="character" w:styleId="PlaceholderText">
    <w:name w:val="Placeholder Text"/>
    <w:basedOn w:val="DefaultParagraphFont"/>
    <w:uiPriority w:val="99"/>
    <w:semiHidden/>
    <w:rsid w:val="00A6259D"/>
    <w:rPr>
      <w:color w:val="808080"/>
    </w:rPr>
  </w:style>
  <w:style w:type="paragraph" w:styleId="Bibliography">
    <w:name w:val="Bibliography"/>
    <w:basedOn w:val="Normal"/>
    <w:next w:val="Normal"/>
    <w:uiPriority w:val="37"/>
    <w:unhideWhenUsed/>
    <w:rsid w:val="00D21637"/>
  </w:style>
  <w:style w:type="paragraph" w:styleId="TOC6">
    <w:name w:val="toc 6"/>
    <w:basedOn w:val="Normal"/>
    <w:next w:val="Normal"/>
    <w:autoRedefine/>
    <w:uiPriority w:val="39"/>
    <w:unhideWhenUsed/>
    <w:rsid w:val="009E3A8A"/>
    <w:pPr>
      <w:tabs>
        <w:tab w:val="left" w:pos="1560"/>
        <w:tab w:val="right" w:leader="dot" w:pos="9017"/>
      </w:tabs>
      <w:spacing w:after="100"/>
    </w:pPr>
  </w:style>
  <w:style w:type="paragraph" w:styleId="NormalWeb">
    <w:name w:val="Normal (Web)"/>
    <w:aliases w:val="Char,Normal bulleted"/>
    <w:basedOn w:val="Normal"/>
    <w:link w:val="NormalWebChar"/>
    <w:uiPriority w:val="99"/>
    <w:semiHidden/>
    <w:unhideWhenUsed/>
    <w:rsid w:val="00FD0427"/>
    <w:pPr>
      <w:spacing w:before="100" w:beforeAutospacing="1" w:after="100" w:afterAutospacing="1"/>
      <w:jc w:val="left"/>
    </w:pPr>
    <w:rPr>
      <w:rFonts w:ascii="Times New Roman" w:eastAsiaTheme="minorEastAsia" w:hAnsi="Times New Roman"/>
      <w:lang w:eastAsia="en-AU"/>
    </w:rPr>
  </w:style>
  <w:style w:type="paragraph" w:customStyle="1" w:styleId="Tablegridnumbering">
    <w:name w:val="Table grid numbering"/>
    <w:basedOn w:val="Normal"/>
    <w:link w:val="TablegridnumberingChar"/>
    <w:qFormat/>
    <w:rsid w:val="00555EFE"/>
    <w:pPr>
      <w:numPr>
        <w:numId w:val="42"/>
      </w:numPr>
      <w:spacing w:after="0"/>
      <w:ind w:left="284" w:hanging="284"/>
    </w:pPr>
  </w:style>
  <w:style w:type="character" w:customStyle="1" w:styleId="TablegridnumberingChar">
    <w:name w:val="Table grid numbering Char"/>
    <w:basedOn w:val="DefaultParagraphFont"/>
    <w:link w:val="Tablegridnumbering"/>
    <w:rsid w:val="00555EFE"/>
  </w:style>
  <w:style w:type="paragraph" w:styleId="Revision">
    <w:name w:val="Revision"/>
    <w:hidden/>
    <w:uiPriority w:val="99"/>
    <w:semiHidden/>
    <w:rsid w:val="00025C6B"/>
    <w:pPr>
      <w:jc w:val="left"/>
    </w:pPr>
  </w:style>
  <w:style w:type="paragraph" w:styleId="ListParagraph">
    <w:name w:val="List Paragraph"/>
    <w:basedOn w:val="Normal"/>
    <w:uiPriority w:val="34"/>
    <w:rsid w:val="00C5265F"/>
    <w:pPr>
      <w:ind w:left="720"/>
      <w:contextualSpacing/>
    </w:pPr>
  </w:style>
  <w:style w:type="paragraph" w:customStyle="1" w:styleId="Heading11">
    <w:name w:val="Heading 11"/>
    <w:basedOn w:val="Heading1"/>
    <w:link w:val="heading1Char0"/>
    <w:qFormat/>
    <w:rsid w:val="00165C42"/>
  </w:style>
  <w:style w:type="character" w:customStyle="1" w:styleId="heading1Char0">
    <w:name w:val="heading 1 Char"/>
    <w:basedOn w:val="Heading1Char"/>
    <w:link w:val="Heading11"/>
    <w:rsid w:val="00165C42"/>
    <w:rPr>
      <w:rFonts w:cstheme="minorHAnsi"/>
      <w:b/>
      <w:color w:val="000080"/>
      <w:sz w:val="40"/>
      <w:szCs w:val="40"/>
    </w:rPr>
  </w:style>
  <w:style w:type="paragraph" w:customStyle="1" w:styleId="numberedpara">
    <w:name w:val="numbered para"/>
    <w:basedOn w:val="Normal"/>
    <w:uiPriority w:val="99"/>
    <w:rsid w:val="009540D3"/>
    <w:pPr>
      <w:numPr>
        <w:numId w:val="43"/>
      </w:numPr>
      <w:spacing w:before="200" w:after="0"/>
      <w:jc w:val="left"/>
    </w:pPr>
    <w:rPr>
      <w:rFonts w:eastAsiaTheme="minorHAnsi" w:cs="Calibri"/>
      <w:szCs w:val="22"/>
      <w:lang w:eastAsia="en-AU"/>
    </w:rPr>
  </w:style>
  <w:style w:type="character" w:customStyle="1" w:styleId="NormalWebChar">
    <w:name w:val="Normal (Web) Char"/>
    <w:aliases w:val="Char Char,Normal bulleted Char"/>
    <w:basedOn w:val="DefaultParagraphFont"/>
    <w:link w:val="NormalWeb"/>
    <w:uiPriority w:val="99"/>
    <w:semiHidden/>
    <w:locked/>
    <w:rsid w:val="009540D3"/>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17">
      <w:bodyDiv w:val="1"/>
      <w:marLeft w:val="0"/>
      <w:marRight w:val="0"/>
      <w:marTop w:val="0"/>
      <w:marBottom w:val="0"/>
      <w:divBdr>
        <w:top w:val="none" w:sz="0" w:space="0" w:color="auto"/>
        <w:left w:val="none" w:sz="0" w:space="0" w:color="auto"/>
        <w:bottom w:val="none" w:sz="0" w:space="0" w:color="auto"/>
        <w:right w:val="none" w:sz="0" w:space="0" w:color="auto"/>
      </w:divBdr>
    </w:div>
    <w:div w:id="5596862">
      <w:bodyDiv w:val="1"/>
      <w:marLeft w:val="0"/>
      <w:marRight w:val="0"/>
      <w:marTop w:val="0"/>
      <w:marBottom w:val="0"/>
      <w:divBdr>
        <w:top w:val="none" w:sz="0" w:space="0" w:color="auto"/>
        <w:left w:val="none" w:sz="0" w:space="0" w:color="auto"/>
        <w:bottom w:val="none" w:sz="0" w:space="0" w:color="auto"/>
        <w:right w:val="none" w:sz="0" w:space="0" w:color="auto"/>
      </w:divBdr>
    </w:div>
    <w:div w:id="6490477">
      <w:bodyDiv w:val="1"/>
      <w:marLeft w:val="0"/>
      <w:marRight w:val="0"/>
      <w:marTop w:val="0"/>
      <w:marBottom w:val="0"/>
      <w:divBdr>
        <w:top w:val="none" w:sz="0" w:space="0" w:color="auto"/>
        <w:left w:val="none" w:sz="0" w:space="0" w:color="auto"/>
        <w:bottom w:val="none" w:sz="0" w:space="0" w:color="auto"/>
        <w:right w:val="none" w:sz="0" w:space="0" w:color="auto"/>
      </w:divBdr>
    </w:div>
    <w:div w:id="6906503">
      <w:bodyDiv w:val="1"/>
      <w:marLeft w:val="0"/>
      <w:marRight w:val="0"/>
      <w:marTop w:val="0"/>
      <w:marBottom w:val="0"/>
      <w:divBdr>
        <w:top w:val="none" w:sz="0" w:space="0" w:color="auto"/>
        <w:left w:val="none" w:sz="0" w:space="0" w:color="auto"/>
        <w:bottom w:val="none" w:sz="0" w:space="0" w:color="auto"/>
        <w:right w:val="none" w:sz="0" w:space="0" w:color="auto"/>
      </w:divBdr>
    </w:div>
    <w:div w:id="9265007">
      <w:bodyDiv w:val="1"/>
      <w:marLeft w:val="0"/>
      <w:marRight w:val="0"/>
      <w:marTop w:val="0"/>
      <w:marBottom w:val="0"/>
      <w:divBdr>
        <w:top w:val="none" w:sz="0" w:space="0" w:color="auto"/>
        <w:left w:val="none" w:sz="0" w:space="0" w:color="auto"/>
        <w:bottom w:val="none" w:sz="0" w:space="0" w:color="auto"/>
        <w:right w:val="none" w:sz="0" w:space="0" w:color="auto"/>
      </w:divBdr>
    </w:div>
    <w:div w:id="16666246">
      <w:bodyDiv w:val="1"/>
      <w:marLeft w:val="0"/>
      <w:marRight w:val="0"/>
      <w:marTop w:val="0"/>
      <w:marBottom w:val="0"/>
      <w:divBdr>
        <w:top w:val="none" w:sz="0" w:space="0" w:color="auto"/>
        <w:left w:val="none" w:sz="0" w:space="0" w:color="auto"/>
        <w:bottom w:val="none" w:sz="0" w:space="0" w:color="auto"/>
        <w:right w:val="none" w:sz="0" w:space="0" w:color="auto"/>
      </w:divBdr>
    </w:div>
    <w:div w:id="16740823">
      <w:bodyDiv w:val="1"/>
      <w:marLeft w:val="0"/>
      <w:marRight w:val="0"/>
      <w:marTop w:val="0"/>
      <w:marBottom w:val="0"/>
      <w:divBdr>
        <w:top w:val="none" w:sz="0" w:space="0" w:color="auto"/>
        <w:left w:val="none" w:sz="0" w:space="0" w:color="auto"/>
        <w:bottom w:val="none" w:sz="0" w:space="0" w:color="auto"/>
        <w:right w:val="none" w:sz="0" w:space="0" w:color="auto"/>
      </w:divBdr>
    </w:div>
    <w:div w:id="16935771">
      <w:bodyDiv w:val="1"/>
      <w:marLeft w:val="0"/>
      <w:marRight w:val="0"/>
      <w:marTop w:val="0"/>
      <w:marBottom w:val="0"/>
      <w:divBdr>
        <w:top w:val="none" w:sz="0" w:space="0" w:color="auto"/>
        <w:left w:val="none" w:sz="0" w:space="0" w:color="auto"/>
        <w:bottom w:val="none" w:sz="0" w:space="0" w:color="auto"/>
        <w:right w:val="none" w:sz="0" w:space="0" w:color="auto"/>
      </w:divBdr>
    </w:div>
    <w:div w:id="17508181">
      <w:bodyDiv w:val="1"/>
      <w:marLeft w:val="0"/>
      <w:marRight w:val="0"/>
      <w:marTop w:val="0"/>
      <w:marBottom w:val="0"/>
      <w:divBdr>
        <w:top w:val="none" w:sz="0" w:space="0" w:color="auto"/>
        <w:left w:val="none" w:sz="0" w:space="0" w:color="auto"/>
        <w:bottom w:val="none" w:sz="0" w:space="0" w:color="auto"/>
        <w:right w:val="none" w:sz="0" w:space="0" w:color="auto"/>
      </w:divBdr>
    </w:div>
    <w:div w:id="19867370">
      <w:bodyDiv w:val="1"/>
      <w:marLeft w:val="0"/>
      <w:marRight w:val="0"/>
      <w:marTop w:val="0"/>
      <w:marBottom w:val="0"/>
      <w:divBdr>
        <w:top w:val="none" w:sz="0" w:space="0" w:color="auto"/>
        <w:left w:val="none" w:sz="0" w:space="0" w:color="auto"/>
        <w:bottom w:val="none" w:sz="0" w:space="0" w:color="auto"/>
        <w:right w:val="none" w:sz="0" w:space="0" w:color="auto"/>
      </w:divBdr>
    </w:div>
    <w:div w:id="22639450">
      <w:bodyDiv w:val="1"/>
      <w:marLeft w:val="0"/>
      <w:marRight w:val="0"/>
      <w:marTop w:val="0"/>
      <w:marBottom w:val="0"/>
      <w:divBdr>
        <w:top w:val="none" w:sz="0" w:space="0" w:color="auto"/>
        <w:left w:val="none" w:sz="0" w:space="0" w:color="auto"/>
        <w:bottom w:val="none" w:sz="0" w:space="0" w:color="auto"/>
        <w:right w:val="none" w:sz="0" w:space="0" w:color="auto"/>
      </w:divBdr>
    </w:div>
    <w:div w:id="22751195">
      <w:bodyDiv w:val="1"/>
      <w:marLeft w:val="0"/>
      <w:marRight w:val="0"/>
      <w:marTop w:val="0"/>
      <w:marBottom w:val="0"/>
      <w:divBdr>
        <w:top w:val="none" w:sz="0" w:space="0" w:color="auto"/>
        <w:left w:val="none" w:sz="0" w:space="0" w:color="auto"/>
        <w:bottom w:val="none" w:sz="0" w:space="0" w:color="auto"/>
        <w:right w:val="none" w:sz="0" w:space="0" w:color="auto"/>
      </w:divBdr>
    </w:div>
    <w:div w:id="23747947">
      <w:bodyDiv w:val="1"/>
      <w:marLeft w:val="0"/>
      <w:marRight w:val="0"/>
      <w:marTop w:val="0"/>
      <w:marBottom w:val="0"/>
      <w:divBdr>
        <w:top w:val="none" w:sz="0" w:space="0" w:color="auto"/>
        <w:left w:val="none" w:sz="0" w:space="0" w:color="auto"/>
        <w:bottom w:val="none" w:sz="0" w:space="0" w:color="auto"/>
        <w:right w:val="none" w:sz="0" w:space="0" w:color="auto"/>
      </w:divBdr>
    </w:div>
    <w:div w:id="26569500">
      <w:bodyDiv w:val="1"/>
      <w:marLeft w:val="0"/>
      <w:marRight w:val="0"/>
      <w:marTop w:val="0"/>
      <w:marBottom w:val="0"/>
      <w:divBdr>
        <w:top w:val="none" w:sz="0" w:space="0" w:color="auto"/>
        <w:left w:val="none" w:sz="0" w:space="0" w:color="auto"/>
        <w:bottom w:val="none" w:sz="0" w:space="0" w:color="auto"/>
        <w:right w:val="none" w:sz="0" w:space="0" w:color="auto"/>
      </w:divBdr>
    </w:div>
    <w:div w:id="27726149">
      <w:bodyDiv w:val="1"/>
      <w:marLeft w:val="0"/>
      <w:marRight w:val="0"/>
      <w:marTop w:val="0"/>
      <w:marBottom w:val="0"/>
      <w:divBdr>
        <w:top w:val="none" w:sz="0" w:space="0" w:color="auto"/>
        <w:left w:val="none" w:sz="0" w:space="0" w:color="auto"/>
        <w:bottom w:val="none" w:sz="0" w:space="0" w:color="auto"/>
        <w:right w:val="none" w:sz="0" w:space="0" w:color="auto"/>
      </w:divBdr>
    </w:div>
    <w:div w:id="28991182">
      <w:bodyDiv w:val="1"/>
      <w:marLeft w:val="0"/>
      <w:marRight w:val="0"/>
      <w:marTop w:val="0"/>
      <w:marBottom w:val="0"/>
      <w:divBdr>
        <w:top w:val="none" w:sz="0" w:space="0" w:color="auto"/>
        <w:left w:val="none" w:sz="0" w:space="0" w:color="auto"/>
        <w:bottom w:val="none" w:sz="0" w:space="0" w:color="auto"/>
        <w:right w:val="none" w:sz="0" w:space="0" w:color="auto"/>
      </w:divBdr>
    </w:div>
    <w:div w:id="29110421">
      <w:bodyDiv w:val="1"/>
      <w:marLeft w:val="0"/>
      <w:marRight w:val="0"/>
      <w:marTop w:val="0"/>
      <w:marBottom w:val="0"/>
      <w:divBdr>
        <w:top w:val="none" w:sz="0" w:space="0" w:color="auto"/>
        <w:left w:val="none" w:sz="0" w:space="0" w:color="auto"/>
        <w:bottom w:val="none" w:sz="0" w:space="0" w:color="auto"/>
        <w:right w:val="none" w:sz="0" w:space="0" w:color="auto"/>
      </w:divBdr>
    </w:div>
    <w:div w:id="30107453">
      <w:bodyDiv w:val="1"/>
      <w:marLeft w:val="0"/>
      <w:marRight w:val="0"/>
      <w:marTop w:val="0"/>
      <w:marBottom w:val="0"/>
      <w:divBdr>
        <w:top w:val="none" w:sz="0" w:space="0" w:color="auto"/>
        <w:left w:val="none" w:sz="0" w:space="0" w:color="auto"/>
        <w:bottom w:val="none" w:sz="0" w:space="0" w:color="auto"/>
        <w:right w:val="none" w:sz="0" w:space="0" w:color="auto"/>
      </w:divBdr>
    </w:div>
    <w:div w:id="31812507">
      <w:bodyDiv w:val="1"/>
      <w:marLeft w:val="0"/>
      <w:marRight w:val="0"/>
      <w:marTop w:val="0"/>
      <w:marBottom w:val="0"/>
      <w:divBdr>
        <w:top w:val="none" w:sz="0" w:space="0" w:color="auto"/>
        <w:left w:val="none" w:sz="0" w:space="0" w:color="auto"/>
        <w:bottom w:val="none" w:sz="0" w:space="0" w:color="auto"/>
        <w:right w:val="none" w:sz="0" w:space="0" w:color="auto"/>
      </w:divBdr>
    </w:div>
    <w:div w:id="32048380">
      <w:bodyDiv w:val="1"/>
      <w:marLeft w:val="0"/>
      <w:marRight w:val="0"/>
      <w:marTop w:val="0"/>
      <w:marBottom w:val="0"/>
      <w:divBdr>
        <w:top w:val="none" w:sz="0" w:space="0" w:color="auto"/>
        <w:left w:val="none" w:sz="0" w:space="0" w:color="auto"/>
        <w:bottom w:val="none" w:sz="0" w:space="0" w:color="auto"/>
        <w:right w:val="none" w:sz="0" w:space="0" w:color="auto"/>
      </w:divBdr>
    </w:div>
    <w:div w:id="37514319">
      <w:bodyDiv w:val="1"/>
      <w:marLeft w:val="0"/>
      <w:marRight w:val="0"/>
      <w:marTop w:val="0"/>
      <w:marBottom w:val="0"/>
      <w:divBdr>
        <w:top w:val="none" w:sz="0" w:space="0" w:color="auto"/>
        <w:left w:val="none" w:sz="0" w:space="0" w:color="auto"/>
        <w:bottom w:val="none" w:sz="0" w:space="0" w:color="auto"/>
        <w:right w:val="none" w:sz="0" w:space="0" w:color="auto"/>
      </w:divBdr>
    </w:div>
    <w:div w:id="37899555">
      <w:bodyDiv w:val="1"/>
      <w:marLeft w:val="0"/>
      <w:marRight w:val="0"/>
      <w:marTop w:val="0"/>
      <w:marBottom w:val="0"/>
      <w:divBdr>
        <w:top w:val="none" w:sz="0" w:space="0" w:color="auto"/>
        <w:left w:val="none" w:sz="0" w:space="0" w:color="auto"/>
        <w:bottom w:val="none" w:sz="0" w:space="0" w:color="auto"/>
        <w:right w:val="none" w:sz="0" w:space="0" w:color="auto"/>
      </w:divBdr>
    </w:div>
    <w:div w:id="43337686">
      <w:bodyDiv w:val="1"/>
      <w:marLeft w:val="0"/>
      <w:marRight w:val="0"/>
      <w:marTop w:val="0"/>
      <w:marBottom w:val="0"/>
      <w:divBdr>
        <w:top w:val="none" w:sz="0" w:space="0" w:color="auto"/>
        <w:left w:val="none" w:sz="0" w:space="0" w:color="auto"/>
        <w:bottom w:val="none" w:sz="0" w:space="0" w:color="auto"/>
        <w:right w:val="none" w:sz="0" w:space="0" w:color="auto"/>
      </w:divBdr>
    </w:div>
    <w:div w:id="46029308">
      <w:bodyDiv w:val="1"/>
      <w:marLeft w:val="0"/>
      <w:marRight w:val="0"/>
      <w:marTop w:val="0"/>
      <w:marBottom w:val="0"/>
      <w:divBdr>
        <w:top w:val="none" w:sz="0" w:space="0" w:color="auto"/>
        <w:left w:val="none" w:sz="0" w:space="0" w:color="auto"/>
        <w:bottom w:val="none" w:sz="0" w:space="0" w:color="auto"/>
        <w:right w:val="none" w:sz="0" w:space="0" w:color="auto"/>
      </w:divBdr>
    </w:div>
    <w:div w:id="46151481">
      <w:bodyDiv w:val="1"/>
      <w:marLeft w:val="0"/>
      <w:marRight w:val="0"/>
      <w:marTop w:val="0"/>
      <w:marBottom w:val="0"/>
      <w:divBdr>
        <w:top w:val="none" w:sz="0" w:space="0" w:color="auto"/>
        <w:left w:val="none" w:sz="0" w:space="0" w:color="auto"/>
        <w:bottom w:val="none" w:sz="0" w:space="0" w:color="auto"/>
        <w:right w:val="none" w:sz="0" w:space="0" w:color="auto"/>
      </w:divBdr>
    </w:div>
    <w:div w:id="47387226">
      <w:bodyDiv w:val="1"/>
      <w:marLeft w:val="0"/>
      <w:marRight w:val="0"/>
      <w:marTop w:val="0"/>
      <w:marBottom w:val="0"/>
      <w:divBdr>
        <w:top w:val="none" w:sz="0" w:space="0" w:color="auto"/>
        <w:left w:val="none" w:sz="0" w:space="0" w:color="auto"/>
        <w:bottom w:val="none" w:sz="0" w:space="0" w:color="auto"/>
        <w:right w:val="none" w:sz="0" w:space="0" w:color="auto"/>
      </w:divBdr>
    </w:div>
    <w:div w:id="49698672">
      <w:bodyDiv w:val="1"/>
      <w:marLeft w:val="0"/>
      <w:marRight w:val="0"/>
      <w:marTop w:val="0"/>
      <w:marBottom w:val="0"/>
      <w:divBdr>
        <w:top w:val="none" w:sz="0" w:space="0" w:color="auto"/>
        <w:left w:val="none" w:sz="0" w:space="0" w:color="auto"/>
        <w:bottom w:val="none" w:sz="0" w:space="0" w:color="auto"/>
        <w:right w:val="none" w:sz="0" w:space="0" w:color="auto"/>
      </w:divBdr>
    </w:div>
    <w:div w:id="49959184">
      <w:bodyDiv w:val="1"/>
      <w:marLeft w:val="0"/>
      <w:marRight w:val="0"/>
      <w:marTop w:val="0"/>
      <w:marBottom w:val="0"/>
      <w:divBdr>
        <w:top w:val="none" w:sz="0" w:space="0" w:color="auto"/>
        <w:left w:val="none" w:sz="0" w:space="0" w:color="auto"/>
        <w:bottom w:val="none" w:sz="0" w:space="0" w:color="auto"/>
        <w:right w:val="none" w:sz="0" w:space="0" w:color="auto"/>
      </w:divBdr>
    </w:div>
    <w:div w:id="56635382">
      <w:bodyDiv w:val="1"/>
      <w:marLeft w:val="0"/>
      <w:marRight w:val="0"/>
      <w:marTop w:val="0"/>
      <w:marBottom w:val="0"/>
      <w:divBdr>
        <w:top w:val="none" w:sz="0" w:space="0" w:color="auto"/>
        <w:left w:val="none" w:sz="0" w:space="0" w:color="auto"/>
        <w:bottom w:val="none" w:sz="0" w:space="0" w:color="auto"/>
        <w:right w:val="none" w:sz="0" w:space="0" w:color="auto"/>
      </w:divBdr>
    </w:div>
    <w:div w:id="56822177">
      <w:bodyDiv w:val="1"/>
      <w:marLeft w:val="0"/>
      <w:marRight w:val="0"/>
      <w:marTop w:val="0"/>
      <w:marBottom w:val="0"/>
      <w:divBdr>
        <w:top w:val="none" w:sz="0" w:space="0" w:color="auto"/>
        <w:left w:val="none" w:sz="0" w:space="0" w:color="auto"/>
        <w:bottom w:val="none" w:sz="0" w:space="0" w:color="auto"/>
        <w:right w:val="none" w:sz="0" w:space="0" w:color="auto"/>
      </w:divBdr>
    </w:div>
    <w:div w:id="57169901">
      <w:bodyDiv w:val="1"/>
      <w:marLeft w:val="0"/>
      <w:marRight w:val="0"/>
      <w:marTop w:val="0"/>
      <w:marBottom w:val="0"/>
      <w:divBdr>
        <w:top w:val="none" w:sz="0" w:space="0" w:color="auto"/>
        <w:left w:val="none" w:sz="0" w:space="0" w:color="auto"/>
        <w:bottom w:val="none" w:sz="0" w:space="0" w:color="auto"/>
        <w:right w:val="none" w:sz="0" w:space="0" w:color="auto"/>
      </w:divBdr>
    </w:div>
    <w:div w:id="59139525">
      <w:bodyDiv w:val="1"/>
      <w:marLeft w:val="0"/>
      <w:marRight w:val="0"/>
      <w:marTop w:val="0"/>
      <w:marBottom w:val="0"/>
      <w:divBdr>
        <w:top w:val="none" w:sz="0" w:space="0" w:color="auto"/>
        <w:left w:val="none" w:sz="0" w:space="0" w:color="auto"/>
        <w:bottom w:val="none" w:sz="0" w:space="0" w:color="auto"/>
        <w:right w:val="none" w:sz="0" w:space="0" w:color="auto"/>
      </w:divBdr>
    </w:div>
    <w:div w:id="60057610">
      <w:bodyDiv w:val="1"/>
      <w:marLeft w:val="0"/>
      <w:marRight w:val="0"/>
      <w:marTop w:val="0"/>
      <w:marBottom w:val="0"/>
      <w:divBdr>
        <w:top w:val="none" w:sz="0" w:space="0" w:color="auto"/>
        <w:left w:val="none" w:sz="0" w:space="0" w:color="auto"/>
        <w:bottom w:val="none" w:sz="0" w:space="0" w:color="auto"/>
        <w:right w:val="none" w:sz="0" w:space="0" w:color="auto"/>
      </w:divBdr>
    </w:div>
    <w:div w:id="61370360">
      <w:bodyDiv w:val="1"/>
      <w:marLeft w:val="0"/>
      <w:marRight w:val="0"/>
      <w:marTop w:val="0"/>
      <w:marBottom w:val="0"/>
      <w:divBdr>
        <w:top w:val="none" w:sz="0" w:space="0" w:color="auto"/>
        <w:left w:val="none" w:sz="0" w:space="0" w:color="auto"/>
        <w:bottom w:val="none" w:sz="0" w:space="0" w:color="auto"/>
        <w:right w:val="none" w:sz="0" w:space="0" w:color="auto"/>
      </w:divBdr>
    </w:div>
    <w:div w:id="63185153">
      <w:bodyDiv w:val="1"/>
      <w:marLeft w:val="0"/>
      <w:marRight w:val="0"/>
      <w:marTop w:val="0"/>
      <w:marBottom w:val="0"/>
      <w:divBdr>
        <w:top w:val="none" w:sz="0" w:space="0" w:color="auto"/>
        <w:left w:val="none" w:sz="0" w:space="0" w:color="auto"/>
        <w:bottom w:val="none" w:sz="0" w:space="0" w:color="auto"/>
        <w:right w:val="none" w:sz="0" w:space="0" w:color="auto"/>
      </w:divBdr>
    </w:div>
    <w:div w:id="63840178">
      <w:bodyDiv w:val="1"/>
      <w:marLeft w:val="0"/>
      <w:marRight w:val="0"/>
      <w:marTop w:val="0"/>
      <w:marBottom w:val="0"/>
      <w:divBdr>
        <w:top w:val="none" w:sz="0" w:space="0" w:color="auto"/>
        <w:left w:val="none" w:sz="0" w:space="0" w:color="auto"/>
        <w:bottom w:val="none" w:sz="0" w:space="0" w:color="auto"/>
        <w:right w:val="none" w:sz="0" w:space="0" w:color="auto"/>
      </w:divBdr>
    </w:div>
    <w:div w:id="65687785">
      <w:bodyDiv w:val="1"/>
      <w:marLeft w:val="0"/>
      <w:marRight w:val="0"/>
      <w:marTop w:val="0"/>
      <w:marBottom w:val="0"/>
      <w:divBdr>
        <w:top w:val="none" w:sz="0" w:space="0" w:color="auto"/>
        <w:left w:val="none" w:sz="0" w:space="0" w:color="auto"/>
        <w:bottom w:val="none" w:sz="0" w:space="0" w:color="auto"/>
        <w:right w:val="none" w:sz="0" w:space="0" w:color="auto"/>
      </w:divBdr>
    </w:div>
    <w:div w:id="66001499">
      <w:bodyDiv w:val="1"/>
      <w:marLeft w:val="0"/>
      <w:marRight w:val="0"/>
      <w:marTop w:val="0"/>
      <w:marBottom w:val="0"/>
      <w:divBdr>
        <w:top w:val="none" w:sz="0" w:space="0" w:color="auto"/>
        <w:left w:val="none" w:sz="0" w:space="0" w:color="auto"/>
        <w:bottom w:val="none" w:sz="0" w:space="0" w:color="auto"/>
        <w:right w:val="none" w:sz="0" w:space="0" w:color="auto"/>
      </w:divBdr>
    </w:div>
    <w:div w:id="66196610">
      <w:bodyDiv w:val="1"/>
      <w:marLeft w:val="0"/>
      <w:marRight w:val="0"/>
      <w:marTop w:val="0"/>
      <w:marBottom w:val="0"/>
      <w:divBdr>
        <w:top w:val="none" w:sz="0" w:space="0" w:color="auto"/>
        <w:left w:val="none" w:sz="0" w:space="0" w:color="auto"/>
        <w:bottom w:val="none" w:sz="0" w:space="0" w:color="auto"/>
        <w:right w:val="none" w:sz="0" w:space="0" w:color="auto"/>
      </w:divBdr>
    </w:div>
    <w:div w:id="71244963">
      <w:bodyDiv w:val="1"/>
      <w:marLeft w:val="0"/>
      <w:marRight w:val="0"/>
      <w:marTop w:val="0"/>
      <w:marBottom w:val="0"/>
      <w:divBdr>
        <w:top w:val="none" w:sz="0" w:space="0" w:color="auto"/>
        <w:left w:val="none" w:sz="0" w:space="0" w:color="auto"/>
        <w:bottom w:val="none" w:sz="0" w:space="0" w:color="auto"/>
        <w:right w:val="none" w:sz="0" w:space="0" w:color="auto"/>
      </w:divBdr>
    </w:div>
    <w:div w:id="75976060">
      <w:bodyDiv w:val="1"/>
      <w:marLeft w:val="0"/>
      <w:marRight w:val="0"/>
      <w:marTop w:val="0"/>
      <w:marBottom w:val="0"/>
      <w:divBdr>
        <w:top w:val="none" w:sz="0" w:space="0" w:color="auto"/>
        <w:left w:val="none" w:sz="0" w:space="0" w:color="auto"/>
        <w:bottom w:val="none" w:sz="0" w:space="0" w:color="auto"/>
        <w:right w:val="none" w:sz="0" w:space="0" w:color="auto"/>
      </w:divBdr>
    </w:div>
    <w:div w:id="80418384">
      <w:bodyDiv w:val="1"/>
      <w:marLeft w:val="0"/>
      <w:marRight w:val="0"/>
      <w:marTop w:val="0"/>
      <w:marBottom w:val="0"/>
      <w:divBdr>
        <w:top w:val="none" w:sz="0" w:space="0" w:color="auto"/>
        <w:left w:val="none" w:sz="0" w:space="0" w:color="auto"/>
        <w:bottom w:val="none" w:sz="0" w:space="0" w:color="auto"/>
        <w:right w:val="none" w:sz="0" w:space="0" w:color="auto"/>
      </w:divBdr>
    </w:div>
    <w:div w:id="83966326">
      <w:bodyDiv w:val="1"/>
      <w:marLeft w:val="0"/>
      <w:marRight w:val="0"/>
      <w:marTop w:val="0"/>
      <w:marBottom w:val="0"/>
      <w:divBdr>
        <w:top w:val="none" w:sz="0" w:space="0" w:color="auto"/>
        <w:left w:val="none" w:sz="0" w:space="0" w:color="auto"/>
        <w:bottom w:val="none" w:sz="0" w:space="0" w:color="auto"/>
        <w:right w:val="none" w:sz="0" w:space="0" w:color="auto"/>
      </w:divBdr>
    </w:div>
    <w:div w:id="85007818">
      <w:bodyDiv w:val="1"/>
      <w:marLeft w:val="0"/>
      <w:marRight w:val="0"/>
      <w:marTop w:val="0"/>
      <w:marBottom w:val="0"/>
      <w:divBdr>
        <w:top w:val="none" w:sz="0" w:space="0" w:color="auto"/>
        <w:left w:val="none" w:sz="0" w:space="0" w:color="auto"/>
        <w:bottom w:val="none" w:sz="0" w:space="0" w:color="auto"/>
        <w:right w:val="none" w:sz="0" w:space="0" w:color="auto"/>
      </w:divBdr>
    </w:div>
    <w:div w:id="86537532">
      <w:bodyDiv w:val="1"/>
      <w:marLeft w:val="0"/>
      <w:marRight w:val="0"/>
      <w:marTop w:val="0"/>
      <w:marBottom w:val="0"/>
      <w:divBdr>
        <w:top w:val="none" w:sz="0" w:space="0" w:color="auto"/>
        <w:left w:val="none" w:sz="0" w:space="0" w:color="auto"/>
        <w:bottom w:val="none" w:sz="0" w:space="0" w:color="auto"/>
        <w:right w:val="none" w:sz="0" w:space="0" w:color="auto"/>
      </w:divBdr>
    </w:div>
    <w:div w:id="93719066">
      <w:bodyDiv w:val="1"/>
      <w:marLeft w:val="0"/>
      <w:marRight w:val="0"/>
      <w:marTop w:val="0"/>
      <w:marBottom w:val="0"/>
      <w:divBdr>
        <w:top w:val="none" w:sz="0" w:space="0" w:color="auto"/>
        <w:left w:val="none" w:sz="0" w:space="0" w:color="auto"/>
        <w:bottom w:val="none" w:sz="0" w:space="0" w:color="auto"/>
        <w:right w:val="none" w:sz="0" w:space="0" w:color="auto"/>
      </w:divBdr>
    </w:div>
    <w:div w:id="96802763">
      <w:bodyDiv w:val="1"/>
      <w:marLeft w:val="0"/>
      <w:marRight w:val="0"/>
      <w:marTop w:val="0"/>
      <w:marBottom w:val="0"/>
      <w:divBdr>
        <w:top w:val="none" w:sz="0" w:space="0" w:color="auto"/>
        <w:left w:val="none" w:sz="0" w:space="0" w:color="auto"/>
        <w:bottom w:val="none" w:sz="0" w:space="0" w:color="auto"/>
        <w:right w:val="none" w:sz="0" w:space="0" w:color="auto"/>
      </w:divBdr>
    </w:div>
    <w:div w:id="98912973">
      <w:bodyDiv w:val="1"/>
      <w:marLeft w:val="0"/>
      <w:marRight w:val="0"/>
      <w:marTop w:val="0"/>
      <w:marBottom w:val="0"/>
      <w:divBdr>
        <w:top w:val="none" w:sz="0" w:space="0" w:color="auto"/>
        <w:left w:val="none" w:sz="0" w:space="0" w:color="auto"/>
        <w:bottom w:val="none" w:sz="0" w:space="0" w:color="auto"/>
        <w:right w:val="none" w:sz="0" w:space="0" w:color="auto"/>
      </w:divBdr>
    </w:div>
    <w:div w:id="100730114">
      <w:bodyDiv w:val="1"/>
      <w:marLeft w:val="0"/>
      <w:marRight w:val="0"/>
      <w:marTop w:val="0"/>
      <w:marBottom w:val="0"/>
      <w:divBdr>
        <w:top w:val="none" w:sz="0" w:space="0" w:color="auto"/>
        <w:left w:val="none" w:sz="0" w:space="0" w:color="auto"/>
        <w:bottom w:val="none" w:sz="0" w:space="0" w:color="auto"/>
        <w:right w:val="none" w:sz="0" w:space="0" w:color="auto"/>
      </w:divBdr>
    </w:div>
    <w:div w:id="101730175">
      <w:bodyDiv w:val="1"/>
      <w:marLeft w:val="0"/>
      <w:marRight w:val="0"/>
      <w:marTop w:val="0"/>
      <w:marBottom w:val="0"/>
      <w:divBdr>
        <w:top w:val="none" w:sz="0" w:space="0" w:color="auto"/>
        <w:left w:val="none" w:sz="0" w:space="0" w:color="auto"/>
        <w:bottom w:val="none" w:sz="0" w:space="0" w:color="auto"/>
        <w:right w:val="none" w:sz="0" w:space="0" w:color="auto"/>
      </w:divBdr>
    </w:div>
    <w:div w:id="117996506">
      <w:bodyDiv w:val="1"/>
      <w:marLeft w:val="0"/>
      <w:marRight w:val="0"/>
      <w:marTop w:val="0"/>
      <w:marBottom w:val="0"/>
      <w:divBdr>
        <w:top w:val="none" w:sz="0" w:space="0" w:color="auto"/>
        <w:left w:val="none" w:sz="0" w:space="0" w:color="auto"/>
        <w:bottom w:val="none" w:sz="0" w:space="0" w:color="auto"/>
        <w:right w:val="none" w:sz="0" w:space="0" w:color="auto"/>
      </w:divBdr>
    </w:div>
    <w:div w:id="119148458">
      <w:bodyDiv w:val="1"/>
      <w:marLeft w:val="0"/>
      <w:marRight w:val="0"/>
      <w:marTop w:val="0"/>
      <w:marBottom w:val="0"/>
      <w:divBdr>
        <w:top w:val="none" w:sz="0" w:space="0" w:color="auto"/>
        <w:left w:val="none" w:sz="0" w:space="0" w:color="auto"/>
        <w:bottom w:val="none" w:sz="0" w:space="0" w:color="auto"/>
        <w:right w:val="none" w:sz="0" w:space="0" w:color="auto"/>
      </w:divBdr>
    </w:div>
    <w:div w:id="119880674">
      <w:bodyDiv w:val="1"/>
      <w:marLeft w:val="0"/>
      <w:marRight w:val="0"/>
      <w:marTop w:val="0"/>
      <w:marBottom w:val="0"/>
      <w:divBdr>
        <w:top w:val="none" w:sz="0" w:space="0" w:color="auto"/>
        <w:left w:val="none" w:sz="0" w:space="0" w:color="auto"/>
        <w:bottom w:val="none" w:sz="0" w:space="0" w:color="auto"/>
        <w:right w:val="none" w:sz="0" w:space="0" w:color="auto"/>
      </w:divBdr>
    </w:div>
    <w:div w:id="121388241">
      <w:bodyDiv w:val="1"/>
      <w:marLeft w:val="0"/>
      <w:marRight w:val="0"/>
      <w:marTop w:val="0"/>
      <w:marBottom w:val="0"/>
      <w:divBdr>
        <w:top w:val="none" w:sz="0" w:space="0" w:color="auto"/>
        <w:left w:val="none" w:sz="0" w:space="0" w:color="auto"/>
        <w:bottom w:val="none" w:sz="0" w:space="0" w:color="auto"/>
        <w:right w:val="none" w:sz="0" w:space="0" w:color="auto"/>
      </w:divBdr>
    </w:div>
    <w:div w:id="122965546">
      <w:bodyDiv w:val="1"/>
      <w:marLeft w:val="0"/>
      <w:marRight w:val="0"/>
      <w:marTop w:val="0"/>
      <w:marBottom w:val="0"/>
      <w:divBdr>
        <w:top w:val="none" w:sz="0" w:space="0" w:color="auto"/>
        <w:left w:val="none" w:sz="0" w:space="0" w:color="auto"/>
        <w:bottom w:val="none" w:sz="0" w:space="0" w:color="auto"/>
        <w:right w:val="none" w:sz="0" w:space="0" w:color="auto"/>
      </w:divBdr>
    </w:div>
    <w:div w:id="122965909">
      <w:bodyDiv w:val="1"/>
      <w:marLeft w:val="0"/>
      <w:marRight w:val="0"/>
      <w:marTop w:val="0"/>
      <w:marBottom w:val="0"/>
      <w:divBdr>
        <w:top w:val="none" w:sz="0" w:space="0" w:color="auto"/>
        <w:left w:val="none" w:sz="0" w:space="0" w:color="auto"/>
        <w:bottom w:val="none" w:sz="0" w:space="0" w:color="auto"/>
        <w:right w:val="none" w:sz="0" w:space="0" w:color="auto"/>
      </w:divBdr>
    </w:div>
    <w:div w:id="125660223">
      <w:bodyDiv w:val="1"/>
      <w:marLeft w:val="0"/>
      <w:marRight w:val="0"/>
      <w:marTop w:val="0"/>
      <w:marBottom w:val="0"/>
      <w:divBdr>
        <w:top w:val="none" w:sz="0" w:space="0" w:color="auto"/>
        <w:left w:val="none" w:sz="0" w:space="0" w:color="auto"/>
        <w:bottom w:val="none" w:sz="0" w:space="0" w:color="auto"/>
        <w:right w:val="none" w:sz="0" w:space="0" w:color="auto"/>
      </w:divBdr>
    </w:div>
    <w:div w:id="129717215">
      <w:bodyDiv w:val="1"/>
      <w:marLeft w:val="0"/>
      <w:marRight w:val="0"/>
      <w:marTop w:val="0"/>
      <w:marBottom w:val="0"/>
      <w:divBdr>
        <w:top w:val="none" w:sz="0" w:space="0" w:color="auto"/>
        <w:left w:val="none" w:sz="0" w:space="0" w:color="auto"/>
        <w:bottom w:val="none" w:sz="0" w:space="0" w:color="auto"/>
        <w:right w:val="none" w:sz="0" w:space="0" w:color="auto"/>
      </w:divBdr>
    </w:div>
    <w:div w:id="132217235">
      <w:bodyDiv w:val="1"/>
      <w:marLeft w:val="0"/>
      <w:marRight w:val="0"/>
      <w:marTop w:val="0"/>
      <w:marBottom w:val="0"/>
      <w:divBdr>
        <w:top w:val="none" w:sz="0" w:space="0" w:color="auto"/>
        <w:left w:val="none" w:sz="0" w:space="0" w:color="auto"/>
        <w:bottom w:val="none" w:sz="0" w:space="0" w:color="auto"/>
        <w:right w:val="none" w:sz="0" w:space="0" w:color="auto"/>
      </w:divBdr>
    </w:div>
    <w:div w:id="135489572">
      <w:bodyDiv w:val="1"/>
      <w:marLeft w:val="0"/>
      <w:marRight w:val="0"/>
      <w:marTop w:val="0"/>
      <w:marBottom w:val="0"/>
      <w:divBdr>
        <w:top w:val="none" w:sz="0" w:space="0" w:color="auto"/>
        <w:left w:val="none" w:sz="0" w:space="0" w:color="auto"/>
        <w:bottom w:val="none" w:sz="0" w:space="0" w:color="auto"/>
        <w:right w:val="none" w:sz="0" w:space="0" w:color="auto"/>
      </w:divBdr>
    </w:div>
    <w:div w:id="137116266">
      <w:bodyDiv w:val="1"/>
      <w:marLeft w:val="0"/>
      <w:marRight w:val="0"/>
      <w:marTop w:val="0"/>
      <w:marBottom w:val="0"/>
      <w:divBdr>
        <w:top w:val="none" w:sz="0" w:space="0" w:color="auto"/>
        <w:left w:val="none" w:sz="0" w:space="0" w:color="auto"/>
        <w:bottom w:val="none" w:sz="0" w:space="0" w:color="auto"/>
        <w:right w:val="none" w:sz="0" w:space="0" w:color="auto"/>
      </w:divBdr>
    </w:div>
    <w:div w:id="138302150">
      <w:bodyDiv w:val="1"/>
      <w:marLeft w:val="0"/>
      <w:marRight w:val="0"/>
      <w:marTop w:val="0"/>
      <w:marBottom w:val="0"/>
      <w:divBdr>
        <w:top w:val="none" w:sz="0" w:space="0" w:color="auto"/>
        <w:left w:val="none" w:sz="0" w:space="0" w:color="auto"/>
        <w:bottom w:val="none" w:sz="0" w:space="0" w:color="auto"/>
        <w:right w:val="none" w:sz="0" w:space="0" w:color="auto"/>
      </w:divBdr>
    </w:div>
    <w:div w:id="140003495">
      <w:bodyDiv w:val="1"/>
      <w:marLeft w:val="0"/>
      <w:marRight w:val="0"/>
      <w:marTop w:val="0"/>
      <w:marBottom w:val="0"/>
      <w:divBdr>
        <w:top w:val="none" w:sz="0" w:space="0" w:color="auto"/>
        <w:left w:val="none" w:sz="0" w:space="0" w:color="auto"/>
        <w:bottom w:val="none" w:sz="0" w:space="0" w:color="auto"/>
        <w:right w:val="none" w:sz="0" w:space="0" w:color="auto"/>
      </w:divBdr>
    </w:div>
    <w:div w:id="140007787">
      <w:bodyDiv w:val="1"/>
      <w:marLeft w:val="0"/>
      <w:marRight w:val="0"/>
      <w:marTop w:val="0"/>
      <w:marBottom w:val="0"/>
      <w:divBdr>
        <w:top w:val="none" w:sz="0" w:space="0" w:color="auto"/>
        <w:left w:val="none" w:sz="0" w:space="0" w:color="auto"/>
        <w:bottom w:val="none" w:sz="0" w:space="0" w:color="auto"/>
        <w:right w:val="none" w:sz="0" w:space="0" w:color="auto"/>
      </w:divBdr>
    </w:div>
    <w:div w:id="140661337">
      <w:bodyDiv w:val="1"/>
      <w:marLeft w:val="0"/>
      <w:marRight w:val="0"/>
      <w:marTop w:val="0"/>
      <w:marBottom w:val="0"/>
      <w:divBdr>
        <w:top w:val="none" w:sz="0" w:space="0" w:color="auto"/>
        <w:left w:val="none" w:sz="0" w:space="0" w:color="auto"/>
        <w:bottom w:val="none" w:sz="0" w:space="0" w:color="auto"/>
        <w:right w:val="none" w:sz="0" w:space="0" w:color="auto"/>
      </w:divBdr>
    </w:div>
    <w:div w:id="141655426">
      <w:bodyDiv w:val="1"/>
      <w:marLeft w:val="0"/>
      <w:marRight w:val="0"/>
      <w:marTop w:val="0"/>
      <w:marBottom w:val="0"/>
      <w:divBdr>
        <w:top w:val="none" w:sz="0" w:space="0" w:color="auto"/>
        <w:left w:val="none" w:sz="0" w:space="0" w:color="auto"/>
        <w:bottom w:val="none" w:sz="0" w:space="0" w:color="auto"/>
        <w:right w:val="none" w:sz="0" w:space="0" w:color="auto"/>
      </w:divBdr>
    </w:div>
    <w:div w:id="142816243">
      <w:bodyDiv w:val="1"/>
      <w:marLeft w:val="0"/>
      <w:marRight w:val="0"/>
      <w:marTop w:val="0"/>
      <w:marBottom w:val="0"/>
      <w:divBdr>
        <w:top w:val="none" w:sz="0" w:space="0" w:color="auto"/>
        <w:left w:val="none" w:sz="0" w:space="0" w:color="auto"/>
        <w:bottom w:val="none" w:sz="0" w:space="0" w:color="auto"/>
        <w:right w:val="none" w:sz="0" w:space="0" w:color="auto"/>
      </w:divBdr>
    </w:div>
    <w:div w:id="144663345">
      <w:bodyDiv w:val="1"/>
      <w:marLeft w:val="0"/>
      <w:marRight w:val="0"/>
      <w:marTop w:val="0"/>
      <w:marBottom w:val="0"/>
      <w:divBdr>
        <w:top w:val="none" w:sz="0" w:space="0" w:color="auto"/>
        <w:left w:val="none" w:sz="0" w:space="0" w:color="auto"/>
        <w:bottom w:val="none" w:sz="0" w:space="0" w:color="auto"/>
        <w:right w:val="none" w:sz="0" w:space="0" w:color="auto"/>
      </w:divBdr>
    </w:div>
    <w:div w:id="150870632">
      <w:bodyDiv w:val="1"/>
      <w:marLeft w:val="0"/>
      <w:marRight w:val="0"/>
      <w:marTop w:val="0"/>
      <w:marBottom w:val="0"/>
      <w:divBdr>
        <w:top w:val="none" w:sz="0" w:space="0" w:color="auto"/>
        <w:left w:val="none" w:sz="0" w:space="0" w:color="auto"/>
        <w:bottom w:val="none" w:sz="0" w:space="0" w:color="auto"/>
        <w:right w:val="none" w:sz="0" w:space="0" w:color="auto"/>
      </w:divBdr>
    </w:div>
    <w:div w:id="150996170">
      <w:bodyDiv w:val="1"/>
      <w:marLeft w:val="0"/>
      <w:marRight w:val="0"/>
      <w:marTop w:val="0"/>
      <w:marBottom w:val="0"/>
      <w:divBdr>
        <w:top w:val="none" w:sz="0" w:space="0" w:color="auto"/>
        <w:left w:val="none" w:sz="0" w:space="0" w:color="auto"/>
        <w:bottom w:val="none" w:sz="0" w:space="0" w:color="auto"/>
        <w:right w:val="none" w:sz="0" w:space="0" w:color="auto"/>
      </w:divBdr>
    </w:div>
    <w:div w:id="155732800">
      <w:bodyDiv w:val="1"/>
      <w:marLeft w:val="0"/>
      <w:marRight w:val="0"/>
      <w:marTop w:val="0"/>
      <w:marBottom w:val="0"/>
      <w:divBdr>
        <w:top w:val="none" w:sz="0" w:space="0" w:color="auto"/>
        <w:left w:val="none" w:sz="0" w:space="0" w:color="auto"/>
        <w:bottom w:val="none" w:sz="0" w:space="0" w:color="auto"/>
        <w:right w:val="none" w:sz="0" w:space="0" w:color="auto"/>
      </w:divBdr>
    </w:div>
    <w:div w:id="157423775">
      <w:bodyDiv w:val="1"/>
      <w:marLeft w:val="0"/>
      <w:marRight w:val="0"/>
      <w:marTop w:val="0"/>
      <w:marBottom w:val="0"/>
      <w:divBdr>
        <w:top w:val="none" w:sz="0" w:space="0" w:color="auto"/>
        <w:left w:val="none" w:sz="0" w:space="0" w:color="auto"/>
        <w:bottom w:val="none" w:sz="0" w:space="0" w:color="auto"/>
        <w:right w:val="none" w:sz="0" w:space="0" w:color="auto"/>
      </w:divBdr>
    </w:div>
    <w:div w:id="157769826">
      <w:bodyDiv w:val="1"/>
      <w:marLeft w:val="0"/>
      <w:marRight w:val="0"/>
      <w:marTop w:val="0"/>
      <w:marBottom w:val="0"/>
      <w:divBdr>
        <w:top w:val="none" w:sz="0" w:space="0" w:color="auto"/>
        <w:left w:val="none" w:sz="0" w:space="0" w:color="auto"/>
        <w:bottom w:val="none" w:sz="0" w:space="0" w:color="auto"/>
        <w:right w:val="none" w:sz="0" w:space="0" w:color="auto"/>
      </w:divBdr>
    </w:div>
    <w:div w:id="158035538">
      <w:bodyDiv w:val="1"/>
      <w:marLeft w:val="0"/>
      <w:marRight w:val="0"/>
      <w:marTop w:val="0"/>
      <w:marBottom w:val="0"/>
      <w:divBdr>
        <w:top w:val="none" w:sz="0" w:space="0" w:color="auto"/>
        <w:left w:val="none" w:sz="0" w:space="0" w:color="auto"/>
        <w:bottom w:val="none" w:sz="0" w:space="0" w:color="auto"/>
        <w:right w:val="none" w:sz="0" w:space="0" w:color="auto"/>
      </w:divBdr>
    </w:div>
    <w:div w:id="162747385">
      <w:bodyDiv w:val="1"/>
      <w:marLeft w:val="0"/>
      <w:marRight w:val="0"/>
      <w:marTop w:val="0"/>
      <w:marBottom w:val="0"/>
      <w:divBdr>
        <w:top w:val="none" w:sz="0" w:space="0" w:color="auto"/>
        <w:left w:val="none" w:sz="0" w:space="0" w:color="auto"/>
        <w:bottom w:val="none" w:sz="0" w:space="0" w:color="auto"/>
        <w:right w:val="none" w:sz="0" w:space="0" w:color="auto"/>
      </w:divBdr>
    </w:div>
    <w:div w:id="175730245">
      <w:bodyDiv w:val="1"/>
      <w:marLeft w:val="0"/>
      <w:marRight w:val="0"/>
      <w:marTop w:val="0"/>
      <w:marBottom w:val="0"/>
      <w:divBdr>
        <w:top w:val="none" w:sz="0" w:space="0" w:color="auto"/>
        <w:left w:val="none" w:sz="0" w:space="0" w:color="auto"/>
        <w:bottom w:val="none" w:sz="0" w:space="0" w:color="auto"/>
        <w:right w:val="none" w:sz="0" w:space="0" w:color="auto"/>
      </w:divBdr>
    </w:div>
    <w:div w:id="176116124">
      <w:bodyDiv w:val="1"/>
      <w:marLeft w:val="0"/>
      <w:marRight w:val="0"/>
      <w:marTop w:val="0"/>
      <w:marBottom w:val="0"/>
      <w:divBdr>
        <w:top w:val="none" w:sz="0" w:space="0" w:color="auto"/>
        <w:left w:val="none" w:sz="0" w:space="0" w:color="auto"/>
        <w:bottom w:val="none" w:sz="0" w:space="0" w:color="auto"/>
        <w:right w:val="none" w:sz="0" w:space="0" w:color="auto"/>
      </w:divBdr>
    </w:div>
    <w:div w:id="178544908">
      <w:bodyDiv w:val="1"/>
      <w:marLeft w:val="0"/>
      <w:marRight w:val="0"/>
      <w:marTop w:val="0"/>
      <w:marBottom w:val="0"/>
      <w:divBdr>
        <w:top w:val="none" w:sz="0" w:space="0" w:color="auto"/>
        <w:left w:val="none" w:sz="0" w:space="0" w:color="auto"/>
        <w:bottom w:val="none" w:sz="0" w:space="0" w:color="auto"/>
        <w:right w:val="none" w:sz="0" w:space="0" w:color="auto"/>
      </w:divBdr>
    </w:div>
    <w:div w:id="178740468">
      <w:bodyDiv w:val="1"/>
      <w:marLeft w:val="0"/>
      <w:marRight w:val="0"/>
      <w:marTop w:val="0"/>
      <w:marBottom w:val="0"/>
      <w:divBdr>
        <w:top w:val="none" w:sz="0" w:space="0" w:color="auto"/>
        <w:left w:val="none" w:sz="0" w:space="0" w:color="auto"/>
        <w:bottom w:val="none" w:sz="0" w:space="0" w:color="auto"/>
        <w:right w:val="none" w:sz="0" w:space="0" w:color="auto"/>
      </w:divBdr>
    </w:div>
    <w:div w:id="179902149">
      <w:bodyDiv w:val="1"/>
      <w:marLeft w:val="0"/>
      <w:marRight w:val="0"/>
      <w:marTop w:val="0"/>
      <w:marBottom w:val="0"/>
      <w:divBdr>
        <w:top w:val="none" w:sz="0" w:space="0" w:color="auto"/>
        <w:left w:val="none" w:sz="0" w:space="0" w:color="auto"/>
        <w:bottom w:val="none" w:sz="0" w:space="0" w:color="auto"/>
        <w:right w:val="none" w:sz="0" w:space="0" w:color="auto"/>
      </w:divBdr>
    </w:div>
    <w:div w:id="181403671">
      <w:bodyDiv w:val="1"/>
      <w:marLeft w:val="0"/>
      <w:marRight w:val="0"/>
      <w:marTop w:val="0"/>
      <w:marBottom w:val="0"/>
      <w:divBdr>
        <w:top w:val="none" w:sz="0" w:space="0" w:color="auto"/>
        <w:left w:val="none" w:sz="0" w:space="0" w:color="auto"/>
        <w:bottom w:val="none" w:sz="0" w:space="0" w:color="auto"/>
        <w:right w:val="none" w:sz="0" w:space="0" w:color="auto"/>
      </w:divBdr>
    </w:div>
    <w:div w:id="183594029">
      <w:bodyDiv w:val="1"/>
      <w:marLeft w:val="0"/>
      <w:marRight w:val="0"/>
      <w:marTop w:val="0"/>
      <w:marBottom w:val="0"/>
      <w:divBdr>
        <w:top w:val="none" w:sz="0" w:space="0" w:color="auto"/>
        <w:left w:val="none" w:sz="0" w:space="0" w:color="auto"/>
        <w:bottom w:val="none" w:sz="0" w:space="0" w:color="auto"/>
        <w:right w:val="none" w:sz="0" w:space="0" w:color="auto"/>
      </w:divBdr>
    </w:div>
    <w:div w:id="184442256">
      <w:bodyDiv w:val="1"/>
      <w:marLeft w:val="0"/>
      <w:marRight w:val="0"/>
      <w:marTop w:val="0"/>
      <w:marBottom w:val="0"/>
      <w:divBdr>
        <w:top w:val="none" w:sz="0" w:space="0" w:color="auto"/>
        <w:left w:val="none" w:sz="0" w:space="0" w:color="auto"/>
        <w:bottom w:val="none" w:sz="0" w:space="0" w:color="auto"/>
        <w:right w:val="none" w:sz="0" w:space="0" w:color="auto"/>
      </w:divBdr>
    </w:div>
    <w:div w:id="185214355">
      <w:bodyDiv w:val="1"/>
      <w:marLeft w:val="0"/>
      <w:marRight w:val="0"/>
      <w:marTop w:val="0"/>
      <w:marBottom w:val="0"/>
      <w:divBdr>
        <w:top w:val="none" w:sz="0" w:space="0" w:color="auto"/>
        <w:left w:val="none" w:sz="0" w:space="0" w:color="auto"/>
        <w:bottom w:val="none" w:sz="0" w:space="0" w:color="auto"/>
        <w:right w:val="none" w:sz="0" w:space="0" w:color="auto"/>
      </w:divBdr>
    </w:div>
    <w:div w:id="186607385">
      <w:bodyDiv w:val="1"/>
      <w:marLeft w:val="0"/>
      <w:marRight w:val="0"/>
      <w:marTop w:val="0"/>
      <w:marBottom w:val="0"/>
      <w:divBdr>
        <w:top w:val="none" w:sz="0" w:space="0" w:color="auto"/>
        <w:left w:val="none" w:sz="0" w:space="0" w:color="auto"/>
        <w:bottom w:val="none" w:sz="0" w:space="0" w:color="auto"/>
        <w:right w:val="none" w:sz="0" w:space="0" w:color="auto"/>
      </w:divBdr>
    </w:div>
    <w:div w:id="187530921">
      <w:bodyDiv w:val="1"/>
      <w:marLeft w:val="0"/>
      <w:marRight w:val="0"/>
      <w:marTop w:val="0"/>
      <w:marBottom w:val="0"/>
      <w:divBdr>
        <w:top w:val="none" w:sz="0" w:space="0" w:color="auto"/>
        <w:left w:val="none" w:sz="0" w:space="0" w:color="auto"/>
        <w:bottom w:val="none" w:sz="0" w:space="0" w:color="auto"/>
        <w:right w:val="none" w:sz="0" w:space="0" w:color="auto"/>
      </w:divBdr>
    </w:div>
    <w:div w:id="191266273">
      <w:bodyDiv w:val="1"/>
      <w:marLeft w:val="0"/>
      <w:marRight w:val="0"/>
      <w:marTop w:val="0"/>
      <w:marBottom w:val="0"/>
      <w:divBdr>
        <w:top w:val="none" w:sz="0" w:space="0" w:color="auto"/>
        <w:left w:val="none" w:sz="0" w:space="0" w:color="auto"/>
        <w:bottom w:val="none" w:sz="0" w:space="0" w:color="auto"/>
        <w:right w:val="none" w:sz="0" w:space="0" w:color="auto"/>
      </w:divBdr>
    </w:div>
    <w:div w:id="191459953">
      <w:bodyDiv w:val="1"/>
      <w:marLeft w:val="0"/>
      <w:marRight w:val="0"/>
      <w:marTop w:val="0"/>
      <w:marBottom w:val="0"/>
      <w:divBdr>
        <w:top w:val="none" w:sz="0" w:space="0" w:color="auto"/>
        <w:left w:val="none" w:sz="0" w:space="0" w:color="auto"/>
        <w:bottom w:val="none" w:sz="0" w:space="0" w:color="auto"/>
        <w:right w:val="none" w:sz="0" w:space="0" w:color="auto"/>
      </w:divBdr>
    </w:div>
    <w:div w:id="193082666">
      <w:bodyDiv w:val="1"/>
      <w:marLeft w:val="0"/>
      <w:marRight w:val="0"/>
      <w:marTop w:val="0"/>
      <w:marBottom w:val="0"/>
      <w:divBdr>
        <w:top w:val="none" w:sz="0" w:space="0" w:color="auto"/>
        <w:left w:val="none" w:sz="0" w:space="0" w:color="auto"/>
        <w:bottom w:val="none" w:sz="0" w:space="0" w:color="auto"/>
        <w:right w:val="none" w:sz="0" w:space="0" w:color="auto"/>
      </w:divBdr>
    </w:div>
    <w:div w:id="194929943">
      <w:bodyDiv w:val="1"/>
      <w:marLeft w:val="0"/>
      <w:marRight w:val="0"/>
      <w:marTop w:val="0"/>
      <w:marBottom w:val="0"/>
      <w:divBdr>
        <w:top w:val="none" w:sz="0" w:space="0" w:color="auto"/>
        <w:left w:val="none" w:sz="0" w:space="0" w:color="auto"/>
        <w:bottom w:val="none" w:sz="0" w:space="0" w:color="auto"/>
        <w:right w:val="none" w:sz="0" w:space="0" w:color="auto"/>
      </w:divBdr>
    </w:div>
    <w:div w:id="195823886">
      <w:bodyDiv w:val="1"/>
      <w:marLeft w:val="0"/>
      <w:marRight w:val="0"/>
      <w:marTop w:val="0"/>
      <w:marBottom w:val="0"/>
      <w:divBdr>
        <w:top w:val="none" w:sz="0" w:space="0" w:color="auto"/>
        <w:left w:val="none" w:sz="0" w:space="0" w:color="auto"/>
        <w:bottom w:val="none" w:sz="0" w:space="0" w:color="auto"/>
        <w:right w:val="none" w:sz="0" w:space="0" w:color="auto"/>
      </w:divBdr>
    </w:div>
    <w:div w:id="205066080">
      <w:bodyDiv w:val="1"/>
      <w:marLeft w:val="0"/>
      <w:marRight w:val="0"/>
      <w:marTop w:val="0"/>
      <w:marBottom w:val="0"/>
      <w:divBdr>
        <w:top w:val="none" w:sz="0" w:space="0" w:color="auto"/>
        <w:left w:val="none" w:sz="0" w:space="0" w:color="auto"/>
        <w:bottom w:val="none" w:sz="0" w:space="0" w:color="auto"/>
        <w:right w:val="none" w:sz="0" w:space="0" w:color="auto"/>
      </w:divBdr>
    </w:div>
    <w:div w:id="205259652">
      <w:bodyDiv w:val="1"/>
      <w:marLeft w:val="0"/>
      <w:marRight w:val="0"/>
      <w:marTop w:val="0"/>
      <w:marBottom w:val="0"/>
      <w:divBdr>
        <w:top w:val="none" w:sz="0" w:space="0" w:color="auto"/>
        <w:left w:val="none" w:sz="0" w:space="0" w:color="auto"/>
        <w:bottom w:val="none" w:sz="0" w:space="0" w:color="auto"/>
        <w:right w:val="none" w:sz="0" w:space="0" w:color="auto"/>
      </w:divBdr>
    </w:div>
    <w:div w:id="205605476">
      <w:bodyDiv w:val="1"/>
      <w:marLeft w:val="0"/>
      <w:marRight w:val="0"/>
      <w:marTop w:val="0"/>
      <w:marBottom w:val="0"/>
      <w:divBdr>
        <w:top w:val="none" w:sz="0" w:space="0" w:color="auto"/>
        <w:left w:val="none" w:sz="0" w:space="0" w:color="auto"/>
        <w:bottom w:val="none" w:sz="0" w:space="0" w:color="auto"/>
        <w:right w:val="none" w:sz="0" w:space="0" w:color="auto"/>
      </w:divBdr>
    </w:div>
    <w:div w:id="206836770">
      <w:bodyDiv w:val="1"/>
      <w:marLeft w:val="0"/>
      <w:marRight w:val="0"/>
      <w:marTop w:val="0"/>
      <w:marBottom w:val="0"/>
      <w:divBdr>
        <w:top w:val="none" w:sz="0" w:space="0" w:color="auto"/>
        <w:left w:val="none" w:sz="0" w:space="0" w:color="auto"/>
        <w:bottom w:val="none" w:sz="0" w:space="0" w:color="auto"/>
        <w:right w:val="none" w:sz="0" w:space="0" w:color="auto"/>
      </w:divBdr>
    </w:div>
    <w:div w:id="209659289">
      <w:bodyDiv w:val="1"/>
      <w:marLeft w:val="0"/>
      <w:marRight w:val="0"/>
      <w:marTop w:val="0"/>
      <w:marBottom w:val="0"/>
      <w:divBdr>
        <w:top w:val="none" w:sz="0" w:space="0" w:color="auto"/>
        <w:left w:val="none" w:sz="0" w:space="0" w:color="auto"/>
        <w:bottom w:val="none" w:sz="0" w:space="0" w:color="auto"/>
        <w:right w:val="none" w:sz="0" w:space="0" w:color="auto"/>
      </w:divBdr>
    </w:div>
    <w:div w:id="214893095">
      <w:bodyDiv w:val="1"/>
      <w:marLeft w:val="0"/>
      <w:marRight w:val="0"/>
      <w:marTop w:val="0"/>
      <w:marBottom w:val="0"/>
      <w:divBdr>
        <w:top w:val="none" w:sz="0" w:space="0" w:color="auto"/>
        <w:left w:val="none" w:sz="0" w:space="0" w:color="auto"/>
        <w:bottom w:val="none" w:sz="0" w:space="0" w:color="auto"/>
        <w:right w:val="none" w:sz="0" w:space="0" w:color="auto"/>
      </w:divBdr>
    </w:div>
    <w:div w:id="219286244">
      <w:bodyDiv w:val="1"/>
      <w:marLeft w:val="0"/>
      <w:marRight w:val="0"/>
      <w:marTop w:val="0"/>
      <w:marBottom w:val="0"/>
      <w:divBdr>
        <w:top w:val="none" w:sz="0" w:space="0" w:color="auto"/>
        <w:left w:val="none" w:sz="0" w:space="0" w:color="auto"/>
        <w:bottom w:val="none" w:sz="0" w:space="0" w:color="auto"/>
        <w:right w:val="none" w:sz="0" w:space="0" w:color="auto"/>
      </w:divBdr>
    </w:div>
    <w:div w:id="222833492">
      <w:bodyDiv w:val="1"/>
      <w:marLeft w:val="0"/>
      <w:marRight w:val="0"/>
      <w:marTop w:val="0"/>
      <w:marBottom w:val="0"/>
      <w:divBdr>
        <w:top w:val="none" w:sz="0" w:space="0" w:color="auto"/>
        <w:left w:val="none" w:sz="0" w:space="0" w:color="auto"/>
        <w:bottom w:val="none" w:sz="0" w:space="0" w:color="auto"/>
        <w:right w:val="none" w:sz="0" w:space="0" w:color="auto"/>
      </w:divBdr>
    </w:div>
    <w:div w:id="226917962">
      <w:bodyDiv w:val="1"/>
      <w:marLeft w:val="0"/>
      <w:marRight w:val="0"/>
      <w:marTop w:val="0"/>
      <w:marBottom w:val="0"/>
      <w:divBdr>
        <w:top w:val="none" w:sz="0" w:space="0" w:color="auto"/>
        <w:left w:val="none" w:sz="0" w:space="0" w:color="auto"/>
        <w:bottom w:val="none" w:sz="0" w:space="0" w:color="auto"/>
        <w:right w:val="none" w:sz="0" w:space="0" w:color="auto"/>
      </w:divBdr>
    </w:div>
    <w:div w:id="232205231">
      <w:bodyDiv w:val="1"/>
      <w:marLeft w:val="0"/>
      <w:marRight w:val="0"/>
      <w:marTop w:val="0"/>
      <w:marBottom w:val="0"/>
      <w:divBdr>
        <w:top w:val="none" w:sz="0" w:space="0" w:color="auto"/>
        <w:left w:val="none" w:sz="0" w:space="0" w:color="auto"/>
        <w:bottom w:val="none" w:sz="0" w:space="0" w:color="auto"/>
        <w:right w:val="none" w:sz="0" w:space="0" w:color="auto"/>
      </w:divBdr>
    </w:div>
    <w:div w:id="233858286">
      <w:bodyDiv w:val="1"/>
      <w:marLeft w:val="0"/>
      <w:marRight w:val="0"/>
      <w:marTop w:val="0"/>
      <w:marBottom w:val="0"/>
      <w:divBdr>
        <w:top w:val="none" w:sz="0" w:space="0" w:color="auto"/>
        <w:left w:val="none" w:sz="0" w:space="0" w:color="auto"/>
        <w:bottom w:val="none" w:sz="0" w:space="0" w:color="auto"/>
        <w:right w:val="none" w:sz="0" w:space="0" w:color="auto"/>
      </w:divBdr>
    </w:div>
    <w:div w:id="234170014">
      <w:bodyDiv w:val="1"/>
      <w:marLeft w:val="0"/>
      <w:marRight w:val="0"/>
      <w:marTop w:val="0"/>
      <w:marBottom w:val="0"/>
      <w:divBdr>
        <w:top w:val="none" w:sz="0" w:space="0" w:color="auto"/>
        <w:left w:val="none" w:sz="0" w:space="0" w:color="auto"/>
        <w:bottom w:val="none" w:sz="0" w:space="0" w:color="auto"/>
        <w:right w:val="none" w:sz="0" w:space="0" w:color="auto"/>
      </w:divBdr>
    </w:div>
    <w:div w:id="238054497">
      <w:bodyDiv w:val="1"/>
      <w:marLeft w:val="0"/>
      <w:marRight w:val="0"/>
      <w:marTop w:val="0"/>
      <w:marBottom w:val="0"/>
      <w:divBdr>
        <w:top w:val="none" w:sz="0" w:space="0" w:color="auto"/>
        <w:left w:val="none" w:sz="0" w:space="0" w:color="auto"/>
        <w:bottom w:val="none" w:sz="0" w:space="0" w:color="auto"/>
        <w:right w:val="none" w:sz="0" w:space="0" w:color="auto"/>
      </w:divBdr>
    </w:div>
    <w:div w:id="238293686">
      <w:bodyDiv w:val="1"/>
      <w:marLeft w:val="0"/>
      <w:marRight w:val="0"/>
      <w:marTop w:val="0"/>
      <w:marBottom w:val="0"/>
      <w:divBdr>
        <w:top w:val="none" w:sz="0" w:space="0" w:color="auto"/>
        <w:left w:val="none" w:sz="0" w:space="0" w:color="auto"/>
        <w:bottom w:val="none" w:sz="0" w:space="0" w:color="auto"/>
        <w:right w:val="none" w:sz="0" w:space="0" w:color="auto"/>
      </w:divBdr>
    </w:div>
    <w:div w:id="239365672">
      <w:bodyDiv w:val="1"/>
      <w:marLeft w:val="0"/>
      <w:marRight w:val="0"/>
      <w:marTop w:val="0"/>
      <w:marBottom w:val="0"/>
      <w:divBdr>
        <w:top w:val="none" w:sz="0" w:space="0" w:color="auto"/>
        <w:left w:val="none" w:sz="0" w:space="0" w:color="auto"/>
        <w:bottom w:val="none" w:sz="0" w:space="0" w:color="auto"/>
        <w:right w:val="none" w:sz="0" w:space="0" w:color="auto"/>
      </w:divBdr>
    </w:div>
    <w:div w:id="239680729">
      <w:bodyDiv w:val="1"/>
      <w:marLeft w:val="0"/>
      <w:marRight w:val="0"/>
      <w:marTop w:val="0"/>
      <w:marBottom w:val="0"/>
      <w:divBdr>
        <w:top w:val="none" w:sz="0" w:space="0" w:color="auto"/>
        <w:left w:val="none" w:sz="0" w:space="0" w:color="auto"/>
        <w:bottom w:val="none" w:sz="0" w:space="0" w:color="auto"/>
        <w:right w:val="none" w:sz="0" w:space="0" w:color="auto"/>
      </w:divBdr>
    </w:div>
    <w:div w:id="241527258">
      <w:bodyDiv w:val="1"/>
      <w:marLeft w:val="0"/>
      <w:marRight w:val="0"/>
      <w:marTop w:val="0"/>
      <w:marBottom w:val="0"/>
      <w:divBdr>
        <w:top w:val="none" w:sz="0" w:space="0" w:color="auto"/>
        <w:left w:val="none" w:sz="0" w:space="0" w:color="auto"/>
        <w:bottom w:val="none" w:sz="0" w:space="0" w:color="auto"/>
        <w:right w:val="none" w:sz="0" w:space="0" w:color="auto"/>
      </w:divBdr>
    </w:div>
    <w:div w:id="241568015">
      <w:bodyDiv w:val="1"/>
      <w:marLeft w:val="0"/>
      <w:marRight w:val="0"/>
      <w:marTop w:val="0"/>
      <w:marBottom w:val="0"/>
      <w:divBdr>
        <w:top w:val="none" w:sz="0" w:space="0" w:color="auto"/>
        <w:left w:val="none" w:sz="0" w:space="0" w:color="auto"/>
        <w:bottom w:val="none" w:sz="0" w:space="0" w:color="auto"/>
        <w:right w:val="none" w:sz="0" w:space="0" w:color="auto"/>
      </w:divBdr>
    </w:div>
    <w:div w:id="244338845">
      <w:bodyDiv w:val="1"/>
      <w:marLeft w:val="0"/>
      <w:marRight w:val="0"/>
      <w:marTop w:val="0"/>
      <w:marBottom w:val="0"/>
      <w:divBdr>
        <w:top w:val="none" w:sz="0" w:space="0" w:color="auto"/>
        <w:left w:val="none" w:sz="0" w:space="0" w:color="auto"/>
        <w:bottom w:val="none" w:sz="0" w:space="0" w:color="auto"/>
        <w:right w:val="none" w:sz="0" w:space="0" w:color="auto"/>
      </w:divBdr>
    </w:div>
    <w:div w:id="244653721">
      <w:bodyDiv w:val="1"/>
      <w:marLeft w:val="0"/>
      <w:marRight w:val="0"/>
      <w:marTop w:val="0"/>
      <w:marBottom w:val="0"/>
      <w:divBdr>
        <w:top w:val="none" w:sz="0" w:space="0" w:color="auto"/>
        <w:left w:val="none" w:sz="0" w:space="0" w:color="auto"/>
        <w:bottom w:val="none" w:sz="0" w:space="0" w:color="auto"/>
        <w:right w:val="none" w:sz="0" w:space="0" w:color="auto"/>
      </w:divBdr>
    </w:div>
    <w:div w:id="246622485">
      <w:bodyDiv w:val="1"/>
      <w:marLeft w:val="0"/>
      <w:marRight w:val="0"/>
      <w:marTop w:val="0"/>
      <w:marBottom w:val="0"/>
      <w:divBdr>
        <w:top w:val="none" w:sz="0" w:space="0" w:color="auto"/>
        <w:left w:val="none" w:sz="0" w:space="0" w:color="auto"/>
        <w:bottom w:val="none" w:sz="0" w:space="0" w:color="auto"/>
        <w:right w:val="none" w:sz="0" w:space="0" w:color="auto"/>
      </w:divBdr>
    </w:div>
    <w:div w:id="247930011">
      <w:bodyDiv w:val="1"/>
      <w:marLeft w:val="0"/>
      <w:marRight w:val="0"/>
      <w:marTop w:val="0"/>
      <w:marBottom w:val="0"/>
      <w:divBdr>
        <w:top w:val="none" w:sz="0" w:space="0" w:color="auto"/>
        <w:left w:val="none" w:sz="0" w:space="0" w:color="auto"/>
        <w:bottom w:val="none" w:sz="0" w:space="0" w:color="auto"/>
        <w:right w:val="none" w:sz="0" w:space="0" w:color="auto"/>
      </w:divBdr>
    </w:div>
    <w:div w:id="248077203">
      <w:bodyDiv w:val="1"/>
      <w:marLeft w:val="0"/>
      <w:marRight w:val="0"/>
      <w:marTop w:val="0"/>
      <w:marBottom w:val="0"/>
      <w:divBdr>
        <w:top w:val="none" w:sz="0" w:space="0" w:color="auto"/>
        <w:left w:val="none" w:sz="0" w:space="0" w:color="auto"/>
        <w:bottom w:val="none" w:sz="0" w:space="0" w:color="auto"/>
        <w:right w:val="none" w:sz="0" w:space="0" w:color="auto"/>
      </w:divBdr>
    </w:div>
    <w:div w:id="248197720">
      <w:bodyDiv w:val="1"/>
      <w:marLeft w:val="0"/>
      <w:marRight w:val="0"/>
      <w:marTop w:val="0"/>
      <w:marBottom w:val="0"/>
      <w:divBdr>
        <w:top w:val="none" w:sz="0" w:space="0" w:color="auto"/>
        <w:left w:val="none" w:sz="0" w:space="0" w:color="auto"/>
        <w:bottom w:val="none" w:sz="0" w:space="0" w:color="auto"/>
        <w:right w:val="none" w:sz="0" w:space="0" w:color="auto"/>
      </w:divBdr>
    </w:div>
    <w:div w:id="248271356">
      <w:bodyDiv w:val="1"/>
      <w:marLeft w:val="0"/>
      <w:marRight w:val="0"/>
      <w:marTop w:val="0"/>
      <w:marBottom w:val="0"/>
      <w:divBdr>
        <w:top w:val="none" w:sz="0" w:space="0" w:color="auto"/>
        <w:left w:val="none" w:sz="0" w:space="0" w:color="auto"/>
        <w:bottom w:val="none" w:sz="0" w:space="0" w:color="auto"/>
        <w:right w:val="none" w:sz="0" w:space="0" w:color="auto"/>
      </w:divBdr>
    </w:div>
    <w:div w:id="250165726">
      <w:bodyDiv w:val="1"/>
      <w:marLeft w:val="0"/>
      <w:marRight w:val="0"/>
      <w:marTop w:val="0"/>
      <w:marBottom w:val="0"/>
      <w:divBdr>
        <w:top w:val="none" w:sz="0" w:space="0" w:color="auto"/>
        <w:left w:val="none" w:sz="0" w:space="0" w:color="auto"/>
        <w:bottom w:val="none" w:sz="0" w:space="0" w:color="auto"/>
        <w:right w:val="none" w:sz="0" w:space="0" w:color="auto"/>
      </w:divBdr>
    </w:div>
    <w:div w:id="250744342">
      <w:bodyDiv w:val="1"/>
      <w:marLeft w:val="0"/>
      <w:marRight w:val="0"/>
      <w:marTop w:val="0"/>
      <w:marBottom w:val="0"/>
      <w:divBdr>
        <w:top w:val="none" w:sz="0" w:space="0" w:color="auto"/>
        <w:left w:val="none" w:sz="0" w:space="0" w:color="auto"/>
        <w:bottom w:val="none" w:sz="0" w:space="0" w:color="auto"/>
        <w:right w:val="none" w:sz="0" w:space="0" w:color="auto"/>
      </w:divBdr>
    </w:div>
    <w:div w:id="253709844">
      <w:bodyDiv w:val="1"/>
      <w:marLeft w:val="0"/>
      <w:marRight w:val="0"/>
      <w:marTop w:val="0"/>
      <w:marBottom w:val="0"/>
      <w:divBdr>
        <w:top w:val="none" w:sz="0" w:space="0" w:color="auto"/>
        <w:left w:val="none" w:sz="0" w:space="0" w:color="auto"/>
        <w:bottom w:val="none" w:sz="0" w:space="0" w:color="auto"/>
        <w:right w:val="none" w:sz="0" w:space="0" w:color="auto"/>
      </w:divBdr>
    </w:div>
    <w:div w:id="253755578">
      <w:bodyDiv w:val="1"/>
      <w:marLeft w:val="0"/>
      <w:marRight w:val="0"/>
      <w:marTop w:val="0"/>
      <w:marBottom w:val="0"/>
      <w:divBdr>
        <w:top w:val="none" w:sz="0" w:space="0" w:color="auto"/>
        <w:left w:val="none" w:sz="0" w:space="0" w:color="auto"/>
        <w:bottom w:val="none" w:sz="0" w:space="0" w:color="auto"/>
        <w:right w:val="none" w:sz="0" w:space="0" w:color="auto"/>
      </w:divBdr>
    </w:div>
    <w:div w:id="254558773">
      <w:bodyDiv w:val="1"/>
      <w:marLeft w:val="0"/>
      <w:marRight w:val="0"/>
      <w:marTop w:val="0"/>
      <w:marBottom w:val="0"/>
      <w:divBdr>
        <w:top w:val="none" w:sz="0" w:space="0" w:color="auto"/>
        <w:left w:val="none" w:sz="0" w:space="0" w:color="auto"/>
        <w:bottom w:val="none" w:sz="0" w:space="0" w:color="auto"/>
        <w:right w:val="none" w:sz="0" w:space="0" w:color="auto"/>
      </w:divBdr>
    </w:div>
    <w:div w:id="257644593">
      <w:bodyDiv w:val="1"/>
      <w:marLeft w:val="0"/>
      <w:marRight w:val="0"/>
      <w:marTop w:val="0"/>
      <w:marBottom w:val="0"/>
      <w:divBdr>
        <w:top w:val="none" w:sz="0" w:space="0" w:color="auto"/>
        <w:left w:val="none" w:sz="0" w:space="0" w:color="auto"/>
        <w:bottom w:val="none" w:sz="0" w:space="0" w:color="auto"/>
        <w:right w:val="none" w:sz="0" w:space="0" w:color="auto"/>
      </w:divBdr>
    </w:div>
    <w:div w:id="258682366">
      <w:bodyDiv w:val="1"/>
      <w:marLeft w:val="0"/>
      <w:marRight w:val="0"/>
      <w:marTop w:val="0"/>
      <w:marBottom w:val="0"/>
      <w:divBdr>
        <w:top w:val="none" w:sz="0" w:space="0" w:color="auto"/>
        <w:left w:val="none" w:sz="0" w:space="0" w:color="auto"/>
        <w:bottom w:val="none" w:sz="0" w:space="0" w:color="auto"/>
        <w:right w:val="none" w:sz="0" w:space="0" w:color="auto"/>
      </w:divBdr>
    </w:div>
    <w:div w:id="262803876">
      <w:bodyDiv w:val="1"/>
      <w:marLeft w:val="0"/>
      <w:marRight w:val="0"/>
      <w:marTop w:val="0"/>
      <w:marBottom w:val="0"/>
      <w:divBdr>
        <w:top w:val="none" w:sz="0" w:space="0" w:color="auto"/>
        <w:left w:val="none" w:sz="0" w:space="0" w:color="auto"/>
        <w:bottom w:val="none" w:sz="0" w:space="0" w:color="auto"/>
        <w:right w:val="none" w:sz="0" w:space="0" w:color="auto"/>
      </w:divBdr>
    </w:div>
    <w:div w:id="263852450">
      <w:bodyDiv w:val="1"/>
      <w:marLeft w:val="0"/>
      <w:marRight w:val="0"/>
      <w:marTop w:val="0"/>
      <w:marBottom w:val="0"/>
      <w:divBdr>
        <w:top w:val="none" w:sz="0" w:space="0" w:color="auto"/>
        <w:left w:val="none" w:sz="0" w:space="0" w:color="auto"/>
        <w:bottom w:val="none" w:sz="0" w:space="0" w:color="auto"/>
        <w:right w:val="none" w:sz="0" w:space="0" w:color="auto"/>
      </w:divBdr>
    </w:div>
    <w:div w:id="265232101">
      <w:bodyDiv w:val="1"/>
      <w:marLeft w:val="0"/>
      <w:marRight w:val="0"/>
      <w:marTop w:val="0"/>
      <w:marBottom w:val="0"/>
      <w:divBdr>
        <w:top w:val="none" w:sz="0" w:space="0" w:color="auto"/>
        <w:left w:val="none" w:sz="0" w:space="0" w:color="auto"/>
        <w:bottom w:val="none" w:sz="0" w:space="0" w:color="auto"/>
        <w:right w:val="none" w:sz="0" w:space="0" w:color="auto"/>
      </w:divBdr>
    </w:div>
    <w:div w:id="268241017">
      <w:bodyDiv w:val="1"/>
      <w:marLeft w:val="0"/>
      <w:marRight w:val="0"/>
      <w:marTop w:val="0"/>
      <w:marBottom w:val="0"/>
      <w:divBdr>
        <w:top w:val="none" w:sz="0" w:space="0" w:color="auto"/>
        <w:left w:val="none" w:sz="0" w:space="0" w:color="auto"/>
        <w:bottom w:val="none" w:sz="0" w:space="0" w:color="auto"/>
        <w:right w:val="none" w:sz="0" w:space="0" w:color="auto"/>
      </w:divBdr>
    </w:div>
    <w:div w:id="268709052">
      <w:bodyDiv w:val="1"/>
      <w:marLeft w:val="0"/>
      <w:marRight w:val="0"/>
      <w:marTop w:val="0"/>
      <w:marBottom w:val="0"/>
      <w:divBdr>
        <w:top w:val="none" w:sz="0" w:space="0" w:color="auto"/>
        <w:left w:val="none" w:sz="0" w:space="0" w:color="auto"/>
        <w:bottom w:val="none" w:sz="0" w:space="0" w:color="auto"/>
        <w:right w:val="none" w:sz="0" w:space="0" w:color="auto"/>
      </w:divBdr>
    </w:div>
    <w:div w:id="269556381">
      <w:bodyDiv w:val="1"/>
      <w:marLeft w:val="0"/>
      <w:marRight w:val="0"/>
      <w:marTop w:val="0"/>
      <w:marBottom w:val="0"/>
      <w:divBdr>
        <w:top w:val="none" w:sz="0" w:space="0" w:color="auto"/>
        <w:left w:val="none" w:sz="0" w:space="0" w:color="auto"/>
        <w:bottom w:val="none" w:sz="0" w:space="0" w:color="auto"/>
        <w:right w:val="none" w:sz="0" w:space="0" w:color="auto"/>
      </w:divBdr>
    </w:div>
    <w:div w:id="272245663">
      <w:bodyDiv w:val="1"/>
      <w:marLeft w:val="0"/>
      <w:marRight w:val="0"/>
      <w:marTop w:val="0"/>
      <w:marBottom w:val="0"/>
      <w:divBdr>
        <w:top w:val="none" w:sz="0" w:space="0" w:color="auto"/>
        <w:left w:val="none" w:sz="0" w:space="0" w:color="auto"/>
        <w:bottom w:val="none" w:sz="0" w:space="0" w:color="auto"/>
        <w:right w:val="none" w:sz="0" w:space="0" w:color="auto"/>
      </w:divBdr>
    </w:div>
    <w:div w:id="272789927">
      <w:bodyDiv w:val="1"/>
      <w:marLeft w:val="0"/>
      <w:marRight w:val="0"/>
      <w:marTop w:val="0"/>
      <w:marBottom w:val="0"/>
      <w:divBdr>
        <w:top w:val="none" w:sz="0" w:space="0" w:color="auto"/>
        <w:left w:val="none" w:sz="0" w:space="0" w:color="auto"/>
        <w:bottom w:val="none" w:sz="0" w:space="0" w:color="auto"/>
        <w:right w:val="none" w:sz="0" w:space="0" w:color="auto"/>
      </w:divBdr>
    </w:div>
    <w:div w:id="273245534">
      <w:bodyDiv w:val="1"/>
      <w:marLeft w:val="0"/>
      <w:marRight w:val="0"/>
      <w:marTop w:val="0"/>
      <w:marBottom w:val="0"/>
      <w:divBdr>
        <w:top w:val="none" w:sz="0" w:space="0" w:color="auto"/>
        <w:left w:val="none" w:sz="0" w:space="0" w:color="auto"/>
        <w:bottom w:val="none" w:sz="0" w:space="0" w:color="auto"/>
        <w:right w:val="none" w:sz="0" w:space="0" w:color="auto"/>
      </w:divBdr>
    </w:div>
    <w:div w:id="273288557">
      <w:bodyDiv w:val="1"/>
      <w:marLeft w:val="0"/>
      <w:marRight w:val="0"/>
      <w:marTop w:val="0"/>
      <w:marBottom w:val="0"/>
      <w:divBdr>
        <w:top w:val="none" w:sz="0" w:space="0" w:color="auto"/>
        <w:left w:val="none" w:sz="0" w:space="0" w:color="auto"/>
        <w:bottom w:val="none" w:sz="0" w:space="0" w:color="auto"/>
        <w:right w:val="none" w:sz="0" w:space="0" w:color="auto"/>
      </w:divBdr>
    </w:div>
    <w:div w:id="276789944">
      <w:bodyDiv w:val="1"/>
      <w:marLeft w:val="0"/>
      <w:marRight w:val="0"/>
      <w:marTop w:val="0"/>
      <w:marBottom w:val="0"/>
      <w:divBdr>
        <w:top w:val="none" w:sz="0" w:space="0" w:color="auto"/>
        <w:left w:val="none" w:sz="0" w:space="0" w:color="auto"/>
        <w:bottom w:val="none" w:sz="0" w:space="0" w:color="auto"/>
        <w:right w:val="none" w:sz="0" w:space="0" w:color="auto"/>
      </w:divBdr>
    </w:div>
    <w:div w:id="277378280">
      <w:bodyDiv w:val="1"/>
      <w:marLeft w:val="0"/>
      <w:marRight w:val="0"/>
      <w:marTop w:val="0"/>
      <w:marBottom w:val="0"/>
      <w:divBdr>
        <w:top w:val="none" w:sz="0" w:space="0" w:color="auto"/>
        <w:left w:val="none" w:sz="0" w:space="0" w:color="auto"/>
        <w:bottom w:val="none" w:sz="0" w:space="0" w:color="auto"/>
        <w:right w:val="none" w:sz="0" w:space="0" w:color="auto"/>
      </w:divBdr>
    </w:div>
    <w:div w:id="279848866">
      <w:bodyDiv w:val="1"/>
      <w:marLeft w:val="0"/>
      <w:marRight w:val="0"/>
      <w:marTop w:val="0"/>
      <w:marBottom w:val="0"/>
      <w:divBdr>
        <w:top w:val="none" w:sz="0" w:space="0" w:color="auto"/>
        <w:left w:val="none" w:sz="0" w:space="0" w:color="auto"/>
        <w:bottom w:val="none" w:sz="0" w:space="0" w:color="auto"/>
        <w:right w:val="none" w:sz="0" w:space="0" w:color="auto"/>
      </w:divBdr>
    </w:div>
    <w:div w:id="281035671">
      <w:bodyDiv w:val="1"/>
      <w:marLeft w:val="0"/>
      <w:marRight w:val="0"/>
      <w:marTop w:val="0"/>
      <w:marBottom w:val="0"/>
      <w:divBdr>
        <w:top w:val="none" w:sz="0" w:space="0" w:color="auto"/>
        <w:left w:val="none" w:sz="0" w:space="0" w:color="auto"/>
        <w:bottom w:val="none" w:sz="0" w:space="0" w:color="auto"/>
        <w:right w:val="none" w:sz="0" w:space="0" w:color="auto"/>
      </w:divBdr>
    </w:div>
    <w:div w:id="287443842">
      <w:bodyDiv w:val="1"/>
      <w:marLeft w:val="0"/>
      <w:marRight w:val="0"/>
      <w:marTop w:val="0"/>
      <w:marBottom w:val="0"/>
      <w:divBdr>
        <w:top w:val="none" w:sz="0" w:space="0" w:color="auto"/>
        <w:left w:val="none" w:sz="0" w:space="0" w:color="auto"/>
        <w:bottom w:val="none" w:sz="0" w:space="0" w:color="auto"/>
        <w:right w:val="none" w:sz="0" w:space="0" w:color="auto"/>
      </w:divBdr>
    </w:div>
    <w:div w:id="293875261">
      <w:bodyDiv w:val="1"/>
      <w:marLeft w:val="0"/>
      <w:marRight w:val="0"/>
      <w:marTop w:val="0"/>
      <w:marBottom w:val="0"/>
      <w:divBdr>
        <w:top w:val="none" w:sz="0" w:space="0" w:color="auto"/>
        <w:left w:val="none" w:sz="0" w:space="0" w:color="auto"/>
        <w:bottom w:val="none" w:sz="0" w:space="0" w:color="auto"/>
        <w:right w:val="none" w:sz="0" w:space="0" w:color="auto"/>
      </w:divBdr>
    </w:div>
    <w:div w:id="295182213">
      <w:bodyDiv w:val="1"/>
      <w:marLeft w:val="0"/>
      <w:marRight w:val="0"/>
      <w:marTop w:val="0"/>
      <w:marBottom w:val="0"/>
      <w:divBdr>
        <w:top w:val="none" w:sz="0" w:space="0" w:color="auto"/>
        <w:left w:val="none" w:sz="0" w:space="0" w:color="auto"/>
        <w:bottom w:val="none" w:sz="0" w:space="0" w:color="auto"/>
        <w:right w:val="none" w:sz="0" w:space="0" w:color="auto"/>
      </w:divBdr>
    </w:div>
    <w:div w:id="303584586">
      <w:bodyDiv w:val="1"/>
      <w:marLeft w:val="0"/>
      <w:marRight w:val="0"/>
      <w:marTop w:val="0"/>
      <w:marBottom w:val="0"/>
      <w:divBdr>
        <w:top w:val="none" w:sz="0" w:space="0" w:color="auto"/>
        <w:left w:val="none" w:sz="0" w:space="0" w:color="auto"/>
        <w:bottom w:val="none" w:sz="0" w:space="0" w:color="auto"/>
        <w:right w:val="none" w:sz="0" w:space="0" w:color="auto"/>
      </w:divBdr>
    </w:div>
    <w:div w:id="304235449">
      <w:bodyDiv w:val="1"/>
      <w:marLeft w:val="0"/>
      <w:marRight w:val="0"/>
      <w:marTop w:val="0"/>
      <w:marBottom w:val="0"/>
      <w:divBdr>
        <w:top w:val="none" w:sz="0" w:space="0" w:color="auto"/>
        <w:left w:val="none" w:sz="0" w:space="0" w:color="auto"/>
        <w:bottom w:val="none" w:sz="0" w:space="0" w:color="auto"/>
        <w:right w:val="none" w:sz="0" w:space="0" w:color="auto"/>
      </w:divBdr>
    </w:div>
    <w:div w:id="306664735">
      <w:bodyDiv w:val="1"/>
      <w:marLeft w:val="0"/>
      <w:marRight w:val="0"/>
      <w:marTop w:val="0"/>
      <w:marBottom w:val="0"/>
      <w:divBdr>
        <w:top w:val="none" w:sz="0" w:space="0" w:color="auto"/>
        <w:left w:val="none" w:sz="0" w:space="0" w:color="auto"/>
        <w:bottom w:val="none" w:sz="0" w:space="0" w:color="auto"/>
        <w:right w:val="none" w:sz="0" w:space="0" w:color="auto"/>
      </w:divBdr>
    </w:div>
    <w:div w:id="307394539">
      <w:bodyDiv w:val="1"/>
      <w:marLeft w:val="0"/>
      <w:marRight w:val="0"/>
      <w:marTop w:val="0"/>
      <w:marBottom w:val="0"/>
      <w:divBdr>
        <w:top w:val="none" w:sz="0" w:space="0" w:color="auto"/>
        <w:left w:val="none" w:sz="0" w:space="0" w:color="auto"/>
        <w:bottom w:val="none" w:sz="0" w:space="0" w:color="auto"/>
        <w:right w:val="none" w:sz="0" w:space="0" w:color="auto"/>
      </w:divBdr>
    </w:div>
    <w:div w:id="313528080">
      <w:bodyDiv w:val="1"/>
      <w:marLeft w:val="0"/>
      <w:marRight w:val="0"/>
      <w:marTop w:val="0"/>
      <w:marBottom w:val="0"/>
      <w:divBdr>
        <w:top w:val="none" w:sz="0" w:space="0" w:color="auto"/>
        <w:left w:val="none" w:sz="0" w:space="0" w:color="auto"/>
        <w:bottom w:val="none" w:sz="0" w:space="0" w:color="auto"/>
        <w:right w:val="none" w:sz="0" w:space="0" w:color="auto"/>
      </w:divBdr>
    </w:div>
    <w:div w:id="314575319">
      <w:bodyDiv w:val="1"/>
      <w:marLeft w:val="0"/>
      <w:marRight w:val="0"/>
      <w:marTop w:val="0"/>
      <w:marBottom w:val="0"/>
      <w:divBdr>
        <w:top w:val="none" w:sz="0" w:space="0" w:color="auto"/>
        <w:left w:val="none" w:sz="0" w:space="0" w:color="auto"/>
        <w:bottom w:val="none" w:sz="0" w:space="0" w:color="auto"/>
        <w:right w:val="none" w:sz="0" w:space="0" w:color="auto"/>
      </w:divBdr>
    </w:div>
    <w:div w:id="317730611">
      <w:bodyDiv w:val="1"/>
      <w:marLeft w:val="0"/>
      <w:marRight w:val="0"/>
      <w:marTop w:val="0"/>
      <w:marBottom w:val="0"/>
      <w:divBdr>
        <w:top w:val="none" w:sz="0" w:space="0" w:color="auto"/>
        <w:left w:val="none" w:sz="0" w:space="0" w:color="auto"/>
        <w:bottom w:val="none" w:sz="0" w:space="0" w:color="auto"/>
        <w:right w:val="none" w:sz="0" w:space="0" w:color="auto"/>
      </w:divBdr>
    </w:div>
    <w:div w:id="317998360">
      <w:bodyDiv w:val="1"/>
      <w:marLeft w:val="0"/>
      <w:marRight w:val="0"/>
      <w:marTop w:val="0"/>
      <w:marBottom w:val="0"/>
      <w:divBdr>
        <w:top w:val="none" w:sz="0" w:space="0" w:color="auto"/>
        <w:left w:val="none" w:sz="0" w:space="0" w:color="auto"/>
        <w:bottom w:val="none" w:sz="0" w:space="0" w:color="auto"/>
        <w:right w:val="none" w:sz="0" w:space="0" w:color="auto"/>
      </w:divBdr>
    </w:div>
    <w:div w:id="318580995">
      <w:bodyDiv w:val="1"/>
      <w:marLeft w:val="0"/>
      <w:marRight w:val="0"/>
      <w:marTop w:val="0"/>
      <w:marBottom w:val="0"/>
      <w:divBdr>
        <w:top w:val="none" w:sz="0" w:space="0" w:color="auto"/>
        <w:left w:val="none" w:sz="0" w:space="0" w:color="auto"/>
        <w:bottom w:val="none" w:sz="0" w:space="0" w:color="auto"/>
        <w:right w:val="none" w:sz="0" w:space="0" w:color="auto"/>
      </w:divBdr>
    </w:div>
    <w:div w:id="318655916">
      <w:bodyDiv w:val="1"/>
      <w:marLeft w:val="0"/>
      <w:marRight w:val="0"/>
      <w:marTop w:val="0"/>
      <w:marBottom w:val="0"/>
      <w:divBdr>
        <w:top w:val="none" w:sz="0" w:space="0" w:color="auto"/>
        <w:left w:val="none" w:sz="0" w:space="0" w:color="auto"/>
        <w:bottom w:val="none" w:sz="0" w:space="0" w:color="auto"/>
        <w:right w:val="none" w:sz="0" w:space="0" w:color="auto"/>
      </w:divBdr>
    </w:div>
    <w:div w:id="320738602">
      <w:bodyDiv w:val="1"/>
      <w:marLeft w:val="0"/>
      <w:marRight w:val="0"/>
      <w:marTop w:val="0"/>
      <w:marBottom w:val="0"/>
      <w:divBdr>
        <w:top w:val="none" w:sz="0" w:space="0" w:color="auto"/>
        <w:left w:val="none" w:sz="0" w:space="0" w:color="auto"/>
        <w:bottom w:val="none" w:sz="0" w:space="0" w:color="auto"/>
        <w:right w:val="none" w:sz="0" w:space="0" w:color="auto"/>
      </w:divBdr>
    </w:div>
    <w:div w:id="321349339">
      <w:bodyDiv w:val="1"/>
      <w:marLeft w:val="0"/>
      <w:marRight w:val="0"/>
      <w:marTop w:val="0"/>
      <w:marBottom w:val="0"/>
      <w:divBdr>
        <w:top w:val="none" w:sz="0" w:space="0" w:color="auto"/>
        <w:left w:val="none" w:sz="0" w:space="0" w:color="auto"/>
        <w:bottom w:val="none" w:sz="0" w:space="0" w:color="auto"/>
        <w:right w:val="none" w:sz="0" w:space="0" w:color="auto"/>
      </w:divBdr>
    </w:div>
    <w:div w:id="321782990">
      <w:bodyDiv w:val="1"/>
      <w:marLeft w:val="0"/>
      <w:marRight w:val="0"/>
      <w:marTop w:val="0"/>
      <w:marBottom w:val="0"/>
      <w:divBdr>
        <w:top w:val="none" w:sz="0" w:space="0" w:color="auto"/>
        <w:left w:val="none" w:sz="0" w:space="0" w:color="auto"/>
        <w:bottom w:val="none" w:sz="0" w:space="0" w:color="auto"/>
        <w:right w:val="none" w:sz="0" w:space="0" w:color="auto"/>
      </w:divBdr>
    </w:div>
    <w:div w:id="330719000">
      <w:bodyDiv w:val="1"/>
      <w:marLeft w:val="0"/>
      <w:marRight w:val="0"/>
      <w:marTop w:val="0"/>
      <w:marBottom w:val="0"/>
      <w:divBdr>
        <w:top w:val="none" w:sz="0" w:space="0" w:color="auto"/>
        <w:left w:val="none" w:sz="0" w:space="0" w:color="auto"/>
        <w:bottom w:val="none" w:sz="0" w:space="0" w:color="auto"/>
        <w:right w:val="none" w:sz="0" w:space="0" w:color="auto"/>
      </w:divBdr>
    </w:div>
    <w:div w:id="330721567">
      <w:bodyDiv w:val="1"/>
      <w:marLeft w:val="0"/>
      <w:marRight w:val="0"/>
      <w:marTop w:val="0"/>
      <w:marBottom w:val="0"/>
      <w:divBdr>
        <w:top w:val="none" w:sz="0" w:space="0" w:color="auto"/>
        <w:left w:val="none" w:sz="0" w:space="0" w:color="auto"/>
        <w:bottom w:val="none" w:sz="0" w:space="0" w:color="auto"/>
        <w:right w:val="none" w:sz="0" w:space="0" w:color="auto"/>
      </w:divBdr>
    </w:div>
    <w:div w:id="333728803">
      <w:bodyDiv w:val="1"/>
      <w:marLeft w:val="0"/>
      <w:marRight w:val="0"/>
      <w:marTop w:val="0"/>
      <w:marBottom w:val="0"/>
      <w:divBdr>
        <w:top w:val="none" w:sz="0" w:space="0" w:color="auto"/>
        <w:left w:val="none" w:sz="0" w:space="0" w:color="auto"/>
        <w:bottom w:val="none" w:sz="0" w:space="0" w:color="auto"/>
        <w:right w:val="none" w:sz="0" w:space="0" w:color="auto"/>
      </w:divBdr>
    </w:div>
    <w:div w:id="335764890">
      <w:bodyDiv w:val="1"/>
      <w:marLeft w:val="0"/>
      <w:marRight w:val="0"/>
      <w:marTop w:val="0"/>
      <w:marBottom w:val="0"/>
      <w:divBdr>
        <w:top w:val="none" w:sz="0" w:space="0" w:color="auto"/>
        <w:left w:val="none" w:sz="0" w:space="0" w:color="auto"/>
        <w:bottom w:val="none" w:sz="0" w:space="0" w:color="auto"/>
        <w:right w:val="none" w:sz="0" w:space="0" w:color="auto"/>
      </w:divBdr>
    </w:div>
    <w:div w:id="338193242">
      <w:bodyDiv w:val="1"/>
      <w:marLeft w:val="0"/>
      <w:marRight w:val="0"/>
      <w:marTop w:val="0"/>
      <w:marBottom w:val="0"/>
      <w:divBdr>
        <w:top w:val="none" w:sz="0" w:space="0" w:color="auto"/>
        <w:left w:val="none" w:sz="0" w:space="0" w:color="auto"/>
        <w:bottom w:val="none" w:sz="0" w:space="0" w:color="auto"/>
        <w:right w:val="none" w:sz="0" w:space="0" w:color="auto"/>
      </w:divBdr>
    </w:div>
    <w:div w:id="338506072">
      <w:bodyDiv w:val="1"/>
      <w:marLeft w:val="0"/>
      <w:marRight w:val="0"/>
      <w:marTop w:val="0"/>
      <w:marBottom w:val="0"/>
      <w:divBdr>
        <w:top w:val="none" w:sz="0" w:space="0" w:color="auto"/>
        <w:left w:val="none" w:sz="0" w:space="0" w:color="auto"/>
        <w:bottom w:val="none" w:sz="0" w:space="0" w:color="auto"/>
        <w:right w:val="none" w:sz="0" w:space="0" w:color="auto"/>
      </w:divBdr>
    </w:div>
    <w:div w:id="343869690">
      <w:bodyDiv w:val="1"/>
      <w:marLeft w:val="0"/>
      <w:marRight w:val="0"/>
      <w:marTop w:val="0"/>
      <w:marBottom w:val="0"/>
      <w:divBdr>
        <w:top w:val="none" w:sz="0" w:space="0" w:color="auto"/>
        <w:left w:val="none" w:sz="0" w:space="0" w:color="auto"/>
        <w:bottom w:val="none" w:sz="0" w:space="0" w:color="auto"/>
        <w:right w:val="none" w:sz="0" w:space="0" w:color="auto"/>
      </w:divBdr>
    </w:div>
    <w:div w:id="345328650">
      <w:bodyDiv w:val="1"/>
      <w:marLeft w:val="0"/>
      <w:marRight w:val="0"/>
      <w:marTop w:val="0"/>
      <w:marBottom w:val="0"/>
      <w:divBdr>
        <w:top w:val="none" w:sz="0" w:space="0" w:color="auto"/>
        <w:left w:val="none" w:sz="0" w:space="0" w:color="auto"/>
        <w:bottom w:val="none" w:sz="0" w:space="0" w:color="auto"/>
        <w:right w:val="none" w:sz="0" w:space="0" w:color="auto"/>
      </w:divBdr>
    </w:div>
    <w:div w:id="345988844">
      <w:bodyDiv w:val="1"/>
      <w:marLeft w:val="0"/>
      <w:marRight w:val="0"/>
      <w:marTop w:val="0"/>
      <w:marBottom w:val="0"/>
      <w:divBdr>
        <w:top w:val="none" w:sz="0" w:space="0" w:color="auto"/>
        <w:left w:val="none" w:sz="0" w:space="0" w:color="auto"/>
        <w:bottom w:val="none" w:sz="0" w:space="0" w:color="auto"/>
        <w:right w:val="none" w:sz="0" w:space="0" w:color="auto"/>
      </w:divBdr>
    </w:div>
    <w:div w:id="350911226">
      <w:bodyDiv w:val="1"/>
      <w:marLeft w:val="0"/>
      <w:marRight w:val="0"/>
      <w:marTop w:val="0"/>
      <w:marBottom w:val="0"/>
      <w:divBdr>
        <w:top w:val="none" w:sz="0" w:space="0" w:color="auto"/>
        <w:left w:val="none" w:sz="0" w:space="0" w:color="auto"/>
        <w:bottom w:val="none" w:sz="0" w:space="0" w:color="auto"/>
        <w:right w:val="none" w:sz="0" w:space="0" w:color="auto"/>
      </w:divBdr>
    </w:div>
    <w:div w:id="351224469">
      <w:bodyDiv w:val="1"/>
      <w:marLeft w:val="0"/>
      <w:marRight w:val="0"/>
      <w:marTop w:val="0"/>
      <w:marBottom w:val="0"/>
      <w:divBdr>
        <w:top w:val="none" w:sz="0" w:space="0" w:color="auto"/>
        <w:left w:val="none" w:sz="0" w:space="0" w:color="auto"/>
        <w:bottom w:val="none" w:sz="0" w:space="0" w:color="auto"/>
        <w:right w:val="none" w:sz="0" w:space="0" w:color="auto"/>
      </w:divBdr>
    </w:div>
    <w:div w:id="354965133">
      <w:bodyDiv w:val="1"/>
      <w:marLeft w:val="0"/>
      <w:marRight w:val="0"/>
      <w:marTop w:val="0"/>
      <w:marBottom w:val="0"/>
      <w:divBdr>
        <w:top w:val="none" w:sz="0" w:space="0" w:color="auto"/>
        <w:left w:val="none" w:sz="0" w:space="0" w:color="auto"/>
        <w:bottom w:val="none" w:sz="0" w:space="0" w:color="auto"/>
        <w:right w:val="none" w:sz="0" w:space="0" w:color="auto"/>
      </w:divBdr>
    </w:div>
    <w:div w:id="356470981">
      <w:bodyDiv w:val="1"/>
      <w:marLeft w:val="0"/>
      <w:marRight w:val="0"/>
      <w:marTop w:val="0"/>
      <w:marBottom w:val="0"/>
      <w:divBdr>
        <w:top w:val="none" w:sz="0" w:space="0" w:color="auto"/>
        <w:left w:val="none" w:sz="0" w:space="0" w:color="auto"/>
        <w:bottom w:val="none" w:sz="0" w:space="0" w:color="auto"/>
        <w:right w:val="none" w:sz="0" w:space="0" w:color="auto"/>
      </w:divBdr>
    </w:div>
    <w:div w:id="357004622">
      <w:bodyDiv w:val="1"/>
      <w:marLeft w:val="0"/>
      <w:marRight w:val="0"/>
      <w:marTop w:val="0"/>
      <w:marBottom w:val="0"/>
      <w:divBdr>
        <w:top w:val="none" w:sz="0" w:space="0" w:color="auto"/>
        <w:left w:val="none" w:sz="0" w:space="0" w:color="auto"/>
        <w:bottom w:val="none" w:sz="0" w:space="0" w:color="auto"/>
        <w:right w:val="none" w:sz="0" w:space="0" w:color="auto"/>
      </w:divBdr>
    </w:div>
    <w:div w:id="358895711">
      <w:bodyDiv w:val="1"/>
      <w:marLeft w:val="0"/>
      <w:marRight w:val="0"/>
      <w:marTop w:val="0"/>
      <w:marBottom w:val="0"/>
      <w:divBdr>
        <w:top w:val="none" w:sz="0" w:space="0" w:color="auto"/>
        <w:left w:val="none" w:sz="0" w:space="0" w:color="auto"/>
        <w:bottom w:val="none" w:sz="0" w:space="0" w:color="auto"/>
        <w:right w:val="none" w:sz="0" w:space="0" w:color="auto"/>
      </w:divBdr>
    </w:div>
    <w:div w:id="362023502">
      <w:bodyDiv w:val="1"/>
      <w:marLeft w:val="0"/>
      <w:marRight w:val="0"/>
      <w:marTop w:val="0"/>
      <w:marBottom w:val="0"/>
      <w:divBdr>
        <w:top w:val="none" w:sz="0" w:space="0" w:color="auto"/>
        <w:left w:val="none" w:sz="0" w:space="0" w:color="auto"/>
        <w:bottom w:val="none" w:sz="0" w:space="0" w:color="auto"/>
        <w:right w:val="none" w:sz="0" w:space="0" w:color="auto"/>
      </w:divBdr>
    </w:div>
    <w:div w:id="362024977">
      <w:bodyDiv w:val="1"/>
      <w:marLeft w:val="0"/>
      <w:marRight w:val="0"/>
      <w:marTop w:val="0"/>
      <w:marBottom w:val="0"/>
      <w:divBdr>
        <w:top w:val="none" w:sz="0" w:space="0" w:color="auto"/>
        <w:left w:val="none" w:sz="0" w:space="0" w:color="auto"/>
        <w:bottom w:val="none" w:sz="0" w:space="0" w:color="auto"/>
        <w:right w:val="none" w:sz="0" w:space="0" w:color="auto"/>
      </w:divBdr>
    </w:div>
    <w:div w:id="362366473">
      <w:bodyDiv w:val="1"/>
      <w:marLeft w:val="0"/>
      <w:marRight w:val="0"/>
      <w:marTop w:val="0"/>
      <w:marBottom w:val="0"/>
      <w:divBdr>
        <w:top w:val="none" w:sz="0" w:space="0" w:color="auto"/>
        <w:left w:val="none" w:sz="0" w:space="0" w:color="auto"/>
        <w:bottom w:val="none" w:sz="0" w:space="0" w:color="auto"/>
        <w:right w:val="none" w:sz="0" w:space="0" w:color="auto"/>
      </w:divBdr>
    </w:div>
    <w:div w:id="365298647">
      <w:bodyDiv w:val="1"/>
      <w:marLeft w:val="0"/>
      <w:marRight w:val="0"/>
      <w:marTop w:val="0"/>
      <w:marBottom w:val="0"/>
      <w:divBdr>
        <w:top w:val="none" w:sz="0" w:space="0" w:color="auto"/>
        <w:left w:val="none" w:sz="0" w:space="0" w:color="auto"/>
        <w:bottom w:val="none" w:sz="0" w:space="0" w:color="auto"/>
        <w:right w:val="none" w:sz="0" w:space="0" w:color="auto"/>
      </w:divBdr>
    </w:div>
    <w:div w:id="367337620">
      <w:bodyDiv w:val="1"/>
      <w:marLeft w:val="0"/>
      <w:marRight w:val="0"/>
      <w:marTop w:val="0"/>
      <w:marBottom w:val="0"/>
      <w:divBdr>
        <w:top w:val="none" w:sz="0" w:space="0" w:color="auto"/>
        <w:left w:val="none" w:sz="0" w:space="0" w:color="auto"/>
        <w:bottom w:val="none" w:sz="0" w:space="0" w:color="auto"/>
        <w:right w:val="none" w:sz="0" w:space="0" w:color="auto"/>
      </w:divBdr>
    </w:div>
    <w:div w:id="372920690">
      <w:bodyDiv w:val="1"/>
      <w:marLeft w:val="0"/>
      <w:marRight w:val="0"/>
      <w:marTop w:val="0"/>
      <w:marBottom w:val="0"/>
      <w:divBdr>
        <w:top w:val="none" w:sz="0" w:space="0" w:color="auto"/>
        <w:left w:val="none" w:sz="0" w:space="0" w:color="auto"/>
        <w:bottom w:val="none" w:sz="0" w:space="0" w:color="auto"/>
        <w:right w:val="none" w:sz="0" w:space="0" w:color="auto"/>
      </w:divBdr>
    </w:div>
    <w:div w:id="375348772">
      <w:bodyDiv w:val="1"/>
      <w:marLeft w:val="0"/>
      <w:marRight w:val="0"/>
      <w:marTop w:val="0"/>
      <w:marBottom w:val="0"/>
      <w:divBdr>
        <w:top w:val="none" w:sz="0" w:space="0" w:color="auto"/>
        <w:left w:val="none" w:sz="0" w:space="0" w:color="auto"/>
        <w:bottom w:val="none" w:sz="0" w:space="0" w:color="auto"/>
        <w:right w:val="none" w:sz="0" w:space="0" w:color="auto"/>
      </w:divBdr>
    </w:div>
    <w:div w:id="376511578">
      <w:bodyDiv w:val="1"/>
      <w:marLeft w:val="0"/>
      <w:marRight w:val="0"/>
      <w:marTop w:val="0"/>
      <w:marBottom w:val="0"/>
      <w:divBdr>
        <w:top w:val="none" w:sz="0" w:space="0" w:color="auto"/>
        <w:left w:val="none" w:sz="0" w:space="0" w:color="auto"/>
        <w:bottom w:val="none" w:sz="0" w:space="0" w:color="auto"/>
        <w:right w:val="none" w:sz="0" w:space="0" w:color="auto"/>
      </w:divBdr>
    </w:div>
    <w:div w:id="376852164">
      <w:bodyDiv w:val="1"/>
      <w:marLeft w:val="0"/>
      <w:marRight w:val="0"/>
      <w:marTop w:val="0"/>
      <w:marBottom w:val="0"/>
      <w:divBdr>
        <w:top w:val="none" w:sz="0" w:space="0" w:color="auto"/>
        <w:left w:val="none" w:sz="0" w:space="0" w:color="auto"/>
        <w:bottom w:val="none" w:sz="0" w:space="0" w:color="auto"/>
        <w:right w:val="none" w:sz="0" w:space="0" w:color="auto"/>
      </w:divBdr>
    </w:div>
    <w:div w:id="378169232">
      <w:bodyDiv w:val="1"/>
      <w:marLeft w:val="0"/>
      <w:marRight w:val="0"/>
      <w:marTop w:val="0"/>
      <w:marBottom w:val="0"/>
      <w:divBdr>
        <w:top w:val="none" w:sz="0" w:space="0" w:color="auto"/>
        <w:left w:val="none" w:sz="0" w:space="0" w:color="auto"/>
        <w:bottom w:val="none" w:sz="0" w:space="0" w:color="auto"/>
        <w:right w:val="none" w:sz="0" w:space="0" w:color="auto"/>
      </w:divBdr>
    </w:div>
    <w:div w:id="379938864">
      <w:bodyDiv w:val="1"/>
      <w:marLeft w:val="0"/>
      <w:marRight w:val="0"/>
      <w:marTop w:val="0"/>
      <w:marBottom w:val="0"/>
      <w:divBdr>
        <w:top w:val="none" w:sz="0" w:space="0" w:color="auto"/>
        <w:left w:val="none" w:sz="0" w:space="0" w:color="auto"/>
        <w:bottom w:val="none" w:sz="0" w:space="0" w:color="auto"/>
        <w:right w:val="none" w:sz="0" w:space="0" w:color="auto"/>
      </w:divBdr>
    </w:div>
    <w:div w:id="381640140">
      <w:bodyDiv w:val="1"/>
      <w:marLeft w:val="0"/>
      <w:marRight w:val="0"/>
      <w:marTop w:val="0"/>
      <w:marBottom w:val="0"/>
      <w:divBdr>
        <w:top w:val="none" w:sz="0" w:space="0" w:color="auto"/>
        <w:left w:val="none" w:sz="0" w:space="0" w:color="auto"/>
        <w:bottom w:val="none" w:sz="0" w:space="0" w:color="auto"/>
        <w:right w:val="none" w:sz="0" w:space="0" w:color="auto"/>
      </w:divBdr>
    </w:div>
    <w:div w:id="389354120">
      <w:bodyDiv w:val="1"/>
      <w:marLeft w:val="0"/>
      <w:marRight w:val="0"/>
      <w:marTop w:val="0"/>
      <w:marBottom w:val="0"/>
      <w:divBdr>
        <w:top w:val="none" w:sz="0" w:space="0" w:color="auto"/>
        <w:left w:val="none" w:sz="0" w:space="0" w:color="auto"/>
        <w:bottom w:val="none" w:sz="0" w:space="0" w:color="auto"/>
        <w:right w:val="none" w:sz="0" w:space="0" w:color="auto"/>
      </w:divBdr>
    </w:div>
    <w:div w:id="389885938">
      <w:bodyDiv w:val="1"/>
      <w:marLeft w:val="0"/>
      <w:marRight w:val="0"/>
      <w:marTop w:val="0"/>
      <w:marBottom w:val="0"/>
      <w:divBdr>
        <w:top w:val="none" w:sz="0" w:space="0" w:color="auto"/>
        <w:left w:val="none" w:sz="0" w:space="0" w:color="auto"/>
        <w:bottom w:val="none" w:sz="0" w:space="0" w:color="auto"/>
        <w:right w:val="none" w:sz="0" w:space="0" w:color="auto"/>
      </w:divBdr>
    </w:div>
    <w:div w:id="391124613">
      <w:bodyDiv w:val="1"/>
      <w:marLeft w:val="0"/>
      <w:marRight w:val="0"/>
      <w:marTop w:val="0"/>
      <w:marBottom w:val="0"/>
      <w:divBdr>
        <w:top w:val="none" w:sz="0" w:space="0" w:color="auto"/>
        <w:left w:val="none" w:sz="0" w:space="0" w:color="auto"/>
        <w:bottom w:val="none" w:sz="0" w:space="0" w:color="auto"/>
        <w:right w:val="none" w:sz="0" w:space="0" w:color="auto"/>
      </w:divBdr>
    </w:div>
    <w:div w:id="391775257">
      <w:bodyDiv w:val="1"/>
      <w:marLeft w:val="0"/>
      <w:marRight w:val="0"/>
      <w:marTop w:val="0"/>
      <w:marBottom w:val="0"/>
      <w:divBdr>
        <w:top w:val="none" w:sz="0" w:space="0" w:color="auto"/>
        <w:left w:val="none" w:sz="0" w:space="0" w:color="auto"/>
        <w:bottom w:val="none" w:sz="0" w:space="0" w:color="auto"/>
        <w:right w:val="none" w:sz="0" w:space="0" w:color="auto"/>
      </w:divBdr>
    </w:div>
    <w:div w:id="394737882">
      <w:bodyDiv w:val="1"/>
      <w:marLeft w:val="0"/>
      <w:marRight w:val="0"/>
      <w:marTop w:val="0"/>
      <w:marBottom w:val="0"/>
      <w:divBdr>
        <w:top w:val="none" w:sz="0" w:space="0" w:color="auto"/>
        <w:left w:val="none" w:sz="0" w:space="0" w:color="auto"/>
        <w:bottom w:val="none" w:sz="0" w:space="0" w:color="auto"/>
        <w:right w:val="none" w:sz="0" w:space="0" w:color="auto"/>
      </w:divBdr>
    </w:div>
    <w:div w:id="394743434">
      <w:bodyDiv w:val="1"/>
      <w:marLeft w:val="0"/>
      <w:marRight w:val="0"/>
      <w:marTop w:val="0"/>
      <w:marBottom w:val="0"/>
      <w:divBdr>
        <w:top w:val="none" w:sz="0" w:space="0" w:color="auto"/>
        <w:left w:val="none" w:sz="0" w:space="0" w:color="auto"/>
        <w:bottom w:val="none" w:sz="0" w:space="0" w:color="auto"/>
        <w:right w:val="none" w:sz="0" w:space="0" w:color="auto"/>
      </w:divBdr>
    </w:div>
    <w:div w:id="396515542">
      <w:bodyDiv w:val="1"/>
      <w:marLeft w:val="0"/>
      <w:marRight w:val="0"/>
      <w:marTop w:val="0"/>
      <w:marBottom w:val="0"/>
      <w:divBdr>
        <w:top w:val="none" w:sz="0" w:space="0" w:color="auto"/>
        <w:left w:val="none" w:sz="0" w:space="0" w:color="auto"/>
        <w:bottom w:val="none" w:sz="0" w:space="0" w:color="auto"/>
        <w:right w:val="none" w:sz="0" w:space="0" w:color="auto"/>
      </w:divBdr>
    </w:div>
    <w:div w:id="397754199">
      <w:bodyDiv w:val="1"/>
      <w:marLeft w:val="0"/>
      <w:marRight w:val="0"/>
      <w:marTop w:val="0"/>
      <w:marBottom w:val="0"/>
      <w:divBdr>
        <w:top w:val="none" w:sz="0" w:space="0" w:color="auto"/>
        <w:left w:val="none" w:sz="0" w:space="0" w:color="auto"/>
        <w:bottom w:val="none" w:sz="0" w:space="0" w:color="auto"/>
        <w:right w:val="none" w:sz="0" w:space="0" w:color="auto"/>
      </w:divBdr>
    </w:div>
    <w:div w:id="398866028">
      <w:bodyDiv w:val="1"/>
      <w:marLeft w:val="0"/>
      <w:marRight w:val="0"/>
      <w:marTop w:val="0"/>
      <w:marBottom w:val="0"/>
      <w:divBdr>
        <w:top w:val="none" w:sz="0" w:space="0" w:color="auto"/>
        <w:left w:val="none" w:sz="0" w:space="0" w:color="auto"/>
        <w:bottom w:val="none" w:sz="0" w:space="0" w:color="auto"/>
        <w:right w:val="none" w:sz="0" w:space="0" w:color="auto"/>
      </w:divBdr>
    </w:div>
    <w:div w:id="399863251">
      <w:bodyDiv w:val="1"/>
      <w:marLeft w:val="0"/>
      <w:marRight w:val="0"/>
      <w:marTop w:val="0"/>
      <w:marBottom w:val="0"/>
      <w:divBdr>
        <w:top w:val="none" w:sz="0" w:space="0" w:color="auto"/>
        <w:left w:val="none" w:sz="0" w:space="0" w:color="auto"/>
        <w:bottom w:val="none" w:sz="0" w:space="0" w:color="auto"/>
        <w:right w:val="none" w:sz="0" w:space="0" w:color="auto"/>
      </w:divBdr>
    </w:div>
    <w:div w:id="401223344">
      <w:bodyDiv w:val="1"/>
      <w:marLeft w:val="0"/>
      <w:marRight w:val="0"/>
      <w:marTop w:val="0"/>
      <w:marBottom w:val="0"/>
      <w:divBdr>
        <w:top w:val="none" w:sz="0" w:space="0" w:color="auto"/>
        <w:left w:val="none" w:sz="0" w:space="0" w:color="auto"/>
        <w:bottom w:val="none" w:sz="0" w:space="0" w:color="auto"/>
        <w:right w:val="none" w:sz="0" w:space="0" w:color="auto"/>
      </w:divBdr>
    </w:div>
    <w:div w:id="401872141">
      <w:bodyDiv w:val="1"/>
      <w:marLeft w:val="0"/>
      <w:marRight w:val="0"/>
      <w:marTop w:val="0"/>
      <w:marBottom w:val="0"/>
      <w:divBdr>
        <w:top w:val="none" w:sz="0" w:space="0" w:color="auto"/>
        <w:left w:val="none" w:sz="0" w:space="0" w:color="auto"/>
        <w:bottom w:val="none" w:sz="0" w:space="0" w:color="auto"/>
        <w:right w:val="none" w:sz="0" w:space="0" w:color="auto"/>
      </w:divBdr>
    </w:div>
    <w:div w:id="402146838">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07580532">
      <w:bodyDiv w:val="1"/>
      <w:marLeft w:val="0"/>
      <w:marRight w:val="0"/>
      <w:marTop w:val="0"/>
      <w:marBottom w:val="0"/>
      <w:divBdr>
        <w:top w:val="none" w:sz="0" w:space="0" w:color="auto"/>
        <w:left w:val="none" w:sz="0" w:space="0" w:color="auto"/>
        <w:bottom w:val="none" w:sz="0" w:space="0" w:color="auto"/>
        <w:right w:val="none" w:sz="0" w:space="0" w:color="auto"/>
      </w:divBdr>
    </w:div>
    <w:div w:id="409277958">
      <w:bodyDiv w:val="1"/>
      <w:marLeft w:val="0"/>
      <w:marRight w:val="0"/>
      <w:marTop w:val="0"/>
      <w:marBottom w:val="0"/>
      <w:divBdr>
        <w:top w:val="none" w:sz="0" w:space="0" w:color="auto"/>
        <w:left w:val="none" w:sz="0" w:space="0" w:color="auto"/>
        <w:bottom w:val="none" w:sz="0" w:space="0" w:color="auto"/>
        <w:right w:val="none" w:sz="0" w:space="0" w:color="auto"/>
      </w:divBdr>
    </w:div>
    <w:div w:id="409621897">
      <w:bodyDiv w:val="1"/>
      <w:marLeft w:val="0"/>
      <w:marRight w:val="0"/>
      <w:marTop w:val="0"/>
      <w:marBottom w:val="0"/>
      <w:divBdr>
        <w:top w:val="none" w:sz="0" w:space="0" w:color="auto"/>
        <w:left w:val="none" w:sz="0" w:space="0" w:color="auto"/>
        <w:bottom w:val="none" w:sz="0" w:space="0" w:color="auto"/>
        <w:right w:val="none" w:sz="0" w:space="0" w:color="auto"/>
      </w:divBdr>
    </w:div>
    <w:div w:id="410665687">
      <w:bodyDiv w:val="1"/>
      <w:marLeft w:val="0"/>
      <w:marRight w:val="0"/>
      <w:marTop w:val="0"/>
      <w:marBottom w:val="0"/>
      <w:divBdr>
        <w:top w:val="none" w:sz="0" w:space="0" w:color="auto"/>
        <w:left w:val="none" w:sz="0" w:space="0" w:color="auto"/>
        <w:bottom w:val="none" w:sz="0" w:space="0" w:color="auto"/>
        <w:right w:val="none" w:sz="0" w:space="0" w:color="auto"/>
      </w:divBdr>
    </w:div>
    <w:div w:id="411778542">
      <w:bodyDiv w:val="1"/>
      <w:marLeft w:val="0"/>
      <w:marRight w:val="0"/>
      <w:marTop w:val="0"/>
      <w:marBottom w:val="0"/>
      <w:divBdr>
        <w:top w:val="none" w:sz="0" w:space="0" w:color="auto"/>
        <w:left w:val="none" w:sz="0" w:space="0" w:color="auto"/>
        <w:bottom w:val="none" w:sz="0" w:space="0" w:color="auto"/>
        <w:right w:val="none" w:sz="0" w:space="0" w:color="auto"/>
      </w:divBdr>
    </w:div>
    <w:div w:id="414480791">
      <w:bodyDiv w:val="1"/>
      <w:marLeft w:val="0"/>
      <w:marRight w:val="0"/>
      <w:marTop w:val="0"/>
      <w:marBottom w:val="0"/>
      <w:divBdr>
        <w:top w:val="none" w:sz="0" w:space="0" w:color="auto"/>
        <w:left w:val="none" w:sz="0" w:space="0" w:color="auto"/>
        <w:bottom w:val="none" w:sz="0" w:space="0" w:color="auto"/>
        <w:right w:val="none" w:sz="0" w:space="0" w:color="auto"/>
      </w:divBdr>
    </w:div>
    <w:div w:id="415636920">
      <w:bodyDiv w:val="1"/>
      <w:marLeft w:val="0"/>
      <w:marRight w:val="0"/>
      <w:marTop w:val="0"/>
      <w:marBottom w:val="0"/>
      <w:divBdr>
        <w:top w:val="none" w:sz="0" w:space="0" w:color="auto"/>
        <w:left w:val="none" w:sz="0" w:space="0" w:color="auto"/>
        <w:bottom w:val="none" w:sz="0" w:space="0" w:color="auto"/>
        <w:right w:val="none" w:sz="0" w:space="0" w:color="auto"/>
      </w:divBdr>
    </w:div>
    <w:div w:id="416488621">
      <w:bodyDiv w:val="1"/>
      <w:marLeft w:val="0"/>
      <w:marRight w:val="0"/>
      <w:marTop w:val="0"/>
      <w:marBottom w:val="0"/>
      <w:divBdr>
        <w:top w:val="none" w:sz="0" w:space="0" w:color="auto"/>
        <w:left w:val="none" w:sz="0" w:space="0" w:color="auto"/>
        <w:bottom w:val="none" w:sz="0" w:space="0" w:color="auto"/>
        <w:right w:val="none" w:sz="0" w:space="0" w:color="auto"/>
      </w:divBdr>
    </w:div>
    <w:div w:id="417289710">
      <w:bodyDiv w:val="1"/>
      <w:marLeft w:val="0"/>
      <w:marRight w:val="0"/>
      <w:marTop w:val="0"/>
      <w:marBottom w:val="0"/>
      <w:divBdr>
        <w:top w:val="none" w:sz="0" w:space="0" w:color="auto"/>
        <w:left w:val="none" w:sz="0" w:space="0" w:color="auto"/>
        <w:bottom w:val="none" w:sz="0" w:space="0" w:color="auto"/>
        <w:right w:val="none" w:sz="0" w:space="0" w:color="auto"/>
      </w:divBdr>
    </w:div>
    <w:div w:id="421533594">
      <w:bodyDiv w:val="1"/>
      <w:marLeft w:val="0"/>
      <w:marRight w:val="0"/>
      <w:marTop w:val="0"/>
      <w:marBottom w:val="0"/>
      <w:divBdr>
        <w:top w:val="none" w:sz="0" w:space="0" w:color="auto"/>
        <w:left w:val="none" w:sz="0" w:space="0" w:color="auto"/>
        <w:bottom w:val="none" w:sz="0" w:space="0" w:color="auto"/>
        <w:right w:val="none" w:sz="0" w:space="0" w:color="auto"/>
      </w:divBdr>
    </w:div>
    <w:div w:id="425155301">
      <w:bodyDiv w:val="1"/>
      <w:marLeft w:val="0"/>
      <w:marRight w:val="0"/>
      <w:marTop w:val="0"/>
      <w:marBottom w:val="0"/>
      <w:divBdr>
        <w:top w:val="none" w:sz="0" w:space="0" w:color="auto"/>
        <w:left w:val="none" w:sz="0" w:space="0" w:color="auto"/>
        <w:bottom w:val="none" w:sz="0" w:space="0" w:color="auto"/>
        <w:right w:val="none" w:sz="0" w:space="0" w:color="auto"/>
      </w:divBdr>
    </w:div>
    <w:div w:id="448740201">
      <w:bodyDiv w:val="1"/>
      <w:marLeft w:val="0"/>
      <w:marRight w:val="0"/>
      <w:marTop w:val="0"/>
      <w:marBottom w:val="0"/>
      <w:divBdr>
        <w:top w:val="none" w:sz="0" w:space="0" w:color="auto"/>
        <w:left w:val="none" w:sz="0" w:space="0" w:color="auto"/>
        <w:bottom w:val="none" w:sz="0" w:space="0" w:color="auto"/>
        <w:right w:val="none" w:sz="0" w:space="0" w:color="auto"/>
      </w:divBdr>
    </w:div>
    <w:div w:id="449476854">
      <w:bodyDiv w:val="1"/>
      <w:marLeft w:val="0"/>
      <w:marRight w:val="0"/>
      <w:marTop w:val="0"/>
      <w:marBottom w:val="0"/>
      <w:divBdr>
        <w:top w:val="none" w:sz="0" w:space="0" w:color="auto"/>
        <w:left w:val="none" w:sz="0" w:space="0" w:color="auto"/>
        <w:bottom w:val="none" w:sz="0" w:space="0" w:color="auto"/>
        <w:right w:val="none" w:sz="0" w:space="0" w:color="auto"/>
      </w:divBdr>
    </w:div>
    <w:div w:id="450126646">
      <w:bodyDiv w:val="1"/>
      <w:marLeft w:val="0"/>
      <w:marRight w:val="0"/>
      <w:marTop w:val="0"/>
      <w:marBottom w:val="0"/>
      <w:divBdr>
        <w:top w:val="none" w:sz="0" w:space="0" w:color="auto"/>
        <w:left w:val="none" w:sz="0" w:space="0" w:color="auto"/>
        <w:bottom w:val="none" w:sz="0" w:space="0" w:color="auto"/>
        <w:right w:val="none" w:sz="0" w:space="0" w:color="auto"/>
      </w:divBdr>
    </w:div>
    <w:div w:id="455028957">
      <w:bodyDiv w:val="1"/>
      <w:marLeft w:val="0"/>
      <w:marRight w:val="0"/>
      <w:marTop w:val="0"/>
      <w:marBottom w:val="0"/>
      <w:divBdr>
        <w:top w:val="none" w:sz="0" w:space="0" w:color="auto"/>
        <w:left w:val="none" w:sz="0" w:space="0" w:color="auto"/>
        <w:bottom w:val="none" w:sz="0" w:space="0" w:color="auto"/>
        <w:right w:val="none" w:sz="0" w:space="0" w:color="auto"/>
      </w:divBdr>
    </w:div>
    <w:div w:id="457577243">
      <w:bodyDiv w:val="1"/>
      <w:marLeft w:val="0"/>
      <w:marRight w:val="0"/>
      <w:marTop w:val="0"/>
      <w:marBottom w:val="0"/>
      <w:divBdr>
        <w:top w:val="none" w:sz="0" w:space="0" w:color="auto"/>
        <w:left w:val="none" w:sz="0" w:space="0" w:color="auto"/>
        <w:bottom w:val="none" w:sz="0" w:space="0" w:color="auto"/>
        <w:right w:val="none" w:sz="0" w:space="0" w:color="auto"/>
      </w:divBdr>
    </w:div>
    <w:div w:id="460079013">
      <w:bodyDiv w:val="1"/>
      <w:marLeft w:val="0"/>
      <w:marRight w:val="0"/>
      <w:marTop w:val="0"/>
      <w:marBottom w:val="0"/>
      <w:divBdr>
        <w:top w:val="none" w:sz="0" w:space="0" w:color="auto"/>
        <w:left w:val="none" w:sz="0" w:space="0" w:color="auto"/>
        <w:bottom w:val="none" w:sz="0" w:space="0" w:color="auto"/>
        <w:right w:val="none" w:sz="0" w:space="0" w:color="auto"/>
      </w:divBdr>
    </w:div>
    <w:div w:id="461658413">
      <w:bodyDiv w:val="1"/>
      <w:marLeft w:val="0"/>
      <w:marRight w:val="0"/>
      <w:marTop w:val="0"/>
      <w:marBottom w:val="0"/>
      <w:divBdr>
        <w:top w:val="none" w:sz="0" w:space="0" w:color="auto"/>
        <w:left w:val="none" w:sz="0" w:space="0" w:color="auto"/>
        <w:bottom w:val="none" w:sz="0" w:space="0" w:color="auto"/>
        <w:right w:val="none" w:sz="0" w:space="0" w:color="auto"/>
      </w:divBdr>
    </w:div>
    <w:div w:id="467750664">
      <w:bodyDiv w:val="1"/>
      <w:marLeft w:val="0"/>
      <w:marRight w:val="0"/>
      <w:marTop w:val="0"/>
      <w:marBottom w:val="0"/>
      <w:divBdr>
        <w:top w:val="none" w:sz="0" w:space="0" w:color="auto"/>
        <w:left w:val="none" w:sz="0" w:space="0" w:color="auto"/>
        <w:bottom w:val="none" w:sz="0" w:space="0" w:color="auto"/>
        <w:right w:val="none" w:sz="0" w:space="0" w:color="auto"/>
      </w:divBdr>
    </w:div>
    <w:div w:id="468521580">
      <w:bodyDiv w:val="1"/>
      <w:marLeft w:val="0"/>
      <w:marRight w:val="0"/>
      <w:marTop w:val="0"/>
      <w:marBottom w:val="0"/>
      <w:divBdr>
        <w:top w:val="none" w:sz="0" w:space="0" w:color="auto"/>
        <w:left w:val="none" w:sz="0" w:space="0" w:color="auto"/>
        <w:bottom w:val="none" w:sz="0" w:space="0" w:color="auto"/>
        <w:right w:val="none" w:sz="0" w:space="0" w:color="auto"/>
      </w:divBdr>
    </w:div>
    <w:div w:id="468673008">
      <w:bodyDiv w:val="1"/>
      <w:marLeft w:val="0"/>
      <w:marRight w:val="0"/>
      <w:marTop w:val="0"/>
      <w:marBottom w:val="0"/>
      <w:divBdr>
        <w:top w:val="none" w:sz="0" w:space="0" w:color="auto"/>
        <w:left w:val="none" w:sz="0" w:space="0" w:color="auto"/>
        <w:bottom w:val="none" w:sz="0" w:space="0" w:color="auto"/>
        <w:right w:val="none" w:sz="0" w:space="0" w:color="auto"/>
      </w:divBdr>
    </w:div>
    <w:div w:id="470295646">
      <w:bodyDiv w:val="1"/>
      <w:marLeft w:val="0"/>
      <w:marRight w:val="0"/>
      <w:marTop w:val="0"/>
      <w:marBottom w:val="0"/>
      <w:divBdr>
        <w:top w:val="none" w:sz="0" w:space="0" w:color="auto"/>
        <w:left w:val="none" w:sz="0" w:space="0" w:color="auto"/>
        <w:bottom w:val="none" w:sz="0" w:space="0" w:color="auto"/>
        <w:right w:val="none" w:sz="0" w:space="0" w:color="auto"/>
      </w:divBdr>
    </w:div>
    <w:div w:id="473839824">
      <w:bodyDiv w:val="1"/>
      <w:marLeft w:val="0"/>
      <w:marRight w:val="0"/>
      <w:marTop w:val="0"/>
      <w:marBottom w:val="0"/>
      <w:divBdr>
        <w:top w:val="none" w:sz="0" w:space="0" w:color="auto"/>
        <w:left w:val="none" w:sz="0" w:space="0" w:color="auto"/>
        <w:bottom w:val="none" w:sz="0" w:space="0" w:color="auto"/>
        <w:right w:val="none" w:sz="0" w:space="0" w:color="auto"/>
      </w:divBdr>
    </w:div>
    <w:div w:id="474684391">
      <w:bodyDiv w:val="1"/>
      <w:marLeft w:val="0"/>
      <w:marRight w:val="0"/>
      <w:marTop w:val="0"/>
      <w:marBottom w:val="0"/>
      <w:divBdr>
        <w:top w:val="none" w:sz="0" w:space="0" w:color="auto"/>
        <w:left w:val="none" w:sz="0" w:space="0" w:color="auto"/>
        <w:bottom w:val="none" w:sz="0" w:space="0" w:color="auto"/>
        <w:right w:val="none" w:sz="0" w:space="0" w:color="auto"/>
      </w:divBdr>
    </w:div>
    <w:div w:id="476384728">
      <w:bodyDiv w:val="1"/>
      <w:marLeft w:val="0"/>
      <w:marRight w:val="0"/>
      <w:marTop w:val="0"/>
      <w:marBottom w:val="0"/>
      <w:divBdr>
        <w:top w:val="none" w:sz="0" w:space="0" w:color="auto"/>
        <w:left w:val="none" w:sz="0" w:space="0" w:color="auto"/>
        <w:bottom w:val="none" w:sz="0" w:space="0" w:color="auto"/>
        <w:right w:val="none" w:sz="0" w:space="0" w:color="auto"/>
      </w:divBdr>
    </w:div>
    <w:div w:id="476461759">
      <w:bodyDiv w:val="1"/>
      <w:marLeft w:val="0"/>
      <w:marRight w:val="0"/>
      <w:marTop w:val="0"/>
      <w:marBottom w:val="0"/>
      <w:divBdr>
        <w:top w:val="none" w:sz="0" w:space="0" w:color="auto"/>
        <w:left w:val="none" w:sz="0" w:space="0" w:color="auto"/>
        <w:bottom w:val="none" w:sz="0" w:space="0" w:color="auto"/>
        <w:right w:val="none" w:sz="0" w:space="0" w:color="auto"/>
      </w:divBdr>
    </w:div>
    <w:div w:id="477114772">
      <w:bodyDiv w:val="1"/>
      <w:marLeft w:val="0"/>
      <w:marRight w:val="0"/>
      <w:marTop w:val="0"/>
      <w:marBottom w:val="0"/>
      <w:divBdr>
        <w:top w:val="none" w:sz="0" w:space="0" w:color="auto"/>
        <w:left w:val="none" w:sz="0" w:space="0" w:color="auto"/>
        <w:bottom w:val="none" w:sz="0" w:space="0" w:color="auto"/>
        <w:right w:val="none" w:sz="0" w:space="0" w:color="auto"/>
      </w:divBdr>
    </w:div>
    <w:div w:id="479807805">
      <w:bodyDiv w:val="1"/>
      <w:marLeft w:val="0"/>
      <w:marRight w:val="0"/>
      <w:marTop w:val="0"/>
      <w:marBottom w:val="0"/>
      <w:divBdr>
        <w:top w:val="none" w:sz="0" w:space="0" w:color="auto"/>
        <w:left w:val="none" w:sz="0" w:space="0" w:color="auto"/>
        <w:bottom w:val="none" w:sz="0" w:space="0" w:color="auto"/>
        <w:right w:val="none" w:sz="0" w:space="0" w:color="auto"/>
      </w:divBdr>
    </w:div>
    <w:div w:id="479855481">
      <w:bodyDiv w:val="1"/>
      <w:marLeft w:val="0"/>
      <w:marRight w:val="0"/>
      <w:marTop w:val="0"/>
      <w:marBottom w:val="0"/>
      <w:divBdr>
        <w:top w:val="none" w:sz="0" w:space="0" w:color="auto"/>
        <w:left w:val="none" w:sz="0" w:space="0" w:color="auto"/>
        <w:bottom w:val="none" w:sz="0" w:space="0" w:color="auto"/>
        <w:right w:val="none" w:sz="0" w:space="0" w:color="auto"/>
      </w:divBdr>
    </w:div>
    <w:div w:id="479884082">
      <w:bodyDiv w:val="1"/>
      <w:marLeft w:val="0"/>
      <w:marRight w:val="0"/>
      <w:marTop w:val="0"/>
      <w:marBottom w:val="0"/>
      <w:divBdr>
        <w:top w:val="none" w:sz="0" w:space="0" w:color="auto"/>
        <w:left w:val="none" w:sz="0" w:space="0" w:color="auto"/>
        <w:bottom w:val="none" w:sz="0" w:space="0" w:color="auto"/>
        <w:right w:val="none" w:sz="0" w:space="0" w:color="auto"/>
      </w:divBdr>
    </w:div>
    <w:div w:id="481433410">
      <w:bodyDiv w:val="1"/>
      <w:marLeft w:val="0"/>
      <w:marRight w:val="0"/>
      <w:marTop w:val="0"/>
      <w:marBottom w:val="0"/>
      <w:divBdr>
        <w:top w:val="none" w:sz="0" w:space="0" w:color="auto"/>
        <w:left w:val="none" w:sz="0" w:space="0" w:color="auto"/>
        <w:bottom w:val="none" w:sz="0" w:space="0" w:color="auto"/>
        <w:right w:val="none" w:sz="0" w:space="0" w:color="auto"/>
      </w:divBdr>
    </w:div>
    <w:div w:id="487982360">
      <w:bodyDiv w:val="1"/>
      <w:marLeft w:val="0"/>
      <w:marRight w:val="0"/>
      <w:marTop w:val="0"/>
      <w:marBottom w:val="0"/>
      <w:divBdr>
        <w:top w:val="none" w:sz="0" w:space="0" w:color="auto"/>
        <w:left w:val="none" w:sz="0" w:space="0" w:color="auto"/>
        <w:bottom w:val="none" w:sz="0" w:space="0" w:color="auto"/>
        <w:right w:val="none" w:sz="0" w:space="0" w:color="auto"/>
      </w:divBdr>
    </w:div>
    <w:div w:id="488256610">
      <w:bodyDiv w:val="1"/>
      <w:marLeft w:val="0"/>
      <w:marRight w:val="0"/>
      <w:marTop w:val="0"/>
      <w:marBottom w:val="0"/>
      <w:divBdr>
        <w:top w:val="none" w:sz="0" w:space="0" w:color="auto"/>
        <w:left w:val="none" w:sz="0" w:space="0" w:color="auto"/>
        <w:bottom w:val="none" w:sz="0" w:space="0" w:color="auto"/>
        <w:right w:val="none" w:sz="0" w:space="0" w:color="auto"/>
      </w:divBdr>
    </w:div>
    <w:div w:id="491872441">
      <w:bodyDiv w:val="1"/>
      <w:marLeft w:val="0"/>
      <w:marRight w:val="0"/>
      <w:marTop w:val="0"/>
      <w:marBottom w:val="0"/>
      <w:divBdr>
        <w:top w:val="none" w:sz="0" w:space="0" w:color="auto"/>
        <w:left w:val="none" w:sz="0" w:space="0" w:color="auto"/>
        <w:bottom w:val="none" w:sz="0" w:space="0" w:color="auto"/>
        <w:right w:val="none" w:sz="0" w:space="0" w:color="auto"/>
      </w:divBdr>
    </w:div>
    <w:div w:id="494033038">
      <w:bodyDiv w:val="1"/>
      <w:marLeft w:val="0"/>
      <w:marRight w:val="0"/>
      <w:marTop w:val="0"/>
      <w:marBottom w:val="0"/>
      <w:divBdr>
        <w:top w:val="none" w:sz="0" w:space="0" w:color="auto"/>
        <w:left w:val="none" w:sz="0" w:space="0" w:color="auto"/>
        <w:bottom w:val="none" w:sz="0" w:space="0" w:color="auto"/>
        <w:right w:val="none" w:sz="0" w:space="0" w:color="auto"/>
      </w:divBdr>
    </w:div>
    <w:div w:id="495390147">
      <w:bodyDiv w:val="1"/>
      <w:marLeft w:val="0"/>
      <w:marRight w:val="0"/>
      <w:marTop w:val="0"/>
      <w:marBottom w:val="0"/>
      <w:divBdr>
        <w:top w:val="none" w:sz="0" w:space="0" w:color="auto"/>
        <w:left w:val="none" w:sz="0" w:space="0" w:color="auto"/>
        <w:bottom w:val="none" w:sz="0" w:space="0" w:color="auto"/>
        <w:right w:val="none" w:sz="0" w:space="0" w:color="auto"/>
      </w:divBdr>
    </w:div>
    <w:div w:id="495997379">
      <w:bodyDiv w:val="1"/>
      <w:marLeft w:val="0"/>
      <w:marRight w:val="0"/>
      <w:marTop w:val="0"/>
      <w:marBottom w:val="0"/>
      <w:divBdr>
        <w:top w:val="none" w:sz="0" w:space="0" w:color="auto"/>
        <w:left w:val="none" w:sz="0" w:space="0" w:color="auto"/>
        <w:bottom w:val="none" w:sz="0" w:space="0" w:color="auto"/>
        <w:right w:val="none" w:sz="0" w:space="0" w:color="auto"/>
      </w:divBdr>
    </w:div>
    <w:div w:id="500004161">
      <w:bodyDiv w:val="1"/>
      <w:marLeft w:val="0"/>
      <w:marRight w:val="0"/>
      <w:marTop w:val="0"/>
      <w:marBottom w:val="0"/>
      <w:divBdr>
        <w:top w:val="none" w:sz="0" w:space="0" w:color="auto"/>
        <w:left w:val="none" w:sz="0" w:space="0" w:color="auto"/>
        <w:bottom w:val="none" w:sz="0" w:space="0" w:color="auto"/>
        <w:right w:val="none" w:sz="0" w:space="0" w:color="auto"/>
      </w:divBdr>
    </w:div>
    <w:div w:id="501048329">
      <w:bodyDiv w:val="1"/>
      <w:marLeft w:val="0"/>
      <w:marRight w:val="0"/>
      <w:marTop w:val="0"/>
      <w:marBottom w:val="0"/>
      <w:divBdr>
        <w:top w:val="none" w:sz="0" w:space="0" w:color="auto"/>
        <w:left w:val="none" w:sz="0" w:space="0" w:color="auto"/>
        <w:bottom w:val="none" w:sz="0" w:space="0" w:color="auto"/>
        <w:right w:val="none" w:sz="0" w:space="0" w:color="auto"/>
      </w:divBdr>
    </w:div>
    <w:div w:id="505754719">
      <w:bodyDiv w:val="1"/>
      <w:marLeft w:val="0"/>
      <w:marRight w:val="0"/>
      <w:marTop w:val="0"/>
      <w:marBottom w:val="0"/>
      <w:divBdr>
        <w:top w:val="none" w:sz="0" w:space="0" w:color="auto"/>
        <w:left w:val="none" w:sz="0" w:space="0" w:color="auto"/>
        <w:bottom w:val="none" w:sz="0" w:space="0" w:color="auto"/>
        <w:right w:val="none" w:sz="0" w:space="0" w:color="auto"/>
      </w:divBdr>
    </w:div>
    <w:div w:id="507017188">
      <w:bodyDiv w:val="1"/>
      <w:marLeft w:val="0"/>
      <w:marRight w:val="0"/>
      <w:marTop w:val="0"/>
      <w:marBottom w:val="0"/>
      <w:divBdr>
        <w:top w:val="none" w:sz="0" w:space="0" w:color="auto"/>
        <w:left w:val="none" w:sz="0" w:space="0" w:color="auto"/>
        <w:bottom w:val="none" w:sz="0" w:space="0" w:color="auto"/>
        <w:right w:val="none" w:sz="0" w:space="0" w:color="auto"/>
      </w:divBdr>
    </w:div>
    <w:div w:id="507522640">
      <w:bodyDiv w:val="1"/>
      <w:marLeft w:val="0"/>
      <w:marRight w:val="0"/>
      <w:marTop w:val="0"/>
      <w:marBottom w:val="0"/>
      <w:divBdr>
        <w:top w:val="none" w:sz="0" w:space="0" w:color="auto"/>
        <w:left w:val="none" w:sz="0" w:space="0" w:color="auto"/>
        <w:bottom w:val="none" w:sz="0" w:space="0" w:color="auto"/>
        <w:right w:val="none" w:sz="0" w:space="0" w:color="auto"/>
      </w:divBdr>
    </w:div>
    <w:div w:id="509294513">
      <w:bodyDiv w:val="1"/>
      <w:marLeft w:val="0"/>
      <w:marRight w:val="0"/>
      <w:marTop w:val="0"/>
      <w:marBottom w:val="0"/>
      <w:divBdr>
        <w:top w:val="none" w:sz="0" w:space="0" w:color="auto"/>
        <w:left w:val="none" w:sz="0" w:space="0" w:color="auto"/>
        <w:bottom w:val="none" w:sz="0" w:space="0" w:color="auto"/>
        <w:right w:val="none" w:sz="0" w:space="0" w:color="auto"/>
      </w:divBdr>
    </w:div>
    <w:div w:id="514929617">
      <w:bodyDiv w:val="1"/>
      <w:marLeft w:val="0"/>
      <w:marRight w:val="0"/>
      <w:marTop w:val="0"/>
      <w:marBottom w:val="0"/>
      <w:divBdr>
        <w:top w:val="none" w:sz="0" w:space="0" w:color="auto"/>
        <w:left w:val="none" w:sz="0" w:space="0" w:color="auto"/>
        <w:bottom w:val="none" w:sz="0" w:space="0" w:color="auto"/>
        <w:right w:val="none" w:sz="0" w:space="0" w:color="auto"/>
      </w:divBdr>
    </w:div>
    <w:div w:id="518391753">
      <w:bodyDiv w:val="1"/>
      <w:marLeft w:val="0"/>
      <w:marRight w:val="0"/>
      <w:marTop w:val="0"/>
      <w:marBottom w:val="0"/>
      <w:divBdr>
        <w:top w:val="none" w:sz="0" w:space="0" w:color="auto"/>
        <w:left w:val="none" w:sz="0" w:space="0" w:color="auto"/>
        <w:bottom w:val="none" w:sz="0" w:space="0" w:color="auto"/>
        <w:right w:val="none" w:sz="0" w:space="0" w:color="auto"/>
      </w:divBdr>
    </w:div>
    <w:div w:id="518588215">
      <w:bodyDiv w:val="1"/>
      <w:marLeft w:val="0"/>
      <w:marRight w:val="0"/>
      <w:marTop w:val="0"/>
      <w:marBottom w:val="0"/>
      <w:divBdr>
        <w:top w:val="none" w:sz="0" w:space="0" w:color="auto"/>
        <w:left w:val="none" w:sz="0" w:space="0" w:color="auto"/>
        <w:bottom w:val="none" w:sz="0" w:space="0" w:color="auto"/>
        <w:right w:val="none" w:sz="0" w:space="0" w:color="auto"/>
      </w:divBdr>
    </w:div>
    <w:div w:id="524368710">
      <w:bodyDiv w:val="1"/>
      <w:marLeft w:val="0"/>
      <w:marRight w:val="0"/>
      <w:marTop w:val="0"/>
      <w:marBottom w:val="0"/>
      <w:divBdr>
        <w:top w:val="none" w:sz="0" w:space="0" w:color="auto"/>
        <w:left w:val="none" w:sz="0" w:space="0" w:color="auto"/>
        <w:bottom w:val="none" w:sz="0" w:space="0" w:color="auto"/>
        <w:right w:val="none" w:sz="0" w:space="0" w:color="auto"/>
      </w:divBdr>
    </w:div>
    <w:div w:id="524564426">
      <w:bodyDiv w:val="1"/>
      <w:marLeft w:val="0"/>
      <w:marRight w:val="0"/>
      <w:marTop w:val="0"/>
      <w:marBottom w:val="0"/>
      <w:divBdr>
        <w:top w:val="none" w:sz="0" w:space="0" w:color="auto"/>
        <w:left w:val="none" w:sz="0" w:space="0" w:color="auto"/>
        <w:bottom w:val="none" w:sz="0" w:space="0" w:color="auto"/>
        <w:right w:val="none" w:sz="0" w:space="0" w:color="auto"/>
      </w:divBdr>
    </w:div>
    <w:div w:id="524950954">
      <w:bodyDiv w:val="1"/>
      <w:marLeft w:val="0"/>
      <w:marRight w:val="0"/>
      <w:marTop w:val="0"/>
      <w:marBottom w:val="0"/>
      <w:divBdr>
        <w:top w:val="none" w:sz="0" w:space="0" w:color="auto"/>
        <w:left w:val="none" w:sz="0" w:space="0" w:color="auto"/>
        <w:bottom w:val="none" w:sz="0" w:space="0" w:color="auto"/>
        <w:right w:val="none" w:sz="0" w:space="0" w:color="auto"/>
      </w:divBdr>
    </w:div>
    <w:div w:id="526409262">
      <w:bodyDiv w:val="1"/>
      <w:marLeft w:val="0"/>
      <w:marRight w:val="0"/>
      <w:marTop w:val="0"/>
      <w:marBottom w:val="0"/>
      <w:divBdr>
        <w:top w:val="none" w:sz="0" w:space="0" w:color="auto"/>
        <w:left w:val="none" w:sz="0" w:space="0" w:color="auto"/>
        <w:bottom w:val="none" w:sz="0" w:space="0" w:color="auto"/>
        <w:right w:val="none" w:sz="0" w:space="0" w:color="auto"/>
      </w:divBdr>
    </w:div>
    <w:div w:id="530538727">
      <w:bodyDiv w:val="1"/>
      <w:marLeft w:val="0"/>
      <w:marRight w:val="0"/>
      <w:marTop w:val="0"/>
      <w:marBottom w:val="0"/>
      <w:divBdr>
        <w:top w:val="none" w:sz="0" w:space="0" w:color="auto"/>
        <w:left w:val="none" w:sz="0" w:space="0" w:color="auto"/>
        <w:bottom w:val="none" w:sz="0" w:space="0" w:color="auto"/>
        <w:right w:val="none" w:sz="0" w:space="0" w:color="auto"/>
      </w:divBdr>
    </w:div>
    <w:div w:id="539979134">
      <w:bodyDiv w:val="1"/>
      <w:marLeft w:val="0"/>
      <w:marRight w:val="0"/>
      <w:marTop w:val="0"/>
      <w:marBottom w:val="0"/>
      <w:divBdr>
        <w:top w:val="none" w:sz="0" w:space="0" w:color="auto"/>
        <w:left w:val="none" w:sz="0" w:space="0" w:color="auto"/>
        <w:bottom w:val="none" w:sz="0" w:space="0" w:color="auto"/>
        <w:right w:val="none" w:sz="0" w:space="0" w:color="auto"/>
      </w:divBdr>
    </w:div>
    <w:div w:id="540440144">
      <w:bodyDiv w:val="1"/>
      <w:marLeft w:val="0"/>
      <w:marRight w:val="0"/>
      <w:marTop w:val="0"/>
      <w:marBottom w:val="0"/>
      <w:divBdr>
        <w:top w:val="none" w:sz="0" w:space="0" w:color="auto"/>
        <w:left w:val="none" w:sz="0" w:space="0" w:color="auto"/>
        <w:bottom w:val="none" w:sz="0" w:space="0" w:color="auto"/>
        <w:right w:val="none" w:sz="0" w:space="0" w:color="auto"/>
      </w:divBdr>
    </w:div>
    <w:div w:id="540946908">
      <w:bodyDiv w:val="1"/>
      <w:marLeft w:val="0"/>
      <w:marRight w:val="0"/>
      <w:marTop w:val="0"/>
      <w:marBottom w:val="0"/>
      <w:divBdr>
        <w:top w:val="none" w:sz="0" w:space="0" w:color="auto"/>
        <w:left w:val="none" w:sz="0" w:space="0" w:color="auto"/>
        <w:bottom w:val="none" w:sz="0" w:space="0" w:color="auto"/>
        <w:right w:val="none" w:sz="0" w:space="0" w:color="auto"/>
      </w:divBdr>
    </w:div>
    <w:div w:id="541136165">
      <w:bodyDiv w:val="1"/>
      <w:marLeft w:val="0"/>
      <w:marRight w:val="0"/>
      <w:marTop w:val="0"/>
      <w:marBottom w:val="0"/>
      <w:divBdr>
        <w:top w:val="none" w:sz="0" w:space="0" w:color="auto"/>
        <w:left w:val="none" w:sz="0" w:space="0" w:color="auto"/>
        <w:bottom w:val="none" w:sz="0" w:space="0" w:color="auto"/>
        <w:right w:val="none" w:sz="0" w:space="0" w:color="auto"/>
      </w:divBdr>
    </w:div>
    <w:div w:id="542525952">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549465363">
      <w:bodyDiv w:val="1"/>
      <w:marLeft w:val="0"/>
      <w:marRight w:val="0"/>
      <w:marTop w:val="0"/>
      <w:marBottom w:val="0"/>
      <w:divBdr>
        <w:top w:val="none" w:sz="0" w:space="0" w:color="auto"/>
        <w:left w:val="none" w:sz="0" w:space="0" w:color="auto"/>
        <w:bottom w:val="none" w:sz="0" w:space="0" w:color="auto"/>
        <w:right w:val="none" w:sz="0" w:space="0" w:color="auto"/>
      </w:divBdr>
    </w:div>
    <w:div w:id="553853513">
      <w:bodyDiv w:val="1"/>
      <w:marLeft w:val="0"/>
      <w:marRight w:val="0"/>
      <w:marTop w:val="0"/>
      <w:marBottom w:val="0"/>
      <w:divBdr>
        <w:top w:val="none" w:sz="0" w:space="0" w:color="auto"/>
        <w:left w:val="none" w:sz="0" w:space="0" w:color="auto"/>
        <w:bottom w:val="none" w:sz="0" w:space="0" w:color="auto"/>
        <w:right w:val="none" w:sz="0" w:space="0" w:color="auto"/>
      </w:divBdr>
    </w:div>
    <w:div w:id="560291197">
      <w:bodyDiv w:val="1"/>
      <w:marLeft w:val="0"/>
      <w:marRight w:val="0"/>
      <w:marTop w:val="0"/>
      <w:marBottom w:val="0"/>
      <w:divBdr>
        <w:top w:val="none" w:sz="0" w:space="0" w:color="auto"/>
        <w:left w:val="none" w:sz="0" w:space="0" w:color="auto"/>
        <w:bottom w:val="none" w:sz="0" w:space="0" w:color="auto"/>
        <w:right w:val="none" w:sz="0" w:space="0" w:color="auto"/>
      </w:divBdr>
    </w:div>
    <w:div w:id="563641374">
      <w:bodyDiv w:val="1"/>
      <w:marLeft w:val="0"/>
      <w:marRight w:val="0"/>
      <w:marTop w:val="0"/>
      <w:marBottom w:val="0"/>
      <w:divBdr>
        <w:top w:val="none" w:sz="0" w:space="0" w:color="auto"/>
        <w:left w:val="none" w:sz="0" w:space="0" w:color="auto"/>
        <w:bottom w:val="none" w:sz="0" w:space="0" w:color="auto"/>
        <w:right w:val="none" w:sz="0" w:space="0" w:color="auto"/>
      </w:divBdr>
    </w:div>
    <w:div w:id="564410750">
      <w:bodyDiv w:val="1"/>
      <w:marLeft w:val="0"/>
      <w:marRight w:val="0"/>
      <w:marTop w:val="0"/>
      <w:marBottom w:val="0"/>
      <w:divBdr>
        <w:top w:val="none" w:sz="0" w:space="0" w:color="auto"/>
        <w:left w:val="none" w:sz="0" w:space="0" w:color="auto"/>
        <w:bottom w:val="none" w:sz="0" w:space="0" w:color="auto"/>
        <w:right w:val="none" w:sz="0" w:space="0" w:color="auto"/>
      </w:divBdr>
    </w:div>
    <w:div w:id="564413022">
      <w:bodyDiv w:val="1"/>
      <w:marLeft w:val="0"/>
      <w:marRight w:val="0"/>
      <w:marTop w:val="0"/>
      <w:marBottom w:val="0"/>
      <w:divBdr>
        <w:top w:val="none" w:sz="0" w:space="0" w:color="auto"/>
        <w:left w:val="none" w:sz="0" w:space="0" w:color="auto"/>
        <w:bottom w:val="none" w:sz="0" w:space="0" w:color="auto"/>
        <w:right w:val="none" w:sz="0" w:space="0" w:color="auto"/>
      </w:divBdr>
    </w:div>
    <w:div w:id="565529243">
      <w:bodyDiv w:val="1"/>
      <w:marLeft w:val="0"/>
      <w:marRight w:val="0"/>
      <w:marTop w:val="0"/>
      <w:marBottom w:val="0"/>
      <w:divBdr>
        <w:top w:val="none" w:sz="0" w:space="0" w:color="auto"/>
        <w:left w:val="none" w:sz="0" w:space="0" w:color="auto"/>
        <w:bottom w:val="none" w:sz="0" w:space="0" w:color="auto"/>
        <w:right w:val="none" w:sz="0" w:space="0" w:color="auto"/>
      </w:divBdr>
    </w:div>
    <w:div w:id="565654222">
      <w:bodyDiv w:val="1"/>
      <w:marLeft w:val="0"/>
      <w:marRight w:val="0"/>
      <w:marTop w:val="0"/>
      <w:marBottom w:val="0"/>
      <w:divBdr>
        <w:top w:val="none" w:sz="0" w:space="0" w:color="auto"/>
        <w:left w:val="none" w:sz="0" w:space="0" w:color="auto"/>
        <w:bottom w:val="none" w:sz="0" w:space="0" w:color="auto"/>
        <w:right w:val="none" w:sz="0" w:space="0" w:color="auto"/>
      </w:divBdr>
    </w:div>
    <w:div w:id="566453161">
      <w:bodyDiv w:val="1"/>
      <w:marLeft w:val="0"/>
      <w:marRight w:val="0"/>
      <w:marTop w:val="0"/>
      <w:marBottom w:val="0"/>
      <w:divBdr>
        <w:top w:val="none" w:sz="0" w:space="0" w:color="auto"/>
        <w:left w:val="none" w:sz="0" w:space="0" w:color="auto"/>
        <w:bottom w:val="none" w:sz="0" w:space="0" w:color="auto"/>
        <w:right w:val="none" w:sz="0" w:space="0" w:color="auto"/>
      </w:divBdr>
    </w:div>
    <w:div w:id="566498365">
      <w:bodyDiv w:val="1"/>
      <w:marLeft w:val="0"/>
      <w:marRight w:val="0"/>
      <w:marTop w:val="0"/>
      <w:marBottom w:val="0"/>
      <w:divBdr>
        <w:top w:val="none" w:sz="0" w:space="0" w:color="auto"/>
        <w:left w:val="none" w:sz="0" w:space="0" w:color="auto"/>
        <w:bottom w:val="none" w:sz="0" w:space="0" w:color="auto"/>
        <w:right w:val="none" w:sz="0" w:space="0" w:color="auto"/>
      </w:divBdr>
    </w:div>
    <w:div w:id="568923382">
      <w:bodyDiv w:val="1"/>
      <w:marLeft w:val="0"/>
      <w:marRight w:val="0"/>
      <w:marTop w:val="0"/>
      <w:marBottom w:val="0"/>
      <w:divBdr>
        <w:top w:val="none" w:sz="0" w:space="0" w:color="auto"/>
        <w:left w:val="none" w:sz="0" w:space="0" w:color="auto"/>
        <w:bottom w:val="none" w:sz="0" w:space="0" w:color="auto"/>
        <w:right w:val="none" w:sz="0" w:space="0" w:color="auto"/>
      </w:divBdr>
    </w:div>
    <w:div w:id="573129761">
      <w:bodyDiv w:val="1"/>
      <w:marLeft w:val="0"/>
      <w:marRight w:val="0"/>
      <w:marTop w:val="0"/>
      <w:marBottom w:val="0"/>
      <w:divBdr>
        <w:top w:val="none" w:sz="0" w:space="0" w:color="auto"/>
        <w:left w:val="none" w:sz="0" w:space="0" w:color="auto"/>
        <w:bottom w:val="none" w:sz="0" w:space="0" w:color="auto"/>
        <w:right w:val="none" w:sz="0" w:space="0" w:color="auto"/>
      </w:divBdr>
    </w:div>
    <w:div w:id="577860107">
      <w:bodyDiv w:val="1"/>
      <w:marLeft w:val="0"/>
      <w:marRight w:val="0"/>
      <w:marTop w:val="0"/>
      <w:marBottom w:val="0"/>
      <w:divBdr>
        <w:top w:val="none" w:sz="0" w:space="0" w:color="auto"/>
        <w:left w:val="none" w:sz="0" w:space="0" w:color="auto"/>
        <w:bottom w:val="none" w:sz="0" w:space="0" w:color="auto"/>
        <w:right w:val="none" w:sz="0" w:space="0" w:color="auto"/>
      </w:divBdr>
    </w:div>
    <w:div w:id="577983551">
      <w:bodyDiv w:val="1"/>
      <w:marLeft w:val="0"/>
      <w:marRight w:val="0"/>
      <w:marTop w:val="0"/>
      <w:marBottom w:val="0"/>
      <w:divBdr>
        <w:top w:val="none" w:sz="0" w:space="0" w:color="auto"/>
        <w:left w:val="none" w:sz="0" w:space="0" w:color="auto"/>
        <w:bottom w:val="none" w:sz="0" w:space="0" w:color="auto"/>
        <w:right w:val="none" w:sz="0" w:space="0" w:color="auto"/>
      </w:divBdr>
    </w:div>
    <w:div w:id="580024698">
      <w:bodyDiv w:val="1"/>
      <w:marLeft w:val="0"/>
      <w:marRight w:val="0"/>
      <w:marTop w:val="0"/>
      <w:marBottom w:val="0"/>
      <w:divBdr>
        <w:top w:val="none" w:sz="0" w:space="0" w:color="auto"/>
        <w:left w:val="none" w:sz="0" w:space="0" w:color="auto"/>
        <w:bottom w:val="none" w:sz="0" w:space="0" w:color="auto"/>
        <w:right w:val="none" w:sz="0" w:space="0" w:color="auto"/>
      </w:divBdr>
    </w:div>
    <w:div w:id="581372021">
      <w:bodyDiv w:val="1"/>
      <w:marLeft w:val="0"/>
      <w:marRight w:val="0"/>
      <w:marTop w:val="0"/>
      <w:marBottom w:val="0"/>
      <w:divBdr>
        <w:top w:val="none" w:sz="0" w:space="0" w:color="auto"/>
        <w:left w:val="none" w:sz="0" w:space="0" w:color="auto"/>
        <w:bottom w:val="none" w:sz="0" w:space="0" w:color="auto"/>
        <w:right w:val="none" w:sz="0" w:space="0" w:color="auto"/>
      </w:divBdr>
    </w:div>
    <w:div w:id="582302415">
      <w:bodyDiv w:val="1"/>
      <w:marLeft w:val="0"/>
      <w:marRight w:val="0"/>
      <w:marTop w:val="0"/>
      <w:marBottom w:val="0"/>
      <w:divBdr>
        <w:top w:val="none" w:sz="0" w:space="0" w:color="auto"/>
        <w:left w:val="none" w:sz="0" w:space="0" w:color="auto"/>
        <w:bottom w:val="none" w:sz="0" w:space="0" w:color="auto"/>
        <w:right w:val="none" w:sz="0" w:space="0" w:color="auto"/>
      </w:divBdr>
    </w:div>
    <w:div w:id="583757679">
      <w:bodyDiv w:val="1"/>
      <w:marLeft w:val="0"/>
      <w:marRight w:val="0"/>
      <w:marTop w:val="0"/>
      <w:marBottom w:val="0"/>
      <w:divBdr>
        <w:top w:val="none" w:sz="0" w:space="0" w:color="auto"/>
        <w:left w:val="none" w:sz="0" w:space="0" w:color="auto"/>
        <w:bottom w:val="none" w:sz="0" w:space="0" w:color="auto"/>
        <w:right w:val="none" w:sz="0" w:space="0" w:color="auto"/>
      </w:divBdr>
    </w:div>
    <w:div w:id="584916497">
      <w:bodyDiv w:val="1"/>
      <w:marLeft w:val="0"/>
      <w:marRight w:val="0"/>
      <w:marTop w:val="0"/>
      <w:marBottom w:val="0"/>
      <w:divBdr>
        <w:top w:val="none" w:sz="0" w:space="0" w:color="auto"/>
        <w:left w:val="none" w:sz="0" w:space="0" w:color="auto"/>
        <w:bottom w:val="none" w:sz="0" w:space="0" w:color="auto"/>
        <w:right w:val="none" w:sz="0" w:space="0" w:color="auto"/>
      </w:divBdr>
    </w:div>
    <w:div w:id="586041377">
      <w:bodyDiv w:val="1"/>
      <w:marLeft w:val="0"/>
      <w:marRight w:val="0"/>
      <w:marTop w:val="0"/>
      <w:marBottom w:val="0"/>
      <w:divBdr>
        <w:top w:val="none" w:sz="0" w:space="0" w:color="auto"/>
        <w:left w:val="none" w:sz="0" w:space="0" w:color="auto"/>
        <w:bottom w:val="none" w:sz="0" w:space="0" w:color="auto"/>
        <w:right w:val="none" w:sz="0" w:space="0" w:color="auto"/>
      </w:divBdr>
    </w:div>
    <w:div w:id="591622329">
      <w:bodyDiv w:val="1"/>
      <w:marLeft w:val="0"/>
      <w:marRight w:val="0"/>
      <w:marTop w:val="0"/>
      <w:marBottom w:val="0"/>
      <w:divBdr>
        <w:top w:val="none" w:sz="0" w:space="0" w:color="auto"/>
        <w:left w:val="none" w:sz="0" w:space="0" w:color="auto"/>
        <w:bottom w:val="none" w:sz="0" w:space="0" w:color="auto"/>
        <w:right w:val="none" w:sz="0" w:space="0" w:color="auto"/>
      </w:divBdr>
    </w:div>
    <w:div w:id="593828259">
      <w:bodyDiv w:val="1"/>
      <w:marLeft w:val="0"/>
      <w:marRight w:val="0"/>
      <w:marTop w:val="0"/>
      <w:marBottom w:val="0"/>
      <w:divBdr>
        <w:top w:val="none" w:sz="0" w:space="0" w:color="auto"/>
        <w:left w:val="none" w:sz="0" w:space="0" w:color="auto"/>
        <w:bottom w:val="none" w:sz="0" w:space="0" w:color="auto"/>
        <w:right w:val="none" w:sz="0" w:space="0" w:color="auto"/>
      </w:divBdr>
    </w:div>
    <w:div w:id="594286233">
      <w:bodyDiv w:val="1"/>
      <w:marLeft w:val="0"/>
      <w:marRight w:val="0"/>
      <w:marTop w:val="0"/>
      <w:marBottom w:val="0"/>
      <w:divBdr>
        <w:top w:val="none" w:sz="0" w:space="0" w:color="auto"/>
        <w:left w:val="none" w:sz="0" w:space="0" w:color="auto"/>
        <w:bottom w:val="none" w:sz="0" w:space="0" w:color="auto"/>
        <w:right w:val="none" w:sz="0" w:space="0" w:color="auto"/>
      </w:divBdr>
    </w:div>
    <w:div w:id="595097968">
      <w:bodyDiv w:val="1"/>
      <w:marLeft w:val="0"/>
      <w:marRight w:val="0"/>
      <w:marTop w:val="0"/>
      <w:marBottom w:val="0"/>
      <w:divBdr>
        <w:top w:val="none" w:sz="0" w:space="0" w:color="auto"/>
        <w:left w:val="none" w:sz="0" w:space="0" w:color="auto"/>
        <w:bottom w:val="none" w:sz="0" w:space="0" w:color="auto"/>
        <w:right w:val="none" w:sz="0" w:space="0" w:color="auto"/>
      </w:divBdr>
    </w:div>
    <w:div w:id="595212569">
      <w:bodyDiv w:val="1"/>
      <w:marLeft w:val="0"/>
      <w:marRight w:val="0"/>
      <w:marTop w:val="0"/>
      <w:marBottom w:val="0"/>
      <w:divBdr>
        <w:top w:val="none" w:sz="0" w:space="0" w:color="auto"/>
        <w:left w:val="none" w:sz="0" w:space="0" w:color="auto"/>
        <w:bottom w:val="none" w:sz="0" w:space="0" w:color="auto"/>
        <w:right w:val="none" w:sz="0" w:space="0" w:color="auto"/>
      </w:divBdr>
    </w:div>
    <w:div w:id="595477980">
      <w:bodyDiv w:val="1"/>
      <w:marLeft w:val="0"/>
      <w:marRight w:val="0"/>
      <w:marTop w:val="0"/>
      <w:marBottom w:val="0"/>
      <w:divBdr>
        <w:top w:val="none" w:sz="0" w:space="0" w:color="auto"/>
        <w:left w:val="none" w:sz="0" w:space="0" w:color="auto"/>
        <w:bottom w:val="none" w:sz="0" w:space="0" w:color="auto"/>
        <w:right w:val="none" w:sz="0" w:space="0" w:color="auto"/>
      </w:divBdr>
    </w:div>
    <w:div w:id="599073349">
      <w:bodyDiv w:val="1"/>
      <w:marLeft w:val="0"/>
      <w:marRight w:val="0"/>
      <w:marTop w:val="0"/>
      <w:marBottom w:val="0"/>
      <w:divBdr>
        <w:top w:val="none" w:sz="0" w:space="0" w:color="auto"/>
        <w:left w:val="none" w:sz="0" w:space="0" w:color="auto"/>
        <w:bottom w:val="none" w:sz="0" w:space="0" w:color="auto"/>
        <w:right w:val="none" w:sz="0" w:space="0" w:color="auto"/>
      </w:divBdr>
    </w:div>
    <w:div w:id="599290029">
      <w:bodyDiv w:val="1"/>
      <w:marLeft w:val="0"/>
      <w:marRight w:val="0"/>
      <w:marTop w:val="0"/>
      <w:marBottom w:val="0"/>
      <w:divBdr>
        <w:top w:val="none" w:sz="0" w:space="0" w:color="auto"/>
        <w:left w:val="none" w:sz="0" w:space="0" w:color="auto"/>
        <w:bottom w:val="none" w:sz="0" w:space="0" w:color="auto"/>
        <w:right w:val="none" w:sz="0" w:space="0" w:color="auto"/>
      </w:divBdr>
    </w:div>
    <w:div w:id="603273735">
      <w:bodyDiv w:val="1"/>
      <w:marLeft w:val="0"/>
      <w:marRight w:val="0"/>
      <w:marTop w:val="0"/>
      <w:marBottom w:val="0"/>
      <w:divBdr>
        <w:top w:val="none" w:sz="0" w:space="0" w:color="auto"/>
        <w:left w:val="none" w:sz="0" w:space="0" w:color="auto"/>
        <w:bottom w:val="none" w:sz="0" w:space="0" w:color="auto"/>
        <w:right w:val="none" w:sz="0" w:space="0" w:color="auto"/>
      </w:divBdr>
    </w:div>
    <w:div w:id="605423755">
      <w:bodyDiv w:val="1"/>
      <w:marLeft w:val="0"/>
      <w:marRight w:val="0"/>
      <w:marTop w:val="0"/>
      <w:marBottom w:val="0"/>
      <w:divBdr>
        <w:top w:val="none" w:sz="0" w:space="0" w:color="auto"/>
        <w:left w:val="none" w:sz="0" w:space="0" w:color="auto"/>
        <w:bottom w:val="none" w:sz="0" w:space="0" w:color="auto"/>
        <w:right w:val="none" w:sz="0" w:space="0" w:color="auto"/>
      </w:divBdr>
    </w:div>
    <w:div w:id="608320443">
      <w:bodyDiv w:val="1"/>
      <w:marLeft w:val="0"/>
      <w:marRight w:val="0"/>
      <w:marTop w:val="0"/>
      <w:marBottom w:val="0"/>
      <w:divBdr>
        <w:top w:val="none" w:sz="0" w:space="0" w:color="auto"/>
        <w:left w:val="none" w:sz="0" w:space="0" w:color="auto"/>
        <w:bottom w:val="none" w:sz="0" w:space="0" w:color="auto"/>
        <w:right w:val="none" w:sz="0" w:space="0" w:color="auto"/>
      </w:divBdr>
    </w:div>
    <w:div w:id="609240811">
      <w:bodyDiv w:val="1"/>
      <w:marLeft w:val="0"/>
      <w:marRight w:val="0"/>
      <w:marTop w:val="0"/>
      <w:marBottom w:val="0"/>
      <w:divBdr>
        <w:top w:val="none" w:sz="0" w:space="0" w:color="auto"/>
        <w:left w:val="none" w:sz="0" w:space="0" w:color="auto"/>
        <w:bottom w:val="none" w:sz="0" w:space="0" w:color="auto"/>
        <w:right w:val="none" w:sz="0" w:space="0" w:color="auto"/>
      </w:divBdr>
    </w:div>
    <w:div w:id="611210503">
      <w:bodyDiv w:val="1"/>
      <w:marLeft w:val="0"/>
      <w:marRight w:val="0"/>
      <w:marTop w:val="0"/>
      <w:marBottom w:val="0"/>
      <w:divBdr>
        <w:top w:val="none" w:sz="0" w:space="0" w:color="auto"/>
        <w:left w:val="none" w:sz="0" w:space="0" w:color="auto"/>
        <w:bottom w:val="none" w:sz="0" w:space="0" w:color="auto"/>
        <w:right w:val="none" w:sz="0" w:space="0" w:color="auto"/>
      </w:divBdr>
    </w:div>
    <w:div w:id="613050591">
      <w:bodyDiv w:val="1"/>
      <w:marLeft w:val="0"/>
      <w:marRight w:val="0"/>
      <w:marTop w:val="0"/>
      <w:marBottom w:val="0"/>
      <w:divBdr>
        <w:top w:val="none" w:sz="0" w:space="0" w:color="auto"/>
        <w:left w:val="none" w:sz="0" w:space="0" w:color="auto"/>
        <w:bottom w:val="none" w:sz="0" w:space="0" w:color="auto"/>
        <w:right w:val="none" w:sz="0" w:space="0" w:color="auto"/>
      </w:divBdr>
    </w:div>
    <w:div w:id="616257126">
      <w:bodyDiv w:val="1"/>
      <w:marLeft w:val="0"/>
      <w:marRight w:val="0"/>
      <w:marTop w:val="0"/>
      <w:marBottom w:val="0"/>
      <w:divBdr>
        <w:top w:val="none" w:sz="0" w:space="0" w:color="auto"/>
        <w:left w:val="none" w:sz="0" w:space="0" w:color="auto"/>
        <w:bottom w:val="none" w:sz="0" w:space="0" w:color="auto"/>
        <w:right w:val="none" w:sz="0" w:space="0" w:color="auto"/>
      </w:divBdr>
    </w:div>
    <w:div w:id="619533302">
      <w:bodyDiv w:val="1"/>
      <w:marLeft w:val="0"/>
      <w:marRight w:val="0"/>
      <w:marTop w:val="0"/>
      <w:marBottom w:val="0"/>
      <w:divBdr>
        <w:top w:val="none" w:sz="0" w:space="0" w:color="auto"/>
        <w:left w:val="none" w:sz="0" w:space="0" w:color="auto"/>
        <w:bottom w:val="none" w:sz="0" w:space="0" w:color="auto"/>
        <w:right w:val="none" w:sz="0" w:space="0" w:color="auto"/>
      </w:divBdr>
    </w:div>
    <w:div w:id="621231889">
      <w:bodyDiv w:val="1"/>
      <w:marLeft w:val="0"/>
      <w:marRight w:val="0"/>
      <w:marTop w:val="0"/>
      <w:marBottom w:val="0"/>
      <w:divBdr>
        <w:top w:val="none" w:sz="0" w:space="0" w:color="auto"/>
        <w:left w:val="none" w:sz="0" w:space="0" w:color="auto"/>
        <w:bottom w:val="none" w:sz="0" w:space="0" w:color="auto"/>
        <w:right w:val="none" w:sz="0" w:space="0" w:color="auto"/>
      </w:divBdr>
    </w:div>
    <w:div w:id="621307163">
      <w:bodyDiv w:val="1"/>
      <w:marLeft w:val="0"/>
      <w:marRight w:val="0"/>
      <w:marTop w:val="0"/>
      <w:marBottom w:val="0"/>
      <w:divBdr>
        <w:top w:val="none" w:sz="0" w:space="0" w:color="auto"/>
        <w:left w:val="none" w:sz="0" w:space="0" w:color="auto"/>
        <w:bottom w:val="none" w:sz="0" w:space="0" w:color="auto"/>
        <w:right w:val="none" w:sz="0" w:space="0" w:color="auto"/>
      </w:divBdr>
    </w:div>
    <w:div w:id="622810041">
      <w:bodyDiv w:val="1"/>
      <w:marLeft w:val="0"/>
      <w:marRight w:val="0"/>
      <w:marTop w:val="0"/>
      <w:marBottom w:val="0"/>
      <w:divBdr>
        <w:top w:val="none" w:sz="0" w:space="0" w:color="auto"/>
        <w:left w:val="none" w:sz="0" w:space="0" w:color="auto"/>
        <w:bottom w:val="none" w:sz="0" w:space="0" w:color="auto"/>
        <w:right w:val="none" w:sz="0" w:space="0" w:color="auto"/>
      </w:divBdr>
    </w:div>
    <w:div w:id="622882596">
      <w:bodyDiv w:val="1"/>
      <w:marLeft w:val="0"/>
      <w:marRight w:val="0"/>
      <w:marTop w:val="0"/>
      <w:marBottom w:val="0"/>
      <w:divBdr>
        <w:top w:val="none" w:sz="0" w:space="0" w:color="auto"/>
        <w:left w:val="none" w:sz="0" w:space="0" w:color="auto"/>
        <w:bottom w:val="none" w:sz="0" w:space="0" w:color="auto"/>
        <w:right w:val="none" w:sz="0" w:space="0" w:color="auto"/>
      </w:divBdr>
    </w:div>
    <w:div w:id="625236897">
      <w:bodyDiv w:val="1"/>
      <w:marLeft w:val="0"/>
      <w:marRight w:val="0"/>
      <w:marTop w:val="0"/>
      <w:marBottom w:val="0"/>
      <w:divBdr>
        <w:top w:val="none" w:sz="0" w:space="0" w:color="auto"/>
        <w:left w:val="none" w:sz="0" w:space="0" w:color="auto"/>
        <w:bottom w:val="none" w:sz="0" w:space="0" w:color="auto"/>
        <w:right w:val="none" w:sz="0" w:space="0" w:color="auto"/>
      </w:divBdr>
    </w:div>
    <w:div w:id="630479714">
      <w:bodyDiv w:val="1"/>
      <w:marLeft w:val="0"/>
      <w:marRight w:val="0"/>
      <w:marTop w:val="0"/>
      <w:marBottom w:val="0"/>
      <w:divBdr>
        <w:top w:val="none" w:sz="0" w:space="0" w:color="auto"/>
        <w:left w:val="none" w:sz="0" w:space="0" w:color="auto"/>
        <w:bottom w:val="none" w:sz="0" w:space="0" w:color="auto"/>
        <w:right w:val="none" w:sz="0" w:space="0" w:color="auto"/>
      </w:divBdr>
    </w:div>
    <w:div w:id="635333152">
      <w:bodyDiv w:val="1"/>
      <w:marLeft w:val="0"/>
      <w:marRight w:val="0"/>
      <w:marTop w:val="0"/>
      <w:marBottom w:val="0"/>
      <w:divBdr>
        <w:top w:val="none" w:sz="0" w:space="0" w:color="auto"/>
        <w:left w:val="none" w:sz="0" w:space="0" w:color="auto"/>
        <w:bottom w:val="none" w:sz="0" w:space="0" w:color="auto"/>
        <w:right w:val="none" w:sz="0" w:space="0" w:color="auto"/>
      </w:divBdr>
    </w:div>
    <w:div w:id="636910946">
      <w:bodyDiv w:val="1"/>
      <w:marLeft w:val="0"/>
      <w:marRight w:val="0"/>
      <w:marTop w:val="0"/>
      <w:marBottom w:val="0"/>
      <w:divBdr>
        <w:top w:val="none" w:sz="0" w:space="0" w:color="auto"/>
        <w:left w:val="none" w:sz="0" w:space="0" w:color="auto"/>
        <w:bottom w:val="none" w:sz="0" w:space="0" w:color="auto"/>
        <w:right w:val="none" w:sz="0" w:space="0" w:color="auto"/>
      </w:divBdr>
    </w:div>
    <w:div w:id="642081710">
      <w:bodyDiv w:val="1"/>
      <w:marLeft w:val="0"/>
      <w:marRight w:val="0"/>
      <w:marTop w:val="0"/>
      <w:marBottom w:val="0"/>
      <w:divBdr>
        <w:top w:val="none" w:sz="0" w:space="0" w:color="auto"/>
        <w:left w:val="none" w:sz="0" w:space="0" w:color="auto"/>
        <w:bottom w:val="none" w:sz="0" w:space="0" w:color="auto"/>
        <w:right w:val="none" w:sz="0" w:space="0" w:color="auto"/>
      </w:divBdr>
    </w:div>
    <w:div w:id="642660036">
      <w:bodyDiv w:val="1"/>
      <w:marLeft w:val="0"/>
      <w:marRight w:val="0"/>
      <w:marTop w:val="0"/>
      <w:marBottom w:val="0"/>
      <w:divBdr>
        <w:top w:val="none" w:sz="0" w:space="0" w:color="auto"/>
        <w:left w:val="none" w:sz="0" w:space="0" w:color="auto"/>
        <w:bottom w:val="none" w:sz="0" w:space="0" w:color="auto"/>
        <w:right w:val="none" w:sz="0" w:space="0" w:color="auto"/>
      </w:divBdr>
    </w:div>
    <w:div w:id="643505459">
      <w:bodyDiv w:val="1"/>
      <w:marLeft w:val="0"/>
      <w:marRight w:val="0"/>
      <w:marTop w:val="0"/>
      <w:marBottom w:val="0"/>
      <w:divBdr>
        <w:top w:val="none" w:sz="0" w:space="0" w:color="auto"/>
        <w:left w:val="none" w:sz="0" w:space="0" w:color="auto"/>
        <w:bottom w:val="none" w:sz="0" w:space="0" w:color="auto"/>
        <w:right w:val="none" w:sz="0" w:space="0" w:color="auto"/>
      </w:divBdr>
    </w:div>
    <w:div w:id="644899006">
      <w:bodyDiv w:val="1"/>
      <w:marLeft w:val="0"/>
      <w:marRight w:val="0"/>
      <w:marTop w:val="0"/>
      <w:marBottom w:val="0"/>
      <w:divBdr>
        <w:top w:val="none" w:sz="0" w:space="0" w:color="auto"/>
        <w:left w:val="none" w:sz="0" w:space="0" w:color="auto"/>
        <w:bottom w:val="none" w:sz="0" w:space="0" w:color="auto"/>
        <w:right w:val="none" w:sz="0" w:space="0" w:color="auto"/>
      </w:divBdr>
    </w:div>
    <w:div w:id="645743287">
      <w:bodyDiv w:val="1"/>
      <w:marLeft w:val="0"/>
      <w:marRight w:val="0"/>
      <w:marTop w:val="0"/>
      <w:marBottom w:val="0"/>
      <w:divBdr>
        <w:top w:val="none" w:sz="0" w:space="0" w:color="auto"/>
        <w:left w:val="none" w:sz="0" w:space="0" w:color="auto"/>
        <w:bottom w:val="none" w:sz="0" w:space="0" w:color="auto"/>
        <w:right w:val="none" w:sz="0" w:space="0" w:color="auto"/>
      </w:divBdr>
    </w:div>
    <w:div w:id="648873608">
      <w:bodyDiv w:val="1"/>
      <w:marLeft w:val="0"/>
      <w:marRight w:val="0"/>
      <w:marTop w:val="0"/>
      <w:marBottom w:val="0"/>
      <w:divBdr>
        <w:top w:val="none" w:sz="0" w:space="0" w:color="auto"/>
        <w:left w:val="none" w:sz="0" w:space="0" w:color="auto"/>
        <w:bottom w:val="none" w:sz="0" w:space="0" w:color="auto"/>
        <w:right w:val="none" w:sz="0" w:space="0" w:color="auto"/>
      </w:divBdr>
    </w:div>
    <w:div w:id="649211758">
      <w:bodyDiv w:val="1"/>
      <w:marLeft w:val="0"/>
      <w:marRight w:val="0"/>
      <w:marTop w:val="0"/>
      <w:marBottom w:val="0"/>
      <w:divBdr>
        <w:top w:val="none" w:sz="0" w:space="0" w:color="auto"/>
        <w:left w:val="none" w:sz="0" w:space="0" w:color="auto"/>
        <w:bottom w:val="none" w:sz="0" w:space="0" w:color="auto"/>
        <w:right w:val="none" w:sz="0" w:space="0" w:color="auto"/>
      </w:divBdr>
    </w:div>
    <w:div w:id="650712573">
      <w:bodyDiv w:val="1"/>
      <w:marLeft w:val="0"/>
      <w:marRight w:val="0"/>
      <w:marTop w:val="0"/>
      <w:marBottom w:val="0"/>
      <w:divBdr>
        <w:top w:val="none" w:sz="0" w:space="0" w:color="auto"/>
        <w:left w:val="none" w:sz="0" w:space="0" w:color="auto"/>
        <w:bottom w:val="none" w:sz="0" w:space="0" w:color="auto"/>
        <w:right w:val="none" w:sz="0" w:space="0" w:color="auto"/>
      </w:divBdr>
    </w:div>
    <w:div w:id="656425431">
      <w:bodyDiv w:val="1"/>
      <w:marLeft w:val="0"/>
      <w:marRight w:val="0"/>
      <w:marTop w:val="0"/>
      <w:marBottom w:val="0"/>
      <w:divBdr>
        <w:top w:val="none" w:sz="0" w:space="0" w:color="auto"/>
        <w:left w:val="none" w:sz="0" w:space="0" w:color="auto"/>
        <w:bottom w:val="none" w:sz="0" w:space="0" w:color="auto"/>
        <w:right w:val="none" w:sz="0" w:space="0" w:color="auto"/>
      </w:divBdr>
    </w:div>
    <w:div w:id="659890124">
      <w:bodyDiv w:val="1"/>
      <w:marLeft w:val="0"/>
      <w:marRight w:val="0"/>
      <w:marTop w:val="0"/>
      <w:marBottom w:val="0"/>
      <w:divBdr>
        <w:top w:val="none" w:sz="0" w:space="0" w:color="auto"/>
        <w:left w:val="none" w:sz="0" w:space="0" w:color="auto"/>
        <w:bottom w:val="none" w:sz="0" w:space="0" w:color="auto"/>
        <w:right w:val="none" w:sz="0" w:space="0" w:color="auto"/>
      </w:divBdr>
    </w:div>
    <w:div w:id="661666382">
      <w:bodyDiv w:val="1"/>
      <w:marLeft w:val="0"/>
      <w:marRight w:val="0"/>
      <w:marTop w:val="0"/>
      <w:marBottom w:val="0"/>
      <w:divBdr>
        <w:top w:val="none" w:sz="0" w:space="0" w:color="auto"/>
        <w:left w:val="none" w:sz="0" w:space="0" w:color="auto"/>
        <w:bottom w:val="none" w:sz="0" w:space="0" w:color="auto"/>
        <w:right w:val="none" w:sz="0" w:space="0" w:color="auto"/>
      </w:divBdr>
    </w:div>
    <w:div w:id="662273569">
      <w:bodyDiv w:val="1"/>
      <w:marLeft w:val="0"/>
      <w:marRight w:val="0"/>
      <w:marTop w:val="0"/>
      <w:marBottom w:val="0"/>
      <w:divBdr>
        <w:top w:val="none" w:sz="0" w:space="0" w:color="auto"/>
        <w:left w:val="none" w:sz="0" w:space="0" w:color="auto"/>
        <w:bottom w:val="none" w:sz="0" w:space="0" w:color="auto"/>
        <w:right w:val="none" w:sz="0" w:space="0" w:color="auto"/>
      </w:divBdr>
    </w:div>
    <w:div w:id="663240274">
      <w:bodyDiv w:val="1"/>
      <w:marLeft w:val="0"/>
      <w:marRight w:val="0"/>
      <w:marTop w:val="0"/>
      <w:marBottom w:val="0"/>
      <w:divBdr>
        <w:top w:val="none" w:sz="0" w:space="0" w:color="auto"/>
        <w:left w:val="none" w:sz="0" w:space="0" w:color="auto"/>
        <w:bottom w:val="none" w:sz="0" w:space="0" w:color="auto"/>
        <w:right w:val="none" w:sz="0" w:space="0" w:color="auto"/>
      </w:divBdr>
    </w:div>
    <w:div w:id="663316339">
      <w:bodyDiv w:val="1"/>
      <w:marLeft w:val="0"/>
      <w:marRight w:val="0"/>
      <w:marTop w:val="0"/>
      <w:marBottom w:val="0"/>
      <w:divBdr>
        <w:top w:val="none" w:sz="0" w:space="0" w:color="auto"/>
        <w:left w:val="none" w:sz="0" w:space="0" w:color="auto"/>
        <w:bottom w:val="none" w:sz="0" w:space="0" w:color="auto"/>
        <w:right w:val="none" w:sz="0" w:space="0" w:color="auto"/>
      </w:divBdr>
    </w:div>
    <w:div w:id="663969843">
      <w:bodyDiv w:val="1"/>
      <w:marLeft w:val="0"/>
      <w:marRight w:val="0"/>
      <w:marTop w:val="0"/>
      <w:marBottom w:val="0"/>
      <w:divBdr>
        <w:top w:val="none" w:sz="0" w:space="0" w:color="auto"/>
        <w:left w:val="none" w:sz="0" w:space="0" w:color="auto"/>
        <w:bottom w:val="none" w:sz="0" w:space="0" w:color="auto"/>
        <w:right w:val="none" w:sz="0" w:space="0" w:color="auto"/>
      </w:divBdr>
    </w:div>
    <w:div w:id="664623634">
      <w:bodyDiv w:val="1"/>
      <w:marLeft w:val="0"/>
      <w:marRight w:val="0"/>
      <w:marTop w:val="0"/>
      <w:marBottom w:val="0"/>
      <w:divBdr>
        <w:top w:val="none" w:sz="0" w:space="0" w:color="auto"/>
        <w:left w:val="none" w:sz="0" w:space="0" w:color="auto"/>
        <w:bottom w:val="none" w:sz="0" w:space="0" w:color="auto"/>
        <w:right w:val="none" w:sz="0" w:space="0" w:color="auto"/>
      </w:divBdr>
    </w:div>
    <w:div w:id="666055755">
      <w:bodyDiv w:val="1"/>
      <w:marLeft w:val="0"/>
      <w:marRight w:val="0"/>
      <w:marTop w:val="0"/>
      <w:marBottom w:val="0"/>
      <w:divBdr>
        <w:top w:val="none" w:sz="0" w:space="0" w:color="auto"/>
        <w:left w:val="none" w:sz="0" w:space="0" w:color="auto"/>
        <w:bottom w:val="none" w:sz="0" w:space="0" w:color="auto"/>
        <w:right w:val="none" w:sz="0" w:space="0" w:color="auto"/>
      </w:divBdr>
    </w:div>
    <w:div w:id="671685240">
      <w:bodyDiv w:val="1"/>
      <w:marLeft w:val="0"/>
      <w:marRight w:val="0"/>
      <w:marTop w:val="0"/>
      <w:marBottom w:val="0"/>
      <w:divBdr>
        <w:top w:val="none" w:sz="0" w:space="0" w:color="auto"/>
        <w:left w:val="none" w:sz="0" w:space="0" w:color="auto"/>
        <w:bottom w:val="none" w:sz="0" w:space="0" w:color="auto"/>
        <w:right w:val="none" w:sz="0" w:space="0" w:color="auto"/>
      </w:divBdr>
    </w:div>
    <w:div w:id="675376622">
      <w:bodyDiv w:val="1"/>
      <w:marLeft w:val="0"/>
      <w:marRight w:val="0"/>
      <w:marTop w:val="0"/>
      <w:marBottom w:val="0"/>
      <w:divBdr>
        <w:top w:val="none" w:sz="0" w:space="0" w:color="auto"/>
        <w:left w:val="none" w:sz="0" w:space="0" w:color="auto"/>
        <w:bottom w:val="none" w:sz="0" w:space="0" w:color="auto"/>
        <w:right w:val="none" w:sz="0" w:space="0" w:color="auto"/>
      </w:divBdr>
    </w:div>
    <w:div w:id="677923723">
      <w:bodyDiv w:val="1"/>
      <w:marLeft w:val="0"/>
      <w:marRight w:val="0"/>
      <w:marTop w:val="0"/>
      <w:marBottom w:val="0"/>
      <w:divBdr>
        <w:top w:val="none" w:sz="0" w:space="0" w:color="auto"/>
        <w:left w:val="none" w:sz="0" w:space="0" w:color="auto"/>
        <w:bottom w:val="none" w:sz="0" w:space="0" w:color="auto"/>
        <w:right w:val="none" w:sz="0" w:space="0" w:color="auto"/>
      </w:divBdr>
    </w:div>
    <w:div w:id="678124788">
      <w:bodyDiv w:val="1"/>
      <w:marLeft w:val="0"/>
      <w:marRight w:val="0"/>
      <w:marTop w:val="0"/>
      <w:marBottom w:val="0"/>
      <w:divBdr>
        <w:top w:val="none" w:sz="0" w:space="0" w:color="auto"/>
        <w:left w:val="none" w:sz="0" w:space="0" w:color="auto"/>
        <w:bottom w:val="none" w:sz="0" w:space="0" w:color="auto"/>
        <w:right w:val="none" w:sz="0" w:space="0" w:color="auto"/>
      </w:divBdr>
    </w:div>
    <w:div w:id="678578043">
      <w:bodyDiv w:val="1"/>
      <w:marLeft w:val="0"/>
      <w:marRight w:val="0"/>
      <w:marTop w:val="0"/>
      <w:marBottom w:val="0"/>
      <w:divBdr>
        <w:top w:val="none" w:sz="0" w:space="0" w:color="auto"/>
        <w:left w:val="none" w:sz="0" w:space="0" w:color="auto"/>
        <w:bottom w:val="none" w:sz="0" w:space="0" w:color="auto"/>
        <w:right w:val="none" w:sz="0" w:space="0" w:color="auto"/>
      </w:divBdr>
    </w:div>
    <w:div w:id="679547842">
      <w:bodyDiv w:val="1"/>
      <w:marLeft w:val="0"/>
      <w:marRight w:val="0"/>
      <w:marTop w:val="0"/>
      <w:marBottom w:val="0"/>
      <w:divBdr>
        <w:top w:val="none" w:sz="0" w:space="0" w:color="auto"/>
        <w:left w:val="none" w:sz="0" w:space="0" w:color="auto"/>
        <w:bottom w:val="none" w:sz="0" w:space="0" w:color="auto"/>
        <w:right w:val="none" w:sz="0" w:space="0" w:color="auto"/>
      </w:divBdr>
    </w:div>
    <w:div w:id="679771648">
      <w:bodyDiv w:val="1"/>
      <w:marLeft w:val="0"/>
      <w:marRight w:val="0"/>
      <w:marTop w:val="0"/>
      <w:marBottom w:val="0"/>
      <w:divBdr>
        <w:top w:val="none" w:sz="0" w:space="0" w:color="auto"/>
        <w:left w:val="none" w:sz="0" w:space="0" w:color="auto"/>
        <w:bottom w:val="none" w:sz="0" w:space="0" w:color="auto"/>
        <w:right w:val="none" w:sz="0" w:space="0" w:color="auto"/>
      </w:divBdr>
    </w:div>
    <w:div w:id="680355601">
      <w:bodyDiv w:val="1"/>
      <w:marLeft w:val="0"/>
      <w:marRight w:val="0"/>
      <w:marTop w:val="0"/>
      <w:marBottom w:val="0"/>
      <w:divBdr>
        <w:top w:val="none" w:sz="0" w:space="0" w:color="auto"/>
        <w:left w:val="none" w:sz="0" w:space="0" w:color="auto"/>
        <w:bottom w:val="none" w:sz="0" w:space="0" w:color="auto"/>
        <w:right w:val="none" w:sz="0" w:space="0" w:color="auto"/>
      </w:divBdr>
    </w:div>
    <w:div w:id="681399260">
      <w:bodyDiv w:val="1"/>
      <w:marLeft w:val="0"/>
      <w:marRight w:val="0"/>
      <w:marTop w:val="0"/>
      <w:marBottom w:val="0"/>
      <w:divBdr>
        <w:top w:val="none" w:sz="0" w:space="0" w:color="auto"/>
        <w:left w:val="none" w:sz="0" w:space="0" w:color="auto"/>
        <w:bottom w:val="none" w:sz="0" w:space="0" w:color="auto"/>
        <w:right w:val="none" w:sz="0" w:space="0" w:color="auto"/>
      </w:divBdr>
    </w:div>
    <w:div w:id="685717184">
      <w:bodyDiv w:val="1"/>
      <w:marLeft w:val="0"/>
      <w:marRight w:val="0"/>
      <w:marTop w:val="0"/>
      <w:marBottom w:val="0"/>
      <w:divBdr>
        <w:top w:val="none" w:sz="0" w:space="0" w:color="auto"/>
        <w:left w:val="none" w:sz="0" w:space="0" w:color="auto"/>
        <w:bottom w:val="none" w:sz="0" w:space="0" w:color="auto"/>
        <w:right w:val="none" w:sz="0" w:space="0" w:color="auto"/>
      </w:divBdr>
    </w:div>
    <w:div w:id="687173403">
      <w:bodyDiv w:val="1"/>
      <w:marLeft w:val="0"/>
      <w:marRight w:val="0"/>
      <w:marTop w:val="0"/>
      <w:marBottom w:val="0"/>
      <w:divBdr>
        <w:top w:val="none" w:sz="0" w:space="0" w:color="auto"/>
        <w:left w:val="none" w:sz="0" w:space="0" w:color="auto"/>
        <w:bottom w:val="none" w:sz="0" w:space="0" w:color="auto"/>
        <w:right w:val="none" w:sz="0" w:space="0" w:color="auto"/>
      </w:divBdr>
    </w:div>
    <w:div w:id="688987098">
      <w:bodyDiv w:val="1"/>
      <w:marLeft w:val="0"/>
      <w:marRight w:val="0"/>
      <w:marTop w:val="0"/>
      <w:marBottom w:val="0"/>
      <w:divBdr>
        <w:top w:val="none" w:sz="0" w:space="0" w:color="auto"/>
        <w:left w:val="none" w:sz="0" w:space="0" w:color="auto"/>
        <w:bottom w:val="none" w:sz="0" w:space="0" w:color="auto"/>
        <w:right w:val="none" w:sz="0" w:space="0" w:color="auto"/>
      </w:divBdr>
    </w:div>
    <w:div w:id="689142405">
      <w:bodyDiv w:val="1"/>
      <w:marLeft w:val="0"/>
      <w:marRight w:val="0"/>
      <w:marTop w:val="0"/>
      <w:marBottom w:val="0"/>
      <w:divBdr>
        <w:top w:val="none" w:sz="0" w:space="0" w:color="auto"/>
        <w:left w:val="none" w:sz="0" w:space="0" w:color="auto"/>
        <w:bottom w:val="none" w:sz="0" w:space="0" w:color="auto"/>
        <w:right w:val="none" w:sz="0" w:space="0" w:color="auto"/>
      </w:divBdr>
    </w:div>
    <w:div w:id="693194368">
      <w:bodyDiv w:val="1"/>
      <w:marLeft w:val="0"/>
      <w:marRight w:val="0"/>
      <w:marTop w:val="0"/>
      <w:marBottom w:val="0"/>
      <w:divBdr>
        <w:top w:val="none" w:sz="0" w:space="0" w:color="auto"/>
        <w:left w:val="none" w:sz="0" w:space="0" w:color="auto"/>
        <w:bottom w:val="none" w:sz="0" w:space="0" w:color="auto"/>
        <w:right w:val="none" w:sz="0" w:space="0" w:color="auto"/>
      </w:divBdr>
    </w:div>
    <w:div w:id="698164186">
      <w:bodyDiv w:val="1"/>
      <w:marLeft w:val="0"/>
      <w:marRight w:val="0"/>
      <w:marTop w:val="0"/>
      <w:marBottom w:val="0"/>
      <w:divBdr>
        <w:top w:val="none" w:sz="0" w:space="0" w:color="auto"/>
        <w:left w:val="none" w:sz="0" w:space="0" w:color="auto"/>
        <w:bottom w:val="none" w:sz="0" w:space="0" w:color="auto"/>
        <w:right w:val="none" w:sz="0" w:space="0" w:color="auto"/>
      </w:divBdr>
    </w:div>
    <w:div w:id="698816344">
      <w:bodyDiv w:val="1"/>
      <w:marLeft w:val="0"/>
      <w:marRight w:val="0"/>
      <w:marTop w:val="0"/>
      <w:marBottom w:val="0"/>
      <w:divBdr>
        <w:top w:val="none" w:sz="0" w:space="0" w:color="auto"/>
        <w:left w:val="none" w:sz="0" w:space="0" w:color="auto"/>
        <w:bottom w:val="none" w:sz="0" w:space="0" w:color="auto"/>
        <w:right w:val="none" w:sz="0" w:space="0" w:color="auto"/>
      </w:divBdr>
    </w:div>
    <w:div w:id="701125526">
      <w:bodyDiv w:val="1"/>
      <w:marLeft w:val="0"/>
      <w:marRight w:val="0"/>
      <w:marTop w:val="0"/>
      <w:marBottom w:val="0"/>
      <w:divBdr>
        <w:top w:val="none" w:sz="0" w:space="0" w:color="auto"/>
        <w:left w:val="none" w:sz="0" w:space="0" w:color="auto"/>
        <w:bottom w:val="none" w:sz="0" w:space="0" w:color="auto"/>
        <w:right w:val="none" w:sz="0" w:space="0" w:color="auto"/>
      </w:divBdr>
    </w:div>
    <w:div w:id="701397284">
      <w:bodyDiv w:val="1"/>
      <w:marLeft w:val="0"/>
      <w:marRight w:val="0"/>
      <w:marTop w:val="0"/>
      <w:marBottom w:val="0"/>
      <w:divBdr>
        <w:top w:val="none" w:sz="0" w:space="0" w:color="auto"/>
        <w:left w:val="none" w:sz="0" w:space="0" w:color="auto"/>
        <w:bottom w:val="none" w:sz="0" w:space="0" w:color="auto"/>
        <w:right w:val="none" w:sz="0" w:space="0" w:color="auto"/>
      </w:divBdr>
    </w:div>
    <w:div w:id="704601552">
      <w:bodyDiv w:val="1"/>
      <w:marLeft w:val="0"/>
      <w:marRight w:val="0"/>
      <w:marTop w:val="0"/>
      <w:marBottom w:val="0"/>
      <w:divBdr>
        <w:top w:val="none" w:sz="0" w:space="0" w:color="auto"/>
        <w:left w:val="none" w:sz="0" w:space="0" w:color="auto"/>
        <w:bottom w:val="none" w:sz="0" w:space="0" w:color="auto"/>
        <w:right w:val="none" w:sz="0" w:space="0" w:color="auto"/>
      </w:divBdr>
    </w:div>
    <w:div w:id="705448703">
      <w:bodyDiv w:val="1"/>
      <w:marLeft w:val="0"/>
      <w:marRight w:val="0"/>
      <w:marTop w:val="0"/>
      <w:marBottom w:val="0"/>
      <w:divBdr>
        <w:top w:val="none" w:sz="0" w:space="0" w:color="auto"/>
        <w:left w:val="none" w:sz="0" w:space="0" w:color="auto"/>
        <w:bottom w:val="none" w:sz="0" w:space="0" w:color="auto"/>
        <w:right w:val="none" w:sz="0" w:space="0" w:color="auto"/>
      </w:divBdr>
    </w:div>
    <w:div w:id="706837075">
      <w:bodyDiv w:val="1"/>
      <w:marLeft w:val="0"/>
      <w:marRight w:val="0"/>
      <w:marTop w:val="0"/>
      <w:marBottom w:val="0"/>
      <w:divBdr>
        <w:top w:val="none" w:sz="0" w:space="0" w:color="auto"/>
        <w:left w:val="none" w:sz="0" w:space="0" w:color="auto"/>
        <w:bottom w:val="none" w:sz="0" w:space="0" w:color="auto"/>
        <w:right w:val="none" w:sz="0" w:space="0" w:color="auto"/>
      </w:divBdr>
    </w:div>
    <w:div w:id="709231104">
      <w:bodyDiv w:val="1"/>
      <w:marLeft w:val="0"/>
      <w:marRight w:val="0"/>
      <w:marTop w:val="0"/>
      <w:marBottom w:val="0"/>
      <w:divBdr>
        <w:top w:val="none" w:sz="0" w:space="0" w:color="auto"/>
        <w:left w:val="none" w:sz="0" w:space="0" w:color="auto"/>
        <w:bottom w:val="none" w:sz="0" w:space="0" w:color="auto"/>
        <w:right w:val="none" w:sz="0" w:space="0" w:color="auto"/>
      </w:divBdr>
    </w:div>
    <w:div w:id="712771485">
      <w:bodyDiv w:val="1"/>
      <w:marLeft w:val="0"/>
      <w:marRight w:val="0"/>
      <w:marTop w:val="0"/>
      <w:marBottom w:val="0"/>
      <w:divBdr>
        <w:top w:val="none" w:sz="0" w:space="0" w:color="auto"/>
        <w:left w:val="none" w:sz="0" w:space="0" w:color="auto"/>
        <w:bottom w:val="none" w:sz="0" w:space="0" w:color="auto"/>
        <w:right w:val="none" w:sz="0" w:space="0" w:color="auto"/>
      </w:divBdr>
    </w:div>
    <w:div w:id="719523673">
      <w:bodyDiv w:val="1"/>
      <w:marLeft w:val="0"/>
      <w:marRight w:val="0"/>
      <w:marTop w:val="0"/>
      <w:marBottom w:val="0"/>
      <w:divBdr>
        <w:top w:val="none" w:sz="0" w:space="0" w:color="auto"/>
        <w:left w:val="none" w:sz="0" w:space="0" w:color="auto"/>
        <w:bottom w:val="none" w:sz="0" w:space="0" w:color="auto"/>
        <w:right w:val="none" w:sz="0" w:space="0" w:color="auto"/>
      </w:divBdr>
    </w:div>
    <w:div w:id="719550994">
      <w:bodyDiv w:val="1"/>
      <w:marLeft w:val="0"/>
      <w:marRight w:val="0"/>
      <w:marTop w:val="0"/>
      <w:marBottom w:val="0"/>
      <w:divBdr>
        <w:top w:val="none" w:sz="0" w:space="0" w:color="auto"/>
        <w:left w:val="none" w:sz="0" w:space="0" w:color="auto"/>
        <w:bottom w:val="none" w:sz="0" w:space="0" w:color="auto"/>
        <w:right w:val="none" w:sz="0" w:space="0" w:color="auto"/>
      </w:divBdr>
    </w:div>
    <w:div w:id="726883073">
      <w:bodyDiv w:val="1"/>
      <w:marLeft w:val="0"/>
      <w:marRight w:val="0"/>
      <w:marTop w:val="0"/>
      <w:marBottom w:val="0"/>
      <w:divBdr>
        <w:top w:val="none" w:sz="0" w:space="0" w:color="auto"/>
        <w:left w:val="none" w:sz="0" w:space="0" w:color="auto"/>
        <w:bottom w:val="none" w:sz="0" w:space="0" w:color="auto"/>
        <w:right w:val="none" w:sz="0" w:space="0" w:color="auto"/>
      </w:divBdr>
    </w:div>
    <w:div w:id="727805086">
      <w:bodyDiv w:val="1"/>
      <w:marLeft w:val="0"/>
      <w:marRight w:val="0"/>
      <w:marTop w:val="0"/>
      <w:marBottom w:val="0"/>
      <w:divBdr>
        <w:top w:val="none" w:sz="0" w:space="0" w:color="auto"/>
        <w:left w:val="none" w:sz="0" w:space="0" w:color="auto"/>
        <w:bottom w:val="none" w:sz="0" w:space="0" w:color="auto"/>
        <w:right w:val="none" w:sz="0" w:space="0" w:color="auto"/>
      </w:divBdr>
      <w:divsChild>
        <w:div w:id="564412175">
          <w:marLeft w:val="720"/>
          <w:marRight w:val="0"/>
          <w:marTop w:val="58"/>
          <w:marBottom w:val="0"/>
          <w:divBdr>
            <w:top w:val="none" w:sz="0" w:space="0" w:color="auto"/>
            <w:left w:val="none" w:sz="0" w:space="0" w:color="auto"/>
            <w:bottom w:val="none" w:sz="0" w:space="0" w:color="auto"/>
            <w:right w:val="none" w:sz="0" w:space="0" w:color="auto"/>
          </w:divBdr>
        </w:div>
      </w:divsChild>
    </w:div>
    <w:div w:id="729881616">
      <w:bodyDiv w:val="1"/>
      <w:marLeft w:val="0"/>
      <w:marRight w:val="0"/>
      <w:marTop w:val="0"/>
      <w:marBottom w:val="0"/>
      <w:divBdr>
        <w:top w:val="none" w:sz="0" w:space="0" w:color="auto"/>
        <w:left w:val="none" w:sz="0" w:space="0" w:color="auto"/>
        <w:bottom w:val="none" w:sz="0" w:space="0" w:color="auto"/>
        <w:right w:val="none" w:sz="0" w:space="0" w:color="auto"/>
      </w:divBdr>
    </w:div>
    <w:div w:id="732696553">
      <w:bodyDiv w:val="1"/>
      <w:marLeft w:val="0"/>
      <w:marRight w:val="0"/>
      <w:marTop w:val="0"/>
      <w:marBottom w:val="0"/>
      <w:divBdr>
        <w:top w:val="none" w:sz="0" w:space="0" w:color="auto"/>
        <w:left w:val="none" w:sz="0" w:space="0" w:color="auto"/>
        <w:bottom w:val="none" w:sz="0" w:space="0" w:color="auto"/>
        <w:right w:val="none" w:sz="0" w:space="0" w:color="auto"/>
      </w:divBdr>
    </w:div>
    <w:div w:id="734473716">
      <w:bodyDiv w:val="1"/>
      <w:marLeft w:val="0"/>
      <w:marRight w:val="0"/>
      <w:marTop w:val="0"/>
      <w:marBottom w:val="0"/>
      <w:divBdr>
        <w:top w:val="none" w:sz="0" w:space="0" w:color="auto"/>
        <w:left w:val="none" w:sz="0" w:space="0" w:color="auto"/>
        <w:bottom w:val="none" w:sz="0" w:space="0" w:color="auto"/>
        <w:right w:val="none" w:sz="0" w:space="0" w:color="auto"/>
      </w:divBdr>
    </w:div>
    <w:div w:id="737940710">
      <w:bodyDiv w:val="1"/>
      <w:marLeft w:val="0"/>
      <w:marRight w:val="0"/>
      <w:marTop w:val="0"/>
      <w:marBottom w:val="0"/>
      <w:divBdr>
        <w:top w:val="none" w:sz="0" w:space="0" w:color="auto"/>
        <w:left w:val="none" w:sz="0" w:space="0" w:color="auto"/>
        <w:bottom w:val="none" w:sz="0" w:space="0" w:color="auto"/>
        <w:right w:val="none" w:sz="0" w:space="0" w:color="auto"/>
      </w:divBdr>
    </w:div>
    <w:div w:id="742409334">
      <w:bodyDiv w:val="1"/>
      <w:marLeft w:val="0"/>
      <w:marRight w:val="0"/>
      <w:marTop w:val="0"/>
      <w:marBottom w:val="0"/>
      <w:divBdr>
        <w:top w:val="none" w:sz="0" w:space="0" w:color="auto"/>
        <w:left w:val="none" w:sz="0" w:space="0" w:color="auto"/>
        <w:bottom w:val="none" w:sz="0" w:space="0" w:color="auto"/>
        <w:right w:val="none" w:sz="0" w:space="0" w:color="auto"/>
      </w:divBdr>
    </w:div>
    <w:div w:id="747265151">
      <w:bodyDiv w:val="1"/>
      <w:marLeft w:val="0"/>
      <w:marRight w:val="0"/>
      <w:marTop w:val="0"/>
      <w:marBottom w:val="0"/>
      <w:divBdr>
        <w:top w:val="none" w:sz="0" w:space="0" w:color="auto"/>
        <w:left w:val="none" w:sz="0" w:space="0" w:color="auto"/>
        <w:bottom w:val="none" w:sz="0" w:space="0" w:color="auto"/>
        <w:right w:val="none" w:sz="0" w:space="0" w:color="auto"/>
      </w:divBdr>
    </w:div>
    <w:div w:id="747309515">
      <w:bodyDiv w:val="1"/>
      <w:marLeft w:val="0"/>
      <w:marRight w:val="0"/>
      <w:marTop w:val="0"/>
      <w:marBottom w:val="0"/>
      <w:divBdr>
        <w:top w:val="none" w:sz="0" w:space="0" w:color="auto"/>
        <w:left w:val="none" w:sz="0" w:space="0" w:color="auto"/>
        <w:bottom w:val="none" w:sz="0" w:space="0" w:color="auto"/>
        <w:right w:val="none" w:sz="0" w:space="0" w:color="auto"/>
      </w:divBdr>
    </w:div>
    <w:div w:id="750544155">
      <w:bodyDiv w:val="1"/>
      <w:marLeft w:val="0"/>
      <w:marRight w:val="0"/>
      <w:marTop w:val="0"/>
      <w:marBottom w:val="0"/>
      <w:divBdr>
        <w:top w:val="none" w:sz="0" w:space="0" w:color="auto"/>
        <w:left w:val="none" w:sz="0" w:space="0" w:color="auto"/>
        <w:bottom w:val="none" w:sz="0" w:space="0" w:color="auto"/>
        <w:right w:val="none" w:sz="0" w:space="0" w:color="auto"/>
      </w:divBdr>
    </w:div>
    <w:div w:id="751239971">
      <w:bodyDiv w:val="1"/>
      <w:marLeft w:val="0"/>
      <w:marRight w:val="0"/>
      <w:marTop w:val="0"/>
      <w:marBottom w:val="0"/>
      <w:divBdr>
        <w:top w:val="none" w:sz="0" w:space="0" w:color="auto"/>
        <w:left w:val="none" w:sz="0" w:space="0" w:color="auto"/>
        <w:bottom w:val="none" w:sz="0" w:space="0" w:color="auto"/>
        <w:right w:val="none" w:sz="0" w:space="0" w:color="auto"/>
      </w:divBdr>
    </w:div>
    <w:div w:id="751465914">
      <w:bodyDiv w:val="1"/>
      <w:marLeft w:val="0"/>
      <w:marRight w:val="0"/>
      <w:marTop w:val="0"/>
      <w:marBottom w:val="0"/>
      <w:divBdr>
        <w:top w:val="none" w:sz="0" w:space="0" w:color="auto"/>
        <w:left w:val="none" w:sz="0" w:space="0" w:color="auto"/>
        <w:bottom w:val="none" w:sz="0" w:space="0" w:color="auto"/>
        <w:right w:val="none" w:sz="0" w:space="0" w:color="auto"/>
      </w:divBdr>
    </w:div>
    <w:div w:id="752162233">
      <w:bodyDiv w:val="1"/>
      <w:marLeft w:val="0"/>
      <w:marRight w:val="0"/>
      <w:marTop w:val="0"/>
      <w:marBottom w:val="0"/>
      <w:divBdr>
        <w:top w:val="none" w:sz="0" w:space="0" w:color="auto"/>
        <w:left w:val="none" w:sz="0" w:space="0" w:color="auto"/>
        <w:bottom w:val="none" w:sz="0" w:space="0" w:color="auto"/>
        <w:right w:val="none" w:sz="0" w:space="0" w:color="auto"/>
      </w:divBdr>
    </w:div>
    <w:div w:id="753551409">
      <w:bodyDiv w:val="1"/>
      <w:marLeft w:val="0"/>
      <w:marRight w:val="0"/>
      <w:marTop w:val="0"/>
      <w:marBottom w:val="0"/>
      <w:divBdr>
        <w:top w:val="none" w:sz="0" w:space="0" w:color="auto"/>
        <w:left w:val="none" w:sz="0" w:space="0" w:color="auto"/>
        <w:bottom w:val="none" w:sz="0" w:space="0" w:color="auto"/>
        <w:right w:val="none" w:sz="0" w:space="0" w:color="auto"/>
      </w:divBdr>
    </w:div>
    <w:div w:id="757095537">
      <w:bodyDiv w:val="1"/>
      <w:marLeft w:val="0"/>
      <w:marRight w:val="0"/>
      <w:marTop w:val="0"/>
      <w:marBottom w:val="0"/>
      <w:divBdr>
        <w:top w:val="none" w:sz="0" w:space="0" w:color="auto"/>
        <w:left w:val="none" w:sz="0" w:space="0" w:color="auto"/>
        <w:bottom w:val="none" w:sz="0" w:space="0" w:color="auto"/>
        <w:right w:val="none" w:sz="0" w:space="0" w:color="auto"/>
      </w:divBdr>
    </w:div>
    <w:div w:id="757562341">
      <w:bodyDiv w:val="1"/>
      <w:marLeft w:val="0"/>
      <w:marRight w:val="0"/>
      <w:marTop w:val="0"/>
      <w:marBottom w:val="0"/>
      <w:divBdr>
        <w:top w:val="none" w:sz="0" w:space="0" w:color="auto"/>
        <w:left w:val="none" w:sz="0" w:space="0" w:color="auto"/>
        <w:bottom w:val="none" w:sz="0" w:space="0" w:color="auto"/>
        <w:right w:val="none" w:sz="0" w:space="0" w:color="auto"/>
      </w:divBdr>
    </w:div>
    <w:div w:id="763694605">
      <w:bodyDiv w:val="1"/>
      <w:marLeft w:val="0"/>
      <w:marRight w:val="0"/>
      <w:marTop w:val="0"/>
      <w:marBottom w:val="0"/>
      <w:divBdr>
        <w:top w:val="none" w:sz="0" w:space="0" w:color="auto"/>
        <w:left w:val="none" w:sz="0" w:space="0" w:color="auto"/>
        <w:bottom w:val="none" w:sz="0" w:space="0" w:color="auto"/>
        <w:right w:val="none" w:sz="0" w:space="0" w:color="auto"/>
      </w:divBdr>
    </w:div>
    <w:div w:id="770201223">
      <w:bodyDiv w:val="1"/>
      <w:marLeft w:val="0"/>
      <w:marRight w:val="0"/>
      <w:marTop w:val="0"/>
      <w:marBottom w:val="0"/>
      <w:divBdr>
        <w:top w:val="none" w:sz="0" w:space="0" w:color="auto"/>
        <w:left w:val="none" w:sz="0" w:space="0" w:color="auto"/>
        <w:bottom w:val="none" w:sz="0" w:space="0" w:color="auto"/>
        <w:right w:val="none" w:sz="0" w:space="0" w:color="auto"/>
      </w:divBdr>
    </w:div>
    <w:div w:id="770246729">
      <w:bodyDiv w:val="1"/>
      <w:marLeft w:val="0"/>
      <w:marRight w:val="0"/>
      <w:marTop w:val="0"/>
      <w:marBottom w:val="0"/>
      <w:divBdr>
        <w:top w:val="none" w:sz="0" w:space="0" w:color="auto"/>
        <w:left w:val="none" w:sz="0" w:space="0" w:color="auto"/>
        <w:bottom w:val="none" w:sz="0" w:space="0" w:color="auto"/>
        <w:right w:val="none" w:sz="0" w:space="0" w:color="auto"/>
      </w:divBdr>
    </w:div>
    <w:div w:id="774792531">
      <w:bodyDiv w:val="1"/>
      <w:marLeft w:val="0"/>
      <w:marRight w:val="0"/>
      <w:marTop w:val="0"/>
      <w:marBottom w:val="0"/>
      <w:divBdr>
        <w:top w:val="none" w:sz="0" w:space="0" w:color="auto"/>
        <w:left w:val="none" w:sz="0" w:space="0" w:color="auto"/>
        <w:bottom w:val="none" w:sz="0" w:space="0" w:color="auto"/>
        <w:right w:val="none" w:sz="0" w:space="0" w:color="auto"/>
      </w:divBdr>
    </w:div>
    <w:div w:id="778723887">
      <w:bodyDiv w:val="1"/>
      <w:marLeft w:val="0"/>
      <w:marRight w:val="0"/>
      <w:marTop w:val="0"/>
      <w:marBottom w:val="0"/>
      <w:divBdr>
        <w:top w:val="none" w:sz="0" w:space="0" w:color="auto"/>
        <w:left w:val="none" w:sz="0" w:space="0" w:color="auto"/>
        <w:bottom w:val="none" w:sz="0" w:space="0" w:color="auto"/>
        <w:right w:val="none" w:sz="0" w:space="0" w:color="auto"/>
      </w:divBdr>
    </w:div>
    <w:div w:id="781270949">
      <w:bodyDiv w:val="1"/>
      <w:marLeft w:val="0"/>
      <w:marRight w:val="0"/>
      <w:marTop w:val="0"/>
      <w:marBottom w:val="0"/>
      <w:divBdr>
        <w:top w:val="none" w:sz="0" w:space="0" w:color="auto"/>
        <w:left w:val="none" w:sz="0" w:space="0" w:color="auto"/>
        <w:bottom w:val="none" w:sz="0" w:space="0" w:color="auto"/>
        <w:right w:val="none" w:sz="0" w:space="0" w:color="auto"/>
      </w:divBdr>
    </w:div>
    <w:div w:id="781612713">
      <w:bodyDiv w:val="1"/>
      <w:marLeft w:val="0"/>
      <w:marRight w:val="0"/>
      <w:marTop w:val="0"/>
      <w:marBottom w:val="0"/>
      <w:divBdr>
        <w:top w:val="none" w:sz="0" w:space="0" w:color="auto"/>
        <w:left w:val="none" w:sz="0" w:space="0" w:color="auto"/>
        <w:bottom w:val="none" w:sz="0" w:space="0" w:color="auto"/>
        <w:right w:val="none" w:sz="0" w:space="0" w:color="auto"/>
      </w:divBdr>
    </w:div>
    <w:div w:id="787437119">
      <w:bodyDiv w:val="1"/>
      <w:marLeft w:val="0"/>
      <w:marRight w:val="0"/>
      <w:marTop w:val="0"/>
      <w:marBottom w:val="0"/>
      <w:divBdr>
        <w:top w:val="none" w:sz="0" w:space="0" w:color="auto"/>
        <w:left w:val="none" w:sz="0" w:space="0" w:color="auto"/>
        <w:bottom w:val="none" w:sz="0" w:space="0" w:color="auto"/>
        <w:right w:val="none" w:sz="0" w:space="0" w:color="auto"/>
      </w:divBdr>
    </w:div>
    <w:div w:id="788016948">
      <w:bodyDiv w:val="1"/>
      <w:marLeft w:val="0"/>
      <w:marRight w:val="0"/>
      <w:marTop w:val="0"/>
      <w:marBottom w:val="0"/>
      <w:divBdr>
        <w:top w:val="none" w:sz="0" w:space="0" w:color="auto"/>
        <w:left w:val="none" w:sz="0" w:space="0" w:color="auto"/>
        <w:bottom w:val="none" w:sz="0" w:space="0" w:color="auto"/>
        <w:right w:val="none" w:sz="0" w:space="0" w:color="auto"/>
      </w:divBdr>
    </w:div>
    <w:div w:id="793135352">
      <w:bodyDiv w:val="1"/>
      <w:marLeft w:val="0"/>
      <w:marRight w:val="0"/>
      <w:marTop w:val="0"/>
      <w:marBottom w:val="0"/>
      <w:divBdr>
        <w:top w:val="none" w:sz="0" w:space="0" w:color="auto"/>
        <w:left w:val="none" w:sz="0" w:space="0" w:color="auto"/>
        <w:bottom w:val="none" w:sz="0" w:space="0" w:color="auto"/>
        <w:right w:val="none" w:sz="0" w:space="0" w:color="auto"/>
      </w:divBdr>
    </w:div>
    <w:div w:id="793518982">
      <w:bodyDiv w:val="1"/>
      <w:marLeft w:val="0"/>
      <w:marRight w:val="0"/>
      <w:marTop w:val="0"/>
      <w:marBottom w:val="0"/>
      <w:divBdr>
        <w:top w:val="none" w:sz="0" w:space="0" w:color="auto"/>
        <w:left w:val="none" w:sz="0" w:space="0" w:color="auto"/>
        <w:bottom w:val="none" w:sz="0" w:space="0" w:color="auto"/>
        <w:right w:val="none" w:sz="0" w:space="0" w:color="auto"/>
      </w:divBdr>
    </w:div>
    <w:div w:id="793720797">
      <w:bodyDiv w:val="1"/>
      <w:marLeft w:val="0"/>
      <w:marRight w:val="0"/>
      <w:marTop w:val="0"/>
      <w:marBottom w:val="0"/>
      <w:divBdr>
        <w:top w:val="none" w:sz="0" w:space="0" w:color="auto"/>
        <w:left w:val="none" w:sz="0" w:space="0" w:color="auto"/>
        <w:bottom w:val="none" w:sz="0" w:space="0" w:color="auto"/>
        <w:right w:val="none" w:sz="0" w:space="0" w:color="auto"/>
      </w:divBdr>
    </w:div>
    <w:div w:id="794325232">
      <w:bodyDiv w:val="1"/>
      <w:marLeft w:val="0"/>
      <w:marRight w:val="0"/>
      <w:marTop w:val="0"/>
      <w:marBottom w:val="0"/>
      <w:divBdr>
        <w:top w:val="none" w:sz="0" w:space="0" w:color="auto"/>
        <w:left w:val="none" w:sz="0" w:space="0" w:color="auto"/>
        <w:bottom w:val="none" w:sz="0" w:space="0" w:color="auto"/>
        <w:right w:val="none" w:sz="0" w:space="0" w:color="auto"/>
      </w:divBdr>
    </w:div>
    <w:div w:id="796415269">
      <w:bodyDiv w:val="1"/>
      <w:marLeft w:val="0"/>
      <w:marRight w:val="0"/>
      <w:marTop w:val="0"/>
      <w:marBottom w:val="0"/>
      <w:divBdr>
        <w:top w:val="none" w:sz="0" w:space="0" w:color="auto"/>
        <w:left w:val="none" w:sz="0" w:space="0" w:color="auto"/>
        <w:bottom w:val="none" w:sz="0" w:space="0" w:color="auto"/>
        <w:right w:val="none" w:sz="0" w:space="0" w:color="auto"/>
      </w:divBdr>
    </w:div>
    <w:div w:id="799810923">
      <w:bodyDiv w:val="1"/>
      <w:marLeft w:val="0"/>
      <w:marRight w:val="0"/>
      <w:marTop w:val="0"/>
      <w:marBottom w:val="0"/>
      <w:divBdr>
        <w:top w:val="none" w:sz="0" w:space="0" w:color="auto"/>
        <w:left w:val="none" w:sz="0" w:space="0" w:color="auto"/>
        <w:bottom w:val="none" w:sz="0" w:space="0" w:color="auto"/>
        <w:right w:val="none" w:sz="0" w:space="0" w:color="auto"/>
      </w:divBdr>
    </w:div>
    <w:div w:id="800421859">
      <w:bodyDiv w:val="1"/>
      <w:marLeft w:val="0"/>
      <w:marRight w:val="0"/>
      <w:marTop w:val="0"/>
      <w:marBottom w:val="0"/>
      <w:divBdr>
        <w:top w:val="none" w:sz="0" w:space="0" w:color="auto"/>
        <w:left w:val="none" w:sz="0" w:space="0" w:color="auto"/>
        <w:bottom w:val="none" w:sz="0" w:space="0" w:color="auto"/>
        <w:right w:val="none" w:sz="0" w:space="0" w:color="auto"/>
      </w:divBdr>
    </w:div>
    <w:div w:id="800810968">
      <w:bodyDiv w:val="1"/>
      <w:marLeft w:val="0"/>
      <w:marRight w:val="0"/>
      <w:marTop w:val="0"/>
      <w:marBottom w:val="0"/>
      <w:divBdr>
        <w:top w:val="none" w:sz="0" w:space="0" w:color="auto"/>
        <w:left w:val="none" w:sz="0" w:space="0" w:color="auto"/>
        <w:bottom w:val="none" w:sz="0" w:space="0" w:color="auto"/>
        <w:right w:val="none" w:sz="0" w:space="0" w:color="auto"/>
      </w:divBdr>
    </w:div>
    <w:div w:id="803740491">
      <w:bodyDiv w:val="1"/>
      <w:marLeft w:val="0"/>
      <w:marRight w:val="0"/>
      <w:marTop w:val="0"/>
      <w:marBottom w:val="0"/>
      <w:divBdr>
        <w:top w:val="none" w:sz="0" w:space="0" w:color="auto"/>
        <w:left w:val="none" w:sz="0" w:space="0" w:color="auto"/>
        <w:bottom w:val="none" w:sz="0" w:space="0" w:color="auto"/>
        <w:right w:val="none" w:sz="0" w:space="0" w:color="auto"/>
      </w:divBdr>
    </w:div>
    <w:div w:id="803890066">
      <w:bodyDiv w:val="1"/>
      <w:marLeft w:val="0"/>
      <w:marRight w:val="0"/>
      <w:marTop w:val="0"/>
      <w:marBottom w:val="0"/>
      <w:divBdr>
        <w:top w:val="none" w:sz="0" w:space="0" w:color="auto"/>
        <w:left w:val="none" w:sz="0" w:space="0" w:color="auto"/>
        <w:bottom w:val="none" w:sz="0" w:space="0" w:color="auto"/>
        <w:right w:val="none" w:sz="0" w:space="0" w:color="auto"/>
      </w:divBdr>
    </w:div>
    <w:div w:id="804466798">
      <w:bodyDiv w:val="1"/>
      <w:marLeft w:val="0"/>
      <w:marRight w:val="0"/>
      <w:marTop w:val="0"/>
      <w:marBottom w:val="0"/>
      <w:divBdr>
        <w:top w:val="none" w:sz="0" w:space="0" w:color="auto"/>
        <w:left w:val="none" w:sz="0" w:space="0" w:color="auto"/>
        <w:bottom w:val="none" w:sz="0" w:space="0" w:color="auto"/>
        <w:right w:val="none" w:sz="0" w:space="0" w:color="auto"/>
      </w:divBdr>
    </w:div>
    <w:div w:id="805778438">
      <w:bodyDiv w:val="1"/>
      <w:marLeft w:val="0"/>
      <w:marRight w:val="0"/>
      <w:marTop w:val="0"/>
      <w:marBottom w:val="0"/>
      <w:divBdr>
        <w:top w:val="none" w:sz="0" w:space="0" w:color="auto"/>
        <w:left w:val="none" w:sz="0" w:space="0" w:color="auto"/>
        <w:bottom w:val="none" w:sz="0" w:space="0" w:color="auto"/>
        <w:right w:val="none" w:sz="0" w:space="0" w:color="auto"/>
      </w:divBdr>
    </w:div>
    <w:div w:id="808740701">
      <w:bodyDiv w:val="1"/>
      <w:marLeft w:val="0"/>
      <w:marRight w:val="0"/>
      <w:marTop w:val="0"/>
      <w:marBottom w:val="0"/>
      <w:divBdr>
        <w:top w:val="none" w:sz="0" w:space="0" w:color="auto"/>
        <w:left w:val="none" w:sz="0" w:space="0" w:color="auto"/>
        <w:bottom w:val="none" w:sz="0" w:space="0" w:color="auto"/>
        <w:right w:val="none" w:sz="0" w:space="0" w:color="auto"/>
      </w:divBdr>
    </w:div>
    <w:div w:id="812328767">
      <w:bodyDiv w:val="1"/>
      <w:marLeft w:val="0"/>
      <w:marRight w:val="0"/>
      <w:marTop w:val="0"/>
      <w:marBottom w:val="0"/>
      <w:divBdr>
        <w:top w:val="none" w:sz="0" w:space="0" w:color="auto"/>
        <w:left w:val="none" w:sz="0" w:space="0" w:color="auto"/>
        <w:bottom w:val="none" w:sz="0" w:space="0" w:color="auto"/>
        <w:right w:val="none" w:sz="0" w:space="0" w:color="auto"/>
      </w:divBdr>
    </w:div>
    <w:div w:id="815147018">
      <w:bodyDiv w:val="1"/>
      <w:marLeft w:val="0"/>
      <w:marRight w:val="0"/>
      <w:marTop w:val="0"/>
      <w:marBottom w:val="0"/>
      <w:divBdr>
        <w:top w:val="none" w:sz="0" w:space="0" w:color="auto"/>
        <w:left w:val="none" w:sz="0" w:space="0" w:color="auto"/>
        <w:bottom w:val="none" w:sz="0" w:space="0" w:color="auto"/>
        <w:right w:val="none" w:sz="0" w:space="0" w:color="auto"/>
      </w:divBdr>
    </w:div>
    <w:div w:id="820923263">
      <w:bodyDiv w:val="1"/>
      <w:marLeft w:val="0"/>
      <w:marRight w:val="0"/>
      <w:marTop w:val="0"/>
      <w:marBottom w:val="0"/>
      <w:divBdr>
        <w:top w:val="none" w:sz="0" w:space="0" w:color="auto"/>
        <w:left w:val="none" w:sz="0" w:space="0" w:color="auto"/>
        <w:bottom w:val="none" w:sz="0" w:space="0" w:color="auto"/>
        <w:right w:val="none" w:sz="0" w:space="0" w:color="auto"/>
      </w:divBdr>
    </w:div>
    <w:div w:id="823594102">
      <w:bodyDiv w:val="1"/>
      <w:marLeft w:val="0"/>
      <w:marRight w:val="0"/>
      <w:marTop w:val="0"/>
      <w:marBottom w:val="0"/>
      <w:divBdr>
        <w:top w:val="none" w:sz="0" w:space="0" w:color="auto"/>
        <w:left w:val="none" w:sz="0" w:space="0" w:color="auto"/>
        <w:bottom w:val="none" w:sz="0" w:space="0" w:color="auto"/>
        <w:right w:val="none" w:sz="0" w:space="0" w:color="auto"/>
      </w:divBdr>
    </w:div>
    <w:div w:id="823935385">
      <w:bodyDiv w:val="1"/>
      <w:marLeft w:val="0"/>
      <w:marRight w:val="0"/>
      <w:marTop w:val="0"/>
      <w:marBottom w:val="0"/>
      <w:divBdr>
        <w:top w:val="none" w:sz="0" w:space="0" w:color="auto"/>
        <w:left w:val="none" w:sz="0" w:space="0" w:color="auto"/>
        <w:bottom w:val="none" w:sz="0" w:space="0" w:color="auto"/>
        <w:right w:val="none" w:sz="0" w:space="0" w:color="auto"/>
      </w:divBdr>
    </w:div>
    <w:div w:id="825630616">
      <w:bodyDiv w:val="1"/>
      <w:marLeft w:val="0"/>
      <w:marRight w:val="0"/>
      <w:marTop w:val="0"/>
      <w:marBottom w:val="0"/>
      <w:divBdr>
        <w:top w:val="none" w:sz="0" w:space="0" w:color="auto"/>
        <w:left w:val="none" w:sz="0" w:space="0" w:color="auto"/>
        <w:bottom w:val="none" w:sz="0" w:space="0" w:color="auto"/>
        <w:right w:val="none" w:sz="0" w:space="0" w:color="auto"/>
      </w:divBdr>
    </w:div>
    <w:div w:id="826286767">
      <w:bodyDiv w:val="1"/>
      <w:marLeft w:val="0"/>
      <w:marRight w:val="0"/>
      <w:marTop w:val="0"/>
      <w:marBottom w:val="0"/>
      <w:divBdr>
        <w:top w:val="none" w:sz="0" w:space="0" w:color="auto"/>
        <w:left w:val="none" w:sz="0" w:space="0" w:color="auto"/>
        <w:bottom w:val="none" w:sz="0" w:space="0" w:color="auto"/>
        <w:right w:val="none" w:sz="0" w:space="0" w:color="auto"/>
      </w:divBdr>
    </w:div>
    <w:div w:id="828406901">
      <w:bodyDiv w:val="1"/>
      <w:marLeft w:val="0"/>
      <w:marRight w:val="0"/>
      <w:marTop w:val="0"/>
      <w:marBottom w:val="0"/>
      <w:divBdr>
        <w:top w:val="none" w:sz="0" w:space="0" w:color="auto"/>
        <w:left w:val="none" w:sz="0" w:space="0" w:color="auto"/>
        <w:bottom w:val="none" w:sz="0" w:space="0" w:color="auto"/>
        <w:right w:val="none" w:sz="0" w:space="0" w:color="auto"/>
      </w:divBdr>
    </w:div>
    <w:div w:id="833225035">
      <w:bodyDiv w:val="1"/>
      <w:marLeft w:val="0"/>
      <w:marRight w:val="0"/>
      <w:marTop w:val="0"/>
      <w:marBottom w:val="0"/>
      <w:divBdr>
        <w:top w:val="none" w:sz="0" w:space="0" w:color="auto"/>
        <w:left w:val="none" w:sz="0" w:space="0" w:color="auto"/>
        <w:bottom w:val="none" w:sz="0" w:space="0" w:color="auto"/>
        <w:right w:val="none" w:sz="0" w:space="0" w:color="auto"/>
      </w:divBdr>
    </w:div>
    <w:div w:id="835726484">
      <w:bodyDiv w:val="1"/>
      <w:marLeft w:val="0"/>
      <w:marRight w:val="0"/>
      <w:marTop w:val="0"/>
      <w:marBottom w:val="0"/>
      <w:divBdr>
        <w:top w:val="none" w:sz="0" w:space="0" w:color="auto"/>
        <w:left w:val="none" w:sz="0" w:space="0" w:color="auto"/>
        <w:bottom w:val="none" w:sz="0" w:space="0" w:color="auto"/>
        <w:right w:val="none" w:sz="0" w:space="0" w:color="auto"/>
      </w:divBdr>
    </w:div>
    <w:div w:id="837355522">
      <w:bodyDiv w:val="1"/>
      <w:marLeft w:val="0"/>
      <w:marRight w:val="0"/>
      <w:marTop w:val="0"/>
      <w:marBottom w:val="0"/>
      <w:divBdr>
        <w:top w:val="none" w:sz="0" w:space="0" w:color="auto"/>
        <w:left w:val="none" w:sz="0" w:space="0" w:color="auto"/>
        <w:bottom w:val="none" w:sz="0" w:space="0" w:color="auto"/>
        <w:right w:val="none" w:sz="0" w:space="0" w:color="auto"/>
      </w:divBdr>
    </w:div>
    <w:div w:id="841896455">
      <w:bodyDiv w:val="1"/>
      <w:marLeft w:val="0"/>
      <w:marRight w:val="0"/>
      <w:marTop w:val="0"/>
      <w:marBottom w:val="0"/>
      <w:divBdr>
        <w:top w:val="none" w:sz="0" w:space="0" w:color="auto"/>
        <w:left w:val="none" w:sz="0" w:space="0" w:color="auto"/>
        <w:bottom w:val="none" w:sz="0" w:space="0" w:color="auto"/>
        <w:right w:val="none" w:sz="0" w:space="0" w:color="auto"/>
      </w:divBdr>
    </w:div>
    <w:div w:id="843741050">
      <w:bodyDiv w:val="1"/>
      <w:marLeft w:val="0"/>
      <w:marRight w:val="0"/>
      <w:marTop w:val="0"/>
      <w:marBottom w:val="0"/>
      <w:divBdr>
        <w:top w:val="none" w:sz="0" w:space="0" w:color="auto"/>
        <w:left w:val="none" w:sz="0" w:space="0" w:color="auto"/>
        <w:bottom w:val="none" w:sz="0" w:space="0" w:color="auto"/>
        <w:right w:val="none" w:sz="0" w:space="0" w:color="auto"/>
      </w:divBdr>
    </w:div>
    <w:div w:id="844436933">
      <w:bodyDiv w:val="1"/>
      <w:marLeft w:val="0"/>
      <w:marRight w:val="0"/>
      <w:marTop w:val="0"/>
      <w:marBottom w:val="0"/>
      <w:divBdr>
        <w:top w:val="none" w:sz="0" w:space="0" w:color="auto"/>
        <w:left w:val="none" w:sz="0" w:space="0" w:color="auto"/>
        <w:bottom w:val="none" w:sz="0" w:space="0" w:color="auto"/>
        <w:right w:val="none" w:sz="0" w:space="0" w:color="auto"/>
      </w:divBdr>
    </w:div>
    <w:div w:id="846557355">
      <w:bodyDiv w:val="1"/>
      <w:marLeft w:val="0"/>
      <w:marRight w:val="0"/>
      <w:marTop w:val="0"/>
      <w:marBottom w:val="0"/>
      <w:divBdr>
        <w:top w:val="none" w:sz="0" w:space="0" w:color="auto"/>
        <w:left w:val="none" w:sz="0" w:space="0" w:color="auto"/>
        <w:bottom w:val="none" w:sz="0" w:space="0" w:color="auto"/>
        <w:right w:val="none" w:sz="0" w:space="0" w:color="auto"/>
      </w:divBdr>
    </w:div>
    <w:div w:id="849182286">
      <w:bodyDiv w:val="1"/>
      <w:marLeft w:val="0"/>
      <w:marRight w:val="0"/>
      <w:marTop w:val="0"/>
      <w:marBottom w:val="0"/>
      <w:divBdr>
        <w:top w:val="none" w:sz="0" w:space="0" w:color="auto"/>
        <w:left w:val="none" w:sz="0" w:space="0" w:color="auto"/>
        <w:bottom w:val="none" w:sz="0" w:space="0" w:color="auto"/>
        <w:right w:val="none" w:sz="0" w:space="0" w:color="auto"/>
      </w:divBdr>
    </w:div>
    <w:div w:id="849760062">
      <w:bodyDiv w:val="1"/>
      <w:marLeft w:val="0"/>
      <w:marRight w:val="0"/>
      <w:marTop w:val="0"/>
      <w:marBottom w:val="0"/>
      <w:divBdr>
        <w:top w:val="none" w:sz="0" w:space="0" w:color="auto"/>
        <w:left w:val="none" w:sz="0" w:space="0" w:color="auto"/>
        <w:bottom w:val="none" w:sz="0" w:space="0" w:color="auto"/>
        <w:right w:val="none" w:sz="0" w:space="0" w:color="auto"/>
      </w:divBdr>
    </w:div>
    <w:div w:id="854854279">
      <w:bodyDiv w:val="1"/>
      <w:marLeft w:val="0"/>
      <w:marRight w:val="0"/>
      <w:marTop w:val="0"/>
      <w:marBottom w:val="0"/>
      <w:divBdr>
        <w:top w:val="none" w:sz="0" w:space="0" w:color="auto"/>
        <w:left w:val="none" w:sz="0" w:space="0" w:color="auto"/>
        <w:bottom w:val="none" w:sz="0" w:space="0" w:color="auto"/>
        <w:right w:val="none" w:sz="0" w:space="0" w:color="auto"/>
      </w:divBdr>
    </w:div>
    <w:div w:id="858272058">
      <w:bodyDiv w:val="1"/>
      <w:marLeft w:val="0"/>
      <w:marRight w:val="0"/>
      <w:marTop w:val="0"/>
      <w:marBottom w:val="0"/>
      <w:divBdr>
        <w:top w:val="none" w:sz="0" w:space="0" w:color="auto"/>
        <w:left w:val="none" w:sz="0" w:space="0" w:color="auto"/>
        <w:bottom w:val="none" w:sz="0" w:space="0" w:color="auto"/>
        <w:right w:val="none" w:sz="0" w:space="0" w:color="auto"/>
      </w:divBdr>
    </w:div>
    <w:div w:id="860821584">
      <w:bodyDiv w:val="1"/>
      <w:marLeft w:val="0"/>
      <w:marRight w:val="0"/>
      <w:marTop w:val="0"/>
      <w:marBottom w:val="0"/>
      <w:divBdr>
        <w:top w:val="none" w:sz="0" w:space="0" w:color="auto"/>
        <w:left w:val="none" w:sz="0" w:space="0" w:color="auto"/>
        <w:bottom w:val="none" w:sz="0" w:space="0" w:color="auto"/>
        <w:right w:val="none" w:sz="0" w:space="0" w:color="auto"/>
      </w:divBdr>
    </w:div>
    <w:div w:id="861699442">
      <w:bodyDiv w:val="1"/>
      <w:marLeft w:val="0"/>
      <w:marRight w:val="0"/>
      <w:marTop w:val="0"/>
      <w:marBottom w:val="0"/>
      <w:divBdr>
        <w:top w:val="none" w:sz="0" w:space="0" w:color="auto"/>
        <w:left w:val="none" w:sz="0" w:space="0" w:color="auto"/>
        <w:bottom w:val="none" w:sz="0" w:space="0" w:color="auto"/>
        <w:right w:val="none" w:sz="0" w:space="0" w:color="auto"/>
      </w:divBdr>
    </w:div>
    <w:div w:id="864249504">
      <w:bodyDiv w:val="1"/>
      <w:marLeft w:val="0"/>
      <w:marRight w:val="0"/>
      <w:marTop w:val="0"/>
      <w:marBottom w:val="0"/>
      <w:divBdr>
        <w:top w:val="none" w:sz="0" w:space="0" w:color="auto"/>
        <w:left w:val="none" w:sz="0" w:space="0" w:color="auto"/>
        <w:bottom w:val="none" w:sz="0" w:space="0" w:color="auto"/>
        <w:right w:val="none" w:sz="0" w:space="0" w:color="auto"/>
      </w:divBdr>
    </w:div>
    <w:div w:id="864516169">
      <w:bodyDiv w:val="1"/>
      <w:marLeft w:val="0"/>
      <w:marRight w:val="0"/>
      <w:marTop w:val="0"/>
      <w:marBottom w:val="0"/>
      <w:divBdr>
        <w:top w:val="none" w:sz="0" w:space="0" w:color="auto"/>
        <w:left w:val="none" w:sz="0" w:space="0" w:color="auto"/>
        <w:bottom w:val="none" w:sz="0" w:space="0" w:color="auto"/>
        <w:right w:val="none" w:sz="0" w:space="0" w:color="auto"/>
      </w:divBdr>
    </w:div>
    <w:div w:id="865559425">
      <w:bodyDiv w:val="1"/>
      <w:marLeft w:val="0"/>
      <w:marRight w:val="0"/>
      <w:marTop w:val="0"/>
      <w:marBottom w:val="0"/>
      <w:divBdr>
        <w:top w:val="none" w:sz="0" w:space="0" w:color="auto"/>
        <w:left w:val="none" w:sz="0" w:space="0" w:color="auto"/>
        <w:bottom w:val="none" w:sz="0" w:space="0" w:color="auto"/>
        <w:right w:val="none" w:sz="0" w:space="0" w:color="auto"/>
      </w:divBdr>
    </w:div>
    <w:div w:id="868298292">
      <w:bodyDiv w:val="1"/>
      <w:marLeft w:val="0"/>
      <w:marRight w:val="0"/>
      <w:marTop w:val="0"/>
      <w:marBottom w:val="0"/>
      <w:divBdr>
        <w:top w:val="none" w:sz="0" w:space="0" w:color="auto"/>
        <w:left w:val="none" w:sz="0" w:space="0" w:color="auto"/>
        <w:bottom w:val="none" w:sz="0" w:space="0" w:color="auto"/>
        <w:right w:val="none" w:sz="0" w:space="0" w:color="auto"/>
      </w:divBdr>
    </w:div>
    <w:div w:id="871572455">
      <w:bodyDiv w:val="1"/>
      <w:marLeft w:val="0"/>
      <w:marRight w:val="0"/>
      <w:marTop w:val="0"/>
      <w:marBottom w:val="0"/>
      <w:divBdr>
        <w:top w:val="none" w:sz="0" w:space="0" w:color="auto"/>
        <w:left w:val="none" w:sz="0" w:space="0" w:color="auto"/>
        <w:bottom w:val="none" w:sz="0" w:space="0" w:color="auto"/>
        <w:right w:val="none" w:sz="0" w:space="0" w:color="auto"/>
      </w:divBdr>
    </w:div>
    <w:div w:id="882911820">
      <w:bodyDiv w:val="1"/>
      <w:marLeft w:val="0"/>
      <w:marRight w:val="0"/>
      <w:marTop w:val="0"/>
      <w:marBottom w:val="0"/>
      <w:divBdr>
        <w:top w:val="none" w:sz="0" w:space="0" w:color="auto"/>
        <w:left w:val="none" w:sz="0" w:space="0" w:color="auto"/>
        <w:bottom w:val="none" w:sz="0" w:space="0" w:color="auto"/>
        <w:right w:val="none" w:sz="0" w:space="0" w:color="auto"/>
      </w:divBdr>
    </w:div>
    <w:div w:id="883711191">
      <w:bodyDiv w:val="1"/>
      <w:marLeft w:val="0"/>
      <w:marRight w:val="0"/>
      <w:marTop w:val="0"/>
      <w:marBottom w:val="0"/>
      <w:divBdr>
        <w:top w:val="none" w:sz="0" w:space="0" w:color="auto"/>
        <w:left w:val="none" w:sz="0" w:space="0" w:color="auto"/>
        <w:bottom w:val="none" w:sz="0" w:space="0" w:color="auto"/>
        <w:right w:val="none" w:sz="0" w:space="0" w:color="auto"/>
      </w:divBdr>
    </w:div>
    <w:div w:id="884754333">
      <w:bodyDiv w:val="1"/>
      <w:marLeft w:val="0"/>
      <w:marRight w:val="0"/>
      <w:marTop w:val="0"/>
      <w:marBottom w:val="0"/>
      <w:divBdr>
        <w:top w:val="none" w:sz="0" w:space="0" w:color="auto"/>
        <w:left w:val="none" w:sz="0" w:space="0" w:color="auto"/>
        <w:bottom w:val="none" w:sz="0" w:space="0" w:color="auto"/>
        <w:right w:val="none" w:sz="0" w:space="0" w:color="auto"/>
      </w:divBdr>
    </w:div>
    <w:div w:id="887765953">
      <w:bodyDiv w:val="1"/>
      <w:marLeft w:val="0"/>
      <w:marRight w:val="0"/>
      <w:marTop w:val="0"/>
      <w:marBottom w:val="0"/>
      <w:divBdr>
        <w:top w:val="none" w:sz="0" w:space="0" w:color="auto"/>
        <w:left w:val="none" w:sz="0" w:space="0" w:color="auto"/>
        <w:bottom w:val="none" w:sz="0" w:space="0" w:color="auto"/>
        <w:right w:val="none" w:sz="0" w:space="0" w:color="auto"/>
      </w:divBdr>
    </w:div>
    <w:div w:id="891161190">
      <w:bodyDiv w:val="1"/>
      <w:marLeft w:val="0"/>
      <w:marRight w:val="0"/>
      <w:marTop w:val="0"/>
      <w:marBottom w:val="0"/>
      <w:divBdr>
        <w:top w:val="none" w:sz="0" w:space="0" w:color="auto"/>
        <w:left w:val="none" w:sz="0" w:space="0" w:color="auto"/>
        <w:bottom w:val="none" w:sz="0" w:space="0" w:color="auto"/>
        <w:right w:val="none" w:sz="0" w:space="0" w:color="auto"/>
      </w:divBdr>
    </w:div>
    <w:div w:id="891890558">
      <w:bodyDiv w:val="1"/>
      <w:marLeft w:val="0"/>
      <w:marRight w:val="0"/>
      <w:marTop w:val="0"/>
      <w:marBottom w:val="0"/>
      <w:divBdr>
        <w:top w:val="none" w:sz="0" w:space="0" w:color="auto"/>
        <w:left w:val="none" w:sz="0" w:space="0" w:color="auto"/>
        <w:bottom w:val="none" w:sz="0" w:space="0" w:color="auto"/>
        <w:right w:val="none" w:sz="0" w:space="0" w:color="auto"/>
      </w:divBdr>
    </w:div>
    <w:div w:id="892934277">
      <w:bodyDiv w:val="1"/>
      <w:marLeft w:val="0"/>
      <w:marRight w:val="0"/>
      <w:marTop w:val="0"/>
      <w:marBottom w:val="0"/>
      <w:divBdr>
        <w:top w:val="none" w:sz="0" w:space="0" w:color="auto"/>
        <w:left w:val="none" w:sz="0" w:space="0" w:color="auto"/>
        <w:bottom w:val="none" w:sz="0" w:space="0" w:color="auto"/>
        <w:right w:val="none" w:sz="0" w:space="0" w:color="auto"/>
      </w:divBdr>
    </w:div>
    <w:div w:id="895092230">
      <w:bodyDiv w:val="1"/>
      <w:marLeft w:val="0"/>
      <w:marRight w:val="0"/>
      <w:marTop w:val="0"/>
      <w:marBottom w:val="0"/>
      <w:divBdr>
        <w:top w:val="none" w:sz="0" w:space="0" w:color="auto"/>
        <w:left w:val="none" w:sz="0" w:space="0" w:color="auto"/>
        <w:bottom w:val="none" w:sz="0" w:space="0" w:color="auto"/>
        <w:right w:val="none" w:sz="0" w:space="0" w:color="auto"/>
      </w:divBdr>
    </w:div>
    <w:div w:id="896665838">
      <w:bodyDiv w:val="1"/>
      <w:marLeft w:val="0"/>
      <w:marRight w:val="0"/>
      <w:marTop w:val="0"/>
      <w:marBottom w:val="0"/>
      <w:divBdr>
        <w:top w:val="none" w:sz="0" w:space="0" w:color="auto"/>
        <w:left w:val="none" w:sz="0" w:space="0" w:color="auto"/>
        <w:bottom w:val="none" w:sz="0" w:space="0" w:color="auto"/>
        <w:right w:val="none" w:sz="0" w:space="0" w:color="auto"/>
      </w:divBdr>
    </w:div>
    <w:div w:id="897714338">
      <w:bodyDiv w:val="1"/>
      <w:marLeft w:val="0"/>
      <w:marRight w:val="0"/>
      <w:marTop w:val="0"/>
      <w:marBottom w:val="0"/>
      <w:divBdr>
        <w:top w:val="none" w:sz="0" w:space="0" w:color="auto"/>
        <w:left w:val="none" w:sz="0" w:space="0" w:color="auto"/>
        <w:bottom w:val="none" w:sz="0" w:space="0" w:color="auto"/>
        <w:right w:val="none" w:sz="0" w:space="0" w:color="auto"/>
      </w:divBdr>
    </w:div>
    <w:div w:id="897740326">
      <w:bodyDiv w:val="1"/>
      <w:marLeft w:val="0"/>
      <w:marRight w:val="0"/>
      <w:marTop w:val="0"/>
      <w:marBottom w:val="0"/>
      <w:divBdr>
        <w:top w:val="none" w:sz="0" w:space="0" w:color="auto"/>
        <w:left w:val="none" w:sz="0" w:space="0" w:color="auto"/>
        <w:bottom w:val="none" w:sz="0" w:space="0" w:color="auto"/>
        <w:right w:val="none" w:sz="0" w:space="0" w:color="auto"/>
      </w:divBdr>
    </w:div>
    <w:div w:id="898319832">
      <w:bodyDiv w:val="1"/>
      <w:marLeft w:val="0"/>
      <w:marRight w:val="0"/>
      <w:marTop w:val="0"/>
      <w:marBottom w:val="0"/>
      <w:divBdr>
        <w:top w:val="none" w:sz="0" w:space="0" w:color="auto"/>
        <w:left w:val="none" w:sz="0" w:space="0" w:color="auto"/>
        <w:bottom w:val="none" w:sz="0" w:space="0" w:color="auto"/>
        <w:right w:val="none" w:sz="0" w:space="0" w:color="auto"/>
      </w:divBdr>
    </w:div>
    <w:div w:id="898829352">
      <w:bodyDiv w:val="1"/>
      <w:marLeft w:val="0"/>
      <w:marRight w:val="0"/>
      <w:marTop w:val="0"/>
      <w:marBottom w:val="0"/>
      <w:divBdr>
        <w:top w:val="none" w:sz="0" w:space="0" w:color="auto"/>
        <w:left w:val="none" w:sz="0" w:space="0" w:color="auto"/>
        <w:bottom w:val="none" w:sz="0" w:space="0" w:color="auto"/>
        <w:right w:val="none" w:sz="0" w:space="0" w:color="auto"/>
      </w:divBdr>
    </w:div>
    <w:div w:id="898983141">
      <w:bodyDiv w:val="1"/>
      <w:marLeft w:val="0"/>
      <w:marRight w:val="0"/>
      <w:marTop w:val="0"/>
      <w:marBottom w:val="0"/>
      <w:divBdr>
        <w:top w:val="none" w:sz="0" w:space="0" w:color="auto"/>
        <w:left w:val="none" w:sz="0" w:space="0" w:color="auto"/>
        <w:bottom w:val="none" w:sz="0" w:space="0" w:color="auto"/>
        <w:right w:val="none" w:sz="0" w:space="0" w:color="auto"/>
      </w:divBdr>
    </w:div>
    <w:div w:id="900556146">
      <w:bodyDiv w:val="1"/>
      <w:marLeft w:val="0"/>
      <w:marRight w:val="0"/>
      <w:marTop w:val="0"/>
      <w:marBottom w:val="0"/>
      <w:divBdr>
        <w:top w:val="none" w:sz="0" w:space="0" w:color="auto"/>
        <w:left w:val="none" w:sz="0" w:space="0" w:color="auto"/>
        <w:bottom w:val="none" w:sz="0" w:space="0" w:color="auto"/>
        <w:right w:val="none" w:sz="0" w:space="0" w:color="auto"/>
      </w:divBdr>
    </w:div>
    <w:div w:id="901717979">
      <w:bodyDiv w:val="1"/>
      <w:marLeft w:val="0"/>
      <w:marRight w:val="0"/>
      <w:marTop w:val="0"/>
      <w:marBottom w:val="0"/>
      <w:divBdr>
        <w:top w:val="none" w:sz="0" w:space="0" w:color="auto"/>
        <w:left w:val="none" w:sz="0" w:space="0" w:color="auto"/>
        <w:bottom w:val="none" w:sz="0" w:space="0" w:color="auto"/>
        <w:right w:val="none" w:sz="0" w:space="0" w:color="auto"/>
      </w:divBdr>
    </w:div>
    <w:div w:id="906457945">
      <w:bodyDiv w:val="1"/>
      <w:marLeft w:val="0"/>
      <w:marRight w:val="0"/>
      <w:marTop w:val="0"/>
      <w:marBottom w:val="0"/>
      <w:divBdr>
        <w:top w:val="none" w:sz="0" w:space="0" w:color="auto"/>
        <w:left w:val="none" w:sz="0" w:space="0" w:color="auto"/>
        <w:bottom w:val="none" w:sz="0" w:space="0" w:color="auto"/>
        <w:right w:val="none" w:sz="0" w:space="0" w:color="auto"/>
      </w:divBdr>
    </w:div>
    <w:div w:id="910046346">
      <w:bodyDiv w:val="1"/>
      <w:marLeft w:val="0"/>
      <w:marRight w:val="0"/>
      <w:marTop w:val="0"/>
      <w:marBottom w:val="0"/>
      <w:divBdr>
        <w:top w:val="none" w:sz="0" w:space="0" w:color="auto"/>
        <w:left w:val="none" w:sz="0" w:space="0" w:color="auto"/>
        <w:bottom w:val="none" w:sz="0" w:space="0" w:color="auto"/>
        <w:right w:val="none" w:sz="0" w:space="0" w:color="auto"/>
      </w:divBdr>
    </w:div>
    <w:div w:id="910652034">
      <w:bodyDiv w:val="1"/>
      <w:marLeft w:val="0"/>
      <w:marRight w:val="0"/>
      <w:marTop w:val="0"/>
      <w:marBottom w:val="0"/>
      <w:divBdr>
        <w:top w:val="none" w:sz="0" w:space="0" w:color="auto"/>
        <w:left w:val="none" w:sz="0" w:space="0" w:color="auto"/>
        <w:bottom w:val="none" w:sz="0" w:space="0" w:color="auto"/>
        <w:right w:val="none" w:sz="0" w:space="0" w:color="auto"/>
      </w:divBdr>
    </w:div>
    <w:div w:id="912852645">
      <w:bodyDiv w:val="1"/>
      <w:marLeft w:val="0"/>
      <w:marRight w:val="0"/>
      <w:marTop w:val="0"/>
      <w:marBottom w:val="0"/>
      <w:divBdr>
        <w:top w:val="none" w:sz="0" w:space="0" w:color="auto"/>
        <w:left w:val="none" w:sz="0" w:space="0" w:color="auto"/>
        <w:bottom w:val="none" w:sz="0" w:space="0" w:color="auto"/>
        <w:right w:val="none" w:sz="0" w:space="0" w:color="auto"/>
      </w:divBdr>
    </w:div>
    <w:div w:id="916985484">
      <w:bodyDiv w:val="1"/>
      <w:marLeft w:val="0"/>
      <w:marRight w:val="0"/>
      <w:marTop w:val="0"/>
      <w:marBottom w:val="0"/>
      <w:divBdr>
        <w:top w:val="none" w:sz="0" w:space="0" w:color="auto"/>
        <w:left w:val="none" w:sz="0" w:space="0" w:color="auto"/>
        <w:bottom w:val="none" w:sz="0" w:space="0" w:color="auto"/>
        <w:right w:val="none" w:sz="0" w:space="0" w:color="auto"/>
      </w:divBdr>
    </w:div>
    <w:div w:id="917204930">
      <w:bodyDiv w:val="1"/>
      <w:marLeft w:val="0"/>
      <w:marRight w:val="0"/>
      <w:marTop w:val="0"/>
      <w:marBottom w:val="0"/>
      <w:divBdr>
        <w:top w:val="none" w:sz="0" w:space="0" w:color="auto"/>
        <w:left w:val="none" w:sz="0" w:space="0" w:color="auto"/>
        <w:bottom w:val="none" w:sz="0" w:space="0" w:color="auto"/>
        <w:right w:val="none" w:sz="0" w:space="0" w:color="auto"/>
      </w:divBdr>
    </w:div>
    <w:div w:id="917980679">
      <w:bodyDiv w:val="1"/>
      <w:marLeft w:val="0"/>
      <w:marRight w:val="0"/>
      <w:marTop w:val="0"/>
      <w:marBottom w:val="0"/>
      <w:divBdr>
        <w:top w:val="none" w:sz="0" w:space="0" w:color="auto"/>
        <w:left w:val="none" w:sz="0" w:space="0" w:color="auto"/>
        <w:bottom w:val="none" w:sz="0" w:space="0" w:color="auto"/>
        <w:right w:val="none" w:sz="0" w:space="0" w:color="auto"/>
      </w:divBdr>
    </w:div>
    <w:div w:id="921571001">
      <w:bodyDiv w:val="1"/>
      <w:marLeft w:val="0"/>
      <w:marRight w:val="0"/>
      <w:marTop w:val="0"/>
      <w:marBottom w:val="0"/>
      <w:divBdr>
        <w:top w:val="none" w:sz="0" w:space="0" w:color="auto"/>
        <w:left w:val="none" w:sz="0" w:space="0" w:color="auto"/>
        <w:bottom w:val="none" w:sz="0" w:space="0" w:color="auto"/>
        <w:right w:val="none" w:sz="0" w:space="0" w:color="auto"/>
      </w:divBdr>
    </w:div>
    <w:div w:id="926302229">
      <w:bodyDiv w:val="1"/>
      <w:marLeft w:val="0"/>
      <w:marRight w:val="0"/>
      <w:marTop w:val="0"/>
      <w:marBottom w:val="0"/>
      <w:divBdr>
        <w:top w:val="none" w:sz="0" w:space="0" w:color="auto"/>
        <w:left w:val="none" w:sz="0" w:space="0" w:color="auto"/>
        <w:bottom w:val="none" w:sz="0" w:space="0" w:color="auto"/>
        <w:right w:val="none" w:sz="0" w:space="0" w:color="auto"/>
      </w:divBdr>
    </w:div>
    <w:div w:id="927151764">
      <w:bodyDiv w:val="1"/>
      <w:marLeft w:val="0"/>
      <w:marRight w:val="0"/>
      <w:marTop w:val="0"/>
      <w:marBottom w:val="0"/>
      <w:divBdr>
        <w:top w:val="none" w:sz="0" w:space="0" w:color="auto"/>
        <w:left w:val="none" w:sz="0" w:space="0" w:color="auto"/>
        <w:bottom w:val="none" w:sz="0" w:space="0" w:color="auto"/>
        <w:right w:val="none" w:sz="0" w:space="0" w:color="auto"/>
      </w:divBdr>
    </w:div>
    <w:div w:id="929850969">
      <w:bodyDiv w:val="1"/>
      <w:marLeft w:val="0"/>
      <w:marRight w:val="0"/>
      <w:marTop w:val="0"/>
      <w:marBottom w:val="0"/>
      <w:divBdr>
        <w:top w:val="none" w:sz="0" w:space="0" w:color="auto"/>
        <w:left w:val="none" w:sz="0" w:space="0" w:color="auto"/>
        <w:bottom w:val="none" w:sz="0" w:space="0" w:color="auto"/>
        <w:right w:val="none" w:sz="0" w:space="0" w:color="auto"/>
      </w:divBdr>
    </w:div>
    <w:div w:id="932668147">
      <w:bodyDiv w:val="1"/>
      <w:marLeft w:val="0"/>
      <w:marRight w:val="0"/>
      <w:marTop w:val="0"/>
      <w:marBottom w:val="0"/>
      <w:divBdr>
        <w:top w:val="none" w:sz="0" w:space="0" w:color="auto"/>
        <w:left w:val="none" w:sz="0" w:space="0" w:color="auto"/>
        <w:bottom w:val="none" w:sz="0" w:space="0" w:color="auto"/>
        <w:right w:val="none" w:sz="0" w:space="0" w:color="auto"/>
      </w:divBdr>
    </w:div>
    <w:div w:id="934827146">
      <w:bodyDiv w:val="1"/>
      <w:marLeft w:val="0"/>
      <w:marRight w:val="0"/>
      <w:marTop w:val="0"/>
      <w:marBottom w:val="0"/>
      <w:divBdr>
        <w:top w:val="none" w:sz="0" w:space="0" w:color="auto"/>
        <w:left w:val="none" w:sz="0" w:space="0" w:color="auto"/>
        <w:bottom w:val="none" w:sz="0" w:space="0" w:color="auto"/>
        <w:right w:val="none" w:sz="0" w:space="0" w:color="auto"/>
      </w:divBdr>
    </w:div>
    <w:div w:id="934827228">
      <w:bodyDiv w:val="1"/>
      <w:marLeft w:val="0"/>
      <w:marRight w:val="0"/>
      <w:marTop w:val="0"/>
      <w:marBottom w:val="0"/>
      <w:divBdr>
        <w:top w:val="none" w:sz="0" w:space="0" w:color="auto"/>
        <w:left w:val="none" w:sz="0" w:space="0" w:color="auto"/>
        <w:bottom w:val="none" w:sz="0" w:space="0" w:color="auto"/>
        <w:right w:val="none" w:sz="0" w:space="0" w:color="auto"/>
      </w:divBdr>
    </w:div>
    <w:div w:id="940793931">
      <w:bodyDiv w:val="1"/>
      <w:marLeft w:val="0"/>
      <w:marRight w:val="0"/>
      <w:marTop w:val="0"/>
      <w:marBottom w:val="0"/>
      <w:divBdr>
        <w:top w:val="none" w:sz="0" w:space="0" w:color="auto"/>
        <w:left w:val="none" w:sz="0" w:space="0" w:color="auto"/>
        <w:bottom w:val="none" w:sz="0" w:space="0" w:color="auto"/>
        <w:right w:val="none" w:sz="0" w:space="0" w:color="auto"/>
      </w:divBdr>
    </w:div>
    <w:div w:id="942759311">
      <w:bodyDiv w:val="1"/>
      <w:marLeft w:val="0"/>
      <w:marRight w:val="0"/>
      <w:marTop w:val="0"/>
      <w:marBottom w:val="0"/>
      <w:divBdr>
        <w:top w:val="none" w:sz="0" w:space="0" w:color="auto"/>
        <w:left w:val="none" w:sz="0" w:space="0" w:color="auto"/>
        <w:bottom w:val="none" w:sz="0" w:space="0" w:color="auto"/>
        <w:right w:val="none" w:sz="0" w:space="0" w:color="auto"/>
      </w:divBdr>
    </w:div>
    <w:div w:id="947733030">
      <w:bodyDiv w:val="1"/>
      <w:marLeft w:val="0"/>
      <w:marRight w:val="0"/>
      <w:marTop w:val="0"/>
      <w:marBottom w:val="0"/>
      <w:divBdr>
        <w:top w:val="none" w:sz="0" w:space="0" w:color="auto"/>
        <w:left w:val="none" w:sz="0" w:space="0" w:color="auto"/>
        <w:bottom w:val="none" w:sz="0" w:space="0" w:color="auto"/>
        <w:right w:val="none" w:sz="0" w:space="0" w:color="auto"/>
      </w:divBdr>
    </w:div>
    <w:div w:id="949434068">
      <w:bodyDiv w:val="1"/>
      <w:marLeft w:val="0"/>
      <w:marRight w:val="0"/>
      <w:marTop w:val="0"/>
      <w:marBottom w:val="0"/>
      <w:divBdr>
        <w:top w:val="none" w:sz="0" w:space="0" w:color="auto"/>
        <w:left w:val="none" w:sz="0" w:space="0" w:color="auto"/>
        <w:bottom w:val="none" w:sz="0" w:space="0" w:color="auto"/>
        <w:right w:val="none" w:sz="0" w:space="0" w:color="auto"/>
      </w:divBdr>
    </w:div>
    <w:div w:id="960188876">
      <w:bodyDiv w:val="1"/>
      <w:marLeft w:val="0"/>
      <w:marRight w:val="0"/>
      <w:marTop w:val="0"/>
      <w:marBottom w:val="0"/>
      <w:divBdr>
        <w:top w:val="none" w:sz="0" w:space="0" w:color="auto"/>
        <w:left w:val="none" w:sz="0" w:space="0" w:color="auto"/>
        <w:bottom w:val="none" w:sz="0" w:space="0" w:color="auto"/>
        <w:right w:val="none" w:sz="0" w:space="0" w:color="auto"/>
      </w:divBdr>
    </w:div>
    <w:div w:id="965965215">
      <w:bodyDiv w:val="1"/>
      <w:marLeft w:val="0"/>
      <w:marRight w:val="0"/>
      <w:marTop w:val="0"/>
      <w:marBottom w:val="0"/>
      <w:divBdr>
        <w:top w:val="none" w:sz="0" w:space="0" w:color="auto"/>
        <w:left w:val="none" w:sz="0" w:space="0" w:color="auto"/>
        <w:bottom w:val="none" w:sz="0" w:space="0" w:color="auto"/>
        <w:right w:val="none" w:sz="0" w:space="0" w:color="auto"/>
      </w:divBdr>
    </w:div>
    <w:div w:id="967319884">
      <w:bodyDiv w:val="1"/>
      <w:marLeft w:val="0"/>
      <w:marRight w:val="0"/>
      <w:marTop w:val="0"/>
      <w:marBottom w:val="0"/>
      <w:divBdr>
        <w:top w:val="none" w:sz="0" w:space="0" w:color="auto"/>
        <w:left w:val="none" w:sz="0" w:space="0" w:color="auto"/>
        <w:bottom w:val="none" w:sz="0" w:space="0" w:color="auto"/>
        <w:right w:val="none" w:sz="0" w:space="0" w:color="auto"/>
      </w:divBdr>
    </w:div>
    <w:div w:id="968053653">
      <w:bodyDiv w:val="1"/>
      <w:marLeft w:val="0"/>
      <w:marRight w:val="0"/>
      <w:marTop w:val="0"/>
      <w:marBottom w:val="0"/>
      <w:divBdr>
        <w:top w:val="none" w:sz="0" w:space="0" w:color="auto"/>
        <w:left w:val="none" w:sz="0" w:space="0" w:color="auto"/>
        <w:bottom w:val="none" w:sz="0" w:space="0" w:color="auto"/>
        <w:right w:val="none" w:sz="0" w:space="0" w:color="auto"/>
      </w:divBdr>
    </w:div>
    <w:div w:id="969894866">
      <w:bodyDiv w:val="1"/>
      <w:marLeft w:val="0"/>
      <w:marRight w:val="0"/>
      <w:marTop w:val="0"/>
      <w:marBottom w:val="0"/>
      <w:divBdr>
        <w:top w:val="none" w:sz="0" w:space="0" w:color="auto"/>
        <w:left w:val="none" w:sz="0" w:space="0" w:color="auto"/>
        <w:bottom w:val="none" w:sz="0" w:space="0" w:color="auto"/>
        <w:right w:val="none" w:sz="0" w:space="0" w:color="auto"/>
      </w:divBdr>
    </w:div>
    <w:div w:id="969895701">
      <w:bodyDiv w:val="1"/>
      <w:marLeft w:val="0"/>
      <w:marRight w:val="0"/>
      <w:marTop w:val="0"/>
      <w:marBottom w:val="0"/>
      <w:divBdr>
        <w:top w:val="none" w:sz="0" w:space="0" w:color="auto"/>
        <w:left w:val="none" w:sz="0" w:space="0" w:color="auto"/>
        <w:bottom w:val="none" w:sz="0" w:space="0" w:color="auto"/>
        <w:right w:val="none" w:sz="0" w:space="0" w:color="auto"/>
      </w:divBdr>
    </w:div>
    <w:div w:id="971638529">
      <w:bodyDiv w:val="1"/>
      <w:marLeft w:val="0"/>
      <w:marRight w:val="0"/>
      <w:marTop w:val="0"/>
      <w:marBottom w:val="0"/>
      <w:divBdr>
        <w:top w:val="none" w:sz="0" w:space="0" w:color="auto"/>
        <w:left w:val="none" w:sz="0" w:space="0" w:color="auto"/>
        <w:bottom w:val="none" w:sz="0" w:space="0" w:color="auto"/>
        <w:right w:val="none" w:sz="0" w:space="0" w:color="auto"/>
      </w:divBdr>
    </w:div>
    <w:div w:id="974064480">
      <w:bodyDiv w:val="1"/>
      <w:marLeft w:val="0"/>
      <w:marRight w:val="0"/>
      <w:marTop w:val="0"/>
      <w:marBottom w:val="0"/>
      <w:divBdr>
        <w:top w:val="none" w:sz="0" w:space="0" w:color="auto"/>
        <w:left w:val="none" w:sz="0" w:space="0" w:color="auto"/>
        <w:bottom w:val="none" w:sz="0" w:space="0" w:color="auto"/>
        <w:right w:val="none" w:sz="0" w:space="0" w:color="auto"/>
      </w:divBdr>
    </w:div>
    <w:div w:id="981689636">
      <w:bodyDiv w:val="1"/>
      <w:marLeft w:val="0"/>
      <w:marRight w:val="0"/>
      <w:marTop w:val="0"/>
      <w:marBottom w:val="0"/>
      <w:divBdr>
        <w:top w:val="none" w:sz="0" w:space="0" w:color="auto"/>
        <w:left w:val="none" w:sz="0" w:space="0" w:color="auto"/>
        <w:bottom w:val="none" w:sz="0" w:space="0" w:color="auto"/>
        <w:right w:val="none" w:sz="0" w:space="0" w:color="auto"/>
      </w:divBdr>
    </w:div>
    <w:div w:id="983703672">
      <w:bodyDiv w:val="1"/>
      <w:marLeft w:val="0"/>
      <w:marRight w:val="0"/>
      <w:marTop w:val="0"/>
      <w:marBottom w:val="0"/>
      <w:divBdr>
        <w:top w:val="none" w:sz="0" w:space="0" w:color="auto"/>
        <w:left w:val="none" w:sz="0" w:space="0" w:color="auto"/>
        <w:bottom w:val="none" w:sz="0" w:space="0" w:color="auto"/>
        <w:right w:val="none" w:sz="0" w:space="0" w:color="auto"/>
      </w:divBdr>
    </w:div>
    <w:div w:id="984552004">
      <w:bodyDiv w:val="1"/>
      <w:marLeft w:val="0"/>
      <w:marRight w:val="0"/>
      <w:marTop w:val="0"/>
      <w:marBottom w:val="0"/>
      <w:divBdr>
        <w:top w:val="none" w:sz="0" w:space="0" w:color="auto"/>
        <w:left w:val="none" w:sz="0" w:space="0" w:color="auto"/>
        <w:bottom w:val="none" w:sz="0" w:space="0" w:color="auto"/>
        <w:right w:val="none" w:sz="0" w:space="0" w:color="auto"/>
      </w:divBdr>
    </w:div>
    <w:div w:id="991758074">
      <w:bodyDiv w:val="1"/>
      <w:marLeft w:val="0"/>
      <w:marRight w:val="0"/>
      <w:marTop w:val="0"/>
      <w:marBottom w:val="0"/>
      <w:divBdr>
        <w:top w:val="none" w:sz="0" w:space="0" w:color="auto"/>
        <w:left w:val="none" w:sz="0" w:space="0" w:color="auto"/>
        <w:bottom w:val="none" w:sz="0" w:space="0" w:color="auto"/>
        <w:right w:val="none" w:sz="0" w:space="0" w:color="auto"/>
      </w:divBdr>
    </w:div>
    <w:div w:id="992874722">
      <w:bodyDiv w:val="1"/>
      <w:marLeft w:val="0"/>
      <w:marRight w:val="0"/>
      <w:marTop w:val="0"/>
      <w:marBottom w:val="0"/>
      <w:divBdr>
        <w:top w:val="none" w:sz="0" w:space="0" w:color="auto"/>
        <w:left w:val="none" w:sz="0" w:space="0" w:color="auto"/>
        <w:bottom w:val="none" w:sz="0" w:space="0" w:color="auto"/>
        <w:right w:val="none" w:sz="0" w:space="0" w:color="auto"/>
      </w:divBdr>
    </w:div>
    <w:div w:id="994146217">
      <w:bodyDiv w:val="1"/>
      <w:marLeft w:val="0"/>
      <w:marRight w:val="0"/>
      <w:marTop w:val="0"/>
      <w:marBottom w:val="0"/>
      <w:divBdr>
        <w:top w:val="none" w:sz="0" w:space="0" w:color="auto"/>
        <w:left w:val="none" w:sz="0" w:space="0" w:color="auto"/>
        <w:bottom w:val="none" w:sz="0" w:space="0" w:color="auto"/>
        <w:right w:val="none" w:sz="0" w:space="0" w:color="auto"/>
      </w:divBdr>
    </w:div>
    <w:div w:id="996231774">
      <w:bodyDiv w:val="1"/>
      <w:marLeft w:val="0"/>
      <w:marRight w:val="0"/>
      <w:marTop w:val="0"/>
      <w:marBottom w:val="0"/>
      <w:divBdr>
        <w:top w:val="none" w:sz="0" w:space="0" w:color="auto"/>
        <w:left w:val="none" w:sz="0" w:space="0" w:color="auto"/>
        <w:bottom w:val="none" w:sz="0" w:space="0" w:color="auto"/>
        <w:right w:val="none" w:sz="0" w:space="0" w:color="auto"/>
      </w:divBdr>
    </w:div>
    <w:div w:id="996541282">
      <w:bodyDiv w:val="1"/>
      <w:marLeft w:val="0"/>
      <w:marRight w:val="0"/>
      <w:marTop w:val="0"/>
      <w:marBottom w:val="0"/>
      <w:divBdr>
        <w:top w:val="none" w:sz="0" w:space="0" w:color="auto"/>
        <w:left w:val="none" w:sz="0" w:space="0" w:color="auto"/>
        <w:bottom w:val="none" w:sz="0" w:space="0" w:color="auto"/>
        <w:right w:val="none" w:sz="0" w:space="0" w:color="auto"/>
      </w:divBdr>
    </w:div>
    <w:div w:id="998120741">
      <w:bodyDiv w:val="1"/>
      <w:marLeft w:val="0"/>
      <w:marRight w:val="0"/>
      <w:marTop w:val="0"/>
      <w:marBottom w:val="0"/>
      <w:divBdr>
        <w:top w:val="none" w:sz="0" w:space="0" w:color="auto"/>
        <w:left w:val="none" w:sz="0" w:space="0" w:color="auto"/>
        <w:bottom w:val="none" w:sz="0" w:space="0" w:color="auto"/>
        <w:right w:val="none" w:sz="0" w:space="0" w:color="auto"/>
      </w:divBdr>
    </w:div>
    <w:div w:id="999230366">
      <w:bodyDiv w:val="1"/>
      <w:marLeft w:val="0"/>
      <w:marRight w:val="0"/>
      <w:marTop w:val="0"/>
      <w:marBottom w:val="0"/>
      <w:divBdr>
        <w:top w:val="none" w:sz="0" w:space="0" w:color="auto"/>
        <w:left w:val="none" w:sz="0" w:space="0" w:color="auto"/>
        <w:bottom w:val="none" w:sz="0" w:space="0" w:color="auto"/>
        <w:right w:val="none" w:sz="0" w:space="0" w:color="auto"/>
      </w:divBdr>
    </w:div>
    <w:div w:id="999234038">
      <w:bodyDiv w:val="1"/>
      <w:marLeft w:val="0"/>
      <w:marRight w:val="0"/>
      <w:marTop w:val="0"/>
      <w:marBottom w:val="0"/>
      <w:divBdr>
        <w:top w:val="none" w:sz="0" w:space="0" w:color="auto"/>
        <w:left w:val="none" w:sz="0" w:space="0" w:color="auto"/>
        <w:bottom w:val="none" w:sz="0" w:space="0" w:color="auto"/>
        <w:right w:val="none" w:sz="0" w:space="0" w:color="auto"/>
      </w:divBdr>
    </w:div>
    <w:div w:id="1003170215">
      <w:bodyDiv w:val="1"/>
      <w:marLeft w:val="0"/>
      <w:marRight w:val="0"/>
      <w:marTop w:val="0"/>
      <w:marBottom w:val="0"/>
      <w:divBdr>
        <w:top w:val="none" w:sz="0" w:space="0" w:color="auto"/>
        <w:left w:val="none" w:sz="0" w:space="0" w:color="auto"/>
        <w:bottom w:val="none" w:sz="0" w:space="0" w:color="auto"/>
        <w:right w:val="none" w:sz="0" w:space="0" w:color="auto"/>
      </w:divBdr>
    </w:div>
    <w:div w:id="1004286463">
      <w:bodyDiv w:val="1"/>
      <w:marLeft w:val="0"/>
      <w:marRight w:val="0"/>
      <w:marTop w:val="0"/>
      <w:marBottom w:val="0"/>
      <w:divBdr>
        <w:top w:val="none" w:sz="0" w:space="0" w:color="auto"/>
        <w:left w:val="none" w:sz="0" w:space="0" w:color="auto"/>
        <w:bottom w:val="none" w:sz="0" w:space="0" w:color="auto"/>
        <w:right w:val="none" w:sz="0" w:space="0" w:color="auto"/>
      </w:divBdr>
    </w:div>
    <w:div w:id="1006640837">
      <w:bodyDiv w:val="1"/>
      <w:marLeft w:val="0"/>
      <w:marRight w:val="0"/>
      <w:marTop w:val="0"/>
      <w:marBottom w:val="0"/>
      <w:divBdr>
        <w:top w:val="none" w:sz="0" w:space="0" w:color="auto"/>
        <w:left w:val="none" w:sz="0" w:space="0" w:color="auto"/>
        <w:bottom w:val="none" w:sz="0" w:space="0" w:color="auto"/>
        <w:right w:val="none" w:sz="0" w:space="0" w:color="auto"/>
      </w:divBdr>
    </w:div>
    <w:div w:id="1007250146">
      <w:bodyDiv w:val="1"/>
      <w:marLeft w:val="0"/>
      <w:marRight w:val="0"/>
      <w:marTop w:val="0"/>
      <w:marBottom w:val="0"/>
      <w:divBdr>
        <w:top w:val="none" w:sz="0" w:space="0" w:color="auto"/>
        <w:left w:val="none" w:sz="0" w:space="0" w:color="auto"/>
        <w:bottom w:val="none" w:sz="0" w:space="0" w:color="auto"/>
        <w:right w:val="none" w:sz="0" w:space="0" w:color="auto"/>
      </w:divBdr>
    </w:div>
    <w:div w:id="1011031621">
      <w:bodyDiv w:val="1"/>
      <w:marLeft w:val="0"/>
      <w:marRight w:val="0"/>
      <w:marTop w:val="0"/>
      <w:marBottom w:val="0"/>
      <w:divBdr>
        <w:top w:val="none" w:sz="0" w:space="0" w:color="auto"/>
        <w:left w:val="none" w:sz="0" w:space="0" w:color="auto"/>
        <w:bottom w:val="none" w:sz="0" w:space="0" w:color="auto"/>
        <w:right w:val="none" w:sz="0" w:space="0" w:color="auto"/>
      </w:divBdr>
    </w:div>
    <w:div w:id="1013647391">
      <w:bodyDiv w:val="1"/>
      <w:marLeft w:val="0"/>
      <w:marRight w:val="0"/>
      <w:marTop w:val="0"/>
      <w:marBottom w:val="0"/>
      <w:divBdr>
        <w:top w:val="none" w:sz="0" w:space="0" w:color="auto"/>
        <w:left w:val="none" w:sz="0" w:space="0" w:color="auto"/>
        <w:bottom w:val="none" w:sz="0" w:space="0" w:color="auto"/>
        <w:right w:val="none" w:sz="0" w:space="0" w:color="auto"/>
      </w:divBdr>
    </w:div>
    <w:div w:id="1020551168">
      <w:bodyDiv w:val="1"/>
      <w:marLeft w:val="0"/>
      <w:marRight w:val="0"/>
      <w:marTop w:val="0"/>
      <w:marBottom w:val="0"/>
      <w:divBdr>
        <w:top w:val="none" w:sz="0" w:space="0" w:color="auto"/>
        <w:left w:val="none" w:sz="0" w:space="0" w:color="auto"/>
        <w:bottom w:val="none" w:sz="0" w:space="0" w:color="auto"/>
        <w:right w:val="none" w:sz="0" w:space="0" w:color="auto"/>
      </w:divBdr>
    </w:div>
    <w:div w:id="1027566562">
      <w:bodyDiv w:val="1"/>
      <w:marLeft w:val="0"/>
      <w:marRight w:val="0"/>
      <w:marTop w:val="0"/>
      <w:marBottom w:val="0"/>
      <w:divBdr>
        <w:top w:val="none" w:sz="0" w:space="0" w:color="auto"/>
        <w:left w:val="none" w:sz="0" w:space="0" w:color="auto"/>
        <w:bottom w:val="none" w:sz="0" w:space="0" w:color="auto"/>
        <w:right w:val="none" w:sz="0" w:space="0" w:color="auto"/>
      </w:divBdr>
    </w:div>
    <w:div w:id="1029721952">
      <w:bodyDiv w:val="1"/>
      <w:marLeft w:val="0"/>
      <w:marRight w:val="0"/>
      <w:marTop w:val="0"/>
      <w:marBottom w:val="0"/>
      <w:divBdr>
        <w:top w:val="none" w:sz="0" w:space="0" w:color="auto"/>
        <w:left w:val="none" w:sz="0" w:space="0" w:color="auto"/>
        <w:bottom w:val="none" w:sz="0" w:space="0" w:color="auto"/>
        <w:right w:val="none" w:sz="0" w:space="0" w:color="auto"/>
      </w:divBdr>
    </w:div>
    <w:div w:id="1030301144">
      <w:bodyDiv w:val="1"/>
      <w:marLeft w:val="0"/>
      <w:marRight w:val="0"/>
      <w:marTop w:val="0"/>
      <w:marBottom w:val="0"/>
      <w:divBdr>
        <w:top w:val="none" w:sz="0" w:space="0" w:color="auto"/>
        <w:left w:val="none" w:sz="0" w:space="0" w:color="auto"/>
        <w:bottom w:val="none" w:sz="0" w:space="0" w:color="auto"/>
        <w:right w:val="none" w:sz="0" w:space="0" w:color="auto"/>
      </w:divBdr>
    </w:div>
    <w:div w:id="1031036281">
      <w:bodyDiv w:val="1"/>
      <w:marLeft w:val="0"/>
      <w:marRight w:val="0"/>
      <w:marTop w:val="0"/>
      <w:marBottom w:val="0"/>
      <w:divBdr>
        <w:top w:val="none" w:sz="0" w:space="0" w:color="auto"/>
        <w:left w:val="none" w:sz="0" w:space="0" w:color="auto"/>
        <w:bottom w:val="none" w:sz="0" w:space="0" w:color="auto"/>
        <w:right w:val="none" w:sz="0" w:space="0" w:color="auto"/>
      </w:divBdr>
    </w:div>
    <w:div w:id="1032271352">
      <w:bodyDiv w:val="1"/>
      <w:marLeft w:val="0"/>
      <w:marRight w:val="0"/>
      <w:marTop w:val="0"/>
      <w:marBottom w:val="0"/>
      <w:divBdr>
        <w:top w:val="none" w:sz="0" w:space="0" w:color="auto"/>
        <w:left w:val="none" w:sz="0" w:space="0" w:color="auto"/>
        <w:bottom w:val="none" w:sz="0" w:space="0" w:color="auto"/>
        <w:right w:val="none" w:sz="0" w:space="0" w:color="auto"/>
      </w:divBdr>
    </w:div>
    <w:div w:id="1035810750">
      <w:bodyDiv w:val="1"/>
      <w:marLeft w:val="0"/>
      <w:marRight w:val="0"/>
      <w:marTop w:val="0"/>
      <w:marBottom w:val="0"/>
      <w:divBdr>
        <w:top w:val="none" w:sz="0" w:space="0" w:color="auto"/>
        <w:left w:val="none" w:sz="0" w:space="0" w:color="auto"/>
        <w:bottom w:val="none" w:sz="0" w:space="0" w:color="auto"/>
        <w:right w:val="none" w:sz="0" w:space="0" w:color="auto"/>
      </w:divBdr>
    </w:div>
    <w:div w:id="1037126705">
      <w:bodyDiv w:val="1"/>
      <w:marLeft w:val="0"/>
      <w:marRight w:val="0"/>
      <w:marTop w:val="0"/>
      <w:marBottom w:val="0"/>
      <w:divBdr>
        <w:top w:val="none" w:sz="0" w:space="0" w:color="auto"/>
        <w:left w:val="none" w:sz="0" w:space="0" w:color="auto"/>
        <w:bottom w:val="none" w:sz="0" w:space="0" w:color="auto"/>
        <w:right w:val="none" w:sz="0" w:space="0" w:color="auto"/>
      </w:divBdr>
    </w:div>
    <w:div w:id="1037507459">
      <w:bodyDiv w:val="1"/>
      <w:marLeft w:val="0"/>
      <w:marRight w:val="0"/>
      <w:marTop w:val="0"/>
      <w:marBottom w:val="0"/>
      <w:divBdr>
        <w:top w:val="none" w:sz="0" w:space="0" w:color="auto"/>
        <w:left w:val="none" w:sz="0" w:space="0" w:color="auto"/>
        <w:bottom w:val="none" w:sz="0" w:space="0" w:color="auto"/>
        <w:right w:val="none" w:sz="0" w:space="0" w:color="auto"/>
      </w:divBdr>
    </w:div>
    <w:div w:id="1046489936">
      <w:bodyDiv w:val="1"/>
      <w:marLeft w:val="0"/>
      <w:marRight w:val="0"/>
      <w:marTop w:val="0"/>
      <w:marBottom w:val="0"/>
      <w:divBdr>
        <w:top w:val="none" w:sz="0" w:space="0" w:color="auto"/>
        <w:left w:val="none" w:sz="0" w:space="0" w:color="auto"/>
        <w:bottom w:val="none" w:sz="0" w:space="0" w:color="auto"/>
        <w:right w:val="none" w:sz="0" w:space="0" w:color="auto"/>
      </w:divBdr>
    </w:div>
    <w:div w:id="1047097637">
      <w:bodyDiv w:val="1"/>
      <w:marLeft w:val="0"/>
      <w:marRight w:val="0"/>
      <w:marTop w:val="0"/>
      <w:marBottom w:val="0"/>
      <w:divBdr>
        <w:top w:val="none" w:sz="0" w:space="0" w:color="auto"/>
        <w:left w:val="none" w:sz="0" w:space="0" w:color="auto"/>
        <w:bottom w:val="none" w:sz="0" w:space="0" w:color="auto"/>
        <w:right w:val="none" w:sz="0" w:space="0" w:color="auto"/>
      </w:divBdr>
    </w:div>
    <w:div w:id="1048263514">
      <w:bodyDiv w:val="1"/>
      <w:marLeft w:val="0"/>
      <w:marRight w:val="0"/>
      <w:marTop w:val="0"/>
      <w:marBottom w:val="0"/>
      <w:divBdr>
        <w:top w:val="none" w:sz="0" w:space="0" w:color="auto"/>
        <w:left w:val="none" w:sz="0" w:space="0" w:color="auto"/>
        <w:bottom w:val="none" w:sz="0" w:space="0" w:color="auto"/>
        <w:right w:val="none" w:sz="0" w:space="0" w:color="auto"/>
      </w:divBdr>
    </w:div>
    <w:div w:id="1053503614">
      <w:bodyDiv w:val="1"/>
      <w:marLeft w:val="0"/>
      <w:marRight w:val="0"/>
      <w:marTop w:val="0"/>
      <w:marBottom w:val="0"/>
      <w:divBdr>
        <w:top w:val="none" w:sz="0" w:space="0" w:color="auto"/>
        <w:left w:val="none" w:sz="0" w:space="0" w:color="auto"/>
        <w:bottom w:val="none" w:sz="0" w:space="0" w:color="auto"/>
        <w:right w:val="none" w:sz="0" w:space="0" w:color="auto"/>
      </w:divBdr>
    </w:div>
    <w:div w:id="1055469351">
      <w:bodyDiv w:val="1"/>
      <w:marLeft w:val="0"/>
      <w:marRight w:val="0"/>
      <w:marTop w:val="0"/>
      <w:marBottom w:val="0"/>
      <w:divBdr>
        <w:top w:val="none" w:sz="0" w:space="0" w:color="auto"/>
        <w:left w:val="none" w:sz="0" w:space="0" w:color="auto"/>
        <w:bottom w:val="none" w:sz="0" w:space="0" w:color="auto"/>
        <w:right w:val="none" w:sz="0" w:space="0" w:color="auto"/>
      </w:divBdr>
    </w:div>
    <w:div w:id="1057163405">
      <w:bodyDiv w:val="1"/>
      <w:marLeft w:val="0"/>
      <w:marRight w:val="0"/>
      <w:marTop w:val="0"/>
      <w:marBottom w:val="0"/>
      <w:divBdr>
        <w:top w:val="none" w:sz="0" w:space="0" w:color="auto"/>
        <w:left w:val="none" w:sz="0" w:space="0" w:color="auto"/>
        <w:bottom w:val="none" w:sz="0" w:space="0" w:color="auto"/>
        <w:right w:val="none" w:sz="0" w:space="0" w:color="auto"/>
      </w:divBdr>
    </w:div>
    <w:div w:id="1059472132">
      <w:bodyDiv w:val="1"/>
      <w:marLeft w:val="0"/>
      <w:marRight w:val="0"/>
      <w:marTop w:val="0"/>
      <w:marBottom w:val="0"/>
      <w:divBdr>
        <w:top w:val="none" w:sz="0" w:space="0" w:color="auto"/>
        <w:left w:val="none" w:sz="0" w:space="0" w:color="auto"/>
        <w:bottom w:val="none" w:sz="0" w:space="0" w:color="auto"/>
        <w:right w:val="none" w:sz="0" w:space="0" w:color="auto"/>
      </w:divBdr>
    </w:div>
    <w:div w:id="1061367907">
      <w:bodyDiv w:val="1"/>
      <w:marLeft w:val="0"/>
      <w:marRight w:val="0"/>
      <w:marTop w:val="0"/>
      <w:marBottom w:val="0"/>
      <w:divBdr>
        <w:top w:val="none" w:sz="0" w:space="0" w:color="auto"/>
        <w:left w:val="none" w:sz="0" w:space="0" w:color="auto"/>
        <w:bottom w:val="none" w:sz="0" w:space="0" w:color="auto"/>
        <w:right w:val="none" w:sz="0" w:space="0" w:color="auto"/>
      </w:divBdr>
    </w:div>
    <w:div w:id="1061635830">
      <w:bodyDiv w:val="1"/>
      <w:marLeft w:val="0"/>
      <w:marRight w:val="0"/>
      <w:marTop w:val="0"/>
      <w:marBottom w:val="0"/>
      <w:divBdr>
        <w:top w:val="none" w:sz="0" w:space="0" w:color="auto"/>
        <w:left w:val="none" w:sz="0" w:space="0" w:color="auto"/>
        <w:bottom w:val="none" w:sz="0" w:space="0" w:color="auto"/>
        <w:right w:val="none" w:sz="0" w:space="0" w:color="auto"/>
      </w:divBdr>
    </w:div>
    <w:div w:id="1061753667">
      <w:bodyDiv w:val="1"/>
      <w:marLeft w:val="0"/>
      <w:marRight w:val="0"/>
      <w:marTop w:val="0"/>
      <w:marBottom w:val="0"/>
      <w:divBdr>
        <w:top w:val="none" w:sz="0" w:space="0" w:color="auto"/>
        <w:left w:val="none" w:sz="0" w:space="0" w:color="auto"/>
        <w:bottom w:val="none" w:sz="0" w:space="0" w:color="auto"/>
        <w:right w:val="none" w:sz="0" w:space="0" w:color="auto"/>
      </w:divBdr>
    </w:div>
    <w:div w:id="1068113068">
      <w:bodyDiv w:val="1"/>
      <w:marLeft w:val="0"/>
      <w:marRight w:val="0"/>
      <w:marTop w:val="0"/>
      <w:marBottom w:val="0"/>
      <w:divBdr>
        <w:top w:val="none" w:sz="0" w:space="0" w:color="auto"/>
        <w:left w:val="none" w:sz="0" w:space="0" w:color="auto"/>
        <w:bottom w:val="none" w:sz="0" w:space="0" w:color="auto"/>
        <w:right w:val="none" w:sz="0" w:space="0" w:color="auto"/>
      </w:divBdr>
    </w:div>
    <w:div w:id="1071735580">
      <w:bodyDiv w:val="1"/>
      <w:marLeft w:val="0"/>
      <w:marRight w:val="0"/>
      <w:marTop w:val="0"/>
      <w:marBottom w:val="0"/>
      <w:divBdr>
        <w:top w:val="none" w:sz="0" w:space="0" w:color="auto"/>
        <w:left w:val="none" w:sz="0" w:space="0" w:color="auto"/>
        <w:bottom w:val="none" w:sz="0" w:space="0" w:color="auto"/>
        <w:right w:val="none" w:sz="0" w:space="0" w:color="auto"/>
      </w:divBdr>
    </w:div>
    <w:div w:id="1072042710">
      <w:bodyDiv w:val="1"/>
      <w:marLeft w:val="0"/>
      <w:marRight w:val="0"/>
      <w:marTop w:val="0"/>
      <w:marBottom w:val="0"/>
      <w:divBdr>
        <w:top w:val="none" w:sz="0" w:space="0" w:color="auto"/>
        <w:left w:val="none" w:sz="0" w:space="0" w:color="auto"/>
        <w:bottom w:val="none" w:sz="0" w:space="0" w:color="auto"/>
        <w:right w:val="none" w:sz="0" w:space="0" w:color="auto"/>
      </w:divBdr>
    </w:div>
    <w:div w:id="1075854015">
      <w:bodyDiv w:val="1"/>
      <w:marLeft w:val="0"/>
      <w:marRight w:val="0"/>
      <w:marTop w:val="0"/>
      <w:marBottom w:val="0"/>
      <w:divBdr>
        <w:top w:val="none" w:sz="0" w:space="0" w:color="auto"/>
        <w:left w:val="none" w:sz="0" w:space="0" w:color="auto"/>
        <w:bottom w:val="none" w:sz="0" w:space="0" w:color="auto"/>
        <w:right w:val="none" w:sz="0" w:space="0" w:color="auto"/>
      </w:divBdr>
    </w:div>
    <w:div w:id="1075861774">
      <w:bodyDiv w:val="1"/>
      <w:marLeft w:val="0"/>
      <w:marRight w:val="0"/>
      <w:marTop w:val="0"/>
      <w:marBottom w:val="0"/>
      <w:divBdr>
        <w:top w:val="none" w:sz="0" w:space="0" w:color="auto"/>
        <w:left w:val="none" w:sz="0" w:space="0" w:color="auto"/>
        <w:bottom w:val="none" w:sz="0" w:space="0" w:color="auto"/>
        <w:right w:val="none" w:sz="0" w:space="0" w:color="auto"/>
      </w:divBdr>
    </w:div>
    <w:div w:id="1076248278">
      <w:bodyDiv w:val="1"/>
      <w:marLeft w:val="0"/>
      <w:marRight w:val="0"/>
      <w:marTop w:val="0"/>
      <w:marBottom w:val="0"/>
      <w:divBdr>
        <w:top w:val="none" w:sz="0" w:space="0" w:color="auto"/>
        <w:left w:val="none" w:sz="0" w:space="0" w:color="auto"/>
        <w:bottom w:val="none" w:sz="0" w:space="0" w:color="auto"/>
        <w:right w:val="none" w:sz="0" w:space="0" w:color="auto"/>
      </w:divBdr>
    </w:div>
    <w:div w:id="1076511354">
      <w:bodyDiv w:val="1"/>
      <w:marLeft w:val="0"/>
      <w:marRight w:val="0"/>
      <w:marTop w:val="0"/>
      <w:marBottom w:val="0"/>
      <w:divBdr>
        <w:top w:val="none" w:sz="0" w:space="0" w:color="auto"/>
        <w:left w:val="none" w:sz="0" w:space="0" w:color="auto"/>
        <w:bottom w:val="none" w:sz="0" w:space="0" w:color="auto"/>
        <w:right w:val="none" w:sz="0" w:space="0" w:color="auto"/>
      </w:divBdr>
    </w:div>
    <w:div w:id="1077481003">
      <w:bodyDiv w:val="1"/>
      <w:marLeft w:val="0"/>
      <w:marRight w:val="0"/>
      <w:marTop w:val="0"/>
      <w:marBottom w:val="0"/>
      <w:divBdr>
        <w:top w:val="none" w:sz="0" w:space="0" w:color="auto"/>
        <w:left w:val="none" w:sz="0" w:space="0" w:color="auto"/>
        <w:bottom w:val="none" w:sz="0" w:space="0" w:color="auto"/>
        <w:right w:val="none" w:sz="0" w:space="0" w:color="auto"/>
      </w:divBdr>
    </w:div>
    <w:div w:id="1079211831">
      <w:bodyDiv w:val="1"/>
      <w:marLeft w:val="0"/>
      <w:marRight w:val="0"/>
      <w:marTop w:val="0"/>
      <w:marBottom w:val="0"/>
      <w:divBdr>
        <w:top w:val="none" w:sz="0" w:space="0" w:color="auto"/>
        <w:left w:val="none" w:sz="0" w:space="0" w:color="auto"/>
        <w:bottom w:val="none" w:sz="0" w:space="0" w:color="auto"/>
        <w:right w:val="none" w:sz="0" w:space="0" w:color="auto"/>
      </w:divBdr>
    </w:div>
    <w:div w:id="1081103850">
      <w:bodyDiv w:val="1"/>
      <w:marLeft w:val="0"/>
      <w:marRight w:val="0"/>
      <w:marTop w:val="0"/>
      <w:marBottom w:val="0"/>
      <w:divBdr>
        <w:top w:val="none" w:sz="0" w:space="0" w:color="auto"/>
        <w:left w:val="none" w:sz="0" w:space="0" w:color="auto"/>
        <w:bottom w:val="none" w:sz="0" w:space="0" w:color="auto"/>
        <w:right w:val="none" w:sz="0" w:space="0" w:color="auto"/>
      </w:divBdr>
    </w:div>
    <w:div w:id="1084182290">
      <w:bodyDiv w:val="1"/>
      <w:marLeft w:val="0"/>
      <w:marRight w:val="0"/>
      <w:marTop w:val="0"/>
      <w:marBottom w:val="0"/>
      <w:divBdr>
        <w:top w:val="none" w:sz="0" w:space="0" w:color="auto"/>
        <w:left w:val="none" w:sz="0" w:space="0" w:color="auto"/>
        <w:bottom w:val="none" w:sz="0" w:space="0" w:color="auto"/>
        <w:right w:val="none" w:sz="0" w:space="0" w:color="auto"/>
      </w:divBdr>
    </w:div>
    <w:div w:id="1084375539">
      <w:bodyDiv w:val="1"/>
      <w:marLeft w:val="0"/>
      <w:marRight w:val="0"/>
      <w:marTop w:val="0"/>
      <w:marBottom w:val="0"/>
      <w:divBdr>
        <w:top w:val="none" w:sz="0" w:space="0" w:color="auto"/>
        <w:left w:val="none" w:sz="0" w:space="0" w:color="auto"/>
        <w:bottom w:val="none" w:sz="0" w:space="0" w:color="auto"/>
        <w:right w:val="none" w:sz="0" w:space="0" w:color="auto"/>
      </w:divBdr>
    </w:div>
    <w:div w:id="1086077970">
      <w:bodyDiv w:val="1"/>
      <w:marLeft w:val="0"/>
      <w:marRight w:val="0"/>
      <w:marTop w:val="0"/>
      <w:marBottom w:val="0"/>
      <w:divBdr>
        <w:top w:val="none" w:sz="0" w:space="0" w:color="auto"/>
        <w:left w:val="none" w:sz="0" w:space="0" w:color="auto"/>
        <w:bottom w:val="none" w:sz="0" w:space="0" w:color="auto"/>
        <w:right w:val="none" w:sz="0" w:space="0" w:color="auto"/>
      </w:divBdr>
    </w:div>
    <w:div w:id="1099057589">
      <w:bodyDiv w:val="1"/>
      <w:marLeft w:val="0"/>
      <w:marRight w:val="0"/>
      <w:marTop w:val="0"/>
      <w:marBottom w:val="0"/>
      <w:divBdr>
        <w:top w:val="none" w:sz="0" w:space="0" w:color="auto"/>
        <w:left w:val="none" w:sz="0" w:space="0" w:color="auto"/>
        <w:bottom w:val="none" w:sz="0" w:space="0" w:color="auto"/>
        <w:right w:val="none" w:sz="0" w:space="0" w:color="auto"/>
      </w:divBdr>
    </w:div>
    <w:div w:id="1101683987">
      <w:bodyDiv w:val="1"/>
      <w:marLeft w:val="0"/>
      <w:marRight w:val="0"/>
      <w:marTop w:val="0"/>
      <w:marBottom w:val="0"/>
      <w:divBdr>
        <w:top w:val="none" w:sz="0" w:space="0" w:color="auto"/>
        <w:left w:val="none" w:sz="0" w:space="0" w:color="auto"/>
        <w:bottom w:val="none" w:sz="0" w:space="0" w:color="auto"/>
        <w:right w:val="none" w:sz="0" w:space="0" w:color="auto"/>
      </w:divBdr>
    </w:div>
    <w:div w:id="1104768127">
      <w:bodyDiv w:val="1"/>
      <w:marLeft w:val="0"/>
      <w:marRight w:val="0"/>
      <w:marTop w:val="0"/>
      <w:marBottom w:val="0"/>
      <w:divBdr>
        <w:top w:val="none" w:sz="0" w:space="0" w:color="auto"/>
        <w:left w:val="none" w:sz="0" w:space="0" w:color="auto"/>
        <w:bottom w:val="none" w:sz="0" w:space="0" w:color="auto"/>
        <w:right w:val="none" w:sz="0" w:space="0" w:color="auto"/>
      </w:divBdr>
    </w:div>
    <w:div w:id="1108817415">
      <w:bodyDiv w:val="1"/>
      <w:marLeft w:val="0"/>
      <w:marRight w:val="0"/>
      <w:marTop w:val="0"/>
      <w:marBottom w:val="0"/>
      <w:divBdr>
        <w:top w:val="none" w:sz="0" w:space="0" w:color="auto"/>
        <w:left w:val="none" w:sz="0" w:space="0" w:color="auto"/>
        <w:bottom w:val="none" w:sz="0" w:space="0" w:color="auto"/>
        <w:right w:val="none" w:sz="0" w:space="0" w:color="auto"/>
      </w:divBdr>
    </w:div>
    <w:div w:id="1109010620">
      <w:bodyDiv w:val="1"/>
      <w:marLeft w:val="0"/>
      <w:marRight w:val="0"/>
      <w:marTop w:val="0"/>
      <w:marBottom w:val="0"/>
      <w:divBdr>
        <w:top w:val="none" w:sz="0" w:space="0" w:color="auto"/>
        <w:left w:val="none" w:sz="0" w:space="0" w:color="auto"/>
        <w:bottom w:val="none" w:sz="0" w:space="0" w:color="auto"/>
        <w:right w:val="none" w:sz="0" w:space="0" w:color="auto"/>
      </w:divBdr>
    </w:div>
    <w:div w:id="1110583626">
      <w:bodyDiv w:val="1"/>
      <w:marLeft w:val="0"/>
      <w:marRight w:val="0"/>
      <w:marTop w:val="0"/>
      <w:marBottom w:val="0"/>
      <w:divBdr>
        <w:top w:val="none" w:sz="0" w:space="0" w:color="auto"/>
        <w:left w:val="none" w:sz="0" w:space="0" w:color="auto"/>
        <w:bottom w:val="none" w:sz="0" w:space="0" w:color="auto"/>
        <w:right w:val="none" w:sz="0" w:space="0" w:color="auto"/>
      </w:divBdr>
    </w:div>
    <w:div w:id="1110974651">
      <w:bodyDiv w:val="1"/>
      <w:marLeft w:val="0"/>
      <w:marRight w:val="0"/>
      <w:marTop w:val="0"/>
      <w:marBottom w:val="0"/>
      <w:divBdr>
        <w:top w:val="none" w:sz="0" w:space="0" w:color="auto"/>
        <w:left w:val="none" w:sz="0" w:space="0" w:color="auto"/>
        <w:bottom w:val="none" w:sz="0" w:space="0" w:color="auto"/>
        <w:right w:val="none" w:sz="0" w:space="0" w:color="auto"/>
      </w:divBdr>
    </w:div>
    <w:div w:id="1111514949">
      <w:bodyDiv w:val="1"/>
      <w:marLeft w:val="0"/>
      <w:marRight w:val="0"/>
      <w:marTop w:val="0"/>
      <w:marBottom w:val="0"/>
      <w:divBdr>
        <w:top w:val="none" w:sz="0" w:space="0" w:color="auto"/>
        <w:left w:val="none" w:sz="0" w:space="0" w:color="auto"/>
        <w:bottom w:val="none" w:sz="0" w:space="0" w:color="auto"/>
        <w:right w:val="none" w:sz="0" w:space="0" w:color="auto"/>
      </w:divBdr>
    </w:div>
    <w:div w:id="1113402952">
      <w:bodyDiv w:val="1"/>
      <w:marLeft w:val="0"/>
      <w:marRight w:val="0"/>
      <w:marTop w:val="0"/>
      <w:marBottom w:val="0"/>
      <w:divBdr>
        <w:top w:val="none" w:sz="0" w:space="0" w:color="auto"/>
        <w:left w:val="none" w:sz="0" w:space="0" w:color="auto"/>
        <w:bottom w:val="none" w:sz="0" w:space="0" w:color="auto"/>
        <w:right w:val="none" w:sz="0" w:space="0" w:color="auto"/>
      </w:divBdr>
    </w:div>
    <w:div w:id="1120344281">
      <w:bodyDiv w:val="1"/>
      <w:marLeft w:val="0"/>
      <w:marRight w:val="0"/>
      <w:marTop w:val="0"/>
      <w:marBottom w:val="0"/>
      <w:divBdr>
        <w:top w:val="none" w:sz="0" w:space="0" w:color="auto"/>
        <w:left w:val="none" w:sz="0" w:space="0" w:color="auto"/>
        <w:bottom w:val="none" w:sz="0" w:space="0" w:color="auto"/>
        <w:right w:val="none" w:sz="0" w:space="0" w:color="auto"/>
      </w:divBdr>
    </w:div>
    <w:div w:id="1120564034">
      <w:bodyDiv w:val="1"/>
      <w:marLeft w:val="0"/>
      <w:marRight w:val="0"/>
      <w:marTop w:val="0"/>
      <w:marBottom w:val="0"/>
      <w:divBdr>
        <w:top w:val="none" w:sz="0" w:space="0" w:color="auto"/>
        <w:left w:val="none" w:sz="0" w:space="0" w:color="auto"/>
        <w:bottom w:val="none" w:sz="0" w:space="0" w:color="auto"/>
        <w:right w:val="none" w:sz="0" w:space="0" w:color="auto"/>
      </w:divBdr>
    </w:div>
    <w:div w:id="1128737790">
      <w:bodyDiv w:val="1"/>
      <w:marLeft w:val="0"/>
      <w:marRight w:val="0"/>
      <w:marTop w:val="0"/>
      <w:marBottom w:val="0"/>
      <w:divBdr>
        <w:top w:val="none" w:sz="0" w:space="0" w:color="auto"/>
        <w:left w:val="none" w:sz="0" w:space="0" w:color="auto"/>
        <w:bottom w:val="none" w:sz="0" w:space="0" w:color="auto"/>
        <w:right w:val="none" w:sz="0" w:space="0" w:color="auto"/>
      </w:divBdr>
    </w:div>
    <w:div w:id="1130130858">
      <w:bodyDiv w:val="1"/>
      <w:marLeft w:val="0"/>
      <w:marRight w:val="0"/>
      <w:marTop w:val="0"/>
      <w:marBottom w:val="0"/>
      <w:divBdr>
        <w:top w:val="none" w:sz="0" w:space="0" w:color="auto"/>
        <w:left w:val="none" w:sz="0" w:space="0" w:color="auto"/>
        <w:bottom w:val="none" w:sz="0" w:space="0" w:color="auto"/>
        <w:right w:val="none" w:sz="0" w:space="0" w:color="auto"/>
      </w:divBdr>
    </w:div>
    <w:div w:id="1130247937">
      <w:bodyDiv w:val="1"/>
      <w:marLeft w:val="0"/>
      <w:marRight w:val="0"/>
      <w:marTop w:val="0"/>
      <w:marBottom w:val="0"/>
      <w:divBdr>
        <w:top w:val="none" w:sz="0" w:space="0" w:color="auto"/>
        <w:left w:val="none" w:sz="0" w:space="0" w:color="auto"/>
        <w:bottom w:val="none" w:sz="0" w:space="0" w:color="auto"/>
        <w:right w:val="none" w:sz="0" w:space="0" w:color="auto"/>
      </w:divBdr>
    </w:div>
    <w:div w:id="1132551375">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33981048">
      <w:bodyDiv w:val="1"/>
      <w:marLeft w:val="0"/>
      <w:marRight w:val="0"/>
      <w:marTop w:val="0"/>
      <w:marBottom w:val="0"/>
      <w:divBdr>
        <w:top w:val="none" w:sz="0" w:space="0" w:color="auto"/>
        <w:left w:val="none" w:sz="0" w:space="0" w:color="auto"/>
        <w:bottom w:val="none" w:sz="0" w:space="0" w:color="auto"/>
        <w:right w:val="none" w:sz="0" w:space="0" w:color="auto"/>
      </w:divBdr>
    </w:div>
    <w:div w:id="1134326244">
      <w:bodyDiv w:val="1"/>
      <w:marLeft w:val="0"/>
      <w:marRight w:val="0"/>
      <w:marTop w:val="0"/>
      <w:marBottom w:val="0"/>
      <w:divBdr>
        <w:top w:val="none" w:sz="0" w:space="0" w:color="auto"/>
        <w:left w:val="none" w:sz="0" w:space="0" w:color="auto"/>
        <w:bottom w:val="none" w:sz="0" w:space="0" w:color="auto"/>
        <w:right w:val="none" w:sz="0" w:space="0" w:color="auto"/>
      </w:divBdr>
    </w:div>
    <w:div w:id="1136796968">
      <w:bodyDiv w:val="1"/>
      <w:marLeft w:val="0"/>
      <w:marRight w:val="0"/>
      <w:marTop w:val="0"/>
      <w:marBottom w:val="0"/>
      <w:divBdr>
        <w:top w:val="none" w:sz="0" w:space="0" w:color="auto"/>
        <w:left w:val="none" w:sz="0" w:space="0" w:color="auto"/>
        <w:bottom w:val="none" w:sz="0" w:space="0" w:color="auto"/>
        <w:right w:val="none" w:sz="0" w:space="0" w:color="auto"/>
      </w:divBdr>
    </w:div>
    <w:div w:id="1140462056">
      <w:bodyDiv w:val="1"/>
      <w:marLeft w:val="0"/>
      <w:marRight w:val="0"/>
      <w:marTop w:val="0"/>
      <w:marBottom w:val="0"/>
      <w:divBdr>
        <w:top w:val="none" w:sz="0" w:space="0" w:color="auto"/>
        <w:left w:val="none" w:sz="0" w:space="0" w:color="auto"/>
        <w:bottom w:val="none" w:sz="0" w:space="0" w:color="auto"/>
        <w:right w:val="none" w:sz="0" w:space="0" w:color="auto"/>
      </w:divBdr>
    </w:div>
    <w:div w:id="1140536966">
      <w:bodyDiv w:val="1"/>
      <w:marLeft w:val="0"/>
      <w:marRight w:val="0"/>
      <w:marTop w:val="0"/>
      <w:marBottom w:val="0"/>
      <w:divBdr>
        <w:top w:val="none" w:sz="0" w:space="0" w:color="auto"/>
        <w:left w:val="none" w:sz="0" w:space="0" w:color="auto"/>
        <w:bottom w:val="none" w:sz="0" w:space="0" w:color="auto"/>
        <w:right w:val="none" w:sz="0" w:space="0" w:color="auto"/>
      </w:divBdr>
    </w:div>
    <w:div w:id="1143540438">
      <w:bodyDiv w:val="1"/>
      <w:marLeft w:val="0"/>
      <w:marRight w:val="0"/>
      <w:marTop w:val="0"/>
      <w:marBottom w:val="0"/>
      <w:divBdr>
        <w:top w:val="none" w:sz="0" w:space="0" w:color="auto"/>
        <w:left w:val="none" w:sz="0" w:space="0" w:color="auto"/>
        <w:bottom w:val="none" w:sz="0" w:space="0" w:color="auto"/>
        <w:right w:val="none" w:sz="0" w:space="0" w:color="auto"/>
      </w:divBdr>
    </w:div>
    <w:div w:id="1145439049">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6602806">
      <w:bodyDiv w:val="1"/>
      <w:marLeft w:val="0"/>
      <w:marRight w:val="0"/>
      <w:marTop w:val="0"/>
      <w:marBottom w:val="0"/>
      <w:divBdr>
        <w:top w:val="none" w:sz="0" w:space="0" w:color="auto"/>
        <w:left w:val="none" w:sz="0" w:space="0" w:color="auto"/>
        <w:bottom w:val="none" w:sz="0" w:space="0" w:color="auto"/>
        <w:right w:val="none" w:sz="0" w:space="0" w:color="auto"/>
      </w:divBdr>
    </w:div>
    <w:div w:id="1158182932">
      <w:bodyDiv w:val="1"/>
      <w:marLeft w:val="0"/>
      <w:marRight w:val="0"/>
      <w:marTop w:val="0"/>
      <w:marBottom w:val="0"/>
      <w:divBdr>
        <w:top w:val="none" w:sz="0" w:space="0" w:color="auto"/>
        <w:left w:val="none" w:sz="0" w:space="0" w:color="auto"/>
        <w:bottom w:val="none" w:sz="0" w:space="0" w:color="auto"/>
        <w:right w:val="none" w:sz="0" w:space="0" w:color="auto"/>
      </w:divBdr>
    </w:div>
    <w:div w:id="1161963063">
      <w:bodyDiv w:val="1"/>
      <w:marLeft w:val="0"/>
      <w:marRight w:val="0"/>
      <w:marTop w:val="0"/>
      <w:marBottom w:val="0"/>
      <w:divBdr>
        <w:top w:val="none" w:sz="0" w:space="0" w:color="auto"/>
        <w:left w:val="none" w:sz="0" w:space="0" w:color="auto"/>
        <w:bottom w:val="none" w:sz="0" w:space="0" w:color="auto"/>
        <w:right w:val="none" w:sz="0" w:space="0" w:color="auto"/>
      </w:divBdr>
    </w:div>
    <w:div w:id="1162892022">
      <w:bodyDiv w:val="1"/>
      <w:marLeft w:val="0"/>
      <w:marRight w:val="0"/>
      <w:marTop w:val="0"/>
      <w:marBottom w:val="0"/>
      <w:divBdr>
        <w:top w:val="none" w:sz="0" w:space="0" w:color="auto"/>
        <w:left w:val="none" w:sz="0" w:space="0" w:color="auto"/>
        <w:bottom w:val="none" w:sz="0" w:space="0" w:color="auto"/>
        <w:right w:val="none" w:sz="0" w:space="0" w:color="auto"/>
      </w:divBdr>
    </w:div>
    <w:div w:id="1163161179">
      <w:bodyDiv w:val="1"/>
      <w:marLeft w:val="0"/>
      <w:marRight w:val="0"/>
      <w:marTop w:val="0"/>
      <w:marBottom w:val="0"/>
      <w:divBdr>
        <w:top w:val="none" w:sz="0" w:space="0" w:color="auto"/>
        <w:left w:val="none" w:sz="0" w:space="0" w:color="auto"/>
        <w:bottom w:val="none" w:sz="0" w:space="0" w:color="auto"/>
        <w:right w:val="none" w:sz="0" w:space="0" w:color="auto"/>
      </w:divBdr>
    </w:div>
    <w:div w:id="1166826975">
      <w:bodyDiv w:val="1"/>
      <w:marLeft w:val="0"/>
      <w:marRight w:val="0"/>
      <w:marTop w:val="0"/>
      <w:marBottom w:val="0"/>
      <w:divBdr>
        <w:top w:val="none" w:sz="0" w:space="0" w:color="auto"/>
        <w:left w:val="none" w:sz="0" w:space="0" w:color="auto"/>
        <w:bottom w:val="none" w:sz="0" w:space="0" w:color="auto"/>
        <w:right w:val="none" w:sz="0" w:space="0" w:color="auto"/>
      </w:divBdr>
    </w:div>
    <w:div w:id="1167595345">
      <w:bodyDiv w:val="1"/>
      <w:marLeft w:val="0"/>
      <w:marRight w:val="0"/>
      <w:marTop w:val="0"/>
      <w:marBottom w:val="0"/>
      <w:divBdr>
        <w:top w:val="none" w:sz="0" w:space="0" w:color="auto"/>
        <w:left w:val="none" w:sz="0" w:space="0" w:color="auto"/>
        <w:bottom w:val="none" w:sz="0" w:space="0" w:color="auto"/>
        <w:right w:val="none" w:sz="0" w:space="0" w:color="auto"/>
      </w:divBdr>
    </w:div>
    <w:div w:id="1168443166">
      <w:bodyDiv w:val="1"/>
      <w:marLeft w:val="0"/>
      <w:marRight w:val="0"/>
      <w:marTop w:val="0"/>
      <w:marBottom w:val="0"/>
      <w:divBdr>
        <w:top w:val="none" w:sz="0" w:space="0" w:color="auto"/>
        <w:left w:val="none" w:sz="0" w:space="0" w:color="auto"/>
        <w:bottom w:val="none" w:sz="0" w:space="0" w:color="auto"/>
        <w:right w:val="none" w:sz="0" w:space="0" w:color="auto"/>
      </w:divBdr>
    </w:div>
    <w:div w:id="1170490292">
      <w:bodyDiv w:val="1"/>
      <w:marLeft w:val="0"/>
      <w:marRight w:val="0"/>
      <w:marTop w:val="0"/>
      <w:marBottom w:val="0"/>
      <w:divBdr>
        <w:top w:val="none" w:sz="0" w:space="0" w:color="auto"/>
        <w:left w:val="none" w:sz="0" w:space="0" w:color="auto"/>
        <w:bottom w:val="none" w:sz="0" w:space="0" w:color="auto"/>
        <w:right w:val="none" w:sz="0" w:space="0" w:color="auto"/>
      </w:divBdr>
    </w:div>
    <w:div w:id="1173183193">
      <w:bodyDiv w:val="1"/>
      <w:marLeft w:val="0"/>
      <w:marRight w:val="0"/>
      <w:marTop w:val="0"/>
      <w:marBottom w:val="0"/>
      <w:divBdr>
        <w:top w:val="none" w:sz="0" w:space="0" w:color="auto"/>
        <w:left w:val="none" w:sz="0" w:space="0" w:color="auto"/>
        <w:bottom w:val="none" w:sz="0" w:space="0" w:color="auto"/>
        <w:right w:val="none" w:sz="0" w:space="0" w:color="auto"/>
      </w:divBdr>
    </w:div>
    <w:div w:id="1180463224">
      <w:bodyDiv w:val="1"/>
      <w:marLeft w:val="0"/>
      <w:marRight w:val="0"/>
      <w:marTop w:val="0"/>
      <w:marBottom w:val="0"/>
      <w:divBdr>
        <w:top w:val="none" w:sz="0" w:space="0" w:color="auto"/>
        <w:left w:val="none" w:sz="0" w:space="0" w:color="auto"/>
        <w:bottom w:val="none" w:sz="0" w:space="0" w:color="auto"/>
        <w:right w:val="none" w:sz="0" w:space="0" w:color="auto"/>
      </w:divBdr>
    </w:div>
    <w:div w:id="1181965961">
      <w:bodyDiv w:val="1"/>
      <w:marLeft w:val="0"/>
      <w:marRight w:val="0"/>
      <w:marTop w:val="0"/>
      <w:marBottom w:val="0"/>
      <w:divBdr>
        <w:top w:val="none" w:sz="0" w:space="0" w:color="auto"/>
        <w:left w:val="none" w:sz="0" w:space="0" w:color="auto"/>
        <w:bottom w:val="none" w:sz="0" w:space="0" w:color="auto"/>
        <w:right w:val="none" w:sz="0" w:space="0" w:color="auto"/>
      </w:divBdr>
    </w:div>
    <w:div w:id="1183472481">
      <w:bodyDiv w:val="1"/>
      <w:marLeft w:val="0"/>
      <w:marRight w:val="0"/>
      <w:marTop w:val="0"/>
      <w:marBottom w:val="0"/>
      <w:divBdr>
        <w:top w:val="none" w:sz="0" w:space="0" w:color="auto"/>
        <w:left w:val="none" w:sz="0" w:space="0" w:color="auto"/>
        <w:bottom w:val="none" w:sz="0" w:space="0" w:color="auto"/>
        <w:right w:val="none" w:sz="0" w:space="0" w:color="auto"/>
      </w:divBdr>
    </w:div>
    <w:div w:id="1185165955">
      <w:bodyDiv w:val="1"/>
      <w:marLeft w:val="0"/>
      <w:marRight w:val="0"/>
      <w:marTop w:val="0"/>
      <w:marBottom w:val="0"/>
      <w:divBdr>
        <w:top w:val="none" w:sz="0" w:space="0" w:color="auto"/>
        <w:left w:val="none" w:sz="0" w:space="0" w:color="auto"/>
        <w:bottom w:val="none" w:sz="0" w:space="0" w:color="auto"/>
        <w:right w:val="none" w:sz="0" w:space="0" w:color="auto"/>
      </w:divBdr>
    </w:div>
    <w:div w:id="1186019465">
      <w:bodyDiv w:val="1"/>
      <w:marLeft w:val="0"/>
      <w:marRight w:val="0"/>
      <w:marTop w:val="0"/>
      <w:marBottom w:val="0"/>
      <w:divBdr>
        <w:top w:val="none" w:sz="0" w:space="0" w:color="auto"/>
        <w:left w:val="none" w:sz="0" w:space="0" w:color="auto"/>
        <w:bottom w:val="none" w:sz="0" w:space="0" w:color="auto"/>
        <w:right w:val="none" w:sz="0" w:space="0" w:color="auto"/>
      </w:divBdr>
    </w:div>
    <w:div w:id="1188177954">
      <w:bodyDiv w:val="1"/>
      <w:marLeft w:val="0"/>
      <w:marRight w:val="0"/>
      <w:marTop w:val="0"/>
      <w:marBottom w:val="0"/>
      <w:divBdr>
        <w:top w:val="none" w:sz="0" w:space="0" w:color="auto"/>
        <w:left w:val="none" w:sz="0" w:space="0" w:color="auto"/>
        <w:bottom w:val="none" w:sz="0" w:space="0" w:color="auto"/>
        <w:right w:val="none" w:sz="0" w:space="0" w:color="auto"/>
      </w:divBdr>
    </w:div>
    <w:div w:id="1188563104">
      <w:bodyDiv w:val="1"/>
      <w:marLeft w:val="0"/>
      <w:marRight w:val="0"/>
      <w:marTop w:val="0"/>
      <w:marBottom w:val="0"/>
      <w:divBdr>
        <w:top w:val="none" w:sz="0" w:space="0" w:color="auto"/>
        <w:left w:val="none" w:sz="0" w:space="0" w:color="auto"/>
        <w:bottom w:val="none" w:sz="0" w:space="0" w:color="auto"/>
        <w:right w:val="none" w:sz="0" w:space="0" w:color="auto"/>
      </w:divBdr>
    </w:div>
    <w:div w:id="1195581109">
      <w:bodyDiv w:val="1"/>
      <w:marLeft w:val="0"/>
      <w:marRight w:val="0"/>
      <w:marTop w:val="0"/>
      <w:marBottom w:val="0"/>
      <w:divBdr>
        <w:top w:val="none" w:sz="0" w:space="0" w:color="auto"/>
        <w:left w:val="none" w:sz="0" w:space="0" w:color="auto"/>
        <w:bottom w:val="none" w:sz="0" w:space="0" w:color="auto"/>
        <w:right w:val="none" w:sz="0" w:space="0" w:color="auto"/>
      </w:divBdr>
    </w:div>
    <w:div w:id="1197156544">
      <w:bodyDiv w:val="1"/>
      <w:marLeft w:val="0"/>
      <w:marRight w:val="0"/>
      <w:marTop w:val="0"/>
      <w:marBottom w:val="0"/>
      <w:divBdr>
        <w:top w:val="none" w:sz="0" w:space="0" w:color="auto"/>
        <w:left w:val="none" w:sz="0" w:space="0" w:color="auto"/>
        <w:bottom w:val="none" w:sz="0" w:space="0" w:color="auto"/>
        <w:right w:val="none" w:sz="0" w:space="0" w:color="auto"/>
      </w:divBdr>
    </w:div>
    <w:div w:id="1201019713">
      <w:bodyDiv w:val="1"/>
      <w:marLeft w:val="0"/>
      <w:marRight w:val="0"/>
      <w:marTop w:val="0"/>
      <w:marBottom w:val="0"/>
      <w:divBdr>
        <w:top w:val="none" w:sz="0" w:space="0" w:color="auto"/>
        <w:left w:val="none" w:sz="0" w:space="0" w:color="auto"/>
        <w:bottom w:val="none" w:sz="0" w:space="0" w:color="auto"/>
        <w:right w:val="none" w:sz="0" w:space="0" w:color="auto"/>
      </w:divBdr>
    </w:div>
    <w:div w:id="1202206707">
      <w:bodyDiv w:val="1"/>
      <w:marLeft w:val="0"/>
      <w:marRight w:val="0"/>
      <w:marTop w:val="0"/>
      <w:marBottom w:val="0"/>
      <w:divBdr>
        <w:top w:val="none" w:sz="0" w:space="0" w:color="auto"/>
        <w:left w:val="none" w:sz="0" w:space="0" w:color="auto"/>
        <w:bottom w:val="none" w:sz="0" w:space="0" w:color="auto"/>
        <w:right w:val="none" w:sz="0" w:space="0" w:color="auto"/>
      </w:divBdr>
    </w:div>
    <w:div w:id="1209604939">
      <w:bodyDiv w:val="1"/>
      <w:marLeft w:val="0"/>
      <w:marRight w:val="0"/>
      <w:marTop w:val="0"/>
      <w:marBottom w:val="0"/>
      <w:divBdr>
        <w:top w:val="none" w:sz="0" w:space="0" w:color="auto"/>
        <w:left w:val="none" w:sz="0" w:space="0" w:color="auto"/>
        <w:bottom w:val="none" w:sz="0" w:space="0" w:color="auto"/>
        <w:right w:val="none" w:sz="0" w:space="0" w:color="auto"/>
      </w:divBdr>
    </w:div>
    <w:div w:id="1219248868">
      <w:bodyDiv w:val="1"/>
      <w:marLeft w:val="0"/>
      <w:marRight w:val="0"/>
      <w:marTop w:val="0"/>
      <w:marBottom w:val="0"/>
      <w:divBdr>
        <w:top w:val="none" w:sz="0" w:space="0" w:color="auto"/>
        <w:left w:val="none" w:sz="0" w:space="0" w:color="auto"/>
        <w:bottom w:val="none" w:sz="0" w:space="0" w:color="auto"/>
        <w:right w:val="none" w:sz="0" w:space="0" w:color="auto"/>
      </w:divBdr>
    </w:div>
    <w:div w:id="1220826561">
      <w:bodyDiv w:val="1"/>
      <w:marLeft w:val="0"/>
      <w:marRight w:val="0"/>
      <w:marTop w:val="0"/>
      <w:marBottom w:val="0"/>
      <w:divBdr>
        <w:top w:val="none" w:sz="0" w:space="0" w:color="auto"/>
        <w:left w:val="none" w:sz="0" w:space="0" w:color="auto"/>
        <w:bottom w:val="none" w:sz="0" w:space="0" w:color="auto"/>
        <w:right w:val="none" w:sz="0" w:space="0" w:color="auto"/>
      </w:divBdr>
    </w:div>
    <w:div w:id="1223954165">
      <w:bodyDiv w:val="1"/>
      <w:marLeft w:val="0"/>
      <w:marRight w:val="0"/>
      <w:marTop w:val="0"/>
      <w:marBottom w:val="0"/>
      <w:divBdr>
        <w:top w:val="none" w:sz="0" w:space="0" w:color="auto"/>
        <w:left w:val="none" w:sz="0" w:space="0" w:color="auto"/>
        <w:bottom w:val="none" w:sz="0" w:space="0" w:color="auto"/>
        <w:right w:val="none" w:sz="0" w:space="0" w:color="auto"/>
      </w:divBdr>
    </w:div>
    <w:div w:id="1224635114">
      <w:bodyDiv w:val="1"/>
      <w:marLeft w:val="0"/>
      <w:marRight w:val="0"/>
      <w:marTop w:val="0"/>
      <w:marBottom w:val="0"/>
      <w:divBdr>
        <w:top w:val="none" w:sz="0" w:space="0" w:color="auto"/>
        <w:left w:val="none" w:sz="0" w:space="0" w:color="auto"/>
        <w:bottom w:val="none" w:sz="0" w:space="0" w:color="auto"/>
        <w:right w:val="none" w:sz="0" w:space="0" w:color="auto"/>
      </w:divBdr>
    </w:div>
    <w:div w:id="1227105731">
      <w:bodyDiv w:val="1"/>
      <w:marLeft w:val="0"/>
      <w:marRight w:val="0"/>
      <w:marTop w:val="0"/>
      <w:marBottom w:val="0"/>
      <w:divBdr>
        <w:top w:val="none" w:sz="0" w:space="0" w:color="auto"/>
        <w:left w:val="none" w:sz="0" w:space="0" w:color="auto"/>
        <w:bottom w:val="none" w:sz="0" w:space="0" w:color="auto"/>
        <w:right w:val="none" w:sz="0" w:space="0" w:color="auto"/>
      </w:divBdr>
    </w:div>
    <w:div w:id="1227494363">
      <w:bodyDiv w:val="1"/>
      <w:marLeft w:val="0"/>
      <w:marRight w:val="0"/>
      <w:marTop w:val="0"/>
      <w:marBottom w:val="0"/>
      <w:divBdr>
        <w:top w:val="none" w:sz="0" w:space="0" w:color="auto"/>
        <w:left w:val="none" w:sz="0" w:space="0" w:color="auto"/>
        <w:bottom w:val="none" w:sz="0" w:space="0" w:color="auto"/>
        <w:right w:val="none" w:sz="0" w:space="0" w:color="auto"/>
      </w:divBdr>
    </w:div>
    <w:div w:id="1227910814">
      <w:bodyDiv w:val="1"/>
      <w:marLeft w:val="0"/>
      <w:marRight w:val="0"/>
      <w:marTop w:val="0"/>
      <w:marBottom w:val="0"/>
      <w:divBdr>
        <w:top w:val="none" w:sz="0" w:space="0" w:color="auto"/>
        <w:left w:val="none" w:sz="0" w:space="0" w:color="auto"/>
        <w:bottom w:val="none" w:sz="0" w:space="0" w:color="auto"/>
        <w:right w:val="none" w:sz="0" w:space="0" w:color="auto"/>
      </w:divBdr>
    </w:div>
    <w:div w:id="1233152958">
      <w:bodyDiv w:val="1"/>
      <w:marLeft w:val="0"/>
      <w:marRight w:val="0"/>
      <w:marTop w:val="0"/>
      <w:marBottom w:val="0"/>
      <w:divBdr>
        <w:top w:val="none" w:sz="0" w:space="0" w:color="auto"/>
        <w:left w:val="none" w:sz="0" w:space="0" w:color="auto"/>
        <w:bottom w:val="none" w:sz="0" w:space="0" w:color="auto"/>
        <w:right w:val="none" w:sz="0" w:space="0" w:color="auto"/>
      </w:divBdr>
    </w:div>
    <w:div w:id="1237589345">
      <w:bodyDiv w:val="1"/>
      <w:marLeft w:val="0"/>
      <w:marRight w:val="0"/>
      <w:marTop w:val="0"/>
      <w:marBottom w:val="0"/>
      <w:divBdr>
        <w:top w:val="none" w:sz="0" w:space="0" w:color="auto"/>
        <w:left w:val="none" w:sz="0" w:space="0" w:color="auto"/>
        <w:bottom w:val="none" w:sz="0" w:space="0" w:color="auto"/>
        <w:right w:val="none" w:sz="0" w:space="0" w:color="auto"/>
      </w:divBdr>
    </w:div>
    <w:div w:id="1237668414">
      <w:bodyDiv w:val="1"/>
      <w:marLeft w:val="0"/>
      <w:marRight w:val="0"/>
      <w:marTop w:val="0"/>
      <w:marBottom w:val="0"/>
      <w:divBdr>
        <w:top w:val="none" w:sz="0" w:space="0" w:color="auto"/>
        <w:left w:val="none" w:sz="0" w:space="0" w:color="auto"/>
        <w:bottom w:val="none" w:sz="0" w:space="0" w:color="auto"/>
        <w:right w:val="none" w:sz="0" w:space="0" w:color="auto"/>
      </w:divBdr>
    </w:div>
    <w:div w:id="1239830327">
      <w:bodyDiv w:val="1"/>
      <w:marLeft w:val="0"/>
      <w:marRight w:val="0"/>
      <w:marTop w:val="0"/>
      <w:marBottom w:val="0"/>
      <w:divBdr>
        <w:top w:val="none" w:sz="0" w:space="0" w:color="auto"/>
        <w:left w:val="none" w:sz="0" w:space="0" w:color="auto"/>
        <w:bottom w:val="none" w:sz="0" w:space="0" w:color="auto"/>
        <w:right w:val="none" w:sz="0" w:space="0" w:color="auto"/>
      </w:divBdr>
    </w:div>
    <w:div w:id="1243444457">
      <w:bodyDiv w:val="1"/>
      <w:marLeft w:val="0"/>
      <w:marRight w:val="0"/>
      <w:marTop w:val="0"/>
      <w:marBottom w:val="0"/>
      <w:divBdr>
        <w:top w:val="none" w:sz="0" w:space="0" w:color="auto"/>
        <w:left w:val="none" w:sz="0" w:space="0" w:color="auto"/>
        <w:bottom w:val="none" w:sz="0" w:space="0" w:color="auto"/>
        <w:right w:val="none" w:sz="0" w:space="0" w:color="auto"/>
      </w:divBdr>
    </w:div>
    <w:div w:id="1244415594">
      <w:bodyDiv w:val="1"/>
      <w:marLeft w:val="0"/>
      <w:marRight w:val="0"/>
      <w:marTop w:val="0"/>
      <w:marBottom w:val="0"/>
      <w:divBdr>
        <w:top w:val="none" w:sz="0" w:space="0" w:color="auto"/>
        <w:left w:val="none" w:sz="0" w:space="0" w:color="auto"/>
        <w:bottom w:val="none" w:sz="0" w:space="0" w:color="auto"/>
        <w:right w:val="none" w:sz="0" w:space="0" w:color="auto"/>
      </w:divBdr>
    </w:div>
    <w:div w:id="1246845330">
      <w:bodyDiv w:val="1"/>
      <w:marLeft w:val="0"/>
      <w:marRight w:val="0"/>
      <w:marTop w:val="0"/>
      <w:marBottom w:val="0"/>
      <w:divBdr>
        <w:top w:val="none" w:sz="0" w:space="0" w:color="auto"/>
        <w:left w:val="none" w:sz="0" w:space="0" w:color="auto"/>
        <w:bottom w:val="none" w:sz="0" w:space="0" w:color="auto"/>
        <w:right w:val="none" w:sz="0" w:space="0" w:color="auto"/>
      </w:divBdr>
    </w:div>
    <w:div w:id="1247182510">
      <w:bodyDiv w:val="1"/>
      <w:marLeft w:val="0"/>
      <w:marRight w:val="0"/>
      <w:marTop w:val="0"/>
      <w:marBottom w:val="0"/>
      <w:divBdr>
        <w:top w:val="none" w:sz="0" w:space="0" w:color="auto"/>
        <w:left w:val="none" w:sz="0" w:space="0" w:color="auto"/>
        <w:bottom w:val="none" w:sz="0" w:space="0" w:color="auto"/>
        <w:right w:val="none" w:sz="0" w:space="0" w:color="auto"/>
      </w:divBdr>
    </w:div>
    <w:div w:id="1248272599">
      <w:bodyDiv w:val="1"/>
      <w:marLeft w:val="0"/>
      <w:marRight w:val="0"/>
      <w:marTop w:val="0"/>
      <w:marBottom w:val="0"/>
      <w:divBdr>
        <w:top w:val="none" w:sz="0" w:space="0" w:color="auto"/>
        <w:left w:val="none" w:sz="0" w:space="0" w:color="auto"/>
        <w:bottom w:val="none" w:sz="0" w:space="0" w:color="auto"/>
        <w:right w:val="none" w:sz="0" w:space="0" w:color="auto"/>
      </w:divBdr>
    </w:div>
    <w:div w:id="1250964245">
      <w:bodyDiv w:val="1"/>
      <w:marLeft w:val="0"/>
      <w:marRight w:val="0"/>
      <w:marTop w:val="0"/>
      <w:marBottom w:val="0"/>
      <w:divBdr>
        <w:top w:val="none" w:sz="0" w:space="0" w:color="auto"/>
        <w:left w:val="none" w:sz="0" w:space="0" w:color="auto"/>
        <w:bottom w:val="none" w:sz="0" w:space="0" w:color="auto"/>
        <w:right w:val="none" w:sz="0" w:space="0" w:color="auto"/>
      </w:divBdr>
    </w:div>
    <w:div w:id="1255046334">
      <w:bodyDiv w:val="1"/>
      <w:marLeft w:val="0"/>
      <w:marRight w:val="0"/>
      <w:marTop w:val="0"/>
      <w:marBottom w:val="0"/>
      <w:divBdr>
        <w:top w:val="none" w:sz="0" w:space="0" w:color="auto"/>
        <w:left w:val="none" w:sz="0" w:space="0" w:color="auto"/>
        <w:bottom w:val="none" w:sz="0" w:space="0" w:color="auto"/>
        <w:right w:val="none" w:sz="0" w:space="0" w:color="auto"/>
      </w:divBdr>
    </w:div>
    <w:div w:id="1255431510">
      <w:bodyDiv w:val="1"/>
      <w:marLeft w:val="0"/>
      <w:marRight w:val="0"/>
      <w:marTop w:val="0"/>
      <w:marBottom w:val="0"/>
      <w:divBdr>
        <w:top w:val="none" w:sz="0" w:space="0" w:color="auto"/>
        <w:left w:val="none" w:sz="0" w:space="0" w:color="auto"/>
        <w:bottom w:val="none" w:sz="0" w:space="0" w:color="auto"/>
        <w:right w:val="none" w:sz="0" w:space="0" w:color="auto"/>
      </w:divBdr>
    </w:div>
    <w:div w:id="1256790357">
      <w:bodyDiv w:val="1"/>
      <w:marLeft w:val="0"/>
      <w:marRight w:val="0"/>
      <w:marTop w:val="0"/>
      <w:marBottom w:val="0"/>
      <w:divBdr>
        <w:top w:val="none" w:sz="0" w:space="0" w:color="auto"/>
        <w:left w:val="none" w:sz="0" w:space="0" w:color="auto"/>
        <w:bottom w:val="none" w:sz="0" w:space="0" w:color="auto"/>
        <w:right w:val="none" w:sz="0" w:space="0" w:color="auto"/>
      </w:divBdr>
    </w:div>
    <w:div w:id="1256792283">
      <w:bodyDiv w:val="1"/>
      <w:marLeft w:val="0"/>
      <w:marRight w:val="0"/>
      <w:marTop w:val="0"/>
      <w:marBottom w:val="0"/>
      <w:divBdr>
        <w:top w:val="none" w:sz="0" w:space="0" w:color="auto"/>
        <w:left w:val="none" w:sz="0" w:space="0" w:color="auto"/>
        <w:bottom w:val="none" w:sz="0" w:space="0" w:color="auto"/>
        <w:right w:val="none" w:sz="0" w:space="0" w:color="auto"/>
      </w:divBdr>
    </w:div>
    <w:div w:id="1257909738">
      <w:bodyDiv w:val="1"/>
      <w:marLeft w:val="0"/>
      <w:marRight w:val="0"/>
      <w:marTop w:val="0"/>
      <w:marBottom w:val="0"/>
      <w:divBdr>
        <w:top w:val="none" w:sz="0" w:space="0" w:color="auto"/>
        <w:left w:val="none" w:sz="0" w:space="0" w:color="auto"/>
        <w:bottom w:val="none" w:sz="0" w:space="0" w:color="auto"/>
        <w:right w:val="none" w:sz="0" w:space="0" w:color="auto"/>
      </w:divBdr>
    </w:div>
    <w:div w:id="1260137919">
      <w:bodyDiv w:val="1"/>
      <w:marLeft w:val="0"/>
      <w:marRight w:val="0"/>
      <w:marTop w:val="0"/>
      <w:marBottom w:val="0"/>
      <w:divBdr>
        <w:top w:val="none" w:sz="0" w:space="0" w:color="auto"/>
        <w:left w:val="none" w:sz="0" w:space="0" w:color="auto"/>
        <w:bottom w:val="none" w:sz="0" w:space="0" w:color="auto"/>
        <w:right w:val="none" w:sz="0" w:space="0" w:color="auto"/>
      </w:divBdr>
    </w:div>
    <w:div w:id="1263613831">
      <w:bodyDiv w:val="1"/>
      <w:marLeft w:val="0"/>
      <w:marRight w:val="0"/>
      <w:marTop w:val="0"/>
      <w:marBottom w:val="0"/>
      <w:divBdr>
        <w:top w:val="none" w:sz="0" w:space="0" w:color="auto"/>
        <w:left w:val="none" w:sz="0" w:space="0" w:color="auto"/>
        <w:bottom w:val="none" w:sz="0" w:space="0" w:color="auto"/>
        <w:right w:val="none" w:sz="0" w:space="0" w:color="auto"/>
      </w:divBdr>
    </w:div>
    <w:div w:id="1266614748">
      <w:bodyDiv w:val="1"/>
      <w:marLeft w:val="0"/>
      <w:marRight w:val="0"/>
      <w:marTop w:val="0"/>
      <w:marBottom w:val="0"/>
      <w:divBdr>
        <w:top w:val="none" w:sz="0" w:space="0" w:color="auto"/>
        <w:left w:val="none" w:sz="0" w:space="0" w:color="auto"/>
        <w:bottom w:val="none" w:sz="0" w:space="0" w:color="auto"/>
        <w:right w:val="none" w:sz="0" w:space="0" w:color="auto"/>
      </w:divBdr>
    </w:div>
    <w:div w:id="1267732449">
      <w:bodyDiv w:val="1"/>
      <w:marLeft w:val="0"/>
      <w:marRight w:val="0"/>
      <w:marTop w:val="0"/>
      <w:marBottom w:val="0"/>
      <w:divBdr>
        <w:top w:val="none" w:sz="0" w:space="0" w:color="auto"/>
        <w:left w:val="none" w:sz="0" w:space="0" w:color="auto"/>
        <w:bottom w:val="none" w:sz="0" w:space="0" w:color="auto"/>
        <w:right w:val="none" w:sz="0" w:space="0" w:color="auto"/>
      </w:divBdr>
    </w:div>
    <w:div w:id="1271547900">
      <w:bodyDiv w:val="1"/>
      <w:marLeft w:val="0"/>
      <w:marRight w:val="0"/>
      <w:marTop w:val="0"/>
      <w:marBottom w:val="0"/>
      <w:divBdr>
        <w:top w:val="none" w:sz="0" w:space="0" w:color="auto"/>
        <w:left w:val="none" w:sz="0" w:space="0" w:color="auto"/>
        <w:bottom w:val="none" w:sz="0" w:space="0" w:color="auto"/>
        <w:right w:val="none" w:sz="0" w:space="0" w:color="auto"/>
      </w:divBdr>
    </w:div>
    <w:div w:id="1273393699">
      <w:bodyDiv w:val="1"/>
      <w:marLeft w:val="0"/>
      <w:marRight w:val="0"/>
      <w:marTop w:val="0"/>
      <w:marBottom w:val="0"/>
      <w:divBdr>
        <w:top w:val="none" w:sz="0" w:space="0" w:color="auto"/>
        <w:left w:val="none" w:sz="0" w:space="0" w:color="auto"/>
        <w:bottom w:val="none" w:sz="0" w:space="0" w:color="auto"/>
        <w:right w:val="none" w:sz="0" w:space="0" w:color="auto"/>
      </w:divBdr>
    </w:div>
    <w:div w:id="1285649229">
      <w:bodyDiv w:val="1"/>
      <w:marLeft w:val="0"/>
      <w:marRight w:val="0"/>
      <w:marTop w:val="0"/>
      <w:marBottom w:val="0"/>
      <w:divBdr>
        <w:top w:val="none" w:sz="0" w:space="0" w:color="auto"/>
        <w:left w:val="none" w:sz="0" w:space="0" w:color="auto"/>
        <w:bottom w:val="none" w:sz="0" w:space="0" w:color="auto"/>
        <w:right w:val="none" w:sz="0" w:space="0" w:color="auto"/>
      </w:divBdr>
    </w:div>
    <w:div w:id="1286497571">
      <w:bodyDiv w:val="1"/>
      <w:marLeft w:val="0"/>
      <w:marRight w:val="0"/>
      <w:marTop w:val="0"/>
      <w:marBottom w:val="0"/>
      <w:divBdr>
        <w:top w:val="none" w:sz="0" w:space="0" w:color="auto"/>
        <w:left w:val="none" w:sz="0" w:space="0" w:color="auto"/>
        <w:bottom w:val="none" w:sz="0" w:space="0" w:color="auto"/>
        <w:right w:val="none" w:sz="0" w:space="0" w:color="auto"/>
      </w:divBdr>
    </w:div>
    <w:div w:id="1287664433">
      <w:bodyDiv w:val="1"/>
      <w:marLeft w:val="0"/>
      <w:marRight w:val="0"/>
      <w:marTop w:val="0"/>
      <w:marBottom w:val="0"/>
      <w:divBdr>
        <w:top w:val="none" w:sz="0" w:space="0" w:color="auto"/>
        <w:left w:val="none" w:sz="0" w:space="0" w:color="auto"/>
        <w:bottom w:val="none" w:sz="0" w:space="0" w:color="auto"/>
        <w:right w:val="none" w:sz="0" w:space="0" w:color="auto"/>
      </w:divBdr>
    </w:div>
    <w:div w:id="1295910996">
      <w:bodyDiv w:val="1"/>
      <w:marLeft w:val="0"/>
      <w:marRight w:val="0"/>
      <w:marTop w:val="0"/>
      <w:marBottom w:val="0"/>
      <w:divBdr>
        <w:top w:val="none" w:sz="0" w:space="0" w:color="auto"/>
        <w:left w:val="none" w:sz="0" w:space="0" w:color="auto"/>
        <w:bottom w:val="none" w:sz="0" w:space="0" w:color="auto"/>
        <w:right w:val="none" w:sz="0" w:space="0" w:color="auto"/>
      </w:divBdr>
    </w:div>
    <w:div w:id="1297416863">
      <w:bodyDiv w:val="1"/>
      <w:marLeft w:val="0"/>
      <w:marRight w:val="0"/>
      <w:marTop w:val="0"/>
      <w:marBottom w:val="0"/>
      <w:divBdr>
        <w:top w:val="none" w:sz="0" w:space="0" w:color="auto"/>
        <w:left w:val="none" w:sz="0" w:space="0" w:color="auto"/>
        <w:bottom w:val="none" w:sz="0" w:space="0" w:color="auto"/>
        <w:right w:val="none" w:sz="0" w:space="0" w:color="auto"/>
      </w:divBdr>
    </w:div>
    <w:div w:id="1301492987">
      <w:bodyDiv w:val="1"/>
      <w:marLeft w:val="0"/>
      <w:marRight w:val="0"/>
      <w:marTop w:val="0"/>
      <w:marBottom w:val="0"/>
      <w:divBdr>
        <w:top w:val="none" w:sz="0" w:space="0" w:color="auto"/>
        <w:left w:val="none" w:sz="0" w:space="0" w:color="auto"/>
        <w:bottom w:val="none" w:sz="0" w:space="0" w:color="auto"/>
        <w:right w:val="none" w:sz="0" w:space="0" w:color="auto"/>
      </w:divBdr>
    </w:div>
    <w:div w:id="1303078527">
      <w:bodyDiv w:val="1"/>
      <w:marLeft w:val="0"/>
      <w:marRight w:val="0"/>
      <w:marTop w:val="0"/>
      <w:marBottom w:val="0"/>
      <w:divBdr>
        <w:top w:val="none" w:sz="0" w:space="0" w:color="auto"/>
        <w:left w:val="none" w:sz="0" w:space="0" w:color="auto"/>
        <w:bottom w:val="none" w:sz="0" w:space="0" w:color="auto"/>
        <w:right w:val="none" w:sz="0" w:space="0" w:color="auto"/>
      </w:divBdr>
    </w:div>
    <w:div w:id="1303582832">
      <w:bodyDiv w:val="1"/>
      <w:marLeft w:val="0"/>
      <w:marRight w:val="0"/>
      <w:marTop w:val="0"/>
      <w:marBottom w:val="0"/>
      <w:divBdr>
        <w:top w:val="none" w:sz="0" w:space="0" w:color="auto"/>
        <w:left w:val="none" w:sz="0" w:space="0" w:color="auto"/>
        <w:bottom w:val="none" w:sz="0" w:space="0" w:color="auto"/>
        <w:right w:val="none" w:sz="0" w:space="0" w:color="auto"/>
      </w:divBdr>
    </w:div>
    <w:div w:id="1303657101">
      <w:bodyDiv w:val="1"/>
      <w:marLeft w:val="0"/>
      <w:marRight w:val="0"/>
      <w:marTop w:val="0"/>
      <w:marBottom w:val="0"/>
      <w:divBdr>
        <w:top w:val="none" w:sz="0" w:space="0" w:color="auto"/>
        <w:left w:val="none" w:sz="0" w:space="0" w:color="auto"/>
        <w:bottom w:val="none" w:sz="0" w:space="0" w:color="auto"/>
        <w:right w:val="none" w:sz="0" w:space="0" w:color="auto"/>
      </w:divBdr>
    </w:div>
    <w:div w:id="1304041502">
      <w:bodyDiv w:val="1"/>
      <w:marLeft w:val="0"/>
      <w:marRight w:val="0"/>
      <w:marTop w:val="0"/>
      <w:marBottom w:val="0"/>
      <w:divBdr>
        <w:top w:val="none" w:sz="0" w:space="0" w:color="auto"/>
        <w:left w:val="none" w:sz="0" w:space="0" w:color="auto"/>
        <w:bottom w:val="none" w:sz="0" w:space="0" w:color="auto"/>
        <w:right w:val="none" w:sz="0" w:space="0" w:color="auto"/>
      </w:divBdr>
    </w:div>
    <w:div w:id="1305550468">
      <w:bodyDiv w:val="1"/>
      <w:marLeft w:val="0"/>
      <w:marRight w:val="0"/>
      <w:marTop w:val="0"/>
      <w:marBottom w:val="0"/>
      <w:divBdr>
        <w:top w:val="none" w:sz="0" w:space="0" w:color="auto"/>
        <w:left w:val="none" w:sz="0" w:space="0" w:color="auto"/>
        <w:bottom w:val="none" w:sz="0" w:space="0" w:color="auto"/>
        <w:right w:val="none" w:sz="0" w:space="0" w:color="auto"/>
      </w:divBdr>
    </w:div>
    <w:div w:id="1306157098">
      <w:bodyDiv w:val="1"/>
      <w:marLeft w:val="0"/>
      <w:marRight w:val="0"/>
      <w:marTop w:val="0"/>
      <w:marBottom w:val="0"/>
      <w:divBdr>
        <w:top w:val="none" w:sz="0" w:space="0" w:color="auto"/>
        <w:left w:val="none" w:sz="0" w:space="0" w:color="auto"/>
        <w:bottom w:val="none" w:sz="0" w:space="0" w:color="auto"/>
        <w:right w:val="none" w:sz="0" w:space="0" w:color="auto"/>
      </w:divBdr>
    </w:div>
    <w:div w:id="1307659183">
      <w:bodyDiv w:val="1"/>
      <w:marLeft w:val="0"/>
      <w:marRight w:val="0"/>
      <w:marTop w:val="0"/>
      <w:marBottom w:val="0"/>
      <w:divBdr>
        <w:top w:val="none" w:sz="0" w:space="0" w:color="auto"/>
        <w:left w:val="none" w:sz="0" w:space="0" w:color="auto"/>
        <w:bottom w:val="none" w:sz="0" w:space="0" w:color="auto"/>
        <w:right w:val="none" w:sz="0" w:space="0" w:color="auto"/>
      </w:divBdr>
    </w:div>
    <w:div w:id="1314065893">
      <w:bodyDiv w:val="1"/>
      <w:marLeft w:val="0"/>
      <w:marRight w:val="0"/>
      <w:marTop w:val="0"/>
      <w:marBottom w:val="0"/>
      <w:divBdr>
        <w:top w:val="none" w:sz="0" w:space="0" w:color="auto"/>
        <w:left w:val="none" w:sz="0" w:space="0" w:color="auto"/>
        <w:bottom w:val="none" w:sz="0" w:space="0" w:color="auto"/>
        <w:right w:val="none" w:sz="0" w:space="0" w:color="auto"/>
      </w:divBdr>
    </w:div>
    <w:div w:id="1314870874">
      <w:bodyDiv w:val="1"/>
      <w:marLeft w:val="0"/>
      <w:marRight w:val="0"/>
      <w:marTop w:val="0"/>
      <w:marBottom w:val="0"/>
      <w:divBdr>
        <w:top w:val="none" w:sz="0" w:space="0" w:color="auto"/>
        <w:left w:val="none" w:sz="0" w:space="0" w:color="auto"/>
        <w:bottom w:val="none" w:sz="0" w:space="0" w:color="auto"/>
        <w:right w:val="none" w:sz="0" w:space="0" w:color="auto"/>
      </w:divBdr>
    </w:div>
    <w:div w:id="1318027143">
      <w:bodyDiv w:val="1"/>
      <w:marLeft w:val="0"/>
      <w:marRight w:val="0"/>
      <w:marTop w:val="0"/>
      <w:marBottom w:val="0"/>
      <w:divBdr>
        <w:top w:val="none" w:sz="0" w:space="0" w:color="auto"/>
        <w:left w:val="none" w:sz="0" w:space="0" w:color="auto"/>
        <w:bottom w:val="none" w:sz="0" w:space="0" w:color="auto"/>
        <w:right w:val="none" w:sz="0" w:space="0" w:color="auto"/>
      </w:divBdr>
    </w:div>
    <w:div w:id="1318263223">
      <w:bodyDiv w:val="1"/>
      <w:marLeft w:val="0"/>
      <w:marRight w:val="0"/>
      <w:marTop w:val="0"/>
      <w:marBottom w:val="0"/>
      <w:divBdr>
        <w:top w:val="none" w:sz="0" w:space="0" w:color="auto"/>
        <w:left w:val="none" w:sz="0" w:space="0" w:color="auto"/>
        <w:bottom w:val="none" w:sz="0" w:space="0" w:color="auto"/>
        <w:right w:val="none" w:sz="0" w:space="0" w:color="auto"/>
      </w:divBdr>
    </w:div>
    <w:div w:id="1318725564">
      <w:bodyDiv w:val="1"/>
      <w:marLeft w:val="0"/>
      <w:marRight w:val="0"/>
      <w:marTop w:val="0"/>
      <w:marBottom w:val="0"/>
      <w:divBdr>
        <w:top w:val="none" w:sz="0" w:space="0" w:color="auto"/>
        <w:left w:val="none" w:sz="0" w:space="0" w:color="auto"/>
        <w:bottom w:val="none" w:sz="0" w:space="0" w:color="auto"/>
        <w:right w:val="none" w:sz="0" w:space="0" w:color="auto"/>
      </w:divBdr>
    </w:div>
    <w:div w:id="1324888847">
      <w:bodyDiv w:val="1"/>
      <w:marLeft w:val="0"/>
      <w:marRight w:val="0"/>
      <w:marTop w:val="0"/>
      <w:marBottom w:val="0"/>
      <w:divBdr>
        <w:top w:val="none" w:sz="0" w:space="0" w:color="auto"/>
        <w:left w:val="none" w:sz="0" w:space="0" w:color="auto"/>
        <w:bottom w:val="none" w:sz="0" w:space="0" w:color="auto"/>
        <w:right w:val="none" w:sz="0" w:space="0" w:color="auto"/>
      </w:divBdr>
    </w:div>
    <w:div w:id="1334453023">
      <w:bodyDiv w:val="1"/>
      <w:marLeft w:val="0"/>
      <w:marRight w:val="0"/>
      <w:marTop w:val="0"/>
      <w:marBottom w:val="0"/>
      <w:divBdr>
        <w:top w:val="none" w:sz="0" w:space="0" w:color="auto"/>
        <w:left w:val="none" w:sz="0" w:space="0" w:color="auto"/>
        <w:bottom w:val="none" w:sz="0" w:space="0" w:color="auto"/>
        <w:right w:val="none" w:sz="0" w:space="0" w:color="auto"/>
      </w:divBdr>
    </w:div>
    <w:div w:id="1338189231">
      <w:bodyDiv w:val="1"/>
      <w:marLeft w:val="0"/>
      <w:marRight w:val="0"/>
      <w:marTop w:val="0"/>
      <w:marBottom w:val="0"/>
      <w:divBdr>
        <w:top w:val="none" w:sz="0" w:space="0" w:color="auto"/>
        <w:left w:val="none" w:sz="0" w:space="0" w:color="auto"/>
        <w:bottom w:val="none" w:sz="0" w:space="0" w:color="auto"/>
        <w:right w:val="none" w:sz="0" w:space="0" w:color="auto"/>
      </w:divBdr>
    </w:div>
    <w:div w:id="1347098008">
      <w:bodyDiv w:val="1"/>
      <w:marLeft w:val="0"/>
      <w:marRight w:val="0"/>
      <w:marTop w:val="0"/>
      <w:marBottom w:val="0"/>
      <w:divBdr>
        <w:top w:val="none" w:sz="0" w:space="0" w:color="auto"/>
        <w:left w:val="none" w:sz="0" w:space="0" w:color="auto"/>
        <w:bottom w:val="none" w:sz="0" w:space="0" w:color="auto"/>
        <w:right w:val="none" w:sz="0" w:space="0" w:color="auto"/>
      </w:divBdr>
    </w:div>
    <w:div w:id="1347370509">
      <w:bodyDiv w:val="1"/>
      <w:marLeft w:val="0"/>
      <w:marRight w:val="0"/>
      <w:marTop w:val="0"/>
      <w:marBottom w:val="0"/>
      <w:divBdr>
        <w:top w:val="none" w:sz="0" w:space="0" w:color="auto"/>
        <w:left w:val="none" w:sz="0" w:space="0" w:color="auto"/>
        <w:bottom w:val="none" w:sz="0" w:space="0" w:color="auto"/>
        <w:right w:val="none" w:sz="0" w:space="0" w:color="auto"/>
      </w:divBdr>
    </w:div>
    <w:div w:id="1350185187">
      <w:bodyDiv w:val="1"/>
      <w:marLeft w:val="0"/>
      <w:marRight w:val="0"/>
      <w:marTop w:val="0"/>
      <w:marBottom w:val="0"/>
      <w:divBdr>
        <w:top w:val="none" w:sz="0" w:space="0" w:color="auto"/>
        <w:left w:val="none" w:sz="0" w:space="0" w:color="auto"/>
        <w:bottom w:val="none" w:sz="0" w:space="0" w:color="auto"/>
        <w:right w:val="none" w:sz="0" w:space="0" w:color="auto"/>
      </w:divBdr>
    </w:div>
    <w:div w:id="1359431769">
      <w:bodyDiv w:val="1"/>
      <w:marLeft w:val="0"/>
      <w:marRight w:val="0"/>
      <w:marTop w:val="0"/>
      <w:marBottom w:val="0"/>
      <w:divBdr>
        <w:top w:val="none" w:sz="0" w:space="0" w:color="auto"/>
        <w:left w:val="none" w:sz="0" w:space="0" w:color="auto"/>
        <w:bottom w:val="none" w:sz="0" w:space="0" w:color="auto"/>
        <w:right w:val="none" w:sz="0" w:space="0" w:color="auto"/>
      </w:divBdr>
    </w:div>
    <w:div w:id="1362706131">
      <w:bodyDiv w:val="1"/>
      <w:marLeft w:val="0"/>
      <w:marRight w:val="0"/>
      <w:marTop w:val="0"/>
      <w:marBottom w:val="0"/>
      <w:divBdr>
        <w:top w:val="none" w:sz="0" w:space="0" w:color="auto"/>
        <w:left w:val="none" w:sz="0" w:space="0" w:color="auto"/>
        <w:bottom w:val="none" w:sz="0" w:space="0" w:color="auto"/>
        <w:right w:val="none" w:sz="0" w:space="0" w:color="auto"/>
      </w:divBdr>
    </w:div>
    <w:div w:id="1375038404">
      <w:bodyDiv w:val="1"/>
      <w:marLeft w:val="0"/>
      <w:marRight w:val="0"/>
      <w:marTop w:val="0"/>
      <w:marBottom w:val="0"/>
      <w:divBdr>
        <w:top w:val="none" w:sz="0" w:space="0" w:color="auto"/>
        <w:left w:val="none" w:sz="0" w:space="0" w:color="auto"/>
        <w:bottom w:val="none" w:sz="0" w:space="0" w:color="auto"/>
        <w:right w:val="none" w:sz="0" w:space="0" w:color="auto"/>
      </w:divBdr>
    </w:div>
    <w:div w:id="1383214791">
      <w:bodyDiv w:val="1"/>
      <w:marLeft w:val="0"/>
      <w:marRight w:val="0"/>
      <w:marTop w:val="0"/>
      <w:marBottom w:val="0"/>
      <w:divBdr>
        <w:top w:val="none" w:sz="0" w:space="0" w:color="auto"/>
        <w:left w:val="none" w:sz="0" w:space="0" w:color="auto"/>
        <w:bottom w:val="none" w:sz="0" w:space="0" w:color="auto"/>
        <w:right w:val="none" w:sz="0" w:space="0" w:color="auto"/>
      </w:divBdr>
    </w:div>
    <w:div w:id="1392190025">
      <w:bodyDiv w:val="1"/>
      <w:marLeft w:val="0"/>
      <w:marRight w:val="0"/>
      <w:marTop w:val="0"/>
      <w:marBottom w:val="0"/>
      <w:divBdr>
        <w:top w:val="none" w:sz="0" w:space="0" w:color="auto"/>
        <w:left w:val="none" w:sz="0" w:space="0" w:color="auto"/>
        <w:bottom w:val="none" w:sz="0" w:space="0" w:color="auto"/>
        <w:right w:val="none" w:sz="0" w:space="0" w:color="auto"/>
      </w:divBdr>
    </w:div>
    <w:div w:id="1397435067">
      <w:bodyDiv w:val="1"/>
      <w:marLeft w:val="0"/>
      <w:marRight w:val="0"/>
      <w:marTop w:val="0"/>
      <w:marBottom w:val="0"/>
      <w:divBdr>
        <w:top w:val="none" w:sz="0" w:space="0" w:color="auto"/>
        <w:left w:val="none" w:sz="0" w:space="0" w:color="auto"/>
        <w:bottom w:val="none" w:sz="0" w:space="0" w:color="auto"/>
        <w:right w:val="none" w:sz="0" w:space="0" w:color="auto"/>
      </w:divBdr>
    </w:div>
    <w:div w:id="1397967663">
      <w:bodyDiv w:val="1"/>
      <w:marLeft w:val="0"/>
      <w:marRight w:val="0"/>
      <w:marTop w:val="0"/>
      <w:marBottom w:val="0"/>
      <w:divBdr>
        <w:top w:val="none" w:sz="0" w:space="0" w:color="auto"/>
        <w:left w:val="none" w:sz="0" w:space="0" w:color="auto"/>
        <w:bottom w:val="none" w:sz="0" w:space="0" w:color="auto"/>
        <w:right w:val="none" w:sz="0" w:space="0" w:color="auto"/>
      </w:divBdr>
    </w:div>
    <w:div w:id="1399941808">
      <w:bodyDiv w:val="1"/>
      <w:marLeft w:val="0"/>
      <w:marRight w:val="0"/>
      <w:marTop w:val="0"/>
      <w:marBottom w:val="0"/>
      <w:divBdr>
        <w:top w:val="none" w:sz="0" w:space="0" w:color="auto"/>
        <w:left w:val="none" w:sz="0" w:space="0" w:color="auto"/>
        <w:bottom w:val="none" w:sz="0" w:space="0" w:color="auto"/>
        <w:right w:val="none" w:sz="0" w:space="0" w:color="auto"/>
      </w:divBdr>
    </w:div>
    <w:div w:id="1400864033">
      <w:bodyDiv w:val="1"/>
      <w:marLeft w:val="0"/>
      <w:marRight w:val="0"/>
      <w:marTop w:val="0"/>
      <w:marBottom w:val="0"/>
      <w:divBdr>
        <w:top w:val="none" w:sz="0" w:space="0" w:color="auto"/>
        <w:left w:val="none" w:sz="0" w:space="0" w:color="auto"/>
        <w:bottom w:val="none" w:sz="0" w:space="0" w:color="auto"/>
        <w:right w:val="none" w:sz="0" w:space="0" w:color="auto"/>
      </w:divBdr>
    </w:div>
    <w:div w:id="1401367733">
      <w:bodyDiv w:val="1"/>
      <w:marLeft w:val="0"/>
      <w:marRight w:val="0"/>
      <w:marTop w:val="0"/>
      <w:marBottom w:val="0"/>
      <w:divBdr>
        <w:top w:val="none" w:sz="0" w:space="0" w:color="auto"/>
        <w:left w:val="none" w:sz="0" w:space="0" w:color="auto"/>
        <w:bottom w:val="none" w:sz="0" w:space="0" w:color="auto"/>
        <w:right w:val="none" w:sz="0" w:space="0" w:color="auto"/>
      </w:divBdr>
    </w:div>
    <w:div w:id="1402561628">
      <w:bodyDiv w:val="1"/>
      <w:marLeft w:val="0"/>
      <w:marRight w:val="0"/>
      <w:marTop w:val="0"/>
      <w:marBottom w:val="0"/>
      <w:divBdr>
        <w:top w:val="none" w:sz="0" w:space="0" w:color="auto"/>
        <w:left w:val="none" w:sz="0" w:space="0" w:color="auto"/>
        <w:bottom w:val="none" w:sz="0" w:space="0" w:color="auto"/>
        <w:right w:val="none" w:sz="0" w:space="0" w:color="auto"/>
      </w:divBdr>
    </w:div>
    <w:div w:id="1412653072">
      <w:bodyDiv w:val="1"/>
      <w:marLeft w:val="0"/>
      <w:marRight w:val="0"/>
      <w:marTop w:val="0"/>
      <w:marBottom w:val="0"/>
      <w:divBdr>
        <w:top w:val="none" w:sz="0" w:space="0" w:color="auto"/>
        <w:left w:val="none" w:sz="0" w:space="0" w:color="auto"/>
        <w:bottom w:val="none" w:sz="0" w:space="0" w:color="auto"/>
        <w:right w:val="none" w:sz="0" w:space="0" w:color="auto"/>
      </w:divBdr>
    </w:div>
    <w:div w:id="1414818668">
      <w:bodyDiv w:val="1"/>
      <w:marLeft w:val="0"/>
      <w:marRight w:val="0"/>
      <w:marTop w:val="0"/>
      <w:marBottom w:val="0"/>
      <w:divBdr>
        <w:top w:val="none" w:sz="0" w:space="0" w:color="auto"/>
        <w:left w:val="none" w:sz="0" w:space="0" w:color="auto"/>
        <w:bottom w:val="none" w:sz="0" w:space="0" w:color="auto"/>
        <w:right w:val="none" w:sz="0" w:space="0" w:color="auto"/>
      </w:divBdr>
    </w:div>
    <w:div w:id="1416366697">
      <w:bodyDiv w:val="1"/>
      <w:marLeft w:val="0"/>
      <w:marRight w:val="0"/>
      <w:marTop w:val="0"/>
      <w:marBottom w:val="0"/>
      <w:divBdr>
        <w:top w:val="none" w:sz="0" w:space="0" w:color="auto"/>
        <w:left w:val="none" w:sz="0" w:space="0" w:color="auto"/>
        <w:bottom w:val="none" w:sz="0" w:space="0" w:color="auto"/>
        <w:right w:val="none" w:sz="0" w:space="0" w:color="auto"/>
      </w:divBdr>
    </w:div>
    <w:div w:id="1416436713">
      <w:bodyDiv w:val="1"/>
      <w:marLeft w:val="0"/>
      <w:marRight w:val="0"/>
      <w:marTop w:val="0"/>
      <w:marBottom w:val="0"/>
      <w:divBdr>
        <w:top w:val="none" w:sz="0" w:space="0" w:color="auto"/>
        <w:left w:val="none" w:sz="0" w:space="0" w:color="auto"/>
        <w:bottom w:val="none" w:sz="0" w:space="0" w:color="auto"/>
        <w:right w:val="none" w:sz="0" w:space="0" w:color="auto"/>
      </w:divBdr>
    </w:div>
    <w:div w:id="1416591174">
      <w:bodyDiv w:val="1"/>
      <w:marLeft w:val="0"/>
      <w:marRight w:val="0"/>
      <w:marTop w:val="0"/>
      <w:marBottom w:val="0"/>
      <w:divBdr>
        <w:top w:val="none" w:sz="0" w:space="0" w:color="auto"/>
        <w:left w:val="none" w:sz="0" w:space="0" w:color="auto"/>
        <w:bottom w:val="none" w:sz="0" w:space="0" w:color="auto"/>
        <w:right w:val="none" w:sz="0" w:space="0" w:color="auto"/>
      </w:divBdr>
    </w:div>
    <w:div w:id="1418746835">
      <w:bodyDiv w:val="1"/>
      <w:marLeft w:val="0"/>
      <w:marRight w:val="0"/>
      <w:marTop w:val="0"/>
      <w:marBottom w:val="0"/>
      <w:divBdr>
        <w:top w:val="none" w:sz="0" w:space="0" w:color="auto"/>
        <w:left w:val="none" w:sz="0" w:space="0" w:color="auto"/>
        <w:bottom w:val="none" w:sz="0" w:space="0" w:color="auto"/>
        <w:right w:val="none" w:sz="0" w:space="0" w:color="auto"/>
      </w:divBdr>
    </w:div>
    <w:div w:id="1419403173">
      <w:bodyDiv w:val="1"/>
      <w:marLeft w:val="0"/>
      <w:marRight w:val="0"/>
      <w:marTop w:val="0"/>
      <w:marBottom w:val="0"/>
      <w:divBdr>
        <w:top w:val="none" w:sz="0" w:space="0" w:color="auto"/>
        <w:left w:val="none" w:sz="0" w:space="0" w:color="auto"/>
        <w:bottom w:val="none" w:sz="0" w:space="0" w:color="auto"/>
        <w:right w:val="none" w:sz="0" w:space="0" w:color="auto"/>
      </w:divBdr>
    </w:div>
    <w:div w:id="1420055129">
      <w:bodyDiv w:val="1"/>
      <w:marLeft w:val="0"/>
      <w:marRight w:val="0"/>
      <w:marTop w:val="0"/>
      <w:marBottom w:val="0"/>
      <w:divBdr>
        <w:top w:val="none" w:sz="0" w:space="0" w:color="auto"/>
        <w:left w:val="none" w:sz="0" w:space="0" w:color="auto"/>
        <w:bottom w:val="none" w:sz="0" w:space="0" w:color="auto"/>
        <w:right w:val="none" w:sz="0" w:space="0" w:color="auto"/>
      </w:divBdr>
    </w:div>
    <w:div w:id="1420250953">
      <w:bodyDiv w:val="1"/>
      <w:marLeft w:val="0"/>
      <w:marRight w:val="0"/>
      <w:marTop w:val="0"/>
      <w:marBottom w:val="0"/>
      <w:divBdr>
        <w:top w:val="none" w:sz="0" w:space="0" w:color="auto"/>
        <w:left w:val="none" w:sz="0" w:space="0" w:color="auto"/>
        <w:bottom w:val="none" w:sz="0" w:space="0" w:color="auto"/>
        <w:right w:val="none" w:sz="0" w:space="0" w:color="auto"/>
      </w:divBdr>
    </w:div>
    <w:div w:id="1424451007">
      <w:bodyDiv w:val="1"/>
      <w:marLeft w:val="0"/>
      <w:marRight w:val="0"/>
      <w:marTop w:val="0"/>
      <w:marBottom w:val="0"/>
      <w:divBdr>
        <w:top w:val="none" w:sz="0" w:space="0" w:color="auto"/>
        <w:left w:val="none" w:sz="0" w:space="0" w:color="auto"/>
        <w:bottom w:val="none" w:sz="0" w:space="0" w:color="auto"/>
        <w:right w:val="none" w:sz="0" w:space="0" w:color="auto"/>
      </w:divBdr>
    </w:div>
    <w:div w:id="1424452322">
      <w:bodyDiv w:val="1"/>
      <w:marLeft w:val="0"/>
      <w:marRight w:val="0"/>
      <w:marTop w:val="0"/>
      <w:marBottom w:val="0"/>
      <w:divBdr>
        <w:top w:val="none" w:sz="0" w:space="0" w:color="auto"/>
        <w:left w:val="none" w:sz="0" w:space="0" w:color="auto"/>
        <w:bottom w:val="none" w:sz="0" w:space="0" w:color="auto"/>
        <w:right w:val="none" w:sz="0" w:space="0" w:color="auto"/>
      </w:divBdr>
    </w:div>
    <w:div w:id="1424718682">
      <w:bodyDiv w:val="1"/>
      <w:marLeft w:val="0"/>
      <w:marRight w:val="0"/>
      <w:marTop w:val="0"/>
      <w:marBottom w:val="0"/>
      <w:divBdr>
        <w:top w:val="none" w:sz="0" w:space="0" w:color="auto"/>
        <w:left w:val="none" w:sz="0" w:space="0" w:color="auto"/>
        <w:bottom w:val="none" w:sz="0" w:space="0" w:color="auto"/>
        <w:right w:val="none" w:sz="0" w:space="0" w:color="auto"/>
      </w:divBdr>
    </w:div>
    <w:div w:id="1427308550">
      <w:bodyDiv w:val="1"/>
      <w:marLeft w:val="0"/>
      <w:marRight w:val="0"/>
      <w:marTop w:val="0"/>
      <w:marBottom w:val="0"/>
      <w:divBdr>
        <w:top w:val="none" w:sz="0" w:space="0" w:color="auto"/>
        <w:left w:val="none" w:sz="0" w:space="0" w:color="auto"/>
        <w:bottom w:val="none" w:sz="0" w:space="0" w:color="auto"/>
        <w:right w:val="none" w:sz="0" w:space="0" w:color="auto"/>
      </w:divBdr>
    </w:div>
    <w:div w:id="1432630018">
      <w:bodyDiv w:val="1"/>
      <w:marLeft w:val="0"/>
      <w:marRight w:val="0"/>
      <w:marTop w:val="0"/>
      <w:marBottom w:val="0"/>
      <w:divBdr>
        <w:top w:val="none" w:sz="0" w:space="0" w:color="auto"/>
        <w:left w:val="none" w:sz="0" w:space="0" w:color="auto"/>
        <w:bottom w:val="none" w:sz="0" w:space="0" w:color="auto"/>
        <w:right w:val="none" w:sz="0" w:space="0" w:color="auto"/>
      </w:divBdr>
    </w:div>
    <w:div w:id="1438480081">
      <w:bodyDiv w:val="1"/>
      <w:marLeft w:val="0"/>
      <w:marRight w:val="0"/>
      <w:marTop w:val="0"/>
      <w:marBottom w:val="0"/>
      <w:divBdr>
        <w:top w:val="none" w:sz="0" w:space="0" w:color="auto"/>
        <w:left w:val="none" w:sz="0" w:space="0" w:color="auto"/>
        <w:bottom w:val="none" w:sz="0" w:space="0" w:color="auto"/>
        <w:right w:val="none" w:sz="0" w:space="0" w:color="auto"/>
      </w:divBdr>
    </w:div>
    <w:div w:id="1438520586">
      <w:bodyDiv w:val="1"/>
      <w:marLeft w:val="0"/>
      <w:marRight w:val="0"/>
      <w:marTop w:val="0"/>
      <w:marBottom w:val="0"/>
      <w:divBdr>
        <w:top w:val="none" w:sz="0" w:space="0" w:color="auto"/>
        <w:left w:val="none" w:sz="0" w:space="0" w:color="auto"/>
        <w:bottom w:val="none" w:sz="0" w:space="0" w:color="auto"/>
        <w:right w:val="none" w:sz="0" w:space="0" w:color="auto"/>
      </w:divBdr>
    </w:div>
    <w:div w:id="1441144578">
      <w:bodyDiv w:val="1"/>
      <w:marLeft w:val="0"/>
      <w:marRight w:val="0"/>
      <w:marTop w:val="0"/>
      <w:marBottom w:val="0"/>
      <w:divBdr>
        <w:top w:val="none" w:sz="0" w:space="0" w:color="auto"/>
        <w:left w:val="none" w:sz="0" w:space="0" w:color="auto"/>
        <w:bottom w:val="none" w:sz="0" w:space="0" w:color="auto"/>
        <w:right w:val="none" w:sz="0" w:space="0" w:color="auto"/>
      </w:divBdr>
    </w:div>
    <w:div w:id="1446346501">
      <w:bodyDiv w:val="1"/>
      <w:marLeft w:val="0"/>
      <w:marRight w:val="0"/>
      <w:marTop w:val="0"/>
      <w:marBottom w:val="0"/>
      <w:divBdr>
        <w:top w:val="none" w:sz="0" w:space="0" w:color="auto"/>
        <w:left w:val="none" w:sz="0" w:space="0" w:color="auto"/>
        <w:bottom w:val="none" w:sz="0" w:space="0" w:color="auto"/>
        <w:right w:val="none" w:sz="0" w:space="0" w:color="auto"/>
      </w:divBdr>
    </w:div>
    <w:div w:id="1448308332">
      <w:bodyDiv w:val="1"/>
      <w:marLeft w:val="0"/>
      <w:marRight w:val="0"/>
      <w:marTop w:val="0"/>
      <w:marBottom w:val="0"/>
      <w:divBdr>
        <w:top w:val="none" w:sz="0" w:space="0" w:color="auto"/>
        <w:left w:val="none" w:sz="0" w:space="0" w:color="auto"/>
        <w:bottom w:val="none" w:sz="0" w:space="0" w:color="auto"/>
        <w:right w:val="none" w:sz="0" w:space="0" w:color="auto"/>
      </w:divBdr>
    </w:div>
    <w:div w:id="1451239577">
      <w:bodyDiv w:val="1"/>
      <w:marLeft w:val="0"/>
      <w:marRight w:val="0"/>
      <w:marTop w:val="0"/>
      <w:marBottom w:val="0"/>
      <w:divBdr>
        <w:top w:val="none" w:sz="0" w:space="0" w:color="auto"/>
        <w:left w:val="none" w:sz="0" w:space="0" w:color="auto"/>
        <w:bottom w:val="none" w:sz="0" w:space="0" w:color="auto"/>
        <w:right w:val="none" w:sz="0" w:space="0" w:color="auto"/>
      </w:divBdr>
    </w:div>
    <w:div w:id="1453984367">
      <w:bodyDiv w:val="1"/>
      <w:marLeft w:val="0"/>
      <w:marRight w:val="0"/>
      <w:marTop w:val="0"/>
      <w:marBottom w:val="0"/>
      <w:divBdr>
        <w:top w:val="none" w:sz="0" w:space="0" w:color="auto"/>
        <w:left w:val="none" w:sz="0" w:space="0" w:color="auto"/>
        <w:bottom w:val="none" w:sz="0" w:space="0" w:color="auto"/>
        <w:right w:val="none" w:sz="0" w:space="0" w:color="auto"/>
      </w:divBdr>
    </w:div>
    <w:div w:id="1454396181">
      <w:bodyDiv w:val="1"/>
      <w:marLeft w:val="0"/>
      <w:marRight w:val="0"/>
      <w:marTop w:val="0"/>
      <w:marBottom w:val="0"/>
      <w:divBdr>
        <w:top w:val="none" w:sz="0" w:space="0" w:color="auto"/>
        <w:left w:val="none" w:sz="0" w:space="0" w:color="auto"/>
        <w:bottom w:val="none" w:sz="0" w:space="0" w:color="auto"/>
        <w:right w:val="none" w:sz="0" w:space="0" w:color="auto"/>
      </w:divBdr>
    </w:div>
    <w:div w:id="1455370786">
      <w:bodyDiv w:val="1"/>
      <w:marLeft w:val="0"/>
      <w:marRight w:val="0"/>
      <w:marTop w:val="0"/>
      <w:marBottom w:val="0"/>
      <w:divBdr>
        <w:top w:val="none" w:sz="0" w:space="0" w:color="auto"/>
        <w:left w:val="none" w:sz="0" w:space="0" w:color="auto"/>
        <w:bottom w:val="none" w:sz="0" w:space="0" w:color="auto"/>
        <w:right w:val="none" w:sz="0" w:space="0" w:color="auto"/>
      </w:divBdr>
    </w:div>
    <w:div w:id="1458186153">
      <w:bodyDiv w:val="1"/>
      <w:marLeft w:val="0"/>
      <w:marRight w:val="0"/>
      <w:marTop w:val="0"/>
      <w:marBottom w:val="0"/>
      <w:divBdr>
        <w:top w:val="none" w:sz="0" w:space="0" w:color="auto"/>
        <w:left w:val="none" w:sz="0" w:space="0" w:color="auto"/>
        <w:bottom w:val="none" w:sz="0" w:space="0" w:color="auto"/>
        <w:right w:val="none" w:sz="0" w:space="0" w:color="auto"/>
      </w:divBdr>
    </w:div>
    <w:div w:id="1458839944">
      <w:bodyDiv w:val="1"/>
      <w:marLeft w:val="0"/>
      <w:marRight w:val="0"/>
      <w:marTop w:val="0"/>
      <w:marBottom w:val="0"/>
      <w:divBdr>
        <w:top w:val="none" w:sz="0" w:space="0" w:color="auto"/>
        <w:left w:val="none" w:sz="0" w:space="0" w:color="auto"/>
        <w:bottom w:val="none" w:sz="0" w:space="0" w:color="auto"/>
        <w:right w:val="none" w:sz="0" w:space="0" w:color="auto"/>
      </w:divBdr>
    </w:div>
    <w:div w:id="1462073286">
      <w:bodyDiv w:val="1"/>
      <w:marLeft w:val="0"/>
      <w:marRight w:val="0"/>
      <w:marTop w:val="0"/>
      <w:marBottom w:val="0"/>
      <w:divBdr>
        <w:top w:val="none" w:sz="0" w:space="0" w:color="auto"/>
        <w:left w:val="none" w:sz="0" w:space="0" w:color="auto"/>
        <w:bottom w:val="none" w:sz="0" w:space="0" w:color="auto"/>
        <w:right w:val="none" w:sz="0" w:space="0" w:color="auto"/>
      </w:divBdr>
    </w:div>
    <w:div w:id="1463616115">
      <w:bodyDiv w:val="1"/>
      <w:marLeft w:val="0"/>
      <w:marRight w:val="0"/>
      <w:marTop w:val="0"/>
      <w:marBottom w:val="0"/>
      <w:divBdr>
        <w:top w:val="none" w:sz="0" w:space="0" w:color="auto"/>
        <w:left w:val="none" w:sz="0" w:space="0" w:color="auto"/>
        <w:bottom w:val="none" w:sz="0" w:space="0" w:color="auto"/>
        <w:right w:val="none" w:sz="0" w:space="0" w:color="auto"/>
      </w:divBdr>
    </w:div>
    <w:div w:id="1464614237">
      <w:bodyDiv w:val="1"/>
      <w:marLeft w:val="0"/>
      <w:marRight w:val="0"/>
      <w:marTop w:val="0"/>
      <w:marBottom w:val="0"/>
      <w:divBdr>
        <w:top w:val="none" w:sz="0" w:space="0" w:color="auto"/>
        <w:left w:val="none" w:sz="0" w:space="0" w:color="auto"/>
        <w:bottom w:val="none" w:sz="0" w:space="0" w:color="auto"/>
        <w:right w:val="none" w:sz="0" w:space="0" w:color="auto"/>
      </w:divBdr>
    </w:div>
    <w:div w:id="1466971783">
      <w:bodyDiv w:val="1"/>
      <w:marLeft w:val="0"/>
      <w:marRight w:val="0"/>
      <w:marTop w:val="0"/>
      <w:marBottom w:val="0"/>
      <w:divBdr>
        <w:top w:val="none" w:sz="0" w:space="0" w:color="auto"/>
        <w:left w:val="none" w:sz="0" w:space="0" w:color="auto"/>
        <w:bottom w:val="none" w:sz="0" w:space="0" w:color="auto"/>
        <w:right w:val="none" w:sz="0" w:space="0" w:color="auto"/>
      </w:divBdr>
    </w:div>
    <w:div w:id="1470515027">
      <w:bodyDiv w:val="1"/>
      <w:marLeft w:val="0"/>
      <w:marRight w:val="0"/>
      <w:marTop w:val="0"/>
      <w:marBottom w:val="0"/>
      <w:divBdr>
        <w:top w:val="none" w:sz="0" w:space="0" w:color="auto"/>
        <w:left w:val="none" w:sz="0" w:space="0" w:color="auto"/>
        <w:bottom w:val="none" w:sz="0" w:space="0" w:color="auto"/>
        <w:right w:val="none" w:sz="0" w:space="0" w:color="auto"/>
      </w:divBdr>
    </w:div>
    <w:div w:id="1471709117">
      <w:bodyDiv w:val="1"/>
      <w:marLeft w:val="0"/>
      <w:marRight w:val="0"/>
      <w:marTop w:val="0"/>
      <w:marBottom w:val="0"/>
      <w:divBdr>
        <w:top w:val="none" w:sz="0" w:space="0" w:color="auto"/>
        <w:left w:val="none" w:sz="0" w:space="0" w:color="auto"/>
        <w:bottom w:val="none" w:sz="0" w:space="0" w:color="auto"/>
        <w:right w:val="none" w:sz="0" w:space="0" w:color="auto"/>
      </w:divBdr>
    </w:div>
    <w:div w:id="1478188704">
      <w:bodyDiv w:val="1"/>
      <w:marLeft w:val="0"/>
      <w:marRight w:val="0"/>
      <w:marTop w:val="0"/>
      <w:marBottom w:val="0"/>
      <w:divBdr>
        <w:top w:val="none" w:sz="0" w:space="0" w:color="auto"/>
        <w:left w:val="none" w:sz="0" w:space="0" w:color="auto"/>
        <w:bottom w:val="none" w:sz="0" w:space="0" w:color="auto"/>
        <w:right w:val="none" w:sz="0" w:space="0" w:color="auto"/>
      </w:divBdr>
    </w:div>
    <w:div w:id="1479760407">
      <w:bodyDiv w:val="1"/>
      <w:marLeft w:val="0"/>
      <w:marRight w:val="0"/>
      <w:marTop w:val="0"/>
      <w:marBottom w:val="0"/>
      <w:divBdr>
        <w:top w:val="none" w:sz="0" w:space="0" w:color="auto"/>
        <w:left w:val="none" w:sz="0" w:space="0" w:color="auto"/>
        <w:bottom w:val="none" w:sz="0" w:space="0" w:color="auto"/>
        <w:right w:val="none" w:sz="0" w:space="0" w:color="auto"/>
      </w:divBdr>
    </w:div>
    <w:div w:id="1479879296">
      <w:bodyDiv w:val="1"/>
      <w:marLeft w:val="0"/>
      <w:marRight w:val="0"/>
      <w:marTop w:val="0"/>
      <w:marBottom w:val="0"/>
      <w:divBdr>
        <w:top w:val="none" w:sz="0" w:space="0" w:color="auto"/>
        <w:left w:val="none" w:sz="0" w:space="0" w:color="auto"/>
        <w:bottom w:val="none" w:sz="0" w:space="0" w:color="auto"/>
        <w:right w:val="none" w:sz="0" w:space="0" w:color="auto"/>
      </w:divBdr>
    </w:div>
    <w:div w:id="1480265326">
      <w:bodyDiv w:val="1"/>
      <w:marLeft w:val="0"/>
      <w:marRight w:val="0"/>
      <w:marTop w:val="0"/>
      <w:marBottom w:val="0"/>
      <w:divBdr>
        <w:top w:val="none" w:sz="0" w:space="0" w:color="auto"/>
        <w:left w:val="none" w:sz="0" w:space="0" w:color="auto"/>
        <w:bottom w:val="none" w:sz="0" w:space="0" w:color="auto"/>
        <w:right w:val="none" w:sz="0" w:space="0" w:color="auto"/>
      </w:divBdr>
    </w:div>
    <w:div w:id="1481144820">
      <w:bodyDiv w:val="1"/>
      <w:marLeft w:val="0"/>
      <w:marRight w:val="0"/>
      <w:marTop w:val="0"/>
      <w:marBottom w:val="0"/>
      <w:divBdr>
        <w:top w:val="none" w:sz="0" w:space="0" w:color="auto"/>
        <w:left w:val="none" w:sz="0" w:space="0" w:color="auto"/>
        <w:bottom w:val="none" w:sz="0" w:space="0" w:color="auto"/>
        <w:right w:val="none" w:sz="0" w:space="0" w:color="auto"/>
      </w:divBdr>
    </w:div>
    <w:div w:id="1481770752">
      <w:bodyDiv w:val="1"/>
      <w:marLeft w:val="0"/>
      <w:marRight w:val="0"/>
      <w:marTop w:val="0"/>
      <w:marBottom w:val="0"/>
      <w:divBdr>
        <w:top w:val="none" w:sz="0" w:space="0" w:color="auto"/>
        <w:left w:val="none" w:sz="0" w:space="0" w:color="auto"/>
        <w:bottom w:val="none" w:sz="0" w:space="0" w:color="auto"/>
        <w:right w:val="none" w:sz="0" w:space="0" w:color="auto"/>
      </w:divBdr>
    </w:div>
    <w:div w:id="1481921866">
      <w:bodyDiv w:val="1"/>
      <w:marLeft w:val="0"/>
      <w:marRight w:val="0"/>
      <w:marTop w:val="0"/>
      <w:marBottom w:val="0"/>
      <w:divBdr>
        <w:top w:val="none" w:sz="0" w:space="0" w:color="auto"/>
        <w:left w:val="none" w:sz="0" w:space="0" w:color="auto"/>
        <w:bottom w:val="none" w:sz="0" w:space="0" w:color="auto"/>
        <w:right w:val="none" w:sz="0" w:space="0" w:color="auto"/>
      </w:divBdr>
    </w:div>
    <w:div w:id="1484156277">
      <w:bodyDiv w:val="1"/>
      <w:marLeft w:val="0"/>
      <w:marRight w:val="0"/>
      <w:marTop w:val="0"/>
      <w:marBottom w:val="0"/>
      <w:divBdr>
        <w:top w:val="none" w:sz="0" w:space="0" w:color="auto"/>
        <w:left w:val="none" w:sz="0" w:space="0" w:color="auto"/>
        <w:bottom w:val="none" w:sz="0" w:space="0" w:color="auto"/>
        <w:right w:val="none" w:sz="0" w:space="0" w:color="auto"/>
      </w:divBdr>
    </w:div>
    <w:div w:id="1485270460">
      <w:bodyDiv w:val="1"/>
      <w:marLeft w:val="0"/>
      <w:marRight w:val="0"/>
      <w:marTop w:val="0"/>
      <w:marBottom w:val="0"/>
      <w:divBdr>
        <w:top w:val="none" w:sz="0" w:space="0" w:color="auto"/>
        <w:left w:val="none" w:sz="0" w:space="0" w:color="auto"/>
        <w:bottom w:val="none" w:sz="0" w:space="0" w:color="auto"/>
        <w:right w:val="none" w:sz="0" w:space="0" w:color="auto"/>
      </w:divBdr>
    </w:div>
    <w:div w:id="1487547506">
      <w:bodyDiv w:val="1"/>
      <w:marLeft w:val="0"/>
      <w:marRight w:val="0"/>
      <w:marTop w:val="0"/>
      <w:marBottom w:val="0"/>
      <w:divBdr>
        <w:top w:val="none" w:sz="0" w:space="0" w:color="auto"/>
        <w:left w:val="none" w:sz="0" w:space="0" w:color="auto"/>
        <w:bottom w:val="none" w:sz="0" w:space="0" w:color="auto"/>
        <w:right w:val="none" w:sz="0" w:space="0" w:color="auto"/>
      </w:divBdr>
    </w:div>
    <w:div w:id="1491477938">
      <w:bodyDiv w:val="1"/>
      <w:marLeft w:val="0"/>
      <w:marRight w:val="0"/>
      <w:marTop w:val="0"/>
      <w:marBottom w:val="0"/>
      <w:divBdr>
        <w:top w:val="none" w:sz="0" w:space="0" w:color="auto"/>
        <w:left w:val="none" w:sz="0" w:space="0" w:color="auto"/>
        <w:bottom w:val="none" w:sz="0" w:space="0" w:color="auto"/>
        <w:right w:val="none" w:sz="0" w:space="0" w:color="auto"/>
      </w:divBdr>
    </w:div>
    <w:div w:id="1491562196">
      <w:bodyDiv w:val="1"/>
      <w:marLeft w:val="0"/>
      <w:marRight w:val="0"/>
      <w:marTop w:val="0"/>
      <w:marBottom w:val="0"/>
      <w:divBdr>
        <w:top w:val="none" w:sz="0" w:space="0" w:color="auto"/>
        <w:left w:val="none" w:sz="0" w:space="0" w:color="auto"/>
        <w:bottom w:val="none" w:sz="0" w:space="0" w:color="auto"/>
        <w:right w:val="none" w:sz="0" w:space="0" w:color="auto"/>
      </w:divBdr>
    </w:div>
    <w:div w:id="1496258539">
      <w:bodyDiv w:val="1"/>
      <w:marLeft w:val="0"/>
      <w:marRight w:val="0"/>
      <w:marTop w:val="0"/>
      <w:marBottom w:val="0"/>
      <w:divBdr>
        <w:top w:val="none" w:sz="0" w:space="0" w:color="auto"/>
        <w:left w:val="none" w:sz="0" w:space="0" w:color="auto"/>
        <w:bottom w:val="none" w:sz="0" w:space="0" w:color="auto"/>
        <w:right w:val="none" w:sz="0" w:space="0" w:color="auto"/>
      </w:divBdr>
    </w:div>
    <w:div w:id="1496803644">
      <w:bodyDiv w:val="1"/>
      <w:marLeft w:val="0"/>
      <w:marRight w:val="0"/>
      <w:marTop w:val="0"/>
      <w:marBottom w:val="0"/>
      <w:divBdr>
        <w:top w:val="none" w:sz="0" w:space="0" w:color="auto"/>
        <w:left w:val="none" w:sz="0" w:space="0" w:color="auto"/>
        <w:bottom w:val="none" w:sz="0" w:space="0" w:color="auto"/>
        <w:right w:val="none" w:sz="0" w:space="0" w:color="auto"/>
      </w:divBdr>
    </w:div>
    <w:div w:id="1503663216">
      <w:bodyDiv w:val="1"/>
      <w:marLeft w:val="0"/>
      <w:marRight w:val="0"/>
      <w:marTop w:val="0"/>
      <w:marBottom w:val="0"/>
      <w:divBdr>
        <w:top w:val="none" w:sz="0" w:space="0" w:color="auto"/>
        <w:left w:val="none" w:sz="0" w:space="0" w:color="auto"/>
        <w:bottom w:val="none" w:sz="0" w:space="0" w:color="auto"/>
        <w:right w:val="none" w:sz="0" w:space="0" w:color="auto"/>
      </w:divBdr>
    </w:div>
    <w:div w:id="1509710717">
      <w:bodyDiv w:val="1"/>
      <w:marLeft w:val="0"/>
      <w:marRight w:val="0"/>
      <w:marTop w:val="0"/>
      <w:marBottom w:val="0"/>
      <w:divBdr>
        <w:top w:val="none" w:sz="0" w:space="0" w:color="auto"/>
        <w:left w:val="none" w:sz="0" w:space="0" w:color="auto"/>
        <w:bottom w:val="none" w:sz="0" w:space="0" w:color="auto"/>
        <w:right w:val="none" w:sz="0" w:space="0" w:color="auto"/>
      </w:divBdr>
    </w:div>
    <w:div w:id="1510367764">
      <w:bodyDiv w:val="1"/>
      <w:marLeft w:val="0"/>
      <w:marRight w:val="0"/>
      <w:marTop w:val="0"/>
      <w:marBottom w:val="0"/>
      <w:divBdr>
        <w:top w:val="none" w:sz="0" w:space="0" w:color="auto"/>
        <w:left w:val="none" w:sz="0" w:space="0" w:color="auto"/>
        <w:bottom w:val="none" w:sz="0" w:space="0" w:color="auto"/>
        <w:right w:val="none" w:sz="0" w:space="0" w:color="auto"/>
      </w:divBdr>
    </w:div>
    <w:div w:id="1511598601">
      <w:bodyDiv w:val="1"/>
      <w:marLeft w:val="0"/>
      <w:marRight w:val="0"/>
      <w:marTop w:val="0"/>
      <w:marBottom w:val="0"/>
      <w:divBdr>
        <w:top w:val="none" w:sz="0" w:space="0" w:color="auto"/>
        <w:left w:val="none" w:sz="0" w:space="0" w:color="auto"/>
        <w:bottom w:val="none" w:sz="0" w:space="0" w:color="auto"/>
        <w:right w:val="none" w:sz="0" w:space="0" w:color="auto"/>
      </w:divBdr>
    </w:div>
    <w:div w:id="1516454118">
      <w:bodyDiv w:val="1"/>
      <w:marLeft w:val="0"/>
      <w:marRight w:val="0"/>
      <w:marTop w:val="0"/>
      <w:marBottom w:val="0"/>
      <w:divBdr>
        <w:top w:val="none" w:sz="0" w:space="0" w:color="auto"/>
        <w:left w:val="none" w:sz="0" w:space="0" w:color="auto"/>
        <w:bottom w:val="none" w:sz="0" w:space="0" w:color="auto"/>
        <w:right w:val="none" w:sz="0" w:space="0" w:color="auto"/>
      </w:divBdr>
    </w:div>
    <w:div w:id="1516580808">
      <w:bodyDiv w:val="1"/>
      <w:marLeft w:val="0"/>
      <w:marRight w:val="0"/>
      <w:marTop w:val="0"/>
      <w:marBottom w:val="0"/>
      <w:divBdr>
        <w:top w:val="none" w:sz="0" w:space="0" w:color="auto"/>
        <w:left w:val="none" w:sz="0" w:space="0" w:color="auto"/>
        <w:bottom w:val="none" w:sz="0" w:space="0" w:color="auto"/>
        <w:right w:val="none" w:sz="0" w:space="0" w:color="auto"/>
      </w:divBdr>
    </w:div>
    <w:div w:id="1521048313">
      <w:bodyDiv w:val="1"/>
      <w:marLeft w:val="0"/>
      <w:marRight w:val="0"/>
      <w:marTop w:val="0"/>
      <w:marBottom w:val="0"/>
      <w:divBdr>
        <w:top w:val="none" w:sz="0" w:space="0" w:color="auto"/>
        <w:left w:val="none" w:sz="0" w:space="0" w:color="auto"/>
        <w:bottom w:val="none" w:sz="0" w:space="0" w:color="auto"/>
        <w:right w:val="none" w:sz="0" w:space="0" w:color="auto"/>
      </w:divBdr>
    </w:div>
    <w:div w:id="1524830024">
      <w:bodyDiv w:val="1"/>
      <w:marLeft w:val="0"/>
      <w:marRight w:val="0"/>
      <w:marTop w:val="0"/>
      <w:marBottom w:val="0"/>
      <w:divBdr>
        <w:top w:val="none" w:sz="0" w:space="0" w:color="auto"/>
        <w:left w:val="none" w:sz="0" w:space="0" w:color="auto"/>
        <w:bottom w:val="none" w:sz="0" w:space="0" w:color="auto"/>
        <w:right w:val="none" w:sz="0" w:space="0" w:color="auto"/>
      </w:divBdr>
    </w:div>
    <w:div w:id="1532300440">
      <w:bodyDiv w:val="1"/>
      <w:marLeft w:val="0"/>
      <w:marRight w:val="0"/>
      <w:marTop w:val="0"/>
      <w:marBottom w:val="0"/>
      <w:divBdr>
        <w:top w:val="none" w:sz="0" w:space="0" w:color="auto"/>
        <w:left w:val="none" w:sz="0" w:space="0" w:color="auto"/>
        <w:bottom w:val="none" w:sz="0" w:space="0" w:color="auto"/>
        <w:right w:val="none" w:sz="0" w:space="0" w:color="auto"/>
      </w:divBdr>
    </w:div>
    <w:div w:id="1533031742">
      <w:bodyDiv w:val="1"/>
      <w:marLeft w:val="0"/>
      <w:marRight w:val="0"/>
      <w:marTop w:val="0"/>
      <w:marBottom w:val="0"/>
      <w:divBdr>
        <w:top w:val="none" w:sz="0" w:space="0" w:color="auto"/>
        <w:left w:val="none" w:sz="0" w:space="0" w:color="auto"/>
        <w:bottom w:val="none" w:sz="0" w:space="0" w:color="auto"/>
        <w:right w:val="none" w:sz="0" w:space="0" w:color="auto"/>
      </w:divBdr>
    </w:div>
    <w:div w:id="1533684082">
      <w:bodyDiv w:val="1"/>
      <w:marLeft w:val="0"/>
      <w:marRight w:val="0"/>
      <w:marTop w:val="0"/>
      <w:marBottom w:val="0"/>
      <w:divBdr>
        <w:top w:val="none" w:sz="0" w:space="0" w:color="auto"/>
        <w:left w:val="none" w:sz="0" w:space="0" w:color="auto"/>
        <w:bottom w:val="none" w:sz="0" w:space="0" w:color="auto"/>
        <w:right w:val="none" w:sz="0" w:space="0" w:color="auto"/>
      </w:divBdr>
    </w:div>
    <w:div w:id="1534539489">
      <w:bodyDiv w:val="1"/>
      <w:marLeft w:val="0"/>
      <w:marRight w:val="0"/>
      <w:marTop w:val="0"/>
      <w:marBottom w:val="0"/>
      <w:divBdr>
        <w:top w:val="none" w:sz="0" w:space="0" w:color="auto"/>
        <w:left w:val="none" w:sz="0" w:space="0" w:color="auto"/>
        <w:bottom w:val="none" w:sz="0" w:space="0" w:color="auto"/>
        <w:right w:val="none" w:sz="0" w:space="0" w:color="auto"/>
      </w:divBdr>
    </w:div>
    <w:div w:id="1538078221">
      <w:bodyDiv w:val="1"/>
      <w:marLeft w:val="0"/>
      <w:marRight w:val="0"/>
      <w:marTop w:val="0"/>
      <w:marBottom w:val="0"/>
      <w:divBdr>
        <w:top w:val="none" w:sz="0" w:space="0" w:color="auto"/>
        <w:left w:val="none" w:sz="0" w:space="0" w:color="auto"/>
        <w:bottom w:val="none" w:sz="0" w:space="0" w:color="auto"/>
        <w:right w:val="none" w:sz="0" w:space="0" w:color="auto"/>
      </w:divBdr>
    </w:div>
    <w:div w:id="1540126864">
      <w:bodyDiv w:val="1"/>
      <w:marLeft w:val="0"/>
      <w:marRight w:val="0"/>
      <w:marTop w:val="0"/>
      <w:marBottom w:val="0"/>
      <w:divBdr>
        <w:top w:val="none" w:sz="0" w:space="0" w:color="auto"/>
        <w:left w:val="none" w:sz="0" w:space="0" w:color="auto"/>
        <w:bottom w:val="none" w:sz="0" w:space="0" w:color="auto"/>
        <w:right w:val="none" w:sz="0" w:space="0" w:color="auto"/>
      </w:divBdr>
    </w:div>
    <w:div w:id="1544901216">
      <w:bodyDiv w:val="1"/>
      <w:marLeft w:val="0"/>
      <w:marRight w:val="0"/>
      <w:marTop w:val="0"/>
      <w:marBottom w:val="0"/>
      <w:divBdr>
        <w:top w:val="none" w:sz="0" w:space="0" w:color="auto"/>
        <w:left w:val="none" w:sz="0" w:space="0" w:color="auto"/>
        <w:bottom w:val="none" w:sz="0" w:space="0" w:color="auto"/>
        <w:right w:val="none" w:sz="0" w:space="0" w:color="auto"/>
      </w:divBdr>
    </w:div>
    <w:div w:id="1545171927">
      <w:bodyDiv w:val="1"/>
      <w:marLeft w:val="0"/>
      <w:marRight w:val="0"/>
      <w:marTop w:val="0"/>
      <w:marBottom w:val="0"/>
      <w:divBdr>
        <w:top w:val="none" w:sz="0" w:space="0" w:color="auto"/>
        <w:left w:val="none" w:sz="0" w:space="0" w:color="auto"/>
        <w:bottom w:val="none" w:sz="0" w:space="0" w:color="auto"/>
        <w:right w:val="none" w:sz="0" w:space="0" w:color="auto"/>
      </w:divBdr>
    </w:div>
    <w:div w:id="1546260824">
      <w:bodyDiv w:val="1"/>
      <w:marLeft w:val="0"/>
      <w:marRight w:val="0"/>
      <w:marTop w:val="0"/>
      <w:marBottom w:val="0"/>
      <w:divBdr>
        <w:top w:val="none" w:sz="0" w:space="0" w:color="auto"/>
        <w:left w:val="none" w:sz="0" w:space="0" w:color="auto"/>
        <w:bottom w:val="none" w:sz="0" w:space="0" w:color="auto"/>
        <w:right w:val="none" w:sz="0" w:space="0" w:color="auto"/>
      </w:divBdr>
    </w:div>
    <w:div w:id="1546287447">
      <w:bodyDiv w:val="1"/>
      <w:marLeft w:val="0"/>
      <w:marRight w:val="0"/>
      <w:marTop w:val="0"/>
      <w:marBottom w:val="0"/>
      <w:divBdr>
        <w:top w:val="none" w:sz="0" w:space="0" w:color="auto"/>
        <w:left w:val="none" w:sz="0" w:space="0" w:color="auto"/>
        <w:bottom w:val="none" w:sz="0" w:space="0" w:color="auto"/>
        <w:right w:val="none" w:sz="0" w:space="0" w:color="auto"/>
      </w:divBdr>
    </w:div>
    <w:div w:id="1546483040">
      <w:bodyDiv w:val="1"/>
      <w:marLeft w:val="0"/>
      <w:marRight w:val="0"/>
      <w:marTop w:val="0"/>
      <w:marBottom w:val="0"/>
      <w:divBdr>
        <w:top w:val="none" w:sz="0" w:space="0" w:color="auto"/>
        <w:left w:val="none" w:sz="0" w:space="0" w:color="auto"/>
        <w:bottom w:val="none" w:sz="0" w:space="0" w:color="auto"/>
        <w:right w:val="none" w:sz="0" w:space="0" w:color="auto"/>
      </w:divBdr>
    </w:div>
    <w:div w:id="1551455694">
      <w:bodyDiv w:val="1"/>
      <w:marLeft w:val="0"/>
      <w:marRight w:val="0"/>
      <w:marTop w:val="0"/>
      <w:marBottom w:val="0"/>
      <w:divBdr>
        <w:top w:val="none" w:sz="0" w:space="0" w:color="auto"/>
        <w:left w:val="none" w:sz="0" w:space="0" w:color="auto"/>
        <w:bottom w:val="none" w:sz="0" w:space="0" w:color="auto"/>
        <w:right w:val="none" w:sz="0" w:space="0" w:color="auto"/>
      </w:divBdr>
    </w:div>
    <w:div w:id="1551650775">
      <w:bodyDiv w:val="1"/>
      <w:marLeft w:val="0"/>
      <w:marRight w:val="0"/>
      <w:marTop w:val="0"/>
      <w:marBottom w:val="0"/>
      <w:divBdr>
        <w:top w:val="none" w:sz="0" w:space="0" w:color="auto"/>
        <w:left w:val="none" w:sz="0" w:space="0" w:color="auto"/>
        <w:bottom w:val="none" w:sz="0" w:space="0" w:color="auto"/>
        <w:right w:val="none" w:sz="0" w:space="0" w:color="auto"/>
      </w:divBdr>
    </w:div>
    <w:div w:id="1563178204">
      <w:bodyDiv w:val="1"/>
      <w:marLeft w:val="0"/>
      <w:marRight w:val="0"/>
      <w:marTop w:val="0"/>
      <w:marBottom w:val="0"/>
      <w:divBdr>
        <w:top w:val="none" w:sz="0" w:space="0" w:color="auto"/>
        <w:left w:val="none" w:sz="0" w:space="0" w:color="auto"/>
        <w:bottom w:val="none" w:sz="0" w:space="0" w:color="auto"/>
        <w:right w:val="none" w:sz="0" w:space="0" w:color="auto"/>
      </w:divBdr>
    </w:div>
    <w:div w:id="1563981422">
      <w:bodyDiv w:val="1"/>
      <w:marLeft w:val="0"/>
      <w:marRight w:val="0"/>
      <w:marTop w:val="0"/>
      <w:marBottom w:val="0"/>
      <w:divBdr>
        <w:top w:val="none" w:sz="0" w:space="0" w:color="auto"/>
        <w:left w:val="none" w:sz="0" w:space="0" w:color="auto"/>
        <w:bottom w:val="none" w:sz="0" w:space="0" w:color="auto"/>
        <w:right w:val="none" w:sz="0" w:space="0" w:color="auto"/>
      </w:divBdr>
    </w:div>
    <w:div w:id="1565604597">
      <w:bodyDiv w:val="1"/>
      <w:marLeft w:val="0"/>
      <w:marRight w:val="0"/>
      <w:marTop w:val="0"/>
      <w:marBottom w:val="0"/>
      <w:divBdr>
        <w:top w:val="none" w:sz="0" w:space="0" w:color="auto"/>
        <w:left w:val="none" w:sz="0" w:space="0" w:color="auto"/>
        <w:bottom w:val="none" w:sz="0" w:space="0" w:color="auto"/>
        <w:right w:val="none" w:sz="0" w:space="0" w:color="auto"/>
      </w:divBdr>
    </w:div>
    <w:div w:id="1571698327">
      <w:bodyDiv w:val="1"/>
      <w:marLeft w:val="0"/>
      <w:marRight w:val="0"/>
      <w:marTop w:val="0"/>
      <w:marBottom w:val="0"/>
      <w:divBdr>
        <w:top w:val="none" w:sz="0" w:space="0" w:color="auto"/>
        <w:left w:val="none" w:sz="0" w:space="0" w:color="auto"/>
        <w:bottom w:val="none" w:sz="0" w:space="0" w:color="auto"/>
        <w:right w:val="none" w:sz="0" w:space="0" w:color="auto"/>
      </w:divBdr>
    </w:div>
    <w:div w:id="1571965893">
      <w:bodyDiv w:val="1"/>
      <w:marLeft w:val="0"/>
      <w:marRight w:val="0"/>
      <w:marTop w:val="0"/>
      <w:marBottom w:val="0"/>
      <w:divBdr>
        <w:top w:val="none" w:sz="0" w:space="0" w:color="auto"/>
        <w:left w:val="none" w:sz="0" w:space="0" w:color="auto"/>
        <w:bottom w:val="none" w:sz="0" w:space="0" w:color="auto"/>
        <w:right w:val="none" w:sz="0" w:space="0" w:color="auto"/>
      </w:divBdr>
    </w:div>
    <w:div w:id="1575240915">
      <w:bodyDiv w:val="1"/>
      <w:marLeft w:val="0"/>
      <w:marRight w:val="0"/>
      <w:marTop w:val="0"/>
      <w:marBottom w:val="0"/>
      <w:divBdr>
        <w:top w:val="none" w:sz="0" w:space="0" w:color="auto"/>
        <w:left w:val="none" w:sz="0" w:space="0" w:color="auto"/>
        <w:bottom w:val="none" w:sz="0" w:space="0" w:color="auto"/>
        <w:right w:val="none" w:sz="0" w:space="0" w:color="auto"/>
      </w:divBdr>
    </w:div>
    <w:div w:id="1577016208">
      <w:bodyDiv w:val="1"/>
      <w:marLeft w:val="0"/>
      <w:marRight w:val="0"/>
      <w:marTop w:val="0"/>
      <w:marBottom w:val="0"/>
      <w:divBdr>
        <w:top w:val="none" w:sz="0" w:space="0" w:color="auto"/>
        <w:left w:val="none" w:sz="0" w:space="0" w:color="auto"/>
        <w:bottom w:val="none" w:sz="0" w:space="0" w:color="auto"/>
        <w:right w:val="none" w:sz="0" w:space="0" w:color="auto"/>
      </w:divBdr>
    </w:div>
    <w:div w:id="1578591234">
      <w:bodyDiv w:val="1"/>
      <w:marLeft w:val="0"/>
      <w:marRight w:val="0"/>
      <w:marTop w:val="0"/>
      <w:marBottom w:val="0"/>
      <w:divBdr>
        <w:top w:val="none" w:sz="0" w:space="0" w:color="auto"/>
        <w:left w:val="none" w:sz="0" w:space="0" w:color="auto"/>
        <w:bottom w:val="none" w:sz="0" w:space="0" w:color="auto"/>
        <w:right w:val="none" w:sz="0" w:space="0" w:color="auto"/>
      </w:divBdr>
    </w:div>
    <w:div w:id="1578786760">
      <w:bodyDiv w:val="1"/>
      <w:marLeft w:val="0"/>
      <w:marRight w:val="0"/>
      <w:marTop w:val="0"/>
      <w:marBottom w:val="0"/>
      <w:divBdr>
        <w:top w:val="none" w:sz="0" w:space="0" w:color="auto"/>
        <w:left w:val="none" w:sz="0" w:space="0" w:color="auto"/>
        <w:bottom w:val="none" w:sz="0" w:space="0" w:color="auto"/>
        <w:right w:val="none" w:sz="0" w:space="0" w:color="auto"/>
      </w:divBdr>
    </w:div>
    <w:div w:id="1582640530">
      <w:bodyDiv w:val="1"/>
      <w:marLeft w:val="0"/>
      <w:marRight w:val="0"/>
      <w:marTop w:val="0"/>
      <w:marBottom w:val="0"/>
      <w:divBdr>
        <w:top w:val="none" w:sz="0" w:space="0" w:color="auto"/>
        <w:left w:val="none" w:sz="0" w:space="0" w:color="auto"/>
        <w:bottom w:val="none" w:sz="0" w:space="0" w:color="auto"/>
        <w:right w:val="none" w:sz="0" w:space="0" w:color="auto"/>
      </w:divBdr>
    </w:div>
    <w:div w:id="1588883256">
      <w:bodyDiv w:val="1"/>
      <w:marLeft w:val="0"/>
      <w:marRight w:val="0"/>
      <w:marTop w:val="0"/>
      <w:marBottom w:val="0"/>
      <w:divBdr>
        <w:top w:val="none" w:sz="0" w:space="0" w:color="auto"/>
        <w:left w:val="none" w:sz="0" w:space="0" w:color="auto"/>
        <w:bottom w:val="none" w:sz="0" w:space="0" w:color="auto"/>
        <w:right w:val="none" w:sz="0" w:space="0" w:color="auto"/>
      </w:divBdr>
    </w:div>
    <w:div w:id="1589070643">
      <w:bodyDiv w:val="1"/>
      <w:marLeft w:val="0"/>
      <w:marRight w:val="0"/>
      <w:marTop w:val="0"/>
      <w:marBottom w:val="0"/>
      <w:divBdr>
        <w:top w:val="none" w:sz="0" w:space="0" w:color="auto"/>
        <w:left w:val="none" w:sz="0" w:space="0" w:color="auto"/>
        <w:bottom w:val="none" w:sz="0" w:space="0" w:color="auto"/>
        <w:right w:val="none" w:sz="0" w:space="0" w:color="auto"/>
      </w:divBdr>
    </w:div>
    <w:div w:id="1589583204">
      <w:bodyDiv w:val="1"/>
      <w:marLeft w:val="0"/>
      <w:marRight w:val="0"/>
      <w:marTop w:val="0"/>
      <w:marBottom w:val="0"/>
      <w:divBdr>
        <w:top w:val="none" w:sz="0" w:space="0" w:color="auto"/>
        <w:left w:val="none" w:sz="0" w:space="0" w:color="auto"/>
        <w:bottom w:val="none" w:sz="0" w:space="0" w:color="auto"/>
        <w:right w:val="none" w:sz="0" w:space="0" w:color="auto"/>
      </w:divBdr>
    </w:div>
    <w:div w:id="1590505879">
      <w:bodyDiv w:val="1"/>
      <w:marLeft w:val="0"/>
      <w:marRight w:val="0"/>
      <w:marTop w:val="0"/>
      <w:marBottom w:val="0"/>
      <w:divBdr>
        <w:top w:val="none" w:sz="0" w:space="0" w:color="auto"/>
        <w:left w:val="none" w:sz="0" w:space="0" w:color="auto"/>
        <w:bottom w:val="none" w:sz="0" w:space="0" w:color="auto"/>
        <w:right w:val="none" w:sz="0" w:space="0" w:color="auto"/>
      </w:divBdr>
    </w:div>
    <w:div w:id="1591311763">
      <w:bodyDiv w:val="1"/>
      <w:marLeft w:val="0"/>
      <w:marRight w:val="0"/>
      <w:marTop w:val="0"/>
      <w:marBottom w:val="0"/>
      <w:divBdr>
        <w:top w:val="none" w:sz="0" w:space="0" w:color="auto"/>
        <w:left w:val="none" w:sz="0" w:space="0" w:color="auto"/>
        <w:bottom w:val="none" w:sz="0" w:space="0" w:color="auto"/>
        <w:right w:val="none" w:sz="0" w:space="0" w:color="auto"/>
      </w:divBdr>
    </w:div>
    <w:div w:id="1593969617">
      <w:bodyDiv w:val="1"/>
      <w:marLeft w:val="0"/>
      <w:marRight w:val="0"/>
      <w:marTop w:val="0"/>
      <w:marBottom w:val="0"/>
      <w:divBdr>
        <w:top w:val="none" w:sz="0" w:space="0" w:color="auto"/>
        <w:left w:val="none" w:sz="0" w:space="0" w:color="auto"/>
        <w:bottom w:val="none" w:sz="0" w:space="0" w:color="auto"/>
        <w:right w:val="none" w:sz="0" w:space="0" w:color="auto"/>
      </w:divBdr>
    </w:div>
    <w:div w:id="1595162535">
      <w:bodyDiv w:val="1"/>
      <w:marLeft w:val="0"/>
      <w:marRight w:val="0"/>
      <w:marTop w:val="0"/>
      <w:marBottom w:val="0"/>
      <w:divBdr>
        <w:top w:val="none" w:sz="0" w:space="0" w:color="auto"/>
        <w:left w:val="none" w:sz="0" w:space="0" w:color="auto"/>
        <w:bottom w:val="none" w:sz="0" w:space="0" w:color="auto"/>
        <w:right w:val="none" w:sz="0" w:space="0" w:color="auto"/>
      </w:divBdr>
    </w:div>
    <w:div w:id="1595170388">
      <w:bodyDiv w:val="1"/>
      <w:marLeft w:val="0"/>
      <w:marRight w:val="0"/>
      <w:marTop w:val="0"/>
      <w:marBottom w:val="0"/>
      <w:divBdr>
        <w:top w:val="none" w:sz="0" w:space="0" w:color="auto"/>
        <w:left w:val="none" w:sz="0" w:space="0" w:color="auto"/>
        <w:bottom w:val="none" w:sz="0" w:space="0" w:color="auto"/>
        <w:right w:val="none" w:sz="0" w:space="0" w:color="auto"/>
      </w:divBdr>
    </w:div>
    <w:div w:id="1597902541">
      <w:bodyDiv w:val="1"/>
      <w:marLeft w:val="0"/>
      <w:marRight w:val="0"/>
      <w:marTop w:val="0"/>
      <w:marBottom w:val="0"/>
      <w:divBdr>
        <w:top w:val="none" w:sz="0" w:space="0" w:color="auto"/>
        <w:left w:val="none" w:sz="0" w:space="0" w:color="auto"/>
        <w:bottom w:val="none" w:sz="0" w:space="0" w:color="auto"/>
        <w:right w:val="none" w:sz="0" w:space="0" w:color="auto"/>
      </w:divBdr>
    </w:div>
    <w:div w:id="1598751175">
      <w:bodyDiv w:val="1"/>
      <w:marLeft w:val="0"/>
      <w:marRight w:val="0"/>
      <w:marTop w:val="0"/>
      <w:marBottom w:val="0"/>
      <w:divBdr>
        <w:top w:val="none" w:sz="0" w:space="0" w:color="auto"/>
        <w:left w:val="none" w:sz="0" w:space="0" w:color="auto"/>
        <w:bottom w:val="none" w:sz="0" w:space="0" w:color="auto"/>
        <w:right w:val="none" w:sz="0" w:space="0" w:color="auto"/>
      </w:divBdr>
    </w:div>
    <w:div w:id="1601600994">
      <w:bodyDiv w:val="1"/>
      <w:marLeft w:val="0"/>
      <w:marRight w:val="0"/>
      <w:marTop w:val="0"/>
      <w:marBottom w:val="0"/>
      <w:divBdr>
        <w:top w:val="none" w:sz="0" w:space="0" w:color="auto"/>
        <w:left w:val="none" w:sz="0" w:space="0" w:color="auto"/>
        <w:bottom w:val="none" w:sz="0" w:space="0" w:color="auto"/>
        <w:right w:val="none" w:sz="0" w:space="0" w:color="auto"/>
      </w:divBdr>
    </w:div>
    <w:div w:id="1603493073">
      <w:bodyDiv w:val="1"/>
      <w:marLeft w:val="0"/>
      <w:marRight w:val="0"/>
      <w:marTop w:val="0"/>
      <w:marBottom w:val="0"/>
      <w:divBdr>
        <w:top w:val="none" w:sz="0" w:space="0" w:color="auto"/>
        <w:left w:val="none" w:sz="0" w:space="0" w:color="auto"/>
        <w:bottom w:val="none" w:sz="0" w:space="0" w:color="auto"/>
        <w:right w:val="none" w:sz="0" w:space="0" w:color="auto"/>
      </w:divBdr>
    </w:div>
    <w:div w:id="1603994572">
      <w:bodyDiv w:val="1"/>
      <w:marLeft w:val="0"/>
      <w:marRight w:val="0"/>
      <w:marTop w:val="0"/>
      <w:marBottom w:val="0"/>
      <w:divBdr>
        <w:top w:val="none" w:sz="0" w:space="0" w:color="auto"/>
        <w:left w:val="none" w:sz="0" w:space="0" w:color="auto"/>
        <w:bottom w:val="none" w:sz="0" w:space="0" w:color="auto"/>
        <w:right w:val="none" w:sz="0" w:space="0" w:color="auto"/>
      </w:divBdr>
    </w:div>
    <w:div w:id="1606620896">
      <w:bodyDiv w:val="1"/>
      <w:marLeft w:val="0"/>
      <w:marRight w:val="0"/>
      <w:marTop w:val="0"/>
      <w:marBottom w:val="0"/>
      <w:divBdr>
        <w:top w:val="none" w:sz="0" w:space="0" w:color="auto"/>
        <w:left w:val="none" w:sz="0" w:space="0" w:color="auto"/>
        <w:bottom w:val="none" w:sz="0" w:space="0" w:color="auto"/>
        <w:right w:val="none" w:sz="0" w:space="0" w:color="auto"/>
      </w:divBdr>
    </w:div>
    <w:div w:id="1608849267">
      <w:bodyDiv w:val="1"/>
      <w:marLeft w:val="0"/>
      <w:marRight w:val="0"/>
      <w:marTop w:val="0"/>
      <w:marBottom w:val="0"/>
      <w:divBdr>
        <w:top w:val="none" w:sz="0" w:space="0" w:color="auto"/>
        <w:left w:val="none" w:sz="0" w:space="0" w:color="auto"/>
        <w:bottom w:val="none" w:sz="0" w:space="0" w:color="auto"/>
        <w:right w:val="none" w:sz="0" w:space="0" w:color="auto"/>
      </w:divBdr>
    </w:div>
    <w:div w:id="1609116221">
      <w:bodyDiv w:val="1"/>
      <w:marLeft w:val="0"/>
      <w:marRight w:val="0"/>
      <w:marTop w:val="0"/>
      <w:marBottom w:val="0"/>
      <w:divBdr>
        <w:top w:val="none" w:sz="0" w:space="0" w:color="auto"/>
        <w:left w:val="none" w:sz="0" w:space="0" w:color="auto"/>
        <w:bottom w:val="none" w:sz="0" w:space="0" w:color="auto"/>
        <w:right w:val="none" w:sz="0" w:space="0" w:color="auto"/>
      </w:divBdr>
    </w:div>
    <w:div w:id="1612396290">
      <w:bodyDiv w:val="1"/>
      <w:marLeft w:val="0"/>
      <w:marRight w:val="0"/>
      <w:marTop w:val="0"/>
      <w:marBottom w:val="0"/>
      <w:divBdr>
        <w:top w:val="none" w:sz="0" w:space="0" w:color="auto"/>
        <w:left w:val="none" w:sz="0" w:space="0" w:color="auto"/>
        <w:bottom w:val="none" w:sz="0" w:space="0" w:color="auto"/>
        <w:right w:val="none" w:sz="0" w:space="0" w:color="auto"/>
      </w:divBdr>
    </w:div>
    <w:div w:id="1614095380">
      <w:bodyDiv w:val="1"/>
      <w:marLeft w:val="0"/>
      <w:marRight w:val="0"/>
      <w:marTop w:val="0"/>
      <w:marBottom w:val="0"/>
      <w:divBdr>
        <w:top w:val="none" w:sz="0" w:space="0" w:color="auto"/>
        <w:left w:val="none" w:sz="0" w:space="0" w:color="auto"/>
        <w:bottom w:val="none" w:sz="0" w:space="0" w:color="auto"/>
        <w:right w:val="none" w:sz="0" w:space="0" w:color="auto"/>
      </w:divBdr>
    </w:div>
    <w:div w:id="1614291230">
      <w:bodyDiv w:val="1"/>
      <w:marLeft w:val="0"/>
      <w:marRight w:val="0"/>
      <w:marTop w:val="0"/>
      <w:marBottom w:val="0"/>
      <w:divBdr>
        <w:top w:val="none" w:sz="0" w:space="0" w:color="auto"/>
        <w:left w:val="none" w:sz="0" w:space="0" w:color="auto"/>
        <w:bottom w:val="none" w:sz="0" w:space="0" w:color="auto"/>
        <w:right w:val="none" w:sz="0" w:space="0" w:color="auto"/>
      </w:divBdr>
    </w:div>
    <w:div w:id="1616979065">
      <w:bodyDiv w:val="1"/>
      <w:marLeft w:val="0"/>
      <w:marRight w:val="0"/>
      <w:marTop w:val="0"/>
      <w:marBottom w:val="0"/>
      <w:divBdr>
        <w:top w:val="none" w:sz="0" w:space="0" w:color="auto"/>
        <w:left w:val="none" w:sz="0" w:space="0" w:color="auto"/>
        <w:bottom w:val="none" w:sz="0" w:space="0" w:color="auto"/>
        <w:right w:val="none" w:sz="0" w:space="0" w:color="auto"/>
      </w:divBdr>
    </w:div>
    <w:div w:id="1619019800">
      <w:bodyDiv w:val="1"/>
      <w:marLeft w:val="0"/>
      <w:marRight w:val="0"/>
      <w:marTop w:val="0"/>
      <w:marBottom w:val="0"/>
      <w:divBdr>
        <w:top w:val="none" w:sz="0" w:space="0" w:color="auto"/>
        <w:left w:val="none" w:sz="0" w:space="0" w:color="auto"/>
        <w:bottom w:val="none" w:sz="0" w:space="0" w:color="auto"/>
        <w:right w:val="none" w:sz="0" w:space="0" w:color="auto"/>
      </w:divBdr>
    </w:div>
    <w:div w:id="1628126555">
      <w:bodyDiv w:val="1"/>
      <w:marLeft w:val="0"/>
      <w:marRight w:val="0"/>
      <w:marTop w:val="0"/>
      <w:marBottom w:val="0"/>
      <w:divBdr>
        <w:top w:val="none" w:sz="0" w:space="0" w:color="auto"/>
        <w:left w:val="none" w:sz="0" w:space="0" w:color="auto"/>
        <w:bottom w:val="none" w:sz="0" w:space="0" w:color="auto"/>
        <w:right w:val="none" w:sz="0" w:space="0" w:color="auto"/>
      </w:divBdr>
    </w:div>
    <w:div w:id="1630276930">
      <w:bodyDiv w:val="1"/>
      <w:marLeft w:val="0"/>
      <w:marRight w:val="0"/>
      <w:marTop w:val="0"/>
      <w:marBottom w:val="0"/>
      <w:divBdr>
        <w:top w:val="none" w:sz="0" w:space="0" w:color="auto"/>
        <w:left w:val="none" w:sz="0" w:space="0" w:color="auto"/>
        <w:bottom w:val="none" w:sz="0" w:space="0" w:color="auto"/>
        <w:right w:val="none" w:sz="0" w:space="0" w:color="auto"/>
      </w:divBdr>
    </w:div>
    <w:div w:id="1631940741">
      <w:bodyDiv w:val="1"/>
      <w:marLeft w:val="0"/>
      <w:marRight w:val="0"/>
      <w:marTop w:val="0"/>
      <w:marBottom w:val="0"/>
      <w:divBdr>
        <w:top w:val="none" w:sz="0" w:space="0" w:color="auto"/>
        <w:left w:val="none" w:sz="0" w:space="0" w:color="auto"/>
        <w:bottom w:val="none" w:sz="0" w:space="0" w:color="auto"/>
        <w:right w:val="none" w:sz="0" w:space="0" w:color="auto"/>
      </w:divBdr>
    </w:div>
    <w:div w:id="1632707489">
      <w:bodyDiv w:val="1"/>
      <w:marLeft w:val="0"/>
      <w:marRight w:val="0"/>
      <w:marTop w:val="0"/>
      <w:marBottom w:val="0"/>
      <w:divBdr>
        <w:top w:val="none" w:sz="0" w:space="0" w:color="auto"/>
        <w:left w:val="none" w:sz="0" w:space="0" w:color="auto"/>
        <w:bottom w:val="none" w:sz="0" w:space="0" w:color="auto"/>
        <w:right w:val="none" w:sz="0" w:space="0" w:color="auto"/>
      </w:divBdr>
    </w:div>
    <w:div w:id="1634630124">
      <w:bodyDiv w:val="1"/>
      <w:marLeft w:val="0"/>
      <w:marRight w:val="0"/>
      <w:marTop w:val="0"/>
      <w:marBottom w:val="0"/>
      <w:divBdr>
        <w:top w:val="none" w:sz="0" w:space="0" w:color="auto"/>
        <w:left w:val="none" w:sz="0" w:space="0" w:color="auto"/>
        <w:bottom w:val="none" w:sz="0" w:space="0" w:color="auto"/>
        <w:right w:val="none" w:sz="0" w:space="0" w:color="auto"/>
      </w:divBdr>
    </w:div>
    <w:div w:id="1634865170">
      <w:bodyDiv w:val="1"/>
      <w:marLeft w:val="0"/>
      <w:marRight w:val="0"/>
      <w:marTop w:val="0"/>
      <w:marBottom w:val="0"/>
      <w:divBdr>
        <w:top w:val="none" w:sz="0" w:space="0" w:color="auto"/>
        <w:left w:val="none" w:sz="0" w:space="0" w:color="auto"/>
        <w:bottom w:val="none" w:sz="0" w:space="0" w:color="auto"/>
        <w:right w:val="none" w:sz="0" w:space="0" w:color="auto"/>
      </w:divBdr>
    </w:div>
    <w:div w:id="1635520595">
      <w:bodyDiv w:val="1"/>
      <w:marLeft w:val="0"/>
      <w:marRight w:val="0"/>
      <w:marTop w:val="0"/>
      <w:marBottom w:val="0"/>
      <w:divBdr>
        <w:top w:val="none" w:sz="0" w:space="0" w:color="auto"/>
        <w:left w:val="none" w:sz="0" w:space="0" w:color="auto"/>
        <w:bottom w:val="none" w:sz="0" w:space="0" w:color="auto"/>
        <w:right w:val="none" w:sz="0" w:space="0" w:color="auto"/>
      </w:divBdr>
    </w:div>
    <w:div w:id="1637488188">
      <w:bodyDiv w:val="1"/>
      <w:marLeft w:val="0"/>
      <w:marRight w:val="0"/>
      <w:marTop w:val="0"/>
      <w:marBottom w:val="0"/>
      <w:divBdr>
        <w:top w:val="none" w:sz="0" w:space="0" w:color="auto"/>
        <w:left w:val="none" w:sz="0" w:space="0" w:color="auto"/>
        <w:bottom w:val="none" w:sz="0" w:space="0" w:color="auto"/>
        <w:right w:val="none" w:sz="0" w:space="0" w:color="auto"/>
      </w:divBdr>
    </w:div>
    <w:div w:id="1641108120">
      <w:bodyDiv w:val="1"/>
      <w:marLeft w:val="0"/>
      <w:marRight w:val="0"/>
      <w:marTop w:val="0"/>
      <w:marBottom w:val="0"/>
      <w:divBdr>
        <w:top w:val="none" w:sz="0" w:space="0" w:color="auto"/>
        <w:left w:val="none" w:sz="0" w:space="0" w:color="auto"/>
        <w:bottom w:val="none" w:sz="0" w:space="0" w:color="auto"/>
        <w:right w:val="none" w:sz="0" w:space="0" w:color="auto"/>
      </w:divBdr>
    </w:div>
    <w:div w:id="1645234849">
      <w:bodyDiv w:val="1"/>
      <w:marLeft w:val="0"/>
      <w:marRight w:val="0"/>
      <w:marTop w:val="0"/>
      <w:marBottom w:val="0"/>
      <w:divBdr>
        <w:top w:val="none" w:sz="0" w:space="0" w:color="auto"/>
        <w:left w:val="none" w:sz="0" w:space="0" w:color="auto"/>
        <w:bottom w:val="none" w:sz="0" w:space="0" w:color="auto"/>
        <w:right w:val="none" w:sz="0" w:space="0" w:color="auto"/>
      </w:divBdr>
    </w:div>
    <w:div w:id="1653021665">
      <w:bodyDiv w:val="1"/>
      <w:marLeft w:val="0"/>
      <w:marRight w:val="0"/>
      <w:marTop w:val="0"/>
      <w:marBottom w:val="0"/>
      <w:divBdr>
        <w:top w:val="none" w:sz="0" w:space="0" w:color="auto"/>
        <w:left w:val="none" w:sz="0" w:space="0" w:color="auto"/>
        <w:bottom w:val="none" w:sz="0" w:space="0" w:color="auto"/>
        <w:right w:val="none" w:sz="0" w:space="0" w:color="auto"/>
      </w:divBdr>
    </w:div>
    <w:div w:id="1653481458">
      <w:bodyDiv w:val="1"/>
      <w:marLeft w:val="0"/>
      <w:marRight w:val="0"/>
      <w:marTop w:val="0"/>
      <w:marBottom w:val="0"/>
      <w:divBdr>
        <w:top w:val="none" w:sz="0" w:space="0" w:color="auto"/>
        <w:left w:val="none" w:sz="0" w:space="0" w:color="auto"/>
        <w:bottom w:val="none" w:sz="0" w:space="0" w:color="auto"/>
        <w:right w:val="none" w:sz="0" w:space="0" w:color="auto"/>
      </w:divBdr>
    </w:div>
    <w:div w:id="1657806469">
      <w:bodyDiv w:val="1"/>
      <w:marLeft w:val="0"/>
      <w:marRight w:val="0"/>
      <w:marTop w:val="0"/>
      <w:marBottom w:val="0"/>
      <w:divBdr>
        <w:top w:val="none" w:sz="0" w:space="0" w:color="auto"/>
        <w:left w:val="none" w:sz="0" w:space="0" w:color="auto"/>
        <w:bottom w:val="none" w:sz="0" w:space="0" w:color="auto"/>
        <w:right w:val="none" w:sz="0" w:space="0" w:color="auto"/>
      </w:divBdr>
    </w:div>
    <w:div w:id="1658800331">
      <w:bodyDiv w:val="1"/>
      <w:marLeft w:val="0"/>
      <w:marRight w:val="0"/>
      <w:marTop w:val="0"/>
      <w:marBottom w:val="0"/>
      <w:divBdr>
        <w:top w:val="none" w:sz="0" w:space="0" w:color="auto"/>
        <w:left w:val="none" w:sz="0" w:space="0" w:color="auto"/>
        <w:bottom w:val="none" w:sz="0" w:space="0" w:color="auto"/>
        <w:right w:val="none" w:sz="0" w:space="0" w:color="auto"/>
      </w:divBdr>
    </w:div>
    <w:div w:id="1659458005">
      <w:bodyDiv w:val="1"/>
      <w:marLeft w:val="0"/>
      <w:marRight w:val="0"/>
      <w:marTop w:val="0"/>
      <w:marBottom w:val="0"/>
      <w:divBdr>
        <w:top w:val="none" w:sz="0" w:space="0" w:color="auto"/>
        <w:left w:val="none" w:sz="0" w:space="0" w:color="auto"/>
        <w:bottom w:val="none" w:sz="0" w:space="0" w:color="auto"/>
        <w:right w:val="none" w:sz="0" w:space="0" w:color="auto"/>
      </w:divBdr>
    </w:div>
    <w:div w:id="1659841652">
      <w:bodyDiv w:val="1"/>
      <w:marLeft w:val="0"/>
      <w:marRight w:val="0"/>
      <w:marTop w:val="0"/>
      <w:marBottom w:val="0"/>
      <w:divBdr>
        <w:top w:val="none" w:sz="0" w:space="0" w:color="auto"/>
        <w:left w:val="none" w:sz="0" w:space="0" w:color="auto"/>
        <w:bottom w:val="none" w:sz="0" w:space="0" w:color="auto"/>
        <w:right w:val="none" w:sz="0" w:space="0" w:color="auto"/>
      </w:divBdr>
    </w:div>
    <w:div w:id="1663463030">
      <w:bodyDiv w:val="1"/>
      <w:marLeft w:val="0"/>
      <w:marRight w:val="0"/>
      <w:marTop w:val="0"/>
      <w:marBottom w:val="0"/>
      <w:divBdr>
        <w:top w:val="none" w:sz="0" w:space="0" w:color="auto"/>
        <w:left w:val="none" w:sz="0" w:space="0" w:color="auto"/>
        <w:bottom w:val="none" w:sz="0" w:space="0" w:color="auto"/>
        <w:right w:val="none" w:sz="0" w:space="0" w:color="auto"/>
      </w:divBdr>
    </w:div>
    <w:div w:id="1666126396">
      <w:bodyDiv w:val="1"/>
      <w:marLeft w:val="0"/>
      <w:marRight w:val="0"/>
      <w:marTop w:val="0"/>
      <w:marBottom w:val="0"/>
      <w:divBdr>
        <w:top w:val="none" w:sz="0" w:space="0" w:color="auto"/>
        <w:left w:val="none" w:sz="0" w:space="0" w:color="auto"/>
        <w:bottom w:val="none" w:sz="0" w:space="0" w:color="auto"/>
        <w:right w:val="none" w:sz="0" w:space="0" w:color="auto"/>
      </w:divBdr>
    </w:div>
    <w:div w:id="1668096472">
      <w:bodyDiv w:val="1"/>
      <w:marLeft w:val="0"/>
      <w:marRight w:val="0"/>
      <w:marTop w:val="0"/>
      <w:marBottom w:val="0"/>
      <w:divBdr>
        <w:top w:val="none" w:sz="0" w:space="0" w:color="auto"/>
        <w:left w:val="none" w:sz="0" w:space="0" w:color="auto"/>
        <w:bottom w:val="none" w:sz="0" w:space="0" w:color="auto"/>
        <w:right w:val="none" w:sz="0" w:space="0" w:color="auto"/>
      </w:divBdr>
    </w:div>
    <w:div w:id="1670670807">
      <w:bodyDiv w:val="1"/>
      <w:marLeft w:val="0"/>
      <w:marRight w:val="0"/>
      <w:marTop w:val="0"/>
      <w:marBottom w:val="0"/>
      <w:divBdr>
        <w:top w:val="none" w:sz="0" w:space="0" w:color="auto"/>
        <w:left w:val="none" w:sz="0" w:space="0" w:color="auto"/>
        <w:bottom w:val="none" w:sz="0" w:space="0" w:color="auto"/>
        <w:right w:val="none" w:sz="0" w:space="0" w:color="auto"/>
      </w:divBdr>
    </w:div>
    <w:div w:id="1671522434">
      <w:bodyDiv w:val="1"/>
      <w:marLeft w:val="0"/>
      <w:marRight w:val="0"/>
      <w:marTop w:val="0"/>
      <w:marBottom w:val="0"/>
      <w:divBdr>
        <w:top w:val="none" w:sz="0" w:space="0" w:color="auto"/>
        <w:left w:val="none" w:sz="0" w:space="0" w:color="auto"/>
        <w:bottom w:val="none" w:sz="0" w:space="0" w:color="auto"/>
        <w:right w:val="none" w:sz="0" w:space="0" w:color="auto"/>
      </w:divBdr>
    </w:div>
    <w:div w:id="1673987065">
      <w:bodyDiv w:val="1"/>
      <w:marLeft w:val="0"/>
      <w:marRight w:val="0"/>
      <w:marTop w:val="0"/>
      <w:marBottom w:val="0"/>
      <w:divBdr>
        <w:top w:val="none" w:sz="0" w:space="0" w:color="auto"/>
        <w:left w:val="none" w:sz="0" w:space="0" w:color="auto"/>
        <w:bottom w:val="none" w:sz="0" w:space="0" w:color="auto"/>
        <w:right w:val="none" w:sz="0" w:space="0" w:color="auto"/>
      </w:divBdr>
    </w:div>
    <w:div w:id="1678121250">
      <w:bodyDiv w:val="1"/>
      <w:marLeft w:val="0"/>
      <w:marRight w:val="0"/>
      <w:marTop w:val="0"/>
      <w:marBottom w:val="0"/>
      <w:divBdr>
        <w:top w:val="none" w:sz="0" w:space="0" w:color="auto"/>
        <w:left w:val="none" w:sz="0" w:space="0" w:color="auto"/>
        <w:bottom w:val="none" w:sz="0" w:space="0" w:color="auto"/>
        <w:right w:val="none" w:sz="0" w:space="0" w:color="auto"/>
      </w:divBdr>
    </w:div>
    <w:div w:id="1679041261">
      <w:bodyDiv w:val="1"/>
      <w:marLeft w:val="0"/>
      <w:marRight w:val="0"/>
      <w:marTop w:val="0"/>
      <w:marBottom w:val="0"/>
      <w:divBdr>
        <w:top w:val="none" w:sz="0" w:space="0" w:color="auto"/>
        <w:left w:val="none" w:sz="0" w:space="0" w:color="auto"/>
        <w:bottom w:val="none" w:sz="0" w:space="0" w:color="auto"/>
        <w:right w:val="none" w:sz="0" w:space="0" w:color="auto"/>
      </w:divBdr>
    </w:div>
    <w:div w:id="1681859317">
      <w:bodyDiv w:val="1"/>
      <w:marLeft w:val="0"/>
      <w:marRight w:val="0"/>
      <w:marTop w:val="0"/>
      <w:marBottom w:val="0"/>
      <w:divBdr>
        <w:top w:val="none" w:sz="0" w:space="0" w:color="auto"/>
        <w:left w:val="none" w:sz="0" w:space="0" w:color="auto"/>
        <w:bottom w:val="none" w:sz="0" w:space="0" w:color="auto"/>
        <w:right w:val="none" w:sz="0" w:space="0" w:color="auto"/>
      </w:divBdr>
    </w:div>
    <w:div w:id="1682463730">
      <w:bodyDiv w:val="1"/>
      <w:marLeft w:val="0"/>
      <w:marRight w:val="0"/>
      <w:marTop w:val="0"/>
      <w:marBottom w:val="0"/>
      <w:divBdr>
        <w:top w:val="none" w:sz="0" w:space="0" w:color="auto"/>
        <w:left w:val="none" w:sz="0" w:space="0" w:color="auto"/>
        <w:bottom w:val="none" w:sz="0" w:space="0" w:color="auto"/>
        <w:right w:val="none" w:sz="0" w:space="0" w:color="auto"/>
      </w:divBdr>
    </w:div>
    <w:div w:id="1684938076">
      <w:bodyDiv w:val="1"/>
      <w:marLeft w:val="0"/>
      <w:marRight w:val="0"/>
      <w:marTop w:val="0"/>
      <w:marBottom w:val="0"/>
      <w:divBdr>
        <w:top w:val="none" w:sz="0" w:space="0" w:color="auto"/>
        <w:left w:val="none" w:sz="0" w:space="0" w:color="auto"/>
        <w:bottom w:val="none" w:sz="0" w:space="0" w:color="auto"/>
        <w:right w:val="none" w:sz="0" w:space="0" w:color="auto"/>
      </w:divBdr>
    </w:div>
    <w:div w:id="1686204522">
      <w:bodyDiv w:val="1"/>
      <w:marLeft w:val="0"/>
      <w:marRight w:val="0"/>
      <w:marTop w:val="0"/>
      <w:marBottom w:val="0"/>
      <w:divBdr>
        <w:top w:val="none" w:sz="0" w:space="0" w:color="auto"/>
        <w:left w:val="none" w:sz="0" w:space="0" w:color="auto"/>
        <w:bottom w:val="none" w:sz="0" w:space="0" w:color="auto"/>
        <w:right w:val="none" w:sz="0" w:space="0" w:color="auto"/>
      </w:divBdr>
    </w:div>
    <w:div w:id="1687753687">
      <w:bodyDiv w:val="1"/>
      <w:marLeft w:val="0"/>
      <w:marRight w:val="0"/>
      <w:marTop w:val="0"/>
      <w:marBottom w:val="0"/>
      <w:divBdr>
        <w:top w:val="none" w:sz="0" w:space="0" w:color="auto"/>
        <w:left w:val="none" w:sz="0" w:space="0" w:color="auto"/>
        <w:bottom w:val="none" w:sz="0" w:space="0" w:color="auto"/>
        <w:right w:val="none" w:sz="0" w:space="0" w:color="auto"/>
      </w:divBdr>
    </w:div>
    <w:div w:id="1688100159">
      <w:bodyDiv w:val="1"/>
      <w:marLeft w:val="0"/>
      <w:marRight w:val="0"/>
      <w:marTop w:val="0"/>
      <w:marBottom w:val="0"/>
      <w:divBdr>
        <w:top w:val="none" w:sz="0" w:space="0" w:color="auto"/>
        <w:left w:val="none" w:sz="0" w:space="0" w:color="auto"/>
        <w:bottom w:val="none" w:sz="0" w:space="0" w:color="auto"/>
        <w:right w:val="none" w:sz="0" w:space="0" w:color="auto"/>
      </w:divBdr>
    </w:div>
    <w:div w:id="1699157872">
      <w:bodyDiv w:val="1"/>
      <w:marLeft w:val="0"/>
      <w:marRight w:val="0"/>
      <w:marTop w:val="0"/>
      <w:marBottom w:val="0"/>
      <w:divBdr>
        <w:top w:val="none" w:sz="0" w:space="0" w:color="auto"/>
        <w:left w:val="none" w:sz="0" w:space="0" w:color="auto"/>
        <w:bottom w:val="none" w:sz="0" w:space="0" w:color="auto"/>
        <w:right w:val="none" w:sz="0" w:space="0" w:color="auto"/>
      </w:divBdr>
    </w:div>
    <w:div w:id="1700273527">
      <w:bodyDiv w:val="1"/>
      <w:marLeft w:val="0"/>
      <w:marRight w:val="0"/>
      <w:marTop w:val="0"/>
      <w:marBottom w:val="0"/>
      <w:divBdr>
        <w:top w:val="none" w:sz="0" w:space="0" w:color="auto"/>
        <w:left w:val="none" w:sz="0" w:space="0" w:color="auto"/>
        <w:bottom w:val="none" w:sz="0" w:space="0" w:color="auto"/>
        <w:right w:val="none" w:sz="0" w:space="0" w:color="auto"/>
      </w:divBdr>
    </w:div>
    <w:div w:id="1701278678">
      <w:bodyDiv w:val="1"/>
      <w:marLeft w:val="0"/>
      <w:marRight w:val="0"/>
      <w:marTop w:val="0"/>
      <w:marBottom w:val="0"/>
      <w:divBdr>
        <w:top w:val="none" w:sz="0" w:space="0" w:color="auto"/>
        <w:left w:val="none" w:sz="0" w:space="0" w:color="auto"/>
        <w:bottom w:val="none" w:sz="0" w:space="0" w:color="auto"/>
        <w:right w:val="none" w:sz="0" w:space="0" w:color="auto"/>
      </w:divBdr>
    </w:div>
    <w:div w:id="1702701501">
      <w:bodyDiv w:val="1"/>
      <w:marLeft w:val="0"/>
      <w:marRight w:val="0"/>
      <w:marTop w:val="0"/>
      <w:marBottom w:val="0"/>
      <w:divBdr>
        <w:top w:val="none" w:sz="0" w:space="0" w:color="auto"/>
        <w:left w:val="none" w:sz="0" w:space="0" w:color="auto"/>
        <w:bottom w:val="none" w:sz="0" w:space="0" w:color="auto"/>
        <w:right w:val="none" w:sz="0" w:space="0" w:color="auto"/>
      </w:divBdr>
    </w:div>
    <w:div w:id="1703701038">
      <w:bodyDiv w:val="1"/>
      <w:marLeft w:val="0"/>
      <w:marRight w:val="0"/>
      <w:marTop w:val="0"/>
      <w:marBottom w:val="0"/>
      <w:divBdr>
        <w:top w:val="none" w:sz="0" w:space="0" w:color="auto"/>
        <w:left w:val="none" w:sz="0" w:space="0" w:color="auto"/>
        <w:bottom w:val="none" w:sz="0" w:space="0" w:color="auto"/>
        <w:right w:val="none" w:sz="0" w:space="0" w:color="auto"/>
      </w:divBdr>
    </w:div>
    <w:div w:id="1707026025">
      <w:bodyDiv w:val="1"/>
      <w:marLeft w:val="0"/>
      <w:marRight w:val="0"/>
      <w:marTop w:val="0"/>
      <w:marBottom w:val="0"/>
      <w:divBdr>
        <w:top w:val="none" w:sz="0" w:space="0" w:color="auto"/>
        <w:left w:val="none" w:sz="0" w:space="0" w:color="auto"/>
        <w:bottom w:val="none" w:sz="0" w:space="0" w:color="auto"/>
        <w:right w:val="none" w:sz="0" w:space="0" w:color="auto"/>
      </w:divBdr>
    </w:div>
    <w:div w:id="1707758303">
      <w:bodyDiv w:val="1"/>
      <w:marLeft w:val="0"/>
      <w:marRight w:val="0"/>
      <w:marTop w:val="0"/>
      <w:marBottom w:val="0"/>
      <w:divBdr>
        <w:top w:val="none" w:sz="0" w:space="0" w:color="auto"/>
        <w:left w:val="none" w:sz="0" w:space="0" w:color="auto"/>
        <w:bottom w:val="none" w:sz="0" w:space="0" w:color="auto"/>
        <w:right w:val="none" w:sz="0" w:space="0" w:color="auto"/>
      </w:divBdr>
    </w:div>
    <w:div w:id="1708405975">
      <w:bodyDiv w:val="1"/>
      <w:marLeft w:val="0"/>
      <w:marRight w:val="0"/>
      <w:marTop w:val="0"/>
      <w:marBottom w:val="0"/>
      <w:divBdr>
        <w:top w:val="none" w:sz="0" w:space="0" w:color="auto"/>
        <w:left w:val="none" w:sz="0" w:space="0" w:color="auto"/>
        <w:bottom w:val="none" w:sz="0" w:space="0" w:color="auto"/>
        <w:right w:val="none" w:sz="0" w:space="0" w:color="auto"/>
      </w:divBdr>
    </w:div>
    <w:div w:id="1710765224">
      <w:bodyDiv w:val="1"/>
      <w:marLeft w:val="0"/>
      <w:marRight w:val="0"/>
      <w:marTop w:val="0"/>
      <w:marBottom w:val="0"/>
      <w:divBdr>
        <w:top w:val="none" w:sz="0" w:space="0" w:color="auto"/>
        <w:left w:val="none" w:sz="0" w:space="0" w:color="auto"/>
        <w:bottom w:val="none" w:sz="0" w:space="0" w:color="auto"/>
        <w:right w:val="none" w:sz="0" w:space="0" w:color="auto"/>
      </w:divBdr>
    </w:div>
    <w:div w:id="1713383666">
      <w:bodyDiv w:val="1"/>
      <w:marLeft w:val="0"/>
      <w:marRight w:val="0"/>
      <w:marTop w:val="0"/>
      <w:marBottom w:val="0"/>
      <w:divBdr>
        <w:top w:val="none" w:sz="0" w:space="0" w:color="auto"/>
        <w:left w:val="none" w:sz="0" w:space="0" w:color="auto"/>
        <w:bottom w:val="none" w:sz="0" w:space="0" w:color="auto"/>
        <w:right w:val="none" w:sz="0" w:space="0" w:color="auto"/>
      </w:divBdr>
    </w:div>
    <w:div w:id="1719890598">
      <w:bodyDiv w:val="1"/>
      <w:marLeft w:val="0"/>
      <w:marRight w:val="0"/>
      <w:marTop w:val="0"/>
      <w:marBottom w:val="0"/>
      <w:divBdr>
        <w:top w:val="none" w:sz="0" w:space="0" w:color="auto"/>
        <w:left w:val="none" w:sz="0" w:space="0" w:color="auto"/>
        <w:bottom w:val="none" w:sz="0" w:space="0" w:color="auto"/>
        <w:right w:val="none" w:sz="0" w:space="0" w:color="auto"/>
      </w:divBdr>
    </w:div>
    <w:div w:id="1721592704">
      <w:bodyDiv w:val="1"/>
      <w:marLeft w:val="0"/>
      <w:marRight w:val="0"/>
      <w:marTop w:val="0"/>
      <w:marBottom w:val="0"/>
      <w:divBdr>
        <w:top w:val="none" w:sz="0" w:space="0" w:color="auto"/>
        <w:left w:val="none" w:sz="0" w:space="0" w:color="auto"/>
        <w:bottom w:val="none" w:sz="0" w:space="0" w:color="auto"/>
        <w:right w:val="none" w:sz="0" w:space="0" w:color="auto"/>
      </w:divBdr>
    </w:div>
    <w:div w:id="1723602752">
      <w:bodyDiv w:val="1"/>
      <w:marLeft w:val="0"/>
      <w:marRight w:val="0"/>
      <w:marTop w:val="0"/>
      <w:marBottom w:val="0"/>
      <w:divBdr>
        <w:top w:val="none" w:sz="0" w:space="0" w:color="auto"/>
        <w:left w:val="none" w:sz="0" w:space="0" w:color="auto"/>
        <w:bottom w:val="none" w:sz="0" w:space="0" w:color="auto"/>
        <w:right w:val="none" w:sz="0" w:space="0" w:color="auto"/>
      </w:divBdr>
    </w:div>
    <w:div w:id="1731881248">
      <w:bodyDiv w:val="1"/>
      <w:marLeft w:val="0"/>
      <w:marRight w:val="0"/>
      <w:marTop w:val="0"/>
      <w:marBottom w:val="0"/>
      <w:divBdr>
        <w:top w:val="none" w:sz="0" w:space="0" w:color="auto"/>
        <w:left w:val="none" w:sz="0" w:space="0" w:color="auto"/>
        <w:bottom w:val="none" w:sz="0" w:space="0" w:color="auto"/>
        <w:right w:val="none" w:sz="0" w:space="0" w:color="auto"/>
      </w:divBdr>
    </w:div>
    <w:div w:id="1733577563">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 w:id="1736850594">
      <w:bodyDiv w:val="1"/>
      <w:marLeft w:val="0"/>
      <w:marRight w:val="0"/>
      <w:marTop w:val="0"/>
      <w:marBottom w:val="0"/>
      <w:divBdr>
        <w:top w:val="none" w:sz="0" w:space="0" w:color="auto"/>
        <w:left w:val="none" w:sz="0" w:space="0" w:color="auto"/>
        <w:bottom w:val="none" w:sz="0" w:space="0" w:color="auto"/>
        <w:right w:val="none" w:sz="0" w:space="0" w:color="auto"/>
      </w:divBdr>
    </w:div>
    <w:div w:id="1739279853">
      <w:bodyDiv w:val="1"/>
      <w:marLeft w:val="0"/>
      <w:marRight w:val="0"/>
      <w:marTop w:val="0"/>
      <w:marBottom w:val="0"/>
      <w:divBdr>
        <w:top w:val="none" w:sz="0" w:space="0" w:color="auto"/>
        <w:left w:val="none" w:sz="0" w:space="0" w:color="auto"/>
        <w:bottom w:val="none" w:sz="0" w:space="0" w:color="auto"/>
        <w:right w:val="none" w:sz="0" w:space="0" w:color="auto"/>
      </w:divBdr>
    </w:div>
    <w:div w:id="1742294081">
      <w:bodyDiv w:val="1"/>
      <w:marLeft w:val="0"/>
      <w:marRight w:val="0"/>
      <w:marTop w:val="0"/>
      <w:marBottom w:val="0"/>
      <w:divBdr>
        <w:top w:val="none" w:sz="0" w:space="0" w:color="auto"/>
        <w:left w:val="none" w:sz="0" w:space="0" w:color="auto"/>
        <w:bottom w:val="none" w:sz="0" w:space="0" w:color="auto"/>
        <w:right w:val="none" w:sz="0" w:space="0" w:color="auto"/>
      </w:divBdr>
    </w:div>
    <w:div w:id="1743407206">
      <w:bodyDiv w:val="1"/>
      <w:marLeft w:val="0"/>
      <w:marRight w:val="0"/>
      <w:marTop w:val="0"/>
      <w:marBottom w:val="0"/>
      <w:divBdr>
        <w:top w:val="none" w:sz="0" w:space="0" w:color="auto"/>
        <w:left w:val="none" w:sz="0" w:space="0" w:color="auto"/>
        <w:bottom w:val="none" w:sz="0" w:space="0" w:color="auto"/>
        <w:right w:val="none" w:sz="0" w:space="0" w:color="auto"/>
      </w:divBdr>
    </w:div>
    <w:div w:id="1751151042">
      <w:bodyDiv w:val="1"/>
      <w:marLeft w:val="0"/>
      <w:marRight w:val="0"/>
      <w:marTop w:val="0"/>
      <w:marBottom w:val="0"/>
      <w:divBdr>
        <w:top w:val="none" w:sz="0" w:space="0" w:color="auto"/>
        <w:left w:val="none" w:sz="0" w:space="0" w:color="auto"/>
        <w:bottom w:val="none" w:sz="0" w:space="0" w:color="auto"/>
        <w:right w:val="none" w:sz="0" w:space="0" w:color="auto"/>
      </w:divBdr>
    </w:div>
    <w:div w:id="1751391751">
      <w:bodyDiv w:val="1"/>
      <w:marLeft w:val="0"/>
      <w:marRight w:val="0"/>
      <w:marTop w:val="0"/>
      <w:marBottom w:val="0"/>
      <w:divBdr>
        <w:top w:val="none" w:sz="0" w:space="0" w:color="auto"/>
        <w:left w:val="none" w:sz="0" w:space="0" w:color="auto"/>
        <w:bottom w:val="none" w:sz="0" w:space="0" w:color="auto"/>
        <w:right w:val="none" w:sz="0" w:space="0" w:color="auto"/>
      </w:divBdr>
    </w:div>
    <w:div w:id="1751734057">
      <w:bodyDiv w:val="1"/>
      <w:marLeft w:val="0"/>
      <w:marRight w:val="0"/>
      <w:marTop w:val="0"/>
      <w:marBottom w:val="0"/>
      <w:divBdr>
        <w:top w:val="none" w:sz="0" w:space="0" w:color="auto"/>
        <w:left w:val="none" w:sz="0" w:space="0" w:color="auto"/>
        <w:bottom w:val="none" w:sz="0" w:space="0" w:color="auto"/>
        <w:right w:val="none" w:sz="0" w:space="0" w:color="auto"/>
      </w:divBdr>
    </w:div>
    <w:div w:id="1752770447">
      <w:bodyDiv w:val="1"/>
      <w:marLeft w:val="0"/>
      <w:marRight w:val="0"/>
      <w:marTop w:val="0"/>
      <w:marBottom w:val="0"/>
      <w:divBdr>
        <w:top w:val="none" w:sz="0" w:space="0" w:color="auto"/>
        <w:left w:val="none" w:sz="0" w:space="0" w:color="auto"/>
        <w:bottom w:val="none" w:sz="0" w:space="0" w:color="auto"/>
        <w:right w:val="none" w:sz="0" w:space="0" w:color="auto"/>
      </w:divBdr>
    </w:div>
    <w:div w:id="1755124340">
      <w:bodyDiv w:val="1"/>
      <w:marLeft w:val="0"/>
      <w:marRight w:val="0"/>
      <w:marTop w:val="0"/>
      <w:marBottom w:val="0"/>
      <w:divBdr>
        <w:top w:val="none" w:sz="0" w:space="0" w:color="auto"/>
        <w:left w:val="none" w:sz="0" w:space="0" w:color="auto"/>
        <w:bottom w:val="none" w:sz="0" w:space="0" w:color="auto"/>
        <w:right w:val="none" w:sz="0" w:space="0" w:color="auto"/>
      </w:divBdr>
    </w:div>
    <w:div w:id="1758094608">
      <w:bodyDiv w:val="1"/>
      <w:marLeft w:val="0"/>
      <w:marRight w:val="0"/>
      <w:marTop w:val="0"/>
      <w:marBottom w:val="0"/>
      <w:divBdr>
        <w:top w:val="none" w:sz="0" w:space="0" w:color="auto"/>
        <w:left w:val="none" w:sz="0" w:space="0" w:color="auto"/>
        <w:bottom w:val="none" w:sz="0" w:space="0" w:color="auto"/>
        <w:right w:val="none" w:sz="0" w:space="0" w:color="auto"/>
      </w:divBdr>
    </w:div>
    <w:div w:id="1759329884">
      <w:bodyDiv w:val="1"/>
      <w:marLeft w:val="0"/>
      <w:marRight w:val="0"/>
      <w:marTop w:val="0"/>
      <w:marBottom w:val="0"/>
      <w:divBdr>
        <w:top w:val="none" w:sz="0" w:space="0" w:color="auto"/>
        <w:left w:val="none" w:sz="0" w:space="0" w:color="auto"/>
        <w:bottom w:val="none" w:sz="0" w:space="0" w:color="auto"/>
        <w:right w:val="none" w:sz="0" w:space="0" w:color="auto"/>
      </w:divBdr>
    </w:div>
    <w:div w:id="1761752958">
      <w:bodyDiv w:val="1"/>
      <w:marLeft w:val="0"/>
      <w:marRight w:val="0"/>
      <w:marTop w:val="0"/>
      <w:marBottom w:val="0"/>
      <w:divBdr>
        <w:top w:val="none" w:sz="0" w:space="0" w:color="auto"/>
        <w:left w:val="none" w:sz="0" w:space="0" w:color="auto"/>
        <w:bottom w:val="none" w:sz="0" w:space="0" w:color="auto"/>
        <w:right w:val="none" w:sz="0" w:space="0" w:color="auto"/>
      </w:divBdr>
    </w:div>
    <w:div w:id="1762412170">
      <w:bodyDiv w:val="1"/>
      <w:marLeft w:val="0"/>
      <w:marRight w:val="0"/>
      <w:marTop w:val="0"/>
      <w:marBottom w:val="0"/>
      <w:divBdr>
        <w:top w:val="none" w:sz="0" w:space="0" w:color="auto"/>
        <w:left w:val="none" w:sz="0" w:space="0" w:color="auto"/>
        <w:bottom w:val="none" w:sz="0" w:space="0" w:color="auto"/>
        <w:right w:val="none" w:sz="0" w:space="0" w:color="auto"/>
      </w:divBdr>
    </w:div>
    <w:div w:id="1764301911">
      <w:bodyDiv w:val="1"/>
      <w:marLeft w:val="0"/>
      <w:marRight w:val="0"/>
      <w:marTop w:val="0"/>
      <w:marBottom w:val="0"/>
      <w:divBdr>
        <w:top w:val="none" w:sz="0" w:space="0" w:color="auto"/>
        <w:left w:val="none" w:sz="0" w:space="0" w:color="auto"/>
        <w:bottom w:val="none" w:sz="0" w:space="0" w:color="auto"/>
        <w:right w:val="none" w:sz="0" w:space="0" w:color="auto"/>
      </w:divBdr>
    </w:div>
    <w:div w:id="1769229627">
      <w:bodyDiv w:val="1"/>
      <w:marLeft w:val="0"/>
      <w:marRight w:val="0"/>
      <w:marTop w:val="0"/>
      <w:marBottom w:val="0"/>
      <w:divBdr>
        <w:top w:val="none" w:sz="0" w:space="0" w:color="auto"/>
        <w:left w:val="none" w:sz="0" w:space="0" w:color="auto"/>
        <w:bottom w:val="none" w:sz="0" w:space="0" w:color="auto"/>
        <w:right w:val="none" w:sz="0" w:space="0" w:color="auto"/>
      </w:divBdr>
    </w:div>
    <w:div w:id="1771968037">
      <w:bodyDiv w:val="1"/>
      <w:marLeft w:val="0"/>
      <w:marRight w:val="0"/>
      <w:marTop w:val="0"/>
      <w:marBottom w:val="0"/>
      <w:divBdr>
        <w:top w:val="none" w:sz="0" w:space="0" w:color="auto"/>
        <w:left w:val="none" w:sz="0" w:space="0" w:color="auto"/>
        <w:bottom w:val="none" w:sz="0" w:space="0" w:color="auto"/>
        <w:right w:val="none" w:sz="0" w:space="0" w:color="auto"/>
      </w:divBdr>
    </w:div>
    <w:div w:id="1775973196">
      <w:bodyDiv w:val="1"/>
      <w:marLeft w:val="0"/>
      <w:marRight w:val="0"/>
      <w:marTop w:val="0"/>
      <w:marBottom w:val="0"/>
      <w:divBdr>
        <w:top w:val="none" w:sz="0" w:space="0" w:color="auto"/>
        <w:left w:val="none" w:sz="0" w:space="0" w:color="auto"/>
        <w:bottom w:val="none" w:sz="0" w:space="0" w:color="auto"/>
        <w:right w:val="none" w:sz="0" w:space="0" w:color="auto"/>
      </w:divBdr>
    </w:div>
    <w:div w:id="1781221634">
      <w:bodyDiv w:val="1"/>
      <w:marLeft w:val="0"/>
      <w:marRight w:val="0"/>
      <w:marTop w:val="0"/>
      <w:marBottom w:val="0"/>
      <w:divBdr>
        <w:top w:val="none" w:sz="0" w:space="0" w:color="auto"/>
        <w:left w:val="none" w:sz="0" w:space="0" w:color="auto"/>
        <w:bottom w:val="none" w:sz="0" w:space="0" w:color="auto"/>
        <w:right w:val="none" w:sz="0" w:space="0" w:color="auto"/>
      </w:divBdr>
    </w:div>
    <w:div w:id="1782338888">
      <w:bodyDiv w:val="1"/>
      <w:marLeft w:val="0"/>
      <w:marRight w:val="0"/>
      <w:marTop w:val="0"/>
      <w:marBottom w:val="0"/>
      <w:divBdr>
        <w:top w:val="none" w:sz="0" w:space="0" w:color="auto"/>
        <w:left w:val="none" w:sz="0" w:space="0" w:color="auto"/>
        <w:bottom w:val="none" w:sz="0" w:space="0" w:color="auto"/>
        <w:right w:val="none" w:sz="0" w:space="0" w:color="auto"/>
      </w:divBdr>
    </w:div>
    <w:div w:id="1783063083">
      <w:bodyDiv w:val="1"/>
      <w:marLeft w:val="0"/>
      <w:marRight w:val="0"/>
      <w:marTop w:val="0"/>
      <w:marBottom w:val="0"/>
      <w:divBdr>
        <w:top w:val="none" w:sz="0" w:space="0" w:color="auto"/>
        <w:left w:val="none" w:sz="0" w:space="0" w:color="auto"/>
        <w:bottom w:val="none" w:sz="0" w:space="0" w:color="auto"/>
        <w:right w:val="none" w:sz="0" w:space="0" w:color="auto"/>
      </w:divBdr>
    </w:div>
    <w:div w:id="1786119194">
      <w:bodyDiv w:val="1"/>
      <w:marLeft w:val="0"/>
      <w:marRight w:val="0"/>
      <w:marTop w:val="0"/>
      <w:marBottom w:val="0"/>
      <w:divBdr>
        <w:top w:val="none" w:sz="0" w:space="0" w:color="auto"/>
        <w:left w:val="none" w:sz="0" w:space="0" w:color="auto"/>
        <w:bottom w:val="none" w:sz="0" w:space="0" w:color="auto"/>
        <w:right w:val="none" w:sz="0" w:space="0" w:color="auto"/>
      </w:divBdr>
    </w:div>
    <w:div w:id="1786149277">
      <w:bodyDiv w:val="1"/>
      <w:marLeft w:val="0"/>
      <w:marRight w:val="0"/>
      <w:marTop w:val="0"/>
      <w:marBottom w:val="0"/>
      <w:divBdr>
        <w:top w:val="none" w:sz="0" w:space="0" w:color="auto"/>
        <w:left w:val="none" w:sz="0" w:space="0" w:color="auto"/>
        <w:bottom w:val="none" w:sz="0" w:space="0" w:color="auto"/>
        <w:right w:val="none" w:sz="0" w:space="0" w:color="auto"/>
      </w:divBdr>
    </w:div>
    <w:div w:id="1787770572">
      <w:bodyDiv w:val="1"/>
      <w:marLeft w:val="0"/>
      <w:marRight w:val="0"/>
      <w:marTop w:val="0"/>
      <w:marBottom w:val="0"/>
      <w:divBdr>
        <w:top w:val="none" w:sz="0" w:space="0" w:color="auto"/>
        <w:left w:val="none" w:sz="0" w:space="0" w:color="auto"/>
        <w:bottom w:val="none" w:sz="0" w:space="0" w:color="auto"/>
        <w:right w:val="none" w:sz="0" w:space="0" w:color="auto"/>
      </w:divBdr>
    </w:div>
    <w:div w:id="1793473303">
      <w:bodyDiv w:val="1"/>
      <w:marLeft w:val="0"/>
      <w:marRight w:val="0"/>
      <w:marTop w:val="0"/>
      <w:marBottom w:val="0"/>
      <w:divBdr>
        <w:top w:val="none" w:sz="0" w:space="0" w:color="auto"/>
        <w:left w:val="none" w:sz="0" w:space="0" w:color="auto"/>
        <w:bottom w:val="none" w:sz="0" w:space="0" w:color="auto"/>
        <w:right w:val="none" w:sz="0" w:space="0" w:color="auto"/>
      </w:divBdr>
    </w:div>
    <w:div w:id="1793595665">
      <w:bodyDiv w:val="1"/>
      <w:marLeft w:val="0"/>
      <w:marRight w:val="0"/>
      <w:marTop w:val="0"/>
      <w:marBottom w:val="0"/>
      <w:divBdr>
        <w:top w:val="none" w:sz="0" w:space="0" w:color="auto"/>
        <w:left w:val="none" w:sz="0" w:space="0" w:color="auto"/>
        <w:bottom w:val="none" w:sz="0" w:space="0" w:color="auto"/>
        <w:right w:val="none" w:sz="0" w:space="0" w:color="auto"/>
      </w:divBdr>
    </w:div>
    <w:div w:id="1797525897">
      <w:bodyDiv w:val="1"/>
      <w:marLeft w:val="0"/>
      <w:marRight w:val="0"/>
      <w:marTop w:val="0"/>
      <w:marBottom w:val="0"/>
      <w:divBdr>
        <w:top w:val="none" w:sz="0" w:space="0" w:color="auto"/>
        <w:left w:val="none" w:sz="0" w:space="0" w:color="auto"/>
        <w:bottom w:val="none" w:sz="0" w:space="0" w:color="auto"/>
        <w:right w:val="none" w:sz="0" w:space="0" w:color="auto"/>
      </w:divBdr>
    </w:div>
    <w:div w:id="1797990885">
      <w:bodyDiv w:val="1"/>
      <w:marLeft w:val="0"/>
      <w:marRight w:val="0"/>
      <w:marTop w:val="0"/>
      <w:marBottom w:val="0"/>
      <w:divBdr>
        <w:top w:val="none" w:sz="0" w:space="0" w:color="auto"/>
        <w:left w:val="none" w:sz="0" w:space="0" w:color="auto"/>
        <w:bottom w:val="none" w:sz="0" w:space="0" w:color="auto"/>
        <w:right w:val="none" w:sz="0" w:space="0" w:color="auto"/>
      </w:divBdr>
    </w:div>
    <w:div w:id="1801340609">
      <w:bodyDiv w:val="1"/>
      <w:marLeft w:val="0"/>
      <w:marRight w:val="0"/>
      <w:marTop w:val="0"/>
      <w:marBottom w:val="0"/>
      <w:divBdr>
        <w:top w:val="none" w:sz="0" w:space="0" w:color="auto"/>
        <w:left w:val="none" w:sz="0" w:space="0" w:color="auto"/>
        <w:bottom w:val="none" w:sz="0" w:space="0" w:color="auto"/>
        <w:right w:val="none" w:sz="0" w:space="0" w:color="auto"/>
      </w:divBdr>
    </w:div>
    <w:div w:id="1805417308">
      <w:bodyDiv w:val="1"/>
      <w:marLeft w:val="0"/>
      <w:marRight w:val="0"/>
      <w:marTop w:val="0"/>
      <w:marBottom w:val="0"/>
      <w:divBdr>
        <w:top w:val="none" w:sz="0" w:space="0" w:color="auto"/>
        <w:left w:val="none" w:sz="0" w:space="0" w:color="auto"/>
        <w:bottom w:val="none" w:sz="0" w:space="0" w:color="auto"/>
        <w:right w:val="none" w:sz="0" w:space="0" w:color="auto"/>
      </w:divBdr>
    </w:div>
    <w:div w:id="1808164854">
      <w:bodyDiv w:val="1"/>
      <w:marLeft w:val="0"/>
      <w:marRight w:val="0"/>
      <w:marTop w:val="0"/>
      <w:marBottom w:val="0"/>
      <w:divBdr>
        <w:top w:val="none" w:sz="0" w:space="0" w:color="auto"/>
        <w:left w:val="none" w:sz="0" w:space="0" w:color="auto"/>
        <w:bottom w:val="none" w:sz="0" w:space="0" w:color="auto"/>
        <w:right w:val="none" w:sz="0" w:space="0" w:color="auto"/>
      </w:divBdr>
    </w:div>
    <w:div w:id="1810629199">
      <w:bodyDiv w:val="1"/>
      <w:marLeft w:val="0"/>
      <w:marRight w:val="0"/>
      <w:marTop w:val="0"/>
      <w:marBottom w:val="0"/>
      <w:divBdr>
        <w:top w:val="none" w:sz="0" w:space="0" w:color="auto"/>
        <w:left w:val="none" w:sz="0" w:space="0" w:color="auto"/>
        <w:bottom w:val="none" w:sz="0" w:space="0" w:color="auto"/>
        <w:right w:val="none" w:sz="0" w:space="0" w:color="auto"/>
      </w:divBdr>
    </w:div>
    <w:div w:id="1818646049">
      <w:bodyDiv w:val="1"/>
      <w:marLeft w:val="0"/>
      <w:marRight w:val="0"/>
      <w:marTop w:val="0"/>
      <w:marBottom w:val="0"/>
      <w:divBdr>
        <w:top w:val="none" w:sz="0" w:space="0" w:color="auto"/>
        <w:left w:val="none" w:sz="0" w:space="0" w:color="auto"/>
        <w:bottom w:val="none" w:sz="0" w:space="0" w:color="auto"/>
        <w:right w:val="none" w:sz="0" w:space="0" w:color="auto"/>
      </w:divBdr>
    </w:div>
    <w:div w:id="1820001341">
      <w:bodyDiv w:val="1"/>
      <w:marLeft w:val="0"/>
      <w:marRight w:val="0"/>
      <w:marTop w:val="0"/>
      <w:marBottom w:val="0"/>
      <w:divBdr>
        <w:top w:val="none" w:sz="0" w:space="0" w:color="auto"/>
        <w:left w:val="none" w:sz="0" w:space="0" w:color="auto"/>
        <w:bottom w:val="none" w:sz="0" w:space="0" w:color="auto"/>
        <w:right w:val="none" w:sz="0" w:space="0" w:color="auto"/>
      </w:divBdr>
    </w:div>
    <w:div w:id="1821657504">
      <w:bodyDiv w:val="1"/>
      <w:marLeft w:val="0"/>
      <w:marRight w:val="0"/>
      <w:marTop w:val="0"/>
      <w:marBottom w:val="0"/>
      <w:divBdr>
        <w:top w:val="none" w:sz="0" w:space="0" w:color="auto"/>
        <w:left w:val="none" w:sz="0" w:space="0" w:color="auto"/>
        <w:bottom w:val="none" w:sz="0" w:space="0" w:color="auto"/>
        <w:right w:val="none" w:sz="0" w:space="0" w:color="auto"/>
      </w:divBdr>
    </w:div>
    <w:div w:id="1821996745">
      <w:bodyDiv w:val="1"/>
      <w:marLeft w:val="0"/>
      <w:marRight w:val="0"/>
      <w:marTop w:val="0"/>
      <w:marBottom w:val="0"/>
      <w:divBdr>
        <w:top w:val="none" w:sz="0" w:space="0" w:color="auto"/>
        <w:left w:val="none" w:sz="0" w:space="0" w:color="auto"/>
        <w:bottom w:val="none" w:sz="0" w:space="0" w:color="auto"/>
        <w:right w:val="none" w:sz="0" w:space="0" w:color="auto"/>
      </w:divBdr>
    </w:div>
    <w:div w:id="1824155428">
      <w:bodyDiv w:val="1"/>
      <w:marLeft w:val="0"/>
      <w:marRight w:val="0"/>
      <w:marTop w:val="0"/>
      <w:marBottom w:val="0"/>
      <w:divBdr>
        <w:top w:val="none" w:sz="0" w:space="0" w:color="auto"/>
        <w:left w:val="none" w:sz="0" w:space="0" w:color="auto"/>
        <w:bottom w:val="none" w:sz="0" w:space="0" w:color="auto"/>
        <w:right w:val="none" w:sz="0" w:space="0" w:color="auto"/>
      </w:divBdr>
    </w:div>
    <w:div w:id="1826630385">
      <w:bodyDiv w:val="1"/>
      <w:marLeft w:val="0"/>
      <w:marRight w:val="0"/>
      <w:marTop w:val="0"/>
      <w:marBottom w:val="0"/>
      <w:divBdr>
        <w:top w:val="none" w:sz="0" w:space="0" w:color="auto"/>
        <w:left w:val="none" w:sz="0" w:space="0" w:color="auto"/>
        <w:bottom w:val="none" w:sz="0" w:space="0" w:color="auto"/>
        <w:right w:val="none" w:sz="0" w:space="0" w:color="auto"/>
      </w:divBdr>
    </w:div>
    <w:div w:id="1829394015">
      <w:bodyDiv w:val="1"/>
      <w:marLeft w:val="0"/>
      <w:marRight w:val="0"/>
      <w:marTop w:val="0"/>
      <w:marBottom w:val="0"/>
      <w:divBdr>
        <w:top w:val="none" w:sz="0" w:space="0" w:color="auto"/>
        <w:left w:val="none" w:sz="0" w:space="0" w:color="auto"/>
        <w:bottom w:val="none" w:sz="0" w:space="0" w:color="auto"/>
        <w:right w:val="none" w:sz="0" w:space="0" w:color="auto"/>
      </w:divBdr>
    </w:div>
    <w:div w:id="1829785690">
      <w:bodyDiv w:val="1"/>
      <w:marLeft w:val="0"/>
      <w:marRight w:val="0"/>
      <w:marTop w:val="0"/>
      <w:marBottom w:val="0"/>
      <w:divBdr>
        <w:top w:val="none" w:sz="0" w:space="0" w:color="auto"/>
        <w:left w:val="none" w:sz="0" w:space="0" w:color="auto"/>
        <w:bottom w:val="none" w:sz="0" w:space="0" w:color="auto"/>
        <w:right w:val="none" w:sz="0" w:space="0" w:color="auto"/>
      </w:divBdr>
    </w:div>
    <w:div w:id="1830321401">
      <w:bodyDiv w:val="1"/>
      <w:marLeft w:val="0"/>
      <w:marRight w:val="0"/>
      <w:marTop w:val="0"/>
      <w:marBottom w:val="0"/>
      <w:divBdr>
        <w:top w:val="none" w:sz="0" w:space="0" w:color="auto"/>
        <w:left w:val="none" w:sz="0" w:space="0" w:color="auto"/>
        <w:bottom w:val="none" w:sz="0" w:space="0" w:color="auto"/>
        <w:right w:val="none" w:sz="0" w:space="0" w:color="auto"/>
      </w:divBdr>
    </w:div>
    <w:div w:id="1830440440">
      <w:bodyDiv w:val="1"/>
      <w:marLeft w:val="0"/>
      <w:marRight w:val="0"/>
      <w:marTop w:val="0"/>
      <w:marBottom w:val="0"/>
      <w:divBdr>
        <w:top w:val="none" w:sz="0" w:space="0" w:color="auto"/>
        <w:left w:val="none" w:sz="0" w:space="0" w:color="auto"/>
        <w:bottom w:val="none" w:sz="0" w:space="0" w:color="auto"/>
        <w:right w:val="none" w:sz="0" w:space="0" w:color="auto"/>
      </w:divBdr>
    </w:div>
    <w:div w:id="1832327529">
      <w:bodyDiv w:val="1"/>
      <w:marLeft w:val="0"/>
      <w:marRight w:val="0"/>
      <w:marTop w:val="0"/>
      <w:marBottom w:val="0"/>
      <w:divBdr>
        <w:top w:val="none" w:sz="0" w:space="0" w:color="auto"/>
        <w:left w:val="none" w:sz="0" w:space="0" w:color="auto"/>
        <w:bottom w:val="none" w:sz="0" w:space="0" w:color="auto"/>
        <w:right w:val="none" w:sz="0" w:space="0" w:color="auto"/>
      </w:divBdr>
    </w:div>
    <w:div w:id="1836266527">
      <w:bodyDiv w:val="1"/>
      <w:marLeft w:val="0"/>
      <w:marRight w:val="0"/>
      <w:marTop w:val="0"/>
      <w:marBottom w:val="0"/>
      <w:divBdr>
        <w:top w:val="none" w:sz="0" w:space="0" w:color="auto"/>
        <w:left w:val="none" w:sz="0" w:space="0" w:color="auto"/>
        <w:bottom w:val="none" w:sz="0" w:space="0" w:color="auto"/>
        <w:right w:val="none" w:sz="0" w:space="0" w:color="auto"/>
      </w:divBdr>
    </w:div>
    <w:div w:id="1836451870">
      <w:bodyDiv w:val="1"/>
      <w:marLeft w:val="0"/>
      <w:marRight w:val="0"/>
      <w:marTop w:val="0"/>
      <w:marBottom w:val="0"/>
      <w:divBdr>
        <w:top w:val="none" w:sz="0" w:space="0" w:color="auto"/>
        <w:left w:val="none" w:sz="0" w:space="0" w:color="auto"/>
        <w:bottom w:val="none" w:sz="0" w:space="0" w:color="auto"/>
        <w:right w:val="none" w:sz="0" w:space="0" w:color="auto"/>
      </w:divBdr>
    </w:div>
    <w:div w:id="1838762157">
      <w:bodyDiv w:val="1"/>
      <w:marLeft w:val="0"/>
      <w:marRight w:val="0"/>
      <w:marTop w:val="0"/>
      <w:marBottom w:val="0"/>
      <w:divBdr>
        <w:top w:val="none" w:sz="0" w:space="0" w:color="auto"/>
        <w:left w:val="none" w:sz="0" w:space="0" w:color="auto"/>
        <w:bottom w:val="none" w:sz="0" w:space="0" w:color="auto"/>
        <w:right w:val="none" w:sz="0" w:space="0" w:color="auto"/>
      </w:divBdr>
    </w:div>
    <w:div w:id="1842311644">
      <w:bodyDiv w:val="1"/>
      <w:marLeft w:val="0"/>
      <w:marRight w:val="0"/>
      <w:marTop w:val="0"/>
      <w:marBottom w:val="0"/>
      <w:divBdr>
        <w:top w:val="none" w:sz="0" w:space="0" w:color="auto"/>
        <w:left w:val="none" w:sz="0" w:space="0" w:color="auto"/>
        <w:bottom w:val="none" w:sz="0" w:space="0" w:color="auto"/>
        <w:right w:val="none" w:sz="0" w:space="0" w:color="auto"/>
      </w:divBdr>
    </w:div>
    <w:div w:id="1845244793">
      <w:bodyDiv w:val="1"/>
      <w:marLeft w:val="0"/>
      <w:marRight w:val="0"/>
      <w:marTop w:val="0"/>
      <w:marBottom w:val="0"/>
      <w:divBdr>
        <w:top w:val="none" w:sz="0" w:space="0" w:color="auto"/>
        <w:left w:val="none" w:sz="0" w:space="0" w:color="auto"/>
        <w:bottom w:val="none" w:sz="0" w:space="0" w:color="auto"/>
        <w:right w:val="none" w:sz="0" w:space="0" w:color="auto"/>
      </w:divBdr>
    </w:div>
    <w:div w:id="1846630989">
      <w:bodyDiv w:val="1"/>
      <w:marLeft w:val="0"/>
      <w:marRight w:val="0"/>
      <w:marTop w:val="0"/>
      <w:marBottom w:val="0"/>
      <w:divBdr>
        <w:top w:val="none" w:sz="0" w:space="0" w:color="auto"/>
        <w:left w:val="none" w:sz="0" w:space="0" w:color="auto"/>
        <w:bottom w:val="none" w:sz="0" w:space="0" w:color="auto"/>
        <w:right w:val="none" w:sz="0" w:space="0" w:color="auto"/>
      </w:divBdr>
    </w:div>
    <w:div w:id="1846749334">
      <w:bodyDiv w:val="1"/>
      <w:marLeft w:val="0"/>
      <w:marRight w:val="0"/>
      <w:marTop w:val="0"/>
      <w:marBottom w:val="0"/>
      <w:divBdr>
        <w:top w:val="none" w:sz="0" w:space="0" w:color="auto"/>
        <w:left w:val="none" w:sz="0" w:space="0" w:color="auto"/>
        <w:bottom w:val="none" w:sz="0" w:space="0" w:color="auto"/>
        <w:right w:val="none" w:sz="0" w:space="0" w:color="auto"/>
      </w:divBdr>
    </w:div>
    <w:div w:id="1848592725">
      <w:bodyDiv w:val="1"/>
      <w:marLeft w:val="0"/>
      <w:marRight w:val="0"/>
      <w:marTop w:val="0"/>
      <w:marBottom w:val="0"/>
      <w:divBdr>
        <w:top w:val="none" w:sz="0" w:space="0" w:color="auto"/>
        <w:left w:val="none" w:sz="0" w:space="0" w:color="auto"/>
        <w:bottom w:val="none" w:sz="0" w:space="0" w:color="auto"/>
        <w:right w:val="none" w:sz="0" w:space="0" w:color="auto"/>
      </w:divBdr>
    </w:div>
    <w:div w:id="1848791315">
      <w:bodyDiv w:val="1"/>
      <w:marLeft w:val="0"/>
      <w:marRight w:val="0"/>
      <w:marTop w:val="0"/>
      <w:marBottom w:val="0"/>
      <w:divBdr>
        <w:top w:val="none" w:sz="0" w:space="0" w:color="auto"/>
        <w:left w:val="none" w:sz="0" w:space="0" w:color="auto"/>
        <w:bottom w:val="none" w:sz="0" w:space="0" w:color="auto"/>
        <w:right w:val="none" w:sz="0" w:space="0" w:color="auto"/>
      </w:divBdr>
    </w:div>
    <w:div w:id="1850244578">
      <w:bodyDiv w:val="1"/>
      <w:marLeft w:val="0"/>
      <w:marRight w:val="0"/>
      <w:marTop w:val="0"/>
      <w:marBottom w:val="0"/>
      <w:divBdr>
        <w:top w:val="none" w:sz="0" w:space="0" w:color="auto"/>
        <w:left w:val="none" w:sz="0" w:space="0" w:color="auto"/>
        <w:bottom w:val="none" w:sz="0" w:space="0" w:color="auto"/>
        <w:right w:val="none" w:sz="0" w:space="0" w:color="auto"/>
      </w:divBdr>
    </w:div>
    <w:div w:id="1852142119">
      <w:bodyDiv w:val="1"/>
      <w:marLeft w:val="0"/>
      <w:marRight w:val="0"/>
      <w:marTop w:val="0"/>
      <w:marBottom w:val="0"/>
      <w:divBdr>
        <w:top w:val="none" w:sz="0" w:space="0" w:color="auto"/>
        <w:left w:val="none" w:sz="0" w:space="0" w:color="auto"/>
        <w:bottom w:val="none" w:sz="0" w:space="0" w:color="auto"/>
        <w:right w:val="none" w:sz="0" w:space="0" w:color="auto"/>
      </w:divBdr>
    </w:div>
    <w:div w:id="1855338804">
      <w:bodyDiv w:val="1"/>
      <w:marLeft w:val="0"/>
      <w:marRight w:val="0"/>
      <w:marTop w:val="0"/>
      <w:marBottom w:val="0"/>
      <w:divBdr>
        <w:top w:val="none" w:sz="0" w:space="0" w:color="auto"/>
        <w:left w:val="none" w:sz="0" w:space="0" w:color="auto"/>
        <w:bottom w:val="none" w:sz="0" w:space="0" w:color="auto"/>
        <w:right w:val="none" w:sz="0" w:space="0" w:color="auto"/>
      </w:divBdr>
    </w:div>
    <w:div w:id="1857887196">
      <w:bodyDiv w:val="1"/>
      <w:marLeft w:val="0"/>
      <w:marRight w:val="0"/>
      <w:marTop w:val="0"/>
      <w:marBottom w:val="0"/>
      <w:divBdr>
        <w:top w:val="none" w:sz="0" w:space="0" w:color="auto"/>
        <w:left w:val="none" w:sz="0" w:space="0" w:color="auto"/>
        <w:bottom w:val="none" w:sz="0" w:space="0" w:color="auto"/>
        <w:right w:val="none" w:sz="0" w:space="0" w:color="auto"/>
      </w:divBdr>
    </w:div>
    <w:div w:id="1858810224">
      <w:bodyDiv w:val="1"/>
      <w:marLeft w:val="0"/>
      <w:marRight w:val="0"/>
      <w:marTop w:val="0"/>
      <w:marBottom w:val="0"/>
      <w:divBdr>
        <w:top w:val="none" w:sz="0" w:space="0" w:color="auto"/>
        <w:left w:val="none" w:sz="0" w:space="0" w:color="auto"/>
        <w:bottom w:val="none" w:sz="0" w:space="0" w:color="auto"/>
        <w:right w:val="none" w:sz="0" w:space="0" w:color="auto"/>
      </w:divBdr>
    </w:div>
    <w:div w:id="1862552672">
      <w:bodyDiv w:val="1"/>
      <w:marLeft w:val="0"/>
      <w:marRight w:val="0"/>
      <w:marTop w:val="0"/>
      <w:marBottom w:val="0"/>
      <w:divBdr>
        <w:top w:val="none" w:sz="0" w:space="0" w:color="auto"/>
        <w:left w:val="none" w:sz="0" w:space="0" w:color="auto"/>
        <w:bottom w:val="none" w:sz="0" w:space="0" w:color="auto"/>
        <w:right w:val="none" w:sz="0" w:space="0" w:color="auto"/>
      </w:divBdr>
    </w:div>
    <w:div w:id="1866943316">
      <w:bodyDiv w:val="1"/>
      <w:marLeft w:val="0"/>
      <w:marRight w:val="0"/>
      <w:marTop w:val="0"/>
      <w:marBottom w:val="0"/>
      <w:divBdr>
        <w:top w:val="none" w:sz="0" w:space="0" w:color="auto"/>
        <w:left w:val="none" w:sz="0" w:space="0" w:color="auto"/>
        <w:bottom w:val="none" w:sz="0" w:space="0" w:color="auto"/>
        <w:right w:val="none" w:sz="0" w:space="0" w:color="auto"/>
      </w:divBdr>
    </w:div>
    <w:div w:id="1867593740">
      <w:bodyDiv w:val="1"/>
      <w:marLeft w:val="0"/>
      <w:marRight w:val="0"/>
      <w:marTop w:val="0"/>
      <w:marBottom w:val="0"/>
      <w:divBdr>
        <w:top w:val="none" w:sz="0" w:space="0" w:color="auto"/>
        <w:left w:val="none" w:sz="0" w:space="0" w:color="auto"/>
        <w:bottom w:val="none" w:sz="0" w:space="0" w:color="auto"/>
        <w:right w:val="none" w:sz="0" w:space="0" w:color="auto"/>
      </w:divBdr>
    </w:div>
    <w:div w:id="1877086184">
      <w:bodyDiv w:val="1"/>
      <w:marLeft w:val="0"/>
      <w:marRight w:val="0"/>
      <w:marTop w:val="0"/>
      <w:marBottom w:val="0"/>
      <w:divBdr>
        <w:top w:val="none" w:sz="0" w:space="0" w:color="auto"/>
        <w:left w:val="none" w:sz="0" w:space="0" w:color="auto"/>
        <w:bottom w:val="none" w:sz="0" w:space="0" w:color="auto"/>
        <w:right w:val="none" w:sz="0" w:space="0" w:color="auto"/>
      </w:divBdr>
    </w:div>
    <w:div w:id="1877617455">
      <w:bodyDiv w:val="1"/>
      <w:marLeft w:val="0"/>
      <w:marRight w:val="0"/>
      <w:marTop w:val="0"/>
      <w:marBottom w:val="0"/>
      <w:divBdr>
        <w:top w:val="none" w:sz="0" w:space="0" w:color="auto"/>
        <w:left w:val="none" w:sz="0" w:space="0" w:color="auto"/>
        <w:bottom w:val="none" w:sz="0" w:space="0" w:color="auto"/>
        <w:right w:val="none" w:sz="0" w:space="0" w:color="auto"/>
      </w:divBdr>
    </w:div>
    <w:div w:id="1878734271">
      <w:bodyDiv w:val="1"/>
      <w:marLeft w:val="0"/>
      <w:marRight w:val="0"/>
      <w:marTop w:val="0"/>
      <w:marBottom w:val="0"/>
      <w:divBdr>
        <w:top w:val="none" w:sz="0" w:space="0" w:color="auto"/>
        <w:left w:val="none" w:sz="0" w:space="0" w:color="auto"/>
        <w:bottom w:val="none" w:sz="0" w:space="0" w:color="auto"/>
        <w:right w:val="none" w:sz="0" w:space="0" w:color="auto"/>
      </w:divBdr>
    </w:div>
    <w:div w:id="1882588933">
      <w:bodyDiv w:val="1"/>
      <w:marLeft w:val="0"/>
      <w:marRight w:val="0"/>
      <w:marTop w:val="0"/>
      <w:marBottom w:val="0"/>
      <w:divBdr>
        <w:top w:val="none" w:sz="0" w:space="0" w:color="auto"/>
        <w:left w:val="none" w:sz="0" w:space="0" w:color="auto"/>
        <w:bottom w:val="none" w:sz="0" w:space="0" w:color="auto"/>
        <w:right w:val="none" w:sz="0" w:space="0" w:color="auto"/>
      </w:divBdr>
    </w:div>
    <w:div w:id="1882789054">
      <w:bodyDiv w:val="1"/>
      <w:marLeft w:val="0"/>
      <w:marRight w:val="0"/>
      <w:marTop w:val="0"/>
      <w:marBottom w:val="0"/>
      <w:divBdr>
        <w:top w:val="none" w:sz="0" w:space="0" w:color="auto"/>
        <w:left w:val="none" w:sz="0" w:space="0" w:color="auto"/>
        <w:bottom w:val="none" w:sz="0" w:space="0" w:color="auto"/>
        <w:right w:val="none" w:sz="0" w:space="0" w:color="auto"/>
      </w:divBdr>
    </w:div>
    <w:div w:id="1886021865">
      <w:bodyDiv w:val="1"/>
      <w:marLeft w:val="0"/>
      <w:marRight w:val="0"/>
      <w:marTop w:val="0"/>
      <w:marBottom w:val="0"/>
      <w:divBdr>
        <w:top w:val="none" w:sz="0" w:space="0" w:color="auto"/>
        <w:left w:val="none" w:sz="0" w:space="0" w:color="auto"/>
        <w:bottom w:val="none" w:sz="0" w:space="0" w:color="auto"/>
        <w:right w:val="none" w:sz="0" w:space="0" w:color="auto"/>
      </w:divBdr>
    </w:div>
    <w:div w:id="1889300365">
      <w:bodyDiv w:val="1"/>
      <w:marLeft w:val="0"/>
      <w:marRight w:val="0"/>
      <w:marTop w:val="0"/>
      <w:marBottom w:val="0"/>
      <w:divBdr>
        <w:top w:val="none" w:sz="0" w:space="0" w:color="auto"/>
        <w:left w:val="none" w:sz="0" w:space="0" w:color="auto"/>
        <w:bottom w:val="none" w:sz="0" w:space="0" w:color="auto"/>
        <w:right w:val="none" w:sz="0" w:space="0" w:color="auto"/>
      </w:divBdr>
    </w:div>
    <w:div w:id="1889683803">
      <w:bodyDiv w:val="1"/>
      <w:marLeft w:val="0"/>
      <w:marRight w:val="0"/>
      <w:marTop w:val="0"/>
      <w:marBottom w:val="0"/>
      <w:divBdr>
        <w:top w:val="none" w:sz="0" w:space="0" w:color="auto"/>
        <w:left w:val="none" w:sz="0" w:space="0" w:color="auto"/>
        <w:bottom w:val="none" w:sz="0" w:space="0" w:color="auto"/>
        <w:right w:val="none" w:sz="0" w:space="0" w:color="auto"/>
      </w:divBdr>
    </w:div>
    <w:div w:id="1891648251">
      <w:bodyDiv w:val="1"/>
      <w:marLeft w:val="0"/>
      <w:marRight w:val="0"/>
      <w:marTop w:val="0"/>
      <w:marBottom w:val="0"/>
      <w:divBdr>
        <w:top w:val="none" w:sz="0" w:space="0" w:color="auto"/>
        <w:left w:val="none" w:sz="0" w:space="0" w:color="auto"/>
        <w:bottom w:val="none" w:sz="0" w:space="0" w:color="auto"/>
        <w:right w:val="none" w:sz="0" w:space="0" w:color="auto"/>
      </w:divBdr>
    </w:div>
    <w:div w:id="1903591021">
      <w:bodyDiv w:val="1"/>
      <w:marLeft w:val="0"/>
      <w:marRight w:val="0"/>
      <w:marTop w:val="0"/>
      <w:marBottom w:val="0"/>
      <w:divBdr>
        <w:top w:val="none" w:sz="0" w:space="0" w:color="auto"/>
        <w:left w:val="none" w:sz="0" w:space="0" w:color="auto"/>
        <w:bottom w:val="none" w:sz="0" w:space="0" w:color="auto"/>
        <w:right w:val="none" w:sz="0" w:space="0" w:color="auto"/>
      </w:divBdr>
    </w:div>
    <w:div w:id="1908295125">
      <w:bodyDiv w:val="1"/>
      <w:marLeft w:val="0"/>
      <w:marRight w:val="0"/>
      <w:marTop w:val="0"/>
      <w:marBottom w:val="0"/>
      <w:divBdr>
        <w:top w:val="none" w:sz="0" w:space="0" w:color="auto"/>
        <w:left w:val="none" w:sz="0" w:space="0" w:color="auto"/>
        <w:bottom w:val="none" w:sz="0" w:space="0" w:color="auto"/>
        <w:right w:val="none" w:sz="0" w:space="0" w:color="auto"/>
      </w:divBdr>
    </w:div>
    <w:div w:id="1910072420">
      <w:bodyDiv w:val="1"/>
      <w:marLeft w:val="0"/>
      <w:marRight w:val="0"/>
      <w:marTop w:val="0"/>
      <w:marBottom w:val="0"/>
      <w:divBdr>
        <w:top w:val="none" w:sz="0" w:space="0" w:color="auto"/>
        <w:left w:val="none" w:sz="0" w:space="0" w:color="auto"/>
        <w:bottom w:val="none" w:sz="0" w:space="0" w:color="auto"/>
        <w:right w:val="none" w:sz="0" w:space="0" w:color="auto"/>
      </w:divBdr>
    </w:div>
    <w:div w:id="1912614474">
      <w:bodyDiv w:val="1"/>
      <w:marLeft w:val="0"/>
      <w:marRight w:val="0"/>
      <w:marTop w:val="0"/>
      <w:marBottom w:val="0"/>
      <w:divBdr>
        <w:top w:val="none" w:sz="0" w:space="0" w:color="auto"/>
        <w:left w:val="none" w:sz="0" w:space="0" w:color="auto"/>
        <w:bottom w:val="none" w:sz="0" w:space="0" w:color="auto"/>
        <w:right w:val="none" w:sz="0" w:space="0" w:color="auto"/>
      </w:divBdr>
    </w:div>
    <w:div w:id="1918008997">
      <w:bodyDiv w:val="1"/>
      <w:marLeft w:val="0"/>
      <w:marRight w:val="0"/>
      <w:marTop w:val="0"/>
      <w:marBottom w:val="0"/>
      <w:divBdr>
        <w:top w:val="none" w:sz="0" w:space="0" w:color="auto"/>
        <w:left w:val="none" w:sz="0" w:space="0" w:color="auto"/>
        <w:bottom w:val="none" w:sz="0" w:space="0" w:color="auto"/>
        <w:right w:val="none" w:sz="0" w:space="0" w:color="auto"/>
      </w:divBdr>
    </w:div>
    <w:div w:id="1920944719">
      <w:bodyDiv w:val="1"/>
      <w:marLeft w:val="0"/>
      <w:marRight w:val="0"/>
      <w:marTop w:val="0"/>
      <w:marBottom w:val="0"/>
      <w:divBdr>
        <w:top w:val="none" w:sz="0" w:space="0" w:color="auto"/>
        <w:left w:val="none" w:sz="0" w:space="0" w:color="auto"/>
        <w:bottom w:val="none" w:sz="0" w:space="0" w:color="auto"/>
        <w:right w:val="none" w:sz="0" w:space="0" w:color="auto"/>
      </w:divBdr>
    </w:div>
    <w:div w:id="1921257817">
      <w:bodyDiv w:val="1"/>
      <w:marLeft w:val="0"/>
      <w:marRight w:val="0"/>
      <w:marTop w:val="0"/>
      <w:marBottom w:val="0"/>
      <w:divBdr>
        <w:top w:val="none" w:sz="0" w:space="0" w:color="auto"/>
        <w:left w:val="none" w:sz="0" w:space="0" w:color="auto"/>
        <w:bottom w:val="none" w:sz="0" w:space="0" w:color="auto"/>
        <w:right w:val="none" w:sz="0" w:space="0" w:color="auto"/>
      </w:divBdr>
    </w:div>
    <w:div w:id="1925916829">
      <w:bodyDiv w:val="1"/>
      <w:marLeft w:val="0"/>
      <w:marRight w:val="0"/>
      <w:marTop w:val="0"/>
      <w:marBottom w:val="0"/>
      <w:divBdr>
        <w:top w:val="none" w:sz="0" w:space="0" w:color="auto"/>
        <w:left w:val="none" w:sz="0" w:space="0" w:color="auto"/>
        <w:bottom w:val="none" w:sz="0" w:space="0" w:color="auto"/>
        <w:right w:val="none" w:sz="0" w:space="0" w:color="auto"/>
      </w:divBdr>
    </w:div>
    <w:div w:id="1929608190">
      <w:bodyDiv w:val="1"/>
      <w:marLeft w:val="0"/>
      <w:marRight w:val="0"/>
      <w:marTop w:val="0"/>
      <w:marBottom w:val="0"/>
      <w:divBdr>
        <w:top w:val="none" w:sz="0" w:space="0" w:color="auto"/>
        <w:left w:val="none" w:sz="0" w:space="0" w:color="auto"/>
        <w:bottom w:val="none" w:sz="0" w:space="0" w:color="auto"/>
        <w:right w:val="none" w:sz="0" w:space="0" w:color="auto"/>
      </w:divBdr>
    </w:div>
    <w:div w:id="1933853558">
      <w:bodyDiv w:val="1"/>
      <w:marLeft w:val="0"/>
      <w:marRight w:val="0"/>
      <w:marTop w:val="0"/>
      <w:marBottom w:val="0"/>
      <w:divBdr>
        <w:top w:val="none" w:sz="0" w:space="0" w:color="auto"/>
        <w:left w:val="none" w:sz="0" w:space="0" w:color="auto"/>
        <w:bottom w:val="none" w:sz="0" w:space="0" w:color="auto"/>
        <w:right w:val="none" w:sz="0" w:space="0" w:color="auto"/>
      </w:divBdr>
    </w:div>
    <w:div w:id="1939872088">
      <w:bodyDiv w:val="1"/>
      <w:marLeft w:val="0"/>
      <w:marRight w:val="0"/>
      <w:marTop w:val="0"/>
      <w:marBottom w:val="0"/>
      <w:divBdr>
        <w:top w:val="none" w:sz="0" w:space="0" w:color="auto"/>
        <w:left w:val="none" w:sz="0" w:space="0" w:color="auto"/>
        <w:bottom w:val="none" w:sz="0" w:space="0" w:color="auto"/>
        <w:right w:val="none" w:sz="0" w:space="0" w:color="auto"/>
      </w:divBdr>
    </w:div>
    <w:div w:id="1939944190">
      <w:bodyDiv w:val="1"/>
      <w:marLeft w:val="0"/>
      <w:marRight w:val="0"/>
      <w:marTop w:val="0"/>
      <w:marBottom w:val="0"/>
      <w:divBdr>
        <w:top w:val="none" w:sz="0" w:space="0" w:color="auto"/>
        <w:left w:val="none" w:sz="0" w:space="0" w:color="auto"/>
        <w:bottom w:val="none" w:sz="0" w:space="0" w:color="auto"/>
        <w:right w:val="none" w:sz="0" w:space="0" w:color="auto"/>
      </w:divBdr>
    </w:div>
    <w:div w:id="1943101449">
      <w:bodyDiv w:val="1"/>
      <w:marLeft w:val="0"/>
      <w:marRight w:val="0"/>
      <w:marTop w:val="0"/>
      <w:marBottom w:val="0"/>
      <w:divBdr>
        <w:top w:val="none" w:sz="0" w:space="0" w:color="auto"/>
        <w:left w:val="none" w:sz="0" w:space="0" w:color="auto"/>
        <w:bottom w:val="none" w:sz="0" w:space="0" w:color="auto"/>
        <w:right w:val="none" w:sz="0" w:space="0" w:color="auto"/>
      </w:divBdr>
    </w:div>
    <w:div w:id="1945065296">
      <w:bodyDiv w:val="1"/>
      <w:marLeft w:val="0"/>
      <w:marRight w:val="0"/>
      <w:marTop w:val="0"/>
      <w:marBottom w:val="0"/>
      <w:divBdr>
        <w:top w:val="none" w:sz="0" w:space="0" w:color="auto"/>
        <w:left w:val="none" w:sz="0" w:space="0" w:color="auto"/>
        <w:bottom w:val="none" w:sz="0" w:space="0" w:color="auto"/>
        <w:right w:val="none" w:sz="0" w:space="0" w:color="auto"/>
      </w:divBdr>
    </w:div>
    <w:div w:id="1945334640">
      <w:bodyDiv w:val="1"/>
      <w:marLeft w:val="0"/>
      <w:marRight w:val="0"/>
      <w:marTop w:val="0"/>
      <w:marBottom w:val="0"/>
      <w:divBdr>
        <w:top w:val="none" w:sz="0" w:space="0" w:color="auto"/>
        <w:left w:val="none" w:sz="0" w:space="0" w:color="auto"/>
        <w:bottom w:val="none" w:sz="0" w:space="0" w:color="auto"/>
        <w:right w:val="none" w:sz="0" w:space="0" w:color="auto"/>
      </w:divBdr>
    </w:div>
    <w:div w:id="1945768706">
      <w:bodyDiv w:val="1"/>
      <w:marLeft w:val="0"/>
      <w:marRight w:val="0"/>
      <w:marTop w:val="0"/>
      <w:marBottom w:val="0"/>
      <w:divBdr>
        <w:top w:val="none" w:sz="0" w:space="0" w:color="auto"/>
        <w:left w:val="none" w:sz="0" w:space="0" w:color="auto"/>
        <w:bottom w:val="none" w:sz="0" w:space="0" w:color="auto"/>
        <w:right w:val="none" w:sz="0" w:space="0" w:color="auto"/>
      </w:divBdr>
    </w:div>
    <w:div w:id="1946188593">
      <w:bodyDiv w:val="1"/>
      <w:marLeft w:val="0"/>
      <w:marRight w:val="0"/>
      <w:marTop w:val="0"/>
      <w:marBottom w:val="0"/>
      <w:divBdr>
        <w:top w:val="none" w:sz="0" w:space="0" w:color="auto"/>
        <w:left w:val="none" w:sz="0" w:space="0" w:color="auto"/>
        <w:bottom w:val="none" w:sz="0" w:space="0" w:color="auto"/>
        <w:right w:val="none" w:sz="0" w:space="0" w:color="auto"/>
      </w:divBdr>
    </w:div>
    <w:div w:id="1947495744">
      <w:bodyDiv w:val="1"/>
      <w:marLeft w:val="0"/>
      <w:marRight w:val="0"/>
      <w:marTop w:val="0"/>
      <w:marBottom w:val="0"/>
      <w:divBdr>
        <w:top w:val="none" w:sz="0" w:space="0" w:color="auto"/>
        <w:left w:val="none" w:sz="0" w:space="0" w:color="auto"/>
        <w:bottom w:val="none" w:sz="0" w:space="0" w:color="auto"/>
        <w:right w:val="none" w:sz="0" w:space="0" w:color="auto"/>
      </w:divBdr>
    </w:div>
    <w:div w:id="1948540041">
      <w:bodyDiv w:val="1"/>
      <w:marLeft w:val="0"/>
      <w:marRight w:val="0"/>
      <w:marTop w:val="0"/>
      <w:marBottom w:val="0"/>
      <w:divBdr>
        <w:top w:val="none" w:sz="0" w:space="0" w:color="auto"/>
        <w:left w:val="none" w:sz="0" w:space="0" w:color="auto"/>
        <w:bottom w:val="none" w:sz="0" w:space="0" w:color="auto"/>
        <w:right w:val="none" w:sz="0" w:space="0" w:color="auto"/>
      </w:divBdr>
    </w:div>
    <w:div w:id="1953198729">
      <w:bodyDiv w:val="1"/>
      <w:marLeft w:val="0"/>
      <w:marRight w:val="0"/>
      <w:marTop w:val="0"/>
      <w:marBottom w:val="0"/>
      <w:divBdr>
        <w:top w:val="none" w:sz="0" w:space="0" w:color="auto"/>
        <w:left w:val="none" w:sz="0" w:space="0" w:color="auto"/>
        <w:bottom w:val="none" w:sz="0" w:space="0" w:color="auto"/>
        <w:right w:val="none" w:sz="0" w:space="0" w:color="auto"/>
      </w:divBdr>
    </w:div>
    <w:div w:id="1953317442">
      <w:bodyDiv w:val="1"/>
      <w:marLeft w:val="0"/>
      <w:marRight w:val="0"/>
      <w:marTop w:val="0"/>
      <w:marBottom w:val="0"/>
      <w:divBdr>
        <w:top w:val="none" w:sz="0" w:space="0" w:color="auto"/>
        <w:left w:val="none" w:sz="0" w:space="0" w:color="auto"/>
        <w:bottom w:val="none" w:sz="0" w:space="0" w:color="auto"/>
        <w:right w:val="none" w:sz="0" w:space="0" w:color="auto"/>
      </w:divBdr>
    </w:div>
    <w:div w:id="1953515126">
      <w:bodyDiv w:val="1"/>
      <w:marLeft w:val="0"/>
      <w:marRight w:val="0"/>
      <w:marTop w:val="0"/>
      <w:marBottom w:val="0"/>
      <w:divBdr>
        <w:top w:val="none" w:sz="0" w:space="0" w:color="auto"/>
        <w:left w:val="none" w:sz="0" w:space="0" w:color="auto"/>
        <w:bottom w:val="none" w:sz="0" w:space="0" w:color="auto"/>
        <w:right w:val="none" w:sz="0" w:space="0" w:color="auto"/>
      </w:divBdr>
    </w:div>
    <w:div w:id="1955672626">
      <w:bodyDiv w:val="1"/>
      <w:marLeft w:val="0"/>
      <w:marRight w:val="0"/>
      <w:marTop w:val="0"/>
      <w:marBottom w:val="0"/>
      <w:divBdr>
        <w:top w:val="none" w:sz="0" w:space="0" w:color="auto"/>
        <w:left w:val="none" w:sz="0" w:space="0" w:color="auto"/>
        <w:bottom w:val="none" w:sz="0" w:space="0" w:color="auto"/>
        <w:right w:val="none" w:sz="0" w:space="0" w:color="auto"/>
      </w:divBdr>
    </w:div>
    <w:div w:id="1958365530">
      <w:bodyDiv w:val="1"/>
      <w:marLeft w:val="0"/>
      <w:marRight w:val="0"/>
      <w:marTop w:val="0"/>
      <w:marBottom w:val="0"/>
      <w:divBdr>
        <w:top w:val="none" w:sz="0" w:space="0" w:color="auto"/>
        <w:left w:val="none" w:sz="0" w:space="0" w:color="auto"/>
        <w:bottom w:val="none" w:sz="0" w:space="0" w:color="auto"/>
        <w:right w:val="none" w:sz="0" w:space="0" w:color="auto"/>
      </w:divBdr>
    </w:div>
    <w:div w:id="1964385335">
      <w:bodyDiv w:val="1"/>
      <w:marLeft w:val="0"/>
      <w:marRight w:val="0"/>
      <w:marTop w:val="0"/>
      <w:marBottom w:val="0"/>
      <w:divBdr>
        <w:top w:val="none" w:sz="0" w:space="0" w:color="auto"/>
        <w:left w:val="none" w:sz="0" w:space="0" w:color="auto"/>
        <w:bottom w:val="none" w:sz="0" w:space="0" w:color="auto"/>
        <w:right w:val="none" w:sz="0" w:space="0" w:color="auto"/>
      </w:divBdr>
    </w:div>
    <w:div w:id="1964772099">
      <w:bodyDiv w:val="1"/>
      <w:marLeft w:val="0"/>
      <w:marRight w:val="0"/>
      <w:marTop w:val="0"/>
      <w:marBottom w:val="0"/>
      <w:divBdr>
        <w:top w:val="none" w:sz="0" w:space="0" w:color="auto"/>
        <w:left w:val="none" w:sz="0" w:space="0" w:color="auto"/>
        <w:bottom w:val="none" w:sz="0" w:space="0" w:color="auto"/>
        <w:right w:val="none" w:sz="0" w:space="0" w:color="auto"/>
      </w:divBdr>
    </w:div>
    <w:div w:id="1965840439">
      <w:bodyDiv w:val="1"/>
      <w:marLeft w:val="0"/>
      <w:marRight w:val="0"/>
      <w:marTop w:val="0"/>
      <w:marBottom w:val="0"/>
      <w:divBdr>
        <w:top w:val="none" w:sz="0" w:space="0" w:color="auto"/>
        <w:left w:val="none" w:sz="0" w:space="0" w:color="auto"/>
        <w:bottom w:val="none" w:sz="0" w:space="0" w:color="auto"/>
        <w:right w:val="none" w:sz="0" w:space="0" w:color="auto"/>
      </w:divBdr>
    </w:div>
    <w:div w:id="1966812124">
      <w:bodyDiv w:val="1"/>
      <w:marLeft w:val="0"/>
      <w:marRight w:val="0"/>
      <w:marTop w:val="0"/>
      <w:marBottom w:val="0"/>
      <w:divBdr>
        <w:top w:val="none" w:sz="0" w:space="0" w:color="auto"/>
        <w:left w:val="none" w:sz="0" w:space="0" w:color="auto"/>
        <w:bottom w:val="none" w:sz="0" w:space="0" w:color="auto"/>
        <w:right w:val="none" w:sz="0" w:space="0" w:color="auto"/>
      </w:divBdr>
    </w:div>
    <w:div w:id="1967733591">
      <w:bodyDiv w:val="1"/>
      <w:marLeft w:val="0"/>
      <w:marRight w:val="0"/>
      <w:marTop w:val="0"/>
      <w:marBottom w:val="0"/>
      <w:divBdr>
        <w:top w:val="none" w:sz="0" w:space="0" w:color="auto"/>
        <w:left w:val="none" w:sz="0" w:space="0" w:color="auto"/>
        <w:bottom w:val="none" w:sz="0" w:space="0" w:color="auto"/>
        <w:right w:val="none" w:sz="0" w:space="0" w:color="auto"/>
      </w:divBdr>
    </w:div>
    <w:div w:id="1970746387">
      <w:bodyDiv w:val="1"/>
      <w:marLeft w:val="0"/>
      <w:marRight w:val="0"/>
      <w:marTop w:val="0"/>
      <w:marBottom w:val="0"/>
      <w:divBdr>
        <w:top w:val="none" w:sz="0" w:space="0" w:color="auto"/>
        <w:left w:val="none" w:sz="0" w:space="0" w:color="auto"/>
        <w:bottom w:val="none" w:sz="0" w:space="0" w:color="auto"/>
        <w:right w:val="none" w:sz="0" w:space="0" w:color="auto"/>
      </w:divBdr>
    </w:div>
    <w:div w:id="1971090821">
      <w:bodyDiv w:val="1"/>
      <w:marLeft w:val="0"/>
      <w:marRight w:val="0"/>
      <w:marTop w:val="0"/>
      <w:marBottom w:val="0"/>
      <w:divBdr>
        <w:top w:val="none" w:sz="0" w:space="0" w:color="auto"/>
        <w:left w:val="none" w:sz="0" w:space="0" w:color="auto"/>
        <w:bottom w:val="none" w:sz="0" w:space="0" w:color="auto"/>
        <w:right w:val="none" w:sz="0" w:space="0" w:color="auto"/>
      </w:divBdr>
    </w:div>
    <w:div w:id="1974092889">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74754168">
      <w:bodyDiv w:val="1"/>
      <w:marLeft w:val="0"/>
      <w:marRight w:val="0"/>
      <w:marTop w:val="0"/>
      <w:marBottom w:val="0"/>
      <w:divBdr>
        <w:top w:val="none" w:sz="0" w:space="0" w:color="auto"/>
        <w:left w:val="none" w:sz="0" w:space="0" w:color="auto"/>
        <w:bottom w:val="none" w:sz="0" w:space="0" w:color="auto"/>
        <w:right w:val="none" w:sz="0" w:space="0" w:color="auto"/>
      </w:divBdr>
    </w:div>
    <w:div w:id="1976986650">
      <w:bodyDiv w:val="1"/>
      <w:marLeft w:val="0"/>
      <w:marRight w:val="0"/>
      <w:marTop w:val="0"/>
      <w:marBottom w:val="0"/>
      <w:divBdr>
        <w:top w:val="none" w:sz="0" w:space="0" w:color="auto"/>
        <w:left w:val="none" w:sz="0" w:space="0" w:color="auto"/>
        <w:bottom w:val="none" w:sz="0" w:space="0" w:color="auto"/>
        <w:right w:val="none" w:sz="0" w:space="0" w:color="auto"/>
      </w:divBdr>
    </w:div>
    <w:div w:id="1981416370">
      <w:bodyDiv w:val="1"/>
      <w:marLeft w:val="0"/>
      <w:marRight w:val="0"/>
      <w:marTop w:val="0"/>
      <w:marBottom w:val="0"/>
      <w:divBdr>
        <w:top w:val="none" w:sz="0" w:space="0" w:color="auto"/>
        <w:left w:val="none" w:sz="0" w:space="0" w:color="auto"/>
        <w:bottom w:val="none" w:sz="0" w:space="0" w:color="auto"/>
        <w:right w:val="none" w:sz="0" w:space="0" w:color="auto"/>
      </w:divBdr>
    </w:div>
    <w:div w:id="1983609422">
      <w:bodyDiv w:val="1"/>
      <w:marLeft w:val="0"/>
      <w:marRight w:val="0"/>
      <w:marTop w:val="0"/>
      <w:marBottom w:val="0"/>
      <w:divBdr>
        <w:top w:val="none" w:sz="0" w:space="0" w:color="auto"/>
        <w:left w:val="none" w:sz="0" w:space="0" w:color="auto"/>
        <w:bottom w:val="none" w:sz="0" w:space="0" w:color="auto"/>
        <w:right w:val="none" w:sz="0" w:space="0" w:color="auto"/>
      </w:divBdr>
    </w:div>
    <w:div w:id="1984263955">
      <w:bodyDiv w:val="1"/>
      <w:marLeft w:val="0"/>
      <w:marRight w:val="0"/>
      <w:marTop w:val="0"/>
      <w:marBottom w:val="0"/>
      <w:divBdr>
        <w:top w:val="none" w:sz="0" w:space="0" w:color="auto"/>
        <w:left w:val="none" w:sz="0" w:space="0" w:color="auto"/>
        <w:bottom w:val="none" w:sz="0" w:space="0" w:color="auto"/>
        <w:right w:val="none" w:sz="0" w:space="0" w:color="auto"/>
      </w:divBdr>
    </w:div>
    <w:div w:id="1988897447">
      <w:bodyDiv w:val="1"/>
      <w:marLeft w:val="0"/>
      <w:marRight w:val="0"/>
      <w:marTop w:val="0"/>
      <w:marBottom w:val="0"/>
      <w:divBdr>
        <w:top w:val="none" w:sz="0" w:space="0" w:color="auto"/>
        <w:left w:val="none" w:sz="0" w:space="0" w:color="auto"/>
        <w:bottom w:val="none" w:sz="0" w:space="0" w:color="auto"/>
        <w:right w:val="none" w:sz="0" w:space="0" w:color="auto"/>
      </w:divBdr>
    </w:div>
    <w:div w:id="1992052394">
      <w:bodyDiv w:val="1"/>
      <w:marLeft w:val="0"/>
      <w:marRight w:val="0"/>
      <w:marTop w:val="0"/>
      <w:marBottom w:val="0"/>
      <w:divBdr>
        <w:top w:val="none" w:sz="0" w:space="0" w:color="auto"/>
        <w:left w:val="none" w:sz="0" w:space="0" w:color="auto"/>
        <w:bottom w:val="none" w:sz="0" w:space="0" w:color="auto"/>
        <w:right w:val="none" w:sz="0" w:space="0" w:color="auto"/>
      </w:divBdr>
    </w:div>
    <w:div w:id="1992175696">
      <w:bodyDiv w:val="1"/>
      <w:marLeft w:val="0"/>
      <w:marRight w:val="0"/>
      <w:marTop w:val="0"/>
      <w:marBottom w:val="0"/>
      <w:divBdr>
        <w:top w:val="none" w:sz="0" w:space="0" w:color="auto"/>
        <w:left w:val="none" w:sz="0" w:space="0" w:color="auto"/>
        <w:bottom w:val="none" w:sz="0" w:space="0" w:color="auto"/>
        <w:right w:val="none" w:sz="0" w:space="0" w:color="auto"/>
      </w:divBdr>
    </w:div>
    <w:div w:id="1993946254">
      <w:bodyDiv w:val="1"/>
      <w:marLeft w:val="0"/>
      <w:marRight w:val="0"/>
      <w:marTop w:val="0"/>
      <w:marBottom w:val="0"/>
      <w:divBdr>
        <w:top w:val="none" w:sz="0" w:space="0" w:color="auto"/>
        <w:left w:val="none" w:sz="0" w:space="0" w:color="auto"/>
        <w:bottom w:val="none" w:sz="0" w:space="0" w:color="auto"/>
        <w:right w:val="none" w:sz="0" w:space="0" w:color="auto"/>
      </w:divBdr>
    </w:div>
    <w:div w:id="2009209988">
      <w:bodyDiv w:val="1"/>
      <w:marLeft w:val="0"/>
      <w:marRight w:val="0"/>
      <w:marTop w:val="0"/>
      <w:marBottom w:val="0"/>
      <w:divBdr>
        <w:top w:val="none" w:sz="0" w:space="0" w:color="auto"/>
        <w:left w:val="none" w:sz="0" w:space="0" w:color="auto"/>
        <w:bottom w:val="none" w:sz="0" w:space="0" w:color="auto"/>
        <w:right w:val="none" w:sz="0" w:space="0" w:color="auto"/>
      </w:divBdr>
    </w:div>
    <w:div w:id="2009402639">
      <w:bodyDiv w:val="1"/>
      <w:marLeft w:val="0"/>
      <w:marRight w:val="0"/>
      <w:marTop w:val="0"/>
      <w:marBottom w:val="0"/>
      <w:divBdr>
        <w:top w:val="none" w:sz="0" w:space="0" w:color="auto"/>
        <w:left w:val="none" w:sz="0" w:space="0" w:color="auto"/>
        <w:bottom w:val="none" w:sz="0" w:space="0" w:color="auto"/>
        <w:right w:val="none" w:sz="0" w:space="0" w:color="auto"/>
      </w:divBdr>
    </w:div>
    <w:div w:id="2009600542">
      <w:bodyDiv w:val="1"/>
      <w:marLeft w:val="0"/>
      <w:marRight w:val="0"/>
      <w:marTop w:val="0"/>
      <w:marBottom w:val="0"/>
      <w:divBdr>
        <w:top w:val="none" w:sz="0" w:space="0" w:color="auto"/>
        <w:left w:val="none" w:sz="0" w:space="0" w:color="auto"/>
        <w:bottom w:val="none" w:sz="0" w:space="0" w:color="auto"/>
        <w:right w:val="none" w:sz="0" w:space="0" w:color="auto"/>
      </w:divBdr>
    </w:div>
    <w:div w:id="2011247130">
      <w:bodyDiv w:val="1"/>
      <w:marLeft w:val="0"/>
      <w:marRight w:val="0"/>
      <w:marTop w:val="0"/>
      <w:marBottom w:val="0"/>
      <w:divBdr>
        <w:top w:val="none" w:sz="0" w:space="0" w:color="auto"/>
        <w:left w:val="none" w:sz="0" w:space="0" w:color="auto"/>
        <w:bottom w:val="none" w:sz="0" w:space="0" w:color="auto"/>
        <w:right w:val="none" w:sz="0" w:space="0" w:color="auto"/>
      </w:divBdr>
    </w:div>
    <w:div w:id="2012635311">
      <w:bodyDiv w:val="1"/>
      <w:marLeft w:val="0"/>
      <w:marRight w:val="0"/>
      <w:marTop w:val="0"/>
      <w:marBottom w:val="0"/>
      <w:divBdr>
        <w:top w:val="none" w:sz="0" w:space="0" w:color="auto"/>
        <w:left w:val="none" w:sz="0" w:space="0" w:color="auto"/>
        <w:bottom w:val="none" w:sz="0" w:space="0" w:color="auto"/>
        <w:right w:val="none" w:sz="0" w:space="0" w:color="auto"/>
      </w:divBdr>
    </w:div>
    <w:div w:id="2018534291">
      <w:bodyDiv w:val="1"/>
      <w:marLeft w:val="0"/>
      <w:marRight w:val="0"/>
      <w:marTop w:val="0"/>
      <w:marBottom w:val="0"/>
      <w:divBdr>
        <w:top w:val="none" w:sz="0" w:space="0" w:color="auto"/>
        <w:left w:val="none" w:sz="0" w:space="0" w:color="auto"/>
        <w:bottom w:val="none" w:sz="0" w:space="0" w:color="auto"/>
        <w:right w:val="none" w:sz="0" w:space="0" w:color="auto"/>
      </w:divBdr>
    </w:div>
    <w:div w:id="2020698814">
      <w:bodyDiv w:val="1"/>
      <w:marLeft w:val="0"/>
      <w:marRight w:val="0"/>
      <w:marTop w:val="0"/>
      <w:marBottom w:val="0"/>
      <w:divBdr>
        <w:top w:val="none" w:sz="0" w:space="0" w:color="auto"/>
        <w:left w:val="none" w:sz="0" w:space="0" w:color="auto"/>
        <w:bottom w:val="none" w:sz="0" w:space="0" w:color="auto"/>
        <w:right w:val="none" w:sz="0" w:space="0" w:color="auto"/>
      </w:divBdr>
    </w:div>
    <w:div w:id="2026251841">
      <w:bodyDiv w:val="1"/>
      <w:marLeft w:val="0"/>
      <w:marRight w:val="0"/>
      <w:marTop w:val="0"/>
      <w:marBottom w:val="0"/>
      <w:divBdr>
        <w:top w:val="none" w:sz="0" w:space="0" w:color="auto"/>
        <w:left w:val="none" w:sz="0" w:space="0" w:color="auto"/>
        <w:bottom w:val="none" w:sz="0" w:space="0" w:color="auto"/>
        <w:right w:val="none" w:sz="0" w:space="0" w:color="auto"/>
      </w:divBdr>
    </w:div>
    <w:div w:id="2027293580">
      <w:bodyDiv w:val="1"/>
      <w:marLeft w:val="0"/>
      <w:marRight w:val="0"/>
      <w:marTop w:val="0"/>
      <w:marBottom w:val="0"/>
      <w:divBdr>
        <w:top w:val="none" w:sz="0" w:space="0" w:color="auto"/>
        <w:left w:val="none" w:sz="0" w:space="0" w:color="auto"/>
        <w:bottom w:val="none" w:sz="0" w:space="0" w:color="auto"/>
        <w:right w:val="none" w:sz="0" w:space="0" w:color="auto"/>
      </w:divBdr>
    </w:div>
    <w:div w:id="2027831281">
      <w:bodyDiv w:val="1"/>
      <w:marLeft w:val="0"/>
      <w:marRight w:val="0"/>
      <w:marTop w:val="0"/>
      <w:marBottom w:val="0"/>
      <w:divBdr>
        <w:top w:val="none" w:sz="0" w:space="0" w:color="auto"/>
        <w:left w:val="none" w:sz="0" w:space="0" w:color="auto"/>
        <w:bottom w:val="none" w:sz="0" w:space="0" w:color="auto"/>
        <w:right w:val="none" w:sz="0" w:space="0" w:color="auto"/>
      </w:divBdr>
    </w:div>
    <w:div w:id="2029209087">
      <w:bodyDiv w:val="1"/>
      <w:marLeft w:val="0"/>
      <w:marRight w:val="0"/>
      <w:marTop w:val="0"/>
      <w:marBottom w:val="0"/>
      <w:divBdr>
        <w:top w:val="none" w:sz="0" w:space="0" w:color="auto"/>
        <w:left w:val="none" w:sz="0" w:space="0" w:color="auto"/>
        <w:bottom w:val="none" w:sz="0" w:space="0" w:color="auto"/>
        <w:right w:val="none" w:sz="0" w:space="0" w:color="auto"/>
      </w:divBdr>
    </w:div>
    <w:div w:id="2030057899">
      <w:bodyDiv w:val="1"/>
      <w:marLeft w:val="0"/>
      <w:marRight w:val="0"/>
      <w:marTop w:val="0"/>
      <w:marBottom w:val="0"/>
      <w:divBdr>
        <w:top w:val="none" w:sz="0" w:space="0" w:color="auto"/>
        <w:left w:val="none" w:sz="0" w:space="0" w:color="auto"/>
        <w:bottom w:val="none" w:sz="0" w:space="0" w:color="auto"/>
        <w:right w:val="none" w:sz="0" w:space="0" w:color="auto"/>
      </w:divBdr>
    </w:div>
    <w:div w:id="2031879955">
      <w:bodyDiv w:val="1"/>
      <w:marLeft w:val="0"/>
      <w:marRight w:val="0"/>
      <w:marTop w:val="0"/>
      <w:marBottom w:val="0"/>
      <w:divBdr>
        <w:top w:val="none" w:sz="0" w:space="0" w:color="auto"/>
        <w:left w:val="none" w:sz="0" w:space="0" w:color="auto"/>
        <w:bottom w:val="none" w:sz="0" w:space="0" w:color="auto"/>
        <w:right w:val="none" w:sz="0" w:space="0" w:color="auto"/>
      </w:divBdr>
    </w:div>
    <w:div w:id="2034070629">
      <w:bodyDiv w:val="1"/>
      <w:marLeft w:val="0"/>
      <w:marRight w:val="0"/>
      <w:marTop w:val="0"/>
      <w:marBottom w:val="0"/>
      <w:divBdr>
        <w:top w:val="none" w:sz="0" w:space="0" w:color="auto"/>
        <w:left w:val="none" w:sz="0" w:space="0" w:color="auto"/>
        <w:bottom w:val="none" w:sz="0" w:space="0" w:color="auto"/>
        <w:right w:val="none" w:sz="0" w:space="0" w:color="auto"/>
      </w:divBdr>
    </w:div>
    <w:div w:id="2041392541">
      <w:bodyDiv w:val="1"/>
      <w:marLeft w:val="0"/>
      <w:marRight w:val="0"/>
      <w:marTop w:val="0"/>
      <w:marBottom w:val="0"/>
      <w:divBdr>
        <w:top w:val="none" w:sz="0" w:space="0" w:color="auto"/>
        <w:left w:val="none" w:sz="0" w:space="0" w:color="auto"/>
        <w:bottom w:val="none" w:sz="0" w:space="0" w:color="auto"/>
        <w:right w:val="none" w:sz="0" w:space="0" w:color="auto"/>
      </w:divBdr>
    </w:div>
    <w:div w:id="2042823484">
      <w:bodyDiv w:val="1"/>
      <w:marLeft w:val="0"/>
      <w:marRight w:val="0"/>
      <w:marTop w:val="0"/>
      <w:marBottom w:val="0"/>
      <w:divBdr>
        <w:top w:val="none" w:sz="0" w:space="0" w:color="auto"/>
        <w:left w:val="none" w:sz="0" w:space="0" w:color="auto"/>
        <w:bottom w:val="none" w:sz="0" w:space="0" w:color="auto"/>
        <w:right w:val="none" w:sz="0" w:space="0" w:color="auto"/>
      </w:divBdr>
    </w:div>
    <w:div w:id="2047560454">
      <w:bodyDiv w:val="1"/>
      <w:marLeft w:val="0"/>
      <w:marRight w:val="0"/>
      <w:marTop w:val="0"/>
      <w:marBottom w:val="0"/>
      <w:divBdr>
        <w:top w:val="none" w:sz="0" w:space="0" w:color="auto"/>
        <w:left w:val="none" w:sz="0" w:space="0" w:color="auto"/>
        <w:bottom w:val="none" w:sz="0" w:space="0" w:color="auto"/>
        <w:right w:val="none" w:sz="0" w:space="0" w:color="auto"/>
      </w:divBdr>
    </w:div>
    <w:div w:id="2047757205">
      <w:bodyDiv w:val="1"/>
      <w:marLeft w:val="0"/>
      <w:marRight w:val="0"/>
      <w:marTop w:val="0"/>
      <w:marBottom w:val="0"/>
      <w:divBdr>
        <w:top w:val="none" w:sz="0" w:space="0" w:color="auto"/>
        <w:left w:val="none" w:sz="0" w:space="0" w:color="auto"/>
        <w:bottom w:val="none" w:sz="0" w:space="0" w:color="auto"/>
        <w:right w:val="none" w:sz="0" w:space="0" w:color="auto"/>
      </w:divBdr>
    </w:div>
    <w:div w:id="2050375389">
      <w:bodyDiv w:val="1"/>
      <w:marLeft w:val="0"/>
      <w:marRight w:val="0"/>
      <w:marTop w:val="0"/>
      <w:marBottom w:val="0"/>
      <w:divBdr>
        <w:top w:val="none" w:sz="0" w:space="0" w:color="auto"/>
        <w:left w:val="none" w:sz="0" w:space="0" w:color="auto"/>
        <w:bottom w:val="none" w:sz="0" w:space="0" w:color="auto"/>
        <w:right w:val="none" w:sz="0" w:space="0" w:color="auto"/>
      </w:divBdr>
    </w:div>
    <w:div w:id="2050912340">
      <w:bodyDiv w:val="1"/>
      <w:marLeft w:val="0"/>
      <w:marRight w:val="0"/>
      <w:marTop w:val="0"/>
      <w:marBottom w:val="0"/>
      <w:divBdr>
        <w:top w:val="none" w:sz="0" w:space="0" w:color="auto"/>
        <w:left w:val="none" w:sz="0" w:space="0" w:color="auto"/>
        <w:bottom w:val="none" w:sz="0" w:space="0" w:color="auto"/>
        <w:right w:val="none" w:sz="0" w:space="0" w:color="auto"/>
      </w:divBdr>
    </w:div>
    <w:div w:id="2051765548">
      <w:bodyDiv w:val="1"/>
      <w:marLeft w:val="0"/>
      <w:marRight w:val="0"/>
      <w:marTop w:val="0"/>
      <w:marBottom w:val="0"/>
      <w:divBdr>
        <w:top w:val="none" w:sz="0" w:space="0" w:color="auto"/>
        <w:left w:val="none" w:sz="0" w:space="0" w:color="auto"/>
        <w:bottom w:val="none" w:sz="0" w:space="0" w:color="auto"/>
        <w:right w:val="none" w:sz="0" w:space="0" w:color="auto"/>
      </w:divBdr>
    </w:div>
    <w:div w:id="2055350418">
      <w:bodyDiv w:val="1"/>
      <w:marLeft w:val="0"/>
      <w:marRight w:val="0"/>
      <w:marTop w:val="0"/>
      <w:marBottom w:val="0"/>
      <w:divBdr>
        <w:top w:val="none" w:sz="0" w:space="0" w:color="auto"/>
        <w:left w:val="none" w:sz="0" w:space="0" w:color="auto"/>
        <w:bottom w:val="none" w:sz="0" w:space="0" w:color="auto"/>
        <w:right w:val="none" w:sz="0" w:space="0" w:color="auto"/>
      </w:divBdr>
    </w:div>
    <w:div w:id="2055539623">
      <w:bodyDiv w:val="1"/>
      <w:marLeft w:val="0"/>
      <w:marRight w:val="0"/>
      <w:marTop w:val="0"/>
      <w:marBottom w:val="0"/>
      <w:divBdr>
        <w:top w:val="none" w:sz="0" w:space="0" w:color="auto"/>
        <w:left w:val="none" w:sz="0" w:space="0" w:color="auto"/>
        <w:bottom w:val="none" w:sz="0" w:space="0" w:color="auto"/>
        <w:right w:val="none" w:sz="0" w:space="0" w:color="auto"/>
      </w:divBdr>
    </w:div>
    <w:div w:id="2056658693">
      <w:bodyDiv w:val="1"/>
      <w:marLeft w:val="0"/>
      <w:marRight w:val="0"/>
      <w:marTop w:val="0"/>
      <w:marBottom w:val="0"/>
      <w:divBdr>
        <w:top w:val="none" w:sz="0" w:space="0" w:color="auto"/>
        <w:left w:val="none" w:sz="0" w:space="0" w:color="auto"/>
        <w:bottom w:val="none" w:sz="0" w:space="0" w:color="auto"/>
        <w:right w:val="none" w:sz="0" w:space="0" w:color="auto"/>
      </w:divBdr>
    </w:div>
    <w:div w:id="2056999765">
      <w:bodyDiv w:val="1"/>
      <w:marLeft w:val="0"/>
      <w:marRight w:val="0"/>
      <w:marTop w:val="0"/>
      <w:marBottom w:val="0"/>
      <w:divBdr>
        <w:top w:val="none" w:sz="0" w:space="0" w:color="auto"/>
        <w:left w:val="none" w:sz="0" w:space="0" w:color="auto"/>
        <w:bottom w:val="none" w:sz="0" w:space="0" w:color="auto"/>
        <w:right w:val="none" w:sz="0" w:space="0" w:color="auto"/>
      </w:divBdr>
    </w:div>
    <w:div w:id="2059934330">
      <w:bodyDiv w:val="1"/>
      <w:marLeft w:val="0"/>
      <w:marRight w:val="0"/>
      <w:marTop w:val="0"/>
      <w:marBottom w:val="0"/>
      <w:divBdr>
        <w:top w:val="none" w:sz="0" w:space="0" w:color="auto"/>
        <w:left w:val="none" w:sz="0" w:space="0" w:color="auto"/>
        <w:bottom w:val="none" w:sz="0" w:space="0" w:color="auto"/>
        <w:right w:val="none" w:sz="0" w:space="0" w:color="auto"/>
      </w:divBdr>
    </w:div>
    <w:div w:id="2060349692">
      <w:bodyDiv w:val="1"/>
      <w:marLeft w:val="0"/>
      <w:marRight w:val="0"/>
      <w:marTop w:val="0"/>
      <w:marBottom w:val="0"/>
      <w:divBdr>
        <w:top w:val="none" w:sz="0" w:space="0" w:color="auto"/>
        <w:left w:val="none" w:sz="0" w:space="0" w:color="auto"/>
        <w:bottom w:val="none" w:sz="0" w:space="0" w:color="auto"/>
        <w:right w:val="none" w:sz="0" w:space="0" w:color="auto"/>
      </w:divBdr>
    </w:div>
    <w:div w:id="2063938279">
      <w:bodyDiv w:val="1"/>
      <w:marLeft w:val="0"/>
      <w:marRight w:val="0"/>
      <w:marTop w:val="0"/>
      <w:marBottom w:val="0"/>
      <w:divBdr>
        <w:top w:val="none" w:sz="0" w:space="0" w:color="auto"/>
        <w:left w:val="none" w:sz="0" w:space="0" w:color="auto"/>
        <w:bottom w:val="none" w:sz="0" w:space="0" w:color="auto"/>
        <w:right w:val="none" w:sz="0" w:space="0" w:color="auto"/>
      </w:divBdr>
    </w:div>
    <w:div w:id="2064449805">
      <w:bodyDiv w:val="1"/>
      <w:marLeft w:val="0"/>
      <w:marRight w:val="0"/>
      <w:marTop w:val="0"/>
      <w:marBottom w:val="0"/>
      <w:divBdr>
        <w:top w:val="none" w:sz="0" w:space="0" w:color="auto"/>
        <w:left w:val="none" w:sz="0" w:space="0" w:color="auto"/>
        <w:bottom w:val="none" w:sz="0" w:space="0" w:color="auto"/>
        <w:right w:val="none" w:sz="0" w:space="0" w:color="auto"/>
      </w:divBdr>
    </w:div>
    <w:div w:id="2064718970">
      <w:bodyDiv w:val="1"/>
      <w:marLeft w:val="0"/>
      <w:marRight w:val="0"/>
      <w:marTop w:val="0"/>
      <w:marBottom w:val="0"/>
      <w:divBdr>
        <w:top w:val="none" w:sz="0" w:space="0" w:color="auto"/>
        <w:left w:val="none" w:sz="0" w:space="0" w:color="auto"/>
        <w:bottom w:val="none" w:sz="0" w:space="0" w:color="auto"/>
        <w:right w:val="none" w:sz="0" w:space="0" w:color="auto"/>
      </w:divBdr>
    </w:div>
    <w:div w:id="2066683888">
      <w:bodyDiv w:val="1"/>
      <w:marLeft w:val="0"/>
      <w:marRight w:val="0"/>
      <w:marTop w:val="0"/>
      <w:marBottom w:val="0"/>
      <w:divBdr>
        <w:top w:val="none" w:sz="0" w:space="0" w:color="auto"/>
        <w:left w:val="none" w:sz="0" w:space="0" w:color="auto"/>
        <w:bottom w:val="none" w:sz="0" w:space="0" w:color="auto"/>
        <w:right w:val="none" w:sz="0" w:space="0" w:color="auto"/>
      </w:divBdr>
    </w:div>
    <w:div w:id="2068801030">
      <w:bodyDiv w:val="1"/>
      <w:marLeft w:val="0"/>
      <w:marRight w:val="0"/>
      <w:marTop w:val="0"/>
      <w:marBottom w:val="0"/>
      <w:divBdr>
        <w:top w:val="none" w:sz="0" w:space="0" w:color="auto"/>
        <w:left w:val="none" w:sz="0" w:space="0" w:color="auto"/>
        <w:bottom w:val="none" w:sz="0" w:space="0" w:color="auto"/>
        <w:right w:val="none" w:sz="0" w:space="0" w:color="auto"/>
      </w:divBdr>
    </w:div>
    <w:div w:id="2075855952">
      <w:bodyDiv w:val="1"/>
      <w:marLeft w:val="0"/>
      <w:marRight w:val="0"/>
      <w:marTop w:val="0"/>
      <w:marBottom w:val="0"/>
      <w:divBdr>
        <w:top w:val="none" w:sz="0" w:space="0" w:color="auto"/>
        <w:left w:val="none" w:sz="0" w:space="0" w:color="auto"/>
        <w:bottom w:val="none" w:sz="0" w:space="0" w:color="auto"/>
        <w:right w:val="none" w:sz="0" w:space="0" w:color="auto"/>
      </w:divBdr>
    </w:div>
    <w:div w:id="2076779069">
      <w:bodyDiv w:val="1"/>
      <w:marLeft w:val="0"/>
      <w:marRight w:val="0"/>
      <w:marTop w:val="0"/>
      <w:marBottom w:val="0"/>
      <w:divBdr>
        <w:top w:val="none" w:sz="0" w:space="0" w:color="auto"/>
        <w:left w:val="none" w:sz="0" w:space="0" w:color="auto"/>
        <w:bottom w:val="none" w:sz="0" w:space="0" w:color="auto"/>
        <w:right w:val="none" w:sz="0" w:space="0" w:color="auto"/>
      </w:divBdr>
    </w:div>
    <w:div w:id="2084982819">
      <w:bodyDiv w:val="1"/>
      <w:marLeft w:val="0"/>
      <w:marRight w:val="0"/>
      <w:marTop w:val="0"/>
      <w:marBottom w:val="0"/>
      <w:divBdr>
        <w:top w:val="none" w:sz="0" w:space="0" w:color="auto"/>
        <w:left w:val="none" w:sz="0" w:space="0" w:color="auto"/>
        <w:bottom w:val="none" w:sz="0" w:space="0" w:color="auto"/>
        <w:right w:val="none" w:sz="0" w:space="0" w:color="auto"/>
      </w:divBdr>
    </w:div>
    <w:div w:id="2092580288">
      <w:bodyDiv w:val="1"/>
      <w:marLeft w:val="0"/>
      <w:marRight w:val="0"/>
      <w:marTop w:val="0"/>
      <w:marBottom w:val="0"/>
      <w:divBdr>
        <w:top w:val="none" w:sz="0" w:space="0" w:color="auto"/>
        <w:left w:val="none" w:sz="0" w:space="0" w:color="auto"/>
        <w:bottom w:val="none" w:sz="0" w:space="0" w:color="auto"/>
        <w:right w:val="none" w:sz="0" w:space="0" w:color="auto"/>
      </w:divBdr>
    </w:div>
    <w:div w:id="2094739237">
      <w:bodyDiv w:val="1"/>
      <w:marLeft w:val="0"/>
      <w:marRight w:val="0"/>
      <w:marTop w:val="0"/>
      <w:marBottom w:val="0"/>
      <w:divBdr>
        <w:top w:val="none" w:sz="0" w:space="0" w:color="auto"/>
        <w:left w:val="none" w:sz="0" w:space="0" w:color="auto"/>
        <w:bottom w:val="none" w:sz="0" w:space="0" w:color="auto"/>
        <w:right w:val="none" w:sz="0" w:space="0" w:color="auto"/>
      </w:divBdr>
    </w:div>
    <w:div w:id="2095203074">
      <w:bodyDiv w:val="1"/>
      <w:marLeft w:val="0"/>
      <w:marRight w:val="0"/>
      <w:marTop w:val="0"/>
      <w:marBottom w:val="0"/>
      <w:divBdr>
        <w:top w:val="none" w:sz="0" w:space="0" w:color="auto"/>
        <w:left w:val="none" w:sz="0" w:space="0" w:color="auto"/>
        <w:bottom w:val="none" w:sz="0" w:space="0" w:color="auto"/>
        <w:right w:val="none" w:sz="0" w:space="0" w:color="auto"/>
      </w:divBdr>
    </w:div>
    <w:div w:id="2099130265">
      <w:bodyDiv w:val="1"/>
      <w:marLeft w:val="0"/>
      <w:marRight w:val="0"/>
      <w:marTop w:val="0"/>
      <w:marBottom w:val="0"/>
      <w:divBdr>
        <w:top w:val="none" w:sz="0" w:space="0" w:color="auto"/>
        <w:left w:val="none" w:sz="0" w:space="0" w:color="auto"/>
        <w:bottom w:val="none" w:sz="0" w:space="0" w:color="auto"/>
        <w:right w:val="none" w:sz="0" w:space="0" w:color="auto"/>
      </w:divBdr>
    </w:div>
    <w:div w:id="2099597511">
      <w:bodyDiv w:val="1"/>
      <w:marLeft w:val="0"/>
      <w:marRight w:val="0"/>
      <w:marTop w:val="0"/>
      <w:marBottom w:val="0"/>
      <w:divBdr>
        <w:top w:val="none" w:sz="0" w:space="0" w:color="auto"/>
        <w:left w:val="none" w:sz="0" w:space="0" w:color="auto"/>
        <w:bottom w:val="none" w:sz="0" w:space="0" w:color="auto"/>
        <w:right w:val="none" w:sz="0" w:space="0" w:color="auto"/>
      </w:divBdr>
    </w:div>
    <w:div w:id="2102601925">
      <w:bodyDiv w:val="1"/>
      <w:marLeft w:val="0"/>
      <w:marRight w:val="0"/>
      <w:marTop w:val="0"/>
      <w:marBottom w:val="0"/>
      <w:divBdr>
        <w:top w:val="none" w:sz="0" w:space="0" w:color="auto"/>
        <w:left w:val="none" w:sz="0" w:space="0" w:color="auto"/>
        <w:bottom w:val="none" w:sz="0" w:space="0" w:color="auto"/>
        <w:right w:val="none" w:sz="0" w:space="0" w:color="auto"/>
      </w:divBdr>
    </w:div>
    <w:div w:id="2109109594">
      <w:bodyDiv w:val="1"/>
      <w:marLeft w:val="0"/>
      <w:marRight w:val="0"/>
      <w:marTop w:val="0"/>
      <w:marBottom w:val="0"/>
      <w:divBdr>
        <w:top w:val="none" w:sz="0" w:space="0" w:color="auto"/>
        <w:left w:val="none" w:sz="0" w:space="0" w:color="auto"/>
        <w:bottom w:val="none" w:sz="0" w:space="0" w:color="auto"/>
        <w:right w:val="none" w:sz="0" w:space="0" w:color="auto"/>
      </w:divBdr>
    </w:div>
    <w:div w:id="2109764204">
      <w:bodyDiv w:val="1"/>
      <w:marLeft w:val="0"/>
      <w:marRight w:val="0"/>
      <w:marTop w:val="0"/>
      <w:marBottom w:val="0"/>
      <w:divBdr>
        <w:top w:val="none" w:sz="0" w:space="0" w:color="auto"/>
        <w:left w:val="none" w:sz="0" w:space="0" w:color="auto"/>
        <w:bottom w:val="none" w:sz="0" w:space="0" w:color="auto"/>
        <w:right w:val="none" w:sz="0" w:space="0" w:color="auto"/>
      </w:divBdr>
    </w:div>
    <w:div w:id="2110004359">
      <w:bodyDiv w:val="1"/>
      <w:marLeft w:val="0"/>
      <w:marRight w:val="0"/>
      <w:marTop w:val="0"/>
      <w:marBottom w:val="0"/>
      <w:divBdr>
        <w:top w:val="none" w:sz="0" w:space="0" w:color="auto"/>
        <w:left w:val="none" w:sz="0" w:space="0" w:color="auto"/>
        <w:bottom w:val="none" w:sz="0" w:space="0" w:color="auto"/>
        <w:right w:val="none" w:sz="0" w:space="0" w:color="auto"/>
      </w:divBdr>
    </w:div>
    <w:div w:id="2113013152">
      <w:bodyDiv w:val="1"/>
      <w:marLeft w:val="0"/>
      <w:marRight w:val="0"/>
      <w:marTop w:val="0"/>
      <w:marBottom w:val="0"/>
      <w:divBdr>
        <w:top w:val="none" w:sz="0" w:space="0" w:color="auto"/>
        <w:left w:val="none" w:sz="0" w:space="0" w:color="auto"/>
        <w:bottom w:val="none" w:sz="0" w:space="0" w:color="auto"/>
        <w:right w:val="none" w:sz="0" w:space="0" w:color="auto"/>
      </w:divBdr>
    </w:div>
    <w:div w:id="2117097097">
      <w:bodyDiv w:val="1"/>
      <w:marLeft w:val="0"/>
      <w:marRight w:val="0"/>
      <w:marTop w:val="0"/>
      <w:marBottom w:val="0"/>
      <w:divBdr>
        <w:top w:val="none" w:sz="0" w:space="0" w:color="auto"/>
        <w:left w:val="none" w:sz="0" w:space="0" w:color="auto"/>
        <w:bottom w:val="none" w:sz="0" w:space="0" w:color="auto"/>
        <w:right w:val="none" w:sz="0" w:space="0" w:color="auto"/>
      </w:divBdr>
    </w:div>
    <w:div w:id="2117603239">
      <w:bodyDiv w:val="1"/>
      <w:marLeft w:val="0"/>
      <w:marRight w:val="0"/>
      <w:marTop w:val="0"/>
      <w:marBottom w:val="0"/>
      <w:divBdr>
        <w:top w:val="none" w:sz="0" w:space="0" w:color="auto"/>
        <w:left w:val="none" w:sz="0" w:space="0" w:color="auto"/>
        <w:bottom w:val="none" w:sz="0" w:space="0" w:color="auto"/>
        <w:right w:val="none" w:sz="0" w:space="0" w:color="auto"/>
      </w:divBdr>
    </w:div>
    <w:div w:id="2118452285">
      <w:bodyDiv w:val="1"/>
      <w:marLeft w:val="0"/>
      <w:marRight w:val="0"/>
      <w:marTop w:val="0"/>
      <w:marBottom w:val="0"/>
      <w:divBdr>
        <w:top w:val="none" w:sz="0" w:space="0" w:color="auto"/>
        <w:left w:val="none" w:sz="0" w:space="0" w:color="auto"/>
        <w:bottom w:val="none" w:sz="0" w:space="0" w:color="auto"/>
        <w:right w:val="none" w:sz="0" w:space="0" w:color="auto"/>
      </w:divBdr>
    </w:div>
    <w:div w:id="2118669591">
      <w:bodyDiv w:val="1"/>
      <w:marLeft w:val="0"/>
      <w:marRight w:val="0"/>
      <w:marTop w:val="0"/>
      <w:marBottom w:val="0"/>
      <w:divBdr>
        <w:top w:val="none" w:sz="0" w:space="0" w:color="auto"/>
        <w:left w:val="none" w:sz="0" w:space="0" w:color="auto"/>
        <w:bottom w:val="none" w:sz="0" w:space="0" w:color="auto"/>
        <w:right w:val="none" w:sz="0" w:space="0" w:color="auto"/>
      </w:divBdr>
    </w:div>
    <w:div w:id="2124226657">
      <w:bodyDiv w:val="1"/>
      <w:marLeft w:val="0"/>
      <w:marRight w:val="0"/>
      <w:marTop w:val="0"/>
      <w:marBottom w:val="0"/>
      <w:divBdr>
        <w:top w:val="none" w:sz="0" w:space="0" w:color="auto"/>
        <w:left w:val="none" w:sz="0" w:space="0" w:color="auto"/>
        <w:bottom w:val="none" w:sz="0" w:space="0" w:color="auto"/>
        <w:right w:val="none" w:sz="0" w:space="0" w:color="auto"/>
      </w:divBdr>
    </w:div>
    <w:div w:id="2128544065">
      <w:bodyDiv w:val="1"/>
      <w:marLeft w:val="0"/>
      <w:marRight w:val="0"/>
      <w:marTop w:val="0"/>
      <w:marBottom w:val="0"/>
      <w:divBdr>
        <w:top w:val="none" w:sz="0" w:space="0" w:color="auto"/>
        <w:left w:val="none" w:sz="0" w:space="0" w:color="auto"/>
        <w:bottom w:val="none" w:sz="0" w:space="0" w:color="auto"/>
        <w:right w:val="none" w:sz="0" w:space="0" w:color="auto"/>
      </w:divBdr>
    </w:div>
    <w:div w:id="2131431338">
      <w:bodyDiv w:val="1"/>
      <w:marLeft w:val="0"/>
      <w:marRight w:val="0"/>
      <w:marTop w:val="0"/>
      <w:marBottom w:val="0"/>
      <w:divBdr>
        <w:top w:val="none" w:sz="0" w:space="0" w:color="auto"/>
        <w:left w:val="none" w:sz="0" w:space="0" w:color="auto"/>
        <w:bottom w:val="none" w:sz="0" w:space="0" w:color="auto"/>
        <w:right w:val="none" w:sz="0" w:space="0" w:color="auto"/>
      </w:divBdr>
    </w:div>
    <w:div w:id="2134403726">
      <w:bodyDiv w:val="1"/>
      <w:marLeft w:val="0"/>
      <w:marRight w:val="0"/>
      <w:marTop w:val="0"/>
      <w:marBottom w:val="0"/>
      <w:divBdr>
        <w:top w:val="none" w:sz="0" w:space="0" w:color="auto"/>
        <w:left w:val="none" w:sz="0" w:space="0" w:color="auto"/>
        <w:bottom w:val="none" w:sz="0" w:space="0" w:color="auto"/>
        <w:right w:val="none" w:sz="0" w:space="0" w:color="auto"/>
      </w:divBdr>
    </w:div>
    <w:div w:id="214034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image" Target="media/image10.emf"/><Relationship Id="rId50" Type="http://schemas.openxmlformats.org/officeDocument/2006/relationships/image" Target="media/image13.emf"/><Relationship Id="rId55"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7.xml"/><Relationship Id="rId46" Type="http://schemas.openxmlformats.org/officeDocument/2006/relationships/image" Target="media/image9.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20.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31CE9.E303EF80" TargetMode="Externa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image" Target="media/image8.png"/><Relationship Id="rId53" Type="http://schemas.openxmlformats.org/officeDocument/2006/relationships/header" Target="header24.xm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6.emf"/><Relationship Id="rId36" Type="http://schemas.openxmlformats.org/officeDocument/2006/relationships/header" Target="header16.xml"/><Relationship Id="rId49" Type="http://schemas.openxmlformats.org/officeDocument/2006/relationships/image" Target="media/image12.emf"/><Relationship Id="rId57" Type="http://schemas.openxmlformats.org/officeDocument/2006/relationships/header" Target="header28.xml"/><Relationship Id="rId10" Type="http://schemas.openxmlformats.org/officeDocument/2006/relationships/image" Target="media/image4.jpeg"/><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image" Target="media/image7.emf"/><Relationship Id="rId52" Type="http://schemas.openxmlformats.org/officeDocument/2006/relationships/header" Target="header2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pyright@education.gov.au"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image" Target="media/image11.emf"/><Relationship Id="rId56" Type="http://schemas.openxmlformats.org/officeDocument/2006/relationships/header" Target="header27.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hyperlink" Target="http://www.vu.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CRES\CIRES%20templates\CIRES_v3Jul17_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b:Tag>
    <b:SourceType>Book</b:SourceType>
    <b:Guid>{512D24F1-5BCE-4314-B563-B566044024E1}</b:Guid>
    <b:Author>
      <b:Author>
        <b:NameList>
          <b:Person>
            <b:Last>Wilkinson</b:Last>
            <b:Middle>R</b:Middle>
            <b:First>Ian</b:First>
          </b:Person>
          <b:Person>
            <b:Last>Caldwell</b:Last>
            <b:Middle>J</b:Middle>
            <b:First>Brian</b:First>
          </b:Person>
          <b:Person>
            <b:Last>Selleck</b:Last>
            <b:First>R. J. W.</b:First>
          </b:Person>
          <b:Person>
            <b:Last>Harris</b:Last>
            <b:First>Jessica</b:First>
          </b:Person>
          <b:Person>
            <b:Last>Dettman</b:Last>
            <b:First>Pam</b:First>
          </b:Person>
        </b:NameList>
      </b:Author>
    </b:Author>
    <b:Title>A History of State Aid to Non-Government Schools in Australia</b:Title>
    <b:Year>2006</b:Year>
    <b:City>Canberra</b:City>
    <b:Publisher>Department of Education, Science and Training</b:Publisher>
    <b:RefOrder>9</b:RefOrder>
  </b:Source>
  <b:Source>
    <b:Tag>Dep97</b:Tag>
    <b:SourceType>Book</b:SourceType>
    <b:Guid>{562CFC54-40D7-4B57-B33C-7271B1CB424D}</b:Guid>
    <b:Author>
      <b:Author>
        <b:Corporate>Department of Employment, Education, Training and Youth Affairs</b:Corporate>
      </b:Author>
    </b:Author>
    <b:Title>Schools Funding: Consultation Report</b:Title>
    <b:Year>1997</b:Year>
    <b:City>Canberra</b:City>
    <b:Publisher>Department of Employment, Education, Training and Youth Affairs</b:Publisher>
    <b:RefOrder>2</b:RefOrder>
  </b:Source>
  <b:Source>
    <b:Tag>Sch</b:Tag>
    <b:SourceType>Book</b:SourceType>
    <b:Guid>{90797C4F-A2E5-4619-9392-865B8CE0DA87}</b:Guid>
    <b:Title>Schools Funding: SES Simulation Project Report</b:Title>
    <b:Author>
      <b:Author>
        <b:Corporate>Department of Education, Training and Youth Affairs</b:Corporate>
      </b:Author>
    </b:Author>
    <b:Year>1998</b:Year>
    <b:City>Canberra</b:City>
    <b:Publisher>Department of Education, Training and Youth Affairs</b:Publisher>
    <b:RefOrder>4</b:RefOrder>
  </b:Source>
  <b:Source>
    <b:Tag>Aus99</b:Tag>
    <b:SourceType>Book</b:SourceType>
    <b:Guid>{AA505FC0-1028-4B1E-BC67-A5CD3BD75AF6}</b:Guid>
    <b:Author>
      <b:Author>
        <b:Corporate>Australian Bureau of Statistics</b:Corporate>
      </b:Author>
    </b:Author>
    <b:Title>Australian Standard Geographical Classification (ASGC), cat. no. 1216.0</b:Title>
    <b:Year>1999</b:Year>
    <b:City>Canberra</b:City>
    <b:Publisher>Australian Bureau of Statistics</b:Publisher>
    <b:RefOrder>17</b:RefOrder>
  </b:Source>
  <b:Source>
    <b:Tag>Aus10</b:Tag>
    <b:SourceType>Book</b:SourceType>
    <b:Guid>{64747544-F05C-4B84-9820-A9187BBB32CF}</b:Guid>
    <b:Author>
      <b:Author>
        <b:Corporate>Australian Bureau of Statistics</b:Corporate>
      </b:Author>
    </b:Author>
    <b:Title>Australian Statistical Geography Standard (ASGS): Volume 1 - Main Structure and Greater Capital City Statistical Areas, July 2011, cat. no. 1270.0.55.001</b:Title>
    <b:Year>2010</b:Year>
    <b:City>Canberra</b:City>
    <b:Publisher>Australian Bureau of Statistics</b:Publisher>
    <b:RefOrder>18</b:RefOrder>
  </b:Source>
  <b:Source>
    <b:Tag>Dep99</b:Tag>
    <b:SourceType>Book</b:SourceType>
    <b:Guid>{AF530363-4555-4B2C-AD3C-C9383135FCCC}</b:Guid>
    <b:Author>
      <b:Author>
        <b:Corporate>Department of Education, Training and Youth Affairs</b:Corporate>
      </b:Author>
    </b:Author>
    <b:Title>SES Simulation Project: Validation Report</b:Title>
    <b:Year>1999</b:Year>
    <b:City>Canberra</b:City>
    <b:Publisher>Department of Education, Training and Youth Affairs</b:Publisher>
    <b:RefOrder>5</b:RefOrder>
  </b:Source>
  <b:Source>
    <b:Tag>Gon11</b:Tag>
    <b:SourceType>Book</b:SourceType>
    <b:Guid>{A079FBE0-E59B-4DC7-B78C-EE29CEDC5F3B}</b:Guid>
    <b:Title>Review of Funding for Schooling: Final Report</b:Title>
    <b:Year>2011</b:Year>
    <b:City>Canberra</b:City>
    <b:Publisher>Department of Education, Employment and Workplace Relations</b:Publisher>
    <b:Author>
      <b:Author>
        <b:NameList>
          <b:Person>
            <b:Last>Gonski</b:Last>
            <b:First>David</b:First>
          </b:Person>
          <b:Person>
            <b:Last>Boston</b:Last>
            <b:First>Ken</b:First>
          </b:Person>
          <b:Person>
            <b:Last>Greiner</b:Last>
            <b:First>Kathryn</b:First>
          </b:Person>
          <b:Person>
            <b:Last>Lawrence</b:Last>
            <b:First>Carmen</b:First>
          </b:Person>
          <b:Person>
            <b:Last>Scales</b:Last>
            <b:First>Bill</b:First>
          </b:Person>
          <b:Person>
            <b:Last>Tannock</b:Last>
            <b:First>Peter</b:First>
          </b:Person>
        </b:NameList>
      </b:Author>
    </b:Author>
    <b:RefOrder>8</b:RefOrder>
  </b:Source>
  <b:Source>
    <b:Tag>Hai17</b:Tag>
    <b:SourceType>Book</b:SourceType>
    <b:Guid>{DBDB3444-78E5-4FEA-8E22-B80D4001F44F}</b:Guid>
    <b:Title>Australian Education Amendment Bill 2017: Senate Education and Employment Committee, 2 June</b:Title>
    <b:Year>2017</b:Year>
    <b:City>Canberra</b:City>
    <b:Publisher>Commonwealth of Australia</b:Publisher>
    <b:Author>
      <b:Author>
        <b:NameList>
          <b:Person>
            <b:Last>Hain</b:Last>
            <b:First>Leonard</b:First>
          </b:Person>
        </b:NameList>
      </b:Author>
    </b:Author>
    <b:RefOrder>10</b:RefOrder>
  </b:Source>
  <b:Source>
    <b:Tag>KPM96</b:Tag>
    <b:SourceType>Book</b:SourceType>
    <b:Guid>{0F35F799-71CD-4894-8D2F-400DA4CCFF26}</b:Guid>
    <b:Author>
      <b:Author>
        <b:Corporate>KPMG Management Consulting</b:Corporate>
      </b:Author>
    </b:Author>
    <b:Title>Evaluation of the Administration of the General Recurrent Grants for Schools Programs</b:Title>
    <b:Year>1996</b:Year>
    <b:City>Canberra</b:City>
    <b:Publisher>Department of Employment, Education, Training and Youth Affairs</b:Publisher>
    <b:RefOrder>3</b:RefOrder>
  </b:Source>
  <b:Source>
    <b:Tag>The11</b:Tag>
    <b:SourceType>Book</b:SourceType>
    <b:Guid>{B8C0A75E-AC5A-4691-93EE-9A28169CCE96}</b:Guid>
    <b:Author>
      <b:Author>
        <b:Corporate>The Allen Consulting Group</b:Corporate>
      </b:Author>
    </b:Author>
    <b:Title>Feasibility of a National Schooling Recurrent Resouce Standard</b:Title>
    <b:Year>2011</b:Year>
    <b:City>Melbourne</b:City>
    <b:Publisher>The Allen Consulting Group</b:Publisher>
    <b:RefOrder>1</b:RefOrder>
  </b:Source>
  <b:Source>
    <b:Tag>Aus101</b:Tag>
    <b:SourceType>Book</b:SourceType>
    <b:Guid>{B0CAE3C6-7EB8-4534-B038-1A622AC24DF3}</b:Guid>
    <b:Author>
      <b:Author>
        <b:Corporate>Australian Bureau of Statistics</b:Corporate>
      </b:Author>
    </b:Author>
    <b:Title>1270.0.55.001 - Australian Statistical Geography Standard (ASGS): Volume 1 - Main Structure and Greater Capital City Statistical Areas, July 2011, Cat. No. 1270.0.55.001</b:Title>
    <b:Year>2010</b:Year>
    <b:City>Canberra</b:City>
    <b:Publisher>Australian Bureau of Statistics</b:Publisher>
    <b:RefOrder>12</b:RefOrder>
  </b:Source>
  <b:Source>
    <b:Tag>Aus171</b:Tag>
    <b:SourceType>DocumentFromInternetSite</b:SourceType>
    <b:Guid>{FBA6AA99-F888-40C4-A2AF-C156B1E1EFBC}</b:Guid>
    <b:Author>
      <b:Author>
        <b:Corporate>Australian Government</b:Corporate>
      </b:Author>
    </b:Author>
    <b:Title>Process for determination of an SES score by legislative instrument</b:Title>
    <b:Year>2017</b:Year>
    <b:InternetSiteTitle>Guide to the Australian Education Act 2013</b:InternetSiteTitle>
    <b:Month>August</b:Month>
    <b:Day>29</b:Day>
    <b:URL>https://aeaguide.education.gov.au/content/f1131-process-determination-ses-score-legislative-instrument</b:URL>
    <b:RefOrder>13</b:RefOrder>
  </b:Source>
  <b:Source>
    <b:Tag>Dep17</b:Tag>
    <b:SourceType>DocumentFromInternetSite</b:SourceType>
    <b:Guid>{577F8133-1182-4B46-897B-CE7F2BF28CDC}</b:Guid>
    <b:Author>
      <b:Author>
        <b:Corporate>Department of Education and Training</b:Corporate>
      </b:Author>
    </b:Author>
    <b:Title>What are the interim arrangements for non-government school systems while the review socio-economic status (SES) score methodology review is undertaken?</b:Title>
    <b:InternetSiteTitle>Quality Schools – frequently asked questions</b:InternetSiteTitle>
    <b:Year>2017</b:Year>
    <b:Month>August</b:Month>
    <b:Day>29</b:Day>
    <b:URL>https://www.education.gov.au/quality-schools-frequently-asked-questions#what-are-the-interim-arrangements</b:URL>
    <b:RefOrder>14</b:RefOrder>
  </b:Source>
  <b:Source>
    <b:Tag>Kem00</b:Tag>
    <b:SourceType>Misc</b:SourceType>
    <b:Guid>{4B227190-E4E0-40A6-9BBB-21F6410C078D}</b:Guid>
    <b:Title>States Grants (Primary and Secondary Education Assistance) Bill 2000: Second Reading Speect</b:Title>
    <b:Year>2000</b:Year>
    <b:Month>June</b:Month>
    <b:Day>29</b:Day>
    <b:PublicationTitle>Parliamentary Debates</b:PublicationTitle>
    <b:City>Canberra</b:City>
    <b:StateProvince>Australian Capital Territory</b:StateProvince>
    <b:CountryRegion>Australia</b:CountryRegion>
    <b:Publisher>Commonwealth of Australia</b:Publisher>
    <b:Author>
      <b:Author>
        <b:NameList>
          <b:Person>
            <b:Last>Kemp</b:Last>
            <b:First>David</b:First>
          </b:Person>
        </b:NameList>
      </b:Author>
    </b:Author>
    <b:RefOrder>6</b:RefOrder>
  </b:Source>
  <b:Source>
    <b:Tag>Dun89</b:Tag>
    <b:SourceType>Book</b:SourceType>
    <b:Guid>{95E50DA4-6702-4587-871A-749C8A30CDAD}</b:Guid>
    <b:Title>Principal Components Analysis</b:Title>
    <b:Year>1989</b:Year>
    <b:Publisher>Sage Publications</b:Publisher>
    <b:City>Newbury Park, California</b:City>
    <b:Author>
      <b:Author>
        <b:NameList>
          <b:Person>
            <b:Last>Dunteman</b:Last>
            <b:First>George</b:First>
            <b:Middle>H.</b:Middle>
          </b:Person>
        </b:NameList>
      </b:Author>
    </b:Author>
    <b:RefOrder>15</b:RefOrder>
  </b:Source>
  <b:Source>
    <b:Tag>Dep171</b:Tag>
    <b:SourceType>Report</b:SourceType>
    <b:Guid>{B228C1C8-4F28-4663-AA4F-29EAEA8670F6}</b:Guid>
    <b:Author>
      <b:Author>
        <b:Corporate>Department of Education and Training</b:Corporate>
      </b:Author>
    </b:Author>
    <b:Title>School User Manual: Preparing and submitting a Statement of Addresses</b:Title>
    <b:Year>2017</b:Year>
    <b:City>Canberra</b:City>
    <b:Publisher>Department of Education and Training</b:Publisher>
    <b:URL>https://ssphelp.education.gov.au/sites/ssphelp/files/files/school_user_manual.pdf</b:URL>
    <b:RefOrder>16</b:RefOrder>
  </b:Source>
  <b:Source>
    <b:Tag>Far04</b:Tag>
    <b:SourceType>Report</b:SourceType>
    <b:Guid>{7BA9B910-8A3A-440E-9E5C-4C13574FB0E6}</b:Guid>
    <b:Title>Funding Arrangements for Non-government Schools 2005-2008: Recalculation of the Modified A Socioeconomic Status (SES) Indicator using 2001 Australian Bureau of Statistics Census Data</b:Title>
    <b:Year>2004</b:Year>
    <b:City>Canberra</b:City>
    <b:Publisher>Department of Education, Science and Training</b:Publisher>
    <b:Author>
      <b:Author>
        <b:NameList>
          <b:Person>
            <b:Last>Farish</b:Last>
            <b:First>Stephen</b:First>
          </b:Person>
        </b:NameList>
      </b:Author>
    </b:Author>
    <b:RefOrder>29</b:RefOrder>
  </b:Source>
  <b:Source>
    <b:Tag>Far08</b:Tag>
    <b:SourceType>Report</b:SourceType>
    <b:Guid>{9F0F5064-2827-4A57-AC6F-AFAA95027B5C}</b:Guid>
    <b:Title>Funding Arrangements for Non-government schools 2009-2012: Recalculation of the Modified A Socioeconomic Status (SES) Indicator using 2006 Australian Bureau of Statistics Census Data</b:Title>
    <b:Year>2008</b:Year>
    <b:City>Canberra</b:City>
    <b:Publisher>Department of Education, Employment and Workplace Relations</b:Publisher>
    <b:Author>
      <b:Author>
        <b:NameList>
          <b:Person>
            <b:Last>Farish</b:Last>
            <b:First>Stephen</b:First>
          </b:Person>
        </b:NameList>
      </b:Author>
    </b:Author>
    <b:RefOrder>30</b:RefOrder>
  </b:Source>
  <b:Source>
    <b:Tag>Far13</b:Tag>
    <b:SourceType>Report</b:SourceType>
    <b:Guid>{BA32523F-00A5-46EA-9543-5C293F548EDF}</b:Guid>
    <b:Title>Recalculation of the Modified A Socioeconomic Status (SES) Indicator using 2011 Australian Bureau of Statistics Census Data</b:Title>
    <b:Year>2013</b:Year>
    <b:City>Canberra</b:City>
    <b:Publisher>Department of Education, Employment and Workplace Relations</b:Publisher>
    <b:Author>
      <b:Author>
        <b:NameList>
          <b:Person>
            <b:Last>Farish</b:Last>
            <b:First>Stephen</b:First>
          </b:Person>
        </b:NameList>
      </b:Author>
    </b:Author>
    <b:RefOrder>31</b:RefOrder>
  </b:Source>
  <b:Source>
    <b:Tag>Wat04</b:Tag>
    <b:SourceType>JournalArticle</b:SourceType>
    <b:Guid>{6347EECF-8FBE-4F33-A369-70EEC68EC6E8}</b:Guid>
    <b:Title>Don't Throw Out the Baby with the Bathwater: The Case for a Reformed SES Funding Scheme</b:Title>
    <b:Year>2004</b:Year>
    <b:Author>
      <b:Author>
        <b:NameList>
          <b:Person>
            <b:Last>Watson</b:Last>
            <b:First>Louise</b:First>
          </b:Person>
        </b:NameList>
      </b:Author>
    </b:Author>
    <b:JournalName>Australian Journal of Education</b:JournalName>
    <b:Pages>227-238</b:Pages>
    <b:RefOrder>20</b:RefOrder>
  </b:Source>
  <b:Source>
    <b:Tag>Nat11</b:Tag>
    <b:SourceType>Report</b:SourceType>
    <b:Guid>{97ADDBD8-76B0-4978-BE89-15F86AC3D305}</b:Guid>
    <b:Title>Submission to the Review of Funding for Schooling</b:Title>
    <b:Year>2011</b:Year>
    <b:Publisher>National Catholic Education Commission</b:Publisher>
    <b:City>Canberra</b:City>
    <b:Author>
      <b:Author>
        <b:Corporate>National Catholic Education Commission</b:Corporate>
      </b:Author>
    </b:Author>
    <b:RefOrder>21</b:RefOrder>
  </b:Source>
  <b:Source>
    <b:Tag>Mad14</b:Tag>
    <b:SourceType>Book</b:SourceType>
    <b:Guid>{F8D06A63-FFF8-4E17-B49B-6DB6171C66C5}</b:Guid>
    <b:Title>Taking God to School: The End of Australia's Egalitarian Education</b:Title>
    <b:Year>2014</b:Year>
    <b:Publisher>Allen &amp; Unwin</b:Publisher>
    <b:City>Crows Nest</b:City>
    <b:Author>
      <b:Author>
        <b:NameList>
          <b:Person>
            <b:Last>Maddox</b:Last>
            <b:First>Marion</b:First>
          </b:Person>
        </b:NameList>
      </b:Author>
    </b:Author>
    <b:RefOrder>22</b:RefOrder>
  </b:Source>
  <b:Source>
    <b:Tag>Cat17</b:Tag>
    <b:SourceType>Report</b:SourceType>
    <b:Guid>{ADE12C7B-AC82-4644-875E-F98A3C1E178D}</b:Guid>
    <b:Title>Capacity to contribute and school SES scores</b:Title>
    <b:Year>2017</b:Year>
    <b:City>Melbourne</b:City>
    <b:Publisher>Catholic Education Commission of Victoria</b:Publisher>
    <b:Author>
      <b:Author>
        <b:Corporate>Catholic Education Commission of Victoria</b:Corporate>
      </b:Author>
    </b:Author>
    <b:RefOrder>32</b:RefOrder>
  </b:Source>
  <b:Source>
    <b:Tag>Mar16</b:Tag>
    <b:SourceType>JournalArticle</b:SourceType>
    <b:Guid>{64DD823E-B5B2-49FE-B9DA-295D9F3D91B5}</b:Guid>
    <b:Title>Is SES really that important for education outcomes in Australia? A review and some recent evidence</b:Title>
    <b:Year>2016</b:Year>
    <b:Author>
      <b:Author>
        <b:NameList>
          <b:Person>
            <b:Last>Marks</b:Last>
            <b:Middle>N.</b:Middle>
            <b:First>Gary</b:First>
          </b:Person>
        </b:NameList>
      </b:Author>
    </b:Author>
    <b:JournalName>The Australian Education Researcher</b:JournalName>
    <b:Pages>191-211</b:Pages>
    <b:Month>December</b:Month>
    <b:Volume>44</b:Volume>
    <b:RefOrder>33</b:RefOrder>
  </b:Source>
  <b:Source>
    <b:Tag>For10</b:Tag>
    <b:SourceType>Report</b:SourceType>
    <b:Guid>{430F16D1-4754-499C-A506-E5131C40A5AC}</b:Guid>
    <b:Title>The Effects of Education and Health on Wages and Productivity</b:Title>
    <b:Year>2010</b:Year>
    <b:Author>
      <b:Author>
        <b:NameList>
          <b:Person>
            <b:Last>Forbes</b:Last>
            <b:First>Matthew</b:First>
          </b:Person>
          <b:Person>
            <b:Last>Barker</b:Last>
            <b:First>Andrew</b:First>
          </b:Person>
          <b:Person>
            <b:Last>Turner</b:Last>
            <b:First>Stewart</b:First>
          </b:Person>
        </b:NameList>
      </b:Author>
    </b:Author>
    <b:Publisher>Productivity Commmission</b:Publisher>
    <b:City>Melbourne</b:City>
    <b:RefOrder>24</b:RefOrder>
  </b:Source>
  <b:Source>
    <b:Tag>Far</b:Tag>
    <b:SourceType>ConferenceProceedings</b:SourceType>
    <b:Guid>{0A29B93C-AF9C-47A9-87F3-6A71B82C611E}</b:Guid>
    <b:Author>
      <b:Author>
        <b:NameList>
          <b:Person>
            <b:Last>Farish</b:Last>
            <b:First>Stephen</b:First>
          </b:Person>
        </b:NameList>
      </b:Author>
    </b:Author>
    <b:Title>Senate Employment Legislation Committee inquiry into the Australian Education Amendment Bill 2017</b:Title>
    <b:Pages>1-8</b:Pages>
    <b:Year>2017</b:Year>
    <b:ConferenceName>Senate Education and Employment Legislation Committee</b:ConferenceName>
    <b:City>Canberra</b:City>
    <b:Publisher>Commonwealth of Australia</b:Publisher>
    <b:RefOrder>34</b:RefOrder>
  </b:Source>
  <b:Source>
    <b:Tag>Aus172</b:Tag>
    <b:SourceType>InternetSite</b:SourceType>
    <b:Guid>{56539CF6-8EAD-422C-8210-379734F6E71B}</b:Guid>
    <b:Author>
      <b:Author>
        <b:Corporate>Australian Government</b:Corporate>
      </b:Author>
    </b:Author>
    <b:Title>B.2.1.3 - Capacity to contribute</b:Title>
    <b:Year>2017</b:Year>
    <b:InternetSiteTitle>Guide to the Australian Education Act 2013</b:InternetSiteTitle>
    <b:Month>September</b:Month>
    <b:Day>13</b:Day>
    <b:URL>https://aeaguide.education.gov.au/content/b213-capacity-contribute</b:URL>
    <b:RefOrder>19</b:RefOrder>
  </b:Source>
  <b:Source>
    <b:Tag>Wis11</b:Tag>
    <b:SourceType>Report</b:SourceType>
    <b:Guid>{B6CC02AE-42C6-4854-80C7-ECED6828A876}</b:Guid>
    <b:Title>Research Paper: Socio-Economic Indexes For Areas: Getting a Handle on Individual Diversity Within Areas, Sep 2011  </b:Title>
    <b:Year>2011</b:Year>
    <b:Author>
      <b:Author>
        <b:NameList>
          <b:Person>
            <b:Last>Wise</b:Last>
            <b:First>Phillip</b:First>
          </b:Person>
          <b:Person>
            <b:Last>Mathews</b:Last>
            <b:First>Rosalynn</b:First>
          </b:Person>
        </b:NameList>
      </b:Author>
    </b:Author>
    <b:Publisher>Australian Bureau of Statistics</b:Publisher>
    <b:City>Canberra</b:City>
    <b:RefOrder>26</b:RefOrder>
  </b:Source>
  <b:Source>
    <b:Tag>Bak07</b:Tag>
    <b:SourceType>Report</b:SourceType>
    <b:Guid>{E5710AAC-9961-4D7E-AE50-BA6D57FEF115}</b:Guid>
    <b:Title>Socio-Economic Indexes for Individuals and Families: Research Paper</b:Title>
    <b:Year>2007</b:Year>
    <b:Publisher>Australian Bureau of Statistics</b:Publisher>
    <b:City>2007</b:City>
    <b:Author>
      <b:Author>
        <b:NameList>
          <b:Person>
            <b:Last>Baker</b:Last>
            <b:First>Joanne</b:First>
          </b:Person>
          <b:Person>
            <b:Last>Adhikari</b:Last>
            <b:First>Pramod</b:First>
          </b:Person>
        </b:NameList>
      </b:Author>
    </b:Author>
    <b:RefOrder>25</b:RefOrder>
  </b:Source>
  <b:Source>
    <b:Tag>Pre10</b:Tag>
    <b:SourceType>DocumentFromInternetSite</b:SourceType>
    <b:Guid>{7047E763-00F6-408C-9F9A-EA10078716AC}</b:Guid>
    <b:Title>Notes on the ecological fallacy when area-based indexes of disadvantage/advantage are applied to schooling in Australia</b:Title>
    <b:Year>2010</b:Year>
    <b:InternetSiteTitle>Barbara Preston Reseach</b:InternetSiteTitle>
    <b:Month>March</b:Month>
    <b:URL>http://www.barbaraprestonresearch.com.au/wp-content/uploads/2010-BPreston-Notes-on-the-ecological-fallacy-and-area-based-indexes-of-disadvantage-applied-to-schooling-in-Australia.pdf</b:URL>
    <b:Author>
      <b:Author>
        <b:NameList>
          <b:Person>
            <b:Last>Preston</b:Last>
            <b:First>Barbara</b:First>
          </b:Person>
        </b:NameList>
      </b:Author>
    </b:Author>
    <b:RefOrder>35</b:RefOrder>
  </b:Source>
  <b:Source>
    <b:Tag>ACT12</b:Tag>
    <b:SourceType>Report</b:SourceType>
    <b:Guid>{316D5464-122A-4094-8706-D15F6A737468}</b:Guid>
    <b:Author>
      <b:Author>
        <b:Corporate>ACT Government</b:Corporate>
      </b:Author>
    </b:Author>
    <b:Title>Detecting Disadvantage in the ACT: Report on the comparative analysis of the SEIFI and SEIFA indexes of relative socio-economic disadvantage in the Australian Capital Territory</b:Title>
    <b:Year>2012</b:Year>
    <b:Publisher>ACT Government</b:Publisher>
    <b:City>Canberra</b:City>
    <b:RefOrder>36</b:RefOrder>
  </b:Source>
  <b:Source>
    <b:Tag>Gol14</b:Tag>
    <b:SourceType>JournalArticle</b:SourceType>
    <b:Guid>{DDD8AC87-E0BB-4E35-B4FD-5302B8537C99}</b:Guid>
    <b:Title>Two Tales of a City: detecting socio-economic disadvantage in an ‘advantaged’ Australian urban centre</b:Title>
    <b:Year>2014</b:Year>
    <b:JournalName>Australian Geographer</b:JournalName>
    <b:Pages>521-540</b:Pages>
    <b:Author>
      <b:Author>
        <b:NameList>
          <b:Person>
            <b:Last>Goldie</b:Last>
            <b:First>Xavier</b:First>
          </b:Person>
          <b:Person>
            <b:Last>Kakuk</b:Last>
            <b:First>Isabel</b:First>
          </b:Person>
          <b:Person>
            <b:Last>Wood</b:Last>
            <b:First>Gemma</b:First>
          </b:Person>
        </b:NameList>
      </b:Author>
    </b:Author>
    <b:Volume>45</b:Volume>
    <b:Issue>4</b:Issue>
    <b:RefOrder>37</b:RefOrder>
  </b:Source>
  <b:Source>
    <b:Tag>Pin13</b:Tag>
    <b:SourceType>Report</b:SourceType>
    <b:Guid>{C6B36982-5582-4254-A209-657547448858}</b:Guid>
    <b:Title>Socio-Economic Indexes for Areas (SEIFA): Technical Paper, 2011, Cat. No. 2033.0.55.001</b:Title>
    <b:Year>2013</b:Year>
    <b:Publisher>Australian Bureau of Statistics</b:Publisher>
    <b:City>Canberra</b:City>
    <b:Author>
      <b:Author>
        <b:NameList>
          <b:Person>
            <b:Last>Pink</b:Last>
            <b:First>Brian</b:First>
          </b:Person>
        </b:NameList>
      </b:Author>
    </b:Author>
    <b:RefOrder>28</b:RefOrder>
  </b:Source>
  <b:Source>
    <b:Tag>Ind11</b:Tag>
    <b:SourceType>Report</b:SourceType>
    <b:Guid>{60C30B1F-4E48-4659-806A-FE46AA57F09C}</b:Guid>
    <b:Author>
      <b:Author>
        <b:Corporate>Independent Schools Council of Australia</b:Corporate>
      </b:Author>
    </b:Author>
    <b:Title>Review of Funding for Schooling: Submission</b:Title>
    <b:Year>2011</b:Year>
    <b:Publisher>Independent Schools Council of Australia</b:Publisher>
    <b:City>Canberra</b:City>
    <b:RefOrder>23</b:RefOrder>
  </b:Source>
  <b:Source>
    <b:Tag>Ind111</b:Tag>
    <b:SourceType>Report</b:SourceType>
    <b:Guid>{BABB4F3F-7EB9-47FB-9002-C135716267DA}</b:Guid>
    <b:Author>
      <b:Author>
        <b:Corporate>Independent Schools Victoria</b:Corporate>
      </b:Author>
    </b:Author>
    <b:Title>Review of Funding for Schooling Response</b:Title>
    <b:Year>2011</b:Year>
    <b:Publisher>Independent Schools Victoria</b:Publisher>
    <b:City>Melbourne</b:City>
    <b:RefOrder>27</b:RefOrder>
  </b:Source>
  <b:Source>
    <b:Tag>Aus17</b:Tag>
    <b:SourceType>Misc</b:SourceType>
    <b:Guid>{11405510-194B-46C2-8AD8-CDE885BD45C1}</b:Guid>
    <b:Author>
      <b:Author>
        <b:Corporate>Australian Council of Jewish Schools</b:Corporate>
      </b:Author>
    </b:Author>
    <b:Title>Submission to the Senate Education and Employment Legislation Committee – Inquiry into the Australian Education Amendment Bill 2017</b:Title>
    <b:Year>2017</b:Year>
    <b:City>Caulfield</b:City>
    <b:URL>http://www.aph.gov.au/DocumentStore.ashx?id=28827410-762b-4c75-8815-13573e3dd21f&amp;subId=511491</b:URL>
    <b:RefOrder>11</b:RefOrder>
  </b:Source>
  <b:Source>
    <b:Tag>Hin16</b:Tag>
    <b:SourceType>Report</b:SourceType>
    <b:Guid>{172B1A8B-263E-42C6-92A6-094157255A58}</b:Guid>
    <b:Author>
      <b:Author>
        <b:NameList>
          <b:Person>
            <b:Last>Hinz</b:Last>
            <b:First>Bronywn</b:First>
          </b:Person>
        </b:NameList>
      </b:Author>
    </b:Author>
    <b:Title>Federalism and schooling reforms in Australia</b:Title>
    <b:Year>2016</b:Year>
    <b:Publisher>PhD thesis, University of Melbourne</b:Publisher>
    <b:City>Melbourne</b:City>
    <b:ThesisType>PhD Dissertation</b:ThesisType>
    <b:URL>https://minerva-access.unimelb.edu.au/bitstream/handle/11343/92270/Hinz_PhD%20federalism%20and%20schooling%20reform%20MASTER%20revised%20FINAL.pdf?sequence=1&amp;isAllowed=y</b:URL>
    <b:RefOrder>7</b:RefOrder>
  </b:Source>
</b:Sources>
</file>

<file path=customXml/itemProps1.xml><?xml version="1.0" encoding="utf-8"?>
<ds:datastoreItem xmlns:ds="http://schemas.openxmlformats.org/officeDocument/2006/customXml" ds:itemID="{81D28AFF-2865-41C7-9B7F-2B225169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CIRES_v3Jul17_blank.dotm</Template>
  <TotalTime>45</TotalTime>
  <Pages>67</Pages>
  <Words>21675</Words>
  <Characters>123550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COMMONWEALTH-STATE RELATIONS PROJECT</vt:lpstr>
    </vt:vector>
  </TitlesOfParts>
  <Company>UOM</Company>
  <LinksUpToDate>false</LinksUpToDate>
  <CharactersWithSpaces>144936</CharactersWithSpaces>
  <SharedDoc>false</SharedDoc>
  <HLinks>
    <vt:vector size="42" baseType="variant">
      <vt:variant>
        <vt:i4>3473505</vt:i4>
      </vt:variant>
      <vt:variant>
        <vt:i4>18</vt:i4>
      </vt:variant>
      <vt:variant>
        <vt:i4>0</vt:i4>
      </vt:variant>
      <vt:variant>
        <vt:i4>5</vt:i4>
      </vt:variant>
      <vt:variant>
        <vt:lpwstr>http://www.edfac.unimelb.edu.au/cpell/projects/</vt:lpwstr>
      </vt:variant>
      <vt:variant>
        <vt:lpwstr/>
      </vt:variant>
      <vt:variant>
        <vt:i4>3080306</vt:i4>
      </vt:variant>
      <vt:variant>
        <vt:i4>15</vt:i4>
      </vt:variant>
      <vt:variant>
        <vt:i4>0</vt:i4>
      </vt:variant>
      <vt:variant>
        <vt:i4>5</vt:i4>
      </vt:variant>
      <vt:variant>
        <vt:lpwstr>http://www.edfac.unimelb.edu.au/cpell/publications/</vt:lpwstr>
      </vt:variant>
      <vt:variant>
        <vt:lpwstr/>
      </vt:variant>
      <vt:variant>
        <vt:i4>4587587</vt:i4>
      </vt:variant>
      <vt:variant>
        <vt:i4>12</vt:i4>
      </vt:variant>
      <vt:variant>
        <vt:i4>0</vt:i4>
      </vt:variant>
      <vt:variant>
        <vt:i4>5</vt:i4>
      </vt:variant>
      <vt:variant>
        <vt:lpwstr>http://www.eduweb.vic.gov.au/edulibrary/public/postcomp/effectivestrategiesguideprint.pdf</vt:lpwstr>
      </vt:variant>
      <vt:variant>
        <vt:lpwstr/>
      </vt:variant>
      <vt:variant>
        <vt:i4>7340135</vt:i4>
      </vt:variant>
      <vt:variant>
        <vt:i4>9</vt:i4>
      </vt:variant>
      <vt:variant>
        <vt:i4>0</vt:i4>
      </vt:variant>
      <vt:variant>
        <vt:i4>5</vt:i4>
      </vt:variant>
      <vt:variant>
        <vt:lpwstr>http://www.eduweb.vic.gov.au/edulibrary/public/postcomp/effectivestrategiesreportprint.pdf</vt:lpwstr>
      </vt:variant>
      <vt:variant>
        <vt:lpwstr/>
      </vt:variant>
      <vt:variant>
        <vt:i4>8257555</vt:i4>
      </vt:variant>
      <vt:variant>
        <vt:i4>6</vt:i4>
      </vt:variant>
      <vt:variant>
        <vt:i4>0</vt:i4>
      </vt:variant>
      <vt:variant>
        <vt:i4>5</vt:i4>
      </vt:variant>
      <vt:variant>
        <vt:lpwstr>http://www.fya.org.au/wp-content/uploads/2009/05/fya_hypafreport_online_68pp.pdf</vt:lpwstr>
      </vt:variant>
      <vt:variant>
        <vt:lpwstr/>
      </vt:variant>
      <vt:variant>
        <vt:i4>2687013</vt:i4>
      </vt:variant>
      <vt:variant>
        <vt:i4>3</vt:i4>
      </vt:variant>
      <vt:variant>
        <vt:i4>0</vt:i4>
      </vt:variant>
      <vt:variant>
        <vt:i4>5</vt:i4>
      </vt:variant>
      <vt:variant>
        <vt:lpwstr>http://cdrp.ucsb.edu/dropouts/download.php?file=researchreport7.pdf</vt:lpwstr>
      </vt:variant>
      <vt:variant>
        <vt:lpwstr/>
      </vt:variant>
      <vt:variant>
        <vt:i4>6094883</vt:i4>
      </vt:variant>
      <vt:variant>
        <vt:i4>0</vt:i4>
      </vt:variant>
      <vt:variant>
        <vt:i4>0</vt:i4>
      </vt:variant>
      <vt:variant>
        <vt:i4>5</vt:i4>
      </vt:variant>
      <vt:variant>
        <vt:lpwstr>mailto:lamb@unimelb.edu.au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RELATIONS PROJECT</dc:title>
  <dc:creator>Andrew Wade</dc:creator>
  <cp:lastModifiedBy>DAVISON,James</cp:lastModifiedBy>
  <cp:revision>5</cp:revision>
  <cp:lastPrinted>2017-12-13T00:58:00Z</cp:lastPrinted>
  <dcterms:created xsi:type="dcterms:W3CDTF">2017-12-12T23:13:00Z</dcterms:created>
  <dcterms:modified xsi:type="dcterms:W3CDTF">2017-12-13T00:58:00Z</dcterms:modified>
</cp:coreProperties>
</file>