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EEFE5" w14:textId="77777777" w:rsidR="001414F3" w:rsidRPr="00DB6C75" w:rsidRDefault="001414F3" w:rsidP="000725D4">
      <w:pPr>
        <w:pStyle w:val="Subtitle"/>
        <w:spacing w:before="120" w:after="120"/>
        <w:ind w:left="1276" w:right="-22"/>
        <w:rPr>
          <w:sz w:val="120"/>
          <w:szCs w:val="120"/>
        </w:rPr>
      </w:pPr>
    </w:p>
    <w:p w14:paraId="0EE5D798" w14:textId="77777777" w:rsidR="00BA282D" w:rsidRPr="00DB6C75" w:rsidRDefault="007250ED" w:rsidP="006D0CC3">
      <w:pPr>
        <w:pStyle w:val="Title"/>
      </w:pPr>
      <w:r w:rsidRPr="00DB6C75">
        <w:t xml:space="preserve">Review </w:t>
      </w:r>
      <w:r w:rsidR="001C3C1B" w:rsidRPr="00DB6C75">
        <w:t xml:space="preserve">of the </w:t>
      </w:r>
      <w:r w:rsidR="004555C3" w:rsidRPr="00DB6C75">
        <w:br/>
      </w:r>
      <w:r w:rsidR="001C3C1B" w:rsidRPr="00DB6C75">
        <w:rPr>
          <w:b/>
        </w:rPr>
        <w:t>socio-economic status score methodology</w:t>
      </w:r>
      <w:r w:rsidR="001C3C1B" w:rsidRPr="00DB6C75">
        <w:t xml:space="preserve"> </w:t>
      </w:r>
    </w:p>
    <w:p w14:paraId="583E6993" w14:textId="1C8424E7" w:rsidR="001C3C1B" w:rsidRPr="00DB6C75" w:rsidRDefault="007250ED" w:rsidP="007A7BB4">
      <w:pPr>
        <w:pStyle w:val="Heading1"/>
        <w:spacing w:before="120" w:after="120"/>
      </w:pPr>
      <w:r w:rsidRPr="00DB6C75">
        <w:rPr>
          <w:rStyle w:val="Heading1Char"/>
          <w:rFonts w:asciiTheme="minorHAnsi" w:hAnsiTheme="minorHAnsi" w:cstheme="minorHAnsi"/>
          <w:b/>
          <w:bCs/>
          <w:sz w:val="44"/>
          <w:szCs w:val="44"/>
        </w:rPr>
        <w:t>Issues paper</w:t>
      </w:r>
    </w:p>
    <w:p w14:paraId="6D650D6F" w14:textId="77777777" w:rsidR="004555C3" w:rsidRPr="00DB6C75" w:rsidRDefault="004555C3" w:rsidP="000725D4">
      <w:pPr>
        <w:tabs>
          <w:tab w:val="left" w:pos="5130"/>
        </w:tabs>
        <w:spacing w:before="120" w:after="120"/>
        <w:rPr>
          <w:b/>
        </w:rPr>
        <w:sectPr w:rsidR="004555C3" w:rsidRPr="00DB6C75" w:rsidSect="0085065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985" w:right="1418" w:bottom="1134" w:left="1418" w:header="1367" w:footer="708" w:gutter="0"/>
          <w:cols w:space="708"/>
          <w:docGrid w:linePitch="360"/>
        </w:sectPr>
      </w:pPr>
    </w:p>
    <w:p w14:paraId="58C13DC7" w14:textId="1FF1582E" w:rsidR="00F772E8" w:rsidRPr="00DB6C75" w:rsidRDefault="00F772E8" w:rsidP="00F772E8">
      <w:pPr>
        <w:tabs>
          <w:tab w:val="left" w:pos="5130"/>
        </w:tabs>
        <w:spacing w:before="120" w:after="120"/>
        <w:rPr>
          <w:b/>
        </w:rPr>
      </w:pPr>
      <w:r w:rsidRPr="00DB6C75">
        <w:rPr>
          <w:b/>
        </w:rPr>
        <w:lastRenderedPageBreak/>
        <w:t>Issues Paper</w:t>
      </w:r>
      <w:bookmarkStart w:id="0" w:name="_GoBack"/>
      <w:bookmarkEnd w:id="0"/>
    </w:p>
    <w:p w14:paraId="086BEF36" w14:textId="77777777" w:rsidR="00F772E8" w:rsidRPr="00DB6C75" w:rsidRDefault="00F772E8" w:rsidP="00F772E8">
      <w:pPr>
        <w:pStyle w:val="NormalWeb"/>
        <w:keepNext/>
        <w:spacing w:before="120" w:after="120"/>
        <w:jc w:val="both"/>
      </w:pPr>
      <w:r w:rsidRPr="00DB6C75">
        <w:rPr>
          <w:color w:val="000000"/>
        </w:rPr>
        <w:t xml:space="preserve">© Commonwealth of Australia </w:t>
      </w:r>
      <w:r w:rsidRPr="00DB6C75">
        <w:t>2017</w:t>
      </w:r>
    </w:p>
    <w:p w14:paraId="2FC49E05" w14:textId="77777777" w:rsidR="00F772E8" w:rsidRPr="00DB6C75" w:rsidRDefault="00F772E8" w:rsidP="00F772E8">
      <w:pPr>
        <w:pStyle w:val="NormalWeb"/>
        <w:keepNext/>
        <w:spacing w:before="120" w:after="120"/>
        <w:jc w:val="both"/>
        <w:rPr>
          <w:rFonts w:ascii="Arial" w:hAnsi="Arial" w:cs="Arial"/>
          <w:sz w:val="20"/>
          <w:szCs w:val="20"/>
          <w:lang w:eastAsia="en-AU"/>
        </w:rPr>
      </w:pPr>
      <w:r w:rsidRPr="00DB6C75">
        <w:rPr>
          <w:b/>
        </w:rPr>
        <w:t>ISBN</w:t>
      </w:r>
      <w:r w:rsidRPr="00DB6C75">
        <w:rPr>
          <w:rFonts w:asciiTheme="minorHAnsi" w:hAnsiTheme="minorHAnsi"/>
          <w:b/>
        </w:rPr>
        <w:t xml:space="preserve"> </w:t>
      </w:r>
      <w:r w:rsidRPr="00DB6C75">
        <w:rPr>
          <w:rFonts w:ascii="Arial" w:hAnsi="Arial" w:cs="Arial"/>
          <w:sz w:val="20"/>
          <w:szCs w:val="20"/>
          <w:lang w:eastAsia="en-AU"/>
        </w:rPr>
        <w:t>978-1-76051-326-9 (PDF)</w:t>
      </w:r>
    </w:p>
    <w:p w14:paraId="24EEF086" w14:textId="77777777" w:rsidR="00F772E8" w:rsidRPr="00DB6C75" w:rsidRDefault="00F772E8" w:rsidP="00F772E8">
      <w:pPr>
        <w:pStyle w:val="NormalWeb"/>
        <w:keepNext/>
        <w:spacing w:before="120" w:after="120"/>
        <w:jc w:val="both"/>
        <w:rPr>
          <w:rFonts w:asciiTheme="minorHAnsi" w:hAnsiTheme="minorHAnsi"/>
          <w:color w:val="000000"/>
        </w:rPr>
      </w:pPr>
      <w:r w:rsidRPr="00DB6C75">
        <w:rPr>
          <w:b/>
        </w:rPr>
        <w:t>ISBN</w:t>
      </w:r>
      <w:r w:rsidRPr="00DB6C75">
        <w:rPr>
          <w:rFonts w:asciiTheme="minorHAnsi" w:hAnsiTheme="minorHAnsi"/>
          <w:b/>
        </w:rPr>
        <w:t xml:space="preserve"> </w:t>
      </w:r>
      <w:r w:rsidRPr="00DB6C75">
        <w:rPr>
          <w:rFonts w:ascii="Arial" w:hAnsi="Arial" w:cs="Arial"/>
          <w:sz w:val="20"/>
          <w:szCs w:val="20"/>
          <w:lang w:eastAsia="en-AU"/>
        </w:rPr>
        <w:t>978-1-76051-327-6 (DOCX)</w:t>
      </w:r>
    </w:p>
    <w:p w14:paraId="7D8DFBD3" w14:textId="77777777" w:rsidR="00F772E8" w:rsidRPr="00DB6C75" w:rsidRDefault="00F772E8" w:rsidP="00F772E8">
      <w:pPr>
        <w:pStyle w:val="numberedpara"/>
        <w:keepNext/>
        <w:numPr>
          <w:ilvl w:val="0"/>
          <w:numId w:val="0"/>
        </w:numPr>
        <w:tabs>
          <w:tab w:val="left" w:pos="720"/>
        </w:tabs>
        <w:spacing w:before="120" w:after="120"/>
        <w:jc w:val="both"/>
        <w:rPr>
          <w:sz w:val="20"/>
          <w:szCs w:val="20"/>
        </w:rPr>
      </w:pPr>
      <w:r w:rsidRPr="00DB6C75">
        <w:rPr>
          <w:noProof/>
          <w:sz w:val="20"/>
          <w:szCs w:val="20"/>
        </w:rPr>
        <w:drawing>
          <wp:inline distT="0" distB="0" distL="0" distR="0" wp14:anchorId="305DA7D2" wp14:editId="13FC0081">
            <wp:extent cx="847725" cy="285750"/>
            <wp:effectExtent l="0" t="0" r="9525" b="0"/>
            <wp:docPr id="1" name="Picture 1" descr="cid:image003.jpg@01D31CB3.AC4B5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31CB3.AC4B5C2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847725" cy="285750"/>
                    </a:xfrm>
                    <a:prstGeom prst="rect">
                      <a:avLst/>
                    </a:prstGeom>
                    <a:noFill/>
                    <a:ln>
                      <a:noFill/>
                    </a:ln>
                  </pic:spPr>
                </pic:pic>
              </a:graphicData>
            </a:graphic>
          </wp:inline>
        </w:drawing>
      </w:r>
    </w:p>
    <w:p w14:paraId="4B02C1DE" w14:textId="77777777" w:rsidR="00F772E8" w:rsidRPr="00DB6C75" w:rsidRDefault="00F772E8" w:rsidP="00F772E8">
      <w:pPr>
        <w:spacing w:after="120"/>
        <w:rPr>
          <w:color w:val="000000"/>
        </w:rPr>
      </w:pPr>
      <w:r w:rsidRPr="00DB6C75">
        <w:t xml:space="preserve">Any material protected by a trade mark and where otherwise noted all material presented in this document is provided under a Creative Commons Attribution 4.0 International licence. </w:t>
      </w:r>
    </w:p>
    <w:p w14:paraId="43D430FF" w14:textId="5F00A926" w:rsidR="00F772E8" w:rsidRPr="00DB6C75" w:rsidRDefault="00F772E8" w:rsidP="00F772E8">
      <w:pPr>
        <w:spacing w:after="120"/>
      </w:pPr>
      <w:r w:rsidRPr="00DB6C75">
        <w:t>The details of the relevant licence conditions are available on the Creative Commons website (</w:t>
      </w:r>
      <w:hyperlink r:id="rId19" w:tooltip="web link to creative commons licencing conditions" w:history="1">
        <w:r w:rsidRPr="00DB6C75">
          <w:rPr>
            <w:rStyle w:val="Hyperlink"/>
          </w:rPr>
          <w:t>https://creativecommons.org/licenses/by/4.0/</w:t>
        </w:r>
      </w:hyperlink>
      <w:r w:rsidRPr="00DB6C75">
        <w:t>) as is the full legal code (</w:t>
      </w:r>
      <w:hyperlink r:id="rId20" w:tooltip="web link to creative commons legal code" w:history="1">
        <w:r w:rsidRPr="00DB6C75">
          <w:rPr>
            <w:rStyle w:val="Hyperlink"/>
          </w:rPr>
          <w:t>https://creativecommons.org/licenses/by/4.0/legalcode</w:t>
        </w:r>
      </w:hyperlink>
      <w:r w:rsidRPr="00DB6C75">
        <w:t>)</w:t>
      </w:r>
    </w:p>
    <w:p w14:paraId="3E688E30" w14:textId="77777777" w:rsidR="00F772E8" w:rsidRPr="00DB6C75" w:rsidRDefault="00F772E8" w:rsidP="00F772E8">
      <w:pPr>
        <w:spacing w:after="120"/>
      </w:pPr>
      <w:r w:rsidRPr="00DB6C75">
        <w:t>As far as practicable, material for which the copyright is owned by a third party will be clearly labelled. All reasonable efforts have been made to ensure that this material has been reproduced in this document with the full consent of the copyright owners.</w:t>
      </w:r>
    </w:p>
    <w:p w14:paraId="4C23A253" w14:textId="77777777" w:rsidR="00F772E8" w:rsidRPr="00DB6C75" w:rsidRDefault="00F772E8" w:rsidP="00F772E8">
      <w:pPr>
        <w:spacing w:after="120"/>
      </w:pPr>
      <w:r w:rsidRPr="00DB6C75">
        <w:t>Copyright requests and enquiries concerning further authorisation should be addressed to:</w:t>
      </w:r>
    </w:p>
    <w:p w14:paraId="0E1730A8" w14:textId="77777777" w:rsidR="00F772E8" w:rsidRPr="00DB6C75" w:rsidRDefault="00F772E8" w:rsidP="00F772E8">
      <w:pPr>
        <w:spacing w:after="120"/>
        <w:ind w:left="720"/>
        <w:rPr>
          <w:color w:val="000000"/>
        </w:rPr>
      </w:pPr>
      <w:r w:rsidRPr="00DB6C75">
        <w:rPr>
          <w:rFonts w:cs="Calibri"/>
          <w:lang w:eastAsia="en-AU"/>
        </w:rPr>
        <w:t xml:space="preserve">The Copyright Officer, Department of Education and Training, Location code C50MA10 </w:t>
      </w:r>
      <w:r w:rsidRPr="00DB6C75">
        <w:rPr>
          <w:rFonts w:cs="Calibri"/>
          <w:lang w:eastAsia="en-AU"/>
        </w:rPr>
        <w:br/>
        <w:t xml:space="preserve">GPO Box 9880 Canberra ACT 2601 or emailed to </w:t>
      </w:r>
      <w:hyperlink r:id="rId21" w:history="1">
        <w:r w:rsidRPr="00DB6C75">
          <w:rPr>
            <w:rStyle w:val="Hyperlink"/>
          </w:rPr>
          <w:t>copyright@education.gov.au</w:t>
        </w:r>
      </w:hyperlink>
      <w:r w:rsidRPr="00DB6C75">
        <w:rPr>
          <w:color w:val="000000"/>
        </w:rPr>
        <w:t>.</w:t>
      </w:r>
    </w:p>
    <w:p w14:paraId="2AB26317" w14:textId="77777777" w:rsidR="00F772E8" w:rsidRPr="00DB6C75" w:rsidRDefault="00F772E8" w:rsidP="00F772E8">
      <w:pPr>
        <w:spacing w:after="120"/>
        <w:rPr>
          <w:rFonts w:cs="Calibri"/>
          <w:lang w:eastAsia="en-AU"/>
        </w:rPr>
      </w:pPr>
      <w:r w:rsidRPr="00DB6C75">
        <w:rPr>
          <w:color w:val="000000"/>
        </w:rPr>
        <w:t>Where a copyright owner other than the Commonwealth is identified with respect to this material, please contact that third party copyright owner directly to seek permission.</w:t>
      </w:r>
    </w:p>
    <w:p w14:paraId="18903CD4" w14:textId="77777777" w:rsidR="00F772E8" w:rsidRPr="00DB6C75" w:rsidRDefault="00F772E8" w:rsidP="00F772E8">
      <w:pPr>
        <w:spacing w:after="120"/>
        <w:rPr>
          <w:rFonts w:cs="Calibri"/>
          <w:b/>
          <w:lang w:eastAsia="en-AU"/>
        </w:rPr>
      </w:pPr>
      <w:r w:rsidRPr="00DB6C75">
        <w:rPr>
          <w:rFonts w:cs="Calibri"/>
          <w:b/>
          <w:lang w:eastAsia="en-AU"/>
        </w:rPr>
        <w:t>Disclaimer</w:t>
      </w:r>
    </w:p>
    <w:p w14:paraId="707A51D3" w14:textId="77777777" w:rsidR="00F772E8" w:rsidRPr="00DB6C75" w:rsidRDefault="00F772E8" w:rsidP="00F772E8">
      <w:pPr>
        <w:spacing w:after="120"/>
      </w:pPr>
      <w:r w:rsidRPr="00DB6C75">
        <w:rPr>
          <w:rFonts w:cs="Calibri"/>
          <w:lang w:eastAsia="en-AU"/>
        </w:rPr>
        <w:t>As this is an independent review, the issues paper does not necessarily reflect the views of the Australian Government.</w:t>
      </w:r>
    </w:p>
    <w:p w14:paraId="1FA2106D" w14:textId="6A4C834F" w:rsidR="00F772E8" w:rsidRPr="00DB6C75" w:rsidRDefault="00F772E8" w:rsidP="00F772E8">
      <w:pPr>
        <w:spacing w:after="120"/>
      </w:pPr>
      <w:r w:rsidRPr="00DB6C75">
        <w:t xml:space="preserve">This document must be attributed as the </w:t>
      </w:r>
      <w:r w:rsidRPr="00DB6C75">
        <w:rPr>
          <w:i/>
        </w:rPr>
        <w:t>Review of the socio-econo</w:t>
      </w:r>
      <w:r w:rsidR="00B4164A" w:rsidRPr="00DB6C75">
        <w:rPr>
          <w:i/>
        </w:rPr>
        <w:t xml:space="preserve">mic status score methodology </w:t>
      </w:r>
      <w:r w:rsidRPr="00DB6C75">
        <w:rPr>
          <w:i/>
        </w:rPr>
        <w:t>– Issues paper</w:t>
      </w:r>
      <w:r w:rsidRPr="00DB6C75">
        <w:t>.</w:t>
      </w:r>
    </w:p>
    <w:p w14:paraId="275CFA58" w14:textId="77777777" w:rsidR="00637715" w:rsidRPr="00DB6C75" w:rsidRDefault="00637715" w:rsidP="000725D4">
      <w:pPr>
        <w:spacing w:after="120"/>
        <w:rPr>
          <w:b/>
        </w:rPr>
      </w:pPr>
    </w:p>
    <w:p w14:paraId="34FCC628" w14:textId="77777777" w:rsidR="00DD6CCF" w:rsidRPr="00DB6C75" w:rsidRDefault="00CF1E23" w:rsidP="000725D4">
      <w:pPr>
        <w:spacing w:after="120"/>
        <w:rPr>
          <w:b/>
        </w:rPr>
      </w:pPr>
      <w:r w:rsidRPr="00DB6C75">
        <w:rPr>
          <w:b/>
        </w:rPr>
        <w:t>National School Resourcing Board</w:t>
      </w:r>
      <w:r w:rsidR="00DD6CCF" w:rsidRPr="00DB6C75">
        <w:rPr>
          <w:b/>
        </w:rPr>
        <w:t xml:space="preserve"> </w:t>
      </w:r>
    </w:p>
    <w:p w14:paraId="604AAB3F" w14:textId="77777777" w:rsidR="00DD6CCF" w:rsidRPr="00DB6C75" w:rsidRDefault="00DD6CCF" w:rsidP="00696C22">
      <w:pPr>
        <w:spacing w:before="120" w:after="120"/>
        <w:contextualSpacing/>
      </w:pPr>
      <w:r w:rsidRPr="00DB6C75">
        <w:t xml:space="preserve">Mr </w:t>
      </w:r>
      <w:r w:rsidR="001A4B0A" w:rsidRPr="00DB6C75">
        <w:t>Michael Chaney</w:t>
      </w:r>
      <w:r w:rsidRPr="00DB6C75">
        <w:t xml:space="preserve"> A</w:t>
      </w:r>
      <w:r w:rsidR="001A4B0A" w:rsidRPr="00DB6C75">
        <w:t>O</w:t>
      </w:r>
      <w:r w:rsidR="001F39A5" w:rsidRPr="00DB6C75">
        <w:t xml:space="preserve"> (Chair)</w:t>
      </w:r>
    </w:p>
    <w:p w14:paraId="2B986B00" w14:textId="77777777" w:rsidR="00DD6CCF" w:rsidRPr="00DB6C75" w:rsidRDefault="001A4B0A" w:rsidP="00696C22">
      <w:pPr>
        <w:spacing w:before="120" w:after="120"/>
        <w:contextualSpacing/>
      </w:pPr>
      <w:r w:rsidRPr="00DB6C75">
        <w:t>Emeritus Professor Denise Bradley</w:t>
      </w:r>
      <w:r w:rsidR="00DD6CCF" w:rsidRPr="00DB6C75">
        <w:t xml:space="preserve"> A</w:t>
      </w:r>
      <w:r w:rsidRPr="00DB6C75">
        <w:t>C</w:t>
      </w:r>
      <w:r w:rsidR="00C902E0" w:rsidRPr="00DB6C75">
        <w:t xml:space="preserve"> (Deputy Chair)</w:t>
      </w:r>
    </w:p>
    <w:p w14:paraId="114DB40C" w14:textId="1D5CA16B" w:rsidR="00696C22" w:rsidRPr="00DB6C75" w:rsidRDefault="00696C22" w:rsidP="00696C22">
      <w:pPr>
        <w:spacing w:before="120" w:after="120"/>
        <w:contextualSpacing/>
      </w:pPr>
      <w:r w:rsidRPr="00DB6C75">
        <w:t>Professor Natalie Brown</w:t>
      </w:r>
    </w:p>
    <w:p w14:paraId="6D00EA0D" w14:textId="77777777" w:rsidR="00DD6CCF" w:rsidRPr="00DB6C75" w:rsidRDefault="001A4B0A" w:rsidP="00696C22">
      <w:pPr>
        <w:spacing w:before="120" w:after="120"/>
        <w:contextualSpacing/>
      </w:pPr>
      <w:r w:rsidRPr="00DB6C75">
        <w:t>Professor Greg Craven AO</w:t>
      </w:r>
    </w:p>
    <w:p w14:paraId="571FEFAE" w14:textId="3800CA8F" w:rsidR="00DD6CCF" w:rsidRPr="00DB6C75" w:rsidRDefault="001A4B0A" w:rsidP="00696C22">
      <w:pPr>
        <w:spacing w:before="120" w:after="120"/>
        <w:contextualSpacing/>
      </w:pPr>
      <w:r w:rsidRPr="00DB6C75">
        <w:t>Mr Bill Daniels A</w:t>
      </w:r>
      <w:r w:rsidR="0098269C">
        <w:t>M</w:t>
      </w:r>
    </w:p>
    <w:p w14:paraId="7F3AC2E5" w14:textId="77777777" w:rsidR="00DD6CCF" w:rsidRPr="00DB6C75" w:rsidRDefault="001A4B0A" w:rsidP="00696C22">
      <w:pPr>
        <w:spacing w:before="120" w:after="120"/>
        <w:contextualSpacing/>
      </w:pPr>
      <w:r w:rsidRPr="00DB6C75">
        <w:t>Professor Stephen Lamb</w:t>
      </w:r>
    </w:p>
    <w:p w14:paraId="0C53BF7C" w14:textId="0B069E04" w:rsidR="00696C22" w:rsidRPr="00DB6C75" w:rsidRDefault="00696C22" w:rsidP="00696C22">
      <w:pPr>
        <w:spacing w:before="120" w:after="120"/>
        <w:contextualSpacing/>
      </w:pPr>
      <w:r w:rsidRPr="00DB6C75">
        <w:t>Professor Ken Smith</w:t>
      </w:r>
    </w:p>
    <w:p w14:paraId="03E5A7EE" w14:textId="2BB31AA2" w:rsidR="007250ED" w:rsidRPr="00DB6C75" w:rsidRDefault="001A4B0A" w:rsidP="00696C22">
      <w:pPr>
        <w:spacing w:before="120" w:after="120"/>
        <w:contextualSpacing/>
      </w:pPr>
      <w:r w:rsidRPr="00DB6C75">
        <w:t>Dr Alison Taylor</w:t>
      </w:r>
      <w:r w:rsidRPr="00DB6C75">
        <w:rPr>
          <w:sz w:val="20"/>
          <w:szCs w:val="20"/>
        </w:rPr>
        <w:t xml:space="preserve"> </w:t>
      </w:r>
      <w:r w:rsidR="007250ED" w:rsidRPr="00DB6C75">
        <w:rPr>
          <w:sz w:val="20"/>
          <w:szCs w:val="20"/>
        </w:rPr>
        <w:br w:type="page"/>
      </w:r>
    </w:p>
    <w:p w14:paraId="1C680B90" w14:textId="77777777" w:rsidR="00130923" w:rsidRPr="00DB6C75" w:rsidRDefault="00130923" w:rsidP="000725D4">
      <w:pPr>
        <w:pStyle w:val="numberedpara"/>
        <w:numPr>
          <w:ilvl w:val="0"/>
          <w:numId w:val="0"/>
        </w:numPr>
        <w:tabs>
          <w:tab w:val="left" w:pos="720"/>
        </w:tabs>
        <w:spacing w:after="120"/>
        <w:contextualSpacing/>
        <w:rPr>
          <w:sz w:val="20"/>
          <w:szCs w:val="20"/>
        </w:rPr>
        <w:sectPr w:rsidR="00130923" w:rsidRPr="00DB6C75" w:rsidSect="00850650">
          <w:headerReference w:type="default" r:id="rId22"/>
          <w:pgSz w:w="11906" w:h="16838"/>
          <w:pgMar w:top="1985" w:right="1418" w:bottom="1134" w:left="1418" w:header="1367" w:footer="708" w:gutter="0"/>
          <w:cols w:space="708"/>
          <w:docGrid w:linePitch="360"/>
        </w:sectPr>
      </w:pPr>
    </w:p>
    <w:p w14:paraId="5E904C55" w14:textId="77777777" w:rsidR="004A1D06" w:rsidRPr="00DB6C75" w:rsidRDefault="004A1D06" w:rsidP="002C125E">
      <w:pPr>
        <w:pStyle w:val="Heading1"/>
        <w:spacing w:before="240" w:after="120"/>
        <w:rPr>
          <w:rFonts w:asciiTheme="minorHAnsi" w:hAnsiTheme="minorHAnsi" w:cstheme="minorHAnsi"/>
          <w:sz w:val="36"/>
          <w:szCs w:val="36"/>
        </w:rPr>
      </w:pPr>
      <w:r w:rsidRPr="00DB6C75">
        <w:rPr>
          <w:rFonts w:asciiTheme="minorHAnsi" w:hAnsiTheme="minorHAnsi" w:cstheme="minorHAnsi"/>
          <w:sz w:val="36"/>
          <w:szCs w:val="36"/>
        </w:rPr>
        <w:lastRenderedPageBreak/>
        <w:t>Review purpose</w:t>
      </w:r>
    </w:p>
    <w:p w14:paraId="60CD3B7C" w14:textId="77777777" w:rsidR="004A1D06" w:rsidRPr="00DB6C75" w:rsidRDefault="004A1D06" w:rsidP="00042DDF">
      <w:pPr>
        <w:rPr>
          <w:rFonts w:cs="Calibri"/>
          <w:szCs w:val="24"/>
        </w:rPr>
      </w:pPr>
      <w:r w:rsidRPr="00DB6C75">
        <w:rPr>
          <w:rFonts w:cs="Calibri"/>
          <w:szCs w:val="24"/>
        </w:rPr>
        <w:t xml:space="preserve">The National School Resourcing Board has been established to provide </w:t>
      </w:r>
      <w:r w:rsidR="00C902E0" w:rsidRPr="00DB6C75">
        <w:rPr>
          <w:rFonts w:cs="Calibri"/>
          <w:szCs w:val="24"/>
        </w:rPr>
        <w:t xml:space="preserve">greater </w:t>
      </w:r>
      <w:r w:rsidR="006F6B60" w:rsidRPr="00DB6C75">
        <w:rPr>
          <w:rFonts w:cs="Calibri"/>
          <w:szCs w:val="24"/>
        </w:rPr>
        <w:t>independent oversight over</w:t>
      </w:r>
      <w:r w:rsidRPr="00DB6C75">
        <w:rPr>
          <w:rFonts w:cs="Calibri"/>
          <w:szCs w:val="24"/>
        </w:rPr>
        <w:t xml:space="preserve"> </w:t>
      </w:r>
      <w:r w:rsidR="00C902E0" w:rsidRPr="00DB6C75">
        <w:rPr>
          <w:rFonts w:cs="Calibri"/>
          <w:szCs w:val="24"/>
        </w:rPr>
        <w:t xml:space="preserve">Commonwealth </w:t>
      </w:r>
      <w:r w:rsidRPr="00DB6C75">
        <w:rPr>
          <w:rFonts w:cs="Calibri"/>
          <w:szCs w:val="24"/>
        </w:rPr>
        <w:t>school funding</w:t>
      </w:r>
      <w:r w:rsidR="00B10A4F" w:rsidRPr="00DB6C75">
        <w:rPr>
          <w:rFonts w:cs="Calibri"/>
          <w:szCs w:val="24"/>
        </w:rPr>
        <w:t xml:space="preserve">. This includes reviewing different parts of </w:t>
      </w:r>
      <w:r w:rsidR="006F6B60" w:rsidRPr="00DB6C75">
        <w:rPr>
          <w:rFonts w:cs="Calibri"/>
          <w:szCs w:val="24"/>
        </w:rPr>
        <w:t xml:space="preserve">the </w:t>
      </w:r>
      <w:r w:rsidR="004A58F8" w:rsidRPr="00DB6C75">
        <w:rPr>
          <w:rFonts w:cs="Calibri"/>
          <w:szCs w:val="24"/>
        </w:rPr>
        <w:t xml:space="preserve">school </w:t>
      </w:r>
      <w:r w:rsidRPr="00DB6C75">
        <w:rPr>
          <w:rFonts w:cs="Calibri"/>
          <w:szCs w:val="24"/>
        </w:rPr>
        <w:t xml:space="preserve">funding </w:t>
      </w:r>
      <w:r w:rsidR="006F6B60" w:rsidRPr="00DB6C75">
        <w:rPr>
          <w:rFonts w:cs="Calibri"/>
          <w:szCs w:val="24"/>
        </w:rPr>
        <w:t>model</w:t>
      </w:r>
      <w:r w:rsidR="00B10A4F" w:rsidRPr="00DB6C75">
        <w:rPr>
          <w:rFonts w:cs="Calibri"/>
          <w:szCs w:val="24"/>
        </w:rPr>
        <w:t xml:space="preserve"> </w:t>
      </w:r>
      <w:r w:rsidRPr="00DB6C75">
        <w:rPr>
          <w:rFonts w:cs="Calibri"/>
          <w:szCs w:val="24"/>
        </w:rPr>
        <w:t xml:space="preserve">under the </w:t>
      </w:r>
      <w:r w:rsidRPr="00DB6C75">
        <w:rPr>
          <w:rFonts w:cs="Calibri"/>
          <w:i/>
          <w:iCs/>
          <w:szCs w:val="24"/>
        </w:rPr>
        <w:t>Australian Education Act 2013</w:t>
      </w:r>
      <w:r w:rsidRPr="00DB6C75">
        <w:rPr>
          <w:rFonts w:cs="Calibri"/>
          <w:szCs w:val="24"/>
        </w:rPr>
        <w:t>.</w:t>
      </w:r>
      <w:r w:rsidR="006F6B60" w:rsidRPr="00DB6C75">
        <w:rPr>
          <w:rFonts w:cs="Calibri"/>
          <w:szCs w:val="24"/>
        </w:rPr>
        <w:t xml:space="preserve"> </w:t>
      </w:r>
    </w:p>
    <w:p w14:paraId="3C6FDF63" w14:textId="600F561B" w:rsidR="004A1D06" w:rsidRPr="00DB6C75" w:rsidRDefault="004A1D06" w:rsidP="00042DDF">
      <w:pPr>
        <w:pStyle w:val="Default"/>
        <w:spacing w:before="200" w:after="200"/>
        <w:rPr>
          <w:rFonts w:asciiTheme="minorHAnsi" w:hAnsiTheme="minorHAnsi" w:cstheme="minorHAnsi"/>
        </w:rPr>
      </w:pPr>
      <w:r w:rsidRPr="00DB6C75">
        <w:rPr>
          <w:rFonts w:asciiTheme="minorHAnsi" w:hAnsiTheme="minorHAnsi" w:cstheme="minorHAnsi"/>
        </w:rPr>
        <w:t xml:space="preserve">On 31 October 2017, the Minister for Education and Training, Senator the Hon Simon Birmingham, announced terms of reference for the review of the socio-economic status </w:t>
      </w:r>
      <w:r w:rsidR="004A58F8" w:rsidRPr="00DB6C75">
        <w:rPr>
          <w:rFonts w:asciiTheme="minorHAnsi" w:hAnsiTheme="minorHAnsi" w:cstheme="minorHAnsi"/>
        </w:rPr>
        <w:t xml:space="preserve">(SES) </w:t>
      </w:r>
      <w:r w:rsidRPr="00DB6C75">
        <w:rPr>
          <w:rFonts w:asciiTheme="minorHAnsi" w:hAnsiTheme="minorHAnsi" w:cstheme="minorHAnsi"/>
        </w:rPr>
        <w:t>score methodology</w:t>
      </w:r>
      <w:r w:rsidR="00C902E0" w:rsidRPr="00DB6C75">
        <w:rPr>
          <w:rFonts w:asciiTheme="minorHAnsi" w:hAnsiTheme="minorHAnsi" w:cstheme="minorHAnsi"/>
        </w:rPr>
        <w:t>, which is used to determine the Commonwealth’s recurrent funding contribution for individual non-government schools</w:t>
      </w:r>
      <w:r w:rsidRPr="00DB6C75">
        <w:rPr>
          <w:rFonts w:asciiTheme="minorHAnsi" w:hAnsiTheme="minorHAnsi" w:cstheme="minorHAnsi"/>
        </w:rPr>
        <w:t xml:space="preserve">. </w:t>
      </w:r>
      <w:r w:rsidR="00E6208E" w:rsidRPr="00DB6C75">
        <w:rPr>
          <w:rFonts w:asciiTheme="minorHAnsi" w:hAnsiTheme="minorHAnsi" w:cstheme="minorHAnsi"/>
        </w:rPr>
        <w:t>The terms of r</w:t>
      </w:r>
      <w:r w:rsidR="00B10A4F" w:rsidRPr="00DB6C75">
        <w:rPr>
          <w:rFonts w:asciiTheme="minorHAnsi" w:hAnsiTheme="minorHAnsi" w:cstheme="minorHAnsi"/>
        </w:rPr>
        <w:t xml:space="preserve">eference are available at </w:t>
      </w:r>
      <w:hyperlink r:id="rId23" w:tooltip="web link to national school resourcing board home page" w:history="1">
        <w:r w:rsidR="00B4164A" w:rsidRPr="00DB6C75">
          <w:rPr>
            <w:rStyle w:val="Hyperlink"/>
            <w:rFonts w:asciiTheme="minorHAnsi" w:hAnsiTheme="minorHAnsi" w:cstheme="minorHAnsi"/>
          </w:rPr>
          <w:t>www.education.gov.au/national-school-resourcing-board</w:t>
        </w:r>
      </w:hyperlink>
      <w:r w:rsidR="0042420D" w:rsidRPr="00DB6C75">
        <w:rPr>
          <w:rFonts w:asciiTheme="minorHAnsi" w:hAnsiTheme="minorHAnsi" w:cstheme="minorHAnsi"/>
        </w:rPr>
        <w:t>.</w:t>
      </w:r>
    </w:p>
    <w:p w14:paraId="2AD99C8D" w14:textId="77777777" w:rsidR="006F6B60" w:rsidRPr="00DB6C75" w:rsidRDefault="004A1D06" w:rsidP="00042DDF">
      <w:pPr>
        <w:rPr>
          <w:szCs w:val="24"/>
        </w:rPr>
      </w:pPr>
      <w:r w:rsidRPr="00DB6C75">
        <w:rPr>
          <w:szCs w:val="24"/>
        </w:rPr>
        <w:t>The Board</w:t>
      </w:r>
      <w:r w:rsidRPr="00DB6C75">
        <w:rPr>
          <w:i/>
          <w:iCs/>
          <w:szCs w:val="24"/>
        </w:rPr>
        <w:t xml:space="preserve">, </w:t>
      </w:r>
      <w:r w:rsidR="00CD6C97" w:rsidRPr="00DB6C75">
        <w:rPr>
          <w:szCs w:val="24"/>
        </w:rPr>
        <w:t>chaired</w:t>
      </w:r>
      <w:r w:rsidRPr="00DB6C75">
        <w:rPr>
          <w:szCs w:val="24"/>
        </w:rPr>
        <w:t xml:space="preserve"> by Mr Michael Chaney AO, </w:t>
      </w:r>
      <w:r w:rsidR="00B10A4F" w:rsidRPr="00DB6C75">
        <w:rPr>
          <w:szCs w:val="24"/>
        </w:rPr>
        <w:t>will</w:t>
      </w:r>
      <w:r w:rsidR="006F6B60" w:rsidRPr="00DB6C75">
        <w:rPr>
          <w:szCs w:val="24"/>
        </w:rPr>
        <w:t>:</w:t>
      </w:r>
    </w:p>
    <w:p w14:paraId="7957A0EA" w14:textId="77777777" w:rsidR="006F6B60" w:rsidRPr="00DB6C75" w:rsidRDefault="006F6B60" w:rsidP="00042DDF">
      <w:pPr>
        <w:pStyle w:val="ListBullet"/>
        <w:numPr>
          <w:ilvl w:val="0"/>
          <w:numId w:val="3"/>
        </w:numPr>
        <w:spacing w:after="200"/>
        <w:ind w:left="851" w:hanging="369"/>
        <w:contextualSpacing w:val="0"/>
        <w:rPr>
          <w:rFonts w:cstheme="minorHAnsi"/>
          <w:szCs w:val="24"/>
        </w:rPr>
      </w:pPr>
      <w:r w:rsidRPr="00DB6C75">
        <w:rPr>
          <w:szCs w:val="24"/>
        </w:rPr>
        <w:t>consider the appropriateness of the use of SES scores in assessing the capacity of a non-government school community’s ability to contribute to the recurrent costs of their school</w:t>
      </w:r>
    </w:p>
    <w:p w14:paraId="31C52D17" w14:textId="77777777" w:rsidR="006F6B60" w:rsidRPr="00DB6C75" w:rsidRDefault="006F6B60" w:rsidP="00042DDF">
      <w:pPr>
        <w:pStyle w:val="ListBullet"/>
        <w:numPr>
          <w:ilvl w:val="0"/>
          <w:numId w:val="3"/>
        </w:numPr>
        <w:spacing w:after="200"/>
        <w:ind w:left="851" w:hanging="369"/>
        <w:contextualSpacing w:val="0"/>
        <w:rPr>
          <w:rFonts w:cstheme="minorHAnsi"/>
          <w:szCs w:val="24"/>
        </w:rPr>
      </w:pPr>
      <w:r w:rsidRPr="00DB6C75">
        <w:rPr>
          <w:szCs w:val="24"/>
        </w:rPr>
        <w:t>make recommendations on alternative measures and/or changes to ensure confidence in the methodology used.</w:t>
      </w:r>
    </w:p>
    <w:p w14:paraId="745F9D66" w14:textId="77777777" w:rsidR="00B10A4F" w:rsidRPr="00DB6C75" w:rsidRDefault="00B10A4F" w:rsidP="00042DDF">
      <w:pPr>
        <w:rPr>
          <w:rFonts w:cstheme="minorHAnsi"/>
          <w:szCs w:val="24"/>
        </w:rPr>
      </w:pPr>
      <w:r w:rsidRPr="00DB6C75">
        <w:rPr>
          <w:rFonts w:cstheme="minorHAnsi"/>
          <w:szCs w:val="24"/>
        </w:rPr>
        <w:t xml:space="preserve">The final report and recommendations will be provided to </w:t>
      </w:r>
      <w:r w:rsidR="006F6B60" w:rsidRPr="00DB6C75">
        <w:rPr>
          <w:rFonts w:cstheme="minorHAnsi"/>
          <w:szCs w:val="24"/>
        </w:rPr>
        <w:t xml:space="preserve">the </w:t>
      </w:r>
      <w:r w:rsidR="006F6B60" w:rsidRPr="00DB6C75">
        <w:rPr>
          <w:szCs w:val="24"/>
        </w:rPr>
        <w:t>Australian Government Minister for Education and Training by the end of June 2018.</w:t>
      </w:r>
    </w:p>
    <w:p w14:paraId="13264E4A" w14:textId="77777777" w:rsidR="004A1D06" w:rsidRPr="00DB6C75" w:rsidRDefault="004A1D06" w:rsidP="002C125E">
      <w:pPr>
        <w:pStyle w:val="Heading1"/>
        <w:spacing w:before="240" w:after="120"/>
        <w:rPr>
          <w:rFonts w:asciiTheme="minorHAnsi" w:hAnsiTheme="minorHAnsi" w:cstheme="minorHAnsi"/>
          <w:sz w:val="36"/>
          <w:szCs w:val="36"/>
        </w:rPr>
      </w:pPr>
      <w:r w:rsidRPr="00DB6C75">
        <w:rPr>
          <w:rFonts w:asciiTheme="minorHAnsi" w:hAnsiTheme="minorHAnsi" w:cstheme="minorHAnsi"/>
          <w:sz w:val="36"/>
          <w:szCs w:val="36"/>
        </w:rPr>
        <w:t>Review scope</w:t>
      </w:r>
    </w:p>
    <w:p w14:paraId="3F9626A7" w14:textId="77777777" w:rsidR="006F6B60" w:rsidRPr="00DB6C75" w:rsidRDefault="00E6208E" w:rsidP="00042DDF">
      <w:pPr>
        <w:rPr>
          <w:szCs w:val="24"/>
        </w:rPr>
      </w:pPr>
      <w:r w:rsidRPr="00DB6C75">
        <w:rPr>
          <w:szCs w:val="24"/>
        </w:rPr>
        <w:t>In line with the terms of r</w:t>
      </w:r>
      <w:r w:rsidR="00B10A4F" w:rsidRPr="00DB6C75">
        <w:rPr>
          <w:szCs w:val="24"/>
        </w:rPr>
        <w:t>eference, th</w:t>
      </w:r>
      <w:r w:rsidR="0042420D" w:rsidRPr="00DB6C75">
        <w:rPr>
          <w:szCs w:val="24"/>
        </w:rPr>
        <w:t xml:space="preserve">e review will </w:t>
      </w:r>
      <w:r w:rsidR="006F6B60" w:rsidRPr="00DB6C75">
        <w:rPr>
          <w:szCs w:val="24"/>
        </w:rPr>
        <w:t xml:space="preserve">consider, provide findings and make recommendations relating to: </w:t>
      </w:r>
    </w:p>
    <w:p w14:paraId="7E55B03A" w14:textId="77777777" w:rsidR="006F6B60" w:rsidRPr="00DB6C75" w:rsidRDefault="006F6B60" w:rsidP="00042DDF">
      <w:pPr>
        <w:pStyle w:val="ListBullet"/>
        <w:numPr>
          <w:ilvl w:val="0"/>
          <w:numId w:val="3"/>
        </w:numPr>
        <w:spacing w:after="200"/>
        <w:ind w:left="851" w:hanging="369"/>
        <w:contextualSpacing w:val="0"/>
        <w:rPr>
          <w:szCs w:val="24"/>
        </w:rPr>
      </w:pPr>
      <w:r w:rsidRPr="00DB6C75">
        <w:rPr>
          <w:szCs w:val="24"/>
        </w:rPr>
        <w:t xml:space="preserve">the strengths and limitations of the current SES measure in determining the capacity of a school community to contribute to the recurrent costs of the school </w:t>
      </w:r>
    </w:p>
    <w:p w14:paraId="38569FED" w14:textId="77777777" w:rsidR="006F6B60" w:rsidRPr="00DB6C75" w:rsidRDefault="006F6B60" w:rsidP="00042DDF">
      <w:pPr>
        <w:pStyle w:val="ListBullet"/>
        <w:numPr>
          <w:ilvl w:val="0"/>
          <w:numId w:val="3"/>
        </w:numPr>
        <w:spacing w:after="200"/>
        <w:ind w:left="851" w:hanging="369"/>
        <w:contextualSpacing w:val="0"/>
        <w:rPr>
          <w:szCs w:val="24"/>
        </w:rPr>
      </w:pPr>
      <w:r w:rsidRPr="00DB6C75">
        <w:rPr>
          <w:szCs w:val="24"/>
        </w:rPr>
        <w:t>possible alternative methodologies or refinements for calculating the capacity of a school community to contribute or for calculating the SES, including the use of more direct measures</w:t>
      </w:r>
    </w:p>
    <w:p w14:paraId="6E420E80" w14:textId="77777777" w:rsidR="006F6B60" w:rsidRPr="00DB6C75" w:rsidRDefault="006F6B60" w:rsidP="00042DDF">
      <w:pPr>
        <w:pStyle w:val="ListBullet"/>
        <w:numPr>
          <w:ilvl w:val="0"/>
          <w:numId w:val="3"/>
        </w:numPr>
        <w:spacing w:after="200"/>
        <w:ind w:left="851" w:hanging="369"/>
        <w:contextualSpacing w:val="0"/>
        <w:rPr>
          <w:szCs w:val="24"/>
        </w:rPr>
      </w:pPr>
      <w:r w:rsidRPr="00DB6C75">
        <w:rPr>
          <w:szCs w:val="24"/>
        </w:rPr>
        <w:t xml:space="preserve">how frequently measures should be updated into the future </w:t>
      </w:r>
    </w:p>
    <w:p w14:paraId="773348AC" w14:textId="3FB4216A" w:rsidR="006F6B60" w:rsidRPr="00DB6C75" w:rsidRDefault="006F6B60" w:rsidP="00042DDF">
      <w:pPr>
        <w:pStyle w:val="ListBullet"/>
        <w:numPr>
          <w:ilvl w:val="0"/>
          <w:numId w:val="3"/>
        </w:numPr>
        <w:spacing w:after="200"/>
        <w:ind w:left="851" w:hanging="369"/>
        <w:contextualSpacing w:val="0"/>
        <w:rPr>
          <w:szCs w:val="24"/>
        </w:rPr>
      </w:pPr>
      <w:r w:rsidRPr="00DB6C75">
        <w:rPr>
          <w:szCs w:val="24"/>
        </w:rPr>
        <w:t>timeframe for possible implementation</w:t>
      </w:r>
      <w:r w:rsidR="00087C68">
        <w:rPr>
          <w:szCs w:val="24"/>
        </w:rPr>
        <w:t xml:space="preserve"> (including staged implementation)</w:t>
      </w:r>
      <w:r w:rsidRPr="00DB6C75">
        <w:rPr>
          <w:szCs w:val="24"/>
        </w:rPr>
        <w:t xml:space="preserve"> </w:t>
      </w:r>
      <w:r w:rsidR="007E2FF8">
        <w:rPr>
          <w:szCs w:val="24"/>
        </w:rPr>
        <w:t xml:space="preserve">from </w:t>
      </w:r>
      <w:r w:rsidRPr="00DB6C75">
        <w:rPr>
          <w:szCs w:val="24"/>
        </w:rPr>
        <w:t>the 2019 school year.</w:t>
      </w:r>
    </w:p>
    <w:p w14:paraId="0577D836" w14:textId="77777777" w:rsidR="00AF7112" w:rsidRPr="00DB6C75" w:rsidRDefault="00A9669F" w:rsidP="00042DDF">
      <w:pPr>
        <w:rPr>
          <w:szCs w:val="24"/>
        </w:rPr>
      </w:pPr>
      <w:r w:rsidRPr="00DB6C75">
        <w:rPr>
          <w:szCs w:val="24"/>
        </w:rPr>
        <w:t>T</w:t>
      </w:r>
      <w:r w:rsidR="00AF7112" w:rsidRPr="00DB6C75">
        <w:rPr>
          <w:szCs w:val="24"/>
        </w:rPr>
        <w:t xml:space="preserve">his review will not affect the calculation of the socio-educational disadvantage loading or funding entitlements for schools that are defined under the </w:t>
      </w:r>
      <w:r w:rsidR="00AF7112" w:rsidRPr="00DB6C75">
        <w:rPr>
          <w:i/>
          <w:szCs w:val="24"/>
        </w:rPr>
        <w:t>Australian Education Act 2013</w:t>
      </w:r>
      <w:r w:rsidR="00AF7112" w:rsidRPr="00DB6C75">
        <w:rPr>
          <w:szCs w:val="24"/>
        </w:rPr>
        <w:t xml:space="preserve"> as having zero capacity to contribute. Section 52(6) defines these schools as: government schools; special </w:t>
      </w:r>
      <w:r w:rsidR="00AF7112" w:rsidRPr="00DB6C75">
        <w:rPr>
          <w:rFonts w:cstheme="minorHAnsi"/>
          <w:szCs w:val="24"/>
        </w:rPr>
        <w:t>schools</w:t>
      </w:r>
      <w:r w:rsidR="00AF7112" w:rsidRPr="00DB6C75">
        <w:rPr>
          <w:szCs w:val="24"/>
        </w:rPr>
        <w:t>; special assistance schools; majority Aboriginal and Torres Strait Islander schoo</w:t>
      </w:r>
      <w:r w:rsidR="000A129A" w:rsidRPr="00DB6C75">
        <w:rPr>
          <w:szCs w:val="24"/>
        </w:rPr>
        <w:t xml:space="preserve">ls; and sole provider schools. </w:t>
      </w:r>
    </w:p>
    <w:p w14:paraId="61AE4E7B" w14:textId="77777777" w:rsidR="002C125E" w:rsidRPr="00DB6C75" w:rsidRDefault="002C125E">
      <w:pPr>
        <w:rPr>
          <w:rFonts w:eastAsiaTheme="majorEastAsia" w:cstheme="minorHAnsi"/>
          <w:b/>
          <w:bCs/>
          <w:color w:val="2D3E7B" w:themeColor="accent5" w:themeShade="BF"/>
          <w:sz w:val="36"/>
          <w:szCs w:val="36"/>
        </w:rPr>
      </w:pPr>
      <w:r w:rsidRPr="00DB6C75">
        <w:rPr>
          <w:rFonts w:cstheme="minorHAnsi"/>
          <w:sz w:val="36"/>
          <w:szCs w:val="36"/>
        </w:rPr>
        <w:br w:type="page"/>
      </w:r>
    </w:p>
    <w:p w14:paraId="7705ADBB" w14:textId="77777777" w:rsidR="000A129A" w:rsidRPr="00DB6C75" w:rsidRDefault="000A129A" w:rsidP="002C125E">
      <w:pPr>
        <w:pStyle w:val="Heading1"/>
        <w:spacing w:before="240" w:after="120"/>
        <w:rPr>
          <w:rFonts w:asciiTheme="minorHAnsi" w:hAnsiTheme="minorHAnsi" w:cstheme="minorHAnsi"/>
          <w:sz w:val="36"/>
          <w:szCs w:val="36"/>
        </w:rPr>
      </w:pPr>
      <w:r w:rsidRPr="00DB6C75">
        <w:rPr>
          <w:rFonts w:asciiTheme="minorHAnsi" w:hAnsiTheme="minorHAnsi" w:cstheme="minorHAnsi"/>
          <w:sz w:val="36"/>
          <w:szCs w:val="36"/>
        </w:rPr>
        <w:lastRenderedPageBreak/>
        <w:t>Context</w:t>
      </w:r>
    </w:p>
    <w:p w14:paraId="2FE6D21A" w14:textId="2585E561" w:rsidR="00477AB6" w:rsidRPr="00DB6C75" w:rsidRDefault="00477AB6" w:rsidP="00042DDF">
      <w:pPr>
        <w:pStyle w:val="Default"/>
        <w:spacing w:before="200" w:after="200"/>
        <w:rPr>
          <w:rFonts w:asciiTheme="minorHAnsi" w:hAnsiTheme="minorHAnsi" w:cstheme="minorHAnsi"/>
        </w:rPr>
      </w:pPr>
      <w:r w:rsidRPr="00DB6C75">
        <w:rPr>
          <w:rFonts w:asciiTheme="minorHAnsi" w:hAnsiTheme="minorHAnsi" w:cstheme="minorHAnsi"/>
        </w:rPr>
        <w:t xml:space="preserve">On 23 June 2017, amendments to the </w:t>
      </w:r>
      <w:r w:rsidRPr="00DB6C75">
        <w:rPr>
          <w:rFonts w:asciiTheme="minorHAnsi" w:hAnsiTheme="minorHAnsi" w:cstheme="minorHAnsi"/>
          <w:i/>
        </w:rPr>
        <w:t>Australian Education Act 2013</w:t>
      </w:r>
      <w:r w:rsidRPr="00DB6C75">
        <w:rPr>
          <w:rFonts w:asciiTheme="minorHAnsi" w:hAnsiTheme="minorHAnsi" w:cstheme="minorHAnsi"/>
        </w:rPr>
        <w:t xml:space="preserve"> passed through Parliament to give effect to the Australian Government's </w:t>
      </w:r>
      <w:r w:rsidRPr="00DB6C75">
        <w:rPr>
          <w:rFonts w:asciiTheme="minorHAnsi" w:hAnsiTheme="minorHAnsi" w:cstheme="minorHAnsi"/>
          <w:i/>
        </w:rPr>
        <w:t>Quality Schools</w:t>
      </w:r>
      <w:r w:rsidRPr="00DB6C75">
        <w:rPr>
          <w:rFonts w:asciiTheme="minorHAnsi" w:hAnsiTheme="minorHAnsi" w:cstheme="minorHAnsi"/>
        </w:rPr>
        <w:t xml:space="preserve"> package. </w:t>
      </w:r>
      <w:r w:rsidR="00C902E0" w:rsidRPr="00DB6C75">
        <w:rPr>
          <w:rFonts w:asciiTheme="minorHAnsi" w:hAnsiTheme="minorHAnsi" w:cstheme="minorHAnsi"/>
        </w:rPr>
        <w:t>T</w:t>
      </w:r>
      <w:r w:rsidRPr="00DB6C75">
        <w:rPr>
          <w:rFonts w:asciiTheme="minorHAnsi" w:hAnsiTheme="minorHAnsi" w:cstheme="minorHAnsi"/>
        </w:rPr>
        <w:t xml:space="preserve">he </w:t>
      </w:r>
      <w:r w:rsidR="0023093A">
        <w:rPr>
          <w:rFonts w:asciiTheme="minorHAnsi" w:hAnsiTheme="minorHAnsi" w:cstheme="minorHAnsi"/>
        </w:rPr>
        <w:t xml:space="preserve">Australian </w:t>
      </w:r>
      <w:r w:rsidRPr="00DB6C75">
        <w:rPr>
          <w:rFonts w:asciiTheme="minorHAnsi" w:hAnsiTheme="minorHAnsi" w:cstheme="minorHAnsi"/>
        </w:rPr>
        <w:t>Government will deliver a</w:t>
      </w:r>
      <w:r w:rsidR="00C902E0" w:rsidRPr="00DB6C75">
        <w:rPr>
          <w:rFonts w:asciiTheme="minorHAnsi" w:hAnsiTheme="minorHAnsi" w:cstheme="minorHAnsi"/>
        </w:rPr>
        <w:t>round $250</w:t>
      </w:r>
      <w:r w:rsidR="00EA4FE7" w:rsidRPr="00DB6C75">
        <w:rPr>
          <w:rFonts w:asciiTheme="minorHAnsi" w:hAnsiTheme="minorHAnsi" w:cstheme="minorHAnsi"/>
        </w:rPr>
        <w:t xml:space="preserve"> </w:t>
      </w:r>
      <w:r w:rsidRPr="00DB6C75">
        <w:rPr>
          <w:rFonts w:asciiTheme="minorHAnsi" w:hAnsiTheme="minorHAnsi" w:cstheme="minorHAnsi"/>
        </w:rPr>
        <w:t xml:space="preserve">billion in total school recurrent funding from 2018 to 2027. </w:t>
      </w:r>
    </w:p>
    <w:p w14:paraId="4516E9F7" w14:textId="77777777" w:rsidR="00252600" w:rsidRPr="00DB6C75" w:rsidRDefault="00D82676" w:rsidP="00042DDF">
      <w:pPr>
        <w:rPr>
          <w:rFonts w:cstheme="minorHAnsi"/>
          <w:szCs w:val="24"/>
        </w:rPr>
      </w:pPr>
      <w:r w:rsidRPr="00DB6C75">
        <w:rPr>
          <w:rFonts w:cstheme="minorHAnsi"/>
          <w:szCs w:val="24"/>
        </w:rPr>
        <w:t xml:space="preserve">The </w:t>
      </w:r>
      <w:r w:rsidRPr="00DB6C75">
        <w:rPr>
          <w:rFonts w:cstheme="minorHAnsi"/>
          <w:i/>
          <w:szCs w:val="24"/>
        </w:rPr>
        <w:t>Quality Schools</w:t>
      </w:r>
      <w:r w:rsidRPr="00DB6C75">
        <w:rPr>
          <w:rFonts w:cstheme="minorHAnsi"/>
          <w:szCs w:val="24"/>
        </w:rPr>
        <w:t xml:space="preserve"> refor</w:t>
      </w:r>
      <w:r w:rsidR="00205834" w:rsidRPr="00DB6C75">
        <w:rPr>
          <w:rFonts w:cstheme="minorHAnsi"/>
          <w:szCs w:val="24"/>
        </w:rPr>
        <w:t>ms</w:t>
      </w:r>
      <w:r w:rsidR="00C902E0" w:rsidRPr="00DB6C75">
        <w:rPr>
          <w:rFonts w:cstheme="minorHAnsi"/>
          <w:szCs w:val="24"/>
        </w:rPr>
        <w:t xml:space="preserve"> will deliver</w:t>
      </w:r>
      <w:r w:rsidR="00205834" w:rsidRPr="00DB6C75">
        <w:rPr>
          <w:rFonts w:cstheme="minorHAnsi"/>
          <w:szCs w:val="24"/>
        </w:rPr>
        <w:t xml:space="preserve"> </w:t>
      </w:r>
      <w:r w:rsidR="00252600" w:rsidRPr="00DB6C75">
        <w:rPr>
          <w:rFonts w:cstheme="minorHAnsi"/>
          <w:szCs w:val="24"/>
        </w:rPr>
        <w:t xml:space="preserve">Commonwealth </w:t>
      </w:r>
      <w:r w:rsidRPr="00DB6C75">
        <w:rPr>
          <w:rFonts w:cstheme="minorHAnsi"/>
          <w:szCs w:val="24"/>
        </w:rPr>
        <w:t xml:space="preserve">schools funding that is needs-based, transparent and equitable so students with the same need in the same sector will attract the same level of support from the Commonwealth. </w:t>
      </w:r>
    </w:p>
    <w:p w14:paraId="1B1A7D41" w14:textId="77777777" w:rsidR="00D82676" w:rsidRPr="00DB6C75" w:rsidRDefault="00D82676" w:rsidP="00042DDF">
      <w:pPr>
        <w:rPr>
          <w:rFonts w:cstheme="minorHAnsi"/>
          <w:szCs w:val="24"/>
        </w:rPr>
      </w:pPr>
      <w:r w:rsidRPr="00DB6C75">
        <w:rPr>
          <w:rFonts w:cstheme="minorHAnsi"/>
          <w:szCs w:val="24"/>
        </w:rPr>
        <w:t xml:space="preserve">As the majority funder of non-government schools, the Government is committed to supporting parental choice and diversity in the schooling system. </w:t>
      </w:r>
    </w:p>
    <w:p w14:paraId="6243D5E4" w14:textId="77777777" w:rsidR="00311EC2" w:rsidRPr="00DB6C75" w:rsidRDefault="00EA4FE7" w:rsidP="00042DDF">
      <w:pPr>
        <w:rPr>
          <w:rFonts w:cstheme="minorHAnsi"/>
          <w:szCs w:val="24"/>
        </w:rPr>
      </w:pPr>
      <w:r w:rsidRPr="00DB6C75">
        <w:rPr>
          <w:rFonts w:cstheme="minorHAnsi"/>
          <w:szCs w:val="24"/>
        </w:rPr>
        <w:t>Commonwealth</w:t>
      </w:r>
      <w:r w:rsidR="00A35B8D" w:rsidRPr="00DB6C75">
        <w:rPr>
          <w:rFonts w:cstheme="minorHAnsi"/>
          <w:szCs w:val="24"/>
        </w:rPr>
        <w:t xml:space="preserve"> funding to non-government schools takes into account the capacity of parents and school communities to contribute to their school's operating costs, for example the ability of parents to pay school fees. </w:t>
      </w:r>
      <w:r w:rsidR="00311EC2" w:rsidRPr="00DB6C75">
        <w:rPr>
          <w:rFonts w:cstheme="minorHAnsi"/>
          <w:szCs w:val="24"/>
        </w:rPr>
        <w:t>This is called the ‘capacity t</w:t>
      </w:r>
      <w:r w:rsidR="00477AB6" w:rsidRPr="00DB6C75">
        <w:rPr>
          <w:rFonts w:cstheme="minorHAnsi"/>
          <w:szCs w:val="24"/>
        </w:rPr>
        <w:t xml:space="preserve">o contribute’ assessment and </w:t>
      </w:r>
      <w:r w:rsidR="00311EC2" w:rsidRPr="00DB6C75">
        <w:rPr>
          <w:rFonts w:cstheme="minorHAnsi"/>
          <w:szCs w:val="24"/>
        </w:rPr>
        <w:t xml:space="preserve">is based on the SES score of the school. </w:t>
      </w:r>
    </w:p>
    <w:p w14:paraId="5F717D45" w14:textId="77777777" w:rsidR="00311EC2" w:rsidRPr="00DB6C75" w:rsidRDefault="00311EC2" w:rsidP="00042DDF">
      <w:pPr>
        <w:rPr>
          <w:rFonts w:cstheme="minorHAnsi"/>
          <w:szCs w:val="24"/>
        </w:rPr>
      </w:pPr>
      <w:r w:rsidRPr="00DB6C75">
        <w:rPr>
          <w:rFonts w:cstheme="minorHAnsi"/>
          <w:szCs w:val="24"/>
        </w:rPr>
        <w:t xml:space="preserve">SES scores provide a relative ranking of all non-government schools based on the income, education and occupation characteristics of the areas in which students at each school reside. This information is used to generate a number representing the socio-economic status of one student cohort relative to other cohorts, with 100 being the Australian ‘average’ SES score. </w:t>
      </w:r>
    </w:p>
    <w:p w14:paraId="1FDF9A0F" w14:textId="77777777" w:rsidR="00A35B8D" w:rsidRPr="00DB6C75" w:rsidRDefault="00A35B8D" w:rsidP="002C125E">
      <w:pPr>
        <w:pStyle w:val="Heading1"/>
        <w:spacing w:before="240" w:after="120"/>
        <w:rPr>
          <w:rFonts w:asciiTheme="minorHAnsi" w:hAnsiTheme="minorHAnsi" w:cstheme="minorHAnsi"/>
          <w:sz w:val="36"/>
          <w:szCs w:val="36"/>
        </w:rPr>
      </w:pPr>
      <w:r w:rsidRPr="00DB6C75">
        <w:rPr>
          <w:rFonts w:asciiTheme="minorHAnsi" w:hAnsiTheme="minorHAnsi" w:cstheme="minorHAnsi"/>
          <w:sz w:val="36"/>
          <w:szCs w:val="36"/>
        </w:rPr>
        <w:t>Issues</w:t>
      </w:r>
    </w:p>
    <w:p w14:paraId="6025EAB1" w14:textId="77777777" w:rsidR="005864D8" w:rsidRPr="00DB6C75" w:rsidRDefault="005864D8" w:rsidP="00042DDF">
      <w:pPr>
        <w:rPr>
          <w:rFonts w:cstheme="minorHAnsi"/>
          <w:szCs w:val="24"/>
        </w:rPr>
      </w:pPr>
      <w:r w:rsidRPr="00DB6C75">
        <w:rPr>
          <w:szCs w:val="24"/>
        </w:rPr>
        <w:t xml:space="preserve">The objective of the SES score has remained unchanged for 20 years – that is, to measure </w:t>
      </w:r>
      <w:r w:rsidRPr="00DB6C75">
        <w:rPr>
          <w:rFonts w:cstheme="minorHAnsi"/>
          <w:szCs w:val="24"/>
        </w:rPr>
        <w:t>the capacity of non-government school communities to contribute towards the operating costs of their schools. However, over this time its application in recurrent schools funding has changed.</w:t>
      </w:r>
    </w:p>
    <w:p w14:paraId="66991D89" w14:textId="77777777" w:rsidR="005864D8" w:rsidRPr="00DB6C75" w:rsidRDefault="005864D8" w:rsidP="00042DDF">
      <w:pPr>
        <w:rPr>
          <w:rFonts w:cstheme="minorHAnsi"/>
          <w:szCs w:val="24"/>
        </w:rPr>
      </w:pPr>
      <w:r w:rsidRPr="00DB6C75">
        <w:rPr>
          <w:rFonts w:cstheme="minorHAnsi"/>
          <w:szCs w:val="24"/>
        </w:rPr>
        <w:t>From 2001 for Independent schools</w:t>
      </w:r>
      <w:r w:rsidR="00EE7405" w:rsidRPr="00DB6C75">
        <w:rPr>
          <w:rFonts w:cstheme="minorHAnsi"/>
          <w:szCs w:val="24"/>
        </w:rPr>
        <w:t>, and 2005 for C</w:t>
      </w:r>
      <w:r w:rsidRPr="00DB6C75">
        <w:rPr>
          <w:rFonts w:cstheme="minorHAnsi"/>
          <w:szCs w:val="24"/>
        </w:rPr>
        <w:t xml:space="preserve">atholic systemic schools, the SES score determined </w:t>
      </w:r>
      <w:r w:rsidR="00EE7405" w:rsidRPr="00DB6C75">
        <w:rPr>
          <w:rFonts w:cstheme="minorHAnsi"/>
          <w:szCs w:val="24"/>
        </w:rPr>
        <w:t>the percentage of the Average Government School Recurrent Costs (AGSRC) that non-government schools received from the Australian Government. The actual funding by schools was also infl</w:t>
      </w:r>
      <w:r w:rsidR="00A220FB" w:rsidRPr="00DB6C75">
        <w:rPr>
          <w:rFonts w:cstheme="minorHAnsi"/>
          <w:szCs w:val="24"/>
        </w:rPr>
        <w:t>uenced</w:t>
      </w:r>
      <w:r w:rsidR="00EE7405" w:rsidRPr="00DB6C75">
        <w:rPr>
          <w:rFonts w:cstheme="minorHAnsi"/>
          <w:szCs w:val="24"/>
        </w:rPr>
        <w:t xml:space="preserve"> by ‘funding maintained’ and ‘funding guaranteed’ arrangements. </w:t>
      </w:r>
    </w:p>
    <w:p w14:paraId="28E0569A" w14:textId="77777777" w:rsidR="00EE7405" w:rsidRPr="00DB6C75" w:rsidRDefault="00EE7405" w:rsidP="00042DDF">
      <w:pPr>
        <w:rPr>
          <w:szCs w:val="24"/>
        </w:rPr>
      </w:pPr>
      <w:r w:rsidRPr="00DB6C75">
        <w:rPr>
          <w:rFonts w:cstheme="minorHAnsi"/>
          <w:szCs w:val="24"/>
        </w:rPr>
        <w:t>Sinc</w:t>
      </w:r>
      <w:r w:rsidR="005D30FC" w:rsidRPr="00DB6C75">
        <w:rPr>
          <w:rFonts w:cstheme="minorHAnsi"/>
          <w:szCs w:val="24"/>
        </w:rPr>
        <w:t>e 2014, and following the 2011 R</w:t>
      </w:r>
      <w:r w:rsidRPr="00DB6C75">
        <w:rPr>
          <w:rFonts w:cstheme="minorHAnsi"/>
          <w:szCs w:val="24"/>
        </w:rPr>
        <w:t>eview of Funding for Schooling, the SES score has been</w:t>
      </w:r>
      <w:r w:rsidRPr="00DB6C75">
        <w:rPr>
          <w:szCs w:val="24"/>
        </w:rPr>
        <w:t xml:space="preserve"> used to discount the base Schooling Resource Standard (SRS) per student amount received by non-government schools.</w:t>
      </w:r>
    </w:p>
    <w:p w14:paraId="75B0C1B8" w14:textId="568D682B" w:rsidR="00326D28" w:rsidRPr="00BB785B" w:rsidRDefault="00042DDF" w:rsidP="00EC15C6">
      <w:pPr>
        <w:rPr>
          <w:szCs w:val="24"/>
        </w:rPr>
      </w:pPr>
      <w:r w:rsidRPr="00BB785B">
        <w:rPr>
          <w:szCs w:val="24"/>
        </w:rPr>
        <w:t xml:space="preserve">To inform the work of the Board, the Department of Education and Training commissioned Victoria </w:t>
      </w:r>
      <w:r w:rsidRPr="00BB785B">
        <w:rPr>
          <w:rFonts w:cstheme="minorHAnsi"/>
          <w:szCs w:val="24"/>
        </w:rPr>
        <w:t>University</w:t>
      </w:r>
      <w:r w:rsidR="00237E5B" w:rsidRPr="00BB785B">
        <w:rPr>
          <w:rFonts w:cstheme="minorHAnsi"/>
          <w:szCs w:val="24"/>
        </w:rPr>
        <w:t>’s</w:t>
      </w:r>
      <w:r w:rsidRPr="00BB785B">
        <w:rPr>
          <w:szCs w:val="24"/>
        </w:rPr>
        <w:t xml:space="preserve"> Centre for </w:t>
      </w:r>
      <w:r w:rsidR="00EC15C6" w:rsidRPr="00BB785B">
        <w:rPr>
          <w:szCs w:val="24"/>
        </w:rPr>
        <w:t>International Resea</w:t>
      </w:r>
      <w:r w:rsidRPr="00BB785B">
        <w:rPr>
          <w:szCs w:val="24"/>
        </w:rPr>
        <w:t>r</w:t>
      </w:r>
      <w:r w:rsidR="00EC15C6" w:rsidRPr="00BB785B">
        <w:rPr>
          <w:szCs w:val="24"/>
        </w:rPr>
        <w:t>c</w:t>
      </w:r>
      <w:r w:rsidRPr="00BB785B">
        <w:rPr>
          <w:szCs w:val="24"/>
        </w:rPr>
        <w:t xml:space="preserve">h on Education Systems to </w:t>
      </w:r>
      <w:r w:rsidR="00EC15C6" w:rsidRPr="00BB785B">
        <w:rPr>
          <w:szCs w:val="24"/>
        </w:rPr>
        <w:t xml:space="preserve">undertake a desktop review </w:t>
      </w:r>
      <w:r w:rsidRPr="00BB785B">
        <w:rPr>
          <w:szCs w:val="24"/>
        </w:rPr>
        <w:t>of development activitie</w:t>
      </w:r>
      <w:r w:rsidR="00EC15C6" w:rsidRPr="00BB785B">
        <w:rPr>
          <w:szCs w:val="24"/>
        </w:rPr>
        <w:t>s since the SES score was conce</w:t>
      </w:r>
      <w:r w:rsidRPr="00BB785B">
        <w:rPr>
          <w:szCs w:val="24"/>
        </w:rPr>
        <w:t xml:space="preserve">ived in 1996 and </w:t>
      </w:r>
      <w:r w:rsidR="00EC15C6" w:rsidRPr="00BB785B">
        <w:rPr>
          <w:szCs w:val="24"/>
        </w:rPr>
        <w:t xml:space="preserve">to summarise known </w:t>
      </w:r>
      <w:r w:rsidRPr="00BB785B">
        <w:rPr>
          <w:szCs w:val="24"/>
        </w:rPr>
        <w:t xml:space="preserve">stakeholder issues and views on the SES score methodology. </w:t>
      </w:r>
    </w:p>
    <w:p w14:paraId="793FA641" w14:textId="7C72B49F" w:rsidR="00EC15C6" w:rsidRPr="00BB785B" w:rsidRDefault="00042DDF" w:rsidP="00042DDF">
      <w:pPr>
        <w:rPr>
          <w:szCs w:val="24"/>
        </w:rPr>
      </w:pPr>
      <w:r w:rsidRPr="00BB785B">
        <w:rPr>
          <w:szCs w:val="24"/>
        </w:rPr>
        <w:t xml:space="preserve">The report </w:t>
      </w:r>
      <w:r w:rsidR="00EC15C6" w:rsidRPr="00BB785B">
        <w:rPr>
          <w:i/>
          <w:szCs w:val="24"/>
        </w:rPr>
        <w:t xml:space="preserve">‘The Socio-economic status score methodology used in recurrent school funding arrangements’ </w:t>
      </w:r>
      <w:r w:rsidR="00EC15C6" w:rsidRPr="00BB785B">
        <w:rPr>
          <w:szCs w:val="24"/>
        </w:rPr>
        <w:t xml:space="preserve">is available at </w:t>
      </w:r>
      <w:hyperlink r:id="rId24" w:tooltip="web link to national school resourcing board home page" w:history="1">
        <w:r w:rsidR="00EC15C6" w:rsidRPr="00BB785B">
          <w:rPr>
            <w:rStyle w:val="Hyperlink"/>
            <w:rFonts w:cstheme="minorHAnsi"/>
            <w:szCs w:val="24"/>
          </w:rPr>
          <w:t>www.education.gov.au/national-school-resourcing-board</w:t>
        </w:r>
      </w:hyperlink>
      <w:r w:rsidR="00EC15C6" w:rsidRPr="00BB785B">
        <w:rPr>
          <w:rStyle w:val="Hyperlink"/>
          <w:rFonts w:cstheme="minorHAnsi"/>
          <w:szCs w:val="24"/>
        </w:rPr>
        <w:t>.</w:t>
      </w:r>
    </w:p>
    <w:p w14:paraId="6DE81AEC" w14:textId="3FE453EA" w:rsidR="00DE2831" w:rsidRPr="00306352" w:rsidRDefault="00EC15C6" w:rsidP="00042DDF">
      <w:pPr>
        <w:rPr>
          <w:szCs w:val="24"/>
        </w:rPr>
      </w:pPr>
      <w:r w:rsidRPr="00BB785B">
        <w:rPr>
          <w:szCs w:val="24"/>
        </w:rPr>
        <w:lastRenderedPageBreak/>
        <w:t xml:space="preserve">The </w:t>
      </w:r>
      <w:r w:rsidR="00326D28">
        <w:rPr>
          <w:szCs w:val="24"/>
        </w:rPr>
        <w:t xml:space="preserve">Victoria University </w:t>
      </w:r>
      <w:r w:rsidRPr="00BB785B">
        <w:rPr>
          <w:szCs w:val="24"/>
        </w:rPr>
        <w:t>report</w:t>
      </w:r>
      <w:r w:rsidRPr="00BB785B">
        <w:rPr>
          <w:i/>
          <w:szCs w:val="24"/>
        </w:rPr>
        <w:t xml:space="preserve"> </w:t>
      </w:r>
      <w:r w:rsidR="00042DDF" w:rsidRPr="00BB785B">
        <w:rPr>
          <w:szCs w:val="24"/>
        </w:rPr>
        <w:t>identified a</w:t>
      </w:r>
      <w:r w:rsidR="00FB6408" w:rsidRPr="00BB785B">
        <w:rPr>
          <w:szCs w:val="24"/>
        </w:rPr>
        <w:t xml:space="preserve"> range of </w:t>
      </w:r>
      <w:r w:rsidR="002D142C" w:rsidRPr="00BB785B">
        <w:rPr>
          <w:szCs w:val="24"/>
        </w:rPr>
        <w:t xml:space="preserve">issues and concerns </w:t>
      </w:r>
      <w:r w:rsidR="00042DDF" w:rsidRPr="00BB785B">
        <w:rPr>
          <w:szCs w:val="24"/>
        </w:rPr>
        <w:t xml:space="preserve">that </w:t>
      </w:r>
      <w:r w:rsidR="002D142C" w:rsidRPr="00BB785B">
        <w:rPr>
          <w:szCs w:val="24"/>
        </w:rPr>
        <w:t>have been raised by stakeholders</w:t>
      </w:r>
      <w:r w:rsidR="00326D28">
        <w:rPr>
          <w:szCs w:val="24"/>
        </w:rPr>
        <w:t xml:space="preserve">, but </w:t>
      </w:r>
      <w:r w:rsidR="00326D28">
        <w:rPr>
          <w:lang w:val="en-GB"/>
        </w:rPr>
        <w:t>does not attempt to assess the significance of any of the matters that have been raised by stakeholders.</w:t>
      </w:r>
      <w:r w:rsidR="00B53DF9">
        <w:rPr>
          <w:lang w:val="en-GB"/>
        </w:rPr>
        <w:t xml:space="preserve"> </w:t>
      </w:r>
      <w:r w:rsidR="00326D28">
        <w:rPr>
          <w:lang w:val="en-GB"/>
        </w:rPr>
        <w:t>The report has categorised issues into three broad themes of design, accuracy and timeliness, as summarised below.</w:t>
      </w:r>
    </w:p>
    <w:p w14:paraId="36975502" w14:textId="153D230C" w:rsidR="00DE2831" w:rsidRPr="00306352" w:rsidRDefault="00DE2831" w:rsidP="00042DDF">
      <w:pPr>
        <w:pStyle w:val="ListBullet"/>
        <w:keepNext/>
        <w:spacing w:after="200"/>
        <w:contextualSpacing w:val="0"/>
        <w:rPr>
          <w:szCs w:val="24"/>
        </w:rPr>
      </w:pPr>
      <w:r w:rsidRPr="00306352">
        <w:rPr>
          <w:b/>
          <w:szCs w:val="24"/>
        </w:rPr>
        <w:t>Design</w:t>
      </w:r>
      <w:r w:rsidRPr="00306352">
        <w:rPr>
          <w:szCs w:val="24"/>
        </w:rPr>
        <w:t xml:space="preserve">  </w:t>
      </w:r>
    </w:p>
    <w:p w14:paraId="601545E7" w14:textId="3DA463A9" w:rsidR="000949B2" w:rsidRPr="00306352" w:rsidRDefault="00EC15C6" w:rsidP="00042DDF">
      <w:pPr>
        <w:pStyle w:val="ListBullet"/>
        <w:numPr>
          <w:ilvl w:val="0"/>
          <w:numId w:val="5"/>
        </w:numPr>
        <w:spacing w:after="200"/>
        <w:contextualSpacing w:val="0"/>
        <w:rPr>
          <w:szCs w:val="24"/>
        </w:rPr>
      </w:pPr>
      <w:r w:rsidRPr="00306352">
        <w:rPr>
          <w:szCs w:val="24"/>
        </w:rPr>
        <w:t>T</w:t>
      </w:r>
      <w:r w:rsidR="000949B2" w:rsidRPr="00306352">
        <w:rPr>
          <w:szCs w:val="24"/>
        </w:rPr>
        <w:t xml:space="preserve">he extent that the SES </w:t>
      </w:r>
      <w:r w:rsidR="00CF7F4F" w:rsidRPr="00306352">
        <w:rPr>
          <w:szCs w:val="24"/>
        </w:rPr>
        <w:t xml:space="preserve">score </w:t>
      </w:r>
      <w:r w:rsidR="000949B2" w:rsidRPr="00306352">
        <w:rPr>
          <w:szCs w:val="24"/>
        </w:rPr>
        <w:t xml:space="preserve">methodology </w:t>
      </w:r>
      <w:r w:rsidR="009C17E6" w:rsidRPr="00306352">
        <w:rPr>
          <w:szCs w:val="24"/>
        </w:rPr>
        <w:t xml:space="preserve">meets its purpose and objective in measuring </w:t>
      </w:r>
      <w:r w:rsidR="000949B2" w:rsidRPr="00306352">
        <w:rPr>
          <w:szCs w:val="24"/>
        </w:rPr>
        <w:t>the capacity of parents to contribute financially towards a school’s resource requirements</w:t>
      </w:r>
      <w:r w:rsidRPr="00306352">
        <w:rPr>
          <w:szCs w:val="24"/>
        </w:rPr>
        <w:t>.</w:t>
      </w:r>
    </w:p>
    <w:p w14:paraId="2B27A216" w14:textId="77777777" w:rsidR="00DE2831" w:rsidRPr="00306352" w:rsidRDefault="00DE2831" w:rsidP="00042DDF">
      <w:pPr>
        <w:pStyle w:val="ListBullet"/>
        <w:spacing w:after="200"/>
        <w:contextualSpacing w:val="0"/>
        <w:rPr>
          <w:szCs w:val="24"/>
        </w:rPr>
      </w:pPr>
      <w:r w:rsidRPr="00306352">
        <w:rPr>
          <w:b/>
          <w:szCs w:val="24"/>
        </w:rPr>
        <w:t>Accuracy</w:t>
      </w:r>
      <w:r w:rsidR="00CD6C97" w:rsidRPr="00306352">
        <w:rPr>
          <w:szCs w:val="24"/>
        </w:rPr>
        <w:t xml:space="preserve"> </w:t>
      </w:r>
      <w:r w:rsidRPr="00306352">
        <w:rPr>
          <w:szCs w:val="24"/>
        </w:rPr>
        <w:t xml:space="preserve"> </w:t>
      </w:r>
    </w:p>
    <w:p w14:paraId="2A81E070" w14:textId="6690237B" w:rsidR="000949B2" w:rsidRPr="00306352" w:rsidRDefault="00EC15C6" w:rsidP="00DB6C75">
      <w:pPr>
        <w:pStyle w:val="ListBullet"/>
        <w:numPr>
          <w:ilvl w:val="0"/>
          <w:numId w:val="5"/>
        </w:numPr>
        <w:spacing w:after="200"/>
        <w:ind w:left="714" w:hanging="357"/>
        <w:rPr>
          <w:szCs w:val="24"/>
        </w:rPr>
      </w:pPr>
      <w:r w:rsidRPr="00306352">
        <w:rPr>
          <w:szCs w:val="24"/>
        </w:rPr>
        <w:t>T</w:t>
      </w:r>
      <w:r w:rsidR="00DE2831" w:rsidRPr="00306352">
        <w:rPr>
          <w:szCs w:val="24"/>
        </w:rPr>
        <w:t xml:space="preserve">he extent that the SES </w:t>
      </w:r>
      <w:r w:rsidR="00CF7F4F" w:rsidRPr="00306352">
        <w:rPr>
          <w:szCs w:val="24"/>
        </w:rPr>
        <w:t xml:space="preserve">score </w:t>
      </w:r>
      <w:r w:rsidR="00DE2831" w:rsidRPr="00306352">
        <w:rPr>
          <w:szCs w:val="24"/>
        </w:rPr>
        <w:t xml:space="preserve">methodology </w:t>
      </w:r>
      <w:r w:rsidR="000949B2" w:rsidRPr="00306352">
        <w:rPr>
          <w:szCs w:val="24"/>
        </w:rPr>
        <w:t>and data used to generate SES scores provides an accurate estimate of the relative capacity to contribute of individual schools</w:t>
      </w:r>
      <w:r w:rsidRPr="00306352">
        <w:rPr>
          <w:szCs w:val="24"/>
        </w:rPr>
        <w:t>.</w:t>
      </w:r>
    </w:p>
    <w:p w14:paraId="538BF63D" w14:textId="42AE24C3" w:rsidR="000949B2" w:rsidRPr="00306352" w:rsidRDefault="00EC15C6" w:rsidP="00DB6C75">
      <w:pPr>
        <w:pStyle w:val="ListBullet"/>
        <w:numPr>
          <w:ilvl w:val="0"/>
          <w:numId w:val="5"/>
        </w:numPr>
        <w:spacing w:after="200"/>
        <w:ind w:left="714" w:hanging="357"/>
        <w:rPr>
          <w:szCs w:val="24"/>
        </w:rPr>
      </w:pPr>
      <w:r w:rsidRPr="00306352">
        <w:rPr>
          <w:szCs w:val="24"/>
        </w:rPr>
        <w:t>T</w:t>
      </w:r>
      <w:r w:rsidR="009C17E6" w:rsidRPr="00306352">
        <w:rPr>
          <w:szCs w:val="24"/>
        </w:rPr>
        <w:t xml:space="preserve">he extent to which the methodology is sufficiently responsive where the </w:t>
      </w:r>
      <w:r w:rsidR="000949B2" w:rsidRPr="00306352">
        <w:rPr>
          <w:szCs w:val="24"/>
        </w:rPr>
        <w:t>characteristics of certain individuals, or a sub-population, differ markedly from a population</w:t>
      </w:r>
      <w:r w:rsidRPr="00306352">
        <w:rPr>
          <w:szCs w:val="24"/>
        </w:rPr>
        <w:t>.</w:t>
      </w:r>
    </w:p>
    <w:p w14:paraId="3B725BED" w14:textId="14267142" w:rsidR="00DE2831" w:rsidRPr="00306352" w:rsidRDefault="00EC15C6" w:rsidP="00042DDF">
      <w:pPr>
        <w:pStyle w:val="ListBullet"/>
        <w:numPr>
          <w:ilvl w:val="0"/>
          <w:numId w:val="5"/>
        </w:numPr>
        <w:spacing w:after="200"/>
        <w:contextualSpacing w:val="0"/>
        <w:rPr>
          <w:szCs w:val="24"/>
        </w:rPr>
      </w:pPr>
      <w:r w:rsidRPr="00306352">
        <w:rPr>
          <w:szCs w:val="24"/>
        </w:rPr>
        <w:t>T</w:t>
      </w:r>
      <w:r w:rsidR="00DE2831" w:rsidRPr="00306352">
        <w:rPr>
          <w:szCs w:val="24"/>
        </w:rPr>
        <w:t xml:space="preserve">he extent that the data is transparent, reliable and provides a strong relationship between the indicator </w:t>
      </w:r>
      <w:r w:rsidR="00CF7F4F" w:rsidRPr="00306352">
        <w:rPr>
          <w:szCs w:val="24"/>
        </w:rPr>
        <w:t>and the</w:t>
      </w:r>
      <w:r w:rsidR="001D162A">
        <w:rPr>
          <w:szCs w:val="24"/>
        </w:rPr>
        <w:t xml:space="preserve"> capacity to contribute</w:t>
      </w:r>
      <w:r w:rsidR="002A070F">
        <w:rPr>
          <w:szCs w:val="24"/>
        </w:rPr>
        <w:t xml:space="preserve"> </w:t>
      </w:r>
      <w:r w:rsidR="000B76CE">
        <w:rPr>
          <w:szCs w:val="24"/>
        </w:rPr>
        <w:t xml:space="preserve">of the </w:t>
      </w:r>
      <w:r w:rsidR="00CF7F4F" w:rsidRPr="00306352">
        <w:rPr>
          <w:szCs w:val="24"/>
        </w:rPr>
        <w:t xml:space="preserve">target </w:t>
      </w:r>
      <w:r w:rsidR="000B76CE">
        <w:rPr>
          <w:szCs w:val="24"/>
        </w:rPr>
        <w:t>community</w:t>
      </w:r>
      <w:r w:rsidRPr="00306352">
        <w:rPr>
          <w:szCs w:val="24"/>
        </w:rPr>
        <w:t>.</w:t>
      </w:r>
    </w:p>
    <w:p w14:paraId="2D3D5DCD" w14:textId="77777777" w:rsidR="00275139" w:rsidRPr="00306352" w:rsidRDefault="00DE2831" w:rsidP="00042DDF">
      <w:pPr>
        <w:pStyle w:val="ListBullet"/>
        <w:spacing w:after="200"/>
        <w:contextualSpacing w:val="0"/>
        <w:rPr>
          <w:szCs w:val="24"/>
        </w:rPr>
      </w:pPr>
      <w:r w:rsidRPr="00306352">
        <w:rPr>
          <w:b/>
          <w:szCs w:val="24"/>
        </w:rPr>
        <w:t>Timeliness</w:t>
      </w:r>
      <w:r w:rsidR="00CD6C97" w:rsidRPr="00306352">
        <w:rPr>
          <w:szCs w:val="24"/>
        </w:rPr>
        <w:t xml:space="preserve"> </w:t>
      </w:r>
    </w:p>
    <w:p w14:paraId="26445EFC" w14:textId="061E3881" w:rsidR="000949B2" w:rsidRPr="00306352" w:rsidRDefault="00EC15C6" w:rsidP="00042DDF">
      <w:pPr>
        <w:pStyle w:val="ListBullet"/>
        <w:numPr>
          <w:ilvl w:val="0"/>
          <w:numId w:val="5"/>
        </w:numPr>
        <w:spacing w:after="200"/>
        <w:contextualSpacing w:val="0"/>
        <w:rPr>
          <w:szCs w:val="24"/>
        </w:rPr>
      </w:pPr>
      <w:r w:rsidRPr="00306352">
        <w:rPr>
          <w:szCs w:val="24"/>
        </w:rPr>
        <w:t>W</w:t>
      </w:r>
      <w:r w:rsidR="000949B2" w:rsidRPr="00306352">
        <w:rPr>
          <w:szCs w:val="24"/>
        </w:rPr>
        <w:t xml:space="preserve">hether the SES </w:t>
      </w:r>
      <w:r w:rsidR="00CF7F4F" w:rsidRPr="00306352">
        <w:rPr>
          <w:szCs w:val="24"/>
        </w:rPr>
        <w:t xml:space="preserve">score </w:t>
      </w:r>
      <w:r w:rsidR="000949B2" w:rsidRPr="00306352">
        <w:rPr>
          <w:szCs w:val="24"/>
        </w:rPr>
        <w:t>methodology is able to capture relevant and timely economic and demographic change</w:t>
      </w:r>
      <w:r w:rsidR="00921045">
        <w:rPr>
          <w:szCs w:val="24"/>
        </w:rPr>
        <w:t xml:space="preserve"> that can occur within a particular community</w:t>
      </w:r>
      <w:r w:rsidR="000949B2" w:rsidRPr="00306352">
        <w:rPr>
          <w:szCs w:val="24"/>
        </w:rPr>
        <w:t>.</w:t>
      </w:r>
      <w:bookmarkStart w:id="1" w:name="_Toc364946115"/>
    </w:p>
    <w:p w14:paraId="562DE017" w14:textId="3F146CAF" w:rsidR="000430CF" w:rsidRPr="00306352" w:rsidRDefault="000430CF" w:rsidP="002C125E">
      <w:pPr>
        <w:pStyle w:val="Heading1"/>
        <w:spacing w:before="240" w:after="120"/>
        <w:rPr>
          <w:rFonts w:asciiTheme="minorHAnsi" w:hAnsiTheme="minorHAnsi" w:cstheme="minorHAnsi"/>
          <w:sz w:val="36"/>
          <w:szCs w:val="36"/>
        </w:rPr>
      </w:pPr>
      <w:r w:rsidRPr="00306352">
        <w:rPr>
          <w:rFonts w:asciiTheme="minorHAnsi" w:hAnsiTheme="minorHAnsi" w:cstheme="minorHAnsi"/>
          <w:sz w:val="36"/>
          <w:szCs w:val="36"/>
        </w:rPr>
        <w:t>Principles</w:t>
      </w:r>
    </w:p>
    <w:p w14:paraId="7EC3956B" w14:textId="4E999AF6" w:rsidR="000430CF" w:rsidRPr="00110EF1" w:rsidRDefault="000430CF" w:rsidP="00110EF1">
      <w:pPr>
        <w:rPr>
          <w:szCs w:val="24"/>
        </w:rPr>
      </w:pPr>
      <w:r w:rsidRPr="00110EF1">
        <w:rPr>
          <w:szCs w:val="24"/>
        </w:rPr>
        <w:t xml:space="preserve">The Board has developed a set of principles to guide the development and assessment of alternative approaches </w:t>
      </w:r>
      <w:r w:rsidRPr="00110EF1">
        <w:rPr>
          <w:rFonts w:cstheme="minorHAnsi"/>
          <w:szCs w:val="24"/>
        </w:rPr>
        <w:t>to</w:t>
      </w:r>
      <w:r w:rsidRPr="00110EF1">
        <w:rPr>
          <w:szCs w:val="24"/>
        </w:rPr>
        <w:t xml:space="preserve"> the SES score methodology.</w:t>
      </w:r>
      <w:r w:rsidR="00EC15C6" w:rsidRPr="00110EF1">
        <w:rPr>
          <w:szCs w:val="24"/>
        </w:rPr>
        <w:t xml:space="preserve"> </w:t>
      </w:r>
      <w:r w:rsidR="00042DDF" w:rsidRPr="00110EF1">
        <w:rPr>
          <w:szCs w:val="24"/>
        </w:rPr>
        <w:t>In the Board’s view, the methodology should be:</w:t>
      </w:r>
    </w:p>
    <w:p w14:paraId="2C3A147D" w14:textId="77777777" w:rsidR="00576B5B" w:rsidRPr="00110EF1" w:rsidRDefault="00576B5B" w:rsidP="00110EF1">
      <w:pPr>
        <w:rPr>
          <w:b/>
          <w:szCs w:val="24"/>
        </w:rPr>
      </w:pPr>
      <w:r w:rsidRPr="00110EF1">
        <w:rPr>
          <w:b/>
          <w:szCs w:val="24"/>
        </w:rPr>
        <w:t>Fit for purpose</w:t>
      </w:r>
      <w:r w:rsidRPr="00110EF1">
        <w:rPr>
          <w:b/>
          <w:szCs w:val="24"/>
        </w:rPr>
        <w:tab/>
      </w:r>
    </w:p>
    <w:p w14:paraId="4B30BFEC" w14:textId="6CE93392" w:rsidR="00576B5B" w:rsidRPr="00110EF1" w:rsidRDefault="00576B5B" w:rsidP="00110EF1">
      <w:pPr>
        <w:pStyle w:val="ListParagraph"/>
        <w:numPr>
          <w:ilvl w:val="0"/>
          <w:numId w:val="6"/>
        </w:numPr>
        <w:ind w:left="714" w:hanging="357"/>
        <w:rPr>
          <w:szCs w:val="24"/>
        </w:rPr>
      </w:pPr>
      <w:r w:rsidRPr="00110EF1">
        <w:rPr>
          <w:szCs w:val="24"/>
        </w:rPr>
        <w:t>Clearly articulated purpose so the public can have confidence in the measure.</w:t>
      </w:r>
    </w:p>
    <w:p w14:paraId="283FA9A3" w14:textId="17EA4D9D" w:rsidR="00576B5B" w:rsidRPr="00110EF1" w:rsidRDefault="00576B5B" w:rsidP="00110EF1">
      <w:pPr>
        <w:pStyle w:val="ListParagraph"/>
        <w:numPr>
          <w:ilvl w:val="0"/>
          <w:numId w:val="6"/>
        </w:numPr>
        <w:ind w:left="714" w:hanging="357"/>
        <w:rPr>
          <w:szCs w:val="24"/>
        </w:rPr>
      </w:pPr>
      <w:r w:rsidRPr="00110EF1">
        <w:rPr>
          <w:szCs w:val="24"/>
        </w:rPr>
        <w:t>Can accurately estimate the relative ‘capacity to contribute’.</w:t>
      </w:r>
    </w:p>
    <w:p w14:paraId="2D5B9115" w14:textId="3213E089" w:rsidR="00576B5B" w:rsidRPr="00110EF1" w:rsidRDefault="00576B5B" w:rsidP="00110EF1">
      <w:pPr>
        <w:pStyle w:val="ListParagraph"/>
        <w:numPr>
          <w:ilvl w:val="0"/>
          <w:numId w:val="6"/>
        </w:numPr>
        <w:ind w:left="714" w:hanging="357"/>
        <w:rPr>
          <w:szCs w:val="24"/>
        </w:rPr>
      </w:pPr>
      <w:r w:rsidRPr="00110EF1">
        <w:rPr>
          <w:szCs w:val="24"/>
        </w:rPr>
        <w:t>Draws on best possible</w:t>
      </w:r>
      <w:r w:rsidR="004B00A1" w:rsidRPr="00110EF1">
        <w:rPr>
          <w:szCs w:val="24"/>
        </w:rPr>
        <w:t xml:space="preserve"> and relevant national data</w:t>
      </w:r>
      <w:r w:rsidRPr="00110EF1">
        <w:rPr>
          <w:szCs w:val="24"/>
        </w:rPr>
        <w:t>.</w:t>
      </w:r>
    </w:p>
    <w:p w14:paraId="2CD99551" w14:textId="57811B0B" w:rsidR="00576B5B" w:rsidRPr="00110EF1" w:rsidRDefault="00576B5B" w:rsidP="00110EF1">
      <w:pPr>
        <w:pStyle w:val="ListParagraph"/>
        <w:numPr>
          <w:ilvl w:val="0"/>
          <w:numId w:val="6"/>
        </w:numPr>
        <w:contextualSpacing w:val="0"/>
        <w:rPr>
          <w:szCs w:val="24"/>
        </w:rPr>
      </w:pPr>
      <w:r w:rsidRPr="00110EF1">
        <w:rPr>
          <w:szCs w:val="24"/>
        </w:rPr>
        <w:t xml:space="preserve">Can be implemented without </w:t>
      </w:r>
      <w:r w:rsidR="00DB6C75" w:rsidRPr="00110EF1">
        <w:rPr>
          <w:szCs w:val="24"/>
        </w:rPr>
        <w:t>significant</w:t>
      </w:r>
      <w:r w:rsidRPr="00110EF1">
        <w:rPr>
          <w:szCs w:val="24"/>
        </w:rPr>
        <w:t xml:space="preserve"> </w:t>
      </w:r>
      <w:r w:rsidR="00FB2F18" w:rsidRPr="00110EF1">
        <w:rPr>
          <w:szCs w:val="24"/>
        </w:rPr>
        <w:t xml:space="preserve">administrative reporting </w:t>
      </w:r>
      <w:r w:rsidRPr="00110EF1">
        <w:rPr>
          <w:szCs w:val="24"/>
        </w:rPr>
        <w:t>burden</w:t>
      </w:r>
      <w:r w:rsidR="00FB2F18" w:rsidRPr="00110EF1">
        <w:rPr>
          <w:szCs w:val="24"/>
        </w:rPr>
        <w:t xml:space="preserve"> on a school or a system</w:t>
      </w:r>
      <w:r w:rsidRPr="00110EF1">
        <w:rPr>
          <w:szCs w:val="24"/>
        </w:rPr>
        <w:t>.</w:t>
      </w:r>
    </w:p>
    <w:p w14:paraId="3242113A" w14:textId="77777777" w:rsidR="00576B5B" w:rsidRPr="00110EF1" w:rsidRDefault="00576B5B" w:rsidP="00110EF1">
      <w:pPr>
        <w:rPr>
          <w:b/>
          <w:szCs w:val="24"/>
        </w:rPr>
      </w:pPr>
      <w:r w:rsidRPr="00110EF1">
        <w:rPr>
          <w:rFonts w:cstheme="minorHAnsi"/>
          <w:b/>
          <w:szCs w:val="24"/>
        </w:rPr>
        <w:t>Transparent</w:t>
      </w:r>
      <w:r w:rsidRPr="00110EF1">
        <w:rPr>
          <w:b/>
          <w:szCs w:val="24"/>
        </w:rPr>
        <w:tab/>
      </w:r>
    </w:p>
    <w:p w14:paraId="2B9BBEE1" w14:textId="044721A8" w:rsidR="00576B5B" w:rsidRPr="00110EF1" w:rsidRDefault="00576B5B" w:rsidP="00110EF1">
      <w:pPr>
        <w:pStyle w:val="ListParagraph"/>
        <w:numPr>
          <w:ilvl w:val="0"/>
          <w:numId w:val="6"/>
        </w:numPr>
        <w:ind w:left="714" w:hanging="357"/>
        <w:rPr>
          <w:szCs w:val="24"/>
        </w:rPr>
      </w:pPr>
      <w:r w:rsidRPr="00110EF1">
        <w:rPr>
          <w:szCs w:val="24"/>
        </w:rPr>
        <w:t>C</w:t>
      </w:r>
      <w:r w:rsidR="000D6DD0" w:rsidRPr="00110EF1">
        <w:rPr>
          <w:szCs w:val="24"/>
        </w:rPr>
        <w:t>alculation of the measure and data used c</w:t>
      </w:r>
      <w:r w:rsidRPr="00110EF1">
        <w:rPr>
          <w:szCs w:val="24"/>
        </w:rPr>
        <w:t>an be clearly explained.</w:t>
      </w:r>
    </w:p>
    <w:p w14:paraId="10F68B4B" w14:textId="37E2D4E4" w:rsidR="00576B5B" w:rsidRPr="00110EF1" w:rsidRDefault="00576B5B" w:rsidP="00110EF1">
      <w:pPr>
        <w:pStyle w:val="ListParagraph"/>
        <w:numPr>
          <w:ilvl w:val="0"/>
          <w:numId w:val="6"/>
        </w:numPr>
        <w:contextualSpacing w:val="0"/>
        <w:rPr>
          <w:szCs w:val="24"/>
        </w:rPr>
      </w:pPr>
      <w:r w:rsidRPr="00110EF1">
        <w:rPr>
          <w:szCs w:val="24"/>
        </w:rPr>
        <w:t xml:space="preserve">Can be formulated through </w:t>
      </w:r>
      <w:r w:rsidR="000D6DD0" w:rsidRPr="00110EF1">
        <w:rPr>
          <w:szCs w:val="24"/>
        </w:rPr>
        <w:t xml:space="preserve">independent, </w:t>
      </w:r>
      <w:r w:rsidRPr="00110EF1">
        <w:rPr>
          <w:szCs w:val="24"/>
        </w:rPr>
        <w:t xml:space="preserve">established, </w:t>
      </w:r>
      <w:r w:rsidR="00DB6C75" w:rsidRPr="00110EF1">
        <w:rPr>
          <w:szCs w:val="24"/>
        </w:rPr>
        <w:t xml:space="preserve">high quality </w:t>
      </w:r>
      <w:r w:rsidRPr="00110EF1">
        <w:rPr>
          <w:szCs w:val="24"/>
        </w:rPr>
        <w:t>and trusted data.</w:t>
      </w:r>
    </w:p>
    <w:p w14:paraId="5D4A6FA5" w14:textId="77777777" w:rsidR="00576B5B" w:rsidRPr="00110EF1" w:rsidRDefault="00576B5B" w:rsidP="00110EF1">
      <w:pPr>
        <w:keepNext/>
        <w:rPr>
          <w:b/>
          <w:szCs w:val="24"/>
        </w:rPr>
      </w:pPr>
      <w:r w:rsidRPr="00110EF1">
        <w:rPr>
          <w:b/>
          <w:szCs w:val="24"/>
        </w:rPr>
        <w:t>Reliable</w:t>
      </w:r>
      <w:r w:rsidRPr="00110EF1">
        <w:rPr>
          <w:b/>
          <w:szCs w:val="24"/>
        </w:rPr>
        <w:tab/>
      </w:r>
    </w:p>
    <w:p w14:paraId="0BA9FE03" w14:textId="77777777" w:rsidR="00576B5B" w:rsidRPr="00110EF1" w:rsidRDefault="00576B5B" w:rsidP="00110EF1">
      <w:pPr>
        <w:pStyle w:val="ListParagraph"/>
        <w:numPr>
          <w:ilvl w:val="0"/>
          <w:numId w:val="6"/>
        </w:numPr>
        <w:ind w:left="714" w:hanging="357"/>
        <w:rPr>
          <w:szCs w:val="24"/>
        </w:rPr>
      </w:pPr>
      <w:r w:rsidRPr="00110EF1">
        <w:rPr>
          <w:szCs w:val="24"/>
        </w:rPr>
        <w:t xml:space="preserve">Recognised by the public as robust, up-to-date and reliable. </w:t>
      </w:r>
    </w:p>
    <w:p w14:paraId="1382703D" w14:textId="77777777" w:rsidR="00576B5B" w:rsidRPr="00110EF1" w:rsidRDefault="00576B5B" w:rsidP="00110EF1">
      <w:pPr>
        <w:pStyle w:val="ListParagraph"/>
        <w:numPr>
          <w:ilvl w:val="0"/>
          <w:numId w:val="6"/>
        </w:numPr>
        <w:ind w:left="714" w:hanging="357"/>
        <w:rPr>
          <w:szCs w:val="24"/>
        </w:rPr>
      </w:pPr>
      <w:r w:rsidRPr="00110EF1">
        <w:rPr>
          <w:szCs w:val="24"/>
        </w:rPr>
        <w:t xml:space="preserve">Is sufficiently responsive to account for economic and demographic change over time. </w:t>
      </w:r>
    </w:p>
    <w:p w14:paraId="77CC7343" w14:textId="5F6C66DE" w:rsidR="00576B5B" w:rsidRPr="00110EF1" w:rsidRDefault="00576B5B" w:rsidP="00110EF1">
      <w:pPr>
        <w:pStyle w:val="ListParagraph"/>
        <w:numPr>
          <w:ilvl w:val="0"/>
          <w:numId w:val="6"/>
        </w:numPr>
        <w:contextualSpacing w:val="0"/>
        <w:rPr>
          <w:szCs w:val="24"/>
        </w:rPr>
      </w:pPr>
      <w:r w:rsidRPr="00110EF1">
        <w:rPr>
          <w:szCs w:val="24"/>
        </w:rPr>
        <w:t>Provides stability and certainty as a measure for a defined time period.</w:t>
      </w:r>
    </w:p>
    <w:p w14:paraId="27FCB766" w14:textId="5472E0FB" w:rsidR="005B7D44" w:rsidRPr="00306352" w:rsidRDefault="005B7D44" w:rsidP="00D54142">
      <w:pPr>
        <w:pStyle w:val="Heading1"/>
        <w:keepNext/>
        <w:spacing w:before="240" w:after="120"/>
        <w:rPr>
          <w:rFonts w:asciiTheme="minorHAnsi" w:hAnsiTheme="minorHAnsi" w:cstheme="minorHAnsi"/>
          <w:sz w:val="36"/>
          <w:szCs w:val="36"/>
        </w:rPr>
      </w:pPr>
      <w:r w:rsidRPr="00306352">
        <w:rPr>
          <w:rFonts w:asciiTheme="minorHAnsi" w:hAnsiTheme="minorHAnsi" w:cstheme="minorHAnsi"/>
          <w:sz w:val="36"/>
          <w:szCs w:val="36"/>
        </w:rPr>
        <w:lastRenderedPageBreak/>
        <w:t>Submissions</w:t>
      </w:r>
    </w:p>
    <w:p w14:paraId="25149355" w14:textId="17BEBBFB" w:rsidR="005B7D44" w:rsidRPr="00306352" w:rsidRDefault="005B7D44" w:rsidP="00042DDF">
      <w:pPr>
        <w:rPr>
          <w:szCs w:val="24"/>
        </w:rPr>
      </w:pPr>
      <w:r w:rsidRPr="00306352">
        <w:rPr>
          <w:szCs w:val="24"/>
        </w:rPr>
        <w:t xml:space="preserve">The </w:t>
      </w:r>
      <w:r w:rsidR="00740D3F" w:rsidRPr="00306352">
        <w:rPr>
          <w:szCs w:val="24"/>
        </w:rPr>
        <w:t>Board</w:t>
      </w:r>
      <w:r w:rsidRPr="00306352">
        <w:rPr>
          <w:szCs w:val="24"/>
        </w:rPr>
        <w:t xml:space="preserve"> is </w:t>
      </w:r>
      <w:r w:rsidR="00A20F86" w:rsidRPr="00306352">
        <w:rPr>
          <w:szCs w:val="24"/>
        </w:rPr>
        <w:t>c</w:t>
      </w:r>
      <w:r w:rsidRPr="00306352">
        <w:rPr>
          <w:szCs w:val="24"/>
        </w:rPr>
        <w:t xml:space="preserve">alling for </w:t>
      </w:r>
      <w:r w:rsidR="00A20F86" w:rsidRPr="00306352">
        <w:rPr>
          <w:szCs w:val="24"/>
        </w:rPr>
        <w:t>written s</w:t>
      </w:r>
      <w:r w:rsidRPr="00306352">
        <w:rPr>
          <w:szCs w:val="24"/>
        </w:rPr>
        <w:t xml:space="preserve">ubmissions </w:t>
      </w:r>
      <w:r w:rsidR="00EA5F9B" w:rsidRPr="00306352">
        <w:rPr>
          <w:szCs w:val="24"/>
        </w:rPr>
        <w:t xml:space="preserve">to inform their consideration of the SES score </w:t>
      </w:r>
      <w:r w:rsidR="00EA5F9B" w:rsidRPr="00306352">
        <w:rPr>
          <w:rFonts w:cstheme="minorHAnsi"/>
          <w:szCs w:val="24"/>
        </w:rPr>
        <w:t>methodology</w:t>
      </w:r>
      <w:r w:rsidR="00EA5F9B" w:rsidRPr="00306352">
        <w:rPr>
          <w:szCs w:val="24"/>
        </w:rPr>
        <w:t xml:space="preserve"> </w:t>
      </w:r>
      <w:r w:rsidR="002C125E" w:rsidRPr="00306352">
        <w:rPr>
          <w:szCs w:val="24"/>
        </w:rPr>
        <w:t xml:space="preserve">and </w:t>
      </w:r>
      <w:r w:rsidR="00711638" w:rsidRPr="00306352">
        <w:rPr>
          <w:szCs w:val="24"/>
        </w:rPr>
        <w:t xml:space="preserve">seeks comments on </w:t>
      </w:r>
      <w:r w:rsidR="00EA5F9B" w:rsidRPr="00306352">
        <w:rPr>
          <w:szCs w:val="24"/>
        </w:rPr>
        <w:t>issues and concerns</w:t>
      </w:r>
      <w:r w:rsidR="005D30FC" w:rsidRPr="00306352">
        <w:rPr>
          <w:szCs w:val="24"/>
        </w:rPr>
        <w:t>,</w:t>
      </w:r>
      <w:r w:rsidR="00EA5F9B" w:rsidRPr="00306352">
        <w:rPr>
          <w:szCs w:val="24"/>
        </w:rPr>
        <w:t xml:space="preserve"> and potential alternatives or improvements</w:t>
      </w:r>
      <w:r w:rsidR="005D30FC" w:rsidRPr="00306352">
        <w:rPr>
          <w:szCs w:val="24"/>
        </w:rPr>
        <w:t>,</w:t>
      </w:r>
      <w:r w:rsidR="00B53DF9">
        <w:rPr>
          <w:szCs w:val="24"/>
        </w:rPr>
        <w:t xml:space="preserve"> </w:t>
      </w:r>
      <w:r w:rsidR="00EA5F9B" w:rsidRPr="00306352">
        <w:rPr>
          <w:szCs w:val="24"/>
        </w:rPr>
        <w:t>to the</w:t>
      </w:r>
      <w:r w:rsidR="005D30FC" w:rsidRPr="00306352">
        <w:rPr>
          <w:szCs w:val="24"/>
        </w:rPr>
        <w:t xml:space="preserve"> ‘</w:t>
      </w:r>
      <w:r w:rsidR="00EA5F9B" w:rsidRPr="00306352">
        <w:rPr>
          <w:szCs w:val="24"/>
        </w:rPr>
        <w:t>capacity to contribute</w:t>
      </w:r>
      <w:r w:rsidR="005D30FC" w:rsidRPr="00306352">
        <w:rPr>
          <w:szCs w:val="24"/>
        </w:rPr>
        <w:t>’</w:t>
      </w:r>
      <w:r w:rsidR="00EA5F9B" w:rsidRPr="00306352">
        <w:rPr>
          <w:szCs w:val="24"/>
        </w:rPr>
        <w:t xml:space="preserve"> assessment. </w:t>
      </w:r>
    </w:p>
    <w:p w14:paraId="2164DE1A" w14:textId="77777777" w:rsidR="005B7D44" w:rsidRPr="00306352" w:rsidRDefault="005B7D44" w:rsidP="00042DDF">
      <w:pPr>
        <w:rPr>
          <w:szCs w:val="24"/>
        </w:rPr>
      </w:pPr>
      <w:r w:rsidRPr="00306352">
        <w:rPr>
          <w:szCs w:val="24"/>
        </w:rPr>
        <w:t xml:space="preserve">The submission process is open to all interested parties. The </w:t>
      </w:r>
      <w:r w:rsidR="00740D3F" w:rsidRPr="00306352">
        <w:rPr>
          <w:szCs w:val="24"/>
        </w:rPr>
        <w:t>Board</w:t>
      </w:r>
      <w:r w:rsidRPr="00306352">
        <w:rPr>
          <w:szCs w:val="24"/>
        </w:rPr>
        <w:t xml:space="preserve"> invites you to put </w:t>
      </w:r>
      <w:r w:rsidRPr="00306352">
        <w:rPr>
          <w:rFonts w:cstheme="minorHAnsi"/>
          <w:szCs w:val="24"/>
        </w:rPr>
        <w:t>forward</w:t>
      </w:r>
      <w:r w:rsidRPr="00306352">
        <w:rPr>
          <w:szCs w:val="24"/>
        </w:rPr>
        <w:t xml:space="preserve"> your ideas and provide the evidence and insights that underpin them. </w:t>
      </w:r>
    </w:p>
    <w:p w14:paraId="35A94418" w14:textId="3B9C20B2" w:rsidR="000525A7" w:rsidRPr="00306352" w:rsidRDefault="005B7D44" w:rsidP="00042DDF">
      <w:pPr>
        <w:rPr>
          <w:szCs w:val="24"/>
        </w:rPr>
      </w:pPr>
      <w:r w:rsidRPr="00306352">
        <w:rPr>
          <w:szCs w:val="24"/>
        </w:rPr>
        <w:t>Th</w:t>
      </w:r>
      <w:r w:rsidR="00860875" w:rsidRPr="00306352">
        <w:rPr>
          <w:szCs w:val="24"/>
        </w:rPr>
        <w:t xml:space="preserve">is issues paper </w:t>
      </w:r>
      <w:r w:rsidR="00B97F87" w:rsidRPr="00306352">
        <w:rPr>
          <w:szCs w:val="24"/>
        </w:rPr>
        <w:t xml:space="preserve">is focussed on </w:t>
      </w:r>
      <w:r w:rsidR="005D30FC" w:rsidRPr="00306352">
        <w:rPr>
          <w:szCs w:val="24"/>
        </w:rPr>
        <w:t>three</w:t>
      </w:r>
      <w:r w:rsidRPr="00306352">
        <w:rPr>
          <w:szCs w:val="24"/>
        </w:rPr>
        <w:t xml:space="preserve"> </w:t>
      </w:r>
      <w:r w:rsidR="00860875" w:rsidRPr="00306352">
        <w:rPr>
          <w:szCs w:val="24"/>
        </w:rPr>
        <w:t xml:space="preserve">key </w:t>
      </w:r>
      <w:r w:rsidRPr="00306352">
        <w:rPr>
          <w:szCs w:val="24"/>
        </w:rPr>
        <w:t>questions</w:t>
      </w:r>
      <w:r w:rsidR="00A44B4E" w:rsidRPr="00306352">
        <w:rPr>
          <w:szCs w:val="24"/>
        </w:rPr>
        <w:t xml:space="preserve">. </w:t>
      </w:r>
      <w:r w:rsidR="00400100" w:rsidRPr="00306352">
        <w:rPr>
          <w:szCs w:val="24"/>
        </w:rPr>
        <w:t>S</w:t>
      </w:r>
      <w:r w:rsidR="00A44B4E" w:rsidRPr="00306352">
        <w:rPr>
          <w:szCs w:val="24"/>
        </w:rPr>
        <w:t>ubmissions are not l</w:t>
      </w:r>
      <w:r w:rsidR="00400100" w:rsidRPr="00306352">
        <w:rPr>
          <w:szCs w:val="24"/>
        </w:rPr>
        <w:t>imited to these questions alone</w:t>
      </w:r>
      <w:r w:rsidR="008C2C57">
        <w:rPr>
          <w:szCs w:val="24"/>
        </w:rPr>
        <w:t xml:space="preserve"> and may address any issue relating to the appropriateness of the current SES </w:t>
      </w:r>
      <w:r w:rsidR="00B53DF9">
        <w:rPr>
          <w:szCs w:val="24"/>
        </w:rPr>
        <w:t xml:space="preserve">score </w:t>
      </w:r>
      <w:r w:rsidR="008C2C57">
        <w:rPr>
          <w:szCs w:val="24"/>
        </w:rPr>
        <w:t>methodology and any suggested alternatives</w:t>
      </w:r>
      <w:r w:rsidR="005D30FC" w:rsidRPr="00306352">
        <w:rPr>
          <w:szCs w:val="24"/>
        </w:rPr>
        <w:t>.</w:t>
      </w:r>
      <w:r w:rsidR="00400100" w:rsidRPr="00306352">
        <w:rPr>
          <w:szCs w:val="24"/>
        </w:rPr>
        <w:t xml:space="preserve"> </w:t>
      </w:r>
    </w:p>
    <w:p w14:paraId="39A60C7C" w14:textId="77777777" w:rsidR="00EB5605" w:rsidRPr="00306352" w:rsidRDefault="005B7D44" w:rsidP="002C125E">
      <w:pPr>
        <w:pStyle w:val="Heading1"/>
        <w:spacing w:before="240" w:after="120"/>
        <w:rPr>
          <w:rFonts w:asciiTheme="minorHAnsi" w:hAnsiTheme="minorHAnsi" w:cstheme="minorHAnsi"/>
          <w:sz w:val="36"/>
          <w:szCs w:val="36"/>
        </w:rPr>
      </w:pPr>
      <w:r w:rsidRPr="00306352">
        <w:rPr>
          <w:rFonts w:asciiTheme="minorHAnsi" w:hAnsiTheme="minorHAnsi" w:cstheme="minorHAnsi"/>
          <w:sz w:val="36"/>
          <w:szCs w:val="36"/>
        </w:rPr>
        <w:t xml:space="preserve">Submission questions </w:t>
      </w:r>
    </w:p>
    <w:p w14:paraId="629E8404" w14:textId="6C5D1F33" w:rsidR="008C1ECF" w:rsidRPr="00BB785B" w:rsidRDefault="00371D52" w:rsidP="00042DDF">
      <w:pPr>
        <w:pStyle w:val="ListParagraph"/>
        <w:numPr>
          <w:ilvl w:val="0"/>
          <w:numId w:val="4"/>
        </w:numPr>
        <w:ind w:left="357" w:hanging="357"/>
        <w:contextualSpacing w:val="0"/>
        <w:rPr>
          <w:szCs w:val="24"/>
        </w:rPr>
      </w:pPr>
      <w:r w:rsidRPr="00BB785B">
        <w:rPr>
          <w:szCs w:val="24"/>
        </w:rPr>
        <w:t>What are the strengths</w:t>
      </w:r>
      <w:r w:rsidR="000430CF" w:rsidRPr="00BB785B">
        <w:rPr>
          <w:szCs w:val="24"/>
        </w:rPr>
        <w:t xml:space="preserve"> and </w:t>
      </w:r>
      <w:r w:rsidRPr="00BB785B">
        <w:rPr>
          <w:szCs w:val="24"/>
        </w:rPr>
        <w:t>limitations</w:t>
      </w:r>
      <w:r w:rsidR="00981BD9" w:rsidRPr="00BB785B">
        <w:rPr>
          <w:szCs w:val="24"/>
        </w:rPr>
        <w:t xml:space="preserve"> </w:t>
      </w:r>
      <w:r w:rsidR="00306352" w:rsidRPr="00BB785B">
        <w:rPr>
          <w:szCs w:val="24"/>
        </w:rPr>
        <w:t>of the current SES methodology</w:t>
      </w:r>
      <w:r w:rsidRPr="00BB785B">
        <w:rPr>
          <w:szCs w:val="24"/>
        </w:rPr>
        <w:t xml:space="preserve"> </w:t>
      </w:r>
      <w:r w:rsidR="000430CF" w:rsidRPr="00BB785B">
        <w:rPr>
          <w:szCs w:val="24"/>
        </w:rPr>
        <w:t xml:space="preserve">that is </w:t>
      </w:r>
      <w:r w:rsidRPr="00BB785B">
        <w:rPr>
          <w:szCs w:val="24"/>
        </w:rPr>
        <w:t xml:space="preserve">used to determine the capacity of a school community </w:t>
      </w:r>
      <w:r w:rsidR="00981BD9" w:rsidRPr="00BB785B">
        <w:rPr>
          <w:szCs w:val="24"/>
        </w:rPr>
        <w:t xml:space="preserve">(school, family, parent) </w:t>
      </w:r>
      <w:r w:rsidRPr="00BB785B">
        <w:rPr>
          <w:szCs w:val="24"/>
        </w:rPr>
        <w:t xml:space="preserve">to contribute to the recurrent costs of the school? </w:t>
      </w:r>
      <w:r w:rsidR="000430CF" w:rsidRPr="00BB785B">
        <w:rPr>
          <w:szCs w:val="24"/>
        </w:rPr>
        <w:t>Please provide any supporting evidence.</w:t>
      </w:r>
    </w:p>
    <w:p w14:paraId="44ABADD5" w14:textId="598717D2" w:rsidR="00371D52" w:rsidRDefault="00371D52" w:rsidP="00042DDF">
      <w:pPr>
        <w:pStyle w:val="ListParagraph"/>
        <w:numPr>
          <w:ilvl w:val="0"/>
          <w:numId w:val="4"/>
        </w:numPr>
        <w:ind w:left="357" w:hanging="357"/>
        <w:contextualSpacing w:val="0"/>
        <w:rPr>
          <w:szCs w:val="24"/>
        </w:rPr>
      </w:pPr>
      <w:r w:rsidRPr="00BB785B">
        <w:rPr>
          <w:szCs w:val="24"/>
        </w:rPr>
        <w:t>What refinements or alternative methodologies could be considered to improve on the current SES measure</w:t>
      </w:r>
      <w:r w:rsidR="003B0F3F">
        <w:rPr>
          <w:szCs w:val="24"/>
        </w:rPr>
        <w:t>, including</w:t>
      </w:r>
      <w:r w:rsidR="000430CF" w:rsidRPr="00BB785B">
        <w:rPr>
          <w:szCs w:val="24"/>
        </w:rPr>
        <w:t xml:space="preserve"> </w:t>
      </w:r>
      <w:r w:rsidR="003B0F3F">
        <w:rPr>
          <w:szCs w:val="24"/>
        </w:rPr>
        <w:t>how</w:t>
      </w:r>
      <w:r w:rsidRPr="00BB785B">
        <w:rPr>
          <w:szCs w:val="24"/>
        </w:rPr>
        <w:t xml:space="preserve"> frequently should measures be updated? </w:t>
      </w:r>
    </w:p>
    <w:p w14:paraId="62FBABE4" w14:textId="14C525DA" w:rsidR="003B0F3F" w:rsidRPr="005E64FA" w:rsidRDefault="003B0F3F">
      <w:pPr>
        <w:pStyle w:val="ListParagraph"/>
        <w:numPr>
          <w:ilvl w:val="0"/>
          <w:numId w:val="4"/>
        </w:numPr>
        <w:ind w:left="357" w:hanging="357"/>
        <w:contextualSpacing w:val="0"/>
        <w:rPr>
          <w:szCs w:val="24"/>
        </w:rPr>
      </w:pPr>
      <w:r w:rsidRPr="00BB785B">
        <w:rPr>
          <w:szCs w:val="24"/>
        </w:rPr>
        <w:t>Are the guiding principles appropriate to assess alternative approaches</w:t>
      </w:r>
      <w:r w:rsidR="005E64FA">
        <w:rPr>
          <w:szCs w:val="24"/>
        </w:rPr>
        <w:t xml:space="preserve"> or a</w:t>
      </w:r>
      <w:r w:rsidRPr="00BB785B">
        <w:rPr>
          <w:szCs w:val="24"/>
        </w:rPr>
        <w:t>re there other principles that should be considered?</w:t>
      </w:r>
    </w:p>
    <w:bookmarkEnd w:id="1"/>
    <w:p w14:paraId="7A804AB6" w14:textId="4F497EF8" w:rsidR="004150C5" w:rsidRPr="00306352" w:rsidRDefault="004150C5" w:rsidP="002C125E">
      <w:pPr>
        <w:pStyle w:val="Heading1"/>
        <w:spacing w:before="240" w:after="120"/>
        <w:rPr>
          <w:rFonts w:asciiTheme="minorHAnsi" w:hAnsiTheme="minorHAnsi" w:cstheme="minorHAnsi"/>
          <w:sz w:val="36"/>
          <w:szCs w:val="36"/>
        </w:rPr>
      </w:pPr>
      <w:r w:rsidRPr="00306352">
        <w:rPr>
          <w:rFonts w:asciiTheme="minorHAnsi" w:hAnsiTheme="minorHAnsi" w:cstheme="minorHAnsi"/>
          <w:sz w:val="36"/>
          <w:szCs w:val="36"/>
        </w:rPr>
        <w:t>Making a submission</w:t>
      </w:r>
    </w:p>
    <w:p w14:paraId="26BF1B22" w14:textId="77777777" w:rsidR="00846C22" w:rsidRPr="00DB6C75" w:rsidRDefault="00846C22" w:rsidP="00042DDF">
      <w:pPr>
        <w:rPr>
          <w:rFonts w:cstheme="minorHAnsi"/>
          <w:szCs w:val="24"/>
        </w:rPr>
      </w:pPr>
      <w:r w:rsidRPr="00DB6C75">
        <w:rPr>
          <w:rFonts w:cstheme="minorHAnsi"/>
          <w:szCs w:val="24"/>
        </w:rPr>
        <w:t>Submissions are to be made through an online form.</w:t>
      </w:r>
      <w:r w:rsidR="006B4D86" w:rsidRPr="00DB6C75">
        <w:rPr>
          <w:rFonts w:cstheme="minorHAnsi"/>
          <w:szCs w:val="24"/>
        </w:rPr>
        <w:t xml:space="preserve"> </w:t>
      </w:r>
      <w:r w:rsidRPr="00DB6C75">
        <w:rPr>
          <w:rFonts w:cstheme="minorHAnsi"/>
          <w:szCs w:val="24"/>
        </w:rPr>
        <w:t xml:space="preserve">Each submission is limited to </w:t>
      </w:r>
      <w:r w:rsidR="00077705" w:rsidRPr="00DB6C75">
        <w:rPr>
          <w:rFonts w:cstheme="minorHAnsi"/>
          <w:szCs w:val="24"/>
        </w:rPr>
        <w:t>3300</w:t>
      </w:r>
      <w:r w:rsidR="00EA4FE7" w:rsidRPr="00DB6C75">
        <w:rPr>
          <w:rFonts w:cstheme="minorHAnsi"/>
          <w:szCs w:val="24"/>
        </w:rPr>
        <w:t> </w:t>
      </w:r>
      <w:r w:rsidRPr="00DB6C75">
        <w:rPr>
          <w:rFonts w:cstheme="minorHAnsi"/>
          <w:szCs w:val="24"/>
        </w:rPr>
        <w:t>words</w:t>
      </w:r>
      <w:r w:rsidR="00EA4FE7" w:rsidRPr="00DB6C75">
        <w:rPr>
          <w:rFonts w:cstheme="minorHAnsi"/>
          <w:szCs w:val="24"/>
        </w:rPr>
        <w:t xml:space="preserve"> and should include a </w:t>
      </w:r>
      <w:r w:rsidRPr="00DB6C75">
        <w:rPr>
          <w:rFonts w:cstheme="minorHAnsi"/>
          <w:szCs w:val="24"/>
        </w:rPr>
        <w:t xml:space="preserve">summary </w:t>
      </w:r>
      <w:r w:rsidR="00735EB4" w:rsidRPr="00DB6C75">
        <w:rPr>
          <w:rFonts w:cstheme="minorHAnsi"/>
          <w:szCs w:val="24"/>
        </w:rPr>
        <w:t xml:space="preserve">(up to 300 words) </w:t>
      </w:r>
      <w:r w:rsidRPr="00DB6C75">
        <w:rPr>
          <w:rFonts w:cstheme="minorHAnsi"/>
          <w:szCs w:val="24"/>
        </w:rPr>
        <w:t>of the key points of your submission.</w:t>
      </w:r>
    </w:p>
    <w:p w14:paraId="0C80BA4D" w14:textId="1FC8C2A7" w:rsidR="00F04307" w:rsidRPr="00080845" w:rsidRDefault="00846C22" w:rsidP="00042DDF">
      <w:pPr>
        <w:rPr>
          <w:rFonts w:cstheme="minorHAnsi"/>
          <w:szCs w:val="24"/>
        </w:rPr>
      </w:pPr>
      <w:r w:rsidRPr="00DB6C75">
        <w:rPr>
          <w:rFonts w:cstheme="minorHAnsi"/>
          <w:szCs w:val="24"/>
        </w:rPr>
        <w:t xml:space="preserve">To find out how to lodge your submission, and for more information on the review and the board, please visit </w:t>
      </w:r>
      <w:hyperlink r:id="rId25" w:tooltip="web link to national school resourcing board home page" w:history="1">
        <w:r w:rsidR="00077705" w:rsidRPr="00080845">
          <w:t>www.education.gov.au/national-school-resourcing-board</w:t>
        </w:r>
      </w:hyperlink>
      <w:r w:rsidR="00F04307" w:rsidRPr="00DB6C75">
        <w:rPr>
          <w:rFonts w:cstheme="minorHAnsi"/>
          <w:szCs w:val="24"/>
        </w:rPr>
        <w:t>.</w:t>
      </w:r>
    </w:p>
    <w:p w14:paraId="23554A84" w14:textId="0AD4539A" w:rsidR="004834BB" w:rsidRPr="009D1D0A" w:rsidRDefault="00F04307" w:rsidP="00080845">
      <w:pPr>
        <w:rPr>
          <w:rFonts w:cstheme="minorHAnsi"/>
          <w:szCs w:val="24"/>
        </w:rPr>
      </w:pPr>
      <w:r w:rsidRPr="009D1D0A">
        <w:rPr>
          <w:rFonts w:cstheme="minorHAnsi"/>
          <w:szCs w:val="24"/>
        </w:rPr>
        <w:t xml:space="preserve">Please note that the Australian Government Department of Education and Training will not treat a submission as confidential unless </w:t>
      </w:r>
      <w:r w:rsidR="00850650" w:rsidRPr="009D1D0A">
        <w:rPr>
          <w:rFonts w:cstheme="minorHAnsi"/>
          <w:szCs w:val="24"/>
        </w:rPr>
        <w:t xml:space="preserve">it is </w:t>
      </w:r>
      <w:r w:rsidRPr="009D1D0A">
        <w:rPr>
          <w:rFonts w:cstheme="minorHAnsi"/>
          <w:szCs w:val="24"/>
        </w:rPr>
        <w:t xml:space="preserve">specifically requested that the whole submission, or part of the submission, be treated as such. </w:t>
      </w:r>
      <w:r w:rsidR="004834BB" w:rsidRPr="009D1D0A">
        <w:rPr>
          <w:rFonts w:cstheme="minorHAnsi"/>
          <w:szCs w:val="24"/>
        </w:rPr>
        <w:t>Publication of submissions</w:t>
      </w:r>
      <w:r w:rsidR="003836E0" w:rsidRPr="009D1D0A">
        <w:rPr>
          <w:rFonts w:cstheme="minorHAnsi"/>
          <w:szCs w:val="24"/>
        </w:rPr>
        <w:t xml:space="preserve"> in whole or in part</w:t>
      </w:r>
      <w:r w:rsidR="004834BB" w:rsidRPr="009D1D0A">
        <w:rPr>
          <w:rFonts w:cstheme="minorHAnsi"/>
          <w:szCs w:val="24"/>
        </w:rPr>
        <w:t xml:space="preserve"> will be subject to Board approval. </w:t>
      </w:r>
    </w:p>
    <w:p w14:paraId="2CCE5B68" w14:textId="68ACC811" w:rsidR="006B4D86" w:rsidRPr="00080845" w:rsidRDefault="00F04307" w:rsidP="00080845">
      <w:pPr>
        <w:rPr>
          <w:rFonts w:cstheme="minorHAnsi"/>
          <w:b/>
          <w:szCs w:val="24"/>
        </w:rPr>
      </w:pPr>
      <w:r w:rsidRPr="0021232C">
        <w:rPr>
          <w:rFonts w:cstheme="minorHAnsi"/>
          <w:szCs w:val="24"/>
        </w:rPr>
        <w:t>Submissions will close at 5.00 pm (AEST) on</w:t>
      </w:r>
      <w:r w:rsidRPr="00080845">
        <w:rPr>
          <w:rFonts w:cstheme="minorHAnsi"/>
          <w:b/>
          <w:szCs w:val="24"/>
        </w:rPr>
        <w:t xml:space="preserve"> </w:t>
      </w:r>
      <w:r w:rsidR="004F60F1" w:rsidRPr="00080845">
        <w:rPr>
          <w:rFonts w:cstheme="minorHAnsi"/>
          <w:b/>
          <w:szCs w:val="24"/>
        </w:rPr>
        <w:t>Tuesday 20</w:t>
      </w:r>
      <w:r w:rsidR="008D6BC5" w:rsidRPr="00080845">
        <w:rPr>
          <w:rFonts w:cstheme="minorHAnsi"/>
          <w:b/>
          <w:szCs w:val="24"/>
        </w:rPr>
        <w:t xml:space="preserve"> February </w:t>
      </w:r>
      <w:r w:rsidRPr="00080845">
        <w:rPr>
          <w:rFonts w:cstheme="minorHAnsi"/>
          <w:b/>
          <w:szCs w:val="24"/>
        </w:rPr>
        <w:t>2018</w:t>
      </w:r>
      <w:r w:rsidR="004A0D73" w:rsidRPr="00080845">
        <w:rPr>
          <w:rFonts w:cstheme="minorHAnsi"/>
          <w:b/>
          <w:szCs w:val="24"/>
        </w:rPr>
        <w:t xml:space="preserve">. </w:t>
      </w:r>
    </w:p>
    <w:p w14:paraId="039576E8" w14:textId="08ADC1E3" w:rsidR="0070213F" w:rsidRPr="0021232C" w:rsidRDefault="006B4D86" w:rsidP="00080845">
      <w:r w:rsidRPr="009D1D0A">
        <w:rPr>
          <w:rFonts w:cstheme="minorHAnsi"/>
          <w:szCs w:val="24"/>
        </w:rPr>
        <w:t xml:space="preserve">This consultation paper </w:t>
      </w:r>
      <w:r w:rsidR="00042DDF" w:rsidRPr="009D1D0A">
        <w:rPr>
          <w:rFonts w:cstheme="minorHAnsi"/>
          <w:szCs w:val="24"/>
        </w:rPr>
        <w:t xml:space="preserve">and the Victoria University report </w:t>
      </w:r>
      <w:r w:rsidRPr="009D1D0A">
        <w:rPr>
          <w:rFonts w:cstheme="minorHAnsi"/>
          <w:szCs w:val="24"/>
        </w:rPr>
        <w:t xml:space="preserve">can be viewed at </w:t>
      </w:r>
      <w:hyperlink r:id="rId26" w:tooltip="web link to national school resourcing board home page" w:history="1">
        <w:r w:rsidR="00077705" w:rsidRPr="00080845">
          <w:t>www.education.gov.au/national-school-resourcing-board</w:t>
        </w:r>
      </w:hyperlink>
      <w:r w:rsidRPr="009D1D0A">
        <w:rPr>
          <w:rFonts w:cstheme="minorHAnsi"/>
          <w:szCs w:val="24"/>
        </w:rPr>
        <w:t>.</w:t>
      </w:r>
      <w:r w:rsidRPr="00DB6C75">
        <w:rPr>
          <w:rFonts w:cstheme="minorHAnsi"/>
          <w:szCs w:val="24"/>
        </w:rPr>
        <w:t xml:space="preserve">  </w:t>
      </w:r>
    </w:p>
    <w:sectPr w:rsidR="0070213F" w:rsidRPr="0021232C" w:rsidSect="00E119EB">
      <w:headerReference w:type="default" r:id="rId27"/>
      <w:footerReference w:type="even" r:id="rId28"/>
      <w:footerReference w:type="default" r:id="rId29"/>
      <w:type w:val="continuous"/>
      <w:pgSz w:w="11906" w:h="16838"/>
      <w:pgMar w:top="1418" w:right="1418" w:bottom="1134" w:left="1418" w:header="454" w:footer="321"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79136" w14:textId="77777777" w:rsidR="00445D88" w:rsidRDefault="00445D88" w:rsidP="00130923">
      <w:pPr>
        <w:spacing w:after="0"/>
      </w:pPr>
      <w:r>
        <w:separator/>
      </w:r>
    </w:p>
  </w:endnote>
  <w:endnote w:type="continuationSeparator" w:id="0">
    <w:p w14:paraId="6CCA5985" w14:textId="77777777" w:rsidR="00445D88" w:rsidRDefault="00445D88" w:rsidP="00130923">
      <w:pPr>
        <w:spacing w:after="0"/>
      </w:pPr>
      <w:r>
        <w:continuationSeparator/>
      </w:r>
    </w:p>
  </w:endnote>
  <w:endnote w:type="continuationNotice" w:id="1">
    <w:p w14:paraId="0F3F5439" w14:textId="77777777" w:rsidR="00445D88" w:rsidRDefault="00445D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B895D" w14:textId="77777777" w:rsidR="00F81E8E" w:rsidRDefault="00F81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1BD22" w14:textId="77777777" w:rsidR="00A20F86" w:rsidRDefault="00A20F86" w:rsidP="003242B9">
    <w:pPr>
      <w:pStyle w:val="Footer"/>
      <w:jc w:val="right"/>
    </w:pPr>
    <w:r w:rsidRPr="00681479">
      <w:rPr>
        <w:noProof/>
        <w:lang w:eastAsia="en-AU"/>
      </w:rPr>
      <w:drawing>
        <wp:anchor distT="0" distB="0" distL="114300" distR="114300" simplePos="0" relativeHeight="251656704" behindDoc="1" locked="0" layoutInCell="1" allowOverlap="1" wp14:anchorId="20FBB6CC" wp14:editId="1369BA48">
          <wp:simplePos x="0" y="0"/>
          <wp:positionH relativeFrom="page">
            <wp:posOffset>12700</wp:posOffset>
          </wp:positionH>
          <wp:positionV relativeFrom="page">
            <wp:align>bottom</wp:align>
          </wp:positionV>
          <wp:extent cx="7603210" cy="922809"/>
          <wp:effectExtent l="0" t="0" r="0" b="0"/>
          <wp:wrapNone/>
          <wp:docPr id="144" name="Picture 144" descr="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69EC9" w14:textId="77777777" w:rsidR="00F81E8E" w:rsidRDefault="00F81E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D34BD" w14:textId="77777777" w:rsidR="00A20F86" w:rsidRDefault="00A20F86" w:rsidP="00C67C3F">
    <w:pPr>
      <w:pStyle w:val="Footer"/>
      <w:tabs>
        <w:tab w:val="clear" w:pos="9026"/>
        <w:tab w:val="right" w:pos="8364"/>
      </w:tabs>
    </w:pPr>
    <w:r>
      <w:tab/>
    </w:r>
    <w:r>
      <w:tab/>
    </w:r>
    <w:r>
      <w:fldChar w:fldCharType="begin"/>
    </w:r>
    <w:r>
      <w:instrText xml:space="preserve"> PAGE   \* MERGEFORMAT </w:instrText>
    </w:r>
    <w:r>
      <w:fldChar w:fldCharType="separate"/>
    </w:r>
    <w:r>
      <w:rPr>
        <w:noProof/>
      </w:rPr>
      <w:t>6</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01945466"/>
      <w:docPartObj>
        <w:docPartGallery w:val="Page Numbers (Bottom of Page)"/>
        <w:docPartUnique/>
      </w:docPartObj>
    </w:sdtPr>
    <w:sdtEndPr/>
    <w:sdtContent>
      <w:sdt>
        <w:sdtPr>
          <w:rPr>
            <w:sz w:val="22"/>
          </w:rPr>
          <w:id w:val="-1602717022"/>
          <w:docPartObj>
            <w:docPartGallery w:val="Page Numbers (Top of Page)"/>
            <w:docPartUnique/>
          </w:docPartObj>
        </w:sdtPr>
        <w:sdtEndPr/>
        <w:sdtContent>
          <w:p w14:paraId="0AE76586" w14:textId="5B7DE7B4" w:rsidR="00A20F86" w:rsidRPr="00850650" w:rsidRDefault="004D736E" w:rsidP="00850650">
            <w:pPr>
              <w:pStyle w:val="Footer"/>
              <w:spacing w:after="200"/>
              <w:jc w:val="right"/>
              <w:rPr>
                <w:bCs/>
                <w:sz w:val="22"/>
              </w:rPr>
            </w:pPr>
            <w:r w:rsidRPr="00850650">
              <w:rPr>
                <w:noProof/>
                <w:sz w:val="22"/>
                <w:lang w:eastAsia="en-AU"/>
              </w:rPr>
              <w:drawing>
                <wp:anchor distT="0" distB="0" distL="114300" distR="114300" simplePos="0" relativeHeight="251657728" behindDoc="1" locked="0" layoutInCell="1" allowOverlap="1" wp14:anchorId="29890976" wp14:editId="633097FE">
                  <wp:simplePos x="0" y="0"/>
                  <wp:positionH relativeFrom="page">
                    <wp:align>right</wp:align>
                  </wp:positionH>
                  <wp:positionV relativeFrom="page">
                    <wp:align>bottom</wp:align>
                  </wp:positionV>
                  <wp:extent cx="7562850" cy="952500"/>
                  <wp:effectExtent l="0" t="0" r="0" b="0"/>
                  <wp:wrapNone/>
                  <wp:docPr id="6" name="Picture 6" descr="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952500"/>
                          </a:xfrm>
                          <a:prstGeom prst="rect">
                            <a:avLst/>
                          </a:prstGeom>
                        </pic:spPr>
                      </pic:pic>
                    </a:graphicData>
                  </a:graphic>
                  <wp14:sizeRelH relativeFrom="page">
                    <wp14:pctWidth>0</wp14:pctWidth>
                  </wp14:sizeRelH>
                  <wp14:sizeRelV relativeFrom="page">
                    <wp14:pctHeight>0</wp14:pctHeight>
                  </wp14:sizeRelV>
                </wp:anchor>
              </w:drawing>
            </w:r>
            <w:r w:rsidRPr="00850650">
              <w:rPr>
                <w:sz w:val="22"/>
              </w:rPr>
              <w:t xml:space="preserve">Page </w:t>
            </w:r>
            <w:r w:rsidRPr="00850650">
              <w:rPr>
                <w:bCs/>
                <w:sz w:val="22"/>
              </w:rPr>
              <w:fldChar w:fldCharType="begin"/>
            </w:r>
            <w:r w:rsidRPr="00850650">
              <w:rPr>
                <w:bCs/>
                <w:sz w:val="22"/>
              </w:rPr>
              <w:instrText xml:space="preserve"> PAGE </w:instrText>
            </w:r>
            <w:r w:rsidRPr="00850650">
              <w:rPr>
                <w:bCs/>
                <w:sz w:val="22"/>
              </w:rPr>
              <w:fldChar w:fldCharType="separate"/>
            </w:r>
            <w:r w:rsidR="008D7AC1">
              <w:rPr>
                <w:bCs/>
                <w:noProof/>
                <w:sz w:val="22"/>
              </w:rPr>
              <w:t>6</w:t>
            </w:r>
            <w:r w:rsidRPr="00850650">
              <w:rPr>
                <w:bCs/>
                <w:sz w:val="22"/>
              </w:rPr>
              <w:fldChar w:fldCharType="end"/>
            </w:r>
            <w:r w:rsidRPr="00850650">
              <w:rPr>
                <w:sz w:val="22"/>
              </w:rPr>
              <w:t xml:space="preserve"> of </w:t>
            </w:r>
            <w:r w:rsidRPr="00850650">
              <w:rPr>
                <w:bCs/>
                <w:sz w:val="22"/>
              </w:rPr>
              <w:fldChar w:fldCharType="begin"/>
            </w:r>
            <w:r w:rsidRPr="00850650">
              <w:rPr>
                <w:bCs/>
                <w:sz w:val="22"/>
              </w:rPr>
              <w:instrText xml:space="preserve"> NUMPAGES  </w:instrText>
            </w:r>
            <w:r w:rsidRPr="00850650">
              <w:rPr>
                <w:bCs/>
                <w:sz w:val="22"/>
              </w:rPr>
              <w:fldChar w:fldCharType="separate"/>
            </w:r>
            <w:r w:rsidR="008D7AC1">
              <w:rPr>
                <w:bCs/>
                <w:noProof/>
                <w:sz w:val="22"/>
              </w:rPr>
              <w:t>6</w:t>
            </w:r>
            <w:r w:rsidRPr="00850650">
              <w:rPr>
                <w:bCs/>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EA7F8" w14:textId="77777777" w:rsidR="00445D88" w:rsidRDefault="00445D88" w:rsidP="00130923">
      <w:pPr>
        <w:spacing w:after="0"/>
      </w:pPr>
      <w:r>
        <w:separator/>
      </w:r>
    </w:p>
  </w:footnote>
  <w:footnote w:type="continuationSeparator" w:id="0">
    <w:p w14:paraId="420C6BD3" w14:textId="77777777" w:rsidR="00445D88" w:rsidRDefault="00445D88" w:rsidP="00130923">
      <w:pPr>
        <w:spacing w:after="0"/>
      </w:pPr>
      <w:r>
        <w:continuationSeparator/>
      </w:r>
    </w:p>
  </w:footnote>
  <w:footnote w:type="continuationNotice" w:id="1">
    <w:p w14:paraId="6FD92E50" w14:textId="77777777" w:rsidR="00445D88" w:rsidRDefault="00445D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EEA97" w14:textId="77777777" w:rsidR="00F81E8E" w:rsidRDefault="00F81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36928" w14:textId="0E5802EA" w:rsidR="00A20F86" w:rsidRPr="001C3C1B" w:rsidRDefault="00850650" w:rsidP="001C3C1B">
    <w:pPr>
      <w:pStyle w:val="Header"/>
    </w:pPr>
    <w:r w:rsidRPr="00E56320">
      <w:rPr>
        <w:rFonts w:cstheme="minorHAnsi"/>
        <w:noProof/>
        <w:szCs w:val="24"/>
        <w:lang w:eastAsia="en-AU"/>
      </w:rPr>
      <w:drawing>
        <wp:anchor distT="0" distB="0" distL="114300" distR="114300" simplePos="0" relativeHeight="251658752" behindDoc="0" locked="0" layoutInCell="1" allowOverlap="1" wp14:anchorId="274AEEF3" wp14:editId="5AD956FD">
          <wp:simplePos x="0" y="0"/>
          <wp:positionH relativeFrom="page">
            <wp:align>left</wp:align>
          </wp:positionH>
          <wp:positionV relativeFrom="paragraph">
            <wp:posOffset>-927100</wp:posOffset>
          </wp:positionV>
          <wp:extent cx="7595235" cy="1213485"/>
          <wp:effectExtent l="0" t="0" r="5715" b="5715"/>
          <wp:wrapSquare wrapText="bothSides"/>
          <wp:docPr id="143" name="Picture 143" descr="National School Resourcing Bo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130 - SCH - Pre-Budget announcement factsheets and social media tiles\ED17-0130 - SCH - Quality Schools, Quality Outcomes Factsheet Template\links\ED17-0130 - SCH -Quality Schools Template_Head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5235" cy="1213485"/>
                  </a:xfrm>
                  <a:prstGeom prst="rect">
                    <a:avLst/>
                  </a:prstGeom>
                  <a:noFill/>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3FD21" w14:textId="77777777" w:rsidR="00A20F86" w:rsidRDefault="00A20F86">
    <w:pPr>
      <w:pStyle w:val="Header"/>
    </w:pPr>
    <w:r w:rsidRPr="00E56320">
      <w:rPr>
        <w:rFonts w:cstheme="minorHAnsi"/>
        <w:noProof/>
        <w:szCs w:val="24"/>
        <w:lang w:eastAsia="en-AU"/>
      </w:rPr>
      <w:drawing>
        <wp:anchor distT="0" distB="0" distL="114300" distR="114300" simplePos="0" relativeHeight="251655680" behindDoc="0" locked="0" layoutInCell="1" allowOverlap="1" wp14:anchorId="6E40FED2" wp14:editId="4E7CB6FF">
          <wp:simplePos x="0" y="0"/>
          <wp:positionH relativeFrom="margin">
            <wp:posOffset>-876300</wp:posOffset>
          </wp:positionH>
          <wp:positionV relativeFrom="paragraph">
            <wp:posOffset>-448310</wp:posOffset>
          </wp:positionV>
          <wp:extent cx="7595235" cy="1213485"/>
          <wp:effectExtent l="0" t="0" r="5715" b="5715"/>
          <wp:wrapSquare wrapText="bothSides"/>
          <wp:docPr id="145" name="Picture 145" descr="National School Resourcing Bo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130 - SCH - Pre-Budget announcement factsheets and social media tiles\ED17-0130 - SCH - Quality Schools, Quality Outcomes Factsheet Template\links\ED17-0130 - SCH -Quality Schools Template_Header_0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5235" cy="1213485"/>
                  </a:xfrm>
                  <a:prstGeom prst="rect">
                    <a:avLst/>
                  </a:prstGeom>
                  <a:noFill/>
                  <a:ln>
                    <a:noFill/>
                  </a:ln>
                </pic:spPr>
              </pic:pic>
            </a:graphicData>
          </a:graphic>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63494" w14:textId="03D5337E" w:rsidR="00850650" w:rsidRPr="001C3C1B" w:rsidRDefault="00850650" w:rsidP="001C3C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B4442" w14:textId="119DCCA7" w:rsidR="00A20F86" w:rsidRPr="00850650" w:rsidRDefault="00A20F86" w:rsidP="00850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0268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22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56C3877"/>
    <w:multiLevelType w:val="hybridMultilevel"/>
    <w:tmpl w:val="83D04CEE"/>
    <w:lvl w:ilvl="0" w:tplc="B2FA948A">
      <w:start w:val="1"/>
      <w:numFmt w:val="lowerRoman"/>
      <w:lvlText w:val="%1)"/>
      <w:lvlJc w:val="left"/>
      <w:pPr>
        <w:ind w:left="720" w:hanging="360"/>
      </w:pPr>
      <w:rPr>
        <w:rFonts w:ascii="Calibri" w:eastAsiaTheme="minorEastAsia" w:hAnsi="Calibr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7C53936"/>
    <w:multiLevelType w:val="hybridMultilevel"/>
    <w:tmpl w:val="CE201D7A"/>
    <w:lvl w:ilvl="0" w:tplc="2F58BBDC">
      <w:start w:val="1"/>
      <w:numFmt w:val="decimal"/>
      <w:lvlText w:val="%1."/>
      <w:lvlJc w:val="left"/>
      <w:pPr>
        <w:ind w:left="360" w:hanging="360"/>
      </w:pPr>
      <w:rPr>
        <w:rFonts w:asciiTheme="minorHAnsi" w:eastAsiaTheme="minorEastAsia" w:hAnsiTheme="minorHAnsi" w:cstheme="minorHAnsi" w:hint="default"/>
        <w:b/>
        <w:color w:val="31375D"/>
        <w:sz w:val="24"/>
      </w:rPr>
    </w:lvl>
    <w:lvl w:ilvl="1" w:tplc="0C090019">
      <w:start w:val="1"/>
      <w:numFmt w:val="lowerLetter"/>
      <w:lvlText w:val="%2."/>
      <w:lvlJc w:val="left"/>
      <w:pPr>
        <w:ind w:left="1080" w:hanging="360"/>
      </w:pPr>
    </w:lvl>
    <w:lvl w:ilvl="2" w:tplc="2416E53E">
      <w:start w:val="1"/>
      <w:numFmt w:val="lowerRoman"/>
      <w:lvlText w:val="%3)"/>
      <w:lvlJc w:val="left"/>
      <w:pPr>
        <w:ind w:left="2340" w:hanging="720"/>
      </w:pPr>
      <w:rPr>
        <w:rFonts w:ascii="Calibri" w:eastAsiaTheme="minorEastAsia" w:hAnsi="Calibri" w:cstheme="minorBidi"/>
      </w:rPr>
    </w:lvl>
    <w:lvl w:ilvl="3" w:tplc="0C090001">
      <w:start w:val="1"/>
      <w:numFmt w:val="bullet"/>
      <w:lvlText w:val=""/>
      <w:lvlJc w:val="left"/>
      <w:pPr>
        <w:ind w:left="2520" w:hanging="360"/>
      </w:pPr>
      <w:rPr>
        <w:rFonts w:ascii="Symbol" w:hAnsi="Symbol" w:hint="default"/>
      </w:rPr>
    </w:lvl>
    <w:lvl w:ilvl="4" w:tplc="E1B4658E">
      <w:start w:val="1"/>
      <w:numFmt w:val="lowerRoman"/>
      <w:lvlText w:val="%5)"/>
      <w:lvlJc w:val="left"/>
      <w:pPr>
        <w:ind w:left="3600" w:hanging="720"/>
      </w:pPr>
      <w:rPr>
        <w:rFonts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6D5844"/>
    <w:multiLevelType w:val="hybridMultilevel"/>
    <w:tmpl w:val="AFB400D8"/>
    <w:lvl w:ilvl="0" w:tplc="5C06C70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1E2169"/>
    <w:multiLevelType w:val="hybridMultilevel"/>
    <w:tmpl w:val="4132814E"/>
    <w:lvl w:ilvl="0" w:tplc="5C06C70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C00D82"/>
    <w:multiLevelType w:val="hybridMultilevel"/>
    <w:tmpl w:val="CFB26578"/>
    <w:lvl w:ilvl="0" w:tplc="0C090001">
      <w:start w:val="1"/>
      <w:numFmt w:val="bullet"/>
      <w:lvlText w:val=""/>
      <w:lvlJc w:val="left"/>
      <w:pPr>
        <w:ind w:left="720" w:hanging="360"/>
      </w:pPr>
      <w:rPr>
        <w:rFonts w:ascii="Symbol" w:hAnsi="Symbol" w:hint="default"/>
      </w:rPr>
    </w:lvl>
    <w:lvl w:ilvl="1" w:tplc="3E4E9B8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D35108"/>
    <w:multiLevelType w:val="hybridMultilevel"/>
    <w:tmpl w:val="D3109C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1B1B106D"/>
    <w:multiLevelType w:val="multilevel"/>
    <w:tmpl w:val="1922AB32"/>
    <w:lvl w:ilvl="0">
      <w:start w:val="1"/>
      <w:numFmt w:val="decimal"/>
      <w:lvlText w:val="%1."/>
      <w:lvlJc w:val="left"/>
      <w:pPr>
        <w:ind w:left="482" w:hanging="482"/>
      </w:pPr>
      <w:rPr>
        <w:rFonts w:hint="default"/>
      </w:rPr>
    </w:lvl>
    <w:lvl w:ilvl="1">
      <w:start w:val="1"/>
      <w:numFmt w:val="decimal"/>
      <w:lvlText w:val="%1.%2"/>
      <w:lvlJc w:val="left"/>
      <w:pPr>
        <w:ind w:left="482" w:hanging="48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157848"/>
    <w:multiLevelType w:val="hybridMultilevel"/>
    <w:tmpl w:val="573058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23D00AA0"/>
    <w:multiLevelType w:val="hybridMultilevel"/>
    <w:tmpl w:val="81343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D42843"/>
    <w:multiLevelType w:val="hybridMultilevel"/>
    <w:tmpl w:val="A4280B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A346D1"/>
    <w:multiLevelType w:val="hybridMultilevel"/>
    <w:tmpl w:val="2C32E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852BD2"/>
    <w:multiLevelType w:val="hybridMultilevel"/>
    <w:tmpl w:val="9BD82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DD1F90"/>
    <w:multiLevelType w:val="hybridMultilevel"/>
    <w:tmpl w:val="04602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7233EA"/>
    <w:multiLevelType w:val="hybridMultilevel"/>
    <w:tmpl w:val="1838A2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4FB6388E"/>
    <w:multiLevelType w:val="hybridMultilevel"/>
    <w:tmpl w:val="B2BE8F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1B73210"/>
    <w:multiLevelType w:val="multilevel"/>
    <w:tmpl w:val="9C90C16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6849766E"/>
    <w:multiLevelType w:val="hybridMultilevel"/>
    <w:tmpl w:val="75FE220C"/>
    <w:lvl w:ilvl="0" w:tplc="3E4E9B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5662FD"/>
    <w:multiLevelType w:val="hybridMultilevel"/>
    <w:tmpl w:val="79FC21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7E2634"/>
    <w:multiLevelType w:val="hybridMultilevel"/>
    <w:tmpl w:val="B00C5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9405586"/>
    <w:multiLevelType w:val="hybridMultilevel"/>
    <w:tmpl w:val="05BE935C"/>
    <w:lvl w:ilvl="0" w:tplc="0C090003">
      <w:start w:val="1"/>
      <w:numFmt w:val="bullet"/>
      <w:lvlText w:val="o"/>
      <w:lvlJc w:val="left"/>
      <w:pPr>
        <w:ind w:left="1557" w:hanging="360"/>
      </w:pPr>
      <w:rPr>
        <w:rFonts w:ascii="Courier New" w:hAnsi="Courier New" w:cs="Courier New" w:hint="default"/>
      </w:rPr>
    </w:lvl>
    <w:lvl w:ilvl="1" w:tplc="0C090003" w:tentative="1">
      <w:start w:val="1"/>
      <w:numFmt w:val="bullet"/>
      <w:lvlText w:val="o"/>
      <w:lvlJc w:val="left"/>
      <w:pPr>
        <w:ind w:left="2277" w:hanging="360"/>
      </w:pPr>
      <w:rPr>
        <w:rFonts w:ascii="Courier New" w:hAnsi="Courier New" w:cs="Courier New" w:hint="default"/>
      </w:rPr>
    </w:lvl>
    <w:lvl w:ilvl="2" w:tplc="0C090005" w:tentative="1">
      <w:start w:val="1"/>
      <w:numFmt w:val="bullet"/>
      <w:lvlText w:val=""/>
      <w:lvlJc w:val="left"/>
      <w:pPr>
        <w:ind w:left="2997" w:hanging="360"/>
      </w:pPr>
      <w:rPr>
        <w:rFonts w:ascii="Wingdings" w:hAnsi="Wingdings" w:hint="default"/>
      </w:rPr>
    </w:lvl>
    <w:lvl w:ilvl="3" w:tplc="0C090001" w:tentative="1">
      <w:start w:val="1"/>
      <w:numFmt w:val="bullet"/>
      <w:lvlText w:val=""/>
      <w:lvlJc w:val="left"/>
      <w:pPr>
        <w:ind w:left="3717" w:hanging="360"/>
      </w:pPr>
      <w:rPr>
        <w:rFonts w:ascii="Symbol" w:hAnsi="Symbol" w:hint="default"/>
      </w:rPr>
    </w:lvl>
    <w:lvl w:ilvl="4" w:tplc="0C090003" w:tentative="1">
      <w:start w:val="1"/>
      <w:numFmt w:val="bullet"/>
      <w:lvlText w:val="o"/>
      <w:lvlJc w:val="left"/>
      <w:pPr>
        <w:ind w:left="4437" w:hanging="360"/>
      </w:pPr>
      <w:rPr>
        <w:rFonts w:ascii="Courier New" w:hAnsi="Courier New" w:cs="Courier New" w:hint="default"/>
      </w:rPr>
    </w:lvl>
    <w:lvl w:ilvl="5" w:tplc="0C090005" w:tentative="1">
      <w:start w:val="1"/>
      <w:numFmt w:val="bullet"/>
      <w:lvlText w:val=""/>
      <w:lvlJc w:val="left"/>
      <w:pPr>
        <w:ind w:left="5157" w:hanging="360"/>
      </w:pPr>
      <w:rPr>
        <w:rFonts w:ascii="Wingdings" w:hAnsi="Wingdings" w:hint="default"/>
      </w:rPr>
    </w:lvl>
    <w:lvl w:ilvl="6" w:tplc="0C090001" w:tentative="1">
      <w:start w:val="1"/>
      <w:numFmt w:val="bullet"/>
      <w:lvlText w:val=""/>
      <w:lvlJc w:val="left"/>
      <w:pPr>
        <w:ind w:left="5877" w:hanging="360"/>
      </w:pPr>
      <w:rPr>
        <w:rFonts w:ascii="Symbol" w:hAnsi="Symbol" w:hint="default"/>
      </w:rPr>
    </w:lvl>
    <w:lvl w:ilvl="7" w:tplc="0C090003" w:tentative="1">
      <w:start w:val="1"/>
      <w:numFmt w:val="bullet"/>
      <w:lvlText w:val="o"/>
      <w:lvlJc w:val="left"/>
      <w:pPr>
        <w:ind w:left="6597" w:hanging="360"/>
      </w:pPr>
      <w:rPr>
        <w:rFonts w:ascii="Courier New" w:hAnsi="Courier New" w:cs="Courier New" w:hint="default"/>
      </w:rPr>
    </w:lvl>
    <w:lvl w:ilvl="8" w:tplc="0C090005" w:tentative="1">
      <w:start w:val="1"/>
      <w:numFmt w:val="bullet"/>
      <w:lvlText w:val=""/>
      <w:lvlJc w:val="left"/>
      <w:pPr>
        <w:ind w:left="7317" w:hanging="360"/>
      </w:pPr>
      <w:rPr>
        <w:rFonts w:ascii="Wingdings" w:hAnsi="Wingdings" w:hint="default"/>
      </w:rPr>
    </w:lvl>
  </w:abstractNum>
  <w:abstractNum w:abstractNumId="35" w15:restartNumberingAfterBreak="0">
    <w:nsid w:val="7B0966C0"/>
    <w:multiLevelType w:val="hybridMultilevel"/>
    <w:tmpl w:val="287220B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5"/>
  </w:num>
  <w:num w:numId="5">
    <w:abstractNumId w:val="13"/>
  </w:num>
  <w:num w:numId="6">
    <w:abstractNumId w:val="12"/>
  </w:num>
  <w:num w:numId="7">
    <w:abstractNumId w:val="2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3"/>
  </w:num>
  <w:num w:numId="20">
    <w:abstractNumId w:val="16"/>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5"/>
  </w:num>
  <w:num w:numId="25">
    <w:abstractNumId w:val="22"/>
  </w:num>
  <w:num w:numId="26">
    <w:abstractNumId w:val="17"/>
  </w:num>
  <w:num w:numId="27">
    <w:abstractNumId w:val="14"/>
  </w:num>
  <w:num w:numId="28">
    <w:abstractNumId w:val="30"/>
  </w:num>
  <w:num w:numId="29">
    <w:abstractNumId w:val="27"/>
  </w:num>
  <w:num w:numId="30">
    <w:abstractNumId w:val="32"/>
  </w:num>
  <w:num w:numId="31">
    <w:abstractNumId w:val="35"/>
  </w:num>
  <w:num w:numId="32">
    <w:abstractNumId w:val="10"/>
  </w:num>
  <w:num w:numId="33">
    <w:abstractNumId w:val="18"/>
  </w:num>
  <w:num w:numId="34">
    <w:abstractNumId w:val="9"/>
  </w:num>
  <w:num w:numId="35">
    <w:abstractNumId w:val="26"/>
  </w:num>
  <w:num w:numId="36">
    <w:abstractNumId w:val="21"/>
  </w:num>
  <w:num w:numId="37">
    <w:abstractNumId w:val="24"/>
  </w:num>
  <w:num w:numId="38">
    <w:abstractNumId w:val="19"/>
  </w:num>
  <w:num w:numId="39">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formsDesig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o:colormenu v:ext="edit" fillcolor="non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7A504D"/>
    <w:rsid w:val="00002721"/>
    <w:rsid w:val="00007E0C"/>
    <w:rsid w:val="00020D87"/>
    <w:rsid w:val="00021A71"/>
    <w:rsid w:val="00024E24"/>
    <w:rsid w:val="00024E7E"/>
    <w:rsid w:val="000260F5"/>
    <w:rsid w:val="000270A1"/>
    <w:rsid w:val="00034EAA"/>
    <w:rsid w:val="00042DDF"/>
    <w:rsid w:val="000430CF"/>
    <w:rsid w:val="00046150"/>
    <w:rsid w:val="000471BD"/>
    <w:rsid w:val="000525A7"/>
    <w:rsid w:val="00067723"/>
    <w:rsid w:val="000707F4"/>
    <w:rsid w:val="000725D4"/>
    <w:rsid w:val="00074E8D"/>
    <w:rsid w:val="00077705"/>
    <w:rsid w:val="00080845"/>
    <w:rsid w:val="00082290"/>
    <w:rsid w:val="00082CE0"/>
    <w:rsid w:val="000861A6"/>
    <w:rsid w:val="00087C68"/>
    <w:rsid w:val="000949B2"/>
    <w:rsid w:val="000A129A"/>
    <w:rsid w:val="000A2857"/>
    <w:rsid w:val="000B3CDF"/>
    <w:rsid w:val="000B76CE"/>
    <w:rsid w:val="000C05DC"/>
    <w:rsid w:val="000D6DD0"/>
    <w:rsid w:val="000D7FD3"/>
    <w:rsid w:val="000E7E7B"/>
    <w:rsid w:val="000F3BA2"/>
    <w:rsid w:val="00110EF1"/>
    <w:rsid w:val="00111E21"/>
    <w:rsid w:val="001175BF"/>
    <w:rsid w:val="00130923"/>
    <w:rsid w:val="001414F3"/>
    <w:rsid w:val="00143AEA"/>
    <w:rsid w:val="00143FCD"/>
    <w:rsid w:val="001441A1"/>
    <w:rsid w:val="0015084D"/>
    <w:rsid w:val="00164A4C"/>
    <w:rsid w:val="00194022"/>
    <w:rsid w:val="001A4B0A"/>
    <w:rsid w:val="001B079C"/>
    <w:rsid w:val="001B6467"/>
    <w:rsid w:val="001B7823"/>
    <w:rsid w:val="001C1EE4"/>
    <w:rsid w:val="001C2105"/>
    <w:rsid w:val="001C3C1B"/>
    <w:rsid w:val="001D162A"/>
    <w:rsid w:val="001E4B19"/>
    <w:rsid w:val="001F36BD"/>
    <w:rsid w:val="001F39A5"/>
    <w:rsid w:val="00201B2B"/>
    <w:rsid w:val="00205834"/>
    <w:rsid w:val="0021018F"/>
    <w:rsid w:val="0021232C"/>
    <w:rsid w:val="00223EB1"/>
    <w:rsid w:val="002307B9"/>
    <w:rsid w:val="0023093A"/>
    <w:rsid w:val="00236917"/>
    <w:rsid w:val="00236C17"/>
    <w:rsid w:val="00237E5B"/>
    <w:rsid w:val="00243A17"/>
    <w:rsid w:val="00243D6B"/>
    <w:rsid w:val="00252600"/>
    <w:rsid w:val="002655BF"/>
    <w:rsid w:val="00275139"/>
    <w:rsid w:val="00281892"/>
    <w:rsid w:val="00282922"/>
    <w:rsid w:val="002A070F"/>
    <w:rsid w:val="002B06E6"/>
    <w:rsid w:val="002B3A88"/>
    <w:rsid w:val="002C125E"/>
    <w:rsid w:val="002C3AA1"/>
    <w:rsid w:val="002D142C"/>
    <w:rsid w:val="002D271F"/>
    <w:rsid w:val="002D6386"/>
    <w:rsid w:val="002F1999"/>
    <w:rsid w:val="002F3043"/>
    <w:rsid w:val="00305B35"/>
    <w:rsid w:val="00306352"/>
    <w:rsid w:val="00310D36"/>
    <w:rsid w:val="00311EC2"/>
    <w:rsid w:val="003155A7"/>
    <w:rsid w:val="003166C5"/>
    <w:rsid w:val="003242B9"/>
    <w:rsid w:val="00326D28"/>
    <w:rsid w:val="00340318"/>
    <w:rsid w:val="00364E72"/>
    <w:rsid w:val="00371D52"/>
    <w:rsid w:val="003801F8"/>
    <w:rsid w:val="003836E0"/>
    <w:rsid w:val="003854EC"/>
    <w:rsid w:val="0039325A"/>
    <w:rsid w:val="003979FC"/>
    <w:rsid w:val="003B0F3F"/>
    <w:rsid w:val="003B2E3D"/>
    <w:rsid w:val="003C28E7"/>
    <w:rsid w:val="003C695B"/>
    <w:rsid w:val="003D67FC"/>
    <w:rsid w:val="003E273C"/>
    <w:rsid w:val="003E3032"/>
    <w:rsid w:val="00400100"/>
    <w:rsid w:val="004007C6"/>
    <w:rsid w:val="00406E5A"/>
    <w:rsid w:val="004150C5"/>
    <w:rsid w:val="0042420D"/>
    <w:rsid w:val="00424B6B"/>
    <w:rsid w:val="004255E8"/>
    <w:rsid w:val="00445D88"/>
    <w:rsid w:val="004555C3"/>
    <w:rsid w:val="00455B34"/>
    <w:rsid w:val="00474DB7"/>
    <w:rsid w:val="00477AB6"/>
    <w:rsid w:val="00481F02"/>
    <w:rsid w:val="004834BB"/>
    <w:rsid w:val="0048762C"/>
    <w:rsid w:val="004A0D73"/>
    <w:rsid w:val="004A19A8"/>
    <w:rsid w:val="004A1D06"/>
    <w:rsid w:val="004A58F8"/>
    <w:rsid w:val="004B00A1"/>
    <w:rsid w:val="004B1558"/>
    <w:rsid w:val="004B256F"/>
    <w:rsid w:val="004B6BF2"/>
    <w:rsid w:val="004B7D8D"/>
    <w:rsid w:val="004D736E"/>
    <w:rsid w:val="004E28B9"/>
    <w:rsid w:val="004F60F1"/>
    <w:rsid w:val="004F76A1"/>
    <w:rsid w:val="005113B6"/>
    <w:rsid w:val="00531817"/>
    <w:rsid w:val="005400C8"/>
    <w:rsid w:val="00540912"/>
    <w:rsid w:val="00560CA0"/>
    <w:rsid w:val="005624F3"/>
    <w:rsid w:val="00576B5B"/>
    <w:rsid w:val="005811EF"/>
    <w:rsid w:val="00581B95"/>
    <w:rsid w:val="005864D8"/>
    <w:rsid w:val="005A5D03"/>
    <w:rsid w:val="005B010E"/>
    <w:rsid w:val="005B0878"/>
    <w:rsid w:val="005B7D44"/>
    <w:rsid w:val="005C15C0"/>
    <w:rsid w:val="005C3C4E"/>
    <w:rsid w:val="005C73D4"/>
    <w:rsid w:val="005D30FC"/>
    <w:rsid w:val="005E56AD"/>
    <w:rsid w:val="005E64FA"/>
    <w:rsid w:val="006007C1"/>
    <w:rsid w:val="00610654"/>
    <w:rsid w:val="006318B9"/>
    <w:rsid w:val="00637715"/>
    <w:rsid w:val="00660E76"/>
    <w:rsid w:val="0067026C"/>
    <w:rsid w:val="00670DBC"/>
    <w:rsid w:val="00696C22"/>
    <w:rsid w:val="006B33F6"/>
    <w:rsid w:val="006B4D86"/>
    <w:rsid w:val="006C38AE"/>
    <w:rsid w:val="006D0CC3"/>
    <w:rsid w:val="006E2D49"/>
    <w:rsid w:val="006E5821"/>
    <w:rsid w:val="006E5969"/>
    <w:rsid w:val="006F6B60"/>
    <w:rsid w:val="0070019F"/>
    <w:rsid w:val="0070213F"/>
    <w:rsid w:val="007021FA"/>
    <w:rsid w:val="00711638"/>
    <w:rsid w:val="007250ED"/>
    <w:rsid w:val="00735EB4"/>
    <w:rsid w:val="00740D3F"/>
    <w:rsid w:val="007468FC"/>
    <w:rsid w:val="00750137"/>
    <w:rsid w:val="00753BB3"/>
    <w:rsid w:val="00781967"/>
    <w:rsid w:val="00783AE1"/>
    <w:rsid w:val="0078707E"/>
    <w:rsid w:val="00792CA3"/>
    <w:rsid w:val="007A074E"/>
    <w:rsid w:val="007A504D"/>
    <w:rsid w:val="007A7BB4"/>
    <w:rsid w:val="007B0629"/>
    <w:rsid w:val="007B2FDD"/>
    <w:rsid w:val="007C49AB"/>
    <w:rsid w:val="007D58FB"/>
    <w:rsid w:val="007D7F75"/>
    <w:rsid w:val="007E0001"/>
    <w:rsid w:val="007E2FF8"/>
    <w:rsid w:val="00813E2F"/>
    <w:rsid w:val="00831714"/>
    <w:rsid w:val="0083468A"/>
    <w:rsid w:val="00842D43"/>
    <w:rsid w:val="00846C22"/>
    <w:rsid w:val="00850650"/>
    <w:rsid w:val="00856D1C"/>
    <w:rsid w:val="00860875"/>
    <w:rsid w:val="00876AC0"/>
    <w:rsid w:val="00891604"/>
    <w:rsid w:val="008916C9"/>
    <w:rsid w:val="008A7127"/>
    <w:rsid w:val="008B30B1"/>
    <w:rsid w:val="008C1ECF"/>
    <w:rsid w:val="008C2C57"/>
    <w:rsid w:val="008D6BC5"/>
    <w:rsid w:val="008D7AC1"/>
    <w:rsid w:val="00903408"/>
    <w:rsid w:val="0091087D"/>
    <w:rsid w:val="009116EA"/>
    <w:rsid w:val="00921045"/>
    <w:rsid w:val="00933671"/>
    <w:rsid w:val="0093434D"/>
    <w:rsid w:val="009503E5"/>
    <w:rsid w:val="00961A06"/>
    <w:rsid w:val="00972BF7"/>
    <w:rsid w:val="00972DD5"/>
    <w:rsid w:val="009749E0"/>
    <w:rsid w:val="00981BD9"/>
    <w:rsid w:val="0098269C"/>
    <w:rsid w:val="00982FCA"/>
    <w:rsid w:val="00984879"/>
    <w:rsid w:val="00985632"/>
    <w:rsid w:val="00991B63"/>
    <w:rsid w:val="009B2428"/>
    <w:rsid w:val="009B5CB7"/>
    <w:rsid w:val="009C17E6"/>
    <w:rsid w:val="009D1D0A"/>
    <w:rsid w:val="009F127C"/>
    <w:rsid w:val="00A02EB6"/>
    <w:rsid w:val="00A04DF8"/>
    <w:rsid w:val="00A15915"/>
    <w:rsid w:val="00A20F86"/>
    <w:rsid w:val="00A220FB"/>
    <w:rsid w:val="00A246A5"/>
    <w:rsid w:val="00A31242"/>
    <w:rsid w:val="00A35B8D"/>
    <w:rsid w:val="00A44B4E"/>
    <w:rsid w:val="00A44D86"/>
    <w:rsid w:val="00A475CB"/>
    <w:rsid w:val="00A52530"/>
    <w:rsid w:val="00A551BF"/>
    <w:rsid w:val="00A61A7E"/>
    <w:rsid w:val="00A67C43"/>
    <w:rsid w:val="00A70524"/>
    <w:rsid w:val="00A73406"/>
    <w:rsid w:val="00A7698F"/>
    <w:rsid w:val="00A9669F"/>
    <w:rsid w:val="00AC65DA"/>
    <w:rsid w:val="00AD09E4"/>
    <w:rsid w:val="00AF0110"/>
    <w:rsid w:val="00AF1737"/>
    <w:rsid w:val="00AF2A2F"/>
    <w:rsid w:val="00AF7112"/>
    <w:rsid w:val="00B03799"/>
    <w:rsid w:val="00B10A4F"/>
    <w:rsid w:val="00B2722A"/>
    <w:rsid w:val="00B31A5E"/>
    <w:rsid w:val="00B32DC9"/>
    <w:rsid w:val="00B4164A"/>
    <w:rsid w:val="00B4446B"/>
    <w:rsid w:val="00B53DF9"/>
    <w:rsid w:val="00B566F3"/>
    <w:rsid w:val="00B61726"/>
    <w:rsid w:val="00B618BA"/>
    <w:rsid w:val="00B61A6C"/>
    <w:rsid w:val="00B97F87"/>
    <w:rsid w:val="00BA282D"/>
    <w:rsid w:val="00BA4813"/>
    <w:rsid w:val="00BA4D57"/>
    <w:rsid w:val="00BB6260"/>
    <w:rsid w:val="00BB785B"/>
    <w:rsid w:val="00BC2ADA"/>
    <w:rsid w:val="00BC3EC4"/>
    <w:rsid w:val="00C00DF7"/>
    <w:rsid w:val="00C05E74"/>
    <w:rsid w:val="00C0720C"/>
    <w:rsid w:val="00C10C19"/>
    <w:rsid w:val="00C143B8"/>
    <w:rsid w:val="00C17D02"/>
    <w:rsid w:val="00C43D31"/>
    <w:rsid w:val="00C45322"/>
    <w:rsid w:val="00C5649C"/>
    <w:rsid w:val="00C67C3F"/>
    <w:rsid w:val="00C75486"/>
    <w:rsid w:val="00C767B3"/>
    <w:rsid w:val="00C8202C"/>
    <w:rsid w:val="00C84E0C"/>
    <w:rsid w:val="00C902E0"/>
    <w:rsid w:val="00C92A5B"/>
    <w:rsid w:val="00CA46EC"/>
    <w:rsid w:val="00CC293D"/>
    <w:rsid w:val="00CD6C97"/>
    <w:rsid w:val="00CE45E6"/>
    <w:rsid w:val="00CF0D50"/>
    <w:rsid w:val="00CF1E23"/>
    <w:rsid w:val="00CF7F4F"/>
    <w:rsid w:val="00D05B29"/>
    <w:rsid w:val="00D1394D"/>
    <w:rsid w:val="00D2556A"/>
    <w:rsid w:val="00D47740"/>
    <w:rsid w:val="00D500EA"/>
    <w:rsid w:val="00D50170"/>
    <w:rsid w:val="00D54142"/>
    <w:rsid w:val="00D61EA2"/>
    <w:rsid w:val="00D62D86"/>
    <w:rsid w:val="00D6385C"/>
    <w:rsid w:val="00D712D7"/>
    <w:rsid w:val="00D72341"/>
    <w:rsid w:val="00D812B9"/>
    <w:rsid w:val="00D82676"/>
    <w:rsid w:val="00D82EF2"/>
    <w:rsid w:val="00D903FD"/>
    <w:rsid w:val="00D92F4A"/>
    <w:rsid w:val="00D94BC5"/>
    <w:rsid w:val="00D96C08"/>
    <w:rsid w:val="00DB6C75"/>
    <w:rsid w:val="00DC3052"/>
    <w:rsid w:val="00DC665D"/>
    <w:rsid w:val="00DD6CCF"/>
    <w:rsid w:val="00DE2831"/>
    <w:rsid w:val="00DF3704"/>
    <w:rsid w:val="00DF46C4"/>
    <w:rsid w:val="00DF4CA3"/>
    <w:rsid w:val="00E079CE"/>
    <w:rsid w:val="00E119EB"/>
    <w:rsid w:val="00E2545C"/>
    <w:rsid w:val="00E2652B"/>
    <w:rsid w:val="00E268FC"/>
    <w:rsid w:val="00E30AF7"/>
    <w:rsid w:val="00E3603A"/>
    <w:rsid w:val="00E376D2"/>
    <w:rsid w:val="00E6208E"/>
    <w:rsid w:val="00E87438"/>
    <w:rsid w:val="00E97235"/>
    <w:rsid w:val="00EA03FD"/>
    <w:rsid w:val="00EA2270"/>
    <w:rsid w:val="00EA4FE7"/>
    <w:rsid w:val="00EA5F9B"/>
    <w:rsid w:val="00EB5605"/>
    <w:rsid w:val="00EB64D4"/>
    <w:rsid w:val="00EB6508"/>
    <w:rsid w:val="00EB6D75"/>
    <w:rsid w:val="00EC15C6"/>
    <w:rsid w:val="00EC4A7D"/>
    <w:rsid w:val="00EC78E7"/>
    <w:rsid w:val="00ED43D2"/>
    <w:rsid w:val="00EE3B8C"/>
    <w:rsid w:val="00EE7405"/>
    <w:rsid w:val="00EF4A38"/>
    <w:rsid w:val="00EF5845"/>
    <w:rsid w:val="00F02763"/>
    <w:rsid w:val="00F04307"/>
    <w:rsid w:val="00F10681"/>
    <w:rsid w:val="00F11B8F"/>
    <w:rsid w:val="00F14810"/>
    <w:rsid w:val="00F307A7"/>
    <w:rsid w:val="00F36A33"/>
    <w:rsid w:val="00F47193"/>
    <w:rsid w:val="00F51B16"/>
    <w:rsid w:val="00F65235"/>
    <w:rsid w:val="00F66837"/>
    <w:rsid w:val="00F74011"/>
    <w:rsid w:val="00F7719E"/>
    <w:rsid w:val="00F772E8"/>
    <w:rsid w:val="00F80CFC"/>
    <w:rsid w:val="00F81E8E"/>
    <w:rsid w:val="00F903C7"/>
    <w:rsid w:val="00FA1593"/>
    <w:rsid w:val="00FB10CB"/>
    <w:rsid w:val="00FB29C8"/>
    <w:rsid w:val="00FB2F18"/>
    <w:rsid w:val="00FB5C70"/>
    <w:rsid w:val="00FB6408"/>
    <w:rsid w:val="00FC1E6B"/>
    <w:rsid w:val="00FD4839"/>
    <w:rsid w:val="00FD65CC"/>
    <w:rsid w:val="00FE1B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o:shapedefaults>
    <o:shapelayout v:ext="edit">
      <o:idmap v:ext="edit" data="1"/>
    </o:shapelayout>
  </w:shapeDefaults>
  <w:decimalSymbol w:val="."/>
  <w:listSeparator w:val=","/>
  <w14:docId w14:val="590F8C60"/>
  <w15:docId w15:val="{DA85D015-BAD1-42CA-B075-D0B3DA85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DDF"/>
    <w:pPr>
      <w:spacing w:before="200" w:line="240" w:lineRule="auto"/>
    </w:pPr>
    <w:rPr>
      <w:sz w:val="24"/>
    </w:rPr>
  </w:style>
  <w:style w:type="paragraph" w:styleId="Heading1">
    <w:name w:val="heading 1"/>
    <w:basedOn w:val="Normal"/>
    <w:next w:val="Normal"/>
    <w:link w:val="Heading1Char"/>
    <w:uiPriority w:val="9"/>
    <w:qFormat/>
    <w:rsid w:val="00DB6C75"/>
    <w:pPr>
      <w:spacing w:after="240"/>
      <w:contextualSpacing/>
      <w:outlineLvl w:val="0"/>
    </w:pPr>
    <w:rPr>
      <w:rFonts w:asciiTheme="majorHAnsi" w:eastAsiaTheme="majorEastAsia" w:hAnsiTheme="majorHAnsi" w:cstheme="majorBidi"/>
      <w:b/>
      <w:bCs/>
      <w:color w:val="2D3E7B" w:themeColor="accent5" w:themeShade="BF"/>
      <w:sz w:val="20"/>
      <w:szCs w:val="28"/>
    </w:rPr>
  </w:style>
  <w:style w:type="paragraph" w:styleId="Heading2">
    <w:name w:val="heading 2"/>
    <w:basedOn w:val="Heading3"/>
    <w:next w:val="Normal"/>
    <w:link w:val="Heading2Char"/>
    <w:uiPriority w:val="9"/>
    <w:unhideWhenUsed/>
    <w:qFormat/>
    <w:rsid w:val="000260F5"/>
    <w:pPr>
      <w:outlineLvl w:val="1"/>
    </w:pPr>
  </w:style>
  <w:style w:type="paragraph" w:styleId="Heading3">
    <w:name w:val="heading 3"/>
    <w:basedOn w:val="Normal"/>
    <w:next w:val="Normal"/>
    <w:link w:val="Heading3Char"/>
    <w:uiPriority w:val="9"/>
    <w:unhideWhenUsed/>
    <w:qFormat/>
    <w:rsid w:val="007250ED"/>
    <w:pPr>
      <w:spacing w:after="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9"/>
    <w:unhideWhenUsed/>
    <w:qFormat/>
    <w:rsid w:val="007A074E"/>
    <w:pPr>
      <w:spacing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7A074E"/>
    <w:pPr>
      <w:spacing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7A074E"/>
    <w:pPr>
      <w:spacing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unhideWhenUsed/>
    <w:qFormat/>
    <w:rsid w:val="007A074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A074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A074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A074E"/>
    <w:rPr>
      <w:b/>
      <w:bCs/>
    </w:rPr>
  </w:style>
  <w:style w:type="character" w:styleId="Emphasis">
    <w:name w:val="Emphasis"/>
    <w:uiPriority w:val="20"/>
    <w:qFormat/>
    <w:rsid w:val="007A074E"/>
    <w:rPr>
      <w:b/>
      <w:bCs/>
      <w:i/>
      <w:iCs/>
      <w:spacing w:val="10"/>
      <w:bdr w:val="none" w:sz="0" w:space="0" w:color="auto"/>
      <w:shd w:val="clear" w:color="auto" w:fill="auto"/>
    </w:rPr>
  </w:style>
  <w:style w:type="character" w:styleId="BookTitle">
    <w:name w:val="Book Title"/>
    <w:uiPriority w:val="33"/>
    <w:qFormat/>
    <w:rsid w:val="007A074E"/>
    <w:rPr>
      <w:i/>
      <w:iCs/>
      <w:caps w:val="0"/>
      <w:smallCaps w:val="0"/>
      <w:spacing w:val="5"/>
    </w:rPr>
  </w:style>
  <w:style w:type="character" w:styleId="Hyperlink">
    <w:name w:val="Hyperlink"/>
    <w:basedOn w:val="DefaultParagraphFont"/>
    <w:uiPriority w:val="99"/>
    <w:unhideWhenUsed/>
    <w:rsid w:val="00E376D2"/>
    <w:rPr>
      <w:color w:val="0066FF" w:themeColor="text2"/>
      <w:u w:val="single"/>
    </w:rPr>
  </w:style>
  <w:style w:type="paragraph" w:styleId="Quote">
    <w:name w:val="Quote"/>
    <w:basedOn w:val="Normal"/>
    <w:next w:val="Normal"/>
    <w:link w:val="QuoteChar"/>
    <w:uiPriority w:val="29"/>
    <w:qFormat/>
    <w:rsid w:val="007A074E"/>
    <w:pPr>
      <w:spacing w:after="120"/>
      <w:ind w:left="369" w:right="369"/>
    </w:pPr>
    <w:rPr>
      <w:i/>
      <w:iCs/>
    </w:rPr>
  </w:style>
  <w:style w:type="character" w:customStyle="1" w:styleId="QuoteChar">
    <w:name w:val="Quote Char"/>
    <w:basedOn w:val="DefaultParagraphFont"/>
    <w:link w:val="Quote"/>
    <w:uiPriority w:val="29"/>
    <w:rsid w:val="007A074E"/>
    <w:rPr>
      <w:i/>
      <w:iCs/>
    </w:rPr>
  </w:style>
  <w:style w:type="character" w:customStyle="1" w:styleId="Heading1Char">
    <w:name w:val="Heading 1 Char"/>
    <w:basedOn w:val="DefaultParagraphFont"/>
    <w:link w:val="Heading1"/>
    <w:uiPriority w:val="9"/>
    <w:rsid w:val="00DB6C75"/>
    <w:rPr>
      <w:rFonts w:asciiTheme="majorHAnsi" w:eastAsiaTheme="majorEastAsia" w:hAnsiTheme="majorHAnsi" w:cstheme="majorBidi"/>
      <w:b/>
      <w:bCs/>
      <w:color w:val="2D3E7B" w:themeColor="accent5" w:themeShade="BF"/>
      <w:sz w:val="20"/>
      <w:szCs w:val="28"/>
    </w:rPr>
  </w:style>
  <w:style w:type="character" w:customStyle="1" w:styleId="Heading2Char">
    <w:name w:val="Heading 2 Char"/>
    <w:basedOn w:val="DefaultParagraphFont"/>
    <w:link w:val="Heading2"/>
    <w:uiPriority w:val="9"/>
    <w:rsid w:val="000260F5"/>
    <w:rPr>
      <w:rFonts w:asciiTheme="majorHAnsi" w:eastAsiaTheme="majorEastAsia" w:hAnsiTheme="majorHAnsi" w:cstheme="majorBidi"/>
      <w:b/>
      <w:bCs/>
      <w:i/>
    </w:rPr>
  </w:style>
  <w:style w:type="character" w:customStyle="1" w:styleId="Heading3Char">
    <w:name w:val="Heading 3 Char"/>
    <w:basedOn w:val="DefaultParagraphFont"/>
    <w:link w:val="Heading3"/>
    <w:uiPriority w:val="9"/>
    <w:rsid w:val="007250ED"/>
    <w:rPr>
      <w:rFonts w:asciiTheme="majorHAnsi" w:eastAsiaTheme="majorEastAsia" w:hAnsiTheme="majorHAnsi" w:cstheme="majorBidi"/>
      <w:b/>
      <w:bCs/>
      <w:i/>
    </w:rPr>
  </w:style>
  <w:style w:type="character" w:customStyle="1" w:styleId="Heading4Char">
    <w:name w:val="Heading 4 Char"/>
    <w:basedOn w:val="DefaultParagraphFont"/>
    <w:link w:val="Heading4"/>
    <w:uiPriority w:val="9"/>
    <w:rsid w:val="007A074E"/>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7A074E"/>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7A074E"/>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rsid w:val="007A074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A074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A074E"/>
    <w:rPr>
      <w:rFonts w:asciiTheme="majorHAnsi" w:eastAsiaTheme="majorEastAsia" w:hAnsiTheme="majorHAnsi" w:cstheme="majorBidi"/>
      <w:i/>
      <w:iCs/>
      <w:spacing w:val="5"/>
      <w:sz w:val="20"/>
      <w:szCs w:val="20"/>
    </w:rPr>
  </w:style>
  <w:style w:type="paragraph" w:styleId="Title">
    <w:name w:val="Title"/>
    <w:basedOn w:val="Normal"/>
    <w:next w:val="Normal"/>
    <w:link w:val="TitleChar"/>
    <w:autoRedefine/>
    <w:uiPriority w:val="10"/>
    <w:qFormat/>
    <w:rsid w:val="006D0CC3"/>
    <w:pPr>
      <w:spacing w:after="120"/>
      <w:contextualSpacing/>
    </w:pPr>
    <w:rPr>
      <w:rFonts w:ascii="Calibri" w:eastAsiaTheme="majorEastAsia" w:hAnsi="Calibri" w:cs="Calibri"/>
      <w:color w:val="1E2A52" w:themeColor="accent5" w:themeShade="80"/>
      <w:spacing w:val="5"/>
      <w:sz w:val="72"/>
      <w:szCs w:val="72"/>
    </w:rPr>
  </w:style>
  <w:style w:type="character" w:customStyle="1" w:styleId="TitleChar">
    <w:name w:val="Title Char"/>
    <w:basedOn w:val="DefaultParagraphFont"/>
    <w:link w:val="Title"/>
    <w:uiPriority w:val="10"/>
    <w:rsid w:val="006D0CC3"/>
    <w:rPr>
      <w:rFonts w:ascii="Calibri" w:eastAsiaTheme="majorEastAsia" w:hAnsi="Calibri" w:cs="Calibri"/>
      <w:color w:val="1E2A52" w:themeColor="accent5" w:themeShade="80"/>
      <w:spacing w:val="5"/>
      <w:sz w:val="72"/>
      <w:szCs w:val="72"/>
    </w:rPr>
  </w:style>
  <w:style w:type="paragraph" w:styleId="Subtitle">
    <w:name w:val="Subtitle"/>
    <w:basedOn w:val="Normal"/>
    <w:next w:val="Normal"/>
    <w:link w:val="SubtitleChar"/>
    <w:uiPriority w:val="11"/>
    <w:qFormat/>
    <w:rsid w:val="00340318"/>
    <w:pPr>
      <w:spacing w:after="240"/>
    </w:pPr>
    <w:rPr>
      <w:rFonts w:asciiTheme="majorHAnsi" w:eastAsiaTheme="majorEastAsia" w:hAnsiTheme="majorHAnsi" w:cstheme="majorBidi"/>
      <w:b/>
      <w:iCs/>
      <w:color w:val="1E2A52" w:themeColor="accent5" w:themeShade="80"/>
      <w:spacing w:val="13"/>
      <w:sz w:val="40"/>
      <w:szCs w:val="24"/>
    </w:rPr>
  </w:style>
  <w:style w:type="character" w:customStyle="1" w:styleId="SubtitleChar">
    <w:name w:val="Subtitle Char"/>
    <w:basedOn w:val="DefaultParagraphFont"/>
    <w:link w:val="Subtitle"/>
    <w:uiPriority w:val="11"/>
    <w:rsid w:val="00340318"/>
    <w:rPr>
      <w:rFonts w:asciiTheme="majorHAnsi" w:eastAsiaTheme="majorEastAsia" w:hAnsiTheme="majorHAnsi" w:cstheme="majorBidi"/>
      <w:b/>
      <w:iCs/>
      <w:color w:val="1E2A52" w:themeColor="accent5" w:themeShade="80"/>
      <w:spacing w:val="13"/>
      <w:sz w:val="40"/>
      <w:szCs w:val="24"/>
    </w:rPr>
  </w:style>
  <w:style w:type="paragraph" w:styleId="NoSpacing">
    <w:name w:val="No Spacing"/>
    <w:basedOn w:val="Normal"/>
    <w:link w:val="NoSpacingChar"/>
    <w:uiPriority w:val="1"/>
    <w:qFormat/>
    <w:rsid w:val="007A074E"/>
    <w:pPr>
      <w:spacing w:after="0"/>
    </w:p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7A074E"/>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7A074E"/>
    <w:rPr>
      <w:b/>
      <w:bCs/>
      <w:i/>
      <w:iCs/>
    </w:rPr>
  </w:style>
  <w:style w:type="character" w:styleId="SubtleEmphasis">
    <w:name w:val="Subtle Emphasis"/>
    <w:uiPriority w:val="19"/>
    <w:semiHidden/>
    <w:qFormat/>
    <w:rsid w:val="007A074E"/>
    <w:rPr>
      <w:i/>
      <w:iCs/>
    </w:rPr>
  </w:style>
  <w:style w:type="character" w:styleId="IntenseEmphasis">
    <w:name w:val="Intense Emphasis"/>
    <w:uiPriority w:val="21"/>
    <w:qFormat/>
    <w:rsid w:val="007A074E"/>
    <w:rPr>
      <w:b/>
      <w:bCs/>
    </w:rPr>
  </w:style>
  <w:style w:type="character" w:styleId="SubtleReference">
    <w:name w:val="Subtle Reference"/>
    <w:uiPriority w:val="31"/>
    <w:semiHidden/>
    <w:qFormat/>
    <w:rsid w:val="007A074E"/>
    <w:rPr>
      <w:smallCaps/>
    </w:rPr>
  </w:style>
  <w:style w:type="character" w:styleId="IntenseReference">
    <w:name w:val="Intense Reference"/>
    <w:uiPriority w:val="32"/>
    <w:semiHidden/>
    <w:qFormat/>
    <w:rsid w:val="007A074E"/>
    <w:rPr>
      <w:smallCaps/>
      <w:spacing w:val="5"/>
      <w:u w:val="single"/>
    </w:rPr>
  </w:style>
  <w:style w:type="paragraph" w:styleId="TOCHeading">
    <w:name w:val="TOC Heading"/>
    <w:basedOn w:val="Heading1"/>
    <w:next w:val="Normal"/>
    <w:uiPriority w:val="39"/>
    <w:semiHidden/>
    <w:unhideWhenUsed/>
    <w:qFormat/>
    <w:rsid w:val="007A074E"/>
    <w:pPr>
      <w:outlineLvl w:val="9"/>
    </w:pPr>
    <w:rPr>
      <w:color w:val="1E2A52" w:themeColor="accent5" w:themeShade="80"/>
      <w:lang w:bidi="en-US"/>
    </w:rPr>
  </w:style>
  <w:style w:type="paragraph" w:styleId="ListNumber">
    <w:name w:val="List Number"/>
    <w:basedOn w:val="Normal"/>
    <w:uiPriority w:val="99"/>
    <w:unhideWhenUsed/>
    <w:rsid w:val="00FB10CB"/>
    <w:pPr>
      <w:numPr>
        <w:numId w:val="1"/>
      </w:numPr>
      <w:spacing w:after="120"/>
      <w:ind w:left="369" w:hanging="369"/>
      <w:contextualSpacing/>
    </w:pPr>
  </w:style>
  <w:style w:type="paragraph" w:styleId="ListNumber2">
    <w:name w:val="List Number 2"/>
    <w:basedOn w:val="Normal"/>
    <w:uiPriority w:val="99"/>
    <w:unhideWhenUsed/>
    <w:rsid w:val="00985632"/>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
      </w:numPr>
      <w:spacing w:after="120"/>
      <w:ind w:left="1701" w:hanging="765"/>
      <w:contextualSpacing/>
    </w:pPr>
  </w:style>
  <w:style w:type="paragraph" w:styleId="ListNumber4">
    <w:name w:val="List Number 4"/>
    <w:basedOn w:val="Normal"/>
    <w:uiPriority w:val="99"/>
    <w:unhideWhenUsed/>
    <w:rsid w:val="00406E5A"/>
    <w:pPr>
      <w:numPr>
        <w:ilvl w:val="3"/>
        <w:numId w:val="1"/>
      </w:numPr>
      <w:spacing w:after="120"/>
      <w:ind w:left="2637" w:hanging="936"/>
      <w:contextualSpacing/>
    </w:pPr>
  </w:style>
  <w:style w:type="paragraph" w:styleId="ListBullet">
    <w:name w:val="List Bullet"/>
    <w:basedOn w:val="Normal"/>
    <w:uiPriority w:val="99"/>
    <w:unhideWhenUsed/>
    <w:rsid w:val="00CA46EC"/>
    <w:pPr>
      <w:spacing w:after="120"/>
      <w:contextualSpacing/>
    </w:pPr>
  </w:style>
  <w:style w:type="paragraph" w:styleId="ListBullet2">
    <w:name w:val="List Bullet 2"/>
    <w:basedOn w:val="Normal"/>
    <w:uiPriority w:val="99"/>
    <w:unhideWhenUsed/>
    <w:rsid w:val="00CA46EC"/>
    <w:pPr>
      <w:spacing w:after="120"/>
      <w:contextualSpacing/>
    </w:pPr>
  </w:style>
  <w:style w:type="paragraph" w:styleId="ListBullet3">
    <w:name w:val="List Bullet 3"/>
    <w:basedOn w:val="Normal"/>
    <w:uiPriority w:val="99"/>
    <w:unhideWhenUsed/>
    <w:rsid w:val="00CA46EC"/>
    <w:pPr>
      <w:spacing w:after="120"/>
      <w:contextualSpacing/>
    </w:pPr>
  </w:style>
  <w:style w:type="paragraph" w:styleId="ListBullet4">
    <w:name w:val="List Bullet 4"/>
    <w:basedOn w:val="Normal"/>
    <w:uiPriority w:val="99"/>
    <w:unhideWhenUsed/>
    <w:rsid w:val="00CA46EC"/>
    <w:pPr>
      <w:spacing w:after="120"/>
      <w:contextualSpacing/>
    </w:pPr>
  </w:style>
  <w:style w:type="table" w:styleId="TableGrid">
    <w:name w:val="Table Grid"/>
    <w:basedOn w:val="TableNormal"/>
    <w:uiPriority w:val="59"/>
    <w:semiHidden/>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1441A1"/>
    <w:pPr>
      <w:spacing w:after="0" w:line="240" w:lineRule="auto"/>
    </w:pPr>
    <w:rPr>
      <w:color w:val="2D3E7B" w:themeColor="accent5" w:themeShade="BF"/>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2D3E7B" w:themeFill="accent5" w:themeFillShade="BF"/>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uiPriority w:val="99"/>
    <w:rsid w:val="00130923"/>
    <w:pPr>
      <w:numPr>
        <w:numId w:val="2"/>
      </w:numPr>
      <w:spacing w:after="0"/>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7A074E"/>
  </w:style>
  <w:style w:type="paragraph" w:styleId="Header">
    <w:name w:val="header"/>
    <w:basedOn w:val="Normal"/>
    <w:link w:val="HeaderChar"/>
    <w:uiPriority w:val="99"/>
    <w:unhideWhenUsed/>
    <w:rsid w:val="00130923"/>
    <w:pPr>
      <w:tabs>
        <w:tab w:val="center" w:pos="4513"/>
        <w:tab w:val="right" w:pos="9026"/>
      </w:tabs>
      <w:spacing w:after="0"/>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7A074E"/>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7A074E"/>
    <w:rPr>
      <w:color w:val="522761" w:themeColor="accent4"/>
    </w:rPr>
  </w:style>
  <w:style w:type="table" w:styleId="ColorfulGrid-Accent1">
    <w:name w:val="Colorful Grid Accent 1"/>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EF" w:themeFill="accent1" w:themeFillTint="33"/>
    </w:tcPr>
    <w:tblStylePr w:type="firstRow">
      <w:rPr>
        <w:b/>
        <w:bCs/>
      </w:rPr>
      <w:tblPr/>
      <w:tcPr>
        <w:shd w:val="clear" w:color="auto" w:fill="ABB7E0" w:themeFill="accent1" w:themeFillTint="66"/>
      </w:tcPr>
    </w:tblStylePr>
    <w:tblStylePr w:type="lastRow">
      <w:rPr>
        <w:b/>
        <w:bCs/>
        <w:color w:val="000000" w:themeColor="text1"/>
      </w:rPr>
      <w:tblPr/>
      <w:tcPr>
        <w:shd w:val="clear" w:color="auto" w:fill="ABB7E0" w:themeFill="accent1" w:themeFillTint="66"/>
      </w:tcPr>
    </w:tblStylePr>
    <w:tblStylePr w:type="firstCol">
      <w:rPr>
        <w:color w:val="FFFFFF" w:themeColor="background1"/>
      </w:rPr>
      <w:tblPr/>
      <w:tcPr>
        <w:shd w:val="clear" w:color="auto" w:fill="2D3E7B" w:themeFill="accent1" w:themeFillShade="BF"/>
      </w:tcPr>
    </w:tblStylePr>
    <w:tblStylePr w:type="lastCol">
      <w:rPr>
        <w:color w:val="FFFFFF" w:themeColor="background1"/>
      </w:rPr>
      <w:tblPr/>
      <w:tcPr>
        <w:shd w:val="clear" w:color="auto" w:fill="2D3E7B" w:themeFill="accent1" w:themeFillShade="BF"/>
      </w:tcPr>
    </w:tblStylePr>
    <w:tblStylePr w:type="band1Vert">
      <w:tblPr/>
      <w:tcPr>
        <w:shd w:val="clear" w:color="auto" w:fill="96A5D9" w:themeFill="accent1" w:themeFillTint="7F"/>
      </w:tcPr>
    </w:tblStylePr>
    <w:tblStylePr w:type="band1Horz">
      <w:tblPr/>
      <w:tcPr>
        <w:shd w:val="clear" w:color="auto" w:fill="96A5D9" w:themeFill="accent1" w:themeFillTint="7F"/>
      </w:tcPr>
    </w:tblStylePr>
  </w:style>
  <w:style w:type="table" w:styleId="ColorfulGrid-Accent2">
    <w:name w:val="Colorful Grid Accent 2"/>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DE0" w:themeFill="accent2" w:themeFillTint="33"/>
    </w:tcPr>
    <w:tblStylePr w:type="firstRow">
      <w:rPr>
        <w:b/>
        <w:bCs/>
      </w:rPr>
      <w:tblPr/>
      <w:tcPr>
        <w:shd w:val="clear" w:color="auto" w:fill="B8BBC2" w:themeFill="accent2" w:themeFillTint="66"/>
      </w:tcPr>
    </w:tblStylePr>
    <w:tblStylePr w:type="lastRow">
      <w:rPr>
        <w:b/>
        <w:bCs/>
        <w:color w:val="000000" w:themeColor="text1"/>
      </w:rPr>
      <w:tblPr/>
      <w:tcPr>
        <w:shd w:val="clear" w:color="auto" w:fill="B8BBC2" w:themeFill="accent2" w:themeFillTint="66"/>
      </w:tcPr>
    </w:tblStylePr>
    <w:tblStylePr w:type="firstCol">
      <w:rPr>
        <w:color w:val="FFFFFF" w:themeColor="background1"/>
      </w:rPr>
      <w:tblPr/>
      <w:tcPr>
        <w:shd w:val="clear" w:color="auto" w:fill="3F4148" w:themeFill="accent2" w:themeFillShade="BF"/>
      </w:tcPr>
    </w:tblStylePr>
    <w:tblStylePr w:type="lastCol">
      <w:rPr>
        <w:color w:val="FFFFFF" w:themeColor="background1"/>
      </w:rPr>
      <w:tblPr/>
      <w:tcPr>
        <w:shd w:val="clear" w:color="auto" w:fill="3F4148" w:themeFill="accent2" w:themeFillShade="BF"/>
      </w:tcPr>
    </w:tblStylePr>
    <w:tblStylePr w:type="band1Vert">
      <w:tblPr/>
      <w:tcPr>
        <w:shd w:val="clear" w:color="auto" w:fill="A7AAB3" w:themeFill="accent2" w:themeFillTint="7F"/>
      </w:tcPr>
    </w:tblStylePr>
    <w:tblStylePr w:type="band1Horz">
      <w:tblPr/>
      <w:tcPr>
        <w:shd w:val="clear" w:color="auto" w:fill="A7AAB3" w:themeFill="accent2" w:themeFillTint="7F"/>
      </w:tcPr>
    </w:tblStylePr>
  </w:style>
  <w:style w:type="table" w:styleId="ColorfulGrid-Accent3">
    <w:name w:val="Colorful Grid Accent 3"/>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DCF" w:themeFill="accent3" w:themeFillTint="33"/>
    </w:tcPr>
    <w:tblStylePr w:type="firstRow">
      <w:rPr>
        <w:b/>
        <w:bCs/>
      </w:rPr>
      <w:tblPr/>
      <w:tcPr>
        <w:shd w:val="clear" w:color="auto" w:fill="F7DC9F" w:themeFill="accent3" w:themeFillTint="66"/>
      </w:tcPr>
    </w:tblStylePr>
    <w:tblStylePr w:type="lastRow">
      <w:rPr>
        <w:b/>
        <w:bCs/>
        <w:color w:val="000000" w:themeColor="text1"/>
      </w:rPr>
      <w:tblPr/>
      <w:tcPr>
        <w:shd w:val="clear" w:color="auto" w:fill="F7DC9F" w:themeFill="accent3" w:themeFillTint="66"/>
      </w:tcPr>
    </w:tblStylePr>
    <w:tblStylePr w:type="firstCol">
      <w:rPr>
        <w:color w:val="FFFFFF" w:themeColor="background1"/>
      </w:rPr>
      <w:tblPr/>
      <w:tcPr>
        <w:shd w:val="clear" w:color="auto" w:fill="AE7E0E" w:themeFill="accent3" w:themeFillShade="BF"/>
      </w:tcPr>
    </w:tblStylePr>
    <w:tblStylePr w:type="lastCol">
      <w:rPr>
        <w:color w:val="FFFFFF" w:themeColor="background1"/>
      </w:rPr>
      <w:tblPr/>
      <w:tcPr>
        <w:shd w:val="clear" w:color="auto" w:fill="AE7E0E" w:themeFill="accent3" w:themeFillShade="BF"/>
      </w:tcPr>
    </w:tblStylePr>
    <w:tblStylePr w:type="band1Vert">
      <w:tblPr/>
      <w:tcPr>
        <w:shd w:val="clear" w:color="auto" w:fill="F5D488" w:themeFill="accent3" w:themeFillTint="7F"/>
      </w:tcPr>
    </w:tblStylePr>
    <w:tblStylePr w:type="band1Horz">
      <w:tblPr/>
      <w:tcPr>
        <w:shd w:val="clear" w:color="auto" w:fill="F5D488" w:themeFill="accent3" w:themeFillTint="7F"/>
      </w:tcPr>
    </w:tblStylePr>
  </w:style>
  <w:style w:type="table" w:styleId="ColorfulGrid-Accent4">
    <w:name w:val="Colorful Grid Accent 4"/>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C9E9" w:themeFill="accent4" w:themeFillTint="33"/>
    </w:tcPr>
    <w:tblStylePr w:type="firstRow">
      <w:rPr>
        <w:b/>
        <w:bCs/>
      </w:rPr>
      <w:tblPr/>
      <w:tcPr>
        <w:shd w:val="clear" w:color="auto" w:fill="C394D4" w:themeFill="accent4" w:themeFillTint="66"/>
      </w:tcPr>
    </w:tblStylePr>
    <w:tblStylePr w:type="lastRow">
      <w:rPr>
        <w:b/>
        <w:bCs/>
        <w:color w:val="000000" w:themeColor="text1"/>
      </w:rPr>
      <w:tblPr/>
      <w:tcPr>
        <w:shd w:val="clear" w:color="auto" w:fill="C394D4" w:themeFill="accent4" w:themeFillTint="66"/>
      </w:tcPr>
    </w:tblStylePr>
    <w:tblStylePr w:type="firstCol">
      <w:rPr>
        <w:color w:val="FFFFFF" w:themeColor="background1"/>
      </w:rPr>
      <w:tblPr/>
      <w:tcPr>
        <w:shd w:val="clear" w:color="auto" w:fill="3D1D48" w:themeFill="accent4" w:themeFillShade="BF"/>
      </w:tcPr>
    </w:tblStylePr>
    <w:tblStylePr w:type="lastCol">
      <w:rPr>
        <w:color w:val="FFFFFF" w:themeColor="background1"/>
      </w:rPr>
      <w:tblPr/>
      <w:tcPr>
        <w:shd w:val="clear" w:color="auto" w:fill="3D1D48" w:themeFill="accent4" w:themeFillShade="BF"/>
      </w:tcPr>
    </w:tblStylePr>
    <w:tblStylePr w:type="band1Vert">
      <w:tblPr/>
      <w:tcPr>
        <w:shd w:val="clear" w:color="auto" w:fill="B57AC9" w:themeFill="accent4" w:themeFillTint="7F"/>
      </w:tcPr>
    </w:tblStylePr>
    <w:tblStylePr w:type="band1Horz">
      <w:tblPr/>
      <w:tcPr>
        <w:shd w:val="clear" w:color="auto" w:fill="B57AC9" w:themeFill="accent4" w:themeFillTint="7F"/>
      </w:tcPr>
    </w:tblStylePr>
  </w:style>
  <w:style w:type="table" w:styleId="ColorfulGrid-Accent5">
    <w:name w:val="Colorful Grid Accent 5"/>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EF" w:themeFill="accent5" w:themeFillTint="33"/>
    </w:tcPr>
    <w:tblStylePr w:type="firstRow">
      <w:rPr>
        <w:b/>
        <w:bCs/>
      </w:rPr>
      <w:tblPr/>
      <w:tcPr>
        <w:shd w:val="clear" w:color="auto" w:fill="ABB7E0" w:themeFill="accent5" w:themeFillTint="66"/>
      </w:tcPr>
    </w:tblStylePr>
    <w:tblStylePr w:type="lastRow">
      <w:rPr>
        <w:b/>
        <w:bCs/>
        <w:color w:val="000000" w:themeColor="text1"/>
      </w:rPr>
      <w:tblPr/>
      <w:tcPr>
        <w:shd w:val="clear" w:color="auto" w:fill="ABB7E0" w:themeFill="accent5" w:themeFillTint="66"/>
      </w:tcPr>
    </w:tblStylePr>
    <w:tblStylePr w:type="firstCol">
      <w:rPr>
        <w:color w:val="FFFFFF" w:themeColor="background1"/>
      </w:rPr>
      <w:tblPr/>
      <w:tcPr>
        <w:shd w:val="clear" w:color="auto" w:fill="2D3E7B" w:themeFill="accent5" w:themeFillShade="BF"/>
      </w:tcPr>
    </w:tblStylePr>
    <w:tblStylePr w:type="lastCol">
      <w:rPr>
        <w:color w:val="FFFFFF" w:themeColor="background1"/>
      </w:rPr>
      <w:tblPr/>
      <w:tcPr>
        <w:shd w:val="clear" w:color="auto" w:fill="2D3E7B" w:themeFill="accent5" w:themeFillShade="BF"/>
      </w:tcPr>
    </w:tblStylePr>
    <w:tblStylePr w:type="band1Vert">
      <w:tblPr/>
      <w:tcPr>
        <w:shd w:val="clear" w:color="auto" w:fill="96A5D9" w:themeFill="accent5" w:themeFillTint="7F"/>
      </w:tcPr>
    </w:tblStylePr>
    <w:tblStylePr w:type="band1Horz">
      <w:tblPr/>
      <w:tcPr>
        <w:shd w:val="clear" w:color="auto" w:fill="96A5D9" w:themeFill="accent5" w:themeFillTint="7F"/>
      </w:tcPr>
    </w:tblStylePr>
  </w:style>
  <w:style w:type="table" w:styleId="ColorfulGrid-Accent6">
    <w:name w:val="Colorful Grid Accent 6"/>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DE0" w:themeFill="accent6" w:themeFillTint="33"/>
    </w:tcPr>
    <w:tblStylePr w:type="firstRow">
      <w:rPr>
        <w:b/>
        <w:bCs/>
      </w:rPr>
      <w:tblPr/>
      <w:tcPr>
        <w:shd w:val="clear" w:color="auto" w:fill="B8BBC2" w:themeFill="accent6" w:themeFillTint="66"/>
      </w:tcPr>
    </w:tblStylePr>
    <w:tblStylePr w:type="lastRow">
      <w:rPr>
        <w:b/>
        <w:bCs/>
        <w:color w:val="000000" w:themeColor="text1"/>
      </w:rPr>
      <w:tblPr/>
      <w:tcPr>
        <w:shd w:val="clear" w:color="auto" w:fill="B8BBC2" w:themeFill="accent6" w:themeFillTint="66"/>
      </w:tcPr>
    </w:tblStylePr>
    <w:tblStylePr w:type="firstCol">
      <w:rPr>
        <w:color w:val="FFFFFF" w:themeColor="background1"/>
      </w:rPr>
      <w:tblPr/>
      <w:tcPr>
        <w:shd w:val="clear" w:color="auto" w:fill="3F4148" w:themeFill="accent6" w:themeFillShade="BF"/>
      </w:tcPr>
    </w:tblStylePr>
    <w:tblStylePr w:type="lastCol">
      <w:rPr>
        <w:color w:val="FFFFFF" w:themeColor="background1"/>
      </w:rPr>
      <w:tblPr/>
      <w:tcPr>
        <w:shd w:val="clear" w:color="auto" w:fill="3F4148" w:themeFill="accent6" w:themeFillShade="BF"/>
      </w:tcPr>
    </w:tblStylePr>
    <w:tblStylePr w:type="band1Vert">
      <w:tblPr/>
      <w:tcPr>
        <w:shd w:val="clear" w:color="auto" w:fill="A7AAB3" w:themeFill="accent6" w:themeFillTint="7F"/>
      </w:tcPr>
    </w:tblStylePr>
    <w:tblStylePr w:type="band1Horz">
      <w:tblPr/>
      <w:tcPr>
        <w:shd w:val="clear" w:color="auto" w:fill="A7AAB3" w:themeFill="accent6" w:themeFillTint="7F"/>
      </w:tcPr>
    </w:tblStylePr>
  </w:style>
  <w:style w:type="table" w:styleId="ColorfulList">
    <w:name w:val="Colorful List"/>
    <w:basedOn w:val="TableNormal"/>
    <w:uiPriority w:val="72"/>
    <w:semiHidden/>
    <w:rsid w:val="003E273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E273C"/>
    <w:pPr>
      <w:spacing w:after="0" w:line="240" w:lineRule="auto"/>
    </w:pPr>
    <w:rPr>
      <w:color w:val="000000" w:themeColor="text1"/>
    </w:rPr>
    <w:tblPr>
      <w:tblStyleRowBandSize w:val="1"/>
      <w:tblStyleColBandSize w:val="1"/>
    </w:tblPr>
    <w:tcPr>
      <w:shd w:val="clear" w:color="auto" w:fill="EAEDF7" w:themeFill="accent1"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EC" w:themeFill="accent1" w:themeFillTint="3F"/>
      </w:tcPr>
    </w:tblStylePr>
    <w:tblStylePr w:type="band1Horz">
      <w:tblPr/>
      <w:tcPr>
        <w:shd w:val="clear" w:color="auto" w:fill="D5DBEF" w:themeFill="accent1" w:themeFillTint="33"/>
      </w:tcPr>
    </w:tblStylePr>
  </w:style>
  <w:style w:type="table" w:styleId="ColorfulList-Accent2">
    <w:name w:val="Colorful List Accent 2"/>
    <w:basedOn w:val="TableNormal"/>
    <w:uiPriority w:val="72"/>
    <w:semiHidden/>
    <w:rsid w:val="003E273C"/>
    <w:pPr>
      <w:spacing w:after="0" w:line="240" w:lineRule="auto"/>
    </w:pPr>
    <w:rPr>
      <w:color w:val="000000" w:themeColor="text1"/>
    </w:rPr>
    <w:tblPr>
      <w:tblStyleRowBandSize w:val="1"/>
      <w:tblStyleColBandSize w:val="1"/>
    </w:tblPr>
    <w:tcPr>
      <w:shd w:val="clear" w:color="auto" w:fill="EDEEF0" w:themeFill="accent2"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9" w:themeFill="accent2" w:themeFillTint="3F"/>
      </w:tcPr>
    </w:tblStylePr>
    <w:tblStylePr w:type="band1Horz">
      <w:tblPr/>
      <w:tcPr>
        <w:shd w:val="clear" w:color="auto" w:fill="DBDDE0" w:themeFill="accent2" w:themeFillTint="33"/>
      </w:tcPr>
    </w:tblStylePr>
  </w:style>
  <w:style w:type="table" w:styleId="ColorfulList-Accent3">
    <w:name w:val="Colorful List Accent 3"/>
    <w:basedOn w:val="TableNormal"/>
    <w:uiPriority w:val="72"/>
    <w:semiHidden/>
    <w:rsid w:val="003E273C"/>
    <w:pPr>
      <w:spacing w:after="0" w:line="240" w:lineRule="auto"/>
    </w:pPr>
    <w:rPr>
      <w:color w:val="000000" w:themeColor="text1"/>
    </w:rPr>
    <w:tblPr>
      <w:tblStyleRowBandSize w:val="1"/>
      <w:tblStyleColBandSize w:val="1"/>
    </w:tblPr>
    <w:tcPr>
      <w:shd w:val="clear" w:color="auto" w:fill="FDF6E7" w:themeFill="accent3" w:themeFillTint="19"/>
    </w:tcPr>
    <w:tblStylePr w:type="firstRow">
      <w:rPr>
        <w:b/>
        <w:bCs/>
        <w:color w:val="FFFFFF" w:themeColor="background1"/>
      </w:rPr>
      <w:tblPr/>
      <w:tcPr>
        <w:tcBorders>
          <w:bottom w:val="single" w:sz="12" w:space="0" w:color="FFFFFF" w:themeColor="background1"/>
        </w:tcBorders>
        <w:shd w:val="clear" w:color="auto" w:fill="411F4D" w:themeFill="accent4" w:themeFillShade="CC"/>
      </w:tcPr>
    </w:tblStylePr>
    <w:tblStylePr w:type="lastRow">
      <w:rPr>
        <w:b/>
        <w:bCs/>
        <w:color w:val="411F4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9C3" w:themeFill="accent3" w:themeFillTint="3F"/>
      </w:tcPr>
    </w:tblStylePr>
    <w:tblStylePr w:type="band1Horz">
      <w:tblPr/>
      <w:tcPr>
        <w:shd w:val="clear" w:color="auto" w:fill="FBEDCF" w:themeFill="accent3" w:themeFillTint="33"/>
      </w:tcPr>
    </w:tblStylePr>
  </w:style>
  <w:style w:type="table" w:styleId="ColorfulList-Accent4">
    <w:name w:val="Colorful List Accent 4"/>
    <w:basedOn w:val="TableNormal"/>
    <w:uiPriority w:val="72"/>
    <w:semiHidden/>
    <w:rsid w:val="003E273C"/>
    <w:pPr>
      <w:spacing w:after="0" w:line="240" w:lineRule="auto"/>
    </w:pPr>
    <w:rPr>
      <w:color w:val="000000" w:themeColor="text1"/>
    </w:rPr>
    <w:tblPr>
      <w:tblStyleRowBandSize w:val="1"/>
      <w:tblStyleColBandSize w:val="1"/>
    </w:tblPr>
    <w:tcPr>
      <w:shd w:val="clear" w:color="auto" w:fill="F0E4F4" w:themeFill="accent4" w:themeFillTint="19"/>
    </w:tcPr>
    <w:tblStylePr w:type="firstRow">
      <w:rPr>
        <w:b/>
        <w:bCs/>
        <w:color w:val="FFFFFF" w:themeColor="background1"/>
      </w:rPr>
      <w:tblPr/>
      <w:tcPr>
        <w:tcBorders>
          <w:bottom w:val="single" w:sz="12" w:space="0" w:color="FFFFFF" w:themeColor="background1"/>
        </w:tcBorders>
        <w:shd w:val="clear" w:color="auto" w:fill="BA860F" w:themeFill="accent3" w:themeFillShade="CC"/>
      </w:tcPr>
    </w:tblStylePr>
    <w:tblStylePr w:type="lastRow">
      <w:rPr>
        <w:b/>
        <w:bCs/>
        <w:color w:val="BA86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BCE4" w:themeFill="accent4" w:themeFillTint="3F"/>
      </w:tcPr>
    </w:tblStylePr>
    <w:tblStylePr w:type="band1Horz">
      <w:tblPr/>
      <w:tcPr>
        <w:shd w:val="clear" w:color="auto" w:fill="E1C9E9" w:themeFill="accent4" w:themeFillTint="33"/>
      </w:tcPr>
    </w:tblStylePr>
  </w:style>
  <w:style w:type="table" w:styleId="ColorfulList-Accent5">
    <w:name w:val="Colorful List Accent 5"/>
    <w:basedOn w:val="TableNormal"/>
    <w:uiPriority w:val="72"/>
    <w:semiHidden/>
    <w:rsid w:val="003E273C"/>
    <w:pPr>
      <w:spacing w:after="0" w:line="240" w:lineRule="auto"/>
    </w:pPr>
    <w:rPr>
      <w:color w:val="000000" w:themeColor="text1"/>
    </w:rPr>
    <w:tblPr>
      <w:tblStyleRowBandSize w:val="1"/>
      <w:tblStyleColBandSize w:val="1"/>
    </w:tblPr>
    <w:tcPr>
      <w:shd w:val="clear" w:color="auto" w:fill="EAEDF7" w:themeFill="accent5" w:themeFillTint="19"/>
    </w:tcPr>
    <w:tblStylePr w:type="firstRow">
      <w:rPr>
        <w:b/>
        <w:bCs/>
        <w:color w:val="FFFFFF" w:themeColor="background1"/>
      </w:rPr>
      <w:tblPr/>
      <w:tcPr>
        <w:tcBorders>
          <w:bottom w:val="single" w:sz="12" w:space="0" w:color="FFFFFF" w:themeColor="background1"/>
        </w:tcBorders>
        <w:shd w:val="clear" w:color="auto" w:fill="43464D" w:themeFill="accent6" w:themeFillShade="CC"/>
      </w:tcPr>
    </w:tblStylePr>
    <w:tblStylePr w:type="lastRow">
      <w:rPr>
        <w:b/>
        <w:bCs/>
        <w:color w:val="43464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EC" w:themeFill="accent5" w:themeFillTint="3F"/>
      </w:tcPr>
    </w:tblStylePr>
    <w:tblStylePr w:type="band1Horz">
      <w:tblPr/>
      <w:tcPr>
        <w:shd w:val="clear" w:color="auto" w:fill="D5DBEF" w:themeFill="accent5" w:themeFillTint="33"/>
      </w:tcPr>
    </w:tblStylePr>
  </w:style>
  <w:style w:type="table" w:styleId="ColorfulList-Accent6">
    <w:name w:val="Colorful List Accent 6"/>
    <w:basedOn w:val="TableNormal"/>
    <w:uiPriority w:val="72"/>
    <w:semiHidden/>
    <w:rsid w:val="003E273C"/>
    <w:pPr>
      <w:spacing w:after="0" w:line="240" w:lineRule="auto"/>
    </w:pPr>
    <w:rPr>
      <w:color w:val="000000" w:themeColor="text1"/>
    </w:rPr>
    <w:tblPr>
      <w:tblStyleRowBandSize w:val="1"/>
      <w:tblStyleColBandSize w:val="1"/>
    </w:tblPr>
    <w:tcPr>
      <w:shd w:val="clear" w:color="auto" w:fill="EDEEF0" w:themeFill="accent6" w:themeFillTint="19"/>
    </w:tcPr>
    <w:tblStylePr w:type="firstRow">
      <w:rPr>
        <w:b/>
        <w:bCs/>
        <w:color w:val="FFFFFF" w:themeColor="background1"/>
      </w:rPr>
      <w:tblPr/>
      <w:tcPr>
        <w:tcBorders>
          <w:bottom w:val="single" w:sz="12" w:space="0" w:color="FFFFFF" w:themeColor="background1"/>
        </w:tcBorders>
        <w:shd w:val="clear" w:color="auto" w:fill="304384" w:themeFill="accent5" w:themeFillShade="CC"/>
      </w:tcPr>
    </w:tblStylePr>
    <w:tblStylePr w:type="lastRow">
      <w:rPr>
        <w:b/>
        <w:bCs/>
        <w:color w:val="30438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9" w:themeFill="accent6" w:themeFillTint="3F"/>
      </w:tcPr>
    </w:tblStylePr>
    <w:tblStylePr w:type="band1Horz">
      <w:tblPr/>
      <w:tcPr>
        <w:shd w:val="clear" w:color="auto" w:fill="DBDDE0" w:themeFill="accent6" w:themeFillTint="33"/>
      </w:tcPr>
    </w:tblStylePr>
  </w:style>
  <w:style w:type="table" w:styleId="ColorfulShading">
    <w:name w:val="Colorful Shading"/>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3C54A5" w:themeColor="accent1"/>
        <w:bottom w:val="single" w:sz="4" w:space="0" w:color="3C54A5" w:themeColor="accent1"/>
        <w:right w:val="single" w:sz="4" w:space="0" w:color="3C54A5" w:themeColor="accent1"/>
        <w:insideH w:val="single" w:sz="4" w:space="0" w:color="FFFFFF" w:themeColor="background1"/>
        <w:insideV w:val="single" w:sz="4" w:space="0" w:color="FFFFFF" w:themeColor="background1"/>
      </w:tblBorders>
    </w:tblPr>
    <w:tcPr>
      <w:shd w:val="clear" w:color="auto" w:fill="EAEDF7" w:themeFill="accent1"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263" w:themeFill="accent1" w:themeFillShade="99"/>
      </w:tcPr>
    </w:tblStylePr>
    <w:tblStylePr w:type="firstCol">
      <w:rPr>
        <w:color w:val="FFFFFF" w:themeColor="background1"/>
      </w:rPr>
      <w:tblPr/>
      <w:tcPr>
        <w:tcBorders>
          <w:top w:val="nil"/>
          <w:left w:val="nil"/>
          <w:bottom w:val="nil"/>
          <w:right w:val="nil"/>
          <w:insideH w:val="single" w:sz="4" w:space="0" w:color="243263" w:themeColor="accent1" w:themeShade="99"/>
          <w:insideV w:val="nil"/>
        </w:tcBorders>
        <w:shd w:val="clear" w:color="auto" w:fill="2432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43263" w:themeFill="accent1" w:themeFillShade="99"/>
      </w:tcPr>
    </w:tblStylePr>
    <w:tblStylePr w:type="band1Vert">
      <w:tblPr/>
      <w:tcPr>
        <w:shd w:val="clear" w:color="auto" w:fill="ABB7E0" w:themeFill="accent1" w:themeFillTint="66"/>
      </w:tcPr>
    </w:tblStylePr>
    <w:tblStylePr w:type="band1Horz">
      <w:tblPr/>
      <w:tcPr>
        <w:shd w:val="clear" w:color="auto" w:fill="96A5D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545861" w:themeColor="accent2"/>
        <w:bottom w:val="single" w:sz="4" w:space="0" w:color="545861" w:themeColor="accent2"/>
        <w:right w:val="single" w:sz="4" w:space="0" w:color="545861" w:themeColor="accent2"/>
        <w:insideH w:val="single" w:sz="4" w:space="0" w:color="FFFFFF" w:themeColor="background1"/>
        <w:insideV w:val="single" w:sz="4" w:space="0" w:color="FFFFFF" w:themeColor="background1"/>
      </w:tblBorders>
    </w:tblPr>
    <w:tcPr>
      <w:shd w:val="clear" w:color="auto" w:fill="EDEEF0" w:themeFill="accent2"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43A" w:themeFill="accent2" w:themeFillShade="99"/>
      </w:tcPr>
    </w:tblStylePr>
    <w:tblStylePr w:type="firstCol">
      <w:rPr>
        <w:color w:val="FFFFFF" w:themeColor="background1"/>
      </w:rPr>
      <w:tblPr/>
      <w:tcPr>
        <w:tcBorders>
          <w:top w:val="nil"/>
          <w:left w:val="nil"/>
          <w:bottom w:val="nil"/>
          <w:right w:val="nil"/>
          <w:insideH w:val="single" w:sz="4" w:space="0" w:color="32343A" w:themeColor="accent2" w:themeShade="99"/>
          <w:insideV w:val="nil"/>
        </w:tcBorders>
        <w:shd w:val="clear" w:color="auto" w:fill="3234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2343A" w:themeFill="accent2" w:themeFillShade="99"/>
      </w:tcPr>
    </w:tblStylePr>
    <w:tblStylePr w:type="band1Vert">
      <w:tblPr/>
      <w:tcPr>
        <w:shd w:val="clear" w:color="auto" w:fill="B8BBC2" w:themeFill="accent2" w:themeFillTint="66"/>
      </w:tcPr>
    </w:tblStylePr>
    <w:tblStylePr w:type="band1Horz">
      <w:tblPr/>
      <w:tcPr>
        <w:shd w:val="clear" w:color="auto" w:fill="A7AAB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22761" w:themeColor="accent4"/>
        <w:left w:val="single" w:sz="4" w:space="0" w:color="E9A913" w:themeColor="accent3"/>
        <w:bottom w:val="single" w:sz="4" w:space="0" w:color="E9A913" w:themeColor="accent3"/>
        <w:right w:val="single" w:sz="4" w:space="0" w:color="E9A913" w:themeColor="accent3"/>
        <w:insideH w:val="single" w:sz="4" w:space="0" w:color="FFFFFF" w:themeColor="background1"/>
        <w:insideV w:val="single" w:sz="4" w:space="0" w:color="FFFFFF" w:themeColor="background1"/>
      </w:tblBorders>
    </w:tblPr>
    <w:tcPr>
      <w:shd w:val="clear" w:color="auto" w:fill="FDF6E7" w:themeFill="accent3" w:themeFillTint="19"/>
    </w:tcPr>
    <w:tblStylePr w:type="firstRow">
      <w:rPr>
        <w:b/>
        <w:bCs/>
      </w:rPr>
      <w:tblPr/>
      <w:tcPr>
        <w:tcBorders>
          <w:top w:val="nil"/>
          <w:left w:val="nil"/>
          <w:bottom w:val="single" w:sz="24" w:space="0" w:color="52276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640B" w:themeFill="accent3" w:themeFillShade="99"/>
      </w:tcPr>
    </w:tblStylePr>
    <w:tblStylePr w:type="firstCol">
      <w:rPr>
        <w:color w:val="FFFFFF" w:themeColor="background1"/>
      </w:rPr>
      <w:tblPr/>
      <w:tcPr>
        <w:tcBorders>
          <w:top w:val="nil"/>
          <w:left w:val="nil"/>
          <w:bottom w:val="nil"/>
          <w:right w:val="nil"/>
          <w:insideH w:val="single" w:sz="4" w:space="0" w:color="8B640B" w:themeColor="accent3" w:themeShade="99"/>
          <w:insideV w:val="nil"/>
        </w:tcBorders>
        <w:shd w:val="clear" w:color="auto" w:fill="8B64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640B" w:themeFill="accent3" w:themeFillShade="99"/>
      </w:tcPr>
    </w:tblStylePr>
    <w:tblStylePr w:type="band1Vert">
      <w:tblPr/>
      <w:tcPr>
        <w:shd w:val="clear" w:color="auto" w:fill="F7DC9F" w:themeFill="accent3" w:themeFillTint="66"/>
      </w:tcPr>
    </w:tblStylePr>
    <w:tblStylePr w:type="band1Horz">
      <w:tblPr/>
      <w:tcPr>
        <w:shd w:val="clear" w:color="auto" w:fill="F5D488" w:themeFill="accent3" w:themeFillTint="7F"/>
      </w:tcPr>
    </w:tblStylePr>
  </w:style>
  <w:style w:type="table" w:styleId="ColorfulShading-Accent4">
    <w:name w:val="Colorful Shading Accent 4"/>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E9A913" w:themeColor="accent3"/>
        <w:left w:val="single" w:sz="4" w:space="0" w:color="522761" w:themeColor="accent4"/>
        <w:bottom w:val="single" w:sz="4" w:space="0" w:color="522761" w:themeColor="accent4"/>
        <w:right w:val="single" w:sz="4" w:space="0" w:color="522761" w:themeColor="accent4"/>
        <w:insideH w:val="single" w:sz="4" w:space="0" w:color="FFFFFF" w:themeColor="background1"/>
        <w:insideV w:val="single" w:sz="4" w:space="0" w:color="FFFFFF" w:themeColor="background1"/>
      </w:tblBorders>
    </w:tblPr>
    <w:tcPr>
      <w:shd w:val="clear" w:color="auto" w:fill="F0E4F4" w:themeFill="accent4" w:themeFillTint="19"/>
    </w:tcPr>
    <w:tblStylePr w:type="firstRow">
      <w:rPr>
        <w:b/>
        <w:bCs/>
      </w:rPr>
      <w:tblPr/>
      <w:tcPr>
        <w:tcBorders>
          <w:top w:val="nil"/>
          <w:left w:val="nil"/>
          <w:bottom w:val="single" w:sz="24" w:space="0" w:color="E9A91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739" w:themeFill="accent4" w:themeFillShade="99"/>
      </w:tcPr>
    </w:tblStylePr>
    <w:tblStylePr w:type="firstCol">
      <w:rPr>
        <w:color w:val="FFFFFF" w:themeColor="background1"/>
      </w:rPr>
      <w:tblPr/>
      <w:tcPr>
        <w:tcBorders>
          <w:top w:val="nil"/>
          <w:left w:val="nil"/>
          <w:bottom w:val="nil"/>
          <w:right w:val="nil"/>
          <w:insideH w:val="single" w:sz="4" w:space="0" w:color="301739" w:themeColor="accent4" w:themeShade="99"/>
          <w:insideV w:val="nil"/>
        </w:tcBorders>
        <w:shd w:val="clear" w:color="auto" w:fill="30173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01739" w:themeFill="accent4" w:themeFillShade="99"/>
      </w:tcPr>
    </w:tblStylePr>
    <w:tblStylePr w:type="band1Vert">
      <w:tblPr/>
      <w:tcPr>
        <w:shd w:val="clear" w:color="auto" w:fill="C394D4" w:themeFill="accent4" w:themeFillTint="66"/>
      </w:tcPr>
    </w:tblStylePr>
    <w:tblStylePr w:type="band1Horz">
      <w:tblPr/>
      <w:tcPr>
        <w:shd w:val="clear" w:color="auto" w:fill="B57AC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6"/>
        <w:left w:val="single" w:sz="4" w:space="0" w:color="3C54A5" w:themeColor="accent5"/>
        <w:bottom w:val="single" w:sz="4" w:space="0" w:color="3C54A5" w:themeColor="accent5"/>
        <w:right w:val="single" w:sz="4" w:space="0" w:color="3C54A5" w:themeColor="accent5"/>
        <w:insideH w:val="single" w:sz="4" w:space="0" w:color="FFFFFF" w:themeColor="background1"/>
        <w:insideV w:val="single" w:sz="4" w:space="0" w:color="FFFFFF" w:themeColor="background1"/>
      </w:tblBorders>
    </w:tblPr>
    <w:tcPr>
      <w:shd w:val="clear" w:color="auto" w:fill="EAEDF7" w:themeFill="accent5" w:themeFillTint="19"/>
    </w:tcPr>
    <w:tblStylePr w:type="firstRow">
      <w:rPr>
        <w:b/>
        <w:bCs/>
      </w:rPr>
      <w:tblPr/>
      <w:tcPr>
        <w:tcBorders>
          <w:top w:val="nil"/>
          <w:left w:val="nil"/>
          <w:bottom w:val="single" w:sz="24" w:space="0" w:color="54586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263" w:themeFill="accent5" w:themeFillShade="99"/>
      </w:tcPr>
    </w:tblStylePr>
    <w:tblStylePr w:type="firstCol">
      <w:rPr>
        <w:color w:val="FFFFFF" w:themeColor="background1"/>
      </w:rPr>
      <w:tblPr/>
      <w:tcPr>
        <w:tcBorders>
          <w:top w:val="nil"/>
          <w:left w:val="nil"/>
          <w:bottom w:val="nil"/>
          <w:right w:val="nil"/>
          <w:insideH w:val="single" w:sz="4" w:space="0" w:color="243263" w:themeColor="accent5" w:themeShade="99"/>
          <w:insideV w:val="nil"/>
        </w:tcBorders>
        <w:shd w:val="clear" w:color="auto" w:fill="24326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43263" w:themeFill="accent5" w:themeFillShade="99"/>
      </w:tcPr>
    </w:tblStylePr>
    <w:tblStylePr w:type="band1Vert">
      <w:tblPr/>
      <w:tcPr>
        <w:shd w:val="clear" w:color="auto" w:fill="ABB7E0" w:themeFill="accent5" w:themeFillTint="66"/>
      </w:tcPr>
    </w:tblStylePr>
    <w:tblStylePr w:type="band1Horz">
      <w:tblPr/>
      <w:tcPr>
        <w:shd w:val="clear" w:color="auto" w:fill="96A5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3C54A5" w:themeColor="accent5"/>
        <w:left w:val="single" w:sz="4" w:space="0" w:color="545861" w:themeColor="accent6"/>
        <w:bottom w:val="single" w:sz="4" w:space="0" w:color="545861" w:themeColor="accent6"/>
        <w:right w:val="single" w:sz="4" w:space="0" w:color="545861" w:themeColor="accent6"/>
        <w:insideH w:val="single" w:sz="4" w:space="0" w:color="FFFFFF" w:themeColor="background1"/>
        <w:insideV w:val="single" w:sz="4" w:space="0" w:color="FFFFFF" w:themeColor="background1"/>
      </w:tblBorders>
    </w:tblPr>
    <w:tcPr>
      <w:shd w:val="clear" w:color="auto" w:fill="EDEEF0" w:themeFill="accent6" w:themeFillTint="19"/>
    </w:tcPr>
    <w:tblStylePr w:type="firstRow">
      <w:rPr>
        <w:b/>
        <w:bCs/>
      </w:rPr>
      <w:tblPr/>
      <w:tcPr>
        <w:tcBorders>
          <w:top w:val="nil"/>
          <w:left w:val="nil"/>
          <w:bottom w:val="single" w:sz="24" w:space="0" w:color="3C54A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43A" w:themeFill="accent6" w:themeFillShade="99"/>
      </w:tcPr>
    </w:tblStylePr>
    <w:tblStylePr w:type="firstCol">
      <w:rPr>
        <w:color w:val="FFFFFF" w:themeColor="background1"/>
      </w:rPr>
      <w:tblPr/>
      <w:tcPr>
        <w:tcBorders>
          <w:top w:val="nil"/>
          <w:left w:val="nil"/>
          <w:bottom w:val="nil"/>
          <w:right w:val="nil"/>
          <w:insideH w:val="single" w:sz="4" w:space="0" w:color="32343A" w:themeColor="accent6" w:themeShade="99"/>
          <w:insideV w:val="nil"/>
        </w:tcBorders>
        <w:shd w:val="clear" w:color="auto" w:fill="32343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2343A" w:themeFill="accent6" w:themeFillShade="99"/>
      </w:tcPr>
    </w:tblStylePr>
    <w:tblStylePr w:type="band1Vert">
      <w:tblPr/>
      <w:tcPr>
        <w:shd w:val="clear" w:color="auto" w:fill="B8BBC2" w:themeFill="accent6" w:themeFillTint="66"/>
      </w:tcPr>
    </w:tblStylePr>
    <w:tblStylePr w:type="band1Horz">
      <w:tblPr/>
      <w:tcPr>
        <w:shd w:val="clear" w:color="auto" w:fill="A7AAB3"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3C54A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9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D3E7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D3E7B" w:themeFill="accent1" w:themeFillShade="BF"/>
      </w:tcPr>
    </w:tblStylePr>
    <w:tblStylePr w:type="band1Vert">
      <w:tblPr/>
      <w:tcPr>
        <w:tcBorders>
          <w:top w:val="nil"/>
          <w:left w:val="nil"/>
          <w:bottom w:val="nil"/>
          <w:right w:val="nil"/>
          <w:insideH w:val="nil"/>
          <w:insideV w:val="nil"/>
        </w:tcBorders>
        <w:shd w:val="clear" w:color="auto" w:fill="2D3E7B" w:themeFill="accent1" w:themeFillShade="BF"/>
      </w:tcPr>
    </w:tblStylePr>
    <w:tblStylePr w:type="band1Horz">
      <w:tblPr/>
      <w:tcPr>
        <w:tcBorders>
          <w:top w:val="nil"/>
          <w:left w:val="nil"/>
          <w:bottom w:val="nil"/>
          <w:right w:val="nil"/>
          <w:insideH w:val="nil"/>
          <w:insideV w:val="nil"/>
        </w:tcBorders>
        <w:shd w:val="clear" w:color="auto" w:fill="2D3E7B" w:themeFill="accent1" w:themeFillShade="BF"/>
      </w:tcPr>
    </w:tblStylePr>
  </w:style>
  <w:style w:type="table" w:styleId="DarkList-Accent2">
    <w:name w:val="Dark List Accent 2"/>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4586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B3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F414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F4148" w:themeFill="accent2" w:themeFillShade="BF"/>
      </w:tcPr>
    </w:tblStylePr>
    <w:tblStylePr w:type="band1Vert">
      <w:tblPr/>
      <w:tcPr>
        <w:tcBorders>
          <w:top w:val="nil"/>
          <w:left w:val="nil"/>
          <w:bottom w:val="nil"/>
          <w:right w:val="nil"/>
          <w:insideH w:val="nil"/>
          <w:insideV w:val="nil"/>
        </w:tcBorders>
        <w:shd w:val="clear" w:color="auto" w:fill="3F4148" w:themeFill="accent2" w:themeFillShade="BF"/>
      </w:tcPr>
    </w:tblStylePr>
    <w:tblStylePr w:type="band1Horz">
      <w:tblPr/>
      <w:tcPr>
        <w:tcBorders>
          <w:top w:val="nil"/>
          <w:left w:val="nil"/>
          <w:bottom w:val="nil"/>
          <w:right w:val="nil"/>
          <w:insideH w:val="nil"/>
          <w:insideV w:val="nil"/>
        </w:tcBorders>
        <w:shd w:val="clear" w:color="auto" w:fill="3F4148" w:themeFill="accent2" w:themeFillShade="BF"/>
      </w:tcPr>
    </w:tblStylePr>
  </w:style>
  <w:style w:type="table" w:styleId="DarkList-Accent3">
    <w:name w:val="Dark List Accent 3"/>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E9A91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53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7E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7E0E" w:themeFill="accent3" w:themeFillShade="BF"/>
      </w:tcPr>
    </w:tblStylePr>
    <w:tblStylePr w:type="band1Vert">
      <w:tblPr/>
      <w:tcPr>
        <w:tcBorders>
          <w:top w:val="nil"/>
          <w:left w:val="nil"/>
          <w:bottom w:val="nil"/>
          <w:right w:val="nil"/>
          <w:insideH w:val="nil"/>
          <w:insideV w:val="nil"/>
        </w:tcBorders>
        <w:shd w:val="clear" w:color="auto" w:fill="AE7E0E" w:themeFill="accent3" w:themeFillShade="BF"/>
      </w:tcPr>
    </w:tblStylePr>
    <w:tblStylePr w:type="band1Horz">
      <w:tblPr/>
      <w:tcPr>
        <w:tcBorders>
          <w:top w:val="nil"/>
          <w:left w:val="nil"/>
          <w:bottom w:val="nil"/>
          <w:right w:val="nil"/>
          <w:insideH w:val="nil"/>
          <w:insideV w:val="nil"/>
        </w:tcBorders>
        <w:shd w:val="clear" w:color="auto" w:fill="AE7E0E" w:themeFill="accent3" w:themeFillShade="BF"/>
      </w:tcPr>
    </w:tblStylePr>
  </w:style>
  <w:style w:type="table" w:styleId="DarkList-Accent4">
    <w:name w:val="Dark List Accent 4"/>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2276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3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D1D4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D1D48" w:themeFill="accent4" w:themeFillShade="BF"/>
      </w:tcPr>
    </w:tblStylePr>
    <w:tblStylePr w:type="band1Vert">
      <w:tblPr/>
      <w:tcPr>
        <w:tcBorders>
          <w:top w:val="nil"/>
          <w:left w:val="nil"/>
          <w:bottom w:val="nil"/>
          <w:right w:val="nil"/>
          <w:insideH w:val="nil"/>
          <w:insideV w:val="nil"/>
        </w:tcBorders>
        <w:shd w:val="clear" w:color="auto" w:fill="3D1D48" w:themeFill="accent4" w:themeFillShade="BF"/>
      </w:tcPr>
    </w:tblStylePr>
    <w:tblStylePr w:type="band1Horz">
      <w:tblPr/>
      <w:tcPr>
        <w:tcBorders>
          <w:top w:val="nil"/>
          <w:left w:val="nil"/>
          <w:bottom w:val="nil"/>
          <w:right w:val="nil"/>
          <w:insideH w:val="nil"/>
          <w:insideV w:val="nil"/>
        </w:tcBorders>
        <w:shd w:val="clear" w:color="auto" w:fill="3D1D48" w:themeFill="accent4" w:themeFillShade="BF"/>
      </w:tcPr>
    </w:tblStylePr>
  </w:style>
  <w:style w:type="table" w:styleId="DarkList-Accent5">
    <w:name w:val="Dark List Accent 5"/>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3C54A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9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D3E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D3E7B" w:themeFill="accent5" w:themeFillShade="BF"/>
      </w:tcPr>
    </w:tblStylePr>
    <w:tblStylePr w:type="band1Vert">
      <w:tblPr/>
      <w:tcPr>
        <w:tcBorders>
          <w:top w:val="nil"/>
          <w:left w:val="nil"/>
          <w:bottom w:val="nil"/>
          <w:right w:val="nil"/>
          <w:insideH w:val="nil"/>
          <w:insideV w:val="nil"/>
        </w:tcBorders>
        <w:shd w:val="clear" w:color="auto" w:fill="2D3E7B" w:themeFill="accent5" w:themeFillShade="BF"/>
      </w:tcPr>
    </w:tblStylePr>
    <w:tblStylePr w:type="band1Horz">
      <w:tblPr/>
      <w:tcPr>
        <w:tcBorders>
          <w:top w:val="nil"/>
          <w:left w:val="nil"/>
          <w:bottom w:val="nil"/>
          <w:right w:val="nil"/>
          <w:insideH w:val="nil"/>
          <w:insideV w:val="nil"/>
        </w:tcBorders>
        <w:shd w:val="clear" w:color="auto" w:fill="2D3E7B" w:themeFill="accent5" w:themeFillShade="BF"/>
      </w:tcPr>
    </w:tblStylePr>
  </w:style>
  <w:style w:type="table" w:styleId="DarkList-Accent6">
    <w:name w:val="Dark List Accent 6"/>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4586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B3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F414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F4148" w:themeFill="accent6" w:themeFillShade="BF"/>
      </w:tcPr>
    </w:tblStylePr>
    <w:tblStylePr w:type="band1Vert">
      <w:tblPr/>
      <w:tcPr>
        <w:tcBorders>
          <w:top w:val="nil"/>
          <w:left w:val="nil"/>
          <w:bottom w:val="nil"/>
          <w:right w:val="nil"/>
          <w:insideH w:val="nil"/>
          <w:insideV w:val="nil"/>
        </w:tcBorders>
        <w:shd w:val="clear" w:color="auto" w:fill="3F4148" w:themeFill="accent6" w:themeFillShade="BF"/>
      </w:tcPr>
    </w:tblStylePr>
    <w:tblStylePr w:type="band1Horz">
      <w:tblPr/>
      <w:tcPr>
        <w:tcBorders>
          <w:top w:val="nil"/>
          <w:left w:val="nil"/>
          <w:bottom w:val="nil"/>
          <w:right w:val="nil"/>
          <w:insideH w:val="nil"/>
          <w:insideV w:val="nil"/>
        </w:tcBorders>
        <w:shd w:val="clear" w:color="auto" w:fill="3F4148" w:themeFill="accent6" w:themeFillShade="BF"/>
      </w:tcPr>
    </w:tblStylePr>
  </w:style>
  <w:style w:type="table" w:styleId="LightGrid">
    <w:name w:val="Light Grid"/>
    <w:basedOn w:val="TableNormal"/>
    <w:uiPriority w:val="62"/>
    <w:semiHidden/>
    <w:rsid w:val="003E27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E273C"/>
    <w:pPr>
      <w:spacing w:after="0" w:line="240" w:lineRule="auto"/>
    </w:p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insideH w:val="single" w:sz="8" w:space="0" w:color="3C54A5" w:themeColor="accent1"/>
        <w:insideV w:val="single" w:sz="8" w:space="0" w:color="3C54A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54A5" w:themeColor="accent1"/>
          <w:left w:val="single" w:sz="8" w:space="0" w:color="3C54A5" w:themeColor="accent1"/>
          <w:bottom w:val="single" w:sz="18" w:space="0" w:color="3C54A5" w:themeColor="accent1"/>
          <w:right w:val="single" w:sz="8" w:space="0" w:color="3C54A5" w:themeColor="accent1"/>
          <w:insideH w:val="nil"/>
          <w:insideV w:val="single" w:sz="8" w:space="0" w:color="3C54A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54A5" w:themeColor="accent1"/>
          <w:left w:val="single" w:sz="8" w:space="0" w:color="3C54A5" w:themeColor="accent1"/>
          <w:bottom w:val="single" w:sz="8" w:space="0" w:color="3C54A5" w:themeColor="accent1"/>
          <w:right w:val="single" w:sz="8" w:space="0" w:color="3C54A5" w:themeColor="accent1"/>
          <w:insideH w:val="nil"/>
          <w:insideV w:val="single" w:sz="8" w:space="0" w:color="3C54A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tblStylePr w:type="band1Vert">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shd w:val="clear" w:color="auto" w:fill="CBD2EC" w:themeFill="accent1" w:themeFillTint="3F"/>
      </w:tcPr>
    </w:tblStylePr>
    <w:tblStylePr w:type="band1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insideV w:val="single" w:sz="8" w:space="0" w:color="3C54A5" w:themeColor="accent1"/>
        </w:tcBorders>
        <w:shd w:val="clear" w:color="auto" w:fill="CBD2EC" w:themeFill="accent1" w:themeFillTint="3F"/>
      </w:tcPr>
    </w:tblStylePr>
    <w:tblStylePr w:type="band2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insideV w:val="single" w:sz="8" w:space="0" w:color="3C54A5" w:themeColor="accent1"/>
        </w:tcBorders>
      </w:tcPr>
    </w:tblStylePr>
  </w:style>
  <w:style w:type="table" w:styleId="LightGrid-Accent2">
    <w:name w:val="Light Grid Accent 2"/>
    <w:basedOn w:val="TableNormal"/>
    <w:uiPriority w:val="62"/>
    <w:semiHidden/>
    <w:rsid w:val="003E273C"/>
    <w:pPr>
      <w:spacing w:after="0" w:line="240" w:lineRule="auto"/>
    </w:p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insideH w:val="single" w:sz="8" w:space="0" w:color="545861" w:themeColor="accent2"/>
        <w:insideV w:val="single" w:sz="8" w:space="0" w:color="5458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5861" w:themeColor="accent2"/>
          <w:left w:val="single" w:sz="8" w:space="0" w:color="545861" w:themeColor="accent2"/>
          <w:bottom w:val="single" w:sz="18" w:space="0" w:color="545861" w:themeColor="accent2"/>
          <w:right w:val="single" w:sz="8" w:space="0" w:color="545861" w:themeColor="accent2"/>
          <w:insideH w:val="nil"/>
          <w:insideV w:val="single" w:sz="8" w:space="0" w:color="5458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5861" w:themeColor="accent2"/>
          <w:left w:val="single" w:sz="8" w:space="0" w:color="545861" w:themeColor="accent2"/>
          <w:bottom w:val="single" w:sz="8" w:space="0" w:color="545861" w:themeColor="accent2"/>
          <w:right w:val="single" w:sz="8" w:space="0" w:color="545861" w:themeColor="accent2"/>
          <w:insideH w:val="nil"/>
          <w:insideV w:val="single" w:sz="8" w:space="0" w:color="5458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tblStylePr w:type="band1Vert">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shd w:val="clear" w:color="auto" w:fill="D3D5D9" w:themeFill="accent2" w:themeFillTint="3F"/>
      </w:tcPr>
    </w:tblStylePr>
    <w:tblStylePr w:type="band1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insideV w:val="single" w:sz="8" w:space="0" w:color="545861" w:themeColor="accent2"/>
        </w:tcBorders>
        <w:shd w:val="clear" w:color="auto" w:fill="D3D5D9" w:themeFill="accent2" w:themeFillTint="3F"/>
      </w:tcPr>
    </w:tblStylePr>
    <w:tblStylePr w:type="band2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insideV w:val="single" w:sz="8" w:space="0" w:color="545861" w:themeColor="accent2"/>
        </w:tcBorders>
      </w:tcPr>
    </w:tblStylePr>
  </w:style>
  <w:style w:type="table" w:styleId="LightGrid-Accent3">
    <w:name w:val="Light Grid Accent 3"/>
    <w:basedOn w:val="TableNormal"/>
    <w:uiPriority w:val="62"/>
    <w:semiHidden/>
    <w:rsid w:val="003E273C"/>
    <w:pPr>
      <w:spacing w:after="0" w:line="240" w:lineRule="auto"/>
    </w:p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insideH w:val="single" w:sz="8" w:space="0" w:color="E9A913" w:themeColor="accent3"/>
        <w:insideV w:val="single" w:sz="8" w:space="0" w:color="E9A91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A913" w:themeColor="accent3"/>
          <w:left w:val="single" w:sz="8" w:space="0" w:color="E9A913" w:themeColor="accent3"/>
          <w:bottom w:val="single" w:sz="18" w:space="0" w:color="E9A913" w:themeColor="accent3"/>
          <w:right w:val="single" w:sz="8" w:space="0" w:color="E9A913" w:themeColor="accent3"/>
          <w:insideH w:val="nil"/>
          <w:insideV w:val="single" w:sz="8" w:space="0" w:color="E9A91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A913" w:themeColor="accent3"/>
          <w:left w:val="single" w:sz="8" w:space="0" w:color="E9A913" w:themeColor="accent3"/>
          <w:bottom w:val="single" w:sz="8" w:space="0" w:color="E9A913" w:themeColor="accent3"/>
          <w:right w:val="single" w:sz="8" w:space="0" w:color="E9A913" w:themeColor="accent3"/>
          <w:insideH w:val="nil"/>
          <w:insideV w:val="single" w:sz="8" w:space="0" w:color="E9A91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tblStylePr w:type="band1Vert">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shd w:val="clear" w:color="auto" w:fill="FAE9C3" w:themeFill="accent3" w:themeFillTint="3F"/>
      </w:tcPr>
    </w:tblStylePr>
    <w:tblStylePr w:type="band1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insideV w:val="single" w:sz="8" w:space="0" w:color="E9A913" w:themeColor="accent3"/>
        </w:tcBorders>
        <w:shd w:val="clear" w:color="auto" w:fill="FAE9C3" w:themeFill="accent3" w:themeFillTint="3F"/>
      </w:tcPr>
    </w:tblStylePr>
    <w:tblStylePr w:type="band2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insideV w:val="single" w:sz="8" w:space="0" w:color="E9A913" w:themeColor="accent3"/>
        </w:tcBorders>
      </w:tcPr>
    </w:tblStylePr>
  </w:style>
  <w:style w:type="table" w:styleId="LightGrid-Accent4">
    <w:name w:val="Light Grid Accent 4"/>
    <w:basedOn w:val="TableNormal"/>
    <w:uiPriority w:val="62"/>
    <w:semiHidden/>
    <w:rsid w:val="003E273C"/>
    <w:pPr>
      <w:spacing w:after="0" w:line="240" w:lineRule="auto"/>
    </w:p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insideH w:val="single" w:sz="8" w:space="0" w:color="522761" w:themeColor="accent4"/>
        <w:insideV w:val="single" w:sz="8" w:space="0" w:color="52276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22761" w:themeColor="accent4"/>
          <w:left w:val="single" w:sz="8" w:space="0" w:color="522761" w:themeColor="accent4"/>
          <w:bottom w:val="single" w:sz="18" w:space="0" w:color="522761" w:themeColor="accent4"/>
          <w:right w:val="single" w:sz="8" w:space="0" w:color="522761" w:themeColor="accent4"/>
          <w:insideH w:val="nil"/>
          <w:insideV w:val="single" w:sz="8" w:space="0" w:color="52276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22761" w:themeColor="accent4"/>
          <w:left w:val="single" w:sz="8" w:space="0" w:color="522761" w:themeColor="accent4"/>
          <w:bottom w:val="single" w:sz="8" w:space="0" w:color="522761" w:themeColor="accent4"/>
          <w:right w:val="single" w:sz="8" w:space="0" w:color="522761" w:themeColor="accent4"/>
          <w:insideH w:val="nil"/>
          <w:insideV w:val="single" w:sz="8" w:space="0" w:color="52276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tblStylePr w:type="band1Vert">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shd w:val="clear" w:color="auto" w:fill="DABCE4" w:themeFill="accent4" w:themeFillTint="3F"/>
      </w:tcPr>
    </w:tblStylePr>
    <w:tblStylePr w:type="band1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insideV w:val="single" w:sz="8" w:space="0" w:color="522761" w:themeColor="accent4"/>
        </w:tcBorders>
        <w:shd w:val="clear" w:color="auto" w:fill="DABCE4" w:themeFill="accent4" w:themeFillTint="3F"/>
      </w:tcPr>
    </w:tblStylePr>
    <w:tblStylePr w:type="band2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insideV w:val="single" w:sz="8" w:space="0" w:color="522761" w:themeColor="accent4"/>
        </w:tcBorders>
      </w:tcPr>
    </w:tblStylePr>
  </w:style>
  <w:style w:type="table" w:styleId="LightGrid-Accent5">
    <w:name w:val="Light Grid Accent 5"/>
    <w:basedOn w:val="TableNormal"/>
    <w:uiPriority w:val="62"/>
    <w:semiHidden/>
    <w:rsid w:val="003E273C"/>
    <w:pPr>
      <w:spacing w:after="0" w:line="240" w:lineRule="auto"/>
    </w:p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insideH w:val="single" w:sz="8" w:space="0" w:color="3C54A5" w:themeColor="accent5"/>
        <w:insideV w:val="single" w:sz="8" w:space="0" w:color="3C54A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54A5" w:themeColor="accent5"/>
          <w:left w:val="single" w:sz="8" w:space="0" w:color="3C54A5" w:themeColor="accent5"/>
          <w:bottom w:val="single" w:sz="18" w:space="0" w:color="3C54A5" w:themeColor="accent5"/>
          <w:right w:val="single" w:sz="8" w:space="0" w:color="3C54A5" w:themeColor="accent5"/>
          <w:insideH w:val="nil"/>
          <w:insideV w:val="single" w:sz="8" w:space="0" w:color="3C54A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54A5" w:themeColor="accent5"/>
          <w:left w:val="single" w:sz="8" w:space="0" w:color="3C54A5" w:themeColor="accent5"/>
          <w:bottom w:val="single" w:sz="8" w:space="0" w:color="3C54A5" w:themeColor="accent5"/>
          <w:right w:val="single" w:sz="8" w:space="0" w:color="3C54A5" w:themeColor="accent5"/>
          <w:insideH w:val="nil"/>
          <w:insideV w:val="single" w:sz="8" w:space="0" w:color="3C54A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tblStylePr w:type="band1Vert">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shd w:val="clear" w:color="auto" w:fill="CBD2EC" w:themeFill="accent5" w:themeFillTint="3F"/>
      </w:tcPr>
    </w:tblStylePr>
    <w:tblStylePr w:type="band1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insideV w:val="single" w:sz="8" w:space="0" w:color="3C54A5" w:themeColor="accent5"/>
        </w:tcBorders>
        <w:shd w:val="clear" w:color="auto" w:fill="CBD2EC" w:themeFill="accent5" w:themeFillTint="3F"/>
      </w:tcPr>
    </w:tblStylePr>
    <w:tblStylePr w:type="band2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insideV w:val="single" w:sz="8" w:space="0" w:color="3C54A5" w:themeColor="accent5"/>
        </w:tcBorders>
      </w:tcPr>
    </w:tblStylePr>
  </w:style>
  <w:style w:type="table" w:styleId="LightGrid-Accent6">
    <w:name w:val="Light Grid Accent 6"/>
    <w:basedOn w:val="TableNormal"/>
    <w:uiPriority w:val="62"/>
    <w:semiHidden/>
    <w:rsid w:val="003E273C"/>
    <w:pPr>
      <w:spacing w:after="0" w:line="240" w:lineRule="auto"/>
    </w:p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insideH w:val="single" w:sz="8" w:space="0" w:color="545861" w:themeColor="accent6"/>
        <w:insideV w:val="single" w:sz="8" w:space="0" w:color="54586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5861" w:themeColor="accent6"/>
          <w:left w:val="single" w:sz="8" w:space="0" w:color="545861" w:themeColor="accent6"/>
          <w:bottom w:val="single" w:sz="18" w:space="0" w:color="545861" w:themeColor="accent6"/>
          <w:right w:val="single" w:sz="8" w:space="0" w:color="545861" w:themeColor="accent6"/>
          <w:insideH w:val="nil"/>
          <w:insideV w:val="single" w:sz="8" w:space="0" w:color="54586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5861" w:themeColor="accent6"/>
          <w:left w:val="single" w:sz="8" w:space="0" w:color="545861" w:themeColor="accent6"/>
          <w:bottom w:val="single" w:sz="8" w:space="0" w:color="545861" w:themeColor="accent6"/>
          <w:right w:val="single" w:sz="8" w:space="0" w:color="545861" w:themeColor="accent6"/>
          <w:insideH w:val="nil"/>
          <w:insideV w:val="single" w:sz="8" w:space="0" w:color="54586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tblStylePr w:type="band1Vert">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shd w:val="clear" w:color="auto" w:fill="D3D5D9" w:themeFill="accent6" w:themeFillTint="3F"/>
      </w:tcPr>
    </w:tblStylePr>
    <w:tblStylePr w:type="band1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insideV w:val="single" w:sz="8" w:space="0" w:color="545861" w:themeColor="accent6"/>
        </w:tcBorders>
        <w:shd w:val="clear" w:color="auto" w:fill="D3D5D9" w:themeFill="accent6" w:themeFillTint="3F"/>
      </w:tcPr>
    </w:tblStylePr>
    <w:tblStylePr w:type="band2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insideV w:val="single" w:sz="8" w:space="0" w:color="545861" w:themeColor="accent6"/>
        </w:tcBorders>
      </w:tcPr>
    </w:tblStylePr>
  </w:style>
  <w:style w:type="table" w:styleId="LightList">
    <w:name w:val="Light List"/>
    <w:basedOn w:val="TableNormal"/>
    <w:uiPriority w:val="61"/>
    <w:semiHidden/>
    <w:rsid w:val="003E27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E273C"/>
    <w:pPr>
      <w:spacing w:after="0" w:line="240" w:lineRule="auto"/>
    </w:p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tblBorders>
    </w:tblPr>
    <w:tblStylePr w:type="firstRow">
      <w:pPr>
        <w:spacing w:before="0" w:after="0" w:line="240" w:lineRule="auto"/>
      </w:pPr>
      <w:rPr>
        <w:b/>
        <w:bCs/>
        <w:color w:val="FFFFFF" w:themeColor="background1"/>
      </w:rPr>
      <w:tblPr/>
      <w:tcPr>
        <w:shd w:val="clear" w:color="auto" w:fill="3C54A5" w:themeFill="accent1"/>
      </w:tcPr>
    </w:tblStylePr>
    <w:tblStylePr w:type="lastRow">
      <w:pPr>
        <w:spacing w:before="0" w:after="0" w:line="240" w:lineRule="auto"/>
      </w:pPr>
      <w:rPr>
        <w:b/>
        <w:bCs/>
      </w:rPr>
      <w:tblPr/>
      <w:tcPr>
        <w:tcBorders>
          <w:top w:val="double" w:sz="6" w:space="0" w:color="3C54A5" w:themeColor="accent1"/>
          <w:left w:val="single" w:sz="8" w:space="0" w:color="3C54A5" w:themeColor="accent1"/>
          <w:bottom w:val="single" w:sz="8" w:space="0" w:color="3C54A5" w:themeColor="accent1"/>
          <w:right w:val="single" w:sz="8" w:space="0" w:color="3C54A5" w:themeColor="accent1"/>
        </w:tcBorders>
      </w:tcPr>
    </w:tblStylePr>
    <w:tblStylePr w:type="firstCol">
      <w:rPr>
        <w:b/>
        <w:bCs/>
      </w:rPr>
    </w:tblStylePr>
    <w:tblStylePr w:type="lastCol">
      <w:rPr>
        <w:b/>
        <w:bCs/>
      </w:rPr>
    </w:tblStylePr>
    <w:tblStylePr w:type="band1Vert">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tblStylePr w:type="band1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style>
  <w:style w:type="table" w:styleId="LightList-Accent2">
    <w:name w:val="Light List Accent 2"/>
    <w:basedOn w:val="TableNormal"/>
    <w:uiPriority w:val="61"/>
    <w:semiHidden/>
    <w:rsid w:val="003E273C"/>
    <w:pPr>
      <w:spacing w:after="0" w:line="240" w:lineRule="auto"/>
    </w:p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tblBorders>
    </w:tblPr>
    <w:tblStylePr w:type="firstRow">
      <w:pPr>
        <w:spacing w:before="0" w:after="0" w:line="240" w:lineRule="auto"/>
      </w:pPr>
      <w:rPr>
        <w:b/>
        <w:bCs/>
        <w:color w:val="FFFFFF" w:themeColor="background1"/>
      </w:rPr>
      <w:tblPr/>
      <w:tcPr>
        <w:shd w:val="clear" w:color="auto" w:fill="545861" w:themeFill="accent2"/>
      </w:tcPr>
    </w:tblStylePr>
    <w:tblStylePr w:type="lastRow">
      <w:pPr>
        <w:spacing w:before="0" w:after="0" w:line="240" w:lineRule="auto"/>
      </w:pPr>
      <w:rPr>
        <w:b/>
        <w:bCs/>
      </w:rPr>
      <w:tblPr/>
      <w:tcPr>
        <w:tcBorders>
          <w:top w:val="double" w:sz="6" w:space="0" w:color="545861" w:themeColor="accent2"/>
          <w:left w:val="single" w:sz="8" w:space="0" w:color="545861" w:themeColor="accent2"/>
          <w:bottom w:val="single" w:sz="8" w:space="0" w:color="545861" w:themeColor="accent2"/>
          <w:right w:val="single" w:sz="8" w:space="0" w:color="545861" w:themeColor="accent2"/>
        </w:tcBorders>
      </w:tcPr>
    </w:tblStylePr>
    <w:tblStylePr w:type="firstCol">
      <w:rPr>
        <w:b/>
        <w:bCs/>
      </w:rPr>
    </w:tblStylePr>
    <w:tblStylePr w:type="lastCol">
      <w:rPr>
        <w:b/>
        <w:bCs/>
      </w:rPr>
    </w:tblStylePr>
    <w:tblStylePr w:type="band1Vert">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tblStylePr w:type="band1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style>
  <w:style w:type="table" w:styleId="LightList-Accent3">
    <w:name w:val="Light List Accent 3"/>
    <w:basedOn w:val="TableNormal"/>
    <w:uiPriority w:val="61"/>
    <w:semiHidden/>
    <w:rsid w:val="003E273C"/>
    <w:pPr>
      <w:spacing w:after="0" w:line="240" w:lineRule="auto"/>
    </w:p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tblBorders>
    </w:tblPr>
    <w:tblStylePr w:type="firstRow">
      <w:pPr>
        <w:spacing w:before="0" w:after="0" w:line="240" w:lineRule="auto"/>
      </w:pPr>
      <w:rPr>
        <w:b/>
        <w:bCs/>
        <w:color w:val="FFFFFF" w:themeColor="background1"/>
      </w:rPr>
      <w:tblPr/>
      <w:tcPr>
        <w:shd w:val="clear" w:color="auto" w:fill="E9A913" w:themeFill="accent3"/>
      </w:tcPr>
    </w:tblStylePr>
    <w:tblStylePr w:type="lastRow">
      <w:pPr>
        <w:spacing w:before="0" w:after="0" w:line="240" w:lineRule="auto"/>
      </w:pPr>
      <w:rPr>
        <w:b/>
        <w:bCs/>
      </w:rPr>
      <w:tblPr/>
      <w:tcPr>
        <w:tcBorders>
          <w:top w:val="double" w:sz="6" w:space="0" w:color="E9A913" w:themeColor="accent3"/>
          <w:left w:val="single" w:sz="8" w:space="0" w:color="E9A913" w:themeColor="accent3"/>
          <w:bottom w:val="single" w:sz="8" w:space="0" w:color="E9A913" w:themeColor="accent3"/>
          <w:right w:val="single" w:sz="8" w:space="0" w:color="E9A913" w:themeColor="accent3"/>
        </w:tcBorders>
      </w:tcPr>
    </w:tblStylePr>
    <w:tblStylePr w:type="firstCol">
      <w:rPr>
        <w:b/>
        <w:bCs/>
      </w:rPr>
    </w:tblStylePr>
    <w:tblStylePr w:type="lastCol">
      <w:rPr>
        <w:b/>
        <w:bCs/>
      </w:rPr>
    </w:tblStylePr>
    <w:tblStylePr w:type="band1Vert">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tblStylePr w:type="band1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style>
  <w:style w:type="table" w:styleId="LightList-Accent4">
    <w:name w:val="Light List Accent 4"/>
    <w:basedOn w:val="TableNormal"/>
    <w:uiPriority w:val="61"/>
    <w:semiHidden/>
    <w:rsid w:val="003E273C"/>
    <w:pPr>
      <w:spacing w:after="0" w:line="240" w:lineRule="auto"/>
    </w:p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tblBorders>
    </w:tblPr>
    <w:tblStylePr w:type="firstRow">
      <w:pPr>
        <w:spacing w:before="0" w:after="0" w:line="240" w:lineRule="auto"/>
      </w:pPr>
      <w:rPr>
        <w:b/>
        <w:bCs/>
        <w:color w:val="FFFFFF" w:themeColor="background1"/>
      </w:rPr>
      <w:tblPr/>
      <w:tcPr>
        <w:shd w:val="clear" w:color="auto" w:fill="522761" w:themeFill="accent4"/>
      </w:tcPr>
    </w:tblStylePr>
    <w:tblStylePr w:type="lastRow">
      <w:pPr>
        <w:spacing w:before="0" w:after="0" w:line="240" w:lineRule="auto"/>
      </w:pPr>
      <w:rPr>
        <w:b/>
        <w:bCs/>
      </w:rPr>
      <w:tblPr/>
      <w:tcPr>
        <w:tcBorders>
          <w:top w:val="double" w:sz="6" w:space="0" w:color="522761" w:themeColor="accent4"/>
          <w:left w:val="single" w:sz="8" w:space="0" w:color="522761" w:themeColor="accent4"/>
          <w:bottom w:val="single" w:sz="8" w:space="0" w:color="522761" w:themeColor="accent4"/>
          <w:right w:val="single" w:sz="8" w:space="0" w:color="522761" w:themeColor="accent4"/>
        </w:tcBorders>
      </w:tcPr>
    </w:tblStylePr>
    <w:tblStylePr w:type="firstCol">
      <w:rPr>
        <w:b/>
        <w:bCs/>
      </w:rPr>
    </w:tblStylePr>
    <w:tblStylePr w:type="lastCol">
      <w:rPr>
        <w:b/>
        <w:bCs/>
      </w:rPr>
    </w:tblStylePr>
    <w:tblStylePr w:type="band1Vert">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tblStylePr w:type="band1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style>
  <w:style w:type="table" w:styleId="LightList-Accent5">
    <w:name w:val="Light List Accent 5"/>
    <w:basedOn w:val="TableNormal"/>
    <w:uiPriority w:val="61"/>
    <w:semiHidden/>
    <w:rsid w:val="003E273C"/>
    <w:pPr>
      <w:spacing w:after="0" w:line="240" w:lineRule="auto"/>
    </w:p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tblBorders>
    </w:tblPr>
    <w:tblStylePr w:type="firstRow">
      <w:pPr>
        <w:spacing w:before="0" w:after="0" w:line="240" w:lineRule="auto"/>
      </w:pPr>
      <w:rPr>
        <w:b/>
        <w:bCs/>
        <w:color w:val="FFFFFF" w:themeColor="background1"/>
      </w:rPr>
      <w:tblPr/>
      <w:tcPr>
        <w:shd w:val="clear" w:color="auto" w:fill="3C54A5" w:themeFill="accent5"/>
      </w:tcPr>
    </w:tblStylePr>
    <w:tblStylePr w:type="lastRow">
      <w:pPr>
        <w:spacing w:before="0" w:after="0" w:line="240" w:lineRule="auto"/>
      </w:pPr>
      <w:rPr>
        <w:b/>
        <w:bCs/>
      </w:rPr>
      <w:tblPr/>
      <w:tcPr>
        <w:tcBorders>
          <w:top w:val="double" w:sz="6" w:space="0" w:color="3C54A5" w:themeColor="accent5"/>
          <w:left w:val="single" w:sz="8" w:space="0" w:color="3C54A5" w:themeColor="accent5"/>
          <w:bottom w:val="single" w:sz="8" w:space="0" w:color="3C54A5" w:themeColor="accent5"/>
          <w:right w:val="single" w:sz="8" w:space="0" w:color="3C54A5" w:themeColor="accent5"/>
        </w:tcBorders>
      </w:tcPr>
    </w:tblStylePr>
    <w:tblStylePr w:type="firstCol">
      <w:rPr>
        <w:b/>
        <w:bCs/>
      </w:rPr>
    </w:tblStylePr>
    <w:tblStylePr w:type="lastCol">
      <w:rPr>
        <w:b/>
        <w:bCs/>
      </w:rPr>
    </w:tblStylePr>
    <w:tblStylePr w:type="band1Vert">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tblStylePr w:type="band1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style>
  <w:style w:type="table" w:styleId="LightList-Accent6">
    <w:name w:val="Light List Accent 6"/>
    <w:basedOn w:val="TableNormal"/>
    <w:uiPriority w:val="61"/>
    <w:semiHidden/>
    <w:rsid w:val="003E273C"/>
    <w:pPr>
      <w:spacing w:after="0" w:line="240" w:lineRule="auto"/>
    </w:p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tblBorders>
    </w:tblPr>
    <w:tblStylePr w:type="firstRow">
      <w:pPr>
        <w:spacing w:before="0" w:after="0" w:line="240" w:lineRule="auto"/>
      </w:pPr>
      <w:rPr>
        <w:b/>
        <w:bCs/>
        <w:color w:val="FFFFFF" w:themeColor="background1"/>
      </w:rPr>
      <w:tblPr/>
      <w:tcPr>
        <w:shd w:val="clear" w:color="auto" w:fill="545861" w:themeFill="accent6"/>
      </w:tcPr>
    </w:tblStylePr>
    <w:tblStylePr w:type="lastRow">
      <w:pPr>
        <w:spacing w:before="0" w:after="0" w:line="240" w:lineRule="auto"/>
      </w:pPr>
      <w:rPr>
        <w:b/>
        <w:bCs/>
      </w:rPr>
      <w:tblPr/>
      <w:tcPr>
        <w:tcBorders>
          <w:top w:val="double" w:sz="6" w:space="0" w:color="545861" w:themeColor="accent6"/>
          <w:left w:val="single" w:sz="8" w:space="0" w:color="545861" w:themeColor="accent6"/>
          <w:bottom w:val="single" w:sz="8" w:space="0" w:color="545861" w:themeColor="accent6"/>
          <w:right w:val="single" w:sz="8" w:space="0" w:color="545861" w:themeColor="accent6"/>
        </w:tcBorders>
      </w:tcPr>
    </w:tblStylePr>
    <w:tblStylePr w:type="firstCol">
      <w:rPr>
        <w:b/>
        <w:bCs/>
      </w:rPr>
    </w:tblStylePr>
    <w:tblStylePr w:type="lastCol">
      <w:rPr>
        <w:b/>
        <w:bCs/>
      </w:rPr>
    </w:tblStylePr>
    <w:tblStylePr w:type="band1Vert">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tblStylePr w:type="band1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style>
  <w:style w:type="table" w:styleId="LightShading">
    <w:name w:val="Light Shading"/>
    <w:basedOn w:val="TableNormal"/>
    <w:uiPriority w:val="60"/>
    <w:semiHidden/>
    <w:rsid w:val="003E273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E273C"/>
    <w:pPr>
      <w:spacing w:after="0" w:line="240" w:lineRule="auto"/>
    </w:pPr>
    <w:rPr>
      <w:color w:val="2D3E7B" w:themeColor="accent1" w:themeShade="BF"/>
    </w:rPr>
    <w:tblPr>
      <w:tblStyleRowBandSize w:val="1"/>
      <w:tblStyleColBandSize w:val="1"/>
      <w:tblBorders>
        <w:top w:val="single" w:sz="8" w:space="0" w:color="3C54A5" w:themeColor="accent1"/>
        <w:bottom w:val="single" w:sz="8" w:space="0" w:color="3C54A5" w:themeColor="accent1"/>
      </w:tblBorders>
    </w:tblPr>
    <w:tblStylePr w:type="firstRow">
      <w:pPr>
        <w:spacing w:before="0" w:after="0" w:line="240" w:lineRule="auto"/>
      </w:pPr>
      <w:rPr>
        <w:b/>
        <w:bCs/>
      </w:rPr>
      <w:tblPr/>
      <w:tcPr>
        <w:tcBorders>
          <w:top w:val="single" w:sz="8" w:space="0" w:color="3C54A5" w:themeColor="accent1"/>
          <w:left w:val="nil"/>
          <w:bottom w:val="single" w:sz="8" w:space="0" w:color="3C54A5" w:themeColor="accent1"/>
          <w:right w:val="nil"/>
          <w:insideH w:val="nil"/>
          <w:insideV w:val="nil"/>
        </w:tcBorders>
      </w:tcPr>
    </w:tblStylePr>
    <w:tblStylePr w:type="lastRow">
      <w:pPr>
        <w:spacing w:before="0" w:after="0" w:line="240" w:lineRule="auto"/>
      </w:pPr>
      <w:rPr>
        <w:b/>
        <w:bCs/>
      </w:rPr>
      <w:tblPr/>
      <w:tcPr>
        <w:tcBorders>
          <w:top w:val="single" w:sz="8" w:space="0" w:color="3C54A5" w:themeColor="accent1"/>
          <w:left w:val="nil"/>
          <w:bottom w:val="single" w:sz="8" w:space="0" w:color="3C54A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EC" w:themeFill="accent1" w:themeFillTint="3F"/>
      </w:tcPr>
    </w:tblStylePr>
    <w:tblStylePr w:type="band1Horz">
      <w:tblPr/>
      <w:tcPr>
        <w:tcBorders>
          <w:left w:val="nil"/>
          <w:right w:val="nil"/>
          <w:insideH w:val="nil"/>
          <w:insideV w:val="nil"/>
        </w:tcBorders>
        <w:shd w:val="clear" w:color="auto" w:fill="CBD2EC" w:themeFill="accent1" w:themeFillTint="3F"/>
      </w:tcPr>
    </w:tblStylePr>
  </w:style>
  <w:style w:type="table" w:styleId="LightShading-Accent2">
    <w:name w:val="Light Shading Accent 2"/>
    <w:basedOn w:val="TableNormal"/>
    <w:uiPriority w:val="60"/>
    <w:semiHidden/>
    <w:rsid w:val="003E273C"/>
    <w:pPr>
      <w:spacing w:after="0" w:line="240" w:lineRule="auto"/>
    </w:pPr>
    <w:rPr>
      <w:color w:val="3F4148" w:themeColor="accent2" w:themeShade="BF"/>
    </w:rPr>
    <w:tblPr>
      <w:tblStyleRowBandSize w:val="1"/>
      <w:tblStyleColBandSize w:val="1"/>
      <w:tblBorders>
        <w:top w:val="single" w:sz="8" w:space="0" w:color="545861" w:themeColor="accent2"/>
        <w:bottom w:val="single" w:sz="8" w:space="0" w:color="545861" w:themeColor="accent2"/>
      </w:tblBorders>
    </w:tblPr>
    <w:tblStylePr w:type="firstRow">
      <w:pPr>
        <w:spacing w:before="0" w:after="0" w:line="240" w:lineRule="auto"/>
      </w:pPr>
      <w:rPr>
        <w:b/>
        <w:bCs/>
      </w:rPr>
      <w:tblPr/>
      <w:tcPr>
        <w:tcBorders>
          <w:top w:val="single" w:sz="8" w:space="0" w:color="545861" w:themeColor="accent2"/>
          <w:left w:val="nil"/>
          <w:bottom w:val="single" w:sz="8" w:space="0" w:color="545861" w:themeColor="accent2"/>
          <w:right w:val="nil"/>
          <w:insideH w:val="nil"/>
          <w:insideV w:val="nil"/>
        </w:tcBorders>
      </w:tcPr>
    </w:tblStylePr>
    <w:tblStylePr w:type="lastRow">
      <w:pPr>
        <w:spacing w:before="0" w:after="0" w:line="240" w:lineRule="auto"/>
      </w:pPr>
      <w:rPr>
        <w:b/>
        <w:bCs/>
      </w:rPr>
      <w:tblPr/>
      <w:tcPr>
        <w:tcBorders>
          <w:top w:val="single" w:sz="8" w:space="0" w:color="545861" w:themeColor="accent2"/>
          <w:left w:val="nil"/>
          <w:bottom w:val="single" w:sz="8" w:space="0" w:color="5458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9" w:themeFill="accent2" w:themeFillTint="3F"/>
      </w:tcPr>
    </w:tblStylePr>
    <w:tblStylePr w:type="band1Horz">
      <w:tblPr/>
      <w:tcPr>
        <w:tcBorders>
          <w:left w:val="nil"/>
          <w:right w:val="nil"/>
          <w:insideH w:val="nil"/>
          <w:insideV w:val="nil"/>
        </w:tcBorders>
        <w:shd w:val="clear" w:color="auto" w:fill="D3D5D9" w:themeFill="accent2" w:themeFillTint="3F"/>
      </w:tcPr>
    </w:tblStylePr>
  </w:style>
  <w:style w:type="table" w:styleId="LightShading-Accent3">
    <w:name w:val="Light Shading Accent 3"/>
    <w:basedOn w:val="TableNormal"/>
    <w:uiPriority w:val="60"/>
    <w:semiHidden/>
    <w:rsid w:val="003E273C"/>
    <w:pPr>
      <w:spacing w:after="0" w:line="240" w:lineRule="auto"/>
    </w:pPr>
    <w:rPr>
      <w:color w:val="AE7E0E" w:themeColor="accent3" w:themeShade="BF"/>
    </w:rPr>
    <w:tblPr>
      <w:tblStyleRowBandSize w:val="1"/>
      <w:tblStyleColBandSize w:val="1"/>
      <w:tblBorders>
        <w:top w:val="single" w:sz="8" w:space="0" w:color="E9A913" w:themeColor="accent3"/>
        <w:bottom w:val="single" w:sz="8" w:space="0" w:color="E9A913" w:themeColor="accent3"/>
      </w:tblBorders>
    </w:tblPr>
    <w:tblStylePr w:type="firstRow">
      <w:pPr>
        <w:spacing w:before="0" w:after="0" w:line="240" w:lineRule="auto"/>
      </w:pPr>
      <w:rPr>
        <w:b/>
        <w:bCs/>
      </w:rPr>
      <w:tblPr/>
      <w:tcPr>
        <w:tcBorders>
          <w:top w:val="single" w:sz="8" w:space="0" w:color="E9A913" w:themeColor="accent3"/>
          <w:left w:val="nil"/>
          <w:bottom w:val="single" w:sz="8" w:space="0" w:color="E9A913" w:themeColor="accent3"/>
          <w:right w:val="nil"/>
          <w:insideH w:val="nil"/>
          <w:insideV w:val="nil"/>
        </w:tcBorders>
      </w:tcPr>
    </w:tblStylePr>
    <w:tblStylePr w:type="lastRow">
      <w:pPr>
        <w:spacing w:before="0" w:after="0" w:line="240" w:lineRule="auto"/>
      </w:pPr>
      <w:rPr>
        <w:b/>
        <w:bCs/>
      </w:rPr>
      <w:tblPr/>
      <w:tcPr>
        <w:tcBorders>
          <w:top w:val="single" w:sz="8" w:space="0" w:color="E9A913" w:themeColor="accent3"/>
          <w:left w:val="nil"/>
          <w:bottom w:val="single" w:sz="8" w:space="0" w:color="E9A91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9C3" w:themeFill="accent3" w:themeFillTint="3F"/>
      </w:tcPr>
    </w:tblStylePr>
    <w:tblStylePr w:type="band1Horz">
      <w:tblPr/>
      <w:tcPr>
        <w:tcBorders>
          <w:left w:val="nil"/>
          <w:right w:val="nil"/>
          <w:insideH w:val="nil"/>
          <w:insideV w:val="nil"/>
        </w:tcBorders>
        <w:shd w:val="clear" w:color="auto" w:fill="FAE9C3" w:themeFill="accent3" w:themeFillTint="3F"/>
      </w:tcPr>
    </w:tblStylePr>
  </w:style>
  <w:style w:type="table" w:styleId="LightShading-Accent4">
    <w:name w:val="Light Shading Accent 4"/>
    <w:basedOn w:val="TableNormal"/>
    <w:uiPriority w:val="60"/>
    <w:semiHidden/>
    <w:rsid w:val="003E273C"/>
    <w:pPr>
      <w:spacing w:after="0" w:line="240" w:lineRule="auto"/>
    </w:pPr>
    <w:rPr>
      <w:color w:val="3D1D48" w:themeColor="accent4" w:themeShade="BF"/>
    </w:rPr>
    <w:tblPr>
      <w:tblStyleRowBandSize w:val="1"/>
      <w:tblStyleColBandSize w:val="1"/>
      <w:tblBorders>
        <w:top w:val="single" w:sz="8" w:space="0" w:color="522761" w:themeColor="accent4"/>
        <w:bottom w:val="single" w:sz="8" w:space="0" w:color="522761" w:themeColor="accent4"/>
      </w:tblBorders>
    </w:tblPr>
    <w:tblStylePr w:type="firstRow">
      <w:pPr>
        <w:spacing w:before="0" w:after="0" w:line="240" w:lineRule="auto"/>
      </w:pPr>
      <w:rPr>
        <w:b/>
        <w:bCs/>
      </w:rPr>
      <w:tblPr/>
      <w:tcPr>
        <w:tcBorders>
          <w:top w:val="single" w:sz="8" w:space="0" w:color="522761" w:themeColor="accent4"/>
          <w:left w:val="nil"/>
          <w:bottom w:val="single" w:sz="8" w:space="0" w:color="522761" w:themeColor="accent4"/>
          <w:right w:val="nil"/>
          <w:insideH w:val="nil"/>
          <w:insideV w:val="nil"/>
        </w:tcBorders>
      </w:tcPr>
    </w:tblStylePr>
    <w:tblStylePr w:type="lastRow">
      <w:pPr>
        <w:spacing w:before="0" w:after="0" w:line="240" w:lineRule="auto"/>
      </w:pPr>
      <w:rPr>
        <w:b/>
        <w:bCs/>
      </w:rPr>
      <w:tblPr/>
      <w:tcPr>
        <w:tcBorders>
          <w:top w:val="single" w:sz="8" w:space="0" w:color="522761" w:themeColor="accent4"/>
          <w:left w:val="nil"/>
          <w:bottom w:val="single" w:sz="8" w:space="0" w:color="52276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BCE4" w:themeFill="accent4" w:themeFillTint="3F"/>
      </w:tcPr>
    </w:tblStylePr>
    <w:tblStylePr w:type="band1Horz">
      <w:tblPr/>
      <w:tcPr>
        <w:tcBorders>
          <w:left w:val="nil"/>
          <w:right w:val="nil"/>
          <w:insideH w:val="nil"/>
          <w:insideV w:val="nil"/>
        </w:tcBorders>
        <w:shd w:val="clear" w:color="auto" w:fill="DABCE4" w:themeFill="accent4" w:themeFillTint="3F"/>
      </w:tcPr>
    </w:tblStylePr>
  </w:style>
  <w:style w:type="table" w:styleId="MediumGrid1">
    <w:name w:val="Medium Grid 1"/>
    <w:basedOn w:val="TableNormal"/>
    <w:uiPriority w:val="67"/>
    <w:semiHidden/>
    <w:rsid w:val="003E273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E273C"/>
    <w:pPr>
      <w:spacing w:after="0" w:line="240" w:lineRule="auto"/>
    </w:pPr>
    <w:tblPr>
      <w:tblStyleRowBandSize w:val="1"/>
      <w:tblStyleColBandSize w:val="1"/>
      <w:tbl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single" w:sz="8" w:space="0" w:color="6278C6" w:themeColor="accent1" w:themeTint="BF"/>
        <w:insideV w:val="single" w:sz="8" w:space="0" w:color="6278C6" w:themeColor="accent1" w:themeTint="BF"/>
      </w:tblBorders>
    </w:tblPr>
    <w:tcPr>
      <w:shd w:val="clear" w:color="auto" w:fill="CBD2EC" w:themeFill="accent1" w:themeFillTint="3F"/>
    </w:tcPr>
    <w:tblStylePr w:type="firstRow">
      <w:rPr>
        <w:b/>
        <w:bCs/>
      </w:rPr>
    </w:tblStylePr>
    <w:tblStylePr w:type="lastRow">
      <w:rPr>
        <w:b/>
        <w:bCs/>
      </w:rPr>
      <w:tblPr/>
      <w:tcPr>
        <w:tcBorders>
          <w:top w:val="single" w:sz="18" w:space="0" w:color="6278C6" w:themeColor="accent1" w:themeTint="BF"/>
        </w:tcBorders>
      </w:tcPr>
    </w:tblStylePr>
    <w:tblStylePr w:type="firstCol">
      <w:rPr>
        <w:b/>
        <w:bCs/>
      </w:rPr>
    </w:tblStylePr>
    <w:tblStylePr w:type="lastCol">
      <w:rPr>
        <w:b/>
        <w:bCs/>
      </w:rPr>
    </w:tblStylePr>
    <w:tblStylePr w:type="band1Vert">
      <w:tblPr/>
      <w:tcPr>
        <w:shd w:val="clear" w:color="auto" w:fill="96A5D9" w:themeFill="accent1" w:themeFillTint="7F"/>
      </w:tcPr>
    </w:tblStylePr>
    <w:tblStylePr w:type="band1Horz">
      <w:tblPr/>
      <w:tcPr>
        <w:shd w:val="clear" w:color="auto" w:fill="96A5D9" w:themeFill="accent1" w:themeFillTint="7F"/>
      </w:tcPr>
    </w:tblStylePr>
  </w:style>
  <w:style w:type="table" w:styleId="MediumGrid1-Accent2">
    <w:name w:val="Medium Grid 1 Accent 2"/>
    <w:basedOn w:val="TableNormal"/>
    <w:uiPriority w:val="67"/>
    <w:semiHidden/>
    <w:rsid w:val="003E273C"/>
    <w:pPr>
      <w:spacing w:after="0" w:line="240" w:lineRule="auto"/>
    </w:pPr>
    <w:tblPr>
      <w:tblStyleRowBandSize w:val="1"/>
      <w:tblStyleColBandSize w:val="1"/>
      <w:tbl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single" w:sz="8" w:space="0" w:color="7A808C" w:themeColor="accent2" w:themeTint="BF"/>
        <w:insideV w:val="single" w:sz="8" w:space="0" w:color="7A808C" w:themeColor="accent2" w:themeTint="BF"/>
      </w:tblBorders>
    </w:tblPr>
    <w:tcPr>
      <w:shd w:val="clear" w:color="auto" w:fill="D3D5D9" w:themeFill="accent2" w:themeFillTint="3F"/>
    </w:tcPr>
    <w:tblStylePr w:type="firstRow">
      <w:rPr>
        <w:b/>
        <w:bCs/>
      </w:rPr>
    </w:tblStylePr>
    <w:tblStylePr w:type="lastRow">
      <w:rPr>
        <w:b/>
        <w:bCs/>
      </w:rPr>
      <w:tblPr/>
      <w:tcPr>
        <w:tcBorders>
          <w:top w:val="single" w:sz="18" w:space="0" w:color="7A808C" w:themeColor="accent2" w:themeTint="BF"/>
        </w:tcBorders>
      </w:tcPr>
    </w:tblStylePr>
    <w:tblStylePr w:type="firstCol">
      <w:rPr>
        <w:b/>
        <w:bCs/>
      </w:rPr>
    </w:tblStylePr>
    <w:tblStylePr w:type="lastCol">
      <w:rPr>
        <w:b/>
        <w:bCs/>
      </w:rPr>
    </w:tblStylePr>
    <w:tblStylePr w:type="band1Vert">
      <w:tblPr/>
      <w:tcPr>
        <w:shd w:val="clear" w:color="auto" w:fill="A7AAB3" w:themeFill="accent2" w:themeFillTint="7F"/>
      </w:tcPr>
    </w:tblStylePr>
    <w:tblStylePr w:type="band1Horz">
      <w:tblPr/>
      <w:tcPr>
        <w:shd w:val="clear" w:color="auto" w:fill="A7AAB3" w:themeFill="accent2" w:themeFillTint="7F"/>
      </w:tcPr>
    </w:tblStylePr>
  </w:style>
  <w:style w:type="table" w:styleId="MediumGrid1-Accent3">
    <w:name w:val="Medium Grid 1 Accent 3"/>
    <w:basedOn w:val="TableNormal"/>
    <w:uiPriority w:val="67"/>
    <w:semiHidden/>
    <w:rsid w:val="003E273C"/>
    <w:pPr>
      <w:spacing w:after="0" w:line="240" w:lineRule="auto"/>
    </w:pPr>
    <w:tblPr>
      <w:tblStyleRowBandSize w:val="1"/>
      <w:tblStyleColBandSize w:val="1"/>
      <w:tbl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single" w:sz="8" w:space="0" w:color="F0BE4C" w:themeColor="accent3" w:themeTint="BF"/>
        <w:insideV w:val="single" w:sz="8" w:space="0" w:color="F0BE4C" w:themeColor="accent3" w:themeTint="BF"/>
      </w:tblBorders>
    </w:tblPr>
    <w:tcPr>
      <w:shd w:val="clear" w:color="auto" w:fill="FAE9C3" w:themeFill="accent3" w:themeFillTint="3F"/>
    </w:tcPr>
    <w:tblStylePr w:type="firstRow">
      <w:rPr>
        <w:b/>
        <w:bCs/>
      </w:rPr>
    </w:tblStylePr>
    <w:tblStylePr w:type="lastRow">
      <w:rPr>
        <w:b/>
        <w:bCs/>
      </w:rPr>
      <w:tblPr/>
      <w:tcPr>
        <w:tcBorders>
          <w:top w:val="single" w:sz="18" w:space="0" w:color="F0BE4C" w:themeColor="accent3" w:themeTint="BF"/>
        </w:tcBorders>
      </w:tcPr>
    </w:tblStylePr>
    <w:tblStylePr w:type="firstCol">
      <w:rPr>
        <w:b/>
        <w:bCs/>
      </w:rPr>
    </w:tblStylePr>
    <w:tblStylePr w:type="lastCol">
      <w:rPr>
        <w:b/>
        <w:bCs/>
      </w:rPr>
    </w:tblStylePr>
    <w:tblStylePr w:type="band1Vert">
      <w:tblPr/>
      <w:tcPr>
        <w:shd w:val="clear" w:color="auto" w:fill="F5D488" w:themeFill="accent3" w:themeFillTint="7F"/>
      </w:tcPr>
    </w:tblStylePr>
    <w:tblStylePr w:type="band1Horz">
      <w:tblPr/>
      <w:tcPr>
        <w:shd w:val="clear" w:color="auto" w:fill="F5D488" w:themeFill="accent3" w:themeFillTint="7F"/>
      </w:tcPr>
    </w:tblStylePr>
  </w:style>
  <w:style w:type="table" w:styleId="MediumGrid1-Accent4">
    <w:name w:val="Medium Grid 1 Accent 4"/>
    <w:basedOn w:val="TableNormal"/>
    <w:uiPriority w:val="67"/>
    <w:semiHidden/>
    <w:rsid w:val="003E273C"/>
    <w:pPr>
      <w:spacing w:after="0" w:line="240" w:lineRule="auto"/>
    </w:pPr>
    <w:tblPr>
      <w:tblStyleRowBandSize w:val="1"/>
      <w:tblStyleColBandSize w:val="1"/>
      <w:tbl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single" w:sz="8" w:space="0" w:color="8A42A3" w:themeColor="accent4" w:themeTint="BF"/>
        <w:insideV w:val="single" w:sz="8" w:space="0" w:color="8A42A3" w:themeColor="accent4" w:themeTint="BF"/>
      </w:tblBorders>
    </w:tblPr>
    <w:tcPr>
      <w:shd w:val="clear" w:color="auto" w:fill="DABCE4" w:themeFill="accent4" w:themeFillTint="3F"/>
    </w:tcPr>
    <w:tblStylePr w:type="firstRow">
      <w:rPr>
        <w:b/>
        <w:bCs/>
      </w:rPr>
    </w:tblStylePr>
    <w:tblStylePr w:type="lastRow">
      <w:rPr>
        <w:b/>
        <w:bCs/>
      </w:rPr>
      <w:tblPr/>
      <w:tcPr>
        <w:tcBorders>
          <w:top w:val="single" w:sz="18" w:space="0" w:color="8A42A3" w:themeColor="accent4" w:themeTint="BF"/>
        </w:tcBorders>
      </w:tcPr>
    </w:tblStylePr>
    <w:tblStylePr w:type="firstCol">
      <w:rPr>
        <w:b/>
        <w:bCs/>
      </w:rPr>
    </w:tblStylePr>
    <w:tblStylePr w:type="lastCol">
      <w:rPr>
        <w:b/>
        <w:bCs/>
      </w:rPr>
    </w:tblStylePr>
    <w:tblStylePr w:type="band1Vert">
      <w:tblPr/>
      <w:tcPr>
        <w:shd w:val="clear" w:color="auto" w:fill="B57AC9" w:themeFill="accent4" w:themeFillTint="7F"/>
      </w:tcPr>
    </w:tblStylePr>
    <w:tblStylePr w:type="band1Horz">
      <w:tblPr/>
      <w:tcPr>
        <w:shd w:val="clear" w:color="auto" w:fill="B57AC9" w:themeFill="accent4" w:themeFillTint="7F"/>
      </w:tcPr>
    </w:tblStylePr>
  </w:style>
  <w:style w:type="table" w:styleId="MediumGrid1-Accent5">
    <w:name w:val="Medium Grid 1 Accent 5"/>
    <w:basedOn w:val="TableNormal"/>
    <w:uiPriority w:val="67"/>
    <w:semiHidden/>
    <w:rsid w:val="003E273C"/>
    <w:pPr>
      <w:spacing w:after="0" w:line="240" w:lineRule="auto"/>
    </w:pPr>
    <w:tblPr>
      <w:tblStyleRowBandSize w:val="1"/>
      <w:tblStyleColBandSize w:val="1"/>
      <w:tbl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single" w:sz="8" w:space="0" w:color="6278C6" w:themeColor="accent5" w:themeTint="BF"/>
        <w:insideV w:val="single" w:sz="8" w:space="0" w:color="6278C6" w:themeColor="accent5" w:themeTint="BF"/>
      </w:tblBorders>
    </w:tblPr>
    <w:tcPr>
      <w:shd w:val="clear" w:color="auto" w:fill="CBD2EC" w:themeFill="accent5" w:themeFillTint="3F"/>
    </w:tcPr>
    <w:tblStylePr w:type="firstRow">
      <w:rPr>
        <w:b/>
        <w:bCs/>
      </w:rPr>
    </w:tblStylePr>
    <w:tblStylePr w:type="lastRow">
      <w:rPr>
        <w:b/>
        <w:bCs/>
      </w:rPr>
      <w:tblPr/>
      <w:tcPr>
        <w:tcBorders>
          <w:top w:val="single" w:sz="18" w:space="0" w:color="6278C6" w:themeColor="accent5" w:themeTint="BF"/>
        </w:tcBorders>
      </w:tcPr>
    </w:tblStylePr>
    <w:tblStylePr w:type="firstCol">
      <w:rPr>
        <w:b/>
        <w:bCs/>
      </w:rPr>
    </w:tblStylePr>
    <w:tblStylePr w:type="lastCol">
      <w:rPr>
        <w:b/>
        <w:bCs/>
      </w:rPr>
    </w:tblStylePr>
    <w:tblStylePr w:type="band1Vert">
      <w:tblPr/>
      <w:tcPr>
        <w:shd w:val="clear" w:color="auto" w:fill="96A5D9" w:themeFill="accent5" w:themeFillTint="7F"/>
      </w:tcPr>
    </w:tblStylePr>
    <w:tblStylePr w:type="band1Horz">
      <w:tblPr/>
      <w:tcPr>
        <w:shd w:val="clear" w:color="auto" w:fill="96A5D9" w:themeFill="accent5" w:themeFillTint="7F"/>
      </w:tcPr>
    </w:tblStylePr>
  </w:style>
  <w:style w:type="table" w:styleId="MediumGrid1-Accent6">
    <w:name w:val="Medium Grid 1 Accent 6"/>
    <w:basedOn w:val="TableNormal"/>
    <w:uiPriority w:val="67"/>
    <w:semiHidden/>
    <w:rsid w:val="003E273C"/>
    <w:pPr>
      <w:spacing w:after="0" w:line="240" w:lineRule="auto"/>
    </w:pPr>
    <w:tblPr>
      <w:tblStyleRowBandSize w:val="1"/>
      <w:tblStyleColBandSize w:val="1"/>
      <w:tbl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single" w:sz="8" w:space="0" w:color="7A808C" w:themeColor="accent6" w:themeTint="BF"/>
        <w:insideV w:val="single" w:sz="8" w:space="0" w:color="7A808C" w:themeColor="accent6" w:themeTint="BF"/>
      </w:tblBorders>
    </w:tblPr>
    <w:tcPr>
      <w:shd w:val="clear" w:color="auto" w:fill="D3D5D9" w:themeFill="accent6" w:themeFillTint="3F"/>
    </w:tcPr>
    <w:tblStylePr w:type="firstRow">
      <w:rPr>
        <w:b/>
        <w:bCs/>
      </w:rPr>
    </w:tblStylePr>
    <w:tblStylePr w:type="lastRow">
      <w:rPr>
        <w:b/>
        <w:bCs/>
      </w:rPr>
      <w:tblPr/>
      <w:tcPr>
        <w:tcBorders>
          <w:top w:val="single" w:sz="18" w:space="0" w:color="7A808C" w:themeColor="accent6" w:themeTint="BF"/>
        </w:tcBorders>
      </w:tcPr>
    </w:tblStylePr>
    <w:tblStylePr w:type="firstCol">
      <w:rPr>
        <w:b/>
        <w:bCs/>
      </w:rPr>
    </w:tblStylePr>
    <w:tblStylePr w:type="lastCol">
      <w:rPr>
        <w:b/>
        <w:bCs/>
      </w:rPr>
    </w:tblStylePr>
    <w:tblStylePr w:type="band1Vert">
      <w:tblPr/>
      <w:tcPr>
        <w:shd w:val="clear" w:color="auto" w:fill="A7AAB3" w:themeFill="accent6" w:themeFillTint="7F"/>
      </w:tcPr>
    </w:tblStylePr>
    <w:tblStylePr w:type="band1Horz">
      <w:tblPr/>
      <w:tcPr>
        <w:shd w:val="clear" w:color="auto" w:fill="A7AAB3" w:themeFill="accent6" w:themeFillTint="7F"/>
      </w:tcPr>
    </w:tblStylePr>
  </w:style>
  <w:style w:type="table" w:styleId="MediumGrid2">
    <w:name w:val="Medium Grid 2"/>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insideH w:val="single" w:sz="8" w:space="0" w:color="3C54A5" w:themeColor="accent1"/>
        <w:insideV w:val="single" w:sz="8" w:space="0" w:color="3C54A5" w:themeColor="accent1"/>
      </w:tblBorders>
    </w:tblPr>
    <w:tcPr>
      <w:shd w:val="clear" w:color="auto" w:fill="CBD2EC" w:themeFill="accent1" w:themeFillTint="3F"/>
    </w:tcPr>
    <w:tblStylePr w:type="firstRow">
      <w:rPr>
        <w:b/>
        <w:bCs/>
        <w:color w:val="000000" w:themeColor="text1"/>
      </w:rPr>
      <w:tblPr/>
      <w:tcPr>
        <w:shd w:val="clear" w:color="auto" w:fill="EAED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EF" w:themeFill="accent1" w:themeFillTint="33"/>
      </w:tcPr>
    </w:tblStylePr>
    <w:tblStylePr w:type="band1Vert">
      <w:tblPr/>
      <w:tcPr>
        <w:shd w:val="clear" w:color="auto" w:fill="96A5D9" w:themeFill="accent1" w:themeFillTint="7F"/>
      </w:tcPr>
    </w:tblStylePr>
    <w:tblStylePr w:type="band1Horz">
      <w:tblPr/>
      <w:tcPr>
        <w:tcBorders>
          <w:insideH w:val="single" w:sz="6" w:space="0" w:color="3C54A5" w:themeColor="accent1"/>
          <w:insideV w:val="single" w:sz="6" w:space="0" w:color="3C54A5" w:themeColor="accent1"/>
        </w:tcBorders>
        <w:shd w:val="clear" w:color="auto" w:fill="96A5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insideH w:val="single" w:sz="8" w:space="0" w:color="545861" w:themeColor="accent2"/>
        <w:insideV w:val="single" w:sz="8" w:space="0" w:color="545861" w:themeColor="accent2"/>
      </w:tblBorders>
    </w:tblPr>
    <w:tcPr>
      <w:shd w:val="clear" w:color="auto" w:fill="D3D5D9" w:themeFill="accent2" w:themeFillTint="3F"/>
    </w:tcPr>
    <w:tblStylePr w:type="firstRow">
      <w:rPr>
        <w:b/>
        <w:bCs/>
        <w:color w:val="000000" w:themeColor="text1"/>
      </w:rPr>
      <w:tblPr/>
      <w:tcPr>
        <w:shd w:val="clear" w:color="auto" w:fill="EDEE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DE0" w:themeFill="accent2" w:themeFillTint="33"/>
      </w:tcPr>
    </w:tblStylePr>
    <w:tblStylePr w:type="band1Vert">
      <w:tblPr/>
      <w:tcPr>
        <w:shd w:val="clear" w:color="auto" w:fill="A7AAB3" w:themeFill="accent2" w:themeFillTint="7F"/>
      </w:tcPr>
    </w:tblStylePr>
    <w:tblStylePr w:type="band1Horz">
      <w:tblPr/>
      <w:tcPr>
        <w:tcBorders>
          <w:insideH w:val="single" w:sz="6" w:space="0" w:color="545861" w:themeColor="accent2"/>
          <w:insideV w:val="single" w:sz="6" w:space="0" w:color="545861" w:themeColor="accent2"/>
        </w:tcBorders>
        <w:shd w:val="clear" w:color="auto" w:fill="A7AAB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insideH w:val="single" w:sz="8" w:space="0" w:color="E9A913" w:themeColor="accent3"/>
        <w:insideV w:val="single" w:sz="8" w:space="0" w:color="E9A913" w:themeColor="accent3"/>
      </w:tblBorders>
    </w:tblPr>
    <w:tcPr>
      <w:shd w:val="clear" w:color="auto" w:fill="FAE9C3" w:themeFill="accent3" w:themeFillTint="3F"/>
    </w:tcPr>
    <w:tblStylePr w:type="firstRow">
      <w:rPr>
        <w:b/>
        <w:bCs/>
        <w:color w:val="000000" w:themeColor="text1"/>
      </w:rPr>
      <w:tblPr/>
      <w:tcPr>
        <w:shd w:val="clear" w:color="auto" w:fill="FDF6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DCF" w:themeFill="accent3" w:themeFillTint="33"/>
      </w:tcPr>
    </w:tblStylePr>
    <w:tblStylePr w:type="band1Vert">
      <w:tblPr/>
      <w:tcPr>
        <w:shd w:val="clear" w:color="auto" w:fill="F5D488" w:themeFill="accent3" w:themeFillTint="7F"/>
      </w:tcPr>
    </w:tblStylePr>
    <w:tblStylePr w:type="band1Horz">
      <w:tblPr/>
      <w:tcPr>
        <w:tcBorders>
          <w:insideH w:val="single" w:sz="6" w:space="0" w:color="E9A913" w:themeColor="accent3"/>
          <w:insideV w:val="single" w:sz="6" w:space="0" w:color="E9A913" w:themeColor="accent3"/>
        </w:tcBorders>
        <w:shd w:val="clear" w:color="auto" w:fill="F5D48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insideH w:val="single" w:sz="8" w:space="0" w:color="522761" w:themeColor="accent4"/>
        <w:insideV w:val="single" w:sz="8" w:space="0" w:color="522761" w:themeColor="accent4"/>
      </w:tblBorders>
    </w:tblPr>
    <w:tcPr>
      <w:shd w:val="clear" w:color="auto" w:fill="DABCE4" w:themeFill="accent4" w:themeFillTint="3F"/>
    </w:tcPr>
    <w:tblStylePr w:type="firstRow">
      <w:rPr>
        <w:b/>
        <w:bCs/>
        <w:color w:val="000000" w:themeColor="text1"/>
      </w:rPr>
      <w:tblPr/>
      <w:tcPr>
        <w:shd w:val="clear" w:color="auto" w:fill="F0E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C9E9" w:themeFill="accent4" w:themeFillTint="33"/>
      </w:tcPr>
    </w:tblStylePr>
    <w:tblStylePr w:type="band1Vert">
      <w:tblPr/>
      <w:tcPr>
        <w:shd w:val="clear" w:color="auto" w:fill="B57AC9" w:themeFill="accent4" w:themeFillTint="7F"/>
      </w:tcPr>
    </w:tblStylePr>
    <w:tblStylePr w:type="band1Horz">
      <w:tblPr/>
      <w:tcPr>
        <w:tcBorders>
          <w:insideH w:val="single" w:sz="6" w:space="0" w:color="522761" w:themeColor="accent4"/>
          <w:insideV w:val="single" w:sz="6" w:space="0" w:color="522761" w:themeColor="accent4"/>
        </w:tcBorders>
        <w:shd w:val="clear" w:color="auto" w:fill="B57AC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insideH w:val="single" w:sz="8" w:space="0" w:color="3C54A5" w:themeColor="accent5"/>
        <w:insideV w:val="single" w:sz="8" w:space="0" w:color="3C54A5" w:themeColor="accent5"/>
      </w:tblBorders>
    </w:tblPr>
    <w:tcPr>
      <w:shd w:val="clear" w:color="auto" w:fill="CBD2EC" w:themeFill="accent5" w:themeFillTint="3F"/>
    </w:tcPr>
    <w:tblStylePr w:type="firstRow">
      <w:rPr>
        <w:b/>
        <w:bCs/>
        <w:color w:val="000000" w:themeColor="text1"/>
      </w:rPr>
      <w:tblPr/>
      <w:tcPr>
        <w:shd w:val="clear" w:color="auto" w:fill="EAE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EF" w:themeFill="accent5" w:themeFillTint="33"/>
      </w:tcPr>
    </w:tblStylePr>
    <w:tblStylePr w:type="band1Vert">
      <w:tblPr/>
      <w:tcPr>
        <w:shd w:val="clear" w:color="auto" w:fill="96A5D9" w:themeFill="accent5" w:themeFillTint="7F"/>
      </w:tcPr>
    </w:tblStylePr>
    <w:tblStylePr w:type="band1Horz">
      <w:tblPr/>
      <w:tcPr>
        <w:tcBorders>
          <w:insideH w:val="single" w:sz="6" w:space="0" w:color="3C54A5" w:themeColor="accent5"/>
          <w:insideV w:val="single" w:sz="6" w:space="0" w:color="3C54A5" w:themeColor="accent5"/>
        </w:tcBorders>
        <w:shd w:val="clear" w:color="auto" w:fill="96A5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insideH w:val="single" w:sz="8" w:space="0" w:color="545861" w:themeColor="accent6"/>
        <w:insideV w:val="single" w:sz="8" w:space="0" w:color="545861" w:themeColor="accent6"/>
      </w:tblBorders>
    </w:tblPr>
    <w:tcPr>
      <w:shd w:val="clear" w:color="auto" w:fill="D3D5D9" w:themeFill="accent6" w:themeFillTint="3F"/>
    </w:tcPr>
    <w:tblStylePr w:type="firstRow">
      <w:rPr>
        <w:b/>
        <w:bCs/>
        <w:color w:val="000000" w:themeColor="text1"/>
      </w:rPr>
      <w:tblPr/>
      <w:tcPr>
        <w:shd w:val="clear" w:color="auto" w:fill="EDEE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DE0" w:themeFill="accent6" w:themeFillTint="33"/>
      </w:tcPr>
    </w:tblStylePr>
    <w:tblStylePr w:type="band1Vert">
      <w:tblPr/>
      <w:tcPr>
        <w:shd w:val="clear" w:color="auto" w:fill="A7AAB3" w:themeFill="accent6" w:themeFillTint="7F"/>
      </w:tcPr>
    </w:tblStylePr>
    <w:tblStylePr w:type="band1Horz">
      <w:tblPr/>
      <w:tcPr>
        <w:tcBorders>
          <w:insideH w:val="single" w:sz="6" w:space="0" w:color="545861" w:themeColor="accent6"/>
          <w:insideV w:val="single" w:sz="6" w:space="0" w:color="545861" w:themeColor="accent6"/>
        </w:tcBorders>
        <w:shd w:val="clear" w:color="auto" w:fill="A7AAB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54A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54A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54A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54A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D9" w:themeFill="accent1" w:themeFillTint="7F"/>
      </w:tcPr>
    </w:tblStylePr>
  </w:style>
  <w:style w:type="table" w:styleId="MediumGrid3-Accent2">
    <w:name w:val="Medium Grid 3 Accent 2"/>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5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586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586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586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586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AB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AB3" w:themeFill="accent2" w:themeFillTint="7F"/>
      </w:tcPr>
    </w:tblStylePr>
  </w:style>
  <w:style w:type="table" w:styleId="MediumGrid3-Accent3">
    <w:name w:val="Medium Grid 3 Accent 3"/>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9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A91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A91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A91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A91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D48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D488" w:themeFill="accent3" w:themeFillTint="7F"/>
      </w:tcPr>
    </w:tblStylePr>
  </w:style>
  <w:style w:type="table" w:styleId="MediumGrid3-Accent4">
    <w:name w:val="Medium Grid 3 Accent 4"/>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BC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2276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2276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2276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2276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7AC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7AC9" w:themeFill="accent4" w:themeFillTint="7F"/>
      </w:tcPr>
    </w:tblStylePr>
  </w:style>
  <w:style w:type="table" w:styleId="MediumGrid3-Accent5">
    <w:name w:val="Medium Grid 3 Accent 5"/>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54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54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54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54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D9" w:themeFill="accent5" w:themeFillTint="7F"/>
      </w:tcPr>
    </w:tblStylePr>
  </w:style>
  <w:style w:type="table" w:styleId="MediumGrid3-Accent6">
    <w:name w:val="Medium Grid 3 Accent 6"/>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5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586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586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586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586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AB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AB3" w:themeFill="accent6" w:themeFillTint="7F"/>
      </w:tcPr>
    </w:tblStylePr>
  </w:style>
  <w:style w:type="table" w:styleId="MediumList1">
    <w:name w:val="Medium List 1"/>
    <w:basedOn w:val="TableNormal"/>
    <w:uiPriority w:val="65"/>
    <w:semiHidden/>
    <w:rsid w:val="003E273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6F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E273C"/>
    <w:pPr>
      <w:spacing w:after="0" w:line="240" w:lineRule="auto"/>
    </w:pPr>
    <w:rPr>
      <w:color w:val="000000" w:themeColor="text1"/>
    </w:rPr>
    <w:tblPr>
      <w:tblStyleRowBandSize w:val="1"/>
      <w:tblStyleColBandSize w:val="1"/>
      <w:tblBorders>
        <w:top w:val="single" w:sz="8" w:space="0" w:color="3C54A5" w:themeColor="accent1"/>
        <w:bottom w:val="single" w:sz="8" w:space="0" w:color="3C54A5" w:themeColor="accent1"/>
      </w:tblBorders>
    </w:tblPr>
    <w:tblStylePr w:type="firstRow">
      <w:rPr>
        <w:rFonts w:asciiTheme="majorHAnsi" w:eastAsiaTheme="majorEastAsia" w:hAnsiTheme="majorHAnsi" w:cstheme="majorBidi"/>
      </w:rPr>
      <w:tblPr/>
      <w:tcPr>
        <w:tcBorders>
          <w:top w:val="nil"/>
          <w:bottom w:val="single" w:sz="8" w:space="0" w:color="3C54A5" w:themeColor="accent1"/>
        </w:tcBorders>
      </w:tcPr>
    </w:tblStylePr>
    <w:tblStylePr w:type="lastRow">
      <w:rPr>
        <w:b/>
        <w:bCs/>
        <w:color w:val="0066FF" w:themeColor="text2"/>
      </w:rPr>
      <w:tblPr/>
      <w:tcPr>
        <w:tcBorders>
          <w:top w:val="single" w:sz="8" w:space="0" w:color="3C54A5" w:themeColor="accent1"/>
          <w:bottom w:val="single" w:sz="8" w:space="0" w:color="3C54A5" w:themeColor="accent1"/>
        </w:tcBorders>
      </w:tcPr>
    </w:tblStylePr>
    <w:tblStylePr w:type="firstCol">
      <w:rPr>
        <w:b/>
        <w:bCs/>
      </w:rPr>
    </w:tblStylePr>
    <w:tblStylePr w:type="lastCol">
      <w:rPr>
        <w:b/>
        <w:bCs/>
      </w:rPr>
      <w:tblPr/>
      <w:tcPr>
        <w:tcBorders>
          <w:top w:val="single" w:sz="8" w:space="0" w:color="3C54A5" w:themeColor="accent1"/>
          <w:bottom w:val="single" w:sz="8" w:space="0" w:color="3C54A5" w:themeColor="accent1"/>
        </w:tcBorders>
      </w:tcPr>
    </w:tblStylePr>
    <w:tblStylePr w:type="band1Vert">
      <w:tblPr/>
      <w:tcPr>
        <w:shd w:val="clear" w:color="auto" w:fill="CBD2EC" w:themeFill="accent1" w:themeFillTint="3F"/>
      </w:tcPr>
    </w:tblStylePr>
    <w:tblStylePr w:type="band1Horz">
      <w:tblPr/>
      <w:tcPr>
        <w:shd w:val="clear" w:color="auto" w:fill="CBD2EC" w:themeFill="accent1" w:themeFillTint="3F"/>
      </w:tcPr>
    </w:tblStylePr>
  </w:style>
  <w:style w:type="table" w:styleId="MediumList1-Accent2">
    <w:name w:val="Medium List 1 Accent 2"/>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45861" w:themeColor="accent2"/>
        <w:bottom w:val="single" w:sz="8" w:space="0" w:color="545861" w:themeColor="accent2"/>
      </w:tblBorders>
    </w:tblPr>
    <w:tblStylePr w:type="firstRow">
      <w:rPr>
        <w:rFonts w:asciiTheme="majorHAnsi" w:eastAsiaTheme="majorEastAsia" w:hAnsiTheme="majorHAnsi" w:cstheme="majorBidi"/>
      </w:rPr>
      <w:tblPr/>
      <w:tcPr>
        <w:tcBorders>
          <w:top w:val="nil"/>
          <w:bottom w:val="single" w:sz="8" w:space="0" w:color="545861" w:themeColor="accent2"/>
        </w:tcBorders>
      </w:tcPr>
    </w:tblStylePr>
    <w:tblStylePr w:type="lastRow">
      <w:rPr>
        <w:b/>
        <w:bCs/>
        <w:color w:val="0066FF" w:themeColor="text2"/>
      </w:rPr>
      <w:tblPr/>
      <w:tcPr>
        <w:tcBorders>
          <w:top w:val="single" w:sz="8" w:space="0" w:color="545861" w:themeColor="accent2"/>
          <w:bottom w:val="single" w:sz="8" w:space="0" w:color="545861" w:themeColor="accent2"/>
        </w:tcBorders>
      </w:tcPr>
    </w:tblStylePr>
    <w:tblStylePr w:type="firstCol">
      <w:rPr>
        <w:b/>
        <w:bCs/>
      </w:rPr>
    </w:tblStylePr>
    <w:tblStylePr w:type="lastCol">
      <w:rPr>
        <w:b/>
        <w:bCs/>
      </w:rPr>
      <w:tblPr/>
      <w:tcPr>
        <w:tcBorders>
          <w:top w:val="single" w:sz="8" w:space="0" w:color="545861" w:themeColor="accent2"/>
          <w:bottom w:val="single" w:sz="8" w:space="0" w:color="545861" w:themeColor="accent2"/>
        </w:tcBorders>
      </w:tcPr>
    </w:tblStylePr>
    <w:tblStylePr w:type="band1Vert">
      <w:tblPr/>
      <w:tcPr>
        <w:shd w:val="clear" w:color="auto" w:fill="D3D5D9" w:themeFill="accent2" w:themeFillTint="3F"/>
      </w:tcPr>
    </w:tblStylePr>
    <w:tblStylePr w:type="band1Horz">
      <w:tblPr/>
      <w:tcPr>
        <w:shd w:val="clear" w:color="auto" w:fill="D3D5D9" w:themeFill="accent2" w:themeFillTint="3F"/>
      </w:tcPr>
    </w:tblStylePr>
  </w:style>
  <w:style w:type="table" w:styleId="MediumList1-Accent3">
    <w:name w:val="Medium List 1 Accent 3"/>
    <w:basedOn w:val="TableNormal"/>
    <w:uiPriority w:val="65"/>
    <w:semiHidden/>
    <w:rsid w:val="003E273C"/>
    <w:pPr>
      <w:spacing w:after="0" w:line="240" w:lineRule="auto"/>
    </w:pPr>
    <w:rPr>
      <w:color w:val="000000" w:themeColor="text1"/>
    </w:rPr>
    <w:tblPr>
      <w:tblStyleRowBandSize w:val="1"/>
      <w:tblStyleColBandSize w:val="1"/>
      <w:tblBorders>
        <w:top w:val="single" w:sz="8" w:space="0" w:color="E9A913" w:themeColor="accent3"/>
        <w:bottom w:val="single" w:sz="8" w:space="0" w:color="E9A913" w:themeColor="accent3"/>
      </w:tblBorders>
    </w:tblPr>
    <w:tblStylePr w:type="firstRow">
      <w:rPr>
        <w:rFonts w:asciiTheme="majorHAnsi" w:eastAsiaTheme="majorEastAsia" w:hAnsiTheme="majorHAnsi" w:cstheme="majorBidi"/>
      </w:rPr>
      <w:tblPr/>
      <w:tcPr>
        <w:tcBorders>
          <w:top w:val="nil"/>
          <w:bottom w:val="single" w:sz="8" w:space="0" w:color="E9A913" w:themeColor="accent3"/>
        </w:tcBorders>
      </w:tcPr>
    </w:tblStylePr>
    <w:tblStylePr w:type="lastRow">
      <w:rPr>
        <w:b/>
        <w:bCs/>
        <w:color w:val="0066FF" w:themeColor="text2"/>
      </w:rPr>
      <w:tblPr/>
      <w:tcPr>
        <w:tcBorders>
          <w:top w:val="single" w:sz="8" w:space="0" w:color="E9A913" w:themeColor="accent3"/>
          <w:bottom w:val="single" w:sz="8" w:space="0" w:color="E9A913" w:themeColor="accent3"/>
        </w:tcBorders>
      </w:tcPr>
    </w:tblStylePr>
    <w:tblStylePr w:type="firstCol">
      <w:rPr>
        <w:b/>
        <w:bCs/>
      </w:rPr>
    </w:tblStylePr>
    <w:tblStylePr w:type="lastCol">
      <w:rPr>
        <w:b/>
        <w:bCs/>
      </w:rPr>
      <w:tblPr/>
      <w:tcPr>
        <w:tcBorders>
          <w:top w:val="single" w:sz="8" w:space="0" w:color="E9A913" w:themeColor="accent3"/>
          <w:bottom w:val="single" w:sz="8" w:space="0" w:color="E9A913" w:themeColor="accent3"/>
        </w:tcBorders>
      </w:tcPr>
    </w:tblStylePr>
    <w:tblStylePr w:type="band1Vert">
      <w:tblPr/>
      <w:tcPr>
        <w:shd w:val="clear" w:color="auto" w:fill="FAE9C3" w:themeFill="accent3" w:themeFillTint="3F"/>
      </w:tcPr>
    </w:tblStylePr>
    <w:tblStylePr w:type="band1Horz">
      <w:tblPr/>
      <w:tcPr>
        <w:shd w:val="clear" w:color="auto" w:fill="FAE9C3" w:themeFill="accent3" w:themeFillTint="3F"/>
      </w:tcPr>
    </w:tblStylePr>
  </w:style>
  <w:style w:type="table" w:styleId="MediumList1-Accent4">
    <w:name w:val="Medium List 1 Accent 4"/>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22761" w:themeColor="accent4"/>
        <w:bottom w:val="single" w:sz="8" w:space="0" w:color="522761" w:themeColor="accent4"/>
      </w:tblBorders>
    </w:tblPr>
    <w:tblStylePr w:type="firstRow">
      <w:rPr>
        <w:rFonts w:asciiTheme="majorHAnsi" w:eastAsiaTheme="majorEastAsia" w:hAnsiTheme="majorHAnsi" w:cstheme="majorBidi"/>
      </w:rPr>
      <w:tblPr/>
      <w:tcPr>
        <w:tcBorders>
          <w:top w:val="nil"/>
          <w:bottom w:val="single" w:sz="8" w:space="0" w:color="522761" w:themeColor="accent4"/>
        </w:tcBorders>
      </w:tcPr>
    </w:tblStylePr>
    <w:tblStylePr w:type="lastRow">
      <w:rPr>
        <w:b/>
        <w:bCs/>
        <w:color w:val="0066FF" w:themeColor="text2"/>
      </w:rPr>
      <w:tblPr/>
      <w:tcPr>
        <w:tcBorders>
          <w:top w:val="single" w:sz="8" w:space="0" w:color="522761" w:themeColor="accent4"/>
          <w:bottom w:val="single" w:sz="8" w:space="0" w:color="522761" w:themeColor="accent4"/>
        </w:tcBorders>
      </w:tcPr>
    </w:tblStylePr>
    <w:tblStylePr w:type="firstCol">
      <w:rPr>
        <w:b/>
        <w:bCs/>
      </w:rPr>
    </w:tblStylePr>
    <w:tblStylePr w:type="lastCol">
      <w:rPr>
        <w:b/>
        <w:bCs/>
      </w:rPr>
      <w:tblPr/>
      <w:tcPr>
        <w:tcBorders>
          <w:top w:val="single" w:sz="8" w:space="0" w:color="522761" w:themeColor="accent4"/>
          <w:bottom w:val="single" w:sz="8" w:space="0" w:color="522761" w:themeColor="accent4"/>
        </w:tcBorders>
      </w:tcPr>
    </w:tblStylePr>
    <w:tblStylePr w:type="band1Vert">
      <w:tblPr/>
      <w:tcPr>
        <w:shd w:val="clear" w:color="auto" w:fill="DABCE4" w:themeFill="accent4" w:themeFillTint="3F"/>
      </w:tcPr>
    </w:tblStylePr>
    <w:tblStylePr w:type="band1Horz">
      <w:tblPr/>
      <w:tcPr>
        <w:shd w:val="clear" w:color="auto" w:fill="DABCE4" w:themeFill="accent4" w:themeFillTint="3F"/>
      </w:tcPr>
    </w:tblStylePr>
  </w:style>
  <w:style w:type="table" w:styleId="MediumList1-Accent5">
    <w:name w:val="Medium List 1 Accent 5"/>
    <w:basedOn w:val="TableNormal"/>
    <w:uiPriority w:val="65"/>
    <w:semiHidden/>
    <w:rsid w:val="003E273C"/>
    <w:pPr>
      <w:spacing w:after="0" w:line="240" w:lineRule="auto"/>
    </w:pPr>
    <w:rPr>
      <w:color w:val="000000" w:themeColor="text1"/>
    </w:rPr>
    <w:tblPr>
      <w:tblStyleRowBandSize w:val="1"/>
      <w:tblStyleColBandSize w:val="1"/>
      <w:tblBorders>
        <w:top w:val="single" w:sz="8" w:space="0" w:color="3C54A5" w:themeColor="accent5"/>
        <w:bottom w:val="single" w:sz="8" w:space="0" w:color="3C54A5" w:themeColor="accent5"/>
      </w:tblBorders>
    </w:tblPr>
    <w:tblStylePr w:type="firstRow">
      <w:rPr>
        <w:rFonts w:asciiTheme="majorHAnsi" w:eastAsiaTheme="majorEastAsia" w:hAnsiTheme="majorHAnsi" w:cstheme="majorBidi"/>
      </w:rPr>
      <w:tblPr/>
      <w:tcPr>
        <w:tcBorders>
          <w:top w:val="nil"/>
          <w:bottom w:val="single" w:sz="8" w:space="0" w:color="3C54A5" w:themeColor="accent5"/>
        </w:tcBorders>
      </w:tcPr>
    </w:tblStylePr>
    <w:tblStylePr w:type="lastRow">
      <w:rPr>
        <w:b/>
        <w:bCs/>
        <w:color w:val="0066FF" w:themeColor="text2"/>
      </w:rPr>
      <w:tblPr/>
      <w:tcPr>
        <w:tcBorders>
          <w:top w:val="single" w:sz="8" w:space="0" w:color="3C54A5" w:themeColor="accent5"/>
          <w:bottom w:val="single" w:sz="8" w:space="0" w:color="3C54A5" w:themeColor="accent5"/>
        </w:tcBorders>
      </w:tcPr>
    </w:tblStylePr>
    <w:tblStylePr w:type="firstCol">
      <w:rPr>
        <w:b/>
        <w:bCs/>
      </w:rPr>
    </w:tblStylePr>
    <w:tblStylePr w:type="lastCol">
      <w:rPr>
        <w:b/>
        <w:bCs/>
      </w:rPr>
      <w:tblPr/>
      <w:tcPr>
        <w:tcBorders>
          <w:top w:val="single" w:sz="8" w:space="0" w:color="3C54A5" w:themeColor="accent5"/>
          <w:bottom w:val="single" w:sz="8" w:space="0" w:color="3C54A5" w:themeColor="accent5"/>
        </w:tcBorders>
      </w:tcPr>
    </w:tblStylePr>
    <w:tblStylePr w:type="band1Vert">
      <w:tblPr/>
      <w:tcPr>
        <w:shd w:val="clear" w:color="auto" w:fill="CBD2EC" w:themeFill="accent5" w:themeFillTint="3F"/>
      </w:tcPr>
    </w:tblStylePr>
    <w:tblStylePr w:type="band1Horz">
      <w:tblPr/>
      <w:tcPr>
        <w:shd w:val="clear" w:color="auto" w:fill="CBD2EC" w:themeFill="accent5" w:themeFillTint="3F"/>
      </w:tcPr>
    </w:tblStylePr>
  </w:style>
  <w:style w:type="table" w:styleId="MediumList1-Accent6">
    <w:name w:val="Medium List 1 Accent 6"/>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45861" w:themeColor="accent6"/>
        <w:bottom w:val="single" w:sz="8" w:space="0" w:color="545861" w:themeColor="accent6"/>
      </w:tblBorders>
    </w:tblPr>
    <w:tblStylePr w:type="firstRow">
      <w:rPr>
        <w:rFonts w:asciiTheme="majorHAnsi" w:eastAsiaTheme="majorEastAsia" w:hAnsiTheme="majorHAnsi" w:cstheme="majorBidi"/>
      </w:rPr>
      <w:tblPr/>
      <w:tcPr>
        <w:tcBorders>
          <w:top w:val="nil"/>
          <w:bottom w:val="single" w:sz="8" w:space="0" w:color="545861" w:themeColor="accent6"/>
        </w:tcBorders>
      </w:tcPr>
    </w:tblStylePr>
    <w:tblStylePr w:type="lastRow">
      <w:rPr>
        <w:b/>
        <w:bCs/>
        <w:color w:val="0066FF" w:themeColor="text2"/>
      </w:rPr>
      <w:tblPr/>
      <w:tcPr>
        <w:tcBorders>
          <w:top w:val="single" w:sz="8" w:space="0" w:color="545861" w:themeColor="accent6"/>
          <w:bottom w:val="single" w:sz="8" w:space="0" w:color="545861" w:themeColor="accent6"/>
        </w:tcBorders>
      </w:tcPr>
    </w:tblStylePr>
    <w:tblStylePr w:type="firstCol">
      <w:rPr>
        <w:b/>
        <w:bCs/>
      </w:rPr>
    </w:tblStylePr>
    <w:tblStylePr w:type="lastCol">
      <w:rPr>
        <w:b/>
        <w:bCs/>
      </w:rPr>
      <w:tblPr/>
      <w:tcPr>
        <w:tcBorders>
          <w:top w:val="single" w:sz="8" w:space="0" w:color="545861" w:themeColor="accent6"/>
          <w:bottom w:val="single" w:sz="8" w:space="0" w:color="545861" w:themeColor="accent6"/>
        </w:tcBorders>
      </w:tcPr>
    </w:tblStylePr>
    <w:tblStylePr w:type="band1Vert">
      <w:tblPr/>
      <w:tcPr>
        <w:shd w:val="clear" w:color="auto" w:fill="D3D5D9" w:themeFill="accent6" w:themeFillTint="3F"/>
      </w:tcPr>
    </w:tblStylePr>
    <w:tblStylePr w:type="band1Horz">
      <w:tblPr/>
      <w:tcPr>
        <w:shd w:val="clear" w:color="auto" w:fill="D3D5D9" w:themeFill="accent6" w:themeFillTint="3F"/>
      </w:tcPr>
    </w:tblStylePr>
  </w:style>
  <w:style w:type="table" w:styleId="MediumList2">
    <w:name w:val="Medium List 2"/>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tblBorders>
    </w:tblPr>
    <w:tblStylePr w:type="firstRow">
      <w:rPr>
        <w:sz w:val="24"/>
        <w:szCs w:val="24"/>
      </w:rPr>
      <w:tblPr/>
      <w:tcPr>
        <w:tcBorders>
          <w:top w:val="nil"/>
          <w:left w:val="nil"/>
          <w:bottom w:val="single" w:sz="24" w:space="0" w:color="3C54A5" w:themeColor="accent1"/>
          <w:right w:val="nil"/>
          <w:insideH w:val="nil"/>
          <w:insideV w:val="nil"/>
        </w:tcBorders>
        <w:shd w:val="clear" w:color="auto" w:fill="FFFFFF" w:themeFill="background1"/>
      </w:tcPr>
    </w:tblStylePr>
    <w:tblStylePr w:type="lastRow">
      <w:tblPr/>
      <w:tcPr>
        <w:tcBorders>
          <w:top w:val="single" w:sz="8" w:space="0" w:color="3C54A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54A5" w:themeColor="accent1"/>
          <w:insideH w:val="nil"/>
          <w:insideV w:val="nil"/>
        </w:tcBorders>
        <w:shd w:val="clear" w:color="auto" w:fill="FFFFFF" w:themeFill="background1"/>
      </w:tcPr>
    </w:tblStylePr>
    <w:tblStylePr w:type="lastCol">
      <w:tblPr/>
      <w:tcPr>
        <w:tcBorders>
          <w:top w:val="nil"/>
          <w:left w:val="single" w:sz="8" w:space="0" w:color="3C54A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EC" w:themeFill="accent1" w:themeFillTint="3F"/>
      </w:tcPr>
    </w:tblStylePr>
    <w:tblStylePr w:type="band1Horz">
      <w:tblPr/>
      <w:tcPr>
        <w:tcBorders>
          <w:top w:val="nil"/>
          <w:bottom w:val="nil"/>
          <w:insideH w:val="nil"/>
          <w:insideV w:val="nil"/>
        </w:tcBorders>
        <w:shd w:val="clear" w:color="auto" w:fill="CBD2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tblBorders>
    </w:tblPr>
    <w:tblStylePr w:type="firstRow">
      <w:rPr>
        <w:sz w:val="24"/>
        <w:szCs w:val="24"/>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tblPr/>
      <w:tcPr>
        <w:tcBorders>
          <w:top w:val="single" w:sz="8" w:space="0" w:color="54586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5861" w:themeColor="accent2"/>
          <w:insideH w:val="nil"/>
          <w:insideV w:val="nil"/>
        </w:tcBorders>
        <w:shd w:val="clear" w:color="auto" w:fill="FFFFFF" w:themeFill="background1"/>
      </w:tcPr>
    </w:tblStylePr>
    <w:tblStylePr w:type="lastCol">
      <w:tblPr/>
      <w:tcPr>
        <w:tcBorders>
          <w:top w:val="nil"/>
          <w:left w:val="single" w:sz="8" w:space="0" w:color="54586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5D9" w:themeFill="accent2" w:themeFillTint="3F"/>
      </w:tcPr>
    </w:tblStylePr>
    <w:tblStylePr w:type="band1Horz">
      <w:tblPr/>
      <w:tcPr>
        <w:tcBorders>
          <w:top w:val="nil"/>
          <w:bottom w:val="nil"/>
          <w:insideH w:val="nil"/>
          <w:insideV w:val="nil"/>
        </w:tcBorders>
        <w:shd w:val="clear" w:color="auto" w:fill="D3D5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tblBorders>
    </w:tblPr>
    <w:tblStylePr w:type="firstRow">
      <w:rPr>
        <w:sz w:val="24"/>
        <w:szCs w:val="24"/>
      </w:rPr>
      <w:tblPr/>
      <w:tcPr>
        <w:tcBorders>
          <w:top w:val="nil"/>
          <w:left w:val="nil"/>
          <w:bottom w:val="single" w:sz="24" w:space="0" w:color="E9A913" w:themeColor="accent3"/>
          <w:right w:val="nil"/>
          <w:insideH w:val="nil"/>
          <w:insideV w:val="nil"/>
        </w:tcBorders>
        <w:shd w:val="clear" w:color="auto" w:fill="FFFFFF" w:themeFill="background1"/>
      </w:tcPr>
    </w:tblStylePr>
    <w:tblStylePr w:type="lastRow">
      <w:tblPr/>
      <w:tcPr>
        <w:tcBorders>
          <w:top w:val="single" w:sz="8" w:space="0" w:color="E9A91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A913" w:themeColor="accent3"/>
          <w:insideH w:val="nil"/>
          <w:insideV w:val="nil"/>
        </w:tcBorders>
        <w:shd w:val="clear" w:color="auto" w:fill="FFFFFF" w:themeFill="background1"/>
      </w:tcPr>
    </w:tblStylePr>
    <w:tblStylePr w:type="lastCol">
      <w:tblPr/>
      <w:tcPr>
        <w:tcBorders>
          <w:top w:val="nil"/>
          <w:left w:val="single" w:sz="8" w:space="0" w:color="E9A91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9C3" w:themeFill="accent3" w:themeFillTint="3F"/>
      </w:tcPr>
    </w:tblStylePr>
    <w:tblStylePr w:type="band1Horz">
      <w:tblPr/>
      <w:tcPr>
        <w:tcBorders>
          <w:top w:val="nil"/>
          <w:bottom w:val="nil"/>
          <w:insideH w:val="nil"/>
          <w:insideV w:val="nil"/>
        </w:tcBorders>
        <w:shd w:val="clear" w:color="auto" w:fill="FAE9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tblBorders>
    </w:tblPr>
    <w:tblStylePr w:type="firstRow">
      <w:rPr>
        <w:sz w:val="24"/>
        <w:szCs w:val="24"/>
      </w:rPr>
      <w:tblPr/>
      <w:tcPr>
        <w:tcBorders>
          <w:top w:val="nil"/>
          <w:left w:val="nil"/>
          <w:bottom w:val="single" w:sz="24" w:space="0" w:color="522761" w:themeColor="accent4"/>
          <w:right w:val="nil"/>
          <w:insideH w:val="nil"/>
          <w:insideV w:val="nil"/>
        </w:tcBorders>
        <w:shd w:val="clear" w:color="auto" w:fill="FFFFFF" w:themeFill="background1"/>
      </w:tcPr>
    </w:tblStylePr>
    <w:tblStylePr w:type="lastRow">
      <w:tblPr/>
      <w:tcPr>
        <w:tcBorders>
          <w:top w:val="single" w:sz="8" w:space="0" w:color="52276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22761" w:themeColor="accent4"/>
          <w:insideH w:val="nil"/>
          <w:insideV w:val="nil"/>
        </w:tcBorders>
        <w:shd w:val="clear" w:color="auto" w:fill="FFFFFF" w:themeFill="background1"/>
      </w:tcPr>
    </w:tblStylePr>
    <w:tblStylePr w:type="lastCol">
      <w:tblPr/>
      <w:tcPr>
        <w:tcBorders>
          <w:top w:val="nil"/>
          <w:left w:val="single" w:sz="8" w:space="0" w:color="52276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BCE4" w:themeFill="accent4" w:themeFillTint="3F"/>
      </w:tcPr>
    </w:tblStylePr>
    <w:tblStylePr w:type="band1Horz">
      <w:tblPr/>
      <w:tcPr>
        <w:tcBorders>
          <w:top w:val="nil"/>
          <w:bottom w:val="nil"/>
          <w:insideH w:val="nil"/>
          <w:insideV w:val="nil"/>
        </w:tcBorders>
        <w:shd w:val="clear" w:color="auto" w:fill="DABC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tblBorders>
    </w:tblPr>
    <w:tblStylePr w:type="firstRow">
      <w:rPr>
        <w:sz w:val="24"/>
        <w:szCs w:val="24"/>
      </w:rPr>
      <w:tblPr/>
      <w:tcPr>
        <w:tcBorders>
          <w:top w:val="nil"/>
          <w:left w:val="nil"/>
          <w:bottom w:val="single" w:sz="24" w:space="0" w:color="3C54A5" w:themeColor="accent5"/>
          <w:right w:val="nil"/>
          <w:insideH w:val="nil"/>
          <w:insideV w:val="nil"/>
        </w:tcBorders>
        <w:shd w:val="clear" w:color="auto" w:fill="FFFFFF" w:themeFill="background1"/>
      </w:tcPr>
    </w:tblStylePr>
    <w:tblStylePr w:type="lastRow">
      <w:tblPr/>
      <w:tcPr>
        <w:tcBorders>
          <w:top w:val="single" w:sz="8" w:space="0" w:color="3C54A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54A5" w:themeColor="accent5"/>
          <w:insideH w:val="nil"/>
          <w:insideV w:val="nil"/>
        </w:tcBorders>
        <w:shd w:val="clear" w:color="auto" w:fill="FFFFFF" w:themeFill="background1"/>
      </w:tcPr>
    </w:tblStylePr>
    <w:tblStylePr w:type="lastCol">
      <w:tblPr/>
      <w:tcPr>
        <w:tcBorders>
          <w:top w:val="nil"/>
          <w:left w:val="single" w:sz="8" w:space="0" w:color="3C54A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EC" w:themeFill="accent5" w:themeFillTint="3F"/>
      </w:tcPr>
    </w:tblStylePr>
    <w:tblStylePr w:type="band1Horz">
      <w:tblPr/>
      <w:tcPr>
        <w:tcBorders>
          <w:top w:val="nil"/>
          <w:bottom w:val="nil"/>
          <w:insideH w:val="nil"/>
          <w:insideV w:val="nil"/>
        </w:tcBorders>
        <w:shd w:val="clear" w:color="auto" w:fill="CBD2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tblBorders>
    </w:tblPr>
    <w:tblStylePr w:type="firstRow">
      <w:rPr>
        <w:sz w:val="24"/>
        <w:szCs w:val="24"/>
      </w:rPr>
      <w:tblPr/>
      <w:tcPr>
        <w:tcBorders>
          <w:top w:val="nil"/>
          <w:left w:val="nil"/>
          <w:bottom w:val="single" w:sz="24" w:space="0" w:color="545861" w:themeColor="accent6"/>
          <w:right w:val="nil"/>
          <w:insideH w:val="nil"/>
          <w:insideV w:val="nil"/>
        </w:tcBorders>
        <w:shd w:val="clear" w:color="auto" w:fill="FFFFFF" w:themeFill="background1"/>
      </w:tcPr>
    </w:tblStylePr>
    <w:tblStylePr w:type="lastRow">
      <w:tblPr/>
      <w:tcPr>
        <w:tcBorders>
          <w:top w:val="single" w:sz="8" w:space="0" w:color="54586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5861" w:themeColor="accent6"/>
          <w:insideH w:val="nil"/>
          <w:insideV w:val="nil"/>
        </w:tcBorders>
        <w:shd w:val="clear" w:color="auto" w:fill="FFFFFF" w:themeFill="background1"/>
      </w:tcPr>
    </w:tblStylePr>
    <w:tblStylePr w:type="lastCol">
      <w:tblPr/>
      <w:tcPr>
        <w:tcBorders>
          <w:top w:val="nil"/>
          <w:left w:val="single" w:sz="8" w:space="0" w:color="54586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5D9" w:themeFill="accent6" w:themeFillTint="3F"/>
      </w:tcPr>
    </w:tblStylePr>
    <w:tblStylePr w:type="band1Horz">
      <w:tblPr/>
      <w:tcPr>
        <w:tcBorders>
          <w:top w:val="nil"/>
          <w:bottom w:val="nil"/>
          <w:insideH w:val="nil"/>
          <w:insideV w:val="nil"/>
        </w:tcBorders>
        <w:shd w:val="clear" w:color="auto" w:fill="D3D5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E273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E273C"/>
    <w:pPr>
      <w:spacing w:after="0" w:line="240" w:lineRule="auto"/>
    </w:pPr>
    <w:tblPr>
      <w:tblStyleRowBandSize w:val="1"/>
      <w:tblStyleColBandSize w:val="1"/>
      <w:tbl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single" w:sz="8" w:space="0" w:color="6278C6" w:themeColor="accent1" w:themeTint="BF"/>
      </w:tblBorders>
    </w:tblPr>
    <w:tblStylePr w:type="firstRow">
      <w:pPr>
        <w:spacing w:before="0" w:after="0" w:line="240" w:lineRule="auto"/>
      </w:pPr>
      <w:rPr>
        <w:b/>
        <w:bCs/>
        <w:color w:val="FFFFFF" w:themeColor="background1"/>
      </w:rPr>
      <w:tblPr/>
      <w:tcPr>
        <w:tc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nil"/>
          <w:insideV w:val="nil"/>
        </w:tcBorders>
        <w:shd w:val="clear" w:color="auto" w:fill="3C54A5" w:themeFill="accent1"/>
      </w:tcPr>
    </w:tblStylePr>
    <w:tblStylePr w:type="lastRow">
      <w:pPr>
        <w:spacing w:before="0" w:after="0" w:line="240" w:lineRule="auto"/>
      </w:pPr>
      <w:rPr>
        <w:b/>
        <w:bCs/>
      </w:rPr>
      <w:tblPr/>
      <w:tcPr>
        <w:tcBorders>
          <w:top w:val="double" w:sz="6"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D2EC" w:themeFill="accent1" w:themeFillTint="3F"/>
      </w:tcPr>
    </w:tblStylePr>
    <w:tblStylePr w:type="band1Horz">
      <w:tblPr/>
      <w:tcPr>
        <w:tcBorders>
          <w:insideH w:val="nil"/>
          <w:insideV w:val="nil"/>
        </w:tcBorders>
        <w:shd w:val="clear" w:color="auto" w:fill="CBD2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E273C"/>
    <w:pPr>
      <w:spacing w:after="0" w:line="240" w:lineRule="auto"/>
    </w:pPr>
    <w:tblPr>
      <w:tblStyleRowBandSize w:val="1"/>
      <w:tblStyleColBandSize w:val="1"/>
      <w:tbl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single" w:sz="8" w:space="0" w:color="7A808C" w:themeColor="accent2" w:themeTint="BF"/>
      </w:tblBorders>
    </w:tblPr>
    <w:tblStylePr w:type="firstRow">
      <w:pPr>
        <w:spacing w:before="0" w:after="0" w:line="240" w:lineRule="auto"/>
      </w:pPr>
      <w:rPr>
        <w:b/>
        <w:bCs/>
        <w:color w:val="FFFFFF" w:themeColor="background1"/>
      </w:rPr>
      <w:tblPr/>
      <w:tcPr>
        <w:tc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nil"/>
          <w:insideV w:val="nil"/>
        </w:tcBorders>
        <w:shd w:val="clear" w:color="auto" w:fill="545861" w:themeFill="accent2"/>
      </w:tcPr>
    </w:tblStylePr>
    <w:tblStylePr w:type="lastRow">
      <w:pPr>
        <w:spacing w:before="0" w:after="0" w:line="240" w:lineRule="auto"/>
      </w:pPr>
      <w:rPr>
        <w:b/>
        <w:bCs/>
      </w:rPr>
      <w:tblPr/>
      <w:tcPr>
        <w:tcBorders>
          <w:top w:val="double" w:sz="6"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D5D9" w:themeFill="accent2" w:themeFillTint="3F"/>
      </w:tcPr>
    </w:tblStylePr>
    <w:tblStylePr w:type="band1Horz">
      <w:tblPr/>
      <w:tcPr>
        <w:tcBorders>
          <w:insideH w:val="nil"/>
          <w:insideV w:val="nil"/>
        </w:tcBorders>
        <w:shd w:val="clear" w:color="auto" w:fill="D3D5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E273C"/>
    <w:pPr>
      <w:spacing w:after="0" w:line="240" w:lineRule="auto"/>
    </w:pPr>
    <w:tblPr>
      <w:tblStyleRowBandSize w:val="1"/>
      <w:tblStyleColBandSize w:val="1"/>
      <w:tbl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single" w:sz="8" w:space="0" w:color="F0BE4C" w:themeColor="accent3" w:themeTint="BF"/>
      </w:tblBorders>
    </w:tblPr>
    <w:tblStylePr w:type="firstRow">
      <w:pPr>
        <w:spacing w:before="0" w:after="0" w:line="240" w:lineRule="auto"/>
      </w:pPr>
      <w:rPr>
        <w:b/>
        <w:bCs/>
        <w:color w:val="FFFFFF" w:themeColor="background1"/>
      </w:rPr>
      <w:tblPr/>
      <w:tcPr>
        <w:tc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nil"/>
          <w:insideV w:val="nil"/>
        </w:tcBorders>
        <w:shd w:val="clear" w:color="auto" w:fill="E9A913" w:themeFill="accent3"/>
      </w:tcPr>
    </w:tblStylePr>
    <w:tblStylePr w:type="lastRow">
      <w:pPr>
        <w:spacing w:before="0" w:after="0" w:line="240" w:lineRule="auto"/>
      </w:pPr>
      <w:rPr>
        <w:b/>
        <w:bCs/>
      </w:rPr>
      <w:tblPr/>
      <w:tcPr>
        <w:tcBorders>
          <w:top w:val="double" w:sz="6"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9C3" w:themeFill="accent3" w:themeFillTint="3F"/>
      </w:tcPr>
    </w:tblStylePr>
    <w:tblStylePr w:type="band1Horz">
      <w:tblPr/>
      <w:tcPr>
        <w:tcBorders>
          <w:insideH w:val="nil"/>
          <w:insideV w:val="nil"/>
        </w:tcBorders>
        <w:shd w:val="clear" w:color="auto" w:fill="FAE9C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E273C"/>
    <w:pPr>
      <w:spacing w:after="0" w:line="240" w:lineRule="auto"/>
    </w:pPr>
    <w:tblPr>
      <w:tblStyleRowBandSize w:val="1"/>
      <w:tblStyleColBandSize w:val="1"/>
      <w:tbl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single" w:sz="8" w:space="0" w:color="8A42A3" w:themeColor="accent4" w:themeTint="BF"/>
      </w:tblBorders>
    </w:tblPr>
    <w:tblStylePr w:type="firstRow">
      <w:pPr>
        <w:spacing w:before="0" w:after="0" w:line="240" w:lineRule="auto"/>
      </w:pPr>
      <w:rPr>
        <w:b/>
        <w:bCs/>
        <w:color w:val="FFFFFF" w:themeColor="background1"/>
      </w:rPr>
      <w:tblPr/>
      <w:tcPr>
        <w:tc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nil"/>
          <w:insideV w:val="nil"/>
        </w:tcBorders>
        <w:shd w:val="clear" w:color="auto" w:fill="522761" w:themeFill="accent4"/>
      </w:tcPr>
    </w:tblStylePr>
    <w:tblStylePr w:type="lastRow">
      <w:pPr>
        <w:spacing w:before="0" w:after="0" w:line="240" w:lineRule="auto"/>
      </w:pPr>
      <w:rPr>
        <w:b/>
        <w:bCs/>
      </w:rPr>
      <w:tblPr/>
      <w:tcPr>
        <w:tcBorders>
          <w:top w:val="double" w:sz="6"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BCE4" w:themeFill="accent4" w:themeFillTint="3F"/>
      </w:tcPr>
    </w:tblStylePr>
    <w:tblStylePr w:type="band1Horz">
      <w:tblPr/>
      <w:tcPr>
        <w:tcBorders>
          <w:insideH w:val="nil"/>
          <w:insideV w:val="nil"/>
        </w:tcBorders>
        <w:shd w:val="clear" w:color="auto" w:fill="DABC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E273C"/>
    <w:pPr>
      <w:spacing w:after="0" w:line="240" w:lineRule="auto"/>
    </w:pPr>
    <w:tblPr>
      <w:tblStyleRowBandSize w:val="1"/>
      <w:tblStyleColBandSize w:val="1"/>
      <w:tbl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single" w:sz="8" w:space="0" w:color="6278C6" w:themeColor="accent5" w:themeTint="BF"/>
      </w:tblBorders>
    </w:tblPr>
    <w:tblStylePr w:type="firstRow">
      <w:pPr>
        <w:spacing w:before="0" w:after="0" w:line="240" w:lineRule="auto"/>
      </w:pPr>
      <w:rPr>
        <w:b/>
        <w:bCs/>
        <w:color w:val="FFFFFF" w:themeColor="background1"/>
      </w:rPr>
      <w:tblPr/>
      <w:tcPr>
        <w:tc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nil"/>
          <w:insideV w:val="nil"/>
        </w:tcBorders>
        <w:shd w:val="clear" w:color="auto" w:fill="3C54A5" w:themeFill="accent5"/>
      </w:tcPr>
    </w:tblStylePr>
    <w:tblStylePr w:type="lastRow">
      <w:pPr>
        <w:spacing w:before="0" w:after="0" w:line="240" w:lineRule="auto"/>
      </w:pPr>
      <w:rPr>
        <w:b/>
        <w:bCs/>
      </w:rPr>
      <w:tblPr/>
      <w:tcPr>
        <w:tcBorders>
          <w:top w:val="double" w:sz="6"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BD2EC" w:themeFill="accent5" w:themeFillTint="3F"/>
      </w:tcPr>
    </w:tblStylePr>
    <w:tblStylePr w:type="band1Horz">
      <w:tblPr/>
      <w:tcPr>
        <w:tcBorders>
          <w:insideH w:val="nil"/>
          <w:insideV w:val="nil"/>
        </w:tcBorders>
        <w:shd w:val="clear" w:color="auto" w:fill="CBD2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E273C"/>
    <w:pPr>
      <w:spacing w:after="0" w:line="240" w:lineRule="auto"/>
    </w:pPr>
    <w:tblPr>
      <w:tblStyleRowBandSize w:val="1"/>
      <w:tblStyleColBandSize w:val="1"/>
      <w:tbl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single" w:sz="8" w:space="0" w:color="7A808C" w:themeColor="accent6" w:themeTint="BF"/>
      </w:tblBorders>
    </w:tblPr>
    <w:tblStylePr w:type="firstRow">
      <w:pPr>
        <w:spacing w:before="0" w:after="0" w:line="240" w:lineRule="auto"/>
      </w:pPr>
      <w:rPr>
        <w:b/>
        <w:bCs/>
        <w:color w:val="FFFFFF" w:themeColor="background1"/>
      </w:rPr>
      <w:tblPr/>
      <w:tcPr>
        <w:tc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nil"/>
          <w:insideV w:val="nil"/>
        </w:tcBorders>
        <w:shd w:val="clear" w:color="auto" w:fill="545861" w:themeFill="accent6"/>
      </w:tcPr>
    </w:tblStylePr>
    <w:tblStylePr w:type="lastRow">
      <w:pPr>
        <w:spacing w:before="0" w:after="0" w:line="240" w:lineRule="auto"/>
      </w:pPr>
      <w:rPr>
        <w:b/>
        <w:bCs/>
      </w:rPr>
      <w:tblPr/>
      <w:tcPr>
        <w:tcBorders>
          <w:top w:val="double" w:sz="6"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5D9" w:themeFill="accent6" w:themeFillTint="3F"/>
      </w:tcPr>
    </w:tblStylePr>
    <w:tblStylePr w:type="band1Horz">
      <w:tblPr/>
      <w:tcPr>
        <w:tcBorders>
          <w:insideH w:val="nil"/>
          <w:insideV w:val="nil"/>
        </w:tcBorders>
        <w:shd w:val="clear" w:color="auto" w:fill="D3D5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54A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54A5" w:themeFill="accent1"/>
      </w:tcPr>
    </w:tblStylePr>
    <w:tblStylePr w:type="lastCol">
      <w:rPr>
        <w:b/>
        <w:bCs/>
        <w:color w:val="FFFFFF" w:themeColor="background1"/>
      </w:rPr>
      <w:tblPr/>
      <w:tcPr>
        <w:tcBorders>
          <w:left w:val="nil"/>
          <w:right w:val="nil"/>
          <w:insideH w:val="nil"/>
          <w:insideV w:val="nil"/>
        </w:tcBorders>
        <w:shd w:val="clear" w:color="auto" w:fill="3C54A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58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5861" w:themeFill="accent2"/>
      </w:tcPr>
    </w:tblStylePr>
    <w:tblStylePr w:type="lastCol">
      <w:rPr>
        <w:b/>
        <w:bCs/>
        <w:color w:val="FFFFFF" w:themeColor="background1"/>
      </w:rPr>
      <w:tblPr/>
      <w:tcPr>
        <w:tcBorders>
          <w:left w:val="nil"/>
          <w:right w:val="nil"/>
          <w:insideH w:val="nil"/>
          <w:insideV w:val="nil"/>
        </w:tcBorders>
        <w:shd w:val="clear" w:color="auto" w:fill="5458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A91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A913" w:themeFill="accent3"/>
      </w:tcPr>
    </w:tblStylePr>
    <w:tblStylePr w:type="lastCol">
      <w:rPr>
        <w:b/>
        <w:bCs/>
        <w:color w:val="FFFFFF" w:themeColor="background1"/>
      </w:rPr>
      <w:tblPr/>
      <w:tcPr>
        <w:tcBorders>
          <w:left w:val="nil"/>
          <w:right w:val="nil"/>
          <w:insideH w:val="nil"/>
          <w:insideV w:val="nil"/>
        </w:tcBorders>
        <w:shd w:val="clear" w:color="auto" w:fill="E9A91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2276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22761" w:themeFill="accent4"/>
      </w:tcPr>
    </w:tblStylePr>
    <w:tblStylePr w:type="lastCol">
      <w:rPr>
        <w:b/>
        <w:bCs/>
        <w:color w:val="FFFFFF" w:themeColor="background1"/>
      </w:rPr>
      <w:tblPr/>
      <w:tcPr>
        <w:tcBorders>
          <w:left w:val="nil"/>
          <w:right w:val="nil"/>
          <w:insideH w:val="nil"/>
          <w:insideV w:val="nil"/>
        </w:tcBorders>
        <w:shd w:val="clear" w:color="auto" w:fill="52276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54A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54A5" w:themeFill="accent5"/>
      </w:tcPr>
    </w:tblStylePr>
    <w:tblStylePr w:type="lastCol">
      <w:rPr>
        <w:b/>
        <w:bCs/>
        <w:color w:val="FFFFFF" w:themeColor="background1"/>
      </w:rPr>
      <w:tblPr/>
      <w:tcPr>
        <w:tcBorders>
          <w:left w:val="nil"/>
          <w:right w:val="nil"/>
          <w:insideH w:val="nil"/>
          <w:insideV w:val="nil"/>
        </w:tcBorders>
        <w:shd w:val="clear" w:color="auto" w:fill="3C54A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586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5861" w:themeFill="accent6"/>
      </w:tcPr>
    </w:tblStylePr>
    <w:tblStylePr w:type="lastCol">
      <w:rPr>
        <w:b/>
        <w:bCs/>
        <w:color w:val="FFFFFF" w:themeColor="background1"/>
      </w:rPr>
      <w:tblPr/>
      <w:tcPr>
        <w:tcBorders>
          <w:left w:val="nil"/>
          <w:right w:val="nil"/>
          <w:insideH w:val="nil"/>
          <w:insideV w:val="nil"/>
        </w:tcBorders>
        <w:shd w:val="clear" w:color="auto" w:fill="54586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rsid w:val="003E273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E273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E273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3E273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E273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E273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E273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E273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E273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E273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E273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E273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3E273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E273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3E273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3E273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E273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E273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E273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E273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E273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E273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E273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E273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E273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E273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ableofAuthorities">
    <w:name w:val="table of authorities"/>
    <w:basedOn w:val="Normal"/>
    <w:next w:val="Normal"/>
    <w:uiPriority w:val="99"/>
    <w:semiHidden/>
    <w:rsid w:val="003E273C"/>
    <w:pPr>
      <w:spacing w:after="0"/>
      <w:ind w:left="220" w:hanging="220"/>
    </w:pPr>
  </w:style>
  <w:style w:type="paragraph" w:styleId="TableofFigures">
    <w:name w:val="table of figures"/>
    <w:basedOn w:val="Normal"/>
    <w:next w:val="Normal"/>
    <w:uiPriority w:val="99"/>
    <w:semiHidden/>
    <w:rsid w:val="003E273C"/>
    <w:pPr>
      <w:spacing w:after="0"/>
    </w:pPr>
  </w:style>
  <w:style w:type="table" w:styleId="TableProfessional">
    <w:name w:val="Table Professional"/>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E273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3E273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3E273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E273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3E273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E2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E273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basedOn w:val="DefaultParagraphFont"/>
    <w:uiPriority w:val="99"/>
    <w:semiHidden/>
    <w:unhideWhenUsed/>
    <w:rsid w:val="00E376D2"/>
    <w:rPr>
      <w:color w:val="522761" w:themeColor="accent4"/>
      <w:u w:val="single"/>
    </w:rPr>
  </w:style>
  <w:style w:type="table" w:styleId="LightShading-Accent5">
    <w:name w:val="Light Shading Accent 5"/>
    <w:basedOn w:val="TableNormal"/>
    <w:uiPriority w:val="60"/>
    <w:rsid w:val="001E4B19"/>
    <w:pPr>
      <w:spacing w:after="0" w:line="240" w:lineRule="auto"/>
    </w:pPr>
    <w:rPr>
      <w:color w:val="2D3E7B" w:themeColor="accent5" w:themeShade="BF"/>
    </w:rPr>
    <w:tblPr>
      <w:tblStyleRowBandSize w:val="1"/>
      <w:tblStyleColBandSize w:val="1"/>
      <w:tblBorders>
        <w:top w:val="single" w:sz="8" w:space="0" w:color="3C54A5" w:themeColor="accent5"/>
        <w:bottom w:val="single" w:sz="8" w:space="0" w:color="3C54A5" w:themeColor="accent5"/>
      </w:tblBorders>
    </w:tblPr>
    <w:tblStylePr w:type="firstRow">
      <w:pPr>
        <w:spacing w:before="0" w:after="0" w:line="240" w:lineRule="auto"/>
      </w:pPr>
      <w:rPr>
        <w:b/>
        <w:bCs/>
      </w:rPr>
      <w:tblPr/>
      <w:tcPr>
        <w:tcBorders>
          <w:top w:val="single" w:sz="8" w:space="0" w:color="3C54A5" w:themeColor="accent5"/>
          <w:left w:val="nil"/>
          <w:bottom w:val="single" w:sz="8" w:space="0" w:color="3C54A5" w:themeColor="accent5"/>
          <w:right w:val="nil"/>
          <w:insideH w:val="nil"/>
          <w:insideV w:val="nil"/>
        </w:tcBorders>
      </w:tcPr>
    </w:tblStylePr>
    <w:tblStylePr w:type="lastRow">
      <w:pPr>
        <w:spacing w:before="0" w:after="0" w:line="240" w:lineRule="auto"/>
      </w:pPr>
      <w:rPr>
        <w:b/>
        <w:bCs/>
      </w:rPr>
      <w:tblPr/>
      <w:tcPr>
        <w:tcBorders>
          <w:top w:val="single" w:sz="8" w:space="0" w:color="3C54A5" w:themeColor="accent5"/>
          <w:left w:val="nil"/>
          <w:bottom w:val="single" w:sz="8" w:space="0" w:color="3C54A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EC" w:themeFill="accent5" w:themeFillTint="3F"/>
      </w:tcPr>
    </w:tblStylePr>
    <w:tblStylePr w:type="band1Horz">
      <w:tblPr/>
      <w:tcPr>
        <w:tcBorders>
          <w:left w:val="nil"/>
          <w:right w:val="nil"/>
          <w:insideH w:val="nil"/>
          <w:insideV w:val="nil"/>
        </w:tcBorders>
        <w:shd w:val="clear" w:color="auto" w:fill="CBD2EC" w:themeFill="accent5" w:themeFillTint="3F"/>
      </w:tcPr>
    </w:tblStyle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basedOn w:val="DefaultParagraphFont"/>
    <w:link w:val="ListParagraph"/>
    <w:uiPriority w:val="34"/>
    <w:qFormat/>
    <w:rsid w:val="005B7D44"/>
  </w:style>
  <w:style w:type="character" w:customStyle="1" w:styleId="NormalWebChar">
    <w:name w:val="Normal (Web) Char"/>
    <w:aliases w:val="Char Char,Normal bulleted Char"/>
    <w:basedOn w:val="DefaultParagraphFont"/>
    <w:link w:val="NormalWeb"/>
    <w:uiPriority w:val="99"/>
    <w:semiHidden/>
    <w:locked/>
    <w:rsid w:val="00DD6CCF"/>
    <w:rPr>
      <w:rFonts w:ascii="Calibri" w:hAnsi="Calibri"/>
    </w:rPr>
  </w:style>
  <w:style w:type="paragraph" w:styleId="NormalWeb">
    <w:name w:val="Normal (Web)"/>
    <w:aliases w:val="Char,Normal bulleted"/>
    <w:basedOn w:val="Normal"/>
    <w:link w:val="NormalWebChar"/>
    <w:uiPriority w:val="99"/>
    <w:semiHidden/>
    <w:unhideWhenUsed/>
    <w:rsid w:val="00DD6CCF"/>
    <w:pPr>
      <w:spacing w:after="0"/>
    </w:pPr>
    <w:rPr>
      <w:rFonts w:ascii="Calibri" w:hAnsi="Calibri"/>
    </w:rPr>
  </w:style>
  <w:style w:type="character" w:styleId="CommentReference">
    <w:name w:val="annotation reference"/>
    <w:basedOn w:val="DefaultParagraphFont"/>
    <w:uiPriority w:val="99"/>
    <w:semiHidden/>
    <w:unhideWhenUsed/>
    <w:rsid w:val="00860875"/>
    <w:rPr>
      <w:sz w:val="16"/>
      <w:szCs w:val="16"/>
    </w:rPr>
  </w:style>
  <w:style w:type="paragraph" w:styleId="CommentText">
    <w:name w:val="annotation text"/>
    <w:basedOn w:val="Normal"/>
    <w:link w:val="CommentTextChar"/>
    <w:uiPriority w:val="99"/>
    <w:semiHidden/>
    <w:unhideWhenUsed/>
    <w:rsid w:val="00860875"/>
    <w:pPr>
      <w:spacing w:after="120"/>
    </w:pPr>
    <w:rPr>
      <w:rFonts w:ascii="Calibri" w:hAnsi="Calibri"/>
      <w:noProof/>
      <w:sz w:val="20"/>
      <w:szCs w:val="20"/>
    </w:rPr>
  </w:style>
  <w:style w:type="character" w:customStyle="1" w:styleId="CommentTextChar">
    <w:name w:val="Comment Text Char"/>
    <w:basedOn w:val="DefaultParagraphFont"/>
    <w:link w:val="CommentText"/>
    <w:uiPriority w:val="99"/>
    <w:semiHidden/>
    <w:rsid w:val="00860875"/>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A15915"/>
    <w:pPr>
      <w:spacing w:after="200"/>
    </w:pPr>
    <w:rPr>
      <w:rFonts w:asciiTheme="minorHAnsi" w:hAnsiTheme="minorHAnsi"/>
      <w:b/>
      <w:bCs/>
      <w:noProof w:val="0"/>
    </w:rPr>
  </w:style>
  <w:style w:type="character" w:customStyle="1" w:styleId="CommentSubjectChar">
    <w:name w:val="Comment Subject Char"/>
    <w:basedOn w:val="CommentTextChar"/>
    <w:link w:val="CommentSubject"/>
    <w:uiPriority w:val="99"/>
    <w:semiHidden/>
    <w:rsid w:val="00A15915"/>
    <w:rPr>
      <w:rFonts w:ascii="Calibri" w:hAnsi="Calibri"/>
      <w:b/>
      <w:bCs/>
      <w:noProof/>
      <w:sz w:val="20"/>
      <w:szCs w:val="20"/>
    </w:rPr>
  </w:style>
  <w:style w:type="paragraph" w:styleId="Revision">
    <w:name w:val="Revision"/>
    <w:hidden/>
    <w:uiPriority w:val="99"/>
    <w:semiHidden/>
    <w:rsid w:val="00EA4F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385492692">
      <w:bodyDiv w:val="1"/>
      <w:marLeft w:val="0"/>
      <w:marRight w:val="0"/>
      <w:marTop w:val="0"/>
      <w:marBottom w:val="0"/>
      <w:divBdr>
        <w:top w:val="none" w:sz="0" w:space="0" w:color="auto"/>
        <w:left w:val="none" w:sz="0" w:space="0" w:color="auto"/>
        <w:bottom w:val="none" w:sz="0" w:space="0" w:color="auto"/>
        <w:right w:val="none" w:sz="0" w:space="0" w:color="auto"/>
      </w:divBdr>
    </w:div>
    <w:div w:id="548960436">
      <w:bodyDiv w:val="1"/>
      <w:marLeft w:val="0"/>
      <w:marRight w:val="0"/>
      <w:marTop w:val="0"/>
      <w:marBottom w:val="0"/>
      <w:divBdr>
        <w:top w:val="none" w:sz="0" w:space="0" w:color="auto"/>
        <w:left w:val="none" w:sz="0" w:space="0" w:color="auto"/>
        <w:bottom w:val="none" w:sz="0" w:space="0" w:color="auto"/>
        <w:right w:val="none" w:sz="0" w:space="0" w:color="auto"/>
      </w:divBdr>
    </w:div>
    <w:div w:id="92707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cid:image001.jpg@01D31CE9.E303EF80" TargetMode="External"/><Relationship Id="rId26" Type="http://schemas.openxmlformats.org/officeDocument/2006/relationships/hyperlink" Target="http://www.education.gov.au/national-school-resourcing-board" TargetMode="External"/><Relationship Id="rId3" Type="http://schemas.openxmlformats.org/officeDocument/2006/relationships/customXml" Target="../customXml/item3.xml"/><Relationship Id="rId21" Type="http://schemas.openxmlformats.org/officeDocument/2006/relationships/hyperlink" Target="mailto:copyright@education.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hyperlink" Target="http://www.education.gov.au/national-school-resourcing-board"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creativecommons.org/licenses/by/4.0/legalcode"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education.gov.au/national-school-resourcing-board"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education.gov.au/national-school-resourcing-board"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creativecommons.org/licenses/by/4.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xcellence in Schools">
      <a:dk1>
        <a:sysClr val="windowText" lastClr="000000"/>
      </a:dk1>
      <a:lt1>
        <a:srgbClr val="FFFFFF"/>
      </a:lt1>
      <a:dk2>
        <a:srgbClr val="0066FF"/>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Review into Education">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322f1e438b2c069304a148ad3fdd0edf">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a69a8e7eae4f38d994653e821ef7a01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enumeration value="Emai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B4C30-6D86-487A-8B5B-3A5DEC448181}">
  <ds:schemaRefs>
    <ds:schemaRef ds:uri="http://schemas.openxmlformats.org/package/2006/metadata/core-properties"/>
    <ds:schemaRef ds:uri="http://purl.org/dc/dcmitype/"/>
    <ds:schemaRef ds:uri="http://schemas.microsoft.com/office/infopath/2007/PartnerControls"/>
    <ds:schemaRef ds:uri="c5a0bbd5-585e-4472-9791-5df67fe41a90"/>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www.w3.org/XML/1998/namespace"/>
  </ds:schemaRefs>
</ds:datastoreItem>
</file>

<file path=customXml/itemProps2.xml><?xml version="1.0" encoding="utf-8"?>
<ds:datastoreItem xmlns:ds="http://schemas.openxmlformats.org/officeDocument/2006/customXml" ds:itemID="{2C1EC45F-5108-4DFB-9409-93A12F348B98}">
  <ds:schemaRefs>
    <ds:schemaRef ds:uri="http://schemas.microsoft.com/sharepoint/v3/contenttype/forms"/>
  </ds:schemaRefs>
</ds:datastoreItem>
</file>

<file path=customXml/itemProps3.xml><?xml version="1.0" encoding="utf-8"?>
<ds:datastoreItem xmlns:ds="http://schemas.openxmlformats.org/officeDocument/2006/customXml" ds:itemID="{D1780DFF-3045-4E92-857E-D77B4377E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D6C377-6B9C-4A60-8817-68C5BCDF1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BDEC063E.dotm</Template>
  <TotalTime>12</TotalTime>
  <Pages>6</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Review to Achieve Educational Excellence in Australian Schools</vt:lpstr>
    </vt:vector>
  </TitlesOfParts>
  <Company>Australian Government</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to Achieve Educational Excellence in Australian Schools</dc:title>
  <dc:creator>Racheal Bruhn</dc:creator>
  <cp:lastModifiedBy>HODGSON,Philip</cp:lastModifiedBy>
  <cp:revision>10</cp:revision>
  <cp:lastPrinted>2017-12-11T23:44:00Z</cp:lastPrinted>
  <dcterms:created xsi:type="dcterms:W3CDTF">2017-12-08T00:12:00Z</dcterms:created>
  <dcterms:modified xsi:type="dcterms:W3CDTF">2017-12-11T23:44:00Z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