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39262859"/>
        <w:docPartObj>
          <w:docPartGallery w:val="Cover Pages"/>
          <w:docPartUnique/>
        </w:docPartObj>
      </w:sdtPr>
      <w:sdtEndPr/>
      <w:sdtContent>
        <w:bookmarkStart w:id="0" w:name="_GoBack" w:displacedByCustomXml="prev"/>
        <w:p w14:paraId="3B9B859F" w14:textId="656E51DE" w:rsidR="0002792A" w:rsidRDefault="008E560A" w:rsidP="008E560A">
          <w:pPr>
            <w:ind w:left="-1134" w:right="-340"/>
            <w:rPr>
              <w:rFonts w:asciiTheme="majorHAnsi" w:eastAsiaTheme="majorEastAsia" w:hAnsiTheme="majorHAnsi" w:cstheme="majorBidi"/>
              <w:b/>
              <w:bCs/>
              <w:color w:val="365F91" w:themeColor="accent1" w:themeShade="BF"/>
              <w:sz w:val="28"/>
              <w:szCs w:val="28"/>
            </w:rPr>
          </w:pPr>
          <w:r>
            <w:rPr>
              <w:noProof/>
              <w:lang w:val="en-AU" w:eastAsia="en-AU"/>
            </w:rPr>
            <w:drawing>
              <wp:inline distT="0" distB="0" distL="0" distR="0" wp14:anchorId="35AC4E86" wp14:editId="16C57ADA">
                <wp:extent cx="6781800" cy="9776994"/>
                <wp:effectExtent l="0" t="0" r="0" b="0"/>
                <wp:docPr id="1" name="Picture 1" descr="Independent Review Student First Support Fund: Final Report 3rd March 2017. Authors: Dahle Suggett, John McCarthy, Barbara Watterston.&#10;&#10;"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86958" cy="9784429"/>
                        </a:xfrm>
                        <a:prstGeom prst="rect">
                          <a:avLst/>
                        </a:prstGeom>
                      </pic:spPr>
                    </pic:pic>
                  </a:graphicData>
                </a:graphic>
              </wp:inline>
            </w:drawing>
          </w:r>
        </w:p>
        <w:bookmarkEnd w:id="0" w:displacedByCustomXml="next"/>
      </w:sdtContent>
    </w:sdt>
    <w:sdt>
      <w:sdtPr>
        <w:rPr>
          <w:rFonts w:asciiTheme="minorHAnsi" w:eastAsiaTheme="minorEastAsia" w:hAnsiTheme="minorHAnsi" w:cstheme="minorBidi"/>
          <w:b w:val="0"/>
          <w:bCs w:val="0"/>
          <w:color w:val="auto"/>
          <w:sz w:val="24"/>
          <w:szCs w:val="24"/>
          <w:lang w:eastAsia="en-US"/>
        </w:rPr>
        <w:id w:val="-1112432687"/>
        <w:docPartObj>
          <w:docPartGallery w:val="Table of Contents"/>
          <w:docPartUnique/>
        </w:docPartObj>
      </w:sdtPr>
      <w:sdtEndPr>
        <w:rPr>
          <w:noProof/>
        </w:rPr>
      </w:sdtEndPr>
      <w:sdtContent>
        <w:p w14:paraId="21F1706B" w14:textId="51FFD69E" w:rsidR="004B2D8A" w:rsidRDefault="004B2D8A" w:rsidP="006B4CB2">
          <w:pPr>
            <w:pStyle w:val="TOCHeading"/>
            <w:spacing w:line="240" w:lineRule="auto"/>
          </w:pPr>
          <w:r>
            <w:t>Contents</w:t>
          </w:r>
        </w:p>
        <w:p w14:paraId="526535E4" w14:textId="145F46FD" w:rsidR="006B4CB2" w:rsidRDefault="004B2D8A" w:rsidP="006B4CB2">
          <w:pPr>
            <w:pStyle w:val="TOC1"/>
            <w:rPr>
              <w:b w:val="0"/>
              <w:sz w:val="22"/>
              <w:szCs w:val="22"/>
              <w:lang w:val="en-AU" w:eastAsia="en-AU"/>
            </w:rPr>
          </w:pPr>
          <w:r>
            <w:rPr>
              <w:noProof w:val="0"/>
            </w:rPr>
            <w:fldChar w:fldCharType="begin"/>
          </w:r>
          <w:r>
            <w:instrText xml:space="preserve"> TOC \o "1-3" \h \z \u </w:instrText>
          </w:r>
          <w:r>
            <w:rPr>
              <w:noProof w:val="0"/>
            </w:rPr>
            <w:fldChar w:fldCharType="separate"/>
          </w:r>
          <w:hyperlink w:anchor="_Toc495587285" w:history="1">
            <w:r w:rsidR="006B4CB2" w:rsidRPr="00A42B60">
              <w:rPr>
                <w:rStyle w:val="Hyperlink"/>
              </w:rPr>
              <w:t>Executive Summary</w:t>
            </w:r>
            <w:r w:rsidR="006B4CB2">
              <w:rPr>
                <w:webHidden/>
              </w:rPr>
              <w:tab/>
            </w:r>
            <w:r w:rsidR="006B4CB2">
              <w:rPr>
                <w:webHidden/>
              </w:rPr>
              <w:fldChar w:fldCharType="begin"/>
            </w:r>
            <w:r w:rsidR="006B4CB2">
              <w:rPr>
                <w:webHidden/>
              </w:rPr>
              <w:instrText xml:space="preserve"> PAGEREF _Toc495587285 \h </w:instrText>
            </w:r>
            <w:r w:rsidR="006B4CB2">
              <w:rPr>
                <w:webHidden/>
              </w:rPr>
            </w:r>
            <w:r w:rsidR="006B4CB2">
              <w:rPr>
                <w:webHidden/>
              </w:rPr>
              <w:fldChar w:fldCharType="separate"/>
            </w:r>
            <w:r w:rsidR="006B4CB2">
              <w:rPr>
                <w:webHidden/>
              </w:rPr>
              <w:t>3</w:t>
            </w:r>
            <w:r w:rsidR="006B4CB2">
              <w:rPr>
                <w:webHidden/>
              </w:rPr>
              <w:fldChar w:fldCharType="end"/>
            </w:r>
          </w:hyperlink>
        </w:p>
        <w:p w14:paraId="0FD13FD3" w14:textId="3C70BBB4" w:rsidR="006B4CB2" w:rsidRDefault="00CD1809" w:rsidP="006B4CB2">
          <w:pPr>
            <w:pStyle w:val="TOC2"/>
            <w:tabs>
              <w:tab w:val="right" w:leader="dot" w:pos="8630"/>
            </w:tabs>
            <w:rPr>
              <w:noProof/>
              <w:sz w:val="22"/>
              <w:szCs w:val="22"/>
              <w:lang w:val="en-AU" w:eastAsia="en-AU"/>
            </w:rPr>
          </w:pPr>
          <w:hyperlink w:anchor="_Toc495587286" w:history="1">
            <w:r w:rsidR="006B4CB2" w:rsidRPr="00A42B60">
              <w:rPr>
                <w:rStyle w:val="Hyperlink"/>
                <w:noProof/>
              </w:rPr>
              <w:t>Review requirements</w:t>
            </w:r>
            <w:r w:rsidR="006B4CB2">
              <w:rPr>
                <w:noProof/>
                <w:webHidden/>
              </w:rPr>
              <w:tab/>
            </w:r>
            <w:r w:rsidR="006B4CB2">
              <w:rPr>
                <w:noProof/>
                <w:webHidden/>
              </w:rPr>
              <w:fldChar w:fldCharType="begin"/>
            </w:r>
            <w:r w:rsidR="006B4CB2">
              <w:rPr>
                <w:noProof/>
                <w:webHidden/>
              </w:rPr>
              <w:instrText xml:space="preserve"> PAGEREF _Toc495587286 \h </w:instrText>
            </w:r>
            <w:r w:rsidR="006B4CB2">
              <w:rPr>
                <w:noProof/>
                <w:webHidden/>
              </w:rPr>
            </w:r>
            <w:r w:rsidR="006B4CB2">
              <w:rPr>
                <w:noProof/>
                <w:webHidden/>
              </w:rPr>
              <w:fldChar w:fldCharType="separate"/>
            </w:r>
            <w:r w:rsidR="006B4CB2">
              <w:rPr>
                <w:noProof/>
                <w:webHidden/>
              </w:rPr>
              <w:t>3</w:t>
            </w:r>
            <w:r w:rsidR="006B4CB2">
              <w:rPr>
                <w:noProof/>
                <w:webHidden/>
              </w:rPr>
              <w:fldChar w:fldCharType="end"/>
            </w:r>
          </w:hyperlink>
        </w:p>
        <w:p w14:paraId="698A4CE1" w14:textId="41735398" w:rsidR="006B4CB2" w:rsidRDefault="00CD1809" w:rsidP="006B4CB2">
          <w:pPr>
            <w:pStyle w:val="TOC2"/>
            <w:tabs>
              <w:tab w:val="right" w:leader="dot" w:pos="8630"/>
            </w:tabs>
            <w:rPr>
              <w:noProof/>
              <w:sz w:val="22"/>
              <w:szCs w:val="22"/>
              <w:lang w:val="en-AU" w:eastAsia="en-AU"/>
            </w:rPr>
          </w:pPr>
          <w:hyperlink w:anchor="_Toc495587287" w:history="1">
            <w:r w:rsidR="006B4CB2" w:rsidRPr="00A42B60">
              <w:rPr>
                <w:rStyle w:val="Hyperlink"/>
                <w:noProof/>
              </w:rPr>
              <w:t>Context</w:t>
            </w:r>
            <w:r w:rsidR="006B4CB2">
              <w:rPr>
                <w:noProof/>
                <w:webHidden/>
              </w:rPr>
              <w:tab/>
            </w:r>
            <w:r w:rsidR="006B4CB2">
              <w:rPr>
                <w:noProof/>
                <w:webHidden/>
              </w:rPr>
              <w:fldChar w:fldCharType="begin"/>
            </w:r>
            <w:r w:rsidR="006B4CB2">
              <w:rPr>
                <w:noProof/>
                <w:webHidden/>
              </w:rPr>
              <w:instrText xml:space="preserve"> PAGEREF _Toc495587287 \h </w:instrText>
            </w:r>
            <w:r w:rsidR="006B4CB2">
              <w:rPr>
                <w:noProof/>
                <w:webHidden/>
              </w:rPr>
            </w:r>
            <w:r w:rsidR="006B4CB2">
              <w:rPr>
                <w:noProof/>
                <w:webHidden/>
              </w:rPr>
              <w:fldChar w:fldCharType="separate"/>
            </w:r>
            <w:r w:rsidR="006B4CB2">
              <w:rPr>
                <w:noProof/>
                <w:webHidden/>
              </w:rPr>
              <w:t>3</w:t>
            </w:r>
            <w:r w:rsidR="006B4CB2">
              <w:rPr>
                <w:noProof/>
                <w:webHidden/>
              </w:rPr>
              <w:fldChar w:fldCharType="end"/>
            </w:r>
          </w:hyperlink>
        </w:p>
        <w:p w14:paraId="79B43BA9" w14:textId="376411BD" w:rsidR="006B4CB2" w:rsidRDefault="00CD1809" w:rsidP="006B4CB2">
          <w:pPr>
            <w:pStyle w:val="TOC2"/>
            <w:tabs>
              <w:tab w:val="right" w:leader="dot" w:pos="8630"/>
            </w:tabs>
            <w:rPr>
              <w:noProof/>
              <w:sz w:val="22"/>
              <w:szCs w:val="22"/>
              <w:lang w:val="en-AU" w:eastAsia="en-AU"/>
            </w:rPr>
          </w:pPr>
          <w:hyperlink w:anchor="_Toc495587288" w:history="1">
            <w:r w:rsidR="006B4CB2" w:rsidRPr="00A42B60">
              <w:rPr>
                <w:rStyle w:val="Hyperlink"/>
                <w:noProof/>
              </w:rPr>
              <w:t>Key findings</w:t>
            </w:r>
            <w:r w:rsidR="006B4CB2">
              <w:rPr>
                <w:noProof/>
                <w:webHidden/>
              </w:rPr>
              <w:tab/>
            </w:r>
            <w:r w:rsidR="006B4CB2">
              <w:rPr>
                <w:noProof/>
                <w:webHidden/>
              </w:rPr>
              <w:fldChar w:fldCharType="begin"/>
            </w:r>
            <w:r w:rsidR="006B4CB2">
              <w:rPr>
                <w:noProof/>
                <w:webHidden/>
              </w:rPr>
              <w:instrText xml:space="preserve"> PAGEREF _Toc495587288 \h </w:instrText>
            </w:r>
            <w:r w:rsidR="006B4CB2">
              <w:rPr>
                <w:noProof/>
                <w:webHidden/>
              </w:rPr>
            </w:r>
            <w:r w:rsidR="006B4CB2">
              <w:rPr>
                <w:noProof/>
                <w:webHidden/>
              </w:rPr>
              <w:fldChar w:fldCharType="separate"/>
            </w:r>
            <w:r w:rsidR="006B4CB2">
              <w:rPr>
                <w:noProof/>
                <w:webHidden/>
              </w:rPr>
              <w:t>4</w:t>
            </w:r>
            <w:r w:rsidR="006B4CB2">
              <w:rPr>
                <w:noProof/>
                <w:webHidden/>
              </w:rPr>
              <w:fldChar w:fldCharType="end"/>
            </w:r>
          </w:hyperlink>
        </w:p>
        <w:p w14:paraId="1261C021" w14:textId="70126D0C" w:rsidR="006B4CB2" w:rsidRDefault="00CD1809" w:rsidP="006B4CB2">
          <w:pPr>
            <w:pStyle w:val="TOC3"/>
            <w:tabs>
              <w:tab w:val="right" w:leader="dot" w:pos="8630"/>
            </w:tabs>
            <w:rPr>
              <w:noProof/>
              <w:sz w:val="22"/>
              <w:szCs w:val="22"/>
              <w:lang w:val="en-AU" w:eastAsia="en-AU"/>
            </w:rPr>
          </w:pPr>
          <w:hyperlink w:anchor="_Toc495587289" w:history="1">
            <w:r w:rsidR="006B4CB2" w:rsidRPr="00A42B60">
              <w:rPr>
                <w:rStyle w:val="Hyperlink"/>
                <w:noProof/>
              </w:rPr>
              <w:t>Benefits</w:t>
            </w:r>
            <w:r w:rsidR="006B4CB2">
              <w:rPr>
                <w:noProof/>
                <w:webHidden/>
              </w:rPr>
              <w:tab/>
            </w:r>
            <w:r w:rsidR="006B4CB2">
              <w:rPr>
                <w:noProof/>
                <w:webHidden/>
              </w:rPr>
              <w:fldChar w:fldCharType="begin"/>
            </w:r>
            <w:r w:rsidR="006B4CB2">
              <w:rPr>
                <w:noProof/>
                <w:webHidden/>
              </w:rPr>
              <w:instrText xml:space="preserve"> PAGEREF _Toc495587289 \h </w:instrText>
            </w:r>
            <w:r w:rsidR="006B4CB2">
              <w:rPr>
                <w:noProof/>
                <w:webHidden/>
              </w:rPr>
            </w:r>
            <w:r w:rsidR="006B4CB2">
              <w:rPr>
                <w:noProof/>
                <w:webHidden/>
              </w:rPr>
              <w:fldChar w:fldCharType="separate"/>
            </w:r>
            <w:r w:rsidR="006B4CB2">
              <w:rPr>
                <w:noProof/>
                <w:webHidden/>
              </w:rPr>
              <w:t>4</w:t>
            </w:r>
            <w:r w:rsidR="006B4CB2">
              <w:rPr>
                <w:noProof/>
                <w:webHidden/>
              </w:rPr>
              <w:fldChar w:fldCharType="end"/>
            </w:r>
          </w:hyperlink>
        </w:p>
        <w:p w14:paraId="4B145DAC" w14:textId="72D179C8" w:rsidR="006B4CB2" w:rsidRDefault="00CD1809" w:rsidP="006B4CB2">
          <w:pPr>
            <w:pStyle w:val="TOC3"/>
            <w:tabs>
              <w:tab w:val="right" w:leader="dot" w:pos="8630"/>
            </w:tabs>
            <w:rPr>
              <w:noProof/>
              <w:sz w:val="22"/>
              <w:szCs w:val="22"/>
              <w:lang w:val="en-AU" w:eastAsia="en-AU"/>
            </w:rPr>
          </w:pPr>
          <w:hyperlink w:anchor="_Toc495587290" w:history="1">
            <w:r w:rsidR="006B4CB2" w:rsidRPr="00A42B60">
              <w:rPr>
                <w:rStyle w:val="Hyperlink"/>
                <w:noProof/>
              </w:rPr>
              <w:t>Shortfalls and challenges</w:t>
            </w:r>
            <w:r w:rsidR="006B4CB2">
              <w:rPr>
                <w:noProof/>
                <w:webHidden/>
              </w:rPr>
              <w:tab/>
            </w:r>
            <w:r w:rsidR="006B4CB2">
              <w:rPr>
                <w:noProof/>
                <w:webHidden/>
              </w:rPr>
              <w:fldChar w:fldCharType="begin"/>
            </w:r>
            <w:r w:rsidR="006B4CB2">
              <w:rPr>
                <w:noProof/>
                <w:webHidden/>
              </w:rPr>
              <w:instrText xml:space="preserve"> PAGEREF _Toc495587290 \h </w:instrText>
            </w:r>
            <w:r w:rsidR="006B4CB2">
              <w:rPr>
                <w:noProof/>
                <w:webHidden/>
              </w:rPr>
            </w:r>
            <w:r w:rsidR="006B4CB2">
              <w:rPr>
                <w:noProof/>
                <w:webHidden/>
              </w:rPr>
              <w:fldChar w:fldCharType="separate"/>
            </w:r>
            <w:r w:rsidR="006B4CB2">
              <w:rPr>
                <w:noProof/>
                <w:webHidden/>
              </w:rPr>
              <w:t>4</w:t>
            </w:r>
            <w:r w:rsidR="006B4CB2">
              <w:rPr>
                <w:noProof/>
                <w:webHidden/>
              </w:rPr>
              <w:fldChar w:fldCharType="end"/>
            </w:r>
          </w:hyperlink>
        </w:p>
        <w:p w14:paraId="675A655A" w14:textId="63522D63" w:rsidR="006B4CB2" w:rsidRDefault="00CD1809" w:rsidP="006B4CB2">
          <w:pPr>
            <w:pStyle w:val="TOC2"/>
            <w:tabs>
              <w:tab w:val="right" w:leader="dot" w:pos="8630"/>
            </w:tabs>
            <w:rPr>
              <w:noProof/>
              <w:sz w:val="22"/>
              <w:szCs w:val="22"/>
              <w:lang w:val="en-AU" w:eastAsia="en-AU"/>
            </w:rPr>
          </w:pPr>
          <w:hyperlink w:anchor="_Toc495587291" w:history="1">
            <w:r w:rsidR="006B4CB2" w:rsidRPr="00A42B60">
              <w:rPr>
                <w:rStyle w:val="Hyperlink"/>
                <w:noProof/>
              </w:rPr>
              <w:t>Options for the future of SFSF</w:t>
            </w:r>
            <w:r w:rsidR="006B4CB2">
              <w:rPr>
                <w:noProof/>
                <w:webHidden/>
              </w:rPr>
              <w:tab/>
            </w:r>
            <w:r w:rsidR="006B4CB2">
              <w:rPr>
                <w:noProof/>
                <w:webHidden/>
              </w:rPr>
              <w:fldChar w:fldCharType="begin"/>
            </w:r>
            <w:r w:rsidR="006B4CB2">
              <w:rPr>
                <w:noProof/>
                <w:webHidden/>
              </w:rPr>
              <w:instrText xml:space="preserve"> PAGEREF _Toc495587291 \h </w:instrText>
            </w:r>
            <w:r w:rsidR="006B4CB2">
              <w:rPr>
                <w:noProof/>
                <w:webHidden/>
              </w:rPr>
            </w:r>
            <w:r w:rsidR="006B4CB2">
              <w:rPr>
                <w:noProof/>
                <w:webHidden/>
              </w:rPr>
              <w:fldChar w:fldCharType="separate"/>
            </w:r>
            <w:r w:rsidR="006B4CB2">
              <w:rPr>
                <w:noProof/>
                <w:webHidden/>
              </w:rPr>
              <w:t>5</w:t>
            </w:r>
            <w:r w:rsidR="006B4CB2">
              <w:rPr>
                <w:noProof/>
                <w:webHidden/>
              </w:rPr>
              <w:fldChar w:fldCharType="end"/>
            </w:r>
          </w:hyperlink>
        </w:p>
        <w:p w14:paraId="11EF0DAE" w14:textId="2E72B2A2" w:rsidR="006B4CB2" w:rsidRDefault="00CD1809" w:rsidP="006B4CB2">
          <w:pPr>
            <w:pStyle w:val="TOC3"/>
            <w:tabs>
              <w:tab w:val="right" w:leader="dot" w:pos="8630"/>
            </w:tabs>
            <w:rPr>
              <w:noProof/>
              <w:sz w:val="22"/>
              <w:szCs w:val="22"/>
              <w:lang w:val="en-AU" w:eastAsia="en-AU"/>
            </w:rPr>
          </w:pPr>
          <w:hyperlink w:anchor="_Toc495587292" w:history="1">
            <w:r w:rsidR="006B4CB2" w:rsidRPr="00A42B60">
              <w:rPr>
                <w:rStyle w:val="Hyperlink"/>
                <w:noProof/>
              </w:rPr>
              <w:t>Lessons for school support by ‘systems’</w:t>
            </w:r>
            <w:r w:rsidR="006B4CB2">
              <w:rPr>
                <w:noProof/>
                <w:webHidden/>
              </w:rPr>
              <w:tab/>
            </w:r>
            <w:r w:rsidR="006B4CB2">
              <w:rPr>
                <w:noProof/>
                <w:webHidden/>
              </w:rPr>
              <w:fldChar w:fldCharType="begin"/>
            </w:r>
            <w:r w:rsidR="006B4CB2">
              <w:rPr>
                <w:noProof/>
                <w:webHidden/>
              </w:rPr>
              <w:instrText xml:space="preserve"> PAGEREF _Toc495587292 \h </w:instrText>
            </w:r>
            <w:r w:rsidR="006B4CB2">
              <w:rPr>
                <w:noProof/>
                <w:webHidden/>
              </w:rPr>
            </w:r>
            <w:r w:rsidR="006B4CB2">
              <w:rPr>
                <w:noProof/>
                <w:webHidden/>
              </w:rPr>
              <w:fldChar w:fldCharType="separate"/>
            </w:r>
            <w:r w:rsidR="006B4CB2">
              <w:rPr>
                <w:noProof/>
                <w:webHidden/>
              </w:rPr>
              <w:t>5</w:t>
            </w:r>
            <w:r w:rsidR="006B4CB2">
              <w:rPr>
                <w:noProof/>
                <w:webHidden/>
              </w:rPr>
              <w:fldChar w:fldCharType="end"/>
            </w:r>
          </w:hyperlink>
        </w:p>
        <w:p w14:paraId="1AEC99D7" w14:textId="7DA05F88" w:rsidR="006B4CB2" w:rsidRDefault="00CD1809" w:rsidP="006B4CB2">
          <w:pPr>
            <w:pStyle w:val="TOC3"/>
            <w:tabs>
              <w:tab w:val="right" w:leader="dot" w:pos="8630"/>
            </w:tabs>
            <w:rPr>
              <w:noProof/>
              <w:sz w:val="22"/>
              <w:szCs w:val="22"/>
              <w:lang w:val="en-AU" w:eastAsia="en-AU"/>
            </w:rPr>
          </w:pPr>
          <w:hyperlink w:anchor="_Toc495587293" w:history="1">
            <w:r w:rsidR="006B4CB2" w:rsidRPr="00A42B60">
              <w:rPr>
                <w:rStyle w:val="Hyperlink"/>
                <w:noProof/>
              </w:rPr>
              <w:t>A model for improving implementation of national priorities</w:t>
            </w:r>
            <w:r w:rsidR="006B4CB2">
              <w:rPr>
                <w:noProof/>
                <w:webHidden/>
              </w:rPr>
              <w:tab/>
            </w:r>
            <w:r w:rsidR="006B4CB2">
              <w:rPr>
                <w:noProof/>
                <w:webHidden/>
              </w:rPr>
              <w:fldChar w:fldCharType="begin"/>
            </w:r>
            <w:r w:rsidR="006B4CB2">
              <w:rPr>
                <w:noProof/>
                <w:webHidden/>
              </w:rPr>
              <w:instrText xml:space="preserve"> PAGEREF _Toc495587293 \h </w:instrText>
            </w:r>
            <w:r w:rsidR="006B4CB2">
              <w:rPr>
                <w:noProof/>
                <w:webHidden/>
              </w:rPr>
            </w:r>
            <w:r w:rsidR="006B4CB2">
              <w:rPr>
                <w:noProof/>
                <w:webHidden/>
              </w:rPr>
              <w:fldChar w:fldCharType="separate"/>
            </w:r>
            <w:r w:rsidR="006B4CB2">
              <w:rPr>
                <w:noProof/>
                <w:webHidden/>
              </w:rPr>
              <w:t>6</w:t>
            </w:r>
            <w:r w:rsidR="006B4CB2">
              <w:rPr>
                <w:noProof/>
                <w:webHidden/>
              </w:rPr>
              <w:fldChar w:fldCharType="end"/>
            </w:r>
          </w:hyperlink>
        </w:p>
        <w:p w14:paraId="01D6877B" w14:textId="420D06D4" w:rsidR="006B4CB2" w:rsidRDefault="00CD1809" w:rsidP="006B4CB2">
          <w:pPr>
            <w:pStyle w:val="TOC3"/>
            <w:tabs>
              <w:tab w:val="right" w:leader="dot" w:pos="8630"/>
            </w:tabs>
            <w:rPr>
              <w:noProof/>
              <w:sz w:val="22"/>
              <w:szCs w:val="22"/>
              <w:lang w:val="en-AU" w:eastAsia="en-AU"/>
            </w:rPr>
          </w:pPr>
          <w:hyperlink w:anchor="_Toc495587294" w:history="1">
            <w:r w:rsidR="006B4CB2" w:rsidRPr="00A42B60">
              <w:rPr>
                <w:rStyle w:val="Hyperlink"/>
                <w:noProof/>
              </w:rPr>
              <w:t>Alternative funding levers</w:t>
            </w:r>
            <w:r w:rsidR="006B4CB2">
              <w:rPr>
                <w:noProof/>
                <w:webHidden/>
              </w:rPr>
              <w:tab/>
            </w:r>
            <w:r w:rsidR="006B4CB2">
              <w:rPr>
                <w:noProof/>
                <w:webHidden/>
              </w:rPr>
              <w:fldChar w:fldCharType="begin"/>
            </w:r>
            <w:r w:rsidR="006B4CB2">
              <w:rPr>
                <w:noProof/>
                <w:webHidden/>
              </w:rPr>
              <w:instrText xml:space="preserve"> PAGEREF _Toc495587294 \h </w:instrText>
            </w:r>
            <w:r w:rsidR="006B4CB2">
              <w:rPr>
                <w:noProof/>
                <w:webHidden/>
              </w:rPr>
            </w:r>
            <w:r w:rsidR="006B4CB2">
              <w:rPr>
                <w:noProof/>
                <w:webHidden/>
              </w:rPr>
              <w:fldChar w:fldCharType="separate"/>
            </w:r>
            <w:r w:rsidR="006B4CB2">
              <w:rPr>
                <w:noProof/>
                <w:webHidden/>
              </w:rPr>
              <w:t>7</w:t>
            </w:r>
            <w:r w:rsidR="006B4CB2">
              <w:rPr>
                <w:noProof/>
                <w:webHidden/>
              </w:rPr>
              <w:fldChar w:fldCharType="end"/>
            </w:r>
          </w:hyperlink>
        </w:p>
        <w:p w14:paraId="1E1819E8" w14:textId="11F96188" w:rsidR="006B4CB2" w:rsidRDefault="00CD1809" w:rsidP="006B4CB2">
          <w:pPr>
            <w:pStyle w:val="TOC1"/>
            <w:rPr>
              <w:b w:val="0"/>
              <w:sz w:val="22"/>
              <w:szCs w:val="22"/>
              <w:lang w:val="en-AU" w:eastAsia="en-AU"/>
            </w:rPr>
          </w:pPr>
          <w:hyperlink w:anchor="_Toc495587295" w:history="1">
            <w:r w:rsidR="006B4CB2" w:rsidRPr="00A42B60">
              <w:rPr>
                <w:rStyle w:val="Hyperlink"/>
              </w:rPr>
              <w:t>Part 1</w:t>
            </w:r>
            <w:r w:rsidR="006B4CB2">
              <w:rPr>
                <w:webHidden/>
              </w:rPr>
              <w:tab/>
            </w:r>
            <w:r w:rsidR="006B4CB2">
              <w:rPr>
                <w:webHidden/>
              </w:rPr>
              <w:fldChar w:fldCharType="begin"/>
            </w:r>
            <w:r w:rsidR="006B4CB2">
              <w:rPr>
                <w:webHidden/>
              </w:rPr>
              <w:instrText xml:space="preserve"> PAGEREF _Toc495587295 \h </w:instrText>
            </w:r>
            <w:r w:rsidR="006B4CB2">
              <w:rPr>
                <w:webHidden/>
              </w:rPr>
            </w:r>
            <w:r w:rsidR="006B4CB2">
              <w:rPr>
                <w:webHidden/>
              </w:rPr>
              <w:fldChar w:fldCharType="separate"/>
            </w:r>
            <w:r w:rsidR="006B4CB2">
              <w:rPr>
                <w:webHidden/>
              </w:rPr>
              <w:t>8</w:t>
            </w:r>
            <w:r w:rsidR="006B4CB2">
              <w:rPr>
                <w:webHidden/>
              </w:rPr>
              <w:fldChar w:fldCharType="end"/>
            </w:r>
          </w:hyperlink>
        </w:p>
        <w:p w14:paraId="1DA690CF" w14:textId="4081375A" w:rsidR="006B4CB2" w:rsidRDefault="00CD1809" w:rsidP="006B4CB2">
          <w:pPr>
            <w:pStyle w:val="TOC1"/>
            <w:rPr>
              <w:b w:val="0"/>
              <w:sz w:val="22"/>
              <w:szCs w:val="22"/>
              <w:lang w:val="en-AU" w:eastAsia="en-AU"/>
            </w:rPr>
          </w:pPr>
          <w:hyperlink w:anchor="_Toc495587296" w:history="1">
            <w:r w:rsidR="006B4CB2" w:rsidRPr="00A42B60">
              <w:rPr>
                <w:rStyle w:val="Hyperlink"/>
              </w:rPr>
              <w:t>Review Findings and Discussion</w:t>
            </w:r>
            <w:r w:rsidR="006B4CB2">
              <w:rPr>
                <w:webHidden/>
              </w:rPr>
              <w:tab/>
            </w:r>
            <w:r w:rsidR="006B4CB2">
              <w:rPr>
                <w:webHidden/>
              </w:rPr>
              <w:fldChar w:fldCharType="begin"/>
            </w:r>
            <w:r w:rsidR="006B4CB2">
              <w:rPr>
                <w:webHidden/>
              </w:rPr>
              <w:instrText xml:space="preserve"> PAGEREF _Toc495587296 \h </w:instrText>
            </w:r>
            <w:r w:rsidR="006B4CB2">
              <w:rPr>
                <w:webHidden/>
              </w:rPr>
            </w:r>
            <w:r w:rsidR="006B4CB2">
              <w:rPr>
                <w:webHidden/>
              </w:rPr>
              <w:fldChar w:fldCharType="separate"/>
            </w:r>
            <w:r w:rsidR="006B4CB2">
              <w:rPr>
                <w:webHidden/>
              </w:rPr>
              <w:t>8</w:t>
            </w:r>
            <w:r w:rsidR="006B4CB2">
              <w:rPr>
                <w:webHidden/>
              </w:rPr>
              <w:fldChar w:fldCharType="end"/>
            </w:r>
          </w:hyperlink>
        </w:p>
        <w:p w14:paraId="1A0E102C" w14:textId="76339163" w:rsidR="006B4CB2" w:rsidRDefault="00CD1809" w:rsidP="006B4CB2">
          <w:pPr>
            <w:pStyle w:val="TOC1"/>
            <w:rPr>
              <w:b w:val="0"/>
              <w:sz w:val="22"/>
              <w:szCs w:val="22"/>
              <w:lang w:val="en-AU" w:eastAsia="en-AU"/>
            </w:rPr>
          </w:pPr>
          <w:hyperlink w:anchor="_Toc495587297" w:history="1">
            <w:r w:rsidR="006B4CB2" w:rsidRPr="00A42B60">
              <w:rPr>
                <w:rStyle w:val="Hyperlink"/>
              </w:rPr>
              <w:t>1.</w:t>
            </w:r>
            <w:r w:rsidR="006B4CB2">
              <w:rPr>
                <w:b w:val="0"/>
                <w:sz w:val="22"/>
                <w:szCs w:val="22"/>
                <w:lang w:val="en-AU" w:eastAsia="en-AU"/>
              </w:rPr>
              <w:tab/>
            </w:r>
            <w:r w:rsidR="006B4CB2" w:rsidRPr="00A42B60">
              <w:rPr>
                <w:rStyle w:val="Hyperlink"/>
              </w:rPr>
              <w:t>Introduction</w:t>
            </w:r>
            <w:r w:rsidR="006B4CB2">
              <w:rPr>
                <w:webHidden/>
              </w:rPr>
              <w:tab/>
            </w:r>
            <w:r w:rsidR="006B4CB2">
              <w:rPr>
                <w:webHidden/>
              </w:rPr>
              <w:fldChar w:fldCharType="begin"/>
            </w:r>
            <w:r w:rsidR="006B4CB2">
              <w:rPr>
                <w:webHidden/>
              </w:rPr>
              <w:instrText xml:space="preserve"> PAGEREF _Toc495587297 \h </w:instrText>
            </w:r>
            <w:r w:rsidR="006B4CB2">
              <w:rPr>
                <w:webHidden/>
              </w:rPr>
            </w:r>
            <w:r w:rsidR="006B4CB2">
              <w:rPr>
                <w:webHidden/>
              </w:rPr>
              <w:fldChar w:fldCharType="separate"/>
            </w:r>
            <w:r w:rsidR="006B4CB2">
              <w:rPr>
                <w:webHidden/>
              </w:rPr>
              <w:t>9</w:t>
            </w:r>
            <w:r w:rsidR="006B4CB2">
              <w:rPr>
                <w:webHidden/>
              </w:rPr>
              <w:fldChar w:fldCharType="end"/>
            </w:r>
          </w:hyperlink>
        </w:p>
        <w:p w14:paraId="288F1997" w14:textId="61134ACB" w:rsidR="006B4CB2" w:rsidRDefault="00CD1809" w:rsidP="006B4CB2">
          <w:pPr>
            <w:pStyle w:val="TOC2"/>
            <w:tabs>
              <w:tab w:val="left" w:pos="880"/>
              <w:tab w:val="right" w:leader="dot" w:pos="8630"/>
            </w:tabs>
            <w:rPr>
              <w:noProof/>
              <w:sz w:val="22"/>
              <w:szCs w:val="22"/>
              <w:lang w:val="en-AU" w:eastAsia="en-AU"/>
            </w:rPr>
          </w:pPr>
          <w:hyperlink w:anchor="_Toc495587298" w:history="1">
            <w:r w:rsidR="006B4CB2" w:rsidRPr="00A42B60">
              <w:rPr>
                <w:rStyle w:val="Hyperlink"/>
                <w:smallCaps/>
                <w:noProof/>
                <w:spacing w:val="5"/>
              </w:rPr>
              <w:t>1</w:t>
            </w:r>
            <w:r w:rsidR="006B4CB2" w:rsidRPr="00A42B60">
              <w:rPr>
                <w:rStyle w:val="Hyperlink"/>
                <w:noProof/>
              </w:rPr>
              <w:t xml:space="preserve">.1 </w:t>
            </w:r>
            <w:r w:rsidR="006B4CB2">
              <w:rPr>
                <w:noProof/>
                <w:sz w:val="22"/>
                <w:szCs w:val="22"/>
                <w:lang w:val="en-AU" w:eastAsia="en-AU"/>
              </w:rPr>
              <w:tab/>
            </w:r>
            <w:r w:rsidR="006B4CB2" w:rsidRPr="00A42B60">
              <w:rPr>
                <w:rStyle w:val="Hyperlink"/>
                <w:noProof/>
              </w:rPr>
              <w:t>Review requirements</w:t>
            </w:r>
            <w:r w:rsidR="006B4CB2">
              <w:rPr>
                <w:noProof/>
                <w:webHidden/>
              </w:rPr>
              <w:tab/>
            </w:r>
            <w:r w:rsidR="006B4CB2">
              <w:rPr>
                <w:noProof/>
                <w:webHidden/>
              </w:rPr>
              <w:fldChar w:fldCharType="begin"/>
            </w:r>
            <w:r w:rsidR="006B4CB2">
              <w:rPr>
                <w:noProof/>
                <w:webHidden/>
              </w:rPr>
              <w:instrText xml:space="preserve"> PAGEREF _Toc495587298 \h </w:instrText>
            </w:r>
            <w:r w:rsidR="006B4CB2">
              <w:rPr>
                <w:noProof/>
                <w:webHidden/>
              </w:rPr>
            </w:r>
            <w:r w:rsidR="006B4CB2">
              <w:rPr>
                <w:noProof/>
                <w:webHidden/>
              </w:rPr>
              <w:fldChar w:fldCharType="separate"/>
            </w:r>
            <w:r w:rsidR="006B4CB2">
              <w:rPr>
                <w:noProof/>
                <w:webHidden/>
              </w:rPr>
              <w:t>9</w:t>
            </w:r>
            <w:r w:rsidR="006B4CB2">
              <w:rPr>
                <w:noProof/>
                <w:webHidden/>
              </w:rPr>
              <w:fldChar w:fldCharType="end"/>
            </w:r>
          </w:hyperlink>
        </w:p>
        <w:p w14:paraId="14D572C6" w14:textId="5BD8EBD5" w:rsidR="006B4CB2" w:rsidRDefault="00CD1809" w:rsidP="006B4CB2">
          <w:pPr>
            <w:pStyle w:val="TOC2"/>
            <w:tabs>
              <w:tab w:val="left" w:pos="880"/>
              <w:tab w:val="right" w:leader="dot" w:pos="8630"/>
            </w:tabs>
            <w:rPr>
              <w:noProof/>
              <w:sz w:val="22"/>
              <w:szCs w:val="22"/>
              <w:lang w:val="en-AU" w:eastAsia="en-AU"/>
            </w:rPr>
          </w:pPr>
          <w:hyperlink w:anchor="_Toc495587299" w:history="1">
            <w:r w:rsidR="006B4CB2" w:rsidRPr="00A42B60">
              <w:rPr>
                <w:rStyle w:val="Hyperlink"/>
                <w:noProof/>
              </w:rPr>
              <w:t xml:space="preserve">1.2. </w:t>
            </w:r>
            <w:r w:rsidR="006B4CB2">
              <w:rPr>
                <w:noProof/>
                <w:sz w:val="22"/>
                <w:szCs w:val="22"/>
                <w:lang w:val="en-AU" w:eastAsia="en-AU"/>
              </w:rPr>
              <w:tab/>
            </w:r>
            <w:r w:rsidR="006B4CB2" w:rsidRPr="00A42B60">
              <w:rPr>
                <w:rStyle w:val="Hyperlink"/>
                <w:noProof/>
              </w:rPr>
              <w:t>Methodology</w:t>
            </w:r>
            <w:r w:rsidR="006B4CB2">
              <w:rPr>
                <w:noProof/>
                <w:webHidden/>
              </w:rPr>
              <w:tab/>
            </w:r>
            <w:r w:rsidR="006B4CB2">
              <w:rPr>
                <w:noProof/>
                <w:webHidden/>
              </w:rPr>
              <w:fldChar w:fldCharType="begin"/>
            </w:r>
            <w:r w:rsidR="006B4CB2">
              <w:rPr>
                <w:noProof/>
                <w:webHidden/>
              </w:rPr>
              <w:instrText xml:space="preserve"> PAGEREF _Toc495587299 \h </w:instrText>
            </w:r>
            <w:r w:rsidR="006B4CB2">
              <w:rPr>
                <w:noProof/>
                <w:webHidden/>
              </w:rPr>
            </w:r>
            <w:r w:rsidR="006B4CB2">
              <w:rPr>
                <w:noProof/>
                <w:webHidden/>
              </w:rPr>
              <w:fldChar w:fldCharType="separate"/>
            </w:r>
            <w:r w:rsidR="006B4CB2">
              <w:rPr>
                <w:noProof/>
                <w:webHidden/>
              </w:rPr>
              <w:t>9</w:t>
            </w:r>
            <w:r w:rsidR="006B4CB2">
              <w:rPr>
                <w:noProof/>
                <w:webHidden/>
              </w:rPr>
              <w:fldChar w:fldCharType="end"/>
            </w:r>
          </w:hyperlink>
        </w:p>
        <w:p w14:paraId="5BA0E341" w14:textId="7042DEA4" w:rsidR="006B4CB2" w:rsidRDefault="00CD1809" w:rsidP="006B4CB2">
          <w:pPr>
            <w:pStyle w:val="TOC2"/>
            <w:tabs>
              <w:tab w:val="left" w:pos="880"/>
              <w:tab w:val="right" w:leader="dot" w:pos="8630"/>
            </w:tabs>
            <w:rPr>
              <w:noProof/>
              <w:sz w:val="22"/>
              <w:szCs w:val="22"/>
              <w:lang w:val="en-AU" w:eastAsia="en-AU"/>
            </w:rPr>
          </w:pPr>
          <w:hyperlink w:anchor="_Toc495587300" w:history="1">
            <w:r w:rsidR="006B4CB2" w:rsidRPr="00A42B60">
              <w:rPr>
                <w:rStyle w:val="Hyperlink"/>
                <w:smallCaps/>
                <w:noProof/>
                <w:spacing w:val="5"/>
              </w:rPr>
              <w:t>1</w:t>
            </w:r>
            <w:r w:rsidR="006B4CB2" w:rsidRPr="00A42B60">
              <w:rPr>
                <w:rStyle w:val="Hyperlink"/>
                <w:noProof/>
              </w:rPr>
              <w:t>.3.</w:t>
            </w:r>
            <w:r w:rsidR="006B4CB2">
              <w:rPr>
                <w:noProof/>
                <w:sz w:val="22"/>
                <w:szCs w:val="22"/>
                <w:lang w:val="en-AU" w:eastAsia="en-AU"/>
              </w:rPr>
              <w:tab/>
            </w:r>
            <w:r w:rsidR="006B4CB2" w:rsidRPr="00A42B60">
              <w:rPr>
                <w:rStyle w:val="Hyperlink"/>
                <w:noProof/>
              </w:rPr>
              <w:t>Structure of report</w:t>
            </w:r>
            <w:r w:rsidR="006B4CB2">
              <w:rPr>
                <w:noProof/>
                <w:webHidden/>
              </w:rPr>
              <w:tab/>
            </w:r>
            <w:r w:rsidR="006B4CB2">
              <w:rPr>
                <w:noProof/>
                <w:webHidden/>
              </w:rPr>
              <w:fldChar w:fldCharType="begin"/>
            </w:r>
            <w:r w:rsidR="006B4CB2">
              <w:rPr>
                <w:noProof/>
                <w:webHidden/>
              </w:rPr>
              <w:instrText xml:space="preserve"> PAGEREF _Toc495587300 \h </w:instrText>
            </w:r>
            <w:r w:rsidR="006B4CB2">
              <w:rPr>
                <w:noProof/>
                <w:webHidden/>
              </w:rPr>
            </w:r>
            <w:r w:rsidR="006B4CB2">
              <w:rPr>
                <w:noProof/>
                <w:webHidden/>
              </w:rPr>
              <w:fldChar w:fldCharType="separate"/>
            </w:r>
            <w:r w:rsidR="006B4CB2">
              <w:rPr>
                <w:noProof/>
                <w:webHidden/>
              </w:rPr>
              <w:t>10</w:t>
            </w:r>
            <w:r w:rsidR="006B4CB2">
              <w:rPr>
                <w:noProof/>
                <w:webHidden/>
              </w:rPr>
              <w:fldChar w:fldCharType="end"/>
            </w:r>
          </w:hyperlink>
        </w:p>
        <w:p w14:paraId="463B1FD6" w14:textId="5E5840E3" w:rsidR="006B4CB2" w:rsidRDefault="00CD1809" w:rsidP="006B4CB2">
          <w:pPr>
            <w:pStyle w:val="TOC1"/>
            <w:rPr>
              <w:b w:val="0"/>
              <w:sz w:val="22"/>
              <w:szCs w:val="22"/>
              <w:lang w:val="en-AU" w:eastAsia="en-AU"/>
            </w:rPr>
          </w:pPr>
          <w:hyperlink w:anchor="_Toc495587301" w:history="1">
            <w:r w:rsidR="006B4CB2" w:rsidRPr="00A42B60">
              <w:rPr>
                <w:rStyle w:val="Hyperlink"/>
              </w:rPr>
              <w:t>2.</w:t>
            </w:r>
            <w:r w:rsidR="006B4CB2">
              <w:rPr>
                <w:b w:val="0"/>
                <w:sz w:val="22"/>
                <w:szCs w:val="22"/>
                <w:lang w:val="en-AU" w:eastAsia="en-AU"/>
              </w:rPr>
              <w:tab/>
            </w:r>
            <w:r w:rsidR="006B4CB2" w:rsidRPr="00A42B60">
              <w:rPr>
                <w:rStyle w:val="Hyperlink"/>
              </w:rPr>
              <w:t>Students First Support Fund Purpose and Funding</w:t>
            </w:r>
            <w:r w:rsidR="006B4CB2">
              <w:rPr>
                <w:webHidden/>
              </w:rPr>
              <w:tab/>
            </w:r>
            <w:r w:rsidR="006B4CB2">
              <w:rPr>
                <w:webHidden/>
              </w:rPr>
              <w:fldChar w:fldCharType="begin"/>
            </w:r>
            <w:r w:rsidR="006B4CB2">
              <w:rPr>
                <w:webHidden/>
              </w:rPr>
              <w:instrText xml:space="preserve"> PAGEREF _Toc495587301 \h </w:instrText>
            </w:r>
            <w:r w:rsidR="006B4CB2">
              <w:rPr>
                <w:webHidden/>
              </w:rPr>
            </w:r>
            <w:r w:rsidR="006B4CB2">
              <w:rPr>
                <w:webHidden/>
              </w:rPr>
              <w:fldChar w:fldCharType="separate"/>
            </w:r>
            <w:r w:rsidR="006B4CB2">
              <w:rPr>
                <w:webHidden/>
              </w:rPr>
              <w:t>11</w:t>
            </w:r>
            <w:r w:rsidR="006B4CB2">
              <w:rPr>
                <w:webHidden/>
              </w:rPr>
              <w:fldChar w:fldCharType="end"/>
            </w:r>
          </w:hyperlink>
        </w:p>
        <w:p w14:paraId="65412BCF" w14:textId="0081C9DB" w:rsidR="006B4CB2" w:rsidRDefault="00CD1809" w:rsidP="006B4CB2">
          <w:pPr>
            <w:pStyle w:val="TOC2"/>
            <w:tabs>
              <w:tab w:val="left" w:pos="880"/>
              <w:tab w:val="right" w:leader="dot" w:pos="8630"/>
            </w:tabs>
            <w:rPr>
              <w:noProof/>
              <w:sz w:val="22"/>
              <w:szCs w:val="22"/>
              <w:lang w:val="en-AU" w:eastAsia="en-AU"/>
            </w:rPr>
          </w:pPr>
          <w:hyperlink w:anchor="_Toc495587302" w:history="1">
            <w:r w:rsidR="006B4CB2" w:rsidRPr="00A42B60">
              <w:rPr>
                <w:rStyle w:val="Hyperlink"/>
                <w:noProof/>
              </w:rPr>
              <w:t xml:space="preserve">2.1 </w:t>
            </w:r>
            <w:r w:rsidR="006B4CB2">
              <w:rPr>
                <w:noProof/>
                <w:sz w:val="22"/>
                <w:szCs w:val="22"/>
                <w:lang w:val="en-AU" w:eastAsia="en-AU"/>
              </w:rPr>
              <w:tab/>
            </w:r>
            <w:r w:rsidR="006B4CB2" w:rsidRPr="00A42B60">
              <w:rPr>
                <w:rStyle w:val="Hyperlink"/>
                <w:noProof/>
              </w:rPr>
              <w:t>National Priorities</w:t>
            </w:r>
            <w:r w:rsidR="006B4CB2">
              <w:rPr>
                <w:noProof/>
                <w:webHidden/>
              </w:rPr>
              <w:tab/>
            </w:r>
            <w:r w:rsidR="006B4CB2">
              <w:rPr>
                <w:noProof/>
                <w:webHidden/>
              </w:rPr>
              <w:fldChar w:fldCharType="begin"/>
            </w:r>
            <w:r w:rsidR="006B4CB2">
              <w:rPr>
                <w:noProof/>
                <w:webHidden/>
              </w:rPr>
              <w:instrText xml:space="preserve"> PAGEREF _Toc495587302 \h </w:instrText>
            </w:r>
            <w:r w:rsidR="006B4CB2">
              <w:rPr>
                <w:noProof/>
                <w:webHidden/>
              </w:rPr>
            </w:r>
            <w:r w:rsidR="006B4CB2">
              <w:rPr>
                <w:noProof/>
                <w:webHidden/>
              </w:rPr>
              <w:fldChar w:fldCharType="separate"/>
            </w:r>
            <w:r w:rsidR="006B4CB2">
              <w:rPr>
                <w:noProof/>
                <w:webHidden/>
              </w:rPr>
              <w:t>11</w:t>
            </w:r>
            <w:r w:rsidR="006B4CB2">
              <w:rPr>
                <w:noProof/>
                <w:webHidden/>
              </w:rPr>
              <w:fldChar w:fldCharType="end"/>
            </w:r>
          </w:hyperlink>
        </w:p>
        <w:p w14:paraId="103A8097" w14:textId="445216EC" w:rsidR="006B4CB2" w:rsidRDefault="00CD1809" w:rsidP="006B4CB2">
          <w:pPr>
            <w:pStyle w:val="TOC2"/>
            <w:tabs>
              <w:tab w:val="left" w:pos="880"/>
              <w:tab w:val="right" w:leader="dot" w:pos="8630"/>
            </w:tabs>
            <w:rPr>
              <w:noProof/>
              <w:sz w:val="22"/>
              <w:szCs w:val="22"/>
              <w:lang w:val="en-AU" w:eastAsia="en-AU"/>
            </w:rPr>
          </w:pPr>
          <w:hyperlink w:anchor="_Toc495587303" w:history="1">
            <w:r w:rsidR="006B4CB2" w:rsidRPr="00A42B60">
              <w:rPr>
                <w:rStyle w:val="Hyperlink"/>
                <w:noProof/>
              </w:rPr>
              <w:t xml:space="preserve">2.2 </w:t>
            </w:r>
            <w:r w:rsidR="006B4CB2">
              <w:rPr>
                <w:noProof/>
                <w:sz w:val="22"/>
                <w:szCs w:val="22"/>
                <w:lang w:val="en-AU" w:eastAsia="en-AU"/>
              </w:rPr>
              <w:tab/>
            </w:r>
            <w:r w:rsidR="006B4CB2" w:rsidRPr="00A42B60">
              <w:rPr>
                <w:rStyle w:val="Hyperlink"/>
                <w:noProof/>
              </w:rPr>
              <w:t>SFSF funding</w:t>
            </w:r>
            <w:r w:rsidR="006B4CB2">
              <w:rPr>
                <w:noProof/>
                <w:webHidden/>
              </w:rPr>
              <w:tab/>
            </w:r>
            <w:r w:rsidR="006B4CB2">
              <w:rPr>
                <w:noProof/>
                <w:webHidden/>
              </w:rPr>
              <w:fldChar w:fldCharType="begin"/>
            </w:r>
            <w:r w:rsidR="006B4CB2">
              <w:rPr>
                <w:noProof/>
                <w:webHidden/>
              </w:rPr>
              <w:instrText xml:space="preserve"> PAGEREF _Toc495587303 \h </w:instrText>
            </w:r>
            <w:r w:rsidR="006B4CB2">
              <w:rPr>
                <w:noProof/>
                <w:webHidden/>
              </w:rPr>
            </w:r>
            <w:r w:rsidR="006B4CB2">
              <w:rPr>
                <w:noProof/>
                <w:webHidden/>
              </w:rPr>
              <w:fldChar w:fldCharType="separate"/>
            </w:r>
            <w:r w:rsidR="006B4CB2">
              <w:rPr>
                <w:noProof/>
                <w:webHidden/>
              </w:rPr>
              <w:t>12</w:t>
            </w:r>
            <w:r w:rsidR="006B4CB2">
              <w:rPr>
                <w:noProof/>
                <w:webHidden/>
              </w:rPr>
              <w:fldChar w:fldCharType="end"/>
            </w:r>
          </w:hyperlink>
        </w:p>
        <w:p w14:paraId="2F63D2E9" w14:textId="6126134E" w:rsidR="006B4CB2" w:rsidRDefault="00CD1809" w:rsidP="006B4CB2">
          <w:pPr>
            <w:pStyle w:val="TOC2"/>
            <w:tabs>
              <w:tab w:val="left" w:pos="880"/>
              <w:tab w:val="right" w:leader="dot" w:pos="8630"/>
            </w:tabs>
            <w:rPr>
              <w:noProof/>
              <w:sz w:val="22"/>
              <w:szCs w:val="22"/>
              <w:lang w:val="en-AU" w:eastAsia="en-AU"/>
            </w:rPr>
          </w:pPr>
          <w:hyperlink w:anchor="_Toc495587304" w:history="1">
            <w:r w:rsidR="006B4CB2" w:rsidRPr="00A42B60">
              <w:rPr>
                <w:rStyle w:val="Hyperlink"/>
                <w:noProof/>
              </w:rPr>
              <w:t xml:space="preserve">2.3 </w:t>
            </w:r>
            <w:r w:rsidR="006B4CB2">
              <w:rPr>
                <w:noProof/>
                <w:sz w:val="22"/>
                <w:szCs w:val="22"/>
                <w:lang w:val="en-AU" w:eastAsia="en-AU"/>
              </w:rPr>
              <w:tab/>
            </w:r>
            <w:r w:rsidR="006B4CB2" w:rsidRPr="00A42B60">
              <w:rPr>
                <w:rStyle w:val="Hyperlink"/>
                <w:noProof/>
              </w:rPr>
              <w:t>Context: Structural differences between NGRBs</w:t>
            </w:r>
            <w:r w:rsidR="006B4CB2">
              <w:rPr>
                <w:noProof/>
                <w:webHidden/>
              </w:rPr>
              <w:tab/>
            </w:r>
            <w:r w:rsidR="006B4CB2">
              <w:rPr>
                <w:noProof/>
                <w:webHidden/>
              </w:rPr>
              <w:fldChar w:fldCharType="begin"/>
            </w:r>
            <w:r w:rsidR="006B4CB2">
              <w:rPr>
                <w:noProof/>
                <w:webHidden/>
              </w:rPr>
              <w:instrText xml:space="preserve"> PAGEREF _Toc495587304 \h </w:instrText>
            </w:r>
            <w:r w:rsidR="006B4CB2">
              <w:rPr>
                <w:noProof/>
                <w:webHidden/>
              </w:rPr>
            </w:r>
            <w:r w:rsidR="006B4CB2">
              <w:rPr>
                <w:noProof/>
                <w:webHidden/>
              </w:rPr>
              <w:fldChar w:fldCharType="separate"/>
            </w:r>
            <w:r w:rsidR="006B4CB2">
              <w:rPr>
                <w:noProof/>
                <w:webHidden/>
              </w:rPr>
              <w:t>13</w:t>
            </w:r>
            <w:r w:rsidR="006B4CB2">
              <w:rPr>
                <w:noProof/>
                <w:webHidden/>
              </w:rPr>
              <w:fldChar w:fldCharType="end"/>
            </w:r>
          </w:hyperlink>
        </w:p>
        <w:p w14:paraId="239EF503" w14:textId="116C14FB" w:rsidR="006B4CB2" w:rsidRDefault="00CD1809" w:rsidP="006B4CB2">
          <w:pPr>
            <w:pStyle w:val="TOC1"/>
            <w:rPr>
              <w:b w:val="0"/>
              <w:sz w:val="22"/>
              <w:szCs w:val="22"/>
              <w:lang w:val="en-AU" w:eastAsia="en-AU"/>
            </w:rPr>
          </w:pPr>
          <w:hyperlink w:anchor="_Toc495587305" w:history="1">
            <w:r w:rsidR="006B4CB2" w:rsidRPr="00A42B60">
              <w:rPr>
                <w:rStyle w:val="Hyperlink"/>
              </w:rPr>
              <w:t>3.</w:t>
            </w:r>
            <w:r w:rsidR="006B4CB2">
              <w:rPr>
                <w:b w:val="0"/>
                <w:sz w:val="22"/>
                <w:szCs w:val="22"/>
                <w:lang w:val="en-AU" w:eastAsia="en-AU"/>
              </w:rPr>
              <w:tab/>
            </w:r>
            <w:r w:rsidR="006B4CB2" w:rsidRPr="00A42B60">
              <w:rPr>
                <w:rStyle w:val="Hyperlink"/>
              </w:rPr>
              <w:t>Program Content and Delivery</w:t>
            </w:r>
            <w:r w:rsidR="006B4CB2">
              <w:rPr>
                <w:webHidden/>
              </w:rPr>
              <w:tab/>
            </w:r>
            <w:r w:rsidR="006B4CB2">
              <w:rPr>
                <w:webHidden/>
              </w:rPr>
              <w:fldChar w:fldCharType="begin"/>
            </w:r>
            <w:r w:rsidR="006B4CB2">
              <w:rPr>
                <w:webHidden/>
              </w:rPr>
              <w:instrText xml:space="preserve"> PAGEREF _Toc495587305 \h </w:instrText>
            </w:r>
            <w:r w:rsidR="006B4CB2">
              <w:rPr>
                <w:webHidden/>
              </w:rPr>
            </w:r>
            <w:r w:rsidR="006B4CB2">
              <w:rPr>
                <w:webHidden/>
              </w:rPr>
              <w:fldChar w:fldCharType="separate"/>
            </w:r>
            <w:r w:rsidR="006B4CB2">
              <w:rPr>
                <w:webHidden/>
              </w:rPr>
              <w:t>14</w:t>
            </w:r>
            <w:r w:rsidR="006B4CB2">
              <w:rPr>
                <w:webHidden/>
              </w:rPr>
              <w:fldChar w:fldCharType="end"/>
            </w:r>
          </w:hyperlink>
        </w:p>
        <w:p w14:paraId="242A28B1" w14:textId="4C10F9A3" w:rsidR="006B4CB2" w:rsidRDefault="00CD1809" w:rsidP="006B4CB2">
          <w:pPr>
            <w:pStyle w:val="TOC2"/>
            <w:tabs>
              <w:tab w:val="left" w:pos="880"/>
              <w:tab w:val="right" w:leader="dot" w:pos="8630"/>
            </w:tabs>
            <w:rPr>
              <w:noProof/>
              <w:sz w:val="22"/>
              <w:szCs w:val="22"/>
              <w:lang w:val="en-AU" w:eastAsia="en-AU"/>
            </w:rPr>
          </w:pPr>
          <w:hyperlink w:anchor="_Toc495587306" w:history="1">
            <w:r w:rsidR="006B4CB2" w:rsidRPr="00A42B60">
              <w:rPr>
                <w:rStyle w:val="Hyperlink"/>
                <w:noProof/>
              </w:rPr>
              <w:t xml:space="preserve">3.1 </w:t>
            </w:r>
            <w:r w:rsidR="006B4CB2">
              <w:rPr>
                <w:noProof/>
                <w:sz w:val="22"/>
                <w:szCs w:val="22"/>
                <w:lang w:val="en-AU" w:eastAsia="en-AU"/>
              </w:rPr>
              <w:tab/>
            </w:r>
            <w:r w:rsidR="006B4CB2" w:rsidRPr="00A42B60">
              <w:rPr>
                <w:rStyle w:val="Hyperlink"/>
                <w:noProof/>
              </w:rPr>
              <w:t>Have NGRBs addressed the five government priorities?</w:t>
            </w:r>
            <w:r w:rsidR="006B4CB2">
              <w:rPr>
                <w:noProof/>
                <w:webHidden/>
              </w:rPr>
              <w:tab/>
            </w:r>
            <w:r w:rsidR="006B4CB2">
              <w:rPr>
                <w:noProof/>
                <w:webHidden/>
              </w:rPr>
              <w:fldChar w:fldCharType="begin"/>
            </w:r>
            <w:r w:rsidR="006B4CB2">
              <w:rPr>
                <w:noProof/>
                <w:webHidden/>
              </w:rPr>
              <w:instrText xml:space="preserve"> PAGEREF _Toc495587306 \h </w:instrText>
            </w:r>
            <w:r w:rsidR="006B4CB2">
              <w:rPr>
                <w:noProof/>
                <w:webHidden/>
              </w:rPr>
            </w:r>
            <w:r w:rsidR="006B4CB2">
              <w:rPr>
                <w:noProof/>
                <w:webHidden/>
              </w:rPr>
              <w:fldChar w:fldCharType="separate"/>
            </w:r>
            <w:r w:rsidR="006B4CB2">
              <w:rPr>
                <w:noProof/>
                <w:webHidden/>
              </w:rPr>
              <w:t>15</w:t>
            </w:r>
            <w:r w:rsidR="006B4CB2">
              <w:rPr>
                <w:noProof/>
                <w:webHidden/>
              </w:rPr>
              <w:fldChar w:fldCharType="end"/>
            </w:r>
          </w:hyperlink>
        </w:p>
        <w:p w14:paraId="0067D569" w14:textId="6E645247" w:rsidR="006B4CB2" w:rsidRDefault="00CD1809" w:rsidP="006B4CB2">
          <w:pPr>
            <w:pStyle w:val="TOC2"/>
            <w:tabs>
              <w:tab w:val="left" w:pos="880"/>
              <w:tab w:val="right" w:leader="dot" w:pos="8630"/>
            </w:tabs>
            <w:rPr>
              <w:noProof/>
              <w:sz w:val="22"/>
              <w:szCs w:val="22"/>
              <w:lang w:val="en-AU" w:eastAsia="en-AU"/>
            </w:rPr>
          </w:pPr>
          <w:hyperlink w:anchor="_Toc495587307" w:history="1">
            <w:r w:rsidR="006B4CB2" w:rsidRPr="00A42B60">
              <w:rPr>
                <w:rStyle w:val="Hyperlink"/>
                <w:noProof/>
              </w:rPr>
              <w:t xml:space="preserve">3.2 </w:t>
            </w:r>
            <w:r w:rsidR="006B4CB2">
              <w:rPr>
                <w:noProof/>
                <w:sz w:val="22"/>
                <w:szCs w:val="22"/>
                <w:lang w:val="en-AU" w:eastAsia="en-AU"/>
              </w:rPr>
              <w:tab/>
            </w:r>
            <w:r w:rsidR="006B4CB2" w:rsidRPr="00A42B60">
              <w:rPr>
                <w:rStyle w:val="Hyperlink"/>
                <w:noProof/>
              </w:rPr>
              <w:t>How do NGRB’s operate?</w:t>
            </w:r>
            <w:r w:rsidR="006B4CB2">
              <w:rPr>
                <w:noProof/>
                <w:webHidden/>
              </w:rPr>
              <w:tab/>
            </w:r>
            <w:r w:rsidR="006B4CB2">
              <w:rPr>
                <w:noProof/>
                <w:webHidden/>
              </w:rPr>
              <w:fldChar w:fldCharType="begin"/>
            </w:r>
            <w:r w:rsidR="006B4CB2">
              <w:rPr>
                <w:noProof/>
                <w:webHidden/>
              </w:rPr>
              <w:instrText xml:space="preserve"> PAGEREF _Toc495587307 \h </w:instrText>
            </w:r>
            <w:r w:rsidR="006B4CB2">
              <w:rPr>
                <w:noProof/>
                <w:webHidden/>
              </w:rPr>
            </w:r>
            <w:r w:rsidR="006B4CB2">
              <w:rPr>
                <w:noProof/>
                <w:webHidden/>
              </w:rPr>
              <w:fldChar w:fldCharType="separate"/>
            </w:r>
            <w:r w:rsidR="006B4CB2">
              <w:rPr>
                <w:noProof/>
                <w:webHidden/>
              </w:rPr>
              <w:t>17</w:t>
            </w:r>
            <w:r w:rsidR="006B4CB2">
              <w:rPr>
                <w:noProof/>
                <w:webHidden/>
              </w:rPr>
              <w:fldChar w:fldCharType="end"/>
            </w:r>
          </w:hyperlink>
        </w:p>
        <w:p w14:paraId="2A72DF15" w14:textId="3C7C30B8" w:rsidR="006B4CB2" w:rsidRDefault="00CD1809" w:rsidP="006B4CB2">
          <w:pPr>
            <w:pStyle w:val="TOC1"/>
            <w:rPr>
              <w:b w:val="0"/>
              <w:sz w:val="22"/>
              <w:szCs w:val="22"/>
              <w:lang w:val="en-AU" w:eastAsia="en-AU"/>
            </w:rPr>
          </w:pPr>
          <w:hyperlink w:anchor="_Toc495587308" w:history="1">
            <w:r w:rsidR="006B4CB2" w:rsidRPr="00A42B60">
              <w:rPr>
                <w:rStyle w:val="Hyperlink"/>
              </w:rPr>
              <w:t>4.</w:t>
            </w:r>
            <w:r w:rsidR="006B4CB2">
              <w:rPr>
                <w:b w:val="0"/>
                <w:sz w:val="22"/>
                <w:szCs w:val="22"/>
                <w:lang w:val="en-AU" w:eastAsia="en-AU"/>
              </w:rPr>
              <w:tab/>
            </w:r>
            <w:r w:rsidR="006B4CB2" w:rsidRPr="00A42B60">
              <w:rPr>
                <w:rStyle w:val="Hyperlink"/>
              </w:rPr>
              <w:t>What has the SFSF Delivered?</w:t>
            </w:r>
            <w:r w:rsidR="006B4CB2">
              <w:rPr>
                <w:webHidden/>
              </w:rPr>
              <w:tab/>
            </w:r>
            <w:r w:rsidR="006B4CB2">
              <w:rPr>
                <w:webHidden/>
              </w:rPr>
              <w:fldChar w:fldCharType="begin"/>
            </w:r>
            <w:r w:rsidR="006B4CB2">
              <w:rPr>
                <w:webHidden/>
              </w:rPr>
              <w:instrText xml:space="preserve"> PAGEREF _Toc495587308 \h </w:instrText>
            </w:r>
            <w:r w:rsidR="006B4CB2">
              <w:rPr>
                <w:webHidden/>
              </w:rPr>
            </w:r>
            <w:r w:rsidR="006B4CB2">
              <w:rPr>
                <w:webHidden/>
              </w:rPr>
              <w:fldChar w:fldCharType="separate"/>
            </w:r>
            <w:r w:rsidR="006B4CB2">
              <w:rPr>
                <w:webHidden/>
              </w:rPr>
              <w:t>21</w:t>
            </w:r>
            <w:r w:rsidR="006B4CB2">
              <w:rPr>
                <w:webHidden/>
              </w:rPr>
              <w:fldChar w:fldCharType="end"/>
            </w:r>
          </w:hyperlink>
        </w:p>
        <w:p w14:paraId="13E4FC7A" w14:textId="740FF68B" w:rsidR="006B4CB2" w:rsidRDefault="00CD1809" w:rsidP="006B4CB2">
          <w:pPr>
            <w:pStyle w:val="TOC2"/>
            <w:tabs>
              <w:tab w:val="left" w:pos="880"/>
              <w:tab w:val="right" w:leader="dot" w:pos="8630"/>
            </w:tabs>
            <w:rPr>
              <w:noProof/>
              <w:sz w:val="22"/>
              <w:szCs w:val="22"/>
              <w:lang w:val="en-AU" w:eastAsia="en-AU"/>
            </w:rPr>
          </w:pPr>
          <w:hyperlink w:anchor="_Toc495587309" w:history="1">
            <w:r w:rsidR="006B4CB2" w:rsidRPr="00A42B60">
              <w:rPr>
                <w:rStyle w:val="Hyperlink"/>
                <w:noProof/>
              </w:rPr>
              <w:t xml:space="preserve">4.1 </w:t>
            </w:r>
            <w:r w:rsidR="006B4CB2">
              <w:rPr>
                <w:noProof/>
                <w:sz w:val="22"/>
                <w:szCs w:val="22"/>
                <w:lang w:val="en-AU" w:eastAsia="en-AU"/>
              </w:rPr>
              <w:tab/>
            </w:r>
            <w:r w:rsidR="006B4CB2" w:rsidRPr="00A42B60">
              <w:rPr>
                <w:rStyle w:val="Hyperlink"/>
                <w:noProof/>
              </w:rPr>
              <w:t>Measures of success</w:t>
            </w:r>
            <w:r w:rsidR="006B4CB2">
              <w:rPr>
                <w:noProof/>
                <w:webHidden/>
              </w:rPr>
              <w:tab/>
            </w:r>
            <w:r w:rsidR="006B4CB2">
              <w:rPr>
                <w:noProof/>
                <w:webHidden/>
              </w:rPr>
              <w:fldChar w:fldCharType="begin"/>
            </w:r>
            <w:r w:rsidR="006B4CB2">
              <w:rPr>
                <w:noProof/>
                <w:webHidden/>
              </w:rPr>
              <w:instrText xml:space="preserve"> PAGEREF _Toc495587309 \h </w:instrText>
            </w:r>
            <w:r w:rsidR="006B4CB2">
              <w:rPr>
                <w:noProof/>
                <w:webHidden/>
              </w:rPr>
            </w:r>
            <w:r w:rsidR="006B4CB2">
              <w:rPr>
                <w:noProof/>
                <w:webHidden/>
              </w:rPr>
              <w:fldChar w:fldCharType="separate"/>
            </w:r>
            <w:r w:rsidR="006B4CB2">
              <w:rPr>
                <w:noProof/>
                <w:webHidden/>
              </w:rPr>
              <w:t>22</w:t>
            </w:r>
            <w:r w:rsidR="006B4CB2">
              <w:rPr>
                <w:noProof/>
                <w:webHidden/>
              </w:rPr>
              <w:fldChar w:fldCharType="end"/>
            </w:r>
          </w:hyperlink>
        </w:p>
        <w:p w14:paraId="52B69FFF" w14:textId="0013D6C1" w:rsidR="006B4CB2" w:rsidRDefault="00CD1809" w:rsidP="006B4CB2">
          <w:pPr>
            <w:pStyle w:val="TOC2"/>
            <w:tabs>
              <w:tab w:val="left" w:pos="880"/>
              <w:tab w:val="right" w:leader="dot" w:pos="8630"/>
            </w:tabs>
            <w:rPr>
              <w:noProof/>
              <w:sz w:val="22"/>
              <w:szCs w:val="22"/>
              <w:lang w:val="en-AU" w:eastAsia="en-AU"/>
            </w:rPr>
          </w:pPr>
          <w:hyperlink w:anchor="_Toc495587310" w:history="1">
            <w:r w:rsidR="006B4CB2" w:rsidRPr="00A42B60">
              <w:rPr>
                <w:rStyle w:val="Hyperlink"/>
                <w:noProof/>
              </w:rPr>
              <w:t xml:space="preserve">4.2 </w:t>
            </w:r>
            <w:r w:rsidR="006B4CB2">
              <w:rPr>
                <w:noProof/>
                <w:sz w:val="22"/>
                <w:szCs w:val="22"/>
                <w:lang w:val="en-AU" w:eastAsia="en-AU"/>
              </w:rPr>
              <w:tab/>
            </w:r>
            <w:r w:rsidR="006B4CB2" w:rsidRPr="00A42B60">
              <w:rPr>
                <w:rStyle w:val="Hyperlink"/>
                <w:noProof/>
              </w:rPr>
              <w:t>Other areas of value gain</w:t>
            </w:r>
            <w:r w:rsidR="006B4CB2">
              <w:rPr>
                <w:noProof/>
                <w:webHidden/>
              </w:rPr>
              <w:tab/>
            </w:r>
            <w:r w:rsidR="006B4CB2">
              <w:rPr>
                <w:noProof/>
                <w:webHidden/>
              </w:rPr>
              <w:fldChar w:fldCharType="begin"/>
            </w:r>
            <w:r w:rsidR="006B4CB2">
              <w:rPr>
                <w:noProof/>
                <w:webHidden/>
              </w:rPr>
              <w:instrText xml:space="preserve"> PAGEREF _Toc495587310 \h </w:instrText>
            </w:r>
            <w:r w:rsidR="006B4CB2">
              <w:rPr>
                <w:noProof/>
                <w:webHidden/>
              </w:rPr>
            </w:r>
            <w:r w:rsidR="006B4CB2">
              <w:rPr>
                <w:noProof/>
                <w:webHidden/>
              </w:rPr>
              <w:fldChar w:fldCharType="separate"/>
            </w:r>
            <w:r w:rsidR="006B4CB2">
              <w:rPr>
                <w:noProof/>
                <w:webHidden/>
              </w:rPr>
              <w:t>24</w:t>
            </w:r>
            <w:r w:rsidR="006B4CB2">
              <w:rPr>
                <w:noProof/>
                <w:webHidden/>
              </w:rPr>
              <w:fldChar w:fldCharType="end"/>
            </w:r>
          </w:hyperlink>
        </w:p>
        <w:p w14:paraId="4324E502" w14:textId="6B57F116" w:rsidR="006B4CB2" w:rsidRDefault="00CD1809" w:rsidP="006B4CB2">
          <w:pPr>
            <w:pStyle w:val="TOC2"/>
            <w:tabs>
              <w:tab w:val="left" w:pos="880"/>
              <w:tab w:val="right" w:leader="dot" w:pos="8630"/>
            </w:tabs>
            <w:rPr>
              <w:noProof/>
              <w:sz w:val="22"/>
              <w:szCs w:val="22"/>
              <w:lang w:val="en-AU" w:eastAsia="en-AU"/>
            </w:rPr>
          </w:pPr>
          <w:hyperlink w:anchor="_Toc495587311" w:history="1">
            <w:r w:rsidR="006B4CB2" w:rsidRPr="00A42B60">
              <w:rPr>
                <w:rStyle w:val="Hyperlink"/>
                <w:noProof/>
              </w:rPr>
              <w:t>4.3</w:t>
            </w:r>
            <w:r w:rsidR="006B4CB2">
              <w:rPr>
                <w:noProof/>
                <w:sz w:val="22"/>
                <w:szCs w:val="22"/>
                <w:lang w:val="en-AU" w:eastAsia="en-AU"/>
              </w:rPr>
              <w:tab/>
            </w:r>
            <w:r w:rsidR="006B4CB2" w:rsidRPr="00A42B60">
              <w:rPr>
                <w:rStyle w:val="Hyperlink"/>
                <w:noProof/>
              </w:rPr>
              <w:t>Value for money</w:t>
            </w:r>
            <w:r w:rsidR="006B4CB2">
              <w:rPr>
                <w:noProof/>
                <w:webHidden/>
              </w:rPr>
              <w:tab/>
            </w:r>
            <w:r w:rsidR="006B4CB2">
              <w:rPr>
                <w:noProof/>
                <w:webHidden/>
              </w:rPr>
              <w:fldChar w:fldCharType="begin"/>
            </w:r>
            <w:r w:rsidR="006B4CB2">
              <w:rPr>
                <w:noProof/>
                <w:webHidden/>
              </w:rPr>
              <w:instrText xml:space="preserve"> PAGEREF _Toc495587311 \h </w:instrText>
            </w:r>
            <w:r w:rsidR="006B4CB2">
              <w:rPr>
                <w:noProof/>
                <w:webHidden/>
              </w:rPr>
            </w:r>
            <w:r w:rsidR="006B4CB2">
              <w:rPr>
                <w:noProof/>
                <w:webHidden/>
              </w:rPr>
              <w:fldChar w:fldCharType="separate"/>
            </w:r>
            <w:r w:rsidR="006B4CB2">
              <w:rPr>
                <w:noProof/>
                <w:webHidden/>
              </w:rPr>
              <w:t>25</w:t>
            </w:r>
            <w:r w:rsidR="006B4CB2">
              <w:rPr>
                <w:noProof/>
                <w:webHidden/>
              </w:rPr>
              <w:fldChar w:fldCharType="end"/>
            </w:r>
          </w:hyperlink>
        </w:p>
        <w:p w14:paraId="797262BA" w14:textId="2DD19F51" w:rsidR="006B4CB2" w:rsidRDefault="00CD1809" w:rsidP="006B4CB2">
          <w:pPr>
            <w:pStyle w:val="TOC1"/>
            <w:rPr>
              <w:b w:val="0"/>
              <w:sz w:val="22"/>
              <w:szCs w:val="22"/>
              <w:lang w:val="en-AU" w:eastAsia="en-AU"/>
            </w:rPr>
          </w:pPr>
          <w:hyperlink w:anchor="_Toc495587312" w:history="1">
            <w:r w:rsidR="006B4CB2" w:rsidRPr="00A42B60">
              <w:rPr>
                <w:rStyle w:val="Hyperlink"/>
              </w:rPr>
              <w:t>5</w:t>
            </w:r>
            <w:r w:rsidR="006B4CB2">
              <w:rPr>
                <w:b w:val="0"/>
                <w:sz w:val="22"/>
                <w:szCs w:val="22"/>
                <w:lang w:val="en-AU" w:eastAsia="en-AU"/>
              </w:rPr>
              <w:tab/>
            </w:r>
            <w:r w:rsidR="006B4CB2" w:rsidRPr="00A42B60">
              <w:rPr>
                <w:rStyle w:val="Hyperlink"/>
              </w:rPr>
              <w:t>Options for Improvement</w:t>
            </w:r>
            <w:r w:rsidR="006B4CB2">
              <w:rPr>
                <w:webHidden/>
              </w:rPr>
              <w:tab/>
            </w:r>
            <w:r w:rsidR="006B4CB2">
              <w:rPr>
                <w:webHidden/>
              </w:rPr>
              <w:fldChar w:fldCharType="begin"/>
            </w:r>
            <w:r w:rsidR="006B4CB2">
              <w:rPr>
                <w:webHidden/>
              </w:rPr>
              <w:instrText xml:space="preserve"> PAGEREF _Toc495587312 \h </w:instrText>
            </w:r>
            <w:r w:rsidR="006B4CB2">
              <w:rPr>
                <w:webHidden/>
              </w:rPr>
            </w:r>
            <w:r w:rsidR="006B4CB2">
              <w:rPr>
                <w:webHidden/>
              </w:rPr>
              <w:fldChar w:fldCharType="separate"/>
            </w:r>
            <w:r w:rsidR="006B4CB2">
              <w:rPr>
                <w:webHidden/>
              </w:rPr>
              <w:t>25</w:t>
            </w:r>
            <w:r w:rsidR="006B4CB2">
              <w:rPr>
                <w:webHidden/>
              </w:rPr>
              <w:fldChar w:fldCharType="end"/>
            </w:r>
          </w:hyperlink>
        </w:p>
        <w:p w14:paraId="34427414" w14:textId="4E400181" w:rsidR="006B4CB2" w:rsidRDefault="00CD1809" w:rsidP="006B4CB2">
          <w:pPr>
            <w:pStyle w:val="TOC2"/>
            <w:tabs>
              <w:tab w:val="left" w:pos="880"/>
              <w:tab w:val="right" w:leader="dot" w:pos="8630"/>
            </w:tabs>
            <w:rPr>
              <w:noProof/>
              <w:sz w:val="22"/>
              <w:szCs w:val="22"/>
              <w:lang w:val="en-AU" w:eastAsia="en-AU"/>
            </w:rPr>
          </w:pPr>
          <w:hyperlink w:anchor="_Toc495587313" w:history="1">
            <w:r w:rsidR="006B4CB2" w:rsidRPr="00A42B60">
              <w:rPr>
                <w:rStyle w:val="Hyperlink"/>
                <w:noProof/>
              </w:rPr>
              <w:t xml:space="preserve">5.1. </w:t>
            </w:r>
            <w:r w:rsidR="006B4CB2">
              <w:rPr>
                <w:noProof/>
                <w:sz w:val="22"/>
                <w:szCs w:val="22"/>
                <w:lang w:val="en-AU" w:eastAsia="en-AU"/>
              </w:rPr>
              <w:tab/>
            </w:r>
            <w:r w:rsidR="006B4CB2" w:rsidRPr="00A42B60">
              <w:rPr>
                <w:rStyle w:val="Hyperlink"/>
                <w:noProof/>
              </w:rPr>
              <w:t>What NGRB approaches best drive school improvement?</w:t>
            </w:r>
            <w:r w:rsidR="006B4CB2">
              <w:rPr>
                <w:noProof/>
                <w:webHidden/>
              </w:rPr>
              <w:tab/>
            </w:r>
            <w:r w:rsidR="006B4CB2">
              <w:rPr>
                <w:noProof/>
                <w:webHidden/>
              </w:rPr>
              <w:fldChar w:fldCharType="begin"/>
            </w:r>
            <w:r w:rsidR="006B4CB2">
              <w:rPr>
                <w:noProof/>
                <w:webHidden/>
              </w:rPr>
              <w:instrText xml:space="preserve"> PAGEREF _Toc495587313 \h </w:instrText>
            </w:r>
            <w:r w:rsidR="006B4CB2">
              <w:rPr>
                <w:noProof/>
                <w:webHidden/>
              </w:rPr>
            </w:r>
            <w:r w:rsidR="006B4CB2">
              <w:rPr>
                <w:noProof/>
                <w:webHidden/>
              </w:rPr>
              <w:fldChar w:fldCharType="separate"/>
            </w:r>
            <w:r w:rsidR="006B4CB2">
              <w:rPr>
                <w:noProof/>
                <w:webHidden/>
              </w:rPr>
              <w:t>26</w:t>
            </w:r>
            <w:r w:rsidR="006B4CB2">
              <w:rPr>
                <w:noProof/>
                <w:webHidden/>
              </w:rPr>
              <w:fldChar w:fldCharType="end"/>
            </w:r>
          </w:hyperlink>
        </w:p>
        <w:p w14:paraId="746BFC81" w14:textId="6CD475EC" w:rsidR="006B4CB2" w:rsidRDefault="00CD1809" w:rsidP="006B4CB2">
          <w:pPr>
            <w:pStyle w:val="TOC2"/>
            <w:tabs>
              <w:tab w:val="left" w:pos="880"/>
              <w:tab w:val="right" w:leader="dot" w:pos="8630"/>
            </w:tabs>
            <w:rPr>
              <w:noProof/>
              <w:sz w:val="22"/>
              <w:szCs w:val="22"/>
              <w:lang w:val="en-AU" w:eastAsia="en-AU"/>
            </w:rPr>
          </w:pPr>
          <w:hyperlink w:anchor="_Toc495587314" w:history="1">
            <w:r w:rsidR="006B4CB2" w:rsidRPr="00A42B60">
              <w:rPr>
                <w:rStyle w:val="Hyperlink"/>
                <w:noProof/>
              </w:rPr>
              <w:t xml:space="preserve">5.2 </w:t>
            </w:r>
            <w:r w:rsidR="006B4CB2">
              <w:rPr>
                <w:noProof/>
                <w:sz w:val="22"/>
                <w:szCs w:val="22"/>
                <w:lang w:val="en-AU" w:eastAsia="en-AU"/>
              </w:rPr>
              <w:tab/>
            </w:r>
            <w:r w:rsidR="006B4CB2" w:rsidRPr="00A42B60">
              <w:rPr>
                <w:rStyle w:val="Hyperlink"/>
                <w:noProof/>
              </w:rPr>
              <w:t>What would NGRBs like to improve in their model of operating?</w:t>
            </w:r>
            <w:r w:rsidR="006B4CB2">
              <w:rPr>
                <w:noProof/>
                <w:webHidden/>
              </w:rPr>
              <w:tab/>
            </w:r>
            <w:r w:rsidR="006B4CB2">
              <w:rPr>
                <w:noProof/>
                <w:webHidden/>
              </w:rPr>
              <w:fldChar w:fldCharType="begin"/>
            </w:r>
            <w:r w:rsidR="006B4CB2">
              <w:rPr>
                <w:noProof/>
                <w:webHidden/>
              </w:rPr>
              <w:instrText xml:space="preserve"> PAGEREF _Toc495587314 \h </w:instrText>
            </w:r>
            <w:r w:rsidR="006B4CB2">
              <w:rPr>
                <w:noProof/>
                <w:webHidden/>
              </w:rPr>
            </w:r>
            <w:r w:rsidR="006B4CB2">
              <w:rPr>
                <w:noProof/>
                <w:webHidden/>
              </w:rPr>
              <w:fldChar w:fldCharType="separate"/>
            </w:r>
            <w:r w:rsidR="006B4CB2">
              <w:rPr>
                <w:noProof/>
                <w:webHidden/>
              </w:rPr>
              <w:t>28</w:t>
            </w:r>
            <w:r w:rsidR="006B4CB2">
              <w:rPr>
                <w:noProof/>
                <w:webHidden/>
              </w:rPr>
              <w:fldChar w:fldCharType="end"/>
            </w:r>
          </w:hyperlink>
        </w:p>
        <w:p w14:paraId="6DC2C783" w14:textId="496D7C11" w:rsidR="006B4CB2" w:rsidRDefault="00CD1809" w:rsidP="006B4CB2">
          <w:pPr>
            <w:pStyle w:val="TOC2"/>
            <w:tabs>
              <w:tab w:val="left" w:pos="880"/>
              <w:tab w:val="right" w:leader="dot" w:pos="8630"/>
            </w:tabs>
            <w:rPr>
              <w:noProof/>
              <w:sz w:val="22"/>
              <w:szCs w:val="22"/>
              <w:lang w:val="en-AU" w:eastAsia="en-AU"/>
            </w:rPr>
          </w:pPr>
          <w:hyperlink w:anchor="_Toc495587315" w:history="1">
            <w:r w:rsidR="006B4CB2" w:rsidRPr="00A42B60">
              <w:rPr>
                <w:rStyle w:val="Hyperlink"/>
                <w:noProof/>
              </w:rPr>
              <w:t xml:space="preserve">5.3 </w:t>
            </w:r>
            <w:r w:rsidR="006B4CB2">
              <w:rPr>
                <w:noProof/>
                <w:sz w:val="22"/>
                <w:szCs w:val="22"/>
                <w:lang w:val="en-AU" w:eastAsia="en-AU"/>
              </w:rPr>
              <w:tab/>
            </w:r>
            <w:r w:rsidR="006B4CB2" w:rsidRPr="00A42B60">
              <w:rPr>
                <w:rStyle w:val="Hyperlink"/>
                <w:noProof/>
              </w:rPr>
              <w:t>A model for coherent and effective system implementation</w:t>
            </w:r>
            <w:r w:rsidR="006B4CB2">
              <w:rPr>
                <w:noProof/>
                <w:webHidden/>
              </w:rPr>
              <w:tab/>
            </w:r>
            <w:r w:rsidR="006B4CB2">
              <w:rPr>
                <w:noProof/>
                <w:webHidden/>
              </w:rPr>
              <w:fldChar w:fldCharType="begin"/>
            </w:r>
            <w:r w:rsidR="006B4CB2">
              <w:rPr>
                <w:noProof/>
                <w:webHidden/>
              </w:rPr>
              <w:instrText xml:space="preserve"> PAGEREF _Toc495587315 \h </w:instrText>
            </w:r>
            <w:r w:rsidR="006B4CB2">
              <w:rPr>
                <w:noProof/>
                <w:webHidden/>
              </w:rPr>
            </w:r>
            <w:r w:rsidR="006B4CB2">
              <w:rPr>
                <w:noProof/>
                <w:webHidden/>
              </w:rPr>
              <w:fldChar w:fldCharType="separate"/>
            </w:r>
            <w:r w:rsidR="006B4CB2">
              <w:rPr>
                <w:noProof/>
                <w:webHidden/>
              </w:rPr>
              <w:t>29</w:t>
            </w:r>
            <w:r w:rsidR="006B4CB2">
              <w:rPr>
                <w:noProof/>
                <w:webHidden/>
              </w:rPr>
              <w:fldChar w:fldCharType="end"/>
            </w:r>
          </w:hyperlink>
        </w:p>
        <w:p w14:paraId="646CE719" w14:textId="6DB260B0" w:rsidR="006B4CB2" w:rsidRDefault="00CD1809" w:rsidP="006B4CB2">
          <w:pPr>
            <w:pStyle w:val="TOC2"/>
            <w:tabs>
              <w:tab w:val="left" w:pos="880"/>
              <w:tab w:val="right" w:leader="dot" w:pos="8630"/>
            </w:tabs>
            <w:rPr>
              <w:noProof/>
              <w:sz w:val="22"/>
              <w:szCs w:val="22"/>
              <w:lang w:val="en-AU" w:eastAsia="en-AU"/>
            </w:rPr>
          </w:pPr>
          <w:hyperlink w:anchor="_Toc495587316" w:history="1">
            <w:r w:rsidR="006B4CB2" w:rsidRPr="00A42B60">
              <w:rPr>
                <w:rStyle w:val="Hyperlink"/>
                <w:noProof/>
              </w:rPr>
              <w:t xml:space="preserve">5.4 </w:t>
            </w:r>
            <w:r w:rsidR="006B4CB2">
              <w:rPr>
                <w:noProof/>
                <w:sz w:val="22"/>
                <w:szCs w:val="22"/>
                <w:lang w:val="en-AU" w:eastAsia="en-AU"/>
              </w:rPr>
              <w:tab/>
            </w:r>
            <w:r w:rsidR="006B4CB2" w:rsidRPr="00A42B60">
              <w:rPr>
                <w:rStyle w:val="Hyperlink"/>
                <w:noProof/>
              </w:rPr>
              <w:t>Options: Alternative funding models for the SFSF</w:t>
            </w:r>
            <w:r w:rsidR="006B4CB2">
              <w:rPr>
                <w:noProof/>
                <w:webHidden/>
              </w:rPr>
              <w:tab/>
            </w:r>
            <w:r w:rsidR="006B4CB2">
              <w:rPr>
                <w:noProof/>
                <w:webHidden/>
              </w:rPr>
              <w:fldChar w:fldCharType="begin"/>
            </w:r>
            <w:r w:rsidR="006B4CB2">
              <w:rPr>
                <w:noProof/>
                <w:webHidden/>
              </w:rPr>
              <w:instrText xml:space="preserve"> PAGEREF _Toc495587316 \h </w:instrText>
            </w:r>
            <w:r w:rsidR="006B4CB2">
              <w:rPr>
                <w:noProof/>
                <w:webHidden/>
              </w:rPr>
            </w:r>
            <w:r w:rsidR="006B4CB2">
              <w:rPr>
                <w:noProof/>
                <w:webHidden/>
              </w:rPr>
              <w:fldChar w:fldCharType="separate"/>
            </w:r>
            <w:r w:rsidR="006B4CB2">
              <w:rPr>
                <w:noProof/>
                <w:webHidden/>
              </w:rPr>
              <w:t>32</w:t>
            </w:r>
            <w:r w:rsidR="006B4CB2">
              <w:rPr>
                <w:noProof/>
                <w:webHidden/>
              </w:rPr>
              <w:fldChar w:fldCharType="end"/>
            </w:r>
          </w:hyperlink>
        </w:p>
        <w:p w14:paraId="40EA8352" w14:textId="5EB579F1" w:rsidR="006B4CB2" w:rsidRDefault="00CD1809" w:rsidP="006B4CB2">
          <w:pPr>
            <w:pStyle w:val="TOC1"/>
            <w:rPr>
              <w:b w:val="0"/>
              <w:sz w:val="22"/>
              <w:szCs w:val="22"/>
              <w:lang w:val="en-AU" w:eastAsia="en-AU"/>
            </w:rPr>
          </w:pPr>
          <w:hyperlink w:anchor="_Toc495587317" w:history="1">
            <w:r w:rsidR="006B4CB2" w:rsidRPr="00A42B60">
              <w:rPr>
                <w:rStyle w:val="Hyperlink"/>
              </w:rPr>
              <w:t>Part 2</w:t>
            </w:r>
            <w:r w:rsidR="006B4CB2">
              <w:rPr>
                <w:webHidden/>
              </w:rPr>
              <w:tab/>
            </w:r>
            <w:r w:rsidR="006B4CB2">
              <w:rPr>
                <w:webHidden/>
              </w:rPr>
              <w:fldChar w:fldCharType="begin"/>
            </w:r>
            <w:r w:rsidR="006B4CB2">
              <w:rPr>
                <w:webHidden/>
              </w:rPr>
              <w:instrText xml:space="preserve"> PAGEREF _Toc495587317 \h </w:instrText>
            </w:r>
            <w:r w:rsidR="006B4CB2">
              <w:rPr>
                <w:webHidden/>
              </w:rPr>
            </w:r>
            <w:r w:rsidR="006B4CB2">
              <w:rPr>
                <w:webHidden/>
              </w:rPr>
              <w:fldChar w:fldCharType="separate"/>
            </w:r>
            <w:r w:rsidR="006B4CB2">
              <w:rPr>
                <w:webHidden/>
              </w:rPr>
              <w:t>35</w:t>
            </w:r>
            <w:r w:rsidR="006B4CB2">
              <w:rPr>
                <w:webHidden/>
              </w:rPr>
              <w:fldChar w:fldCharType="end"/>
            </w:r>
          </w:hyperlink>
        </w:p>
        <w:p w14:paraId="7FBCC770" w14:textId="10986C46" w:rsidR="006B4CB2" w:rsidRDefault="00CD1809" w:rsidP="006B4CB2">
          <w:pPr>
            <w:pStyle w:val="TOC1"/>
            <w:rPr>
              <w:b w:val="0"/>
              <w:sz w:val="22"/>
              <w:szCs w:val="22"/>
              <w:lang w:val="en-AU" w:eastAsia="en-AU"/>
            </w:rPr>
          </w:pPr>
          <w:hyperlink w:anchor="_Toc495587318" w:history="1">
            <w:r w:rsidR="006B4CB2" w:rsidRPr="00A42B60">
              <w:rPr>
                <w:rStyle w:val="Hyperlink"/>
              </w:rPr>
              <w:t>Student First Support Fund Programs and Key Features</w:t>
            </w:r>
            <w:r w:rsidR="006B4CB2">
              <w:rPr>
                <w:webHidden/>
              </w:rPr>
              <w:tab/>
            </w:r>
            <w:r w:rsidR="006B4CB2">
              <w:rPr>
                <w:webHidden/>
              </w:rPr>
              <w:fldChar w:fldCharType="begin"/>
            </w:r>
            <w:r w:rsidR="006B4CB2">
              <w:rPr>
                <w:webHidden/>
              </w:rPr>
              <w:instrText xml:space="preserve"> PAGEREF _Toc495587318 \h </w:instrText>
            </w:r>
            <w:r w:rsidR="006B4CB2">
              <w:rPr>
                <w:webHidden/>
              </w:rPr>
            </w:r>
            <w:r w:rsidR="006B4CB2">
              <w:rPr>
                <w:webHidden/>
              </w:rPr>
              <w:fldChar w:fldCharType="separate"/>
            </w:r>
            <w:r w:rsidR="006B4CB2">
              <w:rPr>
                <w:webHidden/>
              </w:rPr>
              <w:t>35</w:t>
            </w:r>
            <w:r w:rsidR="006B4CB2">
              <w:rPr>
                <w:webHidden/>
              </w:rPr>
              <w:fldChar w:fldCharType="end"/>
            </w:r>
          </w:hyperlink>
        </w:p>
        <w:p w14:paraId="083C0E0D" w14:textId="5AC8EED0" w:rsidR="006B4CB2" w:rsidRDefault="00CD1809" w:rsidP="006B4CB2">
          <w:pPr>
            <w:pStyle w:val="TOC1"/>
            <w:rPr>
              <w:b w:val="0"/>
              <w:sz w:val="22"/>
              <w:szCs w:val="22"/>
              <w:lang w:val="en-AU" w:eastAsia="en-AU"/>
            </w:rPr>
          </w:pPr>
          <w:hyperlink w:anchor="_Toc495587319" w:history="1">
            <w:r w:rsidR="006B4CB2" w:rsidRPr="00A42B60">
              <w:rPr>
                <w:rStyle w:val="Hyperlink"/>
              </w:rPr>
              <w:t>1.</w:t>
            </w:r>
            <w:r w:rsidR="006B4CB2">
              <w:rPr>
                <w:b w:val="0"/>
                <w:sz w:val="22"/>
                <w:szCs w:val="22"/>
                <w:lang w:val="en-AU" w:eastAsia="en-AU"/>
              </w:rPr>
              <w:tab/>
            </w:r>
            <w:r w:rsidR="006B4CB2" w:rsidRPr="00A42B60">
              <w:rPr>
                <w:rStyle w:val="Hyperlink"/>
              </w:rPr>
              <w:t>NGRB SFSF Activity Profiles</w:t>
            </w:r>
            <w:r w:rsidR="006B4CB2">
              <w:rPr>
                <w:webHidden/>
              </w:rPr>
              <w:tab/>
            </w:r>
            <w:r w:rsidR="006B4CB2">
              <w:rPr>
                <w:webHidden/>
              </w:rPr>
              <w:fldChar w:fldCharType="begin"/>
            </w:r>
            <w:r w:rsidR="006B4CB2">
              <w:rPr>
                <w:webHidden/>
              </w:rPr>
              <w:instrText xml:space="preserve"> PAGEREF _Toc495587319 \h </w:instrText>
            </w:r>
            <w:r w:rsidR="006B4CB2">
              <w:rPr>
                <w:webHidden/>
              </w:rPr>
            </w:r>
            <w:r w:rsidR="006B4CB2">
              <w:rPr>
                <w:webHidden/>
              </w:rPr>
              <w:fldChar w:fldCharType="separate"/>
            </w:r>
            <w:r w:rsidR="006B4CB2">
              <w:rPr>
                <w:webHidden/>
              </w:rPr>
              <w:t>36</w:t>
            </w:r>
            <w:r w:rsidR="006B4CB2">
              <w:rPr>
                <w:webHidden/>
              </w:rPr>
              <w:fldChar w:fldCharType="end"/>
            </w:r>
          </w:hyperlink>
        </w:p>
        <w:p w14:paraId="02F3ADAB" w14:textId="695F0DC3" w:rsidR="006B4CB2" w:rsidRDefault="00CD1809" w:rsidP="006B4CB2">
          <w:pPr>
            <w:pStyle w:val="TOC2"/>
            <w:tabs>
              <w:tab w:val="right" w:leader="dot" w:pos="8630"/>
            </w:tabs>
            <w:rPr>
              <w:noProof/>
              <w:sz w:val="22"/>
              <w:szCs w:val="22"/>
              <w:lang w:val="en-AU" w:eastAsia="en-AU"/>
            </w:rPr>
          </w:pPr>
          <w:hyperlink w:anchor="_Toc495587320" w:history="1">
            <w:r w:rsidR="006B4CB2" w:rsidRPr="00A42B60">
              <w:rPr>
                <w:rStyle w:val="Hyperlink"/>
                <w:noProof/>
              </w:rPr>
              <w:t>Sample of Key Programs</w:t>
            </w:r>
            <w:r w:rsidR="006B4CB2">
              <w:rPr>
                <w:noProof/>
                <w:webHidden/>
              </w:rPr>
              <w:tab/>
            </w:r>
            <w:r w:rsidR="006B4CB2">
              <w:rPr>
                <w:noProof/>
                <w:webHidden/>
              </w:rPr>
              <w:fldChar w:fldCharType="begin"/>
            </w:r>
            <w:r w:rsidR="006B4CB2">
              <w:rPr>
                <w:noProof/>
                <w:webHidden/>
              </w:rPr>
              <w:instrText xml:space="preserve"> PAGEREF _Toc495587320 \h </w:instrText>
            </w:r>
            <w:r w:rsidR="006B4CB2">
              <w:rPr>
                <w:noProof/>
                <w:webHidden/>
              </w:rPr>
            </w:r>
            <w:r w:rsidR="006B4CB2">
              <w:rPr>
                <w:noProof/>
                <w:webHidden/>
              </w:rPr>
              <w:fldChar w:fldCharType="separate"/>
            </w:r>
            <w:r w:rsidR="006B4CB2">
              <w:rPr>
                <w:noProof/>
                <w:webHidden/>
              </w:rPr>
              <w:t>49</w:t>
            </w:r>
            <w:r w:rsidR="006B4CB2">
              <w:rPr>
                <w:noProof/>
                <w:webHidden/>
              </w:rPr>
              <w:fldChar w:fldCharType="end"/>
            </w:r>
          </w:hyperlink>
        </w:p>
        <w:p w14:paraId="595A1B4A" w14:textId="251EAEE3" w:rsidR="006B4CB2" w:rsidRDefault="00CD1809" w:rsidP="006B4CB2">
          <w:pPr>
            <w:pStyle w:val="TOC2"/>
            <w:tabs>
              <w:tab w:val="right" w:leader="dot" w:pos="8630"/>
            </w:tabs>
            <w:rPr>
              <w:noProof/>
              <w:sz w:val="22"/>
              <w:szCs w:val="22"/>
              <w:lang w:val="en-AU" w:eastAsia="en-AU"/>
            </w:rPr>
          </w:pPr>
          <w:hyperlink w:anchor="_Toc495587321" w:history="1">
            <w:r w:rsidR="006B4CB2" w:rsidRPr="00A42B60">
              <w:rPr>
                <w:rStyle w:val="Hyperlink"/>
                <w:noProof/>
              </w:rPr>
              <w:t>Funding – how used?</w:t>
            </w:r>
            <w:r w:rsidR="006B4CB2">
              <w:rPr>
                <w:noProof/>
                <w:webHidden/>
              </w:rPr>
              <w:tab/>
            </w:r>
            <w:r w:rsidR="006B4CB2">
              <w:rPr>
                <w:noProof/>
                <w:webHidden/>
              </w:rPr>
              <w:fldChar w:fldCharType="begin"/>
            </w:r>
            <w:r w:rsidR="006B4CB2">
              <w:rPr>
                <w:noProof/>
                <w:webHidden/>
              </w:rPr>
              <w:instrText xml:space="preserve"> PAGEREF _Toc495587321 \h </w:instrText>
            </w:r>
            <w:r w:rsidR="006B4CB2">
              <w:rPr>
                <w:noProof/>
                <w:webHidden/>
              </w:rPr>
            </w:r>
            <w:r w:rsidR="006B4CB2">
              <w:rPr>
                <w:noProof/>
                <w:webHidden/>
              </w:rPr>
              <w:fldChar w:fldCharType="separate"/>
            </w:r>
            <w:r w:rsidR="006B4CB2">
              <w:rPr>
                <w:noProof/>
                <w:webHidden/>
              </w:rPr>
              <w:t>49</w:t>
            </w:r>
            <w:r w:rsidR="006B4CB2">
              <w:rPr>
                <w:noProof/>
                <w:webHidden/>
              </w:rPr>
              <w:fldChar w:fldCharType="end"/>
            </w:r>
          </w:hyperlink>
        </w:p>
        <w:p w14:paraId="70D5B921" w14:textId="06542F73" w:rsidR="006B4CB2" w:rsidRDefault="00CD1809" w:rsidP="006B4CB2">
          <w:pPr>
            <w:pStyle w:val="TOC2"/>
            <w:tabs>
              <w:tab w:val="right" w:leader="dot" w:pos="8630"/>
            </w:tabs>
            <w:rPr>
              <w:noProof/>
              <w:sz w:val="22"/>
              <w:szCs w:val="22"/>
              <w:lang w:val="en-AU" w:eastAsia="en-AU"/>
            </w:rPr>
          </w:pPr>
          <w:hyperlink w:anchor="_Toc495587322" w:history="1">
            <w:r w:rsidR="006B4CB2" w:rsidRPr="00A42B60">
              <w:rPr>
                <w:rStyle w:val="Hyperlink"/>
                <w:noProof/>
              </w:rPr>
              <w:t>Monitoring Success</w:t>
            </w:r>
            <w:r w:rsidR="006B4CB2">
              <w:rPr>
                <w:noProof/>
                <w:webHidden/>
              </w:rPr>
              <w:tab/>
            </w:r>
            <w:r w:rsidR="006B4CB2">
              <w:rPr>
                <w:noProof/>
                <w:webHidden/>
              </w:rPr>
              <w:fldChar w:fldCharType="begin"/>
            </w:r>
            <w:r w:rsidR="006B4CB2">
              <w:rPr>
                <w:noProof/>
                <w:webHidden/>
              </w:rPr>
              <w:instrText xml:space="preserve"> PAGEREF _Toc495587322 \h </w:instrText>
            </w:r>
            <w:r w:rsidR="006B4CB2">
              <w:rPr>
                <w:noProof/>
                <w:webHidden/>
              </w:rPr>
            </w:r>
            <w:r w:rsidR="006B4CB2">
              <w:rPr>
                <w:noProof/>
                <w:webHidden/>
              </w:rPr>
              <w:fldChar w:fldCharType="separate"/>
            </w:r>
            <w:r w:rsidR="006B4CB2">
              <w:rPr>
                <w:noProof/>
                <w:webHidden/>
              </w:rPr>
              <w:t>49</w:t>
            </w:r>
            <w:r w:rsidR="006B4CB2">
              <w:rPr>
                <w:noProof/>
                <w:webHidden/>
              </w:rPr>
              <w:fldChar w:fldCharType="end"/>
            </w:r>
          </w:hyperlink>
        </w:p>
        <w:p w14:paraId="522C1043" w14:textId="18CC2820" w:rsidR="006B4CB2" w:rsidRDefault="00CD1809" w:rsidP="006B4CB2">
          <w:pPr>
            <w:pStyle w:val="TOC2"/>
            <w:tabs>
              <w:tab w:val="right" w:leader="dot" w:pos="8630"/>
            </w:tabs>
            <w:rPr>
              <w:noProof/>
              <w:sz w:val="22"/>
              <w:szCs w:val="22"/>
              <w:lang w:val="en-AU" w:eastAsia="en-AU"/>
            </w:rPr>
          </w:pPr>
          <w:hyperlink w:anchor="_Toc495587323" w:history="1">
            <w:r w:rsidR="006B4CB2" w:rsidRPr="00A42B60">
              <w:rPr>
                <w:rStyle w:val="Hyperlink"/>
                <w:noProof/>
              </w:rPr>
              <w:t>Issues and Implications</w:t>
            </w:r>
            <w:r w:rsidR="006B4CB2">
              <w:rPr>
                <w:noProof/>
                <w:webHidden/>
              </w:rPr>
              <w:tab/>
            </w:r>
            <w:r w:rsidR="006B4CB2">
              <w:rPr>
                <w:noProof/>
                <w:webHidden/>
              </w:rPr>
              <w:fldChar w:fldCharType="begin"/>
            </w:r>
            <w:r w:rsidR="006B4CB2">
              <w:rPr>
                <w:noProof/>
                <w:webHidden/>
              </w:rPr>
              <w:instrText xml:space="preserve"> PAGEREF _Toc495587323 \h </w:instrText>
            </w:r>
            <w:r w:rsidR="006B4CB2">
              <w:rPr>
                <w:noProof/>
                <w:webHidden/>
              </w:rPr>
            </w:r>
            <w:r w:rsidR="006B4CB2">
              <w:rPr>
                <w:noProof/>
                <w:webHidden/>
              </w:rPr>
              <w:fldChar w:fldCharType="separate"/>
            </w:r>
            <w:r w:rsidR="006B4CB2">
              <w:rPr>
                <w:noProof/>
                <w:webHidden/>
              </w:rPr>
              <w:t>49</w:t>
            </w:r>
            <w:r w:rsidR="006B4CB2">
              <w:rPr>
                <w:noProof/>
                <w:webHidden/>
              </w:rPr>
              <w:fldChar w:fldCharType="end"/>
            </w:r>
          </w:hyperlink>
        </w:p>
        <w:p w14:paraId="7F78BC1E" w14:textId="354C0FE6" w:rsidR="006B4CB2" w:rsidRDefault="00CD1809" w:rsidP="006B4CB2">
          <w:pPr>
            <w:pStyle w:val="TOC1"/>
            <w:rPr>
              <w:b w:val="0"/>
              <w:sz w:val="22"/>
              <w:szCs w:val="22"/>
              <w:lang w:val="en-AU" w:eastAsia="en-AU"/>
            </w:rPr>
          </w:pPr>
          <w:hyperlink w:anchor="_Toc495587324" w:history="1">
            <w:r w:rsidR="006B4CB2" w:rsidRPr="00A42B60">
              <w:rPr>
                <w:rStyle w:val="Hyperlink"/>
              </w:rPr>
              <w:t>2.</w:t>
            </w:r>
            <w:r w:rsidR="006B4CB2">
              <w:rPr>
                <w:b w:val="0"/>
                <w:sz w:val="22"/>
                <w:szCs w:val="22"/>
                <w:lang w:val="en-AU" w:eastAsia="en-AU"/>
              </w:rPr>
              <w:tab/>
            </w:r>
            <w:r w:rsidR="006B4CB2" w:rsidRPr="00A42B60">
              <w:rPr>
                <w:rStyle w:val="Hyperlink"/>
              </w:rPr>
              <w:t>Additional SFSF Data</w:t>
            </w:r>
            <w:r w:rsidR="006B4CB2">
              <w:rPr>
                <w:webHidden/>
              </w:rPr>
              <w:tab/>
            </w:r>
            <w:r w:rsidR="006B4CB2">
              <w:rPr>
                <w:webHidden/>
              </w:rPr>
              <w:fldChar w:fldCharType="begin"/>
            </w:r>
            <w:r w:rsidR="006B4CB2">
              <w:rPr>
                <w:webHidden/>
              </w:rPr>
              <w:instrText xml:space="preserve"> PAGEREF _Toc495587324 \h </w:instrText>
            </w:r>
            <w:r w:rsidR="006B4CB2">
              <w:rPr>
                <w:webHidden/>
              </w:rPr>
            </w:r>
            <w:r w:rsidR="006B4CB2">
              <w:rPr>
                <w:webHidden/>
              </w:rPr>
              <w:fldChar w:fldCharType="separate"/>
            </w:r>
            <w:r w:rsidR="006B4CB2">
              <w:rPr>
                <w:webHidden/>
              </w:rPr>
              <w:t>54</w:t>
            </w:r>
            <w:r w:rsidR="006B4CB2">
              <w:rPr>
                <w:webHidden/>
              </w:rPr>
              <w:fldChar w:fldCharType="end"/>
            </w:r>
          </w:hyperlink>
        </w:p>
        <w:p w14:paraId="55D5CCAC" w14:textId="72BCAD1D" w:rsidR="006B4CB2" w:rsidRDefault="00CD1809" w:rsidP="006B4CB2">
          <w:pPr>
            <w:pStyle w:val="TOC2"/>
            <w:tabs>
              <w:tab w:val="left" w:pos="880"/>
              <w:tab w:val="right" w:leader="dot" w:pos="8630"/>
            </w:tabs>
            <w:rPr>
              <w:noProof/>
              <w:sz w:val="22"/>
              <w:szCs w:val="22"/>
              <w:lang w:val="en-AU" w:eastAsia="en-AU"/>
            </w:rPr>
          </w:pPr>
          <w:hyperlink w:anchor="_Toc495587325" w:history="1">
            <w:r w:rsidR="006B4CB2" w:rsidRPr="00A42B60">
              <w:rPr>
                <w:rStyle w:val="Hyperlink"/>
                <w:noProof/>
              </w:rPr>
              <w:t xml:space="preserve">2.1 </w:t>
            </w:r>
            <w:r w:rsidR="006B4CB2">
              <w:rPr>
                <w:noProof/>
                <w:sz w:val="22"/>
                <w:szCs w:val="22"/>
                <w:lang w:val="en-AU" w:eastAsia="en-AU"/>
              </w:rPr>
              <w:tab/>
            </w:r>
            <w:r w:rsidR="006B4CB2" w:rsidRPr="00A42B60">
              <w:rPr>
                <w:rStyle w:val="Hyperlink"/>
                <w:noProof/>
              </w:rPr>
              <w:t>SFSF Funding Tables and Charts</w:t>
            </w:r>
            <w:r w:rsidR="006B4CB2">
              <w:rPr>
                <w:noProof/>
                <w:webHidden/>
              </w:rPr>
              <w:tab/>
            </w:r>
            <w:r w:rsidR="006B4CB2">
              <w:rPr>
                <w:noProof/>
                <w:webHidden/>
              </w:rPr>
              <w:fldChar w:fldCharType="begin"/>
            </w:r>
            <w:r w:rsidR="006B4CB2">
              <w:rPr>
                <w:noProof/>
                <w:webHidden/>
              </w:rPr>
              <w:instrText xml:space="preserve"> PAGEREF _Toc495587325 \h </w:instrText>
            </w:r>
            <w:r w:rsidR="006B4CB2">
              <w:rPr>
                <w:noProof/>
                <w:webHidden/>
              </w:rPr>
            </w:r>
            <w:r w:rsidR="006B4CB2">
              <w:rPr>
                <w:noProof/>
                <w:webHidden/>
              </w:rPr>
              <w:fldChar w:fldCharType="separate"/>
            </w:r>
            <w:r w:rsidR="006B4CB2">
              <w:rPr>
                <w:noProof/>
                <w:webHidden/>
              </w:rPr>
              <w:t>55</w:t>
            </w:r>
            <w:r w:rsidR="006B4CB2">
              <w:rPr>
                <w:noProof/>
                <w:webHidden/>
              </w:rPr>
              <w:fldChar w:fldCharType="end"/>
            </w:r>
          </w:hyperlink>
        </w:p>
        <w:p w14:paraId="0619D368" w14:textId="2851C613" w:rsidR="006B4CB2" w:rsidRDefault="00CD1809" w:rsidP="006B4CB2">
          <w:pPr>
            <w:pStyle w:val="TOC2"/>
            <w:tabs>
              <w:tab w:val="left" w:pos="880"/>
              <w:tab w:val="right" w:leader="dot" w:pos="8630"/>
            </w:tabs>
            <w:rPr>
              <w:noProof/>
              <w:sz w:val="22"/>
              <w:szCs w:val="22"/>
              <w:lang w:val="en-AU" w:eastAsia="en-AU"/>
            </w:rPr>
          </w:pPr>
          <w:hyperlink w:anchor="_Toc495587326" w:history="1">
            <w:r w:rsidR="006B4CB2" w:rsidRPr="00A42B60">
              <w:rPr>
                <w:rStyle w:val="Hyperlink"/>
                <w:noProof/>
              </w:rPr>
              <w:t>2.2</w:t>
            </w:r>
            <w:r w:rsidR="006B4CB2">
              <w:rPr>
                <w:noProof/>
                <w:sz w:val="22"/>
                <w:szCs w:val="22"/>
                <w:lang w:val="en-AU" w:eastAsia="en-AU"/>
              </w:rPr>
              <w:tab/>
            </w:r>
            <w:r w:rsidR="006B4CB2" w:rsidRPr="00A42B60">
              <w:rPr>
                <w:rStyle w:val="Hyperlink"/>
                <w:noProof/>
              </w:rPr>
              <w:t>Delivery models by NGRB</w:t>
            </w:r>
            <w:r w:rsidR="006B4CB2">
              <w:rPr>
                <w:noProof/>
                <w:webHidden/>
              </w:rPr>
              <w:tab/>
            </w:r>
            <w:r w:rsidR="006B4CB2">
              <w:rPr>
                <w:noProof/>
                <w:webHidden/>
              </w:rPr>
              <w:fldChar w:fldCharType="begin"/>
            </w:r>
            <w:r w:rsidR="006B4CB2">
              <w:rPr>
                <w:noProof/>
                <w:webHidden/>
              </w:rPr>
              <w:instrText xml:space="preserve"> PAGEREF _Toc495587326 \h </w:instrText>
            </w:r>
            <w:r w:rsidR="006B4CB2">
              <w:rPr>
                <w:noProof/>
                <w:webHidden/>
              </w:rPr>
            </w:r>
            <w:r w:rsidR="006B4CB2">
              <w:rPr>
                <w:noProof/>
                <w:webHidden/>
              </w:rPr>
              <w:fldChar w:fldCharType="separate"/>
            </w:r>
            <w:r w:rsidR="006B4CB2">
              <w:rPr>
                <w:noProof/>
                <w:webHidden/>
              </w:rPr>
              <w:t>60</w:t>
            </w:r>
            <w:r w:rsidR="006B4CB2">
              <w:rPr>
                <w:noProof/>
                <w:webHidden/>
              </w:rPr>
              <w:fldChar w:fldCharType="end"/>
            </w:r>
          </w:hyperlink>
        </w:p>
        <w:p w14:paraId="27CFE5FE" w14:textId="4652CEDA" w:rsidR="006B4CB2" w:rsidRDefault="00CD1809" w:rsidP="006B4CB2">
          <w:pPr>
            <w:pStyle w:val="TOC2"/>
            <w:tabs>
              <w:tab w:val="left" w:pos="880"/>
              <w:tab w:val="right" w:leader="dot" w:pos="8630"/>
            </w:tabs>
            <w:rPr>
              <w:noProof/>
              <w:sz w:val="22"/>
              <w:szCs w:val="22"/>
              <w:lang w:val="en-AU" w:eastAsia="en-AU"/>
            </w:rPr>
          </w:pPr>
          <w:hyperlink w:anchor="_Toc495587327" w:history="1">
            <w:r w:rsidR="006B4CB2" w:rsidRPr="00A42B60">
              <w:rPr>
                <w:rStyle w:val="Hyperlink"/>
                <w:noProof/>
              </w:rPr>
              <w:t xml:space="preserve">2.3 </w:t>
            </w:r>
            <w:r w:rsidR="006B4CB2">
              <w:rPr>
                <w:noProof/>
                <w:sz w:val="22"/>
                <w:szCs w:val="22"/>
                <w:lang w:val="en-AU" w:eastAsia="en-AU"/>
              </w:rPr>
              <w:tab/>
            </w:r>
            <w:r w:rsidR="006B4CB2" w:rsidRPr="00A42B60">
              <w:rPr>
                <w:rStyle w:val="Hyperlink"/>
                <w:noProof/>
              </w:rPr>
              <w:t>SFSF Documents provided to PTR</w:t>
            </w:r>
            <w:r w:rsidR="006B4CB2">
              <w:rPr>
                <w:noProof/>
                <w:webHidden/>
              </w:rPr>
              <w:tab/>
            </w:r>
            <w:r w:rsidR="006B4CB2">
              <w:rPr>
                <w:noProof/>
                <w:webHidden/>
              </w:rPr>
              <w:fldChar w:fldCharType="begin"/>
            </w:r>
            <w:r w:rsidR="006B4CB2">
              <w:rPr>
                <w:noProof/>
                <w:webHidden/>
              </w:rPr>
              <w:instrText xml:space="preserve"> PAGEREF _Toc495587327 \h </w:instrText>
            </w:r>
            <w:r w:rsidR="006B4CB2">
              <w:rPr>
                <w:noProof/>
                <w:webHidden/>
              </w:rPr>
            </w:r>
            <w:r w:rsidR="006B4CB2">
              <w:rPr>
                <w:noProof/>
                <w:webHidden/>
              </w:rPr>
              <w:fldChar w:fldCharType="separate"/>
            </w:r>
            <w:r w:rsidR="006B4CB2">
              <w:rPr>
                <w:noProof/>
                <w:webHidden/>
              </w:rPr>
              <w:t>67</w:t>
            </w:r>
            <w:r w:rsidR="006B4CB2">
              <w:rPr>
                <w:noProof/>
                <w:webHidden/>
              </w:rPr>
              <w:fldChar w:fldCharType="end"/>
            </w:r>
          </w:hyperlink>
        </w:p>
        <w:p w14:paraId="6DB7175D" w14:textId="201FE6C3" w:rsidR="006B4CB2" w:rsidRDefault="00CD1809" w:rsidP="006B4CB2">
          <w:pPr>
            <w:pStyle w:val="TOC2"/>
            <w:tabs>
              <w:tab w:val="left" w:pos="880"/>
              <w:tab w:val="right" w:leader="dot" w:pos="8630"/>
            </w:tabs>
            <w:rPr>
              <w:noProof/>
              <w:sz w:val="22"/>
              <w:szCs w:val="22"/>
              <w:lang w:val="en-AU" w:eastAsia="en-AU"/>
            </w:rPr>
          </w:pPr>
          <w:hyperlink w:anchor="_Toc495587328" w:history="1">
            <w:r w:rsidR="006B4CB2" w:rsidRPr="00A42B60">
              <w:rPr>
                <w:rStyle w:val="Hyperlink"/>
                <w:noProof/>
              </w:rPr>
              <w:t xml:space="preserve">2.4 </w:t>
            </w:r>
            <w:r w:rsidR="006B4CB2">
              <w:rPr>
                <w:noProof/>
                <w:sz w:val="22"/>
                <w:szCs w:val="22"/>
                <w:lang w:val="en-AU" w:eastAsia="en-AU"/>
              </w:rPr>
              <w:tab/>
            </w:r>
            <w:r w:rsidR="006B4CB2" w:rsidRPr="00A42B60">
              <w:rPr>
                <w:rStyle w:val="Hyperlink"/>
                <w:noProof/>
              </w:rPr>
              <w:t>Interviews with principals</w:t>
            </w:r>
            <w:r w:rsidR="006B4CB2">
              <w:rPr>
                <w:noProof/>
                <w:webHidden/>
              </w:rPr>
              <w:tab/>
            </w:r>
            <w:r w:rsidR="006B4CB2">
              <w:rPr>
                <w:noProof/>
                <w:webHidden/>
              </w:rPr>
              <w:fldChar w:fldCharType="begin"/>
            </w:r>
            <w:r w:rsidR="006B4CB2">
              <w:rPr>
                <w:noProof/>
                <w:webHidden/>
              </w:rPr>
              <w:instrText xml:space="preserve"> PAGEREF _Toc495587328 \h </w:instrText>
            </w:r>
            <w:r w:rsidR="006B4CB2">
              <w:rPr>
                <w:noProof/>
                <w:webHidden/>
              </w:rPr>
            </w:r>
            <w:r w:rsidR="006B4CB2">
              <w:rPr>
                <w:noProof/>
                <w:webHidden/>
              </w:rPr>
              <w:fldChar w:fldCharType="separate"/>
            </w:r>
            <w:r w:rsidR="006B4CB2">
              <w:rPr>
                <w:noProof/>
                <w:webHidden/>
              </w:rPr>
              <w:t>69</w:t>
            </w:r>
            <w:r w:rsidR="006B4CB2">
              <w:rPr>
                <w:noProof/>
                <w:webHidden/>
              </w:rPr>
              <w:fldChar w:fldCharType="end"/>
            </w:r>
          </w:hyperlink>
        </w:p>
        <w:p w14:paraId="25DBE758" w14:textId="7C5E8D71" w:rsidR="006910D0" w:rsidRDefault="004B2D8A" w:rsidP="006B4CB2">
          <w:pPr>
            <w:rPr>
              <w:noProof/>
            </w:rPr>
          </w:pPr>
          <w:r>
            <w:rPr>
              <w:b/>
              <w:bCs/>
              <w:noProof/>
            </w:rPr>
            <w:fldChar w:fldCharType="end"/>
          </w:r>
        </w:p>
      </w:sdtContent>
    </w:sdt>
    <w:p w14:paraId="2C5F6ABF" w14:textId="57EC789C" w:rsidR="004B2D8A" w:rsidRDefault="004B2D8A">
      <w:r>
        <w:br w:type="page"/>
      </w:r>
    </w:p>
    <w:p w14:paraId="25AFF1CB" w14:textId="7DA7B6DE" w:rsidR="00936605" w:rsidRPr="00DD2A48" w:rsidRDefault="00936605" w:rsidP="00936605">
      <w:pPr>
        <w:pStyle w:val="Heading1"/>
        <w:ind w:right="-340"/>
        <w:rPr>
          <w:sz w:val="32"/>
          <w:szCs w:val="32"/>
        </w:rPr>
      </w:pPr>
      <w:bookmarkStart w:id="1" w:name="_Toc495587285"/>
      <w:r>
        <w:rPr>
          <w:sz w:val="32"/>
          <w:szCs w:val="32"/>
        </w:rPr>
        <w:lastRenderedPageBreak/>
        <w:t>Executive Summary</w:t>
      </w:r>
      <w:bookmarkEnd w:id="1"/>
    </w:p>
    <w:p w14:paraId="69DBCC70" w14:textId="77777777" w:rsidR="00936605" w:rsidRPr="005621A8" w:rsidRDefault="00936605" w:rsidP="00A33D23">
      <w:pPr>
        <w:pStyle w:val="Heading2"/>
        <w:rPr>
          <w:u w:val="single"/>
        </w:rPr>
      </w:pPr>
      <w:bookmarkStart w:id="2" w:name="_Toc495587286"/>
      <w:r w:rsidRPr="005621A8">
        <w:rPr>
          <w:u w:val="single"/>
        </w:rPr>
        <w:t>Review requirements</w:t>
      </w:r>
      <w:bookmarkEnd w:id="2"/>
      <w:r w:rsidRPr="005621A8">
        <w:rPr>
          <w:u w:val="single"/>
        </w:rPr>
        <w:t xml:space="preserve"> </w:t>
      </w:r>
    </w:p>
    <w:p w14:paraId="303EE0C5" w14:textId="73C79515"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Students First Support Fund (SFSF) provid</w:t>
      </w:r>
      <w:r w:rsidR="00CC7398">
        <w:rPr>
          <w:rFonts w:ascii="Century Gothic" w:hAnsi="Century Gothic"/>
          <w:sz w:val="20"/>
          <w:szCs w:val="20"/>
        </w:rPr>
        <w:t xml:space="preserve">es $165 million over 2014–17 to 16 </w:t>
      </w:r>
      <w:r w:rsidRPr="00936605">
        <w:rPr>
          <w:rFonts w:ascii="Century Gothic" w:hAnsi="Century Gothic"/>
          <w:sz w:val="20"/>
          <w:szCs w:val="20"/>
        </w:rPr>
        <w:t>organisations approved by the Federal Minister for Education and Training as non-government representative bodies (NGRBs) under Section 89 of the Australian Education Act 2013. Funding is provided under Memorandums of Understanding (MOUs) between the Government and the NGRBs to represent non-government schools and support them in the implementation of national reforms priorities and school improvement.</w:t>
      </w:r>
    </w:p>
    <w:p w14:paraId="7741B79C"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The national reform priorities in summary are: </w:t>
      </w:r>
    </w:p>
    <w:p w14:paraId="2F2DD7E8" w14:textId="77777777" w:rsidR="00936605" w:rsidRPr="00936605" w:rsidRDefault="00936605" w:rsidP="006A1D2B">
      <w:pPr>
        <w:pStyle w:val="ListParagraph"/>
        <w:numPr>
          <w:ilvl w:val="0"/>
          <w:numId w:val="25"/>
        </w:numPr>
        <w:rPr>
          <w:rFonts w:ascii="Century Gothic" w:hAnsi="Century Gothic"/>
          <w:b/>
          <w:sz w:val="20"/>
          <w:szCs w:val="20"/>
        </w:rPr>
      </w:pPr>
      <w:r w:rsidRPr="00936605">
        <w:rPr>
          <w:rFonts w:ascii="Century Gothic" w:hAnsi="Century Gothic"/>
          <w:sz w:val="20"/>
          <w:szCs w:val="20"/>
        </w:rPr>
        <w:t>quality teaching</w:t>
      </w:r>
    </w:p>
    <w:p w14:paraId="0CC098E8" w14:textId="77777777" w:rsidR="00936605" w:rsidRPr="00936605" w:rsidRDefault="00936605" w:rsidP="006A1D2B">
      <w:pPr>
        <w:pStyle w:val="ListParagraph"/>
        <w:numPr>
          <w:ilvl w:val="0"/>
          <w:numId w:val="25"/>
        </w:numPr>
        <w:rPr>
          <w:rFonts w:ascii="Century Gothic" w:hAnsi="Century Gothic"/>
          <w:b/>
          <w:sz w:val="20"/>
          <w:szCs w:val="20"/>
        </w:rPr>
      </w:pPr>
      <w:r w:rsidRPr="00936605">
        <w:rPr>
          <w:rFonts w:ascii="Century Gothic" w:hAnsi="Century Gothic"/>
          <w:sz w:val="20"/>
          <w:szCs w:val="20"/>
        </w:rPr>
        <w:t xml:space="preserve">quality learning </w:t>
      </w:r>
    </w:p>
    <w:p w14:paraId="53B6A38B" w14:textId="77777777" w:rsidR="00936605" w:rsidRPr="00936605" w:rsidRDefault="00936605" w:rsidP="006A1D2B">
      <w:pPr>
        <w:pStyle w:val="ListParagraph"/>
        <w:numPr>
          <w:ilvl w:val="0"/>
          <w:numId w:val="25"/>
        </w:numPr>
        <w:rPr>
          <w:rFonts w:ascii="Century Gothic" w:hAnsi="Century Gothic"/>
          <w:b/>
          <w:sz w:val="20"/>
          <w:szCs w:val="20"/>
        </w:rPr>
      </w:pPr>
      <w:r w:rsidRPr="00936605">
        <w:rPr>
          <w:rFonts w:ascii="Century Gothic" w:hAnsi="Century Gothic"/>
          <w:sz w:val="20"/>
          <w:szCs w:val="20"/>
        </w:rPr>
        <w:t>empowered school leadership</w:t>
      </w:r>
    </w:p>
    <w:p w14:paraId="20ACEC3B" w14:textId="77777777" w:rsidR="00936605" w:rsidRPr="00936605" w:rsidRDefault="00936605" w:rsidP="006A1D2B">
      <w:pPr>
        <w:pStyle w:val="ListParagraph"/>
        <w:numPr>
          <w:ilvl w:val="0"/>
          <w:numId w:val="25"/>
        </w:numPr>
        <w:rPr>
          <w:rFonts w:ascii="Century Gothic" w:hAnsi="Century Gothic"/>
          <w:b/>
          <w:sz w:val="20"/>
          <w:szCs w:val="20"/>
        </w:rPr>
      </w:pPr>
      <w:r w:rsidRPr="00936605">
        <w:rPr>
          <w:rFonts w:ascii="Century Gothic" w:hAnsi="Century Gothic"/>
          <w:sz w:val="20"/>
          <w:szCs w:val="20"/>
        </w:rPr>
        <w:t>meeting student need</w:t>
      </w:r>
    </w:p>
    <w:p w14:paraId="24EF5A05" w14:textId="4FBFDB7D" w:rsidR="00936605" w:rsidRPr="00936605" w:rsidRDefault="00936605" w:rsidP="006910D0">
      <w:pPr>
        <w:pStyle w:val="ListParagraph"/>
        <w:numPr>
          <w:ilvl w:val="0"/>
          <w:numId w:val="25"/>
        </w:numPr>
        <w:spacing w:after="120"/>
        <w:ind w:left="714" w:hanging="357"/>
        <w:rPr>
          <w:rFonts w:ascii="Century Gothic" w:hAnsi="Century Gothic"/>
          <w:b/>
          <w:sz w:val="20"/>
          <w:szCs w:val="20"/>
        </w:rPr>
      </w:pPr>
      <w:r w:rsidRPr="00936605">
        <w:rPr>
          <w:rFonts w:ascii="Century Gothic" w:hAnsi="Century Gothic"/>
          <w:sz w:val="20"/>
          <w:szCs w:val="20"/>
        </w:rPr>
        <w:t>tra</w:t>
      </w:r>
      <w:r w:rsidR="006910D0">
        <w:rPr>
          <w:rFonts w:ascii="Century Gothic" w:hAnsi="Century Gothic"/>
          <w:sz w:val="20"/>
          <w:szCs w:val="20"/>
        </w:rPr>
        <w:t xml:space="preserve">nsparency and accountability. </w:t>
      </w:r>
    </w:p>
    <w:p w14:paraId="4A07B8EF"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The Department of Education and Training (DET) commissioned PTR Consulting to undertake an independent review of the SFSF to consider whether the Australian Government has achieved value for money and whether the fund has facilitated the implementation of government policy priorities.</w:t>
      </w:r>
    </w:p>
    <w:p w14:paraId="254E89DC" w14:textId="77777777" w:rsidR="00936605" w:rsidRPr="005621A8" w:rsidRDefault="00936605" w:rsidP="00A33D23">
      <w:pPr>
        <w:pStyle w:val="Heading2"/>
        <w:rPr>
          <w:u w:val="single"/>
        </w:rPr>
      </w:pPr>
      <w:bookmarkStart w:id="3" w:name="_Toc495587287"/>
      <w:r w:rsidRPr="005621A8">
        <w:rPr>
          <w:u w:val="single"/>
        </w:rPr>
        <w:t>Context</w:t>
      </w:r>
      <w:bookmarkEnd w:id="3"/>
    </w:p>
    <w:p w14:paraId="510B7903"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SFSF MOUs were finalised with Associations of Independent Schools (AISs) and Catholic Education Commissions (CECs) as NGRBs by July 2014. </w:t>
      </w:r>
    </w:p>
    <w:p w14:paraId="402E5BDB"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There is wide variety in NGRBs. They vary not only in size and resources but in how they execute their roles – in part due to the structural and governance differences between the Independent and Catholic sectors. </w:t>
      </w:r>
    </w:p>
    <w:p w14:paraId="4D86AC63"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In the spirit of reducing the regulatory burden and removing red-tape, the requirements stated in the MOUs were simplified compared with past programs that had multiple specific measures and more detailed reporting requirements. The more simplified SFSF implementation and reporting requirements left decisions on program objectives, design, indicators of success and reporting to the individual NGRBs. The inherent differences among NGRBs influenced how they used the SFSF.  </w:t>
      </w:r>
    </w:p>
    <w:p w14:paraId="429024E9"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Three-year work plans (2014-2017) were approved by the Department and annual reports from 2015 containing summary outcomes and work undertaken were submitted. Many NGRBs initially continued existing programs related to the national reform priorities (which are consistent with prior objectives) and modified them as time progressed.  The reporting required was a summary of outcomes and work undertaken to support the priorities.  </w:t>
      </w:r>
    </w:p>
    <w:p w14:paraId="2EE4DB68" w14:textId="5639CB44"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This Review was conducted in December 2016 and January 2017. It encompassed a review of 2014 NGRB work plans and annual reports submitted to DET; consultations with NGRB executives; and interviews with principals of schools nominated by DET. </w:t>
      </w:r>
    </w:p>
    <w:p w14:paraId="1CC1F9AD"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The wide variation in how NGRBs have implemented the SFSF and reported on activities and outcomes has limited the extent of the comparative analysis of activities and outcomes. To ensure there is a full picture of NGRBs’ approaches, the report includes profiles of the SFSF activities of all NGRBs where their key programs, use of SFSF funds and outcomes are summarised. </w:t>
      </w:r>
    </w:p>
    <w:p w14:paraId="589433F8" w14:textId="77777777" w:rsidR="00936605" w:rsidRPr="005621A8" w:rsidRDefault="00936605" w:rsidP="00A33D23">
      <w:pPr>
        <w:pStyle w:val="Heading2"/>
        <w:rPr>
          <w:u w:val="single"/>
        </w:rPr>
      </w:pPr>
      <w:bookmarkStart w:id="4" w:name="_Toc495587288"/>
      <w:r w:rsidRPr="005621A8">
        <w:rPr>
          <w:u w:val="single"/>
        </w:rPr>
        <w:lastRenderedPageBreak/>
        <w:t>Key findings</w:t>
      </w:r>
      <w:bookmarkEnd w:id="4"/>
      <w:r w:rsidRPr="005621A8">
        <w:rPr>
          <w:u w:val="single"/>
        </w:rPr>
        <w:t xml:space="preserve"> </w:t>
      </w:r>
    </w:p>
    <w:p w14:paraId="2A044655" w14:textId="743F5755" w:rsidR="00EA77BD" w:rsidRDefault="00936605" w:rsidP="006910D0">
      <w:pPr>
        <w:keepNext/>
        <w:spacing w:after="120" w:line="276" w:lineRule="auto"/>
        <w:ind w:right="-340"/>
        <w:jc w:val="both"/>
        <w:rPr>
          <w:rFonts w:ascii="Century Gothic" w:hAnsi="Century Gothic"/>
          <w:sz w:val="20"/>
          <w:szCs w:val="20"/>
        </w:rPr>
      </w:pPr>
      <w:r w:rsidRPr="00936605">
        <w:rPr>
          <w:rFonts w:ascii="Century Gothic" w:hAnsi="Century Gothic"/>
          <w:sz w:val="20"/>
          <w:szCs w:val="20"/>
        </w:rPr>
        <w:t xml:space="preserve">Overall the Review </w:t>
      </w:r>
      <w:r w:rsidR="00A37806">
        <w:rPr>
          <w:rFonts w:ascii="Century Gothic" w:hAnsi="Century Gothic"/>
          <w:sz w:val="20"/>
          <w:szCs w:val="20"/>
        </w:rPr>
        <w:t xml:space="preserve">findings point to a mixed quality of outcomes </w:t>
      </w:r>
      <w:r w:rsidR="00EA77BD">
        <w:rPr>
          <w:rFonts w:ascii="Century Gothic" w:hAnsi="Century Gothic"/>
          <w:sz w:val="20"/>
          <w:szCs w:val="20"/>
        </w:rPr>
        <w:t>from SFS</w:t>
      </w:r>
      <w:r w:rsidR="00CD02E8">
        <w:rPr>
          <w:rFonts w:ascii="Century Gothic" w:hAnsi="Century Gothic"/>
          <w:sz w:val="20"/>
          <w:szCs w:val="20"/>
        </w:rPr>
        <w:t xml:space="preserve">F. </w:t>
      </w:r>
      <w:r w:rsidR="00CA4247">
        <w:rPr>
          <w:rFonts w:ascii="Century Gothic" w:hAnsi="Century Gothic"/>
          <w:sz w:val="20"/>
          <w:szCs w:val="20"/>
        </w:rPr>
        <w:t>O</w:t>
      </w:r>
      <w:r w:rsidR="00A37806">
        <w:rPr>
          <w:rFonts w:ascii="Century Gothic" w:hAnsi="Century Gothic"/>
          <w:sz w:val="20"/>
          <w:szCs w:val="20"/>
        </w:rPr>
        <w:t xml:space="preserve">n the one hand </w:t>
      </w:r>
      <w:r w:rsidRPr="00936605">
        <w:rPr>
          <w:rFonts w:ascii="Century Gothic" w:hAnsi="Century Gothic"/>
          <w:sz w:val="20"/>
          <w:szCs w:val="20"/>
        </w:rPr>
        <w:t xml:space="preserve">the SFSF has </w:t>
      </w:r>
      <w:r w:rsidR="00CA4247">
        <w:rPr>
          <w:rFonts w:ascii="Century Gothic" w:hAnsi="Century Gothic"/>
          <w:sz w:val="20"/>
          <w:szCs w:val="20"/>
        </w:rPr>
        <w:t>been</w:t>
      </w:r>
      <w:r w:rsidR="00CA4247" w:rsidRPr="00936605">
        <w:rPr>
          <w:rFonts w:ascii="Century Gothic" w:hAnsi="Century Gothic"/>
          <w:sz w:val="20"/>
          <w:szCs w:val="20"/>
        </w:rPr>
        <w:t xml:space="preserve"> </w:t>
      </w:r>
      <w:r w:rsidRPr="00936605">
        <w:rPr>
          <w:rFonts w:ascii="Century Gothic" w:hAnsi="Century Gothic"/>
          <w:sz w:val="20"/>
          <w:szCs w:val="20"/>
        </w:rPr>
        <w:t xml:space="preserve">a positive </w:t>
      </w:r>
      <w:r w:rsidR="00CA4247">
        <w:rPr>
          <w:rFonts w:ascii="Century Gothic" w:hAnsi="Century Gothic"/>
          <w:sz w:val="20"/>
          <w:szCs w:val="20"/>
        </w:rPr>
        <w:t xml:space="preserve">stimulus for enhancing </w:t>
      </w:r>
      <w:r w:rsidRPr="00936605">
        <w:rPr>
          <w:rFonts w:ascii="Century Gothic" w:hAnsi="Century Gothic"/>
          <w:sz w:val="20"/>
          <w:szCs w:val="20"/>
        </w:rPr>
        <w:t xml:space="preserve">the school </w:t>
      </w:r>
      <w:r w:rsidR="00291CD4">
        <w:rPr>
          <w:rFonts w:ascii="Century Gothic" w:hAnsi="Century Gothic"/>
          <w:sz w:val="20"/>
          <w:szCs w:val="20"/>
        </w:rPr>
        <w:t xml:space="preserve">improvement </w:t>
      </w:r>
      <w:r w:rsidRPr="00936605">
        <w:rPr>
          <w:rFonts w:ascii="Century Gothic" w:hAnsi="Century Gothic"/>
          <w:sz w:val="20"/>
          <w:szCs w:val="20"/>
        </w:rPr>
        <w:t>support infrastructure</w:t>
      </w:r>
      <w:r w:rsidR="00FD3900">
        <w:rPr>
          <w:rFonts w:ascii="Century Gothic" w:hAnsi="Century Gothic"/>
          <w:sz w:val="20"/>
          <w:szCs w:val="20"/>
        </w:rPr>
        <w:t xml:space="preserve"> and the capability of NGRBs to address national priorities. </w:t>
      </w:r>
      <w:r w:rsidR="00FF6931">
        <w:rPr>
          <w:rFonts w:ascii="Century Gothic" w:hAnsi="Century Gothic"/>
          <w:sz w:val="20"/>
          <w:szCs w:val="20"/>
        </w:rPr>
        <w:t>There are some impressive initiati</w:t>
      </w:r>
      <w:r w:rsidR="00FD3900">
        <w:rPr>
          <w:rFonts w:ascii="Century Gothic" w:hAnsi="Century Gothic"/>
          <w:sz w:val="20"/>
          <w:szCs w:val="20"/>
        </w:rPr>
        <w:t>ves and lessons for the future and many NGRBs now have the foundation to sustain</w:t>
      </w:r>
      <w:r w:rsidR="00FD3900" w:rsidRPr="00936605">
        <w:rPr>
          <w:rFonts w:ascii="Century Gothic" w:hAnsi="Century Gothic"/>
          <w:sz w:val="20"/>
          <w:szCs w:val="20"/>
        </w:rPr>
        <w:t xml:space="preserve"> </w:t>
      </w:r>
      <w:r w:rsidR="00FD3900">
        <w:rPr>
          <w:rFonts w:ascii="Century Gothic" w:hAnsi="Century Gothic"/>
          <w:sz w:val="20"/>
          <w:szCs w:val="20"/>
        </w:rPr>
        <w:t xml:space="preserve">their school improvement </w:t>
      </w:r>
      <w:r w:rsidR="00FD3900" w:rsidRPr="00936605">
        <w:rPr>
          <w:rFonts w:ascii="Century Gothic" w:hAnsi="Century Gothic"/>
          <w:sz w:val="20"/>
          <w:szCs w:val="20"/>
        </w:rPr>
        <w:t>activities</w:t>
      </w:r>
      <w:r w:rsidR="00FD3900">
        <w:rPr>
          <w:rFonts w:ascii="Century Gothic" w:hAnsi="Century Gothic"/>
          <w:sz w:val="20"/>
          <w:szCs w:val="20"/>
        </w:rPr>
        <w:t xml:space="preserve">. </w:t>
      </w:r>
      <w:r w:rsidR="00CA4247">
        <w:rPr>
          <w:rFonts w:ascii="Century Gothic" w:hAnsi="Century Gothic"/>
          <w:sz w:val="20"/>
          <w:szCs w:val="20"/>
        </w:rPr>
        <w:t xml:space="preserve">On the other hand, </w:t>
      </w:r>
      <w:r w:rsidR="00CA4247" w:rsidRPr="00936605">
        <w:rPr>
          <w:rFonts w:ascii="Century Gothic" w:hAnsi="Century Gothic"/>
          <w:sz w:val="20"/>
          <w:szCs w:val="20"/>
        </w:rPr>
        <w:t>there</w:t>
      </w:r>
      <w:r w:rsidR="00CA4247">
        <w:rPr>
          <w:rFonts w:ascii="Century Gothic" w:hAnsi="Century Gothic"/>
          <w:sz w:val="20"/>
          <w:szCs w:val="20"/>
        </w:rPr>
        <w:t xml:space="preserve"> are shortfalls and challenges - the implementation and impact </w:t>
      </w:r>
      <w:r w:rsidR="00CB26E5">
        <w:rPr>
          <w:rFonts w:ascii="Century Gothic" w:hAnsi="Century Gothic"/>
          <w:sz w:val="20"/>
          <w:szCs w:val="20"/>
        </w:rPr>
        <w:t xml:space="preserve">of SFSF activities across </w:t>
      </w:r>
      <w:r w:rsidR="00CA4247">
        <w:rPr>
          <w:rFonts w:ascii="Century Gothic" w:hAnsi="Century Gothic"/>
          <w:sz w:val="20"/>
          <w:szCs w:val="20"/>
        </w:rPr>
        <w:t>the five national priorities is un</w:t>
      </w:r>
      <w:r w:rsidR="00EA77BD">
        <w:rPr>
          <w:rFonts w:ascii="Century Gothic" w:hAnsi="Century Gothic"/>
          <w:sz w:val="20"/>
          <w:szCs w:val="20"/>
        </w:rPr>
        <w:t>even</w:t>
      </w:r>
      <w:r w:rsidR="00CA4247">
        <w:rPr>
          <w:rFonts w:ascii="Century Gothic" w:hAnsi="Century Gothic"/>
          <w:sz w:val="20"/>
          <w:szCs w:val="20"/>
        </w:rPr>
        <w:t>;</w:t>
      </w:r>
      <w:r w:rsidR="00EA77BD">
        <w:rPr>
          <w:rFonts w:ascii="Century Gothic" w:hAnsi="Century Gothic"/>
          <w:sz w:val="20"/>
          <w:szCs w:val="20"/>
        </w:rPr>
        <w:t xml:space="preserve"> s</w:t>
      </w:r>
      <w:r w:rsidRPr="00936605">
        <w:rPr>
          <w:rFonts w:ascii="Century Gothic" w:hAnsi="Century Gothic"/>
          <w:sz w:val="20"/>
          <w:szCs w:val="20"/>
        </w:rPr>
        <w:t>ome NGRBs did not fully embrace the reform opportunity</w:t>
      </w:r>
      <w:r w:rsidR="00CA4247">
        <w:rPr>
          <w:rFonts w:ascii="Century Gothic" w:hAnsi="Century Gothic"/>
          <w:sz w:val="20"/>
          <w:szCs w:val="20"/>
        </w:rPr>
        <w:t xml:space="preserve"> and absorbed the funds into their base business</w:t>
      </w:r>
      <w:r w:rsidR="00EA77BD">
        <w:rPr>
          <w:rFonts w:ascii="Century Gothic" w:hAnsi="Century Gothic"/>
          <w:sz w:val="20"/>
          <w:szCs w:val="20"/>
        </w:rPr>
        <w:t>;</w:t>
      </w:r>
      <w:r w:rsidR="00CA4247">
        <w:rPr>
          <w:rFonts w:ascii="Century Gothic" w:hAnsi="Century Gothic"/>
          <w:sz w:val="20"/>
          <w:szCs w:val="20"/>
        </w:rPr>
        <w:t xml:space="preserve"> </w:t>
      </w:r>
      <w:r w:rsidR="00EA77BD">
        <w:rPr>
          <w:rFonts w:ascii="Century Gothic" w:hAnsi="Century Gothic"/>
          <w:sz w:val="20"/>
          <w:szCs w:val="20"/>
        </w:rPr>
        <w:t xml:space="preserve">the intersection with state and territory priorities was unclear; </w:t>
      </w:r>
      <w:r w:rsidRPr="00936605">
        <w:rPr>
          <w:rFonts w:ascii="Century Gothic" w:hAnsi="Century Gothic"/>
          <w:sz w:val="20"/>
          <w:szCs w:val="20"/>
        </w:rPr>
        <w:t xml:space="preserve">and most </w:t>
      </w:r>
      <w:r w:rsidR="00EA77BD">
        <w:rPr>
          <w:rFonts w:ascii="Century Gothic" w:hAnsi="Century Gothic"/>
          <w:sz w:val="20"/>
          <w:szCs w:val="20"/>
        </w:rPr>
        <w:t>did not</w:t>
      </w:r>
      <w:r w:rsidRPr="00936605">
        <w:rPr>
          <w:rFonts w:ascii="Century Gothic" w:hAnsi="Century Gothic"/>
          <w:sz w:val="20"/>
          <w:szCs w:val="20"/>
        </w:rPr>
        <w:t xml:space="preserve"> identify</w:t>
      </w:r>
      <w:r w:rsidR="00EA77BD">
        <w:rPr>
          <w:rFonts w:ascii="Century Gothic" w:hAnsi="Century Gothic"/>
          <w:sz w:val="20"/>
          <w:szCs w:val="20"/>
        </w:rPr>
        <w:t xml:space="preserve">, track and </w:t>
      </w:r>
      <w:r w:rsidRPr="00936605">
        <w:rPr>
          <w:rFonts w:ascii="Century Gothic" w:hAnsi="Century Gothic"/>
          <w:sz w:val="20"/>
          <w:szCs w:val="20"/>
        </w:rPr>
        <w:t>evaluate SFSF outcomes</w:t>
      </w:r>
      <w:r w:rsidR="00CA4247">
        <w:rPr>
          <w:rFonts w:ascii="Century Gothic" w:hAnsi="Century Gothic"/>
          <w:sz w:val="20"/>
          <w:szCs w:val="20"/>
        </w:rPr>
        <w:t xml:space="preserve">. </w:t>
      </w:r>
    </w:p>
    <w:p w14:paraId="30CA07AF" w14:textId="19398A6B" w:rsidR="00EA77BD" w:rsidRDefault="00EA77BD" w:rsidP="00EA77BD">
      <w:pPr>
        <w:spacing w:after="120" w:line="276" w:lineRule="auto"/>
        <w:ind w:right="-340"/>
        <w:jc w:val="both"/>
        <w:rPr>
          <w:rFonts w:ascii="Century Gothic" w:hAnsi="Century Gothic"/>
          <w:sz w:val="20"/>
          <w:szCs w:val="20"/>
        </w:rPr>
      </w:pPr>
      <w:r>
        <w:rPr>
          <w:rFonts w:ascii="Century Gothic" w:hAnsi="Century Gothic"/>
          <w:sz w:val="20"/>
          <w:szCs w:val="20"/>
        </w:rPr>
        <w:t>T</w:t>
      </w:r>
      <w:r w:rsidR="00CA4247">
        <w:rPr>
          <w:rFonts w:ascii="Century Gothic" w:hAnsi="Century Gothic"/>
          <w:sz w:val="20"/>
          <w:szCs w:val="20"/>
        </w:rPr>
        <w:t xml:space="preserve">he Government’s design of the program </w:t>
      </w:r>
      <w:r>
        <w:rPr>
          <w:rFonts w:ascii="Century Gothic" w:hAnsi="Century Gothic"/>
          <w:sz w:val="20"/>
          <w:szCs w:val="20"/>
        </w:rPr>
        <w:t>is a contributor to the mixed results. The wide scope of the five national re</w:t>
      </w:r>
      <w:r w:rsidR="00FF6931">
        <w:rPr>
          <w:rFonts w:ascii="Century Gothic" w:hAnsi="Century Gothic"/>
          <w:sz w:val="20"/>
          <w:szCs w:val="20"/>
        </w:rPr>
        <w:t xml:space="preserve">form </w:t>
      </w:r>
      <w:r>
        <w:rPr>
          <w:rFonts w:ascii="Century Gothic" w:hAnsi="Century Gothic"/>
          <w:sz w:val="20"/>
          <w:szCs w:val="20"/>
        </w:rPr>
        <w:t xml:space="preserve">priorities, the absence of a common outcomes framework and the ‘light touch’ accountability and reporting framework did not provide adequate strategic direction and </w:t>
      </w:r>
      <w:r w:rsidR="0044117E">
        <w:rPr>
          <w:rFonts w:ascii="Century Gothic" w:hAnsi="Century Gothic"/>
          <w:sz w:val="20"/>
          <w:szCs w:val="20"/>
        </w:rPr>
        <w:t xml:space="preserve">a structure through which </w:t>
      </w:r>
      <w:r>
        <w:rPr>
          <w:rFonts w:ascii="Century Gothic" w:hAnsi="Century Gothic"/>
          <w:sz w:val="20"/>
          <w:szCs w:val="20"/>
        </w:rPr>
        <w:t>NGRB</w:t>
      </w:r>
      <w:r w:rsidR="0044117E">
        <w:rPr>
          <w:rFonts w:ascii="Century Gothic" w:hAnsi="Century Gothic"/>
          <w:sz w:val="20"/>
          <w:szCs w:val="20"/>
        </w:rPr>
        <w:t xml:space="preserve"> achievements could be easily assessed</w:t>
      </w:r>
      <w:r w:rsidR="003014DA">
        <w:rPr>
          <w:rFonts w:ascii="Century Gothic" w:hAnsi="Century Gothic"/>
          <w:sz w:val="20"/>
          <w:szCs w:val="20"/>
        </w:rPr>
        <w:t xml:space="preserve">. </w:t>
      </w:r>
    </w:p>
    <w:p w14:paraId="489A8DEE" w14:textId="17F89CB9" w:rsidR="00936605" w:rsidRPr="00EA77BD" w:rsidRDefault="00CA4247" w:rsidP="00936605">
      <w:pPr>
        <w:spacing w:after="120" w:line="276" w:lineRule="auto"/>
        <w:ind w:right="-340"/>
        <w:jc w:val="both"/>
        <w:rPr>
          <w:rFonts w:ascii="Century Gothic" w:hAnsi="Century Gothic"/>
          <w:sz w:val="20"/>
          <w:szCs w:val="20"/>
        </w:rPr>
      </w:pPr>
      <w:r>
        <w:rPr>
          <w:rFonts w:ascii="Century Gothic" w:hAnsi="Century Gothic"/>
          <w:sz w:val="20"/>
          <w:szCs w:val="20"/>
        </w:rPr>
        <w:t>Looking at the value for money for the Australian government and future options</w:t>
      </w:r>
      <w:r w:rsidR="00EA77BD">
        <w:rPr>
          <w:rFonts w:ascii="Century Gothic" w:hAnsi="Century Gothic"/>
          <w:sz w:val="20"/>
          <w:szCs w:val="20"/>
        </w:rPr>
        <w:t xml:space="preserve"> for improving Australia’s performance in </w:t>
      </w:r>
      <w:r w:rsidR="0044117E">
        <w:rPr>
          <w:rFonts w:ascii="Century Gothic" w:hAnsi="Century Gothic"/>
          <w:sz w:val="20"/>
          <w:szCs w:val="20"/>
        </w:rPr>
        <w:t xml:space="preserve">non government </w:t>
      </w:r>
      <w:r w:rsidR="00EA77BD">
        <w:rPr>
          <w:rFonts w:ascii="Century Gothic" w:hAnsi="Century Gothic"/>
          <w:sz w:val="20"/>
          <w:szCs w:val="20"/>
        </w:rPr>
        <w:t>schools</w:t>
      </w:r>
      <w:r>
        <w:rPr>
          <w:rFonts w:ascii="Century Gothic" w:hAnsi="Century Gothic"/>
          <w:sz w:val="20"/>
          <w:szCs w:val="20"/>
        </w:rPr>
        <w:t xml:space="preserve">, </w:t>
      </w:r>
      <w:r w:rsidR="00936605" w:rsidRPr="00936605">
        <w:rPr>
          <w:rFonts w:ascii="Century Gothic" w:hAnsi="Century Gothic"/>
          <w:sz w:val="20"/>
          <w:szCs w:val="20"/>
        </w:rPr>
        <w:t xml:space="preserve">there are some </w:t>
      </w:r>
      <w:r w:rsidR="00FF6931">
        <w:rPr>
          <w:rFonts w:ascii="Century Gothic" w:hAnsi="Century Gothic"/>
          <w:sz w:val="20"/>
          <w:szCs w:val="20"/>
        </w:rPr>
        <w:t xml:space="preserve">deep seated </w:t>
      </w:r>
      <w:r w:rsidR="00936605" w:rsidRPr="00936605">
        <w:rPr>
          <w:rFonts w:ascii="Century Gothic" w:hAnsi="Century Gothic"/>
          <w:sz w:val="20"/>
          <w:szCs w:val="20"/>
        </w:rPr>
        <w:t xml:space="preserve">challenges to </w:t>
      </w:r>
      <w:r w:rsidR="00EA77BD">
        <w:rPr>
          <w:rFonts w:ascii="Century Gothic" w:hAnsi="Century Gothic"/>
          <w:sz w:val="20"/>
          <w:szCs w:val="20"/>
        </w:rPr>
        <w:t>overcome so as to achieve</w:t>
      </w:r>
      <w:r w:rsidR="00936605" w:rsidRPr="00936605">
        <w:rPr>
          <w:rFonts w:ascii="Century Gothic" w:hAnsi="Century Gothic"/>
          <w:sz w:val="20"/>
          <w:szCs w:val="20"/>
        </w:rPr>
        <w:t xml:space="preserve"> ‘system’</w:t>
      </w:r>
      <w:r w:rsidR="00936605" w:rsidRPr="00936605">
        <w:rPr>
          <w:rStyle w:val="FootnoteReference"/>
          <w:rFonts w:ascii="Century Gothic" w:hAnsi="Century Gothic"/>
          <w:sz w:val="20"/>
          <w:szCs w:val="20"/>
        </w:rPr>
        <w:footnoteReference w:id="1"/>
      </w:r>
      <w:r w:rsidR="00936605" w:rsidRPr="00936605">
        <w:rPr>
          <w:rFonts w:ascii="Century Gothic" w:hAnsi="Century Gothic"/>
          <w:sz w:val="20"/>
          <w:szCs w:val="20"/>
        </w:rPr>
        <w:t xml:space="preserve"> best practices, particularly program coherence and economies of scale in achieving national priorities.</w:t>
      </w:r>
    </w:p>
    <w:p w14:paraId="6C43BF52" w14:textId="77777777" w:rsidR="00936605" w:rsidRPr="00936605" w:rsidRDefault="00936605" w:rsidP="00A33D23">
      <w:pPr>
        <w:pStyle w:val="Heading3"/>
        <w:spacing w:after="120"/>
      </w:pPr>
      <w:bookmarkStart w:id="5" w:name="_Toc495587289"/>
      <w:r w:rsidRPr="00936605">
        <w:t>Benefits</w:t>
      </w:r>
      <w:bookmarkEnd w:id="5"/>
    </w:p>
    <w:p w14:paraId="7E0FA126" w14:textId="398D6B23"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Firstly, SFSF has been a significant stimulus for most NGRBs to implement an integrated set of school support strategies – many have established a systems approach to supporting schools through linkages and relationships among </w:t>
      </w:r>
      <w:r w:rsidR="00FF6931">
        <w:rPr>
          <w:rFonts w:ascii="Century Gothic" w:hAnsi="Century Gothic"/>
          <w:sz w:val="20"/>
          <w:szCs w:val="20"/>
        </w:rPr>
        <w:t xml:space="preserve">priorities and </w:t>
      </w:r>
      <w:r w:rsidRPr="00936605">
        <w:rPr>
          <w:rFonts w:ascii="Century Gothic" w:hAnsi="Century Gothic"/>
          <w:sz w:val="20"/>
          <w:szCs w:val="20"/>
        </w:rPr>
        <w:t xml:space="preserve">strategies and across schools. This has been a distinctive feature of </w:t>
      </w:r>
      <w:r w:rsidR="00CA4247">
        <w:rPr>
          <w:rFonts w:ascii="Century Gothic" w:hAnsi="Century Gothic"/>
          <w:sz w:val="20"/>
          <w:szCs w:val="20"/>
        </w:rPr>
        <w:t xml:space="preserve">some </w:t>
      </w:r>
      <w:r w:rsidRPr="00936605">
        <w:rPr>
          <w:rFonts w:ascii="Century Gothic" w:hAnsi="Century Gothic"/>
          <w:sz w:val="20"/>
          <w:szCs w:val="20"/>
        </w:rPr>
        <w:t>smaller NGRBs but is also evide</w:t>
      </w:r>
      <w:r w:rsidR="00EA77BD">
        <w:rPr>
          <w:rFonts w:ascii="Century Gothic" w:hAnsi="Century Gothic"/>
          <w:sz w:val="20"/>
          <w:szCs w:val="20"/>
        </w:rPr>
        <w:t xml:space="preserve">nt in some larger organisations. </w:t>
      </w:r>
      <w:r w:rsidRPr="00936605">
        <w:rPr>
          <w:rFonts w:ascii="Century Gothic" w:hAnsi="Century Gothic"/>
          <w:sz w:val="20"/>
          <w:szCs w:val="20"/>
        </w:rPr>
        <w:t xml:space="preserve">They have established new structures, boosted their expertise and have an explicit school improvement ‘theory of action’. These changes should be sustainable. </w:t>
      </w:r>
    </w:p>
    <w:p w14:paraId="38A63274" w14:textId="0844957C"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Secondly SFSF has </w:t>
      </w:r>
      <w:r w:rsidR="00CC7398">
        <w:rPr>
          <w:rFonts w:ascii="Century Gothic" w:hAnsi="Century Gothic"/>
          <w:sz w:val="20"/>
          <w:szCs w:val="20"/>
        </w:rPr>
        <w:t xml:space="preserve">mainly </w:t>
      </w:r>
      <w:r w:rsidRPr="00936605">
        <w:rPr>
          <w:rFonts w:ascii="Century Gothic" w:hAnsi="Century Gothic"/>
          <w:sz w:val="20"/>
          <w:szCs w:val="20"/>
        </w:rPr>
        <w:t xml:space="preserve">advanced implementation of </w:t>
      </w:r>
      <w:r w:rsidR="00EA77BD">
        <w:rPr>
          <w:rFonts w:ascii="Century Gothic" w:hAnsi="Century Gothic"/>
          <w:sz w:val="20"/>
          <w:szCs w:val="20"/>
        </w:rPr>
        <w:t xml:space="preserve">two of the </w:t>
      </w:r>
      <w:r w:rsidR="00CC7398">
        <w:rPr>
          <w:rFonts w:ascii="Century Gothic" w:hAnsi="Century Gothic"/>
          <w:sz w:val="20"/>
          <w:szCs w:val="20"/>
        </w:rPr>
        <w:t xml:space="preserve">five </w:t>
      </w:r>
      <w:r w:rsidR="00FF6931">
        <w:rPr>
          <w:rFonts w:ascii="Century Gothic" w:hAnsi="Century Gothic"/>
          <w:sz w:val="20"/>
          <w:szCs w:val="20"/>
        </w:rPr>
        <w:t>national reform priorities –</w:t>
      </w:r>
      <w:r w:rsidRPr="00936605">
        <w:rPr>
          <w:rFonts w:ascii="Century Gothic" w:hAnsi="Century Gothic"/>
          <w:sz w:val="20"/>
          <w:szCs w:val="20"/>
        </w:rPr>
        <w:t xml:space="preserve"> quality teaching and quality learning. These </w:t>
      </w:r>
      <w:r w:rsidR="00CA4247">
        <w:rPr>
          <w:rFonts w:ascii="Century Gothic" w:hAnsi="Century Gothic"/>
          <w:sz w:val="20"/>
          <w:szCs w:val="20"/>
        </w:rPr>
        <w:t xml:space="preserve">two </w:t>
      </w:r>
      <w:r w:rsidRPr="00936605">
        <w:rPr>
          <w:rFonts w:ascii="Century Gothic" w:hAnsi="Century Gothic"/>
          <w:sz w:val="20"/>
          <w:szCs w:val="20"/>
        </w:rPr>
        <w:t>priorities received the highest proportion of resources and activities were driven by the need to implement professional standards for teachers and the Australian Curriculum</w:t>
      </w:r>
      <w:r w:rsidR="00FF6931">
        <w:rPr>
          <w:rFonts w:ascii="Century Gothic" w:hAnsi="Century Gothic"/>
          <w:sz w:val="20"/>
          <w:szCs w:val="20"/>
        </w:rPr>
        <w:t>.</w:t>
      </w:r>
      <w:r w:rsidR="00EA77BD">
        <w:rPr>
          <w:rFonts w:ascii="Century Gothic" w:hAnsi="Century Gothic"/>
          <w:sz w:val="20"/>
          <w:szCs w:val="20"/>
        </w:rPr>
        <w:t xml:space="preserve"> </w:t>
      </w:r>
      <w:r w:rsidR="00FF6931">
        <w:rPr>
          <w:rFonts w:ascii="Century Gothic" w:hAnsi="Century Gothic"/>
          <w:sz w:val="20"/>
          <w:szCs w:val="20"/>
        </w:rPr>
        <w:t xml:space="preserve">These priorities </w:t>
      </w:r>
      <w:r w:rsidR="002246B5">
        <w:rPr>
          <w:rFonts w:ascii="Century Gothic" w:hAnsi="Century Gothic"/>
          <w:sz w:val="20"/>
          <w:szCs w:val="20"/>
        </w:rPr>
        <w:t xml:space="preserve">are well-known and </w:t>
      </w:r>
      <w:r w:rsidR="00FF6931">
        <w:rPr>
          <w:rFonts w:ascii="Century Gothic" w:hAnsi="Century Gothic"/>
          <w:sz w:val="20"/>
          <w:szCs w:val="20"/>
        </w:rPr>
        <w:t xml:space="preserve">have a </w:t>
      </w:r>
      <w:r w:rsidR="00EA77BD">
        <w:rPr>
          <w:rFonts w:ascii="Century Gothic" w:hAnsi="Century Gothic"/>
          <w:sz w:val="20"/>
          <w:szCs w:val="20"/>
        </w:rPr>
        <w:t xml:space="preserve">wide reach into </w:t>
      </w:r>
      <w:r w:rsidR="00FF6931">
        <w:rPr>
          <w:rFonts w:ascii="Century Gothic" w:hAnsi="Century Gothic"/>
          <w:sz w:val="20"/>
          <w:szCs w:val="20"/>
        </w:rPr>
        <w:t xml:space="preserve">all </w:t>
      </w:r>
      <w:r w:rsidR="00EA77BD">
        <w:rPr>
          <w:rFonts w:ascii="Century Gothic" w:hAnsi="Century Gothic"/>
          <w:sz w:val="20"/>
          <w:szCs w:val="20"/>
        </w:rPr>
        <w:t xml:space="preserve">schools. </w:t>
      </w:r>
      <w:r w:rsidRPr="00936605">
        <w:rPr>
          <w:rFonts w:ascii="Century Gothic" w:hAnsi="Century Gothic"/>
          <w:sz w:val="20"/>
          <w:szCs w:val="20"/>
        </w:rPr>
        <w:t xml:space="preserve"> </w:t>
      </w:r>
    </w:p>
    <w:p w14:paraId="5AEA6B86" w14:textId="4DBA8DEA"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The </w:t>
      </w:r>
      <w:r w:rsidR="002246B5">
        <w:rPr>
          <w:rFonts w:ascii="Century Gothic" w:hAnsi="Century Gothic"/>
          <w:sz w:val="20"/>
          <w:szCs w:val="20"/>
        </w:rPr>
        <w:t xml:space="preserve">national </w:t>
      </w:r>
      <w:r w:rsidRPr="00936605">
        <w:rPr>
          <w:rFonts w:ascii="Century Gothic" w:hAnsi="Century Gothic"/>
          <w:sz w:val="20"/>
          <w:szCs w:val="20"/>
        </w:rPr>
        <w:t xml:space="preserve">priorities have been advanced primarily through extensive professional learning opportunities; consultancy advice direct to schools; and coaching and mentoring services for schools.  These more school-centred developmental strategies are strongly endorsed by principals and in general are seen as an improvement on past practices.  </w:t>
      </w:r>
      <w:r w:rsidR="00CD02E8">
        <w:rPr>
          <w:rFonts w:ascii="Century Gothic" w:hAnsi="Century Gothic"/>
          <w:sz w:val="20"/>
          <w:szCs w:val="20"/>
        </w:rPr>
        <w:t xml:space="preserve">There are some impressive initiatives </w:t>
      </w:r>
      <w:r w:rsidR="002246B5">
        <w:rPr>
          <w:rFonts w:ascii="Century Gothic" w:hAnsi="Century Gothic"/>
          <w:sz w:val="20"/>
          <w:szCs w:val="20"/>
        </w:rPr>
        <w:t xml:space="preserve">that should be </w:t>
      </w:r>
      <w:r w:rsidR="00CD02E8">
        <w:rPr>
          <w:rFonts w:ascii="Century Gothic" w:hAnsi="Century Gothic"/>
          <w:sz w:val="20"/>
          <w:szCs w:val="20"/>
        </w:rPr>
        <w:t>more widely shared</w:t>
      </w:r>
      <w:r w:rsidR="002246B5">
        <w:rPr>
          <w:rFonts w:ascii="Century Gothic" w:hAnsi="Century Gothic"/>
          <w:sz w:val="20"/>
          <w:szCs w:val="20"/>
        </w:rPr>
        <w:t xml:space="preserve"> among NGRBs</w:t>
      </w:r>
      <w:r w:rsidR="00CD02E8">
        <w:rPr>
          <w:rFonts w:ascii="Century Gothic" w:hAnsi="Century Gothic"/>
          <w:sz w:val="20"/>
          <w:szCs w:val="20"/>
        </w:rPr>
        <w:t xml:space="preserve">. </w:t>
      </w:r>
    </w:p>
    <w:p w14:paraId="6E2BD648" w14:textId="7777777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Overall, in many NGRBs there is commitment to further development of their school improvement support activities along the lines established to date.  </w:t>
      </w:r>
    </w:p>
    <w:p w14:paraId="22C889DC" w14:textId="77777777" w:rsidR="00936605" w:rsidRPr="00936605" w:rsidRDefault="00936605" w:rsidP="00A33D23">
      <w:pPr>
        <w:pStyle w:val="Heading3"/>
        <w:spacing w:after="120"/>
      </w:pPr>
      <w:bookmarkStart w:id="6" w:name="_Toc495587290"/>
      <w:r w:rsidRPr="00936605">
        <w:t>Shortfalls and challenges</w:t>
      </w:r>
      <w:bookmarkEnd w:id="6"/>
      <w:r w:rsidRPr="00936605">
        <w:t xml:space="preserve"> </w:t>
      </w:r>
    </w:p>
    <w:p w14:paraId="025D8096" w14:textId="3D41ED71" w:rsidR="00936605" w:rsidRPr="00936605" w:rsidRDefault="003A73BA" w:rsidP="00936605">
      <w:pPr>
        <w:spacing w:after="120" w:line="276" w:lineRule="auto"/>
        <w:ind w:right="-340"/>
        <w:jc w:val="both"/>
        <w:rPr>
          <w:rFonts w:ascii="Century Gothic" w:hAnsi="Century Gothic"/>
          <w:b/>
          <w:sz w:val="20"/>
          <w:szCs w:val="20"/>
        </w:rPr>
      </w:pPr>
      <w:r>
        <w:rPr>
          <w:rFonts w:ascii="Century Gothic" w:hAnsi="Century Gothic"/>
          <w:sz w:val="20"/>
          <w:szCs w:val="20"/>
        </w:rPr>
        <w:t>T</w:t>
      </w:r>
      <w:r w:rsidR="00936605" w:rsidRPr="00936605">
        <w:rPr>
          <w:rFonts w:ascii="Century Gothic" w:hAnsi="Century Gothic"/>
          <w:sz w:val="20"/>
          <w:szCs w:val="20"/>
        </w:rPr>
        <w:t>hese SFSF strategies and impacts are not universal</w:t>
      </w:r>
      <w:r w:rsidR="00EA77BD">
        <w:rPr>
          <w:rFonts w:ascii="Century Gothic" w:hAnsi="Century Gothic"/>
          <w:sz w:val="20"/>
          <w:szCs w:val="20"/>
        </w:rPr>
        <w:t xml:space="preserve"> and the overall impact of the SFSF is uneven. </w:t>
      </w:r>
      <w:r w:rsidR="00936605" w:rsidRPr="00936605">
        <w:rPr>
          <w:rFonts w:ascii="Century Gothic" w:hAnsi="Century Gothic"/>
          <w:sz w:val="20"/>
          <w:szCs w:val="20"/>
        </w:rPr>
        <w:t>Complex gover</w:t>
      </w:r>
      <w:r>
        <w:rPr>
          <w:rFonts w:ascii="Century Gothic" w:hAnsi="Century Gothic"/>
          <w:sz w:val="20"/>
          <w:szCs w:val="20"/>
        </w:rPr>
        <w:t>nance in the Catholic sector;</w:t>
      </w:r>
      <w:r w:rsidR="00936605" w:rsidRPr="00936605">
        <w:rPr>
          <w:rFonts w:ascii="Century Gothic" w:hAnsi="Century Gothic"/>
          <w:sz w:val="20"/>
          <w:szCs w:val="20"/>
        </w:rPr>
        <w:t xml:space="preserve"> competing or blurred prior</w:t>
      </w:r>
      <w:r>
        <w:rPr>
          <w:rFonts w:ascii="Century Gothic" w:hAnsi="Century Gothic"/>
          <w:sz w:val="20"/>
          <w:szCs w:val="20"/>
        </w:rPr>
        <w:t>ities at a jurisdictional level; differences in</w:t>
      </w:r>
      <w:r w:rsidR="00936605" w:rsidRPr="00936605">
        <w:rPr>
          <w:rFonts w:ascii="Century Gothic" w:hAnsi="Century Gothic"/>
          <w:sz w:val="20"/>
          <w:szCs w:val="20"/>
        </w:rPr>
        <w:t xml:space="preserve"> </w:t>
      </w:r>
      <w:r>
        <w:rPr>
          <w:rFonts w:ascii="Century Gothic" w:hAnsi="Century Gothic"/>
          <w:sz w:val="20"/>
          <w:szCs w:val="20"/>
        </w:rPr>
        <w:t xml:space="preserve">theories of school improvement; </w:t>
      </w:r>
      <w:r w:rsidR="00936605" w:rsidRPr="00936605">
        <w:rPr>
          <w:rFonts w:ascii="Century Gothic" w:hAnsi="Century Gothic"/>
          <w:sz w:val="20"/>
          <w:szCs w:val="20"/>
        </w:rPr>
        <w:t xml:space="preserve">and </w:t>
      </w:r>
      <w:r>
        <w:rPr>
          <w:rFonts w:ascii="Century Gothic" w:hAnsi="Century Gothic"/>
          <w:sz w:val="20"/>
          <w:szCs w:val="20"/>
        </w:rPr>
        <w:t xml:space="preserve">varied </w:t>
      </w:r>
      <w:r w:rsidR="00767CA5">
        <w:rPr>
          <w:rFonts w:ascii="Century Gothic" w:hAnsi="Century Gothic"/>
          <w:sz w:val="20"/>
          <w:szCs w:val="20"/>
        </w:rPr>
        <w:t>relationships between</w:t>
      </w:r>
      <w:r w:rsidR="00936605" w:rsidRPr="00936605">
        <w:rPr>
          <w:rFonts w:ascii="Century Gothic" w:hAnsi="Century Gothic"/>
          <w:sz w:val="20"/>
          <w:szCs w:val="20"/>
        </w:rPr>
        <w:t xml:space="preserve"> NGRBs </w:t>
      </w:r>
      <w:r w:rsidR="00767CA5">
        <w:rPr>
          <w:rFonts w:ascii="Century Gothic" w:hAnsi="Century Gothic"/>
          <w:sz w:val="20"/>
          <w:szCs w:val="20"/>
        </w:rPr>
        <w:t xml:space="preserve">and </w:t>
      </w:r>
      <w:r w:rsidR="00936605" w:rsidRPr="00936605">
        <w:rPr>
          <w:rFonts w:ascii="Century Gothic" w:hAnsi="Century Gothic"/>
          <w:sz w:val="20"/>
          <w:szCs w:val="20"/>
        </w:rPr>
        <w:t xml:space="preserve">autonomous schools all contribute to </w:t>
      </w:r>
      <w:r w:rsidR="00767CA5">
        <w:rPr>
          <w:rFonts w:ascii="Century Gothic" w:hAnsi="Century Gothic"/>
          <w:sz w:val="20"/>
          <w:szCs w:val="20"/>
        </w:rPr>
        <w:t xml:space="preserve">a wide </w:t>
      </w:r>
      <w:r>
        <w:rPr>
          <w:rFonts w:ascii="Century Gothic" w:hAnsi="Century Gothic"/>
          <w:sz w:val="20"/>
          <w:szCs w:val="20"/>
        </w:rPr>
        <w:t>diversity</w:t>
      </w:r>
      <w:r w:rsidR="00767CA5">
        <w:rPr>
          <w:rFonts w:ascii="Century Gothic" w:hAnsi="Century Gothic"/>
          <w:sz w:val="20"/>
          <w:szCs w:val="20"/>
        </w:rPr>
        <w:t xml:space="preserve"> of</w:t>
      </w:r>
      <w:r w:rsidR="00936605" w:rsidRPr="00936605">
        <w:rPr>
          <w:rFonts w:ascii="Century Gothic" w:hAnsi="Century Gothic"/>
          <w:sz w:val="20"/>
          <w:szCs w:val="20"/>
        </w:rPr>
        <w:t xml:space="preserve"> objectives, </w:t>
      </w:r>
      <w:r w:rsidR="00936605" w:rsidRPr="00936605">
        <w:rPr>
          <w:rFonts w:ascii="Century Gothic" w:hAnsi="Century Gothic"/>
          <w:sz w:val="20"/>
          <w:szCs w:val="20"/>
        </w:rPr>
        <w:lastRenderedPageBreak/>
        <w:t>program design and delivery</w:t>
      </w:r>
      <w:r>
        <w:rPr>
          <w:rFonts w:ascii="Century Gothic" w:hAnsi="Century Gothic"/>
          <w:sz w:val="20"/>
          <w:szCs w:val="20"/>
        </w:rPr>
        <w:t xml:space="preserve">. </w:t>
      </w:r>
      <w:r w:rsidR="00936605" w:rsidRPr="00936605">
        <w:rPr>
          <w:rFonts w:ascii="Century Gothic" w:hAnsi="Century Gothic"/>
          <w:sz w:val="20"/>
          <w:szCs w:val="20"/>
        </w:rPr>
        <w:t xml:space="preserve"> </w:t>
      </w:r>
      <w:r>
        <w:rPr>
          <w:rFonts w:ascii="Century Gothic" w:hAnsi="Century Gothic"/>
          <w:sz w:val="20"/>
          <w:szCs w:val="20"/>
        </w:rPr>
        <w:t xml:space="preserve">Arguably, this has </w:t>
      </w:r>
      <w:r w:rsidR="00767CA5">
        <w:rPr>
          <w:rFonts w:ascii="Century Gothic" w:hAnsi="Century Gothic"/>
          <w:sz w:val="20"/>
          <w:szCs w:val="20"/>
        </w:rPr>
        <w:t>had a negative</w:t>
      </w:r>
      <w:r>
        <w:rPr>
          <w:rFonts w:ascii="Century Gothic" w:hAnsi="Century Gothic"/>
          <w:sz w:val="20"/>
          <w:szCs w:val="20"/>
        </w:rPr>
        <w:t xml:space="preserve"> impact on </w:t>
      </w:r>
      <w:r w:rsidR="00936605" w:rsidRPr="00936605">
        <w:rPr>
          <w:rFonts w:ascii="Century Gothic" w:hAnsi="Century Gothic"/>
          <w:sz w:val="20"/>
          <w:szCs w:val="20"/>
        </w:rPr>
        <w:t xml:space="preserve">the quality of </w:t>
      </w:r>
      <w:r>
        <w:rPr>
          <w:rFonts w:ascii="Century Gothic" w:hAnsi="Century Gothic"/>
          <w:sz w:val="20"/>
          <w:szCs w:val="20"/>
        </w:rPr>
        <w:t xml:space="preserve">national </w:t>
      </w:r>
      <w:r w:rsidR="00936605" w:rsidRPr="00936605">
        <w:rPr>
          <w:rFonts w:ascii="Century Gothic" w:hAnsi="Century Gothic"/>
          <w:sz w:val="20"/>
          <w:szCs w:val="20"/>
        </w:rPr>
        <w:t>outcomes from SFSF resources.</w:t>
      </w:r>
    </w:p>
    <w:p w14:paraId="7D71D1A6" w14:textId="304DDC33" w:rsidR="009D6133" w:rsidRDefault="002246B5" w:rsidP="00936605">
      <w:pPr>
        <w:spacing w:after="120" w:line="276" w:lineRule="auto"/>
        <w:ind w:right="-340"/>
        <w:jc w:val="both"/>
        <w:rPr>
          <w:rFonts w:ascii="Century Gothic" w:hAnsi="Century Gothic"/>
          <w:sz w:val="20"/>
          <w:szCs w:val="20"/>
        </w:rPr>
      </w:pPr>
      <w:r>
        <w:rPr>
          <w:rFonts w:ascii="Century Gothic" w:hAnsi="Century Gothic"/>
          <w:sz w:val="20"/>
          <w:szCs w:val="20"/>
        </w:rPr>
        <w:t xml:space="preserve">The Government’s design of SFSF is a further </w:t>
      </w:r>
      <w:r w:rsidR="009D6133">
        <w:rPr>
          <w:rFonts w:ascii="Century Gothic" w:hAnsi="Century Gothic"/>
          <w:sz w:val="20"/>
          <w:szCs w:val="20"/>
        </w:rPr>
        <w:t>contributor to the mixed results</w:t>
      </w:r>
      <w:r>
        <w:rPr>
          <w:rFonts w:ascii="Century Gothic" w:hAnsi="Century Gothic"/>
          <w:sz w:val="20"/>
          <w:szCs w:val="20"/>
        </w:rPr>
        <w:t>.</w:t>
      </w:r>
      <w:r w:rsidR="009D6133">
        <w:rPr>
          <w:rFonts w:ascii="Century Gothic" w:hAnsi="Century Gothic"/>
          <w:sz w:val="20"/>
          <w:szCs w:val="20"/>
        </w:rPr>
        <w:t xml:space="preserve"> </w:t>
      </w:r>
      <w:r>
        <w:rPr>
          <w:rFonts w:ascii="Century Gothic" w:hAnsi="Century Gothic"/>
          <w:sz w:val="20"/>
          <w:szCs w:val="20"/>
        </w:rPr>
        <w:t>The f</w:t>
      </w:r>
      <w:r w:rsidR="009D6133">
        <w:rPr>
          <w:rFonts w:ascii="Century Gothic" w:hAnsi="Century Gothic"/>
          <w:sz w:val="20"/>
          <w:szCs w:val="20"/>
        </w:rPr>
        <w:t xml:space="preserve">ive </w:t>
      </w:r>
      <w:r>
        <w:rPr>
          <w:rFonts w:ascii="Century Gothic" w:hAnsi="Century Gothic"/>
          <w:sz w:val="20"/>
          <w:szCs w:val="20"/>
        </w:rPr>
        <w:t xml:space="preserve">national </w:t>
      </w:r>
      <w:r w:rsidR="009D6133">
        <w:rPr>
          <w:rFonts w:ascii="Century Gothic" w:hAnsi="Century Gothic"/>
          <w:sz w:val="20"/>
          <w:szCs w:val="20"/>
        </w:rPr>
        <w:t xml:space="preserve">priorities </w:t>
      </w:r>
      <w:r w:rsidR="00CD02E8">
        <w:rPr>
          <w:rFonts w:ascii="Century Gothic" w:hAnsi="Century Gothic"/>
          <w:sz w:val="20"/>
          <w:szCs w:val="20"/>
        </w:rPr>
        <w:t xml:space="preserve">were comprised of </w:t>
      </w:r>
      <w:r>
        <w:rPr>
          <w:rFonts w:ascii="Century Gothic" w:hAnsi="Century Gothic"/>
          <w:sz w:val="20"/>
          <w:szCs w:val="20"/>
        </w:rPr>
        <w:t xml:space="preserve">an estimated </w:t>
      </w:r>
      <w:r w:rsidR="009D6133">
        <w:rPr>
          <w:rFonts w:ascii="Century Gothic" w:hAnsi="Century Gothic"/>
          <w:sz w:val="20"/>
          <w:szCs w:val="20"/>
        </w:rPr>
        <w:t xml:space="preserve">21 individual priorities to be addressed over four years; </w:t>
      </w:r>
      <w:r>
        <w:rPr>
          <w:rFonts w:ascii="Century Gothic" w:hAnsi="Century Gothic"/>
          <w:sz w:val="20"/>
          <w:szCs w:val="20"/>
        </w:rPr>
        <w:t xml:space="preserve">an SFSF </w:t>
      </w:r>
      <w:r w:rsidR="009D6133">
        <w:rPr>
          <w:rFonts w:ascii="Century Gothic" w:hAnsi="Century Gothic"/>
          <w:sz w:val="20"/>
          <w:szCs w:val="20"/>
        </w:rPr>
        <w:t>outcomes framework was not developed</w:t>
      </w:r>
      <w:r>
        <w:rPr>
          <w:rFonts w:ascii="Century Gothic" w:hAnsi="Century Gothic"/>
          <w:sz w:val="20"/>
          <w:szCs w:val="20"/>
        </w:rPr>
        <w:t xml:space="preserve"> </w:t>
      </w:r>
      <w:r w:rsidR="009D6133">
        <w:rPr>
          <w:rFonts w:ascii="Century Gothic" w:hAnsi="Century Gothic"/>
          <w:sz w:val="20"/>
          <w:szCs w:val="20"/>
        </w:rPr>
        <w:t xml:space="preserve">nor a </w:t>
      </w:r>
      <w:r>
        <w:rPr>
          <w:rFonts w:ascii="Century Gothic" w:hAnsi="Century Gothic"/>
          <w:sz w:val="20"/>
          <w:szCs w:val="20"/>
        </w:rPr>
        <w:t xml:space="preserve">sufficiently </w:t>
      </w:r>
      <w:r w:rsidR="009D6133">
        <w:rPr>
          <w:rFonts w:ascii="Century Gothic" w:hAnsi="Century Gothic"/>
          <w:sz w:val="20"/>
          <w:szCs w:val="20"/>
        </w:rPr>
        <w:t>detailed monitoring</w:t>
      </w:r>
      <w:r>
        <w:rPr>
          <w:rFonts w:ascii="Century Gothic" w:hAnsi="Century Gothic"/>
          <w:sz w:val="20"/>
          <w:szCs w:val="20"/>
        </w:rPr>
        <w:t xml:space="preserve"> or reporting process; and the congruence </w:t>
      </w:r>
      <w:r w:rsidR="009D6133">
        <w:rPr>
          <w:rFonts w:ascii="Century Gothic" w:hAnsi="Century Gothic"/>
          <w:sz w:val="20"/>
          <w:szCs w:val="20"/>
        </w:rPr>
        <w:t>or differences between state and territory priorities and national priori</w:t>
      </w:r>
      <w:r w:rsidR="006910D0">
        <w:rPr>
          <w:rFonts w:ascii="Century Gothic" w:hAnsi="Century Gothic"/>
          <w:sz w:val="20"/>
          <w:szCs w:val="20"/>
        </w:rPr>
        <w:t>ties were not addressed.</w:t>
      </w:r>
    </w:p>
    <w:p w14:paraId="581AAECA" w14:textId="2E228569"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In a number of cases SFSF resources are productively leveraged by funds from other sources and the allocations and accountabil</w:t>
      </w:r>
      <w:r w:rsidR="009D6133">
        <w:rPr>
          <w:rFonts w:ascii="Century Gothic" w:hAnsi="Century Gothic"/>
          <w:sz w:val="20"/>
          <w:szCs w:val="20"/>
        </w:rPr>
        <w:t xml:space="preserve">ities are transparent. However, </w:t>
      </w:r>
      <w:r w:rsidRPr="00936605">
        <w:rPr>
          <w:rFonts w:ascii="Century Gothic" w:hAnsi="Century Gothic"/>
          <w:sz w:val="20"/>
          <w:szCs w:val="20"/>
        </w:rPr>
        <w:t>the financial allocations by some NGRBs are more opaque and SFSF funds have been absorbed into existing initiatives rather than allocated in the spirit of co-investment.</w:t>
      </w:r>
    </w:p>
    <w:p w14:paraId="12B07359" w14:textId="2F8DD00B"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Some NGRBs have used SFSF to add an additional layer of support services; to service committees where this might be regarded as part of the base business; or have used the additional resources to fill a gap in their provision of services. While these may be appropriate uses of SFSF funds, it is hard to assess the rationale and value without further substantive details.</w:t>
      </w:r>
    </w:p>
    <w:p w14:paraId="1645E065" w14:textId="266D8849"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A shortfall for all NGRBs is being able to account for outcomes that matter relative to their context. Their work plans mostly contain ambitious success indicators in terms of meeting government objectives and boosting student outcomes. However, the majority of annual reports do not carry through and report on these indicators – either because they are the wrong indicators or too hard to report on or not relevant at the level of individual initiatives.</w:t>
      </w:r>
    </w:p>
    <w:p w14:paraId="11BE4BF9" w14:textId="24ABA63F"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Moreover, the majority of NGRBs are not formally evaluating their initiatives. Only a few NGRBs provide an account of a comprehensive evaluation strategy and how these have generated improvement in activities.</w:t>
      </w:r>
    </w:p>
    <w:p w14:paraId="4C755BA9" w14:textId="688B63A8" w:rsidR="00936605" w:rsidRPr="00936605" w:rsidRDefault="00936605" w:rsidP="00936605">
      <w:pPr>
        <w:spacing w:after="120" w:line="276" w:lineRule="auto"/>
        <w:ind w:right="-340"/>
        <w:jc w:val="both"/>
        <w:rPr>
          <w:rFonts w:ascii="Century Gothic" w:hAnsi="Century Gothic"/>
          <w:sz w:val="20"/>
          <w:szCs w:val="20"/>
        </w:rPr>
      </w:pPr>
      <w:r w:rsidRPr="00936605">
        <w:rPr>
          <w:rFonts w:ascii="Century Gothic" w:hAnsi="Century Gothic"/>
          <w:sz w:val="20"/>
          <w:szCs w:val="20"/>
        </w:rPr>
        <w:t>Past national programs incentivised collaboration at the jurisdictional or geographic level. They also provided greater visibility for federal priorities and initiatives. Currently, the pattern is mixed but overall, sector collaboration occurs sporadically rather than systematically. Some NGRBs are primarily guided by state government priorities and take part in state committees and the like but in general there are few opportunities for sectors sharing approaches to implementing the national priorities and compar</w:t>
      </w:r>
      <w:r w:rsidR="006910D0">
        <w:rPr>
          <w:rFonts w:ascii="Century Gothic" w:hAnsi="Century Gothic"/>
          <w:sz w:val="20"/>
          <w:szCs w:val="20"/>
        </w:rPr>
        <w:t>ing school improvement results.</w:t>
      </w:r>
    </w:p>
    <w:p w14:paraId="4D4A31D1" w14:textId="41F23275"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Most </w:t>
      </w:r>
      <w:r w:rsidR="002246B5">
        <w:rPr>
          <w:rFonts w:ascii="Century Gothic" w:hAnsi="Century Gothic"/>
          <w:sz w:val="20"/>
          <w:szCs w:val="20"/>
        </w:rPr>
        <w:t xml:space="preserve">NGRBs </w:t>
      </w:r>
      <w:r w:rsidRPr="00936605">
        <w:rPr>
          <w:rFonts w:ascii="Century Gothic" w:hAnsi="Century Gothic"/>
          <w:sz w:val="20"/>
          <w:szCs w:val="20"/>
        </w:rPr>
        <w:t xml:space="preserve">would welcome more cross sector engagement on priorities, implementation approaches and evaluation. There are promising models being developed for supporting school improvement and opportunities for consolidating a </w:t>
      </w:r>
      <w:r w:rsidR="002246B5">
        <w:rPr>
          <w:rFonts w:ascii="Century Gothic" w:hAnsi="Century Gothic"/>
          <w:sz w:val="20"/>
          <w:szCs w:val="20"/>
        </w:rPr>
        <w:t xml:space="preserve">shared </w:t>
      </w:r>
      <w:r w:rsidRPr="00936605">
        <w:rPr>
          <w:rFonts w:ascii="Century Gothic" w:hAnsi="Century Gothic"/>
          <w:sz w:val="20"/>
          <w:szCs w:val="20"/>
        </w:rPr>
        <w:t>strategic</w:t>
      </w:r>
      <w:r w:rsidR="002246B5">
        <w:rPr>
          <w:rFonts w:ascii="Century Gothic" w:hAnsi="Century Gothic"/>
          <w:sz w:val="20"/>
          <w:szCs w:val="20"/>
        </w:rPr>
        <w:t xml:space="preserve"> direction for longer term gain.</w:t>
      </w:r>
    </w:p>
    <w:p w14:paraId="096C70B2" w14:textId="77777777" w:rsidR="00EA6295" w:rsidRPr="005621A8" w:rsidRDefault="00EA6295" w:rsidP="00A33D23">
      <w:pPr>
        <w:pStyle w:val="Heading2"/>
        <w:rPr>
          <w:u w:val="single"/>
        </w:rPr>
      </w:pPr>
      <w:bookmarkStart w:id="7" w:name="_Toc495587291"/>
      <w:r w:rsidRPr="005621A8">
        <w:rPr>
          <w:rStyle w:val="IntenseReference"/>
          <w:b/>
          <w:bCs/>
          <w:smallCaps w:val="0"/>
          <w:color w:val="0070C0"/>
          <w:spacing w:val="0"/>
        </w:rPr>
        <w:t>Options for the future of SFSF</w:t>
      </w:r>
      <w:bookmarkEnd w:id="7"/>
    </w:p>
    <w:p w14:paraId="202C04C1" w14:textId="70AAC576" w:rsidR="00EA6295" w:rsidRDefault="00EA6295" w:rsidP="00EA6295">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Australian Government as the funder of the SFSF needs to carefully consider how best to target its resources so that it has confidence that the national priorities are being addressed and it</w:t>
      </w:r>
      <w:r w:rsidR="006910D0">
        <w:rPr>
          <w:rFonts w:ascii="Century Gothic" w:eastAsiaTheme="minorHAnsi" w:hAnsi="Century Gothic"/>
          <w:sz w:val="20"/>
          <w:szCs w:val="20"/>
          <w:lang w:val="en-AU"/>
        </w:rPr>
        <w:t xml:space="preserve"> is receiving value for money.</w:t>
      </w:r>
    </w:p>
    <w:p w14:paraId="32660D72" w14:textId="25DBD88E" w:rsidR="00936605" w:rsidRPr="00936605" w:rsidRDefault="00936605" w:rsidP="00A33D23">
      <w:pPr>
        <w:pStyle w:val="Heading3"/>
        <w:spacing w:after="120"/>
      </w:pPr>
      <w:bookmarkStart w:id="8" w:name="_Toc495587292"/>
      <w:r w:rsidRPr="00936605">
        <w:t xml:space="preserve">Lessons for </w:t>
      </w:r>
      <w:r w:rsidR="009D6133">
        <w:t xml:space="preserve">school support </w:t>
      </w:r>
      <w:r w:rsidR="00EA6295">
        <w:t>by ‘systems’</w:t>
      </w:r>
      <w:bookmarkEnd w:id="8"/>
      <w:r w:rsidR="00EA6295">
        <w:t xml:space="preserve"> </w:t>
      </w:r>
    </w:p>
    <w:p w14:paraId="101EA52F" w14:textId="6F9CDAE9"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t>All NGRBs are able to describe the initiatives that work best in their environment. There are four levers for ‘making a difference’ that NGRBs regard as the most success</w:t>
      </w:r>
      <w:r w:rsidR="00EA6295">
        <w:rPr>
          <w:rFonts w:ascii="Century Gothic" w:hAnsi="Century Gothic"/>
          <w:sz w:val="20"/>
          <w:szCs w:val="20"/>
        </w:rPr>
        <w:t xml:space="preserve">ful and should underpin </w:t>
      </w:r>
      <w:r w:rsidR="00904F18">
        <w:rPr>
          <w:rFonts w:ascii="Century Gothic" w:hAnsi="Century Gothic"/>
          <w:sz w:val="20"/>
          <w:szCs w:val="20"/>
        </w:rPr>
        <w:t xml:space="preserve">their </w:t>
      </w:r>
      <w:r w:rsidR="00EA6295">
        <w:rPr>
          <w:rFonts w:ascii="Century Gothic" w:hAnsi="Century Gothic"/>
          <w:sz w:val="20"/>
          <w:szCs w:val="20"/>
        </w:rPr>
        <w:t>approaches going forward</w:t>
      </w:r>
      <w:r w:rsidR="00904F18">
        <w:rPr>
          <w:rFonts w:ascii="Century Gothic" w:hAnsi="Century Gothic"/>
          <w:sz w:val="20"/>
          <w:szCs w:val="20"/>
        </w:rPr>
        <w:t>.</w:t>
      </w:r>
    </w:p>
    <w:p w14:paraId="566714AF" w14:textId="77777777" w:rsidR="009152BC" w:rsidRDefault="009152BC">
      <w:pPr>
        <w:rPr>
          <w:rFonts w:ascii="Century Gothic" w:hAnsi="Century Gothic"/>
          <w:sz w:val="20"/>
          <w:szCs w:val="20"/>
        </w:rPr>
      </w:pPr>
      <w:r>
        <w:rPr>
          <w:rFonts w:ascii="Century Gothic" w:hAnsi="Century Gothic"/>
          <w:sz w:val="20"/>
          <w:szCs w:val="20"/>
        </w:rPr>
        <w:br w:type="page"/>
      </w:r>
    </w:p>
    <w:p w14:paraId="02B3BC97" w14:textId="515C20E7" w:rsidR="00936605" w:rsidRPr="00936605" w:rsidRDefault="00936605" w:rsidP="00936605">
      <w:pPr>
        <w:spacing w:after="120" w:line="276" w:lineRule="auto"/>
        <w:ind w:right="-340"/>
        <w:jc w:val="both"/>
        <w:rPr>
          <w:rFonts w:ascii="Century Gothic" w:hAnsi="Century Gothic"/>
          <w:b/>
          <w:sz w:val="20"/>
          <w:szCs w:val="20"/>
        </w:rPr>
      </w:pPr>
      <w:r w:rsidRPr="00936605">
        <w:rPr>
          <w:rFonts w:ascii="Century Gothic" w:hAnsi="Century Gothic"/>
          <w:sz w:val="20"/>
          <w:szCs w:val="20"/>
        </w:rPr>
        <w:lastRenderedPageBreak/>
        <w:t>‘System’</w:t>
      </w:r>
      <w:r w:rsidR="006910D0">
        <w:rPr>
          <w:rFonts w:ascii="Century Gothic" w:hAnsi="Century Gothic"/>
          <w:sz w:val="20"/>
          <w:szCs w:val="20"/>
        </w:rPr>
        <w:t xml:space="preserve"> strategies that work include:</w:t>
      </w:r>
    </w:p>
    <w:p w14:paraId="4456AF64" w14:textId="2C209F11" w:rsidR="00936605" w:rsidRPr="00EA6295" w:rsidRDefault="00936605" w:rsidP="006A1D2B">
      <w:pPr>
        <w:pStyle w:val="ListParagraph"/>
        <w:numPr>
          <w:ilvl w:val="0"/>
          <w:numId w:val="26"/>
        </w:numPr>
        <w:spacing w:after="120" w:line="276" w:lineRule="auto"/>
        <w:ind w:right="-340"/>
        <w:jc w:val="both"/>
        <w:rPr>
          <w:rFonts w:ascii="Century Gothic" w:hAnsi="Century Gothic"/>
          <w:b/>
          <w:sz w:val="20"/>
          <w:szCs w:val="20"/>
        </w:rPr>
      </w:pPr>
      <w:r w:rsidRPr="00EA6295">
        <w:rPr>
          <w:rFonts w:ascii="Century Gothic" w:hAnsi="Century Gothic"/>
          <w:sz w:val="20"/>
          <w:szCs w:val="20"/>
        </w:rPr>
        <w:t>taking a developmental approach to standa</w:t>
      </w:r>
      <w:r w:rsidR="006910D0">
        <w:rPr>
          <w:rFonts w:ascii="Century Gothic" w:hAnsi="Century Gothic"/>
          <w:sz w:val="20"/>
          <w:szCs w:val="20"/>
        </w:rPr>
        <w:t>rds and government requirements</w:t>
      </w:r>
    </w:p>
    <w:p w14:paraId="4C93748F" w14:textId="17D199D7" w:rsidR="00936605" w:rsidRPr="00EA6295" w:rsidRDefault="00936605" w:rsidP="006A1D2B">
      <w:pPr>
        <w:pStyle w:val="ListParagraph"/>
        <w:numPr>
          <w:ilvl w:val="0"/>
          <w:numId w:val="26"/>
        </w:numPr>
        <w:spacing w:after="120" w:line="276" w:lineRule="auto"/>
        <w:ind w:right="-340"/>
        <w:jc w:val="both"/>
        <w:rPr>
          <w:rFonts w:ascii="Century Gothic" w:hAnsi="Century Gothic"/>
          <w:b/>
          <w:sz w:val="20"/>
          <w:szCs w:val="20"/>
        </w:rPr>
      </w:pPr>
      <w:r w:rsidRPr="00EA6295">
        <w:rPr>
          <w:rFonts w:ascii="Century Gothic" w:hAnsi="Century Gothic"/>
          <w:sz w:val="20"/>
          <w:szCs w:val="20"/>
        </w:rPr>
        <w:t xml:space="preserve">professional learning that </w:t>
      </w:r>
      <w:r w:rsidR="006910D0">
        <w:rPr>
          <w:rFonts w:ascii="Century Gothic" w:hAnsi="Century Gothic"/>
          <w:sz w:val="20"/>
          <w:szCs w:val="20"/>
        </w:rPr>
        <w:t>is anchored in the whole school</w:t>
      </w:r>
    </w:p>
    <w:p w14:paraId="4FEB6BA3" w14:textId="23D2EBD2" w:rsidR="00936605" w:rsidRPr="00EA6295" w:rsidRDefault="00936605" w:rsidP="006A1D2B">
      <w:pPr>
        <w:pStyle w:val="ListParagraph"/>
        <w:numPr>
          <w:ilvl w:val="0"/>
          <w:numId w:val="26"/>
        </w:numPr>
        <w:spacing w:after="120" w:line="276" w:lineRule="auto"/>
        <w:ind w:right="-340"/>
        <w:jc w:val="both"/>
        <w:rPr>
          <w:rFonts w:ascii="Century Gothic" w:hAnsi="Century Gothic"/>
          <w:b/>
          <w:sz w:val="20"/>
          <w:szCs w:val="20"/>
        </w:rPr>
      </w:pPr>
      <w:r w:rsidRPr="00EA6295">
        <w:rPr>
          <w:rFonts w:ascii="Century Gothic" w:hAnsi="Century Gothic"/>
          <w:sz w:val="20"/>
          <w:szCs w:val="20"/>
        </w:rPr>
        <w:t>in-school coaching</w:t>
      </w:r>
      <w:r w:rsidR="00EA6295">
        <w:rPr>
          <w:rFonts w:ascii="Century Gothic" w:hAnsi="Century Gothic"/>
          <w:sz w:val="20"/>
          <w:szCs w:val="20"/>
        </w:rPr>
        <w:t xml:space="preserve"> using high quality expertise</w:t>
      </w:r>
    </w:p>
    <w:p w14:paraId="32B04221" w14:textId="2219185F" w:rsidR="00EA6295" w:rsidRPr="00EA6295" w:rsidRDefault="00936605" w:rsidP="006A1D2B">
      <w:pPr>
        <w:pStyle w:val="ListParagraph"/>
        <w:numPr>
          <w:ilvl w:val="0"/>
          <w:numId w:val="26"/>
        </w:numPr>
        <w:spacing w:after="120" w:line="276" w:lineRule="auto"/>
        <w:ind w:right="-340"/>
        <w:jc w:val="both"/>
        <w:rPr>
          <w:rFonts w:ascii="Century Gothic" w:hAnsi="Century Gothic"/>
          <w:b/>
          <w:sz w:val="20"/>
          <w:szCs w:val="20"/>
        </w:rPr>
      </w:pPr>
      <w:r w:rsidRPr="00EA6295">
        <w:rPr>
          <w:rFonts w:ascii="Century Gothic" w:hAnsi="Century Gothic"/>
          <w:sz w:val="20"/>
          <w:szCs w:val="20"/>
        </w:rPr>
        <w:t>facilitating formation of self-managing</w:t>
      </w:r>
      <w:r w:rsidR="00EA6295">
        <w:rPr>
          <w:rFonts w:ascii="Century Gothic" w:hAnsi="Century Gothic"/>
          <w:sz w:val="20"/>
          <w:szCs w:val="20"/>
        </w:rPr>
        <w:t xml:space="preserve"> networks.</w:t>
      </w:r>
    </w:p>
    <w:p w14:paraId="65697CB1" w14:textId="2EE5AE14" w:rsidR="00936605" w:rsidRPr="00EA6295" w:rsidRDefault="00936605" w:rsidP="00EA6295">
      <w:pPr>
        <w:spacing w:after="120" w:line="276" w:lineRule="auto"/>
        <w:ind w:right="-340"/>
        <w:jc w:val="both"/>
        <w:rPr>
          <w:rFonts w:ascii="Century Gothic" w:hAnsi="Century Gothic"/>
          <w:b/>
          <w:sz w:val="20"/>
          <w:szCs w:val="20"/>
        </w:rPr>
      </w:pPr>
      <w:r w:rsidRPr="00EA6295">
        <w:rPr>
          <w:rFonts w:ascii="Century Gothic" w:hAnsi="Century Gothic"/>
          <w:sz w:val="20"/>
          <w:szCs w:val="20"/>
        </w:rPr>
        <w:t>These school support strategies are having an effect because they</w:t>
      </w:r>
    </w:p>
    <w:p w14:paraId="1AE18624" w14:textId="77777777" w:rsidR="00936605" w:rsidRPr="00936605" w:rsidRDefault="00936605" w:rsidP="006A1D2B">
      <w:pPr>
        <w:pStyle w:val="ListParagraph"/>
        <w:numPr>
          <w:ilvl w:val="0"/>
          <w:numId w:val="27"/>
        </w:numPr>
        <w:spacing w:after="120" w:line="276" w:lineRule="auto"/>
        <w:ind w:right="-340"/>
        <w:jc w:val="both"/>
        <w:rPr>
          <w:rFonts w:ascii="Century Gothic" w:hAnsi="Century Gothic"/>
          <w:b/>
          <w:sz w:val="20"/>
          <w:szCs w:val="20"/>
        </w:rPr>
      </w:pPr>
      <w:r w:rsidRPr="00936605">
        <w:rPr>
          <w:rFonts w:ascii="Century Gothic" w:hAnsi="Century Gothic"/>
          <w:sz w:val="20"/>
          <w:szCs w:val="20"/>
        </w:rPr>
        <w:t>embed the skills and infrastructure for longer term change</w:t>
      </w:r>
    </w:p>
    <w:p w14:paraId="58E3E5DF" w14:textId="77777777" w:rsidR="00936605" w:rsidRPr="00936605" w:rsidRDefault="00936605" w:rsidP="006A1D2B">
      <w:pPr>
        <w:pStyle w:val="ListParagraph"/>
        <w:numPr>
          <w:ilvl w:val="0"/>
          <w:numId w:val="27"/>
        </w:numPr>
        <w:spacing w:after="120" w:line="276" w:lineRule="auto"/>
        <w:ind w:right="-340"/>
        <w:jc w:val="both"/>
        <w:rPr>
          <w:rFonts w:ascii="Century Gothic" w:hAnsi="Century Gothic"/>
          <w:b/>
          <w:sz w:val="20"/>
          <w:szCs w:val="20"/>
        </w:rPr>
      </w:pPr>
      <w:r w:rsidRPr="00936605">
        <w:rPr>
          <w:rFonts w:ascii="Century Gothic" w:hAnsi="Century Gothic"/>
          <w:sz w:val="20"/>
          <w:szCs w:val="20"/>
        </w:rPr>
        <w:t>make the school context the centre point</w:t>
      </w:r>
    </w:p>
    <w:p w14:paraId="39F69133" w14:textId="7442A276" w:rsidR="00936605" w:rsidRPr="00936605" w:rsidRDefault="00936605" w:rsidP="006A1D2B">
      <w:pPr>
        <w:pStyle w:val="ListParagraph"/>
        <w:numPr>
          <w:ilvl w:val="0"/>
          <w:numId w:val="27"/>
        </w:numPr>
        <w:spacing w:after="120" w:line="276" w:lineRule="auto"/>
        <w:ind w:right="-340"/>
        <w:jc w:val="both"/>
        <w:rPr>
          <w:rFonts w:ascii="Century Gothic" w:hAnsi="Century Gothic"/>
          <w:b/>
          <w:sz w:val="20"/>
          <w:szCs w:val="20"/>
        </w:rPr>
      </w:pPr>
      <w:r w:rsidRPr="00936605">
        <w:rPr>
          <w:rFonts w:ascii="Century Gothic" w:hAnsi="Century Gothic"/>
          <w:sz w:val="20"/>
          <w:szCs w:val="20"/>
        </w:rPr>
        <w:t>bui</w:t>
      </w:r>
      <w:r w:rsidR="006910D0">
        <w:rPr>
          <w:rFonts w:ascii="Century Gothic" w:hAnsi="Century Gothic"/>
          <w:sz w:val="20"/>
          <w:szCs w:val="20"/>
        </w:rPr>
        <w:t>ld whole school commitment, and</w:t>
      </w:r>
    </w:p>
    <w:p w14:paraId="432D2EAA" w14:textId="0E64D924" w:rsidR="00936605" w:rsidRPr="00936605" w:rsidRDefault="00936605" w:rsidP="006A1D2B">
      <w:pPr>
        <w:pStyle w:val="ListParagraph"/>
        <w:numPr>
          <w:ilvl w:val="0"/>
          <w:numId w:val="27"/>
        </w:numPr>
        <w:spacing w:after="120" w:line="276" w:lineRule="auto"/>
        <w:ind w:right="-340"/>
        <w:jc w:val="both"/>
        <w:rPr>
          <w:rFonts w:ascii="Century Gothic" w:hAnsi="Century Gothic"/>
          <w:b/>
          <w:sz w:val="20"/>
          <w:szCs w:val="20"/>
        </w:rPr>
      </w:pPr>
      <w:r w:rsidRPr="00936605">
        <w:rPr>
          <w:rFonts w:ascii="Century Gothic" w:hAnsi="Century Gothic"/>
          <w:sz w:val="20"/>
          <w:szCs w:val="20"/>
        </w:rPr>
        <w:t>adopt a shared approach to improvement – with</w:t>
      </w:r>
      <w:r w:rsidR="006910D0">
        <w:rPr>
          <w:rFonts w:ascii="Century Gothic" w:hAnsi="Century Gothic"/>
          <w:sz w:val="20"/>
          <w:szCs w:val="20"/>
        </w:rPr>
        <w:t xml:space="preserve"> and among schools and experts.</w:t>
      </w:r>
    </w:p>
    <w:p w14:paraId="03D029A5" w14:textId="7D86C544" w:rsidR="002246B5" w:rsidRPr="001904A2" w:rsidRDefault="002246B5" w:rsidP="00A33D23">
      <w:pPr>
        <w:pStyle w:val="Heading3"/>
        <w:spacing w:after="120"/>
      </w:pPr>
      <w:bookmarkStart w:id="9" w:name="_Toc495587293"/>
      <w:r w:rsidRPr="001904A2">
        <w:t xml:space="preserve">A </w:t>
      </w:r>
      <w:r w:rsidR="001904A2" w:rsidRPr="001904A2">
        <w:t xml:space="preserve">model </w:t>
      </w:r>
      <w:r w:rsidRPr="001904A2">
        <w:t xml:space="preserve">for </w:t>
      </w:r>
      <w:r w:rsidR="00904F18">
        <w:t xml:space="preserve">improving </w:t>
      </w:r>
      <w:r w:rsidRPr="001904A2">
        <w:t xml:space="preserve">implementation </w:t>
      </w:r>
      <w:r w:rsidR="001904A2" w:rsidRPr="001904A2">
        <w:t>of national priorities</w:t>
      </w:r>
      <w:bookmarkEnd w:id="9"/>
      <w:r w:rsidR="001904A2" w:rsidRPr="001904A2">
        <w:t xml:space="preserve"> </w:t>
      </w:r>
    </w:p>
    <w:p w14:paraId="27884D5C" w14:textId="7B75C128" w:rsidR="00936605" w:rsidRDefault="00EA6295" w:rsidP="00936605">
      <w:pPr>
        <w:spacing w:after="120" w:line="276" w:lineRule="auto"/>
        <w:ind w:right="-340"/>
        <w:jc w:val="both"/>
        <w:rPr>
          <w:rFonts w:ascii="Century Gothic" w:hAnsi="Century Gothic"/>
          <w:sz w:val="20"/>
          <w:szCs w:val="20"/>
        </w:rPr>
      </w:pPr>
      <w:r>
        <w:rPr>
          <w:rFonts w:ascii="Century Gothic" w:hAnsi="Century Gothic"/>
          <w:sz w:val="20"/>
          <w:szCs w:val="20"/>
        </w:rPr>
        <w:t xml:space="preserve">NGRBs nominated a range of improvements they would like to see in </w:t>
      </w:r>
      <w:r w:rsidRPr="00EA6295">
        <w:rPr>
          <w:rFonts w:ascii="Century Gothic" w:hAnsi="Century Gothic"/>
          <w:i/>
          <w:sz w:val="20"/>
          <w:szCs w:val="20"/>
        </w:rPr>
        <w:t>how</w:t>
      </w:r>
      <w:r>
        <w:rPr>
          <w:rFonts w:ascii="Century Gothic" w:hAnsi="Century Gothic"/>
          <w:sz w:val="20"/>
          <w:szCs w:val="20"/>
        </w:rPr>
        <w:t xml:space="preserve"> SFSF is structured and operates. </w:t>
      </w:r>
      <w:r w:rsidR="00CB26E5">
        <w:rPr>
          <w:rFonts w:ascii="Century Gothic" w:hAnsi="Century Gothic"/>
          <w:sz w:val="20"/>
          <w:szCs w:val="20"/>
        </w:rPr>
        <w:t xml:space="preserve">One option is to build on the positive start by many NGRBs in implementing a more </w:t>
      </w:r>
      <w:r w:rsidR="00FD3900">
        <w:rPr>
          <w:rFonts w:ascii="Century Gothic" w:hAnsi="Century Gothic"/>
          <w:sz w:val="20"/>
          <w:szCs w:val="20"/>
        </w:rPr>
        <w:t xml:space="preserve">integrated </w:t>
      </w:r>
      <w:r w:rsidR="00904F18">
        <w:rPr>
          <w:rFonts w:ascii="Century Gothic" w:hAnsi="Century Gothic"/>
          <w:sz w:val="20"/>
          <w:szCs w:val="20"/>
        </w:rPr>
        <w:t xml:space="preserve">approach to </w:t>
      </w:r>
      <w:r w:rsidR="00CB26E5">
        <w:rPr>
          <w:rFonts w:ascii="Century Gothic" w:hAnsi="Century Gothic"/>
          <w:sz w:val="20"/>
          <w:szCs w:val="20"/>
        </w:rPr>
        <w:t xml:space="preserve">the priorities and school improvement. </w:t>
      </w:r>
      <w:r w:rsidR="00FD3900">
        <w:rPr>
          <w:rFonts w:ascii="Century Gothic" w:hAnsi="Century Gothic"/>
          <w:sz w:val="20"/>
          <w:szCs w:val="20"/>
        </w:rPr>
        <w:t>This applies irrespective of the funding mechanisms</w:t>
      </w:r>
      <w:r w:rsidR="001904A2">
        <w:rPr>
          <w:rFonts w:ascii="Century Gothic" w:hAnsi="Century Gothic"/>
          <w:sz w:val="20"/>
          <w:szCs w:val="20"/>
        </w:rPr>
        <w:t>.</w:t>
      </w:r>
      <w:r w:rsidR="001904A2" w:rsidRPr="00936605">
        <w:rPr>
          <w:rFonts w:ascii="Century Gothic" w:hAnsi="Century Gothic"/>
          <w:sz w:val="20"/>
          <w:szCs w:val="20"/>
        </w:rPr>
        <w:t xml:space="preserve">  </w:t>
      </w:r>
      <w:r w:rsidR="00936605" w:rsidRPr="00936605">
        <w:rPr>
          <w:rFonts w:ascii="Century Gothic" w:hAnsi="Century Gothic"/>
          <w:sz w:val="20"/>
          <w:szCs w:val="20"/>
        </w:rPr>
        <w:t>Many NGRBs are reflecting on the nature of their role and would welcome a discussion of their support s</w:t>
      </w:r>
      <w:r w:rsidR="006910D0">
        <w:rPr>
          <w:rFonts w:ascii="Century Gothic" w:hAnsi="Century Gothic"/>
          <w:sz w:val="20"/>
          <w:szCs w:val="20"/>
        </w:rPr>
        <w:t>trategy at this ‘system’ level.</w:t>
      </w:r>
    </w:p>
    <w:p w14:paraId="4EABA1A7" w14:textId="4D5FBB24" w:rsidR="00CC7398" w:rsidRDefault="00CC7398" w:rsidP="00CC7398">
      <w:pPr>
        <w:spacing w:after="200" w:line="276" w:lineRule="auto"/>
        <w:ind w:right="-340"/>
        <w:jc w:val="both"/>
        <w:rPr>
          <w:b/>
          <w:szCs w:val="20"/>
        </w:rPr>
      </w:pPr>
      <w:r w:rsidRPr="00CD648A">
        <w:rPr>
          <w:rFonts w:ascii="Century Gothic" w:eastAsiaTheme="minorHAnsi" w:hAnsi="Century Gothic"/>
          <w:sz w:val="20"/>
          <w:szCs w:val="20"/>
          <w:lang w:val="en-AU"/>
        </w:rPr>
        <w:t>The diagram below represents a set of factors that comprise a proposed strategy for NGRB support.</w:t>
      </w:r>
      <w:r>
        <w:rPr>
          <w:rStyle w:val="FootnoteReference"/>
          <w:rFonts w:ascii="Century Gothic" w:eastAsiaTheme="minorHAnsi" w:hAnsi="Century Gothic"/>
          <w:sz w:val="20"/>
          <w:szCs w:val="20"/>
          <w:lang w:val="en-AU"/>
        </w:rPr>
        <w:footnoteReference w:id="2"/>
      </w:r>
      <w:r w:rsidRPr="00CD648A">
        <w:rPr>
          <w:rFonts w:ascii="Century Gothic" w:eastAsiaTheme="minorHAnsi" w:hAnsi="Century Gothic"/>
          <w:sz w:val="20"/>
          <w:szCs w:val="20"/>
          <w:lang w:val="en-AU"/>
        </w:rPr>
        <w:t xml:space="preserve">  Most were suggested by NGRBs as discrete elements and they have been assembled in a model to indicate how to enhance the national impact of SFSF</w:t>
      </w:r>
      <w:r w:rsidR="006910D0">
        <w:rPr>
          <w:szCs w:val="20"/>
        </w:rPr>
        <w:t>.</w:t>
      </w:r>
    </w:p>
    <w:p w14:paraId="037DA2EA" w14:textId="77777777" w:rsidR="00936605" w:rsidRPr="00936605" w:rsidRDefault="00936605" w:rsidP="00936605">
      <w:pPr>
        <w:spacing w:after="120" w:line="276" w:lineRule="auto"/>
        <w:ind w:right="-340"/>
        <w:jc w:val="both"/>
        <w:rPr>
          <w:rFonts w:ascii="Century Gothic" w:hAnsi="Century Gothic"/>
          <w:color w:val="0070C0"/>
          <w:sz w:val="20"/>
          <w:szCs w:val="20"/>
        </w:rPr>
      </w:pPr>
      <w:r w:rsidRPr="00936605">
        <w:rPr>
          <w:rFonts w:ascii="Century Gothic" w:hAnsi="Century Gothic"/>
          <w:noProof/>
          <w:color w:val="0070C0"/>
          <w:sz w:val="20"/>
          <w:szCs w:val="20"/>
          <w:lang w:val="en-AU" w:eastAsia="en-AU"/>
        </w:rPr>
        <w:drawing>
          <wp:inline distT="0" distB="0" distL="0" distR="0" wp14:anchorId="1E6755A5" wp14:editId="772D543B">
            <wp:extent cx="5486400" cy="3022600"/>
            <wp:effectExtent l="0" t="0" r="0" b="25400"/>
            <wp:docPr id="18" name="Diagram 18" descr="Elements in this diagram include strategy and governance, capactiy, collaboration, procedures, and implementation." title="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A7208BC" w14:textId="77777777" w:rsidR="009152BC" w:rsidRDefault="009152BC">
      <w:pPr>
        <w:rPr>
          <w:rFonts w:ascii="Century Gothic" w:hAnsi="Century Gothic"/>
          <w:i/>
          <w:sz w:val="20"/>
          <w:szCs w:val="20"/>
        </w:rPr>
      </w:pPr>
      <w:r>
        <w:rPr>
          <w:rFonts w:ascii="Century Gothic" w:hAnsi="Century Gothic"/>
          <w:i/>
          <w:sz w:val="20"/>
          <w:szCs w:val="20"/>
        </w:rPr>
        <w:br w:type="page"/>
      </w:r>
    </w:p>
    <w:p w14:paraId="70B876BB" w14:textId="3119EBA6" w:rsidR="00936605" w:rsidRPr="001904A2" w:rsidRDefault="006910D0" w:rsidP="00572246">
      <w:pPr>
        <w:spacing w:before="600" w:after="120" w:line="276" w:lineRule="auto"/>
        <w:ind w:right="-340"/>
        <w:jc w:val="both"/>
        <w:rPr>
          <w:rFonts w:ascii="Century Gothic" w:hAnsi="Century Gothic"/>
          <w:i/>
          <w:sz w:val="20"/>
          <w:szCs w:val="20"/>
        </w:rPr>
      </w:pPr>
      <w:r>
        <w:rPr>
          <w:rFonts w:ascii="Century Gothic" w:hAnsi="Century Gothic"/>
          <w:i/>
          <w:sz w:val="20"/>
          <w:szCs w:val="20"/>
        </w:rPr>
        <w:lastRenderedPageBreak/>
        <w:t>Strategy and governance</w:t>
      </w:r>
    </w:p>
    <w:p w14:paraId="6FAFD9A5" w14:textId="37D1B988" w:rsidR="00936605" w:rsidRPr="00936605" w:rsidRDefault="00936605" w:rsidP="006A1D2B">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A vision for a ‘system’ </w:t>
      </w:r>
      <w:r w:rsidR="006910D0">
        <w:rPr>
          <w:rFonts w:ascii="Century Gothic" w:hAnsi="Century Gothic"/>
          <w:sz w:val="20"/>
          <w:szCs w:val="20"/>
        </w:rPr>
        <w:t xml:space="preserve">role for NGRBs in context with </w:t>
      </w:r>
      <w:r w:rsidRPr="00936605">
        <w:rPr>
          <w:rFonts w:ascii="Century Gothic" w:hAnsi="Century Gothic"/>
          <w:sz w:val="20"/>
          <w:szCs w:val="20"/>
        </w:rPr>
        <w:t>school autonomy and State and Territory jurisdictional roles</w:t>
      </w:r>
    </w:p>
    <w:p w14:paraId="483D7691" w14:textId="77777777" w:rsidR="00936605" w:rsidRPr="00936605" w:rsidRDefault="00936605" w:rsidP="006A1D2B">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An explicit ‘line of sight’ between national priorities, measures, resources and actions.</w:t>
      </w:r>
    </w:p>
    <w:p w14:paraId="1127613A" w14:textId="1701B07B" w:rsidR="00C2634B" w:rsidRPr="00904F18" w:rsidRDefault="00936605" w:rsidP="00936605">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Relative stability in the priorit</w:t>
      </w:r>
      <w:r w:rsidR="006910D0">
        <w:rPr>
          <w:rFonts w:ascii="Century Gothic" w:hAnsi="Century Gothic"/>
          <w:sz w:val="20"/>
          <w:szCs w:val="20"/>
        </w:rPr>
        <w:t>ies and indicators of success.</w:t>
      </w:r>
    </w:p>
    <w:p w14:paraId="3C3E75A9" w14:textId="77777777" w:rsidR="00936605" w:rsidRPr="001904A2" w:rsidRDefault="00936605" w:rsidP="00936605">
      <w:pPr>
        <w:spacing w:after="120" w:line="276" w:lineRule="auto"/>
        <w:ind w:right="-340"/>
        <w:jc w:val="both"/>
        <w:rPr>
          <w:rFonts w:ascii="Century Gothic" w:hAnsi="Century Gothic"/>
          <w:i/>
          <w:sz w:val="20"/>
          <w:szCs w:val="20"/>
        </w:rPr>
      </w:pPr>
      <w:r w:rsidRPr="001904A2">
        <w:rPr>
          <w:rFonts w:ascii="Century Gothic" w:hAnsi="Century Gothic"/>
          <w:i/>
          <w:sz w:val="20"/>
          <w:szCs w:val="20"/>
        </w:rPr>
        <w:t>Procedures</w:t>
      </w:r>
    </w:p>
    <w:p w14:paraId="433496B5" w14:textId="095752D1" w:rsidR="00936605" w:rsidRPr="00936605" w:rsidRDefault="00936605" w:rsidP="006A1D2B">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An outcomes framework with both longer term and i</w:t>
      </w:r>
      <w:r w:rsidR="006910D0">
        <w:rPr>
          <w:rFonts w:ascii="Century Gothic" w:hAnsi="Century Gothic"/>
          <w:sz w:val="20"/>
          <w:szCs w:val="20"/>
        </w:rPr>
        <w:t>nterim outcomes</w:t>
      </w:r>
    </w:p>
    <w:p w14:paraId="6739C450" w14:textId="540DC801" w:rsidR="00936605" w:rsidRPr="006910D0" w:rsidRDefault="00936605" w:rsidP="006910D0">
      <w:pPr>
        <w:pStyle w:val="ListParagraph"/>
        <w:numPr>
          <w:ilvl w:val="0"/>
          <w:numId w:val="24"/>
        </w:numPr>
        <w:spacing w:after="120" w:line="276" w:lineRule="auto"/>
        <w:ind w:right="-340"/>
        <w:jc w:val="both"/>
        <w:rPr>
          <w:rFonts w:ascii="Century Gothic" w:hAnsi="Century Gothic"/>
          <w:b/>
          <w:sz w:val="20"/>
          <w:szCs w:val="20"/>
        </w:rPr>
      </w:pPr>
      <w:r w:rsidRPr="006910D0">
        <w:rPr>
          <w:rFonts w:ascii="Century Gothic" w:hAnsi="Century Gothic"/>
          <w:sz w:val="20"/>
          <w:szCs w:val="20"/>
        </w:rPr>
        <w:t xml:space="preserve">A national approach to collecting qualitative information on programs and impact Stronger reporting requirements </w:t>
      </w:r>
    </w:p>
    <w:p w14:paraId="2E2D231B" w14:textId="77777777" w:rsidR="00936605" w:rsidRPr="001904A2" w:rsidRDefault="00936605" w:rsidP="00936605">
      <w:pPr>
        <w:spacing w:after="120" w:line="276" w:lineRule="auto"/>
        <w:ind w:right="-340"/>
        <w:jc w:val="both"/>
        <w:rPr>
          <w:rFonts w:ascii="Century Gothic" w:hAnsi="Century Gothic"/>
          <w:i/>
          <w:sz w:val="20"/>
          <w:szCs w:val="20"/>
        </w:rPr>
      </w:pPr>
      <w:r w:rsidRPr="001904A2">
        <w:rPr>
          <w:rFonts w:ascii="Century Gothic" w:hAnsi="Century Gothic"/>
          <w:i/>
          <w:sz w:val="20"/>
          <w:szCs w:val="20"/>
        </w:rPr>
        <w:t xml:space="preserve">Capacity </w:t>
      </w:r>
    </w:p>
    <w:p w14:paraId="14A887D2" w14:textId="77777777" w:rsidR="00936605" w:rsidRPr="00936605" w:rsidRDefault="00936605" w:rsidP="006A1D2B">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 xml:space="preserve">Build an evaluation culture: Enhanced national evaluation expertise that supports systems’ and schools’ needs </w:t>
      </w:r>
    </w:p>
    <w:p w14:paraId="66F41C28" w14:textId="02280985" w:rsidR="00936605" w:rsidRPr="00CD02E8" w:rsidRDefault="00936605" w:rsidP="006A1D2B">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Facilitate exchange on system str</w:t>
      </w:r>
      <w:r w:rsidR="008724D0">
        <w:rPr>
          <w:rFonts w:ascii="Century Gothic" w:hAnsi="Century Gothic"/>
          <w:sz w:val="20"/>
          <w:szCs w:val="20"/>
        </w:rPr>
        <w:t>ategies for school improvement</w:t>
      </w:r>
    </w:p>
    <w:p w14:paraId="67411B9A" w14:textId="77777777" w:rsidR="00936605" w:rsidRPr="001904A2" w:rsidRDefault="00936605" w:rsidP="00936605">
      <w:pPr>
        <w:spacing w:after="120" w:line="276" w:lineRule="auto"/>
        <w:ind w:right="-340"/>
        <w:jc w:val="both"/>
        <w:rPr>
          <w:rFonts w:ascii="Century Gothic" w:hAnsi="Century Gothic"/>
          <w:i/>
          <w:sz w:val="20"/>
          <w:szCs w:val="20"/>
        </w:rPr>
      </w:pPr>
      <w:r w:rsidRPr="001904A2">
        <w:rPr>
          <w:rFonts w:ascii="Century Gothic" w:hAnsi="Century Gothic"/>
          <w:i/>
          <w:sz w:val="20"/>
          <w:szCs w:val="20"/>
        </w:rPr>
        <w:t xml:space="preserve">Collaboration </w:t>
      </w:r>
    </w:p>
    <w:p w14:paraId="47CCE279" w14:textId="77777777" w:rsidR="00936605" w:rsidRPr="00936605" w:rsidRDefault="00936605" w:rsidP="006A1D2B">
      <w:pPr>
        <w:pStyle w:val="ListParagraph"/>
        <w:numPr>
          <w:ilvl w:val="0"/>
          <w:numId w:val="24"/>
        </w:numPr>
        <w:spacing w:after="120" w:line="276" w:lineRule="auto"/>
        <w:ind w:right="-340"/>
        <w:jc w:val="both"/>
        <w:rPr>
          <w:rFonts w:ascii="Century Gothic" w:hAnsi="Century Gothic"/>
          <w:b/>
          <w:sz w:val="20"/>
          <w:szCs w:val="20"/>
        </w:rPr>
      </w:pPr>
      <w:r w:rsidRPr="00936605">
        <w:rPr>
          <w:rFonts w:ascii="Century Gothic" w:hAnsi="Century Gothic"/>
          <w:sz w:val="20"/>
          <w:szCs w:val="20"/>
        </w:rPr>
        <w:t>Incentivise cross sector collaboration in implementation</w:t>
      </w:r>
    </w:p>
    <w:p w14:paraId="1A191BA5" w14:textId="735A75BB" w:rsidR="00936605" w:rsidRPr="00936605" w:rsidRDefault="008724D0" w:rsidP="006A1D2B">
      <w:pPr>
        <w:pStyle w:val="ListParagraph"/>
        <w:numPr>
          <w:ilvl w:val="0"/>
          <w:numId w:val="24"/>
        </w:numPr>
        <w:spacing w:after="120" w:line="276" w:lineRule="auto"/>
        <w:ind w:right="-340"/>
        <w:jc w:val="both"/>
        <w:rPr>
          <w:rFonts w:ascii="Century Gothic" w:hAnsi="Century Gothic"/>
          <w:b/>
          <w:sz w:val="20"/>
          <w:szCs w:val="20"/>
        </w:rPr>
      </w:pPr>
      <w:r>
        <w:rPr>
          <w:rFonts w:ascii="Century Gothic" w:hAnsi="Century Gothic"/>
          <w:sz w:val="20"/>
          <w:szCs w:val="20"/>
        </w:rPr>
        <w:t>Facilitate sharing expertise</w:t>
      </w:r>
    </w:p>
    <w:p w14:paraId="280A6A6B" w14:textId="6E6A5B22" w:rsidR="00CD02E8" w:rsidRPr="001904A2" w:rsidRDefault="001904A2" w:rsidP="00A33D23">
      <w:pPr>
        <w:pStyle w:val="Heading3"/>
        <w:spacing w:after="120"/>
      </w:pPr>
      <w:bookmarkStart w:id="10" w:name="_Toc495587294"/>
      <w:r w:rsidRPr="001904A2">
        <w:t>Alternative</w:t>
      </w:r>
      <w:r>
        <w:t xml:space="preserve"> </w:t>
      </w:r>
      <w:r w:rsidR="00EA6295">
        <w:t xml:space="preserve">funding </w:t>
      </w:r>
      <w:r w:rsidR="008724D0">
        <w:t>levers</w:t>
      </w:r>
      <w:bookmarkEnd w:id="10"/>
    </w:p>
    <w:p w14:paraId="6430318E" w14:textId="0B2EF370" w:rsidR="00904F18" w:rsidRDefault="00870294" w:rsidP="00CD02E8">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There is an argument that current SFSF arrangements support </w:t>
      </w:r>
      <w:r w:rsidR="00904F18">
        <w:rPr>
          <w:rFonts w:ascii="Century Gothic" w:eastAsiaTheme="minorHAnsi" w:hAnsi="Century Gothic"/>
          <w:sz w:val="20"/>
          <w:szCs w:val="20"/>
          <w:lang w:val="en-AU"/>
        </w:rPr>
        <w:t xml:space="preserve">many </w:t>
      </w:r>
      <w:r>
        <w:rPr>
          <w:rFonts w:ascii="Century Gothic" w:eastAsiaTheme="minorHAnsi" w:hAnsi="Century Gothic"/>
          <w:sz w:val="20"/>
          <w:szCs w:val="20"/>
          <w:lang w:val="en-AU"/>
        </w:rPr>
        <w:t xml:space="preserve">activities </w:t>
      </w:r>
      <w:r w:rsidR="00904F18">
        <w:rPr>
          <w:rFonts w:ascii="Century Gothic" w:eastAsiaTheme="minorHAnsi" w:hAnsi="Century Gothic"/>
          <w:sz w:val="20"/>
          <w:szCs w:val="20"/>
          <w:lang w:val="en-AU"/>
        </w:rPr>
        <w:t xml:space="preserve">that are </w:t>
      </w:r>
      <w:r>
        <w:rPr>
          <w:rFonts w:ascii="Century Gothic" w:eastAsiaTheme="minorHAnsi" w:hAnsi="Century Gothic"/>
          <w:sz w:val="20"/>
          <w:szCs w:val="20"/>
          <w:lang w:val="en-AU"/>
        </w:rPr>
        <w:t xml:space="preserve">core business for NGRBs and </w:t>
      </w:r>
      <w:r w:rsidR="00904F18">
        <w:rPr>
          <w:rFonts w:ascii="Century Gothic" w:eastAsiaTheme="minorHAnsi" w:hAnsi="Century Gothic"/>
          <w:sz w:val="20"/>
          <w:szCs w:val="20"/>
          <w:lang w:val="en-AU"/>
        </w:rPr>
        <w:t xml:space="preserve">that </w:t>
      </w:r>
      <w:r w:rsidR="005A2D7B">
        <w:rPr>
          <w:rFonts w:ascii="Century Gothic" w:eastAsiaTheme="minorHAnsi" w:hAnsi="Century Gothic"/>
          <w:sz w:val="20"/>
          <w:szCs w:val="20"/>
          <w:lang w:val="en-AU"/>
        </w:rPr>
        <w:t xml:space="preserve">these activities </w:t>
      </w:r>
      <w:r>
        <w:rPr>
          <w:rFonts w:ascii="Century Gothic" w:eastAsiaTheme="minorHAnsi" w:hAnsi="Century Gothic"/>
          <w:sz w:val="20"/>
          <w:szCs w:val="20"/>
          <w:lang w:val="en-AU"/>
        </w:rPr>
        <w:t>should not be the beneficia</w:t>
      </w:r>
      <w:r w:rsidR="00904F18">
        <w:rPr>
          <w:rFonts w:ascii="Century Gothic" w:eastAsiaTheme="minorHAnsi" w:hAnsi="Century Gothic"/>
          <w:sz w:val="20"/>
          <w:szCs w:val="20"/>
          <w:lang w:val="en-AU"/>
        </w:rPr>
        <w:t xml:space="preserve">ry of direct Government support in the future. </w:t>
      </w:r>
      <w:r>
        <w:rPr>
          <w:rFonts w:ascii="Century Gothic" w:eastAsiaTheme="minorHAnsi" w:hAnsi="Century Gothic"/>
          <w:sz w:val="20"/>
          <w:szCs w:val="20"/>
          <w:lang w:val="en-AU"/>
        </w:rPr>
        <w:t xml:space="preserve"> </w:t>
      </w:r>
      <w:r w:rsidR="00904F18">
        <w:rPr>
          <w:rFonts w:ascii="Century Gothic" w:eastAsiaTheme="minorHAnsi" w:hAnsi="Century Gothic"/>
          <w:sz w:val="20"/>
          <w:szCs w:val="20"/>
          <w:lang w:val="en-AU"/>
        </w:rPr>
        <w:t xml:space="preserve">SFSF could instead target those priorities that warrant specific development before </w:t>
      </w:r>
      <w:r w:rsidR="008724D0">
        <w:rPr>
          <w:rFonts w:ascii="Century Gothic" w:eastAsiaTheme="minorHAnsi" w:hAnsi="Century Gothic"/>
          <w:sz w:val="20"/>
          <w:szCs w:val="20"/>
          <w:lang w:val="en-AU"/>
        </w:rPr>
        <w:t>they become routine for NGRBs.</w:t>
      </w:r>
    </w:p>
    <w:p w14:paraId="136D8B86" w14:textId="27EA0641" w:rsidR="00870294" w:rsidRDefault="00870294" w:rsidP="00CD02E8">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Alternative options for </w:t>
      </w:r>
      <w:r w:rsidR="005A2D7B">
        <w:rPr>
          <w:rFonts w:ascii="Century Gothic" w:eastAsiaTheme="minorHAnsi" w:hAnsi="Century Gothic"/>
          <w:sz w:val="20"/>
          <w:szCs w:val="20"/>
          <w:lang w:val="en-AU"/>
        </w:rPr>
        <w:t>future approaches to SFSF funding</w:t>
      </w:r>
      <w:r>
        <w:rPr>
          <w:rFonts w:ascii="Century Gothic" w:eastAsiaTheme="minorHAnsi" w:hAnsi="Century Gothic"/>
          <w:sz w:val="20"/>
          <w:szCs w:val="20"/>
          <w:lang w:val="en-AU"/>
        </w:rPr>
        <w:t xml:space="preserve"> include:</w:t>
      </w:r>
    </w:p>
    <w:p w14:paraId="381C0139" w14:textId="73E84AF4" w:rsidR="00870294" w:rsidRPr="00870294" w:rsidRDefault="00870294" w:rsidP="006A1D2B">
      <w:pPr>
        <w:pStyle w:val="ListParagraph"/>
        <w:numPr>
          <w:ilvl w:val="0"/>
          <w:numId w:val="24"/>
        </w:numPr>
        <w:spacing w:after="120" w:line="276" w:lineRule="auto"/>
        <w:ind w:right="-340"/>
        <w:jc w:val="both"/>
        <w:rPr>
          <w:rFonts w:ascii="Century Gothic" w:hAnsi="Century Gothic"/>
          <w:sz w:val="20"/>
          <w:szCs w:val="20"/>
        </w:rPr>
      </w:pPr>
      <w:r>
        <w:rPr>
          <w:rFonts w:ascii="Century Gothic" w:hAnsi="Century Gothic"/>
          <w:sz w:val="20"/>
          <w:szCs w:val="20"/>
        </w:rPr>
        <w:t>SFSF</w:t>
      </w:r>
      <w:r w:rsidRPr="00870294">
        <w:rPr>
          <w:rFonts w:ascii="Century Gothic" w:hAnsi="Century Gothic"/>
          <w:sz w:val="20"/>
          <w:szCs w:val="20"/>
        </w:rPr>
        <w:t xml:space="preserve"> funds </w:t>
      </w:r>
      <w:r>
        <w:rPr>
          <w:rFonts w:ascii="Century Gothic" w:hAnsi="Century Gothic"/>
          <w:sz w:val="20"/>
          <w:szCs w:val="20"/>
        </w:rPr>
        <w:t xml:space="preserve">are allocated </w:t>
      </w:r>
      <w:r w:rsidRPr="00870294">
        <w:rPr>
          <w:rFonts w:ascii="Century Gothic" w:hAnsi="Century Gothic"/>
          <w:sz w:val="20"/>
          <w:szCs w:val="20"/>
        </w:rPr>
        <w:t>to stat</w:t>
      </w:r>
      <w:r w:rsidR="00904F18">
        <w:rPr>
          <w:rFonts w:ascii="Century Gothic" w:hAnsi="Century Gothic"/>
          <w:sz w:val="20"/>
          <w:szCs w:val="20"/>
        </w:rPr>
        <w:t>e and territory authorities for distribution to the non-government sector according to</w:t>
      </w:r>
      <w:r w:rsidRPr="00870294">
        <w:rPr>
          <w:rFonts w:ascii="Century Gothic" w:hAnsi="Century Gothic"/>
          <w:sz w:val="20"/>
          <w:szCs w:val="20"/>
        </w:rPr>
        <w:t xml:space="preserve"> national </w:t>
      </w:r>
      <w:r w:rsidR="00904F18">
        <w:rPr>
          <w:rFonts w:ascii="Century Gothic" w:hAnsi="Century Gothic"/>
          <w:sz w:val="20"/>
          <w:szCs w:val="20"/>
        </w:rPr>
        <w:t>priorities and state and territory  contexts</w:t>
      </w:r>
    </w:p>
    <w:p w14:paraId="2567B75C" w14:textId="1CD552DF" w:rsidR="00870294" w:rsidRPr="00870294" w:rsidRDefault="00870294" w:rsidP="006A1D2B">
      <w:pPr>
        <w:pStyle w:val="ListParagraph"/>
        <w:numPr>
          <w:ilvl w:val="0"/>
          <w:numId w:val="24"/>
        </w:numPr>
        <w:spacing w:after="120" w:line="276" w:lineRule="auto"/>
        <w:ind w:right="-340"/>
        <w:jc w:val="both"/>
        <w:rPr>
          <w:rFonts w:ascii="Century Gothic" w:hAnsi="Century Gothic"/>
          <w:sz w:val="20"/>
          <w:szCs w:val="20"/>
        </w:rPr>
      </w:pPr>
      <w:r w:rsidRPr="00870294">
        <w:rPr>
          <w:rFonts w:ascii="Century Gothic" w:hAnsi="Century Gothic"/>
          <w:sz w:val="20"/>
          <w:szCs w:val="20"/>
        </w:rPr>
        <w:t>Australian Government conducts open tender</w:t>
      </w:r>
      <w:r w:rsidR="005A2D7B">
        <w:rPr>
          <w:rFonts w:ascii="Century Gothic" w:hAnsi="Century Gothic"/>
          <w:sz w:val="20"/>
          <w:szCs w:val="20"/>
        </w:rPr>
        <w:t>s</w:t>
      </w:r>
      <w:r w:rsidRPr="00870294">
        <w:rPr>
          <w:rFonts w:ascii="Century Gothic" w:hAnsi="Century Gothic"/>
          <w:sz w:val="20"/>
          <w:szCs w:val="20"/>
        </w:rPr>
        <w:t xml:space="preserve"> for the provision of specific initiatives with non-government schools</w:t>
      </w:r>
    </w:p>
    <w:p w14:paraId="023B13E5" w14:textId="77777777" w:rsidR="009C2528" w:rsidRPr="009C2528" w:rsidRDefault="00870294" w:rsidP="006A1D2B">
      <w:pPr>
        <w:pStyle w:val="ListParagraph"/>
        <w:numPr>
          <w:ilvl w:val="0"/>
          <w:numId w:val="24"/>
        </w:numPr>
        <w:spacing w:after="120" w:line="276" w:lineRule="auto"/>
        <w:ind w:right="-340"/>
        <w:jc w:val="both"/>
        <w:rPr>
          <w:rFonts w:ascii="Century Gothic" w:hAnsi="Century Gothic"/>
          <w:sz w:val="20"/>
          <w:szCs w:val="20"/>
        </w:rPr>
      </w:pPr>
      <w:r w:rsidRPr="00870294">
        <w:rPr>
          <w:rFonts w:ascii="Century Gothic" w:hAnsi="Century Gothic"/>
          <w:sz w:val="20"/>
          <w:szCs w:val="20"/>
        </w:rPr>
        <w:t>Australian Government repurposes SFSF funding on a project basis</w:t>
      </w:r>
      <w:r w:rsidR="00904F18">
        <w:rPr>
          <w:rFonts w:ascii="Century Gothic" w:hAnsi="Century Gothic"/>
          <w:sz w:val="20"/>
          <w:szCs w:val="20"/>
        </w:rPr>
        <w:t xml:space="preserve"> with a strong outcomes framework</w:t>
      </w:r>
      <w:r w:rsidR="009C2528" w:rsidRPr="009C2528">
        <w:rPr>
          <w:rFonts w:ascii="Century Gothic" w:eastAsiaTheme="minorHAnsi" w:hAnsi="Century Gothic"/>
          <w:sz w:val="20"/>
          <w:szCs w:val="20"/>
          <w:lang w:val="en-AU"/>
        </w:rPr>
        <w:t xml:space="preserve"> </w:t>
      </w:r>
    </w:p>
    <w:p w14:paraId="57F655E5" w14:textId="78BDC8BE" w:rsidR="00CA4C45" w:rsidRDefault="009C2528" w:rsidP="006A1D2B">
      <w:pPr>
        <w:pStyle w:val="ListParagraph"/>
        <w:numPr>
          <w:ilvl w:val="0"/>
          <w:numId w:val="24"/>
        </w:numPr>
        <w:spacing w:after="120" w:line="276" w:lineRule="auto"/>
        <w:ind w:right="-340"/>
        <w:jc w:val="both"/>
        <w:rPr>
          <w:rFonts w:ascii="Century Gothic" w:hAnsi="Century Gothic"/>
          <w:sz w:val="20"/>
          <w:szCs w:val="20"/>
        </w:rPr>
      </w:pPr>
      <w:r w:rsidRPr="00DF2417">
        <w:rPr>
          <w:rFonts w:ascii="Century Gothic" w:eastAsiaTheme="minorHAnsi" w:hAnsi="Century Gothic"/>
          <w:sz w:val="20"/>
          <w:szCs w:val="20"/>
          <w:lang w:val="en-AU"/>
        </w:rPr>
        <w:t>SFSF lapse</w:t>
      </w:r>
      <w:r>
        <w:rPr>
          <w:rFonts w:ascii="Century Gothic" w:eastAsiaTheme="minorHAnsi" w:hAnsi="Century Gothic"/>
          <w:sz w:val="20"/>
          <w:szCs w:val="20"/>
          <w:lang w:val="en-AU"/>
        </w:rPr>
        <w:t>s</w:t>
      </w:r>
      <w:r w:rsidRPr="00DF2417">
        <w:rPr>
          <w:rFonts w:ascii="Century Gothic" w:eastAsiaTheme="minorHAnsi" w:hAnsi="Century Gothic"/>
          <w:sz w:val="20"/>
          <w:szCs w:val="20"/>
          <w:lang w:val="en-AU"/>
        </w:rPr>
        <w:t xml:space="preserve"> at the conclusion of the current funding period 2014-2017</w:t>
      </w:r>
      <w:r>
        <w:rPr>
          <w:rFonts w:ascii="Century Gothic" w:eastAsiaTheme="minorHAnsi" w:hAnsi="Century Gothic"/>
          <w:sz w:val="20"/>
          <w:szCs w:val="20"/>
          <w:lang w:val="en-AU"/>
        </w:rPr>
        <w:t>.</w:t>
      </w:r>
    </w:p>
    <w:p w14:paraId="15C8EC02" w14:textId="6B098C44" w:rsidR="001904A2" w:rsidRDefault="009C2528" w:rsidP="00CD02E8">
      <w:pPr>
        <w:spacing w:after="120" w:line="276" w:lineRule="auto"/>
        <w:ind w:right="-340"/>
        <w:jc w:val="both"/>
        <w:rPr>
          <w:rFonts w:ascii="Century Gothic" w:hAnsi="Century Gothic"/>
          <w:sz w:val="20"/>
          <w:szCs w:val="20"/>
        </w:rPr>
      </w:pPr>
      <w:r>
        <w:rPr>
          <w:rFonts w:ascii="Century Gothic" w:eastAsiaTheme="minorHAnsi" w:hAnsi="Century Gothic"/>
          <w:sz w:val="20"/>
          <w:szCs w:val="20"/>
          <w:lang w:val="en-AU"/>
        </w:rPr>
        <w:t xml:space="preserve">The first three </w:t>
      </w:r>
      <w:r w:rsidR="00870294">
        <w:rPr>
          <w:rFonts w:ascii="Century Gothic" w:eastAsiaTheme="minorHAnsi" w:hAnsi="Century Gothic"/>
          <w:sz w:val="20"/>
          <w:szCs w:val="20"/>
          <w:lang w:val="en-AU"/>
        </w:rPr>
        <w:t xml:space="preserve">of these </w:t>
      </w:r>
      <w:r>
        <w:rPr>
          <w:rFonts w:ascii="Century Gothic" w:eastAsiaTheme="minorHAnsi" w:hAnsi="Century Gothic"/>
          <w:sz w:val="20"/>
          <w:szCs w:val="20"/>
          <w:lang w:val="en-AU"/>
        </w:rPr>
        <w:t>options have</w:t>
      </w:r>
      <w:r w:rsidR="00870294">
        <w:rPr>
          <w:rFonts w:ascii="Century Gothic" w:eastAsiaTheme="minorHAnsi" w:hAnsi="Century Gothic"/>
          <w:sz w:val="20"/>
          <w:szCs w:val="20"/>
          <w:lang w:val="en-AU"/>
        </w:rPr>
        <w:t xml:space="preserve"> </w:t>
      </w:r>
      <w:r w:rsidR="005A2D7B">
        <w:rPr>
          <w:rFonts w:ascii="Century Gothic" w:eastAsiaTheme="minorHAnsi" w:hAnsi="Century Gothic"/>
          <w:sz w:val="20"/>
          <w:szCs w:val="20"/>
          <w:lang w:val="en-AU"/>
        </w:rPr>
        <w:t>the potential</w:t>
      </w:r>
      <w:r w:rsidR="00870294">
        <w:rPr>
          <w:rFonts w:ascii="Century Gothic" w:eastAsiaTheme="minorHAnsi" w:hAnsi="Century Gothic"/>
          <w:sz w:val="20"/>
          <w:szCs w:val="20"/>
          <w:lang w:val="en-AU"/>
        </w:rPr>
        <w:t xml:space="preserve"> </w:t>
      </w:r>
      <w:r w:rsidR="005A2D7B">
        <w:rPr>
          <w:rFonts w:ascii="Century Gothic" w:eastAsiaTheme="minorHAnsi" w:hAnsi="Century Gothic"/>
          <w:sz w:val="20"/>
          <w:szCs w:val="20"/>
          <w:lang w:val="en-AU"/>
        </w:rPr>
        <w:t xml:space="preserve">to provide the </w:t>
      </w:r>
      <w:r w:rsidR="005A2D7B" w:rsidRPr="00870294">
        <w:rPr>
          <w:rFonts w:ascii="Century Gothic" w:hAnsi="Century Gothic"/>
          <w:sz w:val="20"/>
          <w:szCs w:val="20"/>
        </w:rPr>
        <w:t xml:space="preserve">Australian Government </w:t>
      </w:r>
      <w:r w:rsidR="005A2D7B">
        <w:rPr>
          <w:rFonts w:ascii="Century Gothic" w:hAnsi="Century Gothic"/>
          <w:sz w:val="20"/>
          <w:szCs w:val="20"/>
        </w:rPr>
        <w:t>with tighter direction and accountability over any future SFSF funding especially in a con</w:t>
      </w:r>
      <w:r w:rsidR="008724D0">
        <w:rPr>
          <w:rFonts w:ascii="Century Gothic" w:hAnsi="Century Gothic"/>
          <w:sz w:val="20"/>
          <w:szCs w:val="20"/>
        </w:rPr>
        <w:t>strained resource environment.</w:t>
      </w:r>
    </w:p>
    <w:p w14:paraId="1235E196" w14:textId="56E9355C" w:rsidR="00870294" w:rsidRDefault="005A2D7B" w:rsidP="00CD02E8">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Each also has</w:t>
      </w:r>
      <w:r w:rsidR="00870294">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issues that largely go to the relationship between NGRBs and the national and state authorities and would require significant negotiation between these parties to ensure an effective and efficient program </w:t>
      </w:r>
      <w:r w:rsidR="009C2528">
        <w:rPr>
          <w:rFonts w:ascii="Century Gothic" w:eastAsiaTheme="minorHAnsi" w:hAnsi="Century Gothic"/>
          <w:sz w:val="20"/>
          <w:szCs w:val="20"/>
          <w:lang w:val="en-AU"/>
        </w:rPr>
        <w:t xml:space="preserve">or replacement </w:t>
      </w:r>
      <w:r>
        <w:rPr>
          <w:rFonts w:ascii="Century Gothic" w:eastAsiaTheme="minorHAnsi" w:hAnsi="Century Gothic"/>
          <w:sz w:val="20"/>
          <w:szCs w:val="20"/>
          <w:lang w:val="en-AU"/>
        </w:rPr>
        <w:t>is implemented.</w:t>
      </w:r>
    </w:p>
    <w:p w14:paraId="7E06C039" w14:textId="6C8E535E" w:rsidR="00936605" w:rsidRDefault="00936605" w:rsidP="00CD02E8">
      <w:pPr>
        <w:spacing w:after="120" w:line="276" w:lineRule="auto"/>
        <w:ind w:right="-340"/>
        <w:jc w:val="both"/>
      </w:pPr>
      <w:r>
        <w:br w:type="page"/>
      </w:r>
    </w:p>
    <w:p w14:paraId="10FFE33F" w14:textId="77777777" w:rsidR="00CD0931" w:rsidRDefault="00CD0931" w:rsidP="004B2D8A">
      <w:pPr>
        <w:pStyle w:val="Heading1"/>
        <w:ind w:right="-340"/>
        <w:jc w:val="center"/>
        <w:rPr>
          <w:sz w:val="32"/>
          <w:szCs w:val="32"/>
          <w:u w:val="none"/>
        </w:rPr>
      </w:pPr>
      <w:bookmarkStart w:id="11" w:name="_Toc495587295"/>
      <w:r w:rsidRPr="00CD0931">
        <w:rPr>
          <w:sz w:val="32"/>
          <w:szCs w:val="32"/>
          <w:u w:val="none"/>
        </w:rPr>
        <w:lastRenderedPageBreak/>
        <w:t>Part 1</w:t>
      </w:r>
      <w:bookmarkEnd w:id="11"/>
      <w:r w:rsidRPr="00CD0931">
        <w:rPr>
          <w:sz w:val="32"/>
          <w:szCs w:val="32"/>
          <w:u w:val="none"/>
        </w:rPr>
        <w:t xml:space="preserve"> </w:t>
      </w:r>
    </w:p>
    <w:p w14:paraId="1766931A" w14:textId="5C6FC93A" w:rsidR="00CD0931" w:rsidRPr="00CD0931" w:rsidRDefault="00227EAA" w:rsidP="004B2D8A">
      <w:pPr>
        <w:pStyle w:val="Heading1"/>
        <w:ind w:right="-340"/>
        <w:jc w:val="center"/>
        <w:rPr>
          <w:sz w:val="32"/>
          <w:szCs w:val="32"/>
          <w:u w:val="none"/>
        </w:rPr>
      </w:pPr>
      <w:bookmarkStart w:id="12" w:name="_Toc495587296"/>
      <w:r>
        <w:rPr>
          <w:sz w:val="32"/>
          <w:szCs w:val="32"/>
          <w:u w:val="none"/>
        </w:rPr>
        <w:t>Review F</w:t>
      </w:r>
      <w:r w:rsidR="00CD0931" w:rsidRPr="00CD0931">
        <w:rPr>
          <w:sz w:val="32"/>
          <w:szCs w:val="32"/>
          <w:u w:val="none"/>
        </w:rPr>
        <w:t>indings and Discussion</w:t>
      </w:r>
      <w:bookmarkEnd w:id="12"/>
    </w:p>
    <w:p w14:paraId="3CDECC6D" w14:textId="13A1C7F4" w:rsidR="006A008B" w:rsidRPr="00965DED" w:rsidRDefault="00CD0931" w:rsidP="004B2D8A">
      <w:pPr>
        <w:ind w:right="-340"/>
        <w:rPr>
          <w:rFonts w:ascii="Century Gothic" w:hAnsi="Century Gothic"/>
          <w:sz w:val="20"/>
          <w:szCs w:val="20"/>
        </w:rPr>
      </w:pPr>
      <w:r>
        <w:rPr>
          <w:sz w:val="32"/>
          <w:szCs w:val="32"/>
        </w:rPr>
        <w:br w:type="page"/>
      </w:r>
    </w:p>
    <w:p w14:paraId="12A9BFAA" w14:textId="58DD2132" w:rsidR="008B6DC4" w:rsidRPr="00DD2A48" w:rsidRDefault="0085758B" w:rsidP="004B2D8A">
      <w:pPr>
        <w:pStyle w:val="Heading1"/>
        <w:ind w:right="-340"/>
        <w:rPr>
          <w:sz w:val="32"/>
          <w:szCs w:val="32"/>
        </w:rPr>
      </w:pPr>
      <w:bookmarkStart w:id="13" w:name="_Toc495587297"/>
      <w:r>
        <w:rPr>
          <w:sz w:val="32"/>
          <w:szCs w:val="32"/>
        </w:rPr>
        <w:lastRenderedPageBreak/>
        <w:t>1.</w:t>
      </w:r>
      <w:r>
        <w:rPr>
          <w:sz w:val="32"/>
          <w:szCs w:val="32"/>
        </w:rPr>
        <w:tab/>
      </w:r>
      <w:r w:rsidR="00DD2A48" w:rsidRPr="00DD2A48">
        <w:rPr>
          <w:sz w:val="32"/>
          <w:szCs w:val="32"/>
        </w:rPr>
        <w:t>Introduction</w:t>
      </w:r>
      <w:bookmarkEnd w:id="13"/>
    </w:p>
    <w:p w14:paraId="25EF1BFC" w14:textId="4B4B89A0" w:rsidR="00E917C0" w:rsidRPr="00E63B15" w:rsidRDefault="008B6DC4" w:rsidP="004B2D8A">
      <w:pPr>
        <w:pStyle w:val="Heading2"/>
        <w:ind w:right="-340"/>
        <w:rPr>
          <w:rStyle w:val="IntenseReference"/>
          <w:color w:val="0070C0"/>
          <w:spacing w:val="0"/>
        </w:rPr>
      </w:pPr>
      <w:bookmarkStart w:id="14" w:name="_Toc495587298"/>
      <w:r w:rsidRPr="00E917C0">
        <w:rPr>
          <w:rStyle w:val="IntenseReference"/>
          <w:b/>
          <w:color w:val="0070C0"/>
        </w:rPr>
        <w:t>1</w:t>
      </w:r>
      <w:r w:rsidRPr="00E63B15">
        <w:rPr>
          <w:rStyle w:val="IntenseReference"/>
          <w:b/>
          <w:bCs/>
          <w:smallCaps w:val="0"/>
          <w:color w:val="0070C0"/>
          <w:spacing w:val="0"/>
        </w:rPr>
        <w:t>.</w:t>
      </w:r>
      <w:r w:rsidR="0046119A" w:rsidRPr="00E63B15">
        <w:rPr>
          <w:rStyle w:val="IntenseReference"/>
          <w:b/>
          <w:bCs/>
          <w:smallCaps w:val="0"/>
          <w:color w:val="0070C0"/>
          <w:spacing w:val="0"/>
        </w:rPr>
        <w:t>1</w:t>
      </w:r>
      <w:r w:rsidRPr="00E63B15">
        <w:rPr>
          <w:rStyle w:val="IntenseReference"/>
          <w:b/>
          <w:bCs/>
          <w:smallCaps w:val="0"/>
          <w:color w:val="0070C0"/>
          <w:spacing w:val="0"/>
        </w:rPr>
        <w:t xml:space="preserve"> </w:t>
      </w:r>
      <w:r w:rsidR="002F2D2D" w:rsidRPr="00E63B15">
        <w:rPr>
          <w:rStyle w:val="IntenseReference"/>
          <w:b/>
          <w:bCs/>
          <w:smallCaps w:val="0"/>
          <w:color w:val="0070C0"/>
          <w:spacing w:val="0"/>
        </w:rPr>
        <w:tab/>
      </w:r>
      <w:r w:rsidR="008C53C1" w:rsidRPr="00E63B15">
        <w:rPr>
          <w:rStyle w:val="IntenseReference"/>
          <w:b/>
          <w:bCs/>
          <w:smallCaps w:val="0"/>
          <w:color w:val="0070C0"/>
          <w:spacing w:val="0"/>
        </w:rPr>
        <w:t>Review requirements</w:t>
      </w:r>
      <w:bookmarkEnd w:id="14"/>
      <w:r w:rsidR="008C53C1" w:rsidRPr="00E63B15">
        <w:rPr>
          <w:rStyle w:val="IntenseReference"/>
          <w:b/>
          <w:bCs/>
          <w:smallCaps w:val="0"/>
          <w:color w:val="0070C0"/>
          <w:spacing w:val="0"/>
        </w:rPr>
        <w:t xml:space="preserve"> </w:t>
      </w:r>
    </w:p>
    <w:p w14:paraId="4D183FF1" w14:textId="1995AD8C" w:rsidR="00E917C0" w:rsidRPr="00E917C0" w:rsidRDefault="00E917C0" w:rsidP="004B2D8A">
      <w:p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 xml:space="preserve">Students First Support Fund </w:t>
      </w:r>
      <w:r>
        <w:rPr>
          <w:rFonts w:ascii="Century Gothic" w:eastAsiaTheme="minorHAnsi" w:hAnsi="Century Gothic"/>
          <w:sz w:val="20"/>
          <w:szCs w:val="20"/>
          <w:lang w:val="en-AU"/>
        </w:rPr>
        <w:t xml:space="preserve">(SFSF) </w:t>
      </w:r>
      <w:r w:rsidR="00EC153A">
        <w:rPr>
          <w:rFonts w:ascii="Century Gothic" w:eastAsiaTheme="minorHAnsi" w:hAnsi="Century Gothic"/>
          <w:sz w:val="20"/>
          <w:szCs w:val="20"/>
          <w:lang w:val="en-AU"/>
        </w:rPr>
        <w:t>provides $165 million over 2014-</w:t>
      </w:r>
      <w:r w:rsidRPr="00E917C0">
        <w:rPr>
          <w:rFonts w:ascii="Century Gothic" w:eastAsiaTheme="minorHAnsi" w:hAnsi="Century Gothic"/>
          <w:sz w:val="20"/>
          <w:szCs w:val="20"/>
          <w:lang w:val="en-AU"/>
        </w:rPr>
        <w:t xml:space="preserve">17 to organisations approved by the Minister for Education and Training as non-government representative bodies </w:t>
      </w:r>
      <w:r>
        <w:rPr>
          <w:rFonts w:ascii="Century Gothic" w:eastAsiaTheme="minorHAnsi" w:hAnsi="Century Gothic"/>
          <w:sz w:val="20"/>
          <w:szCs w:val="20"/>
          <w:lang w:val="en-AU"/>
        </w:rPr>
        <w:t xml:space="preserve">(NGRBs) </w:t>
      </w:r>
      <w:r w:rsidRPr="00E917C0">
        <w:rPr>
          <w:rFonts w:ascii="Century Gothic" w:eastAsiaTheme="minorHAnsi" w:hAnsi="Century Gothic"/>
          <w:sz w:val="20"/>
          <w:szCs w:val="20"/>
          <w:lang w:val="en-AU"/>
        </w:rPr>
        <w:t>under Section 89 of the</w:t>
      </w:r>
      <w:r w:rsidR="008724D0">
        <w:rPr>
          <w:rFonts w:ascii="Century Gothic" w:eastAsiaTheme="minorHAnsi" w:hAnsi="Century Gothic"/>
          <w:sz w:val="20"/>
          <w:szCs w:val="20"/>
          <w:lang w:val="en-AU"/>
        </w:rPr>
        <w:t xml:space="preserve"> Australian Education Act 2013.</w:t>
      </w:r>
    </w:p>
    <w:p w14:paraId="79FFD506" w14:textId="3D6B47E9" w:rsidR="00E917C0" w:rsidRPr="00E917C0" w:rsidRDefault="00E917C0"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Department of Education and Training (DET) has commissioned PTR Consulting to undertake an </w:t>
      </w:r>
      <w:r w:rsidR="00EC153A">
        <w:rPr>
          <w:rFonts w:ascii="Century Gothic" w:eastAsiaTheme="minorHAnsi" w:hAnsi="Century Gothic"/>
          <w:sz w:val="20"/>
          <w:szCs w:val="20"/>
          <w:lang w:val="en-AU"/>
        </w:rPr>
        <w:t>Independent R</w:t>
      </w:r>
      <w:r w:rsidRPr="00E917C0">
        <w:rPr>
          <w:rFonts w:ascii="Century Gothic" w:eastAsiaTheme="minorHAnsi" w:hAnsi="Century Gothic"/>
          <w:sz w:val="20"/>
          <w:szCs w:val="20"/>
          <w:lang w:val="en-AU"/>
        </w:rPr>
        <w:t xml:space="preserve">eview of the </w:t>
      </w:r>
      <w:r>
        <w:rPr>
          <w:rFonts w:ascii="Century Gothic" w:eastAsiaTheme="minorHAnsi" w:hAnsi="Century Gothic"/>
          <w:sz w:val="20"/>
          <w:szCs w:val="20"/>
          <w:lang w:val="en-AU"/>
        </w:rPr>
        <w:t xml:space="preserve">SFSF to </w:t>
      </w:r>
      <w:r w:rsidRPr="00E917C0">
        <w:rPr>
          <w:rFonts w:ascii="Century Gothic" w:eastAsiaTheme="minorHAnsi" w:hAnsi="Century Gothic"/>
          <w:sz w:val="20"/>
          <w:szCs w:val="20"/>
          <w:lang w:val="en-AU"/>
        </w:rPr>
        <w:t xml:space="preserve">consider whether the Australian Government has achieved value for money and whether the </w:t>
      </w:r>
      <w:r>
        <w:rPr>
          <w:rFonts w:ascii="Century Gothic" w:eastAsiaTheme="minorHAnsi" w:hAnsi="Century Gothic"/>
          <w:sz w:val="20"/>
          <w:szCs w:val="20"/>
          <w:lang w:val="en-AU"/>
        </w:rPr>
        <w:t>f</w:t>
      </w:r>
      <w:r w:rsidRPr="00E917C0">
        <w:rPr>
          <w:rFonts w:ascii="Century Gothic" w:eastAsiaTheme="minorHAnsi" w:hAnsi="Century Gothic"/>
          <w:sz w:val="20"/>
          <w:szCs w:val="20"/>
          <w:lang w:val="en-AU"/>
        </w:rPr>
        <w:t>und has facilitated the implementation of government policy priorities.</w:t>
      </w:r>
    </w:p>
    <w:p w14:paraId="7053335B" w14:textId="41A1E052" w:rsidR="00E917C0" w:rsidRPr="00E917C0" w:rsidRDefault="00EC153A"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R</w:t>
      </w:r>
      <w:r w:rsidR="00E917C0" w:rsidRPr="00E917C0">
        <w:rPr>
          <w:rFonts w:ascii="Century Gothic" w:eastAsiaTheme="minorHAnsi" w:hAnsi="Century Gothic"/>
          <w:sz w:val="20"/>
          <w:szCs w:val="20"/>
          <w:lang w:val="en-AU"/>
        </w:rPr>
        <w:t>eview assess</w:t>
      </w:r>
      <w:r w:rsidR="00E917C0">
        <w:rPr>
          <w:rFonts w:ascii="Century Gothic" w:eastAsiaTheme="minorHAnsi" w:hAnsi="Century Gothic"/>
          <w:sz w:val="20"/>
          <w:szCs w:val="20"/>
          <w:lang w:val="en-AU"/>
        </w:rPr>
        <w:t>es</w:t>
      </w:r>
      <w:r w:rsidR="00E917C0" w:rsidRPr="00E917C0">
        <w:rPr>
          <w:rFonts w:ascii="Century Gothic" w:eastAsiaTheme="minorHAnsi" w:hAnsi="Century Gothic"/>
          <w:sz w:val="20"/>
          <w:szCs w:val="20"/>
          <w:lang w:val="en-AU"/>
        </w:rPr>
        <w:t xml:space="preserve"> current arrangements for </w:t>
      </w:r>
      <w:r>
        <w:rPr>
          <w:rFonts w:ascii="Century Gothic" w:eastAsiaTheme="minorHAnsi" w:hAnsi="Century Gothic"/>
          <w:sz w:val="20"/>
          <w:szCs w:val="20"/>
          <w:lang w:val="en-AU"/>
        </w:rPr>
        <w:t>NGRBs</w:t>
      </w:r>
      <w:r w:rsidR="00E917C0" w:rsidRPr="00E917C0">
        <w:rPr>
          <w:rFonts w:ascii="Century Gothic" w:eastAsiaTheme="minorHAnsi" w:hAnsi="Century Gothic"/>
          <w:sz w:val="20"/>
          <w:szCs w:val="20"/>
          <w:lang w:val="en-AU"/>
        </w:rPr>
        <w:t xml:space="preserve"> and activities undertaken with the funding.</w:t>
      </w:r>
    </w:p>
    <w:p w14:paraId="42E61BF3" w14:textId="581C4940" w:rsidR="00E917C0" w:rsidRPr="00E917C0" w:rsidRDefault="00E917C0" w:rsidP="004B2D8A">
      <w:p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 xml:space="preserve">Specifically </w:t>
      </w:r>
      <w:r>
        <w:rPr>
          <w:rFonts w:ascii="Century Gothic" w:eastAsiaTheme="minorHAnsi" w:hAnsi="Century Gothic"/>
          <w:sz w:val="20"/>
          <w:szCs w:val="20"/>
          <w:lang w:val="en-AU"/>
        </w:rPr>
        <w:t xml:space="preserve">the review </w:t>
      </w:r>
      <w:r w:rsidR="008724D0">
        <w:rPr>
          <w:rFonts w:ascii="Century Gothic" w:eastAsiaTheme="minorHAnsi" w:hAnsi="Century Gothic"/>
          <w:sz w:val="20"/>
          <w:szCs w:val="20"/>
          <w:lang w:val="en-AU"/>
        </w:rPr>
        <w:t>brief is the following.</w:t>
      </w:r>
    </w:p>
    <w:p w14:paraId="10CB16B7" w14:textId="77777777" w:rsidR="00E917C0" w:rsidRPr="00E917C0" w:rsidRDefault="00E917C0" w:rsidP="006A1D2B">
      <w:pPr>
        <w:pStyle w:val="ListParagraph"/>
        <w:numPr>
          <w:ilvl w:val="0"/>
          <w:numId w:val="8"/>
        </w:num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Examine how the non-government representative bodies have used the funding to improve student outcomes and support the implementation of government policy priorities.</w:t>
      </w:r>
    </w:p>
    <w:p w14:paraId="5A33315D" w14:textId="77777777" w:rsidR="00E917C0" w:rsidRPr="00E917C0" w:rsidRDefault="00E917C0" w:rsidP="006A1D2B">
      <w:pPr>
        <w:pStyle w:val="ListParagraph"/>
        <w:numPr>
          <w:ilvl w:val="0"/>
          <w:numId w:val="8"/>
        </w:num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Assess whether the funding has delivered improved student outcomes and supported the implementation of policy priorities.</w:t>
      </w:r>
    </w:p>
    <w:p w14:paraId="78F9902D" w14:textId="14E70F57" w:rsidR="00E917C0" w:rsidRPr="00E917C0" w:rsidRDefault="00E917C0" w:rsidP="006A1D2B">
      <w:pPr>
        <w:pStyle w:val="ListParagraph"/>
        <w:numPr>
          <w:ilvl w:val="0"/>
          <w:numId w:val="8"/>
        </w:num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Assess the awareness of the Fund and associated services among member schools, the level of take-up and perceptions of services offered.</w:t>
      </w:r>
    </w:p>
    <w:p w14:paraId="191D14EC" w14:textId="77777777" w:rsidR="00E917C0" w:rsidRPr="00E917C0" w:rsidRDefault="00E917C0" w:rsidP="006A1D2B">
      <w:pPr>
        <w:pStyle w:val="ListParagraph"/>
        <w:numPr>
          <w:ilvl w:val="0"/>
          <w:numId w:val="8"/>
        </w:num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 xml:space="preserve">Consider the appropriateness of the annual reporting and accountability arrangements. </w:t>
      </w:r>
    </w:p>
    <w:p w14:paraId="0BB85DE8" w14:textId="74BC1565" w:rsidR="00E917C0" w:rsidRPr="00E917C0" w:rsidRDefault="00E917C0" w:rsidP="006A1D2B">
      <w:pPr>
        <w:pStyle w:val="ListParagraph"/>
        <w:numPr>
          <w:ilvl w:val="0"/>
          <w:numId w:val="8"/>
        </w:numPr>
        <w:spacing w:after="200" w:line="276" w:lineRule="auto"/>
        <w:ind w:right="-340"/>
        <w:jc w:val="both"/>
        <w:rPr>
          <w:rFonts w:ascii="Century Gothic" w:eastAsiaTheme="minorHAnsi" w:hAnsi="Century Gothic"/>
          <w:sz w:val="20"/>
          <w:szCs w:val="20"/>
          <w:lang w:val="en-AU"/>
        </w:rPr>
      </w:pPr>
      <w:r w:rsidRPr="00E917C0">
        <w:rPr>
          <w:rFonts w:ascii="Century Gothic" w:eastAsiaTheme="minorHAnsi" w:hAnsi="Century Gothic"/>
          <w:sz w:val="20"/>
          <w:szCs w:val="20"/>
          <w:lang w:val="en-AU"/>
        </w:rPr>
        <w:t>Consider whether the Fund investment has delivered value for money.</w:t>
      </w:r>
    </w:p>
    <w:p w14:paraId="4BAD954D" w14:textId="6691E718" w:rsidR="006B62C4" w:rsidRPr="00E917C0" w:rsidRDefault="00E917C0" w:rsidP="006A1D2B">
      <w:pPr>
        <w:pStyle w:val="ListParagraph"/>
        <w:numPr>
          <w:ilvl w:val="0"/>
          <w:numId w:val="8"/>
        </w:numPr>
        <w:spacing w:after="200" w:line="276" w:lineRule="auto"/>
        <w:ind w:right="-340"/>
        <w:jc w:val="both"/>
        <w:rPr>
          <w:rStyle w:val="IntenseReference"/>
          <w:rFonts w:ascii="Century Gothic" w:eastAsiaTheme="minorHAnsi" w:hAnsi="Century Gothic"/>
          <w:b w:val="0"/>
          <w:bCs w:val="0"/>
          <w:smallCaps w:val="0"/>
          <w:color w:val="auto"/>
          <w:spacing w:val="0"/>
          <w:sz w:val="20"/>
          <w:szCs w:val="20"/>
          <w:u w:val="none"/>
          <w:lang w:val="en-AU"/>
        </w:rPr>
      </w:pPr>
      <w:r w:rsidRPr="00E917C0">
        <w:rPr>
          <w:rFonts w:ascii="Century Gothic" w:eastAsiaTheme="minorHAnsi" w:hAnsi="Century Gothic"/>
          <w:sz w:val="20"/>
          <w:szCs w:val="20"/>
          <w:lang w:val="en-AU"/>
        </w:rPr>
        <w:t>Consider whether the Fund should be maintained, with or without changes, based on the evide</w:t>
      </w:r>
      <w:r>
        <w:rPr>
          <w:rFonts w:ascii="Century Gothic" w:eastAsiaTheme="minorHAnsi" w:hAnsi="Century Gothic"/>
          <w:sz w:val="20"/>
          <w:szCs w:val="20"/>
          <w:lang w:val="en-AU"/>
        </w:rPr>
        <w:t>nce gathered during the review.</w:t>
      </w:r>
    </w:p>
    <w:p w14:paraId="1A42E10B" w14:textId="0A3DD78D" w:rsidR="00A72C21" w:rsidRPr="00E63B15" w:rsidRDefault="0046119A" w:rsidP="004B2D8A">
      <w:pPr>
        <w:pStyle w:val="Heading2"/>
        <w:ind w:right="-340"/>
        <w:rPr>
          <w:rStyle w:val="IntenseReference"/>
          <w:b/>
          <w:bCs/>
          <w:smallCaps w:val="0"/>
          <w:color w:val="0070C0"/>
          <w:spacing w:val="0"/>
        </w:rPr>
      </w:pPr>
      <w:bookmarkStart w:id="15" w:name="_Toc495587299"/>
      <w:r>
        <w:rPr>
          <w:rStyle w:val="IntenseReference"/>
          <w:b/>
          <w:bCs/>
          <w:smallCaps w:val="0"/>
          <w:color w:val="0070C0"/>
          <w:spacing w:val="0"/>
        </w:rPr>
        <w:t>1</w:t>
      </w:r>
      <w:r w:rsidRPr="00E63B15">
        <w:rPr>
          <w:rStyle w:val="IntenseReference"/>
          <w:b/>
          <w:bCs/>
          <w:smallCaps w:val="0"/>
          <w:color w:val="0070C0"/>
          <w:spacing w:val="0"/>
        </w:rPr>
        <w:t>.</w:t>
      </w:r>
      <w:r w:rsidR="008C53C1" w:rsidRPr="00E63B15">
        <w:rPr>
          <w:rStyle w:val="IntenseReference"/>
          <w:b/>
          <w:bCs/>
          <w:smallCaps w:val="0"/>
          <w:color w:val="0070C0"/>
          <w:spacing w:val="0"/>
        </w:rPr>
        <w:t xml:space="preserve">2. </w:t>
      </w:r>
      <w:r w:rsidR="002F2D2D" w:rsidRPr="00E63B15">
        <w:rPr>
          <w:rStyle w:val="IntenseReference"/>
          <w:b/>
          <w:bCs/>
          <w:smallCaps w:val="0"/>
          <w:color w:val="0070C0"/>
          <w:spacing w:val="0"/>
        </w:rPr>
        <w:tab/>
      </w:r>
      <w:r w:rsidR="008C53C1" w:rsidRPr="00E63B15">
        <w:rPr>
          <w:rStyle w:val="IntenseReference"/>
          <w:b/>
          <w:bCs/>
          <w:smallCaps w:val="0"/>
          <w:color w:val="0070C0"/>
          <w:spacing w:val="0"/>
        </w:rPr>
        <w:t>Methodology</w:t>
      </w:r>
      <w:bookmarkEnd w:id="15"/>
    </w:p>
    <w:p w14:paraId="399FACBB" w14:textId="3431FBE3" w:rsidR="002F2D2D" w:rsidRDefault="002F2D2D"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Based on the </w:t>
      </w:r>
      <w:r w:rsidR="00EC23C6">
        <w:rPr>
          <w:rFonts w:ascii="Century Gothic" w:eastAsiaTheme="minorHAnsi" w:hAnsi="Century Gothic"/>
          <w:sz w:val="20"/>
          <w:szCs w:val="20"/>
          <w:lang w:val="en-AU"/>
        </w:rPr>
        <w:t xml:space="preserve">NGRB documentation provided to the review </w:t>
      </w:r>
      <w:r w:rsidR="00197C85">
        <w:rPr>
          <w:rFonts w:ascii="Century Gothic" w:eastAsiaTheme="minorHAnsi" w:hAnsi="Century Gothic"/>
          <w:sz w:val="20"/>
          <w:szCs w:val="20"/>
          <w:lang w:val="en-AU"/>
        </w:rPr>
        <w:t xml:space="preserve">by DET </w:t>
      </w:r>
      <w:r>
        <w:rPr>
          <w:rFonts w:ascii="Century Gothic" w:eastAsiaTheme="minorHAnsi" w:hAnsi="Century Gothic"/>
          <w:sz w:val="20"/>
          <w:szCs w:val="20"/>
          <w:lang w:val="en-AU"/>
        </w:rPr>
        <w:t xml:space="preserve">and interviews with NGRBs and school leaders the review has attempted to assess the nature, intent and quality of the activities provided by NGRBs using the SFSF funds.  </w:t>
      </w:r>
      <w:r w:rsidR="00EC23C6">
        <w:rPr>
          <w:rFonts w:ascii="Century Gothic" w:eastAsiaTheme="minorHAnsi" w:hAnsi="Century Gothic"/>
          <w:sz w:val="20"/>
          <w:szCs w:val="20"/>
          <w:lang w:val="en-AU"/>
        </w:rPr>
        <w:t>T</w:t>
      </w:r>
      <w:r>
        <w:rPr>
          <w:rFonts w:ascii="Century Gothic" w:eastAsiaTheme="minorHAnsi" w:hAnsi="Century Gothic"/>
          <w:sz w:val="20"/>
          <w:szCs w:val="20"/>
          <w:lang w:val="en-AU"/>
        </w:rPr>
        <w:t xml:space="preserve">he review has sought to </w:t>
      </w:r>
      <w:r w:rsidR="00F40AF3">
        <w:rPr>
          <w:rFonts w:ascii="Century Gothic" w:eastAsiaTheme="minorHAnsi" w:hAnsi="Century Gothic"/>
          <w:sz w:val="20"/>
          <w:szCs w:val="20"/>
          <w:lang w:val="en-AU"/>
        </w:rPr>
        <w:t>address the following questions through desk-top analysis of documentation, consultation with executives of NGRBs and interviews with school</w:t>
      </w:r>
      <w:r w:rsidR="008724D0">
        <w:rPr>
          <w:rFonts w:ascii="Century Gothic" w:eastAsiaTheme="minorHAnsi" w:hAnsi="Century Gothic"/>
          <w:sz w:val="20"/>
          <w:szCs w:val="20"/>
          <w:lang w:val="en-AU"/>
        </w:rPr>
        <w:t xml:space="preserve"> leadership.</w:t>
      </w:r>
    </w:p>
    <w:p w14:paraId="09B7DBA9" w14:textId="5EAD7DC8" w:rsidR="00A72C21" w:rsidRDefault="00A72C21" w:rsidP="004B2D8A">
      <w:pPr>
        <w:jc w:val="center"/>
        <w:rPr>
          <w:rFonts w:ascii="Century Gothic" w:hAnsi="Century Gothic"/>
          <w:b/>
          <w:color w:val="0070C0"/>
          <w:sz w:val="20"/>
          <w:szCs w:val="20"/>
        </w:rPr>
      </w:pPr>
      <w:r w:rsidRPr="004B2D8A">
        <w:rPr>
          <w:rFonts w:ascii="Century Gothic" w:hAnsi="Century Gothic"/>
          <w:b/>
          <w:color w:val="0070C0"/>
          <w:sz w:val="20"/>
          <w:szCs w:val="20"/>
        </w:rPr>
        <w:t>Desk-top analysis, consultation and interviews</w:t>
      </w:r>
    </w:p>
    <w:tbl>
      <w:tblPr>
        <w:tblStyle w:val="TableGrid"/>
        <w:tblW w:w="0" w:type="auto"/>
        <w:tblLook w:val="04A0" w:firstRow="1" w:lastRow="0" w:firstColumn="1" w:lastColumn="0" w:noHBand="0" w:noVBand="1"/>
        <w:tblCaption w:val="Desk-top  analysis, consultaton and interviews"/>
        <w:tblDescription w:val="This table outlines the questions this review has sought to address."/>
      </w:tblPr>
      <w:tblGrid>
        <w:gridCol w:w="4428"/>
        <w:gridCol w:w="4428"/>
      </w:tblGrid>
      <w:tr w:rsidR="007239F5" w14:paraId="18915EC0" w14:textId="77777777" w:rsidTr="00C511CC">
        <w:trPr>
          <w:tblHeader/>
        </w:trPr>
        <w:tc>
          <w:tcPr>
            <w:tcW w:w="4428" w:type="dxa"/>
          </w:tcPr>
          <w:p w14:paraId="1033D996" w14:textId="48962899" w:rsidR="007239F5" w:rsidRPr="007A541F" w:rsidRDefault="007239F5" w:rsidP="007239F5">
            <w:pPr>
              <w:rPr>
                <w:b/>
                <w:color w:val="1F497D" w:themeColor="text2"/>
                <w:sz w:val="18"/>
                <w:szCs w:val="18"/>
              </w:rPr>
            </w:pPr>
            <w:r w:rsidRPr="007A541F">
              <w:rPr>
                <w:b/>
                <w:color w:val="1F497D" w:themeColor="text2"/>
                <w:sz w:val="18"/>
                <w:szCs w:val="18"/>
              </w:rPr>
              <w:t xml:space="preserve">SFSF priorities and use of funds </w:t>
            </w:r>
          </w:p>
        </w:tc>
        <w:tc>
          <w:tcPr>
            <w:tcW w:w="4428" w:type="dxa"/>
          </w:tcPr>
          <w:p w14:paraId="302F104E" w14:textId="7D039C77" w:rsidR="007239F5" w:rsidRPr="007A541F" w:rsidRDefault="00C31922" w:rsidP="00A33D23">
            <w:pPr>
              <w:rPr>
                <w:b/>
                <w:color w:val="1F497D" w:themeColor="text2"/>
                <w:sz w:val="18"/>
                <w:szCs w:val="18"/>
              </w:rPr>
            </w:pPr>
            <w:r>
              <w:rPr>
                <w:b/>
                <w:color w:val="1F497D" w:themeColor="text2"/>
                <w:sz w:val="18"/>
                <w:szCs w:val="18"/>
              </w:rPr>
              <w:t xml:space="preserve">Achieving outcomes </w:t>
            </w:r>
          </w:p>
        </w:tc>
      </w:tr>
      <w:tr w:rsidR="00A33D23" w14:paraId="7039CDE5" w14:textId="77777777" w:rsidTr="00301150">
        <w:tc>
          <w:tcPr>
            <w:tcW w:w="4428" w:type="dxa"/>
          </w:tcPr>
          <w:p w14:paraId="19735C0E" w14:textId="77777777" w:rsidR="00A33D23" w:rsidRPr="007A541F" w:rsidRDefault="00A33D23" w:rsidP="00A33D23">
            <w:pPr>
              <w:rPr>
                <w:b/>
                <w:i/>
                <w:sz w:val="18"/>
                <w:szCs w:val="18"/>
              </w:rPr>
            </w:pPr>
            <w:r>
              <w:rPr>
                <w:b/>
                <w:i/>
                <w:sz w:val="18"/>
                <w:szCs w:val="18"/>
              </w:rPr>
              <w:t>Program content and delivery</w:t>
            </w:r>
          </w:p>
          <w:p w14:paraId="799F56D4" w14:textId="77777777" w:rsidR="00A33D23" w:rsidRPr="007A541F" w:rsidRDefault="00A33D23" w:rsidP="00A33D23">
            <w:pPr>
              <w:pStyle w:val="ListParagraph"/>
              <w:numPr>
                <w:ilvl w:val="0"/>
                <w:numId w:val="2"/>
              </w:numPr>
              <w:rPr>
                <w:b/>
                <w:sz w:val="18"/>
                <w:szCs w:val="18"/>
              </w:rPr>
            </w:pPr>
            <w:r w:rsidRPr="007A541F">
              <w:rPr>
                <w:sz w:val="18"/>
                <w:szCs w:val="18"/>
              </w:rPr>
              <w:t>Have bodies implemented government priorities?</w:t>
            </w:r>
          </w:p>
          <w:p w14:paraId="70D309BC" w14:textId="77777777" w:rsidR="00A33D23" w:rsidRPr="007A541F" w:rsidRDefault="00A33D23" w:rsidP="00A33D23">
            <w:pPr>
              <w:pStyle w:val="ListParagraph"/>
              <w:numPr>
                <w:ilvl w:val="0"/>
                <w:numId w:val="2"/>
              </w:numPr>
              <w:rPr>
                <w:b/>
                <w:sz w:val="18"/>
                <w:szCs w:val="18"/>
              </w:rPr>
            </w:pPr>
            <w:r w:rsidRPr="007A541F">
              <w:rPr>
                <w:sz w:val="18"/>
                <w:szCs w:val="18"/>
              </w:rPr>
              <w:t>How have funds been applied to priorities</w:t>
            </w:r>
            <w:r>
              <w:rPr>
                <w:sz w:val="18"/>
                <w:szCs w:val="18"/>
              </w:rPr>
              <w:t>- what are the delivery models?</w:t>
            </w:r>
            <w:r w:rsidRPr="007A541F">
              <w:rPr>
                <w:sz w:val="18"/>
                <w:szCs w:val="18"/>
              </w:rPr>
              <w:t xml:space="preserve"> </w:t>
            </w:r>
          </w:p>
          <w:p w14:paraId="6B2961E9" w14:textId="77777777" w:rsidR="00A33D23" w:rsidRPr="0097427B" w:rsidRDefault="00A33D23" w:rsidP="00A33D23">
            <w:pPr>
              <w:pStyle w:val="ListParagraph"/>
              <w:numPr>
                <w:ilvl w:val="0"/>
                <w:numId w:val="2"/>
              </w:numPr>
              <w:rPr>
                <w:b/>
                <w:sz w:val="18"/>
                <w:szCs w:val="18"/>
              </w:rPr>
            </w:pPr>
            <w:r w:rsidRPr="007A541F">
              <w:rPr>
                <w:sz w:val="18"/>
                <w:szCs w:val="18"/>
              </w:rPr>
              <w:t>How do they operate;</w:t>
            </w:r>
            <w:r>
              <w:rPr>
                <w:sz w:val="18"/>
                <w:szCs w:val="18"/>
              </w:rPr>
              <w:t xml:space="preserve"> are there ‘theories of action’?</w:t>
            </w:r>
          </w:p>
          <w:p w14:paraId="2D9E2826" w14:textId="77777777" w:rsidR="00A33D23" w:rsidRPr="007A541F" w:rsidRDefault="00A33D23" w:rsidP="00A33D23">
            <w:pPr>
              <w:rPr>
                <w:b/>
                <w:i/>
                <w:sz w:val="18"/>
                <w:szCs w:val="18"/>
              </w:rPr>
            </w:pPr>
            <w:r>
              <w:rPr>
                <w:b/>
                <w:i/>
                <w:sz w:val="18"/>
                <w:szCs w:val="18"/>
              </w:rPr>
              <w:t>Quality assessments</w:t>
            </w:r>
          </w:p>
          <w:p w14:paraId="27770110" w14:textId="77777777" w:rsidR="00A33D23" w:rsidRDefault="00A33D23" w:rsidP="00A33D23">
            <w:pPr>
              <w:pStyle w:val="ListParagraph"/>
              <w:numPr>
                <w:ilvl w:val="0"/>
                <w:numId w:val="2"/>
              </w:numPr>
            </w:pPr>
            <w:r w:rsidRPr="005E08A0">
              <w:rPr>
                <w:sz w:val="18"/>
                <w:szCs w:val="18"/>
              </w:rPr>
              <w:t>Have progress and quality been evaluated?</w:t>
            </w:r>
          </w:p>
          <w:p w14:paraId="29BE34CD" w14:textId="77777777" w:rsidR="00A33D23" w:rsidRDefault="00A33D23" w:rsidP="004B2D8A">
            <w:pPr>
              <w:jc w:val="center"/>
              <w:rPr>
                <w:rFonts w:ascii="Century Gothic" w:hAnsi="Century Gothic"/>
                <w:b/>
                <w:sz w:val="20"/>
                <w:szCs w:val="20"/>
              </w:rPr>
            </w:pPr>
          </w:p>
        </w:tc>
        <w:tc>
          <w:tcPr>
            <w:tcW w:w="4428" w:type="dxa"/>
          </w:tcPr>
          <w:p w14:paraId="4F0CEAAA" w14:textId="77777777" w:rsidR="00A33D23" w:rsidRPr="007A541F" w:rsidRDefault="00A33D23" w:rsidP="00A33D23">
            <w:pPr>
              <w:rPr>
                <w:b/>
                <w:i/>
                <w:sz w:val="18"/>
                <w:szCs w:val="18"/>
              </w:rPr>
            </w:pPr>
            <w:r>
              <w:rPr>
                <w:b/>
                <w:i/>
                <w:sz w:val="18"/>
                <w:szCs w:val="18"/>
              </w:rPr>
              <w:t>Value gain</w:t>
            </w:r>
          </w:p>
          <w:p w14:paraId="3D936CFA" w14:textId="77777777" w:rsidR="00A33D23" w:rsidRPr="007A541F" w:rsidRDefault="00A33D23" w:rsidP="00A33D23">
            <w:pPr>
              <w:pStyle w:val="ListParagraph"/>
              <w:numPr>
                <w:ilvl w:val="0"/>
                <w:numId w:val="3"/>
              </w:numPr>
              <w:rPr>
                <w:sz w:val="18"/>
                <w:szCs w:val="18"/>
              </w:rPr>
            </w:pPr>
            <w:r w:rsidRPr="007A541F">
              <w:rPr>
                <w:sz w:val="18"/>
                <w:szCs w:val="18"/>
              </w:rPr>
              <w:t>Outcomes: what h</w:t>
            </w:r>
            <w:r>
              <w:rPr>
                <w:sz w:val="18"/>
                <w:szCs w:val="18"/>
              </w:rPr>
              <w:t>ave funds delivered?</w:t>
            </w:r>
          </w:p>
          <w:p w14:paraId="5BC877E7" w14:textId="77777777" w:rsidR="00A33D23" w:rsidRDefault="00A33D23" w:rsidP="00A33D23">
            <w:pPr>
              <w:pStyle w:val="ListParagraph"/>
              <w:numPr>
                <w:ilvl w:val="0"/>
                <w:numId w:val="3"/>
              </w:numPr>
              <w:rPr>
                <w:sz w:val="18"/>
                <w:szCs w:val="18"/>
              </w:rPr>
            </w:pPr>
            <w:r w:rsidRPr="007A541F">
              <w:rPr>
                <w:sz w:val="18"/>
                <w:szCs w:val="18"/>
              </w:rPr>
              <w:t>What levers have worked best in driving improvement?</w:t>
            </w:r>
          </w:p>
          <w:p w14:paraId="34ACC4E4" w14:textId="77777777" w:rsidR="00A33D23" w:rsidRPr="005E08A0" w:rsidRDefault="00A33D23" w:rsidP="00A33D23">
            <w:pPr>
              <w:pStyle w:val="ListParagraph"/>
              <w:numPr>
                <w:ilvl w:val="0"/>
                <w:numId w:val="3"/>
              </w:numPr>
              <w:rPr>
                <w:sz w:val="18"/>
                <w:szCs w:val="18"/>
              </w:rPr>
            </w:pPr>
            <w:r>
              <w:rPr>
                <w:sz w:val="18"/>
                <w:szCs w:val="18"/>
              </w:rPr>
              <w:t>What are the levels of awareness of national priorities in schools?</w:t>
            </w:r>
          </w:p>
          <w:p w14:paraId="630A2EDA" w14:textId="77777777" w:rsidR="00A33D23" w:rsidRPr="007A541F" w:rsidRDefault="00A33D23" w:rsidP="00A33D23">
            <w:pPr>
              <w:rPr>
                <w:b/>
                <w:i/>
                <w:sz w:val="18"/>
                <w:szCs w:val="18"/>
              </w:rPr>
            </w:pPr>
            <w:r>
              <w:rPr>
                <w:b/>
                <w:i/>
                <w:sz w:val="18"/>
                <w:szCs w:val="18"/>
              </w:rPr>
              <w:t>Options for improvement</w:t>
            </w:r>
          </w:p>
          <w:p w14:paraId="18B43ABD" w14:textId="77777777" w:rsidR="00A33D23" w:rsidRPr="007A541F" w:rsidRDefault="00A33D23" w:rsidP="00A33D23">
            <w:pPr>
              <w:pStyle w:val="ListParagraph"/>
              <w:numPr>
                <w:ilvl w:val="0"/>
                <w:numId w:val="3"/>
              </w:numPr>
              <w:rPr>
                <w:sz w:val="18"/>
                <w:szCs w:val="18"/>
              </w:rPr>
            </w:pPr>
            <w:r w:rsidRPr="007A541F">
              <w:rPr>
                <w:sz w:val="18"/>
                <w:szCs w:val="18"/>
              </w:rPr>
              <w:t>What has been learned about system support for school improvement?</w:t>
            </w:r>
          </w:p>
          <w:p w14:paraId="553E1A75" w14:textId="77777777" w:rsidR="00A33D23" w:rsidRPr="007A541F" w:rsidRDefault="00A33D23" w:rsidP="00A33D23">
            <w:pPr>
              <w:pStyle w:val="ListParagraph"/>
              <w:numPr>
                <w:ilvl w:val="0"/>
                <w:numId w:val="3"/>
              </w:numPr>
              <w:rPr>
                <w:sz w:val="18"/>
                <w:szCs w:val="18"/>
              </w:rPr>
            </w:pPr>
            <w:r w:rsidRPr="007A541F">
              <w:rPr>
                <w:sz w:val="18"/>
                <w:szCs w:val="18"/>
              </w:rPr>
              <w:t>What ch</w:t>
            </w:r>
            <w:r>
              <w:rPr>
                <w:sz w:val="18"/>
                <w:szCs w:val="18"/>
              </w:rPr>
              <w:t>ange is desirable and possible?</w:t>
            </w:r>
          </w:p>
          <w:p w14:paraId="00FC75A4" w14:textId="77777777" w:rsidR="00A33D23" w:rsidRDefault="00A33D23" w:rsidP="004B2D8A">
            <w:pPr>
              <w:jc w:val="center"/>
              <w:rPr>
                <w:rFonts w:ascii="Century Gothic" w:hAnsi="Century Gothic"/>
                <w:b/>
                <w:sz w:val="20"/>
                <w:szCs w:val="20"/>
              </w:rPr>
            </w:pPr>
          </w:p>
        </w:tc>
      </w:tr>
    </w:tbl>
    <w:p w14:paraId="5E80F25E" w14:textId="77777777" w:rsidR="009152BC" w:rsidRDefault="009152BC" w:rsidP="00A33D23">
      <w:pPr>
        <w:spacing w:before="600"/>
        <w:ind w:right="-340"/>
        <w:rPr>
          <w:rFonts w:ascii="Century Gothic" w:hAnsi="Century Gothic"/>
          <w:b/>
          <w:i/>
          <w:color w:val="4F81BD" w:themeColor="accent1"/>
          <w:sz w:val="20"/>
          <w:szCs w:val="20"/>
          <w:lang w:val="en-AU"/>
        </w:rPr>
      </w:pPr>
    </w:p>
    <w:p w14:paraId="6AF84711" w14:textId="77777777" w:rsidR="009152BC" w:rsidRDefault="009152BC">
      <w:pPr>
        <w:rPr>
          <w:rFonts w:ascii="Century Gothic" w:hAnsi="Century Gothic"/>
          <w:b/>
          <w:i/>
          <w:color w:val="4F81BD" w:themeColor="accent1"/>
          <w:sz w:val="20"/>
          <w:szCs w:val="20"/>
          <w:lang w:val="en-AU"/>
        </w:rPr>
      </w:pPr>
      <w:r>
        <w:rPr>
          <w:rFonts w:ascii="Century Gothic" w:hAnsi="Century Gothic"/>
          <w:b/>
          <w:i/>
          <w:color w:val="4F81BD" w:themeColor="accent1"/>
          <w:sz w:val="20"/>
          <w:szCs w:val="20"/>
          <w:lang w:val="en-AU"/>
        </w:rPr>
        <w:br w:type="page"/>
      </w:r>
    </w:p>
    <w:p w14:paraId="060C8BE9" w14:textId="13DEF20B" w:rsidR="00CD0931" w:rsidRPr="00B852E5" w:rsidRDefault="00A33D23" w:rsidP="00A33D23">
      <w:pPr>
        <w:spacing w:before="600"/>
        <w:ind w:right="-340"/>
        <w:rPr>
          <w:rFonts w:ascii="Century Gothic" w:hAnsi="Century Gothic"/>
          <w:b/>
          <w:i/>
          <w:color w:val="4F81BD" w:themeColor="accent1"/>
          <w:sz w:val="20"/>
          <w:szCs w:val="20"/>
          <w:lang w:val="en-AU"/>
        </w:rPr>
      </w:pPr>
      <w:r>
        <w:rPr>
          <w:rFonts w:ascii="Century Gothic" w:hAnsi="Century Gothic"/>
          <w:b/>
          <w:i/>
          <w:color w:val="4F81BD" w:themeColor="accent1"/>
          <w:sz w:val="20"/>
          <w:szCs w:val="20"/>
          <w:lang w:val="en-AU"/>
        </w:rPr>
        <w:lastRenderedPageBreak/>
        <w:t>R</w:t>
      </w:r>
      <w:r w:rsidR="00B22936" w:rsidRPr="00B852E5">
        <w:rPr>
          <w:rFonts w:ascii="Century Gothic" w:hAnsi="Century Gothic"/>
          <w:b/>
          <w:i/>
          <w:color w:val="4F81BD" w:themeColor="accent1"/>
          <w:sz w:val="20"/>
          <w:szCs w:val="20"/>
          <w:lang w:val="en-AU"/>
        </w:rPr>
        <w:t>eview of 2014 Work plans and 2014,</w:t>
      </w:r>
      <w:r w:rsidR="00D60239" w:rsidRPr="00B852E5">
        <w:rPr>
          <w:rFonts w:ascii="Century Gothic" w:hAnsi="Century Gothic"/>
          <w:b/>
          <w:i/>
          <w:color w:val="4F81BD" w:themeColor="accent1"/>
          <w:sz w:val="20"/>
          <w:szCs w:val="20"/>
          <w:lang w:val="en-AU"/>
        </w:rPr>
        <w:t xml:space="preserve"> </w:t>
      </w:r>
      <w:r w:rsidR="00B22936" w:rsidRPr="00B852E5">
        <w:rPr>
          <w:rFonts w:ascii="Century Gothic" w:hAnsi="Century Gothic"/>
          <w:b/>
          <w:i/>
          <w:color w:val="4F81BD" w:themeColor="accent1"/>
          <w:sz w:val="20"/>
          <w:szCs w:val="20"/>
          <w:lang w:val="en-AU"/>
        </w:rPr>
        <w:t xml:space="preserve">2015 Annual Reports from </w:t>
      </w:r>
      <w:r w:rsidR="007708EE" w:rsidRPr="00B852E5">
        <w:rPr>
          <w:rFonts w:ascii="Century Gothic" w:hAnsi="Century Gothic"/>
          <w:b/>
          <w:i/>
          <w:color w:val="4F81BD" w:themeColor="accent1"/>
          <w:sz w:val="20"/>
          <w:szCs w:val="20"/>
          <w:lang w:val="en-AU"/>
        </w:rPr>
        <w:t xml:space="preserve">16 </w:t>
      </w:r>
      <w:r w:rsidR="00B22936" w:rsidRPr="00B852E5">
        <w:rPr>
          <w:rFonts w:ascii="Century Gothic" w:hAnsi="Century Gothic"/>
          <w:b/>
          <w:i/>
          <w:color w:val="4F81BD" w:themeColor="accent1"/>
          <w:sz w:val="20"/>
          <w:szCs w:val="20"/>
          <w:lang w:val="en-AU"/>
        </w:rPr>
        <w:t xml:space="preserve">NGRBs </w:t>
      </w:r>
      <w:r w:rsidR="007708EE" w:rsidRPr="00B852E5">
        <w:rPr>
          <w:rFonts w:ascii="Century Gothic" w:hAnsi="Century Gothic"/>
          <w:b/>
          <w:i/>
          <w:color w:val="4F81BD" w:themeColor="accent1"/>
          <w:sz w:val="20"/>
          <w:szCs w:val="20"/>
          <w:lang w:val="en-AU"/>
        </w:rPr>
        <w:t>bodies</w:t>
      </w:r>
      <w:r w:rsidR="008724D0">
        <w:rPr>
          <w:rFonts w:ascii="Century Gothic" w:hAnsi="Century Gothic"/>
          <w:b/>
          <w:i/>
          <w:color w:val="4F81BD" w:themeColor="accent1"/>
          <w:sz w:val="20"/>
          <w:szCs w:val="20"/>
          <w:lang w:val="en-AU"/>
        </w:rPr>
        <w:t xml:space="preserve"> provided by DET</w:t>
      </w:r>
    </w:p>
    <w:p w14:paraId="01D1B72E" w14:textId="1045CB93" w:rsidR="00D60239" w:rsidRPr="00EC23C6" w:rsidRDefault="00CD0931" w:rsidP="00741B98">
      <w:pPr>
        <w:keepNext/>
        <w:keepLines/>
        <w:spacing w:line="276" w:lineRule="auto"/>
        <w:ind w:right="-340" w:firstLine="360"/>
        <w:jc w:val="both"/>
        <w:rPr>
          <w:rFonts w:ascii="Century Gothic" w:eastAsiaTheme="minorHAnsi" w:hAnsi="Century Gothic"/>
          <w:sz w:val="20"/>
          <w:szCs w:val="20"/>
          <w:lang w:val="en-AU"/>
        </w:rPr>
      </w:pPr>
      <w:r>
        <w:rPr>
          <w:rFonts w:ascii="Century Gothic" w:eastAsiaTheme="minorHAnsi" w:hAnsi="Century Gothic"/>
          <w:sz w:val="20"/>
          <w:szCs w:val="20"/>
          <w:lang w:val="en-AU"/>
        </w:rPr>
        <w:t>Note</w:t>
      </w:r>
    </w:p>
    <w:p w14:paraId="65076F8B" w14:textId="4BB551B6" w:rsidR="00D60239" w:rsidRPr="00EC23C6" w:rsidRDefault="00D60239"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Analysis has f</w:t>
      </w:r>
      <w:r w:rsidR="00B22936" w:rsidRPr="00EC23C6">
        <w:rPr>
          <w:rFonts w:ascii="Century Gothic" w:eastAsiaTheme="minorHAnsi" w:hAnsi="Century Gothic"/>
          <w:sz w:val="20"/>
          <w:szCs w:val="20"/>
          <w:lang w:val="en-AU"/>
        </w:rPr>
        <w:t>ocused parti</w:t>
      </w:r>
      <w:r w:rsidR="00CD0931">
        <w:rPr>
          <w:rFonts w:ascii="Century Gothic" w:eastAsiaTheme="minorHAnsi" w:hAnsi="Century Gothic"/>
          <w:sz w:val="20"/>
          <w:szCs w:val="20"/>
          <w:lang w:val="en-AU"/>
        </w:rPr>
        <w:t xml:space="preserve">cularly on the 2015 activities </w:t>
      </w:r>
      <w:r w:rsidR="00B22936" w:rsidRPr="00EC23C6">
        <w:rPr>
          <w:rFonts w:ascii="Century Gothic" w:eastAsiaTheme="minorHAnsi" w:hAnsi="Century Gothic"/>
          <w:sz w:val="20"/>
          <w:szCs w:val="20"/>
          <w:lang w:val="en-AU"/>
        </w:rPr>
        <w:t>as reported to DET in March 2016</w:t>
      </w:r>
      <w:r w:rsidR="00CD0931">
        <w:rPr>
          <w:rFonts w:ascii="Century Gothic" w:eastAsiaTheme="minorHAnsi" w:hAnsi="Century Gothic"/>
          <w:sz w:val="20"/>
          <w:szCs w:val="20"/>
          <w:lang w:val="en-AU"/>
        </w:rPr>
        <w:t>)</w:t>
      </w:r>
      <w:r w:rsidR="00B22936" w:rsidRPr="00EC23C6">
        <w:rPr>
          <w:rFonts w:ascii="Century Gothic" w:eastAsiaTheme="minorHAnsi" w:hAnsi="Century Gothic"/>
          <w:sz w:val="20"/>
          <w:szCs w:val="20"/>
          <w:lang w:val="en-AU"/>
        </w:rPr>
        <w:t>.</w:t>
      </w:r>
    </w:p>
    <w:p w14:paraId="20BE6962" w14:textId="312C0441" w:rsidR="00D60239" w:rsidRPr="00EC23C6" w:rsidRDefault="00B22936"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 xml:space="preserve">Some NGRBs reports contain extensive detail </w:t>
      </w:r>
      <w:r w:rsidR="00D60239" w:rsidRPr="00EC23C6">
        <w:rPr>
          <w:rFonts w:ascii="Century Gothic" w:eastAsiaTheme="minorHAnsi" w:hAnsi="Century Gothic"/>
          <w:sz w:val="20"/>
          <w:szCs w:val="20"/>
          <w:lang w:val="en-AU"/>
        </w:rPr>
        <w:t xml:space="preserve">and a clear picture of the rationale for allocation of SFSF funds; </w:t>
      </w:r>
      <w:r w:rsidRPr="00EC23C6">
        <w:rPr>
          <w:rFonts w:ascii="Century Gothic" w:eastAsiaTheme="minorHAnsi" w:hAnsi="Century Gothic"/>
          <w:sz w:val="20"/>
          <w:szCs w:val="20"/>
          <w:lang w:val="en-AU"/>
        </w:rPr>
        <w:t>and some are more cursory</w:t>
      </w:r>
      <w:r w:rsidR="00B852E5">
        <w:rPr>
          <w:rFonts w:ascii="Century Gothic" w:eastAsiaTheme="minorHAnsi" w:hAnsi="Century Gothic"/>
          <w:sz w:val="20"/>
          <w:szCs w:val="20"/>
          <w:lang w:val="en-AU"/>
        </w:rPr>
        <w:t xml:space="preserve"> with respect to SFSF allocations and outcomes</w:t>
      </w:r>
      <w:r w:rsidR="00D60239" w:rsidRPr="00EC23C6">
        <w:rPr>
          <w:rFonts w:ascii="Century Gothic" w:eastAsiaTheme="minorHAnsi" w:hAnsi="Century Gothic"/>
          <w:sz w:val="20"/>
          <w:szCs w:val="20"/>
          <w:lang w:val="en-AU"/>
        </w:rPr>
        <w:t>.</w:t>
      </w:r>
    </w:p>
    <w:p w14:paraId="6F255EB1" w14:textId="40616944" w:rsidR="00D60239" w:rsidRPr="00EC23C6" w:rsidRDefault="00B22936"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 xml:space="preserve">Evaluations of program components are attached to a number of the NGRB reports </w:t>
      </w:r>
      <w:r w:rsidR="00D60239" w:rsidRPr="00EC23C6">
        <w:rPr>
          <w:rFonts w:ascii="Century Gothic" w:eastAsiaTheme="minorHAnsi" w:hAnsi="Century Gothic"/>
          <w:sz w:val="20"/>
          <w:szCs w:val="20"/>
          <w:lang w:val="en-AU"/>
        </w:rPr>
        <w:t xml:space="preserve">for approximately </w:t>
      </w:r>
      <w:r w:rsidR="008724D0">
        <w:rPr>
          <w:rFonts w:ascii="Century Gothic" w:eastAsiaTheme="minorHAnsi" w:hAnsi="Century Gothic"/>
          <w:sz w:val="20"/>
          <w:szCs w:val="20"/>
          <w:lang w:val="en-AU"/>
        </w:rPr>
        <w:t>20 percent of initiatives.</w:t>
      </w:r>
    </w:p>
    <w:p w14:paraId="4E9998A4" w14:textId="77777777" w:rsidR="007708EE" w:rsidRPr="007708EE" w:rsidRDefault="007708EE" w:rsidP="004B2D8A">
      <w:pPr>
        <w:pStyle w:val="ListParagraph"/>
        <w:ind w:left="773" w:right="-340"/>
        <w:rPr>
          <w:rFonts w:ascii="Century Gothic" w:hAnsi="Century Gothic"/>
          <w:sz w:val="20"/>
          <w:szCs w:val="20"/>
        </w:rPr>
      </w:pPr>
    </w:p>
    <w:p w14:paraId="2C048CB3" w14:textId="36B06E2C" w:rsidR="00B22936" w:rsidRPr="00B852E5" w:rsidRDefault="00D60239" w:rsidP="00B852E5">
      <w:pPr>
        <w:rPr>
          <w:rFonts w:ascii="Century Gothic" w:hAnsi="Century Gothic"/>
          <w:b/>
          <w:i/>
          <w:color w:val="4F81BD" w:themeColor="accent1"/>
          <w:sz w:val="20"/>
          <w:szCs w:val="20"/>
          <w:lang w:val="en-AU"/>
        </w:rPr>
      </w:pPr>
      <w:r w:rsidRPr="00B852E5">
        <w:rPr>
          <w:rFonts w:ascii="Century Gothic" w:hAnsi="Century Gothic"/>
          <w:b/>
          <w:i/>
          <w:color w:val="4F81BD" w:themeColor="accent1"/>
          <w:sz w:val="20"/>
          <w:szCs w:val="20"/>
          <w:lang w:val="en-AU"/>
        </w:rPr>
        <w:t xml:space="preserve">Consultation December 2016 with executives </w:t>
      </w:r>
      <w:r w:rsidR="008724D0">
        <w:rPr>
          <w:rFonts w:ascii="Century Gothic" w:hAnsi="Century Gothic"/>
          <w:b/>
          <w:i/>
          <w:color w:val="4F81BD" w:themeColor="accent1"/>
          <w:sz w:val="20"/>
          <w:szCs w:val="20"/>
          <w:lang w:val="en-AU"/>
        </w:rPr>
        <w:t>in all NGRB and national bodies</w:t>
      </w:r>
    </w:p>
    <w:p w14:paraId="7A1AAD30" w14:textId="01F1B132" w:rsidR="007708EE" w:rsidRPr="00EC23C6" w:rsidRDefault="007708EE" w:rsidP="004B2D8A">
      <w:pPr>
        <w:spacing w:line="276" w:lineRule="auto"/>
        <w:ind w:right="-340" w:firstLine="36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Questions encompassed:</w:t>
      </w:r>
    </w:p>
    <w:p w14:paraId="1180A8F4" w14:textId="44E34780" w:rsidR="007708EE" w:rsidRPr="00EC23C6" w:rsidRDefault="007708EE" w:rsidP="006A1D2B">
      <w:pPr>
        <w:pStyle w:val="ListParagraph"/>
        <w:numPr>
          <w:ilvl w:val="0"/>
          <w:numId w:val="21"/>
        </w:numPr>
        <w:spacing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 xml:space="preserve">clarification of operating model (use of funds, staffing, and integration into existing </w:t>
      </w:r>
      <w:r w:rsidR="008724D0">
        <w:rPr>
          <w:rFonts w:ascii="Century Gothic" w:eastAsiaTheme="minorHAnsi" w:hAnsi="Century Gothic"/>
          <w:sz w:val="20"/>
          <w:szCs w:val="20"/>
          <w:lang w:val="en-AU"/>
        </w:rPr>
        <w:t>structure and programs</w:t>
      </w:r>
      <w:r w:rsidRPr="00EC23C6">
        <w:rPr>
          <w:rFonts w:ascii="Century Gothic" w:eastAsiaTheme="minorHAnsi" w:hAnsi="Century Gothic"/>
          <w:sz w:val="20"/>
          <w:szCs w:val="20"/>
          <w:lang w:val="en-AU"/>
        </w:rPr>
        <w:t>)</w:t>
      </w:r>
    </w:p>
    <w:p w14:paraId="5CD8CDDE" w14:textId="77777777" w:rsidR="007708EE" w:rsidRPr="00EC23C6" w:rsidRDefault="007708EE"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rationale or ‘theory of action’ for SFSF strategy/projects</w:t>
      </w:r>
    </w:p>
    <w:p w14:paraId="5C899881" w14:textId="7E5E178D" w:rsidR="007708EE" w:rsidRPr="00EC23C6" w:rsidRDefault="007708EE"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 xml:space="preserve">assessment </w:t>
      </w:r>
      <w:r w:rsidR="008724D0">
        <w:rPr>
          <w:rFonts w:ascii="Century Gothic" w:eastAsiaTheme="minorHAnsi" w:hAnsi="Century Gothic"/>
          <w:sz w:val="20"/>
          <w:szCs w:val="20"/>
          <w:lang w:val="en-AU"/>
        </w:rPr>
        <w:t>of impact of funds as allocated</w:t>
      </w:r>
    </w:p>
    <w:p w14:paraId="5B2992C2" w14:textId="12F7D780" w:rsidR="007708EE" w:rsidRPr="00EC23C6" w:rsidRDefault="007708EE"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discus</w:t>
      </w:r>
      <w:r w:rsidR="008724D0">
        <w:rPr>
          <w:rFonts w:ascii="Century Gothic" w:eastAsiaTheme="minorHAnsi" w:hAnsi="Century Gothic"/>
          <w:sz w:val="20"/>
          <w:szCs w:val="20"/>
          <w:lang w:val="en-AU"/>
        </w:rPr>
        <w:t>sion of the key success factors</w:t>
      </w:r>
    </w:p>
    <w:p w14:paraId="6C8B0383" w14:textId="0043B4B3" w:rsidR="007708EE" w:rsidRPr="00EC23C6" w:rsidRDefault="007708EE"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l</w:t>
      </w:r>
      <w:r w:rsidR="008724D0">
        <w:rPr>
          <w:rFonts w:ascii="Century Gothic" w:eastAsiaTheme="minorHAnsi" w:hAnsi="Century Gothic"/>
          <w:sz w:val="20"/>
          <w:szCs w:val="20"/>
          <w:lang w:val="en-AU"/>
        </w:rPr>
        <w:t>essons from SFSF program design</w:t>
      </w:r>
    </w:p>
    <w:p w14:paraId="57FCDAFD" w14:textId="0492F349" w:rsidR="0097427B" w:rsidRPr="00EC23C6" w:rsidRDefault="008724D0"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ways to improve</w:t>
      </w:r>
    </w:p>
    <w:p w14:paraId="760ED761" w14:textId="6879BAFB" w:rsidR="007708EE" w:rsidRPr="00B852E5" w:rsidRDefault="007708EE" w:rsidP="00B852E5">
      <w:pPr>
        <w:rPr>
          <w:rFonts w:ascii="Century Gothic" w:hAnsi="Century Gothic"/>
          <w:b/>
          <w:i/>
          <w:color w:val="4F81BD" w:themeColor="accent1"/>
          <w:sz w:val="20"/>
          <w:szCs w:val="20"/>
          <w:lang w:val="en-AU"/>
        </w:rPr>
      </w:pPr>
      <w:r w:rsidRPr="00B852E5">
        <w:rPr>
          <w:rFonts w:ascii="Century Gothic" w:hAnsi="Century Gothic"/>
          <w:b/>
          <w:i/>
          <w:color w:val="4F81BD" w:themeColor="accent1"/>
          <w:sz w:val="20"/>
          <w:szCs w:val="20"/>
          <w:lang w:val="en-AU"/>
        </w:rPr>
        <w:t>Interview</w:t>
      </w:r>
      <w:r w:rsidR="0097427B" w:rsidRPr="00B852E5">
        <w:rPr>
          <w:rFonts w:ascii="Century Gothic" w:hAnsi="Century Gothic"/>
          <w:b/>
          <w:i/>
          <w:color w:val="4F81BD" w:themeColor="accent1"/>
          <w:sz w:val="20"/>
          <w:szCs w:val="20"/>
          <w:lang w:val="en-AU"/>
        </w:rPr>
        <w:t>s</w:t>
      </w:r>
      <w:r w:rsidRPr="00B852E5">
        <w:rPr>
          <w:rFonts w:ascii="Century Gothic" w:hAnsi="Century Gothic"/>
          <w:b/>
          <w:i/>
          <w:color w:val="4F81BD" w:themeColor="accent1"/>
          <w:sz w:val="20"/>
          <w:szCs w:val="20"/>
          <w:lang w:val="en-AU"/>
        </w:rPr>
        <w:t xml:space="preserve"> </w:t>
      </w:r>
      <w:r w:rsidR="0097427B" w:rsidRPr="00B852E5">
        <w:rPr>
          <w:rFonts w:ascii="Century Gothic" w:hAnsi="Century Gothic"/>
          <w:b/>
          <w:i/>
          <w:color w:val="4F81BD" w:themeColor="accent1"/>
          <w:sz w:val="20"/>
          <w:szCs w:val="20"/>
          <w:lang w:val="en-AU"/>
        </w:rPr>
        <w:t xml:space="preserve">December 2016 </w:t>
      </w:r>
      <w:r w:rsidRPr="00B852E5">
        <w:rPr>
          <w:rFonts w:ascii="Century Gothic" w:hAnsi="Century Gothic"/>
          <w:b/>
          <w:i/>
          <w:color w:val="4F81BD" w:themeColor="accent1"/>
          <w:sz w:val="20"/>
          <w:szCs w:val="20"/>
          <w:lang w:val="en-AU"/>
        </w:rPr>
        <w:t>with school principals</w:t>
      </w:r>
      <w:r w:rsidR="0097427B" w:rsidRPr="00B852E5">
        <w:rPr>
          <w:rFonts w:ascii="Century Gothic" w:hAnsi="Century Gothic"/>
          <w:b/>
          <w:i/>
          <w:color w:val="4F81BD" w:themeColor="accent1"/>
          <w:sz w:val="20"/>
          <w:szCs w:val="20"/>
          <w:lang w:val="en-AU"/>
        </w:rPr>
        <w:t xml:space="preserve"> nominated by DET (</w:t>
      </w:r>
      <w:r w:rsidR="00B852E5" w:rsidRPr="00B852E5">
        <w:rPr>
          <w:rFonts w:ascii="Century Gothic" w:hAnsi="Century Gothic"/>
          <w:b/>
          <w:i/>
          <w:color w:val="4F81BD" w:themeColor="accent1"/>
          <w:sz w:val="20"/>
          <w:szCs w:val="20"/>
          <w:lang w:val="en-AU"/>
        </w:rPr>
        <w:t xml:space="preserve">30 </w:t>
      </w:r>
      <w:r w:rsidR="0097427B" w:rsidRPr="00B852E5">
        <w:rPr>
          <w:rFonts w:ascii="Century Gothic" w:hAnsi="Century Gothic"/>
          <w:b/>
          <w:i/>
          <w:color w:val="4F81BD" w:themeColor="accent1"/>
          <w:sz w:val="20"/>
          <w:szCs w:val="20"/>
          <w:lang w:val="en-AU"/>
        </w:rPr>
        <w:t xml:space="preserve">contacted; input </w:t>
      </w:r>
      <w:r w:rsidR="00B852E5" w:rsidRPr="00B852E5">
        <w:rPr>
          <w:rFonts w:ascii="Century Gothic" w:hAnsi="Century Gothic"/>
          <w:b/>
          <w:i/>
          <w:color w:val="4F81BD" w:themeColor="accent1"/>
          <w:sz w:val="20"/>
          <w:szCs w:val="20"/>
          <w:lang w:val="en-AU"/>
        </w:rPr>
        <w:t xml:space="preserve">received </w:t>
      </w:r>
      <w:r w:rsidR="0097427B" w:rsidRPr="00CD4DDE">
        <w:rPr>
          <w:rFonts w:ascii="Century Gothic" w:hAnsi="Century Gothic"/>
          <w:b/>
          <w:i/>
          <w:color w:val="4F81BD" w:themeColor="accent1"/>
          <w:sz w:val="20"/>
          <w:szCs w:val="20"/>
          <w:lang w:val="en-AU"/>
        </w:rPr>
        <w:t xml:space="preserve">from </w:t>
      </w:r>
      <w:r w:rsidR="00821ADB">
        <w:rPr>
          <w:rFonts w:ascii="Century Gothic" w:hAnsi="Century Gothic"/>
          <w:b/>
          <w:i/>
          <w:color w:val="4F81BD" w:themeColor="accent1"/>
          <w:sz w:val="20"/>
          <w:szCs w:val="20"/>
          <w:lang w:val="en-AU"/>
        </w:rPr>
        <w:t>19</w:t>
      </w:r>
      <w:r w:rsidR="0097427B" w:rsidRPr="00CD4DDE">
        <w:rPr>
          <w:rFonts w:ascii="Century Gothic" w:hAnsi="Century Gothic"/>
          <w:b/>
          <w:i/>
          <w:color w:val="4F81BD" w:themeColor="accent1"/>
          <w:sz w:val="20"/>
          <w:szCs w:val="20"/>
          <w:lang w:val="en-AU"/>
        </w:rPr>
        <w:t xml:space="preserve"> </w:t>
      </w:r>
      <w:r w:rsidR="008724D0">
        <w:rPr>
          <w:rFonts w:ascii="Century Gothic" w:hAnsi="Century Gothic"/>
          <w:b/>
          <w:i/>
          <w:color w:val="4F81BD" w:themeColor="accent1"/>
          <w:sz w:val="20"/>
          <w:szCs w:val="20"/>
          <w:lang w:val="en-AU"/>
        </w:rPr>
        <w:t>schools)</w:t>
      </w:r>
    </w:p>
    <w:p w14:paraId="73E9321B" w14:textId="02E48219" w:rsidR="0097427B" w:rsidRPr="00EC23C6" w:rsidRDefault="0097427B" w:rsidP="004B2D8A">
      <w:pPr>
        <w:spacing w:line="276" w:lineRule="auto"/>
        <w:ind w:right="-340" w:firstLine="36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Questions included</w:t>
      </w:r>
      <w:r w:rsidR="00CD0931">
        <w:rPr>
          <w:rFonts w:ascii="Century Gothic" w:eastAsiaTheme="minorHAnsi" w:hAnsi="Century Gothic"/>
          <w:sz w:val="20"/>
          <w:szCs w:val="20"/>
          <w:lang w:val="en-AU"/>
        </w:rPr>
        <w:t>:</w:t>
      </w:r>
    </w:p>
    <w:p w14:paraId="7ACE6AE4" w14:textId="1BF94922" w:rsidR="0097427B" w:rsidRPr="00EC23C6" w:rsidRDefault="0097427B" w:rsidP="006A1D2B">
      <w:pPr>
        <w:pStyle w:val="ListParagraph"/>
        <w:numPr>
          <w:ilvl w:val="0"/>
          <w:numId w:val="21"/>
        </w:numPr>
        <w:spacing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awareness of Australia Government education priorities</w:t>
      </w:r>
    </w:p>
    <w:p w14:paraId="17257E4D" w14:textId="0CA6EF3A" w:rsidR="0097427B" w:rsidRPr="00EC23C6" w:rsidRDefault="0097427B"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awareness of the role of the relevant NGRB</w:t>
      </w:r>
    </w:p>
    <w:p w14:paraId="52F9809B" w14:textId="2A5755D7" w:rsidR="0097427B" w:rsidRPr="00EC23C6" w:rsidRDefault="0097427B"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 xml:space="preserve">extent of participation </w:t>
      </w:r>
      <w:r w:rsidR="008724D0">
        <w:rPr>
          <w:rFonts w:ascii="Century Gothic" w:eastAsiaTheme="minorHAnsi" w:hAnsi="Century Gothic"/>
          <w:sz w:val="20"/>
          <w:szCs w:val="20"/>
          <w:lang w:val="en-AU"/>
        </w:rPr>
        <w:t>in their activities for schools</w:t>
      </w:r>
    </w:p>
    <w:p w14:paraId="725AEC10" w14:textId="18F0A2C2" w:rsidR="0097427B" w:rsidRPr="00EC23C6" w:rsidRDefault="0097427B"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awareness of the SFSF fund and the services/ programs offered by the NGRB</w:t>
      </w:r>
    </w:p>
    <w:p w14:paraId="4D02ADB2" w14:textId="144ABABE" w:rsidR="0097427B" w:rsidRPr="00EC23C6" w:rsidRDefault="0097427B"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rate of accessing SFSF serv</w:t>
      </w:r>
      <w:r w:rsidR="008724D0">
        <w:rPr>
          <w:rFonts w:ascii="Century Gothic" w:eastAsiaTheme="minorHAnsi" w:hAnsi="Century Gothic"/>
          <w:sz w:val="20"/>
          <w:szCs w:val="20"/>
          <w:lang w:val="en-AU"/>
        </w:rPr>
        <w:t>ices and their relevance/impact</w:t>
      </w:r>
    </w:p>
    <w:p w14:paraId="2B25E3E1" w14:textId="2B11A778" w:rsidR="0097427B" w:rsidRPr="00EC23C6" w:rsidRDefault="0097427B"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assessment of the most and least valuable SFSF activity /service</w:t>
      </w:r>
    </w:p>
    <w:p w14:paraId="5D6D36A1" w14:textId="60D17D52" w:rsidR="00196701" w:rsidRPr="00EC23C6" w:rsidRDefault="0097427B"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how the NGRB has assisted impl</w:t>
      </w:r>
      <w:r w:rsidR="008724D0">
        <w:rPr>
          <w:rFonts w:ascii="Century Gothic" w:eastAsiaTheme="minorHAnsi" w:hAnsi="Century Gothic"/>
          <w:sz w:val="20"/>
          <w:szCs w:val="20"/>
          <w:lang w:val="en-AU"/>
        </w:rPr>
        <w:t>ementation of national reforms.</w:t>
      </w:r>
    </w:p>
    <w:p w14:paraId="52B881C8" w14:textId="163E22B2" w:rsidR="000B434A" w:rsidRPr="00E63B15" w:rsidRDefault="0046119A" w:rsidP="004B2D8A">
      <w:pPr>
        <w:pStyle w:val="Heading2"/>
        <w:ind w:right="-340"/>
        <w:rPr>
          <w:rStyle w:val="IntenseReference"/>
          <w:b/>
          <w:bCs/>
          <w:smallCaps w:val="0"/>
          <w:color w:val="0070C0"/>
          <w:spacing w:val="0"/>
        </w:rPr>
      </w:pPr>
      <w:bookmarkStart w:id="16" w:name="_Toc495587300"/>
      <w:r w:rsidRPr="0046119A">
        <w:rPr>
          <w:rStyle w:val="IntenseReference"/>
          <w:b/>
          <w:color w:val="0070C0"/>
        </w:rPr>
        <w:t>1</w:t>
      </w:r>
      <w:r w:rsidRPr="00E63B15">
        <w:rPr>
          <w:rStyle w:val="IntenseReference"/>
          <w:b/>
          <w:bCs/>
          <w:smallCaps w:val="0"/>
          <w:color w:val="0070C0"/>
          <w:spacing w:val="0"/>
        </w:rPr>
        <w:t>.</w:t>
      </w:r>
      <w:r w:rsidR="002F2D2D" w:rsidRPr="00E63B15">
        <w:rPr>
          <w:rStyle w:val="IntenseReference"/>
          <w:b/>
          <w:bCs/>
          <w:smallCaps w:val="0"/>
          <w:color w:val="0070C0"/>
          <w:spacing w:val="0"/>
        </w:rPr>
        <w:t>3.</w:t>
      </w:r>
      <w:r w:rsidR="002F2D2D" w:rsidRPr="00E63B15">
        <w:rPr>
          <w:rStyle w:val="IntenseReference"/>
          <w:b/>
          <w:bCs/>
          <w:smallCaps w:val="0"/>
          <w:color w:val="0070C0"/>
          <w:spacing w:val="0"/>
        </w:rPr>
        <w:tab/>
      </w:r>
      <w:r w:rsidR="001E5A47" w:rsidRPr="00E63B15">
        <w:rPr>
          <w:rStyle w:val="IntenseReference"/>
          <w:b/>
          <w:bCs/>
          <w:smallCaps w:val="0"/>
          <w:color w:val="0070C0"/>
          <w:spacing w:val="0"/>
        </w:rPr>
        <w:t>Structure of report</w:t>
      </w:r>
      <w:bookmarkEnd w:id="16"/>
      <w:r w:rsidR="001E5A47" w:rsidRPr="00E63B15">
        <w:rPr>
          <w:rStyle w:val="IntenseReference"/>
          <w:b/>
          <w:bCs/>
          <w:smallCaps w:val="0"/>
          <w:color w:val="0070C0"/>
          <w:spacing w:val="0"/>
        </w:rPr>
        <w:t xml:space="preserve"> </w:t>
      </w:r>
    </w:p>
    <w:p w14:paraId="67E6654E" w14:textId="4B10097D" w:rsidR="0094423F" w:rsidRPr="00EC23C6" w:rsidRDefault="0094423F" w:rsidP="004B2D8A">
      <w:pPr>
        <w:spacing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This report is structured as follows:</w:t>
      </w:r>
    </w:p>
    <w:p w14:paraId="63A721FE" w14:textId="406A5AA4" w:rsidR="00B852E5" w:rsidRPr="00B852E5" w:rsidRDefault="008724D0" w:rsidP="00B852E5">
      <w:pPr>
        <w:spacing w:after="120"/>
        <w:rPr>
          <w:rFonts w:ascii="Century Gothic" w:hAnsi="Century Gothic"/>
          <w:b/>
          <w:i/>
          <w:color w:val="4F81BD" w:themeColor="accent1"/>
          <w:sz w:val="20"/>
          <w:szCs w:val="20"/>
          <w:lang w:val="en-AU"/>
        </w:rPr>
      </w:pPr>
      <w:r>
        <w:rPr>
          <w:rFonts w:ascii="Century Gothic" w:hAnsi="Century Gothic"/>
          <w:b/>
          <w:i/>
          <w:color w:val="4F81BD" w:themeColor="accent1"/>
          <w:sz w:val="20"/>
          <w:szCs w:val="20"/>
          <w:lang w:val="en-AU"/>
        </w:rPr>
        <w:t>Executive summary</w:t>
      </w:r>
    </w:p>
    <w:p w14:paraId="101F3263" w14:textId="3889279C" w:rsidR="0094423F" w:rsidRPr="00B852E5" w:rsidRDefault="00B852E5" w:rsidP="00B852E5">
      <w:pPr>
        <w:spacing w:after="120"/>
        <w:rPr>
          <w:rFonts w:ascii="Century Gothic" w:hAnsi="Century Gothic"/>
          <w:b/>
          <w:i/>
          <w:color w:val="4F81BD" w:themeColor="accent1"/>
          <w:sz w:val="20"/>
          <w:szCs w:val="20"/>
          <w:lang w:val="en-AU"/>
        </w:rPr>
      </w:pPr>
      <w:r w:rsidRPr="00B852E5">
        <w:rPr>
          <w:rFonts w:ascii="Century Gothic" w:hAnsi="Century Gothic"/>
          <w:b/>
          <w:i/>
          <w:color w:val="4F81BD" w:themeColor="accent1"/>
          <w:sz w:val="20"/>
          <w:szCs w:val="20"/>
          <w:lang w:val="en-AU"/>
        </w:rPr>
        <w:t xml:space="preserve">Part 1 </w:t>
      </w:r>
      <w:r w:rsidRPr="00B852E5">
        <w:rPr>
          <w:rFonts w:ascii="Century Gothic" w:hAnsi="Century Gothic"/>
          <w:b/>
          <w:i/>
          <w:color w:val="4F81BD" w:themeColor="accent1"/>
          <w:sz w:val="20"/>
          <w:szCs w:val="20"/>
          <w:lang w:val="en-AU"/>
        </w:rPr>
        <w:tab/>
        <w:t>Review findings and di</w:t>
      </w:r>
      <w:r w:rsidR="0094423F" w:rsidRPr="00B852E5">
        <w:rPr>
          <w:rFonts w:ascii="Century Gothic" w:hAnsi="Century Gothic"/>
          <w:b/>
          <w:i/>
          <w:color w:val="4F81BD" w:themeColor="accent1"/>
          <w:sz w:val="20"/>
          <w:szCs w:val="20"/>
          <w:lang w:val="en-AU"/>
        </w:rPr>
        <w:t>scussion</w:t>
      </w:r>
    </w:p>
    <w:p w14:paraId="5AB004C5" w14:textId="622EFF8E" w:rsidR="0094423F" w:rsidRPr="00EC23C6" w:rsidRDefault="0094423F"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Students First Support Fund</w:t>
      </w:r>
    </w:p>
    <w:p w14:paraId="37E01C71" w14:textId="55F09BE0" w:rsidR="0094423F" w:rsidRPr="00EC23C6" w:rsidRDefault="008724D0"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Program content and delivery</w:t>
      </w:r>
    </w:p>
    <w:p w14:paraId="7579A255" w14:textId="3026C86D" w:rsidR="00EC23C6" w:rsidRDefault="008724D0"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Quality assessments</w:t>
      </w:r>
    </w:p>
    <w:p w14:paraId="218A9B7B" w14:textId="21CEFC41" w:rsidR="00EC23C6" w:rsidRDefault="008724D0"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Achieving outcomes/ Value gain</w:t>
      </w:r>
    </w:p>
    <w:p w14:paraId="6C3843BD" w14:textId="143470D7" w:rsidR="00EC23C6" w:rsidRDefault="0094423F"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sidRPr="00EC23C6">
        <w:rPr>
          <w:rFonts w:ascii="Century Gothic" w:eastAsiaTheme="minorHAnsi" w:hAnsi="Century Gothic"/>
          <w:sz w:val="20"/>
          <w:szCs w:val="20"/>
          <w:lang w:val="en-AU"/>
        </w:rPr>
        <w:t>Outcomes: what have fu</w:t>
      </w:r>
      <w:r w:rsidR="008724D0">
        <w:rPr>
          <w:rFonts w:ascii="Century Gothic" w:eastAsiaTheme="minorHAnsi" w:hAnsi="Century Gothic"/>
          <w:sz w:val="20"/>
          <w:szCs w:val="20"/>
          <w:lang w:val="en-AU"/>
        </w:rPr>
        <w:t>nds delivered?</w:t>
      </w:r>
    </w:p>
    <w:p w14:paraId="4148228D" w14:textId="6EFB565A" w:rsidR="0094423F" w:rsidRPr="00EC23C6" w:rsidRDefault="008724D0" w:rsidP="006A1D2B">
      <w:pPr>
        <w:pStyle w:val="ListParagraph"/>
        <w:numPr>
          <w:ilvl w:val="0"/>
          <w:numId w:val="21"/>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Options for improvement</w:t>
      </w:r>
    </w:p>
    <w:p w14:paraId="4148E9D6" w14:textId="52E49599" w:rsidR="0094423F" w:rsidRPr="00EC153A" w:rsidRDefault="0094423F" w:rsidP="00EC153A">
      <w:pPr>
        <w:spacing w:after="120"/>
        <w:rPr>
          <w:rFonts w:ascii="Century Gothic" w:hAnsi="Century Gothic"/>
          <w:b/>
          <w:i/>
          <w:color w:val="4F81BD" w:themeColor="accent1"/>
          <w:sz w:val="20"/>
          <w:szCs w:val="20"/>
          <w:lang w:val="en-AU"/>
        </w:rPr>
      </w:pPr>
      <w:r w:rsidRPr="00EC153A">
        <w:rPr>
          <w:rFonts w:ascii="Century Gothic" w:hAnsi="Century Gothic"/>
          <w:b/>
          <w:i/>
          <w:color w:val="4F81BD" w:themeColor="accent1"/>
          <w:sz w:val="20"/>
          <w:szCs w:val="20"/>
          <w:lang w:val="en-AU"/>
        </w:rPr>
        <w:t xml:space="preserve">Part 2 </w:t>
      </w:r>
      <w:r w:rsidRPr="00EC153A">
        <w:rPr>
          <w:rFonts w:ascii="Century Gothic" w:hAnsi="Century Gothic"/>
          <w:b/>
          <w:i/>
          <w:color w:val="4F81BD" w:themeColor="accent1"/>
          <w:sz w:val="20"/>
          <w:szCs w:val="20"/>
          <w:lang w:val="en-AU"/>
        </w:rPr>
        <w:tab/>
        <w:t>SFSF programs</w:t>
      </w:r>
      <w:r w:rsidR="008724D0">
        <w:rPr>
          <w:rFonts w:ascii="Century Gothic" w:hAnsi="Century Gothic"/>
          <w:b/>
          <w:i/>
          <w:color w:val="4F81BD" w:themeColor="accent1"/>
          <w:sz w:val="20"/>
          <w:szCs w:val="20"/>
          <w:lang w:val="en-AU"/>
        </w:rPr>
        <w:t xml:space="preserve"> and key features</w:t>
      </w:r>
    </w:p>
    <w:p w14:paraId="513B5873" w14:textId="105875C9" w:rsidR="0094423F" w:rsidRDefault="00B65985" w:rsidP="006A1D2B">
      <w:pPr>
        <w:pStyle w:val="ListParagraph"/>
        <w:numPr>
          <w:ilvl w:val="0"/>
          <w:numId w:val="22"/>
        </w:numPr>
        <w:spacing w:line="276" w:lineRule="auto"/>
        <w:ind w:right="-340"/>
        <w:jc w:val="both"/>
        <w:rPr>
          <w:rFonts w:ascii="Century Gothic" w:eastAsiaTheme="minorHAnsi" w:hAnsi="Century Gothic"/>
          <w:sz w:val="20"/>
          <w:szCs w:val="20"/>
          <w:lang w:val="en-AU"/>
        </w:rPr>
      </w:pPr>
      <w:r w:rsidRPr="00B65985">
        <w:rPr>
          <w:rFonts w:ascii="Century Gothic" w:eastAsiaTheme="minorHAnsi" w:hAnsi="Century Gothic"/>
          <w:sz w:val="20"/>
          <w:szCs w:val="20"/>
          <w:lang w:val="en-AU"/>
        </w:rPr>
        <w:t xml:space="preserve">NGRB </w:t>
      </w:r>
      <w:r w:rsidR="00227EAA">
        <w:rPr>
          <w:rFonts w:ascii="Century Gothic" w:eastAsiaTheme="minorHAnsi" w:hAnsi="Century Gothic"/>
          <w:sz w:val="20"/>
          <w:szCs w:val="20"/>
          <w:lang w:val="en-AU"/>
        </w:rPr>
        <w:t xml:space="preserve">SFSF activity </w:t>
      </w:r>
      <w:r>
        <w:rPr>
          <w:rFonts w:ascii="Century Gothic" w:eastAsiaTheme="minorHAnsi" w:hAnsi="Century Gothic"/>
          <w:sz w:val="20"/>
          <w:szCs w:val="20"/>
          <w:lang w:val="en-AU"/>
        </w:rPr>
        <w:t>profiles</w:t>
      </w:r>
      <w:r w:rsidR="00EC153A">
        <w:rPr>
          <w:rFonts w:ascii="Century Gothic" w:eastAsiaTheme="minorHAnsi" w:hAnsi="Century Gothic"/>
          <w:sz w:val="20"/>
          <w:szCs w:val="20"/>
          <w:lang w:val="en-AU"/>
        </w:rPr>
        <w:t>: sum</w:t>
      </w:r>
      <w:r w:rsidR="008724D0">
        <w:rPr>
          <w:rFonts w:ascii="Century Gothic" w:eastAsiaTheme="minorHAnsi" w:hAnsi="Century Gothic"/>
          <w:sz w:val="20"/>
          <w:szCs w:val="20"/>
          <w:lang w:val="en-AU"/>
        </w:rPr>
        <w:t>mary of features and activities</w:t>
      </w:r>
    </w:p>
    <w:p w14:paraId="459EBCA8" w14:textId="4713C694" w:rsidR="00B65985" w:rsidRDefault="008724D0" w:rsidP="006A1D2B">
      <w:pPr>
        <w:pStyle w:val="ListParagraph"/>
        <w:numPr>
          <w:ilvl w:val="0"/>
          <w:numId w:val="22"/>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Patterns of expenditure</w:t>
      </w:r>
    </w:p>
    <w:p w14:paraId="05CAAA66" w14:textId="7CA4A6BD" w:rsidR="001904A2" w:rsidRDefault="008724D0" w:rsidP="006A1D2B">
      <w:pPr>
        <w:pStyle w:val="ListParagraph"/>
        <w:numPr>
          <w:ilvl w:val="0"/>
          <w:numId w:val="22"/>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Delivery models</w:t>
      </w:r>
    </w:p>
    <w:p w14:paraId="78C7ED76" w14:textId="5D70D5EA" w:rsidR="006C7EB4" w:rsidRPr="001904A2" w:rsidRDefault="008724D0" w:rsidP="006A1D2B">
      <w:pPr>
        <w:pStyle w:val="ListParagraph"/>
        <w:numPr>
          <w:ilvl w:val="0"/>
          <w:numId w:val="22"/>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Principals’ perspectives</w:t>
      </w:r>
      <w:r w:rsidR="006C7EB4" w:rsidRPr="001904A2">
        <w:rPr>
          <w:rFonts w:ascii="Century Gothic" w:eastAsiaTheme="minorHAnsi" w:hAnsi="Century Gothic"/>
          <w:sz w:val="20"/>
          <w:szCs w:val="20"/>
          <w:lang w:val="en-AU"/>
        </w:rPr>
        <w:br w:type="page"/>
      </w:r>
    </w:p>
    <w:p w14:paraId="5D87E9DC" w14:textId="0F1C9290" w:rsidR="006969A1" w:rsidRDefault="00CD0931" w:rsidP="008724D0">
      <w:pPr>
        <w:pStyle w:val="Heading1"/>
        <w:spacing w:after="240"/>
        <w:rPr>
          <w:sz w:val="32"/>
          <w:szCs w:val="32"/>
        </w:rPr>
      </w:pPr>
      <w:bookmarkStart w:id="17" w:name="_Toc495587301"/>
      <w:r w:rsidRPr="00CD0931">
        <w:rPr>
          <w:sz w:val="32"/>
          <w:szCs w:val="32"/>
        </w:rPr>
        <w:lastRenderedPageBreak/>
        <w:t>2</w:t>
      </w:r>
      <w:r w:rsidR="002F2D2D" w:rsidRPr="00CD0931">
        <w:rPr>
          <w:sz w:val="32"/>
          <w:szCs w:val="32"/>
        </w:rPr>
        <w:t>.</w:t>
      </w:r>
      <w:r w:rsidR="002F2D2D" w:rsidRPr="00CD0931">
        <w:rPr>
          <w:sz w:val="32"/>
          <w:szCs w:val="32"/>
        </w:rPr>
        <w:tab/>
      </w:r>
      <w:r w:rsidR="006C7EB4" w:rsidRPr="00CD0931">
        <w:rPr>
          <w:sz w:val="32"/>
          <w:szCs w:val="32"/>
        </w:rPr>
        <w:t>Students First Support Fund</w:t>
      </w:r>
      <w:r w:rsidR="002F2D2D" w:rsidRPr="00CD0931">
        <w:rPr>
          <w:sz w:val="32"/>
          <w:szCs w:val="32"/>
        </w:rPr>
        <w:t xml:space="preserve"> Purpose and Funding</w:t>
      </w:r>
      <w:bookmarkEnd w:id="17"/>
    </w:p>
    <w:p w14:paraId="562F6831" w14:textId="77777777" w:rsidR="00C511CC" w:rsidRPr="00CD1809" w:rsidRDefault="00C511CC" w:rsidP="00CD1809"/>
    <w:p w14:paraId="1FC64083" w14:textId="77777777" w:rsidR="00C511CC" w:rsidRDefault="00C511CC" w:rsidP="00C511CC">
      <w:pPr>
        <w:spacing w:after="120" w:line="260" w:lineRule="atLeast"/>
        <w:ind w:right="72"/>
        <w:rPr>
          <w:rFonts w:ascii="Century Gothic" w:hAnsi="Century Gothic" w:cs="Arial"/>
          <w:sz w:val="20"/>
          <w:szCs w:val="20"/>
        </w:rPr>
      </w:pPr>
      <w:r>
        <w:rPr>
          <w:rFonts w:ascii="Century Gothic" w:hAnsi="Century Gothic" w:cs="Arial"/>
          <w:sz w:val="20"/>
          <w:szCs w:val="20"/>
        </w:rPr>
        <w:t>Key Findings</w:t>
      </w:r>
    </w:p>
    <w:p w14:paraId="13A59DC3" w14:textId="77777777" w:rsidR="00C511CC" w:rsidRDefault="00C511CC" w:rsidP="00C511CC">
      <w:pPr>
        <w:pStyle w:val="ListParagraph"/>
        <w:numPr>
          <w:ilvl w:val="0"/>
          <w:numId w:val="12"/>
        </w:numPr>
        <w:spacing w:after="120"/>
        <w:ind w:right="100"/>
        <w:contextualSpacing w:val="0"/>
        <w:rPr>
          <w:rFonts w:ascii="Century Gothic" w:hAnsi="Century Gothic" w:cs="Arial"/>
          <w:sz w:val="20"/>
          <w:szCs w:val="20"/>
        </w:rPr>
      </w:pPr>
      <w:r>
        <w:rPr>
          <w:rFonts w:ascii="Century Gothic" w:hAnsi="Century Gothic" w:cs="Arial"/>
          <w:sz w:val="20"/>
          <w:szCs w:val="20"/>
        </w:rPr>
        <w:t>SFSF funding is provided on an annual basis and totals $154.67m over the period 2014-17 to support the implementation of five national priorities.</w:t>
      </w:r>
    </w:p>
    <w:p w14:paraId="53A1EFD8" w14:textId="77777777" w:rsidR="00C511CC" w:rsidRDefault="00C511CC" w:rsidP="00C511CC">
      <w:pPr>
        <w:pStyle w:val="ListParagraph"/>
        <w:numPr>
          <w:ilvl w:val="0"/>
          <w:numId w:val="12"/>
        </w:numPr>
        <w:spacing w:after="120"/>
        <w:ind w:right="100"/>
        <w:contextualSpacing w:val="0"/>
        <w:rPr>
          <w:rFonts w:ascii="Century Gothic" w:hAnsi="Century Gothic" w:cs="Arial"/>
          <w:sz w:val="20"/>
          <w:szCs w:val="20"/>
        </w:rPr>
      </w:pPr>
      <w:r>
        <w:rPr>
          <w:rFonts w:ascii="Century Gothic" w:hAnsi="Century Gothic" w:cs="Arial"/>
          <w:sz w:val="20"/>
          <w:szCs w:val="20"/>
        </w:rPr>
        <w:t>The quantum of resources provided differs between Catholic (35.3%) and Independent (64.7%) sectors.</w:t>
      </w:r>
    </w:p>
    <w:p w14:paraId="067B1F8B" w14:textId="77777777" w:rsidR="00C511CC" w:rsidRPr="007C7FAF" w:rsidRDefault="00C511CC" w:rsidP="00C511CC">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SFSF has been a major stimulus for change in the support work done by most NGRBs but there are significant differences in approaches to planning and implementing SFSF, partly influenced by structural factors and partly due to the very broad scope of the government’s requirements.</w:t>
      </w:r>
    </w:p>
    <w:p w14:paraId="3C75C474" w14:textId="77777777" w:rsidR="00C511CC" w:rsidRPr="007C7FAF" w:rsidRDefault="00C511CC" w:rsidP="00C511CC">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NGRB size is a significant limitation on the scope and depth of support activities that can be offered across the five national priorities.</w:t>
      </w:r>
    </w:p>
    <w:p w14:paraId="0CFE6F62" w14:textId="77777777" w:rsidR="00C511CC" w:rsidRDefault="00C511CC" w:rsidP="00C511CC">
      <w:pPr>
        <w:pStyle w:val="ListParagraph"/>
        <w:numPr>
          <w:ilvl w:val="0"/>
          <w:numId w:val="12"/>
        </w:numPr>
        <w:spacing w:after="120"/>
        <w:ind w:right="100"/>
        <w:contextualSpacing w:val="0"/>
        <w:rPr>
          <w:rFonts w:ascii="Century Gothic" w:hAnsi="Century Gothic" w:cs="Arial"/>
          <w:sz w:val="20"/>
          <w:szCs w:val="20"/>
        </w:rPr>
      </w:pPr>
      <w:r>
        <w:rPr>
          <w:rFonts w:ascii="Century Gothic" w:hAnsi="Century Gothic" w:cs="Arial"/>
          <w:sz w:val="20"/>
          <w:szCs w:val="20"/>
        </w:rPr>
        <w:t>Governance and the nature of the relationship between the NGRB and its schools also influences the approaches adopted e.g.</w:t>
      </w:r>
    </w:p>
    <w:p w14:paraId="1803C2E5" w14:textId="77777777" w:rsidR="00C511CC" w:rsidRDefault="00C511CC" w:rsidP="00C511CC">
      <w:pPr>
        <w:pStyle w:val="ListParagraph"/>
        <w:numPr>
          <w:ilvl w:val="1"/>
          <w:numId w:val="12"/>
        </w:numPr>
        <w:spacing w:after="120"/>
        <w:ind w:right="100"/>
        <w:contextualSpacing w:val="0"/>
        <w:rPr>
          <w:rFonts w:ascii="Century Gothic" w:hAnsi="Century Gothic" w:cs="Arial"/>
          <w:sz w:val="20"/>
          <w:szCs w:val="20"/>
        </w:rPr>
      </w:pPr>
      <w:r>
        <w:rPr>
          <w:rFonts w:ascii="Century Gothic" w:hAnsi="Century Gothic" w:cs="Arial"/>
          <w:sz w:val="20"/>
          <w:szCs w:val="20"/>
        </w:rPr>
        <w:t>The m</w:t>
      </w:r>
      <w:r w:rsidRPr="00324460">
        <w:rPr>
          <w:rFonts w:ascii="Century Gothic" w:hAnsi="Century Gothic" w:cs="Arial"/>
          <w:sz w:val="20"/>
          <w:szCs w:val="20"/>
        </w:rPr>
        <w:t xml:space="preserve">atrix governance </w:t>
      </w:r>
      <w:r>
        <w:rPr>
          <w:rFonts w:ascii="Century Gothic" w:hAnsi="Century Gothic" w:cs="Arial"/>
          <w:sz w:val="20"/>
          <w:szCs w:val="20"/>
        </w:rPr>
        <w:t xml:space="preserve">arrangements </w:t>
      </w:r>
      <w:r w:rsidRPr="00324460">
        <w:rPr>
          <w:rFonts w:ascii="Century Gothic" w:hAnsi="Century Gothic" w:cs="Arial"/>
          <w:sz w:val="20"/>
          <w:szCs w:val="20"/>
        </w:rPr>
        <w:t xml:space="preserve">of some Catholic Education Commissions </w:t>
      </w:r>
      <w:r>
        <w:rPr>
          <w:rFonts w:ascii="Century Gothic" w:hAnsi="Century Gothic" w:cs="Arial"/>
          <w:sz w:val="20"/>
          <w:szCs w:val="20"/>
        </w:rPr>
        <w:t>provides challenges for planning, evaluating and reporting the impact of SFSF</w:t>
      </w:r>
    </w:p>
    <w:p w14:paraId="5D924A38" w14:textId="635878D2" w:rsidR="00C511CC" w:rsidRDefault="00C511CC" w:rsidP="00C511CC">
      <w:pPr>
        <w:spacing w:before="120" w:after="120" w:line="260" w:lineRule="atLeast"/>
        <w:ind w:right="-340"/>
        <w:rPr>
          <w:rFonts w:ascii="Century Gothic" w:hAnsi="Century Gothic" w:cs="Arial"/>
          <w:sz w:val="20"/>
          <w:szCs w:val="20"/>
        </w:rPr>
      </w:pPr>
      <w:r w:rsidRPr="00C6123F">
        <w:rPr>
          <w:rFonts w:ascii="Century Gothic" w:hAnsi="Century Gothic" w:cs="Arial"/>
          <w:sz w:val="20"/>
          <w:szCs w:val="20"/>
        </w:rPr>
        <w:t>NGRBs for Independent schools have had the challenge of moving from a member service to one focused on supporting schools achieve broad educational outcomes with a voluntary association</w:t>
      </w:r>
      <w:r>
        <w:rPr>
          <w:rFonts w:ascii="Century Gothic" w:hAnsi="Century Gothic" w:cs="Arial"/>
          <w:sz w:val="20"/>
          <w:szCs w:val="20"/>
        </w:rPr>
        <w:t>.</w:t>
      </w:r>
    </w:p>
    <w:p w14:paraId="040952BA" w14:textId="30FC63ED" w:rsidR="006C7EB4" w:rsidRDefault="006C7EB4" w:rsidP="008724D0">
      <w:pPr>
        <w:spacing w:before="120" w:after="120" w:line="260" w:lineRule="atLeast"/>
        <w:ind w:right="-340"/>
        <w:rPr>
          <w:rFonts w:ascii="Century Gothic" w:hAnsi="Century Gothic" w:cs="Arial"/>
          <w:sz w:val="20"/>
          <w:szCs w:val="20"/>
        </w:rPr>
      </w:pPr>
      <w:r w:rsidRPr="006966B5">
        <w:rPr>
          <w:rFonts w:ascii="Century Gothic" w:hAnsi="Century Gothic" w:cs="Arial"/>
          <w:sz w:val="20"/>
          <w:szCs w:val="20"/>
        </w:rPr>
        <w:t xml:space="preserve">The Students First Support Fund (SFSF) provides </w:t>
      </w:r>
      <w:r>
        <w:rPr>
          <w:rFonts w:ascii="Century Gothic" w:hAnsi="Century Gothic" w:cs="Arial"/>
          <w:sz w:val="20"/>
          <w:szCs w:val="20"/>
        </w:rPr>
        <w:t>f</w:t>
      </w:r>
      <w:r w:rsidRPr="00717143">
        <w:rPr>
          <w:rFonts w:ascii="Century Gothic" w:hAnsi="Century Gothic" w:cs="Arial"/>
          <w:sz w:val="20"/>
          <w:szCs w:val="20"/>
        </w:rPr>
        <w:t xml:space="preserve">unding </w:t>
      </w:r>
      <w:r>
        <w:rPr>
          <w:rFonts w:ascii="Century Gothic" w:hAnsi="Century Gothic" w:cs="Arial"/>
          <w:sz w:val="20"/>
          <w:szCs w:val="20"/>
        </w:rPr>
        <w:t>to</w:t>
      </w:r>
      <w:r w:rsidRPr="00717143">
        <w:rPr>
          <w:rFonts w:ascii="Century Gothic" w:hAnsi="Century Gothic" w:cs="Arial"/>
          <w:sz w:val="20"/>
          <w:szCs w:val="20"/>
        </w:rPr>
        <w:t xml:space="preserve"> the non-government representative bodies </w:t>
      </w:r>
      <w:r w:rsidRPr="006966B5">
        <w:rPr>
          <w:rFonts w:ascii="Century Gothic" w:hAnsi="Century Gothic" w:cs="Arial"/>
          <w:sz w:val="20"/>
          <w:szCs w:val="20"/>
        </w:rPr>
        <w:t xml:space="preserve">(NGRBs) </w:t>
      </w:r>
      <w:r>
        <w:rPr>
          <w:rFonts w:ascii="Century Gothic" w:hAnsi="Century Gothic" w:cs="Arial"/>
          <w:sz w:val="20"/>
          <w:szCs w:val="20"/>
        </w:rPr>
        <w:t>via</w:t>
      </w:r>
      <w:r w:rsidRPr="00717143">
        <w:rPr>
          <w:rFonts w:ascii="Century Gothic" w:hAnsi="Century Gothic" w:cs="Arial"/>
          <w:sz w:val="20"/>
          <w:szCs w:val="20"/>
        </w:rPr>
        <w:t xml:space="preserve"> Memorandums of Understanding (MoUs) to represent non-government schools and support them in the implementation of national</w:t>
      </w:r>
      <w:r w:rsidR="00CD0931">
        <w:rPr>
          <w:rFonts w:ascii="Century Gothic" w:hAnsi="Century Gothic" w:cs="Arial"/>
          <w:sz w:val="20"/>
          <w:szCs w:val="20"/>
        </w:rPr>
        <w:t xml:space="preserve"> reforms and school improvement.</w:t>
      </w:r>
    </w:p>
    <w:p w14:paraId="21066257" w14:textId="41837B64" w:rsidR="00CD0931" w:rsidRPr="005D40DE" w:rsidRDefault="00CD0931" w:rsidP="004B2D8A">
      <w:pPr>
        <w:pStyle w:val="Heading2"/>
        <w:ind w:right="-340"/>
        <w:rPr>
          <w:rStyle w:val="IntenseReference"/>
          <w:b/>
          <w:bCs/>
          <w:smallCaps w:val="0"/>
          <w:color w:val="0070C0"/>
          <w:spacing w:val="0"/>
        </w:rPr>
      </w:pPr>
      <w:bookmarkStart w:id="18" w:name="_Toc495587302"/>
      <w:r>
        <w:rPr>
          <w:rStyle w:val="IntenseReference"/>
          <w:b/>
          <w:bCs/>
          <w:smallCaps w:val="0"/>
          <w:color w:val="0070C0"/>
          <w:spacing w:val="0"/>
        </w:rPr>
        <w:t>2</w:t>
      </w:r>
      <w:r w:rsidR="000334BA">
        <w:rPr>
          <w:rStyle w:val="IntenseReference"/>
          <w:b/>
          <w:bCs/>
          <w:smallCaps w:val="0"/>
          <w:color w:val="0070C0"/>
          <w:spacing w:val="0"/>
        </w:rPr>
        <w:t>.</w:t>
      </w:r>
      <w:r>
        <w:rPr>
          <w:rStyle w:val="IntenseReference"/>
          <w:b/>
          <w:bCs/>
          <w:smallCaps w:val="0"/>
          <w:color w:val="0070C0"/>
          <w:spacing w:val="0"/>
        </w:rPr>
        <w:t>1</w:t>
      </w:r>
      <w:r w:rsidRPr="005D40DE">
        <w:rPr>
          <w:rStyle w:val="IntenseReference"/>
          <w:b/>
          <w:bCs/>
          <w:smallCaps w:val="0"/>
          <w:color w:val="0070C0"/>
          <w:spacing w:val="0"/>
        </w:rPr>
        <w:t xml:space="preserve"> </w:t>
      </w:r>
      <w:r w:rsidRPr="005D40DE">
        <w:rPr>
          <w:rStyle w:val="IntenseReference"/>
          <w:b/>
          <w:bCs/>
          <w:smallCaps w:val="0"/>
          <w:color w:val="0070C0"/>
          <w:spacing w:val="0"/>
        </w:rPr>
        <w:tab/>
        <w:t>National Priorities</w:t>
      </w:r>
      <w:bookmarkEnd w:id="18"/>
      <w:r w:rsidRPr="005D40DE">
        <w:rPr>
          <w:rStyle w:val="IntenseReference"/>
          <w:b/>
          <w:bCs/>
          <w:smallCaps w:val="0"/>
          <w:color w:val="0070C0"/>
          <w:spacing w:val="0"/>
        </w:rPr>
        <w:t xml:space="preserve"> </w:t>
      </w:r>
    </w:p>
    <w:p w14:paraId="60A8DC92" w14:textId="3710751B" w:rsidR="00CD0931" w:rsidRPr="00CD0931" w:rsidRDefault="00CD0931" w:rsidP="004B2D8A">
      <w:pPr>
        <w:spacing w:after="120" w:line="260" w:lineRule="atLeast"/>
        <w:ind w:right="-340"/>
        <w:rPr>
          <w:rFonts w:ascii="Century Gothic" w:hAnsi="Century Gothic" w:cs="Arial"/>
          <w:sz w:val="20"/>
          <w:szCs w:val="20"/>
        </w:rPr>
      </w:pPr>
      <w:r w:rsidRPr="00CD0931">
        <w:rPr>
          <w:rFonts w:ascii="Century Gothic" w:hAnsi="Century Gothic" w:cs="Arial"/>
          <w:sz w:val="20"/>
          <w:szCs w:val="20"/>
        </w:rPr>
        <w:t>The five prio</w:t>
      </w:r>
      <w:r w:rsidR="000334BA">
        <w:rPr>
          <w:rFonts w:ascii="Century Gothic" w:hAnsi="Century Gothic" w:cs="Arial"/>
          <w:sz w:val="20"/>
          <w:szCs w:val="20"/>
        </w:rPr>
        <w:t>ri</w:t>
      </w:r>
      <w:r w:rsidRPr="00CD0931">
        <w:rPr>
          <w:rFonts w:ascii="Century Gothic" w:hAnsi="Century Gothic" w:cs="Arial"/>
          <w:sz w:val="20"/>
          <w:szCs w:val="20"/>
        </w:rPr>
        <w:t xml:space="preserve">ties </w:t>
      </w:r>
      <w:r w:rsidR="000334BA">
        <w:rPr>
          <w:rFonts w:ascii="Century Gothic" w:hAnsi="Century Gothic" w:cs="Arial"/>
          <w:sz w:val="20"/>
          <w:szCs w:val="20"/>
        </w:rPr>
        <w:t>are:</w:t>
      </w:r>
    </w:p>
    <w:p w14:paraId="74B759BF" w14:textId="77777777" w:rsidR="006C7EB4" w:rsidRPr="00717143" w:rsidRDefault="006C7EB4" w:rsidP="006A1D2B">
      <w:pPr>
        <w:pStyle w:val="ListParagraph"/>
        <w:numPr>
          <w:ilvl w:val="0"/>
          <w:numId w:val="12"/>
        </w:numPr>
        <w:spacing w:after="120"/>
        <w:ind w:right="-340"/>
        <w:contextualSpacing w:val="0"/>
        <w:rPr>
          <w:rFonts w:ascii="Century Gothic" w:hAnsi="Century Gothic" w:cs="Arial"/>
          <w:sz w:val="20"/>
          <w:szCs w:val="20"/>
        </w:rPr>
      </w:pPr>
      <w:r w:rsidRPr="00717143">
        <w:rPr>
          <w:rFonts w:ascii="Century Gothic" w:hAnsi="Century Gothic" w:cs="Arial"/>
          <w:sz w:val="20"/>
          <w:szCs w:val="20"/>
        </w:rPr>
        <w:t>improving quality teaching, including but not limited to implementing relevant national standards, frameworks and charters developed by the Australian Institute of Teaching and School Leadership (AITSL)</w:t>
      </w:r>
    </w:p>
    <w:p w14:paraId="38FAECB9" w14:textId="77777777" w:rsidR="006C7EB4" w:rsidRPr="00717143" w:rsidRDefault="006C7EB4" w:rsidP="006A1D2B">
      <w:pPr>
        <w:pStyle w:val="ListParagraph"/>
        <w:numPr>
          <w:ilvl w:val="0"/>
          <w:numId w:val="12"/>
        </w:numPr>
        <w:spacing w:after="120"/>
        <w:ind w:right="-340"/>
        <w:contextualSpacing w:val="0"/>
        <w:rPr>
          <w:rFonts w:ascii="Century Gothic" w:hAnsi="Century Gothic" w:cs="Arial"/>
          <w:sz w:val="20"/>
          <w:szCs w:val="20"/>
        </w:rPr>
      </w:pPr>
      <w:r w:rsidRPr="00717143">
        <w:rPr>
          <w:rFonts w:ascii="Century Gothic" w:hAnsi="Century Gothic" w:cs="Arial"/>
          <w:sz w:val="20"/>
          <w:szCs w:val="20"/>
        </w:rPr>
        <w:t>improving quality learning, including but not limited to providing comprehensive literacy and numeracy support, increasing focus on the teaching of science, technology, engineering and mathematics and providing greater access to foreign language education</w:t>
      </w:r>
    </w:p>
    <w:p w14:paraId="0D584443" w14:textId="77777777" w:rsidR="006C7EB4" w:rsidRPr="00717143" w:rsidRDefault="006C7EB4" w:rsidP="006A1D2B">
      <w:pPr>
        <w:pStyle w:val="ListParagraph"/>
        <w:numPr>
          <w:ilvl w:val="0"/>
          <w:numId w:val="12"/>
        </w:numPr>
        <w:spacing w:after="120"/>
        <w:ind w:right="-340"/>
        <w:contextualSpacing w:val="0"/>
        <w:rPr>
          <w:rFonts w:ascii="Century Gothic" w:hAnsi="Century Gothic" w:cs="Arial"/>
          <w:sz w:val="20"/>
          <w:szCs w:val="20"/>
        </w:rPr>
      </w:pPr>
      <w:r w:rsidRPr="00717143">
        <w:rPr>
          <w:rFonts w:ascii="Century Gothic" w:hAnsi="Century Gothic" w:cs="Arial"/>
          <w:sz w:val="20"/>
          <w:szCs w:val="20"/>
        </w:rPr>
        <w:t>empowering school leadership, including but not limited to implementing relevant national standards, frameworks and charters, increasing parent and community engagement and conducting objective assessments of school performance and practices to inform improvement planning and ongoing monitoring</w:t>
      </w:r>
    </w:p>
    <w:p w14:paraId="0E3F63A8" w14:textId="77777777" w:rsidR="006C7EB4" w:rsidRPr="00717143" w:rsidRDefault="006C7EB4" w:rsidP="006A1D2B">
      <w:pPr>
        <w:pStyle w:val="ListParagraph"/>
        <w:numPr>
          <w:ilvl w:val="0"/>
          <w:numId w:val="12"/>
        </w:numPr>
        <w:spacing w:after="120"/>
        <w:ind w:right="-340"/>
        <w:contextualSpacing w:val="0"/>
        <w:rPr>
          <w:rFonts w:ascii="Century Gothic" w:hAnsi="Century Gothic" w:cs="Arial"/>
          <w:sz w:val="20"/>
          <w:szCs w:val="20"/>
        </w:rPr>
      </w:pPr>
      <w:r w:rsidRPr="00717143">
        <w:rPr>
          <w:rFonts w:ascii="Century Gothic" w:hAnsi="Century Gothic" w:cs="Arial"/>
          <w:sz w:val="20"/>
          <w:szCs w:val="20"/>
        </w:rPr>
        <w:t>meeting student need, including but not limited to conducting specific activities to support Indigenous students and students with a disability</w:t>
      </w:r>
    </w:p>
    <w:p w14:paraId="30DEE90B" w14:textId="77777777" w:rsidR="006C7EB4" w:rsidRDefault="006C7EB4" w:rsidP="006A1D2B">
      <w:pPr>
        <w:pStyle w:val="ListParagraph"/>
        <w:numPr>
          <w:ilvl w:val="0"/>
          <w:numId w:val="12"/>
        </w:numPr>
        <w:spacing w:after="120"/>
        <w:ind w:right="-340"/>
        <w:contextualSpacing w:val="0"/>
        <w:rPr>
          <w:rFonts w:ascii="Century Gothic" w:hAnsi="Century Gothic" w:cs="Arial"/>
          <w:sz w:val="20"/>
          <w:szCs w:val="20"/>
        </w:rPr>
      </w:pPr>
      <w:r w:rsidRPr="00717143">
        <w:rPr>
          <w:rFonts w:ascii="Century Gothic" w:hAnsi="Century Gothic" w:cs="Arial"/>
          <w:sz w:val="20"/>
          <w:szCs w:val="20"/>
        </w:rPr>
        <w:t>improving transparency and accountability, including but not limited to supporting improvements to school governance arrangements, financial management practices, record keeping, data quality and public accountability.</w:t>
      </w:r>
    </w:p>
    <w:p w14:paraId="4831E99C" w14:textId="72958163" w:rsidR="00FF5FD9" w:rsidRPr="00FF5FD9" w:rsidRDefault="00FF5FD9" w:rsidP="00FF5FD9">
      <w:pPr>
        <w:spacing w:after="120"/>
        <w:ind w:left="284" w:right="-340"/>
        <w:rPr>
          <w:rFonts w:ascii="Century Gothic" w:hAnsi="Century Gothic" w:cs="Arial"/>
          <w:sz w:val="20"/>
          <w:szCs w:val="20"/>
        </w:rPr>
      </w:pPr>
      <w:r>
        <w:rPr>
          <w:rFonts w:ascii="Century Gothic" w:hAnsi="Century Gothic" w:cs="Arial"/>
          <w:sz w:val="20"/>
          <w:szCs w:val="20"/>
        </w:rPr>
        <w:t>The AIS NGRBs interpreted these five priorities as comprised on 21</w:t>
      </w:r>
      <w:r w:rsidR="009152BC">
        <w:rPr>
          <w:rFonts w:ascii="Century Gothic" w:hAnsi="Century Gothic" w:cs="Arial"/>
          <w:sz w:val="20"/>
          <w:szCs w:val="20"/>
        </w:rPr>
        <w:t xml:space="preserve"> </w:t>
      </w:r>
      <w:r>
        <w:rPr>
          <w:rFonts w:ascii="Century Gothic" w:hAnsi="Century Gothic" w:cs="Arial"/>
          <w:sz w:val="20"/>
          <w:szCs w:val="20"/>
        </w:rPr>
        <w:t>separate components, all of which the MOUS</w:t>
      </w:r>
      <w:r w:rsidR="008724D0">
        <w:rPr>
          <w:rFonts w:ascii="Century Gothic" w:hAnsi="Century Gothic" w:cs="Arial"/>
          <w:sz w:val="20"/>
          <w:szCs w:val="20"/>
        </w:rPr>
        <w:t xml:space="preserve"> implied would be implemented.</w:t>
      </w:r>
    </w:p>
    <w:p w14:paraId="0D695B90" w14:textId="1A9B72D9" w:rsidR="000334BA" w:rsidRPr="005D40DE" w:rsidRDefault="000334BA" w:rsidP="004B2D8A">
      <w:pPr>
        <w:pStyle w:val="Heading2"/>
        <w:ind w:right="-340"/>
        <w:rPr>
          <w:rStyle w:val="IntenseReference"/>
          <w:color w:val="0070C0"/>
          <w:spacing w:val="0"/>
        </w:rPr>
      </w:pPr>
      <w:bookmarkStart w:id="19" w:name="_Toc495587303"/>
      <w:r>
        <w:rPr>
          <w:rStyle w:val="IntenseReference"/>
          <w:b/>
          <w:bCs/>
          <w:smallCaps w:val="0"/>
          <w:color w:val="0070C0"/>
          <w:spacing w:val="0"/>
        </w:rPr>
        <w:lastRenderedPageBreak/>
        <w:t>2.2</w:t>
      </w:r>
      <w:r w:rsidR="005F6D1D">
        <w:rPr>
          <w:rStyle w:val="IntenseReference"/>
          <w:b/>
          <w:bCs/>
          <w:smallCaps w:val="0"/>
          <w:color w:val="0070C0"/>
          <w:spacing w:val="0"/>
        </w:rPr>
        <w:t xml:space="preserve"> </w:t>
      </w:r>
      <w:r w:rsidR="005F6D1D">
        <w:rPr>
          <w:rStyle w:val="IntenseReference"/>
          <w:b/>
          <w:bCs/>
          <w:smallCaps w:val="0"/>
          <w:color w:val="0070C0"/>
          <w:spacing w:val="0"/>
        </w:rPr>
        <w:tab/>
        <w:t>SF</w:t>
      </w:r>
      <w:r w:rsidR="00FF7C1B">
        <w:rPr>
          <w:rStyle w:val="IntenseReference"/>
          <w:b/>
          <w:bCs/>
          <w:smallCaps w:val="0"/>
          <w:color w:val="0070C0"/>
          <w:spacing w:val="0"/>
        </w:rPr>
        <w:t>SF f</w:t>
      </w:r>
      <w:r w:rsidRPr="005D40DE">
        <w:rPr>
          <w:rStyle w:val="IntenseReference"/>
          <w:b/>
          <w:bCs/>
          <w:smallCaps w:val="0"/>
          <w:color w:val="0070C0"/>
          <w:spacing w:val="0"/>
        </w:rPr>
        <w:t>unding</w:t>
      </w:r>
      <w:bookmarkEnd w:id="19"/>
    </w:p>
    <w:p w14:paraId="4C72F51F" w14:textId="6DEBC7FF" w:rsidR="00EA64C2" w:rsidRDefault="006C7EB4" w:rsidP="004B2D8A">
      <w:pPr>
        <w:spacing w:after="120"/>
        <w:ind w:right="-340"/>
        <w:rPr>
          <w:rFonts w:ascii="Century Gothic" w:hAnsi="Century Gothic"/>
          <w:sz w:val="20"/>
          <w:szCs w:val="20"/>
        </w:rPr>
      </w:pPr>
      <w:r>
        <w:rPr>
          <w:rFonts w:ascii="Century Gothic" w:hAnsi="Century Gothic"/>
          <w:sz w:val="20"/>
          <w:szCs w:val="20"/>
        </w:rPr>
        <w:t>Funding is provided on an annual basis to each NGRB for the period 2014-17.  Total funding over this period is $154.67m</w:t>
      </w:r>
      <w:r w:rsidR="002F2D2D">
        <w:rPr>
          <w:rStyle w:val="FootnoteReference"/>
          <w:rFonts w:ascii="Century Gothic" w:hAnsi="Century Gothic"/>
          <w:sz w:val="20"/>
          <w:szCs w:val="20"/>
        </w:rPr>
        <w:footnoteReference w:id="3"/>
      </w:r>
      <w:r>
        <w:rPr>
          <w:rFonts w:ascii="Century Gothic" w:hAnsi="Century Gothic"/>
          <w:sz w:val="20"/>
          <w:szCs w:val="20"/>
        </w:rPr>
        <w:t xml:space="preserve"> Table 1 and Figure </w:t>
      </w:r>
      <w:r w:rsidR="00862AE1">
        <w:rPr>
          <w:rFonts w:ascii="Century Gothic" w:hAnsi="Century Gothic"/>
          <w:sz w:val="20"/>
          <w:szCs w:val="20"/>
        </w:rPr>
        <w:t>1</w:t>
      </w:r>
      <w:r>
        <w:rPr>
          <w:rFonts w:ascii="Century Gothic" w:hAnsi="Century Gothic"/>
          <w:sz w:val="20"/>
          <w:szCs w:val="20"/>
        </w:rPr>
        <w:t xml:space="preserve"> </w:t>
      </w:r>
      <w:r w:rsidR="00C6123F">
        <w:rPr>
          <w:rFonts w:ascii="Century Gothic" w:hAnsi="Century Gothic"/>
          <w:sz w:val="20"/>
          <w:szCs w:val="20"/>
        </w:rPr>
        <w:t>show</w:t>
      </w:r>
      <w:r>
        <w:rPr>
          <w:rFonts w:ascii="Century Gothic" w:hAnsi="Century Gothic"/>
          <w:sz w:val="20"/>
          <w:szCs w:val="20"/>
        </w:rPr>
        <w:t xml:space="preserve"> the annual amounts for each NGRB and</w:t>
      </w:r>
      <w:r w:rsidR="000334BA">
        <w:rPr>
          <w:rFonts w:ascii="Century Gothic" w:hAnsi="Century Gothic"/>
          <w:sz w:val="20"/>
          <w:szCs w:val="20"/>
        </w:rPr>
        <w:t xml:space="preserve"> the percentag</w:t>
      </w:r>
      <w:r w:rsidR="008724D0">
        <w:rPr>
          <w:rFonts w:ascii="Century Gothic" w:hAnsi="Century Gothic"/>
          <w:sz w:val="20"/>
          <w:szCs w:val="20"/>
        </w:rPr>
        <w:t>e of their sector’s allocation.</w:t>
      </w:r>
    </w:p>
    <w:p w14:paraId="2B7F376F" w14:textId="5198DD24" w:rsidR="00C6123F" w:rsidRDefault="00C6123F" w:rsidP="00C6123F">
      <w:pPr>
        <w:spacing w:after="120"/>
        <w:ind w:right="-340"/>
        <w:rPr>
          <w:rFonts w:ascii="Century Gothic" w:hAnsi="Century Gothic"/>
          <w:sz w:val="20"/>
          <w:szCs w:val="20"/>
        </w:rPr>
      </w:pPr>
      <w:r>
        <w:rPr>
          <w:rFonts w:ascii="Century Gothic" w:hAnsi="Century Gothic" w:cs="Arial"/>
          <w:sz w:val="20"/>
          <w:szCs w:val="20"/>
        </w:rPr>
        <w:t>The quantum of resources provided differs between Catholic (35.3%) and Independent (64.7%) sectors.</w:t>
      </w:r>
    </w:p>
    <w:p w14:paraId="729F09A2" w14:textId="5C27E332" w:rsidR="006C7EB4" w:rsidRDefault="00C6123F" w:rsidP="004B2D8A">
      <w:pPr>
        <w:spacing w:after="120"/>
        <w:ind w:right="-340"/>
        <w:rPr>
          <w:rFonts w:ascii="Century Gothic" w:hAnsi="Century Gothic"/>
          <w:sz w:val="20"/>
          <w:szCs w:val="20"/>
        </w:rPr>
      </w:pPr>
      <w:r>
        <w:rPr>
          <w:rFonts w:ascii="Century Gothic" w:hAnsi="Century Gothic"/>
          <w:sz w:val="20"/>
          <w:szCs w:val="20"/>
        </w:rPr>
        <w:t xml:space="preserve">(The </w:t>
      </w:r>
      <w:r w:rsidR="00EA64C2">
        <w:rPr>
          <w:rFonts w:ascii="Century Gothic" w:hAnsi="Century Gothic"/>
          <w:sz w:val="20"/>
          <w:szCs w:val="20"/>
        </w:rPr>
        <w:t xml:space="preserve">National Catholic Commissions </w:t>
      </w:r>
      <w:r>
        <w:rPr>
          <w:rFonts w:ascii="Century Gothic" w:hAnsi="Century Gothic"/>
          <w:sz w:val="20"/>
          <w:szCs w:val="20"/>
        </w:rPr>
        <w:t xml:space="preserve">funding as NGRBs with SFSF accountabilities is supplementary to funding for their role as </w:t>
      </w:r>
      <w:r w:rsidR="00EA64C2">
        <w:rPr>
          <w:rFonts w:ascii="Century Gothic" w:hAnsi="Century Gothic"/>
          <w:sz w:val="20"/>
          <w:szCs w:val="20"/>
        </w:rPr>
        <w:t>approved authorities for relevant Catholic schools with responsibilities for e.g. compliance with the Act</w:t>
      </w:r>
      <w:r>
        <w:rPr>
          <w:rFonts w:ascii="Century Gothic" w:hAnsi="Century Gothic"/>
          <w:sz w:val="20"/>
          <w:szCs w:val="20"/>
        </w:rPr>
        <w:t>.)</w:t>
      </w:r>
    </w:p>
    <w:p w14:paraId="6B45E5D7" w14:textId="0A618CBC" w:rsidR="000334BA" w:rsidRPr="008724D0" w:rsidRDefault="006C7EB4" w:rsidP="008724D0">
      <w:pPr>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t>Table 1: Annual SFSF</w:t>
      </w:r>
      <w:r w:rsidR="008724D0">
        <w:rPr>
          <w:rFonts w:ascii="Century Gothic" w:eastAsiaTheme="minorHAnsi" w:hAnsi="Century Gothic"/>
          <w:b/>
          <w:color w:val="4F81BD" w:themeColor="accent1"/>
          <w:sz w:val="20"/>
          <w:szCs w:val="20"/>
          <w:lang w:val="en-AU"/>
        </w:rPr>
        <w:t xml:space="preserve"> Allocation by State and Sector</w:t>
      </w:r>
    </w:p>
    <w:p w14:paraId="2CC4D89B" w14:textId="77777777" w:rsidR="0006599D" w:rsidRDefault="0006599D"/>
    <w:tbl>
      <w:tblPr>
        <w:tblStyle w:val="LightList-Accent1"/>
        <w:tblW w:w="8601" w:type="dxa"/>
        <w:jc w:val="center"/>
        <w:tblLayout w:type="fixed"/>
        <w:tblLook w:val="04A0" w:firstRow="1" w:lastRow="0" w:firstColumn="1" w:lastColumn="0" w:noHBand="0" w:noVBand="1"/>
        <w:tblCaption w:val="Table 1: Annual SFSF Allocation by State and Sector"/>
        <w:tblDescription w:val="This table shows the Independent sector is allocated $24,999,999 per year and the Catholic sector is allocated $13,666,663 per year."/>
      </w:tblPr>
      <w:tblGrid>
        <w:gridCol w:w="1560"/>
        <w:gridCol w:w="1843"/>
        <w:gridCol w:w="1984"/>
        <w:gridCol w:w="1418"/>
        <w:gridCol w:w="1796"/>
      </w:tblGrid>
      <w:tr w:rsidR="007239F5" w:rsidRPr="0002685F" w14:paraId="2AA65328" w14:textId="77777777" w:rsidTr="003A3CAE">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1560" w:type="dxa"/>
            <w:noWrap/>
          </w:tcPr>
          <w:p w14:paraId="74416D8D" w14:textId="2F8CE97D" w:rsidR="0006599D" w:rsidRPr="0002685F" w:rsidRDefault="003A3CAE" w:rsidP="00897735">
            <w:pPr>
              <w:ind w:right="64"/>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Jurisdiction</w:t>
            </w:r>
          </w:p>
        </w:tc>
        <w:tc>
          <w:tcPr>
            <w:tcW w:w="1843" w:type="dxa"/>
            <w:noWrap/>
            <w:vAlign w:val="center"/>
          </w:tcPr>
          <w:p w14:paraId="0D14B3FC" w14:textId="4C80A6DA" w:rsidR="0006599D" w:rsidRPr="0002685F" w:rsidRDefault="0006599D" w:rsidP="0006599D">
            <w:pPr>
              <w:ind w:right="36"/>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Independent ($)</w:t>
            </w:r>
          </w:p>
        </w:tc>
        <w:tc>
          <w:tcPr>
            <w:tcW w:w="1984" w:type="dxa"/>
            <w:tcBorders>
              <w:right w:val="single" w:sz="4" w:space="0" w:color="auto"/>
            </w:tcBorders>
            <w:vAlign w:val="center"/>
          </w:tcPr>
          <w:p w14:paraId="6E498477" w14:textId="1821D224" w:rsidR="0006599D" w:rsidRPr="0002685F" w:rsidRDefault="0006599D" w:rsidP="0006599D">
            <w:pPr>
              <w:ind w:right="36"/>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lang w:val="en-AU"/>
              </w:rPr>
              <w:t>Independent (%)</w:t>
            </w:r>
          </w:p>
        </w:tc>
        <w:tc>
          <w:tcPr>
            <w:tcW w:w="1418" w:type="dxa"/>
            <w:tcBorders>
              <w:left w:val="single" w:sz="4" w:space="0" w:color="auto"/>
            </w:tcBorders>
            <w:noWrap/>
            <w:vAlign w:val="center"/>
          </w:tcPr>
          <w:p w14:paraId="156BB2BC" w14:textId="3F96B28D" w:rsidR="0006599D" w:rsidRPr="0002685F" w:rsidRDefault="0006599D" w:rsidP="0006599D">
            <w:pPr>
              <w:ind w:right="-219"/>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Catholic ($)</w:t>
            </w:r>
          </w:p>
        </w:tc>
        <w:tc>
          <w:tcPr>
            <w:tcW w:w="1796" w:type="dxa"/>
            <w:vAlign w:val="center"/>
          </w:tcPr>
          <w:p w14:paraId="5FB4802E" w14:textId="5A78B825" w:rsidR="0006599D" w:rsidRPr="0002685F" w:rsidRDefault="0006599D" w:rsidP="0006599D">
            <w:pPr>
              <w:ind w:right="-219"/>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Catholic (%)</w:t>
            </w:r>
          </w:p>
        </w:tc>
      </w:tr>
      <w:tr w:rsidR="006C7EB4" w:rsidRPr="0002685F" w14:paraId="446466AA" w14:textId="77777777" w:rsidTr="007239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6ADE072"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 xml:space="preserve">NSW </w:t>
            </w:r>
          </w:p>
        </w:tc>
        <w:tc>
          <w:tcPr>
            <w:tcW w:w="1843" w:type="dxa"/>
            <w:noWrap/>
            <w:hideMark/>
          </w:tcPr>
          <w:p w14:paraId="67884CC7" w14:textId="77777777" w:rsidR="006C7EB4" w:rsidRPr="0002685F" w:rsidRDefault="006C7EB4" w:rsidP="0006599D">
            <w:pPr>
              <w:ind w:right="36"/>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$7,485,668</w:t>
            </w:r>
          </w:p>
        </w:tc>
        <w:tc>
          <w:tcPr>
            <w:tcW w:w="1984" w:type="dxa"/>
            <w:tcBorders>
              <w:right w:val="single" w:sz="4" w:space="0" w:color="auto"/>
            </w:tcBorders>
            <w:vAlign w:val="bottom"/>
          </w:tcPr>
          <w:p w14:paraId="72F6668D" w14:textId="77777777" w:rsidR="006C7EB4" w:rsidRPr="0002685F" w:rsidRDefault="006C7EB4" w:rsidP="00897735">
            <w:pPr>
              <w:ind w:right="36"/>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29.9%</w:t>
            </w:r>
          </w:p>
        </w:tc>
        <w:tc>
          <w:tcPr>
            <w:tcW w:w="1418" w:type="dxa"/>
            <w:tcBorders>
              <w:left w:val="single" w:sz="4" w:space="0" w:color="auto"/>
            </w:tcBorders>
            <w:noWrap/>
            <w:hideMark/>
          </w:tcPr>
          <w:p w14:paraId="71C91D84" w14:textId="77777777" w:rsidR="006C7EB4" w:rsidRPr="0002685F" w:rsidRDefault="006C7EB4" w:rsidP="0006599D">
            <w:pPr>
              <w:ind w:right="-219"/>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$4,594,418</w:t>
            </w:r>
          </w:p>
        </w:tc>
        <w:tc>
          <w:tcPr>
            <w:tcW w:w="1796" w:type="dxa"/>
            <w:vAlign w:val="bottom"/>
          </w:tcPr>
          <w:p w14:paraId="4B7E392E" w14:textId="77777777" w:rsidR="006C7EB4" w:rsidRPr="0002685F" w:rsidRDefault="006C7EB4" w:rsidP="0006599D">
            <w:pPr>
              <w:ind w:right="-21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33.6%</w:t>
            </w:r>
          </w:p>
        </w:tc>
      </w:tr>
      <w:tr w:rsidR="006C7EB4" w:rsidRPr="0002685F" w14:paraId="29D4C673" w14:textId="77777777" w:rsidTr="007239F5">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5AC35023"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Vic</w:t>
            </w:r>
          </w:p>
        </w:tc>
        <w:tc>
          <w:tcPr>
            <w:tcW w:w="1843" w:type="dxa"/>
            <w:noWrap/>
            <w:hideMark/>
          </w:tcPr>
          <w:p w14:paraId="11E63A64" w14:textId="77777777" w:rsidR="006C7EB4" w:rsidRPr="0002685F" w:rsidRDefault="006C7EB4" w:rsidP="0006599D">
            <w:pPr>
              <w:ind w:right="36"/>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$5,444,491</w:t>
            </w:r>
          </w:p>
        </w:tc>
        <w:tc>
          <w:tcPr>
            <w:tcW w:w="1984" w:type="dxa"/>
            <w:tcBorders>
              <w:right w:val="single" w:sz="4" w:space="0" w:color="auto"/>
            </w:tcBorders>
            <w:vAlign w:val="bottom"/>
          </w:tcPr>
          <w:p w14:paraId="485AC27A" w14:textId="77777777" w:rsidR="006C7EB4" w:rsidRPr="0002685F" w:rsidRDefault="006C7EB4" w:rsidP="00897735">
            <w:pPr>
              <w:ind w:right="36"/>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21.8%</w:t>
            </w:r>
          </w:p>
        </w:tc>
        <w:tc>
          <w:tcPr>
            <w:tcW w:w="1418" w:type="dxa"/>
            <w:tcBorders>
              <w:left w:val="single" w:sz="4" w:space="0" w:color="auto"/>
            </w:tcBorders>
            <w:noWrap/>
            <w:hideMark/>
          </w:tcPr>
          <w:p w14:paraId="5CE3AC58" w14:textId="77777777" w:rsidR="006C7EB4" w:rsidRPr="0002685F" w:rsidRDefault="006C7EB4" w:rsidP="0006599D">
            <w:pPr>
              <w:ind w:right="-219"/>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$3,670,155</w:t>
            </w:r>
          </w:p>
        </w:tc>
        <w:tc>
          <w:tcPr>
            <w:tcW w:w="1796" w:type="dxa"/>
            <w:vAlign w:val="bottom"/>
          </w:tcPr>
          <w:p w14:paraId="255786A2" w14:textId="77777777" w:rsidR="006C7EB4" w:rsidRPr="0002685F" w:rsidRDefault="006C7EB4" w:rsidP="0006599D">
            <w:pPr>
              <w:ind w:right="-21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26.9%</w:t>
            </w:r>
          </w:p>
        </w:tc>
      </w:tr>
      <w:tr w:rsidR="006C7EB4" w:rsidRPr="0002685F" w14:paraId="3495768B" w14:textId="77777777" w:rsidTr="007239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62CDFC32"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Qld</w:t>
            </w:r>
          </w:p>
        </w:tc>
        <w:tc>
          <w:tcPr>
            <w:tcW w:w="1843" w:type="dxa"/>
            <w:noWrap/>
            <w:hideMark/>
          </w:tcPr>
          <w:p w14:paraId="135102E0" w14:textId="77777777" w:rsidR="006C7EB4" w:rsidRPr="0002685F" w:rsidRDefault="006C7EB4" w:rsidP="0006599D">
            <w:pPr>
              <w:ind w:right="36"/>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$4,833,513</w:t>
            </w:r>
          </w:p>
        </w:tc>
        <w:tc>
          <w:tcPr>
            <w:tcW w:w="1984" w:type="dxa"/>
            <w:tcBorders>
              <w:right w:val="single" w:sz="4" w:space="0" w:color="auto"/>
            </w:tcBorders>
            <w:vAlign w:val="bottom"/>
          </w:tcPr>
          <w:p w14:paraId="25E816C1" w14:textId="77777777" w:rsidR="006C7EB4" w:rsidRPr="0002685F" w:rsidRDefault="006C7EB4" w:rsidP="00897735">
            <w:pPr>
              <w:ind w:right="36"/>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19.3%</w:t>
            </w:r>
          </w:p>
        </w:tc>
        <w:tc>
          <w:tcPr>
            <w:tcW w:w="1418" w:type="dxa"/>
            <w:tcBorders>
              <w:left w:val="single" w:sz="4" w:space="0" w:color="auto"/>
            </w:tcBorders>
            <w:noWrap/>
            <w:hideMark/>
          </w:tcPr>
          <w:p w14:paraId="53BDB99C" w14:textId="77777777" w:rsidR="006C7EB4" w:rsidRPr="0002685F" w:rsidRDefault="006C7EB4" w:rsidP="0006599D">
            <w:pPr>
              <w:ind w:right="-219"/>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$2,567,447</w:t>
            </w:r>
          </w:p>
        </w:tc>
        <w:tc>
          <w:tcPr>
            <w:tcW w:w="1796" w:type="dxa"/>
            <w:vAlign w:val="bottom"/>
          </w:tcPr>
          <w:p w14:paraId="30868B29" w14:textId="77777777" w:rsidR="006C7EB4" w:rsidRPr="0002685F" w:rsidRDefault="006C7EB4" w:rsidP="0006599D">
            <w:pPr>
              <w:ind w:right="-21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18.8%</w:t>
            </w:r>
          </w:p>
        </w:tc>
      </w:tr>
      <w:tr w:rsidR="006C7EB4" w:rsidRPr="0002685F" w14:paraId="3F7900ED" w14:textId="77777777" w:rsidTr="007239F5">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64F17362"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WA</w:t>
            </w:r>
          </w:p>
        </w:tc>
        <w:tc>
          <w:tcPr>
            <w:tcW w:w="1843" w:type="dxa"/>
            <w:noWrap/>
            <w:hideMark/>
          </w:tcPr>
          <w:p w14:paraId="1DE45BFB" w14:textId="77777777" w:rsidR="006C7EB4" w:rsidRPr="0002685F" w:rsidRDefault="006C7EB4" w:rsidP="0006599D">
            <w:pPr>
              <w:ind w:right="36"/>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$3,207,197</w:t>
            </w:r>
          </w:p>
        </w:tc>
        <w:tc>
          <w:tcPr>
            <w:tcW w:w="1984" w:type="dxa"/>
            <w:tcBorders>
              <w:right w:val="single" w:sz="4" w:space="0" w:color="auto"/>
            </w:tcBorders>
            <w:vAlign w:val="bottom"/>
          </w:tcPr>
          <w:p w14:paraId="5CA97CCE" w14:textId="77777777" w:rsidR="006C7EB4" w:rsidRPr="0002685F" w:rsidRDefault="006C7EB4" w:rsidP="00897735">
            <w:pPr>
              <w:ind w:right="36"/>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12.8%</w:t>
            </w:r>
          </w:p>
        </w:tc>
        <w:tc>
          <w:tcPr>
            <w:tcW w:w="1418" w:type="dxa"/>
            <w:tcBorders>
              <w:left w:val="single" w:sz="4" w:space="0" w:color="auto"/>
            </w:tcBorders>
            <w:noWrap/>
            <w:hideMark/>
          </w:tcPr>
          <w:p w14:paraId="6D25D5C2" w14:textId="77777777" w:rsidR="006C7EB4" w:rsidRPr="0002685F" w:rsidRDefault="006C7EB4" w:rsidP="0006599D">
            <w:pPr>
              <w:ind w:right="-219"/>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$1,252,891</w:t>
            </w:r>
          </w:p>
        </w:tc>
        <w:tc>
          <w:tcPr>
            <w:tcW w:w="1796" w:type="dxa"/>
            <w:vAlign w:val="bottom"/>
          </w:tcPr>
          <w:p w14:paraId="5F865508" w14:textId="77777777" w:rsidR="006C7EB4" w:rsidRPr="0002685F" w:rsidRDefault="006C7EB4" w:rsidP="0006599D">
            <w:pPr>
              <w:ind w:right="-21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9.2%</w:t>
            </w:r>
          </w:p>
        </w:tc>
      </w:tr>
      <w:tr w:rsidR="006C7EB4" w:rsidRPr="0002685F" w14:paraId="6CC89770" w14:textId="77777777" w:rsidTr="007239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202568F4"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SA</w:t>
            </w:r>
          </w:p>
        </w:tc>
        <w:tc>
          <w:tcPr>
            <w:tcW w:w="1843" w:type="dxa"/>
            <w:noWrap/>
            <w:hideMark/>
          </w:tcPr>
          <w:p w14:paraId="56381ED9" w14:textId="77777777" w:rsidR="006C7EB4" w:rsidRPr="0002685F" w:rsidRDefault="006C7EB4" w:rsidP="0006599D">
            <w:pPr>
              <w:ind w:right="36"/>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$2,093,598</w:t>
            </w:r>
          </w:p>
        </w:tc>
        <w:tc>
          <w:tcPr>
            <w:tcW w:w="1984" w:type="dxa"/>
            <w:tcBorders>
              <w:right w:val="single" w:sz="4" w:space="0" w:color="auto"/>
            </w:tcBorders>
            <w:vAlign w:val="bottom"/>
          </w:tcPr>
          <w:p w14:paraId="42044C3D" w14:textId="77777777" w:rsidR="006C7EB4" w:rsidRPr="0002685F" w:rsidRDefault="006C7EB4" w:rsidP="00897735">
            <w:pPr>
              <w:ind w:right="36"/>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8.4%</w:t>
            </w:r>
          </w:p>
        </w:tc>
        <w:tc>
          <w:tcPr>
            <w:tcW w:w="1418" w:type="dxa"/>
            <w:tcBorders>
              <w:left w:val="single" w:sz="4" w:space="0" w:color="auto"/>
            </w:tcBorders>
            <w:noWrap/>
            <w:hideMark/>
          </w:tcPr>
          <w:p w14:paraId="39ED9F18" w14:textId="77777777" w:rsidR="006C7EB4" w:rsidRPr="0002685F" w:rsidRDefault="006C7EB4" w:rsidP="0006599D">
            <w:pPr>
              <w:ind w:right="-219"/>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$898,993</w:t>
            </w:r>
          </w:p>
        </w:tc>
        <w:tc>
          <w:tcPr>
            <w:tcW w:w="1796" w:type="dxa"/>
            <w:vAlign w:val="bottom"/>
          </w:tcPr>
          <w:p w14:paraId="6BFD3AE0" w14:textId="77777777" w:rsidR="006C7EB4" w:rsidRPr="0002685F" w:rsidRDefault="006C7EB4" w:rsidP="0006599D">
            <w:pPr>
              <w:ind w:right="-21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6.6%</w:t>
            </w:r>
          </w:p>
        </w:tc>
      </w:tr>
      <w:tr w:rsidR="006C7EB4" w:rsidRPr="0002685F" w14:paraId="281CC2F4" w14:textId="77777777" w:rsidTr="007239F5">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66668B76"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TAS</w:t>
            </w:r>
          </w:p>
        </w:tc>
        <w:tc>
          <w:tcPr>
            <w:tcW w:w="1843" w:type="dxa"/>
            <w:noWrap/>
            <w:hideMark/>
          </w:tcPr>
          <w:p w14:paraId="07011DBD" w14:textId="77777777" w:rsidR="006C7EB4" w:rsidRPr="0002685F" w:rsidRDefault="006C7EB4" w:rsidP="0006599D">
            <w:pPr>
              <w:ind w:right="36"/>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$640,380</w:t>
            </w:r>
          </w:p>
        </w:tc>
        <w:tc>
          <w:tcPr>
            <w:tcW w:w="1984" w:type="dxa"/>
            <w:tcBorders>
              <w:right w:val="single" w:sz="4" w:space="0" w:color="auto"/>
            </w:tcBorders>
            <w:vAlign w:val="bottom"/>
          </w:tcPr>
          <w:p w14:paraId="50DE9667" w14:textId="77777777" w:rsidR="006C7EB4" w:rsidRPr="0002685F" w:rsidRDefault="006C7EB4" w:rsidP="00897735">
            <w:pPr>
              <w:ind w:right="36"/>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2.6%</w:t>
            </w:r>
          </w:p>
        </w:tc>
        <w:tc>
          <w:tcPr>
            <w:tcW w:w="1418" w:type="dxa"/>
            <w:tcBorders>
              <w:left w:val="single" w:sz="4" w:space="0" w:color="auto"/>
            </w:tcBorders>
            <w:noWrap/>
            <w:hideMark/>
          </w:tcPr>
          <w:p w14:paraId="063CD6D9" w14:textId="77777777" w:rsidR="006C7EB4" w:rsidRPr="0002685F" w:rsidRDefault="006C7EB4" w:rsidP="0006599D">
            <w:pPr>
              <w:ind w:right="-219"/>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$271,789</w:t>
            </w:r>
          </w:p>
        </w:tc>
        <w:tc>
          <w:tcPr>
            <w:tcW w:w="1796" w:type="dxa"/>
            <w:vAlign w:val="bottom"/>
          </w:tcPr>
          <w:p w14:paraId="670AE5BF" w14:textId="77777777" w:rsidR="006C7EB4" w:rsidRPr="0002685F" w:rsidRDefault="006C7EB4" w:rsidP="0006599D">
            <w:pPr>
              <w:ind w:right="-21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2.0%</w:t>
            </w:r>
          </w:p>
        </w:tc>
      </w:tr>
      <w:tr w:rsidR="006C7EB4" w:rsidRPr="0002685F" w14:paraId="351CCB16" w14:textId="77777777" w:rsidTr="007239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726FDA10"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ACT</w:t>
            </w:r>
          </w:p>
        </w:tc>
        <w:tc>
          <w:tcPr>
            <w:tcW w:w="1843" w:type="dxa"/>
            <w:noWrap/>
            <w:hideMark/>
          </w:tcPr>
          <w:p w14:paraId="480D8655" w14:textId="77777777" w:rsidR="006C7EB4" w:rsidRPr="0002685F" w:rsidRDefault="006C7EB4" w:rsidP="0006599D">
            <w:pPr>
              <w:ind w:right="36"/>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$784,219</w:t>
            </w:r>
          </w:p>
        </w:tc>
        <w:tc>
          <w:tcPr>
            <w:tcW w:w="1984" w:type="dxa"/>
            <w:tcBorders>
              <w:right w:val="single" w:sz="4" w:space="0" w:color="auto"/>
            </w:tcBorders>
            <w:vAlign w:val="bottom"/>
          </w:tcPr>
          <w:p w14:paraId="49E741B8" w14:textId="77777777" w:rsidR="006C7EB4" w:rsidRPr="0002685F" w:rsidRDefault="006C7EB4" w:rsidP="00897735">
            <w:pPr>
              <w:ind w:right="36"/>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3.1%</w:t>
            </w:r>
          </w:p>
        </w:tc>
        <w:tc>
          <w:tcPr>
            <w:tcW w:w="1418" w:type="dxa"/>
            <w:tcBorders>
              <w:left w:val="single" w:sz="4" w:space="0" w:color="auto"/>
            </w:tcBorders>
            <w:noWrap/>
            <w:hideMark/>
          </w:tcPr>
          <w:p w14:paraId="47D11DB0" w14:textId="77777777" w:rsidR="006C7EB4" w:rsidRPr="0002685F" w:rsidRDefault="006C7EB4" w:rsidP="0006599D">
            <w:pPr>
              <w:ind w:right="-219"/>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$324,938</w:t>
            </w:r>
          </w:p>
        </w:tc>
        <w:tc>
          <w:tcPr>
            <w:tcW w:w="1796" w:type="dxa"/>
            <w:vAlign w:val="bottom"/>
          </w:tcPr>
          <w:p w14:paraId="3C6CCDB7" w14:textId="77777777" w:rsidR="006C7EB4" w:rsidRPr="0002685F" w:rsidRDefault="006C7EB4" w:rsidP="0006599D">
            <w:pPr>
              <w:ind w:right="-21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2.4%</w:t>
            </w:r>
          </w:p>
        </w:tc>
      </w:tr>
      <w:tr w:rsidR="006C7EB4" w:rsidRPr="0002685F" w14:paraId="70682F80" w14:textId="77777777" w:rsidTr="007239F5">
        <w:trPr>
          <w:trHeight w:val="300"/>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2CA7CA29" w14:textId="77777777" w:rsidR="006C7EB4" w:rsidRPr="0002685F" w:rsidRDefault="006C7EB4" w:rsidP="00897735">
            <w:pPr>
              <w:ind w:right="64"/>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NT</w:t>
            </w:r>
          </w:p>
        </w:tc>
        <w:tc>
          <w:tcPr>
            <w:tcW w:w="1843" w:type="dxa"/>
            <w:noWrap/>
            <w:hideMark/>
          </w:tcPr>
          <w:p w14:paraId="3C033F17" w14:textId="77777777" w:rsidR="006C7EB4" w:rsidRPr="0002685F" w:rsidRDefault="006C7EB4" w:rsidP="0006599D">
            <w:pPr>
              <w:ind w:right="36"/>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$510,933</w:t>
            </w:r>
          </w:p>
        </w:tc>
        <w:tc>
          <w:tcPr>
            <w:tcW w:w="1984" w:type="dxa"/>
            <w:tcBorders>
              <w:right w:val="single" w:sz="4" w:space="0" w:color="auto"/>
            </w:tcBorders>
            <w:vAlign w:val="bottom"/>
          </w:tcPr>
          <w:p w14:paraId="63983809" w14:textId="77777777" w:rsidR="006C7EB4" w:rsidRPr="0002685F" w:rsidRDefault="006C7EB4" w:rsidP="00897735">
            <w:pPr>
              <w:ind w:right="36"/>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2.0%</w:t>
            </w:r>
          </w:p>
        </w:tc>
        <w:tc>
          <w:tcPr>
            <w:tcW w:w="1418" w:type="dxa"/>
            <w:tcBorders>
              <w:left w:val="single" w:sz="4" w:space="0" w:color="auto"/>
            </w:tcBorders>
            <w:noWrap/>
            <w:hideMark/>
          </w:tcPr>
          <w:p w14:paraId="61AA9393" w14:textId="77777777" w:rsidR="006C7EB4" w:rsidRPr="0002685F" w:rsidRDefault="006C7EB4" w:rsidP="0006599D">
            <w:pPr>
              <w:ind w:right="-219"/>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$86,032</w:t>
            </w:r>
          </w:p>
        </w:tc>
        <w:tc>
          <w:tcPr>
            <w:tcW w:w="1796" w:type="dxa"/>
            <w:vAlign w:val="bottom"/>
          </w:tcPr>
          <w:p w14:paraId="67EC543A" w14:textId="77777777" w:rsidR="006C7EB4" w:rsidRPr="0002685F" w:rsidRDefault="006C7EB4" w:rsidP="0006599D">
            <w:pPr>
              <w:ind w:right="-21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0.6%</w:t>
            </w:r>
          </w:p>
        </w:tc>
      </w:tr>
      <w:tr w:rsidR="006C7EB4" w:rsidRPr="0002685F" w14:paraId="480A278F" w14:textId="77777777" w:rsidTr="007239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67F33A0F" w14:textId="77777777" w:rsidR="006C7EB4" w:rsidRPr="0002685F" w:rsidRDefault="006C7EB4" w:rsidP="00897735">
            <w:pPr>
              <w:ind w:right="64"/>
              <w:jc w:val="right"/>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Total</w:t>
            </w:r>
          </w:p>
        </w:tc>
        <w:tc>
          <w:tcPr>
            <w:tcW w:w="1843" w:type="dxa"/>
            <w:noWrap/>
            <w:hideMark/>
          </w:tcPr>
          <w:p w14:paraId="79073553" w14:textId="77777777" w:rsidR="006C7EB4" w:rsidRPr="0002685F" w:rsidRDefault="006C7EB4" w:rsidP="0006599D">
            <w:pPr>
              <w:ind w:right="36"/>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$24,999,999</w:t>
            </w:r>
          </w:p>
        </w:tc>
        <w:tc>
          <w:tcPr>
            <w:tcW w:w="1984" w:type="dxa"/>
            <w:tcBorders>
              <w:right w:val="single" w:sz="4" w:space="0" w:color="auto"/>
            </w:tcBorders>
          </w:tcPr>
          <w:p w14:paraId="2495B63A" w14:textId="42FB40F7" w:rsidR="006C7EB4" w:rsidRPr="0002685F" w:rsidRDefault="00C31922" w:rsidP="00897735">
            <w:pPr>
              <w:ind w:right="36"/>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100%</w:t>
            </w:r>
          </w:p>
        </w:tc>
        <w:tc>
          <w:tcPr>
            <w:tcW w:w="1418" w:type="dxa"/>
            <w:tcBorders>
              <w:left w:val="single" w:sz="4" w:space="0" w:color="auto"/>
            </w:tcBorders>
            <w:noWrap/>
            <w:hideMark/>
          </w:tcPr>
          <w:p w14:paraId="1E7C9954" w14:textId="77777777" w:rsidR="006C7EB4" w:rsidRPr="0002685F" w:rsidRDefault="006C7EB4" w:rsidP="0006599D">
            <w:pPr>
              <w:ind w:right="-219"/>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$13,666,663</w:t>
            </w:r>
          </w:p>
        </w:tc>
        <w:tc>
          <w:tcPr>
            <w:tcW w:w="1796" w:type="dxa"/>
          </w:tcPr>
          <w:p w14:paraId="2D12DF38" w14:textId="317EFA29" w:rsidR="006C7EB4" w:rsidRPr="0002685F" w:rsidRDefault="00C31922" w:rsidP="00C31922">
            <w:pPr>
              <w:ind w:right="-21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100%</w:t>
            </w:r>
          </w:p>
        </w:tc>
      </w:tr>
    </w:tbl>
    <w:p w14:paraId="1B0D6F84" w14:textId="1034D90C" w:rsidR="006C7EB4" w:rsidRPr="00EE780E" w:rsidRDefault="006C7EB4" w:rsidP="00EE780E">
      <w:pPr>
        <w:spacing w:before="240" w:after="120"/>
        <w:ind w:right="-340"/>
        <w:rPr>
          <w:rFonts w:ascii="Century Gothic" w:hAnsi="Century Gothic"/>
          <w:sz w:val="18"/>
          <w:szCs w:val="18"/>
        </w:rPr>
      </w:pPr>
      <w:r w:rsidRPr="001B3431">
        <w:rPr>
          <w:rFonts w:ascii="Century Gothic" w:hAnsi="Century Gothic"/>
          <w:sz w:val="18"/>
          <w:szCs w:val="18"/>
        </w:rPr>
        <w:t>Note: Independent sector allocations include a base for the 3 smallest jurisdictions.</w:t>
      </w:r>
    </w:p>
    <w:p w14:paraId="31B96C47" w14:textId="0A8916D1" w:rsidR="006C7EB4" w:rsidRPr="00751344" w:rsidRDefault="006C7EB4" w:rsidP="00751344">
      <w:pPr>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t>Fig 1:</w:t>
      </w:r>
      <w:r w:rsidRPr="00751344">
        <w:rPr>
          <w:rFonts w:ascii="Century Gothic" w:eastAsiaTheme="minorHAnsi" w:hAnsi="Century Gothic"/>
          <w:b/>
          <w:color w:val="4F81BD" w:themeColor="accent1"/>
          <w:sz w:val="20"/>
          <w:szCs w:val="20"/>
          <w:lang w:val="en-AU"/>
        </w:rPr>
        <w:tab/>
        <w:t>Annual SFSF Allocatio</w:t>
      </w:r>
      <w:r w:rsidR="008724D0">
        <w:rPr>
          <w:rFonts w:ascii="Century Gothic" w:eastAsiaTheme="minorHAnsi" w:hAnsi="Century Gothic"/>
          <w:b/>
          <w:color w:val="4F81BD" w:themeColor="accent1"/>
          <w:sz w:val="20"/>
          <w:szCs w:val="20"/>
          <w:lang w:val="en-AU"/>
        </w:rPr>
        <w:t>n by State and Sector</w:t>
      </w:r>
    </w:p>
    <w:p w14:paraId="317BA5C7" w14:textId="77777777" w:rsidR="006C7EB4" w:rsidRDefault="006C7EB4" w:rsidP="0006599D">
      <w:pPr>
        <w:ind w:right="-340"/>
      </w:pPr>
      <w:r>
        <w:rPr>
          <w:noProof/>
          <w:lang w:val="en-AU" w:eastAsia="en-AU"/>
        </w:rPr>
        <w:drawing>
          <wp:inline distT="0" distB="0" distL="0" distR="0" wp14:anchorId="407C762A" wp14:editId="2EB478C8">
            <wp:extent cx="5033222" cy="2497667"/>
            <wp:effectExtent l="0" t="0" r="15240" b="17145"/>
            <wp:docPr id="4" name="Chart 4" descr="This graph shows that larger states (in terms of population) receive more SFSF funding than smaller states. This graph also shows that the Independent sector receives more SFSF funding than the Catholic sector in each state." title="Fig 1: Annual SFSF Allocation by State and Sec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938FCB" w14:textId="0EC0F07D" w:rsidR="009152BC" w:rsidRDefault="009152BC">
      <w:pPr>
        <w:rPr>
          <w:rFonts w:ascii="Century Gothic" w:eastAsiaTheme="minorHAnsi" w:hAnsi="Century Gothic"/>
          <w:sz w:val="20"/>
          <w:szCs w:val="20"/>
          <w:lang w:val="en-AU"/>
        </w:rPr>
      </w:pPr>
      <w:r>
        <w:rPr>
          <w:rFonts w:ascii="Century Gothic" w:eastAsiaTheme="minorHAnsi" w:hAnsi="Century Gothic"/>
          <w:sz w:val="20"/>
          <w:szCs w:val="20"/>
          <w:lang w:val="en-AU"/>
        </w:rPr>
        <w:br w:type="page"/>
      </w:r>
    </w:p>
    <w:p w14:paraId="1AD6955F" w14:textId="77777777" w:rsidR="006C7EB4" w:rsidRDefault="006C7EB4" w:rsidP="004B2D8A">
      <w:pPr>
        <w:spacing w:after="120" w:line="276" w:lineRule="auto"/>
        <w:ind w:right="-340"/>
        <w:jc w:val="both"/>
        <w:rPr>
          <w:rFonts w:ascii="Century Gothic" w:eastAsiaTheme="minorHAnsi" w:hAnsi="Century Gothic"/>
          <w:sz w:val="20"/>
          <w:szCs w:val="20"/>
          <w:lang w:val="en-AU"/>
        </w:rPr>
      </w:pPr>
    </w:p>
    <w:p w14:paraId="750F2D1B" w14:textId="0E173951" w:rsidR="0012614E" w:rsidRPr="005D40DE" w:rsidRDefault="000334BA" w:rsidP="004B2D8A">
      <w:pPr>
        <w:pStyle w:val="Heading2"/>
        <w:ind w:right="-340"/>
        <w:rPr>
          <w:rStyle w:val="IntenseReference"/>
          <w:color w:val="0070C0"/>
          <w:spacing w:val="0"/>
        </w:rPr>
      </w:pPr>
      <w:bookmarkStart w:id="20" w:name="_Toc495587304"/>
      <w:r w:rsidRPr="000334BA">
        <w:rPr>
          <w:rStyle w:val="IntenseReference"/>
          <w:b/>
          <w:bCs/>
          <w:smallCaps w:val="0"/>
          <w:color w:val="0070C0"/>
          <w:spacing w:val="0"/>
        </w:rPr>
        <w:t xml:space="preserve">2.3 </w:t>
      </w:r>
      <w:r w:rsidR="00FF7C1B">
        <w:rPr>
          <w:rStyle w:val="IntenseReference"/>
          <w:b/>
          <w:bCs/>
          <w:smallCaps w:val="0"/>
          <w:color w:val="0070C0"/>
          <w:spacing w:val="0"/>
        </w:rPr>
        <w:tab/>
        <w:t>Context: Structural differences b</w:t>
      </w:r>
      <w:r w:rsidR="0012614E" w:rsidRPr="005D40DE">
        <w:rPr>
          <w:rStyle w:val="IntenseReference"/>
          <w:b/>
          <w:bCs/>
          <w:smallCaps w:val="0"/>
          <w:color w:val="0070C0"/>
          <w:spacing w:val="0"/>
        </w:rPr>
        <w:t>etween NGRBs</w:t>
      </w:r>
      <w:bookmarkEnd w:id="20"/>
      <w:r w:rsidR="0012614E" w:rsidRPr="005D40DE">
        <w:rPr>
          <w:rStyle w:val="IntenseReference"/>
          <w:b/>
          <w:bCs/>
          <w:smallCaps w:val="0"/>
          <w:color w:val="0070C0"/>
          <w:spacing w:val="0"/>
        </w:rPr>
        <w:t xml:space="preserve"> </w:t>
      </w:r>
    </w:p>
    <w:p w14:paraId="0CFB39D1" w14:textId="3348D6BD" w:rsidR="005C4B07" w:rsidRDefault="005C4B07" w:rsidP="005C4B07">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SFSF has been a major stimulus for change in the structure of some NGRBs and in the scope of their activities but </w:t>
      </w:r>
      <w:r w:rsidR="00171DB4">
        <w:rPr>
          <w:rFonts w:ascii="Century Gothic" w:eastAsiaTheme="minorHAnsi" w:hAnsi="Century Gothic"/>
          <w:sz w:val="20"/>
          <w:szCs w:val="20"/>
          <w:lang w:val="en-AU"/>
        </w:rPr>
        <w:t xml:space="preserve">there </w:t>
      </w:r>
      <w:r w:rsidR="001904A2">
        <w:rPr>
          <w:rFonts w:ascii="Century Gothic" w:eastAsiaTheme="minorHAnsi" w:hAnsi="Century Gothic"/>
          <w:sz w:val="20"/>
          <w:szCs w:val="20"/>
          <w:lang w:val="en-AU"/>
        </w:rPr>
        <w:t>is wide variation in the approaches adopted for implementing the five national priorities.</w:t>
      </w:r>
    </w:p>
    <w:p w14:paraId="25256608" w14:textId="55DE464A" w:rsidR="006C7EB4" w:rsidRDefault="00AE4902" w:rsidP="004B2D8A">
      <w:pPr>
        <w:spacing w:before="120"/>
        <w:ind w:right="-340"/>
        <w:rPr>
          <w:rFonts w:ascii="Century Gothic" w:eastAsiaTheme="minorHAnsi" w:hAnsi="Century Gothic"/>
          <w:sz w:val="20"/>
          <w:szCs w:val="20"/>
          <w:lang w:val="en-AU"/>
        </w:rPr>
      </w:pPr>
      <w:r>
        <w:rPr>
          <w:rFonts w:ascii="Century Gothic" w:eastAsiaTheme="minorHAnsi" w:hAnsi="Century Gothic"/>
          <w:sz w:val="20"/>
          <w:szCs w:val="20"/>
          <w:lang w:val="en-AU"/>
        </w:rPr>
        <w:t xml:space="preserve">Differences </w:t>
      </w:r>
      <w:r w:rsidR="006C7EB4">
        <w:rPr>
          <w:rFonts w:ascii="Century Gothic" w:eastAsiaTheme="minorHAnsi" w:hAnsi="Century Gothic"/>
          <w:sz w:val="20"/>
          <w:szCs w:val="20"/>
          <w:lang w:val="en-AU"/>
        </w:rPr>
        <w:t xml:space="preserve">can have structural roots.  Size is one factor as is the different ways the Catholic and the Independent </w:t>
      </w:r>
      <w:r w:rsidR="00EA64C2">
        <w:rPr>
          <w:rFonts w:ascii="Century Gothic" w:eastAsiaTheme="minorHAnsi" w:hAnsi="Century Gothic"/>
          <w:sz w:val="20"/>
          <w:szCs w:val="20"/>
          <w:lang w:val="en-AU"/>
        </w:rPr>
        <w:t xml:space="preserve">sectors </w:t>
      </w:r>
      <w:r w:rsidR="006C7EB4">
        <w:rPr>
          <w:rFonts w:ascii="Century Gothic" w:eastAsiaTheme="minorHAnsi" w:hAnsi="Century Gothic"/>
          <w:sz w:val="20"/>
          <w:szCs w:val="20"/>
          <w:lang w:val="en-AU"/>
        </w:rPr>
        <w:t>are structured.</w:t>
      </w:r>
    </w:p>
    <w:p w14:paraId="26C8192C" w14:textId="77777777" w:rsidR="006C7EB4" w:rsidRPr="00AC101D" w:rsidRDefault="006C7EB4" w:rsidP="00AC101D">
      <w:pPr>
        <w:spacing w:before="120" w:after="120" w:line="276" w:lineRule="auto"/>
        <w:ind w:right="-340"/>
        <w:jc w:val="both"/>
        <w:rPr>
          <w:rFonts w:ascii="Century Gothic" w:eastAsiaTheme="minorHAnsi" w:hAnsi="Century Gothic"/>
          <w:b/>
          <w:color w:val="4F81BD" w:themeColor="accent1"/>
          <w:sz w:val="20"/>
          <w:szCs w:val="20"/>
          <w:lang w:val="en-AU"/>
        </w:rPr>
      </w:pPr>
      <w:bookmarkStart w:id="21" w:name="_Toc472261230"/>
      <w:bookmarkStart w:id="22" w:name="_Toc472262573"/>
      <w:bookmarkStart w:id="23" w:name="_Toc472263256"/>
      <w:bookmarkStart w:id="24" w:name="_Toc346123948"/>
      <w:r w:rsidRPr="00AC101D">
        <w:rPr>
          <w:rFonts w:ascii="Century Gothic" w:eastAsiaTheme="minorHAnsi" w:hAnsi="Century Gothic"/>
          <w:b/>
          <w:color w:val="4F81BD" w:themeColor="accent1"/>
          <w:sz w:val="20"/>
          <w:szCs w:val="20"/>
          <w:lang w:val="en-AU"/>
        </w:rPr>
        <w:t>Size</w:t>
      </w:r>
      <w:bookmarkEnd w:id="21"/>
      <w:bookmarkEnd w:id="22"/>
      <w:bookmarkEnd w:id="23"/>
      <w:bookmarkEnd w:id="24"/>
    </w:p>
    <w:p w14:paraId="04AA6BD7" w14:textId="472247AB" w:rsidR="000334BA" w:rsidRDefault="006C7EB4" w:rsidP="00AC101D">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Each of the NGRBs in Tasmania, the Northern Territory and the ACT have 60 schools or less compared with NGRBs in NSW (Catholic – 566 and Independents - 336), Victoria (Catholic - 494) </w:t>
      </w:r>
      <w:r w:rsidR="008724D0">
        <w:rPr>
          <w:rFonts w:ascii="Century Gothic" w:eastAsiaTheme="minorHAnsi" w:hAnsi="Century Gothic"/>
          <w:sz w:val="20"/>
          <w:szCs w:val="20"/>
          <w:lang w:val="en-AU"/>
        </w:rPr>
        <w:t>and Queensland (Catholic -299).</w:t>
      </w:r>
    </w:p>
    <w:p w14:paraId="657A85C6" w14:textId="03FFDC05" w:rsidR="006C7EB4" w:rsidRPr="00AC101D" w:rsidRDefault="00AC101D" w:rsidP="00AC101D">
      <w:pPr>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t>Fig 2:</w:t>
      </w:r>
      <w:r w:rsidRPr="00751344">
        <w:rPr>
          <w:rFonts w:ascii="Century Gothic" w:eastAsiaTheme="minorHAnsi" w:hAnsi="Century Gothic"/>
          <w:b/>
          <w:color w:val="4F81BD" w:themeColor="accent1"/>
          <w:sz w:val="20"/>
          <w:szCs w:val="20"/>
          <w:lang w:val="en-AU"/>
        </w:rPr>
        <w:tab/>
      </w:r>
      <w:r>
        <w:rPr>
          <w:rFonts w:ascii="Century Gothic" w:eastAsiaTheme="minorHAnsi" w:hAnsi="Century Gothic"/>
          <w:b/>
          <w:color w:val="4F81BD" w:themeColor="accent1"/>
          <w:sz w:val="20"/>
          <w:szCs w:val="20"/>
          <w:lang w:val="en-AU"/>
        </w:rPr>
        <w:t>No of schools in each NGRB 2015</w:t>
      </w:r>
    </w:p>
    <w:p w14:paraId="17DAB324" w14:textId="61BD12BE" w:rsidR="00AC101D" w:rsidRDefault="00AC101D" w:rsidP="004B2D8A">
      <w:pPr>
        <w:spacing w:before="120"/>
        <w:ind w:right="-340"/>
        <w:rPr>
          <w:rFonts w:ascii="Century Gothic" w:eastAsiaTheme="minorHAnsi" w:hAnsi="Century Gothic"/>
          <w:sz w:val="20"/>
          <w:szCs w:val="20"/>
          <w:lang w:val="en-AU"/>
        </w:rPr>
      </w:pPr>
      <w:r>
        <w:rPr>
          <w:noProof/>
          <w:lang w:val="en-AU" w:eastAsia="en-AU"/>
        </w:rPr>
        <w:drawing>
          <wp:inline distT="0" distB="0" distL="0" distR="0" wp14:anchorId="2D84F045" wp14:editId="5A4312E5">
            <wp:extent cx="5088467" cy="2353733"/>
            <wp:effectExtent l="0" t="0" r="17145" b="8890"/>
            <wp:docPr id="38" name="Chart 38" descr="This graph shows that in 2015, there were generally more schools in each Catholic NGRB than in each Independent NGRB." title="Fig 2: No of schools in each NGRB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A352E1" w14:textId="621AE6AA" w:rsidR="006C7EB4" w:rsidRDefault="006C7EB4" w:rsidP="00AC101D">
      <w:pPr>
        <w:spacing w:before="12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larger NGRBs particularly in the Independent sector provide a </w:t>
      </w:r>
      <w:r w:rsidR="00EC153A">
        <w:rPr>
          <w:rFonts w:ascii="Century Gothic" w:eastAsiaTheme="minorHAnsi" w:hAnsi="Century Gothic"/>
          <w:sz w:val="20"/>
          <w:szCs w:val="20"/>
          <w:lang w:val="en-AU"/>
        </w:rPr>
        <w:t xml:space="preserve">wide and </w:t>
      </w:r>
      <w:r>
        <w:rPr>
          <w:rFonts w:ascii="Century Gothic" w:eastAsiaTheme="minorHAnsi" w:hAnsi="Century Gothic"/>
          <w:sz w:val="20"/>
          <w:szCs w:val="20"/>
          <w:lang w:val="en-AU"/>
        </w:rPr>
        <w:t>sophisticated range of professional learning opportunities for teachers, school leaders and governing bodies</w:t>
      </w:r>
      <w:r w:rsidR="000334BA">
        <w:rPr>
          <w:rFonts w:ascii="Century Gothic" w:eastAsiaTheme="minorHAnsi" w:hAnsi="Century Gothic"/>
          <w:sz w:val="20"/>
          <w:szCs w:val="20"/>
          <w:lang w:val="en-AU"/>
        </w:rPr>
        <w:t xml:space="preserve"> and are seeking to gain from economies of scale</w:t>
      </w:r>
      <w:r>
        <w:rPr>
          <w:rFonts w:ascii="Century Gothic" w:eastAsiaTheme="minorHAnsi" w:hAnsi="Century Gothic"/>
          <w:sz w:val="20"/>
          <w:szCs w:val="20"/>
          <w:lang w:val="en-AU"/>
        </w:rPr>
        <w:t xml:space="preserve"> – the Queensland Independent NGRB provided 324 professional learning opportunities in 2015 attended by 9,500 participants (funding for these activities was not solely from SFSF funds).</w:t>
      </w:r>
    </w:p>
    <w:p w14:paraId="74AF7ECA" w14:textId="1C7B4425" w:rsidR="006C7EB4" w:rsidRDefault="006C7EB4" w:rsidP="00171DB4">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Smaller NGRBs tend to have more of a focus on working with their schools</w:t>
      </w:r>
      <w:r w:rsidR="000334BA">
        <w:rPr>
          <w:rFonts w:ascii="Century Gothic" w:eastAsiaTheme="minorHAnsi" w:hAnsi="Century Gothic"/>
          <w:sz w:val="20"/>
          <w:szCs w:val="20"/>
          <w:lang w:val="en-AU"/>
        </w:rPr>
        <w:t xml:space="preserve"> case by case </w:t>
      </w:r>
      <w:r>
        <w:rPr>
          <w:rFonts w:ascii="Century Gothic" w:eastAsiaTheme="minorHAnsi" w:hAnsi="Century Gothic"/>
          <w:sz w:val="20"/>
          <w:szCs w:val="20"/>
          <w:lang w:val="en-AU"/>
        </w:rPr>
        <w:t>to understand their context and develop responses that build sustainable change.</w:t>
      </w:r>
      <w:r w:rsidR="008724D0">
        <w:rPr>
          <w:rFonts w:ascii="Century Gothic" w:eastAsiaTheme="minorHAnsi" w:hAnsi="Century Gothic"/>
          <w:sz w:val="20"/>
          <w:szCs w:val="20"/>
          <w:lang w:val="en-AU"/>
        </w:rPr>
        <w:t xml:space="preserve"> </w:t>
      </w:r>
      <w:r w:rsidR="000334BA">
        <w:rPr>
          <w:rFonts w:ascii="Century Gothic" w:eastAsiaTheme="minorHAnsi" w:hAnsi="Century Gothic"/>
          <w:sz w:val="20"/>
          <w:szCs w:val="20"/>
          <w:lang w:val="en-AU"/>
        </w:rPr>
        <w:t>A greater proportion of their time is also absorbed by engagemen</w:t>
      </w:r>
      <w:r w:rsidR="008724D0">
        <w:rPr>
          <w:rFonts w:ascii="Century Gothic" w:eastAsiaTheme="minorHAnsi" w:hAnsi="Century Gothic"/>
          <w:sz w:val="20"/>
          <w:szCs w:val="20"/>
          <w:lang w:val="en-AU"/>
        </w:rPr>
        <w:t>t in committees and governance.</w:t>
      </w:r>
    </w:p>
    <w:p w14:paraId="16D220B1" w14:textId="77777777" w:rsidR="006C7EB4" w:rsidRPr="00EE780E" w:rsidRDefault="006C7EB4" w:rsidP="00EE780E">
      <w:pPr>
        <w:spacing w:before="120" w:after="120" w:line="276" w:lineRule="auto"/>
        <w:ind w:right="-340"/>
        <w:jc w:val="both"/>
        <w:rPr>
          <w:rFonts w:ascii="Century Gothic" w:eastAsiaTheme="minorHAnsi" w:hAnsi="Century Gothic"/>
          <w:b/>
          <w:color w:val="4F81BD" w:themeColor="accent1"/>
          <w:sz w:val="20"/>
          <w:szCs w:val="20"/>
          <w:lang w:val="en-AU"/>
        </w:rPr>
      </w:pPr>
      <w:bookmarkStart w:id="25" w:name="_Toc472261231"/>
      <w:bookmarkStart w:id="26" w:name="_Toc472262574"/>
      <w:bookmarkStart w:id="27" w:name="_Toc472263257"/>
      <w:bookmarkStart w:id="28" w:name="_Toc346123949"/>
      <w:r w:rsidRPr="00EE780E">
        <w:rPr>
          <w:rFonts w:ascii="Century Gothic" w:eastAsiaTheme="minorHAnsi" w:hAnsi="Century Gothic"/>
          <w:b/>
          <w:color w:val="4F81BD" w:themeColor="accent1"/>
          <w:sz w:val="20"/>
          <w:szCs w:val="20"/>
          <w:lang w:val="en-AU"/>
        </w:rPr>
        <w:t>Differences between Catholic and Independent NGRBs</w:t>
      </w:r>
      <w:bookmarkEnd w:id="25"/>
      <w:bookmarkEnd w:id="26"/>
      <w:bookmarkEnd w:id="27"/>
      <w:bookmarkEnd w:id="28"/>
    </w:p>
    <w:p w14:paraId="163CE4CB" w14:textId="6831B02D" w:rsidR="006C7EB4" w:rsidRDefault="006C7EB4" w:rsidP="00171DB4">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There are structural differences between the Catholic and </w:t>
      </w:r>
      <w:r w:rsidR="002F2D2D">
        <w:rPr>
          <w:rFonts w:ascii="Century Gothic" w:eastAsiaTheme="minorHAnsi" w:hAnsi="Century Gothic"/>
          <w:sz w:val="20"/>
          <w:szCs w:val="20"/>
          <w:lang w:val="en-AU"/>
        </w:rPr>
        <w:t>Independent systems that impact</w:t>
      </w:r>
      <w:r>
        <w:rPr>
          <w:rFonts w:ascii="Century Gothic" w:eastAsiaTheme="minorHAnsi" w:hAnsi="Century Gothic"/>
          <w:sz w:val="20"/>
          <w:szCs w:val="20"/>
          <w:lang w:val="en-AU"/>
        </w:rPr>
        <w:t xml:space="preserve"> on how the two sectors are able to plan and implement programs to support their schools</w:t>
      </w:r>
      <w:r w:rsidR="00F47833">
        <w:rPr>
          <w:rFonts w:ascii="Century Gothic" w:eastAsiaTheme="minorHAnsi" w:hAnsi="Century Gothic"/>
          <w:sz w:val="20"/>
          <w:szCs w:val="20"/>
          <w:lang w:val="en-AU"/>
        </w:rPr>
        <w:t xml:space="preserve"> including those funded by SFSF to address national reform priorities.</w:t>
      </w:r>
    </w:p>
    <w:p w14:paraId="392205F4" w14:textId="54A2EAAE" w:rsidR="006C7EB4" w:rsidRDefault="006C7EB4" w:rsidP="00171DB4">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Governance of Catholic education in Australia has a number of layers with Catholic Education Commissions in each state and territory as well as a number of dioceses within each state and territory with prime local responsibility for education in their area e.g. Queensland has </w:t>
      </w:r>
      <w:r w:rsidRPr="004357E4">
        <w:rPr>
          <w:rFonts w:ascii="Century Gothic" w:eastAsiaTheme="minorHAnsi" w:hAnsi="Century Gothic"/>
          <w:sz w:val="20"/>
          <w:szCs w:val="20"/>
          <w:lang w:val="en-AU"/>
        </w:rPr>
        <w:t>22 Catholic schooling authorities – five dioce</w:t>
      </w:r>
      <w:r>
        <w:rPr>
          <w:rFonts w:ascii="Century Gothic" w:eastAsiaTheme="minorHAnsi" w:hAnsi="Century Gothic"/>
          <w:sz w:val="20"/>
          <w:szCs w:val="20"/>
          <w:lang w:val="en-AU"/>
        </w:rPr>
        <w:t xml:space="preserve">san Catholic Education Offices </w:t>
      </w:r>
      <w:r w:rsidRPr="004357E4">
        <w:rPr>
          <w:rFonts w:ascii="Century Gothic" w:eastAsiaTheme="minorHAnsi" w:hAnsi="Century Gothic"/>
          <w:sz w:val="20"/>
          <w:szCs w:val="20"/>
          <w:lang w:val="en-AU"/>
        </w:rPr>
        <w:t>and 17 Religious Institutes</w:t>
      </w:r>
      <w:r w:rsidR="008724D0">
        <w:rPr>
          <w:rFonts w:ascii="Century Gothic" w:eastAsiaTheme="minorHAnsi" w:hAnsi="Century Gothic"/>
          <w:sz w:val="20"/>
          <w:szCs w:val="20"/>
          <w:lang w:val="en-AU"/>
        </w:rPr>
        <w:t>.</w:t>
      </w:r>
    </w:p>
    <w:p w14:paraId="66BF0A7C" w14:textId="70E1B682" w:rsidR="00763F37" w:rsidRDefault="006C7EB4" w:rsidP="00171DB4">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For the purposes of the Commonwealth the Commissions are designated as the NGRB for their state or territory</w:t>
      </w:r>
      <w:r w:rsidR="00EC153A">
        <w:rPr>
          <w:rFonts w:ascii="Century Gothic" w:eastAsiaTheme="minorHAnsi" w:hAnsi="Century Gothic"/>
          <w:sz w:val="20"/>
          <w:szCs w:val="20"/>
          <w:lang w:val="en-AU"/>
        </w:rPr>
        <w:t xml:space="preserve"> as well as serving the</w:t>
      </w:r>
      <w:r w:rsidR="00BA05B7">
        <w:rPr>
          <w:rFonts w:ascii="Century Gothic" w:eastAsiaTheme="minorHAnsi" w:hAnsi="Century Gothic"/>
          <w:sz w:val="20"/>
          <w:szCs w:val="20"/>
          <w:lang w:val="en-AU"/>
        </w:rPr>
        <w:t>ir</w:t>
      </w:r>
      <w:r w:rsidR="00EC153A">
        <w:rPr>
          <w:rFonts w:ascii="Century Gothic" w:eastAsiaTheme="minorHAnsi" w:hAnsi="Century Gothic"/>
          <w:sz w:val="20"/>
          <w:szCs w:val="20"/>
          <w:lang w:val="en-AU"/>
        </w:rPr>
        <w:t xml:space="preserve"> </w:t>
      </w:r>
      <w:r w:rsidR="00BA05B7">
        <w:rPr>
          <w:rFonts w:ascii="Century Gothic" w:eastAsiaTheme="minorHAnsi" w:hAnsi="Century Gothic"/>
          <w:sz w:val="20"/>
          <w:szCs w:val="20"/>
          <w:lang w:val="en-AU"/>
        </w:rPr>
        <w:t xml:space="preserve">main role as approved authorities for their schools. </w:t>
      </w:r>
      <w:r>
        <w:rPr>
          <w:rFonts w:ascii="Century Gothic" w:eastAsiaTheme="minorHAnsi" w:hAnsi="Century Gothic"/>
          <w:sz w:val="20"/>
          <w:szCs w:val="20"/>
          <w:lang w:val="en-AU"/>
        </w:rPr>
        <w:t xml:space="preserve">The Commissions vary in their </w:t>
      </w:r>
      <w:r w:rsidR="00171DB4">
        <w:rPr>
          <w:rFonts w:ascii="Century Gothic" w:eastAsiaTheme="minorHAnsi" w:hAnsi="Century Gothic"/>
          <w:sz w:val="20"/>
          <w:szCs w:val="20"/>
          <w:lang w:val="en-AU"/>
        </w:rPr>
        <w:t>role</w:t>
      </w:r>
      <w:r w:rsidR="00F40AF3">
        <w:rPr>
          <w:rFonts w:ascii="Century Gothic" w:eastAsiaTheme="minorHAnsi" w:hAnsi="Century Gothic"/>
          <w:sz w:val="20"/>
          <w:szCs w:val="20"/>
          <w:lang w:val="en-AU"/>
        </w:rPr>
        <w:t xml:space="preserve"> and </w:t>
      </w:r>
      <w:r>
        <w:rPr>
          <w:rFonts w:ascii="Century Gothic" w:eastAsiaTheme="minorHAnsi" w:hAnsi="Century Gothic"/>
          <w:sz w:val="20"/>
          <w:szCs w:val="20"/>
          <w:lang w:val="en-AU"/>
        </w:rPr>
        <w:t>ability to plan and implement</w:t>
      </w:r>
      <w:r w:rsidR="000334BA">
        <w:rPr>
          <w:rFonts w:ascii="Century Gothic" w:eastAsiaTheme="minorHAnsi" w:hAnsi="Century Gothic"/>
          <w:sz w:val="20"/>
          <w:szCs w:val="20"/>
          <w:lang w:val="en-AU"/>
        </w:rPr>
        <w:t xml:space="preserve"> programs across their schools – </w:t>
      </w:r>
      <w:r w:rsidR="008724D0">
        <w:rPr>
          <w:rFonts w:ascii="Century Gothic" w:eastAsiaTheme="minorHAnsi" w:hAnsi="Century Gothic"/>
          <w:sz w:val="20"/>
          <w:szCs w:val="20"/>
          <w:lang w:val="en-AU"/>
        </w:rPr>
        <w:t>and acknowledge this challenge.</w:t>
      </w:r>
    </w:p>
    <w:p w14:paraId="694B430C" w14:textId="361D0C07" w:rsidR="006C7EB4" w:rsidRDefault="006C7EB4" w:rsidP="00171DB4">
      <w:pPr>
        <w:spacing w:after="120" w:line="276" w:lineRule="auto"/>
        <w:ind w:right="-340"/>
        <w:jc w:val="both"/>
        <w:rPr>
          <w:rFonts w:ascii="Century Gothic" w:eastAsiaTheme="minorHAnsi" w:hAnsi="Century Gothic"/>
          <w:sz w:val="20"/>
          <w:szCs w:val="20"/>
          <w:lang w:val="en-AU"/>
        </w:rPr>
      </w:pPr>
      <w:r w:rsidRPr="008A6542">
        <w:rPr>
          <w:rFonts w:ascii="Century Gothic" w:eastAsiaTheme="minorHAnsi" w:hAnsi="Century Gothic"/>
          <w:sz w:val="20"/>
          <w:szCs w:val="20"/>
          <w:lang w:val="en-AU"/>
        </w:rPr>
        <w:lastRenderedPageBreak/>
        <w:t>NSW and Q</w:t>
      </w:r>
      <w:r>
        <w:rPr>
          <w:rFonts w:ascii="Century Gothic" w:eastAsiaTheme="minorHAnsi" w:hAnsi="Century Gothic"/>
          <w:sz w:val="20"/>
          <w:szCs w:val="20"/>
          <w:lang w:val="en-AU"/>
        </w:rPr>
        <w:t>ueensland have</w:t>
      </w:r>
      <w:r w:rsidR="000334BA">
        <w:rPr>
          <w:rFonts w:ascii="Century Gothic" w:eastAsiaTheme="minorHAnsi" w:hAnsi="Century Gothic"/>
          <w:sz w:val="20"/>
          <w:szCs w:val="20"/>
          <w:lang w:val="en-AU"/>
        </w:rPr>
        <w:t xml:space="preserve"> quite complex</w:t>
      </w:r>
      <w:r w:rsidRPr="008A6542">
        <w:rPr>
          <w:rFonts w:ascii="Century Gothic" w:eastAsiaTheme="minorHAnsi" w:hAnsi="Century Gothic"/>
          <w:sz w:val="20"/>
          <w:szCs w:val="20"/>
          <w:lang w:val="en-AU"/>
        </w:rPr>
        <w:t xml:space="preserve"> matrix structures </w:t>
      </w:r>
      <w:r w:rsidR="00763F37">
        <w:rPr>
          <w:rFonts w:ascii="Century Gothic" w:eastAsiaTheme="minorHAnsi" w:hAnsi="Century Gothic"/>
          <w:sz w:val="20"/>
          <w:szCs w:val="20"/>
          <w:lang w:val="en-AU"/>
        </w:rPr>
        <w:t xml:space="preserve">of governance. </w:t>
      </w:r>
      <w:r w:rsidR="00564320">
        <w:rPr>
          <w:rFonts w:ascii="Century Gothic" w:eastAsiaTheme="minorHAnsi" w:hAnsi="Century Gothic"/>
          <w:sz w:val="20"/>
          <w:szCs w:val="20"/>
          <w:lang w:val="en-AU"/>
        </w:rPr>
        <w:t xml:space="preserve">This puts </w:t>
      </w:r>
      <w:r w:rsidR="000B4732">
        <w:rPr>
          <w:rFonts w:ascii="Century Gothic" w:eastAsiaTheme="minorHAnsi" w:hAnsi="Century Gothic"/>
          <w:sz w:val="20"/>
          <w:szCs w:val="20"/>
          <w:lang w:val="en-AU"/>
        </w:rPr>
        <w:t xml:space="preserve">a </w:t>
      </w:r>
      <w:r w:rsidR="00564320">
        <w:rPr>
          <w:rFonts w:ascii="Century Gothic" w:eastAsiaTheme="minorHAnsi" w:hAnsi="Century Gothic"/>
          <w:sz w:val="20"/>
          <w:szCs w:val="20"/>
          <w:lang w:val="en-AU"/>
        </w:rPr>
        <w:t xml:space="preserve">limitation on fully understanding their allocation of SFSF to national priorities, </w:t>
      </w:r>
      <w:r w:rsidR="00763F37">
        <w:rPr>
          <w:rFonts w:ascii="Century Gothic" w:eastAsiaTheme="minorHAnsi" w:hAnsi="Century Gothic"/>
          <w:sz w:val="20"/>
          <w:szCs w:val="20"/>
          <w:lang w:val="en-AU"/>
        </w:rPr>
        <w:t xml:space="preserve">the objectives of </w:t>
      </w:r>
      <w:r w:rsidR="00564320">
        <w:rPr>
          <w:rFonts w:ascii="Century Gothic" w:eastAsiaTheme="minorHAnsi" w:hAnsi="Century Gothic"/>
          <w:sz w:val="20"/>
          <w:szCs w:val="20"/>
          <w:lang w:val="en-AU"/>
        </w:rPr>
        <w:t xml:space="preserve">services or </w:t>
      </w:r>
      <w:r w:rsidR="00763F37">
        <w:rPr>
          <w:rFonts w:ascii="Century Gothic" w:eastAsiaTheme="minorHAnsi" w:hAnsi="Century Gothic"/>
          <w:sz w:val="20"/>
          <w:szCs w:val="20"/>
          <w:lang w:val="en-AU"/>
        </w:rPr>
        <w:t>projects, the rationale for their design and outcomes</w:t>
      </w:r>
      <w:r w:rsidR="00564320">
        <w:rPr>
          <w:rFonts w:ascii="Century Gothic" w:eastAsiaTheme="minorHAnsi" w:hAnsi="Century Gothic"/>
          <w:sz w:val="20"/>
          <w:szCs w:val="20"/>
          <w:lang w:val="en-AU"/>
        </w:rPr>
        <w:t>.</w:t>
      </w:r>
      <w:r w:rsidR="00763F37">
        <w:rPr>
          <w:rFonts w:ascii="Century Gothic" w:eastAsiaTheme="minorHAnsi" w:hAnsi="Century Gothic"/>
          <w:sz w:val="20"/>
          <w:szCs w:val="20"/>
          <w:lang w:val="en-AU"/>
        </w:rPr>
        <w:t xml:space="preserve"> </w:t>
      </w:r>
      <w:r w:rsidRPr="008A6542">
        <w:rPr>
          <w:rFonts w:ascii="Century Gothic" w:eastAsiaTheme="minorHAnsi" w:hAnsi="Century Gothic"/>
          <w:sz w:val="20"/>
          <w:szCs w:val="20"/>
          <w:lang w:val="en-AU"/>
        </w:rPr>
        <w:t xml:space="preserve">Whereas </w:t>
      </w:r>
      <w:r>
        <w:rPr>
          <w:rFonts w:ascii="Century Gothic" w:eastAsiaTheme="minorHAnsi" w:hAnsi="Century Gothic"/>
          <w:sz w:val="20"/>
          <w:szCs w:val="20"/>
          <w:lang w:val="en-AU"/>
        </w:rPr>
        <w:t xml:space="preserve">in </w:t>
      </w:r>
      <w:r w:rsidRPr="008A6542">
        <w:rPr>
          <w:rFonts w:ascii="Century Gothic" w:eastAsiaTheme="minorHAnsi" w:hAnsi="Century Gothic"/>
          <w:sz w:val="20"/>
          <w:szCs w:val="20"/>
          <w:lang w:val="en-AU"/>
        </w:rPr>
        <w:t>W</w:t>
      </w:r>
      <w:r>
        <w:rPr>
          <w:rFonts w:ascii="Century Gothic" w:eastAsiaTheme="minorHAnsi" w:hAnsi="Century Gothic"/>
          <w:sz w:val="20"/>
          <w:szCs w:val="20"/>
          <w:lang w:val="en-AU"/>
        </w:rPr>
        <w:t xml:space="preserve">estern </w:t>
      </w:r>
      <w:r w:rsidRPr="008A6542">
        <w:rPr>
          <w:rFonts w:ascii="Century Gothic" w:eastAsiaTheme="minorHAnsi" w:hAnsi="Century Gothic"/>
          <w:sz w:val="20"/>
          <w:szCs w:val="20"/>
          <w:lang w:val="en-AU"/>
        </w:rPr>
        <w:t>A</w:t>
      </w:r>
      <w:r>
        <w:rPr>
          <w:rFonts w:ascii="Century Gothic" w:eastAsiaTheme="minorHAnsi" w:hAnsi="Century Gothic"/>
          <w:sz w:val="20"/>
          <w:szCs w:val="20"/>
          <w:lang w:val="en-AU"/>
        </w:rPr>
        <w:t>ustralia</w:t>
      </w:r>
      <w:r w:rsidRPr="008A6542">
        <w:rPr>
          <w:rFonts w:ascii="Century Gothic" w:eastAsiaTheme="minorHAnsi" w:hAnsi="Century Gothic"/>
          <w:sz w:val="20"/>
          <w:szCs w:val="20"/>
          <w:lang w:val="en-AU"/>
        </w:rPr>
        <w:t xml:space="preserve"> and Vic</w:t>
      </w:r>
      <w:r>
        <w:rPr>
          <w:rFonts w:ascii="Century Gothic" w:eastAsiaTheme="minorHAnsi" w:hAnsi="Century Gothic"/>
          <w:sz w:val="20"/>
          <w:szCs w:val="20"/>
          <w:lang w:val="en-AU"/>
        </w:rPr>
        <w:t>toria</w:t>
      </w:r>
      <w:r w:rsidRPr="008A6542">
        <w:rPr>
          <w:rFonts w:ascii="Century Gothic" w:eastAsiaTheme="minorHAnsi" w:hAnsi="Century Gothic"/>
          <w:sz w:val="20"/>
          <w:szCs w:val="20"/>
          <w:lang w:val="en-AU"/>
        </w:rPr>
        <w:t xml:space="preserve"> governance </w:t>
      </w:r>
      <w:r>
        <w:rPr>
          <w:rFonts w:ascii="Century Gothic" w:eastAsiaTheme="minorHAnsi" w:hAnsi="Century Gothic"/>
          <w:sz w:val="20"/>
          <w:szCs w:val="20"/>
          <w:lang w:val="en-AU"/>
        </w:rPr>
        <w:t>is</w:t>
      </w:r>
      <w:r w:rsidRPr="008A6542">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more</w:t>
      </w:r>
      <w:r w:rsidRPr="008A6542">
        <w:rPr>
          <w:rFonts w:ascii="Century Gothic" w:eastAsiaTheme="minorHAnsi" w:hAnsi="Century Gothic"/>
          <w:sz w:val="20"/>
          <w:szCs w:val="20"/>
          <w:lang w:val="en-AU"/>
        </w:rPr>
        <w:t xml:space="preserve"> straightforward and </w:t>
      </w:r>
      <w:r>
        <w:rPr>
          <w:rFonts w:ascii="Century Gothic" w:eastAsiaTheme="minorHAnsi" w:hAnsi="Century Gothic"/>
          <w:sz w:val="20"/>
          <w:szCs w:val="20"/>
          <w:lang w:val="en-AU"/>
        </w:rPr>
        <w:t xml:space="preserve">a line of sight back to the federal government and its priorities is easier to </w:t>
      </w:r>
      <w:r w:rsidR="00F47833">
        <w:rPr>
          <w:rFonts w:ascii="Century Gothic" w:eastAsiaTheme="minorHAnsi" w:hAnsi="Century Gothic"/>
          <w:sz w:val="20"/>
          <w:szCs w:val="20"/>
          <w:lang w:val="en-AU"/>
        </w:rPr>
        <w:t>assess</w:t>
      </w:r>
    </w:p>
    <w:p w14:paraId="0758024C" w14:textId="49CA8F9B" w:rsidR="006C7EB4" w:rsidRDefault="006C7EB4" w:rsidP="00171DB4">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These structural issues manifest in different ways</w:t>
      </w:r>
      <w:r w:rsidR="00564320">
        <w:rPr>
          <w:rFonts w:ascii="Century Gothic" w:eastAsiaTheme="minorHAnsi" w:hAnsi="Century Gothic"/>
          <w:sz w:val="20"/>
          <w:szCs w:val="20"/>
          <w:lang w:val="en-AU"/>
        </w:rPr>
        <w:t xml:space="preserve"> of operating</w:t>
      </w:r>
      <w:r>
        <w:rPr>
          <w:rFonts w:ascii="Century Gothic" w:eastAsiaTheme="minorHAnsi" w:hAnsi="Century Gothic"/>
          <w:sz w:val="20"/>
          <w:szCs w:val="20"/>
          <w:lang w:val="en-AU"/>
        </w:rPr>
        <w:t>.  In the case of Queensland the 17 authorities</w:t>
      </w:r>
      <w:r w:rsidRPr="0032398E">
        <w:rPr>
          <w:rFonts w:ascii="Century Gothic" w:eastAsiaTheme="minorHAnsi" w:hAnsi="Century Gothic"/>
          <w:sz w:val="20"/>
          <w:szCs w:val="20"/>
          <w:lang w:val="en-AU"/>
        </w:rPr>
        <w:t xml:space="preserve"> </w:t>
      </w:r>
      <w:r w:rsidR="006B2E57">
        <w:rPr>
          <w:rFonts w:ascii="Century Gothic" w:eastAsiaTheme="minorHAnsi" w:hAnsi="Century Gothic"/>
          <w:sz w:val="20"/>
          <w:szCs w:val="20"/>
          <w:lang w:val="en-AU"/>
        </w:rPr>
        <w:t xml:space="preserve">gain </w:t>
      </w:r>
      <w:r w:rsidRPr="0032398E">
        <w:rPr>
          <w:rFonts w:ascii="Century Gothic" w:eastAsiaTheme="minorHAnsi" w:hAnsi="Century Gothic"/>
          <w:sz w:val="20"/>
          <w:szCs w:val="20"/>
          <w:lang w:val="en-AU"/>
        </w:rPr>
        <w:t xml:space="preserve">access </w:t>
      </w:r>
      <w:r w:rsidR="00FD3900">
        <w:rPr>
          <w:rFonts w:ascii="Century Gothic" w:eastAsiaTheme="minorHAnsi" w:hAnsi="Century Gothic"/>
          <w:sz w:val="20"/>
          <w:szCs w:val="20"/>
          <w:lang w:val="en-AU"/>
        </w:rPr>
        <w:t xml:space="preserve">to </w:t>
      </w:r>
      <w:r w:rsidR="00CC7398">
        <w:rPr>
          <w:rFonts w:ascii="Century Gothic" w:eastAsiaTheme="minorHAnsi" w:hAnsi="Century Gothic"/>
          <w:sz w:val="20"/>
          <w:szCs w:val="20"/>
          <w:lang w:val="en-AU"/>
        </w:rPr>
        <w:t xml:space="preserve">per capita </w:t>
      </w:r>
      <w:r w:rsidRPr="0032398E">
        <w:rPr>
          <w:rFonts w:ascii="Century Gothic" w:eastAsiaTheme="minorHAnsi" w:hAnsi="Century Gothic"/>
          <w:sz w:val="20"/>
          <w:szCs w:val="20"/>
          <w:lang w:val="en-AU"/>
        </w:rPr>
        <w:t>funding</w:t>
      </w:r>
      <w:r w:rsidR="00CC7398">
        <w:rPr>
          <w:rFonts w:ascii="Century Gothic" w:eastAsiaTheme="minorHAnsi" w:hAnsi="Century Gothic"/>
          <w:sz w:val="20"/>
          <w:szCs w:val="20"/>
          <w:lang w:val="en-AU"/>
        </w:rPr>
        <w:t xml:space="preserve"> </w:t>
      </w:r>
      <w:r w:rsidRPr="0032398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authorities then </w:t>
      </w:r>
      <w:r w:rsidRPr="0032398E">
        <w:rPr>
          <w:rFonts w:ascii="Century Gothic" w:eastAsiaTheme="minorHAnsi" w:hAnsi="Century Gothic"/>
          <w:sz w:val="20"/>
          <w:szCs w:val="20"/>
          <w:lang w:val="en-AU"/>
        </w:rPr>
        <w:t xml:space="preserve">have the flexibility </w:t>
      </w:r>
      <w:r>
        <w:rPr>
          <w:rFonts w:ascii="Century Gothic" w:eastAsiaTheme="minorHAnsi" w:hAnsi="Century Gothic"/>
          <w:sz w:val="20"/>
          <w:szCs w:val="20"/>
          <w:lang w:val="en-AU"/>
        </w:rPr>
        <w:t xml:space="preserve">to </w:t>
      </w:r>
      <w:r w:rsidRPr="0032398E">
        <w:rPr>
          <w:rFonts w:ascii="Century Gothic" w:eastAsiaTheme="minorHAnsi" w:hAnsi="Century Gothic"/>
          <w:sz w:val="20"/>
          <w:szCs w:val="20"/>
          <w:lang w:val="en-AU"/>
        </w:rPr>
        <w:t>target</w:t>
      </w:r>
      <w:r>
        <w:rPr>
          <w:rFonts w:ascii="Century Gothic" w:eastAsiaTheme="minorHAnsi" w:hAnsi="Century Gothic"/>
          <w:sz w:val="20"/>
          <w:szCs w:val="20"/>
          <w:lang w:val="en-AU"/>
        </w:rPr>
        <w:t xml:space="preserve"> funds. </w:t>
      </w:r>
      <w:r w:rsidR="00564320">
        <w:rPr>
          <w:rFonts w:ascii="Century Gothic" w:eastAsiaTheme="minorHAnsi" w:hAnsi="Century Gothic"/>
          <w:sz w:val="20"/>
          <w:szCs w:val="20"/>
          <w:lang w:val="en-AU"/>
        </w:rPr>
        <w:t>By contrast, i</w:t>
      </w:r>
      <w:r>
        <w:rPr>
          <w:rFonts w:ascii="Century Gothic" w:eastAsiaTheme="minorHAnsi" w:hAnsi="Century Gothic"/>
          <w:sz w:val="20"/>
          <w:szCs w:val="20"/>
          <w:lang w:val="en-AU"/>
        </w:rPr>
        <w:t xml:space="preserve">n the case of Victoria the two programs funded by SFSF were chosen in part because they were seen as being able to </w:t>
      </w:r>
      <w:r w:rsidR="00B677D9">
        <w:rPr>
          <w:rFonts w:ascii="Century Gothic" w:eastAsiaTheme="minorHAnsi" w:hAnsi="Century Gothic"/>
          <w:sz w:val="20"/>
          <w:szCs w:val="20"/>
          <w:lang w:val="en-AU"/>
        </w:rPr>
        <w:t>meet common needs</w:t>
      </w:r>
      <w:r w:rsidR="00564320">
        <w:rPr>
          <w:rFonts w:ascii="Century Gothic" w:eastAsiaTheme="minorHAnsi" w:hAnsi="Century Gothic"/>
          <w:sz w:val="20"/>
          <w:szCs w:val="20"/>
          <w:lang w:val="en-AU"/>
        </w:rPr>
        <w:t xml:space="preserve"> and </w:t>
      </w:r>
      <w:r>
        <w:rPr>
          <w:rFonts w:ascii="Century Gothic" w:eastAsiaTheme="minorHAnsi" w:hAnsi="Century Gothic"/>
          <w:sz w:val="20"/>
          <w:szCs w:val="20"/>
          <w:lang w:val="en-AU"/>
        </w:rPr>
        <w:t xml:space="preserve">address </w:t>
      </w:r>
      <w:r w:rsidR="00564320">
        <w:rPr>
          <w:rFonts w:ascii="Century Gothic" w:eastAsiaTheme="minorHAnsi" w:hAnsi="Century Gothic"/>
          <w:sz w:val="20"/>
          <w:szCs w:val="20"/>
          <w:lang w:val="en-AU"/>
        </w:rPr>
        <w:t xml:space="preserve">key </w:t>
      </w:r>
      <w:r>
        <w:rPr>
          <w:rFonts w:ascii="Century Gothic" w:eastAsiaTheme="minorHAnsi" w:hAnsi="Century Gothic"/>
          <w:sz w:val="20"/>
          <w:szCs w:val="20"/>
          <w:lang w:val="en-AU"/>
        </w:rPr>
        <w:t>issues across the four dioceses in that state.</w:t>
      </w:r>
    </w:p>
    <w:p w14:paraId="565CD667" w14:textId="0DB5D292" w:rsidR="006C7EB4" w:rsidRPr="008A6542" w:rsidRDefault="006C7EB4" w:rsidP="004B2D8A">
      <w:pPr>
        <w:spacing w:before="120" w:after="120"/>
        <w:ind w:right="-340"/>
        <w:rPr>
          <w:rFonts w:ascii="Century Gothic" w:eastAsiaTheme="minorHAnsi" w:hAnsi="Century Gothic"/>
          <w:sz w:val="20"/>
          <w:szCs w:val="20"/>
          <w:lang w:val="en-AU"/>
        </w:rPr>
      </w:pPr>
      <w:r w:rsidRPr="00236485">
        <w:rPr>
          <w:rFonts w:ascii="Century Gothic" w:eastAsiaTheme="minorHAnsi" w:hAnsi="Century Gothic"/>
          <w:sz w:val="20"/>
          <w:szCs w:val="20"/>
          <w:lang w:val="en-AU"/>
        </w:rPr>
        <w:t>The National Catholic Education Commission sees the diversity of states’</w:t>
      </w:r>
      <w:r>
        <w:rPr>
          <w:rFonts w:ascii="Century Gothic" w:eastAsiaTheme="minorHAnsi" w:hAnsi="Century Gothic"/>
          <w:sz w:val="20"/>
          <w:szCs w:val="20"/>
          <w:lang w:val="en-AU"/>
        </w:rPr>
        <w:t xml:space="preserve"> and authorities’ </w:t>
      </w:r>
      <w:r w:rsidR="000334BA">
        <w:rPr>
          <w:rFonts w:ascii="Century Gothic" w:eastAsiaTheme="minorHAnsi" w:hAnsi="Century Gothic"/>
          <w:sz w:val="20"/>
          <w:szCs w:val="20"/>
          <w:lang w:val="en-AU"/>
        </w:rPr>
        <w:t xml:space="preserve">approaches as an asset and </w:t>
      </w:r>
      <w:r w:rsidRPr="00236485">
        <w:rPr>
          <w:rFonts w:ascii="Century Gothic" w:eastAsiaTheme="minorHAnsi" w:hAnsi="Century Gothic"/>
          <w:sz w:val="20"/>
          <w:szCs w:val="20"/>
          <w:lang w:val="en-AU"/>
        </w:rPr>
        <w:t>strength – their foundation principles are that they want to strengthen local responsiveness as the main lens for reform</w:t>
      </w:r>
      <w:r w:rsidR="002F2D2D">
        <w:rPr>
          <w:rFonts w:ascii="Century Gothic" w:eastAsiaTheme="minorHAnsi" w:hAnsi="Century Gothic"/>
          <w:sz w:val="20"/>
          <w:szCs w:val="20"/>
          <w:lang w:val="en-AU"/>
        </w:rPr>
        <w:t>.</w:t>
      </w:r>
    </w:p>
    <w:p w14:paraId="7A809EC2" w14:textId="005C1727" w:rsidR="002F2D2D"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Independent school associations operate on a voluntary membership basis and do not have sub layers of governance between the designated NGRB and their schools and are able to plan accordingly.  They are however faced with the challenge of moving from a traditional member services (governance, compliance, HR) model to one that is more focused on support for sustainable improvement in </w:t>
      </w:r>
      <w:r w:rsidR="008724D0">
        <w:rPr>
          <w:rFonts w:ascii="Century Gothic" w:eastAsiaTheme="minorHAnsi" w:hAnsi="Century Gothic"/>
          <w:sz w:val="20"/>
          <w:szCs w:val="20"/>
          <w:lang w:val="en-AU"/>
        </w:rPr>
        <w:t>educational outcomes.</w:t>
      </w:r>
    </w:p>
    <w:p w14:paraId="433CF357" w14:textId="5A2343CF" w:rsidR="006C7EB4" w:rsidRDefault="0012614E" w:rsidP="004B2D8A">
      <w:pPr>
        <w:pStyle w:val="Heading1"/>
        <w:ind w:right="-340"/>
        <w:rPr>
          <w:sz w:val="32"/>
          <w:szCs w:val="32"/>
        </w:rPr>
      </w:pPr>
      <w:bookmarkStart w:id="29" w:name="_Toc495587305"/>
      <w:r w:rsidRPr="0085758B">
        <w:rPr>
          <w:sz w:val="32"/>
          <w:szCs w:val="32"/>
        </w:rPr>
        <w:t>3</w:t>
      </w:r>
      <w:r w:rsidR="002F2D2D" w:rsidRPr="0012614E">
        <w:rPr>
          <w:sz w:val="32"/>
          <w:szCs w:val="32"/>
        </w:rPr>
        <w:t>.</w:t>
      </w:r>
      <w:r w:rsidR="002F2D2D" w:rsidRPr="0012614E">
        <w:rPr>
          <w:sz w:val="32"/>
          <w:szCs w:val="32"/>
        </w:rPr>
        <w:tab/>
      </w:r>
      <w:r w:rsidR="00FF7C1B">
        <w:rPr>
          <w:sz w:val="32"/>
          <w:szCs w:val="32"/>
        </w:rPr>
        <w:t>Program Content and D</w:t>
      </w:r>
      <w:r w:rsidR="006C7EB4" w:rsidRPr="0012614E">
        <w:rPr>
          <w:sz w:val="32"/>
          <w:szCs w:val="32"/>
        </w:rPr>
        <w:t>elivery</w:t>
      </w:r>
      <w:bookmarkEnd w:id="29"/>
      <w:r w:rsidR="006C7EB4" w:rsidRPr="0012614E">
        <w:rPr>
          <w:sz w:val="32"/>
          <w:szCs w:val="32"/>
        </w:rPr>
        <w:t xml:space="preserve"> </w:t>
      </w:r>
    </w:p>
    <w:p w14:paraId="6E9F8778" w14:textId="77777777" w:rsidR="0012614E" w:rsidRPr="0012614E" w:rsidRDefault="0012614E" w:rsidP="004B2D8A">
      <w:pPr>
        <w:ind w:right="-340"/>
        <w:rPr>
          <w:lang w:val="en-AU"/>
        </w:rPr>
      </w:pPr>
    </w:p>
    <w:p w14:paraId="66A6D1EC" w14:textId="77777777" w:rsidR="00C73301" w:rsidRPr="0012614E" w:rsidRDefault="00C73301" w:rsidP="00C73301">
      <w:pPr>
        <w:rPr>
          <w:rFonts w:ascii="Century Gothic" w:hAnsi="Century Gothic"/>
          <w:sz w:val="20"/>
          <w:szCs w:val="20"/>
        </w:rPr>
      </w:pPr>
      <w:r>
        <w:rPr>
          <w:rFonts w:ascii="Century Gothic" w:hAnsi="Century Gothic"/>
          <w:sz w:val="20"/>
          <w:szCs w:val="20"/>
        </w:rPr>
        <w:t>Key Findings</w:t>
      </w:r>
      <w:r>
        <w:rPr>
          <w:rStyle w:val="FootnoteReference"/>
          <w:rFonts w:ascii="Century Gothic" w:hAnsi="Century Gothic"/>
          <w:sz w:val="20"/>
          <w:szCs w:val="20"/>
        </w:rPr>
        <w:footnoteReference w:id="4"/>
      </w:r>
      <w:r>
        <w:rPr>
          <w:rFonts w:ascii="Century Gothic" w:hAnsi="Century Gothic"/>
          <w:sz w:val="20"/>
          <w:szCs w:val="20"/>
        </w:rPr>
        <w:t xml:space="preserve"> </w:t>
      </w:r>
    </w:p>
    <w:p w14:paraId="28D038BB" w14:textId="77777777" w:rsidR="00C73301" w:rsidRPr="007C7FAF" w:rsidRDefault="00C73301" w:rsidP="00C73301">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The lack of consistency in the structure of SFSF reports and detail in acquittal processes make it difficult to provide robust statistical analyses and comparisons of all NGRBs’ SFSF funded activities and the extent and impact of the implementation of national priorities.</w:t>
      </w:r>
    </w:p>
    <w:p w14:paraId="571D2A49" w14:textId="77777777" w:rsidR="00C73301" w:rsidRPr="007C7FAF" w:rsidRDefault="00C73301" w:rsidP="00C73301">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As an estimate, the implementation of the 5 natio</w:t>
      </w:r>
      <w:r>
        <w:rPr>
          <w:rFonts w:ascii="Century Gothic" w:hAnsi="Century Gothic" w:cs="Arial"/>
          <w:sz w:val="20"/>
          <w:szCs w:val="20"/>
        </w:rPr>
        <w:t>nal priorities has been uneven:</w:t>
      </w:r>
    </w:p>
    <w:p w14:paraId="14EC0FE2" w14:textId="77777777" w:rsidR="00C73301" w:rsidRPr="007C7FAF" w:rsidRDefault="00C73301" w:rsidP="00C73301">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- 12 of the 16 NGRB’s expend over 50% of the SFSF funds to support the first two reform areas – Quality</w:t>
      </w:r>
      <w:r>
        <w:rPr>
          <w:rFonts w:ascii="Century Gothic" w:hAnsi="Century Gothic" w:cs="Arial"/>
          <w:sz w:val="20"/>
          <w:szCs w:val="20"/>
        </w:rPr>
        <w:t xml:space="preserve"> Teaching and Quality Learning.</w:t>
      </w:r>
    </w:p>
    <w:p w14:paraId="3F2A1104" w14:textId="77777777" w:rsidR="00C73301" w:rsidRPr="007C7FAF" w:rsidRDefault="00C73301" w:rsidP="00C73301">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 The Transparency and Accountability Reform area receives the least amount of attention at around 10%.</w:t>
      </w:r>
    </w:p>
    <w:p w14:paraId="4BDB9DF8" w14:textId="77777777" w:rsidR="00C73301" w:rsidRPr="007C7FAF" w:rsidRDefault="00C73301" w:rsidP="00C73301">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Program characteristics are on a continuum from specific curriculum or service focus to a broader based more holis</w:t>
      </w:r>
      <w:r>
        <w:rPr>
          <w:rFonts w:ascii="Century Gothic" w:hAnsi="Century Gothic" w:cs="Arial"/>
          <w:sz w:val="20"/>
          <w:szCs w:val="20"/>
        </w:rPr>
        <w:t>tic school improvement agenda.</w:t>
      </w:r>
    </w:p>
    <w:p w14:paraId="434812ED" w14:textId="77777777" w:rsidR="00C73301" w:rsidRPr="007C7FAF" w:rsidRDefault="00C73301" w:rsidP="00C73301">
      <w:pPr>
        <w:pStyle w:val="ListParagraph"/>
        <w:numPr>
          <w:ilvl w:val="0"/>
          <w:numId w:val="12"/>
        </w:numPr>
        <w:spacing w:after="120"/>
        <w:ind w:right="100"/>
        <w:contextualSpacing w:val="0"/>
        <w:rPr>
          <w:rFonts w:ascii="Century Gothic" w:hAnsi="Century Gothic" w:cs="Arial"/>
          <w:sz w:val="20"/>
          <w:szCs w:val="20"/>
        </w:rPr>
      </w:pPr>
      <w:r w:rsidRPr="007C7FAF">
        <w:rPr>
          <w:rFonts w:ascii="Century Gothic" w:hAnsi="Century Gothic" w:cs="Arial"/>
          <w:sz w:val="20"/>
          <w:szCs w:val="20"/>
        </w:rPr>
        <w:t>On the positive side, most NGRBs are moving from being conduits for government funds to using SFSF Funds to build capacity and capability to work more effectively with their schools on national priorities and school improvement.</w:t>
      </w:r>
    </w:p>
    <w:p w14:paraId="0405DEB5" w14:textId="3F0AF426" w:rsidR="00C73301" w:rsidRDefault="00C73301" w:rsidP="00C73301">
      <w:pPr>
        <w:spacing w:before="240" w:after="120" w:line="276" w:lineRule="auto"/>
        <w:ind w:right="-340"/>
        <w:jc w:val="both"/>
        <w:rPr>
          <w:rFonts w:ascii="Century Gothic" w:eastAsiaTheme="minorHAnsi" w:hAnsi="Century Gothic"/>
          <w:sz w:val="20"/>
          <w:szCs w:val="20"/>
          <w:lang w:val="en-AU"/>
        </w:rPr>
      </w:pPr>
      <w:r w:rsidRPr="007C7FAF">
        <w:rPr>
          <w:rFonts w:ascii="Century Gothic" w:hAnsi="Century Gothic" w:cs="Arial"/>
          <w:sz w:val="20"/>
          <w:szCs w:val="20"/>
        </w:rPr>
        <w:t>However, the larger CECs have existing infrastructure and ways of working with their administrative layers and schools. The SFSF activity appears to have been added to that as a new layer rather than used as a stimulus for change.</w:t>
      </w:r>
      <w:r>
        <w:rPr>
          <w:rFonts w:ascii="Century Gothic" w:hAnsi="Century Gothic"/>
          <w:sz w:val="20"/>
          <w:szCs w:val="20"/>
        </w:rPr>
        <w:t xml:space="preserve">  </w:t>
      </w:r>
    </w:p>
    <w:p w14:paraId="1A18CD72" w14:textId="099714CE" w:rsidR="0012614E" w:rsidRDefault="0012614E" w:rsidP="007C7FAF">
      <w:pPr>
        <w:spacing w:before="24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are required to present annual reports of their activities under the SFSF.  The reviewers have had access to these reports as well as t</w:t>
      </w:r>
      <w:r w:rsidR="00DE0C66">
        <w:rPr>
          <w:rFonts w:ascii="Century Gothic" w:eastAsiaTheme="minorHAnsi" w:hAnsi="Century Gothic"/>
          <w:sz w:val="20"/>
          <w:szCs w:val="20"/>
          <w:lang w:val="en-AU"/>
        </w:rPr>
        <w:t xml:space="preserve">o the work plans of the NGRBs. </w:t>
      </w:r>
      <w:r>
        <w:rPr>
          <w:rFonts w:ascii="Century Gothic" w:eastAsiaTheme="minorHAnsi" w:hAnsi="Century Gothic"/>
          <w:sz w:val="20"/>
          <w:szCs w:val="20"/>
          <w:lang w:val="en-AU"/>
        </w:rPr>
        <w:t>The Commonwealth has not mandated any format for these reports and work plans or placed any requirements on NGRBs to structure the</w:t>
      </w:r>
      <w:r w:rsidR="007C7FAF">
        <w:rPr>
          <w:rFonts w:ascii="Century Gothic" w:eastAsiaTheme="minorHAnsi" w:hAnsi="Century Gothic"/>
          <w:sz w:val="20"/>
          <w:szCs w:val="20"/>
          <w:lang w:val="en-AU"/>
        </w:rPr>
        <w:t>ir reports in a common manner.</w:t>
      </w:r>
    </w:p>
    <w:p w14:paraId="5967676B" w14:textId="05D7E329" w:rsidR="0012614E" w:rsidRDefault="0012614E"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lastRenderedPageBreak/>
        <w:t>In some cases, apart from a general statement that the NGRB’s work covers the five reform areas in the SFSF policy, there is no explicit categorisation of activity against those reform areas.  As a consequence, analysis of the reports both against the reform areas and in comparison with other NGRBs is difficult</w:t>
      </w:r>
      <w:r w:rsidR="007C7FAF">
        <w:rPr>
          <w:rFonts w:ascii="Century Gothic" w:eastAsiaTheme="minorHAnsi" w:hAnsi="Century Gothic"/>
          <w:sz w:val="20"/>
          <w:szCs w:val="20"/>
          <w:lang w:val="en-AU"/>
        </w:rPr>
        <w:t xml:space="preserve"> and subject to interpretation.</w:t>
      </w:r>
    </w:p>
    <w:p w14:paraId="46F75F2A" w14:textId="2A549BB6" w:rsidR="0012614E" w:rsidRDefault="0012614E"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This lack of consistency also applies to the documentation of expenditure against the reform areas as in some cases NGRB’s have reported expenditure against projects in their plan without explicitly linking those</w:t>
      </w:r>
      <w:r w:rsidR="007C7FAF">
        <w:rPr>
          <w:rFonts w:ascii="Century Gothic" w:eastAsiaTheme="minorHAnsi" w:hAnsi="Century Gothic"/>
          <w:sz w:val="20"/>
          <w:szCs w:val="20"/>
          <w:lang w:val="en-AU"/>
        </w:rPr>
        <w:t xml:space="preserve"> projects to the reform areas.</w:t>
      </w:r>
    </w:p>
    <w:p w14:paraId="29EC8840" w14:textId="0B4350D2" w:rsidR="00BA05B7" w:rsidRDefault="00BA05B7"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reports do however contain rich information on a wide variety of initiatives</w:t>
      </w:r>
      <w:r w:rsidRPr="00BA05B7">
        <w:rPr>
          <w:rFonts w:ascii="Century Gothic" w:eastAsiaTheme="minorHAnsi" w:hAnsi="Century Gothic"/>
          <w:sz w:val="20"/>
          <w:szCs w:val="20"/>
          <w:lang w:val="en-AU"/>
        </w:rPr>
        <w:t>. To ensure there is a full picture of NGRBs’ approaches,</w:t>
      </w:r>
      <w:r w:rsidR="00EC7309">
        <w:rPr>
          <w:rFonts w:ascii="Century Gothic" w:eastAsiaTheme="minorHAnsi" w:hAnsi="Century Gothic"/>
          <w:sz w:val="20"/>
          <w:szCs w:val="20"/>
          <w:lang w:val="en-AU"/>
        </w:rPr>
        <w:t xml:space="preserve"> despite the limitations on comparative analysis, </w:t>
      </w:r>
      <w:r w:rsidRPr="00BA05B7">
        <w:rPr>
          <w:rFonts w:ascii="Century Gothic" w:eastAsiaTheme="minorHAnsi" w:hAnsi="Century Gothic"/>
          <w:sz w:val="20"/>
          <w:szCs w:val="20"/>
          <w:lang w:val="en-AU"/>
        </w:rPr>
        <w:t>the report includes profiles of the SFSF activities of all NGRBs where their key programs, use of SFSF fu</w:t>
      </w:r>
      <w:r w:rsidR="00227EAA">
        <w:rPr>
          <w:rFonts w:ascii="Century Gothic" w:eastAsiaTheme="minorHAnsi" w:hAnsi="Century Gothic"/>
          <w:sz w:val="20"/>
          <w:szCs w:val="20"/>
          <w:lang w:val="en-AU"/>
        </w:rPr>
        <w:t xml:space="preserve">nds and outcomes are summarised.  (See Part 2, 1. NGRB SFSF </w:t>
      </w:r>
      <w:r w:rsidR="007C7FAF">
        <w:rPr>
          <w:rFonts w:ascii="Century Gothic" w:eastAsiaTheme="minorHAnsi" w:hAnsi="Century Gothic"/>
          <w:sz w:val="20"/>
          <w:szCs w:val="20"/>
          <w:lang w:val="en-AU"/>
        </w:rPr>
        <w:t>Activity Profiles.)</w:t>
      </w:r>
    </w:p>
    <w:p w14:paraId="53254F7E" w14:textId="1B0AA10E" w:rsidR="0012614E" w:rsidRPr="0012614E" w:rsidRDefault="0012614E" w:rsidP="004B2D8A">
      <w:pPr>
        <w:spacing w:after="120" w:line="276" w:lineRule="auto"/>
        <w:ind w:right="-340"/>
        <w:jc w:val="both"/>
        <w:rPr>
          <w:rStyle w:val="IntenseReference"/>
          <w:rFonts w:ascii="Century Gothic" w:eastAsiaTheme="minorHAnsi" w:hAnsi="Century Gothic"/>
          <w:b w:val="0"/>
          <w:bCs w:val="0"/>
          <w:smallCaps w:val="0"/>
          <w:color w:val="auto"/>
          <w:spacing w:val="0"/>
          <w:sz w:val="20"/>
          <w:szCs w:val="20"/>
          <w:u w:val="none"/>
          <w:lang w:val="en-AU"/>
        </w:rPr>
      </w:pPr>
      <w:r>
        <w:rPr>
          <w:rFonts w:ascii="Century Gothic" w:eastAsiaTheme="minorHAnsi" w:hAnsi="Century Gothic"/>
          <w:sz w:val="20"/>
          <w:szCs w:val="20"/>
          <w:lang w:val="en-AU"/>
        </w:rPr>
        <w:t>The analysis below should be read with these caveats in mind.</w:t>
      </w:r>
    </w:p>
    <w:p w14:paraId="14AD0468" w14:textId="0A4164F3" w:rsidR="006C7EB4" w:rsidRPr="00572246" w:rsidRDefault="0012614E" w:rsidP="00572246">
      <w:pPr>
        <w:pStyle w:val="Heading2"/>
        <w:rPr>
          <w:rStyle w:val="IntenseReference"/>
          <w:b/>
          <w:bCs/>
          <w:smallCaps w:val="0"/>
          <w:color w:val="0070C0"/>
          <w:spacing w:val="0"/>
        </w:rPr>
      </w:pPr>
      <w:bookmarkStart w:id="30" w:name="_Toc495587306"/>
      <w:r w:rsidRPr="00572246">
        <w:rPr>
          <w:rStyle w:val="IntenseReference"/>
          <w:b/>
          <w:bCs/>
          <w:smallCaps w:val="0"/>
          <w:color w:val="0070C0"/>
          <w:spacing w:val="0"/>
        </w:rPr>
        <w:t xml:space="preserve">3.1 </w:t>
      </w:r>
      <w:r w:rsidR="005D40DE" w:rsidRPr="00572246">
        <w:rPr>
          <w:rStyle w:val="IntenseReference"/>
          <w:b/>
          <w:bCs/>
          <w:smallCaps w:val="0"/>
          <w:color w:val="0070C0"/>
          <w:spacing w:val="0"/>
        </w:rPr>
        <w:tab/>
      </w:r>
      <w:r w:rsidR="006C7EB4" w:rsidRPr="00572246">
        <w:rPr>
          <w:rStyle w:val="IntenseReference"/>
          <w:b/>
          <w:bCs/>
          <w:smallCaps w:val="0"/>
          <w:color w:val="0070C0"/>
          <w:spacing w:val="0"/>
        </w:rPr>
        <w:t xml:space="preserve">Have </w:t>
      </w:r>
      <w:r w:rsidR="00623693" w:rsidRPr="00572246">
        <w:rPr>
          <w:rStyle w:val="IntenseReference"/>
          <w:b/>
          <w:bCs/>
          <w:smallCaps w:val="0"/>
          <w:color w:val="0070C0"/>
          <w:spacing w:val="0"/>
        </w:rPr>
        <w:t>NGRBs addressed the five</w:t>
      </w:r>
      <w:r w:rsidR="006C7EB4" w:rsidRPr="00572246">
        <w:rPr>
          <w:rStyle w:val="IntenseReference"/>
          <w:b/>
          <w:bCs/>
          <w:smallCaps w:val="0"/>
          <w:color w:val="0070C0"/>
          <w:spacing w:val="0"/>
        </w:rPr>
        <w:t xml:space="preserve"> government priorities?</w:t>
      </w:r>
      <w:bookmarkEnd w:id="30"/>
    </w:p>
    <w:p w14:paraId="010CB907" w14:textId="6AABB428" w:rsidR="008D32F8" w:rsidRDefault="001D2941"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SFSF has advanced implementation of the five national reform priorities, particularly Quality</w:t>
      </w:r>
      <w:r w:rsidR="00926C4F">
        <w:rPr>
          <w:rFonts w:ascii="Century Gothic" w:eastAsiaTheme="minorHAnsi" w:hAnsi="Century Gothic"/>
          <w:sz w:val="20"/>
          <w:szCs w:val="20"/>
          <w:lang w:val="en-AU"/>
        </w:rPr>
        <w:t xml:space="preserve"> Teaching and Quality Learning, which</w:t>
      </w:r>
      <w:r>
        <w:rPr>
          <w:rFonts w:ascii="Century Gothic" w:eastAsiaTheme="minorHAnsi" w:hAnsi="Century Gothic"/>
          <w:sz w:val="20"/>
          <w:szCs w:val="20"/>
          <w:lang w:val="en-AU"/>
        </w:rPr>
        <w:t xml:space="preserve"> have had the largest resource allocation and have </w:t>
      </w:r>
      <w:r w:rsidR="007C7FAF">
        <w:rPr>
          <w:rFonts w:ascii="Century Gothic" w:eastAsiaTheme="minorHAnsi" w:hAnsi="Century Gothic"/>
          <w:sz w:val="20"/>
          <w:szCs w:val="20"/>
          <w:lang w:val="en-AU"/>
        </w:rPr>
        <w:t>the widest reach into schools.</w:t>
      </w:r>
    </w:p>
    <w:p w14:paraId="1B7824B9" w14:textId="1FB4558B" w:rsidR="006C7EB4"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national reform agenda has been relatively consistent and well supported by research over the last several years.  Many NGRBs have had approaches to supporting their schools in place over that time that parallel the five areas identified for SFSF or at the least </w:t>
      </w:r>
      <w:r w:rsidR="00862AE1">
        <w:rPr>
          <w:rFonts w:ascii="Century Gothic" w:eastAsiaTheme="minorHAnsi" w:hAnsi="Century Gothic"/>
          <w:sz w:val="20"/>
          <w:szCs w:val="20"/>
          <w:lang w:val="en-AU"/>
        </w:rPr>
        <w:t xml:space="preserve">address the majority of them.  </w:t>
      </w:r>
      <w:r>
        <w:rPr>
          <w:rFonts w:ascii="Century Gothic" w:eastAsiaTheme="minorHAnsi" w:hAnsi="Century Gothic"/>
          <w:sz w:val="20"/>
          <w:szCs w:val="20"/>
          <w:lang w:val="en-AU"/>
        </w:rPr>
        <w:t>In part this work was supported by previous Commonwealth programs (National Partnerships, Targeted Programs), state and territory funding or funds generated from their schools.</w:t>
      </w:r>
    </w:p>
    <w:p w14:paraId="6B257B36" w14:textId="77777777" w:rsidR="006C7EB4"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There was a brief hiatus between the introduction of the SFSF program and the conclusion of the previous National Partnerships – particularly for Catholic systems.  As a result when the SFSF was announced and MoUs were negotiated there was a tendency for NGRBs in the first year to extend support for existing programs or to those schools who had previously been receiving funding or support.</w:t>
      </w:r>
    </w:p>
    <w:p w14:paraId="17F4B4B1" w14:textId="77777777" w:rsidR="006C7EB4"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It is apparent that after the first year of SFSF funding many NGRBs took the opportunity to rethink their approach and develop longer-term initiatives focused on achieving sustainable improvements in the reform areas.</w:t>
      </w:r>
    </w:p>
    <w:p w14:paraId="21C49756" w14:textId="77777777" w:rsidR="006C7EB4"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Additionally the period of the SFSF has coincided with the maturation of specific national reforms such as the Australian Curriculum, the National Professional Standards for Teachers and the Australian Professional Standard for Principals, which provide both a vehicle, and a lever for NGRB’s to work with their schools in the heart of the reform agenda.</w:t>
      </w:r>
    </w:p>
    <w:p w14:paraId="0DEE7817" w14:textId="76CB9BEF" w:rsidR="006C7EB4"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From the evidence available to this review it is clear that, allowing for the different modes of operation (see below), the work of the NGRB’s funded through the SFSF has </w:t>
      </w:r>
      <w:r w:rsidR="00C97557">
        <w:rPr>
          <w:rFonts w:ascii="Century Gothic" w:eastAsiaTheme="minorHAnsi" w:hAnsi="Century Gothic"/>
          <w:sz w:val="20"/>
          <w:szCs w:val="20"/>
          <w:lang w:val="en-AU"/>
        </w:rPr>
        <w:t>addressed the five reform areas – albeit in varying degrees of depth and imp</w:t>
      </w:r>
      <w:r w:rsidR="007C7FAF">
        <w:rPr>
          <w:rFonts w:ascii="Century Gothic" w:eastAsiaTheme="minorHAnsi" w:hAnsi="Century Gothic"/>
          <w:sz w:val="20"/>
          <w:szCs w:val="20"/>
          <w:lang w:val="en-AU"/>
        </w:rPr>
        <w:t>act.</w:t>
      </w:r>
    </w:p>
    <w:p w14:paraId="6E90D9FF" w14:textId="20714B53" w:rsidR="00AE4902"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Figure </w:t>
      </w:r>
      <w:r w:rsidR="00862AE1">
        <w:rPr>
          <w:rFonts w:ascii="Century Gothic" w:eastAsiaTheme="minorHAnsi" w:hAnsi="Century Gothic"/>
          <w:sz w:val="20"/>
          <w:szCs w:val="20"/>
          <w:lang w:val="en-AU"/>
        </w:rPr>
        <w:t>3</w:t>
      </w:r>
      <w:r>
        <w:rPr>
          <w:rFonts w:ascii="Century Gothic" w:eastAsiaTheme="minorHAnsi" w:hAnsi="Century Gothic"/>
          <w:sz w:val="20"/>
          <w:szCs w:val="20"/>
          <w:lang w:val="en-AU"/>
        </w:rPr>
        <w:t xml:space="preserve"> and Table</w:t>
      </w:r>
      <w:r w:rsidR="00C008B2">
        <w:rPr>
          <w:rFonts w:ascii="Century Gothic" w:eastAsiaTheme="minorHAnsi" w:hAnsi="Century Gothic"/>
          <w:sz w:val="20"/>
          <w:szCs w:val="20"/>
          <w:lang w:val="en-AU"/>
        </w:rPr>
        <w:t xml:space="preserve">s </w:t>
      </w:r>
      <w:r>
        <w:rPr>
          <w:rFonts w:ascii="Century Gothic" w:eastAsiaTheme="minorHAnsi" w:hAnsi="Century Gothic"/>
          <w:sz w:val="20"/>
          <w:szCs w:val="20"/>
          <w:lang w:val="en-AU"/>
        </w:rPr>
        <w:t xml:space="preserve">in </w:t>
      </w:r>
      <w:r w:rsidR="00AC4028">
        <w:rPr>
          <w:rFonts w:ascii="Century Gothic" w:eastAsiaTheme="minorHAnsi" w:hAnsi="Century Gothic"/>
          <w:sz w:val="20"/>
          <w:szCs w:val="20"/>
          <w:lang w:val="en-AU"/>
        </w:rPr>
        <w:t xml:space="preserve">Part </w:t>
      </w:r>
      <w:r w:rsidR="00EC7309">
        <w:rPr>
          <w:rFonts w:ascii="Century Gothic" w:eastAsiaTheme="minorHAnsi" w:hAnsi="Century Gothic"/>
          <w:sz w:val="20"/>
          <w:szCs w:val="20"/>
          <w:lang w:val="en-AU"/>
        </w:rPr>
        <w:t>2</w:t>
      </w:r>
      <w:r w:rsidR="00AC4028">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provide an estimate of NGRB’s expenditure across </w:t>
      </w:r>
      <w:r w:rsidR="00C008B2">
        <w:rPr>
          <w:rFonts w:ascii="Century Gothic" w:eastAsiaTheme="minorHAnsi" w:hAnsi="Century Gothic"/>
          <w:sz w:val="20"/>
          <w:szCs w:val="20"/>
          <w:lang w:val="en-AU"/>
        </w:rPr>
        <w:t>the five reform areas.  Data have</w:t>
      </w:r>
      <w:r>
        <w:rPr>
          <w:rFonts w:ascii="Century Gothic" w:eastAsiaTheme="minorHAnsi" w:hAnsi="Century Gothic"/>
          <w:sz w:val="20"/>
          <w:szCs w:val="20"/>
          <w:lang w:val="en-AU"/>
        </w:rPr>
        <w:t xml:space="preserve"> been obtained directly from NGRB planning documents or reports </w:t>
      </w:r>
      <w:r w:rsidR="00C008B2">
        <w:rPr>
          <w:rFonts w:ascii="Century Gothic" w:eastAsiaTheme="minorHAnsi" w:hAnsi="Century Gothic"/>
          <w:sz w:val="20"/>
          <w:szCs w:val="20"/>
          <w:lang w:val="en-AU"/>
        </w:rPr>
        <w:t>and</w:t>
      </w:r>
      <w:r>
        <w:rPr>
          <w:rFonts w:ascii="Century Gothic" w:eastAsiaTheme="minorHAnsi" w:hAnsi="Century Gothic"/>
          <w:sz w:val="20"/>
          <w:szCs w:val="20"/>
          <w:lang w:val="en-AU"/>
        </w:rPr>
        <w:t xml:space="preserve"> in two cases inferred by the reviewers</w:t>
      </w:r>
      <w:r w:rsidR="00AC4028">
        <w:rPr>
          <w:rFonts w:ascii="Century Gothic" w:eastAsiaTheme="minorHAnsi" w:hAnsi="Century Gothic"/>
          <w:sz w:val="20"/>
          <w:szCs w:val="20"/>
          <w:lang w:val="en-AU"/>
        </w:rPr>
        <w:t xml:space="preserve"> based on project descriptions</w:t>
      </w:r>
      <w:r w:rsidR="00C008B2">
        <w:rPr>
          <w:rFonts w:ascii="Century Gothic" w:eastAsiaTheme="minorHAnsi" w:hAnsi="Century Gothic"/>
          <w:sz w:val="20"/>
          <w:szCs w:val="20"/>
          <w:lang w:val="en-AU"/>
        </w:rPr>
        <w:t>.</w:t>
      </w:r>
    </w:p>
    <w:p w14:paraId="4607F463" w14:textId="73DCEA44" w:rsidR="009152BC" w:rsidRDefault="001D2941"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figures need to be treated as indicative due not only to the nature of the reporting but also as many of the activities and initiatives have purposes and outcomes tha</w:t>
      </w:r>
      <w:r w:rsidR="00AC101D">
        <w:rPr>
          <w:rFonts w:ascii="Century Gothic" w:eastAsiaTheme="minorHAnsi" w:hAnsi="Century Gothic"/>
          <w:sz w:val="20"/>
          <w:szCs w:val="20"/>
          <w:lang w:val="en-AU"/>
        </w:rPr>
        <w:t>t overlap across reform areas.)</w:t>
      </w:r>
    </w:p>
    <w:p w14:paraId="7D142258" w14:textId="77777777" w:rsidR="009152BC" w:rsidRDefault="009152BC">
      <w:pPr>
        <w:rPr>
          <w:rFonts w:ascii="Century Gothic" w:eastAsiaTheme="minorHAnsi" w:hAnsi="Century Gothic"/>
          <w:sz w:val="20"/>
          <w:szCs w:val="20"/>
          <w:lang w:val="en-AU"/>
        </w:rPr>
      </w:pPr>
      <w:r>
        <w:rPr>
          <w:rFonts w:ascii="Century Gothic" w:eastAsiaTheme="minorHAnsi" w:hAnsi="Century Gothic"/>
          <w:sz w:val="20"/>
          <w:szCs w:val="20"/>
          <w:lang w:val="en-AU"/>
        </w:rPr>
        <w:br w:type="page"/>
      </w:r>
    </w:p>
    <w:p w14:paraId="55A346B8" w14:textId="77777777" w:rsidR="00AE4902" w:rsidRPr="00890722" w:rsidRDefault="00AE4902" w:rsidP="004B2D8A">
      <w:pPr>
        <w:spacing w:after="120" w:line="276" w:lineRule="auto"/>
        <w:ind w:right="-340"/>
        <w:jc w:val="both"/>
        <w:rPr>
          <w:rFonts w:ascii="Century Gothic" w:eastAsiaTheme="minorHAnsi" w:hAnsi="Century Gothic"/>
          <w:sz w:val="20"/>
          <w:szCs w:val="20"/>
          <w:lang w:val="en-AU"/>
        </w:rPr>
      </w:pPr>
    </w:p>
    <w:p w14:paraId="19882258" w14:textId="169A51AE" w:rsidR="00EE780E" w:rsidRPr="00751344" w:rsidRDefault="006C7EB4" w:rsidP="00751344">
      <w:pPr>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t xml:space="preserve">Fig </w:t>
      </w:r>
      <w:r w:rsidR="00862AE1" w:rsidRPr="00751344">
        <w:rPr>
          <w:rFonts w:ascii="Century Gothic" w:eastAsiaTheme="minorHAnsi" w:hAnsi="Century Gothic"/>
          <w:b/>
          <w:color w:val="4F81BD" w:themeColor="accent1"/>
          <w:sz w:val="20"/>
          <w:szCs w:val="20"/>
          <w:lang w:val="en-AU"/>
        </w:rPr>
        <w:t>3</w:t>
      </w:r>
      <w:r w:rsidRPr="00751344">
        <w:rPr>
          <w:rFonts w:ascii="Century Gothic" w:eastAsiaTheme="minorHAnsi" w:hAnsi="Century Gothic"/>
          <w:b/>
          <w:color w:val="4F81BD" w:themeColor="accent1"/>
          <w:sz w:val="20"/>
          <w:szCs w:val="20"/>
          <w:lang w:val="en-AU"/>
        </w:rPr>
        <w:t>:</w:t>
      </w:r>
      <w:r w:rsidRPr="00751344">
        <w:rPr>
          <w:rFonts w:ascii="Century Gothic" w:eastAsiaTheme="minorHAnsi" w:hAnsi="Century Gothic"/>
          <w:b/>
          <w:color w:val="4F81BD" w:themeColor="accent1"/>
          <w:sz w:val="20"/>
          <w:szCs w:val="20"/>
          <w:lang w:val="en-AU"/>
        </w:rPr>
        <w:tab/>
        <w:t>Assessment of expenditure across reform areas – percentage</w:t>
      </w:r>
    </w:p>
    <w:p w14:paraId="57ABD56E" w14:textId="77777777" w:rsidR="006C7EB4" w:rsidRDefault="006C7EB4" w:rsidP="004B2D8A">
      <w:pPr>
        <w:ind w:right="-340"/>
      </w:pPr>
      <w:r>
        <w:rPr>
          <w:noProof/>
          <w:lang w:val="en-AU" w:eastAsia="en-AU"/>
        </w:rPr>
        <w:drawing>
          <wp:inline distT="0" distB="0" distL="0" distR="0" wp14:anchorId="7E0573C1" wp14:editId="2D556DE0">
            <wp:extent cx="5939118" cy="3886200"/>
            <wp:effectExtent l="0" t="0" r="5080" b="0"/>
            <wp:docPr id="10" name="Chart 10" descr="This table shows NGRBs in different jurisdictions have priorities different Reform Areas in terms of expenditure. " title="Fig 3: Assessment of expenditure across reform areas – percent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27B047" w14:textId="77777777" w:rsidR="006C7EB4" w:rsidRPr="00DA02E0" w:rsidRDefault="006C7EB4" w:rsidP="007C7FAF">
      <w:pPr>
        <w:spacing w:before="240"/>
        <w:ind w:right="-340"/>
        <w:rPr>
          <w:rFonts w:ascii="Century Gothic" w:hAnsi="Century Gothic"/>
          <w:sz w:val="18"/>
          <w:szCs w:val="18"/>
        </w:rPr>
      </w:pPr>
      <w:r w:rsidRPr="00DA02E0">
        <w:rPr>
          <w:rFonts w:ascii="Century Gothic" w:hAnsi="Century Gothic"/>
          <w:sz w:val="18"/>
          <w:szCs w:val="18"/>
        </w:rPr>
        <w:t>Notes:</w:t>
      </w:r>
    </w:p>
    <w:p w14:paraId="6BA29365" w14:textId="77777777" w:rsidR="006C7EB4" w:rsidRPr="00DA02E0" w:rsidRDefault="006C7EB4" w:rsidP="004B2D8A">
      <w:pPr>
        <w:spacing w:after="60"/>
        <w:ind w:left="284" w:right="-340"/>
        <w:rPr>
          <w:rFonts w:ascii="Century Gothic" w:hAnsi="Century Gothic"/>
          <w:sz w:val="18"/>
          <w:szCs w:val="18"/>
        </w:rPr>
      </w:pPr>
      <w:r w:rsidRPr="00DA02E0">
        <w:rPr>
          <w:rFonts w:ascii="Century Gothic" w:hAnsi="Century Gothic"/>
          <w:sz w:val="18"/>
          <w:szCs w:val="18"/>
        </w:rPr>
        <w:t>NT Catholic system allocates 30.3% of SFSF for General Improvement and provides in kind support for the reform areas where no breakdown is given.</w:t>
      </w:r>
    </w:p>
    <w:p w14:paraId="56FD706B" w14:textId="170201BF" w:rsidR="006C7EB4" w:rsidRPr="001D2941" w:rsidRDefault="006C7EB4" w:rsidP="004B2D8A">
      <w:pPr>
        <w:spacing w:after="120"/>
        <w:ind w:left="284" w:right="-340"/>
        <w:rPr>
          <w:rFonts w:ascii="Century Gothic" w:hAnsi="Century Gothic"/>
          <w:color w:val="FF0000"/>
          <w:sz w:val="18"/>
          <w:szCs w:val="18"/>
        </w:rPr>
      </w:pPr>
      <w:r w:rsidRPr="00DA02E0">
        <w:rPr>
          <w:rFonts w:ascii="Century Gothic" w:hAnsi="Century Gothic"/>
          <w:sz w:val="18"/>
          <w:szCs w:val="18"/>
        </w:rPr>
        <w:t>NSW Independent</w:t>
      </w:r>
      <w:r>
        <w:rPr>
          <w:rFonts w:ascii="Century Gothic" w:hAnsi="Century Gothic"/>
          <w:sz w:val="18"/>
          <w:szCs w:val="18"/>
        </w:rPr>
        <w:t xml:space="preserve"> and Victorian Catholic provide</w:t>
      </w:r>
      <w:r w:rsidRPr="00DA02E0">
        <w:rPr>
          <w:rFonts w:ascii="Century Gothic" w:hAnsi="Century Gothic"/>
          <w:sz w:val="18"/>
          <w:szCs w:val="18"/>
        </w:rPr>
        <w:t xml:space="preserve"> budget </w:t>
      </w:r>
      <w:r>
        <w:rPr>
          <w:rFonts w:ascii="Century Gothic" w:hAnsi="Century Gothic"/>
          <w:sz w:val="18"/>
          <w:szCs w:val="18"/>
        </w:rPr>
        <w:t xml:space="preserve">information </w:t>
      </w:r>
      <w:r w:rsidRPr="00DA02E0">
        <w:rPr>
          <w:rFonts w:ascii="Century Gothic" w:hAnsi="Century Gothic"/>
          <w:sz w:val="18"/>
          <w:szCs w:val="18"/>
        </w:rPr>
        <w:t xml:space="preserve">on a project-by-project </w:t>
      </w:r>
      <w:r w:rsidRPr="005B53FF">
        <w:rPr>
          <w:rFonts w:ascii="Century Gothic" w:hAnsi="Century Gothic"/>
          <w:sz w:val="18"/>
          <w:szCs w:val="18"/>
        </w:rPr>
        <w:t>basis. Assignment to reform areas</w:t>
      </w:r>
      <w:r w:rsidR="00CC7398">
        <w:rPr>
          <w:rFonts w:ascii="Century Gothic" w:hAnsi="Century Gothic"/>
          <w:sz w:val="18"/>
          <w:szCs w:val="18"/>
        </w:rPr>
        <w:t xml:space="preserve"> is</w:t>
      </w:r>
      <w:r w:rsidRPr="005B53FF">
        <w:rPr>
          <w:rFonts w:ascii="Century Gothic" w:hAnsi="Century Gothic"/>
          <w:sz w:val="18"/>
          <w:szCs w:val="18"/>
        </w:rPr>
        <w:t xml:space="preserve"> based on </w:t>
      </w:r>
      <w:r w:rsidR="00CC7398">
        <w:rPr>
          <w:rFonts w:ascii="Century Gothic" w:hAnsi="Century Gothic"/>
          <w:sz w:val="18"/>
          <w:szCs w:val="18"/>
        </w:rPr>
        <w:t>an</w:t>
      </w:r>
      <w:r w:rsidR="005B53FF" w:rsidRPr="005B53FF">
        <w:rPr>
          <w:rFonts w:ascii="Century Gothic" w:hAnsi="Century Gothic"/>
          <w:sz w:val="18"/>
          <w:szCs w:val="18"/>
        </w:rPr>
        <w:t xml:space="preserve"> assessment of </w:t>
      </w:r>
      <w:r w:rsidRPr="005B53FF">
        <w:rPr>
          <w:rFonts w:ascii="Century Gothic" w:hAnsi="Century Gothic"/>
          <w:sz w:val="18"/>
          <w:szCs w:val="18"/>
        </w:rPr>
        <w:t>project descriptions</w:t>
      </w:r>
      <w:r w:rsidR="007C7FAF">
        <w:rPr>
          <w:rFonts w:ascii="Century Gothic" w:hAnsi="Century Gothic"/>
          <w:sz w:val="18"/>
          <w:szCs w:val="18"/>
        </w:rPr>
        <w:t>.</w:t>
      </w:r>
    </w:p>
    <w:p w14:paraId="09335A13" w14:textId="4FE8B248" w:rsidR="00862AE1" w:rsidRDefault="006C7EB4" w:rsidP="00C97557">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In four cases obtaining a breakdown across the reform areas was not feasible due to the mode of delivery adopted by the NGRB or the way the activities have been reported:</w:t>
      </w:r>
    </w:p>
    <w:tbl>
      <w:tblPr>
        <w:tblW w:w="9184" w:type="dxa"/>
        <w:tblInd w:w="250" w:type="dxa"/>
        <w:tblLayout w:type="fixed"/>
        <w:tblLook w:val="04A0" w:firstRow="1" w:lastRow="0" w:firstColumn="1" w:lastColumn="0" w:noHBand="0" w:noVBand="1"/>
        <w:tblDescription w:val="This table explains cases in which obtaining a breakdown was not feasible."/>
      </w:tblPr>
      <w:tblGrid>
        <w:gridCol w:w="2977"/>
        <w:gridCol w:w="6207"/>
      </w:tblGrid>
      <w:tr w:rsidR="006C7EB4" w:rsidRPr="00563A8A" w14:paraId="54CEC530" w14:textId="77777777" w:rsidTr="00CD1809">
        <w:trPr>
          <w:tblHeader/>
        </w:trPr>
        <w:tc>
          <w:tcPr>
            <w:tcW w:w="2977" w:type="dxa"/>
            <w:tcBorders>
              <w:top w:val="single" w:sz="4" w:space="0" w:color="auto"/>
            </w:tcBorders>
          </w:tcPr>
          <w:p w14:paraId="0D86BA07" w14:textId="5478EF8B" w:rsidR="006C7EB4" w:rsidRPr="00563A8A" w:rsidRDefault="00C73301" w:rsidP="001D2941">
            <w:pPr>
              <w:spacing w:before="120" w:after="120"/>
              <w:ind w:right="-36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NGRB</w:t>
            </w:r>
          </w:p>
        </w:tc>
        <w:tc>
          <w:tcPr>
            <w:tcW w:w="6207" w:type="dxa"/>
            <w:tcBorders>
              <w:top w:val="single" w:sz="4" w:space="0" w:color="auto"/>
            </w:tcBorders>
          </w:tcPr>
          <w:p w14:paraId="049B4C67" w14:textId="66C34297" w:rsidR="006C7EB4" w:rsidRPr="00563A8A" w:rsidRDefault="00C73301" w:rsidP="001D2941">
            <w:pPr>
              <w:spacing w:before="120" w:after="120"/>
              <w:ind w:right="-36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Comment</w:t>
            </w:r>
          </w:p>
        </w:tc>
      </w:tr>
      <w:tr w:rsidR="00C73301" w:rsidRPr="00563A8A" w14:paraId="17BCA074" w14:textId="77777777" w:rsidTr="001D2941">
        <w:tc>
          <w:tcPr>
            <w:tcW w:w="2977" w:type="dxa"/>
            <w:tcBorders>
              <w:top w:val="single" w:sz="4" w:space="0" w:color="auto"/>
            </w:tcBorders>
          </w:tcPr>
          <w:p w14:paraId="4546179A" w14:textId="219FC757" w:rsidR="00C73301" w:rsidRPr="00563A8A" w:rsidRDefault="00C73301" w:rsidP="00C73301">
            <w:pPr>
              <w:spacing w:before="120"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Queensland Independent</w:t>
            </w:r>
          </w:p>
        </w:tc>
        <w:tc>
          <w:tcPr>
            <w:tcW w:w="6207" w:type="dxa"/>
            <w:tcBorders>
              <w:top w:val="single" w:sz="4" w:space="0" w:color="auto"/>
            </w:tcBorders>
          </w:tcPr>
          <w:p w14:paraId="2D04444A" w14:textId="09AF0AC8" w:rsidR="00C73301" w:rsidRPr="00563A8A" w:rsidRDefault="00C73301" w:rsidP="00C73301">
            <w:pPr>
              <w:spacing w:before="120"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Documents indicate each activity supports all reform areas</w:t>
            </w:r>
          </w:p>
        </w:tc>
      </w:tr>
      <w:tr w:rsidR="00C73301" w:rsidRPr="00563A8A" w14:paraId="2B232F1B" w14:textId="77777777" w:rsidTr="001D2941">
        <w:tc>
          <w:tcPr>
            <w:tcW w:w="2977" w:type="dxa"/>
          </w:tcPr>
          <w:p w14:paraId="1B6F9E01" w14:textId="77777777" w:rsidR="00C73301" w:rsidRPr="00563A8A" w:rsidRDefault="00C73301" w:rsidP="00C73301">
            <w:pPr>
              <w:spacing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South Australia Independent</w:t>
            </w:r>
          </w:p>
        </w:tc>
        <w:tc>
          <w:tcPr>
            <w:tcW w:w="6207" w:type="dxa"/>
          </w:tcPr>
          <w:p w14:paraId="240D3E7E" w14:textId="77777777" w:rsidR="00C73301" w:rsidRPr="00563A8A" w:rsidRDefault="00C73301" w:rsidP="00C73301">
            <w:pPr>
              <w:spacing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Significant expenditure on staff costs.  Budget not broken down by activity</w:t>
            </w:r>
          </w:p>
        </w:tc>
      </w:tr>
      <w:tr w:rsidR="00C73301" w:rsidRPr="00563A8A" w14:paraId="7AE5C9BB" w14:textId="77777777" w:rsidTr="001D2941">
        <w:tc>
          <w:tcPr>
            <w:tcW w:w="2977" w:type="dxa"/>
          </w:tcPr>
          <w:p w14:paraId="7FD2F5A6" w14:textId="77777777" w:rsidR="00C73301" w:rsidRPr="00563A8A" w:rsidRDefault="00C73301" w:rsidP="00C73301">
            <w:pPr>
              <w:spacing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Tasmania Independent</w:t>
            </w:r>
          </w:p>
        </w:tc>
        <w:tc>
          <w:tcPr>
            <w:tcW w:w="6207" w:type="dxa"/>
          </w:tcPr>
          <w:p w14:paraId="5B26CF26" w14:textId="77777777" w:rsidR="00C73301" w:rsidRPr="00563A8A" w:rsidRDefault="00C73301" w:rsidP="00C73301">
            <w:pPr>
              <w:spacing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SFSF budget rolled into a global budget including other sources to fund full program.  SFSF provides 70% of funds</w:t>
            </w:r>
          </w:p>
        </w:tc>
      </w:tr>
      <w:tr w:rsidR="00C73301" w:rsidRPr="00563A8A" w14:paraId="7FBDFA92" w14:textId="77777777" w:rsidTr="001D2941">
        <w:tc>
          <w:tcPr>
            <w:tcW w:w="2977" w:type="dxa"/>
            <w:tcBorders>
              <w:bottom w:val="single" w:sz="4" w:space="0" w:color="auto"/>
            </w:tcBorders>
          </w:tcPr>
          <w:p w14:paraId="5C78FE79" w14:textId="77777777" w:rsidR="00C73301" w:rsidRPr="00563A8A" w:rsidRDefault="00C73301" w:rsidP="00C73301">
            <w:pPr>
              <w:spacing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ACT Independent</w:t>
            </w:r>
          </w:p>
        </w:tc>
        <w:tc>
          <w:tcPr>
            <w:tcW w:w="6207" w:type="dxa"/>
            <w:tcBorders>
              <w:bottom w:val="single" w:sz="4" w:space="0" w:color="auto"/>
            </w:tcBorders>
          </w:tcPr>
          <w:p w14:paraId="28C74565" w14:textId="63A3C609" w:rsidR="00C73301" w:rsidRPr="00563A8A" w:rsidRDefault="00C73301" w:rsidP="00C73301">
            <w:pPr>
              <w:spacing w:after="120"/>
              <w:ind w:right="-360"/>
              <w:rPr>
                <w:rFonts w:ascii="Century Gothic" w:eastAsia="Times New Roman" w:hAnsi="Century Gothic" w:cs="Times New Roman"/>
                <w:color w:val="000000"/>
                <w:sz w:val="18"/>
                <w:szCs w:val="18"/>
                <w:lang w:val="en-AU"/>
              </w:rPr>
            </w:pPr>
            <w:r w:rsidRPr="00563A8A">
              <w:rPr>
                <w:rFonts w:ascii="Century Gothic" w:eastAsia="Times New Roman" w:hAnsi="Century Gothic" w:cs="Times New Roman"/>
                <w:color w:val="000000"/>
                <w:sz w:val="18"/>
                <w:szCs w:val="18"/>
                <w:lang w:val="en-AU"/>
              </w:rPr>
              <w:t>Budget provided for 4 projects in 2014 work</w:t>
            </w:r>
            <w:r>
              <w:rPr>
                <w:rFonts w:ascii="Century Gothic" w:eastAsia="Times New Roman" w:hAnsi="Century Gothic" w:cs="Times New Roman"/>
                <w:color w:val="000000"/>
                <w:sz w:val="18"/>
                <w:szCs w:val="18"/>
                <w:lang w:val="en-AU"/>
              </w:rPr>
              <w:t xml:space="preserve"> </w:t>
            </w:r>
            <w:r w:rsidRPr="00563A8A">
              <w:rPr>
                <w:rFonts w:ascii="Century Gothic" w:eastAsia="Times New Roman" w:hAnsi="Century Gothic" w:cs="Times New Roman"/>
                <w:color w:val="000000"/>
                <w:sz w:val="18"/>
                <w:szCs w:val="18"/>
                <w:lang w:val="en-AU"/>
              </w:rPr>
              <w:t>plan but not subsequently. One project is business as usual</w:t>
            </w:r>
          </w:p>
        </w:tc>
      </w:tr>
    </w:tbl>
    <w:p w14:paraId="37DC7C66" w14:textId="6ABC6F6D" w:rsidR="00EE780E" w:rsidRPr="00C97557" w:rsidRDefault="006C7EB4" w:rsidP="00C97557">
      <w:pPr>
        <w:spacing w:after="120" w:line="276" w:lineRule="auto"/>
        <w:ind w:right="-340"/>
        <w:jc w:val="both"/>
        <w:rPr>
          <w:rFonts w:ascii="Century Gothic" w:eastAsiaTheme="minorHAnsi" w:hAnsi="Century Gothic"/>
          <w:sz w:val="20"/>
          <w:szCs w:val="20"/>
          <w:lang w:val="en-AU"/>
        </w:rPr>
      </w:pPr>
      <w:r w:rsidRPr="00F53A44">
        <w:rPr>
          <w:rFonts w:ascii="Century Gothic" w:eastAsiaTheme="minorHAnsi" w:hAnsi="Century Gothic"/>
          <w:sz w:val="20"/>
          <w:szCs w:val="20"/>
          <w:lang w:val="en-AU"/>
        </w:rPr>
        <w:t xml:space="preserve">Figure </w:t>
      </w:r>
      <w:r w:rsidR="00862AE1" w:rsidRPr="00F53A44">
        <w:rPr>
          <w:rFonts w:ascii="Century Gothic" w:eastAsiaTheme="minorHAnsi" w:hAnsi="Century Gothic"/>
          <w:sz w:val="20"/>
          <w:szCs w:val="20"/>
          <w:lang w:val="en-AU"/>
        </w:rPr>
        <w:t>4</w:t>
      </w:r>
      <w:r w:rsidRPr="00F53A44">
        <w:rPr>
          <w:rFonts w:ascii="Century Gothic" w:eastAsiaTheme="minorHAnsi" w:hAnsi="Century Gothic"/>
          <w:sz w:val="20"/>
          <w:szCs w:val="20"/>
          <w:lang w:val="en-AU"/>
        </w:rPr>
        <w:t xml:space="preserve"> shows this expenditure in dollar terms with the same exceptions as above</w:t>
      </w:r>
    </w:p>
    <w:p w14:paraId="7840A443" w14:textId="3A8E0DFC" w:rsidR="006C7EB4" w:rsidRPr="00D16E5F" w:rsidRDefault="006C7EB4" w:rsidP="007C7FAF">
      <w:pPr>
        <w:keepNext/>
        <w:spacing w:after="120"/>
        <w:rPr>
          <w:sz w:val="20"/>
          <w:szCs w:val="20"/>
        </w:rPr>
      </w:pPr>
      <w:r w:rsidRPr="00751344">
        <w:rPr>
          <w:rFonts w:ascii="Century Gothic" w:eastAsiaTheme="minorHAnsi" w:hAnsi="Century Gothic"/>
          <w:b/>
          <w:color w:val="4F81BD" w:themeColor="accent1"/>
          <w:sz w:val="20"/>
          <w:szCs w:val="20"/>
          <w:lang w:val="en-AU"/>
        </w:rPr>
        <w:lastRenderedPageBreak/>
        <w:t>Fig</w:t>
      </w:r>
      <w:r w:rsidR="00862AE1" w:rsidRPr="00751344">
        <w:rPr>
          <w:rFonts w:ascii="Century Gothic" w:eastAsiaTheme="minorHAnsi" w:hAnsi="Century Gothic"/>
          <w:b/>
          <w:color w:val="4F81BD" w:themeColor="accent1"/>
          <w:sz w:val="20"/>
          <w:szCs w:val="20"/>
          <w:lang w:val="en-AU"/>
        </w:rPr>
        <w:t>4</w:t>
      </w:r>
      <w:r w:rsidRPr="00751344">
        <w:rPr>
          <w:rFonts w:ascii="Century Gothic" w:eastAsiaTheme="minorHAnsi" w:hAnsi="Century Gothic"/>
          <w:b/>
          <w:color w:val="4F81BD" w:themeColor="accent1"/>
          <w:sz w:val="20"/>
          <w:szCs w:val="20"/>
          <w:lang w:val="en-AU"/>
        </w:rPr>
        <w:t>:</w:t>
      </w:r>
      <w:r w:rsidRPr="00751344">
        <w:rPr>
          <w:rFonts w:ascii="Century Gothic" w:eastAsiaTheme="minorHAnsi" w:hAnsi="Century Gothic"/>
          <w:b/>
          <w:color w:val="4F81BD" w:themeColor="accent1"/>
          <w:sz w:val="20"/>
          <w:szCs w:val="20"/>
          <w:lang w:val="en-AU"/>
        </w:rPr>
        <w:tab/>
        <w:t>Assessment of expenditure across reform areas – $s</w:t>
      </w:r>
    </w:p>
    <w:p w14:paraId="62EA8CC8" w14:textId="77777777" w:rsidR="006C7EB4" w:rsidRDefault="006C7EB4" w:rsidP="004B2D8A">
      <w:pPr>
        <w:ind w:right="-340"/>
      </w:pPr>
      <w:r>
        <w:rPr>
          <w:noProof/>
          <w:lang w:val="en-AU" w:eastAsia="en-AU"/>
        </w:rPr>
        <w:drawing>
          <wp:inline distT="0" distB="0" distL="0" distR="0" wp14:anchorId="78A9862A" wp14:editId="223C7F58">
            <wp:extent cx="5710518" cy="3487271"/>
            <wp:effectExtent l="0" t="0" r="5080" b="18415"/>
            <wp:docPr id="11" name="Chart 11" descr="This graph shows expenditure by Reform Area across different NGRBs." title="Fig4: Assessment of expenditure across reform areas – $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27CAF7" w14:textId="77777777" w:rsidR="006C7EB4" w:rsidRPr="000B1D1A" w:rsidRDefault="006C7EB4" w:rsidP="007C7FAF">
      <w:pPr>
        <w:ind w:right="-340"/>
        <w:rPr>
          <w:rFonts w:ascii="Century Gothic" w:hAnsi="Century Gothic"/>
          <w:sz w:val="18"/>
          <w:szCs w:val="18"/>
        </w:rPr>
      </w:pPr>
      <w:r w:rsidRPr="000B1D1A">
        <w:rPr>
          <w:rFonts w:ascii="Century Gothic" w:hAnsi="Century Gothic"/>
          <w:sz w:val="18"/>
          <w:szCs w:val="18"/>
        </w:rPr>
        <w:t>Notes:</w:t>
      </w:r>
    </w:p>
    <w:p w14:paraId="20A25EAB" w14:textId="77777777" w:rsidR="006C7EB4" w:rsidRPr="000B1D1A" w:rsidRDefault="006C7EB4" w:rsidP="004B2D8A">
      <w:pPr>
        <w:ind w:right="-340"/>
        <w:rPr>
          <w:rFonts w:ascii="Century Gothic" w:hAnsi="Century Gothic"/>
          <w:sz w:val="18"/>
          <w:szCs w:val="18"/>
        </w:rPr>
      </w:pPr>
      <w:r w:rsidRPr="000B1D1A">
        <w:rPr>
          <w:rFonts w:ascii="Century Gothic" w:hAnsi="Century Gothic"/>
          <w:sz w:val="18"/>
          <w:szCs w:val="18"/>
        </w:rPr>
        <w:t>NT Catholic system allocates 30.3% of SFSF for General Improvement and provides in kind support for the reform areas where no breakdown is given.</w:t>
      </w:r>
    </w:p>
    <w:p w14:paraId="4A3AE922" w14:textId="017C5AF7" w:rsidR="006C7EB4" w:rsidRPr="007C7FAF" w:rsidRDefault="006C7EB4" w:rsidP="007C7FAF">
      <w:pPr>
        <w:spacing w:after="240"/>
        <w:ind w:right="-340"/>
        <w:rPr>
          <w:sz w:val="20"/>
          <w:szCs w:val="20"/>
        </w:rPr>
      </w:pPr>
      <w:r w:rsidRPr="00DA02E0">
        <w:rPr>
          <w:rFonts w:ascii="Century Gothic" w:hAnsi="Century Gothic"/>
          <w:sz w:val="18"/>
          <w:szCs w:val="18"/>
        </w:rPr>
        <w:t>NSW Independent</w:t>
      </w:r>
      <w:r>
        <w:rPr>
          <w:rFonts w:ascii="Century Gothic" w:hAnsi="Century Gothic"/>
          <w:sz w:val="18"/>
          <w:szCs w:val="18"/>
        </w:rPr>
        <w:t xml:space="preserve"> and Victorian Catholic provide</w:t>
      </w:r>
      <w:r w:rsidRPr="00DA02E0">
        <w:rPr>
          <w:rFonts w:ascii="Century Gothic" w:hAnsi="Century Gothic"/>
          <w:sz w:val="18"/>
          <w:szCs w:val="18"/>
        </w:rPr>
        <w:t xml:space="preserve"> budget </w:t>
      </w:r>
      <w:r>
        <w:rPr>
          <w:rFonts w:ascii="Century Gothic" w:hAnsi="Century Gothic"/>
          <w:sz w:val="18"/>
          <w:szCs w:val="18"/>
        </w:rPr>
        <w:t xml:space="preserve">information </w:t>
      </w:r>
      <w:r w:rsidRPr="00DA02E0">
        <w:rPr>
          <w:rFonts w:ascii="Century Gothic" w:hAnsi="Century Gothic"/>
          <w:sz w:val="18"/>
          <w:szCs w:val="18"/>
        </w:rPr>
        <w:t xml:space="preserve">on a project-by-project basis. Assignment to reform areas based on </w:t>
      </w:r>
      <w:r w:rsidR="005B53FF">
        <w:rPr>
          <w:rFonts w:ascii="Century Gothic" w:hAnsi="Century Gothic"/>
          <w:sz w:val="18"/>
          <w:szCs w:val="18"/>
        </w:rPr>
        <w:t xml:space="preserve">an assessment of </w:t>
      </w:r>
      <w:r w:rsidRPr="00DA02E0">
        <w:rPr>
          <w:rFonts w:ascii="Century Gothic" w:hAnsi="Century Gothic"/>
          <w:sz w:val="18"/>
          <w:szCs w:val="18"/>
        </w:rPr>
        <w:t>project descriptions</w:t>
      </w:r>
    </w:p>
    <w:p w14:paraId="09FE7C7B" w14:textId="2004E814" w:rsidR="001D2941"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Based on this analysis</w:t>
      </w:r>
      <w:r w:rsidR="00C008B2">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12 </w:t>
      </w:r>
      <w:r w:rsidR="00C008B2">
        <w:rPr>
          <w:rFonts w:ascii="Century Gothic" w:eastAsiaTheme="minorHAnsi" w:hAnsi="Century Gothic"/>
          <w:sz w:val="20"/>
          <w:szCs w:val="20"/>
          <w:lang w:val="en-AU"/>
        </w:rPr>
        <w:t>of the 16 NGRB’s expend over 50 per cent</w:t>
      </w:r>
      <w:r>
        <w:rPr>
          <w:rFonts w:ascii="Century Gothic" w:eastAsiaTheme="minorHAnsi" w:hAnsi="Century Gothic"/>
          <w:sz w:val="20"/>
          <w:szCs w:val="20"/>
          <w:lang w:val="en-AU"/>
        </w:rPr>
        <w:t xml:space="preserve"> of the SFSF funds to support the first two reform areas – Quality</w:t>
      </w:r>
      <w:r w:rsidR="007C7FAF">
        <w:rPr>
          <w:rFonts w:ascii="Century Gothic" w:eastAsiaTheme="minorHAnsi" w:hAnsi="Century Gothic"/>
          <w:sz w:val="20"/>
          <w:szCs w:val="20"/>
          <w:lang w:val="en-AU"/>
        </w:rPr>
        <w:t xml:space="preserve"> Teaching and Quality Learning.</w:t>
      </w:r>
    </w:p>
    <w:p w14:paraId="510E8D99" w14:textId="04A7A1B8" w:rsidR="006C7EB4" w:rsidRDefault="006C7EB4" w:rsidP="004B2D8A">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Transparency and Accountability Reform area receives the least amount of attention at around 10</w:t>
      </w:r>
      <w:r w:rsidR="00C008B2">
        <w:rPr>
          <w:rFonts w:ascii="Century Gothic" w:eastAsiaTheme="minorHAnsi" w:hAnsi="Century Gothic"/>
          <w:sz w:val="20"/>
          <w:szCs w:val="20"/>
          <w:lang w:val="en-AU"/>
        </w:rPr>
        <w:t xml:space="preserve"> per cent</w:t>
      </w:r>
      <w:r w:rsidR="007C7FAF">
        <w:rPr>
          <w:rFonts w:ascii="Century Gothic" w:eastAsiaTheme="minorHAnsi" w:hAnsi="Century Gothic"/>
          <w:sz w:val="20"/>
          <w:szCs w:val="20"/>
          <w:lang w:val="en-AU"/>
        </w:rPr>
        <w:t>.</w:t>
      </w:r>
    </w:p>
    <w:p w14:paraId="5F427D57" w14:textId="79B101FD" w:rsidR="006C7EB4" w:rsidRPr="003A3CAE" w:rsidRDefault="006B2E57" w:rsidP="003A3CAE">
      <w:pPr>
        <w:pStyle w:val="Heading2"/>
        <w:rPr>
          <w:rStyle w:val="IntenseReference"/>
          <w:b/>
          <w:bCs/>
          <w:smallCaps w:val="0"/>
          <w:color w:val="0070C0"/>
          <w:spacing w:val="0"/>
          <w:u w:val="none"/>
        </w:rPr>
      </w:pPr>
      <w:bookmarkStart w:id="31" w:name="_Toc495587307"/>
      <w:r w:rsidRPr="003A3CAE">
        <w:rPr>
          <w:rStyle w:val="IntenseReference"/>
          <w:b/>
          <w:bCs/>
          <w:smallCaps w:val="0"/>
          <w:color w:val="0070C0"/>
          <w:spacing w:val="0"/>
          <w:u w:val="none"/>
        </w:rPr>
        <w:t xml:space="preserve">3.2 </w:t>
      </w:r>
      <w:r w:rsidR="005D40DE" w:rsidRPr="003A3CAE">
        <w:rPr>
          <w:rStyle w:val="IntenseReference"/>
          <w:b/>
          <w:bCs/>
          <w:smallCaps w:val="0"/>
          <w:color w:val="0070C0"/>
          <w:spacing w:val="0"/>
          <w:u w:val="none"/>
        </w:rPr>
        <w:tab/>
      </w:r>
      <w:r w:rsidR="006C7EB4" w:rsidRPr="003A3CAE">
        <w:rPr>
          <w:rStyle w:val="IntenseReference"/>
          <w:b/>
          <w:bCs/>
          <w:smallCaps w:val="0"/>
          <w:color w:val="0070C0"/>
          <w:spacing w:val="0"/>
          <w:u w:val="none"/>
        </w:rPr>
        <w:t>How do NGRB’s operate?</w:t>
      </w:r>
      <w:bookmarkEnd w:id="31"/>
    </w:p>
    <w:p w14:paraId="723EFDDE" w14:textId="65A9E26D" w:rsidR="006073E7" w:rsidRPr="006073E7" w:rsidRDefault="006073E7" w:rsidP="00EE780E">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Pr="006073E7">
        <w:rPr>
          <w:rFonts w:ascii="Century Gothic" w:eastAsiaTheme="minorHAnsi" w:hAnsi="Century Gothic"/>
          <w:sz w:val="20"/>
          <w:szCs w:val="20"/>
          <w:lang w:val="en-AU"/>
        </w:rPr>
        <w:t>he</w:t>
      </w:r>
      <w:r>
        <w:rPr>
          <w:rFonts w:ascii="Century Gothic" w:eastAsiaTheme="minorHAnsi" w:hAnsi="Century Gothic"/>
          <w:sz w:val="20"/>
          <w:szCs w:val="20"/>
          <w:lang w:val="en-AU"/>
        </w:rPr>
        <w:t xml:space="preserve"> following sect</w:t>
      </w:r>
      <w:r w:rsidR="006A33C1">
        <w:rPr>
          <w:rFonts w:ascii="Century Gothic" w:eastAsiaTheme="minorHAnsi" w:hAnsi="Century Gothic"/>
          <w:sz w:val="20"/>
          <w:szCs w:val="20"/>
          <w:lang w:val="en-AU"/>
        </w:rPr>
        <w:t>ions des</w:t>
      </w:r>
      <w:r>
        <w:rPr>
          <w:rFonts w:ascii="Century Gothic" w:eastAsiaTheme="minorHAnsi" w:hAnsi="Century Gothic"/>
          <w:sz w:val="20"/>
          <w:szCs w:val="20"/>
          <w:lang w:val="en-AU"/>
        </w:rPr>
        <w:t>c</w:t>
      </w:r>
      <w:r w:rsidR="006A33C1">
        <w:rPr>
          <w:rFonts w:ascii="Century Gothic" w:eastAsiaTheme="minorHAnsi" w:hAnsi="Century Gothic"/>
          <w:sz w:val="20"/>
          <w:szCs w:val="20"/>
          <w:lang w:val="en-AU"/>
        </w:rPr>
        <w:t>r</w:t>
      </w:r>
      <w:r>
        <w:rPr>
          <w:rFonts w:ascii="Century Gothic" w:eastAsiaTheme="minorHAnsi" w:hAnsi="Century Gothic"/>
          <w:sz w:val="20"/>
          <w:szCs w:val="20"/>
          <w:lang w:val="en-AU"/>
        </w:rPr>
        <w:t xml:space="preserve">ibe the </w:t>
      </w:r>
      <w:r w:rsidR="006A33C1">
        <w:rPr>
          <w:rFonts w:ascii="Century Gothic" w:eastAsiaTheme="minorHAnsi" w:hAnsi="Century Gothic"/>
          <w:sz w:val="20"/>
          <w:szCs w:val="20"/>
          <w:lang w:val="en-AU"/>
        </w:rPr>
        <w:t xml:space="preserve">SFSF </w:t>
      </w:r>
      <w:r>
        <w:rPr>
          <w:rFonts w:ascii="Century Gothic" w:eastAsiaTheme="minorHAnsi" w:hAnsi="Century Gothic"/>
          <w:sz w:val="20"/>
          <w:szCs w:val="20"/>
          <w:lang w:val="en-AU"/>
        </w:rPr>
        <w:t xml:space="preserve">activities </w:t>
      </w:r>
      <w:r w:rsidR="006A33C1">
        <w:rPr>
          <w:rFonts w:ascii="Century Gothic" w:eastAsiaTheme="minorHAnsi" w:hAnsi="Century Gothic"/>
          <w:sz w:val="20"/>
          <w:szCs w:val="20"/>
          <w:lang w:val="en-AU"/>
        </w:rPr>
        <w:t xml:space="preserve">conducted by NGRBs and indicate their key characteristics and main patterns of activity. The subsequent section gives an account of the benefits and limitations of how </w:t>
      </w:r>
      <w:r w:rsidR="007C7FAF">
        <w:rPr>
          <w:rFonts w:ascii="Century Gothic" w:eastAsiaTheme="minorHAnsi" w:hAnsi="Century Gothic"/>
          <w:sz w:val="20"/>
          <w:szCs w:val="20"/>
          <w:lang w:val="en-AU"/>
        </w:rPr>
        <w:t>SFSF priorities were addressed.</w:t>
      </w:r>
    </w:p>
    <w:p w14:paraId="2F4BF1DF" w14:textId="0B331B69" w:rsidR="006C7EB4" w:rsidRPr="005621A8" w:rsidRDefault="006C7EB4" w:rsidP="005621A8">
      <w:pPr>
        <w:pStyle w:val="Heading3"/>
      </w:pPr>
      <w:bookmarkStart w:id="32" w:name="_Toc472261235"/>
      <w:bookmarkStart w:id="33" w:name="_Toc472262578"/>
      <w:bookmarkStart w:id="34" w:name="_Toc472263261"/>
      <w:bookmarkStart w:id="35" w:name="_Toc346123953"/>
      <w:r w:rsidRPr="005621A8">
        <w:t xml:space="preserve">NGRB </w:t>
      </w:r>
      <w:bookmarkEnd w:id="32"/>
      <w:bookmarkEnd w:id="33"/>
      <w:bookmarkEnd w:id="34"/>
      <w:bookmarkEnd w:id="35"/>
      <w:r w:rsidR="007C7FAF" w:rsidRPr="005621A8">
        <w:t>program characteristics</w:t>
      </w:r>
    </w:p>
    <w:p w14:paraId="014118F8" w14:textId="607AC15F" w:rsidR="00493F6B" w:rsidRDefault="006C7EB4" w:rsidP="00EE780E">
      <w:pPr>
        <w:spacing w:before="120" w:line="276" w:lineRule="auto"/>
        <w:ind w:left="-25"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w:t>
      </w:r>
      <w:r w:rsidR="00BF4157">
        <w:rPr>
          <w:rFonts w:ascii="Century Gothic" w:eastAsiaTheme="minorHAnsi" w:hAnsi="Century Gothic"/>
          <w:sz w:val="20"/>
          <w:szCs w:val="20"/>
          <w:lang w:val="en-AU"/>
        </w:rPr>
        <w:t xml:space="preserve">re is </w:t>
      </w:r>
      <w:r w:rsidR="00493F6B">
        <w:rPr>
          <w:rFonts w:ascii="Century Gothic" w:eastAsiaTheme="minorHAnsi" w:hAnsi="Century Gothic"/>
          <w:sz w:val="20"/>
          <w:szCs w:val="20"/>
          <w:lang w:val="en-AU"/>
        </w:rPr>
        <w:t xml:space="preserve">a </w:t>
      </w:r>
      <w:r w:rsidR="006A33C1">
        <w:rPr>
          <w:rFonts w:ascii="Century Gothic" w:eastAsiaTheme="minorHAnsi" w:hAnsi="Century Gothic"/>
          <w:sz w:val="20"/>
          <w:szCs w:val="20"/>
          <w:lang w:val="en-AU"/>
        </w:rPr>
        <w:t>diversity</w:t>
      </w:r>
      <w:r>
        <w:rPr>
          <w:rFonts w:ascii="Century Gothic" w:eastAsiaTheme="minorHAnsi" w:hAnsi="Century Gothic"/>
          <w:sz w:val="20"/>
          <w:szCs w:val="20"/>
          <w:lang w:val="en-AU"/>
        </w:rPr>
        <w:t xml:space="preserve"> of </w:t>
      </w:r>
      <w:r w:rsidR="00F534C7">
        <w:rPr>
          <w:rFonts w:ascii="Century Gothic" w:eastAsiaTheme="minorHAnsi" w:hAnsi="Century Gothic"/>
          <w:sz w:val="20"/>
          <w:szCs w:val="20"/>
          <w:lang w:val="en-AU"/>
        </w:rPr>
        <w:t xml:space="preserve">delivery models and </w:t>
      </w:r>
      <w:r>
        <w:rPr>
          <w:rFonts w:ascii="Century Gothic" w:eastAsiaTheme="minorHAnsi" w:hAnsi="Century Gothic"/>
          <w:sz w:val="20"/>
          <w:szCs w:val="20"/>
          <w:lang w:val="en-AU"/>
        </w:rPr>
        <w:t xml:space="preserve">activities </w:t>
      </w:r>
      <w:r w:rsidR="006A33C1">
        <w:rPr>
          <w:rFonts w:ascii="Century Gothic" w:eastAsiaTheme="minorHAnsi" w:hAnsi="Century Gothic"/>
          <w:sz w:val="20"/>
          <w:szCs w:val="20"/>
          <w:lang w:val="en-AU"/>
        </w:rPr>
        <w:t>provided by NGRBs.  One</w:t>
      </w:r>
      <w:r w:rsidR="00BF4157">
        <w:rPr>
          <w:rFonts w:ascii="Century Gothic" w:eastAsiaTheme="minorHAnsi" w:hAnsi="Century Gothic"/>
          <w:sz w:val="20"/>
          <w:szCs w:val="20"/>
          <w:lang w:val="en-AU"/>
        </w:rPr>
        <w:t xml:space="preserve"> </w:t>
      </w:r>
      <w:r w:rsidR="006A33C1">
        <w:rPr>
          <w:rFonts w:ascii="Century Gothic" w:eastAsiaTheme="minorHAnsi" w:hAnsi="Century Gothic"/>
          <w:sz w:val="20"/>
          <w:szCs w:val="20"/>
          <w:lang w:val="en-AU"/>
        </w:rPr>
        <w:t xml:space="preserve">relatively </w:t>
      </w:r>
      <w:r w:rsidR="00BF4157">
        <w:rPr>
          <w:rFonts w:ascii="Century Gothic" w:eastAsiaTheme="minorHAnsi" w:hAnsi="Century Gothic"/>
          <w:sz w:val="20"/>
          <w:szCs w:val="20"/>
          <w:lang w:val="en-AU"/>
        </w:rPr>
        <w:t xml:space="preserve">simple </w:t>
      </w:r>
      <w:r w:rsidR="000C704B">
        <w:rPr>
          <w:rFonts w:ascii="Century Gothic" w:eastAsiaTheme="minorHAnsi" w:hAnsi="Century Gothic"/>
          <w:sz w:val="20"/>
          <w:szCs w:val="20"/>
          <w:lang w:val="en-AU"/>
        </w:rPr>
        <w:t xml:space="preserve">classification </w:t>
      </w:r>
      <w:r w:rsidR="00493F6B">
        <w:rPr>
          <w:rFonts w:ascii="Century Gothic" w:eastAsiaTheme="minorHAnsi" w:hAnsi="Century Gothic"/>
          <w:sz w:val="20"/>
          <w:szCs w:val="20"/>
          <w:lang w:val="en-AU"/>
        </w:rPr>
        <w:t xml:space="preserve">of program characteristics </w:t>
      </w:r>
      <w:r w:rsidR="000C704B">
        <w:rPr>
          <w:rFonts w:ascii="Century Gothic" w:eastAsiaTheme="minorHAnsi" w:hAnsi="Century Gothic"/>
          <w:sz w:val="20"/>
          <w:szCs w:val="20"/>
          <w:lang w:val="en-AU"/>
        </w:rPr>
        <w:t xml:space="preserve">is a </w:t>
      </w:r>
      <w:r w:rsidR="004D7971">
        <w:rPr>
          <w:rFonts w:ascii="Century Gothic" w:eastAsiaTheme="minorHAnsi" w:hAnsi="Century Gothic"/>
          <w:sz w:val="20"/>
          <w:szCs w:val="20"/>
          <w:lang w:val="en-AU"/>
        </w:rPr>
        <w:t xml:space="preserve">continuum </w:t>
      </w:r>
      <w:r w:rsidR="000C704B">
        <w:rPr>
          <w:rFonts w:ascii="Century Gothic" w:eastAsiaTheme="minorHAnsi" w:hAnsi="Century Gothic"/>
          <w:sz w:val="20"/>
          <w:szCs w:val="20"/>
          <w:lang w:val="en-AU"/>
        </w:rPr>
        <w:t>that range</w:t>
      </w:r>
      <w:r w:rsidR="00493F6B">
        <w:rPr>
          <w:rFonts w:ascii="Century Gothic" w:eastAsiaTheme="minorHAnsi" w:hAnsi="Century Gothic"/>
          <w:sz w:val="20"/>
          <w:szCs w:val="20"/>
          <w:lang w:val="en-AU"/>
        </w:rPr>
        <w:t>s</w:t>
      </w:r>
      <w:r w:rsidR="000C704B">
        <w:rPr>
          <w:rFonts w:ascii="Century Gothic" w:eastAsiaTheme="minorHAnsi" w:hAnsi="Century Gothic"/>
          <w:sz w:val="20"/>
          <w:szCs w:val="20"/>
          <w:lang w:val="en-AU"/>
        </w:rPr>
        <w:t xml:space="preserve"> </w:t>
      </w:r>
      <w:r w:rsidR="00493F6B">
        <w:rPr>
          <w:rFonts w:ascii="Century Gothic" w:eastAsiaTheme="minorHAnsi" w:hAnsi="Century Gothic"/>
          <w:sz w:val="20"/>
          <w:szCs w:val="20"/>
          <w:lang w:val="en-AU"/>
        </w:rPr>
        <w:t xml:space="preserve">at one end </w:t>
      </w:r>
      <w:r w:rsidR="000C704B">
        <w:rPr>
          <w:rFonts w:ascii="Century Gothic" w:eastAsiaTheme="minorHAnsi" w:hAnsi="Century Gothic"/>
          <w:sz w:val="20"/>
          <w:szCs w:val="20"/>
          <w:lang w:val="en-AU"/>
        </w:rPr>
        <w:t xml:space="preserve">from </w:t>
      </w:r>
      <w:r w:rsidR="00C95A6C">
        <w:rPr>
          <w:rFonts w:ascii="Century Gothic" w:eastAsiaTheme="minorHAnsi" w:hAnsi="Century Gothic"/>
          <w:sz w:val="20"/>
          <w:szCs w:val="20"/>
          <w:lang w:val="en-AU"/>
        </w:rPr>
        <w:t>a</w:t>
      </w:r>
      <w:r w:rsidR="000C704B">
        <w:rPr>
          <w:rFonts w:ascii="Century Gothic" w:eastAsiaTheme="minorHAnsi" w:hAnsi="Century Gothic"/>
          <w:sz w:val="20"/>
          <w:szCs w:val="20"/>
          <w:lang w:val="en-AU"/>
        </w:rPr>
        <w:t xml:space="preserve"> focus on a specific area of the curriculum or function of schools</w:t>
      </w:r>
      <w:r w:rsidR="00C95A6C">
        <w:rPr>
          <w:rFonts w:ascii="Century Gothic" w:eastAsiaTheme="minorHAnsi" w:hAnsi="Century Gothic"/>
          <w:sz w:val="20"/>
          <w:szCs w:val="20"/>
          <w:lang w:val="en-AU"/>
        </w:rPr>
        <w:t xml:space="preserve"> to a broad or more comprehensive school improvement </w:t>
      </w:r>
      <w:r w:rsidR="00BB77EE">
        <w:rPr>
          <w:rFonts w:ascii="Century Gothic" w:eastAsiaTheme="minorHAnsi" w:hAnsi="Century Gothic"/>
          <w:sz w:val="20"/>
          <w:szCs w:val="20"/>
          <w:lang w:val="en-AU"/>
        </w:rPr>
        <w:t>agenda</w:t>
      </w:r>
      <w:r w:rsidR="00493F6B">
        <w:rPr>
          <w:rFonts w:ascii="Century Gothic" w:eastAsiaTheme="minorHAnsi" w:hAnsi="Century Gothic"/>
          <w:sz w:val="20"/>
          <w:szCs w:val="20"/>
          <w:lang w:val="en-AU"/>
        </w:rPr>
        <w:t xml:space="preserve"> at the other end.</w:t>
      </w:r>
    </w:p>
    <w:p w14:paraId="5734DCD2" w14:textId="036B6D6D" w:rsidR="006C7EB4" w:rsidRDefault="006A33C1" w:rsidP="00EE780E">
      <w:pPr>
        <w:spacing w:before="120" w:line="276" w:lineRule="auto"/>
        <w:ind w:left="-25"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While the choice of mode </w:t>
      </w:r>
      <w:r w:rsidR="00493F6B">
        <w:rPr>
          <w:rFonts w:ascii="Century Gothic" w:eastAsiaTheme="minorHAnsi" w:hAnsi="Century Gothic"/>
          <w:sz w:val="20"/>
          <w:szCs w:val="20"/>
          <w:lang w:val="en-AU"/>
        </w:rPr>
        <w:t>is</w:t>
      </w:r>
      <w:r>
        <w:rPr>
          <w:rFonts w:ascii="Century Gothic" w:eastAsiaTheme="minorHAnsi" w:hAnsi="Century Gothic"/>
          <w:sz w:val="20"/>
          <w:szCs w:val="20"/>
          <w:lang w:val="en-AU"/>
        </w:rPr>
        <w:t xml:space="preserve"> partly a reflection of the NGRB size and context, the continuum does suggest a framework for decision making</w:t>
      </w:r>
      <w:r w:rsidR="00BB77EE">
        <w:rPr>
          <w:rFonts w:ascii="Century Gothic" w:eastAsiaTheme="minorHAnsi" w:hAnsi="Century Gothic"/>
          <w:sz w:val="20"/>
          <w:szCs w:val="20"/>
          <w:lang w:val="en-AU"/>
        </w:rPr>
        <w:t xml:space="preserve"> – what balance is</w:t>
      </w:r>
      <w:r w:rsidR="00171DB4">
        <w:rPr>
          <w:rFonts w:ascii="Century Gothic" w:eastAsiaTheme="minorHAnsi" w:hAnsi="Century Gothic"/>
          <w:sz w:val="20"/>
          <w:szCs w:val="20"/>
          <w:lang w:val="en-AU"/>
        </w:rPr>
        <w:t xml:space="preserve"> desirable between the two perspectives</w:t>
      </w:r>
      <w:r w:rsidR="00BB77EE">
        <w:rPr>
          <w:rFonts w:ascii="Century Gothic" w:eastAsiaTheme="minorHAnsi" w:hAnsi="Century Gothic"/>
          <w:sz w:val="20"/>
          <w:szCs w:val="20"/>
          <w:lang w:val="en-AU"/>
        </w:rPr>
        <w:t>; what has the widest reach to schools; wh</w:t>
      </w:r>
      <w:r w:rsidR="007C7FAF">
        <w:rPr>
          <w:rFonts w:ascii="Century Gothic" w:eastAsiaTheme="minorHAnsi" w:hAnsi="Century Gothic"/>
          <w:sz w:val="20"/>
          <w:szCs w:val="20"/>
          <w:lang w:val="en-AU"/>
        </w:rPr>
        <w:t>ich will build sustainability?</w:t>
      </w:r>
    </w:p>
    <w:p w14:paraId="0FCCE04B" w14:textId="4F3F4D79" w:rsidR="006C7EB4" w:rsidRDefault="00C95A6C" w:rsidP="00EE780E">
      <w:pPr>
        <w:spacing w:before="120" w:line="276" w:lineRule="auto"/>
        <w:ind w:left="-25"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For example, a</w:t>
      </w:r>
      <w:r w:rsidR="004D7971">
        <w:rPr>
          <w:rFonts w:ascii="Century Gothic" w:eastAsiaTheme="minorHAnsi" w:hAnsi="Century Gothic"/>
          <w:sz w:val="20"/>
          <w:szCs w:val="20"/>
          <w:lang w:val="en-AU"/>
        </w:rPr>
        <w:t xml:space="preserve">t one end the </w:t>
      </w:r>
      <w:r w:rsidR="00935D6A">
        <w:rPr>
          <w:rFonts w:ascii="Century Gothic" w:eastAsiaTheme="minorHAnsi" w:hAnsi="Century Gothic"/>
          <w:sz w:val="20"/>
          <w:szCs w:val="20"/>
          <w:lang w:val="en-AU"/>
        </w:rPr>
        <w:t>CEC</w:t>
      </w:r>
      <w:r w:rsidR="004D7971">
        <w:rPr>
          <w:rFonts w:ascii="Century Gothic" w:eastAsiaTheme="minorHAnsi" w:hAnsi="Century Gothic"/>
          <w:sz w:val="20"/>
          <w:szCs w:val="20"/>
          <w:lang w:val="en-AU"/>
        </w:rPr>
        <w:t>V</w:t>
      </w:r>
      <w:r w:rsidR="006C7EB4">
        <w:rPr>
          <w:rFonts w:ascii="Century Gothic" w:eastAsiaTheme="minorHAnsi" w:hAnsi="Century Gothic"/>
          <w:sz w:val="20"/>
          <w:szCs w:val="20"/>
          <w:lang w:val="en-AU"/>
        </w:rPr>
        <w:t xml:space="preserve"> determined that it would use the funds to support two specific </w:t>
      </w:r>
      <w:r w:rsidR="00041C36">
        <w:rPr>
          <w:rFonts w:ascii="Century Gothic" w:eastAsiaTheme="minorHAnsi" w:hAnsi="Century Gothic"/>
          <w:sz w:val="20"/>
          <w:szCs w:val="20"/>
          <w:lang w:val="en-AU"/>
        </w:rPr>
        <w:t xml:space="preserve">curriculum </w:t>
      </w:r>
      <w:r w:rsidR="006C7EB4">
        <w:rPr>
          <w:rFonts w:ascii="Century Gothic" w:eastAsiaTheme="minorHAnsi" w:hAnsi="Century Gothic"/>
          <w:sz w:val="20"/>
          <w:szCs w:val="20"/>
          <w:lang w:val="en-AU"/>
        </w:rPr>
        <w:t xml:space="preserve">programs – </w:t>
      </w:r>
      <w:r w:rsidR="006C7EB4" w:rsidRPr="006766CA">
        <w:rPr>
          <w:rFonts w:ascii="Century Gothic" w:eastAsiaTheme="minorHAnsi" w:hAnsi="Century Gothic"/>
          <w:i/>
          <w:sz w:val="20"/>
          <w:szCs w:val="20"/>
          <w:lang w:val="en-AU"/>
        </w:rPr>
        <w:t>Leading Languages Learning in Catholic Schools Initiative</w:t>
      </w:r>
      <w:r w:rsidR="006C7EB4" w:rsidRPr="006766CA">
        <w:rPr>
          <w:rFonts w:ascii="Century Gothic" w:eastAsiaTheme="minorHAnsi" w:hAnsi="Century Gothic"/>
          <w:sz w:val="20"/>
          <w:szCs w:val="20"/>
          <w:lang w:val="en-AU"/>
        </w:rPr>
        <w:t xml:space="preserve"> and </w:t>
      </w:r>
      <w:r w:rsidR="006C7EB4" w:rsidRPr="006766CA">
        <w:rPr>
          <w:rFonts w:ascii="Century Gothic" w:eastAsiaTheme="minorHAnsi" w:hAnsi="Century Gothic"/>
          <w:i/>
          <w:sz w:val="20"/>
          <w:szCs w:val="20"/>
          <w:lang w:val="en-AU"/>
        </w:rPr>
        <w:t>Auspiced Training and Industry Partnership</w:t>
      </w:r>
      <w:r w:rsidR="006C7EB4" w:rsidRPr="006766CA">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T</w:t>
      </w:r>
      <w:r w:rsidR="006C7EB4">
        <w:rPr>
          <w:rFonts w:ascii="Century Gothic" w:eastAsiaTheme="minorHAnsi" w:hAnsi="Century Gothic"/>
          <w:sz w:val="20"/>
          <w:szCs w:val="20"/>
          <w:lang w:val="en-AU"/>
        </w:rPr>
        <w:t>hese two programs were chosen in part because they were areas of need but also because they were programs that applied across the 4 dioceses in Victoria</w:t>
      </w:r>
      <w:r w:rsidR="004E7033">
        <w:rPr>
          <w:rFonts w:ascii="Century Gothic" w:eastAsiaTheme="minorHAnsi" w:hAnsi="Century Gothic"/>
          <w:sz w:val="20"/>
          <w:szCs w:val="20"/>
          <w:lang w:val="en-AU"/>
        </w:rPr>
        <w:t xml:space="preserve"> and avoided duplication</w:t>
      </w:r>
      <w:r w:rsidR="007C7FAF">
        <w:rPr>
          <w:rFonts w:ascii="Century Gothic" w:eastAsiaTheme="minorHAnsi" w:hAnsi="Century Gothic"/>
          <w:sz w:val="20"/>
          <w:szCs w:val="20"/>
          <w:lang w:val="en-AU"/>
        </w:rPr>
        <w:t>.</w:t>
      </w:r>
    </w:p>
    <w:p w14:paraId="4A68C5DA" w14:textId="02A310A3" w:rsidR="00F534C7" w:rsidRDefault="00F534C7"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lastRenderedPageBreak/>
        <w:t xml:space="preserve">The other end of the continuum is where NGRB’s have implemented </w:t>
      </w:r>
      <w:r w:rsidRPr="00B977E4">
        <w:rPr>
          <w:rFonts w:ascii="Century Gothic" w:eastAsiaTheme="minorHAnsi" w:hAnsi="Century Gothic"/>
          <w:sz w:val="20"/>
          <w:szCs w:val="20"/>
          <w:lang w:val="en-AU"/>
        </w:rPr>
        <w:t>broad approaches to school and system improvement.</w:t>
      </w:r>
    </w:p>
    <w:p w14:paraId="41C55AB0" w14:textId="2F347045" w:rsidR="006C7EB4" w:rsidRDefault="00F534C7"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For example</w:t>
      </w:r>
      <w:r w:rsidR="006C7EB4">
        <w:rPr>
          <w:rFonts w:ascii="Century Gothic" w:eastAsiaTheme="minorHAnsi" w:hAnsi="Century Gothic"/>
          <w:sz w:val="20"/>
          <w:szCs w:val="20"/>
          <w:lang w:val="en-AU"/>
        </w:rPr>
        <w:t xml:space="preserve"> </w:t>
      </w:r>
      <w:r w:rsidR="00935D6A">
        <w:rPr>
          <w:rFonts w:ascii="Century Gothic" w:eastAsiaTheme="minorHAnsi" w:hAnsi="Century Gothic"/>
          <w:sz w:val="20"/>
          <w:szCs w:val="20"/>
          <w:lang w:val="en-AU"/>
        </w:rPr>
        <w:t>AISSA</w:t>
      </w:r>
      <w:r w:rsidR="004D7971">
        <w:rPr>
          <w:rFonts w:ascii="Century Gothic" w:eastAsiaTheme="minorHAnsi" w:hAnsi="Century Gothic"/>
          <w:sz w:val="20"/>
          <w:szCs w:val="20"/>
          <w:lang w:val="en-AU"/>
        </w:rPr>
        <w:t xml:space="preserve"> has utilised 80 per cent</w:t>
      </w:r>
      <w:r w:rsidR="006C7EB4">
        <w:rPr>
          <w:rFonts w:ascii="Century Gothic" w:eastAsiaTheme="minorHAnsi" w:hAnsi="Century Gothic"/>
          <w:sz w:val="20"/>
          <w:szCs w:val="20"/>
          <w:lang w:val="en-AU"/>
        </w:rPr>
        <w:t xml:space="preserve"> of the SFSF funds in the employment of staff to work closely with leadership teams in schools focusing on school improvement in the context of individual schools.  Support is also given for national reforms such as the AITSL Performance and Development Framework but the emphasis is on longer-term engagement with teams at the school level.</w:t>
      </w:r>
    </w:p>
    <w:p w14:paraId="4B34E9AE" w14:textId="4F7D7A81" w:rsidR="006C7EB4" w:rsidRDefault="00BF4157"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w:t>
      </w:r>
      <w:r w:rsidR="006C7EB4">
        <w:rPr>
          <w:rFonts w:ascii="Century Gothic" w:eastAsiaTheme="minorHAnsi" w:hAnsi="Century Gothic"/>
          <w:sz w:val="20"/>
          <w:szCs w:val="20"/>
          <w:lang w:val="en-AU"/>
        </w:rPr>
        <w:t xml:space="preserve"> number of other jurisdictions also operate along the </w:t>
      </w:r>
      <w:r w:rsidR="00935D6A">
        <w:rPr>
          <w:rFonts w:ascii="Century Gothic" w:eastAsiaTheme="minorHAnsi" w:hAnsi="Century Gothic"/>
          <w:sz w:val="20"/>
          <w:szCs w:val="20"/>
          <w:lang w:val="en-AU"/>
        </w:rPr>
        <w:t>AISSA</w:t>
      </w:r>
      <w:r w:rsidR="006C7EB4">
        <w:rPr>
          <w:rFonts w:ascii="Century Gothic" w:eastAsiaTheme="minorHAnsi" w:hAnsi="Century Gothic"/>
          <w:sz w:val="20"/>
          <w:szCs w:val="20"/>
          <w:lang w:val="en-AU"/>
        </w:rPr>
        <w:t xml:space="preserve"> lines either as their main approach (</w:t>
      </w:r>
      <w:r w:rsidR="00935D6A">
        <w:rPr>
          <w:rFonts w:ascii="Century Gothic" w:eastAsiaTheme="minorHAnsi" w:hAnsi="Century Gothic"/>
          <w:sz w:val="20"/>
          <w:szCs w:val="20"/>
          <w:lang w:val="en-AU"/>
        </w:rPr>
        <w:t>ITS</w:t>
      </w:r>
      <w:r w:rsidR="006C7EB4">
        <w:rPr>
          <w:rFonts w:ascii="Century Gothic" w:eastAsiaTheme="minorHAnsi" w:hAnsi="Century Gothic"/>
          <w:sz w:val="20"/>
          <w:szCs w:val="20"/>
          <w:lang w:val="en-AU"/>
        </w:rPr>
        <w:t>) or as a part of their operation (</w:t>
      </w:r>
      <w:r>
        <w:rPr>
          <w:rFonts w:ascii="Century Gothic" w:eastAsiaTheme="minorHAnsi" w:hAnsi="Century Gothic"/>
          <w:sz w:val="20"/>
          <w:szCs w:val="20"/>
          <w:lang w:val="en-AU"/>
        </w:rPr>
        <w:t xml:space="preserve">e.g. </w:t>
      </w:r>
      <w:r w:rsidR="00935D6A">
        <w:rPr>
          <w:rFonts w:ascii="Century Gothic" w:eastAsiaTheme="minorHAnsi" w:hAnsi="Century Gothic"/>
          <w:sz w:val="20"/>
          <w:szCs w:val="20"/>
          <w:lang w:val="en-AU"/>
        </w:rPr>
        <w:t>ISV</w:t>
      </w:r>
      <w:r>
        <w:rPr>
          <w:rFonts w:ascii="Century Gothic" w:eastAsiaTheme="minorHAnsi" w:hAnsi="Century Gothic"/>
          <w:sz w:val="20"/>
          <w:szCs w:val="20"/>
          <w:lang w:val="en-AU"/>
        </w:rPr>
        <w:t>, AIS NSW, ISQ</w:t>
      </w:r>
      <w:r w:rsidR="006C7EB4">
        <w:rPr>
          <w:rFonts w:ascii="Century Gothic" w:eastAsiaTheme="minorHAnsi" w:hAnsi="Century Gothic"/>
          <w:sz w:val="20"/>
          <w:szCs w:val="20"/>
          <w:lang w:val="en-AU"/>
        </w:rPr>
        <w:t>).</w:t>
      </w:r>
    </w:p>
    <w:p w14:paraId="09C3D9CA" w14:textId="23672923" w:rsidR="004D7971" w:rsidRDefault="00F534C7"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 an example of an emphasis on system change and improvement </w:t>
      </w:r>
      <w:r w:rsidR="00935D6A">
        <w:rPr>
          <w:rFonts w:ascii="Century Gothic" w:eastAsiaTheme="minorHAnsi" w:hAnsi="Century Gothic"/>
          <w:sz w:val="20"/>
          <w:szCs w:val="20"/>
          <w:lang w:val="en-AU"/>
        </w:rPr>
        <w:t xml:space="preserve">CESA </w:t>
      </w:r>
      <w:r>
        <w:rPr>
          <w:rFonts w:ascii="Century Gothic" w:eastAsiaTheme="minorHAnsi" w:hAnsi="Century Gothic"/>
          <w:sz w:val="20"/>
          <w:szCs w:val="20"/>
          <w:lang w:val="en-AU"/>
        </w:rPr>
        <w:t>identified t</w:t>
      </w:r>
      <w:r w:rsidR="006C7EB4">
        <w:rPr>
          <w:rFonts w:ascii="Century Gothic" w:eastAsiaTheme="minorHAnsi" w:hAnsi="Century Gothic"/>
          <w:sz w:val="20"/>
          <w:szCs w:val="20"/>
          <w:lang w:val="en-AU"/>
        </w:rPr>
        <w:t>hree prioriti</w:t>
      </w:r>
      <w:r w:rsidR="00C95A6C">
        <w:rPr>
          <w:rFonts w:ascii="Century Gothic" w:eastAsiaTheme="minorHAnsi" w:hAnsi="Century Gothic"/>
          <w:sz w:val="20"/>
          <w:szCs w:val="20"/>
          <w:lang w:val="en-AU"/>
        </w:rPr>
        <w:t xml:space="preserve">es after 2014 one of which was </w:t>
      </w:r>
      <w:r w:rsidR="006C7EB4" w:rsidRPr="00C95A6C">
        <w:rPr>
          <w:rFonts w:ascii="Century Gothic" w:eastAsiaTheme="minorHAnsi" w:hAnsi="Century Gothic"/>
          <w:i/>
          <w:sz w:val="20"/>
          <w:szCs w:val="20"/>
          <w:lang w:val="en-AU"/>
        </w:rPr>
        <w:t>Leading Catholic Education to New Levels of Excellence</w:t>
      </w:r>
      <w:r w:rsidR="006C7EB4" w:rsidRPr="00C95A6C">
        <w:rPr>
          <w:rFonts w:ascii="MS Gothic" w:eastAsia="MS Gothic" w:hAnsi="MS Gothic" w:cs="MS Gothic" w:hint="eastAsia"/>
          <w:sz w:val="20"/>
          <w:szCs w:val="20"/>
          <w:lang w:val="en-AU"/>
        </w:rPr>
        <w:t> </w:t>
      </w:r>
      <w:r w:rsidR="006C7EB4" w:rsidRPr="00C95A6C">
        <w:rPr>
          <w:rFonts w:ascii="Century Gothic" w:eastAsiaTheme="minorHAnsi" w:hAnsi="Century Gothic"/>
          <w:sz w:val="20"/>
          <w:szCs w:val="20"/>
          <w:lang w:val="en-AU"/>
        </w:rPr>
        <w:t>- which included moving Year 7s to secondary schools (ahead of the government system), a new funding formula and a review of Catholic Education provision</w:t>
      </w:r>
      <w:r w:rsidR="00C95A6C">
        <w:rPr>
          <w:rFonts w:ascii="Century Gothic" w:eastAsiaTheme="minorHAnsi" w:hAnsi="Century Gothic"/>
          <w:sz w:val="20"/>
          <w:szCs w:val="20"/>
          <w:lang w:val="en-AU"/>
        </w:rPr>
        <w:t>.</w:t>
      </w:r>
    </w:p>
    <w:p w14:paraId="2407C5A5" w14:textId="596DADF5" w:rsidR="00031490" w:rsidRDefault="00BF4157" w:rsidP="00EE780E">
      <w:pPr>
        <w:spacing w:before="12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Some initiatives </w:t>
      </w:r>
      <w:r w:rsidR="00031490">
        <w:rPr>
          <w:rFonts w:ascii="Century Gothic" w:eastAsiaTheme="minorHAnsi" w:hAnsi="Century Gothic"/>
          <w:sz w:val="20"/>
          <w:szCs w:val="20"/>
          <w:lang w:val="en-AU"/>
        </w:rPr>
        <w:t>sit midway between</w:t>
      </w:r>
      <w:r>
        <w:rPr>
          <w:rFonts w:ascii="Century Gothic" w:eastAsiaTheme="minorHAnsi" w:hAnsi="Century Gothic"/>
          <w:sz w:val="20"/>
          <w:szCs w:val="20"/>
          <w:lang w:val="en-AU"/>
        </w:rPr>
        <w:t xml:space="preserve"> the two ends of the continuum- such as the </w:t>
      </w:r>
      <w:r w:rsidR="00031490">
        <w:rPr>
          <w:rFonts w:ascii="Century Gothic" w:eastAsiaTheme="minorHAnsi" w:hAnsi="Century Gothic"/>
          <w:sz w:val="20"/>
          <w:szCs w:val="20"/>
          <w:lang w:val="en-AU"/>
        </w:rPr>
        <w:t>ISQ L</w:t>
      </w:r>
      <w:r>
        <w:rPr>
          <w:rFonts w:ascii="Century Gothic" w:eastAsiaTheme="minorHAnsi" w:hAnsi="Century Gothic"/>
          <w:sz w:val="20"/>
          <w:szCs w:val="20"/>
          <w:lang w:val="en-AU"/>
        </w:rPr>
        <w:t>i</w:t>
      </w:r>
      <w:r w:rsidR="00031490">
        <w:rPr>
          <w:rFonts w:ascii="Century Gothic" w:eastAsiaTheme="minorHAnsi" w:hAnsi="Century Gothic"/>
          <w:sz w:val="20"/>
          <w:szCs w:val="20"/>
          <w:lang w:val="en-AU"/>
        </w:rPr>
        <w:t xml:space="preserve">teracy and Numeracy Coaching Academy. </w:t>
      </w:r>
      <w:r>
        <w:rPr>
          <w:rFonts w:ascii="Century Gothic" w:eastAsiaTheme="minorHAnsi" w:hAnsi="Century Gothic"/>
          <w:sz w:val="20"/>
          <w:szCs w:val="20"/>
          <w:lang w:val="en-AU"/>
        </w:rPr>
        <w:t xml:space="preserve"> </w:t>
      </w:r>
      <w:r w:rsidR="00493F6B">
        <w:rPr>
          <w:rFonts w:ascii="Century Gothic" w:eastAsiaTheme="minorHAnsi" w:hAnsi="Century Gothic"/>
          <w:sz w:val="20"/>
          <w:szCs w:val="20"/>
          <w:lang w:val="en-AU"/>
        </w:rPr>
        <w:t xml:space="preserve">Larger NGRB have the capacity to offer a range of initiatives along the continuum; smaller NGRB </w:t>
      </w:r>
      <w:r w:rsidR="005B53FF">
        <w:rPr>
          <w:rFonts w:ascii="Century Gothic" w:eastAsiaTheme="minorHAnsi" w:hAnsi="Century Gothic"/>
          <w:sz w:val="20"/>
          <w:szCs w:val="20"/>
          <w:lang w:val="en-AU"/>
        </w:rPr>
        <w:t xml:space="preserve">have to make a choice and </w:t>
      </w:r>
      <w:r w:rsidR="00493F6B">
        <w:rPr>
          <w:rFonts w:ascii="Century Gothic" w:eastAsiaTheme="minorHAnsi" w:hAnsi="Century Gothic"/>
          <w:sz w:val="20"/>
          <w:szCs w:val="20"/>
          <w:lang w:val="en-AU"/>
        </w:rPr>
        <w:t>would be advised to concentrate their resources in</w:t>
      </w:r>
      <w:r w:rsidR="007C7FAF">
        <w:rPr>
          <w:rFonts w:ascii="Century Gothic" w:eastAsiaTheme="minorHAnsi" w:hAnsi="Century Gothic"/>
          <w:sz w:val="20"/>
          <w:szCs w:val="20"/>
          <w:lang w:val="en-AU"/>
        </w:rPr>
        <w:t xml:space="preserve"> a narrower band of programs.</w:t>
      </w:r>
    </w:p>
    <w:p w14:paraId="52A131F6" w14:textId="125C2FD8" w:rsidR="00B977E4" w:rsidRPr="00B977E4" w:rsidRDefault="002A2C8B" w:rsidP="00EE780E">
      <w:pPr>
        <w:spacing w:before="12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Figure </w:t>
      </w:r>
      <w:r w:rsidR="00C453CD">
        <w:rPr>
          <w:rFonts w:ascii="Century Gothic" w:eastAsiaTheme="minorHAnsi" w:hAnsi="Century Gothic"/>
          <w:sz w:val="20"/>
          <w:szCs w:val="20"/>
          <w:lang w:val="en-AU"/>
        </w:rPr>
        <w:t>5</w:t>
      </w:r>
      <w:r>
        <w:rPr>
          <w:rFonts w:ascii="Century Gothic" w:eastAsiaTheme="minorHAnsi" w:hAnsi="Century Gothic"/>
          <w:sz w:val="20"/>
          <w:szCs w:val="20"/>
          <w:lang w:val="en-AU"/>
        </w:rPr>
        <w:t xml:space="preserve"> illustrates </w:t>
      </w:r>
      <w:r w:rsidR="00031490">
        <w:rPr>
          <w:rFonts w:ascii="Century Gothic" w:eastAsiaTheme="minorHAnsi" w:hAnsi="Century Gothic"/>
          <w:sz w:val="20"/>
          <w:szCs w:val="20"/>
          <w:lang w:val="en-AU"/>
        </w:rPr>
        <w:t xml:space="preserve">where </w:t>
      </w:r>
      <w:r>
        <w:rPr>
          <w:rFonts w:ascii="Century Gothic" w:eastAsiaTheme="minorHAnsi" w:hAnsi="Century Gothic"/>
          <w:sz w:val="20"/>
          <w:szCs w:val="20"/>
          <w:lang w:val="en-AU"/>
        </w:rPr>
        <w:t xml:space="preserve">a sample of NGRB activities </w:t>
      </w:r>
      <w:r w:rsidR="00031490">
        <w:rPr>
          <w:rFonts w:ascii="Century Gothic" w:eastAsiaTheme="minorHAnsi" w:hAnsi="Century Gothic"/>
          <w:sz w:val="20"/>
          <w:szCs w:val="20"/>
          <w:lang w:val="en-AU"/>
        </w:rPr>
        <w:t>are</w:t>
      </w:r>
      <w:r>
        <w:rPr>
          <w:rFonts w:ascii="Century Gothic" w:eastAsiaTheme="minorHAnsi" w:hAnsi="Century Gothic"/>
          <w:sz w:val="20"/>
          <w:szCs w:val="20"/>
          <w:lang w:val="en-AU"/>
        </w:rPr>
        <w:t xml:space="preserve"> placed on this continuum</w:t>
      </w:r>
      <w:r w:rsidR="00C95A6C">
        <w:rPr>
          <w:rFonts w:ascii="Century Gothic" w:eastAsiaTheme="minorHAnsi" w:hAnsi="Century Gothic"/>
          <w:sz w:val="20"/>
          <w:szCs w:val="20"/>
          <w:lang w:val="en-AU"/>
        </w:rPr>
        <w:t>.</w:t>
      </w:r>
    </w:p>
    <w:p w14:paraId="087C0392" w14:textId="4FD09505" w:rsidR="00952BD5" w:rsidRDefault="00952BD5" w:rsidP="00751344">
      <w:pPr>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t xml:space="preserve">Fig </w:t>
      </w:r>
      <w:r w:rsidR="00C453CD" w:rsidRPr="00751344">
        <w:rPr>
          <w:rFonts w:ascii="Century Gothic" w:eastAsiaTheme="minorHAnsi" w:hAnsi="Century Gothic"/>
          <w:b/>
          <w:color w:val="4F81BD" w:themeColor="accent1"/>
          <w:sz w:val="20"/>
          <w:szCs w:val="20"/>
          <w:lang w:val="en-AU"/>
        </w:rPr>
        <w:t>5</w:t>
      </w:r>
      <w:r w:rsidRPr="00751344">
        <w:rPr>
          <w:rFonts w:ascii="Century Gothic" w:eastAsiaTheme="minorHAnsi" w:hAnsi="Century Gothic"/>
          <w:b/>
          <w:color w:val="4F81BD" w:themeColor="accent1"/>
          <w:sz w:val="20"/>
          <w:szCs w:val="20"/>
          <w:lang w:val="en-AU"/>
        </w:rPr>
        <w:t>:</w:t>
      </w:r>
      <w:r w:rsidRPr="00751344">
        <w:rPr>
          <w:rFonts w:ascii="Century Gothic" w:eastAsiaTheme="minorHAnsi" w:hAnsi="Century Gothic"/>
          <w:b/>
          <w:color w:val="4F81BD" w:themeColor="accent1"/>
          <w:sz w:val="20"/>
          <w:szCs w:val="20"/>
          <w:lang w:val="en-AU"/>
        </w:rPr>
        <w:tab/>
      </w:r>
      <w:r w:rsidR="00C95A6C" w:rsidRPr="00751344">
        <w:rPr>
          <w:rFonts w:ascii="Century Gothic" w:eastAsiaTheme="minorHAnsi" w:hAnsi="Century Gothic"/>
          <w:b/>
          <w:color w:val="4F81BD" w:themeColor="accent1"/>
          <w:sz w:val="20"/>
          <w:szCs w:val="20"/>
          <w:lang w:val="en-AU"/>
        </w:rPr>
        <w:t xml:space="preserve">Program Characteristics - </w:t>
      </w:r>
      <w:r w:rsidRPr="00751344">
        <w:rPr>
          <w:rFonts w:ascii="Century Gothic" w:eastAsiaTheme="minorHAnsi" w:hAnsi="Century Gothic"/>
          <w:b/>
          <w:color w:val="4F81BD" w:themeColor="accent1"/>
          <w:sz w:val="20"/>
          <w:szCs w:val="20"/>
          <w:lang w:val="en-AU"/>
        </w:rPr>
        <w:t xml:space="preserve">SFSF </w:t>
      </w:r>
      <w:r w:rsidR="006804E7" w:rsidRPr="00751344">
        <w:rPr>
          <w:rFonts w:ascii="Century Gothic" w:eastAsiaTheme="minorHAnsi" w:hAnsi="Century Gothic"/>
          <w:b/>
          <w:color w:val="4F81BD" w:themeColor="accent1"/>
          <w:sz w:val="20"/>
          <w:szCs w:val="20"/>
          <w:lang w:val="en-AU"/>
        </w:rPr>
        <w:t>activities</w:t>
      </w:r>
    </w:p>
    <w:p w14:paraId="1046D1E1" w14:textId="617F1344" w:rsidR="005425D6" w:rsidRDefault="005425D6" w:rsidP="00751344">
      <w:pPr>
        <w:spacing w:after="120" w:line="276" w:lineRule="auto"/>
        <w:ind w:right="-340"/>
        <w:jc w:val="both"/>
        <w:rPr>
          <w:rFonts w:ascii="Century Gothic" w:eastAsiaTheme="minorHAnsi" w:hAnsi="Century Gothic"/>
          <w:b/>
          <w:color w:val="4F81BD" w:themeColor="accent1"/>
          <w:sz w:val="20"/>
          <w:szCs w:val="20"/>
          <w:lang w:val="en-AU"/>
        </w:rPr>
      </w:pPr>
      <w:r>
        <w:rPr>
          <w:rFonts w:ascii="Century Gothic" w:eastAsiaTheme="minorHAnsi" w:hAnsi="Century Gothic"/>
          <w:b/>
          <w:noProof/>
          <w:color w:val="4F81BD" w:themeColor="accent1"/>
          <w:sz w:val="20"/>
          <w:szCs w:val="20"/>
          <w:lang w:val="en-AU" w:eastAsia="en-AU"/>
        </w:rPr>
        <w:drawing>
          <wp:inline distT="0" distB="0" distL="0" distR="0" wp14:anchorId="6A4A02B2" wp14:editId="782F4934">
            <wp:extent cx="5486400" cy="3913834"/>
            <wp:effectExtent l="0" t="0" r="0" b="0"/>
            <wp:docPr id="20" name="Picture 20" descr="This graph shows a sample of SFSF activities." title="Fig 5: Program Characteristics - SFSF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913834"/>
                    </a:xfrm>
                    <a:prstGeom prst="rect">
                      <a:avLst/>
                    </a:prstGeom>
                    <a:noFill/>
                    <a:ln>
                      <a:noFill/>
                    </a:ln>
                  </pic:spPr>
                </pic:pic>
              </a:graphicData>
            </a:graphic>
          </wp:inline>
        </w:drawing>
      </w:r>
    </w:p>
    <w:p w14:paraId="7119354F" w14:textId="587CD440" w:rsidR="00952BD5" w:rsidRPr="00EE780E" w:rsidRDefault="00952BD5" w:rsidP="007C7FAF">
      <w:pPr>
        <w:keepNext/>
        <w:spacing w:before="120" w:after="120" w:line="276" w:lineRule="auto"/>
        <w:ind w:right="-340"/>
        <w:jc w:val="both"/>
        <w:rPr>
          <w:rFonts w:ascii="Century Gothic" w:eastAsiaTheme="minorHAnsi" w:hAnsi="Century Gothic"/>
          <w:b/>
          <w:bCs/>
          <w:iCs/>
          <w:color w:val="4F81BD" w:themeColor="accent1"/>
          <w:sz w:val="20"/>
          <w:szCs w:val="20"/>
          <w:lang w:val="en-AU"/>
        </w:rPr>
      </w:pPr>
      <w:bookmarkStart w:id="36" w:name="_Toc472261236"/>
      <w:bookmarkStart w:id="37" w:name="_Toc472262579"/>
      <w:bookmarkStart w:id="38" w:name="_Toc472263262"/>
      <w:bookmarkStart w:id="39" w:name="_Toc346123954"/>
      <w:r w:rsidRPr="00EE780E">
        <w:rPr>
          <w:rFonts w:ascii="Century Gothic" w:eastAsiaTheme="minorHAnsi" w:hAnsi="Century Gothic"/>
          <w:b/>
          <w:bCs/>
          <w:iCs/>
          <w:color w:val="4F81BD" w:themeColor="accent1"/>
          <w:sz w:val="20"/>
          <w:szCs w:val="20"/>
          <w:lang w:val="en-AU"/>
        </w:rPr>
        <w:lastRenderedPageBreak/>
        <w:t xml:space="preserve">NGRB </w:t>
      </w:r>
      <w:r w:rsidR="00F534C7" w:rsidRPr="00EE780E">
        <w:rPr>
          <w:rFonts w:ascii="Century Gothic" w:eastAsiaTheme="minorHAnsi" w:hAnsi="Century Gothic"/>
          <w:b/>
          <w:bCs/>
          <w:iCs/>
          <w:color w:val="4F81BD" w:themeColor="accent1"/>
          <w:sz w:val="20"/>
          <w:szCs w:val="20"/>
          <w:lang w:val="en-AU"/>
        </w:rPr>
        <w:t>c</w:t>
      </w:r>
      <w:r w:rsidRPr="00EE780E">
        <w:rPr>
          <w:rFonts w:ascii="Century Gothic" w:eastAsiaTheme="minorHAnsi" w:hAnsi="Century Gothic"/>
          <w:b/>
          <w:bCs/>
          <w:iCs/>
          <w:color w:val="4F81BD" w:themeColor="accent1"/>
          <w:sz w:val="20"/>
          <w:szCs w:val="20"/>
          <w:lang w:val="en-AU"/>
        </w:rPr>
        <w:t>apacity and capability</w:t>
      </w:r>
      <w:bookmarkEnd w:id="36"/>
      <w:bookmarkEnd w:id="37"/>
      <w:bookmarkEnd w:id="38"/>
      <w:bookmarkEnd w:id="39"/>
    </w:p>
    <w:p w14:paraId="1F6A76F5" w14:textId="6069E85A" w:rsidR="00801C49" w:rsidRDefault="00926C4F" w:rsidP="007C7FAF">
      <w:pPr>
        <w:keepNext/>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 major focus for NGRBs was on </w:t>
      </w:r>
      <w:r w:rsidR="00171DB4">
        <w:rPr>
          <w:rFonts w:ascii="Century Gothic" w:eastAsiaTheme="minorHAnsi" w:hAnsi="Century Gothic"/>
          <w:sz w:val="20"/>
          <w:szCs w:val="20"/>
          <w:lang w:val="en-AU"/>
        </w:rPr>
        <w:t xml:space="preserve">building their capacity and </w:t>
      </w:r>
      <w:r>
        <w:rPr>
          <w:rFonts w:ascii="Century Gothic" w:eastAsiaTheme="minorHAnsi" w:hAnsi="Century Gothic"/>
          <w:sz w:val="20"/>
          <w:szCs w:val="20"/>
          <w:lang w:val="en-AU"/>
        </w:rPr>
        <w:t>capability for i</w:t>
      </w:r>
      <w:r w:rsidR="007C7FAF">
        <w:rPr>
          <w:rFonts w:ascii="Century Gothic" w:eastAsiaTheme="minorHAnsi" w:hAnsi="Century Gothic"/>
          <w:sz w:val="20"/>
          <w:szCs w:val="20"/>
          <w:lang w:val="en-AU"/>
        </w:rPr>
        <w:t xml:space="preserve">mplementing SFSF initiatives. </w:t>
      </w:r>
      <w:r w:rsidR="00801C49">
        <w:rPr>
          <w:rFonts w:ascii="Century Gothic" w:eastAsiaTheme="minorHAnsi" w:hAnsi="Century Gothic"/>
          <w:sz w:val="20"/>
          <w:szCs w:val="20"/>
          <w:lang w:val="en-AU"/>
        </w:rPr>
        <w:t>(The NGRB profiles in Part 2 provide details of</w:t>
      </w:r>
      <w:r w:rsidR="004E7033">
        <w:rPr>
          <w:rFonts w:ascii="Century Gothic" w:eastAsiaTheme="minorHAnsi" w:hAnsi="Century Gothic"/>
          <w:sz w:val="20"/>
          <w:szCs w:val="20"/>
          <w:lang w:val="en-AU"/>
        </w:rPr>
        <w:t xml:space="preserve"> the</w:t>
      </w:r>
      <w:r w:rsidR="00801C49">
        <w:rPr>
          <w:rFonts w:ascii="Century Gothic" w:eastAsiaTheme="minorHAnsi" w:hAnsi="Century Gothic"/>
          <w:sz w:val="20"/>
          <w:szCs w:val="20"/>
          <w:lang w:val="en-AU"/>
        </w:rPr>
        <w:t xml:space="preserve"> NGRB staff </w:t>
      </w:r>
      <w:r w:rsidR="004E7033">
        <w:rPr>
          <w:rFonts w:ascii="Century Gothic" w:eastAsiaTheme="minorHAnsi" w:hAnsi="Century Gothic"/>
          <w:sz w:val="20"/>
          <w:szCs w:val="20"/>
          <w:lang w:val="en-AU"/>
        </w:rPr>
        <w:t xml:space="preserve">that support </w:t>
      </w:r>
      <w:r w:rsidR="00801C49">
        <w:rPr>
          <w:rFonts w:ascii="Century Gothic" w:eastAsiaTheme="minorHAnsi" w:hAnsi="Century Gothic"/>
          <w:sz w:val="20"/>
          <w:szCs w:val="20"/>
          <w:lang w:val="en-AU"/>
        </w:rPr>
        <w:t>SFSF initiatives.)</w:t>
      </w:r>
    </w:p>
    <w:p w14:paraId="0EA8C82E" w14:textId="5BD7ACB1" w:rsidR="00926C4F" w:rsidRDefault="00926C4F"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indicated they have become increasingly selective about the characteristics they sought when employing staff with educational expert</w:t>
      </w:r>
      <w:r w:rsidR="005B53FF">
        <w:rPr>
          <w:rFonts w:ascii="Century Gothic" w:eastAsiaTheme="minorHAnsi" w:hAnsi="Century Gothic"/>
          <w:sz w:val="20"/>
          <w:szCs w:val="20"/>
          <w:lang w:val="en-AU"/>
        </w:rPr>
        <w:t>ise a premium selection criterion</w:t>
      </w:r>
      <w:r w:rsidR="007C7FAF">
        <w:rPr>
          <w:rFonts w:ascii="Century Gothic" w:eastAsiaTheme="minorHAnsi" w:hAnsi="Century Gothic"/>
          <w:sz w:val="20"/>
          <w:szCs w:val="20"/>
          <w:lang w:val="en-AU"/>
        </w:rPr>
        <w:t xml:space="preserve"> in most cases.</w:t>
      </w:r>
    </w:p>
    <w:p w14:paraId="03233D6D" w14:textId="5171D061" w:rsidR="00801C49" w:rsidRDefault="006C7EB4"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 a large number of cases NGRB’s changed the number or expertise of their staff in response to having access to SFSF funds.   In some cases this doubled the number of </w:t>
      </w:r>
      <w:r w:rsidR="00935D6A">
        <w:rPr>
          <w:rFonts w:ascii="Century Gothic" w:eastAsiaTheme="minorHAnsi" w:hAnsi="Century Gothic"/>
          <w:sz w:val="20"/>
          <w:szCs w:val="20"/>
          <w:lang w:val="en-AU"/>
        </w:rPr>
        <w:t>staff working with schools – NTAIS, AIS</w:t>
      </w:r>
      <w:r>
        <w:rPr>
          <w:rFonts w:ascii="Century Gothic" w:eastAsiaTheme="minorHAnsi" w:hAnsi="Century Gothic"/>
          <w:sz w:val="20"/>
          <w:szCs w:val="20"/>
          <w:lang w:val="en-AU"/>
        </w:rPr>
        <w:t>ACT</w:t>
      </w:r>
      <w:r w:rsidR="00F534C7">
        <w:rPr>
          <w:rFonts w:ascii="Century Gothic" w:eastAsiaTheme="minorHAnsi" w:hAnsi="Century Gothic"/>
          <w:sz w:val="20"/>
          <w:szCs w:val="20"/>
          <w:lang w:val="en-AU"/>
        </w:rPr>
        <w:t xml:space="preserve"> (all small NGRBs)</w:t>
      </w:r>
      <w:r>
        <w:rPr>
          <w:rFonts w:ascii="Century Gothic" w:eastAsiaTheme="minorHAnsi" w:hAnsi="Century Gothic"/>
          <w:sz w:val="20"/>
          <w:szCs w:val="20"/>
          <w:lang w:val="en-AU"/>
        </w:rPr>
        <w:t xml:space="preserve">. </w:t>
      </w:r>
      <w:r w:rsidR="00926C4F">
        <w:rPr>
          <w:rFonts w:ascii="Century Gothic" w:eastAsiaTheme="minorHAnsi" w:hAnsi="Century Gothic"/>
          <w:sz w:val="20"/>
          <w:szCs w:val="20"/>
          <w:lang w:val="en-AU"/>
        </w:rPr>
        <w:t>Re</w:t>
      </w:r>
      <w:r w:rsidR="00801C49">
        <w:rPr>
          <w:rFonts w:ascii="Century Gothic" w:eastAsiaTheme="minorHAnsi" w:hAnsi="Century Gothic"/>
          <w:sz w:val="20"/>
          <w:szCs w:val="20"/>
          <w:lang w:val="en-AU"/>
        </w:rPr>
        <w:t>-</w:t>
      </w:r>
      <w:r w:rsidR="00926C4F">
        <w:rPr>
          <w:rFonts w:ascii="Century Gothic" w:eastAsiaTheme="minorHAnsi" w:hAnsi="Century Gothic"/>
          <w:sz w:val="20"/>
          <w:szCs w:val="20"/>
          <w:lang w:val="en-AU"/>
        </w:rPr>
        <w:t>assignments of existing staff or new appointments are evident in most NGRBs</w:t>
      </w:r>
      <w:r w:rsidR="00B12F51">
        <w:rPr>
          <w:rFonts w:ascii="Century Gothic" w:eastAsiaTheme="minorHAnsi" w:hAnsi="Century Gothic"/>
          <w:sz w:val="20"/>
          <w:szCs w:val="20"/>
          <w:lang w:val="en-AU"/>
        </w:rPr>
        <w:t xml:space="preserve"> (</w:t>
      </w:r>
      <w:r w:rsidR="00801C49">
        <w:rPr>
          <w:rFonts w:ascii="Century Gothic" w:eastAsiaTheme="minorHAnsi" w:hAnsi="Century Gothic"/>
          <w:sz w:val="20"/>
          <w:szCs w:val="20"/>
          <w:lang w:val="en-AU"/>
        </w:rPr>
        <w:t xml:space="preserve">e.g. </w:t>
      </w:r>
      <w:r w:rsidR="005B53FF">
        <w:rPr>
          <w:rFonts w:ascii="Century Gothic" w:eastAsiaTheme="minorHAnsi" w:hAnsi="Century Gothic"/>
          <w:sz w:val="20"/>
          <w:szCs w:val="20"/>
          <w:lang w:val="en-AU"/>
        </w:rPr>
        <w:t xml:space="preserve">staff assigned to SFSF activities are </w:t>
      </w:r>
      <w:r w:rsidR="00507F0F">
        <w:rPr>
          <w:rFonts w:ascii="Century Gothic" w:eastAsiaTheme="minorHAnsi" w:hAnsi="Century Gothic"/>
          <w:sz w:val="20"/>
          <w:szCs w:val="20"/>
          <w:lang w:val="en-AU"/>
        </w:rPr>
        <w:t>23 (</w:t>
      </w:r>
      <w:r w:rsidR="004E7033">
        <w:rPr>
          <w:rFonts w:ascii="Century Gothic" w:eastAsiaTheme="minorHAnsi" w:hAnsi="Century Gothic"/>
          <w:sz w:val="20"/>
          <w:szCs w:val="20"/>
          <w:lang w:val="en-AU"/>
        </w:rPr>
        <w:t>FTE</w:t>
      </w:r>
      <w:r w:rsidR="00507F0F">
        <w:rPr>
          <w:rFonts w:ascii="Century Gothic" w:eastAsiaTheme="minorHAnsi" w:hAnsi="Century Gothic"/>
          <w:sz w:val="20"/>
          <w:szCs w:val="20"/>
          <w:lang w:val="en-AU"/>
        </w:rPr>
        <w:t>) in</w:t>
      </w:r>
      <w:r w:rsidR="004E7033">
        <w:rPr>
          <w:rFonts w:ascii="Century Gothic" w:eastAsiaTheme="minorHAnsi" w:hAnsi="Century Gothic"/>
          <w:sz w:val="20"/>
          <w:szCs w:val="20"/>
          <w:lang w:val="en-AU"/>
        </w:rPr>
        <w:t xml:space="preserve"> </w:t>
      </w:r>
      <w:r w:rsidR="005B53FF">
        <w:rPr>
          <w:rFonts w:ascii="Century Gothic" w:eastAsiaTheme="minorHAnsi" w:hAnsi="Century Gothic"/>
          <w:sz w:val="20"/>
          <w:szCs w:val="20"/>
          <w:lang w:val="en-AU"/>
        </w:rPr>
        <w:t xml:space="preserve">AIS NSW </w:t>
      </w:r>
      <w:r w:rsidR="00801C49">
        <w:rPr>
          <w:rFonts w:ascii="Century Gothic" w:eastAsiaTheme="minorHAnsi" w:hAnsi="Century Gothic"/>
          <w:sz w:val="20"/>
          <w:szCs w:val="20"/>
          <w:lang w:val="en-AU"/>
        </w:rPr>
        <w:t xml:space="preserve">and 22 </w:t>
      </w:r>
      <w:r w:rsidR="004E7033">
        <w:rPr>
          <w:rFonts w:ascii="Century Gothic" w:eastAsiaTheme="minorHAnsi" w:hAnsi="Century Gothic"/>
          <w:sz w:val="20"/>
          <w:szCs w:val="20"/>
          <w:lang w:val="en-AU"/>
        </w:rPr>
        <w:t>(</w:t>
      </w:r>
      <w:r w:rsidR="00801C49">
        <w:rPr>
          <w:rFonts w:ascii="Century Gothic" w:eastAsiaTheme="minorHAnsi" w:hAnsi="Century Gothic"/>
          <w:sz w:val="20"/>
          <w:szCs w:val="20"/>
          <w:lang w:val="en-AU"/>
        </w:rPr>
        <w:t>FTE</w:t>
      </w:r>
      <w:r w:rsidR="004E7033">
        <w:rPr>
          <w:rFonts w:ascii="Century Gothic" w:eastAsiaTheme="minorHAnsi" w:hAnsi="Century Gothic"/>
          <w:sz w:val="20"/>
          <w:szCs w:val="20"/>
          <w:lang w:val="en-AU"/>
        </w:rPr>
        <w:t>) in ISQ</w:t>
      </w:r>
      <w:r w:rsidR="00801C49">
        <w:rPr>
          <w:rFonts w:ascii="Century Gothic" w:eastAsiaTheme="minorHAnsi" w:hAnsi="Century Gothic"/>
          <w:sz w:val="20"/>
          <w:szCs w:val="20"/>
          <w:lang w:val="en-AU"/>
        </w:rPr>
        <w:t>)</w:t>
      </w:r>
      <w:r w:rsidR="005B53FF">
        <w:rPr>
          <w:rFonts w:ascii="Century Gothic" w:eastAsiaTheme="minorHAnsi" w:hAnsi="Century Gothic"/>
          <w:sz w:val="20"/>
          <w:szCs w:val="20"/>
          <w:lang w:val="en-AU"/>
        </w:rPr>
        <w:t>.</w:t>
      </w:r>
    </w:p>
    <w:p w14:paraId="350E06C6" w14:textId="58CC9FD8" w:rsidR="00926C4F" w:rsidRDefault="006C7EB4"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Not all NGRBs</w:t>
      </w:r>
      <w:r w:rsidR="002A2C8B">
        <w:rPr>
          <w:rFonts w:ascii="Century Gothic" w:eastAsiaTheme="minorHAnsi" w:hAnsi="Century Gothic"/>
          <w:sz w:val="20"/>
          <w:szCs w:val="20"/>
          <w:lang w:val="en-AU"/>
        </w:rPr>
        <w:t xml:space="preserve"> increased s</w:t>
      </w:r>
      <w:r w:rsidR="00041C36">
        <w:rPr>
          <w:rFonts w:ascii="Century Gothic" w:eastAsiaTheme="minorHAnsi" w:hAnsi="Century Gothic"/>
          <w:sz w:val="20"/>
          <w:szCs w:val="20"/>
          <w:lang w:val="en-AU"/>
        </w:rPr>
        <w:t xml:space="preserve">taff however – </w:t>
      </w:r>
      <w:r w:rsidR="002A2C8B">
        <w:rPr>
          <w:rFonts w:ascii="Century Gothic" w:eastAsiaTheme="minorHAnsi" w:hAnsi="Century Gothic"/>
          <w:sz w:val="20"/>
          <w:szCs w:val="20"/>
          <w:lang w:val="en-AU"/>
        </w:rPr>
        <w:t>AISSA</w:t>
      </w:r>
      <w:r>
        <w:rPr>
          <w:rFonts w:ascii="Century Gothic" w:eastAsiaTheme="minorHAnsi" w:hAnsi="Century Gothic"/>
          <w:sz w:val="20"/>
          <w:szCs w:val="20"/>
          <w:lang w:val="en-AU"/>
        </w:rPr>
        <w:t xml:space="preserve"> went from 40 staff d</w:t>
      </w:r>
      <w:r w:rsidR="00801C49">
        <w:rPr>
          <w:rFonts w:ascii="Century Gothic" w:eastAsiaTheme="minorHAnsi" w:hAnsi="Century Gothic"/>
          <w:sz w:val="20"/>
          <w:szCs w:val="20"/>
          <w:lang w:val="en-AU"/>
        </w:rPr>
        <w:t>own to a more highly skilled 28</w:t>
      </w:r>
      <w:r w:rsidR="007C7FAF">
        <w:rPr>
          <w:rFonts w:ascii="Century Gothic" w:eastAsiaTheme="minorHAnsi" w:hAnsi="Century Gothic"/>
          <w:sz w:val="20"/>
          <w:szCs w:val="20"/>
          <w:lang w:val="en-AU"/>
        </w:rPr>
        <w:t>.</w:t>
      </w:r>
    </w:p>
    <w:p w14:paraId="7684FA3B" w14:textId="66809A33" w:rsidR="00BB77EE" w:rsidRDefault="00B12F51" w:rsidP="00EE780E">
      <w:pPr>
        <w:spacing w:before="12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006C7EB4">
        <w:rPr>
          <w:rFonts w:ascii="Century Gothic" w:eastAsiaTheme="minorHAnsi" w:hAnsi="Century Gothic"/>
          <w:sz w:val="20"/>
          <w:szCs w:val="20"/>
          <w:lang w:val="en-AU"/>
        </w:rPr>
        <w:t xml:space="preserve">ome small jurisdictions </w:t>
      </w:r>
      <w:r>
        <w:rPr>
          <w:rFonts w:ascii="Century Gothic" w:eastAsiaTheme="minorHAnsi" w:hAnsi="Century Gothic"/>
          <w:sz w:val="20"/>
          <w:szCs w:val="20"/>
          <w:lang w:val="en-AU"/>
        </w:rPr>
        <w:t xml:space="preserve">also </w:t>
      </w:r>
      <w:r w:rsidR="006C7EB4">
        <w:rPr>
          <w:rFonts w:ascii="Century Gothic" w:eastAsiaTheme="minorHAnsi" w:hAnsi="Century Gothic"/>
          <w:sz w:val="20"/>
          <w:szCs w:val="20"/>
          <w:lang w:val="en-AU"/>
        </w:rPr>
        <w:t xml:space="preserve">saw benefit in employing staff for other roles e.g. the AIS NT employed two additional staff – one with communications expertise and one with business and governance expertise; Tasmania CEO employed a team leader within their office to ensure coordination of their activities </w:t>
      </w:r>
      <w:r w:rsidR="006C7EB4" w:rsidRPr="00962EFE">
        <w:rPr>
          <w:rFonts w:ascii="Century Gothic" w:eastAsiaTheme="minorHAnsi" w:hAnsi="Century Gothic"/>
          <w:sz w:val="20"/>
          <w:szCs w:val="20"/>
          <w:lang w:val="en-AU"/>
        </w:rPr>
        <w:t>and across staff</w:t>
      </w:r>
      <w:r w:rsidR="006C7EB4">
        <w:rPr>
          <w:rFonts w:ascii="Century Gothic" w:eastAsiaTheme="minorHAnsi" w:hAnsi="Century Gothic"/>
          <w:sz w:val="20"/>
          <w:szCs w:val="20"/>
          <w:lang w:val="en-AU"/>
        </w:rPr>
        <w:t xml:space="preserve"> (</w:t>
      </w:r>
      <w:r w:rsidR="006C7EB4" w:rsidRPr="00962EFE">
        <w:rPr>
          <w:rFonts w:ascii="Century Gothic" w:eastAsiaTheme="minorHAnsi" w:hAnsi="Century Gothic"/>
          <w:sz w:val="20"/>
          <w:szCs w:val="20"/>
          <w:lang w:val="en-AU"/>
        </w:rPr>
        <w:t>literacy officer, data analyst, education officers</w:t>
      </w:r>
      <w:r w:rsidR="006C7EB4">
        <w:rPr>
          <w:rFonts w:ascii="Century Gothic" w:eastAsiaTheme="minorHAnsi" w:hAnsi="Century Gothic"/>
          <w:sz w:val="20"/>
          <w:szCs w:val="20"/>
          <w:lang w:val="en-AU"/>
        </w:rPr>
        <w:t>) and provide</w:t>
      </w:r>
      <w:r w:rsidR="006C7EB4" w:rsidRPr="00962EFE">
        <w:rPr>
          <w:rFonts w:ascii="Century Gothic" w:eastAsiaTheme="minorHAnsi" w:hAnsi="Century Gothic"/>
          <w:sz w:val="20"/>
          <w:szCs w:val="20"/>
          <w:lang w:val="en-AU"/>
        </w:rPr>
        <w:t xml:space="preserve"> coaching for education officers</w:t>
      </w:r>
      <w:r w:rsidR="006C7EB4">
        <w:rPr>
          <w:rFonts w:ascii="Century Gothic" w:eastAsiaTheme="minorHAnsi" w:hAnsi="Century Gothic"/>
          <w:sz w:val="20"/>
          <w:szCs w:val="20"/>
          <w:lang w:val="en-AU"/>
        </w:rPr>
        <w:t>.</w:t>
      </w:r>
      <w:r w:rsidR="00F534C7">
        <w:rPr>
          <w:rFonts w:ascii="Century Gothic" w:eastAsiaTheme="minorHAnsi" w:hAnsi="Century Gothic"/>
          <w:sz w:val="20"/>
          <w:szCs w:val="20"/>
          <w:lang w:val="en-AU"/>
        </w:rPr>
        <w:t xml:space="preserve">  Both NGRBs indicated that these staff changes had improved their effectiveness </w:t>
      </w:r>
      <w:r w:rsidR="00C52468">
        <w:rPr>
          <w:rFonts w:ascii="Century Gothic" w:eastAsiaTheme="minorHAnsi" w:hAnsi="Century Gothic"/>
          <w:sz w:val="20"/>
          <w:szCs w:val="20"/>
          <w:lang w:val="en-AU"/>
        </w:rPr>
        <w:t>in working with their schools.</w:t>
      </w:r>
    </w:p>
    <w:p w14:paraId="28FC24F6" w14:textId="6157211A" w:rsidR="00CA4F0A" w:rsidRPr="005731FF" w:rsidRDefault="00CA4F0A" w:rsidP="00EE780E">
      <w:pPr>
        <w:spacing w:before="12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Review did observe SFSF resources </w:t>
      </w:r>
      <w:r w:rsidR="005731FF">
        <w:rPr>
          <w:rFonts w:ascii="Century Gothic" w:eastAsiaTheme="minorHAnsi" w:hAnsi="Century Gothic"/>
          <w:sz w:val="20"/>
          <w:szCs w:val="20"/>
          <w:lang w:val="en-AU"/>
        </w:rPr>
        <w:t xml:space="preserve">were </w:t>
      </w:r>
      <w:r>
        <w:rPr>
          <w:rFonts w:ascii="Century Gothic" w:eastAsiaTheme="minorHAnsi" w:hAnsi="Century Gothic"/>
          <w:sz w:val="20"/>
          <w:szCs w:val="20"/>
          <w:lang w:val="en-AU"/>
        </w:rPr>
        <w:t xml:space="preserve">used for staff to service committees </w:t>
      </w:r>
      <w:r w:rsidR="005731FF">
        <w:rPr>
          <w:rFonts w:ascii="Century Gothic" w:eastAsiaTheme="minorHAnsi" w:hAnsi="Century Gothic"/>
          <w:sz w:val="20"/>
          <w:szCs w:val="20"/>
          <w:lang w:val="en-AU"/>
        </w:rPr>
        <w:t xml:space="preserve">and meetings </w:t>
      </w:r>
      <w:r>
        <w:rPr>
          <w:rFonts w:ascii="Century Gothic" w:eastAsiaTheme="minorHAnsi" w:hAnsi="Century Gothic"/>
          <w:sz w:val="20"/>
          <w:szCs w:val="20"/>
          <w:lang w:val="en-AU"/>
        </w:rPr>
        <w:t xml:space="preserve">across </w:t>
      </w:r>
      <w:r w:rsidR="00DB39DA">
        <w:rPr>
          <w:rFonts w:ascii="Century Gothic" w:eastAsiaTheme="minorHAnsi" w:hAnsi="Century Gothic"/>
          <w:sz w:val="20"/>
          <w:szCs w:val="20"/>
          <w:lang w:val="en-AU"/>
        </w:rPr>
        <w:t>jurisdictions</w:t>
      </w:r>
      <w:r>
        <w:rPr>
          <w:rFonts w:ascii="Century Gothic" w:eastAsiaTheme="minorHAnsi" w:hAnsi="Century Gothic"/>
          <w:sz w:val="20"/>
          <w:szCs w:val="20"/>
          <w:lang w:val="en-AU"/>
        </w:rPr>
        <w:t xml:space="preserve"> and with the Australian Government and to bridge functions in </w:t>
      </w:r>
      <w:r w:rsidR="007513E7">
        <w:rPr>
          <w:rFonts w:ascii="Century Gothic" w:eastAsiaTheme="minorHAnsi" w:hAnsi="Century Gothic"/>
          <w:sz w:val="20"/>
          <w:szCs w:val="20"/>
          <w:lang w:val="en-AU"/>
        </w:rPr>
        <w:t>CECs matrix governance</w:t>
      </w:r>
      <w:r w:rsidR="005731FF">
        <w:rPr>
          <w:rFonts w:ascii="Century Gothic" w:eastAsiaTheme="minorHAnsi" w:hAnsi="Century Gothic"/>
          <w:sz w:val="20"/>
          <w:szCs w:val="20"/>
          <w:lang w:val="en-AU"/>
        </w:rPr>
        <w:t xml:space="preserve">. </w:t>
      </w:r>
      <w:r w:rsidR="007513E7">
        <w:rPr>
          <w:rFonts w:ascii="Century Gothic" w:hAnsi="Century Gothic"/>
          <w:sz w:val="20"/>
          <w:szCs w:val="20"/>
        </w:rPr>
        <w:t xml:space="preserve">The larger CECs have existing infrastructure and </w:t>
      </w:r>
      <w:r w:rsidR="00144496">
        <w:rPr>
          <w:rFonts w:ascii="Century Gothic" w:hAnsi="Century Gothic"/>
          <w:sz w:val="20"/>
          <w:szCs w:val="20"/>
        </w:rPr>
        <w:t xml:space="preserve">well-established </w:t>
      </w:r>
      <w:r w:rsidR="007513E7">
        <w:rPr>
          <w:rFonts w:ascii="Century Gothic" w:hAnsi="Century Gothic"/>
          <w:sz w:val="20"/>
          <w:szCs w:val="20"/>
        </w:rPr>
        <w:t xml:space="preserve">ways of working with their administrative layers and schools. The SFSF activity appears to have been added to that as a new layer of roles rather than used primarily as a stimulus for change. </w:t>
      </w:r>
      <w:r w:rsidR="007513E7">
        <w:rPr>
          <w:rFonts w:ascii="Century Gothic" w:eastAsiaTheme="minorHAnsi" w:hAnsi="Century Gothic"/>
          <w:sz w:val="20"/>
          <w:szCs w:val="20"/>
          <w:lang w:val="en-AU"/>
        </w:rPr>
        <w:t>This use of SFSF resources i</w:t>
      </w:r>
      <w:r w:rsidR="007C7FAF">
        <w:rPr>
          <w:rFonts w:ascii="Century Gothic" w:eastAsiaTheme="minorHAnsi" w:hAnsi="Century Gothic"/>
          <w:sz w:val="20"/>
          <w:szCs w:val="20"/>
          <w:lang w:val="en-AU"/>
        </w:rPr>
        <w:t>s problematic.</w:t>
      </w:r>
    </w:p>
    <w:p w14:paraId="2070656D" w14:textId="34EED732" w:rsidR="00952BD5" w:rsidRPr="00EE780E" w:rsidRDefault="00952BD5" w:rsidP="00EE780E">
      <w:pPr>
        <w:spacing w:before="120" w:after="120" w:line="276" w:lineRule="auto"/>
        <w:ind w:right="-340"/>
        <w:jc w:val="both"/>
        <w:rPr>
          <w:rFonts w:ascii="Century Gothic" w:eastAsiaTheme="minorHAnsi" w:hAnsi="Century Gothic"/>
          <w:b/>
          <w:bCs/>
          <w:iCs/>
          <w:color w:val="4F81BD" w:themeColor="accent1"/>
          <w:sz w:val="20"/>
          <w:szCs w:val="20"/>
          <w:lang w:val="en-AU"/>
        </w:rPr>
      </w:pPr>
      <w:bookmarkStart w:id="40" w:name="_Toc472261237"/>
      <w:bookmarkStart w:id="41" w:name="_Toc472262580"/>
      <w:bookmarkStart w:id="42" w:name="_Toc472263263"/>
      <w:bookmarkStart w:id="43" w:name="_Toc346123955"/>
      <w:r w:rsidRPr="00EE780E">
        <w:rPr>
          <w:rFonts w:ascii="Century Gothic" w:eastAsiaTheme="minorHAnsi" w:hAnsi="Century Gothic"/>
          <w:b/>
          <w:bCs/>
          <w:iCs/>
          <w:color w:val="4F81BD" w:themeColor="accent1"/>
          <w:sz w:val="20"/>
          <w:szCs w:val="20"/>
          <w:lang w:val="en-AU"/>
        </w:rPr>
        <w:t>School improvement strategies</w:t>
      </w:r>
      <w:bookmarkEnd w:id="40"/>
      <w:bookmarkEnd w:id="41"/>
      <w:bookmarkEnd w:id="42"/>
      <w:bookmarkEnd w:id="43"/>
    </w:p>
    <w:p w14:paraId="0C34C3A0" w14:textId="41741442" w:rsidR="00366EBE" w:rsidRDefault="00C52468" w:rsidP="00EE780E">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deployed a range o</w:t>
      </w:r>
      <w:r w:rsidR="004E7033">
        <w:rPr>
          <w:rFonts w:ascii="Century Gothic" w:eastAsiaTheme="minorHAnsi" w:hAnsi="Century Gothic"/>
          <w:sz w:val="20"/>
          <w:szCs w:val="20"/>
          <w:lang w:val="en-AU"/>
        </w:rPr>
        <w:t xml:space="preserve">f school improvement strategies. </w:t>
      </w:r>
      <w:r w:rsidR="00366EBE">
        <w:rPr>
          <w:rFonts w:ascii="Century Gothic" w:eastAsiaTheme="minorHAnsi" w:hAnsi="Century Gothic"/>
          <w:sz w:val="20"/>
          <w:szCs w:val="20"/>
          <w:lang w:val="en-AU"/>
        </w:rPr>
        <w:t>T</w:t>
      </w:r>
      <w:r w:rsidR="00AA07C4">
        <w:rPr>
          <w:rFonts w:ascii="Century Gothic" w:eastAsiaTheme="minorHAnsi" w:hAnsi="Century Gothic"/>
          <w:sz w:val="20"/>
          <w:szCs w:val="20"/>
          <w:lang w:val="en-AU"/>
        </w:rPr>
        <w:t xml:space="preserve">he following </w:t>
      </w:r>
      <w:r w:rsidR="00366EBE">
        <w:rPr>
          <w:rFonts w:ascii="Century Gothic" w:eastAsiaTheme="minorHAnsi" w:hAnsi="Century Gothic"/>
          <w:sz w:val="20"/>
          <w:szCs w:val="20"/>
          <w:lang w:val="en-AU"/>
        </w:rPr>
        <w:t xml:space="preserve">Box 1 contains </w:t>
      </w:r>
      <w:r w:rsidR="00D11B63">
        <w:rPr>
          <w:rFonts w:ascii="Century Gothic" w:eastAsiaTheme="minorHAnsi" w:hAnsi="Century Gothic"/>
          <w:sz w:val="20"/>
          <w:szCs w:val="20"/>
          <w:lang w:val="en-AU"/>
        </w:rPr>
        <w:t xml:space="preserve">in priority order </w:t>
      </w:r>
      <w:r w:rsidR="002A2C8B">
        <w:rPr>
          <w:rFonts w:ascii="Century Gothic" w:eastAsiaTheme="minorHAnsi" w:hAnsi="Century Gothic"/>
          <w:sz w:val="20"/>
          <w:szCs w:val="20"/>
          <w:lang w:val="en-AU"/>
        </w:rPr>
        <w:t xml:space="preserve">the </w:t>
      </w:r>
      <w:r w:rsidR="00AA07C4">
        <w:rPr>
          <w:rFonts w:ascii="Century Gothic" w:eastAsiaTheme="minorHAnsi" w:hAnsi="Century Gothic"/>
          <w:sz w:val="20"/>
          <w:szCs w:val="20"/>
          <w:lang w:val="en-AU"/>
        </w:rPr>
        <w:t>most common strategies used by NGRBs</w:t>
      </w:r>
      <w:r w:rsidR="00366EBE">
        <w:rPr>
          <w:rFonts w:ascii="Century Gothic" w:eastAsiaTheme="minorHAnsi" w:hAnsi="Century Gothic"/>
          <w:sz w:val="20"/>
          <w:szCs w:val="20"/>
          <w:lang w:val="en-AU"/>
        </w:rPr>
        <w:t xml:space="preserve"> – professional learning; consultancy services; coaching and mentoring; and the more </w:t>
      </w:r>
      <w:r w:rsidR="004E7033">
        <w:rPr>
          <w:rFonts w:ascii="Century Gothic" w:eastAsiaTheme="minorHAnsi" w:hAnsi="Century Gothic"/>
          <w:sz w:val="20"/>
          <w:szCs w:val="20"/>
          <w:lang w:val="en-AU"/>
        </w:rPr>
        <w:t>routine function of</w:t>
      </w:r>
      <w:r w:rsidR="00D11B63">
        <w:rPr>
          <w:rFonts w:ascii="Century Gothic" w:eastAsiaTheme="minorHAnsi" w:hAnsi="Century Gothic"/>
          <w:sz w:val="20"/>
          <w:szCs w:val="20"/>
          <w:lang w:val="en-AU"/>
        </w:rPr>
        <w:t xml:space="preserve"> providing </w:t>
      </w:r>
      <w:r w:rsidR="00366EBE">
        <w:rPr>
          <w:rFonts w:ascii="Century Gothic" w:eastAsiaTheme="minorHAnsi" w:hAnsi="Century Gothic"/>
          <w:sz w:val="20"/>
          <w:szCs w:val="20"/>
          <w:lang w:val="en-AU"/>
        </w:rPr>
        <w:t>support and advice</w:t>
      </w:r>
      <w:r w:rsidR="008812DD">
        <w:rPr>
          <w:rFonts w:ascii="Century Gothic" w:eastAsiaTheme="minorHAnsi" w:hAnsi="Century Gothic"/>
          <w:sz w:val="20"/>
          <w:szCs w:val="20"/>
          <w:lang w:val="en-AU"/>
        </w:rPr>
        <w:t xml:space="preserve">. </w:t>
      </w:r>
      <w:r w:rsidR="00C97557">
        <w:rPr>
          <w:rFonts w:ascii="Century Gothic" w:eastAsiaTheme="minorHAnsi" w:hAnsi="Century Gothic"/>
          <w:sz w:val="20"/>
          <w:szCs w:val="20"/>
          <w:lang w:val="en-AU"/>
        </w:rPr>
        <w:t>(A sample of these is described in more detail in Part 2, 2.1</w:t>
      </w:r>
      <w:r w:rsidR="00227EAA">
        <w:rPr>
          <w:rFonts w:ascii="Century Gothic" w:eastAsiaTheme="minorHAnsi" w:hAnsi="Century Gothic"/>
          <w:sz w:val="20"/>
          <w:szCs w:val="20"/>
          <w:lang w:val="en-AU"/>
        </w:rPr>
        <w:t xml:space="preserve"> Delivery Models</w:t>
      </w:r>
      <w:r w:rsidR="007C7FAF">
        <w:rPr>
          <w:rFonts w:ascii="Century Gothic" w:eastAsiaTheme="minorHAnsi" w:hAnsi="Century Gothic"/>
          <w:sz w:val="20"/>
          <w:szCs w:val="20"/>
          <w:lang w:val="en-AU"/>
        </w:rPr>
        <w:t>)</w:t>
      </w:r>
    </w:p>
    <w:p w14:paraId="5E9B1EAC" w14:textId="2AF3E509" w:rsidR="00B12F51" w:rsidRDefault="00AA16BA" w:rsidP="00EE780E">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w:t>
      </w:r>
      <w:r w:rsidR="008812DD">
        <w:rPr>
          <w:rFonts w:ascii="Century Gothic" w:eastAsiaTheme="minorHAnsi" w:hAnsi="Century Gothic"/>
          <w:sz w:val="20"/>
          <w:szCs w:val="20"/>
          <w:lang w:val="en-AU"/>
        </w:rPr>
        <w:t xml:space="preserve">SFSF </w:t>
      </w:r>
      <w:r>
        <w:rPr>
          <w:rFonts w:ascii="Century Gothic" w:eastAsiaTheme="minorHAnsi" w:hAnsi="Century Gothic"/>
          <w:sz w:val="20"/>
          <w:szCs w:val="20"/>
          <w:lang w:val="en-AU"/>
        </w:rPr>
        <w:t>resources are allocated to employment of expert people for the activities</w:t>
      </w:r>
      <w:r w:rsidR="00D11B63">
        <w:rPr>
          <w:rFonts w:ascii="Century Gothic" w:eastAsiaTheme="minorHAnsi" w:hAnsi="Century Gothic"/>
          <w:sz w:val="20"/>
          <w:szCs w:val="20"/>
          <w:lang w:val="en-AU"/>
        </w:rPr>
        <w:t xml:space="preserve"> (as indicated above) </w:t>
      </w:r>
      <w:r w:rsidR="008812DD">
        <w:rPr>
          <w:rFonts w:ascii="Century Gothic" w:eastAsiaTheme="minorHAnsi" w:hAnsi="Century Gothic"/>
          <w:sz w:val="20"/>
          <w:szCs w:val="20"/>
          <w:lang w:val="en-AU"/>
        </w:rPr>
        <w:t xml:space="preserve">and to support </w:t>
      </w:r>
      <w:r w:rsidR="00D11B63">
        <w:rPr>
          <w:rFonts w:ascii="Century Gothic" w:eastAsiaTheme="minorHAnsi" w:hAnsi="Century Gothic"/>
          <w:sz w:val="20"/>
          <w:szCs w:val="20"/>
          <w:lang w:val="en-AU"/>
        </w:rPr>
        <w:t xml:space="preserve">teachers’ or principals’ </w:t>
      </w:r>
      <w:r w:rsidR="008812DD">
        <w:rPr>
          <w:rFonts w:ascii="Century Gothic" w:eastAsiaTheme="minorHAnsi" w:hAnsi="Century Gothic"/>
          <w:sz w:val="20"/>
          <w:szCs w:val="20"/>
          <w:lang w:val="en-AU"/>
        </w:rPr>
        <w:t>attendance</w:t>
      </w:r>
      <w:r w:rsidR="00D11B63">
        <w:rPr>
          <w:rFonts w:ascii="Century Gothic" w:eastAsiaTheme="minorHAnsi" w:hAnsi="Century Gothic"/>
          <w:sz w:val="20"/>
          <w:szCs w:val="20"/>
          <w:lang w:val="en-AU"/>
        </w:rPr>
        <w:t xml:space="preserve"> (e.g. materials</w:t>
      </w:r>
      <w:r w:rsidR="00366EBE">
        <w:rPr>
          <w:rFonts w:ascii="Century Gothic" w:eastAsiaTheme="minorHAnsi" w:hAnsi="Century Gothic"/>
          <w:sz w:val="20"/>
          <w:szCs w:val="20"/>
          <w:lang w:val="en-AU"/>
        </w:rPr>
        <w:t xml:space="preserve"> </w:t>
      </w:r>
      <w:r w:rsidR="00D11B63">
        <w:rPr>
          <w:rFonts w:ascii="Century Gothic" w:eastAsiaTheme="minorHAnsi" w:hAnsi="Century Gothic"/>
          <w:sz w:val="20"/>
          <w:szCs w:val="20"/>
          <w:lang w:val="en-AU"/>
        </w:rPr>
        <w:t xml:space="preserve">and </w:t>
      </w:r>
      <w:r w:rsidR="00366EBE">
        <w:rPr>
          <w:rFonts w:ascii="Century Gothic" w:eastAsiaTheme="minorHAnsi" w:hAnsi="Century Gothic"/>
          <w:sz w:val="20"/>
          <w:szCs w:val="20"/>
          <w:lang w:val="en-AU"/>
        </w:rPr>
        <w:t xml:space="preserve">facilities); </w:t>
      </w:r>
      <w:r>
        <w:rPr>
          <w:rFonts w:ascii="Century Gothic" w:eastAsiaTheme="minorHAnsi" w:hAnsi="Century Gothic"/>
          <w:sz w:val="20"/>
          <w:szCs w:val="20"/>
          <w:lang w:val="en-AU"/>
        </w:rPr>
        <w:t xml:space="preserve">teacher relief </w:t>
      </w:r>
      <w:r w:rsidR="008812DD">
        <w:rPr>
          <w:rFonts w:ascii="Century Gothic" w:eastAsiaTheme="minorHAnsi" w:hAnsi="Century Gothic"/>
          <w:sz w:val="20"/>
          <w:szCs w:val="20"/>
          <w:lang w:val="en-AU"/>
        </w:rPr>
        <w:t>coverage</w:t>
      </w:r>
      <w:r>
        <w:rPr>
          <w:rFonts w:ascii="Century Gothic" w:eastAsiaTheme="minorHAnsi" w:hAnsi="Century Gothic"/>
          <w:sz w:val="20"/>
          <w:szCs w:val="20"/>
          <w:lang w:val="en-AU"/>
        </w:rPr>
        <w:t xml:space="preserve"> and grants to schools are relatively rare.</w:t>
      </w:r>
      <w:r w:rsidR="008812DD">
        <w:rPr>
          <w:rFonts w:ascii="Century Gothic" w:eastAsiaTheme="minorHAnsi" w:hAnsi="Century Gothic"/>
          <w:sz w:val="20"/>
          <w:szCs w:val="20"/>
          <w:lang w:val="en-AU"/>
        </w:rPr>
        <w:t xml:space="preserve"> Many activities are conducted in schools a</w:t>
      </w:r>
      <w:r w:rsidR="007C7FAF">
        <w:rPr>
          <w:rFonts w:ascii="Century Gothic" w:eastAsiaTheme="minorHAnsi" w:hAnsi="Century Gothic"/>
          <w:sz w:val="20"/>
          <w:szCs w:val="20"/>
          <w:lang w:val="en-AU"/>
        </w:rPr>
        <w:t>nd out of school teaching time.</w:t>
      </w:r>
    </w:p>
    <w:p w14:paraId="0FBED863" w14:textId="0BADA5BD" w:rsidR="00EF56C2" w:rsidRDefault="00D11B63" w:rsidP="00EE780E">
      <w:p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008A2464">
        <w:rPr>
          <w:rFonts w:ascii="Century Gothic" w:eastAsiaTheme="minorHAnsi" w:hAnsi="Century Gothic"/>
          <w:sz w:val="20"/>
          <w:szCs w:val="20"/>
          <w:lang w:val="en-AU"/>
        </w:rPr>
        <w:t xml:space="preserve">he first three </w:t>
      </w:r>
      <w:r w:rsidR="00B12F51">
        <w:rPr>
          <w:rFonts w:ascii="Century Gothic" w:eastAsiaTheme="minorHAnsi" w:hAnsi="Century Gothic"/>
          <w:sz w:val="20"/>
          <w:szCs w:val="20"/>
          <w:lang w:val="en-AU"/>
        </w:rPr>
        <w:t xml:space="preserve">approaches </w:t>
      </w:r>
      <w:r w:rsidR="008A2464">
        <w:rPr>
          <w:rFonts w:ascii="Century Gothic" w:eastAsiaTheme="minorHAnsi" w:hAnsi="Century Gothic"/>
          <w:sz w:val="20"/>
          <w:szCs w:val="20"/>
          <w:lang w:val="en-AU"/>
        </w:rPr>
        <w:t xml:space="preserve">listed below </w:t>
      </w:r>
      <w:r w:rsidR="00B12F51">
        <w:rPr>
          <w:rFonts w:ascii="Century Gothic" w:eastAsiaTheme="minorHAnsi" w:hAnsi="Century Gothic"/>
          <w:sz w:val="20"/>
          <w:szCs w:val="20"/>
          <w:lang w:val="en-AU"/>
        </w:rPr>
        <w:t>reflect what would be on offer in most leading systems</w:t>
      </w:r>
      <w:r w:rsidR="00B12F51" w:rsidRPr="00B12F51">
        <w:rPr>
          <w:rFonts w:ascii="Century Gothic" w:eastAsiaTheme="minorHAnsi" w:hAnsi="Century Gothic"/>
          <w:sz w:val="20"/>
          <w:szCs w:val="20"/>
          <w:lang w:val="en-AU"/>
        </w:rPr>
        <w:t xml:space="preserve"> </w:t>
      </w:r>
      <w:r w:rsidR="00B12F51">
        <w:rPr>
          <w:rFonts w:ascii="Century Gothic" w:eastAsiaTheme="minorHAnsi" w:hAnsi="Century Gothic"/>
          <w:sz w:val="20"/>
          <w:szCs w:val="20"/>
          <w:lang w:val="en-AU"/>
        </w:rPr>
        <w:t xml:space="preserve">internationally. </w:t>
      </w:r>
      <w:r w:rsidR="00366EBE">
        <w:rPr>
          <w:rFonts w:ascii="Century Gothic" w:eastAsiaTheme="minorHAnsi" w:hAnsi="Century Gothic"/>
          <w:sz w:val="20"/>
          <w:szCs w:val="20"/>
          <w:lang w:val="en-AU"/>
        </w:rPr>
        <w:t xml:space="preserve">The function of providing support and advice, including attending committees and the like is a routine function of NGRBs and perhaps should not feature as a prominent use of </w:t>
      </w:r>
      <w:r w:rsidR="007C7FAF">
        <w:rPr>
          <w:rFonts w:ascii="Century Gothic" w:eastAsiaTheme="minorHAnsi" w:hAnsi="Century Gothic"/>
          <w:sz w:val="20"/>
          <w:szCs w:val="20"/>
          <w:lang w:val="en-AU"/>
        </w:rPr>
        <w:t>SFSF funds.</w:t>
      </w:r>
    </w:p>
    <w:p w14:paraId="41B0042A" w14:textId="559491BA" w:rsidR="00366EBE" w:rsidRPr="00751344" w:rsidRDefault="00366EBE" w:rsidP="007C7FAF">
      <w:pPr>
        <w:keepNext/>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lastRenderedPageBreak/>
        <w:t>Box 1</w:t>
      </w:r>
      <w:r w:rsidR="005B53FF" w:rsidRPr="00751344">
        <w:rPr>
          <w:rFonts w:ascii="Century Gothic" w:eastAsiaTheme="minorHAnsi" w:hAnsi="Century Gothic"/>
          <w:b/>
          <w:color w:val="4F81BD" w:themeColor="accent1"/>
          <w:sz w:val="20"/>
          <w:szCs w:val="20"/>
          <w:lang w:val="en-AU"/>
        </w:rPr>
        <w:t>.</w:t>
      </w:r>
      <w:r w:rsidR="00DB39DA">
        <w:rPr>
          <w:rFonts w:ascii="Century Gothic" w:eastAsiaTheme="minorHAnsi" w:hAnsi="Century Gothic"/>
          <w:b/>
          <w:color w:val="4F81BD" w:themeColor="accent1"/>
          <w:sz w:val="20"/>
          <w:szCs w:val="20"/>
          <w:lang w:val="en-AU"/>
        </w:rPr>
        <w:t xml:space="preserve"> P</w:t>
      </w:r>
      <w:r w:rsidRPr="00751344">
        <w:rPr>
          <w:rFonts w:ascii="Century Gothic" w:eastAsiaTheme="minorHAnsi" w:hAnsi="Century Gothic"/>
          <w:b/>
          <w:color w:val="4F81BD" w:themeColor="accent1"/>
          <w:sz w:val="20"/>
          <w:szCs w:val="20"/>
          <w:lang w:val="en-AU"/>
        </w:rPr>
        <w:t>rominent SFSF</w:t>
      </w:r>
      <w:r w:rsidR="00DB39DA">
        <w:rPr>
          <w:rFonts w:ascii="Century Gothic" w:eastAsiaTheme="minorHAnsi" w:hAnsi="Century Gothic"/>
          <w:b/>
          <w:color w:val="4F81BD" w:themeColor="accent1"/>
          <w:sz w:val="20"/>
          <w:szCs w:val="20"/>
          <w:lang w:val="en-AU"/>
        </w:rPr>
        <w:t xml:space="preserve"> school improvement strategies (priority order) </w:t>
      </w:r>
    </w:p>
    <w:tbl>
      <w:tblPr>
        <w:tblW w:w="9090" w:type="dxa"/>
        <w:tblInd w:w="108" w:type="dxa"/>
        <w:tblLayout w:type="fixed"/>
        <w:tblLook w:val="04A0" w:firstRow="1" w:lastRow="0" w:firstColumn="1" w:lastColumn="0" w:noHBand="0" w:noVBand="1"/>
        <w:tblCaption w:val="Box 1. Prominent SFSF school improvement strategies (priority order) "/>
      </w:tblPr>
      <w:tblGrid>
        <w:gridCol w:w="2977"/>
        <w:gridCol w:w="6113"/>
      </w:tblGrid>
      <w:tr w:rsidR="00AA07C4" w:rsidRPr="00563A8A" w14:paraId="35E2EFFB" w14:textId="77777777" w:rsidTr="00CD1809">
        <w:trPr>
          <w:tblHeader/>
        </w:trPr>
        <w:tc>
          <w:tcPr>
            <w:tcW w:w="2977" w:type="dxa"/>
            <w:tcBorders>
              <w:top w:val="single" w:sz="4" w:space="0" w:color="auto"/>
            </w:tcBorders>
            <w:shd w:val="clear" w:color="auto" w:fill="DBE5F1" w:themeFill="accent1" w:themeFillTint="33"/>
          </w:tcPr>
          <w:p w14:paraId="1F842E4D" w14:textId="71881176" w:rsidR="00AA07C4" w:rsidRPr="006073E7" w:rsidRDefault="00C73301" w:rsidP="007C7FAF">
            <w:pPr>
              <w:keepNext/>
              <w:spacing w:before="120" w:after="120"/>
              <w:ind w:left="34" w:right="-340"/>
              <w:rPr>
                <w:rFonts w:ascii="Century Gothic" w:eastAsia="Times New Roman" w:hAnsi="Century Gothic" w:cs="Times New Roman"/>
                <w:i/>
                <w:color w:val="000000"/>
                <w:sz w:val="20"/>
                <w:szCs w:val="20"/>
                <w:lang w:val="en-AU"/>
              </w:rPr>
            </w:pPr>
            <w:r>
              <w:rPr>
                <w:rFonts w:ascii="Century Gothic" w:eastAsia="Times New Roman" w:hAnsi="Century Gothic" w:cs="Times New Roman"/>
                <w:i/>
                <w:color w:val="000000"/>
                <w:sz w:val="20"/>
                <w:szCs w:val="20"/>
                <w:lang w:val="en-AU"/>
              </w:rPr>
              <w:t xml:space="preserve">Strategy </w:t>
            </w:r>
          </w:p>
        </w:tc>
        <w:tc>
          <w:tcPr>
            <w:tcW w:w="6113" w:type="dxa"/>
            <w:tcBorders>
              <w:top w:val="single" w:sz="4" w:space="0" w:color="auto"/>
            </w:tcBorders>
            <w:shd w:val="clear" w:color="auto" w:fill="DBE5F1" w:themeFill="accent1" w:themeFillTint="33"/>
          </w:tcPr>
          <w:p w14:paraId="2CF10894" w14:textId="0BB8A467" w:rsidR="00AA07C4" w:rsidRPr="00AA16BA" w:rsidRDefault="00C73301" w:rsidP="007C7FAF">
            <w:pPr>
              <w:keepNext/>
              <w:spacing w:before="120" w:after="120"/>
              <w:ind w:right="162"/>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Details</w:t>
            </w:r>
          </w:p>
        </w:tc>
      </w:tr>
      <w:tr w:rsidR="00C73301" w:rsidRPr="00563A8A" w14:paraId="16C712E7" w14:textId="77777777" w:rsidTr="00EF56C2">
        <w:tc>
          <w:tcPr>
            <w:tcW w:w="2977" w:type="dxa"/>
            <w:tcBorders>
              <w:top w:val="single" w:sz="4" w:space="0" w:color="auto"/>
            </w:tcBorders>
            <w:shd w:val="clear" w:color="auto" w:fill="DBE5F1" w:themeFill="accent1" w:themeFillTint="33"/>
          </w:tcPr>
          <w:p w14:paraId="392DCA0F" w14:textId="06056CEC" w:rsidR="00C73301" w:rsidRPr="006073E7" w:rsidRDefault="00C73301" w:rsidP="00C73301">
            <w:pPr>
              <w:keepNext/>
              <w:spacing w:before="120" w:after="120"/>
              <w:ind w:left="34" w:right="-340"/>
              <w:rPr>
                <w:rFonts w:ascii="Century Gothic" w:eastAsia="Times New Roman" w:hAnsi="Century Gothic" w:cs="Times New Roman"/>
                <w:i/>
                <w:color w:val="000000"/>
                <w:sz w:val="20"/>
                <w:szCs w:val="20"/>
                <w:lang w:val="en-AU"/>
              </w:rPr>
            </w:pPr>
            <w:r w:rsidRPr="006073E7">
              <w:rPr>
                <w:rFonts w:ascii="Century Gothic" w:eastAsia="Times New Roman" w:hAnsi="Century Gothic" w:cs="Times New Roman"/>
                <w:i/>
                <w:color w:val="000000"/>
                <w:sz w:val="20"/>
                <w:szCs w:val="20"/>
                <w:lang w:val="en-AU"/>
              </w:rPr>
              <w:t>Professional Learning</w:t>
            </w:r>
          </w:p>
        </w:tc>
        <w:tc>
          <w:tcPr>
            <w:tcW w:w="6113" w:type="dxa"/>
            <w:tcBorders>
              <w:top w:val="single" w:sz="4" w:space="0" w:color="auto"/>
            </w:tcBorders>
            <w:shd w:val="clear" w:color="auto" w:fill="DBE5F1" w:themeFill="accent1" w:themeFillTint="33"/>
          </w:tcPr>
          <w:p w14:paraId="19304A97" w14:textId="77777777" w:rsidR="00C73301" w:rsidRDefault="00C73301" w:rsidP="00C73301">
            <w:pPr>
              <w:keepNext/>
              <w:spacing w:before="120" w:after="120"/>
              <w:ind w:right="162"/>
              <w:rPr>
                <w:rFonts w:ascii="Century Gothic" w:eastAsia="Times New Roman" w:hAnsi="Century Gothic" w:cs="Times New Roman"/>
                <w:color w:val="000000"/>
                <w:sz w:val="18"/>
                <w:szCs w:val="18"/>
                <w:lang w:val="en-AU"/>
              </w:rPr>
            </w:pPr>
            <w:r w:rsidRPr="00AA16BA">
              <w:rPr>
                <w:rFonts w:ascii="Century Gothic" w:eastAsia="Times New Roman" w:hAnsi="Century Gothic" w:cs="Times New Roman"/>
                <w:color w:val="000000"/>
                <w:sz w:val="18"/>
                <w:szCs w:val="18"/>
                <w:lang w:val="en-AU"/>
              </w:rPr>
              <w:t xml:space="preserve">Includes provision of professional learning activities </w:t>
            </w:r>
            <w:r>
              <w:rPr>
                <w:rFonts w:ascii="Century Gothic" w:eastAsia="Times New Roman" w:hAnsi="Century Gothic" w:cs="Times New Roman"/>
                <w:color w:val="000000"/>
                <w:sz w:val="18"/>
                <w:szCs w:val="18"/>
                <w:lang w:val="en-AU"/>
              </w:rPr>
              <w:t xml:space="preserve">both </w:t>
            </w:r>
            <w:r w:rsidRPr="00AA16BA">
              <w:rPr>
                <w:rFonts w:ascii="Century Gothic" w:eastAsia="Times New Roman" w:hAnsi="Century Gothic" w:cs="Times New Roman"/>
                <w:color w:val="000000"/>
                <w:sz w:val="18"/>
                <w:szCs w:val="18"/>
                <w:lang w:val="en-AU"/>
              </w:rPr>
              <w:t>central</w:t>
            </w:r>
            <w:r>
              <w:rPr>
                <w:rFonts w:ascii="Century Gothic" w:eastAsia="Times New Roman" w:hAnsi="Century Gothic" w:cs="Times New Roman"/>
                <w:color w:val="000000"/>
                <w:sz w:val="18"/>
                <w:szCs w:val="18"/>
                <w:lang w:val="en-AU"/>
              </w:rPr>
              <w:t>ly</w:t>
            </w:r>
            <w:r w:rsidRPr="00AA16BA">
              <w:rPr>
                <w:rFonts w:ascii="Century Gothic" w:eastAsia="Times New Roman" w:hAnsi="Century Gothic" w:cs="Times New Roman"/>
                <w:color w:val="000000"/>
                <w:sz w:val="18"/>
                <w:szCs w:val="18"/>
                <w:lang w:val="en-AU"/>
              </w:rPr>
              <w:t xml:space="preserve"> </w:t>
            </w:r>
            <w:r>
              <w:rPr>
                <w:rFonts w:ascii="Century Gothic" w:eastAsia="Times New Roman" w:hAnsi="Century Gothic" w:cs="Times New Roman"/>
                <w:color w:val="000000"/>
                <w:sz w:val="18"/>
                <w:szCs w:val="18"/>
                <w:lang w:val="en-AU"/>
              </w:rPr>
              <w:t>and school-based; o</w:t>
            </w:r>
            <w:r w:rsidRPr="00AA16BA">
              <w:rPr>
                <w:rFonts w:ascii="Century Gothic" w:eastAsia="Times New Roman" w:hAnsi="Century Gothic" w:cs="Times New Roman"/>
                <w:color w:val="000000"/>
                <w:sz w:val="18"/>
                <w:szCs w:val="18"/>
                <w:lang w:val="en-AU"/>
              </w:rPr>
              <w:t xml:space="preserve">ften focused on implementation of national priorities such as teacher standards and the Australian Curriculum. </w:t>
            </w:r>
          </w:p>
          <w:p w14:paraId="2CAD7DFD" w14:textId="6CAA46D0" w:rsidR="00C73301" w:rsidRPr="00AA16BA" w:rsidRDefault="00C73301" w:rsidP="00C73301">
            <w:pPr>
              <w:keepNext/>
              <w:spacing w:before="120" w:after="120"/>
              <w:ind w:right="162"/>
              <w:rPr>
                <w:rFonts w:ascii="Century Gothic" w:eastAsia="Times New Roman" w:hAnsi="Century Gothic" w:cs="Times New Roman"/>
                <w:color w:val="000000"/>
                <w:sz w:val="18"/>
                <w:szCs w:val="18"/>
                <w:lang w:val="en-AU"/>
              </w:rPr>
            </w:pPr>
            <w:r w:rsidRPr="00AA16BA">
              <w:rPr>
                <w:rFonts w:ascii="Century Gothic" w:eastAsia="Times New Roman" w:hAnsi="Century Gothic" w:cs="Times New Roman"/>
                <w:color w:val="000000"/>
                <w:sz w:val="18"/>
                <w:szCs w:val="18"/>
                <w:lang w:val="en-AU"/>
              </w:rPr>
              <w:t xml:space="preserve">A trend by some is to develop more interactive ‘learning by doing’ sequences and to encourage free forming professional learning communities to grow out of more structured sessions. </w:t>
            </w:r>
          </w:p>
        </w:tc>
      </w:tr>
      <w:tr w:rsidR="00C73301" w:rsidRPr="00563A8A" w14:paraId="000B92A5" w14:textId="77777777" w:rsidTr="00EF56C2">
        <w:tc>
          <w:tcPr>
            <w:tcW w:w="2977" w:type="dxa"/>
            <w:shd w:val="clear" w:color="auto" w:fill="DBE5F1" w:themeFill="accent1" w:themeFillTint="33"/>
          </w:tcPr>
          <w:p w14:paraId="5E1D3E55" w14:textId="77777777" w:rsidR="00C73301" w:rsidRPr="006073E7" w:rsidRDefault="00C73301" w:rsidP="00C73301">
            <w:pPr>
              <w:keepNext/>
              <w:spacing w:after="120"/>
              <w:ind w:left="34" w:right="-340"/>
              <w:rPr>
                <w:rFonts w:ascii="Century Gothic" w:eastAsia="Times New Roman" w:hAnsi="Century Gothic" w:cs="Times New Roman"/>
                <w:i/>
                <w:color w:val="000000"/>
                <w:sz w:val="20"/>
                <w:szCs w:val="20"/>
                <w:lang w:val="en-AU"/>
              </w:rPr>
            </w:pPr>
            <w:r w:rsidRPr="006073E7">
              <w:rPr>
                <w:rFonts w:ascii="Century Gothic" w:eastAsia="Times New Roman" w:hAnsi="Century Gothic" w:cs="Times New Roman"/>
                <w:i/>
                <w:color w:val="000000"/>
                <w:sz w:val="20"/>
                <w:szCs w:val="20"/>
                <w:lang w:val="en-AU"/>
              </w:rPr>
              <w:t xml:space="preserve">Consultancy Advice </w:t>
            </w:r>
          </w:p>
        </w:tc>
        <w:tc>
          <w:tcPr>
            <w:tcW w:w="6113" w:type="dxa"/>
            <w:shd w:val="clear" w:color="auto" w:fill="DBE5F1" w:themeFill="accent1" w:themeFillTint="33"/>
          </w:tcPr>
          <w:p w14:paraId="0881DFA7" w14:textId="77777777" w:rsidR="00C73301" w:rsidRDefault="00C73301" w:rsidP="00C73301">
            <w:pPr>
              <w:keepNext/>
              <w:spacing w:after="120"/>
              <w:ind w:right="162"/>
              <w:rPr>
                <w:rFonts w:ascii="Century Gothic" w:eastAsia="Times New Roman" w:hAnsi="Century Gothic" w:cs="Times New Roman"/>
                <w:color w:val="000000"/>
                <w:sz w:val="18"/>
                <w:szCs w:val="18"/>
                <w:lang w:val="en-AU"/>
              </w:rPr>
            </w:pPr>
            <w:r w:rsidRPr="00AA16BA">
              <w:rPr>
                <w:rFonts w:ascii="Century Gothic" w:eastAsia="Times New Roman" w:hAnsi="Century Gothic" w:cs="Times New Roman"/>
                <w:color w:val="000000"/>
                <w:sz w:val="18"/>
                <w:szCs w:val="18"/>
                <w:lang w:val="en-AU"/>
              </w:rPr>
              <w:t xml:space="preserve">Expert advice at the school level provided on educational issues that could involve planning and brokering services.  In some cases officers of the NGRB would be attached to individual schools as an advisor or through service agreements. </w:t>
            </w:r>
          </w:p>
          <w:p w14:paraId="22ED2E07" w14:textId="796DCDC6" w:rsidR="00C73301" w:rsidRPr="00AA16BA" w:rsidRDefault="00C73301" w:rsidP="00C73301">
            <w:pPr>
              <w:keepNext/>
              <w:spacing w:after="120"/>
              <w:ind w:right="162"/>
              <w:rPr>
                <w:rFonts w:ascii="Century Gothic" w:eastAsia="Times New Roman" w:hAnsi="Century Gothic" w:cs="Times New Roman"/>
                <w:color w:val="000000"/>
                <w:sz w:val="18"/>
                <w:szCs w:val="18"/>
                <w:lang w:val="en-AU"/>
              </w:rPr>
            </w:pPr>
            <w:r w:rsidRPr="00AA16BA">
              <w:rPr>
                <w:rFonts w:ascii="Century Gothic" w:eastAsia="Times New Roman" w:hAnsi="Century Gothic" w:cs="Times New Roman"/>
                <w:color w:val="000000"/>
                <w:sz w:val="18"/>
                <w:szCs w:val="18"/>
                <w:lang w:val="en-AU"/>
              </w:rPr>
              <w:t>A common need is to ensure the advice available when it is needed – often after school hours.</w:t>
            </w:r>
          </w:p>
        </w:tc>
      </w:tr>
      <w:tr w:rsidR="00C73301" w:rsidRPr="00563A8A" w14:paraId="38992CCB" w14:textId="77777777" w:rsidTr="00EF56C2">
        <w:tc>
          <w:tcPr>
            <w:tcW w:w="2977" w:type="dxa"/>
            <w:shd w:val="clear" w:color="auto" w:fill="DBE5F1" w:themeFill="accent1" w:themeFillTint="33"/>
          </w:tcPr>
          <w:p w14:paraId="57057E16" w14:textId="77777777" w:rsidR="00C73301" w:rsidRPr="0059602E" w:rsidRDefault="00C73301" w:rsidP="00C73301">
            <w:pPr>
              <w:keepNext/>
              <w:spacing w:after="120"/>
              <w:ind w:left="34" w:right="-34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Coaching and Mentoring</w:t>
            </w:r>
          </w:p>
        </w:tc>
        <w:tc>
          <w:tcPr>
            <w:tcW w:w="6113" w:type="dxa"/>
            <w:shd w:val="clear" w:color="auto" w:fill="DBE5F1" w:themeFill="accent1" w:themeFillTint="33"/>
          </w:tcPr>
          <w:p w14:paraId="08C2EA0A" w14:textId="2C76F0CD" w:rsidR="00C73301" w:rsidRPr="00AA16BA" w:rsidRDefault="00C73301" w:rsidP="00C73301">
            <w:pPr>
              <w:keepNext/>
              <w:spacing w:after="120"/>
              <w:ind w:right="162"/>
              <w:rPr>
                <w:rFonts w:ascii="Century Gothic" w:eastAsia="Times New Roman" w:hAnsi="Century Gothic" w:cs="Times New Roman"/>
                <w:color w:val="000000"/>
                <w:sz w:val="18"/>
                <w:szCs w:val="18"/>
                <w:lang w:val="en-AU"/>
              </w:rPr>
            </w:pPr>
            <w:r w:rsidRPr="00AA16BA">
              <w:rPr>
                <w:rFonts w:ascii="Century Gothic" w:eastAsia="Times New Roman" w:hAnsi="Century Gothic" w:cs="Times New Roman"/>
                <w:color w:val="000000"/>
                <w:sz w:val="18"/>
                <w:szCs w:val="18"/>
                <w:lang w:val="en-AU"/>
              </w:rPr>
              <w:t>One-on-one or small group advice and support services usually provided to principals or leadership teams on a skill or p</w:t>
            </w:r>
            <w:r>
              <w:rPr>
                <w:rFonts w:ascii="Century Gothic" w:eastAsia="Times New Roman" w:hAnsi="Century Gothic" w:cs="Times New Roman"/>
                <w:color w:val="000000"/>
                <w:sz w:val="18"/>
                <w:szCs w:val="18"/>
                <w:lang w:val="en-AU"/>
              </w:rPr>
              <w:t>rocess for school improvement. This c</w:t>
            </w:r>
            <w:r w:rsidRPr="00AA16BA">
              <w:rPr>
                <w:rFonts w:ascii="Century Gothic" w:eastAsia="Times New Roman" w:hAnsi="Century Gothic" w:cs="Times New Roman"/>
                <w:color w:val="000000"/>
                <w:sz w:val="18"/>
                <w:szCs w:val="18"/>
                <w:lang w:val="en-AU"/>
              </w:rPr>
              <w:t>ould be provided by NGRB staff or contracting of outside expertise including experienced principals.</w:t>
            </w:r>
          </w:p>
        </w:tc>
      </w:tr>
      <w:tr w:rsidR="00C73301" w:rsidRPr="00563A8A" w14:paraId="4AA65EA4" w14:textId="77777777" w:rsidTr="00EF56C2">
        <w:tc>
          <w:tcPr>
            <w:tcW w:w="2977" w:type="dxa"/>
            <w:tcBorders>
              <w:bottom w:val="single" w:sz="4" w:space="0" w:color="auto"/>
            </w:tcBorders>
            <w:shd w:val="clear" w:color="auto" w:fill="DBE5F1" w:themeFill="accent1" w:themeFillTint="33"/>
          </w:tcPr>
          <w:p w14:paraId="53B404E7" w14:textId="7603D68D" w:rsidR="00C73301" w:rsidRPr="006073E7" w:rsidRDefault="00C73301" w:rsidP="00C73301">
            <w:pPr>
              <w:keepNext/>
              <w:spacing w:after="120"/>
              <w:ind w:left="34" w:right="-101"/>
              <w:rPr>
                <w:rFonts w:ascii="Century Gothic" w:eastAsia="Times New Roman" w:hAnsi="Century Gothic" w:cs="Times New Roman"/>
                <w:i/>
                <w:color w:val="000000"/>
                <w:sz w:val="20"/>
                <w:szCs w:val="20"/>
                <w:lang w:val="en-AU"/>
              </w:rPr>
            </w:pPr>
            <w:r w:rsidRPr="006073E7">
              <w:rPr>
                <w:rFonts w:ascii="Century Gothic" w:eastAsia="Times New Roman" w:hAnsi="Century Gothic" w:cs="Times New Roman"/>
                <w:i/>
                <w:color w:val="000000"/>
                <w:sz w:val="20"/>
                <w:szCs w:val="20"/>
                <w:lang w:val="en-AU"/>
              </w:rPr>
              <w:t>Support and Advice</w:t>
            </w:r>
            <w:r>
              <w:rPr>
                <w:rFonts w:ascii="Century Gothic" w:eastAsia="Times New Roman" w:hAnsi="Century Gothic" w:cs="Times New Roman"/>
                <w:i/>
                <w:color w:val="000000"/>
                <w:sz w:val="20"/>
                <w:szCs w:val="20"/>
                <w:lang w:val="en-AU"/>
              </w:rPr>
              <w:t xml:space="preserve"> (including committees and liaison) </w:t>
            </w:r>
          </w:p>
          <w:p w14:paraId="67583332" w14:textId="28FCE3D1" w:rsidR="00C73301" w:rsidRDefault="00C73301" w:rsidP="00C73301">
            <w:pPr>
              <w:keepNext/>
              <w:spacing w:after="120"/>
              <w:ind w:right="-340"/>
              <w:rPr>
                <w:rFonts w:ascii="Century Gothic" w:eastAsia="Times New Roman" w:hAnsi="Century Gothic" w:cs="Times New Roman"/>
                <w:color w:val="000000"/>
                <w:sz w:val="20"/>
                <w:szCs w:val="20"/>
                <w:lang w:val="en-AU"/>
              </w:rPr>
            </w:pPr>
          </w:p>
        </w:tc>
        <w:tc>
          <w:tcPr>
            <w:tcW w:w="6113" w:type="dxa"/>
            <w:tcBorders>
              <w:bottom w:val="single" w:sz="4" w:space="0" w:color="auto"/>
            </w:tcBorders>
            <w:shd w:val="clear" w:color="auto" w:fill="DBE5F1" w:themeFill="accent1" w:themeFillTint="33"/>
          </w:tcPr>
          <w:p w14:paraId="3DB101FF" w14:textId="4F87CF81" w:rsidR="00C73301" w:rsidRPr="00AA16BA" w:rsidRDefault="00C73301" w:rsidP="00C73301">
            <w:pPr>
              <w:keepNext/>
              <w:spacing w:after="120"/>
              <w:ind w:right="162"/>
              <w:rPr>
                <w:rFonts w:ascii="Century Gothic" w:eastAsia="Times New Roman" w:hAnsi="Century Gothic" w:cs="Times New Roman"/>
                <w:color w:val="000000"/>
                <w:sz w:val="18"/>
                <w:szCs w:val="18"/>
                <w:lang w:val="en-AU"/>
              </w:rPr>
            </w:pPr>
            <w:r w:rsidRPr="00AA16BA">
              <w:rPr>
                <w:rFonts w:ascii="Century Gothic" w:eastAsia="Times New Roman" w:hAnsi="Century Gothic" w:cs="Times New Roman"/>
                <w:color w:val="000000"/>
                <w:sz w:val="18"/>
                <w:szCs w:val="18"/>
                <w:lang w:val="en-AU"/>
              </w:rPr>
              <w:t xml:space="preserve">General support and advice to schools usually on </w:t>
            </w:r>
            <w:r>
              <w:rPr>
                <w:rFonts w:ascii="Century Gothic" w:eastAsia="Times New Roman" w:hAnsi="Century Gothic" w:cs="Times New Roman"/>
                <w:color w:val="000000"/>
                <w:sz w:val="18"/>
                <w:szCs w:val="18"/>
                <w:lang w:val="en-AU"/>
              </w:rPr>
              <w:t>teaching an</w:t>
            </w:r>
            <w:r w:rsidRPr="00AA16BA">
              <w:rPr>
                <w:rFonts w:ascii="Century Gothic" w:eastAsia="Times New Roman" w:hAnsi="Century Gothic" w:cs="Times New Roman"/>
                <w:color w:val="000000"/>
                <w:sz w:val="18"/>
                <w:szCs w:val="18"/>
                <w:lang w:val="en-AU"/>
              </w:rPr>
              <w:t>d learning but could also include advice on governance and accountability (although some NGRB’s fund that advice from non SFSF funds).</w:t>
            </w:r>
            <w:r w:rsidRPr="00AA16BA">
              <w:rPr>
                <w:sz w:val="18"/>
                <w:szCs w:val="18"/>
              </w:rPr>
              <w:t xml:space="preserve"> </w:t>
            </w:r>
            <w:r w:rsidRPr="00AA16BA">
              <w:rPr>
                <w:rFonts w:ascii="Century Gothic" w:eastAsia="Times New Roman" w:hAnsi="Century Gothic" w:cs="Times New Roman"/>
                <w:color w:val="000000"/>
                <w:sz w:val="18"/>
                <w:szCs w:val="18"/>
                <w:lang w:val="en-AU"/>
              </w:rPr>
              <w:t>Can include vehicles such as committees that develop and recommend materials and</w:t>
            </w:r>
            <w:r w:rsidRPr="00AA16BA">
              <w:rPr>
                <w:sz w:val="18"/>
                <w:szCs w:val="18"/>
              </w:rPr>
              <w:t xml:space="preserve"> </w:t>
            </w:r>
            <w:r w:rsidRPr="00AA16BA">
              <w:rPr>
                <w:rFonts w:ascii="Century Gothic" w:eastAsia="Times New Roman" w:hAnsi="Century Gothic" w:cs="Times New Roman"/>
                <w:color w:val="000000"/>
                <w:sz w:val="18"/>
                <w:szCs w:val="18"/>
                <w:lang w:val="en-AU"/>
              </w:rPr>
              <w:t>processes.</w:t>
            </w:r>
          </w:p>
        </w:tc>
      </w:tr>
    </w:tbl>
    <w:p w14:paraId="3FE12A1E" w14:textId="2FB78660" w:rsidR="00366EBE" w:rsidRDefault="006073E7" w:rsidP="008812DD">
      <w:pPr>
        <w:spacing w:before="12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Other less common modes</w:t>
      </w:r>
      <w:r w:rsidR="00D11B63">
        <w:rPr>
          <w:rFonts w:ascii="Century Gothic" w:eastAsiaTheme="minorHAnsi" w:hAnsi="Century Gothic"/>
          <w:sz w:val="20"/>
          <w:szCs w:val="20"/>
          <w:lang w:val="en-AU"/>
        </w:rPr>
        <w:t xml:space="preserve"> in priority order</w:t>
      </w:r>
      <w:r>
        <w:rPr>
          <w:rFonts w:ascii="Century Gothic" w:eastAsiaTheme="minorHAnsi" w:hAnsi="Century Gothic"/>
          <w:sz w:val="20"/>
          <w:szCs w:val="20"/>
          <w:lang w:val="en-AU"/>
        </w:rPr>
        <w:t xml:space="preserve"> </w:t>
      </w:r>
      <w:r w:rsidR="008A2464">
        <w:rPr>
          <w:rFonts w:ascii="Century Gothic" w:eastAsiaTheme="minorHAnsi" w:hAnsi="Century Gothic"/>
          <w:sz w:val="20"/>
          <w:szCs w:val="20"/>
          <w:lang w:val="en-AU"/>
        </w:rPr>
        <w:t xml:space="preserve">are </w:t>
      </w:r>
      <w:r w:rsidR="00D11B63">
        <w:rPr>
          <w:rFonts w:ascii="Century Gothic" w:eastAsiaTheme="minorHAnsi" w:hAnsi="Century Gothic"/>
          <w:sz w:val="20"/>
          <w:szCs w:val="20"/>
          <w:lang w:val="en-AU"/>
        </w:rPr>
        <w:t xml:space="preserve">in Box 2 </w:t>
      </w:r>
      <w:r w:rsidR="008A2464">
        <w:rPr>
          <w:rFonts w:ascii="Century Gothic" w:eastAsiaTheme="minorHAnsi" w:hAnsi="Century Gothic"/>
          <w:sz w:val="20"/>
          <w:szCs w:val="20"/>
          <w:lang w:val="en-AU"/>
        </w:rPr>
        <w:t xml:space="preserve">below. Some of these are </w:t>
      </w:r>
      <w:r w:rsidR="00D11B63">
        <w:rPr>
          <w:rFonts w:ascii="Century Gothic" w:eastAsiaTheme="minorHAnsi" w:hAnsi="Century Gothic"/>
          <w:sz w:val="20"/>
          <w:szCs w:val="20"/>
          <w:lang w:val="en-AU"/>
        </w:rPr>
        <w:t xml:space="preserve">inherently </w:t>
      </w:r>
      <w:r w:rsidR="008A2464">
        <w:rPr>
          <w:rFonts w:ascii="Century Gothic" w:eastAsiaTheme="minorHAnsi" w:hAnsi="Century Gothic"/>
          <w:sz w:val="20"/>
          <w:szCs w:val="20"/>
          <w:lang w:val="en-AU"/>
        </w:rPr>
        <w:t xml:space="preserve">of a smaller scope </w:t>
      </w:r>
      <w:r w:rsidR="00366EBE">
        <w:rPr>
          <w:rFonts w:ascii="Century Gothic" w:eastAsiaTheme="minorHAnsi" w:hAnsi="Century Gothic"/>
          <w:sz w:val="20"/>
          <w:szCs w:val="20"/>
          <w:lang w:val="en-AU"/>
        </w:rPr>
        <w:t xml:space="preserve">but are valuable </w:t>
      </w:r>
      <w:r w:rsidR="00D11B63">
        <w:rPr>
          <w:rFonts w:ascii="Century Gothic" w:eastAsiaTheme="minorHAnsi" w:hAnsi="Century Gothic"/>
          <w:sz w:val="20"/>
          <w:szCs w:val="20"/>
          <w:lang w:val="en-AU"/>
        </w:rPr>
        <w:t>strategies</w:t>
      </w:r>
      <w:r w:rsidR="00366EBE">
        <w:rPr>
          <w:rFonts w:ascii="Century Gothic" w:eastAsiaTheme="minorHAnsi" w:hAnsi="Century Gothic"/>
          <w:sz w:val="20"/>
          <w:szCs w:val="20"/>
          <w:lang w:val="en-AU"/>
        </w:rPr>
        <w:t xml:space="preserve"> </w:t>
      </w:r>
      <w:r w:rsidR="008A2464">
        <w:rPr>
          <w:rFonts w:ascii="Century Gothic" w:eastAsiaTheme="minorHAnsi" w:hAnsi="Century Gothic"/>
          <w:sz w:val="20"/>
          <w:szCs w:val="20"/>
          <w:lang w:val="en-AU"/>
        </w:rPr>
        <w:t xml:space="preserve">– such as research </w:t>
      </w:r>
      <w:r w:rsidR="00AA16BA">
        <w:rPr>
          <w:rFonts w:ascii="Century Gothic" w:eastAsiaTheme="minorHAnsi" w:hAnsi="Century Gothic"/>
          <w:sz w:val="20"/>
          <w:szCs w:val="20"/>
          <w:lang w:val="en-AU"/>
        </w:rPr>
        <w:t>initiatives</w:t>
      </w:r>
      <w:r w:rsidR="00366EBE">
        <w:rPr>
          <w:rFonts w:ascii="Century Gothic" w:eastAsiaTheme="minorHAnsi" w:hAnsi="Century Gothic"/>
          <w:sz w:val="20"/>
          <w:szCs w:val="20"/>
          <w:lang w:val="en-AU"/>
        </w:rPr>
        <w:t xml:space="preserve"> involving practitioners</w:t>
      </w:r>
      <w:r w:rsidR="00AA16BA">
        <w:rPr>
          <w:rFonts w:ascii="Century Gothic" w:eastAsiaTheme="minorHAnsi" w:hAnsi="Century Gothic"/>
          <w:sz w:val="20"/>
          <w:szCs w:val="20"/>
          <w:lang w:val="en-AU"/>
        </w:rPr>
        <w:t xml:space="preserve">; others </w:t>
      </w:r>
      <w:r w:rsidR="00D11B63">
        <w:rPr>
          <w:rFonts w:ascii="Century Gothic" w:eastAsiaTheme="minorHAnsi" w:hAnsi="Century Gothic"/>
          <w:sz w:val="20"/>
          <w:szCs w:val="20"/>
          <w:lang w:val="en-AU"/>
        </w:rPr>
        <w:t xml:space="preserve">(e.g. producing kits and guidelines) </w:t>
      </w:r>
      <w:r w:rsidR="00AA16BA">
        <w:rPr>
          <w:rFonts w:ascii="Century Gothic" w:eastAsiaTheme="minorHAnsi" w:hAnsi="Century Gothic"/>
          <w:sz w:val="20"/>
          <w:szCs w:val="20"/>
          <w:lang w:val="en-AU"/>
        </w:rPr>
        <w:t>are being replaced overtime by more effective strategies</w:t>
      </w:r>
      <w:r w:rsidR="00D11B63">
        <w:rPr>
          <w:rFonts w:ascii="Century Gothic" w:eastAsiaTheme="minorHAnsi" w:hAnsi="Century Gothic"/>
          <w:sz w:val="20"/>
          <w:szCs w:val="20"/>
          <w:lang w:val="en-AU"/>
        </w:rPr>
        <w:t>; and</w:t>
      </w:r>
      <w:r w:rsidR="00AA16BA">
        <w:rPr>
          <w:rFonts w:ascii="Century Gothic" w:eastAsiaTheme="minorHAnsi" w:hAnsi="Century Gothic"/>
          <w:sz w:val="20"/>
          <w:szCs w:val="20"/>
          <w:lang w:val="en-AU"/>
        </w:rPr>
        <w:t xml:space="preserve"> others will grow </w:t>
      </w:r>
      <w:r w:rsidR="008812DD">
        <w:rPr>
          <w:rFonts w:ascii="Century Gothic" w:eastAsiaTheme="minorHAnsi" w:hAnsi="Century Gothic"/>
          <w:sz w:val="20"/>
          <w:szCs w:val="20"/>
          <w:lang w:val="en-AU"/>
        </w:rPr>
        <w:t xml:space="preserve">in the future </w:t>
      </w:r>
      <w:r w:rsidR="00AA16BA">
        <w:rPr>
          <w:rFonts w:ascii="Century Gothic" w:eastAsiaTheme="minorHAnsi" w:hAnsi="Century Gothic"/>
          <w:sz w:val="20"/>
          <w:szCs w:val="20"/>
          <w:lang w:val="en-AU"/>
        </w:rPr>
        <w:t>(e.g. on-line tools</w:t>
      </w:r>
      <w:r w:rsidR="00366EBE">
        <w:rPr>
          <w:rFonts w:ascii="Century Gothic" w:eastAsiaTheme="minorHAnsi" w:hAnsi="Century Gothic"/>
          <w:sz w:val="20"/>
          <w:szCs w:val="20"/>
          <w:lang w:val="en-AU"/>
        </w:rPr>
        <w:t>)</w:t>
      </w:r>
      <w:r w:rsidR="008812DD">
        <w:rPr>
          <w:rFonts w:ascii="Century Gothic" w:eastAsiaTheme="minorHAnsi" w:hAnsi="Century Gothic"/>
          <w:sz w:val="20"/>
          <w:szCs w:val="20"/>
          <w:lang w:val="en-AU"/>
        </w:rPr>
        <w:t xml:space="preserve">. These </w:t>
      </w:r>
      <w:r w:rsidR="00D11B63">
        <w:rPr>
          <w:rFonts w:ascii="Century Gothic" w:eastAsiaTheme="minorHAnsi" w:hAnsi="Century Gothic"/>
          <w:sz w:val="20"/>
          <w:szCs w:val="20"/>
          <w:lang w:val="en-AU"/>
        </w:rPr>
        <w:t xml:space="preserve">strategies are </w:t>
      </w:r>
      <w:r w:rsidR="007C7FAF">
        <w:rPr>
          <w:rFonts w:ascii="Century Gothic" w:eastAsiaTheme="minorHAnsi" w:hAnsi="Century Gothic"/>
          <w:sz w:val="20"/>
          <w:szCs w:val="20"/>
          <w:lang w:val="en-AU"/>
        </w:rPr>
        <w:t>not resource intensive.</w:t>
      </w:r>
    </w:p>
    <w:p w14:paraId="79E10800" w14:textId="20CD61D2" w:rsidR="00EF56C2" w:rsidRPr="00751344" w:rsidRDefault="00366EBE" w:rsidP="00751344">
      <w:pPr>
        <w:spacing w:after="120" w:line="276" w:lineRule="auto"/>
        <w:ind w:right="-340"/>
        <w:jc w:val="both"/>
        <w:rPr>
          <w:rFonts w:ascii="Century Gothic" w:eastAsiaTheme="minorHAnsi" w:hAnsi="Century Gothic"/>
          <w:b/>
          <w:color w:val="4F81BD" w:themeColor="accent1"/>
          <w:sz w:val="20"/>
          <w:szCs w:val="20"/>
          <w:lang w:val="en-AU"/>
        </w:rPr>
      </w:pPr>
      <w:r w:rsidRPr="00751344">
        <w:rPr>
          <w:rFonts w:ascii="Century Gothic" w:eastAsiaTheme="minorHAnsi" w:hAnsi="Century Gothic"/>
          <w:b/>
          <w:color w:val="4F81BD" w:themeColor="accent1"/>
          <w:sz w:val="20"/>
          <w:szCs w:val="20"/>
          <w:lang w:val="en-AU"/>
        </w:rPr>
        <w:t>Box 2</w:t>
      </w:r>
      <w:r w:rsidR="005B53FF" w:rsidRPr="00751344">
        <w:rPr>
          <w:rFonts w:ascii="Century Gothic" w:eastAsiaTheme="minorHAnsi" w:hAnsi="Century Gothic"/>
          <w:b/>
          <w:color w:val="4F81BD" w:themeColor="accent1"/>
          <w:sz w:val="20"/>
          <w:szCs w:val="20"/>
          <w:lang w:val="en-AU"/>
        </w:rPr>
        <w:t xml:space="preserve">. </w:t>
      </w:r>
      <w:r w:rsidRPr="00751344">
        <w:rPr>
          <w:rFonts w:ascii="Century Gothic" w:eastAsiaTheme="minorHAnsi" w:hAnsi="Century Gothic"/>
          <w:b/>
          <w:color w:val="4F81BD" w:themeColor="accent1"/>
          <w:sz w:val="20"/>
          <w:szCs w:val="20"/>
          <w:lang w:val="en-AU"/>
        </w:rPr>
        <w:t xml:space="preserve">Less common SFSF school improvement </w:t>
      </w:r>
      <w:r w:rsidR="00507F0F" w:rsidRPr="00751344">
        <w:rPr>
          <w:rFonts w:ascii="Century Gothic" w:eastAsiaTheme="minorHAnsi" w:hAnsi="Century Gothic"/>
          <w:b/>
          <w:color w:val="4F81BD" w:themeColor="accent1"/>
          <w:sz w:val="20"/>
          <w:szCs w:val="20"/>
          <w:lang w:val="en-AU"/>
        </w:rPr>
        <w:t>strategies (</w:t>
      </w:r>
      <w:r w:rsidR="00507F0F">
        <w:rPr>
          <w:rFonts w:ascii="Century Gothic" w:eastAsiaTheme="minorHAnsi" w:hAnsi="Century Gothic"/>
          <w:b/>
          <w:color w:val="4F81BD" w:themeColor="accent1"/>
          <w:sz w:val="20"/>
          <w:szCs w:val="20"/>
          <w:lang w:val="en-AU"/>
        </w:rPr>
        <w:t>priority</w:t>
      </w:r>
      <w:r w:rsidR="007C7FAF">
        <w:rPr>
          <w:rFonts w:ascii="Century Gothic" w:eastAsiaTheme="minorHAnsi" w:hAnsi="Century Gothic"/>
          <w:b/>
          <w:color w:val="4F81BD" w:themeColor="accent1"/>
          <w:sz w:val="20"/>
          <w:szCs w:val="20"/>
          <w:lang w:val="en-AU"/>
        </w:rPr>
        <w:t xml:space="preserve"> order)</w:t>
      </w:r>
    </w:p>
    <w:tbl>
      <w:tblPr>
        <w:tblW w:w="9090" w:type="dxa"/>
        <w:tblInd w:w="108" w:type="dxa"/>
        <w:tblLayout w:type="fixed"/>
        <w:tblLook w:val="04A0" w:firstRow="1" w:lastRow="0" w:firstColumn="1" w:lastColumn="0" w:noHBand="0" w:noVBand="1"/>
        <w:tblCaption w:val="Box 2. Less common SFSF school improvement strategies (priority order)"/>
      </w:tblPr>
      <w:tblGrid>
        <w:gridCol w:w="2977"/>
        <w:gridCol w:w="6113"/>
      </w:tblGrid>
      <w:tr w:rsidR="00EF56C2" w:rsidRPr="008812DD" w14:paraId="69967C59" w14:textId="77777777" w:rsidTr="00CD1809">
        <w:trPr>
          <w:tblHeader/>
        </w:trPr>
        <w:tc>
          <w:tcPr>
            <w:tcW w:w="2977" w:type="dxa"/>
            <w:tcBorders>
              <w:top w:val="single" w:sz="4" w:space="0" w:color="auto"/>
            </w:tcBorders>
            <w:shd w:val="clear" w:color="auto" w:fill="DBE5F1" w:themeFill="accent1" w:themeFillTint="33"/>
          </w:tcPr>
          <w:p w14:paraId="48FCE38E" w14:textId="4A172A49" w:rsidR="00EF56C2" w:rsidRPr="00CD1809" w:rsidRDefault="00C73301" w:rsidP="008812DD">
            <w:pPr>
              <w:spacing w:before="120" w:after="120"/>
              <w:ind w:left="34"/>
              <w:rPr>
                <w:rFonts w:ascii="Century Gothic" w:eastAsia="Times New Roman" w:hAnsi="Century Gothic" w:cs="Times New Roman"/>
                <w:b/>
                <w:i/>
                <w:color w:val="000000"/>
                <w:sz w:val="18"/>
                <w:szCs w:val="18"/>
                <w:lang w:val="en-AU"/>
              </w:rPr>
            </w:pPr>
            <w:r w:rsidRPr="00CD1809">
              <w:rPr>
                <w:rFonts w:ascii="Century Gothic" w:eastAsia="Times New Roman" w:hAnsi="Century Gothic" w:cs="Times New Roman"/>
                <w:b/>
                <w:i/>
                <w:color w:val="000000"/>
                <w:sz w:val="18"/>
                <w:szCs w:val="18"/>
                <w:lang w:val="en-AU"/>
              </w:rPr>
              <w:t xml:space="preserve">Strategy </w:t>
            </w:r>
          </w:p>
        </w:tc>
        <w:tc>
          <w:tcPr>
            <w:tcW w:w="6113" w:type="dxa"/>
            <w:tcBorders>
              <w:top w:val="single" w:sz="4" w:space="0" w:color="auto"/>
            </w:tcBorders>
            <w:shd w:val="clear" w:color="auto" w:fill="DBE5F1" w:themeFill="accent1" w:themeFillTint="33"/>
          </w:tcPr>
          <w:p w14:paraId="28B2ACA8" w14:textId="32F13E00" w:rsidR="00EF56C2" w:rsidRPr="00CD1809" w:rsidRDefault="00C73301" w:rsidP="00EF56C2">
            <w:pPr>
              <w:spacing w:before="120" w:after="120"/>
              <w:ind w:right="162"/>
              <w:rPr>
                <w:rFonts w:ascii="Century Gothic" w:eastAsia="Times New Roman" w:hAnsi="Century Gothic" w:cs="Times New Roman"/>
                <w:b/>
                <w:color w:val="000000"/>
                <w:sz w:val="18"/>
                <w:szCs w:val="18"/>
                <w:lang w:val="en-AU"/>
              </w:rPr>
            </w:pPr>
            <w:r w:rsidRPr="00CD1809">
              <w:rPr>
                <w:rFonts w:ascii="Century Gothic" w:eastAsiaTheme="minorHAnsi" w:hAnsi="Century Gothic"/>
                <w:b/>
                <w:sz w:val="18"/>
                <w:szCs w:val="18"/>
                <w:lang w:val="en-AU"/>
              </w:rPr>
              <w:t>Details</w:t>
            </w:r>
          </w:p>
        </w:tc>
      </w:tr>
      <w:tr w:rsidR="00C73301" w:rsidRPr="008812DD" w14:paraId="3EA0F3EC" w14:textId="77777777" w:rsidTr="00EF56C2">
        <w:tc>
          <w:tcPr>
            <w:tcW w:w="2977" w:type="dxa"/>
            <w:tcBorders>
              <w:top w:val="single" w:sz="4" w:space="0" w:color="auto"/>
            </w:tcBorders>
            <w:shd w:val="clear" w:color="auto" w:fill="DBE5F1" w:themeFill="accent1" w:themeFillTint="33"/>
          </w:tcPr>
          <w:p w14:paraId="1137A441" w14:textId="27482AB2" w:rsidR="00C73301" w:rsidRPr="008812DD" w:rsidRDefault="00C73301" w:rsidP="00C73301">
            <w:pPr>
              <w:spacing w:before="120" w:after="120"/>
              <w:ind w:left="34"/>
              <w:rPr>
                <w:rFonts w:ascii="Century Gothic" w:eastAsia="Times New Roman" w:hAnsi="Century Gothic" w:cs="Times New Roman"/>
                <w:i/>
                <w:color w:val="000000"/>
                <w:sz w:val="18"/>
                <w:szCs w:val="18"/>
                <w:lang w:val="en-AU"/>
              </w:rPr>
            </w:pPr>
            <w:r w:rsidRPr="008812DD">
              <w:rPr>
                <w:rFonts w:ascii="Century Gothic" w:eastAsia="Times New Roman" w:hAnsi="Century Gothic" w:cs="Times New Roman"/>
                <w:i/>
                <w:color w:val="000000"/>
                <w:sz w:val="18"/>
                <w:szCs w:val="18"/>
                <w:lang w:val="en-AU"/>
              </w:rPr>
              <w:t>Resource provision</w:t>
            </w:r>
          </w:p>
        </w:tc>
        <w:tc>
          <w:tcPr>
            <w:tcW w:w="6113" w:type="dxa"/>
            <w:tcBorders>
              <w:top w:val="single" w:sz="4" w:space="0" w:color="auto"/>
            </w:tcBorders>
            <w:shd w:val="clear" w:color="auto" w:fill="DBE5F1" w:themeFill="accent1" w:themeFillTint="33"/>
          </w:tcPr>
          <w:p w14:paraId="1EA51846" w14:textId="169ABF71" w:rsidR="00C73301" w:rsidRDefault="00C73301" w:rsidP="00C73301">
            <w:pPr>
              <w:spacing w:before="120" w:after="120"/>
              <w:ind w:right="162"/>
              <w:rPr>
                <w:rFonts w:ascii="Century Gothic" w:eastAsiaTheme="minorHAnsi" w:hAnsi="Century Gothic"/>
                <w:sz w:val="18"/>
                <w:szCs w:val="18"/>
                <w:lang w:val="en-AU"/>
              </w:rPr>
            </w:pPr>
            <w:r>
              <w:rPr>
                <w:rFonts w:ascii="Century Gothic" w:eastAsiaTheme="minorHAnsi" w:hAnsi="Century Gothic"/>
                <w:sz w:val="18"/>
                <w:szCs w:val="18"/>
                <w:lang w:val="en-AU"/>
              </w:rPr>
              <w:t>T</w:t>
            </w:r>
            <w:r w:rsidRPr="008812DD">
              <w:rPr>
                <w:rFonts w:ascii="Century Gothic" w:eastAsiaTheme="minorHAnsi" w:hAnsi="Century Gothic"/>
                <w:sz w:val="18"/>
                <w:szCs w:val="18"/>
                <w:lang w:val="en-AU"/>
              </w:rPr>
              <w:t>he production of explanatory guidelines, kits, how-to handbooks on key themes</w:t>
            </w:r>
            <w:r w:rsidRPr="008812DD">
              <w:rPr>
                <w:rFonts w:ascii="Century Gothic" w:eastAsia="Times New Roman" w:hAnsi="Century Gothic" w:cs="Times New Roman"/>
                <w:color w:val="000000"/>
                <w:sz w:val="18"/>
                <w:szCs w:val="18"/>
                <w:lang w:val="en-AU"/>
              </w:rPr>
              <w:t xml:space="preserve">. </w:t>
            </w:r>
          </w:p>
        </w:tc>
      </w:tr>
      <w:tr w:rsidR="00C73301" w:rsidRPr="008812DD" w14:paraId="2F39C051" w14:textId="77777777" w:rsidTr="00EF56C2">
        <w:tc>
          <w:tcPr>
            <w:tcW w:w="2977" w:type="dxa"/>
            <w:shd w:val="clear" w:color="auto" w:fill="DBE5F1" w:themeFill="accent1" w:themeFillTint="33"/>
          </w:tcPr>
          <w:p w14:paraId="4D2D61EF" w14:textId="37F9A5B1" w:rsidR="00C73301" w:rsidRPr="008812DD" w:rsidRDefault="00C73301" w:rsidP="00C73301">
            <w:pPr>
              <w:spacing w:after="120"/>
              <w:ind w:left="34"/>
              <w:rPr>
                <w:rFonts w:ascii="Century Gothic" w:eastAsia="Times New Roman" w:hAnsi="Century Gothic" w:cs="Times New Roman"/>
                <w:i/>
                <w:color w:val="000000"/>
                <w:sz w:val="18"/>
                <w:szCs w:val="18"/>
                <w:lang w:val="en-AU"/>
              </w:rPr>
            </w:pPr>
            <w:r w:rsidRPr="008812DD">
              <w:rPr>
                <w:rFonts w:ascii="Century Gothic" w:eastAsia="Times New Roman" w:hAnsi="Century Gothic" w:cs="Times New Roman"/>
                <w:i/>
                <w:color w:val="000000"/>
                <w:sz w:val="18"/>
                <w:szCs w:val="18"/>
                <w:lang w:val="en-AU"/>
              </w:rPr>
              <w:t>Research practitioner</w:t>
            </w:r>
          </w:p>
        </w:tc>
        <w:tc>
          <w:tcPr>
            <w:tcW w:w="6113" w:type="dxa"/>
            <w:shd w:val="clear" w:color="auto" w:fill="DBE5F1" w:themeFill="accent1" w:themeFillTint="33"/>
          </w:tcPr>
          <w:p w14:paraId="6112F479" w14:textId="6CE5DFFC" w:rsidR="00C73301" w:rsidRPr="008812DD" w:rsidRDefault="00C73301" w:rsidP="00C73301">
            <w:pPr>
              <w:spacing w:after="120"/>
              <w:ind w:right="162"/>
              <w:rPr>
                <w:rFonts w:ascii="Century Gothic" w:eastAsia="Times New Roman" w:hAnsi="Century Gothic" w:cs="Times New Roman"/>
                <w:color w:val="000000"/>
                <w:sz w:val="18"/>
                <w:szCs w:val="18"/>
                <w:lang w:val="en-AU"/>
              </w:rPr>
            </w:pPr>
            <w:r>
              <w:rPr>
                <w:rFonts w:ascii="Century Gothic" w:eastAsiaTheme="minorHAnsi" w:hAnsi="Century Gothic"/>
                <w:sz w:val="18"/>
                <w:szCs w:val="18"/>
                <w:lang w:val="en-AU"/>
              </w:rPr>
              <w:t>T</w:t>
            </w:r>
            <w:r w:rsidRPr="008812DD">
              <w:rPr>
                <w:rFonts w:ascii="Century Gothic" w:eastAsiaTheme="minorHAnsi" w:hAnsi="Century Gothic"/>
                <w:sz w:val="18"/>
                <w:szCs w:val="18"/>
                <w:lang w:val="en-AU"/>
              </w:rPr>
              <w:t>eacher funded as a researcher; usually linked with a university or central body where a teacher or group of teachers develop an enquiry to respond to a key professional or research question</w:t>
            </w:r>
            <w:r w:rsidRPr="008812DD">
              <w:rPr>
                <w:rFonts w:ascii="Century Gothic" w:eastAsia="Times New Roman" w:hAnsi="Century Gothic" w:cs="Times New Roman"/>
                <w:color w:val="000000"/>
                <w:sz w:val="18"/>
                <w:szCs w:val="18"/>
                <w:lang w:val="en-AU"/>
              </w:rPr>
              <w:t>.</w:t>
            </w:r>
          </w:p>
        </w:tc>
      </w:tr>
      <w:tr w:rsidR="00C73301" w:rsidRPr="008812DD" w14:paraId="23A8B296" w14:textId="77777777" w:rsidTr="00856E81">
        <w:trPr>
          <w:trHeight w:val="882"/>
        </w:trPr>
        <w:tc>
          <w:tcPr>
            <w:tcW w:w="2977" w:type="dxa"/>
            <w:shd w:val="clear" w:color="auto" w:fill="DBE5F1" w:themeFill="accent1" w:themeFillTint="33"/>
          </w:tcPr>
          <w:p w14:paraId="5593AEA7" w14:textId="3A2E7B6B" w:rsidR="00C73301" w:rsidRPr="008812DD" w:rsidRDefault="00C73301" w:rsidP="00C73301">
            <w:pPr>
              <w:spacing w:after="120"/>
              <w:ind w:left="34"/>
              <w:rPr>
                <w:rFonts w:ascii="Century Gothic" w:eastAsia="Times New Roman" w:hAnsi="Century Gothic" w:cs="Times New Roman"/>
                <w:color w:val="000000"/>
                <w:sz w:val="18"/>
                <w:szCs w:val="18"/>
                <w:lang w:val="en-AU"/>
              </w:rPr>
            </w:pPr>
            <w:r w:rsidRPr="008812DD">
              <w:rPr>
                <w:rFonts w:ascii="Century Gothic" w:eastAsia="Times New Roman" w:hAnsi="Century Gothic" w:cs="Times New Roman"/>
                <w:i/>
                <w:color w:val="000000"/>
                <w:sz w:val="18"/>
                <w:szCs w:val="18"/>
                <w:lang w:val="en-AU"/>
              </w:rPr>
              <w:t>Research academic</w:t>
            </w:r>
          </w:p>
        </w:tc>
        <w:tc>
          <w:tcPr>
            <w:tcW w:w="6113" w:type="dxa"/>
            <w:shd w:val="clear" w:color="auto" w:fill="DBE5F1" w:themeFill="accent1" w:themeFillTint="33"/>
          </w:tcPr>
          <w:p w14:paraId="1DA02499" w14:textId="1C35AABA" w:rsidR="00C73301" w:rsidRPr="008812DD" w:rsidRDefault="00C73301" w:rsidP="00C73301">
            <w:pPr>
              <w:spacing w:after="120"/>
              <w:ind w:right="162"/>
              <w:rPr>
                <w:rFonts w:ascii="Century Gothic" w:eastAsia="Times New Roman" w:hAnsi="Century Gothic" w:cs="Times New Roman"/>
                <w:color w:val="000000"/>
                <w:sz w:val="18"/>
                <w:szCs w:val="18"/>
                <w:lang w:val="en-AU"/>
              </w:rPr>
            </w:pPr>
            <w:r>
              <w:rPr>
                <w:rFonts w:ascii="Century Gothic" w:eastAsiaTheme="minorHAnsi" w:hAnsi="Century Gothic"/>
                <w:sz w:val="18"/>
                <w:szCs w:val="18"/>
                <w:lang w:val="en-AU"/>
              </w:rPr>
              <w:t>R</w:t>
            </w:r>
            <w:r w:rsidRPr="008812DD">
              <w:rPr>
                <w:rFonts w:ascii="Century Gothic" w:eastAsiaTheme="minorHAnsi" w:hAnsi="Century Gothic"/>
                <w:sz w:val="18"/>
                <w:szCs w:val="18"/>
                <w:lang w:val="en-AU"/>
              </w:rPr>
              <w:t>esources provided to an academic institution or person to enquire into a professional research issue and make results available</w:t>
            </w:r>
            <w:r w:rsidRPr="008812DD">
              <w:rPr>
                <w:rFonts w:ascii="Century Gothic" w:eastAsia="Times New Roman" w:hAnsi="Century Gothic" w:cs="Times New Roman"/>
                <w:color w:val="000000"/>
                <w:sz w:val="18"/>
                <w:szCs w:val="18"/>
                <w:lang w:val="en-AU"/>
              </w:rPr>
              <w:t>.</w:t>
            </w:r>
          </w:p>
        </w:tc>
      </w:tr>
      <w:tr w:rsidR="00C73301" w:rsidRPr="008812DD" w14:paraId="548D65C4" w14:textId="77777777" w:rsidTr="00EF56C2">
        <w:tc>
          <w:tcPr>
            <w:tcW w:w="2977" w:type="dxa"/>
            <w:tcBorders>
              <w:bottom w:val="single" w:sz="4" w:space="0" w:color="auto"/>
            </w:tcBorders>
            <w:shd w:val="clear" w:color="auto" w:fill="DBE5F1" w:themeFill="accent1" w:themeFillTint="33"/>
          </w:tcPr>
          <w:p w14:paraId="0D142243" w14:textId="45045F1A" w:rsidR="00C73301" w:rsidRPr="00C97557" w:rsidRDefault="00C73301" w:rsidP="00C73301">
            <w:pPr>
              <w:spacing w:after="120"/>
              <w:rPr>
                <w:rFonts w:ascii="Century Gothic" w:eastAsia="Times New Roman" w:hAnsi="Century Gothic" w:cs="Times New Roman"/>
                <w:i/>
                <w:color w:val="000000"/>
                <w:sz w:val="18"/>
                <w:szCs w:val="18"/>
                <w:lang w:val="en-AU"/>
              </w:rPr>
            </w:pPr>
            <w:r w:rsidRPr="00C97557">
              <w:rPr>
                <w:rFonts w:ascii="Century Gothic" w:eastAsiaTheme="minorHAnsi" w:hAnsi="Century Gothic"/>
                <w:i/>
                <w:sz w:val="18"/>
                <w:szCs w:val="18"/>
                <w:lang w:val="en-AU"/>
              </w:rPr>
              <w:t xml:space="preserve">Awareness and information </w:t>
            </w:r>
          </w:p>
        </w:tc>
        <w:tc>
          <w:tcPr>
            <w:tcW w:w="6113" w:type="dxa"/>
            <w:tcBorders>
              <w:bottom w:val="single" w:sz="4" w:space="0" w:color="auto"/>
            </w:tcBorders>
            <w:shd w:val="clear" w:color="auto" w:fill="DBE5F1" w:themeFill="accent1" w:themeFillTint="33"/>
          </w:tcPr>
          <w:p w14:paraId="58732633" w14:textId="6B0B8758" w:rsidR="00C73301" w:rsidRPr="008812DD" w:rsidRDefault="00C73301" w:rsidP="00C73301">
            <w:pPr>
              <w:spacing w:after="120"/>
              <w:ind w:right="162"/>
              <w:rPr>
                <w:rFonts w:ascii="Century Gothic" w:eastAsia="Times New Roman" w:hAnsi="Century Gothic" w:cs="Times New Roman"/>
                <w:color w:val="000000"/>
                <w:sz w:val="18"/>
                <w:szCs w:val="18"/>
                <w:lang w:val="en-AU"/>
              </w:rPr>
            </w:pPr>
            <w:r>
              <w:rPr>
                <w:rFonts w:ascii="Century Gothic" w:eastAsiaTheme="minorHAnsi" w:hAnsi="Century Gothic"/>
                <w:iCs/>
                <w:sz w:val="18"/>
                <w:szCs w:val="18"/>
                <w:lang w:val="en-AU"/>
              </w:rPr>
              <w:t xml:space="preserve">Information campaigns </w:t>
            </w:r>
            <w:r w:rsidRPr="008812DD">
              <w:rPr>
                <w:rFonts w:ascii="Century Gothic" w:eastAsiaTheme="minorHAnsi" w:hAnsi="Century Gothic"/>
                <w:sz w:val="18"/>
                <w:szCs w:val="18"/>
                <w:lang w:val="en-AU"/>
              </w:rPr>
              <w:t>on new policies and programs</w:t>
            </w:r>
          </w:p>
        </w:tc>
      </w:tr>
    </w:tbl>
    <w:p w14:paraId="1FB09A3A" w14:textId="77777777" w:rsidR="006C7EB4" w:rsidRPr="00EE780E" w:rsidRDefault="006C7EB4" w:rsidP="00EE780E">
      <w:pPr>
        <w:spacing w:before="120" w:after="120" w:line="276" w:lineRule="auto"/>
        <w:ind w:right="-340"/>
        <w:jc w:val="both"/>
        <w:rPr>
          <w:rFonts w:ascii="Century Gothic" w:eastAsiaTheme="minorHAnsi" w:hAnsi="Century Gothic"/>
          <w:b/>
          <w:color w:val="4F81BD" w:themeColor="accent1"/>
          <w:sz w:val="20"/>
          <w:szCs w:val="20"/>
          <w:lang w:val="en-AU"/>
        </w:rPr>
      </w:pPr>
      <w:bookmarkStart w:id="44" w:name="_Toc472261238"/>
      <w:bookmarkStart w:id="45" w:name="_Toc472262581"/>
      <w:bookmarkStart w:id="46" w:name="_Toc472263264"/>
      <w:bookmarkStart w:id="47" w:name="_Toc346123956"/>
      <w:r w:rsidRPr="00EE780E">
        <w:rPr>
          <w:rFonts w:ascii="Century Gothic" w:eastAsiaTheme="minorHAnsi" w:hAnsi="Century Gothic"/>
          <w:b/>
          <w:color w:val="4F81BD" w:themeColor="accent1"/>
          <w:sz w:val="20"/>
          <w:szCs w:val="20"/>
          <w:lang w:val="en-AU"/>
        </w:rPr>
        <w:t>Rationale for delivery models</w:t>
      </w:r>
      <w:bookmarkEnd w:id="44"/>
      <w:bookmarkEnd w:id="45"/>
      <w:bookmarkEnd w:id="46"/>
      <w:bookmarkEnd w:id="47"/>
    </w:p>
    <w:p w14:paraId="2C9455B9" w14:textId="176EC3E8" w:rsidR="00AA07C4" w:rsidRDefault="00AA07C4" w:rsidP="00EE780E">
      <w:pPr>
        <w:spacing w:after="120" w:line="276" w:lineRule="auto"/>
        <w:ind w:right="-340"/>
        <w:jc w:val="both"/>
        <w:rPr>
          <w:rFonts w:ascii="Century Gothic" w:eastAsiaTheme="minorHAnsi" w:hAnsi="Century Gothic"/>
          <w:sz w:val="20"/>
          <w:szCs w:val="20"/>
          <w:lang w:val="en-AU"/>
        </w:rPr>
      </w:pPr>
      <w:r w:rsidRPr="00BB501E">
        <w:rPr>
          <w:rFonts w:ascii="Century Gothic" w:eastAsiaTheme="minorHAnsi" w:hAnsi="Century Gothic"/>
          <w:sz w:val="20"/>
          <w:szCs w:val="20"/>
          <w:lang w:val="en-AU"/>
        </w:rPr>
        <w:t xml:space="preserve">As indicated above some NGRB’s have changed their approach to the use of SFSF funds over the course of the program – driven partly by evaluations of programs e.g. the </w:t>
      </w:r>
      <w:r w:rsidR="00935D6A">
        <w:rPr>
          <w:rFonts w:ascii="Century Gothic" w:eastAsiaTheme="minorHAnsi" w:hAnsi="Century Gothic"/>
          <w:sz w:val="20"/>
          <w:szCs w:val="20"/>
          <w:lang w:val="en-AU"/>
        </w:rPr>
        <w:t>TAS CEO</w:t>
      </w:r>
      <w:r w:rsidRPr="00BB501E">
        <w:rPr>
          <w:rFonts w:ascii="Century Gothic" w:eastAsiaTheme="minorHAnsi" w:hAnsi="Century Gothic"/>
          <w:sz w:val="20"/>
          <w:szCs w:val="20"/>
          <w:lang w:val="en-AU"/>
        </w:rPr>
        <w:t xml:space="preserve"> discontinued support for an Indonesian immersion program</w:t>
      </w:r>
      <w:r>
        <w:rPr>
          <w:rFonts w:ascii="Century Gothic" w:eastAsiaTheme="minorHAnsi" w:hAnsi="Century Gothic"/>
          <w:sz w:val="20"/>
          <w:szCs w:val="20"/>
          <w:lang w:val="en-AU"/>
        </w:rPr>
        <w:t xml:space="preserve"> in</w:t>
      </w:r>
      <w:r w:rsidRPr="00BB501E">
        <w:rPr>
          <w:rFonts w:ascii="Century Gothic" w:eastAsiaTheme="minorHAnsi" w:hAnsi="Century Gothic"/>
          <w:sz w:val="20"/>
          <w:szCs w:val="20"/>
          <w:lang w:val="en-AU"/>
        </w:rPr>
        <w:t xml:space="preserve"> part because little ‘</w:t>
      </w:r>
      <w:r>
        <w:rPr>
          <w:rFonts w:ascii="Century Gothic" w:eastAsiaTheme="minorHAnsi" w:hAnsi="Century Gothic"/>
          <w:sz w:val="20"/>
          <w:szCs w:val="20"/>
          <w:lang w:val="en-AU"/>
        </w:rPr>
        <w:t xml:space="preserve">value’ was added to the system </w:t>
      </w:r>
      <w:r w:rsidRPr="00BB501E">
        <w:rPr>
          <w:rFonts w:ascii="Century Gothic" w:eastAsiaTheme="minorHAnsi" w:hAnsi="Century Gothic"/>
          <w:sz w:val="20"/>
          <w:szCs w:val="20"/>
          <w:lang w:val="en-AU"/>
        </w:rPr>
        <w:t xml:space="preserve">but also </w:t>
      </w:r>
      <w:r>
        <w:rPr>
          <w:rFonts w:ascii="Century Gothic" w:eastAsiaTheme="minorHAnsi" w:hAnsi="Century Gothic"/>
          <w:sz w:val="20"/>
          <w:szCs w:val="20"/>
          <w:lang w:val="en-AU"/>
        </w:rPr>
        <w:t>as a result of</w:t>
      </w:r>
      <w:r w:rsidRPr="00BB501E">
        <w:rPr>
          <w:rFonts w:ascii="Century Gothic" w:eastAsiaTheme="minorHAnsi" w:hAnsi="Century Gothic"/>
          <w:sz w:val="20"/>
          <w:szCs w:val="20"/>
          <w:lang w:val="en-AU"/>
        </w:rPr>
        <w:t xml:space="preserve"> the </w:t>
      </w:r>
      <w:r>
        <w:rPr>
          <w:rFonts w:ascii="Century Gothic" w:eastAsiaTheme="minorHAnsi" w:hAnsi="Century Gothic"/>
          <w:sz w:val="20"/>
          <w:szCs w:val="20"/>
          <w:lang w:val="en-AU"/>
        </w:rPr>
        <w:t xml:space="preserve">time and certainty provided by knowing that funding was available to 2017; AIS </w:t>
      </w:r>
      <w:r w:rsidRPr="00E51162">
        <w:rPr>
          <w:rFonts w:ascii="Century Gothic" w:eastAsiaTheme="minorHAnsi" w:hAnsi="Century Gothic"/>
          <w:sz w:val="20"/>
          <w:szCs w:val="20"/>
          <w:lang w:val="en-AU"/>
        </w:rPr>
        <w:t xml:space="preserve">NSW has refined and extended nine projects; ceased one, the ICT Review and Support Project; and added an initiative for Consistent Collection of Data on students with a disability. </w:t>
      </w:r>
      <w:r w:rsidR="00BB77EE">
        <w:rPr>
          <w:rFonts w:ascii="Century Gothic" w:eastAsiaTheme="minorHAnsi" w:hAnsi="Century Gothic"/>
          <w:sz w:val="20"/>
          <w:szCs w:val="20"/>
          <w:lang w:val="en-AU"/>
        </w:rPr>
        <w:t xml:space="preserve">ISQ </w:t>
      </w:r>
      <w:r w:rsidRPr="00E51162">
        <w:rPr>
          <w:rFonts w:ascii="Century Gothic" w:eastAsiaTheme="minorHAnsi" w:hAnsi="Century Gothic"/>
          <w:sz w:val="20"/>
          <w:szCs w:val="20"/>
          <w:lang w:val="en-AU"/>
        </w:rPr>
        <w:t>has also reduced the number of projects in 20</w:t>
      </w:r>
      <w:r>
        <w:rPr>
          <w:rFonts w:ascii="Century Gothic" w:eastAsiaTheme="minorHAnsi" w:hAnsi="Century Gothic"/>
          <w:sz w:val="20"/>
          <w:szCs w:val="20"/>
          <w:lang w:val="en-AU"/>
        </w:rPr>
        <w:t>16 so as to sharpen their focus</w:t>
      </w:r>
      <w:r w:rsidRPr="00E51162">
        <w:rPr>
          <w:rFonts w:ascii="Century Gothic" w:eastAsiaTheme="minorHAnsi" w:hAnsi="Century Gothic"/>
          <w:sz w:val="20"/>
          <w:szCs w:val="20"/>
          <w:lang w:val="en-AU"/>
        </w:rPr>
        <w:t>.</w:t>
      </w:r>
    </w:p>
    <w:p w14:paraId="52670C47" w14:textId="68634952" w:rsidR="00843E60" w:rsidRDefault="00843E60"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lastRenderedPageBreak/>
        <w:t xml:space="preserve">In many cases </w:t>
      </w:r>
      <w:r w:rsidR="00DE0C66">
        <w:rPr>
          <w:rFonts w:ascii="Century Gothic" w:eastAsiaTheme="minorHAnsi" w:hAnsi="Century Gothic"/>
          <w:sz w:val="20"/>
          <w:szCs w:val="20"/>
          <w:lang w:val="en-AU"/>
        </w:rPr>
        <w:t>these changes not only reflected</w:t>
      </w:r>
      <w:r>
        <w:rPr>
          <w:rFonts w:ascii="Century Gothic" w:eastAsiaTheme="minorHAnsi" w:hAnsi="Century Gothic"/>
          <w:sz w:val="20"/>
          <w:szCs w:val="20"/>
          <w:lang w:val="en-AU"/>
        </w:rPr>
        <w:t xml:space="preserve"> feedback on the effectiveness of individual activities but </w:t>
      </w:r>
      <w:r w:rsidR="00DE0C66">
        <w:rPr>
          <w:rFonts w:ascii="Century Gothic" w:eastAsiaTheme="minorHAnsi" w:hAnsi="Century Gothic"/>
          <w:sz w:val="20"/>
          <w:szCs w:val="20"/>
          <w:lang w:val="en-AU"/>
        </w:rPr>
        <w:t>were</w:t>
      </w:r>
      <w:r w:rsidR="00B81BCA">
        <w:rPr>
          <w:rFonts w:ascii="Century Gothic" w:eastAsiaTheme="minorHAnsi" w:hAnsi="Century Gothic"/>
          <w:sz w:val="20"/>
          <w:szCs w:val="20"/>
          <w:lang w:val="en-AU"/>
        </w:rPr>
        <w:t xml:space="preserve"> also influenced by</w:t>
      </w:r>
      <w:r>
        <w:rPr>
          <w:rFonts w:ascii="Century Gothic" w:eastAsiaTheme="minorHAnsi" w:hAnsi="Century Gothic"/>
          <w:sz w:val="20"/>
          <w:szCs w:val="20"/>
          <w:lang w:val="en-AU"/>
        </w:rPr>
        <w:t xml:space="preserve"> rethink</w:t>
      </w:r>
      <w:r w:rsidR="00B81BCA">
        <w:rPr>
          <w:rFonts w:ascii="Century Gothic" w:eastAsiaTheme="minorHAnsi" w:hAnsi="Century Gothic"/>
          <w:sz w:val="20"/>
          <w:szCs w:val="20"/>
          <w:lang w:val="en-AU"/>
        </w:rPr>
        <w:t xml:space="preserve">ing </w:t>
      </w:r>
      <w:r w:rsidR="00020AED">
        <w:rPr>
          <w:rFonts w:ascii="Century Gothic" w:eastAsiaTheme="minorHAnsi" w:hAnsi="Century Gothic"/>
          <w:sz w:val="20"/>
          <w:szCs w:val="20"/>
          <w:lang w:val="en-AU"/>
        </w:rPr>
        <w:t>by the NGRB</w:t>
      </w:r>
      <w:r w:rsidR="00B81BCA">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of the principles </w:t>
      </w:r>
      <w:r w:rsidR="00B81BCA">
        <w:rPr>
          <w:rFonts w:ascii="Century Gothic" w:eastAsiaTheme="minorHAnsi" w:hAnsi="Century Gothic"/>
          <w:sz w:val="20"/>
          <w:szCs w:val="20"/>
          <w:lang w:val="en-AU"/>
        </w:rPr>
        <w:t>underpinning</w:t>
      </w:r>
      <w:r>
        <w:rPr>
          <w:rFonts w:ascii="Century Gothic" w:eastAsiaTheme="minorHAnsi" w:hAnsi="Century Gothic"/>
          <w:sz w:val="20"/>
          <w:szCs w:val="20"/>
          <w:lang w:val="en-AU"/>
        </w:rPr>
        <w:t xml:space="preserve"> their general approach</w:t>
      </w:r>
      <w:r w:rsidR="00B81BCA">
        <w:rPr>
          <w:rFonts w:ascii="Century Gothic" w:eastAsiaTheme="minorHAnsi" w:hAnsi="Century Gothic"/>
          <w:sz w:val="20"/>
          <w:szCs w:val="20"/>
          <w:lang w:val="en-AU"/>
        </w:rPr>
        <w:t xml:space="preserve"> both to the use of SFSF and to their operation as an NGRB</w:t>
      </w:r>
      <w:r>
        <w:rPr>
          <w:rFonts w:ascii="Century Gothic" w:eastAsiaTheme="minorHAnsi" w:hAnsi="Century Gothic"/>
          <w:sz w:val="20"/>
          <w:szCs w:val="20"/>
          <w:lang w:val="en-AU"/>
        </w:rPr>
        <w:t>.</w:t>
      </w:r>
    </w:p>
    <w:p w14:paraId="55196DC6" w14:textId="4CC82EE5" w:rsidR="006C7EB4" w:rsidRDefault="00020AED"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Hence e</w:t>
      </w:r>
      <w:r w:rsidR="006C7EB4">
        <w:rPr>
          <w:rFonts w:ascii="Century Gothic" w:eastAsiaTheme="minorHAnsi" w:hAnsi="Century Gothic"/>
          <w:sz w:val="20"/>
          <w:szCs w:val="20"/>
          <w:lang w:val="en-AU"/>
        </w:rPr>
        <w:t>ach NGRB’s approach to the use of SFSF funds is influenced by both their vision of their own mode of operation and a vision as to what can best support their schools to achieve sustainable improvement.</w:t>
      </w:r>
    </w:p>
    <w:p w14:paraId="4B952271" w14:textId="6848BDED" w:rsidR="006C7EB4" w:rsidRPr="004E4928" w:rsidRDefault="006C7EB4"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also operate</w:t>
      </w:r>
      <w:r w:rsidR="00041C36">
        <w:rPr>
          <w:rFonts w:ascii="Century Gothic" w:eastAsiaTheme="minorHAnsi" w:hAnsi="Century Gothic"/>
          <w:sz w:val="20"/>
          <w:szCs w:val="20"/>
          <w:lang w:val="en-AU"/>
        </w:rPr>
        <w:t xml:space="preserve"> within a number of constraints. C</w:t>
      </w:r>
      <w:r>
        <w:rPr>
          <w:rFonts w:ascii="Century Gothic" w:eastAsiaTheme="minorHAnsi" w:hAnsi="Century Gothic"/>
          <w:sz w:val="20"/>
          <w:szCs w:val="20"/>
          <w:lang w:val="en-AU"/>
        </w:rPr>
        <w:t xml:space="preserve">hief among </w:t>
      </w:r>
      <w:r w:rsidR="00041C36">
        <w:rPr>
          <w:rFonts w:ascii="Century Gothic" w:eastAsiaTheme="minorHAnsi" w:hAnsi="Century Gothic"/>
          <w:sz w:val="20"/>
          <w:szCs w:val="20"/>
          <w:lang w:val="en-AU"/>
        </w:rPr>
        <w:t>constraints,</w:t>
      </w:r>
      <w:r>
        <w:rPr>
          <w:rFonts w:ascii="Century Gothic" w:eastAsiaTheme="minorHAnsi" w:hAnsi="Century Gothic"/>
          <w:sz w:val="20"/>
          <w:szCs w:val="20"/>
          <w:lang w:val="en-AU"/>
        </w:rPr>
        <w:t xml:space="preserve"> particularly for the independent sector, is that they </w:t>
      </w:r>
      <w:r w:rsidRPr="004E4928">
        <w:rPr>
          <w:rFonts w:ascii="Century Gothic" w:eastAsiaTheme="minorHAnsi" w:hAnsi="Century Gothic"/>
          <w:sz w:val="20"/>
          <w:szCs w:val="20"/>
          <w:lang w:val="en-AU"/>
        </w:rPr>
        <w:t xml:space="preserve">work with autonomous schools </w:t>
      </w:r>
      <w:r>
        <w:rPr>
          <w:rFonts w:ascii="Century Gothic" w:eastAsiaTheme="minorHAnsi" w:hAnsi="Century Gothic"/>
          <w:sz w:val="20"/>
          <w:szCs w:val="20"/>
          <w:lang w:val="en-AU"/>
        </w:rPr>
        <w:t>and</w:t>
      </w:r>
      <w:r w:rsidRPr="004E4928">
        <w:rPr>
          <w:rFonts w:ascii="Century Gothic" w:eastAsiaTheme="minorHAnsi" w:hAnsi="Century Gothic"/>
          <w:sz w:val="20"/>
          <w:szCs w:val="20"/>
          <w:lang w:val="en-AU"/>
        </w:rPr>
        <w:t xml:space="preserve"> </w:t>
      </w:r>
      <w:r w:rsidR="00041C36">
        <w:rPr>
          <w:rFonts w:ascii="Century Gothic" w:eastAsiaTheme="minorHAnsi" w:hAnsi="Century Gothic"/>
          <w:sz w:val="20"/>
          <w:szCs w:val="20"/>
          <w:lang w:val="en-AU"/>
        </w:rPr>
        <w:t>do not</w:t>
      </w:r>
      <w:r>
        <w:rPr>
          <w:rFonts w:ascii="Century Gothic" w:eastAsiaTheme="minorHAnsi" w:hAnsi="Century Gothic"/>
          <w:sz w:val="20"/>
          <w:szCs w:val="20"/>
          <w:lang w:val="en-AU"/>
        </w:rPr>
        <w:t xml:space="preserve"> operate in a top down way.</w:t>
      </w:r>
    </w:p>
    <w:p w14:paraId="335716E7" w14:textId="59B9C8F9" w:rsidR="006C7EB4" w:rsidRDefault="00DE0C66"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w:t>
      </w:r>
      <w:r w:rsidR="00BB77EE">
        <w:rPr>
          <w:rFonts w:ascii="Century Gothic" w:eastAsiaTheme="minorHAnsi" w:hAnsi="Century Gothic"/>
          <w:sz w:val="20"/>
          <w:szCs w:val="20"/>
          <w:lang w:val="en-AU"/>
        </w:rPr>
        <w:t>G</w:t>
      </w:r>
      <w:r>
        <w:rPr>
          <w:rFonts w:ascii="Century Gothic" w:eastAsiaTheme="minorHAnsi" w:hAnsi="Century Gothic"/>
          <w:sz w:val="20"/>
          <w:szCs w:val="20"/>
          <w:lang w:val="en-AU"/>
        </w:rPr>
        <w:t>RB a</w:t>
      </w:r>
      <w:r w:rsidR="006C7EB4">
        <w:rPr>
          <w:rFonts w:ascii="Century Gothic" w:eastAsiaTheme="minorHAnsi" w:hAnsi="Century Gothic"/>
          <w:sz w:val="20"/>
          <w:szCs w:val="20"/>
          <w:lang w:val="en-AU"/>
        </w:rPr>
        <w:t>pproach</w:t>
      </w:r>
      <w:r w:rsidR="00041C36">
        <w:rPr>
          <w:rFonts w:ascii="Century Gothic" w:eastAsiaTheme="minorHAnsi" w:hAnsi="Century Gothic"/>
          <w:sz w:val="20"/>
          <w:szCs w:val="20"/>
          <w:lang w:val="en-AU"/>
        </w:rPr>
        <w:t>es</w:t>
      </w:r>
      <w:r w:rsidR="006C7EB4">
        <w:rPr>
          <w:rFonts w:ascii="Century Gothic" w:eastAsiaTheme="minorHAnsi" w:hAnsi="Century Gothic"/>
          <w:sz w:val="20"/>
          <w:szCs w:val="20"/>
          <w:lang w:val="en-AU"/>
        </w:rPr>
        <w:t xml:space="preserve"> </w:t>
      </w:r>
      <w:r w:rsidR="00B81BCA">
        <w:rPr>
          <w:rFonts w:ascii="Century Gothic" w:eastAsiaTheme="minorHAnsi" w:hAnsi="Century Gothic"/>
          <w:sz w:val="20"/>
          <w:szCs w:val="20"/>
          <w:lang w:val="en-AU"/>
        </w:rPr>
        <w:t xml:space="preserve">to </w:t>
      </w:r>
      <w:r w:rsidR="006C7EB4">
        <w:rPr>
          <w:rFonts w:ascii="Century Gothic" w:eastAsiaTheme="minorHAnsi" w:hAnsi="Century Gothic"/>
          <w:sz w:val="20"/>
          <w:szCs w:val="20"/>
          <w:lang w:val="en-AU"/>
        </w:rPr>
        <w:t>working with schools generally h</w:t>
      </w:r>
      <w:r w:rsidR="00041C36">
        <w:rPr>
          <w:rFonts w:ascii="Century Gothic" w:eastAsiaTheme="minorHAnsi" w:hAnsi="Century Gothic"/>
          <w:sz w:val="20"/>
          <w:szCs w:val="20"/>
          <w:lang w:val="en-AU"/>
        </w:rPr>
        <w:t>ave</w:t>
      </w:r>
      <w:r w:rsidR="006C7EB4">
        <w:rPr>
          <w:rFonts w:ascii="Century Gothic" w:eastAsiaTheme="minorHAnsi" w:hAnsi="Century Gothic"/>
          <w:sz w:val="20"/>
          <w:szCs w:val="20"/>
          <w:lang w:val="en-AU"/>
        </w:rPr>
        <w:t xml:space="preserve"> the following </w:t>
      </w:r>
      <w:r w:rsidR="00D73C13">
        <w:rPr>
          <w:rFonts w:ascii="Century Gothic" w:eastAsiaTheme="minorHAnsi" w:hAnsi="Century Gothic"/>
          <w:sz w:val="20"/>
          <w:szCs w:val="20"/>
          <w:lang w:val="en-AU"/>
        </w:rPr>
        <w:t xml:space="preserve">positive </w:t>
      </w:r>
      <w:r w:rsidR="006C7EB4">
        <w:rPr>
          <w:rFonts w:ascii="Century Gothic" w:eastAsiaTheme="minorHAnsi" w:hAnsi="Century Gothic"/>
          <w:sz w:val="20"/>
          <w:szCs w:val="20"/>
          <w:lang w:val="en-AU"/>
        </w:rPr>
        <w:t>features:</w:t>
      </w:r>
    </w:p>
    <w:p w14:paraId="2F166B32" w14:textId="40DDA26D" w:rsidR="006C7EB4" w:rsidRDefault="00DE0C66" w:rsidP="006A1D2B">
      <w:pPr>
        <w:pStyle w:val="ListParagraph"/>
        <w:numPr>
          <w:ilvl w:val="0"/>
          <w:numId w:val="13"/>
        </w:numPr>
        <w:spacing w:before="120" w:line="276" w:lineRule="auto"/>
        <w:ind w:right="-340"/>
        <w:rPr>
          <w:rFonts w:ascii="Century Gothic" w:eastAsiaTheme="minorHAnsi" w:hAnsi="Century Gothic"/>
          <w:sz w:val="20"/>
          <w:szCs w:val="20"/>
          <w:lang w:val="en-AU"/>
        </w:rPr>
      </w:pPr>
      <w:r>
        <w:rPr>
          <w:rFonts w:ascii="Century Gothic" w:eastAsiaTheme="minorHAnsi" w:hAnsi="Century Gothic"/>
          <w:sz w:val="20"/>
          <w:szCs w:val="20"/>
          <w:lang w:val="en-AU"/>
        </w:rPr>
        <w:t>Increasingly w</w:t>
      </w:r>
      <w:r w:rsidR="006C7EB4">
        <w:rPr>
          <w:rFonts w:ascii="Century Gothic" w:eastAsiaTheme="minorHAnsi" w:hAnsi="Century Gothic"/>
          <w:sz w:val="20"/>
          <w:szCs w:val="20"/>
          <w:lang w:val="en-AU"/>
        </w:rPr>
        <w:t>orking with school leadership teams within a school context</w:t>
      </w:r>
    </w:p>
    <w:p w14:paraId="0A1B1763" w14:textId="77777777" w:rsidR="006C7EB4" w:rsidRDefault="006C7EB4" w:rsidP="006A1D2B">
      <w:pPr>
        <w:pStyle w:val="ListParagraph"/>
        <w:numPr>
          <w:ilvl w:val="0"/>
          <w:numId w:val="13"/>
        </w:numPr>
        <w:spacing w:before="120" w:line="276" w:lineRule="auto"/>
        <w:ind w:right="-340"/>
        <w:rPr>
          <w:rFonts w:ascii="Century Gothic" w:eastAsiaTheme="minorHAnsi" w:hAnsi="Century Gothic"/>
          <w:sz w:val="20"/>
          <w:szCs w:val="20"/>
          <w:lang w:val="en-AU"/>
        </w:rPr>
      </w:pPr>
      <w:r>
        <w:rPr>
          <w:rFonts w:ascii="Century Gothic" w:eastAsiaTheme="minorHAnsi" w:hAnsi="Century Gothic"/>
          <w:sz w:val="20"/>
          <w:szCs w:val="20"/>
          <w:lang w:val="en-AU"/>
        </w:rPr>
        <w:t>A move away from one off professional learning activities to more regular and sustained interaction</w:t>
      </w:r>
    </w:p>
    <w:p w14:paraId="4C5CE99C" w14:textId="7EF983D3" w:rsidR="006C7EB4" w:rsidRDefault="006C7EB4" w:rsidP="006A1D2B">
      <w:pPr>
        <w:pStyle w:val="ListParagraph"/>
        <w:numPr>
          <w:ilvl w:val="0"/>
          <w:numId w:val="13"/>
        </w:numPr>
        <w:spacing w:before="120" w:line="276" w:lineRule="auto"/>
        <w:ind w:right="-340"/>
        <w:rPr>
          <w:rFonts w:ascii="Century Gothic" w:eastAsiaTheme="minorHAnsi" w:hAnsi="Century Gothic"/>
          <w:sz w:val="20"/>
          <w:szCs w:val="20"/>
          <w:lang w:val="en-AU"/>
        </w:rPr>
      </w:pPr>
      <w:r>
        <w:rPr>
          <w:rFonts w:ascii="Century Gothic" w:eastAsiaTheme="minorHAnsi" w:hAnsi="Century Gothic"/>
          <w:sz w:val="20"/>
          <w:szCs w:val="20"/>
          <w:lang w:val="en-AU"/>
        </w:rPr>
        <w:t>Analysis and benchmarking of data to i</w:t>
      </w:r>
      <w:r w:rsidR="007C7FAF">
        <w:rPr>
          <w:rFonts w:ascii="Century Gothic" w:eastAsiaTheme="minorHAnsi" w:hAnsi="Century Gothic"/>
          <w:sz w:val="20"/>
          <w:szCs w:val="20"/>
          <w:lang w:val="en-AU"/>
        </w:rPr>
        <w:t>nform school improvement issues</w:t>
      </w:r>
    </w:p>
    <w:p w14:paraId="237AEBCD" w14:textId="77777777" w:rsidR="006C7EB4" w:rsidRDefault="006C7EB4" w:rsidP="006A1D2B">
      <w:pPr>
        <w:pStyle w:val="ListParagraph"/>
        <w:numPr>
          <w:ilvl w:val="0"/>
          <w:numId w:val="13"/>
        </w:numPr>
        <w:spacing w:before="120" w:line="276" w:lineRule="auto"/>
        <w:ind w:right="-340"/>
        <w:rPr>
          <w:rFonts w:ascii="Century Gothic" w:eastAsiaTheme="minorHAnsi" w:hAnsi="Century Gothic"/>
          <w:sz w:val="20"/>
          <w:szCs w:val="20"/>
          <w:lang w:val="en-AU"/>
        </w:rPr>
      </w:pPr>
      <w:r>
        <w:rPr>
          <w:rFonts w:ascii="Century Gothic" w:eastAsiaTheme="minorHAnsi" w:hAnsi="Century Gothic"/>
          <w:sz w:val="20"/>
          <w:szCs w:val="20"/>
          <w:lang w:val="en-AU"/>
        </w:rPr>
        <w:t>Coaching for principals and teachers both for leadership and pedagogy</w:t>
      </w:r>
    </w:p>
    <w:p w14:paraId="3DB4E10D" w14:textId="71FE8ED2" w:rsidR="006C7EB4" w:rsidRDefault="006C7EB4"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 some cases this </w:t>
      </w:r>
      <w:r w:rsidR="002A2C8B">
        <w:rPr>
          <w:rFonts w:ascii="Century Gothic" w:eastAsiaTheme="minorHAnsi" w:hAnsi="Century Gothic"/>
          <w:sz w:val="20"/>
          <w:szCs w:val="20"/>
          <w:lang w:val="en-AU"/>
        </w:rPr>
        <w:t xml:space="preserve">broad </w:t>
      </w:r>
      <w:r w:rsidR="00041C36">
        <w:rPr>
          <w:rFonts w:ascii="Century Gothic" w:eastAsiaTheme="minorHAnsi" w:hAnsi="Century Gothic"/>
          <w:sz w:val="20"/>
          <w:szCs w:val="20"/>
          <w:lang w:val="en-AU"/>
        </w:rPr>
        <w:t xml:space="preserve">approach is formalised and </w:t>
      </w:r>
      <w:r>
        <w:rPr>
          <w:rFonts w:ascii="Century Gothic" w:eastAsiaTheme="minorHAnsi" w:hAnsi="Century Gothic"/>
          <w:sz w:val="20"/>
          <w:szCs w:val="20"/>
          <w:lang w:val="en-AU"/>
        </w:rPr>
        <w:t xml:space="preserve">supported through structural </w:t>
      </w:r>
      <w:r w:rsidR="002A2C8B">
        <w:rPr>
          <w:rFonts w:ascii="Century Gothic" w:eastAsiaTheme="minorHAnsi" w:hAnsi="Century Gothic"/>
          <w:sz w:val="20"/>
          <w:szCs w:val="20"/>
          <w:lang w:val="en-AU"/>
        </w:rPr>
        <w:t>arrangements</w:t>
      </w:r>
      <w:r>
        <w:rPr>
          <w:rFonts w:ascii="Century Gothic" w:eastAsiaTheme="minorHAnsi" w:hAnsi="Century Gothic"/>
          <w:sz w:val="20"/>
          <w:szCs w:val="20"/>
          <w:lang w:val="en-AU"/>
        </w:rPr>
        <w:t xml:space="preserve"> e.g. service agreements in the </w:t>
      </w:r>
      <w:r w:rsidR="007F296C">
        <w:rPr>
          <w:rFonts w:ascii="Century Gothic" w:eastAsiaTheme="minorHAnsi" w:hAnsi="Century Gothic"/>
          <w:sz w:val="20"/>
          <w:szCs w:val="20"/>
          <w:lang w:val="en-AU"/>
        </w:rPr>
        <w:t>TASCEO</w:t>
      </w:r>
      <w:r w:rsidR="00041C36">
        <w:rPr>
          <w:rFonts w:ascii="Century Gothic" w:eastAsiaTheme="minorHAnsi" w:hAnsi="Century Gothic"/>
          <w:sz w:val="20"/>
          <w:szCs w:val="20"/>
          <w:lang w:val="en-AU"/>
        </w:rPr>
        <w:t xml:space="preserve">; and </w:t>
      </w:r>
      <w:r>
        <w:rPr>
          <w:rFonts w:ascii="Century Gothic" w:eastAsiaTheme="minorHAnsi" w:hAnsi="Century Gothic"/>
          <w:sz w:val="20"/>
          <w:szCs w:val="20"/>
          <w:lang w:val="en-AU"/>
        </w:rPr>
        <w:t>assignment of school improvement advisors to each school (</w:t>
      </w:r>
      <w:r w:rsidR="00DE0C66">
        <w:rPr>
          <w:rFonts w:ascii="Century Gothic" w:eastAsiaTheme="minorHAnsi" w:hAnsi="Century Gothic"/>
          <w:sz w:val="20"/>
          <w:szCs w:val="20"/>
          <w:lang w:val="en-AU"/>
        </w:rPr>
        <w:t>ISV), or embodied in a comprehensive program such as Scho</w:t>
      </w:r>
      <w:r w:rsidR="007C7FAF">
        <w:rPr>
          <w:rFonts w:ascii="Century Gothic" w:eastAsiaTheme="minorHAnsi" w:hAnsi="Century Gothic"/>
          <w:sz w:val="20"/>
          <w:szCs w:val="20"/>
          <w:lang w:val="en-AU"/>
        </w:rPr>
        <w:t>ol Leading Learning in AIS NSW.</w:t>
      </w:r>
    </w:p>
    <w:p w14:paraId="5F2A97CC" w14:textId="1EBEE0EA" w:rsidR="006C7EB4" w:rsidRDefault="006C7EB4" w:rsidP="00EE780E">
      <w:pPr>
        <w:spacing w:before="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More generally</w:t>
      </w:r>
      <w:r w:rsidR="00041C36">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NGRBs are moving from being largely conduits for Commonwealth grants to utilising</w:t>
      </w:r>
      <w:r w:rsidRPr="004E4928">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research based frameworks a</w:t>
      </w:r>
      <w:r w:rsidR="00F53A44">
        <w:rPr>
          <w:rFonts w:ascii="Century Gothic" w:eastAsiaTheme="minorHAnsi" w:hAnsi="Century Gothic"/>
          <w:sz w:val="20"/>
          <w:szCs w:val="20"/>
          <w:lang w:val="en-AU"/>
        </w:rPr>
        <w:t>nd school improvement processes. They explain their activity as</w:t>
      </w:r>
      <w:r>
        <w:rPr>
          <w:rFonts w:ascii="Century Gothic" w:eastAsiaTheme="minorHAnsi" w:hAnsi="Century Gothic"/>
          <w:sz w:val="20"/>
          <w:szCs w:val="20"/>
          <w:lang w:val="en-AU"/>
        </w:rPr>
        <w:t xml:space="preserve"> </w:t>
      </w:r>
      <w:r w:rsidRPr="004E4928">
        <w:rPr>
          <w:rFonts w:ascii="Century Gothic" w:eastAsiaTheme="minorHAnsi" w:hAnsi="Century Gothic"/>
          <w:sz w:val="20"/>
          <w:szCs w:val="20"/>
          <w:lang w:val="en-AU"/>
        </w:rPr>
        <w:t>build</w:t>
      </w:r>
      <w:r>
        <w:rPr>
          <w:rFonts w:ascii="Century Gothic" w:eastAsiaTheme="minorHAnsi" w:hAnsi="Century Gothic"/>
          <w:sz w:val="20"/>
          <w:szCs w:val="20"/>
          <w:lang w:val="en-AU"/>
        </w:rPr>
        <w:t>ing</w:t>
      </w:r>
      <w:r w:rsidRPr="004E4928">
        <w:rPr>
          <w:rFonts w:ascii="Century Gothic" w:eastAsiaTheme="minorHAnsi" w:hAnsi="Century Gothic"/>
          <w:sz w:val="20"/>
          <w:szCs w:val="20"/>
          <w:lang w:val="en-AU"/>
        </w:rPr>
        <w:t xml:space="preserve"> </w:t>
      </w:r>
      <w:r w:rsidR="00F53A44">
        <w:rPr>
          <w:rFonts w:ascii="Century Gothic" w:eastAsiaTheme="minorHAnsi" w:hAnsi="Century Gothic"/>
          <w:sz w:val="20"/>
          <w:szCs w:val="20"/>
          <w:lang w:val="en-AU"/>
        </w:rPr>
        <w:t xml:space="preserve">professional </w:t>
      </w:r>
      <w:r w:rsidRPr="004E4928">
        <w:rPr>
          <w:rFonts w:ascii="Century Gothic" w:eastAsiaTheme="minorHAnsi" w:hAnsi="Century Gothic"/>
          <w:sz w:val="20"/>
          <w:szCs w:val="20"/>
          <w:lang w:val="en-AU"/>
        </w:rPr>
        <w:t>capability for the longer te</w:t>
      </w:r>
      <w:r>
        <w:rPr>
          <w:rFonts w:ascii="Century Gothic" w:eastAsiaTheme="minorHAnsi" w:hAnsi="Century Gothic"/>
          <w:sz w:val="20"/>
          <w:szCs w:val="20"/>
          <w:lang w:val="en-AU"/>
        </w:rPr>
        <w:t xml:space="preserve">rm both organisationally and in their schools, </w:t>
      </w:r>
      <w:r w:rsidR="002A2C8B">
        <w:rPr>
          <w:rFonts w:ascii="Century Gothic" w:eastAsiaTheme="minorHAnsi" w:hAnsi="Century Gothic"/>
          <w:sz w:val="20"/>
          <w:szCs w:val="20"/>
          <w:lang w:val="en-AU"/>
        </w:rPr>
        <w:t>(</w:t>
      </w:r>
      <w:r>
        <w:rPr>
          <w:rFonts w:ascii="Century Gothic" w:eastAsiaTheme="minorHAnsi" w:hAnsi="Century Gothic"/>
          <w:sz w:val="20"/>
          <w:szCs w:val="20"/>
          <w:lang w:val="en-AU"/>
        </w:rPr>
        <w:t>especially in leadership</w:t>
      </w:r>
      <w:r w:rsidR="002A2C8B">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and establishing advisory and brokering services that take advantage of economies of scale to deliver benefits for their schools.</w:t>
      </w:r>
    </w:p>
    <w:p w14:paraId="1A3F87D9" w14:textId="5A49DCF5" w:rsidR="00384CF5" w:rsidRDefault="00384CF5" w:rsidP="00EE780E">
      <w:pPr>
        <w:pStyle w:val="Heading1"/>
        <w:ind w:right="-340"/>
        <w:rPr>
          <w:sz w:val="32"/>
          <w:szCs w:val="32"/>
        </w:rPr>
      </w:pPr>
      <w:bookmarkStart w:id="48" w:name="_Toc495587308"/>
      <w:r w:rsidRPr="0085758B">
        <w:rPr>
          <w:sz w:val="32"/>
          <w:szCs w:val="32"/>
        </w:rPr>
        <w:t>4</w:t>
      </w:r>
      <w:r w:rsidR="002E7B28" w:rsidRPr="0085758B">
        <w:rPr>
          <w:sz w:val="32"/>
          <w:szCs w:val="32"/>
        </w:rPr>
        <w:t>.</w:t>
      </w:r>
      <w:r w:rsidR="002E7B28" w:rsidRPr="0085758B">
        <w:rPr>
          <w:sz w:val="32"/>
          <w:szCs w:val="32"/>
        </w:rPr>
        <w:tab/>
      </w:r>
      <w:r w:rsidR="00FF7C1B">
        <w:rPr>
          <w:sz w:val="32"/>
          <w:szCs w:val="32"/>
        </w:rPr>
        <w:t>What has the SFSF D</w:t>
      </w:r>
      <w:r w:rsidR="00D62295" w:rsidRPr="0085758B">
        <w:rPr>
          <w:sz w:val="32"/>
          <w:szCs w:val="32"/>
        </w:rPr>
        <w:t>elivered?</w:t>
      </w:r>
      <w:bookmarkEnd w:id="48"/>
    </w:p>
    <w:p w14:paraId="68D08469" w14:textId="77777777" w:rsidR="00C73301" w:rsidRPr="00965DED" w:rsidRDefault="00C73301" w:rsidP="00C73301">
      <w:pPr>
        <w:jc w:val="both"/>
        <w:rPr>
          <w:rFonts w:ascii="Century Gothic" w:hAnsi="Century Gothic"/>
          <w:color w:val="1F497D" w:themeColor="text2"/>
          <w:sz w:val="20"/>
          <w:szCs w:val="20"/>
        </w:rPr>
      </w:pPr>
      <w:r w:rsidRPr="00965DED">
        <w:rPr>
          <w:rFonts w:ascii="Century Gothic" w:hAnsi="Century Gothic"/>
          <w:color w:val="1F497D" w:themeColor="text2"/>
          <w:sz w:val="20"/>
          <w:szCs w:val="20"/>
        </w:rPr>
        <w:t xml:space="preserve">Key </w:t>
      </w:r>
      <w:r>
        <w:rPr>
          <w:rFonts w:ascii="Century Gothic" w:hAnsi="Century Gothic"/>
          <w:color w:val="1F497D" w:themeColor="text2"/>
          <w:sz w:val="20"/>
          <w:szCs w:val="20"/>
        </w:rPr>
        <w:t>Findings</w:t>
      </w:r>
    </w:p>
    <w:p w14:paraId="22749812" w14:textId="77777777" w:rsidR="00C73301"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Pr>
          <w:rFonts w:ascii="Century Gothic" w:hAnsi="Century Gothic"/>
          <w:sz w:val="20"/>
          <w:szCs w:val="20"/>
        </w:rPr>
        <w:t>There is a mix of benefits and challenges</w:t>
      </w:r>
    </w:p>
    <w:p w14:paraId="6DFAC1E7" w14:textId="77777777" w:rsidR="00C73301" w:rsidRPr="007513E7" w:rsidRDefault="00C73301" w:rsidP="00C73301">
      <w:pPr>
        <w:spacing w:line="276" w:lineRule="auto"/>
        <w:jc w:val="both"/>
        <w:rPr>
          <w:rFonts w:ascii="Century Gothic" w:hAnsi="Century Gothic"/>
          <w:sz w:val="20"/>
          <w:szCs w:val="20"/>
        </w:rPr>
      </w:pPr>
      <w:r w:rsidRPr="007513E7">
        <w:rPr>
          <w:rFonts w:ascii="Century Gothic" w:hAnsi="Century Gothic"/>
          <w:sz w:val="20"/>
          <w:szCs w:val="20"/>
        </w:rPr>
        <w:t>Positives</w:t>
      </w:r>
    </w:p>
    <w:p w14:paraId="47EDB32D" w14:textId="77777777" w:rsidR="00C73301" w:rsidRPr="007513E7"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sidRPr="00464AE0">
        <w:rPr>
          <w:rFonts w:ascii="Century Gothic" w:hAnsi="Century Gothic"/>
          <w:sz w:val="20"/>
          <w:szCs w:val="20"/>
        </w:rPr>
        <w:t xml:space="preserve">SFSF has provided tangible support for the promotion, development and implementation of national priorities Principals, while mostly not recognising the SFSF fund as such, universally value the access to advice for the delivery of national policies (e.g. Aust. Curriculum); and smaller jurisdictions and non-metropolitan schools value school improvement support </w:t>
      </w:r>
      <w:r>
        <w:rPr>
          <w:rFonts w:ascii="Century Gothic" w:hAnsi="Century Gothic"/>
          <w:sz w:val="20"/>
          <w:szCs w:val="20"/>
        </w:rPr>
        <w:t>tailored to their needs.</w:t>
      </w:r>
    </w:p>
    <w:p w14:paraId="04FFB3B9" w14:textId="77777777" w:rsidR="00C73301"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sidRPr="00965DED">
        <w:rPr>
          <w:rFonts w:ascii="Century Gothic" w:hAnsi="Century Gothic"/>
          <w:sz w:val="20"/>
          <w:szCs w:val="20"/>
        </w:rPr>
        <w:t xml:space="preserve">Success is mostly reported in terms of </w:t>
      </w:r>
      <w:r w:rsidRPr="00965DED">
        <w:rPr>
          <w:rFonts w:ascii="Century Gothic" w:hAnsi="Century Gothic"/>
          <w:i/>
          <w:sz w:val="20"/>
          <w:szCs w:val="20"/>
        </w:rPr>
        <w:t>outputs</w:t>
      </w:r>
      <w:r w:rsidRPr="00965DED">
        <w:rPr>
          <w:rFonts w:ascii="Century Gothic" w:hAnsi="Century Gothic"/>
          <w:sz w:val="20"/>
          <w:szCs w:val="20"/>
        </w:rPr>
        <w:t xml:space="preserve"> from initiatives such as participation rates in professional learning and satisfaction results. Results are positive for all NGRBs. Many schools have engaged in the SFSF funded initiatives and most report very go</w:t>
      </w:r>
      <w:r>
        <w:rPr>
          <w:rFonts w:ascii="Century Gothic" w:hAnsi="Century Gothic"/>
          <w:sz w:val="20"/>
          <w:szCs w:val="20"/>
        </w:rPr>
        <w:t>od responses from participants.</w:t>
      </w:r>
    </w:p>
    <w:p w14:paraId="609E62AC" w14:textId="77777777" w:rsidR="00C73301"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Pr>
          <w:rFonts w:ascii="Century Gothic" w:hAnsi="Century Gothic"/>
          <w:sz w:val="20"/>
          <w:szCs w:val="20"/>
        </w:rPr>
        <w:t xml:space="preserve">A few </w:t>
      </w:r>
      <w:r w:rsidRPr="00965DED">
        <w:rPr>
          <w:rFonts w:ascii="Century Gothic" w:hAnsi="Century Gothic"/>
          <w:sz w:val="20"/>
          <w:szCs w:val="20"/>
        </w:rPr>
        <w:t xml:space="preserve">NGRBs have a comprehensive suite of project evaluations and these give the best insight into program effectiveness with strong findings in support of the value of school centred coaching initiatives and tailoring consultancy support to the precise needs of schools. </w:t>
      </w:r>
      <w:r>
        <w:rPr>
          <w:rFonts w:ascii="Century Gothic" w:hAnsi="Century Gothic"/>
          <w:sz w:val="20"/>
          <w:szCs w:val="20"/>
        </w:rPr>
        <w:t xml:space="preserve"> These views are endorsed by principals.</w:t>
      </w:r>
    </w:p>
    <w:p w14:paraId="373C4F9B" w14:textId="77777777" w:rsidR="00C73301" w:rsidRPr="007513E7" w:rsidRDefault="00C73301" w:rsidP="00C73301">
      <w:pPr>
        <w:pStyle w:val="ListParagraph"/>
        <w:keepNext/>
        <w:numPr>
          <w:ilvl w:val="0"/>
          <w:numId w:val="7"/>
        </w:numPr>
        <w:spacing w:after="120" w:line="276" w:lineRule="auto"/>
        <w:ind w:left="714" w:hanging="357"/>
        <w:jc w:val="both"/>
        <w:rPr>
          <w:rFonts w:ascii="Century Gothic" w:hAnsi="Century Gothic"/>
          <w:sz w:val="20"/>
          <w:szCs w:val="20"/>
        </w:rPr>
      </w:pPr>
      <w:r w:rsidRPr="007513E7">
        <w:rPr>
          <w:rFonts w:ascii="Century Gothic" w:hAnsi="Century Gothic"/>
          <w:sz w:val="20"/>
          <w:szCs w:val="20"/>
        </w:rPr>
        <w:t>Other ‘system’ gains from SFSF are the productivity benefits from using SFSF funds to leverage other resources so as to build a coherent strategy; and the long term benefits of establishing a robust and efficient infrastructure to support schools in what they need.</w:t>
      </w:r>
    </w:p>
    <w:p w14:paraId="1FC6AF19" w14:textId="77777777" w:rsidR="00C73301" w:rsidRPr="007513E7" w:rsidRDefault="00C73301" w:rsidP="00C73301">
      <w:pPr>
        <w:spacing w:after="120" w:line="276" w:lineRule="auto"/>
        <w:jc w:val="both"/>
        <w:rPr>
          <w:rFonts w:ascii="Century Gothic" w:hAnsi="Century Gothic"/>
          <w:sz w:val="20"/>
          <w:szCs w:val="20"/>
        </w:rPr>
      </w:pPr>
      <w:r>
        <w:rPr>
          <w:rFonts w:ascii="Century Gothic" w:hAnsi="Century Gothic"/>
          <w:sz w:val="20"/>
          <w:szCs w:val="20"/>
        </w:rPr>
        <w:t>Challenges</w:t>
      </w:r>
    </w:p>
    <w:p w14:paraId="243817FE" w14:textId="77777777" w:rsidR="00C73301"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Pr>
          <w:rFonts w:ascii="Century Gothic" w:hAnsi="Century Gothic"/>
          <w:sz w:val="20"/>
          <w:szCs w:val="20"/>
        </w:rPr>
        <w:t>SFSF has assisted NGRBs to support their schools to address the five reform areas but the broad nature of the priorities and the lack of coherence in planning and reporting make it difficult for Government (as the funder of SFSF) to know what is working best or if the funding could achieve similar results if used in a different way.</w:t>
      </w:r>
    </w:p>
    <w:p w14:paraId="16FD30CF" w14:textId="77777777" w:rsidR="00C73301" w:rsidRPr="00227EAA"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sidRPr="00227EAA">
        <w:rPr>
          <w:rFonts w:ascii="Century Gothic" w:hAnsi="Century Gothic"/>
          <w:sz w:val="20"/>
          <w:szCs w:val="20"/>
        </w:rPr>
        <w:t xml:space="preserve">While short and longer term </w:t>
      </w:r>
      <w:r w:rsidRPr="00227EAA">
        <w:rPr>
          <w:rFonts w:ascii="Century Gothic" w:hAnsi="Century Gothic"/>
          <w:i/>
          <w:sz w:val="20"/>
          <w:szCs w:val="20"/>
        </w:rPr>
        <w:t>outcomes</w:t>
      </w:r>
      <w:r w:rsidRPr="00227EAA">
        <w:rPr>
          <w:rFonts w:ascii="Century Gothic" w:hAnsi="Century Gothic"/>
          <w:sz w:val="20"/>
          <w:szCs w:val="20"/>
        </w:rPr>
        <w:t xml:space="preserve"> (e.g. greater awareness and adoption of standards) have been signaled in initial plans, few are assessed and report</w:t>
      </w:r>
      <w:r>
        <w:rPr>
          <w:rFonts w:ascii="Century Gothic" w:hAnsi="Century Gothic"/>
          <w:sz w:val="20"/>
          <w:szCs w:val="20"/>
        </w:rPr>
        <w:t>ed in subsequent documentation.</w:t>
      </w:r>
    </w:p>
    <w:p w14:paraId="0A463E42" w14:textId="77777777" w:rsidR="00C73301" w:rsidRDefault="00C73301" w:rsidP="00C73301">
      <w:pPr>
        <w:pStyle w:val="ListParagraph"/>
        <w:numPr>
          <w:ilvl w:val="0"/>
          <w:numId w:val="7"/>
        </w:numPr>
        <w:spacing w:after="120" w:line="276" w:lineRule="auto"/>
        <w:ind w:left="714" w:hanging="357"/>
        <w:jc w:val="both"/>
        <w:rPr>
          <w:rFonts w:ascii="Century Gothic" w:hAnsi="Century Gothic"/>
          <w:sz w:val="20"/>
          <w:szCs w:val="20"/>
        </w:rPr>
      </w:pPr>
      <w:r w:rsidRPr="00965DED">
        <w:rPr>
          <w:rFonts w:ascii="Century Gothic" w:hAnsi="Century Gothic"/>
          <w:sz w:val="20"/>
          <w:szCs w:val="20"/>
        </w:rPr>
        <w:t>Many NGRBs do not appear to have the data collection and analytical capability for impact and outcomes analysis. NGRBs refer to observational and anecdotal evidence of success.</w:t>
      </w:r>
    </w:p>
    <w:p w14:paraId="5EAE8CE0" w14:textId="43CF2146" w:rsidR="00C73301" w:rsidRDefault="00C73301" w:rsidP="00CD1809">
      <w:r w:rsidRPr="00965842">
        <w:rPr>
          <w:rFonts w:ascii="Century Gothic" w:hAnsi="Century Gothic"/>
          <w:sz w:val="20"/>
          <w:szCs w:val="20"/>
        </w:rPr>
        <w:t>In a number of cases SFSF resources are productively leveraged by funds from other sources and the allocations and accountabilities are transparent. However, the financial allocations by some NGRBs are more opaque and SFSF funds have been absorbed into existing initiatives rather than allocated in the spirit of co-investment</w:t>
      </w:r>
      <w:r w:rsidRPr="00965842">
        <w:rPr>
          <w:szCs w:val="20"/>
        </w:rPr>
        <w:t>.</w:t>
      </w:r>
    </w:p>
    <w:p w14:paraId="7030D9B5" w14:textId="44F64948" w:rsidR="00F66DD5" w:rsidRPr="00572246" w:rsidRDefault="00F318C8" w:rsidP="00572246">
      <w:pPr>
        <w:pStyle w:val="Heading2"/>
        <w:rPr>
          <w:rStyle w:val="IntenseReference"/>
          <w:b/>
          <w:bCs/>
          <w:smallCaps w:val="0"/>
          <w:color w:val="0070C0"/>
          <w:spacing w:val="0"/>
        </w:rPr>
      </w:pPr>
      <w:bookmarkStart w:id="49" w:name="_Toc495587309"/>
      <w:r w:rsidRPr="00572246">
        <w:rPr>
          <w:rStyle w:val="IntenseReference"/>
          <w:b/>
          <w:bCs/>
          <w:smallCaps w:val="0"/>
          <w:color w:val="0070C0"/>
          <w:spacing w:val="0"/>
        </w:rPr>
        <w:t xml:space="preserve">4.1 </w:t>
      </w:r>
      <w:r w:rsidR="005D40DE" w:rsidRPr="00572246">
        <w:rPr>
          <w:rStyle w:val="IntenseReference"/>
          <w:b/>
          <w:bCs/>
          <w:smallCaps w:val="0"/>
          <w:color w:val="0070C0"/>
          <w:spacing w:val="0"/>
        </w:rPr>
        <w:tab/>
      </w:r>
      <w:r w:rsidR="00F66DD5" w:rsidRPr="00572246">
        <w:rPr>
          <w:rStyle w:val="IntenseReference"/>
          <w:b/>
          <w:bCs/>
          <w:smallCaps w:val="0"/>
          <w:color w:val="0070C0"/>
          <w:spacing w:val="0"/>
        </w:rPr>
        <w:t>Measures of success</w:t>
      </w:r>
      <w:bookmarkEnd w:id="49"/>
    </w:p>
    <w:p w14:paraId="597725B2" w14:textId="324CC8E9" w:rsidR="00374AF3" w:rsidRPr="00D62295" w:rsidRDefault="00D6229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All </w:t>
      </w:r>
      <w:r w:rsidR="00720F42">
        <w:rPr>
          <w:rFonts w:ascii="Century Gothic" w:eastAsiaTheme="minorHAnsi" w:hAnsi="Century Gothic"/>
          <w:sz w:val="20"/>
          <w:szCs w:val="20"/>
          <w:lang w:val="en-AU"/>
        </w:rPr>
        <w:t xml:space="preserve">work plans </w:t>
      </w:r>
      <w:r>
        <w:rPr>
          <w:rFonts w:ascii="Century Gothic" w:eastAsiaTheme="minorHAnsi" w:hAnsi="Century Gothic"/>
          <w:sz w:val="20"/>
          <w:szCs w:val="20"/>
          <w:lang w:val="en-AU"/>
        </w:rPr>
        <w:t>included success indicators</w:t>
      </w:r>
      <w:r w:rsidR="00720F42">
        <w:rPr>
          <w:rFonts w:ascii="Century Gothic" w:eastAsiaTheme="minorHAnsi" w:hAnsi="Century Gothic"/>
          <w:sz w:val="20"/>
          <w:szCs w:val="20"/>
          <w:lang w:val="en-AU"/>
        </w:rPr>
        <w:t xml:space="preserve"> and some annual reports followed through on these – but often in </w:t>
      </w:r>
      <w:r w:rsidR="00B43EF1">
        <w:rPr>
          <w:rFonts w:ascii="Century Gothic" w:eastAsiaTheme="minorHAnsi" w:hAnsi="Century Gothic"/>
          <w:sz w:val="20"/>
          <w:szCs w:val="20"/>
          <w:lang w:val="en-AU"/>
        </w:rPr>
        <w:t>relatively</w:t>
      </w:r>
      <w:r w:rsidR="00720F42">
        <w:rPr>
          <w:rFonts w:ascii="Century Gothic" w:eastAsiaTheme="minorHAnsi" w:hAnsi="Century Gothic"/>
          <w:sz w:val="20"/>
          <w:szCs w:val="20"/>
          <w:lang w:val="en-AU"/>
        </w:rPr>
        <w:t xml:space="preserve"> shallow terms. </w:t>
      </w:r>
      <w:r w:rsidR="00B43EF1">
        <w:rPr>
          <w:rFonts w:ascii="Century Gothic" w:eastAsiaTheme="minorHAnsi" w:hAnsi="Century Gothic"/>
          <w:sz w:val="20"/>
          <w:szCs w:val="20"/>
          <w:lang w:val="en-AU"/>
        </w:rPr>
        <w:t xml:space="preserve">Measurement of success is </w:t>
      </w:r>
      <w:r w:rsidR="00374AF3" w:rsidRPr="00D62295">
        <w:rPr>
          <w:rFonts w:ascii="Century Gothic" w:eastAsiaTheme="minorHAnsi" w:hAnsi="Century Gothic"/>
          <w:sz w:val="20"/>
          <w:szCs w:val="20"/>
          <w:lang w:val="en-AU"/>
        </w:rPr>
        <w:t>mostly</w:t>
      </w:r>
      <w:r w:rsidR="00B43EF1">
        <w:rPr>
          <w:rFonts w:ascii="Century Gothic" w:eastAsiaTheme="minorHAnsi" w:hAnsi="Century Gothic"/>
          <w:sz w:val="20"/>
          <w:szCs w:val="20"/>
          <w:lang w:val="en-AU"/>
        </w:rPr>
        <w:t xml:space="preserve"> about</w:t>
      </w:r>
      <w:r w:rsidR="00374AF3" w:rsidRPr="00D62295">
        <w:rPr>
          <w:rFonts w:ascii="Century Gothic" w:eastAsiaTheme="minorHAnsi" w:hAnsi="Century Gothic"/>
          <w:sz w:val="20"/>
          <w:szCs w:val="20"/>
          <w:lang w:val="en-AU"/>
        </w:rPr>
        <w:t xml:space="preserve"> outputs </w:t>
      </w:r>
      <w:r w:rsidR="00B43EF1">
        <w:rPr>
          <w:rFonts w:ascii="Century Gothic" w:eastAsiaTheme="minorHAnsi" w:hAnsi="Century Gothic"/>
          <w:sz w:val="20"/>
          <w:szCs w:val="20"/>
          <w:lang w:val="en-AU"/>
        </w:rPr>
        <w:t xml:space="preserve">such as attendance </w:t>
      </w:r>
      <w:r w:rsidR="00374AF3" w:rsidRPr="00D62295">
        <w:rPr>
          <w:rFonts w:ascii="Century Gothic" w:eastAsiaTheme="minorHAnsi" w:hAnsi="Century Gothic"/>
          <w:sz w:val="20"/>
          <w:szCs w:val="20"/>
          <w:lang w:val="en-AU"/>
        </w:rPr>
        <w:t>and short</w:t>
      </w:r>
      <w:r w:rsidR="00A837CE">
        <w:rPr>
          <w:rFonts w:ascii="Century Gothic" w:eastAsiaTheme="minorHAnsi" w:hAnsi="Century Gothic"/>
          <w:sz w:val="20"/>
          <w:szCs w:val="20"/>
          <w:lang w:val="en-AU"/>
        </w:rPr>
        <w:t>er</w:t>
      </w:r>
      <w:r w:rsidR="00374AF3" w:rsidRPr="00D62295">
        <w:rPr>
          <w:rFonts w:ascii="Century Gothic" w:eastAsiaTheme="minorHAnsi" w:hAnsi="Century Gothic"/>
          <w:sz w:val="20"/>
          <w:szCs w:val="20"/>
          <w:lang w:val="en-AU"/>
        </w:rPr>
        <w:t xml:space="preserve"> term outcomes</w:t>
      </w:r>
      <w:r w:rsidR="00720F42">
        <w:rPr>
          <w:rFonts w:ascii="Century Gothic" w:eastAsiaTheme="minorHAnsi" w:hAnsi="Century Gothic"/>
          <w:sz w:val="20"/>
          <w:szCs w:val="20"/>
          <w:lang w:val="en-AU"/>
        </w:rPr>
        <w:t xml:space="preserve"> </w:t>
      </w:r>
      <w:r w:rsidR="00B43EF1">
        <w:rPr>
          <w:rFonts w:ascii="Century Gothic" w:eastAsiaTheme="minorHAnsi" w:hAnsi="Century Gothic"/>
          <w:sz w:val="20"/>
          <w:szCs w:val="20"/>
          <w:lang w:val="en-AU"/>
        </w:rPr>
        <w:t xml:space="preserve">such as satisfaction levels. The </w:t>
      </w:r>
      <w:r w:rsidR="00720F42">
        <w:rPr>
          <w:rFonts w:ascii="Century Gothic" w:eastAsiaTheme="minorHAnsi" w:hAnsi="Century Gothic"/>
          <w:sz w:val="20"/>
          <w:szCs w:val="20"/>
          <w:lang w:val="en-AU"/>
        </w:rPr>
        <w:t xml:space="preserve">results </w:t>
      </w:r>
      <w:r w:rsidR="00B43EF1">
        <w:rPr>
          <w:rFonts w:ascii="Century Gothic" w:eastAsiaTheme="minorHAnsi" w:hAnsi="Century Gothic"/>
          <w:sz w:val="20"/>
          <w:szCs w:val="20"/>
          <w:lang w:val="en-AU"/>
        </w:rPr>
        <w:t xml:space="preserve">at this level </w:t>
      </w:r>
      <w:r w:rsidR="00720F42">
        <w:rPr>
          <w:rFonts w:ascii="Century Gothic" w:eastAsiaTheme="minorHAnsi" w:hAnsi="Century Gothic"/>
          <w:sz w:val="20"/>
          <w:szCs w:val="20"/>
          <w:lang w:val="en-AU"/>
        </w:rPr>
        <w:t xml:space="preserve">are </w:t>
      </w:r>
      <w:r w:rsidR="00B43EF1">
        <w:rPr>
          <w:rFonts w:ascii="Century Gothic" w:eastAsiaTheme="minorHAnsi" w:hAnsi="Century Gothic"/>
          <w:sz w:val="20"/>
          <w:szCs w:val="20"/>
          <w:lang w:val="en-AU"/>
        </w:rPr>
        <w:t>consistently positive.</w:t>
      </w:r>
      <w:r w:rsidR="00374AF3" w:rsidRPr="00D62295">
        <w:rPr>
          <w:rFonts w:ascii="Century Gothic" w:eastAsiaTheme="minorHAnsi" w:hAnsi="Century Gothic"/>
          <w:sz w:val="20"/>
          <w:szCs w:val="20"/>
          <w:lang w:val="en-AU"/>
        </w:rPr>
        <w:t xml:space="preserve"> </w:t>
      </w:r>
      <w:r w:rsidR="00720F42">
        <w:rPr>
          <w:rFonts w:ascii="Century Gothic" w:eastAsiaTheme="minorHAnsi" w:hAnsi="Century Gothic"/>
          <w:sz w:val="20"/>
          <w:szCs w:val="20"/>
          <w:lang w:val="en-AU"/>
        </w:rPr>
        <w:t xml:space="preserve">But overall, longer term outputs or outcomes </w:t>
      </w:r>
      <w:r w:rsidR="00227EAA">
        <w:rPr>
          <w:rFonts w:ascii="Century Gothic" w:eastAsiaTheme="minorHAnsi" w:hAnsi="Century Gothic"/>
          <w:sz w:val="20"/>
          <w:szCs w:val="20"/>
          <w:lang w:val="en-AU"/>
        </w:rPr>
        <w:t>from the n</w:t>
      </w:r>
      <w:r w:rsidR="00B43EF1">
        <w:rPr>
          <w:rFonts w:ascii="Century Gothic" w:eastAsiaTheme="minorHAnsi" w:hAnsi="Century Gothic"/>
          <w:sz w:val="20"/>
          <w:szCs w:val="20"/>
          <w:lang w:val="en-AU"/>
        </w:rPr>
        <w:t xml:space="preserve">ational priorities </w:t>
      </w:r>
      <w:r w:rsidR="00227EAA">
        <w:rPr>
          <w:rFonts w:ascii="Century Gothic" w:eastAsiaTheme="minorHAnsi" w:hAnsi="Century Gothic"/>
          <w:sz w:val="20"/>
          <w:szCs w:val="20"/>
          <w:lang w:val="en-AU"/>
        </w:rPr>
        <w:t xml:space="preserve">for </w:t>
      </w:r>
      <w:r w:rsidR="00B43EF1">
        <w:rPr>
          <w:rFonts w:ascii="Century Gothic" w:eastAsiaTheme="minorHAnsi" w:hAnsi="Century Gothic"/>
          <w:sz w:val="20"/>
          <w:szCs w:val="20"/>
          <w:lang w:val="en-AU"/>
        </w:rPr>
        <w:t xml:space="preserve">school improvement </w:t>
      </w:r>
      <w:r w:rsidR="00720F42">
        <w:rPr>
          <w:rFonts w:ascii="Century Gothic" w:eastAsiaTheme="minorHAnsi" w:hAnsi="Century Gothic"/>
          <w:sz w:val="20"/>
          <w:szCs w:val="20"/>
          <w:lang w:val="en-AU"/>
        </w:rPr>
        <w:t>are not addressed</w:t>
      </w:r>
      <w:r w:rsidR="00227EAA">
        <w:rPr>
          <w:rFonts w:ascii="Century Gothic" w:eastAsiaTheme="minorHAnsi" w:hAnsi="Century Gothic"/>
          <w:sz w:val="20"/>
          <w:szCs w:val="20"/>
          <w:lang w:val="en-AU"/>
        </w:rPr>
        <w:t>. E</w:t>
      </w:r>
      <w:r w:rsidR="00720F42">
        <w:rPr>
          <w:rFonts w:ascii="Century Gothic" w:eastAsiaTheme="minorHAnsi" w:hAnsi="Century Gothic"/>
          <w:sz w:val="20"/>
          <w:szCs w:val="20"/>
          <w:lang w:val="en-AU"/>
        </w:rPr>
        <w:t xml:space="preserve">ven if the time period is too short for analysing </w:t>
      </w:r>
      <w:r w:rsidR="00227EAA">
        <w:rPr>
          <w:rFonts w:ascii="Century Gothic" w:eastAsiaTheme="minorHAnsi" w:hAnsi="Century Gothic"/>
          <w:sz w:val="20"/>
          <w:szCs w:val="20"/>
          <w:lang w:val="en-AU"/>
        </w:rPr>
        <w:t xml:space="preserve">the </w:t>
      </w:r>
      <w:r w:rsidR="00720F42">
        <w:rPr>
          <w:rFonts w:ascii="Century Gothic" w:eastAsiaTheme="minorHAnsi" w:hAnsi="Century Gothic"/>
          <w:sz w:val="20"/>
          <w:szCs w:val="20"/>
          <w:lang w:val="en-AU"/>
        </w:rPr>
        <w:t>deeper impac</w:t>
      </w:r>
      <w:r w:rsidR="00227EAA">
        <w:rPr>
          <w:rFonts w:ascii="Century Gothic" w:eastAsiaTheme="minorHAnsi" w:hAnsi="Century Gothic"/>
          <w:sz w:val="20"/>
          <w:szCs w:val="20"/>
          <w:lang w:val="en-AU"/>
        </w:rPr>
        <w:t>t of initiatives</w:t>
      </w:r>
      <w:r w:rsidR="00720F42">
        <w:rPr>
          <w:rFonts w:ascii="Century Gothic" w:eastAsiaTheme="minorHAnsi" w:hAnsi="Century Gothic"/>
          <w:sz w:val="20"/>
          <w:szCs w:val="20"/>
          <w:lang w:val="en-AU"/>
        </w:rPr>
        <w:t xml:space="preserve"> </w:t>
      </w:r>
      <w:r w:rsidR="00B43EF1">
        <w:rPr>
          <w:rFonts w:ascii="Century Gothic" w:eastAsiaTheme="minorHAnsi" w:hAnsi="Century Gothic"/>
          <w:sz w:val="20"/>
          <w:szCs w:val="20"/>
          <w:lang w:val="en-AU"/>
        </w:rPr>
        <w:t xml:space="preserve">ways of addressing </w:t>
      </w:r>
      <w:r w:rsidR="00227EAA">
        <w:rPr>
          <w:rFonts w:ascii="Century Gothic" w:eastAsiaTheme="minorHAnsi" w:hAnsi="Century Gothic"/>
          <w:sz w:val="20"/>
          <w:szCs w:val="20"/>
          <w:lang w:val="en-AU"/>
        </w:rPr>
        <w:t>this, by interim outcomes for example</w:t>
      </w:r>
      <w:r w:rsidR="00C2634B">
        <w:rPr>
          <w:rFonts w:ascii="Century Gothic" w:eastAsiaTheme="minorHAnsi" w:hAnsi="Century Gothic"/>
          <w:sz w:val="20"/>
          <w:szCs w:val="20"/>
          <w:lang w:val="en-AU"/>
        </w:rPr>
        <w:t>, should</w:t>
      </w:r>
      <w:r w:rsidR="007C7FAF">
        <w:rPr>
          <w:rFonts w:ascii="Century Gothic" w:eastAsiaTheme="minorHAnsi" w:hAnsi="Century Gothic"/>
          <w:sz w:val="20"/>
          <w:szCs w:val="20"/>
          <w:lang w:val="en-AU"/>
        </w:rPr>
        <w:t xml:space="preserve"> be signalled.</w:t>
      </w:r>
    </w:p>
    <w:p w14:paraId="25944EC2" w14:textId="50CC1FC1" w:rsidR="005110DD" w:rsidRPr="00EE780E" w:rsidRDefault="005110DD" w:rsidP="003A3CAE">
      <w:pPr>
        <w:pStyle w:val="Heading3"/>
        <w:rPr>
          <w:lang w:val="en-AU"/>
        </w:rPr>
      </w:pPr>
      <w:bookmarkStart w:id="50" w:name="_Toc472261241"/>
      <w:bookmarkStart w:id="51" w:name="_Toc472262584"/>
      <w:bookmarkStart w:id="52" w:name="_Toc472262966"/>
      <w:bookmarkStart w:id="53" w:name="_Toc472263267"/>
      <w:bookmarkStart w:id="54" w:name="_Toc346123959"/>
      <w:r w:rsidRPr="00EE780E">
        <w:rPr>
          <w:lang w:val="en-AU"/>
        </w:rPr>
        <w:t>Outputs</w:t>
      </w:r>
      <w:bookmarkEnd w:id="50"/>
      <w:bookmarkEnd w:id="51"/>
      <w:bookmarkEnd w:id="52"/>
      <w:bookmarkEnd w:id="53"/>
      <w:bookmarkEnd w:id="54"/>
      <w:r w:rsidRPr="00EE780E">
        <w:rPr>
          <w:lang w:val="en-AU"/>
        </w:rPr>
        <w:t xml:space="preserve"> </w:t>
      </w:r>
      <w:r w:rsidR="00720F42" w:rsidRPr="00EE780E">
        <w:rPr>
          <w:lang w:val="en-AU"/>
        </w:rPr>
        <w:t>–</w:t>
      </w:r>
      <w:r w:rsidR="005178D0" w:rsidRPr="00EE780E">
        <w:rPr>
          <w:lang w:val="en-AU"/>
        </w:rPr>
        <w:t xml:space="preserve"> what was done and who was</w:t>
      </w:r>
      <w:r w:rsidR="007C7FAF">
        <w:rPr>
          <w:lang w:val="en-AU"/>
        </w:rPr>
        <w:t xml:space="preserve"> reached</w:t>
      </w:r>
    </w:p>
    <w:p w14:paraId="07952768" w14:textId="6DE19960" w:rsidR="003A5D8A" w:rsidRDefault="0080399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w:t>
      </w:r>
      <w:r w:rsidR="000D3667">
        <w:rPr>
          <w:rFonts w:ascii="Century Gothic" w:eastAsiaTheme="minorHAnsi" w:hAnsi="Century Gothic"/>
          <w:sz w:val="20"/>
          <w:szCs w:val="20"/>
          <w:lang w:val="en-AU"/>
        </w:rPr>
        <w:t xml:space="preserve">output </w:t>
      </w:r>
      <w:r>
        <w:rPr>
          <w:rFonts w:ascii="Century Gothic" w:eastAsiaTheme="minorHAnsi" w:hAnsi="Century Gothic"/>
          <w:sz w:val="20"/>
          <w:szCs w:val="20"/>
          <w:lang w:val="en-AU"/>
        </w:rPr>
        <w:t xml:space="preserve">indicators </w:t>
      </w:r>
      <w:r w:rsidR="000D3667">
        <w:rPr>
          <w:rFonts w:ascii="Century Gothic" w:eastAsiaTheme="minorHAnsi" w:hAnsi="Century Gothic"/>
          <w:sz w:val="20"/>
          <w:szCs w:val="20"/>
          <w:lang w:val="en-AU"/>
        </w:rPr>
        <w:t xml:space="preserve">are in the order of </w:t>
      </w:r>
      <w:r w:rsidR="00374AF3">
        <w:rPr>
          <w:rFonts w:ascii="Century Gothic" w:eastAsiaTheme="minorHAnsi" w:hAnsi="Century Gothic"/>
          <w:sz w:val="20"/>
          <w:szCs w:val="20"/>
          <w:lang w:val="en-AU"/>
        </w:rPr>
        <w:t>numbers participating</w:t>
      </w:r>
      <w:r>
        <w:rPr>
          <w:rFonts w:ascii="Century Gothic" w:eastAsiaTheme="minorHAnsi" w:hAnsi="Century Gothic"/>
          <w:sz w:val="20"/>
          <w:szCs w:val="20"/>
          <w:lang w:val="en-AU"/>
        </w:rPr>
        <w:t xml:space="preserve"> in </w:t>
      </w:r>
      <w:r w:rsidR="003A5D8A">
        <w:rPr>
          <w:rFonts w:ascii="Century Gothic" w:eastAsiaTheme="minorHAnsi" w:hAnsi="Century Gothic"/>
          <w:sz w:val="20"/>
          <w:szCs w:val="20"/>
          <w:lang w:val="en-AU"/>
        </w:rPr>
        <w:t xml:space="preserve">professional learning and information sessions </w:t>
      </w:r>
      <w:r w:rsidR="001E3A3B">
        <w:rPr>
          <w:rFonts w:ascii="Century Gothic" w:eastAsiaTheme="minorHAnsi" w:hAnsi="Century Gothic"/>
          <w:sz w:val="20"/>
          <w:szCs w:val="20"/>
          <w:lang w:val="en-AU"/>
        </w:rPr>
        <w:t>activities;</w:t>
      </w:r>
      <w:r>
        <w:rPr>
          <w:rFonts w:ascii="Century Gothic" w:eastAsiaTheme="minorHAnsi" w:hAnsi="Century Gothic"/>
          <w:sz w:val="20"/>
          <w:szCs w:val="20"/>
          <w:lang w:val="en-AU"/>
        </w:rPr>
        <w:t xml:space="preserve"> </w:t>
      </w:r>
      <w:r w:rsidR="001E3A3B">
        <w:rPr>
          <w:rFonts w:ascii="Century Gothic" w:eastAsiaTheme="minorHAnsi" w:hAnsi="Century Gothic"/>
          <w:sz w:val="20"/>
          <w:szCs w:val="20"/>
          <w:lang w:val="en-AU"/>
        </w:rPr>
        <w:t xml:space="preserve">volume of on-on-one advice on government requirements and the application of new standards; </w:t>
      </w:r>
      <w:r w:rsidR="003A5D8A">
        <w:rPr>
          <w:rFonts w:ascii="Century Gothic" w:eastAsiaTheme="minorHAnsi" w:hAnsi="Century Gothic"/>
          <w:sz w:val="20"/>
          <w:szCs w:val="20"/>
          <w:lang w:val="en-AU"/>
        </w:rPr>
        <w:t>ta</w:t>
      </w:r>
      <w:r w:rsidR="001E3A3B">
        <w:rPr>
          <w:rFonts w:ascii="Century Gothic" w:eastAsiaTheme="minorHAnsi" w:hAnsi="Century Gothic"/>
          <w:sz w:val="20"/>
          <w:szCs w:val="20"/>
          <w:lang w:val="en-AU"/>
        </w:rPr>
        <w:t>ke-up of coaching opportunities;</w:t>
      </w:r>
      <w:r w:rsidR="003A5D8A">
        <w:rPr>
          <w:rFonts w:ascii="Century Gothic" w:eastAsiaTheme="minorHAnsi" w:hAnsi="Century Gothic"/>
          <w:sz w:val="20"/>
          <w:szCs w:val="20"/>
          <w:lang w:val="en-AU"/>
        </w:rPr>
        <w:t xml:space="preserve"> functionality of websites</w:t>
      </w:r>
      <w:r w:rsidR="001E3A3B">
        <w:rPr>
          <w:rFonts w:ascii="Century Gothic" w:eastAsiaTheme="minorHAnsi" w:hAnsi="Century Gothic"/>
          <w:sz w:val="20"/>
          <w:szCs w:val="20"/>
          <w:lang w:val="en-AU"/>
        </w:rPr>
        <w:t>;</w:t>
      </w:r>
      <w:r w:rsidR="003A5D8A">
        <w:rPr>
          <w:rFonts w:ascii="Century Gothic" w:eastAsiaTheme="minorHAnsi" w:hAnsi="Century Gothic"/>
          <w:sz w:val="20"/>
          <w:szCs w:val="20"/>
          <w:lang w:val="en-AU"/>
        </w:rPr>
        <w:t xml:space="preserve"> and participant sa</w:t>
      </w:r>
      <w:r w:rsidR="007C7FAF">
        <w:rPr>
          <w:rFonts w:ascii="Century Gothic" w:eastAsiaTheme="minorHAnsi" w:hAnsi="Century Gothic"/>
          <w:sz w:val="20"/>
          <w:szCs w:val="20"/>
          <w:lang w:val="en-AU"/>
        </w:rPr>
        <w:t>tisfaction with the activities.</w:t>
      </w:r>
    </w:p>
    <w:p w14:paraId="022C9F50" w14:textId="51329710" w:rsidR="00CC7398" w:rsidRDefault="003A5D8A" w:rsidP="004B2D8A">
      <w:pPr>
        <w:spacing w:after="200" w:line="276" w:lineRule="auto"/>
        <w:ind w:right="-340"/>
        <w:jc w:val="both"/>
        <w:rPr>
          <w:rFonts w:ascii="Century Gothic" w:eastAsiaTheme="minorHAnsi" w:hAnsi="Century Gothic"/>
          <w:sz w:val="20"/>
          <w:szCs w:val="20"/>
          <w:lang w:val="en-AU"/>
        </w:rPr>
      </w:pPr>
      <w:r w:rsidRPr="00D62295">
        <w:rPr>
          <w:rFonts w:ascii="Century Gothic" w:eastAsiaTheme="minorHAnsi" w:hAnsi="Century Gothic"/>
          <w:sz w:val="20"/>
          <w:szCs w:val="20"/>
          <w:lang w:val="en-AU"/>
        </w:rPr>
        <w:t xml:space="preserve">Results </w:t>
      </w:r>
      <w:r>
        <w:rPr>
          <w:rFonts w:ascii="Century Gothic" w:eastAsiaTheme="minorHAnsi" w:hAnsi="Century Gothic"/>
          <w:sz w:val="20"/>
          <w:szCs w:val="20"/>
          <w:lang w:val="en-AU"/>
        </w:rPr>
        <w:t xml:space="preserve">at this level </w:t>
      </w:r>
      <w:r w:rsidRPr="00D62295">
        <w:rPr>
          <w:rFonts w:ascii="Century Gothic" w:eastAsiaTheme="minorHAnsi" w:hAnsi="Century Gothic"/>
          <w:sz w:val="20"/>
          <w:szCs w:val="20"/>
          <w:lang w:val="en-AU"/>
        </w:rPr>
        <w:t xml:space="preserve">are </w:t>
      </w:r>
      <w:r>
        <w:rPr>
          <w:rFonts w:ascii="Century Gothic" w:eastAsiaTheme="minorHAnsi" w:hAnsi="Century Gothic"/>
          <w:sz w:val="20"/>
          <w:szCs w:val="20"/>
          <w:lang w:val="en-AU"/>
        </w:rPr>
        <w:t>positive</w:t>
      </w:r>
      <w:r w:rsidR="000D3667">
        <w:rPr>
          <w:rFonts w:ascii="Century Gothic" w:eastAsiaTheme="minorHAnsi" w:hAnsi="Century Gothic"/>
          <w:sz w:val="20"/>
          <w:szCs w:val="20"/>
          <w:lang w:val="en-AU"/>
        </w:rPr>
        <w:t xml:space="preserve"> and have often exceeded </w:t>
      </w:r>
      <w:r w:rsidR="00326BB4">
        <w:rPr>
          <w:rFonts w:ascii="Century Gothic" w:eastAsiaTheme="minorHAnsi" w:hAnsi="Century Gothic"/>
          <w:sz w:val="20"/>
          <w:szCs w:val="20"/>
          <w:lang w:val="en-AU"/>
        </w:rPr>
        <w:t>expectations</w:t>
      </w:r>
      <w:r>
        <w:rPr>
          <w:rFonts w:ascii="Century Gothic" w:eastAsiaTheme="minorHAnsi" w:hAnsi="Century Gothic"/>
          <w:sz w:val="20"/>
          <w:szCs w:val="20"/>
          <w:lang w:val="en-AU"/>
        </w:rPr>
        <w:t>.</w:t>
      </w:r>
      <w:r w:rsidRPr="00D62295">
        <w:rPr>
          <w:rFonts w:ascii="Century Gothic" w:eastAsiaTheme="minorHAnsi" w:hAnsi="Century Gothic"/>
          <w:sz w:val="20"/>
          <w:szCs w:val="20"/>
          <w:lang w:val="en-AU"/>
        </w:rPr>
        <w:t xml:space="preserve"> Particularly in independent schools, the rates of engagement are high and the willingness to accept experts and consultants into schools to work alongside principals and teachers is pleasing to the associations. </w:t>
      </w:r>
      <w:r w:rsidR="00A837CE">
        <w:rPr>
          <w:rFonts w:ascii="Century Gothic" w:eastAsiaTheme="minorHAnsi" w:hAnsi="Century Gothic"/>
          <w:sz w:val="20"/>
          <w:szCs w:val="20"/>
          <w:lang w:val="en-AU"/>
        </w:rPr>
        <w:t>NGRBs for Independent schools and some Catholic NGRBs have provided precise number</w:t>
      </w:r>
      <w:r w:rsidR="00484955">
        <w:rPr>
          <w:rFonts w:ascii="Century Gothic" w:eastAsiaTheme="minorHAnsi" w:hAnsi="Century Gothic"/>
          <w:sz w:val="20"/>
          <w:szCs w:val="20"/>
          <w:lang w:val="en-AU"/>
        </w:rPr>
        <w:t>s</w:t>
      </w:r>
      <w:r w:rsidR="00A837CE">
        <w:rPr>
          <w:rFonts w:ascii="Century Gothic" w:eastAsiaTheme="minorHAnsi" w:hAnsi="Century Gothic"/>
          <w:sz w:val="20"/>
          <w:szCs w:val="20"/>
          <w:lang w:val="en-AU"/>
        </w:rPr>
        <w:t xml:space="preserve"> and hours of engagement for their main initiatives. In the smaller jurisdictions the rate of involvement for many </w:t>
      </w:r>
      <w:r w:rsidR="00B47B7F">
        <w:rPr>
          <w:rFonts w:ascii="Century Gothic" w:eastAsiaTheme="minorHAnsi" w:hAnsi="Century Gothic"/>
          <w:sz w:val="20"/>
          <w:szCs w:val="20"/>
          <w:lang w:val="en-AU"/>
        </w:rPr>
        <w:t xml:space="preserve">SFSF funded </w:t>
      </w:r>
      <w:r w:rsidR="00A837CE">
        <w:rPr>
          <w:rFonts w:ascii="Century Gothic" w:eastAsiaTheme="minorHAnsi" w:hAnsi="Century Gothic"/>
          <w:sz w:val="20"/>
          <w:szCs w:val="20"/>
          <w:lang w:val="en-AU"/>
        </w:rPr>
        <w:t xml:space="preserve">activities has been near 90-100 per cent. </w:t>
      </w:r>
      <w:r w:rsidR="00532CEC">
        <w:rPr>
          <w:rFonts w:ascii="Century Gothic" w:eastAsiaTheme="minorHAnsi" w:hAnsi="Century Gothic"/>
          <w:sz w:val="20"/>
          <w:szCs w:val="20"/>
          <w:lang w:val="en-AU"/>
        </w:rPr>
        <w:t xml:space="preserve">A few </w:t>
      </w:r>
      <w:r w:rsidR="001E3A3B">
        <w:rPr>
          <w:rFonts w:ascii="Century Gothic" w:eastAsiaTheme="minorHAnsi" w:hAnsi="Century Gothic"/>
          <w:sz w:val="20"/>
          <w:szCs w:val="20"/>
          <w:lang w:val="en-AU"/>
        </w:rPr>
        <w:t>conduct regular surveys of members and results</w:t>
      </w:r>
      <w:r w:rsidR="007C7FAF">
        <w:rPr>
          <w:rFonts w:ascii="Century Gothic" w:eastAsiaTheme="minorHAnsi" w:hAnsi="Century Gothic"/>
          <w:sz w:val="20"/>
          <w:szCs w:val="20"/>
          <w:lang w:val="en-AU"/>
        </w:rPr>
        <w:t xml:space="preserve"> show growing and sometimes</w:t>
      </w:r>
    </w:p>
    <w:p w14:paraId="7457CF87" w14:textId="7D63EA22" w:rsidR="009D199A" w:rsidRDefault="001E3A3B"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high levels of satisfaction</w:t>
      </w:r>
      <w:r w:rsidR="00484955">
        <w:rPr>
          <w:rFonts w:ascii="Century Gothic" w:eastAsiaTheme="minorHAnsi" w:hAnsi="Century Gothic"/>
          <w:sz w:val="20"/>
          <w:szCs w:val="20"/>
          <w:lang w:val="en-AU"/>
        </w:rPr>
        <w:t xml:space="preserve"> with the role played by their NGRB</w:t>
      </w:r>
      <w:r w:rsidR="007C7FAF">
        <w:rPr>
          <w:rFonts w:ascii="Century Gothic" w:eastAsiaTheme="minorHAnsi" w:hAnsi="Century Gothic"/>
          <w:sz w:val="20"/>
          <w:szCs w:val="20"/>
          <w:lang w:val="en-AU"/>
        </w:rPr>
        <w:t>.</w:t>
      </w:r>
    </w:p>
    <w:p w14:paraId="60AC90C9" w14:textId="2A1672D2" w:rsidR="005110DD" w:rsidRPr="009D199A" w:rsidRDefault="005110DD" w:rsidP="009D199A">
      <w:pPr>
        <w:spacing w:before="120" w:after="120" w:line="276" w:lineRule="auto"/>
        <w:ind w:right="-340"/>
        <w:jc w:val="both"/>
        <w:rPr>
          <w:rFonts w:ascii="Century Gothic" w:eastAsiaTheme="minorHAnsi" w:hAnsi="Century Gothic"/>
          <w:b/>
          <w:color w:val="4F81BD" w:themeColor="accent1"/>
          <w:sz w:val="20"/>
          <w:szCs w:val="20"/>
          <w:lang w:val="en-AU"/>
        </w:rPr>
      </w:pPr>
      <w:bookmarkStart w:id="55" w:name="_Toc472261242"/>
      <w:bookmarkStart w:id="56" w:name="_Toc472262585"/>
      <w:bookmarkStart w:id="57" w:name="_Toc472262967"/>
      <w:bookmarkStart w:id="58" w:name="_Toc472263268"/>
      <w:bookmarkStart w:id="59" w:name="_Toc346123960"/>
      <w:r w:rsidRPr="009D199A">
        <w:rPr>
          <w:rFonts w:ascii="Century Gothic" w:eastAsiaTheme="minorHAnsi" w:hAnsi="Century Gothic"/>
          <w:b/>
          <w:color w:val="4F81BD" w:themeColor="accent1"/>
          <w:sz w:val="20"/>
          <w:szCs w:val="20"/>
          <w:lang w:val="en-AU"/>
        </w:rPr>
        <w:t>Outcomes</w:t>
      </w:r>
      <w:bookmarkEnd w:id="55"/>
      <w:bookmarkEnd w:id="56"/>
      <w:bookmarkEnd w:id="57"/>
      <w:bookmarkEnd w:id="58"/>
      <w:bookmarkEnd w:id="59"/>
      <w:r w:rsidRPr="009D199A">
        <w:rPr>
          <w:rFonts w:ascii="Century Gothic" w:eastAsiaTheme="minorHAnsi" w:hAnsi="Century Gothic"/>
          <w:b/>
          <w:color w:val="4F81BD" w:themeColor="accent1"/>
          <w:sz w:val="20"/>
          <w:szCs w:val="20"/>
          <w:lang w:val="en-AU"/>
        </w:rPr>
        <w:t xml:space="preserve"> </w:t>
      </w:r>
      <w:r w:rsidR="00720F42" w:rsidRPr="009D199A">
        <w:rPr>
          <w:rFonts w:ascii="Century Gothic" w:eastAsiaTheme="minorHAnsi" w:hAnsi="Century Gothic"/>
          <w:b/>
          <w:color w:val="4F81BD" w:themeColor="accent1"/>
          <w:sz w:val="20"/>
          <w:szCs w:val="20"/>
          <w:lang w:val="en-AU"/>
        </w:rPr>
        <w:t>– short and longer term results</w:t>
      </w:r>
    </w:p>
    <w:p w14:paraId="25CA8381" w14:textId="7A8034C2" w:rsidR="001842E5" w:rsidRDefault="000D3667"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Outcome indicators </w:t>
      </w:r>
      <w:r w:rsidR="008530B2">
        <w:rPr>
          <w:rFonts w:ascii="Century Gothic" w:eastAsiaTheme="minorHAnsi" w:hAnsi="Century Gothic"/>
          <w:sz w:val="20"/>
          <w:szCs w:val="20"/>
          <w:lang w:val="en-AU"/>
        </w:rPr>
        <w:t xml:space="preserve">and results are more challenging for NGRBs. Outcome indicators </w:t>
      </w:r>
      <w:r w:rsidR="003A22E5">
        <w:rPr>
          <w:rFonts w:ascii="Century Gothic" w:eastAsiaTheme="minorHAnsi" w:hAnsi="Century Gothic"/>
          <w:sz w:val="20"/>
          <w:szCs w:val="20"/>
          <w:lang w:val="en-AU"/>
        </w:rPr>
        <w:t xml:space="preserve">have mostly been included in the early work plans for 2014 but </w:t>
      </w:r>
      <w:r w:rsidR="001842E5">
        <w:rPr>
          <w:rFonts w:ascii="Century Gothic" w:eastAsiaTheme="minorHAnsi" w:hAnsi="Century Gothic"/>
          <w:sz w:val="20"/>
          <w:szCs w:val="20"/>
          <w:lang w:val="en-AU"/>
        </w:rPr>
        <w:t>fewer than 4</w:t>
      </w:r>
      <w:r w:rsidR="003A22E5">
        <w:rPr>
          <w:rFonts w:ascii="Century Gothic" w:eastAsiaTheme="minorHAnsi" w:hAnsi="Century Gothic"/>
          <w:sz w:val="20"/>
          <w:szCs w:val="20"/>
          <w:lang w:val="en-AU"/>
        </w:rPr>
        <w:t xml:space="preserve">0 per cent have continued to report on </w:t>
      </w:r>
      <w:r w:rsidR="008E557E">
        <w:rPr>
          <w:rFonts w:ascii="Century Gothic" w:eastAsiaTheme="minorHAnsi" w:hAnsi="Century Gothic"/>
          <w:sz w:val="20"/>
          <w:szCs w:val="20"/>
          <w:lang w:val="en-AU"/>
        </w:rPr>
        <w:t xml:space="preserve">progress for </w:t>
      </w:r>
      <w:r w:rsidR="007C7FAF">
        <w:rPr>
          <w:rFonts w:ascii="Century Gothic" w:eastAsiaTheme="minorHAnsi" w:hAnsi="Century Gothic"/>
          <w:sz w:val="20"/>
          <w:szCs w:val="20"/>
          <w:lang w:val="en-AU"/>
        </w:rPr>
        <w:t>these up to 2016.</w:t>
      </w:r>
    </w:p>
    <w:p w14:paraId="1782DA7C" w14:textId="11343E13" w:rsidR="00E220D7" w:rsidRDefault="001842E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Most include indicators for meeting state and Australian government requirements such as the </w:t>
      </w:r>
      <w:r w:rsidR="003A22E5">
        <w:rPr>
          <w:rFonts w:ascii="Century Gothic" w:eastAsiaTheme="minorHAnsi" w:hAnsi="Century Gothic"/>
          <w:sz w:val="20"/>
          <w:szCs w:val="20"/>
          <w:lang w:val="en-AU"/>
        </w:rPr>
        <w:t>adoption of the Australian Professional Standards for Teachers in schools’ performance and development frameworks;</w:t>
      </w:r>
      <w:r w:rsidR="00B47B7F">
        <w:rPr>
          <w:rFonts w:ascii="Century Gothic" w:eastAsiaTheme="minorHAnsi" w:hAnsi="Century Gothic"/>
          <w:sz w:val="20"/>
          <w:szCs w:val="20"/>
          <w:lang w:val="en-AU"/>
        </w:rPr>
        <w:t xml:space="preserve"> adoption of principal appraisal; </w:t>
      </w:r>
      <w:r w:rsidR="003A22E5" w:rsidRPr="00D62295">
        <w:rPr>
          <w:rFonts w:ascii="Century Gothic" w:eastAsiaTheme="minorHAnsi" w:hAnsi="Century Gothic"/>
          <w:sz w:val="20"/>
          <w:szCs w:val="20"/>
          <w:lang w:val="en-AU"/>
        </w:rPr>
        <w:t xml:space="preserve">completion of school improvement plans; </w:t>
      </w:r>
      <w:r w:rsidR="003A22E5">
        <w:rPr>
          <w:rFonts w:ascii="Century Gothic" w:eastAsiaTheme="minorHAnsi" w:hAnsi="Century Gothic"/>
          <w:sz w:val="20"/>
          <w:szCs w:val="20"/>
          <w:lang w:val="en-AU"/>
        </w:rPr>
        <w:t xml:space="preserve">and </w:t>
      </w:r>
      <w:r w:rsidR="008530B2">
        <w:rPr>
          <w:rFonts w:ascii="Century Gothic" w:eastAsiaTheme="minorHAnsi" w:hAnsi="Century Gothic"/>
          <w:sz w:val="20"/>
          <w:szCs w:val="20"/>
          <w:lang w:val="en-AU"/>
        </w:rPr>
        <w:t xml:space="preserve">depth of </w:t>
      </w:r>
      <w:r w:rsidR="003A22E5">
        <w:rPr>
          <w:rFonts w:ascii="Century Gothic" w:eastAsiaTheme="minorHAnsi" w:hAnsi="Century Gothic"/>
          <w:sz w:val="20"/>
          <w:szCs w:val="20"/>
          <w:lang w:val="en-AU"/>
        </w:rPr>
        <w:t xml:space="preserve">implementation </w:t>
      </w:r>
      <w:r>
        <w:rPr>
          <w:rFonts w:ascii="Century Gothic" w:eastAsiaTheme="minorHAnsi" w:hAnsi="Century Gothic"/>
          <w:sz w:val="20"/>
          <w:szCs w:val="20"/>
          <w:lang w:val="en-AU"/>
        </w:rPr>
        <w:t>of</w:t>
      </w:r>
      <w:r w:rsidR="003A22E5">
        <w:rPr>
          <w:rFonts w:ascii="Century Gothic" w:eastAsiaTheme="minorHAnsi" w:hAnsi="Century Gothic"/>
          <w:sz w:val="20"/>
          <w:szCs w:val="20"/>
          <w:lang w:val="en-AU"/>
        </w:rPr>
        <w:t xml:space="preserve"> the </w:t>
      </w:r>
      <w:r w:rsidR="003A22E5" w:rsidRPr="00D62295">
        <w:rPr>
          <w:rFonts w:ascii="Century Gothic" w:eastAsiaTheme="minorHAnsi" w:hAnsi="Century Gothic"/>
          <w:sz w:val="20"/>
          <w:szCs w:val="20"/>
          <w:lang w:val="en-AU"/>
        </w:rPr>
        <w:t>Australian Curriculum</w:t>
      </w:r>
      <w:r w:rsidR="008E557E">
        <w:rPr>
          <w:rFonts w:ascii="Century Gothic" w:eastAsiaTheme="minorHAnsi" w:hAnsi="Century Gothic"/>
          <w:sz w:val="20"/>
          <w:szCs w:val="20"/>
          <w:lang w:val="en-AU"/>
        </w:rPr>
        <w:t>.</w:t>
      </w:r>
      <w:r w:rsidR="003A22E5" w:rsidRPr="00D62295">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Some estimates </w:t>
      </w:r>
      <w:r w:rsidR="000D3667">
        <w:rPr>
          <w:rFonts w:ascii="Century Gothic" w:eastAsiaTheme="minorHAnsi" w:hAnsi="Century Gothic"/>
          <w:sz w:val="20"/>
          <w:szCs w:val="20"/>
          <w:lang w:val="en-AU"/>
        </w:rPr>
        <w:t xml:space="preserve">of results </w:t>
      </w:r>
      <w:r w:rsidR="008530B2">
        <w:rPr>
          <w:rFonts w:ascii="Century Gothic" w:eastAsiaTheme="minorHAnsi" w:hAnsi="Century Gothic"/>
          <w:sz w:val="20"/>
          <w:szCs w:val="20"/>
          <w:lang w:val="en-AU"/>
        </w:rPr>
        <w:t xml:space="preserve">are provided and show progress but </w:t>
      </w:r>
      <w:r w:rsidR="00057D87">
        <w:rPr>
          <w:rFonts w:ascii="Century Gothic" w:eastAsiaTheme="minorHAnsi" w:hAnsi="Century Gothic"/>
          <w:sz w:val="20"/>
          <w:szCs w:val="20"/>
          <w:lang w:val="en-AU"/>
        </w:rPr>
        <w:t xml:space="preserve">these outcomes are also generated </w:t>
      </w:r>
      <w:r w:rsidR="00057D87">
        <w:rPr>
          <w:rFonts w:ascii="Century Gothic" w:eastAsiaTheme="minorHAnsi" w:hAnsi="Century Gothic"/>
          <w:sz w:val="20"/>
          <w:szCs w:val="20"/>
          <w:lang w:val="en-AU"/>
        </w:rPr>
        <w:lastRenderedPageBreak/>
        <w:t xml:space="preserve">in conjunction with </w:t>
      </w:r>
      <w:r w:rsidR="008530B2">
        <w:rPr>
          <w:rFonts w:ascii="Century Gothic" w:eastAsiaTheme="minorHAnsi" w:hAnsi="Century Gothic"/>
          <w:sz w:val="20"/>
          <w:szCs w:val="20"/>
          <w:lang w:val="en-AU"/>
        </w:rPr>
        <w:t xml:space="preserve">other initiatives, particularly in the larger </w:t>
      </w:r>
      <w:r w:rsidR="00057D87">
        <w:rPr>
          <w:rFonts w:ascii="Century Gothic" w:eastAsiaTheme="minorHAnsi" w:hAnsi="Century Gothic"/>
          <w:sz w:val="20"/>
          <w:szCs w:val="20"/>
          <w:lang w:val="en-AU"/>
        </w:rPr>
        <w:t xml:space="preserve">Catholic </w:t>
      </w:r>
      <w:r w:rsidR="008530B2">
        <w:rPr>
          <w:rFonts w:ascii="Century Gothic" w:eastAsiaTheme="minorHAnsi" w:hAnsi="Century Gothic"/>
          <w:sz w:val="20"/>
          <w:szCs w:val="20"/>
          <w:lang w:val="en-AU"/>
        </w:rPr>
        <w:t xml:space="preserve">jurisdictions and attribution to SFSF is </w:t>
      </w:r>
      <w:r w:rsidR="00057D87">
        <w:rPr>
          <w:rFonts w:ascii="Century Gothic" w:eastAsiaTheme="minorHAnsi" w:hAnsi="Century Gothic"/>
          <w:sz w:val="20"/>
          <w:szCs w:val="20"/>
          <w:lang w:val="en-AU"/>
        </w:rPr>
        <w:t>not possible</w:t>
      </w:r>
    </w:p>
    <w:p w14:paraId="61F88493" w14:textId="4A1E55C3" w:rsidR="008530B2" w:rsidRDefault="001842E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Other </w:t>
      </w:r>
      <w:r w:rsidR="008E557E">
        <w:rPr>
          <w:rFonts w:ascii="Century Gothic" w:eastAsiaTheme="minorHAnsi" w:hAnsi="Century Gothic"/>
          <w:sz w:val="20"/>
          <w:szCs w:val="20"/>
          <w:lang w:val="en-AU"/>
        </w:rPr>
        <w:t>outcomes are more for aspirational purposes and would require complex data gathering techniques including more robust base level data from which to estimate improvement.</w:t>
      </w:r>
    </w:p>
    <w:p w14:paraId="269FF344" w14:textId="3F87C277" w:rsidR="005110DD" w:rsidRDefault="00B43EF1"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Some of the o</w:t>
      </w:r>
      <w:r w:rsidR="00ED06AB">
        <w:rPr>
          <w:rFonts w:ascii="Century Gothic" w:eastAsiaTheme="minorHAnsi" w:hAnsi="Century Gothic"/>
          <w:sz w:val="20"/>
          <w:szCs w:val="20"/>
          <w:lang w:val="en-AU"/>
        </w:rPr>
        <w:t xml:space="preserve">utcome indicators </w:t>
      </w:r>
      <w:r>
        <w:rPr>
          <w:rFonts w:ascii="Century Gothic" w:eastAsiaTheme="minorHAnsi" w:hAnsi="Century Gothic"/>
          <w:sz w:val="20"/>
          <w:szCs w:val="20"/>
          <w:lang w:val="en-AU"/>
        </w:rPr>
        <w:t xml:space="preserve">at this level </w:t>
      </w:r>
      <w:r w:rsidR="003A22E5">
        <w:rPr>
          <w:rFonts w:ascii="Century Gothic" w:eastAsiaTheme="minorHAnsi" w:hAnsi="Century Gothic"/>
          <w:sz w:val="20"/>
          <w:szCs w:val="20"/>
          <w:lang w:val="en-AU"/>
        </w:rPr>
        <w:t xml:space="preserve">include </w:t>
      </w:r>
      <w:r w:rsidR="00B47B7F">
        <w:rPr>
          <w:rFonts w:ascii="Century Gothic" w:eastAsiaTheme="minorHAnsi" w:hAnsi="Century Gothic"/>
          <w:sz w:val="20"/>
          <w:szCs w:val="20"/>
          <w:lang w:val="en-AU"/>
        </w:rPr>
        <w:t xml:space="preserve">growth in the </w:t>
      </w:r>
      <w:r w:rsidR="00484955">
        <w:rPr>
          <w:rFonts w:ascii="Century Gothic" w:eastAsiaTheme="minorHAnsi" w:hAnsi="Century Gothic"/>
          <w:sz w:val="20"/>
          <w:szCs w:val="20"/>
          <w:lang w:val="en-AU"/>
        </w:rPr>
        <w:t>analysis</w:t>
      </w:r>
      <w:r w:rsidR="00B47B7F">
        <w:rPr>
          <w:rFonts w:ascii="Century Gothic" w:eastAsiaTheme="minorHAnsi" w:hAnsi="Century Gothic"/>
          <w:sz w:val="20"/>
          <w:szCs w:val="20"/>
          <w:lang w:val="en-AU"/>
        </w:rPr>
        <w:t xml:space="preserve"> of performance data in schools for monitoring school improvement; </w:t>
      </w:r>
      <w:r w:rsidR="00A837CE">
        <w:rPr>
          <w:rFonts w:ascii="Century Gothic" w:eastAsiaTheme="minorHAnsi" w:hAnsi="Century Gothic"/>
          <w:sz w:val="20"/>
          <w:szCs w:val="20"/>
          <w:lang w:val="en-AU"/>
        </w:rPr>
        <w:t xml:space="preserve">growing awareness </w:t>
      </w:r>
      <w:r w:rsidR="003A22E5">
        <w:rPr>
          <w:rFonts w:ascii="Century Gothic" w:eastAsiaTheme="minorHAnsi" w:hAnsi="Century Gothic"/>
          <w:sz w:val="20"/>
          <w:szCs w:val="20"/>
          <w:lang w:val="en-AU"/>
        </w:rPr>
        <w:t xml:space="preserve">and adoption </w:t>
      </w:r>
      <w:r w:rsidR="00A837CE">
        <w:rPr>
          <w:rFonts w:ascii="Century Gothic" w:eastAsiaTheme="minorHAnsi" w:hAnsi="Century Gothic"/>
          <w:sz w:val="20"/>
          <w:szCs w:val="20"/>
          <w:lang w:val="en-AU"/>
        </w:rPr>
        <w:t xml:space="preserve">of strategies for inclusive education </w:t>
      </w:r>
      <w:r w:rsidR="003A22E5">
        <w:rPr>
          <w:rFonts w:ascii="Century Gothic" w:eastAsiaTheme="minorHAnsi" w:hAnsi="Century Gothic"/>
          <w:sz w:val="20"/>
          <w:szCs w:val="20"/>
          <w:lang w:val="en-AU"/>
        </w:rPr>
        <w:t>to meet diverse student needs;</w:t>
      </w:r>
      <w:r w:rsidR="00A837CE">
        <w:rPr>
          <w:rFonts w:ascii="Century Gothic" w:eastAsiaTheme="minorHAnsi" w:hAnsi="Century Gothic"/>
          <w:sz w:val="20"/>
          <w:szCs w:val="20"/>
          <w:lang w:val="en-AU"/>
        </w:rPr>
        <w:t xml:space="preserve"> imp</w:t>
      </w:r>
      <w:r w:rsidR="003A22E5">
        <w:rPr>
          <w:rFonts w:ascii="Century Gothic" w:eastAsiaTheme="minorHAnsi" w:hAnsi="Century Gothic"/>
          <w:sz w:val="20"/>
          <w:szCs w:val="20"/>
          <w:lang w:val="en-AU"/>
        </w:rPr>
        <w:t xml:space="preserve">roved teacher skills for language teaching; </w:t>
      </w:r>
      <w:r w:rsidR="00A837CE">
        <w:rPr>
          <w:rFonts w:ascii="Century Gothic" w:eastAsiaTheme="minorHAnsi" w:hAnsi="Century Gothic"/>
          <w:sz w:val="20"/>
          <w:szCs w:val="20"/>
          <w:lang w:val="en-AU"/>
        </w:rPr>
        <w:t>and changed behaviours</w:t>
      </w:r>
      <w:r w:rsidR="003A22E5">
        <w:rPr>
          <w:rFonts w:ascii="Century Gothic" w:eastAsiaTheme="minorHAnsi" w:hAnsi="Century Gothic"/>
          <w:sz w:val="20"/>
          <w:szCs w:val="20"/>
          <w:lang w:val="en-AU"/>
        </w:rPr>
        <w:t xml:space="preserve"> and practices for early career principals. </w:t>
      </w:r>
      <w:r w:rsidR="005110DD">
        <w:rPr>
          <w:rFonts w:ascii="Century Gothic" w:eastAsiaTheme="minorHAnsi" w:hAnsi="Century Gothic"/>
          <w:sz w:val="20"/>
          <w:szCs w:val="20"/>
          <w:lang w:val="en-AU"/>
        </w:rPr>
        <w:t>Some plans also refer to improving student outcomes as indicated by NAPLAN results.</w:t>
      </w:r>
    </w:p>
    <w:p w14:paraId="110B006F" w14:textId="4640B1A5" w:rsidR="005110DD" w:rsidRDefault="005110DD"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Some offer observational results and anecdotal information for these outcomes but data analysis at this level of outcome is mostly not available. Even where NGRBs are large they are often also in complex management structures and achieving economies of scale in system </w:t>
      </w:r>
      <w:r w:rsidR="00484955">
        <w:rPr>
          <w:rFonts w:ascii="Century Gothic" w:eastAsiaTheme="minorHAnsi" w:hAnsi="Century Gothic"/>
          <w:sz w:val="20"/>
          <w:szCs w:val="20"/>
          <w:lang w:val="en-AU"/>
        </w:rPr>
        <w:t xml:space="preserve">level </w:t>
      </w:r>
      <w:r w:rsidR="007C7FAF">
        <w:rPr>
          <w:rFonts w:ascii="Century Gothic" w:eastAsiaTheme="minorHAnsi" w:hAnsi="Century Gothic"/>
          <w:sz w:val="20"/>
          <w:szCs w:val="20"/>
          <w:lang w:val="en-AU"/>
        </w:rPr>
        <w:t>data analysis is challenging.</w:t>
      </w:r>
    </w:p>
    <w:p w14:paraId="79A01B83" w14:textId="618C8797" w:rsidR="005110DD" w:rsidRPr="009D199A" w:rsidRDefault="00B43EF1" w:rsidP="009D199A">
      <w:pPr>
        <w:spacing w:before="120" w:after="120" w:line="276" w:lineRule="auto"/>
        <w:ind w:right="-340"/>
        <w:jc w:val="both"/>
        <w:rPr>
          <w:rFonts w:ascii="Century Gothic" w:eastAsiaTheme="minorHAnsi" w:hAnsi="Century Gothic"/>
          <w:b/>
          <w:color w:val="4F81BD" w:themeColor="accent1"/>
          <w:sz w:val="20"/>
          <w:szCs w:val="20"/>
          <w:lang w:val="en-AU"/>
        </w:rPr>
      </w:pPr>
      <w:bookmarkStart w:id="60" w:name="_Toc472261243"/>
      <w:bookmarkStart w:id="61" w:name="_Toc472262586"/>
      <w:bookmarkStart w:id="62" w:name="_Toc472262968"/>
      <w:bookmarkStart w:id="63" w:name="_Toc472263269"/>
      <w:bookmarkStart w:id="64" w:name="_Toc346123961"/>
      <w:r w:rsidRPr="009D199A">
        <w:rPr>
          <w:rFonts w:ascii="Century Gothic" w:eastAsiaTheme="minorHAnsi" w:hAnsi="Century Gothic"/>
          <w:b/>
          <w:color w:val="4F81BD" w:themeColor="accent1"/>
          <w:sz w:val="20"/>
          <w:szCs w:val="20"/>
          <w:lang w:val="en-AU"/>
        </w:rPr>
        <w:t>Program/project e</w:t>
      </w:r>
      <w:r w:rsidR="005110DD" w:rsidRPr="009D199A">
        <w:rPr>
          <w:rFonts w:ascii="Century Gothic" w:eastAsiaTheme="minorHAnsi" w:hAnsi="Century Gothic"/>
          <w:b/>
          <w:color w:val="4F81BD" w:themeColor="accent1"/>
          <w:sz w:val="20"/>
          <w:szCs w:val="20"/>
          <w:lang w:val="en-AU"/>
        </w:rPr>
        <w:t>valuation results</w:t>
      </w:r>
      <w:bookmarkEnd w:id="60"/>
      <w:bookmarkEnd w:id="61"/>
      <w:bookmarkEnd w:id="62"/>
      <w:bookmarkEnd w:id="63"/>
      <w:bookmarkEnd w:id="64"/>
    </w:p>
    <w:p w14:paraId="3F96D701" w14:textId="7DCD7261" w:rsidR="00B47B7F" w:rsidRDefault="00DB39DA"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005110DD">
        <w:rPr>
          <w:rFonts w:ascii="Century Gothic" w:eastAsiaTheme="minorHAnsi" w:hAnsi="Century Gothic"/>
          <w:sz w:val="20"/>
          <w:szCs w:val="20"/>
          <w:lang w:val="en-AU"/>
        </w:rPr>
        <w:t xml:space="preserve">ome NGRBs </w:t>
      </w:r>
      <w:r>
        <w:rPr>
          <w:rFonts w:ascii="Century Gothic" w:eastAsiaTheme="minorHAnsi" w:hAnsi="Century Gothic"/>
          <w:sz w:val="20"/>
          <w:szCs w:val="20"/>
          <w:lang w:val="en-AU"/>
        </w:rPr>
        <w:t xml:space="preserve">have evaluated </w:t>
      </w:r>
      <w:r w:rsidR="005110DD">
        <w:rPr>
          <w:rFonts w:ascii="Century Gothic" w:eastAsiaTheme="minorHAnsi" w:hAnsi="Century Gothic"/>
          <w:sz w:val="20"/>
          <w:szCs w:val="20"/>
          <w:lang w:val="en-AU"/>
        </w:rPr>
        <w:t xml:space="preserve">their </w:t>
      </w:r>
      <w:r w:rsidR="00B43EF1">
        <w:rPr>
          <w:rFonts w:ascii="Century Gothic" w:eastAsiaTheme="minorHAnsi" w:hAnsi="Century Gothic"/>
          <w:sz w:val="20"/>
          <w:szCs w:val="20"/>
          <w:lang w:val="en-AU"/>
        </w:rPr>
        <w:t>key projects</w:t>
      </w:r>
      <w:r>
        <w:rPr>
          <w:rFonts w:ascii="Century Gothic" w:eastAsiaTheme="minorHAnsi" w:hAnsi="Century Gothic"/>
          <w:sz w:val="20"/>
          <w:szCs w:val="20"/>
          <w:lang w:val="en-AU"/>
        </w:rPr>
        <w:t xml:space="preserve"> or strategies; h</w:t>
      </w:r>
      <w:r w:rsidR="00374AF3">
        <w:rPr>
          <w:rFonts w:ascii="Century Gothic" w:eastAsiaTheme="minorHAnsi" w:hAnsi="Century Gothic"/>
          <w:sz w:val="20"/>
          <w:szCs w:val="20"/>
          <w:lang w:val="en-AU"/>
        </w:rPr>
        <w:t>owever, the proportion of total activity that h</w:t>
      </w:r>
      <w:r w:rsidR="00B47B7F">
        <w:rPr>
          <w:rFonts w:ascii="Century Gothic" w:eastAsiaTheme="minorHAnsi" w:hAnsi="Century Gothic"/>
          <w:sz w:val="20"/>
          <w:szCs w:val="20"/>
          <w:lang w:val="en-AU"/>
        </w:rPr>
        <w:t xml:space="preserve">as been evaluated is </w:t>
      </w:r>
      <w:r w:rsidR="00532CEC">
        <w:rPr>
          <w:rFonts w:ascii="Century Gothic" w:eastAsiaTheme="minorHAnsi" w:hAnsi="Century Gothic"/>
          <w:sz w:val="20"/>
          <w:szCs w:val="20"/>
          <w:lang w:val="en-AU"/>
        </w:rPr>
        <w:t xml:space="preserve">very </w:t>
      </w:r>
      <w:r w:rsidR="00B47B7F">
        <w:rPr>
          <w:rFonts w:ascii="Century Gothic" w:eastAsiaTheme="minorHAnsi" w:hAnsi="Century Gothic"/>
          <w:sz w:val="20"/>
          <w:szCs w:val="20"/>
          <w:lang w:val="en-AU"/>
        </w:rPr>
        <w:t>small</w:t>
      </w:r>
      <w:r>
        <w:rPr>
          <w:rFonts w:ascii="Century Gothic" w:eastAsiaTheme="minorHAnsi" w:hAnsi="Century Gothic"/>
          <w:sz w:val="20"/>
          <w:szCs w:val="20"/>
          <w:lang w:val="en-AU"/>
        </w:rPr>
        <w:t xml:space="preserve"> at around 20 per cent</w:t>
      </w:r>
      <w:r w:rsidR="00B47B7F">
        <w:rPr>
          <w:rFonts w:ascii="Century Gothic" w:eastAsiaTheme="minorHAnsi" w:hAnsi="Century Gothic"/>
          <w:sz w:val="20"/>
          <w:szCs w:val="20"/>
          <w:lang w:val="en-AU"/>
        </w:rPr>
        <w:t>.</w:t>
      </w:r>
    </w:p>
    <w:p w14:paraId="7F3E6607" w14:textId="303D8E5D" w:rsidR="000D3667" w:rsidRDefault="00B47B7F"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w:t>
      </w:r>
      <w:r w:rsidR="00374AF3">
        <w:rPr>
          <w:rFonts w:ascii="Century Gothic" w:eastAsiaTheme="minorHAnsi" w:hAnsi="Century Gothic"/>
          <w:sz w:val="20"/>
          <w:szCs w:val="20"/>
          <w:lang w:val="en-AU"/>
        </w:rPr>
        <w:t xml:space="preserve"> few bodies have </w:t>
      </w:r>
      <w:r w:rsidR="00544E1E">
        <w:rPr>
          <w:rFonts w:ascii="Century Gothic" w:eastAsiaTheme="minorHAnsi" w:hAnsi="Century Gothic"/>
          <w:sz w:val="20"/>
          <w:szCs w:val="20"/>
          <w:lang w:val="en-AU"/>
        </w:rPr>
        <w:t>made</w:t>
      </w:r>
      <w:r w:rsidR="00544E1E" w:rsidRPr="00544E1E">
        <w:rPr>
          <w:rFonts w:ascii="Century Gothic" w:eastAsiaTheme="minorHAnsi" w:hAnsi="Century Gothic"/>
          <w:sz w:val="20"/>
          <w:szCs w:val="20"/>
          <w:lang w:val="en-AU"/>
        </w:rPr>
        <w:t xml:space="preserve"> </w:t>
      </w:r>
      <w:r w:rsidR="00544E1E">
        <w:rPr>
          <w:rFonts w:ascii="Century Gothic" w:eastAsiaTheme="minorHAnsi" w:hAnsi="Century Gothic"/>
          <w:sz w:val="20"/>
          <w:szCs w:val="20"/>
          <w:lang w:val="en-AU"/>
        </w:rPr>
        <w:t xml:space="preserve">available </w:t>
      </w:r>
      <w:r w:rsidR="00374AF3">
        <w:rPr>
          <w:rFonts w:ascii="Century Gothic" w:eastAsiaTheme="minorHAnsi" w:hAnsi="Century Gothic"/>
          <w:sz w:val="20"/>
          <w:szCs w:val="20"/>
          <w:lang w:val="en-AU"/>
        </w:rPr>
        <w:t>a suite of eval</w:t>
      </w:r>
      <w:r w:rsidR="000D3667">
        <w:rPr>
          <w:rFonts w:ascii="Century Gothic" w:eastAsiaTheme="minorHAnsi" w:hAnsi="Century Gothic"/>
          <w:sz w:val="20"/>
          <w:szCs w:val="20"/>
          <w:lang w:val="en-AU"/>
        </w:rPr>
        <w:t xml:space="preserve">uations (e.g. AIS NSW; AIS Queensland; </w:t>
      </w:r>
      <w:r w:rsidR="00374AF3">
        <w:rPr>
          <w:rFonts w:ascii="Century Gothic" w:eastAsiaTheme="minorHAnsi" w:hAnsi="Century Gothic"/>
          <w:sz w:val="20"/>
          <w:szCs w:val="20"/>
          <w:lang w:val="en-AU"/>
        </w:rPr>
        <w:t>CE WA</w:t>
      </w:r>
      <w:r w:rsidR="000D3667">
        <w:rPr>
          <w:rFonts w:ascii="Century Gothic" w:eastAsiaTheme="minorHAnsi" w:hAnsi="Century Gothic"/>
          <w:sz w:val="20"/>
          <w:szCs w:val="20"/>
          <w:lang w:val="en-AU"/>
        </w:rPr>
        <w:t>; and ACT AIS</w:t>
      </w:r>
      <w:r w:rsidR="00374AF3">
        <w:rPr>
          <w:rFonts w:ascii="Century Gothic" w:eastAsiaTheme="minorHAnsi" w:hAnsi="Century Gothic"/>
          <w:sz w:val="20"/>
          <w:szCs w:val="20"/>
          <w:lang w:val="en-AU"/>
        </w:rPr>
        <w:t>)</w:t>
      </w:r>
      <w:r w:rsidR="000D3667" w:rsidRPr="000D3667">
        <w:rPr>
          <w:rFonts w:ascii="Century Gothic" w:eastAsiaTheme="minorHAnsi" w:hAnsi="Century Gothic"/>
          <w:sz w:val="20"/>
          <w:szCs w:val="20"/>
          <w:lang w:val="en-AU"/>
        </w:rPr>
        <w:t xml:space="preserve"> </w:t>
      </w:r>
      <w:r w:rsidR="000D3667">
        <w:rPr>
          <w:rFonts w:ascii="Century Gothic" w:eastAsiaTheme="minorHAnsi" w:hAnsi="Century Gothic"/>
          <w:sz w:val="20"/>
          <w:szCs w:val="20"/>
          <w:lang w:val="en-AU"/>
        </w:rPr>
        <w:t>and have shown how their strategies</w:t>
      </w:r>
      <w:r w:rsidR="001E3A3B">
        <w:rPr>
          <w:rFonts w:ascii="Century Gothic" w:eastAsiaTheme="minorHAnsi" w:hAnsi="Century Gothic"/>
          <w:sz w:val="20"/>
          <w:szCs w:val="20"/>
          <w:lang w:val="en-AU"/>
        </w:rPr>
        <w:t xml:space="preserve"> and programs</w:t>
      </w:r>
      <w:r w:rsidR="000D3667">
        <w:rPr>
          <w:rFonts w:ascii="Century Gothic" w:eastAsiaTheme="minorHAnsi" w:hAnsi="Century Gothic"/>
          <w:sz w:val="20"/>
          <w:szCs w:val="20"/>
          <w:lang w:val="en-AU"/>
        </w:rPr>
        <w:t xml:space="preserve"> have been ad</w:t>
      </w:r>
      <w:r w:rsidR="00544E1E">
        <w:rPr>
          <w:rFonts w:ascii="Century Gothic" w:eastAsiaTheme="minorHAnsi" w:hAnsi="Century Gothic"/>
          <w:sz w:val="20"/>
          <w:szCs w:val="20"/>
          <w:lang w:val="en-AU"/>
        </w:rPr>
        <w:t xml:space="preserve">justed </w:t>
      </w:r>
      <w:r w:rsidR="007C7FAF">
        <w:rPr>
          <w:rFonts w:ascii="Century Gothic" w:eastAsiaTheme="minorHAnsi" w:hAnsi="Century Gothic"/>
          <w:sz w:val="20"/>
          <w:szCs w:val="20"/>
          <w:lang w:val="en-AU"/>
        </w:rPr>
        <w:t>according to research findings.</w:t>
      </w:r>
    </w:p>
    <w:p w14:paraId="0B96DC9B" w14:textId="1BD46DA5" w:rsidR="000D3667" w:rsidRDefault="00544E1E"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Key </w:t>
      </w:r>
      <w:r w:rsidR="000D3667">
        <w:rPr>
          <w:rFonts w:ascii="Century Gothic" w:eastAsiaTheme="minorHAnsi" w:hAnsi="Century Gothic"/>
          <w:sz w:val="20"/>
          <w:szCs w:val="20"/>
          <w:lang w:val="en-AU"/>
        </w:rPr>
        <w:t>commo</w:t>
      </w:r>
      <w:r w:rsidR="00326BB4">
        <w:rPr>
          <w:rFonts w:ascii="Century Gothic" w:eastAsiaTheme="minorHAnsi" w:hAnsi="Century Gothic"/>
          <w:sz w:val="20"/>
          <w:szCs w:val="20"/>
          <w:lang w:val="en-AU"/>
        </w:rPr>
        <w:t xml:space="preserve">nalities </w:t>
      </w:r>
      <w:r>
        <w:rPr>
          <w:rFonts w:ascii="Century Gothic" w:eastAsiaTheme="minorHAnsi" w:hAnsi="Century Gothic"/>
          <w:sz w:val="20"/>
          <w:szCs w:val="20"/>
          <w:lang w:val="en-AU"/>
        </w:rPr>
        <w:t>in evaluation findings includ</w:t>
      </w:r>
      <w:r w:rsidR="007C7FAF">
        <w:rPr>
          <w:rFonts w:ascii="Century Gothic" w:eastAsiaTheme="minorHAnsi" w:hAnsi="Century Gothic"/>
          <w:sz w:val="20"/>
          <w:szCs w:val="20"/>
          <w:lang w:val="en-AU"/>
        </w:rPr>
        <w:t>e</w:t>
      </w:r>
    </w:p>
    <w:p w14:paraId="11C8B11C" w14:textId="39D85B58" w:rsidR="00326BB4" w:rsidRPr="00544E1E" w:rsidRDefault="00544E1E" w:rsidP="006A1D2B">
      <w:pPr>
        <w:pStyle w:val="ListParagraph"/>
        <w:numPr>
          <w:ilvl w:val="0"/>
          <w:numId w:val="4"/>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value </w:t>
      </w:r>
      <w:r w:rsidR="004515FA">
        <w:rPr>
          <w:rFonts w:ascii="Century Gothic" w:eastAsiaTheme="minorHAnsi" w:hAnsi="Century Gothic"/>
          <w:sz w:val="20"/>
          <w:szCs w:val="20"/>
          <w:lang w:val="en-AU"/>
        </w:rPr>
        <w:t xml:space="preserve">of </w:t>
      </w:r>
      <w:r>
        <w:rPr>
          <w:rFonts w:ascii="Century Gothic" w:eastAsiaTheme="minorHAnsi" w:hAnsi="Century Gothic"/>
          <w:sz w:val="20"/>
          <w:szCs w:val="20"/>
          <w:lang w:val="en-AU"/>
        </w:rPr>
        <w:t xml:space="preserve">and demand by schools for expert coaching in specific practices </w:t>
      </w:r>
      <w:r w:rsidR="004515FA">
        <w:rPr>
          <w:rFonts w:ascii="Century Gothic" w:eastAsiaTheme="minorHAnsi" w:hAnsi="Century Gothic"/>
          <w:sz w:val="20"/>
          <w:szCs w:val="20"/>
          <w:lang w:val="en-AU"/>
        </w:rPr>
        <w:t>(</w:t>
      </w:r>
      <w:r>
        <w:rPr>
          <w:rFonts w:ascii="Century Gothic" w:eastAsiaTheme="minorHAnsi" w:hAnsi="Century Gothic"/>
          <w:sz w:val="20"/>
          <w:szCs w:val="20"/>
          <w:lang w:val="en-AU"/>
        </w:rPr>
        <w:t>e.g. literacy and numeracy</w:t>
      </w:r>
      <w:r w:rsidR="004515FA">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and the </w:t>
      </w:r>
      <w:r w:rsidRPr="00544E1E">
        <w:rPr>
          <w:rFonts w:ascii="Century Gothic" w:eastAsiaTheme="minorHAnsi" w:hAnsi="Century Gothic"/>
          <w:sz w:val="20"/>
          <w:szCs w:val="20"/>
          <w:lang w:val="en-AU"/>
        </w:rPr>
        <w:t>p</w:t>
      </w:r>
      <w:r w:rsidR="00326BB4" w:rsidRPr="00544E1E">
        <w:rPr>
          <w:rFonts w:ascii="Century Gothic" w:eastAsiaTheme="minorHAnsi" w:hAnsi="Century Gothic"/>
          <w:sz w:val="20"/>
          <w:szCs w:val="20"/>
          <w:lang w:val="en-AU"/>
        </w:rPr>
        <w:t>ositive results in improving teacher skills a</w:t>
      </w:r>
      <w:r>
        <w:rPr>
          <w:rFonts w:ascii="Century Gothic" w:eastAsiaTheme="minorHAnsi" w:hAnsi="Century Gothic"/>
          <w:sz w:val="20"/>
          <w:szCs w:val="20"/>
          <w:lang w:val="en-AU"/>
        </w:rPr>
        <w:t>nd changing classroom practices</w:t>
      </w:r>
    </w:p>
    <w:p w14:paraId="7AAC8CEB" w14:textId="59A70A28" w:rsidR="00326BB4" w:rsidRDefault="00544E1E" w:rsidP="006A1D2B">
      <w:pPr>
        <w:pStyle w:val="ListParagraph"/>
        <w:numPr>
          <w:ilvl w:val="0"/>
          <w:numId w:val="4"/>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00326BB4">
        <w:rPr>
          <w:rFonts w:ascii="Century Gothic" w:eastAsiaTheme="minorHAnsi" w:hAnsi="Century Gothic"/>
          <w:sz w:val="20"/>
          <w:szCs w:val="20"/>
          <w:lang w:val="en-AU"/>
        </w:rPr>
        <w:t xml:space="preserve">he value of in-school consultancy and group professional learning versus </w:t>
      </w:r>
      <w:r>
        <w:rPr>
          <w:rFonts w:ascii="Century Gothic" w:eastAsiaTheme="minorHAnsi" w:hAnsi="Century Gothic"/>
          <w:sz w:val="20"/>
          <w:szCs w:val="20"/>
          <w:lang w:val="en-AU"/>
        </w:rPr>
        <w:t xml:space="preserve">attending </w:t>
      </w:r>
      <w:r w:rsidR="004515FA">
        <w:rPr>
          <w:rFonts w:ascii="Century Gothic" w:eastAsiaTheme="minorHAnsi" w:hAnsi="Century Gothic"/>
          <w:sz w:val="20"/>
          <w:szCs w:val="20"/>
          <w:lang w:val="en-AU"/>
        </w:rPr>
        <w:t>external events</w:t>
      </w:r>
    </w:p>
    <w:p w14:paraId="401726F2" w14:textId="77777777" w:rsidR="00544E1E" w:rsidRDefault="00544E1E" w:rsidP="006A1D2B">
      <w:pPr>
        <w:pStyle w:val="ListParagraph"/>
        <w:numPr>
          <w:ilvl w:val="0"/>
          <w:numId w:val="4"/>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w:t>
      </w:r>
      <w:r w:rsidR="00326BB4">
        <w:rPr>
          <w:rFonts w:ascii="Century Gothic" w:eastAsiaTheme="minorHAnsi" w:hAnsi="Century Gothic"/>
          <w:sz w:val="20"/>
          <w:szCs w:val="20"/>
          <w:lang w:val="en-AU"/>
        </w:rPr>
        <w:t xml:space="preserve">mprovements that arise from equipping teachers with data analysis skills and facilitating use of </w:t>
      </w:r>
      <w:r>
        <w:rPr>
          <w:rFonts w:ascii="Century Gothic" w:eastAsiaTheme="minorHAnsi" w:hAnsi="Century Gothic"/>
          <w:sz w:val="20"/>
          <w:szCs w:val="20"/>
          <w:lang w:val="en-AU"/>
        </w:rPr>
        <w:t>benchmarks from similar schools</w:t>
      </w:r>
    </w:p>
    <w:p w14:paraId="4DA9EA4D" w14:textId="6CF3F281" w:rsidR="00DB39DA" w:rsidRDefault="001E3A3B" w:rsidP="006A1D2B">
      <w:pPr>
        <w:pStyle w:val="ListParagraph"/>
        <w:numPr>
          <w:ilvl w:val="0"/>
          <w:numId w:val="4"/>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value </w:t>
      </w:r>
      <w:r w:rsidR="004515FA">
        <w:rPr>
          <w:rFonts w:ascii="Century Gothic" w:eastAsiaTheme="minorHAnsi" w:hAnsi="Century Gothic"/>
          <w:sz w:val="20"/>
          <w:szCs w:val="20"/>
          <w:lang w:val="en-AU"/>
        </w:rPr>
        <w:t xml:space="preserve">of </w:t>
      </w:r>
      <w:r>
        <w:rPr>
          <w:rFonts w:ascii="Century Gothic" w:eastAsiaTheme="minorHAnsi" w:hAnsi="Century Gothic"/>
          <w:sz w:val="20"/>
          <w:szCs w:val="20"/>
          <w:lang w:val="en-AU"/>
        </w:rPr>
        <w:t>and demand for principal leadership development including for early career principal</w:t>
      </w:r>
      <w:r w:rsidR="00A01677">
        <w:rPr>
          <w:rFonts w:ascii="Century Gothic" w:eastAsiaTheme="minorHAnsi" w:hAnsi="Century Gothic"/>
          <w:sz w:val="20"/>
          <w:szCs w:val="20"/>
          <w:lang w:val="en-AU"/>
        </w:rPr>
        <w:t>s</w:t>
      </w:r>
      <w:r w:rsidR="007C7FAF">
        <w:rPr>
          <w:rFonts w:ascii="Century Gothic" w:eastAsiaTheme="minorHAnsi" w:hAnsi="Century Gothic"/>
          <w:sz w:val="20"/>
          <w:szCs w:val="20"/>
          <w:lang w:val="en-AU"/>
        </w:rPr>
        <w:t>.</w:t>
      </w:r>
    </w:p>
    <w:p w14:paraId="2806415C" w14:textId="4C9419E1" w:rsidR="00C2634B" w:rsidRPr="007C7FAF" w:rsidRDefault="00DB39DA" w:rsidP="007C7FAF">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These are useful findings that </w:t>
      </w:r>
      <w:r w:rsidR="00A01677">
        <w:rPr>
          <w:rFonts w:ascii="Century Gothic" w:eastAsiaTheme="minorHAnsi" w:hAnsi="Century Gothic"/>
          <w:sz w:val="20"/>
          <w:szCs w:val="20"/>
          <w:lang w:val="en-AU"/>
        </w:rPr>
        <w:t>should</w:t>
      </w:r>
      <w:r>
        <w:rPr>
          <w:rFonts w:ascii="Century Gothic" w:eastAsiaTheme="minorHAnsi" w:hAnsi="Century Gothic"/>
          <w:sz w:val="20"/>
          <w:szCs w:val="20"/>
          <w:lang w:val="en-AU"/>
        </w:rPr>
        <w:t xml:space="preserve"> be shared and </w:t>
      </w:r>
      <w:r w:rsidR="00A01677">
        <w:rPr>
          <w:rFonts w:ascii="Century Gothic" w:eastAsiaTheme="minorHAnsi" w:hAnsi="Century Gothic"/>
          <w:sz w:val="20"/>
          <w:szCs w:val="20"/>
          <w:lang w:val="en-AU"/>
        </w:rPr>
        <w:t xml:space="preserve">tested by others to extend the </w:t>
      </w:r>
      <w:r>
        <w:rPr>
          <w:rFonts w:ascii="Century Gothic" w:eastAsiaTheme="minorHAnsi" w:hAnsi="Century Gothic"/>
          <w:sz w:val="20"/>
          <w:szCs w:val="20"/>
          <w:lang w:val="en-AU"/>
        </w:rPr>
        <w:t xml:space="preserve">evidence </w:t>
      </w:r>
      <w:r w:rsidR="00A01677">
        <w:rPr>
          <w:rFonts w:ascii="Century Gothic" w:eastAsiaTheme="minorHAnsi" w:hAnsi="Century Gothic"/>
          <w:sz w:val="20"/>
          <w:szCs w:val="20"/>
          <w:lang w:val="en-AU"/>
        </w:rPr>
        <w:t>base for how NGRBs can most effectively work with schools</w:t>
      </w:r>
      <w:r w:rsidR="007C7FAF">
        <w:rPr>
          <w:rFonts w:ascii="Century Gothic" w:eastAsiaTheme="minorHAnsi" w:hAnsi="Century Gothic"/>
          <w:sz w:val="20"/>
          <w:szCs w:val="20"/>
          <w:lang w:val="en-AU"/>
        </w:rPr>
        <w:t xml:space="preserve"> to support school improvement.</w:t>
      </w:r>
      <w:bookmarkStart w:id="65" w:name="_Toc472261244"/>
      <w:bookmarkStart w:id="66" w:name="_Toc472262587"/>
      <w:bookmarkStart w:id="67" w:name="_Toc472262969"/>
      <w:bookmarkStart w:id="68" w:name="_Toc472263270"/>
      <w:bookmarkStart w:id="69" w:name="_Toc346123962"/>
    </w:p>
    <w:p w14:paraId="4B5299B9" w14:textId="2C2E5C8D" w:rsidR="006B62C4" w:rsidRPr="009D199A" w:rsidRDefault="006B62C4" w:rsidP="007C7FAF">
      <w:pPr>
        <w:keepNext/>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What principals see as the main value of the SFSF</w:t>
      </w:r>
      <w:bookmarkEnd w:id="65"/>
      <w:bookmarkEnd w:id="66"/>
      <w:bookmarkEnd w:id="67"/>
      <w:bookmarkEnd w:id="68"/>
      <w:bookmarkEnd w:id="69"/>
      <w:r w:rsidRPr="009D199A">
        <w:rPr>
          <w:rFonts w:ascii="Century Gothic" w:eastAsiaTheme="minorHAnsi" w:hAnsi="Century Gothic"/>
          <w:b/>
          <w:color w:val="4F81BD" w:themeColor="accent1"/>
          <w:sz w:val="20"/>
          <w:szCs w:val="20"/>
          <w:lang w:val="en-AU"/>
        </w:rPr>
        <w:t xml:space="preserve"> </w:t>
      </w:r>
    </w:p>
    <w:p w14:paraId="47BF720B" w14:textId="5FF469EC" w:rsidR="00FB74BF" w:rsidRDefault="00F318C8" w:rsidP="007C7FAF">
      <w:pPr>
        <w:keepNext/>
        <w:keepLines/>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M</w:t>
      </w:r>
      <w:r w:rsidR="00BA46C3" w:rsidRPr="00BA46C3">
        <w:rPr>
          <w:rFonts w:ascii="Century Gothic" w:eastAsiaTheme="minorHAnsi" w:hAnsi="Century Gothic"/>
          <w:sz w:val="20"/>
          <w:szCs w:val="20"/>
          <w:lang w:val="en-AU"/>
        </w:rPr>
        <w:t>ost principals can</w:t>
      </w:r>
      <w:r>
        <w:rPr>
          <w:rFonts w:ascii="Century Gothic" w:eastAsiaTheme="minorHAnsi" w:hAnsi="Century Gothic"/>
          <w:sz w:val="20"/>
          <w:szCs w:val="20"/>
          <w:lang w:val="en-AU"/>
        </w:rPr>
        <w:t>not</w:t>
      </w:r>
      <w:r w:rsidR="00BA46C3" w:rsidRPr="00BA46C3">
        <w:rPr>
          <w:rFonts w:ascii="Century Gothic" w:eastAsiaTheme="minorHAnsi" w:hAnsi="Century Gothic"/>
          <w:sz w:val="20"/>
          <w:szCs w:val="20"/>
          <w:lang w:val="en-AU"/>
        </w:rPr>
        <w:t xml:space="preserve"> differentiate </w:t>
      </w:r>
      <w:r w:rsidR="00FB74BF">
        <w:rPr>
          <w:rFonts w:ascii="Century Gothic" w:eastAsiaTheme="minorHAnsi" w:hAnsi="Century Gothic"/>
          <w:sz w:val="20"/>
          <w:szCs w:val="20"/>
          <w:lang w:val="en-AU"/>
        </w:rPr>
        <w:t xml:space="preserve">activities delivered by their NGRB that are funded by SFSF from the </w:t>
      </w:r>
      <w:r w:rsidR="007C7FAF">
        <w:rPr>
          <w:rFonts w:ascii="Century Gothic" w:eastAsiaTheme="minorHAnsi" w:hAnsi="Century Gothic"/>
          <w:sz w:val="20"/>
          <w:szCs w:val="20"/>
          <w:lang w:val="en-AU"/>
        </w:rPr>
        <w:t xml:space="preserve">general presence of that NGRB. </w:t>
      </w:r>
      <w:r w:rsidR="00FB74BF">
        <w:rPr>
          <w:rFonts w:ascii="Century Gothic" w:eastAsiaTheme="minorHAnsi" w:hAnsi="Century Gothic"/>
          <w:sz w:val="20"/>
          <w:szCs w:val="20"/>
          <w:lang w:val="en-AU"/>
        </w:rPr>
        <w:t>However</w:t>
      </w:r>
      <w:r w:rsidR="00E374AE">
        <w:rPr>
          <w:rFonts w:ascii="Century Gothic" w:eastAsiaTheme="minorHAnsi" w:hAnsi="Century Gothic"/>
          <w:sz w:val="20"/>
          <w:szCs w:val="20"/>
          <w:lang w:val="en-AU"/>
        </w:rPr>
        <w:t>,</w:t>
      </w:r>
      <w:r w:rsidR="00FB74BF">
        <w:rPr>
          <w:rFonts w:ascii="Century Gothic" w:eastAsiaTheme="minorHAnsi" w:hAnsi="Century Gothic"/>
          <w:sz w:val="20"/>
          <w:szCs w:val="20"/>
          <w:lang w:val="en-AU"/>
        </w:rPr>
        <w:t xml:space="preserve"> SFSF support has been made explicit in some cases e.g. the </w:t>
      </w:r>
      <w:r w:rsidR="000B4732">
        <w:rPr>
          <w:rFonts w:ascii="Century Gothic" w:eastAsiaTheme="minorHAnsi" w:hAnsi="Century Gothic"/>
          <w:sz w:val="20"/>
          <w:szCs w:val="20"/>
          <w:lang w:val="en-AU"/>
        </w:rPr>
        <w:t xml:space="preserve">CESA </w:t>
      </w:r>
      <w:r w:rsidR="00FB74BF">
        <w:rPr>
          <w:rFonts w:ascii="Century Gothic" w:eastAsiaTheme="minorHAnsi" w:hAnsi="Century Gothic"/>
          <w:sz w:val="20"/>
          <w:szCs w:val="20"/>
          <w:lang w:val="en-AU"/>
        </w:rPr>
        <w:t xml:space="preserve">entered into MoUs with their principal associations to deliver professional learning for principals.  These MoUs </w:t>
      </w:r>
      <w:r w:rsidR="00965DED">
        <w:rPr>
          <w:rFonts w:ascii="Century Gothic" w:eastAsiaTheme="minorHAnsi" w:hAnsi="Century Gothic"/>
          <w:sz w:val="20"/>
          <w:szCs w:val="20"/>
          <w:lang w:val="en-AU"/>
        </w:rPr>
        <w:t>specifically</w:t>
      </w:r>
      <w:r w:rsidR="00FB74BF">
        <w:rPr>
          <w:rFonts w:ascii="Century Gothic" w:eastAsiaTheme="minorHAnsi" w:hAnsi="Century Gothic"/>
          <w:sz w:val="20"/>
          <w:szCs w:val="20"/>
          <w:lang w:val="en-AU"/>
        </w:rPr>
        <w:t xml:space="preserve"> referenced SFSF support for that activity.</w:t>
      </w:r>
    </w:p>
    <w:p w14:paraId="43CE4C4D" w14:textId="14AA5902" w:rsidR="00965842" w:rsidRDefault="00227EAA"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national p</w:t>
      </w:r>
      <w:r w:rsidR="00965842">
        <w:rPr>
          <w:rFonts w:ascii="Century Gothic" w:eastAsiaTheme="minorHAnsi" w:hAnsi="Century Gothic"/>
          <w:sz w:val="20"/>
          <w:szCs w:val="20"/>
          <w:lang w:val="en-AU"/>
        </w:rPr>
        <w:t xml:space="preserve">riorities that SFSF activities address are also not readily identifiable by school principals.  They recognise them </w:t>
      </w:r>
      <w:r w:rsidR="005D42A5">
        <w:rPr>
          <w:rFonts w:ascii="Century Gothic" w:eastAsiaTheme="minorHAnsi" w:hAnsi="Century Gothic"/>
          <w:sz w:val="20"/>
          <w:szCs w:val="20"/>
          <w:lang w:val="en-AU"/>
        </w:rPr>
        <w:t xml:space="preserve">as key areas </w:t>
      </w:r>
      <w:r w:rsidR="00965842">
        <w:rPr>
          <w:rFonts w:ascii="Century Gothic" w:eastAsiaTheme="minorHAnsi" w:hAnsi="Century Gothic"/>
          <w:sz w:val="20"/>
          <w:szCs w:val="20"/>
          <w:lang w:val="en-AU"/>
        </w:rPr>
        <w:t>when prompted but</w:t>
      </w:r>
      <w:r w:rsidR="005D42A5">
        <w:rPr>
          <w:rFonts w:ascii="Century Gothic" w:eastAsiaTheme="minorHAnsi" w:hAnsi="Century Gothic"/>
          <w:sz w:val="20"/>
          <w:szCs w:val="20"/>
          <w:lang w:val="en-AU"/>
        </w:rPr>
        <w:t xml:space="preserve"> do not generally refer to them as a guiding the nation’s strategic direction in education. Principals on the whole do not readily differentiate between</w:t>
      </w:r>
      <w:r w:rsidR="007C7FAF">
        <w:rPr>
          <w:rFonts w:ascii="Century Gothic" w:eastAsiaTheme="minorHAnsi" w:hAnsi="Century Gothic"/>
          <w:sz w:val="20"/>
          <w:szCs w:val="20"/>
          <w:lang w:val="en-AU"/>
        </w:rPr>
        <w:t xml:space="preserve"> state or national priorities.</w:t>
      </w:r>
    </w:p>
    <w:p w14:paraId="1E881D0A" w14:textId="048D997F" w:rsidR="00965842" w:rsidRDefault="005D42A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lastRenderedPageBreak/>
        <w:t>Ir</w:t>
      </w:r>
      <w:r w:rsidR="00144496">
        <w:rPr>
          <w:rFonts w:ascii="Century Gothic" w:eastAsiaTheme="minorHAnsi" w:hAnsi="Century Gothic"/>
          <w:sz w:val="20"/>
          <w:szCs w:val="20"/>
          <w:lang w:val="en-AU"/>
        </w:rPr>
        <w:t xml:space="preserve">respective of knowledge of the </w:t>
      </w:r>
      <w:r>
        <w:rPr>
          <w:rFonts w:ascii="Century Gothic" w:eastAsiaTheme="minorHAnsi" w:hAnsi="Century Gothic"/>
          <w:sz w:val="20"/>
          <w:szCs w:val="20"/>
          <w:lang w:val="en-AU"/>
        </w:rPr>
        <w:t>source of funds</w:t>
      </w:r>
      <w:r w:rsidR="00E374AE">
        <w:rPr>
          <w:rFonts w:ascii="Century Gothic" w:eastAsiaTheme="minorHAnsi" w:hAnsi="Century Gothic"/>
          <w:sz w:val="20"/>
          <w:szCs w:val="20"/>
          <w:lang w:val="en-AU"/>
        </w:rPr>
        <w:t xml:space="preserve">, there is strong endorsement </w:t>
      </w:r>
      <w:r w:rsidR="00560DAE">
        <w:rPr>
          <w:rFonts w:ascii="Century Gothic" w:eastAsiaTheme="minorHAnsi" w:hAnsi="Century Gothic"/>
          <w:sz w:val="20"/>
          <w:szCs w:val="20"/>
          <w:lang w:val="en-AU"/>
        </w:rPr>
        <w:t xml:space="preserve">in many jurisdictions </w:t>
      </w:r>
      <w:r w:rsidR="00E374AE">
        <w:rPr>
          <w:rFonts w:ascii="Century Gothic" w:eastAsiaTheme="minorHAnsi" w:hAnsi="Century Gothic"/>
          <w:sz w:val="20"/>
          <w:szCs w:val="20"/>
          <w:lang w:val="en-AU"/>
        </w:rPr>
        <w:t>of the depth and relevance of SFSF NGRB activities.  This applies particularly where a school centred approach is</w:t>
      </w:r>
      <w:r>
        <w:rPr>
          <w:rFonts w:ascii="Century Gothic" w:eastAsiaTheme="minorHAnsi" w:hAnsi="Century Gothic"/>
          <w:sz w:val="20"/>
          <w:szCs w:val="20"/>
          <w:lang w:val="en-AU"/>
        </w:rPr>
        <w:t xml:space="preserve"> the central mode of operating and the activities are explicitly responsive to schools needs</w:t>
      </w:r>
      <w:r w:rsidR="007C7FAF">
        <w:rPr>
          <w:rFonts w:ascii="Century Gothic" w:eastAsiaTheme="minorHAnsi" w:hAnsi="Century Gothic"/>
          <w:sz w:val="20"/>
          <w:szCs w:val="20"/>
          <w:lang w:val="en-AU"/>
        </w:rPr>
        <w:t>.</w:t>
      </w:r>
    </w:p>
    <w:p w14:paraId="76369F46" w14:textId="19BE7A9D" w:rsidR="00E374AE" w:rsidRDefault="00965842"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Engagement in the s</w:t>
      </w:r>
      <w:r w:rsidR="00E374AE">
        <w:rPr>
          <w:rFonts w:ascii="Century Gothic" w:eastAsiaTheme="minorHAnsi" w:hAnsi="Century Gothic"/>
          <w:sz w:val="20"/>
          <w:szCs w:val="20"/>
          <w:lang w:val="en-AU"/>
        </w:rPr>
        <w:t>up</w:t>
      </w:r>
      <w:r w:rsidR="00CA4F0A">
        <w:rPr>
          <w:rFonts w:ascii="Century Gothic" w:eastAsiaTheme="minorHAnsi" w:hAnsi="Century Gothic"/>
          <w:sz w:val="20"/>
          <w:szCs w:val="20"/>
          <w:lang w:val="en-AU"/>
        </w:rPr>
        <w:t xml:space="preserve">port </w:t>
      </w:r>
      <w:r>
        <w:rPr>
          <w:rFonts w:ascii="Century Gothic" w:eastAsiaTheme="minorHAnsi" w:hAnsi="Century Gothic"/>
          <w:sz w:val="20"/>
          <w:szCs w:val="20"/>
          <w:lang w:val="en-AU"/>
        </w:rPr>
        <w:t xml:space="preserve">offered by an NGRB appears </w:t>
      </w:r>
      <w:r w:rsidR="00CA4F0A">
        <w:rPr>
          <w:rFonts w:ascii="Century Gothic" w:eastAsiaTheme="minorHAnsi" w:hAnsi="Century Gothic"/>
          <w:sz w:val="20"/>
          <w:szCs w:val="20"/>
          <w:lang w:val="en-AU"/>
        </w:rPr>
        <w:t xml:space="preserve">more </w:t>
      </w:r>
      <w:r>
        <w:rPr>
          <w:rFonts w:ascii="Century Gothic" w:eastAsiaTheme="minorHAnsi" w:hAnsi="Century Gothic"/>
          <w:sz w:val="20"/>
          <w:szCs w:val="20"/>
          <w:lang w:val="en-AU"/>
        </w:rPr>
        <w:t>extensive</w:t>
      </w:r>
      <w:r w:rsidR="00CA4F0A">
        <w:rPr>
          <w:rFonts w:ascii="Century Gothic" w:eastAsiaTheme="minorHAnsi" w:hAnsi="Century Gothic"/>
          <w:sz w:val="20"/>
          <w:szCs w:val="20"/>
          <w:lang w:val="en-AU"/>
        </w:rPr>
        <w:t xml:space="preserve"> in non-</w:t>
      </w:r>
      <w:r w:rsidR="00E374AE">
        <w:rPr>
          <w:rFonts w:ascii="Century Gothic" w:eastAsiaTheme="minorHAnsi" w:hAnsi="Century Gothic"/>
          <w:sz w:val="20"/>
          <w:szCs w:val="20"/>
          <w:lang w:val="en-AU"/>
        </w:rPr>
        <w:t>metropolitan areas</w:t>
      </w:r>
      <w:r>
        <w:rPr>
          <w:rFonts w:ascii="Century Gothic" w:eastAsiaTheme="minorHAnsi" w:hAnsi="Century Gothic"/>
          <w:sz w:val="20"/>
          <w:szCs w:val="20"/>
          <w:lang w:val="en-AU"/>
        </w:rPr>
        <w:t xml:space="preserve"> and in smaller schools</w:t>
      </w:r>
      <w:r w:rsidR="00E374AE">
        <w:rPr>
          <w:rFonts w:ascii="Century Gothic" w:eastAsiaTheme="minorHAnsi" w:hAnsi="Century Gothic"/>
          <w:sz w:val="20"/>
          <w:szCs w:val="20"/>
          <w:lang w:val="en-AU"/>
        </w:rPr>
        <w:t>.</w:t>
      </w:r>
      <w:r w:rsidR="00560DA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 P</w:t>
      </w:r>
      <w:r w:rsidR="00560DAE">
        <w:rPr>
          <w:rFonts w:ascii="Century Gothic" w:eastAsiaTheme="minorHAnsi" w:hAnsi="Century Gothic"/>
          <w:sz w:val="20"/>
          <w:szCs w:val="20"/>
          <w:lang w:val="en-AU"/>
        </w:rPr>
        <w:t>rincipals from l</w:t>
      </w:r>
      <w:r w:rsidR="00E374AE">
        <w:rPr>
          <w:rFonts w:ascii="Century Gothic" w:eastAsiaTheme="minorHAnsi" w:hAnsi="Century Gothic"/>
          <w:sz w:val="20"/>
          <w:szCs w:val="20"/>
          <w:lang w:val="en-AU"/>
        </w:rPr>
        <w:t xml:space="preserve">arge and mature schools </w:t>
      </w:r>
      <w:r w:rsidR="00560DAE">
        <w:rPr>
          <w:rFonts w:ascii="Century Gothic" w:eastAsiaTheme="minorHAnsi" w:hAnsi="Century Gothic"/>
          <w:sz w:val="20"/>
          <w:szCs w:val="20"/>
          <w:lang w:val="en-AU"/>
        </w:rPr>
        <w:t xml:space="preserve">tend to </w:t>
      </w:r>
      <w:r w:rsidR="00E374AE">
        <w:rPr>
          <w:rFonts w:ascii="Century Gothic" w:eastAsiaTheme="minorHAnsi" w:hAnsi="Century Gothic"/>
          <w:sz w:val="20"/>
          <w:szCs w:val="20"/>
          <w:lang w:val="en-AU"/>
        </w:rPr>
        <w:t xml:space="preserve">assess </w:t>
      </w:r>
      <w:r w:rsidR="00560DAE">
        <w:rPr>
          <w:rFonts w:ascii="Century Gothic" w:eastAsiaTheme="minorHAnsi" w:hAnsi="Century Gothic"/>
          <w:sz w:val="20"/>
          <w:szCs w:val="20"/>
          <w:lang w:val="en-AU"/>
        </w:rPr>
        <w:t xml:space="preserve">the best </w:t>
      </w:r>
      <w:r w:rsidR="00E374AE">
        <w:rPr>
          <w:rFonts w:ascii="Century Gothic" w:eastAsiaTheme="minorHAnsi" w:hAnsi="Century Gothic"/>
          <w:sz w:val="20"/>
          <w:szCs w:val="20"/>
          <w:lang w:val="en-AU"/>
        </w:rPr>
        <w:t>value</w:t>
      </w:r>
      <w:r w:rsidR="00560DAE">
        <w:rPr>
          <w:rFonts w:ascii="Century Gothic" w:eastAsiaTheme="minorHAnsi" w:hAnsi="Century Gothic"/>
          <w:sz w:val="20"/>
          <w:szCs w:val="20"/>
          <w:lang w:val="en-AU"/>
        </w:rPr>
        <w:t xml:space="preserve"> from NGRBs as arising from information and advice on implementing government requirements than from more general school improvement strategies. T</w:t>
      </w:r>
      <w:r w:rsidR="00E374AE">
        <w:rPr>
          <w:rFonts w:ascii="Century Gothic" w:eastAsiaTheme="minorHAnsi" w:hAnsi="Century Gothic"/>
          <w:sz w:val="20"/>
          <w:szCs w:val="20"/>
          <w:lang w:val="en-AU"/>
        </w:rPr>
        <w:t xml:space="preserve">hey </w:t>
      </w:r>
      <w:r w:rsidR="00560DAE">
        <w:rPr>
          <w:rFonts w:ascii="Century Gothic" w:eastAsiaTheme="minorHAnsi" w:hAnsi="Century Gothic"/>
          <w:sz w:val="20"/>
          <w:szCs w:val="20"/>
          <w:lang w:val="en-AU"/>
        </w:rPr>
        <w:t xml:space="preserve">mostly </w:t>
      </w:r>
      <w:r w:rsidR="00E374AE">
        <w:rPr>
          <w:rFonts w:ascii="Century Gothic" w:eastAsiaTheme="minorHAnsi" w:hAnsi="Century Gothic"/>
          <w:sz w:val="20"/>
          <w:szCs w:val="20"/>
          <w:lang w:val="en-AU"/>
        </w:rPr>
        <w:t>have internal structure</w:t>
      </w:r>
      <w:r w:rsidR="00560DAE">
        <w:rPr>
          <w:rFonts w:ascii="Century Gothic" w:eastAsiaTheme="minorHAnsi" w:hAnsi="Century Gothic"/>
          <w:sz w:val="20"/>
          <w:szCs w:val="20"/>
          <w:lang w:val="en-AU"/>
        </w:rPr>
        <w:t>s</w:t>
      </w:r>
      <w:r w:rsidR="00E374AE">
        <w:rPr>
          <w:rFonts w:ascii="Century Gothic" w:eastAsiaTheme="minorHAnsi" w:hAnsi="Century Gothic"/>
          <w:sz w:val="20"/>
          <w:szCs w:val="20"/>
          <w:lang w:val="en-AU"/>
        </w:rPr>
        <w:t xml:space="preserve"> for school improvement</w:t>
      </w:r>
      <w:r w:rsidR="00560DAE">
        <w:rPr>
          <w:rFonts w:ascii="Century Gothic" w:eastAsiaTheme="minorHAnsi" w:hAnsi="Century Gothic"/>
          <w:sz w:val="20"/>
          <w:szCs w:val="20"/>
          <w:lang w:val="en-AU"/>
        </w:rPr>
        <w:t xml:space="preserve"> and are not seeking generalised support</w:t>
      </w:r>
      <w:r w:rsidR="00E374AE">
        <w:rPr>
          <w:rFonts w:ascii="Century Gothic" w:eastAsiaTheme="minorHAnsi" w:hAnsi="Century Gothic"/>
          <w:sz w:val="20"/>
          <w:szCs w:val="20"/>
          <w:lang w:val="en-AU"/>
        </w:rPr>
        <w:t xml:space="preserve">. </w:t>
      </w:r>
      <w:r w:rsidR="00C2634B">
        <w:rPr>
          <w:rFonts w:ascii="Century Gothic" w:eastAsiaTheme="minorHAnsi" w:hAnsi="Century Gothic"/>
          <w:sz w:val="20"/>
          <w:szCs w:val="20"/>
          <w:lang w:val="en-AU"/>
        </w:rPr>
        <w:t>(See</w:t>
      </w:r>
      <w:r w:rsidR="00227EAA">
        <w:rPr>
          <w:rFonts w:ascii="Century Gothic" w:eastAsiaTheme="minorHAnsi" w:hAnsi="Century Gothic"/>
          <w:sz w:val="20"/>
          <w:szCs w:val="20"/>
          <w:lang w:val="en-AU"/>
        </w:rPr>
        <w:t xml:space="preserve"> Part 2, 2.4 for further</w:t>
      </w:r>
      <w:r w:rsidR="007C7FAF">
        <w:rPr>
          <w:rFonts w:ascii="Century Gothic" w:eastAsiaTheme="minorHAnsi" w:hAnsi="Century Gothic"/>
          <w:sz w:val="20"/>
          <w:szCs w:val="20"/>
          <w:lang w:val="en-AU"/>
        </w:rPr>
        <w:t xml:space="preserve"> details of principals’ views.)</w:t>
      </w:r>
    </w:p>
    <w:p w14:paraId="68B2705F" w14:textId="5B56E6E7" w:rsidR="00326BB4" w:rsidRPr="00572246" w:rsidRDefault="00560DAE" w:rsidP="00572246">
      <w:pPr>
        <w:pStyle w:val="Heading2"/>
        <w:rPr>
          <w:rStyle w:val="IntenseReference"/>
          <w:b/>
          <w:bCs/>
          <w:smallCaps w:val="0"/>
          <w:color w:val="0070C0"/>
          <w:spacing w:val="0"/>
        </w:rPr>
      </w:pPr>
      <w:bookmarkStart w:id="70" w:name="_Toc495587310"/>
      <w:r w:rsidRPr="00572246">
        <w:rPr>
          <w:rStyle w:val="IntenseReference"/>
          <w:b/>
          <w:bCs/>
          <w:smallCaps w:val="0"/>
          <w:color w:val="0070C0"/>
          <w:spacing w:val="0"/>
        </w:rPr>
        <w:t xml:space="preserve">4.2 </w:t>
      </w:r>
      <w:r w:rsidR="005D40DE" w:rsidRPr="00572246">
        <w:rPr>
          <w:rStyle w:val="IntenseReference"/>
          <w:b/>
          <w:bCs/>
          <w:smallCaps w:val="0"/>
          <w:color w:val="0070C0"/>
          <w:spacing w:val="0"/>
        </w:rPr>
        <w:tab/>
      </w:r>
      <w:r w:rsidR="00326BB4" w:rsidRPr="00572246">
        <w:rPr>
          <w:rStyle w:val="IntenseReference"/>
          <w:b/>
          <w:bCs/>
          <w:smallCaps w:val="0"/>
          <w:color w:val="0070C0"/>
          <w:spacing w:val="0"/>
        </w:rPr>
        <w:t>Other areas of value gain</w:t>
      </w:r>
      <w:bookmarkEnd w:id="70"/>
    </w:p>
    <w:p w14:paraId="384E74F8" w14:textId="400F6D44" w:rsidR="00326BB4" w:rsidRDefault="0075647F"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productivity and sustainability </w:t>
      </w:r>
      <w:r w:rsidR="00326BB4">
        <w:rPr>
          <w:rFonts w:ascii="Century Gothic" w:eastAsiaTheme="minorHAnsi" w:hAnsi="Century Gothic"/>
          <w:sz w:val="20"/>
          <w:szCs w:val="20"/>
          <w:lang w:val="en-AU"/>
        </w:rPr>
        <w:t xml:space="preserve">the </w:t>
      </w:r>
      <w:r>
        <w:rPr>
          <w:rFonts w:ascii="Century Gothic" w:eastAsiaTheme="minorHAnsi" w:hAnsi="Century Gothic"/>
          <w:sz w:val="20"/>
          <w:szCs w:val="20"/>
          <w:lang w:val="en-AU"/>
        </w:rPr>
        <w:t xml:space="preserve">NGRB SFSF </w:t>
      </w:r>
      <w:r w:rsidR="00326BB4">
        <w:rPr>
          <w:rFonts w:ascii="Century Gothic" w:eastAsiaTheme="minorHAnsi" w:hAnsi="Century Gothic"/>
          <w:sz w:val="20"/>
          <w:szCs w:val="20"/>
          <w:lang w:val="en-AU"/>
        </w:rPr>
        <w:t>operating models</w:t>
      </w:r>
      <w:r>
        <w:rPr>
          <w:rFonts w:ascii="Century Gothic" w:eastAsiaTheme="minorHAnsi" w:hAnsi="Century Gothic"/>
          <w:sz w:val="20"/>
          <w:szCs w:val="20"/>
          <w:lang w:val="en-AU"/>
        </w:rPr>
        <w:t xml:space="preserve"> are </w:t>
      </w:r>
      <w:r w:rsidR="00262495">
        <w:rPr>
          <w:rFonts w:ascii="Century Gothic" w:eastAsiaTheme="minorHAnsi" w:hAnsi="Century Gothic"/>
          <w:sz w:val="20"/>
          <w:szCs w:val="20"/>
          <w:lang w:val="en-AU"/>
        </w:rPr>
        <w:t xml:space="preserve">two aspects that are important to </w:t>
      </w:r>
      <w:r w:rsidR="007C7FAF">
        <w:rPr>
          <w:rFonts w:ascii="Century Gothic" w:eastAsiaTheme="minorHAnsi" w:hAnsi="Century Gothic"/>
          <w:sz w:val="20"/>
          <w:szCs w:val="20"/>
          <w:lang w:val="en-AU"/>
        </w:rPr>
        <w:t>estimating the gains from SFSF.</w:t>
      </w:r>
    </w:p>
    <w:p w14:paraId="52F52048" w14:textId="706B9938" w:rsidR="00F43973" w:rsidRPr="009D199A" w:rsidRDefault="00F43973" w:rsidP="009D199A">
      <w:pPr>
        <w:spacing w:before="120" w:after="120" w:line="276" w:lineRule="auto"/>
        <w:ind w:right="-340"/>
        <w:jc w:val="both"/>
        <w:rPr>
          <w:rFonts w:ascii="Century Gothic" w:eastAsiaTheme="minorHAnsi" w:hAnsi="Century Gothic"/>
          <w:b/>
          <w:color w:val="4F81BD" w:themeColor="accent1"/>
          <w:sz w:val="20"/>
          <w:szCs w:val="20"/>
          <w:lang w:val="en-AU"/>
        </w:rPr>
      </w:pPr>
      <w:bookmarkStart w:id="71" w:name="_Toc472261246"/>
      <w:bookmarkStart w:id="72" w:name="_Toc472262589"/>
      <w:bookmarkStart w:id="73" w:name="_Toc472262971"/>
      <w:bookmarkStart w:id="74" w:name="_Toc472263272"/>
      <w:bookmarkStart w:id="75" w:name="_Toc346123964"/>
      <w:r w:rsidRPr="009D199A">
        <w:rPr>
          <w:rFonts w:ascii="Century Gothic" w:eastAsiaTheme="minorHAnsi" w:hAnsi="Century Gothic"/>
          <w:b/>
          <w:color w:val="4F81BD" w:themeColor="accent1"/>
          <w:sz w:val="20"/>
          <w:szCs w:val="20"/>
          <w:lang w:val="en-AU"/>
        </w:rPr>
        <w:t>Productivity and leverage</w:t>
      </w:r>
      <w:bookmarkEnd w:id="71"/>
      <w:bookmarkEnd w:id="72"/>
      <w:bookmarkEnd w:id="73"/>
      <w:bookmarkEnd w:id="74"/>
      <w:bookmarkEnd w:id="75"/>
    </w:p>
    <w:p w14:paraId="3038BF6E" w14:textId="6A75D4D4" w:rsidR="00B007CC" w:rsidRDefault="00622919"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NGRBs differ in the proportion of SFSF funds allocated to initiatives. </w:t>
      </w:r>
      <w:r w:rsidR="00B007CC">
        <w:rPr>
          <w:rFonts w:ascii="Century Gothic" w:eastAsiaTheme="minorHAnsi" w:hAnsi="Century Gothic"/>
          <w:sz w:val="20"/>
          <w:szCs w:val="20"/>
          <w:lang w:val="en-AU"/>
        </w:rPr>
        <w:t xml:space="preserve">A few initiatives </w:t>
      </w:r>
      <w:r w:rsidR="00262495">
        <w:rPr>
          <w:rFonts w:ascii="Century Gothic" w:eastAsiaTheme="minorHAnsi" w:hAnsi="Century Gothic"/>
          <w:sz w:val="20"/>
          <w:szCs w:val="20"/>
          <w:lang w:val="en-AU"/>
        </w:rPr>
        <w:t xml:space="preserve">and, at least in one NGRB, all initiatives </w:t>
      </w:r>
      <w:r w:rsidR="00B007CC">
        <w:rPr>
          <w:rFonts w:ascii="Century Gothic" w:eastAsiaTheme="minorHAnsi" w:hAnsi="Century Gothic"/>
          <w:sz w:val="20"/>
          <w:szCs w:val="20"/>
          <w:lang w:val="en-AU"/>
        </w:rPr>
        <w:t xml:space="preserve">are funded exclusively by SFSF funds but in the main SFSF </w:t>
      </w:r>
      <w:r w:rsidR="004515FA">
        <w:rPr>
          <w:rFonts w:ascii="Century Gothic" w:eastAsiaTheme="minorHAnsi" w:hAnsi="Century Gothic"/>
          <w:sz w:val="20"/>
          <w:szCs w:val="20"/>
          <w:lang w:val="en-AU"/>
        </w:rPr>
        <w:t xml:space="preserve">resources </w:t>
      </w:r>
      <w:r w:rsidR="00B007CC">
        <w:rPr>
          <w:rFonts w:ascii="Century Gothic" w:eastAsiaTheme="minorHAnsi" w:hAnsi="Century Gothic"/>
          <w:sz w:val="20"/>
          <w:szCs w:val="20"/>
          <w:lang w:val="en-AU"/>
        </w:rPr>
        <w:t>are leveraged by funds from other sources</w:t>
      </w:r>
      <w:r w:rsidR="004515FA">
        <w:rPr>
          <w:rFonts w:ascii="Century Gothic" w:eastAsiaTheme="minorHAnsi" w:hAnsi="Century Gothic"/>
          <w:sz w:val="20"/>
          <w:szCs w:val="20"/>
          <w:lang w:val="en-AU"/>
        </w:rPr>
        <w:t xml:space="preserve"> </w:t>
      </w:r>
      <w:r w:rsidR="00262495">
        <w:rPr>
          <w:rFonts w:ascii="Century Gothic" w:eastAsiaTheme="minorHAnsi" w:hAnsi="Century Gothic"/>
          <w:sz w:val="20"/>
          <w:szCs w:val="20"/>
          <w:lang w:val="en-AU"/>
        </w:rPr>
        <w:t xml:space="preserve">with the intention they are </w:t>
      </w:r>
      <w:r w:rsidR="004515FA">
        <w:rPr>
          <w:rFonts w:ascii="Century Gothic" w:eastAsiaTheme="minorHAnsi" w:hAnsi="Century Gothic"/>
          <w:sz w:val="20"/>
          <w:szCs w:val="20"/>
          <w:lang w:val="en-AU"/>
        </w:rPr>
        <w:t xml:space="preserve">used to </w:t>
      </w:r>
      <w:r w:rsidR="00262495">
        <w:rPr>
          <w:rFonts w:ascii="Century Gothic" w:eastAsiaTheme="minorHAnsi" w:hAnsi="Century Gothic"/>
          <w:sz w:val="20"/>
          <w:szCs w:val="20"/>
          <w:lang w:val="en-AU"/>
        </w:rPr>
        <w:t xml:space="preserve">better </w:t>
      </w:r>
      <w:r w:rsidR="004515FA">
        <w:rPr>
          <w:rFonts w:ascii="Century Gothic" w:eastAsiaTheme="minorHAnsi" w:hAnsi="Century Gothic"/>
          <w:sz w:val="20"/>
          <w:szCs w:val="20"/>
          <w:lang w:val="en-AU"/>
        </w:rPr>
        <w:t>advantage</w:t>
      </w:r>
      <w:r w:rsidR="00B007CC">
        <w:rPr>
          <w:rFonts w:ascii="Century Gothic" w:eastAsiaTheme="minorHAnsi" w:hAnsi="Century Gothic"/>
          <w:sz w:val="20"/>
          <w:szCs w:val="20"/>
          <w:lang w:val="en-AU"/>
        </w:rPr>
        <w:t xml:space="preserve">. This is positive and lays the foundation for more productive use of scare resources in meeting national </w:t>
      </w:r>
      <w:r w:rsidR="004515FA">
        <w:rPr>
          <w:rFonts w:ascii="Century Gothic" w:eastAsiaTheme="minorHAnsi" w:hAnsi="Century Gothic"/>
          <w:sz w:val="20"/>
          <w:szCs w:val="20"/>
          <w:lang w:val="en-AU"/>
        </w:rPr>
        <w:t>priorities</w:t>
      </w:r>
      <w:r w:rsidR="007C7FAF">
        <w:rPr>
          <w:rFonts w:ascii="Century Gothic" w:eastAsiaTheme="minorHAnsi" w:hAnsi="Century Gothic"/>
          <w:sz w:val="20"/>
          <w:szCs w:val="20"/>
          <w:lang w:val="en-AU"/>
        </w:rPr>
        <w:t>.</w:t>
      </w:r>
    </w:p>
    <w:p w14:paraId="5D0FC6AD" w14:textId="51BF5A7E" w:rsidR="00B007CC" w:rsidRDefault="00622919"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 most AISs, the proportion of SFSF funds </w:t>
      </w:r>
      <w:r w:rsidR="00E457DB">
        <w:rPr>
          <w:rFonts w:ascii="Century Gothic" w:eastAsiaTheme="minorHAnsi" w:hAnsi="Century Gothic"/>
          <w:sz w:val="20"/>
          <w:szCs w:val="20"/>
          <w:lang w:val="en-AU"/>
        </w:rPr>
        <w:t xml:space="preserve">allocated to an objective and/or initiative is transparent and other sources are acknowledged (e.g. other Australian Government program funds, State government sources or user pay contributions). </w:t>
      </w:r>
      <w:r w:rsidR="00B007CC">
        <w:rPr>
          <w:rFonts w:ascii="Century Gothic" w:eastAsiaTheme="minorHAnsi" w:hAnsi="Century Gothic"/>
          <w:sz w:val="20"/>
          <w:szCs w:val="20"/>
          <w:lang w:val="en-AU"/>
        </w:rPr>
        <w:t>NSW AIS is an example of where the total allocation to national priorities is provided along with the bre</w:t>
      </w:r>
      <w:r w:rsidR="004515FA">
        <w:rPr>
          <w:rFonts w:ascii="Century Gothic" w:eastAsiaTheme="minorHAnsi" w:hAnsi="Century Gothic"/>
          <w:sz w:val="20"/>
          <w:szCs w:val="20"/>
          <w:lang w:val="en-AU"/>
        </w:rPr>
        <w:t xml:space="preserve">akdown of other funding sources so as to maximise the advantage gained from the </w:t>
      </w:r>
      <w:r w:rsidR="007C7FAF">
        <w:rPr>
          <w:rFonts w:ascii="Century Gothic" w:eastAsiaTheme="minorHAnsi" w:hAnsi="Century Gothic"/>
          <w:sz w:val="20"/>
          <w:szCs w:val="20"/>
          <w:lang w:val="en-AU"/>
        </w:rPr>
        <w:t>aggregated funds.</w:t>
      </w:r>
    </w:p>
    <w:p w14:paraId="25BDBF80" w14:textId="5B31B838" w:rsidR="00661A42" w:rsidRDefault="00E457DB"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In</w:t>
      </w:r>
      <w:r w:rsidR="00622919">
        <w:rPr>
          <w:rFonts w:ascii="Century Gothic" w:eastAsiaTheme="minorHAnsi" w:hAnsi="Century Gothic"/>
          <w:sz w:val="20"/>
          <w:szCs w:val="20"/>
          <w:lang w:val="en-AU"/>
        </w:rPr>
        <w:t xml:space="preserve"> some CEC/CEOs the allocation of SFSF funds </w:t>
      </w:r>
      <w:r w:rsidR="00661A42">
        <w:rPr>
          <w:rFonts w:ascii="Century Gothic" w:eastAsiaTheme="minorHAnsi" w:hAnsi="Century Gothic"/>
          <w:sz w:val="20"/>
          <w:szCs w:val="20"/>
          <w:lang w:val="en-AU"/>
        </w:rPr>
        <w:t xml:space="preserve">and relationship to other funds </w:t>
      </w:r>
      <w:r w:rsidR="00622919">
        <w:rPr>
          <w:rFonts w:ascii="Century Gothic" w:eastAsiaTheme="minorHAnsi" w:hAnsi="Century Gothic"/>
          <w:sz w:val="20"/>
          <w:szCs w:val="20"/>
          <w:lang w:val="en-AU"/>
        </w:rPr>
        <w:t>is</w:t>
      </w:r>
      <w:r>
        <w:rPr>
          <w:rFonts w:ascii="Century Gothic" w:eastAsiaTheme="minorHAnsi" w:hAnsi="Century Gothic"/>
          <w:sz w:val="20"/>
          <w:szCs w:val="20"/>
          <w:lang w:val="en-AU"/>
        </w:rPr>
        <w:t xml:space="preserve"> clearly shown (e.g. Victoria, Western Australi</w:t>
      </w:r>
      <w:r w:rsidR="00F54F69">
        <w:rPr>
          <w:rFonts w:ascii="Century Gothic" w:eastAsiaTheme="minorHAnsi" w:hAnsi="Century Gothic"/>
          <w:sz w:val="20"/>
          <w:szCs w:val="20"/>
          <w:lang w:val="en-AU"/>
        </w:rPr>
        <w:t>a</w:t>
      </w:r>
      <w:r w:rsidR="008D0173">
        <w:rPr>
          <w:rFonts w:ascii="Century Gothic" w:eastAsiaTheme="minorHAnsi" w:hAnsi="Century Gothic"/>
          <w:sz w:val="20"/>
          <w:szCs w:val="20"/>
          <w:lang w:val="en-AU"/>
        </w:rPr>
        <w:t>; ACT</w:t>
      </w:r>
      <w:r w:rsidR="00F54F69">
        <w:rPr>
          <w:rFonts w:ascii="Century Gothic" w:eastAsiaTheme="minorHAnsi" w:hAnsi="Century Gothic"/>
          <w:sz w:val="20"/>
          <w:szCs w:val="20"/>
          <w:lang w:val="en-AU"/>
        </w:rPr>
        <w:t>) but in others</w:t>
      </w:r>
      <w:r w:rsidR="000B1CAA">
        <w:rPr>
          <w:rFonts w:ascii="Century Gothic" w:eastAsiaTheme="minorHAnsi" w:hAnsi="Century Gothic"/>
          <w:sz w:val="20"/>
          <w:szCs w:val="20"/>
          <w:lang w:val="en-AU"/>
        </w:rPr>
        <w:t>,</w:t>
      </w:r>
      <w:r w:rsidR="00F54F69">
        <w:rPr>
          <w:rFonts w:ascii="Century Gothic" w:eastAsiaTheme="minorHAnsi" w:hAnsi="Century Gothic"/>
          <w:sz w:val="20"/>
          <w:szCs w:val="20"/>
          <w:lang w:val="en-AU"/>
        </w:rPr>
        <w:t xml:space="preserve"> (e.g</w:t>
      </w:r>
      <w:r w:rsidR="004515FA">
        <w:rPr>
          <w:rFonts w:ascii="Century Gothic" w:eastAsiaTheme="minorHAnsi" w:hAnsi="Century Gothic"/>
          <w:sz w:val="20"/>
          <w:szCs w:val="20"/>
          <w:lang w:val="en-AU"/>
        </w:rPr>
        <w:t>.</w:t>
      </w:r>
      <w:r w:rsidR="00F54F69">
        <w:rPr>
          <w:rFonts w:ascii="Century Gothic" w:eastAsiaTheme="minorHAnsi" w:hAnsi="Century Gothic"/>
          <w:sz w:val="20"/>
          <w:szCs w:val="20"/>
          <w:lang w:val="en-AU"/>
        </w:rPr>
        <w:t xml:space="preserve"> NSW) </w:t>
      </w:r>
      <w:r w:rsidR="004515FA">
        <w:rPr>
          <w:rFonts w:ascii="Century Gothic" w:eastAsiaTheme="minorHAnsi" w:hAnsi="Century Gothic"/>
          <w:sz w:val="20"/>
          <w:szCs w:val="20"/>
          <w:lang w:val="en-AU"/>
        </w:rPr>
        <w:t xml:space="preserve">possibly </w:t>
      </w:r>
      <w:r w:rsidR="00F54F69">
        <w:rPr>
          <w:rFonts w:ascii="Century Gothic" w:eastAsiaTheme="minorHAnsi" w:hAnsi="Century Gothic"/>
          <w:sz w:val="20"/>
          <w:szCs w:val="20"/>
          <w:lang w:val="en-AU"/>
        </w:rPr>
        <w:t>due to more complex governance</w:t>
      </w:r>
      <w:r w:rsidR="000B1CAA">
        <w:rPr>
          <w:rFonts w:ascii="Century Gothic" w:eastAsiaTheme="minorHAnsi" w:hAnsi="Century Gothic"/>
          <w:sz w:val="20"/>
          <w:szCs w:val="20"/>
          <w:lang w:val="en-AU"/>
        </w:rPr>
        <w:t>,</w:t>
      </w:r>
      <w:r w:rsidR="00F54F69">
        <w:rPr>
          <w:rFonts w:ascii="Century Gothic" w:eastAsiaTheme="minorHAnsi" w:hAnsi="Century Gothic"/>
          <w:sz w:val="20"/>
          <w:szCs w:val="20"/>
          <w:lang w:val="en-AU"/>
        </w:rPr>
        <w:t xml:space="preserve"> the </w:t>
      </w:r>
      <w:r>
        <w:rPr>
          <w:rFonts w:ascii="Century Gothic" w:eastAsiaTheme="minorHAnsi" w:hAnsi="Century Gothic"/>
          <w:sz w:val="20"/>
          <w:szCs w:val="20"/>
          <w:lang w:val="en-AU"/>
        </w:rPr>
        <w:t xml:space="preserve">purpose </w:t>
      </w:r>
      <w:r w:rsidR="004515FA">
        <w:rPr>
          <w:rFonts w:ascii="Century Gothic" w:eastAsiaTheme="minorHAnsi" w:hAnsi="Century Gothic"/>
          <w:sz w:val="20"/>
          <w:szCs w:val="20"/>
          <w:lang w:val="en-AU"/>
        </w:rPr>
        <w:t>and the actual</w:t>
      </w:r>
      <w:r>
        <w:rPr>
          <w:rFonts w:ascii="Century Gothic" w:eastAsiaTheme="minorHAnsi" w:hAnsi="Century Gothic"/>
          <w:sz w:val="20"/>
          <w:szCs w:val="20"/>
          <w:lang w:val="en-AU"/>
        </w:rPr>
        <w:t xml:space="preserve"> application of </w:t>
      </w:r>
      <w:r w:rsidR="00F54F69">
        <w:rPr>
          <w:rFonts w:ascii="Century Gothic" w:eastAsiaTheme="minorHAnsi" w:hAnsi="Century Gothic"/>
          <w:sz w:val="20"/>
          <w:szCs w:val="20"/>
          <w:lang w:val="en-AU"/>
        </w:rPr>
        <w:t xml:space="preserve">the funds </w:t>
      </w:r>
      <w:r w:rsidR="00661A42">
        <w:rPr>
          <w:rFonts w:ascii="Century Gothic" w:eastAsiaTheme="minorHAnsi" w:hAnsi="Century Gothic"/>
          <w:sz w:val="20"/>
          <w:szCs w:val="20"/>
          <w:lang w:val="en-AU"/>
        </w:rPr>
        <w:t xml:space="preserve">to achieve outcomes </w:t>
      </w:r>
      <w:r w:rsidR="004515FA">
        <w:rPr>
          <w:rFonts w:ascii="Century Gothic" w:eastAsiaTheme="minorHAnsi" w:hAnsi="Century Gothic"/>
          <w:sz w:val="20"/>
          <w:szCs w:val="20"/>
          <w:lang w:val="en-AU"/>
        </w:rPr>
        <w:t>are</w:t>
      </w:r>
      <w:r w:rsidR="00F54F69">
        <w:rPr>
          <w:rFonts w:ascii="Century Gothic" w:eastAsiaTheme="minorHAnsi" w:hAnsi="Century Gothic"/>
          <w:sz w:val="20"/>
          <w:szCs w:val="20"/>
          <w:lang w:val="en-AU"/>
        </w:rPr>
        <w:t xml:space="preserve"> harder to discern.</w:t>
      </w:r>
    </w:p>
    <w:p w14:paraId="00E43133" w14:textId="10CD60FE" w:rsidR="00560DAE" w:rsidRDefault="00043A76"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agree that e</w:t>
      </w:r>
      <w:r w:rsidR="00661A42">
        <w:rPr>
          <w:rFonts w:ascii="Century Gothic" w:eastAsiaTheme="minorHAnsi" w:hAnsi="Century Gothic"/>
          <w:sz w:val="20"/>
          <w:szCs w:val="20"/>
          <w:lang w:val="en-AU"/>
        </w:rPr>
        <w:t>stablishing a coherent approach to support</w:t>
      </w:r>
      <w:r w:rsidR="00467A4D">
        <w:rPr>
          <w:rFonts w:ascii="Century Gothic" w:eastAsiaTheme="minorHAnsi" w:hAnsi="Century Gothic"/>
          <w:sz w:val="20"/>
          <w:szCs w:val="20"/>
          <w:lang w:val="en-AU"/>
        </w:rPr>
        <w:t>ing</w:t>
      </w:r>
      <w:r w:rsidR="00661A42">
        <w:rPr>
          <w:rFonts w:ascii="Century Gothic" w:eastAsiaTheme="minorHAnsi" w:hAnsi="Century Gothic"/>
          <w:sz w:val="20"/>
          <w:szCs w:val="20"/>
          <w:lang w:val="en-AU"/>
        </w:rPr>
        <w:t xml:space="preserve"> schools pursue national priorities to improve student outcomes</w:t>
      </w:r>
      <w:r>
        <w:rPr>
          <w:rFonts w:ascii="Century Gothic" w:eastAsiaTheme="minorHAnsi" w:hAnsi="Century Gothic"/>
          <w:sz w:val="20"/>
          <w:szCs w:val="20"/>
          <w:lang w:val="en-AU"/>
        </w:rPr>
        <w:t xml:space="preserve"> should be a priority. </w:t>
      </w:r>
      <w:r w:rsidR="00467A4D">
        <w:rPr>
          <w:rFonts w:ascii="Century Gothic" w:eastAsiaTheme="minorHAnsi" w:hAnsi="Century Gothic"/>
          <w:sz w:val="20"/>
          <w:szCs w:val="20"/>
          <w:lang w:val="en-AU"/>
        </w:rPr>
        <w:t>This requires f</w:t>
      </w:r>
      <w:r>
        <w:rPr>
          <w:rFonts w:ascii="Century Gothic" w:eastAsiaTheme="minorHAnsi" w:hAnsi="Century Gothic"/>
          <w:sz w:val="20"/>
          <w:szCs w:val="20"/>
          <w:lang w:val="en-AU"/>
        </w:rPr>
        <w:t xml:space="preserve">unding to be </w:t>
      </w:r>
      <w:r w:rsidR="00467A4D">
        <w:rPr>
          <w:rFonts w:ascii="Century Gothic" w:eastAsiaTheme="minorHAnsi" w:hAnsi="Century Gothic"/>
          <w:sz w:val="20"/>
          <w:szCs w:val="20"/>
          <w:lang w:val="en-AU"/>
        </w:rPr>
        <w:t>allocated where it has the best effect and it is logical that funds are integrated for maximum advan</w:t>
      </w:r>
      <w:r w:rsidR="007C7FAF">
        <w:rPr>
          <w:rFonts w:ascii="Century Gothic" w:eastAsiaTheme="minorHAnsi" w:hAnsi="Century Gothic"/>
          <w:sz w:val="20"/>
          <w:szCs w:val="20"/>
          <w:lang w:val="en-AU"/>
        </w:rPr>
        <w:t>tage and greater productivity.</w:t>
      </w:r>
    </w:p>
    <w:p w14:paraId="12B25407" w14:textId="44EA3628" w:rsidR="00F43973" w:rsidRPr="000B1CAA" w:rsidRDefault="00467A4D"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Some NGRBs are transparent </w:t>
      </w:r>
      <w:r w:rsidR="00325F30">
        <w:rPr>
          <w:rFonts w:ascii="Century Gothic" w:eastAsiaTheme="minorHAnsi" w:hAnsi="Century Gothic"/>
          <w:sz w:val="20"/>
          <w:szCs w:val="20"/>
          <w:lang w:val="en-AU"/>
        </w:rPr>
        <w:t xml:space="preserve">and effective </w:t>
      </w:r>
      <w:r>
        <w:rPr>
          <w:rFonts w:ascii="Century Gothic" w:eastAsiaTheme="minorHAnsi" w:hAnsi="Century Gothic"/>
          <w:sz w:val="20"/>
          <w:szCs w:val="20"/>
          <w:lang w:val="en-AU"/>
        </w:rPr>
        <w:t>in their approach to leveraging advantage from SFSF funds</w:t>
      </w:r>
      <w:r w:rsidR="008D0173">
        <w:rPr>
          <w:rFonts w:ascii="Century Gothic" w:eastAsiaTheme="minorHAnsi" w:hAnsi="Century Gothic"/>
          <w:sz w:val="20"/>
          <w:szCs w:val="20"/>
          <w:lang w:val="en-AU"/>
        </w:rPr>
        <w:t xml:space="preserve"> in combination with other sources</w:t>
      </w:r>
      <w:r w:rsidR="00A01677">
        <w:rPr>
          <w:rFonts w:ascii="Century Gothic" w:eastAsiaTheme="minorHAnsi" w:hAnsi="Century Gothic"/>
          <w:sz w:val="20"/>
          <w:szCs w:val="20"/>
          <w:lang w:val="en-AU"/>
        </w:rPr>
        <w:t>. This is in the spirit of co-investment</w:t>
      </w:r>
      <w:r w:rsidR="00325F30">
        <w:rPr>
          <w:rFonts w:ascii="Century Gothic" w:eastAsiaTheme="minorHAnsi" w:hAnsi="Century Gothic"/>
          <w:sz w:val="20"/>
          <w:szCs w:val="20"/>
          <w:lang w:val="en-AU"/>
        </w:rPr>
        <w:t xml:space="preserve">. Transparent and strategic co-investment should </w:t>
      </w:r>
      <w:r w:rsidR="007C7FAF">
        <w:rPr>
          <w:rFonts w:ascii="Century Gothic" w:eastAsiaTheme="minorHAnsi" w:hAnsi="Century Gothic"/>
          <w:sz w:val="20"/>
          <w:szCs w:val="20"/>
          <w:lang w:val="en-AU"/>
        </w:rPr>
        <w:t>be an expectation of all NGRBs.</w:t>
      </w:r>
    </w:p>
    <w:p w14:paraId="30FFCF09" w14:textId="77777777" w:rsidR="008D0173" w:rsidRPr="009D199A" w:rsidRDefault="00F43973" w:rsidP="009D199A">
      <w:pPr>
        <w:spacing w:before="120" w:after="120" w:line="276" w:lineRule="auto"/>
        <w:ind w:right="-340"/>
        <w:jc w:val="both"/>
        <w:rPr>
          <w:rFonts w:ascii="Century Gothic" w:eastAsiaTheme="minorHAnsi" w:hAnsi="Century Gothic"/>
          <w:b/>
          <w:color w:val="4F81BD" w:themeColor="accent1"/>
          <w:sz w:val="20"/>
          <w:szCs w:val="20"/>
          <w:lang w:val="en-AU"/>
        </w:rPr>
      </w:pPr>
      <w:bookmarkStart w:id="76" w:name="_Toc472261247"/>
      <w:bookmarkStart w:id="77" w:name="_Toc472262590"/>
      <w:bookmarkStart w:id="78" w:name="_Toc472262972"/>
      <w:bookmarkStart w:id="79" w:name="_Toc472263273"/>
      <w:bookmarkStart w:id="80" w:name="_Toc346123965"/>
      <w:r w:rsidRPr="009D199A">
        <w:rPr>
          <w:rFonts w:ascii="Century Gothic" w:eastAsiaTheme="minorHAnsi" w:hAnsi="Century Gothic"/>
          <w:b/>
          <w:color w:val="4F81BD" w:themeColor="accent1"/>
          <w:sz w:val="20"/>
          <w:szCs w:val="20"/>
          <w:lang w:val="en-AU"/>
        </w:rPr>
        <w:t>Sustainability of support infrastructure</w:t>
      </w:r>
      <w:bookmarkEnd w:id="76"/>
      <w:bookmarkEnd w:id="77"/>
      <w:bookmarkEnd w:id="78"/>
      <w:bookmarkEnd w:id="79"/>
      <w:bookmarkEnd w:id="80"/>
    </w:p>
    <w:p w14:paraId="2A4CD666" w14:textId="00D106E5" w:rsidR="001E04AA" w:rsidRDefault="008D0173" w:rsidP="004B2D8A">
      <w:pPr>
        <w:spacing w:after="200" w:line="276" w:lineRule="auto"/>
        <w:ind w:right="-340"/>
        <w:jc w:val="both"/>
        <w:rPr>
          <w:rFonts w:ascii="Century Gothic" w:eastAsiaTheme="minorHAnsi" w:hAnsi="Century Gothic"/>
          <w:sz w:val="20"/>
          <w:szCs w:val="20"/>
          <w:lang w:val="en-AU"/>
        </w:rPr>
      </w:pPr>
      <w:r w:rsidRPr="00397430">
        <w:rPr>
          <w:rFonts w:ascii="Century Gothic" w:eastAsiaTheme="minorHAnsi" w:hAnsi="Century Gothic"/>
          <w:sz w:val="20"/>
          <w:szCs w:val="20"/>
          <w:lang w:val="en-AU"/>
        </w:rPr>
        <w:t xml:space="preserve">A further outcome identified by numerous NGRBs is that SFSF has enabled a system infrastructure to be built and skills acquired that should enable </w:t>
      </w:r>
      <w:r w:rsidR="00325F30">
        <w:rPr>
          <w:rFonts w:ascii="Century Gothic" w:eastAsiaTheme="minorHAnsi" w:hAnsi="Century Gothic"/>
          <w:sz w:val="20"/>
          <w:szCs w:val="20"/>
          <w:lang w:val="en-AU"/>
        </w:rPr>
        <w:t xml:space="preserve">school improvement </w:t>
      </w:r>
      <w:r w:rsidRPr="00397430">
        <w:rPr>
          <w:rFonts w:ascii="Century Gothic" w:eastAsiaTheme="minorHAnsi" w:hAnsi="Century Gothic"/>
          <w:sz w:val="20"/>
          <w:szCs w:val="20"/>
          <w:lang w:val="en-AU"/>
        </w:rPr>
        <w:t>support to be sustainable</w:t>
      </w:r>
      <w:r w:rsidR="008D6672">
        <w:rPr>
          <w:rFonts w:ascii="Century Gothic" w:eastAsiaTheme="minorHAnsi" w:hAnsi="Century Gothic"/>
          <w:sz w:val="20"/>
          <w:szCs w:val="20"/>
          <w:lang w:val="en-AU"/>
        </w:rPr>
        <w:t xml:space="preserve"> into the future</w:t>
      </w:r>
      <w:r w:rsidRPr="00397430">
        <w:rPr>
          <w:rFonts w:ascii="Century Gothic" w:eastAsiaTheme="minorHAnsi" w:hAnsi="Century Gothic"/>
          <w:sz w:val="20"/>
          <w:szCs w:val="20"/>
          <w:lang w:val="en-AU"/>
        </w:rPr>
        <w:t xml:space="preserve">.  </w:t>
      </w:r>
      <w:r w:rsidR="008D6672">
        <w:rPr>
          <w:rFonts w:ascii="Century Gothic" w:eastAsiaTheme="minorHAnsi" w:hAnsi="Century Gothic"/>
          <w:sz w:val="20"/>
          <w:szCs w:val="20"/>
          <w:lang w:val="en-AU"/>
        </w:rPr>
        <w:t xml:space="preserve">The use of SFSF funds to build system capability </w:t>
      </w:r>
      <w:r w:rsidR="001E04AA">
        <w:rPr>
          <w:rFonts w:ascii="Century Gothic" w:eastAsiaTheme="minorHAnsi" w:hAnsi="Century Gothic"/>
          <w:sz w:val="20"/>
          <w:szCs w:val="20"/>
          <w:lang w:val="en-AU"/>
        </w:rPr>
        <w:t xml:space="preserve">to work with schools is different </w:t>
      </w:r>
      <w:r w:rsidR="008D6672">
        <w:rPr>
          <w:rFonts w:ascii="Century Gothic" w:eastAsiaTheme="minorHAnsi" w:hAnsi="Century Gothic"/>
          <w:sz w:val="20"/>
          <w:szCs w:val="20"/>
          <w:lang w:val="en-AU"/>
        </w:rPr>
        <w:t>from allocat</w:t>
      </w:r>
      <w:r w:rsidR="001E04AA">
        <w:rPr>
          <w:rFonts w:ascii="Century Gothic" w:eastAsiaTheme="minorHAnsi" w:hAnsi="Century Gothic"/>
          <w:sz w:val="20"/>
          <w:szCs w:val="20"/>
          <w:lang w:val="en-AU"/>
        </w:rPr>
        <w:t>ing</w:t>
      </w:r>
      <w:r w:rsidR="008D6672">
        <w:rPr>
          <w:rFonts w:ascii="Century Gothic" w:eastAsiaTheme="minorHAnsi" w:hAnsi="Century Gothic"/>
          <w:sz w:val="20"/>
          <w:szCs w:val="20"/>
          <w:lang w:val="en-AU"/>
        </w:rPr>
        <w:t xml:space="preserve"> </w:t>
      </w:r>
      <w:r w:rsidR="001E04AA">
        <w:rPr>
          <w:rFonts w:ascii="Century Gothic" w:eastAsiaTheme="minorHAnsi" w:hAnsi="Century Gothic"/>
          <w:sz w:val="20"/>
          <w:szCs w:val="20"/>
          <w:lang w:val="en-AU"/>
        </w:rPr>
        <w:t xml:space="preserve">funds </w:t>
      </w:r>
      <w:r w:rsidR="008D6672">
        <w:rPr>
          <w:rFonts w:ascii="Century Gothic" w:eastAsiaTheme="minorHAnsi" w:hAnsi="Century Gothic"/>
          <w:sz w:val="20"/>
          <w:szCs w:val="20"/>
          <w:lang w:val="en-AU"/>
        </w:rPr>
        <w:t xml:space="preserve">directly to </w:t>
      </w:r>
      <w:r w:rsidR="007C7FAF">
        <w:rPr>
          <w:rFonts w:ascii="Century Gothic" w:eastAsiaTheme="minorHAnsi" w:hAnsi="Century Gothic"/>
          <w:sz w:val="20"/>
          <w:szCs w:val="20"/>
          <w:lang w:val="en-AU"/>
        </w:rPr>
        <w:t>schools.</w:t>
      </w:r>
    </w:p>
    <w:p w14:paraId="7DACC57F" w14:textId="47E488CA" w:rsidR="00972C34" w:rsidRDefault="008D0173" w:rsidP="004B2D8A">
      <w:pPr>
        <w:spacing w:after="200" w:line="276" w:lineRule="auto"/>
        <w:ind w:right="-340"/>
        <w:jc w:val="both"/>
        <w:rPr>
          <w:rFonts w:ascii="Century Gothic" w:eastAsiaTheme="minorHAnsi" w:hAnsi="Century Gothic"/>
          <w:sz w:val="20"/>
          <w:szCs w:val="20"/>
          <w:lang w:val="en-AU"/>
        </w:rPr>
      </w:pPr>
      <w:r w:rsidRPr="00397430">
        <w:rPr>
          <w:rFonts w:ascii="Century Gothic" w:eastAsiaTheme="minorHAnsi" w:hAnsi="Century Gothic"/>
          <w:sz w:val="20"/>
          <w:szCs w:val="20"/>
          <w:lang w:val="en-AU"/>
        </w:rPr>
        <w:t>The economies of scale in setting up structures and systems to support school</w:t>
      </w:r>
      <w:r w:rsidR="00397430" w:rsidRPr="00397430">
        <w:rPr>
          <w:rFonts w:ascii="Century Gothic" w:eastAsiaTheme="minorHAnsi" w:hAnsi="Century Gothic"/>
          <w:sz w:val="20"/>
          <w:szCs w:val="20"/>
          <w:lang w:val="en-AU"/>
        </w:rPr>
        <w:t>s</w:t>
      </w:r>
      <w:r w:rsidRPr="00397430">
        <w:rPr>
          <w:rFonts w:ascii="Century Gothic" w:eastAsiaTheme="minorHAnsi" w:hAnsi="Century Gothic"/>
          <w:sz w:val="20"/>
          <w:szCs w:val="20"/>
          <w:lang w:val="en-AU"/>
        </w:rPr>
        <w:t xml:space="preserve"> </w:t>
      </w:r>
      <w:r w:rsidR="00397430" w:rsidRPr="00397430">
        <w:rPr>
          <w:rFonts w:ascii="Century Gothic" w:eastAsiaTheme="minorHAnsi" w:hAnsi="Century Gothic"/>
          <w:sz w:val="20"/>
          <w:szCs w:val="20"/>
          <w:lang w:val="en-AU"/>
        </w:rPr>
        <w:t>have been</w:t>
      </w:r>
      <w:r w:rsidRPr="00397430">
        <w:rPr>
          <w:rFonts w:ascii="Century Gothic" w:eastAsiaTheme="minorHAnsi" w:hAnsi="Century Gothic"/>
          <w:sz w:val="20"/>
          <w:szCs w:val="20"/>
          <w:lang w:val="en-AU"/>
        </w:rPr>
        <w:t xml:space="preserve"> significant for independent schools</w:t>
      </w:r>
      <w:r w:rsidR="00397430" w:rsidRPr="00397430">
        <w:rPr>
          <w:rFonts w:ascii="Century Gothic" w:eastAsiaTheme="minorHAnsi" w:hAnsi="Century Gothic"/>
          <w:sz w:val="20"/>
          <w:szCs w:val="20"/>
          <w:lang w:val="en-AU"/>
        </w:rPr>
        <w:t>, particularly in the smaller jurisdictions</w:t>
      </w:r>
      <w:r w:rsidR="00B614E1">
        <w:rPr>
          <w:rFonts w:ascii="Century Gothic" w:eastAsiaTheme="minorHAnsi" w:hAnsi="Century Gothic"/>
          <w:sz w:val="20"/>
          <w:szCs w:val="20"/>
          <w:lang w:val="en-AU"/>
        </w:rPr>
        <w:t xml:space="preserve"> (e.g. AIS</w:t>
      </w:r>
      <w:r w:rsidR="007C7FAF">
        <w:rPr>
          <w:rFonts w:ascii="Century Gothic" w:eastAsiaTheme="minorHAnsi" w:hAnsi="Century Gothic"/>
          <w:sz w:val="20"/>
          <w:szCs w:val="20"/>
          <w:lang w:val="en-AU"/>
        </w:rPr>
        <w:t xml:space="preserve"> ACT).</w:t>
      </w:r>
    </w:p>
    <w:p w14:paraId="7FC54391" w14:textId="0A74ABAF" w:rsidR="001C71D4" w:rsidRDefault="001C71D4"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lastRenderedPageBreak/>
        <w:t xml:space="preserve">CEC/CEOs </w:t>
      </w:r>
      <w:r w:rsidR="00560DAE">
        <w:rPr>
          <w:rFonts w:ascii="Century Gothic" w:eastAsiaTheme="minorHAnsi" w:hAnsi="Century Gothic"/>
          <w:sz w:val="20"/>
          <w:szCs w:val="20"/>
          <w:lang w:val="en-AU"/>
        </w:rPr>
        <w:t xml:space="preserve">on the other hand </w:t>
      </w:r>
      <w:r>
        <w:rPr>
          <w:rFonts w:ascii="Century Gothic" w:eastAsiaTheme="minorHAnsi" w:hAnsi="Century Gothic"/>
          <w:sz w:val="20"/>
          <w:szCs w:val="20"/>
          <w:lang w:val="en-AU"/>
        </w:rPr>
        <w:t xml:space="preserve">have </w:t>
      </w:r>
      <w:r w:rsidR="00C00616">
        <w:rPr>
          <w:rFonts w:ascii="Century Gothic" w:eastAsiaTheme="minorHAnsi" w:hAnsi="Century Gothic"/>
          <w:sz w:val="20"/>
          <w:szCs w:val="20"/>
          <w:lang w:val="en-AU"/>
        </w:rPr>
        <w:t xml:space="preserve">existing </w:t>
      </w:r>
      <w:r>
        <w:rPr>
          <w:rFonts w:ascii="Century Gothic" w:eastAsiaTheme="minorHAnsi" w:hAnsi="Century Gothic"/>
          <w:sz w:val="20"/>
          <w:szCs w:val="20"/>
          <w:lang w:val="en-AU"/>
        </w:rPr>
        <w:t xml:space="preserve">system infrastructure </w:t>
      </w:r>
      <w:r w:rsidR="00560DAE">
        <w:rPr>
          <w:rFonts w:ascii="Century Gothic" w:eastAsiaTheme="minorHAnsi" w:hAnsi="Century Gothic"/>
          <w:sz w:val="20"/>
          <w:szCs w:val="20"/>
          <w:lang w:val="en-AU"/>
        </w:rPr>
        <w:t xml:space="preserve">and there is not a common pattern for how the SFSF resources are applied </w:t>
      </w:r>
      <w:r w:rsidR="00325F30">
        <w:rPr>
          <w:rFonts w:ascii="Century Gothic" w:eastAsiaTheme="minorHAnsi" w:hAnsi="Century Gothic"/>
          <w:sz w:val="20"/>
          <w:szCs w:val="20"/>
          <w:lang w:val="en-AU"/>
        </w:rPr>
        <w:t>in relation</w:t>
      </w:r>
      <w:r w:rsidR="008D6672">
        <w:rPr>
          <w:rFonts w:ascii="Century Gothic" w:eastAsiaTheme="minorHAnsi" w:hAnsi="Century Gothic"/>
          <w:sz w:val="20"/>
          <w:szCs w:val="20"/>
          <w:lang w:val="en-AU"/>
        </w:rPr>
        <w:t xml:space="preserve"> </w:t>
      </w:r>
      <w:r w:rsidR="00560DAE">
        <w:rPr>
          <w:rFonts w:ascii="Century Gothic" w:eastAsiaTheme="minorHAnsi" w:hAnsi="Century Gothic"/>
          <w:sz w:val="20"/>
          <w:szCs w:val="20"/>
          <w:lang w:val="en-AU"/>
        </w:rPr>
        <w:t>to the core staffing establishment.</w:t>
      </w:r>
      <w:r w:rsidR="008D6672">
        <w:rPr>
          <w:rFonts w:ascii="Century Gothic" w:eastAsiaTheme="minorHAnsi" w:hAnsi="Century Gothic"/>
          <w:sz w:val="20"/>
          <w:szCs w:val="20"/>
          <w:lang w:val="en-AU"/>
        </w:rPr>
        <w:t xml:space="preserve"> S</w:t>
      </w:r>
      <w:r>
        <w:rPr>
          <w:rFonts w:ascii="Century Gothic" w:eastAsiaTheme="minorHAnsi" w:hAnsi="Century Gothic"/>
          <w:sz w:val="20"/>
          <w:szCs w:val="20"/>
          <w:lang w:val="en-AU"/>
        </w:rPr>
        <w:t xml:space="preserve">ome </w:t>
      </w:r>
      <w:r w:rsidR="001E04AA">
        <w:rPr>
          <w:rFonts w:ascii="Century Gothic" w:eastAsiaTheme="minorHAnsi" w:hAnsi="Century Gothic"/>
          <w:sz w:val="20"/>
          <w:szCs w:val="20"/>
          <w:lang w:val="en-AU"/>
        </w:rPr>
        <w:t xml:space="preserve">CEC/CEOs </w:t>
      </w:r>
      <w:r>
        <w:rPr>
          <w:rFonts w:ascii="Century Gothic" w:eastAsiaTheme="minorHAnsi" w:hAnsi="Century Gothic"/>
          <w:sz w:val="20"/>
          <w:szCs w:val="20"/>
          <w:lang w:val="en-AU"/>
        </w:rPr>
        <w:t xml:space="preserve">have identified the benefit for their overall capability </w:t>
      </w:r>
      <w:r w:rsidR="00C00616">
        <w:rPr>
          <w:rFonts w:ascii="Century Gothic" w:eastAsiaTheme="minorHAnsi" w:hAnsi="Century Gothic"/>
          <w:sz w:val="20"/>
          <w:szCs w:val="20"/>
          <w:lang w:val="en-AU"/>
        </w:rPr>
        <w:t>of using</w:t>
      </w:r>
      <w:r>
        <w:rPr>
          <w:rFonts w:ascii="Century Gothic" w:eastAsiaTheme="minorHAnsi" w:hAnsi="Century Gothic"/>
          <w:sz w:val="20"/>
          <w:szCs w:val="20"/>
          <w:lang w:val="en-AU"/>
        </w:rPr>
        <w:t xml:space="preserve"> the SFSF</w:t>
      </w:r>
      <w:r w:rsidR="00C00616">
        <w:rPr>
          <w:rFonts w:ascii="Century Gothic" w:eastAsiaTheme="minorHAnsi" w:hAnsi="Century Gothic"/>
          <w:sz w:val="20"/>
          <w:szCs w:val="20"/>
          <w:lang w:val="en-AU"/>
        </w:rPr>
        <w:t xml:space="preserve"> to better target improvement in their capability</w:t>
      </w:r>
      <w:r w:rsidR="008D6672">
        <w:rPr>
          <w:rFonts w:ascii="Century Gothic" w:eastAsiaTheme="minorHAnsi" w:hAnsi="Century Gothic"/>
          <w:sz w:val="20"/>
          <w:szCs w:val="20"/>
          <w:lang w:val="en-AU"/>
        </w:rPr>
        <w:t xml:space="preserve">; in others </w:t>
      </w:r>
      <w:r w:rsidR="001E04AA">
        <w:rPr>
          <w:rFonts w:ascii="Century Gothic" w:eastAsiaTheme="minorHAnsi" w:hAnsi="Century Gothic"/>
          <w:sz w:val="20"/>
          <w:szCs w:val="20"/>
          <w:lang w:val="en-AU"/>
        </w:rPr>
        <w:t xml:space="preserve">that are larger and have existing infrastructure </w:t>
      </w:r>
      <w:r w:rsidR="008D6672">
        <w:rPr>
          <w:rFonts w:ascii="Century Gothic" w:eastAsiaTheme="minorHAnsi" w:hAnsi="Century Gothic"/>
          <w:sz w:val="20"/>
          <w:szCs w:val="20"/>
          <w:lang w:val="en-AU"/>
        </w:rPr>
        <w:t xml:space="preserve">that gain is </w:t>
      </w:r>
      <w:r w:rsidR="001E04AA">
        <w:rPr>
          <w:rFonts w:ascii="Century Gothic" w:eastAsiaTheme="minorHAnsi" w:hAnsi="Century Gothic"/>
          <w:sz w:val="20"/>
          <w:szCs w:val="20"/>
          <w:lang w:val="en-AU"/>
        </w:rPr>
        <w:t xml:space="preserve">not so </w:t>
      </w:r>
      <w:r w:rsidR="007C7FAF">
        <w:rPr>
          <w:rFonts w:ascii="Century Gothic" w:eastAsiaTheme="minorHAnsi" w:hAnsi="Century Gothic"/>
          <w:sz w:val="20"/>
          <w:szCs w:val="20"/>
          <w:lang w:val="en-AU"/>
        </w:rPr>
        <w:t>apparent.</w:t>
      </w:r>
    </w:p>
    <w:p w14:paraId="44C8EEE0" w14:textId="4F50697F" w:rsidR="00397430" w:rsidRPr="00397430" w:rsidRDefault="008D6672"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Positive s</w:t>
      </w:r>
      <w:r w:rsidR="00397430" w:rsidRPr="00397430">
        <w:rPr>
          <w:rFonts w:ascii="Century Gothic" w:eastAsiaTheme="minorHAnsi" w:hAnsi="Century Gothic"/>
          <w:sz w:val="20"/>
          <w:szCs w:val="20"/>
          <w:lang w:val="en-AU"/>
        </w:rPr>
        <w:t>trategies pursued by N</w:t>
      </w:r>
      <w:r>
        <w:rPr>
          <w:rFonts w:ascii="Century Gothic" w:eastAsiaTheme="minorHAnsi" w:hAnsi="Century Gothic"/>
          <w:sz w:val="20"/>
          <w:szCs w:val="20"/>
          <w:lang w:val="en-AU"/>
        </w:rPr>
        <w:t xml:space="preserve">GRBs to establish more robust and sustainable system supports for schools </w:t>
      </w:r>
      <w:r w:rsidR="009376B0">
        <w:rPr>
          <w:rFonts w:ascii="Century Gothic" w:eastAsiaTheme="minorHAnsi" w:hAnsi="Century Gothic"/>
          <w:sz w:val="20"/>
          <w:szCs w:val="20"/>
          <w:lang w:val="en-AU"/>
        </w:rPr>
        <w:t>include</w:t>
      </w:r>
      <w:r w:rsidR="007C7FAF">
        <w:rPr>
          <w:rFonts w:ascii="Century Gothic" w:eastAsiaTheme="minorHAnsi" w:hAnsi="Century Gothic"/>
          <w:sz w:val="20"/>
          <w:szCs w:val="20"/>
          <w:lang w:val="en-AU"/>
        </w:rPr>
        <w:t xml:space="preserve"> the following.</w:t>
      </w:r>
    </w:p>
    <w:p w14:paraId="0861AC36" w14:textId="578FEBAC" w:rsidR="00397430" w:rsidRPr="00397430" w:rsidRDefault="00397430" w:rsidP="006A1D2B">
      <w:pPr>
        <w:pStyle w:val="ListParagraph"/>
        <w:numPr>
          <w:ilvl w:val="0"/>
          <w:numId w:val="6"/>
        </w:numPr>
        <w:spacing w:after="200" w:line="276" w:lineRule="auto"/>
        <w:ind w:right="-340"/>
        <w:jc w:val="both"/>
        <w:rPr>
          <w:rFonts w:ascii="Century Gothic" w:eastAsiaTheme="minorHAnsi" w:hAnsi="Century Gothic"/>
          <w:sz w:val="20"/>
          <w:szCs w:val="20"/>
          <w:lang w:val="en-AU"/>
        </w:rPr>
      </w:pPr>
      <w:r w:rsidRPr="00397430">
        <w:rPr>
          <w:rFonts w:ascii="Century Gothic" w:eastAsiaTheme="minorHAnsi" w:hAnsi="Century Gothic"/>
          <w:sz w:val="20"/>
          <w:szCs w:val="20"/>
          <w:lang w:val="en-AU"/>
        </w:rPr>
        <w:t>Fewer but more skilled consultancy staff with a perspective on future priorities (e.g. AIS</w:t>
      </w:r>
      <w:r w:rsidR="00C00616" w:rsidRPr="00C00616">
        <w:rPr>
          <w:rFonts w:ascii="Century Gothic" w:eastAsiaTheme="minorHAnsi" w:hAnsi="Century Gothic"/>
          <w:sz w:val="20"/>
          <w:szCs w:val="20"/>
          <w:lang w:val="en-AU"/>
        </w:rPr>
        <w:t xml:space="preserve"> </w:t>
      </w:r>
      <w:r w:rsidR="00C00616" w:rsidRPr="00397430">
        <w:rPr>
          <w:rFonts w:ascii="Century Gothic" w:eastAsiaTheme="minorHAnsi" w:hAnsi="Century Gothic"/>
          <w:sz w:val="20"/>
          <w:szCs w:val="20"/>
          <w:lang w:val="en-AU"/>
        </w:rPr>
        <w:t>SA</w:t>
      </w:r>
      <w:r w:rsidRPr="00397430">
        <w:rPr>
          <w:rFonts w:ascii="Century Gothic" w:eastAsiaTheme="minorHAnsi" w:hAnsi="Century Gothic"/>
          <w:sz w:val="20"/>
          <w:szCs w:val="20"/>
          <w:lang w:val="en-AU"/>
        </w:rPr>
        <w:t>)</w:t>
      </w:r>
    </w:p>
    <w:p w14:paraId="58F28CCD" w14:textId="1C5449B8" w:rsidR="00F43973" w:rsidRDefault="00397430" w:rsidP="006A1D2B">
      <w:pPr>
        <w:pStyle w:val="ListParagraph"/>
        <w:numPr>
          <w:ilvl w:val="0"/>
          <w:numId w:val="6"/>
        </w:numPr>
        <w:spacing w:after="200" w:line="276" w:lineRule="auto"/>
        <w:ind w:right="-340"/>
        <w:jc w:val="both"/>
        <w:rPr>
          <w:rFonts w:ascii="Century Gothic" w:eastAsiaTheme="minorHAnsi" w:hAnsi="Century Gothic"/>
          <w:sz w:val="20"/>
          <w:szCs w:val="20"/>
          <w:lang w:val="en-AU"/>
        </w:rPr>
      </w:pPr>
      <w:r w:rsidRPr="00397430">
        <w:rPr>
          <w:rFonts w:ascii="Century Gothic" w:eastAsiaTheme="minorHAnsi" w:hAnsi="Century Gothic"/>
          <w:sz w:val="20"/>
          <w:szCs w:val="20"/>
          <w:lang w:val="en-AU"/>
        </w:rPr>
        <w:t>Sharing resources and tools</w:t>
      </w:r>
      <w:r w:rsidR="001C71D4">
        <w:rPr>
          <w:rFonts w:ascii="Century Gothic" w:eastAsiaTheme="minorHAnsi" w:hAnsi="Century Gothic"/>
          <w:sz w:val="20"/>
          <w:szCs w:val="20"/>
          <w:lang w:val="en-AU"/>
        </w:rPr>
        <w:t xml:space="preserve"> across NGRBs </w:t>
      </w:r>
      <w:r w:rsidRPr="00397430">
        <w:rPr>
          <w:rFonts w:ascii="Century Gothic" w:eastAsiaTheme="minorHAnsi" w:hAnsi="Century Gothic"/>
          <w:sz w:val="20"/>
          <w:szCs w:val="20"/>
          <w:lang w:val="en-AU"/>
        </w:rPr>
        <w:t xml:space="preserve"> (e.g. access </w:t>
      </w:r>
      <w:r w:rsidR="00262495">
        <w:rPr>
          <w:rFonts w:ascii="Century Gothic" w:eastAsiaTheme="minorHAnsi" w:hAnsi="Century Gothic"/>
          <w:sz w:val="20"/>
          <w:szCs w:val="20"/>
          <w:lang w:val="en-AU"/>
        </w:rPr>
        <w:t xml:space="preserve">by others </w:t>
      </w:r>
      <w:r w:rsidRPr="00397430">
        <w:rPr>
          <w:rFonts w:ascii="Century Gothic" w:eastAsiaTheme="minorHAnsi" w:hAnsi="Century Gothic"/>
          <w:sz w:val="20"/>
          <w:szCs w:val="20"/>
          <w:lang w:val="en-AU"/>
        </w:rPr>
        <w:t xml:space="preserve">to </w:t>
      </w:r>
      <w:r w:rsidR="00C00616">
        <w:rPr>
          <w:rFonts w:ascii="Century Gothic" w:eastAsiaTheme="minorHAnsi" w:hAnsi="Century Gothic"/>
          <w:sz w:val="20"/>
          <w:szCs w:val="20"/>
          <w:lang w:val="en-AU"/>
        </w:rPr>
        <w:t>A</w:t>
      </w:r>
      <w:r w:rsidRPr="00397430">
        <w:rPr>
          <w:rFonts w:ascii="Century Gothic" w:eastAsiaTheme="minorHAnsi" w:hAnsi="Century Gothic"/>
          <w:sz w:val="20"/>
          <w:szCs w:val="20"/>
          <w:lang w:val="en-AU"/>
        </w:rPr>
        <w:t>IS</w:t>
      </w:r>
      <w:r w:rsidR="00C00616">
        <w:rPr>
          <w:rFonts w:ascii="Century Gothic" w:eastAsiaTheme="minorHAnsi" w:hAnsi="Century Gothic"/>
          <w:sz w:val="20"/>
          <w:szCs w:val="20"/>
          <w:lang w:val="en-AU"/>
        </w:rPr>
        <w:t xml:space="preserve"> </w:t>
      </w:r>
      <w:r w:rsidR="001C71D4">
        <w:rPr>
          <w:rFonts w:ascii="Century Gothic" w:eastAsiaTheme="minorHAnsi" w:hAnsi="Century Gothic"/>
          <w:sz w:val="20"/>
          <w:szCs w:val="20"/>
          <w:lang w:val="en-AU"/>
        </w:rPr>
        <w:t>Q</w:t>
      </w:r>
      <w:r w:rsidR="00C00616">
        <w:rPr>
          <w:rFonts w:ascii="Century Gothic" w:eastAsiaTheme="minorHAnsi" w:hAnsi="Century Gothic"/>
          <w:sz w:val="20"/>
          <w:szCs w:val="20"/>
          <w:lang w:val="en-AU"/>
        </w:rPr>
        <w:t>ueensland</w:t>
      </w:r>
      <w:r w:rsidRPr="00397430">
        <w:rPr>
          <w:rFonts w:ascii="Century Gothic" w:eastAsiaTheme="minorHAnsi" w:hAnsi="Century Gothic"/>
          <w:sz w:val="20"/>
          <w:szCs w:val="20"/>
          <w:lang w:val="en-AU"/>
        </w:rPr>
        <w:t xml:space="preserve"> Literacy and Numeracy Coaching Academy)</w:t>
      </w:r>
    </w:p>
    <w:p w14:paraId="1810AFE7" w14:textId="77777777" w:rsidR="00DE7162" w:rsidRDefault="001C71D4" w:rsidP="006A1D2B">
      <w:pPr>
        <w:pStyle w:val="ListParagraph"/>
        <w:numPr>
          <w:ilvl w:val="0"/>
          <w:numId w:val="6"/>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C</w:t>
      </w:r>
      <w:r w:rsidR="00C00616">
        <w:rPr>
          <w:rFonts w:ascii="Century Gothic" w:eastAsiaTheme="minorHAnsi" w:hAnsi="Century Gothic"/>
          <w:sz w:val="20"/>
          <w:szCs w:val="20"/>
          <w:lang w:val="en-AU"/>
        </w:rPr>
        <w:t xml:space="preserve">ascading skills development </w:t>
      </w:r>
      <w:r>
        <w:rPr>
          <w:rFonts w:ascii="Century Gothic" w:eastAsiaTheme="minorHAnsi" w:hAnsi="Century Gothic"/>
          <w:sz w:val="20"/>
          <w:szCs w:val="20"/>
          <w:lang w:val="en-AU"/>
        </w:rPr>
        <w:t xml:space="preserve">by </w:t>
      </w:r>
      <w:r w:rsidR="00C00616">
        <w:rPr>
          <w:rFonts w:ascii="Century Gothic" w:eastAsiaTheme="minorHAnsi" w:hAnsi="Century Gothic"/>
          <w:sz w:val="20"/>
          <w:szCs w:val="20"/>
          <w:lang w:val="en-AU"/>
        </w:rPr>
        <w:t xml:space="preserve">accessing superior </w:t>
      </w:r>
      <w:r>
        <w:rPr>
          <w:rFonts w:ascii="Century Gothic" w:eastAsiaTheme="minorHAnsi" w:hAnsi="Century Gothic"/>
          <w:sz w:val="20"/>
          <w:szCs w:val="20"/>
          <w:lang w:val="en-AU"/>
        </w:rPr>
        <w:t>advisory skills in the NGRB so as to boost mentoring capability in schools ( e.g</w:t>
      </w:r>
      <w:r w:rsidR="00C00616">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CE WA</w:t>
      </w:r>
      <w:r w:rsidR="00C00616">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w:t>
      </w:r>
    </w:p>
    <w:p w14:paraId="5488FA2E" w14:textId="6ABCBF18" w:rsidR="001C71D4" w:rsidRPr="00397430" w:rsidRDefault="00DE7162" w:rsidP="006A1D2B">
      <w:pPr>
        <w:pStyle w:val="ListParagraph"/>
        <w:numPr>
          <w:ilvl w:val="0"/>
          <w:numId w:val="6"/>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Refinement of the role and accountability of consultants to schools (AISV)</w:t>
      </w:r>
      <w:r w:rsidR="00972C34">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w:t>
      </w:r>
    </w:p>
    <w:p w14:paraId="37DFDDA3" w14:textId="0A979618" w:rsidR="000E13F0" w:rsidRDefault="00C00616"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 number of NGRBs highlighted the inefficiencies of not using the economies of scale from sharing across organisations and building sustainable support structu</w:t>
      </w:r>
      <w:r w:rsidR="007C7FAF">
        <w:rPr>
          <w:rFonts w:ascii="Century Gothic" w:eastAsiaTheme="minorHAnsi" w:hAnsi="Century Gothic"/>
          <w:sz w:val="20"/>
          <w:szCs w:val="20"/>
          <w:lang w:val="en-AU"/>
        </w:rPr>
        <w:t>res for schools for the future.</w:t>
      </w:r>
    </w:p>
    <w:p w14:paraId="54497704" w14:textId="06D194F3" w:rsidR="00B52D7A" w:rsidRPr="00572246" w:rsidRDefault="00EE187B" w:rsidP="00572246">
      <w:pPr>
        <w:pStyle w:val="Heading2"/>
        <w:rPr>
          <w:rStyle w:val="IntenseReference"/>
          <w:b/>
          <w:bCs/>
          <w:smallCaps w:val="0"/>
          <w:color w:val="0070C0"/>
          <w:spacing w:val="0"/>
        </w:rPr>
      </w:pPr>
      <w:bookmarkStart w:id="81" w:name="_Toc472261248"/>
      <w:bookmarkStart w:id="82" w:name="_Toc472262591"/>
      <w:bookmarkStart w:id="83" w:name="_Toc472262973"/>
      <w:bookmarkStart w:id="84" w:name="_Toc472263274"/>
      <w:bookmarkStart w:id="85" w:name="_Toc346123966"/>
      <w:bookmarkStart w:id="86" w:name="_Toc495587311"/>
      <w:r w:rsidRPr="00572246">
        <w:rPr>
          <w:rStyle w:val="IntenseReference"/>
          <w:b/>
          <w:bCs/>
          <w:smallCaps w:val="0"/>
          <w:color w:val="0070C0"/>
          <w:spacing w:val="0"/>
        </w:rPr>
        <w:t>4.3</w:t>
      </w:r>
      <w:r w:rsidR="008E645F" w:rsidRPr="00572246">
        <w:rPr>
          <w:rStyle w:val="IntenseReference"/>
          <w:b/>
          <w:bCs/>
          <w:smallCaps w:val="0"/>
          <w:color w:val="0070C0"/>
          <w:spacing w:val="0"/>
        </w:rPr>
        <w:tab/>
      </w:r>
      <w:r w:rsidR="00B52D7A" w:rsidRPr="00572246">
        <w:rPr>
          <w:rStyle w:val="IntenseReference"/>
          <w:b/>
          <w:bCs/>
          <w:smallCaps w:val="0"/>
          <w:color w:val="0070C0"/>
          <w:spacing w:val="0"/>
        </w:rPr>
        <w:t>Value for money</w:t>
      </w:r>
      <w:bookmarkEnd w:id="81"/>
      <w:bookmarkEnd w:id="82"/>
      <w:bookmarkEnd w:id="83"/>
      <w:bookmarkEnd w:id="84"/>
      <w:bookmarkEnd w:id="85"/>
      <w:bookmarkEnd w:id="86"/>
    </w:p>
    <w:p w14:paraId="7B2CF285" w14:textId="77777777" w:rsidR="000A691F" w:rsidRDefault="001B6467"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Fro</w:t>
      </w:r>
      <w:r w:rsidR="00B52D7A">
        <w:rPr>
          <w:rFonts w:ascii="Century Gothic" w:eastAsiaTheme="minorHAnsi" w:hAnsi="Century Gothic"/>
          <w:sz w:val="20"/>
          <w:szCs w:val="20"/>
          <w:lang w:val="en-AU"/>
        </w:rPr>
        <w:t>m the information provided to this review it is apparent that NGRBs have used the SFSF to improve their operation</w:t>
      </w:r>
      <w:r w:rsidR="000A691F">
        <w:rPr>
          <w:rFonts w:ascii="Century Gothic" w:eastAsiaTheme="minorHAnsi" w:hAnsi="Century Gothic"/>
          <w:sz w:val="20"/>
          <w:szCs w:val="20"/>
          <w:lang w:val="en-AU"/>
        </w:rPr>
        <w:t>s in support of their schools.</w:t>
      </w:r>
    </w:p>
    <w:p w14:paraId="2167BB68" w14:textId="00F53B8B" w:rsidR="00B52D7A" w:rsidRDefault="00972C34"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D</w:t>
      </w:r>
      <w:r w:rsidR="00B52D7A">
        <w:rPr>
          <w:rFonts w:ascii="Century Gothic" w:eastAsiaTheme="minorHAnsi" w:hAnsi="Century Gothic"/>
          <w:sz w:val="20"/>
          <w:szCs w:val="20"/>
          <w:lang w:val="en-AU"/>
        </w:rPr>
        <w:t>oes this approach to SFSF provide value for money</w:t>
      </w:r>
      <w:r>
        <w:rPr>
          <w:rFonts w:ascii="Century Gothic" w:eastAsiaTheme="minorHAnsi" w:hAnsi="Century Gothic"/>
          <w:sz w:val="20"/>
          <w:szCs w:val="20"/>
          <w:lang w:val="en-AU"/>
        </w:rPr>
        <w:t>? The answer</w:t>
      </w:r>
      <w:r w:rsidR="00B52D7A">
        <w:rPr>
          <w:rFonts w:ascii="Century Gothic" w:eastAsiaTheme="minorHAnsi" w:hAnsi="Century Gothic"/>
          <w:sz w:val="20"/>
          <w:szCs w:val="20"/>
          <w:lang w:val="en-AU"/>
        </w:rPr>
        <w:t xml:space="preserve"> is depen</w:t>
      </w:r>
      <w:r w:rsidR="001B6467">
        <w:rPr>
          <w:rFonts w:ascii="Century Gothic" w:eastAsiaTheme="minorHAnsi" w:hAnsi="Century Gothic"/>
          <w:sz w:val="20"/>
          <w:szCs w:val="20"/>
          <w:lang w:val="en-AU"/>
        </w:rPr>
        <w:t>dent on whether any alternative</w:t>
      </w:r>
      <w:r w:rsidR="00B52D7A">
        <w:rPr>
          <w:rFonts w:ascii="Century Gothic" w:eastAsiaTheme="minorHAnsi" w:hAnsi="Century Gothic"/>
          <w:sz w:val="20"/>
          <w:szCs w:val="20"/>
          <w:lang w:val="en-AU"/>
        </w:rPr>
        <w:t xml:space="preserve"> approaches for the use of the SFSF funds will </w:t>
      </w:r>
      <w:r w:rsidR="001B6467">
        <w:rPr>
          <w:rFonts w:ascii="Century Gothic" w:eastAsiaTheme="minorHAnsi" w:hAnsi="Century Gothic"/>
          <w:sz w:val="20"/>
          <w:szCs w:val="20"/>
          <w:lang w:val="en-AU"/>
        </w:rPr>
        <w:t xml:space="preserve">deliver significantly greater outcomes.  </w:t>
      </w:r>
      <w:r w:rsidR="00E437B1">
        <w:rPr>
          <w:rFonts w:ascii="Century Gothic" w:eastAsiaTheme="minorHAnsi" w:hAnsi="Century Gothic"/>
          <w:sz w:val="20"/>
          <w:szCs w:val="20"/>
          <w:lang w:val="en-AU"/>
        </w:rPr>
        <w:t>In addition to the option</w:t>
      </w:r>
      <w:r w:rsidR="001B6467">
        <w:rPr>
          <w:rFonts w:ascii="Century Gothic" w:eastAsiaTheme="minorHAnsi" w:hAnsi="Century Gothic"/>
          <w:sz w:val="20"/>
          <w:szCs w:val="20"/>
          <w:lang w:val="en-AU"/>
        </w:rPr>
        <w:t xml:space="preserve"> </w:t>
      </w:r>
      <w:r w:rsidR="00E437B1">
        <w:rPr>
          <w:rFonts w:ascii="Century Gothic" w:eastAsiaTheme="minorHAnsi" w:hAnsi="Century Gothic"/>
          <w:sz w:val="20"/>
          <w:szCs w:val="20"/>
          <w:lang w:val="en-AU"/>
        </w:rPr>
        <w:t>that the funds</w:t>
      </w:r>
      <w:r w:rsidR="001B6467">
        <w:rPr>
          <w:rFonts w:ascii="Century Gothic" w:eastAsiaTheme="minorHAnsi" w:hAnsi="Century Gothic"/>
          <w:sz w:val="20"/>
          <w:szCs w:val="20"/>
          <w:lang w:val="en-AU"/>
        </w:rPr>
        <w:t xml:space="preserve"> </w:t>
      </w:r>
      <w:r w:rsidR="00E437B1">
        <w:rPr>
          <w:rFonts w:ascii="Century Gothic" w:eastAsiaTheme="minorHAnsi" w:hAnsi="Century Gothic"/>
          <w:sz w:val="20"/>
          <w:szCs w:val="20"/>
          <w:lang w:val="en-AU"/>
        </w:rPr>
        <w:t xml:space="preserve">cease to be available, </w:t>
      </w:r>
      <w:r w:rsidR="001B6467">
        <w:rPr>
          <w:rFonts w:ascii="Century Gothic" w:eastAsiaTheme="minorHAnsi" w:hAnsi="Century Gothic"/>
          <w:sz w:val="20"/>
          <w:szCs w:val="20"/>
          <w:lang w:val="en-AU"/>
        </w:rPr>
        <w:t xml:space="preserve">what alternatives are there for the funds to </w:t>
      </w:r>
      <w:r w:rsidR="000A691F">
        <w:rPr>
          <w:rFonts w:ascii="Century Gothic" w:eastAsiaTheme="minorHAnsi" w:hAnsi="Century Gothic"/>
          <w:sz w:val="20"/>
          <w:szCs w:val="20"/>
          <w:lang w:val="en-AU"/>
        </w:rPr>
        <w:t>be repurposed and restructured?</w:t>
      </w:r>
    </w:p>
    <w:p w14:paraId="5BDC6514" w14:textId="4D2F32C5" w:rsidR="00B52D7A" w:rsidRDefault="00972C34"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Anecdotal c</w:t>
      </w:r>
      <w:r w:rsidR="001B6467">
        <w:rPr>
          <w:rFonts w:ascii="Century Gothic" w:eastAsiaTheme="minorHAnsi" w:hAnsi="Century Gothic"/>
          <w:sz w:val="20"/>
          <w:szCs w:val="20"/>
          <w:lang w:val="en-AU"/>
        </w:rPr>
        <w:t xml:space="preserve">omparisons </w:t>
      </w:r>
      <w:r>
        <w:rPr>
          <w:rFonts w:ascii="Century Gothic" w:eastAsiaTheme="minorHAnsi" w:hAnsi="Century Gothic"/>
          <w:sz w:val="20"/>
          <w:szCs w:val="20"/>
          <w:lang w:val="en-AU"/>
        </w:rPr>
        <w:t xml:space="preserve">are </w:t>
      </w:r>
      <w:r w:rsidR="001B6467">
        <w:rPr>
          <w:rFonts w:ascii="Century Gothic" w:eastAsiaTheme="minorHAnsi" w:hAnsi="Century Gothic"/>
          <w:sz w:val="20"/>
          <w:szCs w:val="20"/>
          <w:lang w:val="en-AU"/>
        </w:rPr>
        <w:t xml:space="preserve">made </w:t>
      </w:r>
      <w:r>
        <w:rPr>
          <w:rFonts w:ascii="Century Gothic" w:eastAsiaTheme="minorHAnsi" w:hAnsi="Century Gothic"/>
          <w:sz w:val="20"/>
          <w:szCs w:val="20"/>
          <w:lang w:val="en-AU"/>
        </w:rPr>
        <w:t xml:space="preserve">by NGRBs with </w:t>
      </w:r>
      <w:r w:rsidR="001B6467">
        <w:rPr>
          <w:rFonts w:ascii="Century Gothic" w:eastAsiaTheme="minorHAnsi" w:hAnsi="Century Gothic"/>
          <w:sz w:val="20"/>
          <w:szCs w:val="20"/>
          <w:lang w:val="en-AU"/>
        </w:rPr>
        <w:t>previous pr</w:t>
      </w:r>
      <w:r>
        <w:rPr>
          <w:rFonts w:ascii="Century Gothic" w:eastAsiaTheme="minorHAnsi" w:hAnsi="Century Gothic"/>
          <w:sz w:val="20"/>
          <w:szCs w:val="20"/>
          <w:lang w:val="en-AU"/>
        </w:rPr>
        <w:t>ograms – National Partnershi</w:t>
      </w:r>
      <w:r w:rsidR="00106E27">
        <w:rPr>
          <w:rFonts w:ascii="Century Gothic" w:eastAsiaTheme="minorHAnsi" w:hAnsi="Century Gothic"/>
          <w:sz w:val="20"/>
          <w:szCs w:val="20"/>
          <w:lang w:val="en-AU"/>
        </w:rPr>
        <w:t>ps and the earlier t</w:t>
      </w:r>
      <w:r>
        <w:rPr>
          <w:rFonts w:ascii="Century Gothic" w:eastAsiaTheme="minorHAnsi" w:hAnsi="Century Gothic"/>
          <w:sz w:val="20"/>
          <w:szCs w:val="20"/>
          <w:lang w:val="en-AU"/>
        </w:rPr>
        <w:t>argeted programs. But any systematic a</w:t>
      </w:r>
      <w:r w:rsidR="001B6467">
        <w:rPr>
          <w:rFonts w:ascii="Century Gothic" w:eastAsiaTheme="minorHAnsi" w:hAnsi="Century Gothic"/>
          <w:sz w:val="20"/>
          <w:szCs w:val="20"/>
          <w:lang w:val="en-AU"/>
        </w:rPr>
        <w:t>nalysis of this type is a large task and</w:t>
      </w:r>
      <w:r>
        <w:rPr>
          <w:rFonts w:ascii="Century Gothic" w:eastAsiaTheme="minorHAnsi" w:hAnsi="Century Gothic"/>
          <w:sz w:val="20"/>
          <w:szCs w:val="20"/>
          <w:lang w:val="en-AU"/>
        </w:rPr>
        <w:t>,</w:t>
      </w:r>
      <w:r w:rsidR="001B6467">
        <w:rPr>
          <w:rFonts w:ascii="Century Gothic" w:eastAsiaTheme="minorHAnsi" w:hAnsi="Century Gothic"/>
          <w:sz w:val="20"/>
          <w:szCs w:val="20"/>
          <w:lang w:val="en-AU"/>
        </w:rPr>
        <w:t xml:space="preserve"> given the lack of consistency identified earlier with SFSF reporting and documentation</w:t>
      </w:r>
      <w:r>
        <w:rPr>
          <w:rFonts w:ascii="Century Gothic" w:eastAsiaTheme="minorHAnsi" w:hAnsi="Century Gothic"/>
          <w:sz w:val="20"/>
          <w:szCs w:val="20"/>
          <w:lang w:val="en-AU"/>
        </w:rPr>
        <w:t>,</w:t>
      </w:r>
      <w:r w:rsidR="001B6467">
        <w:rPr>
          <w:rFonts w:ascii="Century Gothic" w:eastAsiaTheme="minorHAnsi" w:hAnsi="Century Gothic"/>
          <w:sz w:val="20"/>
          <w:szCs w:val="20"/>
          <w:lang w:val="en-AU"/>
        </w:rPr>
        <w:t xml:space="preserve"> not one that is easily undertaken in the scope of this review.</w:t>
      </w:r>
    </w:p>
    <w:p w14:paraId="711639ED" w14:textId="4F30DECE" w:rsidR="001B6467" w:rsidRDefault="001B6467"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It is clear feedback that in comparison with previous programs many NGRBs feel there is greater value in the current approach that allows for national reforms to be addressed at the school l</w:t>
      </w:r>
      <w:r w:rsidR="00EA19E3">
        <w:rPr>
          <w:rFonts w:ascii="Century Gothic" w:eastAsiaTheme="minorHAnsi" w:hAnsi="Century Gothic"/>
          <w:sz w:val="20"/>
          <w:szCs w:val="20"/>
          <w:lang w:val="en-AU"/>
        </w:rPr>
        <w:t>evel within their local context as well as thro</w:t>
      </w:r>
      <w:r w:rsidR="007C7FAF">
        <w:rPr>
          <w:rFonts w:ascii="Century Gothic" w:eastAsiaTheme="minorHAnsi" w:hAnsi="Century Gothic"/>
          <w:sz w:val="20"/>
          <w:szCs w:val="20"/>
          <w:lang w:val="en-AU"/>
        </w:rPr>
        <w:t>ugh building system capability.</w:t>
      </w:r>
    </w:p>
    <w:p w14:paraId="3DD729ED" w14:textId="328228E6" w:rsidR="00EE187B" w:rsidRDefault="00EE187B"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From a Government perspective </w:t>
      </w:r>
      <w:r w:rsidR="00106E27">
        <w:rPr>
          <w:rFonts w:ascii="Century Gothic" w:eastAsiaTheme="minorHAnsi" w:hAnsi="Century Gothic"/>
          <w:sz w:val="20"/>
          <w:szCs w:val="20"/>
          <w:lang w:val="en-AU"/>
        </w:rPr>
        <w:t xml:space="preserve">however, </w:t>
      </w:r>
      <w:r>
        <w:rPr>
          <w:rFonts w:ascii="Century Gothic" w:eastAsiaTheme="minorHAnsi" w:hAnsi="Century Gothic"/>
          <w:sz w:val="20"/>
          <w:szCs w:val="20"/>
          <w:lang w:val="en-AU"/>
        </w:rPr>
        <w:t xml:space="preserve">the structure of the program – broad reform areas and “light touch” accountability and reporting is problematic </w:t>
      </w:r>
      <w:r w:rsidR="00106E27">
        <w:rPr>
          <w:rFonts w:ascii="Century Gothic" w:eastAsiaTheme="minorHAnsi" w:hAnsi="Century Gothic"/>
          <w:sz w:val="20"/>
          <w:szCs w:val="20"/>
          <w:lang w:val="en-AU"/>
        </w:rPr>
        <w:t>for</w:t>
      </w:r>
      <w:r>
        <w:rPr>
          <w:rFonts w:ascii="Century Gothic" w:eastAsiaTheme="minorHAnsi" w:hAnsi="Century Gothic"/>
          <w:sz w:val="20"/>
          <w:szCs w:val="20"/>
          <w:lang w:val="en-AU"/>
        </w:rPr>
        <w:t xml:space="preserve"> assessing impact and planning for the future of the program.</w:t>
      </w:r>
    </w:p>
    <w:p w14:paraId="26409320" w14:textId="1A705B8E" w:rsidR="00EE187B" w:rsidRDefault="001F55BF"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 a context of constrained resources Government needs to ensure </w:t>
      </w:r>
      <w:r w:rsidR="00106E27">
        <w:rPr>
          <w:rFonts w:ascii="Century Gothic" w:eastAsiaTheme="minorHAnsi" w:hAnsi="Century Gothic"/>
          <w:sz w:val="20"/>
          <w:szCs w:val="20"/>
          <w:lang w:val="en-AU"/>
        </w:rPr>
        <w:t>that funding is driving improvement through</w:t>
      </w:r>
      <w:r>
        <w:rPr>
          <w:rFonts w:ascii="Century Gothic" w:eastAsiaTheme="minorHAnsi" w:hAnsi="Century Gothic"/>
          <w:sz w:val="20"/>
          <w:szCs w:val="20"/>
          <w:lang w:val="en-AU"/>
        </w:rPr>
        <w:t xml:space="preserve"> implementation of its priorities.  </w:t>
      </w:r>
      <w:r w:rsidR="009134FF">
        <w:rPr>
          <w:rFonts w:ascii="Century Gothic" w:eastAsiaTheme="minorHAnsi" w:hAnsi="Century Gothic"/>
          <w:sz w:val="20"/>
          <w:szCs w:val="20"/>
          <w:lang w:val="en-AU"/>
        </w:rPr>
        <w:t>Additionally n</w:t>
      </w:r>
      <w:r>
        <w:rPr>
          <w:rFonts w:ascii="Century Gothic" w:eastAsiaTheme="minorHAnsi" w:hAnsi="Century Gothic"/>
          <w:sz w:val="20"/>
          <w:szCs w:val="20"/>
          <w:lang w:val="en-AU"/>
        </w:rPr>
        <w:t>on-government schools and NGRBs operate in a multi layered context that includes not just the Commonwealth government but State and Territory government priorities, national and local authorities with responsibility for curriculum and teacher quality as well as the</w:t>
      </w:r>
      <w:r w:rsidR="009134FF">
        <w:rPr>
          <w:rFonts w:ascii="Century Gothic" w:eastAsiaTheme="minorHAnsi" w:hAnsi="Century Gothic"/>
          <w:sz w:val="20"/>
          <w:szCs w:val="20"/>
          <w:lang w:val="en-AU"/>
        </w:rPr>
        <w:t>ir own guiding philosophies.</w:t>
      </w:r>
    </w:p>
    <w:p w14:paraId="18D85C66" w14:textId="0F2A513F" w:rsidR="009134FF" w:rsidRDefault="009134FF"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Whilst there is relatively speaking good alignment and agreement on priorities through these layers the </w:t>
      </w:r>
      <w:r w:rsidR="0044117E">
        <w:rPr>
          <w:rFonts w:ascii="Century Gothic" w:eastAsiaTheme="minorHAnsi" w:hAnsi="Century Gothic"/>
          <w:sz w:val="20"/>
          <w:szCs w:val="20"/>
          <w:lang w:val="en-AU"/>
        </w:rPr>
        <w:t xml:space="preserve">Australian Government </w:t>
      </w:r>
      <w:r>
        <w:rPr>
          <w:rFonts w:ascii="Century Gothic" w:eastAsiaTheme="minorHAnsi" w:hAnsi="Century Gothic"/>
          <w:sz w:val="20"/>
          <w:szCs w:val="20"/>
          <w:lang w:val="en-AU"/>
        </w:rPr>
        <w:t xml:space="preserve">needs to carefully consider how best to target its resources </w:t>
      </w:r>
      <w:r w:rsidR="00764BF1">
        <w:rPr>
          <w:rFonts w:ascii="Century Gothic" w:eastAsiaTheme="minorHAnsi" w:hAnsi="Century Gothic"/>
          <w:sz w:val="20"/>
          <w:szCs w:val="20"/>
          <w:lang w:val="en-AU"/>
        </w:rPr>
        <w:t>to</w:t>
      </w:r>
      <w:r>
        <w:rPr>
          <w:rFonts w:ascii="Century Gothic" w:eastAsiaTheme="minorHAnsi" w:hAnsi="Century Gothic"/>
          <w:sz w:val="20"/>
          <w:szCs w:val="20"/>
          <w:lang w:val="en-AU"/>
        </w:rPr>
        <w:t xml:space="preserve"> its priorities and what arrangements to put around this funding so that it has confidence that the priorities are being addressed and it is receiving value for money.  Some optio</w:t>
      </w:r>
      <w:r w:rsidR="007C7FAF">
        <w:rPr>
          <w:rFonts w:ascii="Century Gothic" w:eastAsiaTheme="minorHAnsi" w:hAnsi="Century Gothic"/>
          <w:sz w:val="20"/>
          <w:szCs w:val="20"/>
          <w:lang w:val="en-AU"/>
        </w:rPr>
        <w:t>ns for this are explored below.</w:t>
      </w:r>
    </w:p>
    <w:p w14:paraId="728914FB" w14:textId="5A07E248" w:rsidR="005D40DE" w:rsidRPr="00C2634B" w:rsidRDefault="0085758B" w:rsidP="00F43816">
      <w:pPr>
        <w:pStyle w:val="Heading1"/>
        <w:ind w:right="-340"/>
        <w:rPr>
          <w:sz w:val="32"/>
          <w:szCs w:val="32"/>
        </w:rPr>
      </w:pPr>
      <w:bookmarkStart w:id="87" w:name="_Toc495587312"/>
      <w:r>
        <w:rPr>
          <w:sz w:val="32"/>
          <w:szCs w:val="32"/>
        </w:rPr>
        <w:t>5</w:t>
      </w:r>
      <w:r>
        <w:rPr>
          <w:sz w:val="32"/>
          <w:szCs w:val="32"/>
        </w:rPr>
        <w:tab/>
      </w:r>
      <w:r w:rsidR="00EA19E3" w:rsidRPr="0085758B">
        <w:rPr>
          <w:sz w:val="32"/>
          <w:szCs w:val="32"/>
        </w:rPr>
        <w:t>Options for Improvement</w:t>
      </w:r>
      <w:bookmarkEnd w:id="87"/>
      <w:r w:rsidR="00432291">
        <w:rPr>
          <w:sz w:val="32"/>
          <w:szCs w:val="32"/>
        </w:rPr>
        <w:t xml:space="preserve"> </w:t>
      </w:r>
    </w:p>
    <w:p w14:paraId="39B2A5B3" w14:textId="77777777" w:rsidR="00C73301" w:rsidRPr="005D42A5" w:rsidRDefault="00C73301" w:rsidP="00C73301">
      <w:pPr>
        <w:keepNext/>
        <w:keepLines/>
        <w:jc w:val="both"/>
        <w:rPr>
          <w:rFonts w:ascii="Century Gothic" w:hAnsi="Century Gothic"/>
          <w:color w:val="1F497D" w:themeColor="text2"/>
          <w:sz w:val="20"/>
          <w:szCs w:val="20"/>
        </w:rPr>
      </w:pPr>
      <w:r w:rsidRPr="005D42A5">
        <w:rPr>
          <w:rFonts w:ascii="Century Gothic" w:hAnsi="Century Gothic"/>
          <w:color w:val="1F497D" w:themeColor="text2"/>
          <w:sz w:val="20"/>
          <w:szCs w:val="20"/>
        </w:rPr>
        <w:t xml:space="preserve">Key findings </w:t>
      </w:r>
    </w:p>
    <w:p w14:paraId="158B867E" w14:textId="77777777" w:rsidR="00C73301" w:rsidRDefault="00C73301" w:rsidP="00C73301">
      <w:pPr>
        <w:keepNext/>
        <w:keepLines/>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Options for improvement </w:t>
      </w:r>
    </w:p>
    <w:p w14:paraId="24B347AC" w14:textId="77777777" w:rsidR="00C73301" w:rsidRPr="006804E7" w:rsidRDefault="00C73301" w:rsidP="00C73301">
      <w:pPr>
        <w:keepNext/>
        <w:keepLines/>
        <w:spacing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1. NGRBs approaches driving improvement should inform future ‘system’ activity – irrespective of SFSF  </w:t>
      </w:r>
    </w:p>
    <w:p w14:paraId="0CD1584C" w14:textId="77777777" w:rsidR="00C73301" w:rsidRPr="000E13F0" w:rsidRDefault="00C73301" w:rsidP="00C73301">
      <w:pPr>
        <w:pStyle w:val="ListParagraph"/>
        <w:keepNext/>
        <w:keepLines/>
        <w:numPr>
          <w:ilvl w:val="0"/>
          <w:numId w:val="7"/>
        </w:numPr>
        <w:spacing w:after="120" w:line="276" w:lineRule="auto"/>
        <w:ind w:left="714" w:hanging="357"/>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Developmental approach to </w:t>
      </w:r>
      <w:r w:rsidRPr="000E13F0">
        <w:rPr>
          <w:rFonts w:ascii="Century Gothic" w:eastAsiaTheme="minorHAnsi" w:hAnsi="Century Gothic"/>
          <w:sz w:val="20"/>
          <w:szCs w:val="20"/>
          <w:lang w:val="en-AU"/>
        </w:rPr>
        <w:t xml:space="preserve">standards and </w:t>
      </w:r>
      <w:r>
        <w:rPr>
          <w:rFonts w:ascii="Century Gothic" w:eastAsiaTheme="minorHAnsi" w:hAnsi="Century Gothic"/>
          <w:sz w:val="20"/>
          <w:szCs w:val="20"/>
          <w:lang w:val="en-AU"/>
        </w:rPr>
        <w:t>government</w:t>
      </w:r>
      <w:r w:rsidRPr="000E13F0">
        <w:rPr>
          <w:rFonts w:ascii="Century Gothic" w:eastAsiaTheme="minorHAnsi" w:hAnsi="Century Gothic"/>
          <w:sz w:val="20"/>
          <w:szCs w:val="20"/>
          <w:lang w:val="en-AU"/>
        </w:rPr>
        <w:t xml:space="preserve"> requirements </w:t>
      </w:r>
    </w:p>
    <w:p w14:paraId="563501AC" w14:textId="77777777" w:rsidR="00C73301" w:rsidRDefault="00C73301" w:rsidP="00C73301">
      <w:pPr>
        <w:pStyle w:val="ListParagraph"/>
        <w:keepNext/>
        <w:keepLines/>
        <w:numPr>
          <w:ilvl w:val="0"/>
          <w:numId w:val="7"/>
        </w:numPr>
        <w:spacing w:after="120" w:line="276" w:lineRule="auto"/>
        <w:ind w:left="714" w:hanging="357"/>
        <w:jc w:val="both"/>
        <w:rPr>
          <w:rFonts w:ascii="Century Gothic" w:eastAsiaTheme="minorHAnsi" w:hAnsi="Century Gothic"/>
          <w:sz w:val="20"/>
          <w:szCs w:val="20"/>
          <w:lang w:val="en-AU"/>
        </w:rPr>
      </w:pPr>
      <w:r w:rsidRPr="000E13F0">
        <w:rPr>
          <w:rFonts w:ascii="Century Gothic" w:eastAsiaTheme="minorHAnsi" w:hAnsi="Century Gothic"/>
          <w:sz w:val="20"/>
          <w:szCs w:val="20"/>
          <w:lang w:val="en-AU"/>
        </w:rPr>
        <w:t>Professional learning that is anchored in the whole school</w:t>
      </w:r>
    </w:p>
    <w:p w14:paraId="4A8E07D0" w14:textId="77777777" w:rsidR="00C73301" w:rsidRPr="000E13F0" w:rsidRDefault="00C73301" w:rsidP="00C73301">
      <w:pPr>
        <w:pStyle w:val="ListParagraph"/>
        <w:keepNext/>
        <w:keepLines/>
        <w:numPr>
          <w:ilvl w:val="0"/>
          <w:numId w:val="7"/>
        </w:numPr>
        <w:spacing w:after="120" w:line="276" w:lineRule="auto"/>
        <w:ind w:left="714" w:hanging="357"/>
        <w:jc w:val="both"/>
        <w:rPr>
          <w:rFonts w:ascii="Century Gothic" w:eastAsiaTheme="minorHAnsi" w:hAnsi="Century Gothic"/>
          <w:sz w:val="20"/>
          <w:szCs w:val="20"/>
          <w:lang w:val="en-AU"/>
        </w:rPr>
      </w:pPr>
      <w:r w:rsidRPr="000E13F0">
        <w:rPr>
          <w:rFonts w:asciiTheme="majorHAnsi" w:eastAsiaTheme="majorEastAsia" w:hAnsiTheme="majorHAnsi" w:cstheme="majorBidi"/>
          <w:b/>
          <w:bCs/>
          <w:color w:val="4F81BD" w:themeColor="accent1"/>
          <w:lang w:val="en-AU"/>
        </w:rPr>
        <w:t xml:space="preserve"> </w:t>
      </w:r>
      <w:r w:rsidRPr="006804E7">
        <w:rPr>
          <w:rFonts w:ascii="Century Gothic" w:eastAsiaTheme="minorHAnsi" w:hAnsi="Century Gothic"/>
          <w:sz w:val="20"/>
          <w:szCs w:val="20"/>
          <w:lang w:val="en-AU"/>
        </w:rPr>
        <w:t>I</w:t>
      </w:r>
      <w:r w:rsidRPr="000E13F0">
        <w:rPr>
          <w:rFonts w:ascii="Century Gothic" w:eastAsiaTheme="minorHAnsi" w:hAnsi="Century Gothic"/>
          <w:sz w:val="20"/>
          <w:szCs w:val="20"/>
          <w:lang w:val="en-AU"/>
        </w:rPr>
        <w:t xml:space="preserve">n-school coaching and </w:t>
      </w:r>
      <w:r>
        <w:rPr>
          <w:rFonts w:ascii="Century Gothic" w:eastAsiaTheme="minorHAnsi" w:hAnsi="Century Gothic"/>
          <w:sz w:val="20"/>
          <w:szCs w:val="20"/>
          <w:lang w:val="en-AU"/>
        </w:rPr>
        <w:t xml:space="preserve">easy </w:t>
      </w:r>
      <w:r w:rsidRPr="000E13F0">
        <w:rPr>
          <w:rFonts w:ascii="Century Gothic" w:eastAsiaTheme="minorHAnsi" w:hAnsi="Century Gothic"/>
          <w:sz w:val="20"/>
          <w:szCs w:val="20"/>
          <w:lang w:val="en-AU"/>
        </w:rPr>
        <w:t xml:space="preserve">access to expertise </w:t>
      </w:r>
    </w:p>
    <w:p w14:paraId="45CE98B8" w14:textId="77777777" w:rsidR="00C73301" w:rsidRPr="000E13F0" w:rsidRDefault="00C73301" w:rsidP="00C73301">
      <w:pPr>
        <w:pStyle w:val="ListParagraph"/>
        <w:keepNext/>
        <w:keepLines/>
        <w:numPr>
          <w:ilvl w:val="0"/>
          <w:numId w:val="7"/>
        </w:numPr>
        <w:spacing w:after="120" w:line="276" w:lineRule="auto"/>
        <w:ind w:left="714" w:hanging="357"/>
        <w:jc w:val="both"/>
        <w:rPr>
          <w:rFonts w:ascii="Century Gothic" w:eastAsiaTheme="minorHAnsi" w:hAnsi="Century Gothic"/>
          <w:sz w:val="20"/>
          <w:szCs w:val="20"/>
          <w:lang w:val="en-AU"/>
        </w:rPr>
      </w:pPr>
      <w:r w:rsidRPr="000E13F0">
        <w:rPr>
          <w:rFonts w:ascii="Century Gothic" w:eastAsiaTheme="minorHAnsi" w:hAnsi="Century Gothic"/>
          <w:sz w:val="20"/>
          <w:szCs w:val="20"/>
          <w:lang w:val="en-AU"/>
        </w:rPr>
        <w:t>Facilitating formation of self-managing networks</w:t>
      </w:r>
      <w:r>
        <w:rPr>
          <w:rFonts w:ascii="Century Gothic" w:eastAsiaTheme="minorHAnsi" w:hAnsi="Century Gothic"/>
          <w:sz w:val="20"/>
          <w:szCs w:val="20"/>
          <w:lang w:val="en-AU"/>
        </w:rPr>
        <w:t>.</w:t>
      </w:r>
    </w:p>
    <w:p w14:paraId="21C5A2BD" w14:textId="1C10B4AD" w:rsidR="00C73301" w:rsidRPr="008561FB" w:rsidRDefault="00C73301" w:rsidP="00C73301">
      <w:pPr>
        <w:keepNext/>
        <w:keepLines/>
        <w:spacing w:after="6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They are having an effect because they </w:t>
      </w:r>
      <w:r w:rsidRPr="008561FB">
        <w:rPr>
          <w:rFonts w:ascii="Century Gothic" w:eastAsiaTheme="minorHAnsi" w:hAnsi="Century Gothic"/>
          <w:sz w:val="20"/>
          <w:szCs w:val="20"/>
          <w:lang w:val="en-AU"/>
        </w:rPr>
        <w:t>embed</w:t>
      </w:r>
      <w:r w:rsidR="00CD1809">
        <w:rPr>
          <w:rFonts w:ascii="Century Gothic" w:eastAsiaTheme="minorHAnsi" w:hAnsi="Century Gothic"/>
          <w:sz w:val="20"/>
          <w:szCs w:val="20"/>
          <w:lang w:val="en-AU"/>
        </w:rPr>
        <w:t xml:space="preserve"> the skills and infrastructure </w:t>
      </w:r>
      <w:r w:rsidRPr="008561FB">
        <w:rPr>
          <w:rFonts w:ascii="Century Gothic" w:eastAsiaTheme="minorHAnsi" w:hAnsi="Century Gothic"/>
          <w:sz w:val="20"/>
          <w:szCs w:val="20"/>
          <w:lang w:val="en-AU"/>
        </w:rPr>
        <w:t xml:space="preserve">for longer term change </w:t>
      </w:r>
      <w:r>
        <w:rPr>
          <w:rFonts w:ascii="Century Gothic" w:eastAsiaTheme="minorHAnsi" w:hAnsi="Century Gothic"/>
          <w:sz w:val="20"/>
          <w:szCs w:val="20"/>
          <w:lang w:val="en-AU"/>
        </w:rPr>
        <w:t xml:space="preserve">and </w:t>
      </w:r>
      <w:r w:rsidRPr="008561FB">
        <w:rPr>
          <w:rFonts w:ascii="Century Gothic" w:eastAsiaTheme="minorHAnsi" w:hAnsi="Century Gothic"/>
          <w:sz w:val="20"/>
          <w:szCs w:val="20"/>
          <w:lang w:val="en-AU"/>
        </w:rPr>
        <w:t>make the school context the centre point</w:t>
      </w:r>
    </w:p>
    <w:p w14:paraId="3600E29C" w14:textId="77777777" w:rsidR="00C73301" w:rsidRDefault="00C73301" w:rsidP="00C73301">
      <w:pPr>
        <w:keepNext/>
        <w:keepLines/>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2. Program design:  Improved implementation would be guided by the following model  </w:t>
      </w:r>
    </w:p>
    <w:p w14:paraId="5B024C1E" w14:textId="77777777" w:rsidR="00C73301" w:rsidRDefault="00C73301" w:rsidP="00C73301">
      <w:pPr>
        <w:pStyle w:val="ListParagraph"/>
        <w:keepNext/>
        <w:keepLines/>
        <w:numPr>
          <w:ilvl w:val="0"/>
          <w:numId w:val="23"/>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Coherent vision for change – strong and simple messages </w:t>
      </w:r>
    </w:p>
    <w:p w14:paraId="022F05C0" w14:textId="77777777" w:rsidR="00C73301" w:rsidRPr="008561FB" w:rsidRDefault="00C73301" w:rsidP="00C73301">
      <w:pPr>
        <w:pStyle w:val="ListParagraph"/>
        <w:keepNext/>
        <w:keepLines/>
        <w:numPr>
          <w:ilvl w:val="0"/>
          <w:numId w:val="23"/>
        </w:numPr>
        <w:spacing w:after="120" w:line="276" w:lineRule="auto"/>
        <w:jc w:val="both"/>
        <w:rPr>
          <w:rFonts w:ascii="Century Gothic" w:eastAsiaTheme="minorHAnsi" w:hAnsi="Century Gothic"/>
          <w:sz w:val="20"/>
          <w:szCs w:val="20"/>
          <w:lang w:val="en-AU"/>
        </w:rPr>
      </w:pPr>
      <w:r w:rsidRPr="008561FB">
        <w:rPr>
          <w:rFonts w:ascii="Century Gothic" w:eastAsiaTheme="minorHAnsi" w:hAnsi="Century Gothic"/>
          <w:sz w:val="20"/>
          <w:szCs w:val="20"/>
          <w:lang w:val="en-AU"/>
        </w:rPr>
        <w:t>Line of sight from priority to objectives, measures and outcomes</w:t>
      </w:r>
    </w:p>
    <w:p w14:paraId="60FC4AF9" w14:textId="77777777" w:rsidR="00C73301" w:rsidRDefault="00C73301" w:rsidP="00C73301">
      <w:pPr>
        <w:pStyle w:val="ListParagraph"/>
        <w:keepNext/>
        <w:keepLines/>
        <w:numPr>
          <w:ilvl w:val="0"/>
          <w:numId w:val="23"/>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Fewer priorities and greater stability </w:t>
      </w:r>
    </w:p>
    <w:p w14:paraId="49D52373" w14:textId="77777777" w:rsidR="00C73301" w:rsidRDefault="00C73301" w:rsidP="00C73301">
      <w:pPr>
        <w:pStyle w:val="ListParagraph"/>
        <w:keepNext/>
        <w:keepLines/>
        <w:numPr>
          <w:ilvl w:val="0"/>
          <w:numId w:val="23"/>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An outcomes framework – interim and long term </w:t>
      </w:r>
    </w:p>
    <w:p w14:paraId="10BDE053" w14:textId="77777777" w:rsidR="00C73301" w:rsidRDefault="00C73301" w:rsidP="00C73301">
      <w:pPr>
        <w:pStyle w:val="ListParagraph"/>
        <w:keepNext/>
        <w:keepLines/>
        <w:numPr>
          <w:ilvl w:val="0"/>
          <w:numId w:val="23"/>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Capability supported</w:t>
      </w:r>
    </w:p>
    <w:p w14:paraId="5F53990E" w14:textId="77777777" w:rsidR="00C73301" w:rsidRDefault="00C73301" w:rsidP="00C73301">
      <w:pPr>
        <w:pStyle w:val="ListParagraph"/>
        <w:keepNext/>
        <w:keepLines/>
        <w:numPr>
          <w:ilvl w:val="0"/>
          <w:numId w:val="23"/>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Cross sector collaboration on evidence and models that work. </w:t>
      </w:r>
    </w:p>
    <w:p w14:paraId="2523A42D" w14:textId="77777777" w:rsidR="00C73301" w:rsidRDefault="00C73301" w:rsidP="00C73301">
      <w:pPr>
        <w:keepNext/>
        <w:keepLines/>
        <w:spacing w:after="120" w:line="276" w:lineRule="auto"/>
        <w:ind w:left="90"/>
        <w:jc w:val="both"/>
        <w:rPr>
          <w:rFonts w:ascii="Century Gothic" w:eastAsiaTheme="minorHAnsi" w:hAnsi="Century Gothic"/>
          <w:sz w:val="20"/>
          <w:szCs w:val="20"/>
          <w:lang w:val="en-AU"/>
        </w:rPr>
      </w:pPr>
      <w:r>
        <w:rPr>
          <w:rFonts w:ascii="Century Gothic" w:eastAsiaTheme="minorHAnsi" w:hAnsi="Century Gothic"/>
          <w:sz w:val="20"/>
          <w:szCs w:val="20"/>
          <w:lang w:val="en-AU"/>
        </w:rPr>
        <w:t>3. A</w:t>
      </w:r>
      <w:r w:rsidRPr="008561FB">
        <w:rPr>
          <w:rFonts w:ascii="Century Gothic" w:eastAsiaTheme="minorHAnsi" w:hAnsi="Century Gothic"/>
          <w:sz w:val="20"/>
          <w:szCs w:val="20"/>
          <w:lang w:val="en-AU"/>
        </w:rPr>
        <w:t xml:space="preserve">lternative options for </w:t>
      </w:r>
      <w:r>
        <w:rPr>
          <w:rFonts w:ascii="Century Gothic" w:eastAsiaTheme="minorHAnsi" w:hAnsi="Century Gothic"/>
          <w:sz w:val="20"/>
          <w:szCs w:val="20"/>
          <w:lang w:val="en-AU"/>
        </w:rPr>
        <w:t xml:space="preserve">future </w:t>
      </w:r>
      <w:r w:rsidRPr="008561FB">
        <w:rPr>
          <w:rFonts w:ascii="Century Gothic" w:eastAsiaTheme="minorHAnsi" w:hAnsi="Century Gothic"/>
          <w:sz w:val="20"/>
          <w:szCs w:val="20"/>
          <w:lang w:val="en-AU"/>
        </w:rPr>
        <w:t xml:space="preserve">SFSF funding to better target Government priorities and ensure value for </w:t>
      </w:r>
      <w:r>
        <w:rPr>
          <w:rFonts w:ascii="Century Gothic" w:eastAsiaTheme="minorHAnsi" w:hAnsi="Century Gothic"/>
          <w:sz w:val="20"/>
          <w:szCs w:val="20"/>
          <w:lang w:val="en-AU"/>
        </w:rPr>
        <w:t>money in a tight fiscal environment - options are not mutually-exclusive.</w:t>
      </w:r>
    </w:p>
    <w:p w14:paraId="635E1003" w14:textId="77777777" w:rsidR="00C73301" w:rsidRDefault="00C73301" w:rsidP="00C73301">
      <w:pPr>
        <w:pStyle w:val="ListParagraph"/>
        <w:keepNext/>
        <w:keepLines/>
        <w:numPr>
          <w:ilvl w:val="0"/>
          <w:numId w:val="42"/>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Allocate SFSF funds to state and territory governments for NGRBs to ensure focus and collaboration </w:t>
      </w:r>
    </w:p>
    <w:p w14:paraId="2A992FBD" w14:textId="77777777" w:rsidR="00C73301" w:rsidRDefault="00C73301" w:rsidP="00C73301">
      <w:pPr>
        <w:pStyle w:val="ListParagraph"/>
        <w:keepNext/>
        <w:keepLines/>
        <w:numPr>
          <w:ilvl w:val="0"/>
          <w:numId w:val="42"/>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Tender for delivery of services for specific national priorities</w:t>
      </w:r>
    </w:p>
    <w:p w14:paraId="51C927AC" w14:textId="77777777" w:rsidR="00C73301" w:rsidRDefault="00C73301" w:rsidP="00C73301">
      <w:pPr>
        <w:pStyle w:val="ListParagraph"/>
        <w:keepNext/>
        <w:keepLines/>
        <w:numPr>
          <w:ilvl w:val="0"/>
          <w:numId w:val="42"/>
        </w:numPr>
        <w:spacing w:after="120" w:line="276" w:lineRule="auto"/>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Repurpose SFSF funding on a project basis – case by case design  </w:t>
      </w:r>
    </w:p>
    <w:p w14:paraId="320A4D6F" w14:textId="2D03CC4D" w:rsidR="00C73301" w:rsidRDefault="00C73301" w:rsidP="00C73301">
      <w:pPr>
        <w:keepLines/>
        <w:spacing w:before="240" w:after="120" w:line="276" w:lineRule="auto"/>
        <w:ind w:right="-340"/>
        <w:jc w:val="both"/>
        <w:rPr>
          <w:rFonts w:ascii="Century Gothic" w:eastAsiaTheme="minorHAnsi" w:hAnsi="Century Gothic"/>
          <w:sz w:val="20"/>
          <w:szCs w:val="20"/>
          <w:lang w:val="en-AU"/>
        </w:rPr>
      </w:pPr>
      <w:r w:rsidRPr="00DF2417">
        <w:rPr>
          <w:rFonts w:ascii="Century Gothic" w:eastAsiaTheme="minorHAnsi" w:hAnsi="Century Gothic"/>
          <w:sz w:val="20"/>
          <w:szCs w:val="20"/>
          <w:lang w:val="en-AU"/>
        </w:rPr>
        <w:t xml:space="preserve">SFSF </w:t>
      </w:r>
      <w:r>
        <w:rPr>
          <w:rFonts w:ascii="Century Gothic" w:eastAsiaTheme="minorHAnsi" w:hAnsi="Century Gothic"/>
          <w:sz w:val="20"/>
          <w:szCs w:val="20"/>
          <w:lang w:val="en-AU"/>
        </w:rPr>
        <w:t>to</w:t>
      </w:r>
      <w:r w:rsidRPr="00DF2417">
        <w:rPr>
          <w:rFonts w:ascii="Century Gothic" w:eastAsiaTheme="minorHAnsi" w:hAnsi="Century Gothic"/>
          <w:sz w:val="20"/>
          <w:szCs w:val="20"/>
          <w:lang w:val="en-AU"/>
        </w:rPr>
        <w:t xml:space="preserve"> lapse at the conclusion of the current funding period 2014-2017</w:t>
      </w:r>
      <w:r>
        <w:rPr>
          <w:rFonts w:ascii="Century Gothic" w:eastAsiaTheme="minorHAnsi" w:hAnsi="Century Gothic"/>
          <w:sz w:val="20"/>
          <w:szCs w:val="20"/>
          <w:lang w:val="en-AU"/>
        </w:rPr>
        <w:t>.</w:t>
      </w:r>
      <w:r w:rsidRPr="00DF2417">
        <w:rPr>
          <w:rFonts w:ascii="Century Gothic" w:eastAsiaTheme="minorHAnsi" w:hAnsi="Century Gothic"/>
          <w:sz w:val="20"/>
          <w:szCs w:val="20"/>
          <w:lang w:val="en-AU"/>
        </w:rPr>
        <w:t xml:space="preserve">  </w:t>
      </w:r>
    </w:p>
    <w:p w14:paraId="3BC05B7B" w14:textId="4FEF7FE5" w:rsidR="00EA19E3" w:rsidRDefault="00372633" w:rsidP="007C7FAF">
      <w:pPr>
        <w:keepLines/>
        <w:spacing w:before="240"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following discussion of the future options for the SFSF and whether the fund should be maintained or modified has four components: what has the SFSF demonstrated as good ‘system’ led school improvement practices (that could be continued irrespective of the future of SFSF); what do NGRBs want to be changed in the structure of SFSF; an implementation model to guide government; and options for </w:t>
      </w:r>
      <w:r w:rsidR="008561FB">
        <w:rPr>
          <w:rFonts w:ascii="Century Gothic" w:eastAsiaTheme="minorHAnsi" w:hAnsi="Century Gothic"/>
          <w:sz w:val="20"/>
          <w:szCs w:val="20"/>
          <w:lang w:val="en-AU"/>
        </w:rPr>
        <w:t>alternative fund</w:t>
      </w:r>
      <w:r w:rsidR="007C7FAF">
        <w:rPr>
          <w:rFonts w:ascii="Century Gothic" w:eastAsiaTheme="minorHAnsi" w:hAnsi="Century Gothic"/>
          <w:sz w:val="20"/>
          <w:szCs w:val="20"/>
          <w:lang w:val="en-AU"/>
        </w:rPr>
        <w:t xml:space="preserve">ing levers and administration. </w:t>
      </w:r>
    </w:p>
    <w:p w14:paraId="08193D20" w14:textId="7ADD278E" w:rsidR="00432291" w:rsidRPr="00572246" w:rsidRDefault="00432291" w:rsidP="00572246">
      <w:pPr>
        <w:pStyle w:val="Heading2"/>
        <w:rPr>
          <w:rStyle w:val="IntenseReference"/>
          <w:b/>
          <w:bCs/>
          <w:smallCaps w:val="0"/>
          <w:color w:val="0070C0"/>
          <w:spacing w:val="0"/>
        </w:rPr>
      </w:pPr>
      <w:bookmarkStart w:id="88" w:name="_Toc495587313"/>
      <w:r w:rsidRPr="00572246">
        <w:rPr>
          <w:rStyle w:val="IntenseReference"/>
          <w:b/>
          <w:bCs/>
          <w:smallCaps w:val="0"/>
          <w:color w:val="0070C0"/>
          <w:spacing w:val="0"/>
        </w:rPr>
        <w:t xml:space="preserve">5.1. </w:t>
      </w:r>
      <w:r w:rsidRPr="00572246">
        <w:rPr>
          <w:rStyle w:val="IntenseReference"/>
          <w:b/>
          <w:bCs/>
          <w:smallCaps w:val="0"/>
          <w:color w:val="0070C0"/>
          <w:spacing w:val="0"/>
        </w:rPr>
        <w:tab/>
        <w:t xml:space="preserve">What </w:t>
      </w:r>
      <w:r w:rsidR="00372633" w:rsidRPr="00572246">
        <w:rPr>
          <w:rStyle w:val="IntenseReference"/>
          <w:b/>
          <w:bCs/>
          <w:smallCaps w:val="0"/>
          <w:color w:val="0070C0"/>
          <w:spacing w:val="0"/>
        </w:rPr>
        <w:t xml:space="preserve">NGRB approaches best drive school </w:t>
      </w:r>
      <w:r w:rsidRPr="00572246">
        <w:rPr>
          <w:rStyle w:val="IntenseReference"/>
          <w:b/>
          <w:bCs/>
          <w:smallCaps w:val="0"/>
          <w:color w:val="0070C0"/>
          <w:spacing w:val="0"/>
        </w:rPr>
        <w:t>improvement?</w:t>
      </w:r>
      <w:bookmarkEnd w:id="88"/>
    </w:p>
    <w:p w14:paraId="63751526" w14:textId="731600B9" w:rsidR="00106E27" w:rsidRPr="00106E27" w:rsidRDefault="00623693" w:rsidP="004B2D8A">
      <w:pPr>
        <w:spacing w:after="120" w:line="276" w:lineRule="auto"/>
        <w:ind w:right="-340"/>
        <w:jc w:val="both"/>
        <w:rPr>
          <w:rFonts w:ascii="Century Gothic" w:eastAsiaTheme="minorHAnsi" w:hAnsi="Century Gothic"/>
          <w:color w:val="FF0000"/>
          <w:sz w:val="20"/>
          <w:szCs w:val="20"/>
          <w:lang w:val="en-AU"/>
        </w:rPr>
      </w:pPr>
      <w:r>
        <w:rPr>
          <w:rFonts w:ascii="Century Gothic" w:eastAsiaTheme="minorHAnsi" w:hAnsi="Century Gothic"/>
          <w:sz w:val="20"/>
          <w:szCs w:val="20"/>
          <w:lang w:val="en-AU"/>
        </w:rPr>
        <w:t>As many NGRBs have placed an emphasis in their SFSF work on meshing the national priorities with broad school improvement efforts it is useful to assess how these NGRB approaches are working in their own terms</w:t>
      </w:r>
      <w:r w:rsidR="001C4EF9">
        <w:rPr>
          <w:rFonts w:ascii="Century Gothic" w:eastAsiaTheme="minorHAnsi" w:hAnsi="Century Gothic"/>
          <w:sz w:val="20"/>
          <w:szCs w:val="20"/>
          <w:lang w:val="en-AU"/>
        </w:rPr>
        <w:t xml:space="preserve"> as drivers for improvement</w:t>
      </w:r>
      <w:r>
        <w:rPr>
          <w:rFonts w:ascii="Century Gothic" w:eastAsiaTheme="minorHAnsi" w:hAnsi="Century Gothic"/>
          <w:sz w:val="20"/>
          <w:szCs w:val="20"/>
          <w:lang w:val="en-AU"/>
        </w:rPr>
        <w:t xml:space="preserve">. </w:t>
      </w:r>
      <w:r w:rsidR="00106E27">
        <w:rPr>
          <w:rFonts w:ascii="Century Gothic" w:eastAsiaTheme="minorHAnsi" w:hAnsi="Century Gothic"/>
          <w:sz w:val="20"/>
          <w:szCs w:val="20"/>
          <w:lang w:val="en-AU"/>
        </w:rPr>
        <w:t>These lessons van be applied to the implementation of national priorities irrespect</w:t>
      </w:r>
      <w:r w:rsidR="007C7FAF">
        <w:rPr>
          <w:rFonts w:ascii="Century Gothic" w:eastAsiaTheme="minorHAnsi" w:hAnsi="Century Gothic"/>
          <w:sz w:val="20"/>
          <w:szCs w:val="20"/>
          <w:lang w:val="en-AU"/>
        </w:rPr>
        <w:t>ive of the funding environment.</w:t>
      </w:r>
    </w:p>
    <w:p w14:paraId="4EA8AEEC" w14:textId="209198AB" w:rsidR="00D05D61" w:rsidRPr="00972C34" w:rsidRDefault="00BD44A0" w:rsidP="004B2D8A">
      <w:pPr>
        <w:spacing w:after="120" w:line="276" w:lineRule="auto"/>
        <w:ind w:right="-340"/>
        <w:jc w:val="both"/>
        <w:rPr>
          <w:rFonts w:ascii="Century Gothic" w:eastAsiaTheme="minorHAnsi" w:hAnsi="Century Gothic"/>
          <w:color w:val="FF0000"/>
          <w:sz w:val="20"/>
          <w:szCs w:val="20"/>
          <w:lang w:val="en-AU"/>
        </w:rPr>
      </w:pPr>
      <w:r>
        <w:rPr>
          <w:rFonts w:ascii="Century Gothic" w:eastAsiaTheme="minorHAnsi" w:hAnsi="Century Gothic"/>
          <w:sz w:val="20"/>
          <w:szCs w:val="20"/>
          <w:lang w:val="en-AU"/>
        </w:rPr>
        <w:t xml:space="preserve">The </w:t>
      </w:r>
      <w:r w:rsidR="00D6448F">
        <w:rPr>
          <w:rFonts w:ascii="Century Gothic" w:eastAsiaTheme="minorHAnsi" w:hAnsi="Century Gothic"/>
          <w:sz w:val="20"/>
          <w:szCs w:val="20"/>
          <w:lang w:val="en-AU"/>
        </w:rPr>
        <w:t xml:space="preserve">Review has identified the </w:t>
      </w:r>
      <w:r>
        <w:rPr>
          <w:rFonts w:ascii="Century Gothic" w:eastAsiaTheme="minorHAnsi" w:hAnsi="Century Gothic"/>
          <w:sz w:val="20"/>
          <w:szCs w:val="20"/>
          <w:lang w:val="en-AU"/>
        </w:rPr>
        <w:t xml:space="preserve">following </w:t>
      </w:r>
      <w:r w:rsidR="00D6448F">
        <w:rPr>
          <w:rFonts w:ascii="Century Gothic" w:eastAsiaTheme="minorHAnsi" w:hAnsi="Century Gothic"/>
          <w:sz w:val="20"/>
          <w:szCs w:val="20"/>
          <w:lang w:val="en-AU"/>
        </w:rPr>
        <w:t xml:space="preserve">four themes as </w:t>
      </w:r>
      <w:r w:rsidR="00735741">
        <w:rPr>
          <w:rFonts w:ascii="Century Gothic" w:eastAsiaTheme="minorHAnsi" w:hAnsi="Century Gothic"/>
          <w:sz w:val="20"/>
          <w:szCs w:val="20"/>
          <w:lang w:val="en-AU"/>
        </w:rPr>
        <w:t xml:space="preserve">the </w:t>
      </w:r>
      <w:r w:rsidR="002A15AF">
        <w:rPr>
          <w:rFonts w:ascii="Century Gothic" w:eastAsiaTheme="minorHAnsi" w:hAnsi="Century Gothic"/>
          <w:sz w:val="20"/>
          <w:szCs w:val="20"/>
          <w:lang w:val="en-AU"/>
        </w:rPr>
        <w:t xml:space="preserve">most influential </w:t>
      </w:r>
      <w:r w:rsidR="009101DA">
        <w:rPr>
          <w:rFonts w:ascii="Century Gothic" w:eastAsiaTheme="minorHAnsi" w:hAnsi="Century Gothic"/>
          <w:sz w:val="20"/>
          <w:szCs w:val="20"/>
          <w:lang w:val="en-AU"/>
        </w:rPr>
        <w:t xml:space="preserve">levers </w:t>
      </w:r>
      <w:r w:rsidR="002A15AF">
        <w:rPr>
          <w:rFonts w:ascii="Century Gothic" w:eastAsiaTheme="minorHAnsi" w:hAnsi="Century Gothic"/>
          <w:sz w:val="20"/>
          <w:szCs w:val="20"/>
          <w:lang w:val="en-AU"/>
        </w:rPr>
        <w:t xml:space="preserve">for change in the </w:t>
      </w:r>
      <w:r w:rsidR="002121E9">
        <w:rPr>
          <w:rFonts w:ascii="Century Gothic" w:eastAsiaTheme="minorHAnsi" w:hAnsi="Century Gothic"/>
          <w:sz w:val="20"/>
          <w:szCs w:val="20"/>
          <w:lang w:val="en-AU"/>
        </w:rPr>
        <w:t xml:space="preserve">NGRBs’ </w:t>
      </w:r>
      <w:r w:rsidR="002A15AF">
        <w:rPr>
          <w:rFonts w:ascii="Century Gothic" w:eastAsiaTheme="minorHAnsi" w:hAnsi="Century Gothic"/>
          <w:sz w:val="20"/>
          <w:szCs w:val="20"/>
          <w:lang w:val="en-AU"/>
        </w:rPr>
        <w:t xml:space="preserve">implementation of national priorities and use of </w:t>
      </w:r>
      <w:r w:rsidR="00735741">
        <w:rPr>
          <w:rFonts w:ascii="Century Gothic" w:eastAsiaTheme="minorHAnsi" w:hAnsi="Century Gothic"/>
          <w:sz w:val="20"/>
          <w:szCs w:val="20"/>
          <w:lang w:val="en-AU"/>
        </w:rPr>
        <w:t xml:space="preserve">SFSF </w:t>
      </w:r>
      <w:r w:rsidR="002A15AF">
        <w:rPr>
          <w:rFonts w:ascii="Century Gothic" w:eastAsiaTheme="minorHAnsi" w:hAnsi="Century Gothic"/>
          <w:sz w:val="20"/>
          <w:szCs w:val="20"/>
          <w:lang w:val="en-AU"/>
        </w:rPr>
        <w:t xml:space="preserve">funds. </w:t>
      </w:r>
      <w:r w:rsidR="00D6448F">
        <w:rPr>
          <w:rFonts w:ascii="Century Gothic" w:eastAsiaTheme="minorHAnsi" w:hAnsi="Century Gothic"/>
          <w:sz w:val="20"/>
          <w:szCs w:val="20"/>
          <w:lang w:val="en-AU"/>
        </w:rPr>
        <w:t>Review consultations indicated they a</w:t>
      </w:r>
      <w:r w:rsidR="00106E27">
        <w:rPr>
          <w:rFonts w:ascii="Century Gothic" w:eastAsiaTheme="minorHAnsi" w:hAnsi="Century Gothic"/>
          <w:sz w:val="20"/>
          <w:szCs w:val="20"/>
          <w:lang w:val="en-AU"/>
        </w:rPr>
        <w:t>re most valued by NGRBs and by principals. They are also generally regarded in international best practice as the bed</w:t>
      </w:r>
      <w:r w:rsidR="007C7FAF">
        <w:rPr>
          <w:rFonts w:ascii="Century Gothic" w:eastAsiaTheme="minorHAnsi" w:hAnsi="Century Gothic"/>
          <w:sz w:val="20"/>
          <w:szCs w:val="20"/>
          <w:lang w:val="en-AU"/>
        </w:rPr>
        <w:t>rock of good ‘system’ practice.</w:t>
      </w:r>
    </w:p>
    <w:p w14:paraId="22583B73" w14:textId="4BF81484" w:rsidR="00E7378F" w:rsidRDefault="00972C34"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They are </w:t>
      </w:r>
      <w:r w:rsidR="00FD3900">
        <w:rPr>
          <w:rFonts w:ascii="Century Gothic" w:eastAsiaTheme="minorHAnsi" w:hAnsi="Century Gothic"/>
          <w:sz w:val="20"/>
          <w:szCs w:val="20"/>
          <w:lang w:val="en-AU"/>
        </w:rPr>
        <w:t xml:space="preserve">seen as </w:t>
      </w:r>
      <w:r>
        <w:rPr>
          <w:rFonts w:ascii="Century Gothic" w:eastAsiaTheme="minorHAnsi" w:hAnsi="Century Gothic"/>
          <w:sz w:val="20"/>
          <w:szCs w:val="20"/>
          <w:lang w:val="en-AU"/>
        </w:rPr>
        <w:t xml:space="preserve">successful levers </w:t>
      </w:r>
      <w:r w:rsidR="00D6448F">
        <w:rPr>
          <w:rFonts w:ascii="Century Gothic" w:eastAsiaTheme="minorHAnsi" w:hAnsi="Century Gothic"/>
          <w:sz w:val="20"/>
          <w:szCs w:val="20"/>
          <w:lang w:val="en-AU"/>
        </w:rPr>
        <w:t xml:space="preserve">for ‘making a difference’ </w:t>
      </w:r>
      <w:r w:rsidR="007C7FAF">
        <w:rPr>
          <w:rFonts w:ascii="Century Gothic" w:eastAsiaTheme="minorHAnsi" w:hAnsi="Century Gothic"/>
          <w:sz w:val="20"/>
          <w:szCs w:val="20"/>
          <w:lang w:val="en-AU"/>
        </w:rPr>
        <w:t>because they</w:t>
      </w:r>
    </w:p>
    <w:p w14:paraId="303DBCC5" w14:textId="260E6369" w:rsidR="001A045F" w:rsidRDefault="001A045F" w:rsidP="006A1D2B">
      <w:pPr>
        <w:pStyle w:val="ListParagraph"/>
        <w:numPr>
          <w:ilvl w:val="0"/>
          <w:numId w:val="10"/>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m</w:t>
      </w:r>
      <w:r w:rsidR="007A6ABE">
        <w:rPr>
          <w:rFonts w:ascii="Century Gothic" w:eastAsiaTheme="minorHAnsi" w:hAnsi="Century Gothic"/>
          <w:sz w:val="20"/>
          <w:szCs w:val="20"/>
          <w:lang w:val="en-AU"/>
        </w:rPr>
        <w:t>ak</w:t>
      </w:r>
      <w:r w:rsidR="00DF4BD7">
        <w:rPr>
          <w:rFonts w:ascii="Century Gothic" w:eastAsiaTheme="minorHAnsi" w:hAnsi="Century Gothic"/>
          <w:sz w:val="20"/>
          <w:szCs w:val="20"/>
          <w:lang w:val="en-AU"/>
        </w:rPr>
        <w:t>e</w:t>
      </w:r>
      <w:r>
        <w:rPr>
          <w:rFonts w:ascii="Century Gothic" w:eastAsiaTheme="minorHAnsi" w:hAnsi="Century Gothic"/>
          <w:sz w:val="20"/>
          <w:szCs w:val="20"/>
          <w:lang w:val="en-AU"/>
        </w:rPr>
        <w:t xml:space="preserve"> the school context the centre point</w:t>
      </w:r>
    </w:p>
    <w:p w14:paraId="5FA437F6" w14:textId="7E7051E9" w:rsidR="007A6ABE" w:rsidRDefault="00DF4BD7" w:rsidP="006A1D2B">
      <w:pPr>
        <w:pStyle w:val="ListParagraph"/>
        <w:numPr>
          <w:ilvl w:val="0"/>
          <w:numId w:val="10"/>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attempt</w:t>
      </w:r>
      <w:r w:rsidR="007A6ABE">
        <w:rPr>
          <w:rFonts w:ascii="Century Gothic" w:eastAsiaTheme="minorHAnsi" w:hAnsi="Century Gothic"/>
          <w:sz w:val="20"/>
          <w:szCs w:val="20"/>
          <w:lang w:val="en-AU"/>
        </w:rPr>
        <w:t xml:space="preserve"> t</w:t>
      </w:r>
      <w:r w:rsidR="007C7FAF">
        <w:rPr>
          <w:rFonts w:ascii="Century Gothic" w:eastAsiaTheme="minorHAnsi" w:hAnsi="Century Gothic"/>
          <w:sz w:val="20"/>
          <w:szCs w:val="20"/>
          <w:lang w:val="en-AU"/>
        </w:rPr>
        <w:t>o build whole school commitment</w:t>
      </w:r>
    </w:p>
    <w:p w14:paraId="592FD289" w14:textId="4E860CC0" w:rsidR="008D2C1C" w:rsidRDefault="00E7378F" w:rsidP="006A1D2B">
      <w:pPr>
        <w:pStyle w:val="ListParagraph"/>
        <w:numPr>
          <w:ilvl w:val="0"/>
          <w:numId w:val="10"/>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adopt a shared approach to improvement – within and among schools</w:t>
      </w:r>
    </w:p>
    <w:p w14:paraId="6AD11F89" w14:textId="2DD2107A" w:rsidR="001A045F" w:rsidRPr="008D2C1C" w:rsidRDefault="008D2C1C" w:rsidP="006A1D2B">
      <w:pPr>
        <w:pStyle w:val="ListParagraph"/>
        <w:numPr>
          <w:ilvl w:val="0"/>
          <w:numId w:val="10"/>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embe</w:t>
      </w:r>
      <w:r w:rsidR="007C7FAF">
        <w:rPr>
          <w:rFonts w:ascii="Century Gothic" w:eastAsiaTheme="minorHAnsi" w:hAnsi="Century Gothic"/>
          <w:sz w:val="20"/>
          <w:szCs w:val="20"/>
          <w:lang w:val="en-AU"/>
        </w:rPr>
        <w:t>d the skills and infrastructure</w:t>
      </w:r>
      <w:r>
        <w:rPr>
          <w:rFonts w:ascii="Century Gothic" w:eastAsiaTheme="minorHAnsi" w:hAnsi="Century Gothic"/>
          <w:sz w:val="20"/>
          <w:szCs w:val="20"/>
          <w:lang w:val="en-AU"/>
        </w:rPr>
        <w:t xml:space="preserve"> for</w:t>
      </w:r>
      <w:r w:rsidR="007C7FAF">
        <w:rPr>
          <w:rFonts w:ascii="Century Gothic" w:eastAsiaTheme="minorHAnsi" w:hAnsi="Century Gothic"/>
          <w:sz w:val="20"/>
          <w:szCs w:val="20"/>
          <w:lang w:val="en-AU"/>
        </w:rPr>
        <w:t xml:space="preserve"> longer term change</w:t>
      </w:r>
    </w:p>
    <w:p w14:paraId="5DAE07BA" w14:textId="37F43823" w:rsidR="002121E9" w:rsidRPr="00F43816" w:rsidRDefault="00765F2A" w:rsidP="00F43816">
      <w:pPr>
        <w:spacing w:before="120" w:after="120" w:line="276" w:lineRule="auto"/>
        <w:ind w:right="-340"/>
        <w:jc w:val="both"/>
        <w:rPr>
          <w:rFonts w:ascii="Century Gothic" w:eastAsiaTheme="minorHAnsi" w:hAnsi="Century Gothic"/>
          <w:b/>
          <w:color w:val="4F81BD" w:themeColor="accent1"/>
          <w:sz w:val="20"/>
          <w:szCs w:val="20"/>
          <w:lang w:val="en-AU"/>
        </w:rPr>
      </w:pPr>
      <w:bookmarkStart w:id="89" w:name="_Toc472261251"/>
      <w:bookmarkStart w:id="90" w:name="_Toc472262594"/>
      <w:bookmarkStart w:id="91" w:name="_Toc472262976"/>
      <w:bookmarkStart w:id="92" w:name="_Toc472263126"/>
      <w:bookmarkStart w:id="93" w:name="_Toc472263277"/>
      <w:bookmarkStart w:id="94" w:name="_Toc346123969"/>
      <w:r w:rsidRPr="00F43816">
        <w:rPr>
          <w:rFonts w:ascii="Century Gothic" w:eastAsiaTheme="minorHAnsi" w:hAnsi="Century Gothic"/>
          <w:b/>
          <w:color w:val="4F81BD" w:themeColor="accent1"/>
          <w:sz w:val="20"/>
          <w:szCs w:val="20"/>
          <w:lang w:val="en-AU"/>
        </w:rPr>
        <w:t xml:space="preserve">Taking a developmental approach to </w:t>
      </w:r>
      <w:r w:rsidR="009376B0" w:rsidRPr="00F43816">
        <w:rPr>
          <w:rFonts w:ascii="Century Gothic" w:eastAsiaTheme="minorHAnsi" w:hAnsi="Century Gothic"/>
          <w:b/>
          <w:color w:val="4F81BD" w:themeColor="accent1"/>
          <w:sz w:val="20"/>
          <w:szCs w:val="20"/>
          <w:lang w:val="en-AU"/>
        </w:rPr>
        <w:t xml:space="preserve">standards and </w:t>
      </w:r>
      <w:r w:rsidRPr="00F43816">
        <w:rPr>
          <w:rFonts w:ascii="Century Gothic" w:eastAsiaTheme="minorHAnsi" w:hAnsi="Century Gothic"/>
          <w:b/>
          <w:color w:val="4F81BD" w:themeColor="accent1"/>
          <w:sz w:val="20"/>
          <w:szCs w:val="20"/>
          <w:lang w:val="en-AU"/>
        </w:rPr>
        <w:t xml:space="preserve">government </w:t>
      </w:r>
      <w:r w:rsidR="009376B0" w:rsidRPr="00F43816">
        <w:rPr>
          <w:rFonts w:ascii="Century Gothic" w:eastAsiaTheme="minorHAnsi" w:hAnsi="Century Gothic"/>
          <w:b/>
          <w:color w:val="4F81BD" w:themeColor="accent1"/>
          <w:sz w:val="20"/>
          <w:szCs w:val="20"/>
          <w:lang w:val="en-AU"/>
        </w:rPr>
        <w:t>requirements</w:t>
      </w:r>
      <w:bookmarkEnd w:id="89"/>
      <w:bookmarkEnd w:id="90"/>
      <w:bookmarkEnd w:id="91"/>
      <w:bookmarkEnd w:id="92"/>
      <w:bookmarkEnd w:id="93"/>
      <w:bookmarkEnd w:id="94"/>
    </w:p>
    <w:p w14:paraId="685851BA" w14:textId="7893B855" w:rsidR="008B7E4D" w:rsidRDefault="008B7E4D"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requirements from Australian and st</w:t>
      </w:r>
      <w:r w:rsidR="003F575B">
        <w:rPr>
          <w:rFonts w:ascii="Century Gothic" w:eastAsiaTheme="minorHAnsi" w:hAnsi="Century Gothic"/>
          <w:sz w:val="20"/>
          <w:szCs w:val="20"/>
          <w:lang w:val="en-AU"/>
        </w:rPr>
        <w:t xml:space="preserve">ate governments for schools to </w:t>
      </w:r>
      <w:r>
        <w:rPr>
          <w:rFonts w:ascii="Century Gothic" w:eastAsiaTheme="minorHAnsi" w:hAnsi="Century Gothic"/>
          <w:sz w:val="20"/>
          <w:szCs w:val="20"/>
          <w:lang w:val="en-AU"/>
        </w:rPr>
        <w:t xml:space="preserve">implement </w:t>
      </w:r>
      <w:r w:rsidRPr="009376B0">
        <w:rPr>
          <w:rFonts w:ascii="Century Gothic" w:eastAsiaTheme="minorHAnsi" w:hAnsi="Century Gothic"/>
          <w:sz w:val="20"/>
          <w:szCs w:val="20"/>
          <w:lang w:val="en-AU"/>
        </w:rPr>
        <w:t>the Australian Professional Standards for Teache</w:t>
      </w:r>
      <w:r>
        <w:rPr>
          <w:rFonts w:ascii="Century Gothic" w:eastAsiaTheme="minorHAnsi" w:hAnsi="Century Gothic"/>
          <w:sz w:val="20"/>
          <w:szCs w:val="20"/>
          <w:lang w:val="en-AU"/>
        </w:rPr>
        <w:t>rs, the principal standards a</w:t>
      </w:r>
      <w:r w:rsidRPr="009376B0">
        <w:rPr>
          <w:rFonts w:ascii="Century Gothic" w:eastAsiaTheme="minorHAnsi" w:hAnsi="Century Gothic"/>
          <w:sz w:val="20"/>
          <w:szCs w:val="20"/>
          <w:lang w:val="en-AU"/>
        </w:rPr>
        <w:t xml:space="preserve">nd </w:t>
      </w:r>
      <w:r>
        <w:rPr>
          <w:rFonts w:ascii="Century Gothic" w:eastAsiaTheme="minorHAnsi" w:hAnsi="Century Gothic"/>
          <w:sz w:val="20"/>
          <w:szCs w:val="20"/>
          <w:lang w:val="en-AU"/>
        </w:rPr>
        <w:t xml:space="preserve">the Australian Curriculum (plus other requirements) </w:t>
      </w:r>
      <w:r w:rsidR="00030D20">
        <w:rPr>
          <w:rFonts w:ascii="Century Gothic" w:eastAsiaTheme="minorHAnsi" w:hAnsi="Century Gothic"/>
          <w:sz w:val="20"/>
          <w:szCs w:val="20"/>
          <w:lang w:val="en-AU"/>
        </w:rPr>
        <w:t xml:space="preserve">have been </w:t>
      </w:r>
      <w:r w:rsidR="00372633">
        <w:rPr>
          <w:rFonts w:ascii="Century Gothic" w:eastAsiaTheme="minorHAnsi" w:hAnsi="Century Gothic"/>
          <w:sz w:val="20"/>
          <w:szCs w:val="20"/>
          <w:lang w:val="en-AU"/>
        </w:rPr>
        <w:t xml:space="preserve">the </w:t>
      </w:r>
      <w:r w:rsidR="00030D20">
        <w:rPr>
          <w:rFonts w:ascii="Century Gothic" w:eastAsiaTheme="minorHAnsi" w:hAnsi="Century Gothic"/>
          <w:sz w:val="20"/>
          <w:szCs w:val="20"/>
          <w:lang w:val="en-AU"/>
        </w:rPr>
        <w:t>major stimulus for school engagement with NGRBs</w:t>
      </w:r>
      <w:r w:rsidR="003F575B">
        <w:rPr>
          <w:rFonts w:ascii="Century Gothic" w:eastAsiaTheme="minorHAnsi" w:hAnsi="Century Gothic"/>
          <w:sz w:val="20"/>
          <w:szCs w:val="20"/>
          <w:lang w:val="en-AU"/>
        </w:rPr>
        <w:t xml:space="preserve">. Schools have readily sought </w:t>
      </w:r>
      <w:r w:rsidR="00D05D61">
        <w:rPr>
          <w:rFonts w:ascii="Century Gothic" w:eastAsiaTheme="minorHAnsi" w:hAnsi="Century Gothic"/>
          <w:sz w:val="20"/>
          <w:szCs w:val="20"/>
          <w:lang w:val="en-AU"/>
        </w:rPr>
        <w:t xml:space="preserve">information, advice and support on implementation. </w:t>
      </w:r>
      <w:r w:rsidR="00030D20">
        <w:rPr>
          <w:rFonts w:ascii="Century Gothic" w:eastAsiaTheme="minorHAnsi" w:hAnsi="Century Gothic"/>
          <w:sz w:val="20"/>
          <w:szCs w:val="20"/>
          <w:lang w:val="en-AU"/>
        </w:rPr>
        <w:t xml:space="preserve">This is reflected in the </w:t>
      </w:r>
      <w:r w:rsidR="00D14545">
        <w:rPr>
          <w:rFonts w:ascii="Century Gothic" w:eastAsiaTheme="minorHAnsi" w:hAnsi="Century Gothic"/>
          <w:sz w:val="20"/>
          <w:szCs w:val="20"/>
          <w:lang w:val="en-AU"/>
        </w:rPr>
        <w:t xml:space="preserve">volume of </w:t>
      </w:r>
      <w:r>
        <w:rPr>
          <w:rFonts w:ascii="Century Gothic" w:eastAsiaTheme="minorHAnsi" w:hAnsi="Century Gothic"/>
          <w:sz w:val="20"/>
          <w:szCs w:val="20"/>
          <w:lang w:val="en-AU"/>
        </w:rPr>
        <w:t xml:space="preserve">NGRBs’ activities supporting </w:t>
      </w:r>
      <w:r w:rsidR="00D14545">
        <w:rPr>
          <w:rFonts w:ascii="Century Gothic" w:eastAsiaTheme="minorHAnsi" w:hAnsi="Century Gothic"/>
          <w:sz w:val="20"/>
          <w:szCs w:val="20"/>
          <w:lang w:val="en-AU"/>
        </w:rPr>
        <w:t xml:space="preserve">the national priorities of </w:t>
      </w:r>
      <w:r>
        <w:rPr>
          <w:rFonts w:ascii="Century Gothic" w:eastAsiaTheme="minorHAnsi" w:hAnsi="Century Gothic"/>
          <w:sz w:val="20"/>
          <w:szCs w:val="20"/>
          <w:lang w:val="en-AU"/>
        </w:rPr>
        <w:t>Quality Teaching and Quality Learning.</w:t>
      </w:r>
    </w:p>
    <w:p w14:paraId="429C94A3" w14:textId="7E1D072A" w:rsidR="00874A50" w:rsidRDefault="009D72FF" w:rsidP="00106E27">
      <w:pPr>
        <w:spacing w:after="200" w:line="276" w:lineRule="auto"/>
        <w:ind w:right="-340"/>
        <w:jc w:val="both"/>
        <w:rPr>
          <w:rFonts w:ascii="Century Gothic" w:eastAsiaTheme="minorHAnsi" w:hAnsi="Century Gothic"/>
          <w:sz w:val="20"/>
          <w:szCs w:val="20"/>
          <w:lang w:val="en-AU"/>
        </w:rPr>
      </w:pPr>
      <w:r w:rsidRPr="009D72FF">
        <w:rPr>
          <w:rFonts w:ascii="Century Gothic" w:eastAsiaTheme="minorHAnsi" w:hAnsi="Century Gothic"/>
          <w:sz w:val="20"/>
          <w:szCs w:val="20"/>
          <w:lang w:val="en-AU"/>
        </w:rPr>
        <w:t xml:space="preserve">The challenge </w:t>
      </w:r>
      <w:r w:rsidR="00D05D61">
        <w:rPr>
          <w:rFonts w:ascii="Century Gothic" w:eastAsiaTheme="minorHAnsi" w:hAnsi="Century Gothic"/>
          <w:sz w:val="20"/>
          <w:szCs w:val="20"/>
          <w:lang w:val="en-AU"/>
        </w:rPr>
        <w:t xml:space="preserve">for </w:t>
      </w:r>
      <w:r w:rsidRPr="009D72FF">
        <w:rPr>
          <w:rFonts w:ascii="Century Gothic" w:eastAsiaTheme="minorHAnsi" w:hAnsi="Century Gothic"/>
          <w:sz w:val="20"/>
          <w:szCs w:val="20"/>
          <w:lang w:val="en-AU"/>
        </w:rPr>
        <w:t xml:space="preserve">NGRBs </w:t>
      </w:r>
      <w:r w:rsidR="00874A50">
        <w:rPr>
          <w:rFonts w:ascii="Century Gothic" w:eastAsiaTheme="minorHAnsi" w:hAnsi="Century Gothic"/>
          <w:sz w:val="20"/>
          <w:szCs w:val="20"/>
          <w:lang w:val="en-AU"/>
        </w:rPr>
        <w:t>working effectively with schools to address these priorities has been</w:t>
      </w:r>
      <w:r w:rsidR="00106E27">
        <w:rPr>
          <w:rFonts w:ascii="Century Gothic" w:eastAsiaTheme="minorHAnsi" w:hAnsi="Century Gothic"/>
          <w:sz w:val="20"/>
          <w:szCs w:val="20"/>
          <w:lang w:val="en-AU"/>
        </w:rPr>
        <w:t xml:space="preserve"> on two fronts. Firstly, </w:t>
      </w:r>
      <w:r w:rsidR="00874A50">
        <w:rPr>
          <w:rFonts w:ascii="Century Gothic" w:eastAsiaTheme="minorHAnsi" w:hAnsi="Century Gothic"/>
          <w:sz w:val="20"/>
          <w:szCs w:val="20"/>
          <w:lang w:val="en-AU"/>
        </w:rPr>
        <w:t xml:space="preserve">they need </w:t>
      </w:r>
      <w:r w:rsidR="00372633">
        <w:rPr>
          <w:rFonts w:ascii="Century Gothic" w:eastAsiaTheme="minorHAnsi" w:hAnsi="Century Gothic"/>
          <w:sz w:val="20"/>
          <w:szCs w:val="20"/>
          <w:lang w:val="en-AU"/>
        </w:rPr>
        <w:t xml:space="preserve">to manage the relationships </w:t>
      </w:r>
      <w:r w:rsidR="00874A50">
        <w:rPr>
          <w:rFonts w:ascii="Century Gothic" w:eastAsiaTheme="minorHAnsi" w:hAnsi="Century Gothic"/>
          <w:sz w:val="20"/>
          <w:szCs w:val="20"/>
          <w:lang w:val="en-AU"/>
        </w:rPr>
        <w:t xml:space="preserve">between national and </w:t>
      </w:r>
      <w:r w:rsidR="00106E27">
        <w:rPr>
          <w:rFonts w:ascii="Century Gothic" w:eastAsiaTheme="minorHAnsi" w:hAnsi="Century Gothic"/>
          <w:sz w:val="20"/>
          <w:szCs w:val="20"/>
          <w:lang w:val="en-AU"/>
        </w:rPr>
        <w:t>state or territory authorities</w:t>
      </w:r>
      <w:r w:rsidR="00874A50">
        <w:rPr>
          <w:rFonts w:ascii="Century Gothic" w:eastAsiaTheme="minorHAnsi" w:hAnsi="Century Gothic"/>
          <w:sz w:val="20"/>
          <w:szCs w:val="20"/>
          <w:lang w:val="en-AU"/>
        </w:rPr>
        <w:t>’ requirements and expectations</w:t>
      </w:r>
      <w:r w:rsidR="00106E27">
        <w:rPr>
          <w:rFonts w:ascii="Century Gothic" w:eastAsiaTheme="minorHAnsi" w:hAnsi="Century Gothic"/>
          <w:sz w:val="20"/>
          <w:szCs w:val="20"/>
          <w:lang w:val="en-AU"/>
        </w:rPr>
        <w:t xml:space="preserve">; and secondly, </w:t>
      </w:r>
      <w:r w:rsidR="00874A50">
        <w:rPr>
          <w:rFonts w:ascii="Century Gothic" w:eastAsiaTheme="minorHAnsi" w:hAnsi="Century Gothic"/>
          <w:sz w:val="20"/>
          <w:szCs w:val="20"/>
          <w:lang w:val="en-AU"/>
        </w:rPr>
        <w:t xml:space="preserve">they need to offer </w:t>
      </w:r>
      <w:r w:rsidR="00106E27">
        <w:rPr>
          <w:rFonts w:ascii="Century Gothic" w:eastAsiaTheme="minorHAnsi" w:hAnsi="Century Gothic"/>
          <w:sz w:val="20"/>
          <w:szCs w:val="20"/>
          <w:lang w:val="en-AU"/>
        </w:rPr>
        <w:t xml:space="preserve">support that is attractive </w:t>
      </w:r>
      <w:r w:rsidR="00874A50">
        <w:rPr>
          <w:rFonts w:ascii="Century Gothic" w:eastAsiaTheme="minorHAnsi" w:hAnsi="Century Gothic"/>
          <w:sz w:val="20"/>
          <w:szCs w:val="20"/>
          <w:lang w:val="en-AU"/>
        </w:rPr>
        <w:t>and meaningful for</w:t>
      </w:r>
      <w:r w:rsidR="00106E27">
        <w:rPr>
          <w:rFonts w:ascii="Century Gothic" w:eastAsiaTheme="minorHAnsi" w:hAnsi="Century Gothic"/>
          <w:sz w:val="20"/>
          <w:szCs w:val="20"/>
          <w:lang w:val="en-AU"/>
        </w:rPr>
        <w:t xml:space="preserve"> schools</w:t>
      </w:r>
      <w:r w:rsidR="00874A50">
        <w:rPr>
          <w:rFonts w:ascii="Century Gothic" w:eastAsiaTheme="minorHAnsi" w:hAnsi="Century Gothic"/>
          <w:sz w:val="20"/>
          <w:szCs w:val="20"/>
          <w:lang w:val="en-AU"/>
        </w:rPr>
        <w:t xml:space="preserve"> that goes beyond</w:t>
      </w:r>
      <w:r w:rsidR="007C7FAF">
        <w:rPr>
          <w:rFonts w:ascii="Century Gothic" w:eastAsiaTheme="minorHAnsi" w:hAnsi="Century Gothic"/>
          <w:sz w:val="20"/>
          <w:szCs w:val="20"/>
          <w:lang w:val="en-AU"/>
        </w:rPr>
        <w:t xml:space="preserve"> the provision of information.</w:t>
      </w:r>
    </w:p>
    <w:p w14:paraId="374BB511" w14:textId="7B4809B1" w:rsidR="00874A50" w:rsidRDefault="00106E27" w:rsidP="00106E27">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Some NGRBs </w:t>
      </w:r>
      <w:r w:rsidR="00874A50">
        <w:rPr>
          <w:rFonts w:ascii="Century Gothic" w:eastAsiaTheme="minorHAnsi" w:hAnsi="Century Gothic"/>
          <w:sz w:val="20"/>
          <w:szCs w:val="20"/>
          <w:lang w:val="en-AU"/>
        </w:rPr>
        <w:t xml:space="preserve">have successfully navigated this space and are engaged in cross sector consultation; and at least one state has common targets between government and non-government sectors. </w:t>
      </w:r>
      <w:r w:rsidR="009E0A97">
        <w:rPr>
          <w:rFonts w:ascii="Century Gothic" w:eastAsiaTheme="minorHAnsi" w:hAnsi="Century Gothic"/>
          <w:sz w:val="20"/>
          <w:szCs w:val="20"/>
          <w:lang w:val="en-AU"/>
        </w:rPr>
        <w:t>Principals</w:t>
      </w:r>
      <w:r w:rsidR="00372633">
        <w:rPr>
          <w:rFonts w:ascii="Century Gothic" w:eastAsiaTheme="minorHAnsi" w:hAnsi="Century Gothic"/>
          <w:sz w:val="20"/>
          <w:szCs w:val="20"/>
          <w:lang w:val="en-AU"/>
        </w:rPr>
        <w:t xml:space="preserve"> </w:t>
      </w:r>
      <w:r w:rsidR="009E0A97">
        <w:rPr>
          <w:rFonts w:ascii="Century Gothic" w:eastAsiaTheme="minorHAnsi" w:hAnsi="Century Gothic"/>
          <w:sz w:val="20"/>
          <w:szCs w:val="20"/>
          <w:lang w:val="en-AU"/>
        </w:rPr>
        <w:t xml:space="preserve">would welcome </w:t>
      </w:r>
      <w:r w:rsidR="00372633">
        <w:rPr>
          <w:rFonts w:ascii="Century Gothic" w:eastAsiaTheme="minorHAnsi" w:hAnsi="Century Gothic"/>
          <w:sz w:val="20"/>
          <w:szCs w:val="20"/>
          <w:lang w:val="en-AU"/>
        </w:rPr>
        <w:t xml:space="preserve">more commitment by governments to alignment – for </w:t>
      </w:r>
      <w:r w:rsidR="009E0A97">
        <w:rPr>
          <w:rFonts w:ascii="Century Gothic" w:eastAsiaTheme="minorHAnsi" w:hAnsi="Century Gothic"/>
          <w:sz w:val="20"/>
          <w:szCs w:val="20"/>
          <w:lang w:val="en-AU"/>
        </w:rPr>
        <w:t>priorities to be expressed as consistent messages and improvement initiatives to be aligned across gove</w:t>
      </w:r>
      <w:r w:rsidR="007C7FAF">
        <w:rPr>
          <w:rFonts w:ascii="Century Gothic" w:eastAsiaTheme="minorHAnsi" w:hAnsi="Century Gothic"/>
          <w:sz w:val="20"/>
          <w:szCs w:val="20"/>
          <w:lang w:val="en-AU"/>
        </w:rPr>
        <w:t>rnments and their authorities.</w:t>
      </w:r>
    </w:p>
    <w:p w14:paraId="253CDF21" w14:textId="67E02462" w:rsidR="00106E27" w:rsidRDefault="00874A50" w:rsidP="00106E27">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Best practice engagement with schools </w:t>
      </w:r>
      <w:r w:rsidR="00372633">
        <w:rPr>
          <w:rFonts w:ascii="Century Gothic" w:eastAsiaTheme="minorHAnsi" w:hAnsi="Century Gothic"/>
          <w:sz w:val="20"/>
          <w:szCs w:val="20"/>
          <w:lang w:val="en-AU"/>
        </w:rPr>
        <w:t xml:space="preserve">on their implementation of standards and requirements </w:t>
      </w:r>
      <w:r>
        <w:rPr>
          <w:rFonts w:ascii="Century Gothic" w:eastAsiaTheme="minorHAnsi" w:hAnsi="Century Gothic"/>
          <w:sz w:val="20"/>
          <w:szCs w:val="20"/>
          <w:lang w:val="en-AU"/>
        </w:rPr>
        <w:t>is evident in a number of NGRBs</w:t>
      </w:r>
      <w:r w:rsidR="00372633">
        <w:rPr>
          <w:rFonts w:ascii="Century Gothic" w:eastAsiaTheme="minorHAnsi" w:hAnsi="Century Gothic"/>
          <w:sz w:val="20"/>
          <w:szCs w:val="20"/>
          <w:lang w:val="en-AU"/>
        </w:rPr>
        <w:t xml:space="preserve">. Initiatives such as </w:t>
      </w:r>
      <w:r w:rsidR="00106E27">
        <w:rPr>
          <w:rFonts w:ascii="Century Gothic" w:eastAsiaTheme="minorHAnsi" w:hAnsi="Century Gothic"/>
          <w:sz w:val="20"/>
          <w:szCs w:val="20"/>
          <w:lang w:val="en-AU"/>
        </w:rPr>
        <w:t xml:space="preserve">on-line self-assessment tools and rubrics; school-based expert consultancy services; and </w:t>
      </w:r>
      <w:r w:rsidR="00372633">
        <w:rPr>
          <w:rFonts w:ascii="Century Gothic" w:eastAsiaTheme="minorHAnsi" w:hAnsi="Century Gothic"/>
          <w:sz w:val="20"/>
          <w:szCs w:val="20"/>
          <w:lang w:val="en-AU"/>
        </w:rPr>
        <w:t xml:space="preserve">offering certification services </w:t>
      </w:r>
      <w:r w:rsidR="00106E27">
        <w:rPr>
          <w:rFonts w:ascii="Century Gothic" w:eastAsiaTheme="minorHAnsi" w:hAnsi="Century Gothic"/>
          <w:sz w:val="20"/>
          <w:szCs w:val="20"/>
          <w:lang w:val="en-AU"/>
        </w:rPr>
        <w:t xml:space="preserve">are strategic and </w:t>
      </w:r>
      <w:r w:rsidR="009E0A97">
        <w:rPr>
          <w:rFonts w:ascii="Century Gothic" w:eastAsiaTheme="minorHAnsi" w:hAnsi="Century Gothic"/>
          <w:sz w:val="20"/>
          <w:szCs w:val="20"/>
          <w:lang w:val="en-AU"/>
        </w:rPr>
        <w:t xml:space="preserve">developmental </w:t>
      </w:r>
      <w:r w:rsidR="00106E27">
        <w:rPr>
          <w:rFonts w:ascii="Century Gothic" w:eastAsiaTheme="minorHAnsi" w:hAnsi="Century Gothic"/>
          <w:sz w:val="20"/>
          <w:szCs w:val="20"/>
          <w:lang w:val="en-AU"/>
        </w:rPr>
        <w:t>supports for s</w:t>
      </w:r>
      <w:r w:rsidR="00372633">
        <w:rPr>
          <w:rFonts w:ascii="Century Gothic" w:eastAsiaTheme="minorHAnsi" w:hAnsi="Century Gothic"/>
          <w:sz w:val="20"/>
          <w:szCs w:val="20"/>
          <w:lang w:val="en-AU"/>
        </w:rPr>
        <w:t xml:space="preserve">chools that go </w:t>
      </w:r>
      <w:r w:rsidR="00106E27">
        <w:rPr>
          <w:rFonts w:ascii="Century Gothic" w:eastAsiaTheme="minorHAnsi" w:hAnsi="Century Gothic"/>
          <w:sz w:val="20"/>
          <w:szCs w:val="20"/>
          <w:lang w:val="en-AU"/>
        </w:rPr>
        <w:t>well beyond information s</w:t>
      </w:r>
      <w:r w:rsidR="007C7FAF">
        <w:rPr>
          <w:rFonts w:ascii="Century Gothic" w:eastAsiaTheme="minorHAnsi" w:hAnsi="Century Gothic"/>
          <w:sz w:val="20"/>
          <w:szCs w:val="20"/>
          <w:lang w:val="en-AU"/>
        </w:rPr>
        <w:t>essions and large conferences.</w:t>
      </w:r>
    </w:p>
    <w:p w14:paraId="17B7E658" w14:textId="186D15E7" w:rsidR="00372633" w:rsidRPr="00C2634B" w:rsidRDefault="00307F60" w:rsidP="00C2634B">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008B7E4D" w:rsidRPr="009376B0">
        <w:rPr>
          <w:rFonts w:ascii="Century Gothic" w:eastAsiaTheme="minorHAnsi" w:hAnsi="Century Gothic"/>
          <w:sz w:val="20"/>
          <w:szCs w:val="20"/>
          <w:lang w:val="en-AU"/>
        </w:rPr>
        <w:t xml:space="preserve">he opinions of principals and </w:t>
      </w:r>
      <w:r w:rsidR="008B7E4D">
        <w:rPr>
          <w:rFonts w:ascii="Century Gothic" w:eastAsiaTheme="minorHAnsi" w:hAnsi="Century Gothic"/>
          <w:sz w:val="20"/>
          <w:szCs w:val="20"/>
          <w:lang w:val="en-AU"/>
        </w:rPr>
        <w:t xml:space="preserve">their </w:t>
      </w:r>
      <w:r w:rsidR="008B7E4D" w:rsidRPr="009376B0">
        <w:rPr>
          <w:rFonts w:ascii="Century Gothic" w:eastAsiaTheme="minorHAnsi" w:hAnsi="Century Gothic"/>
          <w:sz w:val="20"/>
          <w:szCs w:val="20"/>
          <w:lang w:val="en-AU"/>
        </w:rPr>
        <w:t xml:space="preserve">feedback to NGRBs </w:t>
      </w:r>
      <w:r w:rsidR="008B7E4D">
        <w:rPr>
          <w:rFonts w:ascii="Century Gothic" w:eastAsiaTheme="minorHAnsi" w:hAnsi="Century Gothic"/>
          <w:sz w:val="20"/>
          <w:szCs w:val="20"/>
          <w:lang w:val="en-AU"/>
        </w:rPr>
        <w:t>are</w:t>
      </w:r>
      <w:r w:rsidR="008B7E4D" w:rsidRPr="009376B0">
        <w:rPr>
          <w:rFonts w:ascii="Century Gothic" w:eastAsiaTheme="minorHAnsi" w:hAnsi="Century Gothic"/>
          <w:sz w:val="20"/>
          <w:szCs w:val="20"/>
          <w:lang w:val="en-AU"/>
        </w:rPr>
        <w:t xml:space="preserve"> </w:t>
      </w:r>
      <w:r w:rsidR="008B7E4D">
        <w:rPr>
          <w:rFonts w:ascii="Century Gothic" w:eastAsiaTheme="minorHAnsi" w:hAnsi="Century Gothic"/>
          <w:sz w:val="20"/>
          <w:szCs w:val="20"/>
          <w:lang w:val="en-AU"/>
        </w:rPr>
        <w:t xml:space="preserve">strongly </w:t>
      </w:r>
      <w:r w:rsidR="008B7E4D" w:rsidRPr="009376B0">
        <w:rPr>
          <w:rFonts w:ascii="Century Gothic" w:eastAsiaTheme="minorHAnsi" w:hAnsi="Century Gothic"/>
          <w:sz w:val="20"/>
          <w:szCs w:val="20"/>
          <w:lang w:val="en-AU"/>
        </w:rPr>
        <w:t xml:space="preserve">supportive of </w:t>
      </w:r>
      <w:r w:rsidR="008B7E4D">
        <w:rPr>
          <w:rFonts w:ascii="Century Gothic" w:eastAsiaTheme="minorHAnsi" w:hAnsi="Century Gothic"/>
          <w:sz w:val="20"/>
          <w:szCs w:val="20"/>
          <w:lang w:val="en-AU"/>
        </w:rPr>
        <w:t>NGRBs’</w:t>
      </w:r>
      <w:r w:rsidR="008B7E4D" w:rsidRPr="009376B0">
        <w:rPr>
          <w:rFonts w:ascii="Century Gothic" w:eastAsiaTheme="minorHAnsi" w:hAnsi="Century Gothic"/>
          <w:sz w:val="20"/>
          <w:szCs w:val="20"/>
          <w:lang w:val="en-AU"/>
        </w:rPr>
        <w:t xml:space="preserve"> </w:t>
      </w:r>
      <w:r w:rsidR="008B7E4D">
        <w:rPr>
          <w:rFonts w:ascii="Century Gothic" w:eastAsiaTheme="minorHAnsi" w:hAnsi="Century Gothic"/>
          <w:sz w:val="20"/>
          <w:szCs w:val="20"/>
          <w:lang w:val="en-AU"/>
        </w:rPr>
        <w:t xml:space="preserve">activities </w:t>
      </w:r>
      <w:r w:rsidR="009E0A97">
        <w:rPr>
          <w:rFonts w:ascii="Century Gothic" w:eastAsiaTheme="minorHAnsi" w:hAnsi="Century Gothic"/>
          <w:sz w:val="20"/>
          <w:szCs w:val="20"/>
          <w:lang w:val="en-AU"/>
        </w:rPr>
        <w:t>that take a developmental and school centred approach</w:t>
      </w:r>
      <w:r w:rsidR="008B7E4D">
        <w:rPr>
          <w:rFonts w:ascii="Century Gothic" w:eastAsiaTheme="minorHAnsi" w:hAnsi="Century Gothic"/>
          <w:sz w:val="20"/>
          <w:szCs w:val="20"/>
          <w:lang w:val="en-AU"/>
        </w:rPr>
        <w:t xml:space="preserve"> </w:t>
      </w:r>
      <w:r w:rsidR="009E0A97">
        <w:rPr>
          <w:rFonts w:ascii="Century Gothic" w:eastAsiaTheme="minorHAnsi" w:hAnsi="Century Gothic"/>
          <w:sz w:val="20"/>
          <w:szCs w:val="20"/>
          <w:lang w:val="en-AU"/>
        </w:rPr>
        <w:t xml:space="preserve">to </w:t>
      </w:r>
      <w:r w:rsidR="008B7E4D">
        <w:rPr>
          <w:rFonts w:ascii="Century Gothic" w:eastAsiaTheme="minorHAnsi" w:hAnsi="Century Gothic"/>
          <w:sz w:val="20"/>
          <w:szCs w:val="20"/>
          <w:lang w:val="en-AU"/>
        </w:rPr>
        <w:t>supporting implementation</w:t>
      </w:r>
      <w:r w:rsidR="00055EDC">
        <w:rPr>
          <w:rFonts w:ascii="Century Gothic" w:eastAsiaTheme="minorHAnsi" w:hAnsi="Century Gothic"/>
          <w:sz w:val="20"/>
          <w:szCs w:val="20"/>
          <w:lang w:val="en-AU"/>
        </w:rPr>
        <w:t xml:space="preserve"> of the </w:t>
      </w:r>
      <w:r w:rsidR="009E0A97">
        <w:rPr>
          <w:rFonts w:ascii="Century Gothic" w:eastAsiaTheme="minorHAnsi" w:hAnsi="Century Gothic"/>
          <w:sz w:val="20"/>
          <w:szCs w:val="20"/>
          <w:lang w:val="en-AU"/>
        </w:rPr>
        <w:t xml:space="preserve">professional </w:t>
      </w:r>
      <w:r w:rsidR="00055EDC">
        <w:rPr>
          <w:rFonts w:ascii="Century Gothic" w:eastAsiaTheme="minorHAnsi" w:hAnsi="Century Gothic"/>
          <w:sz w:val="20"/>
          <w:szCs w:val="20"/>
          <w:lang w:val="en-AU"/>
        </w:rPr>
        <w:t>standards and Australian Curriculum</w:t>
      </w:r>
      <w:bookmarkStart w:id="95" w:name="_Toc472261252"/>
      <w:bookmarkStart w:id="96" w:name="_Toc472262595"/>
      <w:bookmarkStart w:id="97" w:name="_Toc472262977"/>
      <w:bookmarkStart w:id="98" w:name="_Toc472263127"/>
      <w:bookmarkStart w:id="99" w:name="_Toc472263278"/>
      <w:bookmarkStart w:id="100" w:name="_Toc346123970"/>
      <w:r w:rsidR="007C7FAF">
        <w:rPr>
          <w:rFonts w:ascii="Century Gothic" w:eastAsiaTheme="minorHAnsi" w:hAnsi="Century Gothic"/>
          <w:sz w:val="20"/>
          <w:szCs w:val="20"/>
          <w:lang w:val="en-AU"/>
        </w:rPr>
        <w:t>.</w:t>
      </w:r>
    </w:p>
    <w:p w14:paraId="04A6A530" w14:textId="5AF35710" w:rsidR="00EC076C" w:rsidRPr="009D199A" w:rsidRDefault="009376B0" w:rsidP="009D199A">
      <w:pPr>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Professional learning</w:t>
      </w:r>
      <w:r w:rsidR="004025B3" w:rsidRPr="009D199A">
        <w:rPr>
          <w:rFonts w:ascii="Century Gothic" w:eastAsiaTheme="minorHAnsi" w:hAnsi="Century Gothic"/>
          <w:b/>
          <w:color w:val="4F81BD" w:themeColor="accent1"/>
          <w:sz w:val="20"/>
          <w:szCs w:val="20"/>
          <w:lang w:val="en-AU"/>
        </w:rPr>
        <w:t xml:space="preserve"> that is anchored in the whole school</w:t>
      </w:r>
      <w:bookmarkEnd w:id="95"/>
      <w:bookmarkEnd w:id="96"/>
      <w:bookmarkEnd w:id="97"/>
      <w:bookmarkEnd w:id="98"/>
      <w:bookmarkEnd w:id="99"/>
      <w:bookmarkEnd w:id="100"/>
      <w:r w:rsidR="007C7FAF">
        <w:rPr>
          <w:rFonts w:ascii="Century Gothic" w:eastAsiaTheme="minorHAnsi" w:hAnsi="Century Gothic"/>
          <w:b/>
          <w:color w:val="4F81BD" w:themeColor="accent1"/>
          <w:sz w:val="20"/>
          <w:szCs w:val="20"/>
          <w:lang w:val="en-AU"/>
        </w:rPr>
        <w:t xml:space="preserve"> </w:t>
      </w:r>
    </w:p>
    <w:p w14:paraId="5E1A4E50" w14:textId="185D8B7A" w:rsidR="004A6DB7" w:rsidRDefault="008D2C1C"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Professional learning in many forms has been a focal point in the use of SFSF resources. This is to be expected. </w:t>
      </w:r>
      <w:r w:rsidR="004025B3">
        <w:rPr>
          <w:rFonts w:ascii="Century Gothic" w:eastAsiaTheme="minorHAnsi" w:hAnsi="Century Gothic"/>
          <w:sz w:val="20"/>
          <w:szCs w:val="20"/>
          <w:lang w:val="en-AU"/>
        </w:rPr>
        <w:t xml:space="preserve">Considerable resources are allocated by all education systems to </w:t>
      </w:r>
      <w:r w:rsidR="004A6DB7">
        <w:rPr>
          <w:rFonts w:ascii="Century Gothic" w:eastAsiaTheme="minorHAnsi" w:hAnsi="Century Gothic"/>
          <w:sz w:val="20"/>
          <w:szCs w:val="20"/>
          <w:lang w:val="en-AU"/>
        </w:rPr>
        <w:t xml:space="preserve">building the professional skills of teachers and leaders so as to improve leadership and classroom practices </w:t>
      </w:r>
      <w:r w:rsidR="007C7FAF">
        <w:rPr>
          <w:rFonts w:ascii="Century Gothic" w:eastAsiaTheme="minorHAnsi" w:hAnsi="Century Gothic"/>
          <w:sz w:val="20"/>
          <w:szCs w:val="20"/>
          <w:lang w:val="en-AU"/>
        </w:rPr>
        <w:t>for overall school improvement.</w:t>
      </w:r>
    </w:p>
    <w:p w14:paraId="58C4D59E" w14:textId="40E34C8B" w:rsidR="003F575B" w:rsidRDefault="00903E72"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However, e</w:t>
      </w:r>
      <w:r w:rsidR="003F575B">
        <w:rPr>
          <w:rFonts w:ascii="Century Gothic" w:eastAsiaTheme="minorHAnsi" w:hAnsi="Century Gothic"/>
          <w:sz w:val="20"/>
          <w:szCs w:val="20"/>
          <w:lang w:val="en-AU"/>
        </w:rPr>
        <w:t xml:space="preserve">vidence </w:t>
      </w:r>
      <w:r>
        <w:rPr>
          <w:rFonts w:ascii="Century Gothic" w:eastAsiaTheme="minorHAnsi" w:hAnsi="Century Gothic"/>
          <w:sz w:val="20"/>
          <w:szCs w:val="20"/>
          <w:lang w:val="en-AU"/>
        </w:rPr>
        <w:t>shows</w:t>
      </w:r>
      <w:r w:rsidR="003F575B">
        <w:rPr>
          <w:rFonts w:ascii="Century Gothic" w:eastAsiaTheme="minorHAnsi" w:hAnsi="Century Gothic"/>
          <w:sz w:val="20"/>
          <w:szCs w:val="20"/>
          <w:lang w:val="en-AU"/>
        </w:rPr>
        <w:t xml:space="preserve"> that</w:t>
      </w:r>
      <w:r w:rsidR="004A6DB7">
        <w:rPr>
          <w:rFonts w:ascii="Century Gothic" w:eastAsiaTheme="minorHAnsi" w:hAnsi="Century Gothic"/>
          <w:sz w:val="20"/>
          <w:szCs w:val="20"/>
          <w:lang w:val="en-AU"/>
        </w:rPr>
        <w:t xml:space="preserve"> professional learning </w:t>
      </w:r>
      <w:r w:rsidR="003F575B">
        <w:rPr>
          <w:rFonts w:ascii="Century Gothic" w:eastAsiaTheme="minorHAnsi" w:hAnsi="Century Gothic"/>
          <w:sz w:val="20"/>
          <w:szCs w:val="20"/>
          <w:lang w:val="en-AU"/>
        </w:rPr>
        <w:t xml:space="preserve">resources are </w:t>
      </w:r>
      <w:r w:rsidR="004025B3">
        <w:rPr>
          <w:rFonts w:ascii="Century Gothic" w:eastAsiaTheme="minorHAnsi" w:hAnsi="Century Gothic"/>
          <w:sz w:val="20"/>
          <w:szCs w:val="20"/>
          <w:lang w:val="en-AU"/>
        </w:rPr>
        <w:t>not al</w:t>
      </w:r>
      <w:r w:rsidR="004A6DB7">
        <w:rPr>
          <w:rFonts w:ascii="Century Gothic" w:eastAsiaTheme="minorHAnsi" w:hAnsi="Century Gothic"/>
          <w:sz w:val="20"/>
          <w:szCs w:val="20"/>
          <w:lang w:val="en-AU"/>
        </w:rPr>
        <w:t xml:space="preserve">ways effectively used. </w:t>
      </w:r>
      <w:r>
        <w:rPr>
          <w:rFonts w:ascii="Century Gothic" w:eastAsiaTheme="minorHAnsi" w:hAnsi="Century Gothic"/>
          <w:sz w:val="20"/>
          <w:szCs w:val="20"/>
          <w:lang w:val="en-AU"/>
        </w:rPr>
        <w:t xml:space="preserve">International </w:t>
      </w:r>
      <w:r w:rsidR="003F575B">
        <w:rPr>
          <w:rFonts w:ascii="Century Gothic" w:eastAsiaTheme="minorHAnsi" w:hAnsi="Century Gothic"/>
          <w:sz w:val="20"/>
          <w:szCs w:val="20"/>
          <w:lang w:val="en-AU"/>
        </w:rPr>
        <w:t>and</w:t>
      </w:r>
      <w:r w:rsidR="009376B0" w:rsidRPr="009376B0">
        <w:rPr>
          <w:rFonts w:ascii="Century Gothic" w:eastAsiaTheme="minorHAnsi" w:hAnsi="Century Gothic"/>
          <w:sz w:val="20"/>
          <w:szCs w:val="20"/>
          <w:lang w:val="en-AU"/>
        </w:rPr>
        <w:t xml:space="preserve"> Australian evidence consistently points to the imperative </w:t>
      </w:r>
      <w:r w:rsidR="004025B3">
        <w:rPr>
          <w:rFonts w:ascii="Century Gothic" w:eastAsiaTheme="minorHAnsi" w:hAnsi="Century Gothic"/>
          <w:sz w:val="20"/>
          <w:szCs w:val="20"/>
          <w:lang w:val="en-AU"/>
        </w:rPr>
        <w:t xml:space="preserve">for </w:t>
      </w:r>
      <w:r w:rsidR="009376B0" w:rsidRPr="009376B0">
        <w:rPr>
          <w:rFonts w:ascii="Century Gothic" w:eastAsiaTheme="minorHAnsi" w:hAnsi="Century Gothic"/>
          <w:sz w:val="20"/>
          <w:szCs w:val="20"/>
          <w:lang w:val="en-AU"/>
        </w:rPr>
        <w:t xml:space="preserve">professional learning </w:t>
      </w:r>
      <w:r w:rsidR="004025B3">
        <w:rPr>
          <w:rFonts w:ascii="Century Gothic" w:eastAsiaTheme="minorHAnsi" w:hAnsi="Century Gothic"/>
          <w:sz w:val="20"/>
          <w:szCs w:val="20"/>
          <w:lang w:val="en-AU"/>
        </w:rPr>
        <w:t>to be</w:t>
      </w:r>
      <w:r w:rsidR="009376B0" w:rsidRPr="009376B0">
        <w:rPr>
          <w:rFonts w:ascii="Century Gothic" w:eastAsiaTheme="minorHAnsi" w:hAnsi="Century Gothic"/>
          <w:sz w:val="20"/>
          <w:szCs w:val="20"/>
          <w:lang w:val="en-AU"/>
        </w:rPr>
        <w:t xml:space="preserve"> structured so that participants are provided with </w:t>
      </w:r>
      <w:r>
        <w:rPr>
          <w:rFonts w:ascii="Century Gothic" w:eastAsiaTheme="minorHAnsi" w:hAnsi="Century Gothic"/>
          <w:sz w:val="20"/>
          <w:szCs w:val="20"/>
          <w:lang w:val="en-AU"/>
        </w:rPr>
        <w:t xml:space="preserve">both </w:t>
      </w:r>
      <w:r w:rsidR="009376B0" w:rsidRPr="009376B0">
        <w:rPr>
          <w:rFonts w:ascii="Century Gothic" w:eastAsiaTheme="minorHAnsi" w:hAnsi="Century Gothic"/>
          <w:sz w:val="20"/>
          <w:szCs w:val="20"/>
          <w:lang w:val="en-AU"/>
        </w:rPr>
        <w:t>theoretical and practical knowledge</w:t>
      </w:r>
      <w:r w:rsidR="004025B3">
        <w:rPr>
          <w:rFonts w:ascii="Century Gothic" w:eastAsiaTheme="minorHAnsi" w:hAnsi="Century Gothic"/>
          <w:sz w:val="20"/>
          <w:szCs w:val="20"/>
          <w:lang w:val="en-AU"/>
        </w:rPr>
        <w:t xml:space="preserve"> and evidence</w:t>
      </w:r>
      <w:r w:rsidR="009376B0" w:rsidRPr="009376B0">
        <w:rPr>
          <w:rFonts w:ascii="Century Gothic" w:eastAsiaTheme="minorHAnsi" w:hAnsi="Century Gothic"/>
          <w:sz w:val="20"/>
          <w:szCs w:val="20"/>
          <w:lang w:val="en-AU"/>
        </w:rPr>
        <w:t xml:space="preserve"> and that the school setting from which they come is organised to leverage off their learning</w:t>
      </w:r>
      <w:r w:rsidR="003F575B">
        <w:rPr>
          <w:rFonts w:ascii="Century Gothic" w:eastAsiaTheme="minorHAnsi" w:hAnsi="Century Gothic"/>
          <w:sz w:val="20"/>
          <w:szCs w:val="20"/>
          <w:lang w:val="en-AU"/>
        </w:rPr>
        <w:t>. A</w:t>
      </w:r>
      <w:r w:rsidR="00307F60">
        <w:rPr>
          <w:rFonts w:ascii="Century Gothic" w:eastAsiaTheme="minorHAnsi" w:hAnsi="Century Gothic"/>
          <w:sz w:val="20"/>
          <w:szCs w:val="20"/>
          <w:lang w:val="en-AU"/>
        </w:rPr>
        <w:t xml:space="preserve"> whole school commitment</w:t>
      </w:r>
      <w:r w:rsidR="004A6DB7">
        <w:rPr>
          <w:rFonts w:ascii="Century Gothic" w:eastAsiaTheme="minorHAnsi" w:hAnsi="Century Gothic"/>
          <w:sz w:val="20"/>
          <w:szCs w:val="20"/>
          <w:lang w:val="en-AU"/>
        </w:rPr>
        <w:t xml:space="preserve"> behind change for whatever the focus is (e.g. STEM, Lite</w:t>
      </w:r>
      <w:r w:rsidR="00A80C51">
        <w:rPr>
          <w:rFonts w:ascii="Century Gothic" w:eastAsiaTheme="minorHAnsi" w:hAnsi="Century Gothic"/>
          <w:sz w:val="20"/>
          <w:szCs w:val="20"/>
          <w:lang w:val="en-AU"/>
        </w:rPr>
        <w:t xml:space="preserve">racy and numeracy, </w:t>
      </w:r>
      <w:r w:rsidR="004A6DB7">
        <w:rPr>
          <w:rFonts w:ascii="Century Gothic" w:eastAsiaTheme="minorHAnsi" w:hAnsi="Century Gothic"/>
          <w:sz w:val="20"/>
          <w:szCs w:val="20"/>
          <w:lang w:val="en-AU"/>
        </w:rPr>
        <w:t>an instructional model</w:t>
      </w:r>
      <w:r w:rsidR="00A80C51">
        <w:rPr>
          <w:rFonts w:ascii="Century Gothic" w:eastAsiaTheme="minorHAnsi" w:hAnsi="Century Gothic"/>
          <w:sz w:val="20"/>
          <w:szCs w:val="20"/>
          <w:lang w:val="en-AU"/>
        </w:rPr>
        <w:t xml:space="preserve"> or improving leadership</w:t>
      </w:r>
      <w:r w:rsidR="004A6DB7">
        <w:rPr>
          <w:rFonts w:ascii="Century Gothic" w:eastAsiaTheme="minorHAnsi" w:hAnsi="Century Gothic"/>
          <w:sz w:val="20"/>
          <w:szCs w:val="20"/>
          <w:lang w:val="en-AU"/>
        </w:rPr>
        <w:t xml:space="preserve">) </w:t>
      </w:r>
      <w:r w:rsidR="003F575B">
        <w:rPr>
          <w:rFonts w:ascii="Century Gothic" w:eastAsiaTheme="minorHAnsi" w:hAnsi="Century Gothic"/>
          <w:sz w:val="20"/>
          <w:szCs w:val="20"/>
          <w:lang w:val="en-AU"/>
        </w:rPr>
        <w:t>is an essential foundation for professional learning to be e</w:t>
      </w:r>
      <w:r w:rsidR="007C7FAF">
        <w:rPr>
          <w:rFonts w:ascii="Century Gothic" w:eastAsiaTheme="minorHAnsi" w:hAnsi="Century Gothic"/>
          <w:sz w:val="20"/>
          <w:szCs w:val="20"/>
          <w:lang w:val="en-AU"/>
        </w:rPr>
        <w:t>ffective in school improvement.</w:t>
      </w:r>
    </w:p>
    <w:p w14:paraId="4E1ECC40" w14:textId="11CF2135" w:rsidR="004A6DB7" w:rsidRDefault="00903E72"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are progressing in their application of best practice in professional learning</w:t>
      </w:r>
      <w:r w:rsidR="004A6DB7">
        <w:rPr>
          <w:rFonts w:ascii="Century Gothic" w:eastAsiaTheme="minorHAnsi" w:hAnsi="Century Gothic"/>
          <w:sz w:val="20"/>
          <w:szCs w:val="20"/>
          <w:lang w:val="en-AU"/>
        </w:rPr>
        <w:t xml:space="preserve"> and many believe their approach is increasingly effective. </w:t>
      </w:r>
      <w:r>
        <w:rPr>
          <w:rFonts w:ascii="Century Gothic" w:eastAsiaTheme="minorHAnsi" w:hAnsi="Century Gothic"/>
          <w:sz w:val="20"/>
          <w:szCs w:val="20"/>
          <w:lang w:val="en-AU"/>
        </w:rPr>
        <w:t xml:space="preserve">A positive trend has been to </w:t>
      </w:r>
      <w:r w:rsidR="009376B0" w:rsidRPr="009376B0">
        <w:rPr>
          <w:rFonts w:ascii="Century Gothic" w:eastAsiaTheme="minorHAnsi" w:hAnsi="Century Gothic"/>
          <w:sz w:val="20"/>
          <w:szCs w:val="20"/>
          <w:lang w:val="en-AU"/>
        </w:rPr>
        <w:t xml:space="preserve">provide professional learning </w:t>
      </w:r>
      <w:r w:rsidR="004025B3">
        <w:rPr>
          <w:rFonts w:ascii="Century Gothic" w:eastAsiaTheme="minorHAnsi" w:hAnsi="Century Gothic"/>
          <w:sz w:val="20"/>
          <w:szCs w:val="20"/>
          <w:lang w:val="en-AU"/>
        </w:rPr>
        <w:t xml:space="preserve">directly </w:t>
      </w:r>
      <w:r w:rsidR="009376B0" w:rsidRPr="009376B0">
        <w:rPr>
          <w:rFonts w:ascii="Century Gothic" w:eastAsiaTheme="minorHAnsi" w:hAnsi="Century Gothic"/>
          <w:sz w:val="20"/>
          <w:szCs w:val="20"/>
          <w:lang w:val="en-AU"/>
        </w:rPr>
        <w:t xml:space="preserve">in schools or with groups of </w:t>
      </w:r>
      <w:r w:rsidR="004025B3">
        <w:rPr>
          <w:rFonts w:ascii="Century Gothic" w:eastAsiaTheme="minorHAnsi" w:hAnsi="Century Gothic"/>
          <w:sz w:val="20"/>
          <w:szCs w:val="20"/>
          <w:lang w:val="en-AU"/>
        </w:rPr>
        <w:t xml:space="preserve">like </w:t>
      </w:r>
      <w:r w:rsidR="009376B0" w:rsidRPr="009376B0">
        <w:rPr>
          <w:rFonts w:ascii="Century Gothic" w:eastAsiaTheme="minorHAnsi" w:hAnsi="Century Gothic"/>
          <w:sz w:val="20"/>
          <w:szCs w:val="20"/>
          <w:lang w:val="en-AU"/>
        </w:rPr>
        <w:t>schools</w:t>
      </w:r>
      <w:r>
        <w:rPr>
          <w:rFonts w:ascii="Century Gothic" w:eastAsiaTheme="minorHAnsi" w:hAnsi="Century Gothic"/>
          <w:sz w:val="20"/>
          <w:szCs w:val="20"/>
          <w:lang w:val="en-AU"/>
        </w:rPr>
        <w:t xml:space="preserve">; </w:t>
      </w:r>
      <w:r w:rsidR="0051386C">
        <w:rPr>
          <w:rFonts w:ascii="Century Gothic" w:eastAsiaTheme="minorHAnsi" w:hAnsi="Century Gothic"/>
          <w:sz w:val="20"/>
          <w:szCs w:val="20"/>
          <w:lang w:val="en-AU"/>
        </w:rPr>
        <w:t xml:space="preserve">to ensure school leadership is engaged; </w:t>
      </w:r>
      <w:r>
        <w:rPr>
          <w:rFonts w:ascii="Century Gothic" w:eastAsiaTheme="minorHAnsi" w:hAnsi="Century Gothic"/>
          <w:sz w:val="20"/>
          <w:szCs w:val="20"/>
          <w:lang w:val="en-AU"/>
        </w:rPr>
        <w:t>to link one-off information sessions with more customised school level implementation advice; and to build a sequence of pr</w:t>
      </w:r>
      <w:r w:rsidR="007C7FAF">
        <w:rPr>
          <w:rFonts w:ascii="Century Gothic" w:eastAsiaTheme="minorHAnsi" w:hAnsi="Century Gothic"/>
          <w:sz w:val="20"/>
          <w:szCs w:val="20"/>
          <w:lang w:val="en-AU"/>
        </w:rPr>
        <w:t>ofessional learning activities.</w:t>
      </w:r>
    </w:p>
    <w:p w14:paraId="7B9C9E8E" w14:textId="2A458F05" w:rsidR="00307F60" w:rsidRDefault="007A6ABE"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Some projects such as leadership development have</w:t>
      </w:r>
      <w:r w:rsidR="00903E72">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w:t>
      </w:r>
      <w:r w:rsidR="00903E72">
        <w:rPr>
          <w:rFonts w:ascii="Century Gothic" w:eastAsiaTheme="minorHAnsi" w:hAnsi="Century Gothic"/>
          <w:sz w:val="20"/>
          <w:szCs w:val="20"/>
          <w:lang w:val="en-AU"/>
        </w:rPr>
        <w:t>packaged</w:t>
      </w:r>
      <w:r>
        <w:rPr>
          <w:rFonts w:ascii="Century Gothic" w:eastAsiaTheme="minorHAnsi" w:hAnsi="Century Gothic"/>
          <w:sz w:val="20"/>
          <w:szCs w:val="20"/>
          <w:lang w:val="en-AU"/>
        </w:rPr>
        <w:t>’</w:t>
      </w:r>
      <w:r w:rsidR="00903E72">
        <w:rPr>
          <w:rFonts w:ascii="Century Gothic" w:eastAsiaTheme="minorHAnsi" w:hAnsi="Century Gothic"/>
          <w:sz w:val="20"/>
          <w:szCs w:val="20"/>
          <w:lang w:val="en-AU"/>
        </w:rPr>
        <w:t xml:space="preserve"> professional learning </w:t>
      </w:r>
      <w:r>
        <w:rPr>
          <w:rFonts w:ascii="Century Gothic" w:eastAsiaTheme="minorHAnsi" w:hAnsi="Century Gothic"/>
          <w:sz w:val="20"/>
          <w:szCs w:val="20"/>
          <w:lang w:val="en-AU"/>
        </w:rPr>
        <w:t>opportunities with other activities, such as practitioner research</w:t>
      </w:r>
      <w:r w:rsidR="00A80C51">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coaching</w:t>
      </w:r>
      <w:r w:rsidR="00A80C51">
        <w:rPr>
          <w:rFonts w:ascii="Century Gothic" w:eastAsiaTheme="minorHAnsi" w:hAnsi="Century Gothic"/>
          <w:sz w:val="20"/>
          <w:szCs w:val="20"/>
          <w:lang w:val="en-AU"/>
        </w:rPr>
        <w:t xml:space="preserve"> and peer networking.</w:t>
      </w:r>
    </w:p>
    <w:p w14:paraId="02E3C357" w14:textId="583D6BAE" w:rsidR="00CD356D" w:rsidRPr="009D199A" w:rsidRDefault="00CD356D" w:rsidP="00C31922">
      <w:pPr>
        <w:keepNext/>
        <w:keepLines/>
        <w:spacing w:before="120" w:after="120" w:line="276" w:lineRule="auto"/>
        <w:ind w:right="-340"/>
        <w:jc w:val="both"/>
        <w:rPr>
          <w:rFonts w:ascii="Century Gothic" w:eastAsiaTheme="minorHAnsi" w:hAnsi="Century Gothic"/>
          <w:b/>
          <w:color w:val="4F81BD" w:themeColor="accent1"/>
          <w:sz w:val="20"/>
          <w:szCs w:val="20"/>
          <w:lang w:val="en-AU"/>
        </w:rPr>
      </w:pPr>
      <w:bookmarkStart w:id="101" w:name="_Toc472261253"/>
      <w:bookmarkStart w:id="102" w:name="_Toc472262596"/>
      <w:bookmarkStart w:id="103" w:name="_Toc472262978"/>
      <w:bookmarkStart w:id="104" w:name="_Toc472263128"/>
      <w:bookmarkStart w:id="105" w:name="_Toc472263279"/>
      <w:bookmarkStart w:id="106" w:name="_Toc346123971"/>
      <w:r w:rsidRPr="009D199A">
        <w:rPr>
          <w:rFonts w:ascii="Century Gothic" w:eastAsiaTheme="minorHAnsi" w:hAnsi="Century Gothic"/>
          <w:b/>
          <w:color w:val="4F81BD" w:themeColor="accent1"/>
          <w:sz w:val="20"/>
          <w:szCs w:val="20"/>
          <w:lang w:val="en-AU"/>
        </w:rPr>
        <w:t xml:space="preserve">In-school coaching and </w:t>
      </w:r>
      <w:r w:rsidR="000E13F0" w:rsidRPr="009D199A">
        <w:rPr>
          <w:rFonts w:ascii="Century Gothic" w:eastAsiaTheme="minorHAnsi" w:hAnsi="Century Gothic"/>
          <w:b/>
          <w:color w:val="4F81BD" w:themeColor="accent1"/>
          <w:sz w:val="20"/>
          <w:szCs w:val="20"/>
          <w:lang w:val="en-AU"/>
        </w:rPr>
        <w:t xml:space="preserve">easy </w:t>
      </w:r>
      <w:r w:rsidRPr="009D199A">
        <w:rPr>
          <w:rFonts w:ascii="Century Gothic" w:eastAsiaTheme="minorHAnsi" w:hAnsi="Century Gothic"/>
          <w:b/>
          <w:color w:val="4F81BD" w:themeColor="accent1"/>
          <w:sz w:val="20"/>
          <w:szCs w:val="20"/>
          <w:lang w:val="en-AU"/>
        </w:rPr>
        <w:t>access to expertise</w:t>
      </w:r>
      <w:bookmarkEnd w:id="101"/>
      <w:bookmarkEnd w:id="102"/>
      <w:bookmarkEnd w:id="103"/>
      <w:bookmarkEnd w:id="104"/>
      <w:bookmarkEnd w:id="105"/>
      <w:bookmarkEnd w:id="106"/>
    </w:p>
    <w:p w14:paraId="254FC9D5" w14:textId="7D893897" w:rsidR="005C4169" w:rsidRDefault="005C4169" w:rsidP="00C31922">
      <w:pPr>
        <w:keepNext/>
        <w:keepLines/>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One NGRB saw their most effective role as being a ‘</w:t>
      </w:r>
      <w:r w:rsidRPr="00BC0B25">
        <w:rPr>
          <w:rFonts w:ascii="Century Gothic" w:eastAsiaTheme="minorHAnsi" w:hAnsi="Century Gothic"/>
          <w:i/>
          <w:sz w:val="20"/>
          <w:szCs w:val="20"/>
          <w:lang w:val="en-AU"/>
        </w:rPr>
        <w:t>broker of knowledge and expertise</w:t>
      </w:r>
      <w:r>
        <w:rPr>
          <w:rFonts w:ascii="Century Gothic" w:eastAsiaTheme="minorHAnsi" w:hAnsi="Century Gothic"/>
          <w:sz w:val="20"/>
          <w:szCs w:val="20"/>
          <w:lang w:val="en-AU"/>
        </w:rPr>
        <w:t>’.</w:t>
      </w:r>
      <w:r w:rsidR="00435CD4">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This is an expression of the </w:t>
      </w:r>
      <w:r w:rsidR="00435CD4">
        <w:rPr>
          <w:rFonts w:ascii="Century Gothic" w:eastAsiaTheme="minorHAnsi" w:hAnsi="Century Gothic"/>
          <w:sz w:val="20"/>
          <w:szCs w:val="20"/>
          <w:lang w:val="en-AU"/>
        </w:rPr>
        <w:t xml:space="preserve">changing </w:t>
      </w:r>
      <w:r>
        <w:rPr>
          <w:rFonts w:ascii="Century Gothic" w:eastAsiaTheme="minorHAnsi" w:hAnsi="Century Gothic"/>
          <w:sz w:val="20"/>
          <w:szCs w:val="20"/>
          <w:lang w:val="en-AU"/>
        </w:rPr>
        <w:t>demand from schools for customised advice and support</w:t>
      </w:r>
      <w:r w:rsidR="00435CD4">
        <w:rPr>
          <w:rFonts w:ascii="Century Gothic" w:eastAsiaTheme="minorHAnsi" w:hAnsi="Century Gothic"/>
          <w:sz w:val="20"/>
          <w:szCs w:val="20"/>
          <w:lang w:val="en-AU"/>
        </w:rPr>
        <w:t xml:space="preserve">. It needs to be available </w:t>
      </w:r>
      <w:r>
        <w:rPr>
          <w:rFonts w:ascii="Century Gothic" w:eastAsiaTheme="minorHAnsi" w:hAnsi="Century Gothic"/>
          <w:sz w:val="20"/>
          <w:szCs w:val="20"/>
          <w:lang w:val="en-AU"/>
        </w:rPr>
        <w:t>when they need it</w:t>
      </w:r>
      <w:r w:rsidR="00435CD4">
        <w:rPr>
          <w:rFonts w:ascii="Century Gothic" w:eastAsiaTheme="minorHAnsi" w:hAnsi="Century Gothic"/>
          <w:sz w:val="20"/>
          <w:szCs w:val="20"/>
          <w:lang w:val="en-AU"/>
        </w:rPr>
        <w:t xml:space="preserve">, in an appropriate and convenient form with the guarantee that it is </w:t>
      </w:r>
      <w:r>
        <w:rPr>
          <w:rFonts w:ascii="Century Gothic" w:eastAsiaTheme="minorHAnsi" w:hAnsi="Century Gothic"/>
          <w:sz w:val="20"/>
          <w:szCs w:val="20"/>
          <w:lang w:val="en-AU"/>
        </w:rPr>
        <w:t>the highest quality</w:t>
      </w:r>
      <w:r w:rsidR="007C7FAF">
        <w:rPr>
          <w:rFonts w:ascii="Century Gothic" w:eastAsiaTheme="minorHAnsi" w:hAnsi="Century Gothic"/>
          <w:sz w:val="20"/>
          <w:szCs w:val="20"/>
          <w:lang w:val="en-AU"/>
        </w:rPr>
        <w:t>.</w:t>
      </w:r>
    </w:p>
    <w:p w14:paraId="0CC55906" w14:textId="6B6BE876" w:rsidR="00CD356D" w:rsidRDefault="005C4169"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 </w:t>
      </w:r>
      <w:r w:rsidR="00435CD4">
        <w:rPr>
          <w:rFonts w:ascii="Century Gothic" w:eastAsiaTheme="minorHAnsi" w:hAnsi="Century Gothic"/>
          <w:sz w:val="20"/>
          <w:szCs w:val="20"/>
          <w:lang w:val="en-AU"/>
        </w:rPr>
        <w:t xml:space="preserve">The growth of expert consultants in NGRBs and the development of teams of in-school coaches are a response to this demand. This has required </w:t>
      </w:r>
      <w:r w:rsidR="00CD356D" w:rsidRPr="002B51EC">
        <w:rPr>
          <w:rFonts w:ascii="Century Gothic" w:eastAsiaTheme="minorHAnsi" w:hAnsi="Century Gothic"/>
          <w:sz w:val="20"/>
          <w:szCs w:val="20"/>
          <w:lang w:val="en-AU"/>
        </w:rPr>
        <w:t xml:space="preserve">NGRBs </w:t>
      </w:r>
      <w:r w:rsidR="00435CD4">
        <w:rPr>
          <w:rFonts w:ascii="Century Gothic" w:eastAsiaTheme="minorHAnsi" w:hAnsi="Century Gothic"/>
          <w:sz w:val="20"/>
          <w:szCs w:val="20"/>
          <w:lang w:val="en-AU"/>
        </w:rPr>
        <w:t>to significantly improve</w:t>
      </w:r>
      <w:r w:rsidR="00CD356D" w:rsidRPr="002B51EC">
        <w:rPr>
          <w:rFonts w:ascii="Century Gothic" w:eastAsiaTheme="minorHAnsi" w:hAnsi="Century Gothic"/>
          <w:sz w:val="20"/>
          <w:szCs w:val="20"/>
          <w:lang w:val="en-AU"/>
        </w:rPr>
        <w:t xml:space="preserve"> their expertise and this is becomin</w:t>
      </w:r>
      <w:r w:rsidR="00435CD4">
        <w:rPr>
          <w:rFonts w:ascii="Century Gothic" w:eastAsiaTheme="minorHAnsi" w:hAnsi="Century Gothic"/>
          <w:sz w:val="20"/>
          <w:szCs w:val="20"/>
          <w:lang w:val="en-AU"/>
        </w:rPr>
        <w:t>g recognised by their schools.</w:t>
      </w:r>
      <w:r w:rsidR="008D2C1C">
        <w:rPr>
          <w:rFonts w:ascii="Century Gothic" w:eastAsiaTheme="minorHAnsi" w:hAnsi="Century Gothic"/>
          <w:sz w:val="20"/>
          <w:szCs w:val="20"/>
          <w:lang w:val="en-AU"/>
        </w:rPr>
        <w:t xml:space="preserve"> (</w:t>
      </w:r>
      <w:r w:rsidR="00057F9F">
        <w:rPr>
          <w:rFonts w:ascii="Century Gothic" w:eastAsiaTheme="minorHAnsi" w:hAnsi="Century Gothic"/>
          <w:sz w:val="20"/>
          <w:szCs w:val="20"/>
          <w:lang w:val="en-AU"/>
        </w:rPr>
        <w:t>T</w:t>
      </w:r>
      <w:r w:rsidR="008D2C1C">
        <w:rPr>
          <w:rFonts w:ascii="Century Gothic" w:eastAsiaTheme="minorHAnsi" w:hAnsi="Century Gothic"/>
          <w:sz w:val="20"/>
          <w:szCs w:val="20"/>
          <w:lang w:val="en-AU"/>
        </w:rPr>
        <w:t>he</w:t>
      </w:r>
      <w:r w:rsidR="00057F9F">
        <w:rPr>
          <w:rFonts w:ascii="Century Gothic" w:eastAsiaTheme="minorHAnsi" w:hAnsi="Century Gothic"/>
          <w:sz w:val="20"/>
          <w:szCs w:val="20"/>
          <w:lang w:val="en-AU"/>
        </w:rPr>
        <w:t xml:space="preserve"> take up of the</w:t>
      </w:r>
      <w:r w:rsidR="008D2C1C">
        <w:rPr>
          <w:rFonts w:ascii="Century Gothic" w:eastAsiaTheme="minorHAnsi" w:hAnsi="Century Gothic"/>
          <w:sz w:val="20"/>
          <w:szCs w:val="20"/>
          <w:lang w:val="en-AU"/>
        </w:rPr>
        <w:t xml:space="preserve"> ISQ Lit</w:t>
      </w:r>
      <w:r w:rsidR="00057F9F">
        <w:rPr>
          <w:rFonts w:ascii="Century Gothic" w:eastAsiaTheme="minorHAnsi" w:hAnsi="Century Gothic"/>
          <w:sz w:val="20"/>
          <w:szCs w:val="20"/>
          <w:lang w:val="en-AU"/>
        </w:rPr>
        <w:t>eracy and Numeracy C</w:t>
      </w:r>
      <w:r w:rsidR="008D2C1C">
        <w:rPr>
          <w:rFonts w:ascii="Century Gothic" w:eastAsiaTheme="minorHAnsi" w:hAnsi="Century Gothic"/>
          <w:sz w:val="20"/>
          <w:szCs w:val="20"/>
          <w:lang w:val="en-AU"/>
        </w:rPr>
        <w:t>oac</w:t>
      </w:r>
      <w:r w:rsidR="00057F9F">
        <w:rPr>
          <w:rFonts w:ascii="Century Gothic" w:eastAsiaTheme="minorHAnsi" w:hAnsi="Century Gothic"/>
          <w:sz w:val="20"/>
          <w:szCs w:val="20"/>
          <w:lang w:val="en-AU"/>
        </w:rPr>
        <w:t>hing A</w:t>
      </w:r>
      <w:r w:rsidR="008D2C1C">
        <w:rPr>
          <w:rFonts w:ascii="Century Gothic" w:eastAsiaTheme="minorHAnsi" w:hAnsi="Century Gothic"/>
          <w:sz w:val="20"/>
          <w:szCs w:val="20"/>
          <w:lang w:val="en-AU"/>
        </w:rPr>
        <w:t xml:space="preserve">cademy is a significant example of this </w:t>
      </w:r>
      <w:r w:rsidR="00057F9F">
        <w:rPr>
          <w:rFonts w:ascii="Century Gothic" w:eastAsiaTheme="minorHAnsi" w:hAnsi="Century Gothic"/>
          <w:sz w:val="20"/>
          <w:szCs w:val="20"/>
          <w:lang w:val="en-AU"/>
        </w:rPr>
        <w:t>change.</w:t>
      </w:r>
      <w:r w:rsidR="007C7FAF">
        <w:rPr>
          <w:rFonts w:ascii="Century Gothic" w:eastAsiaTheme="minorHAnsi" w:hAnsi="Century Gothic"/>
          <w:sz w:val="20"/>
          <w:szCs w:val="20"/>
          <w:lang w:val="en-AU"/>
        </w:rPr>
        <w:t>)</w:t>
      </w:r>
    </w:p>
    <w:p w14:paraId="76756B20" w14:textId="03027604" w:rsidR="00BC0B25" w:rsidRDefault="00435CD4"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While </w:t>
      </w:r>
      <w:r w:rsidR="0007157D">
        <w:rPr>
          <w:rFonts w:ascii="Century Gothic" w:eastAsiaTheme="minorHAnsi" w:hAnsi="Century Gothic"/>
          <w:sz w:val="20"/>
          <w:szCs w:val="20"/>
          <w:lang w:val="en-AU"/>
        </w:rPr>
        <w:t xml:space="preserve">not all </w:t>
      </w:r>
      <w:r>
        <w:rPr>
          <w:rFonts w:ascii="Century Gothic" w:eastAsiaTheme="minorHAnsi" w:hAnsi="Century Gothic"/>
          <w:sz w:val="20"/>
          <w:szCs w:val="20"/>
          <w:lang w:val="en-AU"/>
        </w:rPr>
        <w:t xml:space="preserve">consultants and coaches employed </w:t>
      </w:r>
      <w:r w:rsidR="00372633">
        <w:rPr>
          <w:rFonts w:ascii="Century Gothic" w:eastAsiaTheme="minorHAnsi" w:hAnsi="Century Gothic"/>
          <w:sz w:val="20"/>
          <w:szCs w:val="20"/>
          <w:lang w:val="en-AU"/>
        </w:rPr>
        <w:t>by</w:t>
      </w:r>
      <w:r>
        <w:rPr>
          <w:rFonts w:ascii="Century Gothic" w:eastAsiaTheme="minorHAnsi" w:hAnsi="Century Gothic"/>
          <w:sz w:val="20"/>
          <w:szCs w:val="20"/>
          <w:lang w:val="en-AU"/>
        </w:rPr>
        <w:t xml:space="preserve"> SFSF</w:t>
      </w:r>
      <w:r w:rsidR="0007157D">
        <w:rPr>
          <w:rFonts w:ascii="Century Gothic" w:eastAsiaTheme="minorHAnsi" w:hAnsi="Century Gothic"/>
          <w:sz w:val="20"/>
          <w:szCs w:val="20"/>
          <w:lang w:val="en-AU"/>
        </w:rPr>
        <w:t xml:space="preserve"> </w:t>
      </w:r>
      <w:r w:rsidR="00372633">
        <w:rPr>
          <w:rFonts w:ascii="Century Gothic" w:eastAsiaTheme="minorHAnsi" w:hAnsi="Century Gothic"/>
          <w:sz w:val="20"/>
          <w:szCs w:val="20"/>
          <w:lang w:val="en-AU"/>
        </w:rPr>
        <w:t xml:space="preserve">resources </w:t>
      </w:r>
      <w:r w:rsidR="0007157D">
        <w:rPr>
          <w:rFonts w:ascii="Century Gothic" w:eastAsiaTheme="minorHAnsi" w:hAnsi="Century Gothic"/>
          <w:sz w:val="20"/>
          <w:szCs w:val="20"/>
          <w:lang w:val="en-AU"/>
        </w:rPr>
        <w:t xml:space="preserve">are </w:t>
      </w:r>
      <w:r>
        <w:rPr>
          <w:rFonts w:ascii="Century Gothic" w:eastAsiaTheme="minorHAnsi" w:hAnsi="Century Gothic"/>
          <w:sz w:val="20"/>
          <w:szCs w:val="20"/>
          <w:lang w:val="en-AU"/>
        </w:rPr>
        <w:t>school centred</w:t>
      </w:r>
      <w:r w:rsidR="0007157D">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many are seen as </w:t>
      </w:r>
      <w:r w:rsidR="00372633">
        <w:rPr>
          <w:rFonts w:ascii="Century Gothic" w:eastAsiaTheme="minorHAnsi" w:hAnsi="Century Gothic"/>
          <w:sz w:val="20"/>
          <w:szCs w:val="20"/>
          <w:lang w:val="en-AU"/>
        </w:rPr>
        <w:t>meeting</w:t>
      </w:r>
      <w:r>
        <w:rPr>
          <w:rFonts w:ascii="Century Gothic" w:eastAsiaTheme="minorHAnsi" w:hAnsi="Century Gothic"/>
          <w:sz w:val="20"/>
          <w:szCs w:val="20"/>
          <w:lang w:val="en-AU"/>
        </w:rPr>
        <w:t xml:space="preserve"> th</w:t>
      </w:r>
      <w:r w:rsidR="00372633">
        <w:rPr>
          <w:rFonts w:ascii="Century Gothic" w:eastAsiaTheme="minorHAnsi" w:hAnsi="Century Gothic"/>
          <w:sz w:val="20"/>
          <w:szCs w:val="20"/>
          <w:lang w:val="en-AU"/>
        </w:rPr>
        <w:t>is requirement</w:t>
      </w:r>
      <w:r>
        <w:rPr>
          <w:rFonts w:ascii="Century Gothic" w:eastAsiaTheme="minorHAnsi" w:hAnsi="Century Gothic"/>
          <w:sz w:val="20"/>
          <w:szCs w:val="20"/>
          <w:lang w:val="en-AU"/>
        </w:rPr>
        <w:t xml:space="preserve"> and are the</w:t>
      </w:r>
      <w:r w:rsidR="007C7FAF">
        <w:rPr>
          <w:rFonts w:ascii="Century Gothic" w:eastAsiaTheme="minorHAnsi" w:hAnsi="Century Gothic"/>
          <w:sz w:val="20"/>
          <w:szCs w:val="20"/>
          <w:lang w:val="en-AU"/>
        </w:rPr>
        <w:t xml:space="preserve"> levers for significant change.</w:t>
      </w:r>
    </w:p>
    <w:p w14:paraId="7D02FB73" w14:textId="3E07E7A4" w:rsidR="00BC0B25" w:rsidRDefault="00BC0B2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 strong finding, particularly in independent schools</w:t>
      </w:r>
      <w:r w:rsidR="0040182E">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has been </w:t>
      </w:r>
      <w:r w:rsidR="0040182E">
        <w:rPr>
          <w:rFonts w:ascii="Century Gothic" w:eastAsiaTheme="minorHAnsi" w:hAnsi="Century Gothic"/>
          <w:sz w:val="20"/>
          <w:szCs w:val="20"/>
          <w:lang w:val="en-AU"/>
        </w:rPr>
        <w:t>schools’</w:t>
      </w:r>
      <w:r>
        <w:rPr>
          <w:rFonts w:ascii="Century Gothic" w:eastAsiaTheme="minorHAnsi" w:hAnsi="Century Gothic"/>
          <w:sz w:val="20"/>
          <w:szCs w:val="20"/>
          <w:lang w:val="en-AU"/>
        </w:rPr>
        <w:t xml:space="preserve"> support for structured in-school assistance in preference to large conferences or </w:t>
      </w:r>
      <w:r w:rsidR="00DC76AC">
        <w:rPr>
          <w:rFonts w:ascii="Century Gothic" w:eastAsiaTheme="minorHAnsi" w:hAnsi="Century Gothic"/>
          <w:sz w:val="20"/>
          <w:szCs w:val="20"/>
          <w:lang w:val="en-AU"/>
        </w:rPr>
        <w:t>a predominance of externally run</w:t>
      </w:r>
      <w:r>
        <w:rPr>
          <w:rFonts w:ascii="Century Gothic" w:eastAsiaTheme="minorHAnsi" w:hAnsi="Century Gothic"/>
          <w:sz w:val="20"/>
          <w:szCs w:val="20"/>
          <w:lang w:val="en-AU"/>
        </w:rPr>
        <w:t xml:space="preserve"> professional learning. This is consistent with th</w:t>
      </w:r>
      <w:r w:rsidR="0040182E">
        <w:rPr>
          <w:rFonts w:ascii="Century Gothic" w:eastAsiaTheme="minorHAnsi" w:hAnsi="Century Gothic"/>
          <w:sz w:val="20"/>
          <w:szCs w:val="20"/>
          <w:lang w:val="en-AU"/>
        </w:rPr>
        <w:t>e traditions of the I</w:t>
      </w:r>
      <w:r>
        <w:rPr>
          <w:rFonts w:ascii="Century Gothic" w:eastAsiaTheme="minorHAnsi" w:hAnsi="Century Gothic"/>
          <w:sz w:val="20"/>
          <w:szCs w:val="20"/>
          <w:lang w:val="en-AU"/>
        </w:rPr>
        <w:t xml:space="preserve">ndependent school </w:t>
      </w:r>
      <w:r w:rsidR="0040182E">
        <w:rPr>
          <w:rFonts w:ascii="Century Gothic" w:eastAsiaTheme="minorHAnsi" w:hAnsi="Century Gothic"/>
          <w:sz w:val="20"/>
          <w:szCs w:val="20"/>
          <w:lang w:val="en-AU"/>
        </w:rPr>
        <w:t xml:space="preserve">sector </w:t>
      </w:r>
      <w:r>
        <w:rPr>
          <w:rFonts w:ascii="Century Gothic" w:eastAsiaTheme="minorHAnsi" w:hAnsi="Century Gothic"/>
          <w:sz w:val="20"/>
          <w:szCs w:val="20"/>
          <w:lang w:val="en-AU"/>
        </w:rPr>
        <w:t xml:space="preserve">but it also reflects the trend </w:t>
      </w:r>
      <w:r w:rsidR="0040182E">
        <w:rPr>
          <w:rFonts w:ascii="Century Gothic" w:eastAsiaTheme="minorHAnsi" w:hAnsi="Century Gothic"/>
          <w:sz w:val="20"/>
          <w:szCs w:val="20"/>
          <w:lang w:val="en-AU"/>
        </w:rPr>
        <w:t>for</w:t>
      </w:r>
      <w:r>
        <w:rPr>
          <w:rFonts w:ascii="Century Gothic" w:eastAsiaTheme="minorHAnsi" w:hAnsi="Century Gothic"/>
          <w:sz w:val="20"/>
          <w:szCs w:val="20"/>
          <w:lang w:val="en-AU"/>
        </w:rPr>
        <w:t xml:space="preserve"> autonomous schools </w:t>
      </w:r>
      <w:r w:rsidR="0040182E">
        <w:rPr>
          <w:rFonts w:ascii="Century Gothic" w:eastAsiaTheme="minorHAnsi" w:hAnsi="Century Gothic"/>
          <w:sz w:val="20"/>
          <w:szCs w:val="20"/>
          <w:lang w:val="en-AU"/>
        </w:rPr>
        <w:t>seeking</w:t>
      </w:r>
      <w:r>
        <w:rPr>
          <w:rFonts w:ascii="Century Gothic" w:eastAsiaTheme="minorHAnsi" w:hAnsi="Century Gothic"/>
          <w:sz w:val="20"/>
          <w:szCs w:val="20"/>
          <w:lang w:val="en-AU"/>
        </w:rPr>
        <w:t xml:space="preserve"> to tailor their school improvement strategies closely </w:t>
      </w:r>
      <w:r w:rsidR="007C7FAF">
        <w:rPr>
          <w:rFonts w:ascii="Century Gothic" w:eastAsiaTheme="minorHAnsi" w:hAnsi="Century Gothic"/>
          <w:sz w:val="20"/>
          <w:szCs w:val="20"/>
          <w:lang w:val="en-AU"/>
        </w:rPr>
        <w:t>to their needs and priorities.</w:t>
      </w:r>
    </w:p>
    <w:p w14:paraId="7A2B284D" w14:textId="50FD154A" w:rsidR="00BC0B25" w:rsidRDefault="00BC0B2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For many SFSF supported projects, consultants and coaches have been available out of regular teaching hours, avoiding the cost of teacher relief and emphasising the professional growth responsibilit</w:t>
      </w:r>
      <w:r w:rsidR="007C7FAF">
        <w:rPr>
          <w:rFonts w:ascii="Century Gothic" w:eastAsiaTheme="minorHAnsi" w:hAnsi="Century Gothic"/>
          <w:sz w:val="20"/>
          <w:szCs w:val="20"/>
          <w:lang w:val="en-AU"/>
        </w:rPr>
        <w:t>ies of teachers and leaders.</w:t>
      </w:r>
    </w:p>
    <w:p w14:paraId="046D44FA" w14:textId="6843696A" w:rsidR="00372633" w:rsidRPr="00372633" w:rsidRDefault="00435CD4" w:rsidP="00372633">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Many principals confirm this and on numerous occasions </w:t>
      </w:r>
      <w:r w:rsidR="00BC0B25">
        <w:rPr>
          <w:rFonts w:ascii="Century Gothic" w:eastAsiaTheme="minorHAnsi" w:hAnsi="Century Gothic"/>
          <w:sz w:val="20"/>
          <w:szCs w:val="20"/>
          <w:lang w:val="en-AU"/>
        </w:rPr>
        <w:t xml:space="preserve">the view was expressed </w:t>
      </w:r>
      <w:r>
        <w:rPr>
          <w:rFonts w:ascii="Century Gothic" w:eastAsiaTheme="minorHAnsi" w:hAnsi="Century Gothic"/>
          <w:sz w:val="20"/>
          <w:szCs w:val="20"/>
          <w:lang w:val="en-AU"/>
        </w:rPr>
        <w:t>that the quality and availability of consultants to support scho</w:t>
      </w:r>
      <w:bookmarkStart w:id="107" w:name="_Toc472261254"/>
      <w:bookmarkStart w:id="108" w:name="_Toc472262597"/>
      <w:bookmarkStart w:id="109" w:name="_Toc472262979"/>
      <w:bookmarkStart w:id="110" w:name="_Toc472263129"/>
      <w:bookmarkStart w:id="111" w:name="_Toc472263280"/>
      <w:bookmarkStart w:id="112" w:name="_Toc346123972"/>
      <w:r w:rsidR="00372633">
        <w:rPr>
          <w:rFonts w:ascii="Century Gothic" w:eastAsiaTheme="minorHAnsi" w:hAnsi="Century Gothic"/>
          <w:sz w:val="20"/>
          <w:szCs w:val="20"/>
          <w:lang w:val="en-AU"/>
        </w:rPr>
        <w:t>ols has significantly improved.</w:t>
      </w:r>
    </w:p>
    <w:p w14:paraId="04BDE4DB" w14:textId="6B7B791A" w:rsidR="002B51EC" w:rsidRPr="009D199A" w:rsidRDefault="002B51EC" w:rsidP="009D199A">
      <w:pPr>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Facilitating formation of self-managing networks</w:t>
      </w:r>
      <w:bookmarkEnd w:id="107"/>
      <w:bookmarkEnd w:id="108"/>
      <w:bookmarkEnd w:id="109"/>
      <w:bookmarkEnd w:id="110"/>
      <w:bookmarkEnd w:id="111"/>
      <w:bookmarkEnd w:id="112"/>
    </w:p>
    <w:p w14:paraId="4883FA57" w14:textId="5A9BAC33" w:rsidR="00BC0B25" w:rsidRDefault="007A6ABE"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Networks among schools are long standing but in recent years their role has become more important as education systems and bodies seek to </w:t>
      </w:r>
      <w:r w:rsidR="00CD356D">
        <w:rPr>
          <w:rFonts w:ascii="Century Gothic" w:eastAsiaTheme="minorHAnsi" w:hAnsi="Century Gothic"/>
          <w:sz w:val="20"/>
          <w:szCs w:val="20"/>
          <w:lang w:val="en-AU"/>
        </w:rPr>
        <w:t xml:space="preserve">support </w:t>
      </w:r>
      <w:r>
        <w:rPr>
          <w:rFonts w:ascii="Century Gothic" w:eastAsiaTheme="minorHAnsi" w:hAnsi="Century Gothic"/>
          <w:sz w:val="20"/>
          <w:szCs w:val="20"/>
          <w:lang w:val="en-AU"/>
        </w:rPr>
        <w:t>wider capability for change</w:t>
      </w:r>
      <w:r w:rsidR="00CD356D">
        <w:rPr>
          <w:rFonts w:ascii="Century Gothic" w:eastAsiaTheme="minorHAnsi" w:hAnsi="Century Gothic"/>
          <w:sz w:val="20"/>
          <w:szCs w:val="20"/>
          <w:lang w:val="en-AU"/>
        </w:rPr>
        <w:t xml:space="preserve"> at all</w:t>
      </w:r>
      <w:r w:rsidR="007C7FAF">
        <w:rPr>
          <w:rFonts w:ascii="Century Gothic" w:eastAsiaTheme="minorHAnsi" w:hAnsi="Century Gothic"/>
          <w:sz w:val="20"/>
          <w:szCs w:val="20"/>
          <w:lang w:val="en-AU"/>
        </w:rPr>
        <w:t xml:space="preserve"> levels in and among schools.</w:t>
      </w:r>
    </w:p>
    <w:p w14:paraId="4096AF4E" w14:textId="00D8FE7B" w:rsidR="00CD356D" w:rsidRDefault="00CD356D"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Some NGRBs have been strengthening</w:t>
      </w:r>
      <w:r w:rsidR="007A6AB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peer </w:t>
      </w:r>
      <w:r w:rsidR="007A6ABE">
        <w:rPr>
          <w:rFonts w:ascii="Century Gothic" w:eastAsiaTheme="minorHAnsi" w:hAnsi="Century Gothic"/>
          <w:sz w:val="20"/>
          <w:szCs w:val="20"/>
          <w:lang w:val="en-AU"/>
        </w:rPr>
        <w:t>support</w:t>
      </w:r>
      <w:r>
        <w:rPr>
          <w:rFonts w:ascii="Century Gothic" w:eastAsiaTheme="minorHAnsi" w:hAnsi="Century Gothic"/>
          <w:sz w:val="20"/>
          <w:szCs w:val="20"/>
          <w:lang w:val="en-AU"/>
        </w:rPr>
        <w:t>, facilitating partnerships, and encouraging informa</w:t>
      </w:r>
      <w:r w:rsidR="007C7FAF">
        <w:rPr>
          <w:rFonts w:ascii="Century Gothic" w:eastAsiaTheme="minorHAnsi" w:hAnsi="Century Gothic"/>
          <w:sz w:val="20"/>
          <w:szCs w:val="20"/>
          <w:lang w:val="en-AU"/>
        </w:rPr>
        <w:t>tion and data sharing networks.</w:t>
      </w:r>
    </w:p>
    <w:p w14:paraId="07EBEEF4" w14:textId="7FA03E0B" w:rsidR="00CD356D" w:rsidRPr="00DA6B7C" w:rsidRDefault="00CD356D"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This is a mechanism particularly valued by smaller jurisdictions and those in regional or remote locations. For example,</w:t>
      </w:r>
    </w:p>
    <w:p w14:paraId="53544546" w14:textId="585A0EF6" w:rsidR="00CD356D" w:rsidRPr="00F3737F" w:rsidRDefault="00F3737F" w:rsidP="006A1D2B">
      <w:pPr>
        <w:pStyle w:val="ListParagraph"/>
        <w:numPr>
          <w:ilvl w:val="0"/>
          <w:numId w:val="14"/>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principal of a Catholic College in </w:t>
      </w:r>
      <w:r w:rsidR="00CD356D" w:rsidRPr="00F3737F">
        <w:rPr>
          <w:rFonts w:ascii="Century Gothic" w:eastAsiaTheme="minorHAnsi" w:hAnsi="Century Gothic"/>
          <w:sz w:val="20"/>
          <w:szCs w:val="20"/>
          <w:lang w:val="en-AU"/>
        </w:rPr>
        <w:t xml:space="preserve">Rockhampton </w:t>
      </w:r>
      <w:r>
        <w:rPr>
          <w:rFonts w:ascii="Century Gothic" w:eastAsiaTheme="minorHAnsi" w:hAnsi="Century Gothic"/>
          <w:sz w:val="20"/>
          <w:szCs w:val="20"/>
          <w:lang w:val="en-AU"/>
        </w:rPr>
        <w:t>whilst expressing satisfaction with the role of his Catholic education authority in delivering p</w:t>
      </w:r>
      <w:r w:rsidRPr="00F3737F">
        <w:rPr>
          <w:rFonts w:ascii="Century Gothic" w:eastAsiaTheme="minorHAnsi" w:hAnsi="Century Gothic"/>
          <w:sz w:val="20"/>
          <w:szCs w:val="20"/>
          <w:lang w:val="en-AU"/>
        </w:rPr>
        <w:t>rofessional learning</w:t>
      </w:r>
      <w:r>
        <w:rPr>
          <w:rFonts w:ascii="Century Gothic" w:eastAsiaTheme="minorHAnsi" w:hAnsi="Century Gothic"/>
          <w:sz w:val="20"/>
          <w:szCs w:val="20"/>
          <w:lang w:val="en-AU"/>
        </w:rPr>
        <w:t>,</w:t>
      </w:r>
      <w:r w:rsidR="0040182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also indicated that t</w:t>
      </w:r>
      <w:r w:rsidRPr="00F3737F">
        <w:rPr>
          <w:rFonts w:ascii="Century Gothic" w:eastAsiaTheme="minorHAnsi" w:hAnsi="Century Gothic"/>
          <w:sz w:val="20"/>
          <w:szCs w:val="20"/>
          <w:lang w:val="en-AU"/>
        </w:rPr>
        <w:t xml:space="preserve">here are </w:t>
      </w:r>
      <w:r w:rsidR="00E74298">
        <w:rPr>
          <w:rFonts w:ascii="Century Gothic" w:eastAsiaTheme="minorHAnsi" w:hAnsi="Century Gothic"/>
          <w:sz w:val="20"/>
          <w:szCs w:val="20"/>
          <w:lang w:val="en-AU"/>
        </w:rPr>
        <w:t xml:space="preserve">successful </w:t>
      </w:r>
      <w:r w:rsidRPr="00F3737F">
        <w:rPr>
          <w:rFonts w:ascii="Century Gothic" w:eastAsiaTheme="minorHAnsi" w:hAnsi="Century Gothic"/>
          <w:sz w:val="20"/>
          <w:szCs w:val="20"/>
          <w:lang w:val="en-AU"/>
        </w:rPr>
        <w:t>activities organised in Rockhampton across government</w:t>
      </w:r>
      <w:r w:rsidR="001434D7">
        <w:rPr>
          <w:rFonts w:ascii="Century Gothic" w:eastAsiaTheme="minorHAnsi" w:hAnsi="Century Gothic"/>
          <w:sz w:val="20"/>
          <w:szCs w:val="20"/>
          <w:lang w:val="en-AU"/>
        </w:rPr>
        <w:t>,</w:t>
      </w:r>
      <w:r w:rsidRPr="00F3737F">
        <w:rPr>
          <w:rFonts w:ascii="Century Gothic" w:eastAsiaTheme="minorHAnsi" w:hAnsi="Century Gothic"/>
          <w:sz w:val="20"/>
          <w:szCs w:val="20"/>
          <w:lang w:val="en-AU"/>
        </w:rPr>
        <w:t xml:space="preserve"> ind</w:t>
      </w:r>
      <w:r w:rsidR="00E74298">
        <w:rPr>
          <w:rFonts w:ascii="Century Gothic" w:eastAsiaTheme="minorHAnsi" w:hAnsi="Century Gothic"/>
          <w:sz w:val="20"/>
          <w:szCs w:val="20"/>
          <w:lang w:val="en-AU"/>
        </w:rPr>
        <w:t>ependent and catholic secondary schools</w:t>
      </w:r>
      <w:r w:rsidRPr="00F3737F">
        <w:rPr>
          <w:rFonts w:ascii="Century Gothic" w:eastAsiaTheme="minorHAnsi" w:hAnsi="Century Gothic"/>
          <w:sz w:val="20"/>
          <w:szCs w:val="20"/>
          <w:lang w:val="en-AU"/>
        </w:rPr>
        <w:t xml:space="preserve"> – </w:t>
      </w:r>
      <w:r w:rsidR="00E74298">
        <w:rPr>
          <w:rFonts w:ascii="Century Gothic" w:eastAsiaTheme="minorHAnsi" w:hAnsi="Century Gothic"/>
          <w:sz w:val="20"/>
          <w:szCs w:val="20"/>
          <w:lang w:val="en-AU"/>
        </w:rPr>
        <w:t>a principal</w:t>
      </w:r>
      <w:r w:rsidRPr="00F3737F">
        <w:rPr>
          <w:rFonts w:ascii="Century Gothic" w:eastAsiaTheme="minorHAnsi" w:hAnsi="Century Gothic"/>
          <w:sz w:val="20"/>
          <w:szCs w:val="20"/>
          <w:lang w:val="en-AU"/>
        </w:rPr>
        <w:t xml:space="preserve"> association and </w:t>
      </w:r>
      <w:r w:rsidR="00E74298">
        <w:rPr>
          <w:rFonts w:ascii="Century Gothic" w:eastAsiaTheme="minorHAnsi" w:hAnsi="Century Gothic"/>
          <w:sz w:val="20"/>
          <w:szCs w:val="20"/>
          <w:lang w:val="en-AU"/>
        </w:rPr>
        <w:t>professional learning for teachers that</w:t>
      </w:r>
      <w:r w:rsidRPr="00F3737F">
        <w:rPr>
          <w:rFonts w:ascii="Century Gothic" w:eastAsiaTheme="minorHAnsi" w:hAnsi="Century Gothic"/>
          <w:sz w:val="20"/>
          <w:szCs w:val="20"/>
          <w:lang w:val="en-AU"/>
        </w:rPr>
        <w:t xml:space="preserve"> </w:t>
      </w:r>
      <w:r w:rsidR="00DA6B7C">
        <w:rPr>
          <w:rFonts w:ascii="Century Gothic" w:eastAsiaTheme="minorHAnsi" w:hAnsi="Century Gothic"/>
          <w:sz w:val="20"/>
          <w:szCs w:val="20"/>
          <w:lang w:val="en-AU"/>
        </w:rPr>
        <w:t>is self-</w:t>
      </w:r>
      <w:r w:rsidR="00E74298">
        <w:rPr>
          <w:rFonts w:ascii="Century Gothic" w:eastAsiaTheme="minorHAnsi" w:hAnsi="Century Gothic"/>
          <w:sz w:val="20"/>
          <w:szCs w:val="20"/>
          <w:lang w:val="en-AU"/>
        </w:rPr>
        <w:t>organised and funded and not supported by SFSF funds.</w:t>
      </w:r>
    </w:p>
    <w:p w14:paraId="16ECBD4B" w14:textId="7377E56C" w:rsidR="008D2C1C" w:rsidRDefault="008B3000" w:rsidP="006A1D2B">
      <w:pPr>
        <w:pStyle w:val="ListParagraph"/>
        <w:numPr>
          <w:ilvl w:val="0"/>
          <w:numId w:val="14"/>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Tasmania i</w:t>
      </w:r>
      <w:r w:rsidR="00CD356D" w:rsidRPr="008B3000">
        <w:rPr>
          <w:rFonts w:ascii="Century Gothic" w:eastAsiaTheme="minorHAnsi" w:hAnsi="Century Gothic"/>
          <w:sz w:val="20"/>
          <w:szCs w:val="20"/>
          <w:lang w:val="en-AU"/>
        </w:rPr>
        <w:t>nde</w:t>
      </w:r>
      <w:r w:rsidR="00BC0B25" w:rsidRPr="008B3000">
        <w:rPr>
          <w:rFonts w:ascii="Century Gothic" w:eastAsiaTheme="minorHAnsi" w:hAnsi="Century Gothic"/>
          <w:sz w:val="20"/>
          <w:szCs w:val="20"/>
          <w:lang w:val="en-AU"/>
        </w:rPr>
        <w:t>pen</w:t>
      </w:r>
      <w:r>
        <w:rPr>
          <w:rFonts w:ascii="Century Gothic" w:eastAsiaTheme="minorHAnsi" w:hAnsi="Century Gothic"/>
          <w:sz w:val="20"/>
          <w:szCs w:val="20"/>
          <w:lang w:val="en-AU"/>
        </w:rPr>
        <w:t>dent NGRB has worked with a cluster of 5 small schools on curriculum development through a monthly session with key people from each school.  These sort of approaches are</w:t>
      </w:r>
      <w:r w:rsidR="00BC0B25" w:rsidRPr="008B3000">
        <w:rPr>
          <w:rFonts w:ascii="Century Gothic" w:eastAsiaTheme="minorHAnsi" w:hAnsi="Century Gothic"/>
          <w:sz w:val="20"/>
          <w:szCs w:val="20"/>
          <w:lang w:val="en-AU"/>
        </w:rPr>
        <w:t xml:space="preserve"> </w:t>
      </w:r>
      <w:r w:rsidR="00CD356D" w:rsidRPr="008B3000">
        <w:rPr>
          <w:rFonts w:ascii="Century Gothic" w:eastAsiaTheme="minorHAnsi" w:hAnsi="Century Gothic"/>
          <w:sz w:val="20"/>
          <w:szCs w:val="20"/>
          <w:lang w:val="en-AU"/>
        </w:rPr>
        <w:t>essential for cross school shar</w:t>
      </w:r>
      <w:r w:rsidR="007C7FAF">
        <w:rPr>
          <w:rFonts w:ascii="Century Gothic" w:eastAsiaTheme="minorHAnsi" w:hAnsi="Century Gothic"/>
          <w:sz w:val="20"/>
          <w:szCs w:val="20"/>
          <w:lang w:val="en-AU"/>
        </w:rPr>
        <w:t>ing and building sustainability</w:t>
      </w:r>
    </w:p>
    <w:p w14:paraId="7423183E" w14:textId="671B1C23" w:rsidR="00057F9F" w:rsidRPr="00057F9F" w:rsidRDefault="00057F9F" w:rsidP="006A1D2B">
      <w:pPr>
        <w:pStyle w:val="ListParagraph"/>
        <w:numPr>
          <w:ilvl w:val="0"/>
          <w:numId w:val="14"/>
        </w:numPr>
        <w:spacing w:after="200" w:line="276" w:lineRule="auto"/>
        <w:ind w:right="-340"/>
        <w:jc w:val="both"/>
        <w:rPr>
          <w:rFonts w:ascii="Century Gothic" w:eastAsiaTheme="minorHAnsi" w:hAnsi="Century Gothic"/>
          <w:sz w:val="20"/>
          <w:szCs w:val="20"/>
          <w:lang w:val="en-AU"/>
        </w:rPr>
      </w:pPr>
      <w:r w:rsidRPr="00057F9F">
        <w:rPr>
          <w:rFonts w:ascii="Century Gothic" w:eastAsiaTheme="minorHAnsi" w:hAnsi="Century Gothic"/>
          <w:sz w:val="20"/>
          <w:szCs w:val="20"/>
          <w:lang w:val="en-AU"/>
        </w:rPr>
        <w:t xml:space="preserve">The </w:t>
      </w:r>
      <w:r>
        <w:rPr>
          <w:rFonts w:ascii="Century Gothic" w:eastAsiaTheme="minorHAnsi" w:hAnsi="Century Gothic"/>
          <w:sz w:val="20"/>
          <w:szCs w:val="20"/>
          <w:lang w:val="en-AU"/>
        </w:rPr>
        <w:t xml:space="preserve">AIS </w:t>
      </w:r>
      <w:r w:rsidR="001434D7">
        <w:rPr>
          <w:rFonts w:ascii="Century Gothic" w:eastAsiaTheme="minorHAnsi" w:hAnsi="Century Gothic"/>
          <w:sz w:val="20"/>
          <w:szCs w:val="20"/>
          <w:lang w:val="en-AU"/>
        </w:rPr>
        <w:t>WA</w:t>
      </w:r>
      <w:r>
        <w:rPr>
          <w:rFonts w:ascii="Century Gothic" w:eastAsiaTheme="minorHAnsi" w:hAnsi="Century Gothic"/>
          <w:sz w:val="20"/>
          <w:szCs w:val="20"/>
          <w:lang w:val="en-AU"/>
        </w:rPr>
        <w:t xml:space="preserve"> has encouraged networks to form following a suite of projects to support the implementatio</w:t>
      </w:r>
      <w:r w:rsidR="007C7FAF">
        <w:rPr>
          <w:rFonts w:ascii="Century Gothic" w:eastAsiaTheme="minorHAnsi" w:hAnsi="Century Gothic"/>
          <w:sz w:val="20"/>
          <w:szCs w:val="20"/>
          <w:lang w:val="en-AU"/>
        </w:rPr>
        <w:t>n of the Australian Curriculum.</w:t>
      </w:r>
    </w:p>
    <w:p w14:paraId="7106A6C1" w14:textId="764623B2" w:rsidR="009376B0" w:rsidRPr="00572246" w:rsidRDefault="00EA19E3" w:rsidP="00572246">
      <w:pPr>
        <w:pStyle w:val="Heading2"/>
        <w:rPr>
          <w:rStyle w:val="IntenseReference"/>
          <w:b/>
          <w:bCs/>
          <w:smallCaps w:val="0"/>
          <w:color w:val="0070C0"/>
          <w:spacing w:val="0"/>
        </w:rPr>
      </w:pPr>
      <w:bookmarkStart w:id="113" w:name="_Toc472262598"/>
      <w:bookmarkStart w:id="114" w:name="_Toc495587314"/>
      <w:r w:rsidRPr="00572246">
        <w:rPr>
          <w:rStyle w:val="IntenseReference"/>
          <w:b/>
          <w:bCs/>
          <w:smallCaps w:val="0"/>
          <w:color w:val="0070C0"/>
          <w:spacing w:val="0"/>
        </w:rPr>
        <w:t xml:space="preserve">5.2 </w:t>
      </w:r>
      <w:r w:rsidR="005D40DE" w:rsidRPr="00572246">
        <w:rPr>
          <w:rStyle w:val="IntenseReference"/>
          <w:b/>
          <w:bCs/>
          <w:smallCaps w:val="0"/>
          <w:color w:val="0070C0"/>
          <w:spacing w:val="0"/>
        </w:rPr>
        <w:tab/>
      </w:r>
      <w:r w:rsidR="00057D87" w:rsidRPr="00572246">
        <w:rPr>
          <w:rStyle w:val="IntenseReference"/>
          <w:b/>
          <w:bCs/>
          <w:smallCaps w:val="0"/>
          <w:color w:val="0070C0"/>
          <w:spacing w:val="0"/>
        </w:rPr>
        <w:t>What would NGRBs like to improve</w:t>
      </w:r>
      <w:r w:rsidR="00820769" w:rsidRPr="00572246">
        <w:rPr>
          <w:rStyle w:val="IntenseReference"/>
          <w:b/>
          <w:bCs/>
          <w:smallCaps w:val="0"/>
          <w:color w:val="0070C0"/>
          <w:spacing w:val="0"/>
        </w:rPr>
        <w:t xml:space="preserve"> in their model of operating</w:t>
      </w:r>
      <w:r w:rsidR="00057D87" w:rsidRPr="00572246">
        <w:rPr>
          <w:rStyle w:val="IntenseReference"/>
          <w:b/>
          <w:bCs/>
          <w:smallCaps w:val="0"/>
          <w:color w:val="0070C0"/>
          <w:spacing w:val="0"/>
        </w:rPr>
        <w:t>?</w:t>
      </w:r>
      <w:bookmarkEnd w:id="113"/>
      <w:bookmarkEnd w:id="114"/>
    </w:p>
    <w:p w14:paraId="3AF030AC" w14:textId="662DCEC7" w:rsidR="00962313" w:rsidRDefault="008C0B21"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w:t>
      </w:r>
      <w:r w:rsidRPr="008C0B21">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have reflected on their </w:t>
      </w:r>
      <w:r w:rsidR="00372633">
        <w:rPr>
          <w:rFonts w:ascii="Century Gothic" w:eastAsiaTheme="minorHAnsi" w:hAnsi="Century Gothic"/>
          <w:sz w:val="20"/>
          <w:szCs w:val="20"/>
          <w:lang w:val="en-AU"/>
        </w:rPr>
        <w:t xml:space="preserve">delivery </w:t>
      </w:r>
      <w:r>
        <w:rPr>
          <w:rFonts w:ascii="Century Gothic" w:eastAsiaTheme="minorHAnsi" w:hAnsi="Century Gothic"/>
          <w:sz w:val="20"/>
          <w:szCs w:val="20"/>
          <w:lang w:val="en-AU"/>
        </w:rPr>
        <w:t xml:space="preserve">models and outcomes and have made </w:t>
      </w:r>
      <w:r w:rsidRPr="008C0B21">
        <w:rPr>
          <w:rFonts w:ascii="Century Gothic" w:eastAsiaTheme="minorHAnsi" w:hAnsi="Century Gothic"/>
          <w:sz w:val="20"/>
          <w:szCs w:val="20"/>
          <w:lang w:val="en-AU"/>
        </w:rPr>
        <w:t xml:space="preserve">suggestions </w:t>
      </w:r>
      <w:r w:rsidR="00372633">
        <w:rPr>
          <w:rFonts w:ascii="Century Gothic" w:eastAsiaTheme="minorHAnsi" w:hAnsi="Century Gothic"/>
          <w:sz w:val="20"/>
          <w:szCs w:val="20"/>
          <w:lang w:val="en-AU"/>
        </w:rPr>
        <w:t xml:space="preserve">for future approaches. </w:t>
      </w:r>
      <w:r w:rsidR="00962313">
        <w:rPr>
          <w:rFonts w:ascii="Century Gothic" w:eastAsiaTheme="minorHAnsi" w:hAnsi="Century Gothic"/>
          <w:sz w:val="20"/>
          <w:szCs w:val="20"/>
          <w:lang w:val="en-AU"/>
        </w:rPr>
        <w:t xml:space="preserve">These are essentially suggestions on how education systemic bodies can use discretionary funds to better support reforms for school improvement. </w:t>
      </w:r>
      <w:r w:rsidR="00BC0B25">
        <w:rPr>
          <w:rFonts w:ascii="Century Gothic" w:eastAsiaTheme="minorHAnsi" w:hAnsi="Century Gothic"/>
          <w:sz w:val="20"/>
          <w:szCs w:val="20"/>
          <w:lang w:val="en-AU"/>
        </w:rPr>
        <w:t xml:space="preserve">They build on the prior section that discusses the levers for change that are seen as the most </w:t>
      </w:r>
      <w:r w:rsidR="005467D3">
        <w:rPr>
          <w:rFonts w:ascii="Century Gothic" w:eastAsiaTheme="minorHAnsi" w:hAnsi="Century Gothic"/>
          <w:sz w:val="20"/>
          <w:szCs w:val="20"/>
          <w:lang w:val="en-AU"/>
        </w:rPr>
        <w:t>effective</w:t>
      </w:r>
      <w:r w:rsidR="007C7FAF">
        <w:rPr>
          <w:rFonts w:ascii="Century Gothic" w:eastAsiaTheme="minorHAnsi" w:hAnsi="Century Gothic"/>
          <w:sz w:val="20"/>
          <w:szCs w:val="20"/>
          <w:lang w:val="en-AU"/>
        </w:rPr>
        <w:t>.</w:t>
      </w:r>
    </w:p>
    <w:p w14:paraId="51A72345" w14:textId="0DEDA008" w:rsidR="00962313" w:rsidRDefault="00505E4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008C0B21">
        <w:rPr>
          <w:rFonts w:ascii="Century Gothic" w:eastAsiaTheme="minorHAnsi" w:hAnsi="Century Gothic"/>
          <w:sz w:val="20"/>
          <w:szCs w:val="20"/>
          <w:lang w:val="en-AU"/>
        </w:rPr>
        <w:t>he</w:t>
      </w:r>
      <w:r>
        <w:rPr>
          <w:rFonts w:ascii="Century Gothic" w:eastAsiaTheme="minorHAnsi" w:hAnsi="Century Gothic"/>
          <w:sz w:val="20"/>
          <w:szCs w:val="20"/>
          <w:lang w:val="en-AU"/>
        </w:rPr>
        <w:t xml:space="preserve">re are differences </w:t>
      </w:r>
      <w:r w:rsidR="00DA5B9A">
        <w:rPr>
          <w:rFonts w:ascii="Century Gothic" w:eastAsiaTheme="minorHAnsi" w:hAnsi="Century Gothic"/>
          <w:sz w:val="20"/>
          <w:szCs w:val="20"/>
          <w:lang w:val="en-AU"/>
        </w:rPr>
        <w:t xml:space="preserve">that arise from the governance of </w:t>
      </w:r>
      <w:r w:rsidR="00D53A5D">
        <w:rPr>
          <w:rFonts w:ascii="Century Gothic" w:eastAsiaTheme="minorHAnsi" w:hAnsi="Century Gothic"/>
          <w:sz w:val="20"/>
          <w:szCs w:val="20"/>
          <w:lang w:val="en-AU"/>
        </w:rPr>
        <w:t>Catholic and I</w:t>
      </w:r>
      <w:r>
        <w:rPr>
          <w:rFonts w:ascii="Century Gothic" w:eastAsiaTheme="minorHAnsi" w:hAnsi="Century Gothic"/>
          <w:sz w:val="20"/>
          <w:szCs w:val="20"/>
          <w:lang w:val="en-AU"/>
        </w:rPr>
        <w:t xml:space="preserve">ndependent </w:t>
      </w:r>
      <w:r w:rsidR="00DA5B9A">
        <w:rPr>
          <w:rFonts w:ascii="Century Gothic" w:eastAsiaTheme="minorHAnsi" w:hAnsi="Century Gothic"/>
          <w:sz w:val="20"/>
          <w:szCs w:val="20"/>
          <w:lang w:val="en-AU"/>
        </w:rPr>
        <w:t xml:space="preserve">schools and the role and size of </w:t>
      </w:r>
      <w:r>
        <w:rPr>
          <w:rFonts w:ascii="Century Gothic" w:eastAsiaTheme="minorHAnsi" w:hAnsi="Century Gothic"/>
          <w:sz w:val="20"/>
          <w:szCs w:val="20"/>
          <w:lang w:val="en-AU"/>
        </w:rPr>
        <w:t xml:space="preserve">NGRBs but in general </w:t>
      </w:r>
      <w:r w:rsidR="00DA5B9A">
        <w:rPr>
          <w:rFonts w:ascii="Century Gothic" w:eastAsiaTheme="minorHAnsi" w:hAnsi="Century Gothic"/>
          <w:sz w:val="20"/>
          <w:szCs w:val="20"/>
          <w:lang w:val="en-AU"/>
        </w:rPr>
        <w:t xml:space="preserve">their thoughts are similar. </w:t>
      </w:r>
      <w:r>
        <w:rPr>
          <w:rFonts w:ascii="Century Gothic" w:eastAsiaTheme="minorHAnsi" w:hAnsi="Century Gothic"/>
          <w:sz w:val="20"/>
          <w:szCs w:val="20"/>
          <w:lang w:val="en-AU"/>
        </w:rPr>
        <w:t xml:space="preserve"> </w:t>
      </w:r>
      <w:r w:rsidR="00962313">
        <w:rPr>
          <w:rFonts w:ascii="Century Gothic" w:eastAsiaTheme="minorHAnsi" w:hAnsi="Century Gothic"/>
          <w:sz w:val="20"/>
          <w:szCs w:val="20"/>
          <w:lang w:val="en-AU"/>
        </w:rPr>
        <w:t>Indeed the</w:t>
      </w:r>
      <w:r w:rsidR="00DA5B9A">
        <w:rPr>
          <w:rFonts w:ascii="Century Gothic" w:eastAsiaTheme="minorHAnsi" w:hAnsi="Century Gothic"/>
          <w:sz w:val="20"/>
          <w:szCs w:val="20"/>
          <w:lang w:val="en-AU"/>
        </w:rPr>
        <w:t>ir</w:t>
      </w:r>
      <w:r w:rsidR="00962313">
        <w:rPr>
          <w:rFonts w:ascii="Century Gothic" w:eastAsiaTheme="minorHAnsi" w:hAnsi="Century Gothic"/>
          <w:sz w:val="20"/>
          <w:szCs w:val="20"/>
          <w:lang w:val="en-AU"/>
        </w:rPr>
        <w:t xml:space="preserve"> suggestions are similar to what would be proposed in many government systems and are consistent with OECD advice to </w:t>
      </w:r>
      <w:r w:rsidR="00DA5B9A">
        <w:rPr>
          <w:rFonts w:ascii="Century Gothic" w:eastAsiaTheme="minorHAnsi" w:hAnsi="Century Gothic"/>
          <w:sz w:val="20"/>
          <w:szCs w:val="20"/>
          <w:lang w:val="en-AU"/>
        </w:rPr>
        <w:t xml:space="preserve">education </w:t>
      </w:r>
      <w:r w:rsidR="00962313">
        <w:rPr>
          <w:rFonts w:ascii="Century Gothic" w:eastAsiaTheme="minorHAnsi" w:hAnsi="Century Gothic"/>
          <w:sz w:val="20"/>
          <w:szCs w:val="20"/>
          <w:lang w:val="en-AU"/>
        </w:rPr>
        <w:t xml:space="preserve">systems </w:t>
      </w:r>
      <w:r w:rsidR="00DA5B9A">
        <w:rPr>
          <w:rFonts w:ascii="Century Gothic" w:eastAsiaTheme="minorHAnsi" w:hAnsi="Century Gothic"/>
          <w:sz w:val="20"/>
          <w:szCs w:val="20"/>
          <w:lang w:val="en-AU"/>
        </w:rPr>
        <w:t xml:space="preserve">on the characteristics </w:t>
      </w:r>
      <w:r w:rsidR="007C7FAF">
        <w:rPr>
          <w:rFonts w:ascii="Century Gothic" w:eastAsiaTheme="minorHAnsi" w:hAnsi="Century Gothic"/>
          <w:sz w:val="20"/>
          <w:szCs w:val="20"/>
          <w:lang w:val="en-AU"/>
        </w:rPr>
        <w:t>that underpin high performance.</w:t>
      </w:r>
    </w:p>
    <w:p w14:paraId="0F845AB3" w14:textId="0F54BC1A" w:rsidR="008C0B21" w:rsidRDefault="00505E45"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NGRBs </w:t>
      </w:r>
      <w:r w:rsidR="008C0B21">
        <w:rPr>
          <w:rFonts w:ascii="Century Gothic" w:eastAsiaTheme="minorHAnsi" w:hAnsi="Century Gothic"/>
          <w:sz w:val="20"/>
          <w:szCs w:val="20"/>
          <w:lang w:val="en-AU"/>
        </w:rPr>
        <w:t xml:space="preserve">generally </w:t>
      </w:r>
      <w:r>
        <w:rPr>
          <w:rFonts w:ascii="Century Gothic" w:eastAsiaTheme="minorHAnsi" w:hAnsi="Century Gothic"/>
          <w:sz w:val="20"/>
          <w:szCs w:val="20"/>
          <w:lang w:val="en-AU"/>
        </w:rPr>
        <w:t>advocate a</w:t>
      </w:r>
      <w:r w:rsidR="008C0B21" w:rsidRPr="008C0B21">
        <w:rPr>
          <w:rFonts w:ascii="Century Gothic" w:eastAsiaTheme="minorHAnsi" w:hAnsi="Century Gothic"/>
          <w:sz w:val="20"/>
          <w:szCs w:val="20"/>
          <w:lang w:val="en-AU"/>
        </w:rPr>
        <w:t xml:space="preserve"> shif</w:t>
      </w:r>
      <w:r w:rsidR="007C7FAF">
        <w:rPr>
          <w:rFonts w:ascii="Century Gothic" w:eastAsiaTheme="minorHAnsi" w:hAnsi="Century Gothic"/>
          <w:sz w:val="20"/>
          <w:szCs w:val="20"/>
          <w:lang w:val="en-AU"/>
        </w:rPr>
        <w:t>t to</w:t>
      </w:r>
    </w:p>
    <w:p w14:paraId="223542DA" w14:textId="5699000F" w:rsidR="00AD6321" w:rsidRDefault="00AD6321"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fewer programs and objectives at the individual NGRB leve</w:t>
      </w:r>
      <w:r w:rsidR="007C7FAF">
        <w:rPr>
          <w:rFonts w:ascii="Century Gothic" w:eastAsiaTheme="minorHAnsi" w:hAnsi="Century Gothic"/>
          <w:sz w:val="20"/>
          <w:szCs w:val="20"/>
          <w:lang w:val="en-AU"/>
        </w:rPr>
        <w:t>l - concentrate on the priority</w:t>
      </w:r>
      <w:r>
        <w:rPr>
          <w:rFonts w:ascii="Century Gothic" w:eastAsiaTheme="minorHAnsi" w:hAnsi="Century Gothic"/>
          <w:sz w:val="20"/>
          <w:szCs w:val="20"/>
          <w:lang w:val="en-AU"/>
        </w:rPr>
        <w:t xml:space="preserve"> n</w:t>
      </w:r>
      <w:r w:rsidR="007C7FAF">
        <w:rPr>
          <w:rFonts w:ascii="Century Gothic" w:eastAsiaTheme="minorHAnsi" w:hAnsi="Century Gothic"/>
          <w:sz w:val="20"/>
          <w:szCs w:val="20"/>
          <w:lang w:val="en-AU"/>
        </w:rPr>
        <w:t>eeds and keep a strategic focus</w:t>
      </w:r>
    </w:p>
    <w:p w14:paraId="6D95E858" w14:textId="22587C6A" w:rsidR="008C0B21" w:rsidRDefault="00505E45"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more emphasis on on-going </w:t>
      </w:r>
      <w:r w:rsidR="008C0B21" w:rsidRPr="008C0B21">
        <w:rPr>
          <w:rFonts w:ascii="Century Gothic" w:eastAsiaTheme="minorHAnsi" w:hAnsi="Century Gothic"/>
          <w:sz w:val="20"/>
          <w:szCs w:val="20"/>
          <w:lang w:val="en-AU"/>
        </w:rPr>
        <w:t xml:space="preserve">school-based support </w:t>
      </w:r>
      <w:r w:rsidR="00F90FE5">
        <w:rPr>
          <w:rFonts w:ascii="Century Gothic" w:eastAsiaTheme="minorHAnsi" w:hAnsi="Century Gothic"/>
          <w:sz w:val="20"/>
          <w:szCs w:val="20"/>
          <w:lang w:val="en-AU"/>
        </w:rPr>
        <w:t>that responds to demand</w:t>
      </w:r>
      <w:r w:rsidR="00DC76AC">
        <w:rPr>
          <w:rFonts w:ascii="Century Gothic" w:eastAsiaTheme="minorHAnsi" w:hAnsi="Century Gothic"/>
          <w:sz w:val="20"/>
          <w:szCs w:val="20"/>
          <w:lang w:val="en-AU"/>
        </w:rPr>
        <w:t xml:space="preserve"> within a local context</w:t>
      </w:r>
    </w:p>
    <w:p w14:paraId="3A034C7D" w14:textId="0E8A9940" w:rsidR="00E9208E" w:rsidRDefault="00E9208E"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always engaging schools leaders as wel</w:t>
      </w:r>
      <w:r w:rsidR="007C7FAF">
        <w:rPr>
          <w:rFonts w:ascii="Century Gothic" w:eastAsiaTheme="minorHAnsi" w:hAnsi="Century Gothic"/>
          <w:sz w:val="20"/>
          <w:szCs w:val="20"/>
          <w:lang w:val="en-AU"/>
        </w:rPr>
        <w:t>l as building their capability</w:t>
      </w:r>
    </w:p>
    <w:p w14:paraId="100375E8" w14:textId="77777777" w:rsidR="00DA5B9A" w:rsidRDefault="00DA5B9A"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ensuring coaches and consultants have the highest expertise – quality control</w:t>
      </w:r>
      <w:r w:rsidRPr="008C0B21">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needed</w:t>
      </w:r>
    </w:p>
    <w:p w14:paraId="4ECF5A31" w14:textId="49A23D24" w:rsidR="00505E45" w:rsidRDefault="008C0B21"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sidRPr="008C0B21">
        <w:rPr>
          <w:rFonts w:ascii="Century Gothic" w:eastAsiaTheme="minorHAnsi" w:hAnsi="Century Gothic"/>
          <w:sz w:val="20"/>
          <w:szCs w:val="20"/>
          <w:lang w:val="en-AU"/>
        </w:rPr>
        <w:t xml:space="preserve">facilitating shared use </w:t>
      </w:r>
      <w:r w:rsidR="00DA5B9A">
        <w:rPr>
          <w:rFonts w:ascii="Century Gothic" w:eastAsiaTheme="minorHAnsi" w:hAnsi="Century Gothic"/>
          <w:sz w:val="20"/>
          <w:szCs w:val="20"/>
          <w:lang w:val="en-AU"/>
        </w:rPr>
        <w:t xml:space="preserve">among schools </w:t>
      </w:r>
      <w:r w:rsidRPr="008C0B21">
        <w:rPr>
          <w:rFonts w:ascii="Century Gothic" w:eastAsiaTheme="minorHAnsi" w:hAnsi="Century Gothic"/>
          <w:sz w:val="20"/>
          <w:szCs w:val="20"/>
          <w:lang w:val="en-AU"/>
        </w:rPr>
        <w:t>of expertise</w:t>
      </w:r>
      <w:r w:rsidR="00DA5B9A">
        <w:rPr>
          <w:rFonts w:ascii="Century Gothic" w:eastAsiaTheme="minorHAnsi" w:hAnsi="Century Gothic"/>
          <w:sz w:val="20"/>
          <w:szCs w:val="20"/>
          <w:lang w:val="en-AU"/>
        </w:rPr>
        <w:t xml:space="preserve"> for boosting quality in teaching and learning; </w:t>
      </w:r>
      <w:r w:rsidR="00F90FE5">
        <w:rPr>
          <w:rFonts w:ascii="Century Gothic" w:eastAsiaTheme="minorHAnsi" w:hAnsi="Century Gothic"/>
          <w:sz w:val="20"/>
          <w:szCs w:val="20"/>
          <w:lang w:val="en-AU"/>
        </w:rPr>
        <w:t>include strategic partnerships with academic institutions</w:t>
      </w:r>
    </w:p>
    <w:p w14:paraId="70C4EA2E" w14:textId="2321656F" w:rsidR="00505E45" w:rsidRDefault="008C0B21"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sidRPr="008C0B21">
        <w:rPr>
          <w:rFonts w:ascii="Century Gothic" w:eastAsiaTheme="minorHAnsi" w:hAnsi="Century Gothic"/>
          <w:sz w:val="20"/>
          <w:szCs w:val="20"/>
          <w:lang w:val="en-AU"/>
        </w:rPr>
        <w:t xml:space="preserve">enhanced </w:t>
      </w:r>
      <w:r w:rsidR="00D118C2">
        <w:rPr>
          <w:rFonts w:ascii="Century Gothic" w:eastAsiaTheme="minorHAnsi" w:hAnsi="Century Gothic"/>
          <w:sz w:val="20"/>
          <w:szCs w:val="20"/>
          <w:lang w:val="en-AU"/>
        </w:rPr>
        <w:t xml:space="preserve">real-time </w:t>
      </w:r>
      <w:r w:rsidRPr="008C0B21">
        <w:rPr>
          <w:rFonts w:ascii="Century Gothic" w:eastAsiaTheme="minorHAnsi" w:hAnsi="Century Gothic"/>
          <w:sz w:val="20"/>
          <w:szCs w:val="20"/>
          <w:lang w:val="en-AU"/>
        </w:rPr>
        <w:t>data gathering</w:t>
      </w:r>
      <w:r w:rsidR="00505E45">
        <w:rPr>
          <w:rFonts w:ascii="Century Gothic" w:eastAsiaTheme="minorHAnsi" w:hAnsi="Century Gothic"/>
          <w:sz w:val="20"/>
          <w:szCs w:val="20"/>
          <w:lang w:val="en-AU"/>
        </w:rPr>
        <w:t xml:space="preserve"> as a condition of support</w:t>
      </w:r>
      <w:r w:rsidR="00F90FE5">
        <w:rPr>
          <w:rFonts w:ascii="Century Gothic" w:eastAsiaTheme="minorHAnsi" w:hAnsi="Century Gothic"/>
          <w:sz w:val="20"/>
          <w:szCs w:val="20"/>
          <w:lang w:val="en-AU"/>
        </w:rPr>
        <w:t xml:space="preserve"> – also seek more regular and open feedback from schools</w:t>
      </w:r>
    </w:p>
    <w:p w14:paraId="0A41A221" w14:textId="03EED022" w:rsidR="00F90FE5" w:rsidRDefault="00F90FE5"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u</w:t>
      </w:r>
      <w:r w:rsidR="00372633">
        <w:rPr>
          <w:rFonts w:ascii="Century Gothic" w:eastAsiaTheme="minorHAnsi" w:hAnsi="Century Gothic"/>
          <w:sz w:val="20"/>
          <w:szCs w:val="20"/>
          <w:lang w:val="en-AU"/>
        </w:rPr>
        <w:t>sing</w:t>
      </w:r>
      <w:r w:rsidR="00505E45" w:rsidRPr="00505E45">
        <w:rPr>
          <w:rFonts w:ascii="Century Gothic" w:eastAsiaTheme="minorHAnsi" w:hAnsi="Century Gothic"/>
          <w:sz w:val="20"/>
          <w:szCs w:val="20"/>
          <w:lang w:val="en-AU"/>
        </w:rPr>
        <w:t xml:space="preserve"> funds as a</w:t>
      </w:r>
      <w:r w:rsidR="00372633">
        <w:rPr>
          <w:rFonts w:ascii="Century Gothic" w:eastAsiaTheme="minorHAnsi" w:hAnsi="Century Gothic"/>
          <w:sz w:val="20"/>
          <w:szCs w:val="20"/>
          <w:lang w:val="en-AU"/>
        </w:rPr>
        <w:t>n incentive</w:t>
      </w:r>
      <w:r w:rsidR="00505E45" w:rsidRPr="00505E45">
        <w:rPr>
          <w:rFonts w:ascii="Century Gothic" w:eastAsiaTheme="minorHAnsi" w:hAnsi="Century Gothic"/>
          <w:sz w:val="20"/>
          <w:szCs w:val="20"/>
          <w:lang w:val="en-AU"/>
        </w:rPr>
        <w:t xml:space="preserve"> – not to fully subsidize </w:t>
      </w:r>
      <w:r>
        <w:rPr>
          <w:rFonts w:ascii="Century Gothic" w:eastAsiaTheme="minorHAnsi" w:hAnsi="Century Gothic"/>
          <w:sz w:val="20"/>
          <w:szCs w:val="20"/>
          <w:lang w:val="en-AU"/>
        </w:rPr>
        <w:t xml:space="preserve">activities </w:t>
      </w:r>
      <w:r w:rsidR="00505E45" w:rsidRPr="00505E45">
        <w:rPr>
          <w:rFonts w:ascii="Century Gothic" w:eastAsiaTheme="minorHAnsi" w:hAnsi="Century Gothic"/>
          <w:sz w:val="20"/>
          <w:szCs w:val="20"/>
          <w:lang w:val="en-AU"/>
        </w:rPr>
        <w:t xml:space="preserve">but </w:t>
      </w:r>
      <w:r w:rsidR="00372633">
        <w:rPr>
          <w:rFonts w:ascii="Century Gothic" w:eastAsiaTheme="minorHAnsi" w:hAnsi="Century Gothic"/>
          <w:sz w:val="20"/>
          <w:szCs w:val="20"/>
          <w:lang w:val="en-AU"/>
        </w:rPr>
        <w:t xml:space="preserve">use as a lever </w:t>
      </w:r>
      <w:r w:rsidR="00D118C2">
        <w:rPr>
          <w:rFonts w:ascii="Century Gothic" w:eastAsiaTheme="minorHAnsi" w:hAnsi="Century Gothic"/>
          <w:sz w:val="20"/>
          <w:szCs w:val="20"/>
          <w:lang w:val="en-AU"/>
        </w:rPr>
        <w:t xml:space="preserve">to secure </w:t>
      </w:r>
      <w:r w:rsidR="00372633">
        <w:rPr>
          <w:rFonts w:ascii="Century Gothic" w:eastAsiaTheme="minorHAnsi" w:hAnsi="Century Gothic"/>
          <w:sz w:val="20"/>
          <w:szCs w:val="20"/>
          <w:lang w:val="en-AU"/>
        </w:rPr>
        <w:t xml:space="preserve">commitment and </w:t>
      </w:r>
      <w:r w:rsidR="00D118C2">
        <w:rPr>
          <w:rFonts w:ascii="Century Gothic" w:eastAsiaTheme="minorHAnsi" w:hAnsi="Century Gothic"/>
          <w:sz w:val="20"/>
          <w:szCs w:val="20"/>
          <w:lang w:val="en-AU"/>
        </w:rPr>
        <w:t>buy-in</w:t>
      </w:r>
    </w:p>
    <w:p w14:paraId="61FF2609" w14:textId="76E98C6F" w:rsidR="00505E45" w:rsidRDefault="00505E45" w:rsidP="006A1D2B">
      <w:pPr>
        <w:pStyle w:val="ListParagraph"/>
        <w:numPr>
          <w:ilvl w:val="0"/>
          <w:numId w:val="9"/>
        </w:numPr>
        <w:spacing w:after="200" w:line="276" w:lineRule="auto"/>
        <w:ind w:right="-340"/>
        <w:jc w:val="both"/>
        <w:rPr>
          <w:rFonts w:ascii="Century Gothic" w:eastAsiaTheme="minorHAnsi" w:hAnsi="Century Gothic"/>
          <w:sz w:val="20"/>
          <w:szCs w:val="20"/>
          <w:lang w:val="en-AU"/>
        </w:rPr>
      </w:pPr>
      <w:r w:rsidRPr="00505E45">
        <w:rPr>
          <w:rFonts w:ascii="Century Gothic" w:eastAsiaTheme="minorHAnsi" w:hAnsi="Century Gothic"/>
          <w:sz w:val="20"/>
          <w:szCs w:val="20"/>
          <w:lang w:val="en-AU"/>
        </w:rPr>
        <w:t>build sustainability</w:t>
      </w:r>
      <w:r w:rsidR="00F90FE5">
        <w:rPr>
          <w:rFonts w:ascii="Century Gothic" w:eastAsiaTheme="minorHAnsi" w:hAnsi="Century Gothic"/>
          <w:sz w:val="20"/>
          <w:szCs w:val="20"/>
          <w:lang w:val="en-AU"/>
        </w:rPr>
        <w:t xml:space="preserve"> by developing expertise and deep</w:t>
      </w:r>
      <w:r w:rsidR="007C7FAF">
        <w:rPr>
          <w:rFonts w:ascii="Century Gothic" w:eastAsiaTheme="minorHAnsi" w:hAnsi="Century Gothic"/>
          <w:sz w:val="20"/>
          <w:szCs w:val="20"/>
          <w:lang w:val="en-AU"/>
        </w:rPr>
        <w:t xml:space="preserve"> understanding on schools needs</w:t>
      </w:r>
    </w:p>
    <w:p w14:paraId="1894C986" w14:textId="3A4226B3" w:rsidR="00AD6321" w:rsidRPr="00AD6321" w:rsidRDefault="00AD6321"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 contested but important theme is whether to establish a </w:t>
      </w:r>
      <w:r w:rsidRPr="00AD6321">
        <w:rPr>
          <w:rFonts w:ascii="Century Gothic" w:eastAsiaTheme="minorHAnsi" w:hAnsi="Century Gothic"/>
          <w:sz w:val="20"/>
          <w:szCs w:val="20"/>
          <w:lang w:val="en-AU"/>
        </w:rPr>
        <w:t xml:space="preserve">clearer agreement with schools on outcomes to replace more open-ended grants </w:t>
      </w:r>
      <w:r>
        <w:rPr>
          <w:rFonts w:ascii="Century Gothic" w:eastAsiaTheme="minorHAnsi" w:hAnsi="Century Gothic"/>
          <w:sz w:val="20"/>
          <w:szCs w:val="20"/>
          <w:lang w:val="en-AU"/>
        </w:rPr>
        <w:t>(</w:t>
      </w:r>
      <w:r w:rsidRPr="00AD6321">
        <w:rPr>
          <w:rFonts w:ascii="Century Gothic" w:eastAsiaTheme="minorHAnsi" w:hAnsi="Century Gothic"/>
          <w:sz w:val="20"/>
          <w:szCs w:val="20"/>
          <w:lang w:val="en-AU"/>
        </w:rPr>
        <w:t xml:space="preserve">might include </w:t>
      </w:r>
      <w:r w:rsidR="00372633">
        <w:rPr>
          <w:rFonts w:ascii="Century Gothic" w:eastAsiaTheme="minorHAnsi" w:hAnsi="Century Gothic"/>
          <w:sz w:val="20"/>
          <w:szCs w:val="20"/>
          <w:lang w:val="en-AU"/>
        </w:rPr>
        <w:t xml:space="preserve">some non-negotiables - </w:t>
      </w:r>
      <w:r>
        <w:rPr>
          <w:rFonts w:ascii="Century Gothic" w:eastAsiaTheme="minorHAnsi" w:hAnsi="Century Gothic"/>
          <w:sz w:val="20"/>
          <w:szCs w:val="20"/>
          <w:lang w:val="en-AU"/>
        </w:rPr>
        <w:t>such as</w:t>
      </w:r>
      <w:r w:rsidRPr="00AD6321">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involvement of </w:t>
      </w:r>
      <w:r w:rsidRPr="00AD6321">
        <w:rPr>
          <w:rFonts w:ascii="Century Gothic" w:eastAsiaTheme="minorHAnsi" w:hAnsi="Century Gothic"/>
          <w:sz w:val="20"/>
          <w:szCs w:val="20"/>
          <w:lang w:val="en-AU"/>
        </w:rPr>
        <w:t>principals)</w:t>
      </w:r>
      <w:r>
        <w:rPr>
          <w:rFonts w:ascii="Century Gothic" w:eastAsiaTheme="minorHAnsi" w:hAnsi="Century Gothic"/>
          <w:sz w:val="20"/>
          <w:szCs w:val="20"/>
          <w:lang w:val="en-AU"/>
        </w:rPr>
        <w:t xml:space="preserve"> versus leaving the specific</w:t>
      </w:r>
      <w:r w:rsidR="00372633">
        <w:rPr>
          <w:rFonts w:ascii="Century Gothic" w:eastAsiaTheme="minorHAnsi" w:hAnsi="Century Gothic"/>
          <w:sz w:val="20"/>
          <w:szCs w:val="20"/>
          <w:lang w:val="en-AU"/>
        </w:rPr>
        <w:t>ation of measures to the school.</w:t>
      </w:r>
    </w:p>
    <w:p w14:paraId="7615C020" w14:textId="601FC6BE" w:rsidR="008E7F49" w:rsidRPr="00C1398B" w:rsidRDefault="00D46F6A" w:rsidP="004B2D8A">
      <w:pPr>
        <w:spacing w:after="200" w:line="276" w:lineRule="auto"/>
        <w:ind w:right="-340"/>
        <w:jc w:val="both"/>
        <w:rPr>
          <w:rFonts w:ascii="Century Gothic" w:eastAsiaTheme="minorHAnsi" w:hAnsi="Century Gothic"/>
          <w:sz w:val="20"/>
          <w:szCs w:val="20"/>
          <w:lang w:val="en-AU"/>
        </w:rPr>
      </w:pPr>
      <w:r w:rsidRPr="00D46F6A">
        <w:rPr>
          <w:rFonts w:ascii="Century Gothic" w:eastAsiaTheme="minorHAnsi" w:hAnsi="Century Gothic"/>
          <w:sz w:val="20"/>
          <w:szCs w:val="20"/>
          <w:lang w:val="en-AU"/>
        </w:rPr>
        <w:t>The challenge for government is to enable NGRBs to interpret the needs of their schools and to offer the support that works best for them</w:t>
      </w:r>
      <w:r w:rsidR="00DC76AC">
        <w:rPr>
          <w:rFonts w:ascii="Century Gothic" w:eastAsiaTheme="minorHAnsi" w:hAnsi="Century Gothic"/>
          <w:sz w:val="20"/>
          <w:szCs w:val="20"/>
          <w:lang w:val="en-AU"/>
        </w:rPr>
        <w:t xml:space="preserve"> </w:t>
      </w:r>
      <w:r w:rsidR="00AD6321">
        <w:rPr>
          <w:rFonts w:ascii="Century Gothic" w:eastAsiaTheme="minorHAnsi" w:hAnsi="Century Gothic"/>
          <w:sz w:val="20"/>
          <w:szCs w:val="20"/>
          <w:lang w:val="en-AU"/>
        </w:rPr>
        <w:t xml:space="preserve">but </w:t>
      </w:r>
      <w:r w:rsidR="00DC76AC">
        <w:rPr>
          <w:rFonts w:ascii="Century Gothic" w:eastAsiaTheme="minorHAnsi" w:hAnsi="Century Gothic"/>
          <w:sz w:val="20"/>
          <w:szCs w:val="20"/>
          <w:lang w:val="en-AU"/>
        </w:rPr>
        <w:t>within a context of</w:t>
      </w:r>
      <w:r w:rsidR="007C7FAF">
        <w:rPr>
          <w:rFonts w:ascii="Century Gothic" w:eastAsiaTheme="minorHAnsi" w:hAnsi="Century Gothic"/>
          <w:sz w:val="20"/>
          <w:szCs w:val="20"/>
          <w:lang w:val="en-AU"/>
        </w:rPr>
        <w:t xml:space="preserve"> national and state priorities.</w:t>
      </w:r>
    </w:p>
    <w:p w14:paraId="29BC7637" w14:textId="243737FD" w:rsidR="00D53A5D" w:rsidRPr="005621A8" w:rsidRDefault="00AD6321" w:rsidP="005621A8">
      <w:pPr>
        <w:pStyle w:val="Heading2"/>
        <w:rPr>
          <w:rStyle w:val="IntenseReference"/>
          <w:b/>
          <w:bCs/>
          <w:smallCaps w:val="0"/>
          <w:color w:val="0070C0"/>
          <w:spacing w:val="0"/>
        </w:rPr>
      </w:pPr>
      <w:bookmarkStart w:id="115" w:name="_Toc472262599"/>
      <w:bookmarkStart w:id="116" w:name="_Toc495587315"/>
      <w:r w:rsidRPr="005621A8">
        <w:rPr>
          <w:rStyle w:val="IntenseReference"/>
          <w:b/>
          <w:bCs/>
          <w:smallCaps w:val="0"/>
          <w:color w:val="0070C0"/>
          <w:spacing w:val="0"/>
        </w:rPr>
        <w:t xml:space="preserve">5.3 </w:t>
      </w:r>
      <w:r w:rsidR="005D40DE" w:rsidRPr="005621A8">
        <w:rPr>
          <w:rStyle w:val="IntenseReference"/>
          <w:b/>
          <w:bCs/>
          <w:smallCaps w:val="0"/>
          <w:color w:val="0070C0"/>
          <w:spacing w:val="0"/>
        </w:rPr>
        <w:tab/>
      </w:r>
      <w:r w:rsidR="00F62A87" w:rsidRPr="005621A8">
        <w:rPr>
          <w:rStyle w:val="IntenseReference"/>
          <w:b/>
          <w:bCs/>
          <w:smallCaps w:val="0"/>
          <w:color w:val="0070C0"/>
          <w:spacing w:val="0"/>
        </w:rPr>
        <w:t xml:space="preserve">A </w:t>
      </w:r>
      <w:r w:rsidR="00372633" w:rsidRPr="005621A8">
        <w:rPr>
          <w:rStyle w:val="IntenseReference"/>
          <w:b/>
          <w:bCs/>
          <w:smallCaps w:val="0"/>
          <w:color w:val="0070C0"/>
          <w:spacing w:val="0"/>
        </w:rPr>
        <w:t>model for</w:t>
      </w:r>
      <w:r w:rsidR="00F62A87" w:rsidRPr="005621A8">
        <w:rPr>
          <w:rStyle w:val="IntenseReference"/>
          <w:b/>
          <w:bCs/>
          <w:smallCaps w:val="0"/>
          <w:color w:val="0070C0"/>
          <w:spacing w:val="0"/>
        </w:rPr>
        <w:t xml:space="preserve"> coherent and effective system </w:t>
      </w:r>
      <w:bookmarkEnd w:id="115"/>
      <w:r w:rsidR="00372633" w:rsidRPr="005621A8">
        <w:rPr>
          <w:rStyle w:val="IntenseReference"/>
          <w:b/>
          <w:bCs/>
          <w:smallCaps w:val="0"/>
          <w:color w:val="0070C0"/>
          <w:spacing w:val="0"/>
        </w:rPr>
        <w:t>implementation</w:t>
      </w:r>
      <w:bookmarkEnd w:id="116"/>
    </w:p>
    <w:p w14:paraId="42C023B4" w14:textId="47CB71D3" w:rsidR="00C3372D" w:rsidRDefault="00F52A4A" w:rsidP="00F62A87">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Education strategies have to take account of increasing complexity. </w:t>
      </w:r>
      <w:r w:rsidR="00C3372D">
        <w:rPr>
          <w:rFonts w:ascii="Century Gothic" w:eastAsiaTheme="minorHAnsi" w:hAnsi="Century Gothic"/>
          <w:sz w:val="20"/>
          <w:szCs w:val="20"/>
          <w:lang w:val="en-AU"/>
        </w:rPr>
        <w:t>E</w:t>
      </w:r>
      <w:r w:rsidR="00F62A87" w:rsidRPr="00F62A87">
        <w:rPr>
          <w:rFonts w:ascii="Century Gothic" w:eastAsiaTheme="minorHAnsi" w:hAnsi="Century Gothic"/>
          <w:sz w:val="20"/>
          <w:szCs w:val="20"/>
          <w:lang w:val="en-AU"/>
        </w:rPr>
        <w:t>ducation</w:t>
      </w:r>
      <w:r w:rsidR="00865D49">
        <w:rPr>
          <w:rFonts w:ascii="Century Gothic" w:eastAsiaTheme="minorHAnsi" w:hAnsi="Century Gothic"/>
          <w:sz w:val="20"/>
          <w:szCs w:val="20"/>
          <w:lang w:val="en-AU"/>
        </w:rPr>
        <w:t xml:space="preserve"> in Australia, as </w:t>
      </w:r>
      <w:r w:rsidR="00F62A87">
        <w:rPr>
          <w:rFonts w:ascii="Century Gothic" w:eastAsiaTheme="minorHAnsi" w:hAnsi="Century Gothic"/>
          <w:sz w:val="20"/>
          <w:szCs w:val="20"/>
          <w:lang w:val="en-AU"/>
        </w:rPr>
        <w:t>in most countries</w:t>
      </w:r>
      <w:r w:rsidR="00865D49">
        <w:rPr>
          <w:rFonts w:ascii="Century Gothic" w:eastAsiaTheme="minorHAnsi" w:hAnsi="Century Gothic"/>
          <w:sz w:val="20"/>
          <w:szCs w:val="20"/>
          <w:lang w:val="en-AU"/>
        </w:rPr>
        <w:t>,</w:t>
      </w:r>
      <w:r w:rsidR="00F62A87">
        <w:rPr>
          <w:rFonts w:ascii="Century Gothic" w:eastAsiaTheme="minorHAnsi" w:hAnsi="Century Gothic"/>
          <w:sz w:val="20"/>
          <w:szCs w:val="20"/>
          <w:lang w:val="en-AU"/>
        </w:rPr>
        <w:t xml:space="preserve"> is characte</w:t>
      </w:r>
      <w:r w:rsidR="00C3372D">
        <w:rPr>
          <w:rFonts w:ascii="Century Gothic" w:eastAsiaTheme="minorHAnsi" w:hAnsi="Century Gothic"/>
          <w:sz w:val="20"/>
          <w:szCs w:val="20"/>
          <w:lang w:val="en-AU"/>
        </w:rPr>
        <w:t xml:space="preserve">rised by multi-level governance, multiple reform priorities, </w:t>
      </w:r>
      <w:r>
        <w:rPr>
          <w:rFonts w:ascii="Century Gothic" w:eastAsiaTheme="minorHAnsi" w:hAnsi="Century Gothic"/>
          <w:sz w:val="20"/>
          <w:szCs w:val="20"/>
          <w:lang w:val="en-AU"/>
        </w:rPr>
        <w:t>diverse</w:t>
      </w:r>
      <w:r w:rsidR="00C3372D">
        <w:rPr>
          <w:rFonts w:ascii="Century Gothic" w:eastAsiaTheme="minorHAnsi" w:hAnsi="Century Gothic"/>
          <w:sz w:val="20"/>
          <w:szCs w:val="20"/>
          <w:lang w:val="en-AU"/>
        </w:rPr>
        <w:t xml:space="preserve"> accountabilities and areas that are fluid and open to </w:t>
      </w:r>
      <w:r w:rsidR="00865D49">
        <w:rPr>
          <w:rFonts w:ascii="Century Gothic" w:eastAsiaTheme="minorHAnsi" w:hAnsi="Century Gothic"/>
          <w:sz w:val="20"/>
          <w:szCs w:val="20"/>
          <w:lang w:val="en-AU"/>
        </w:rPr>
        <w:t>negotiation.</w:t>
      </w:r>
      <w:r w:rsidR="00C3372D">
        <w:rPr>
          <w:rStyle w:val="FootnoteReference"/>
          <w:rFonts w:ascii="Century Gothic" w:eastAsiaTheme="minorHAnsi" w:hAnsi="Century Gothic"/>
          <w:sz w:val="20"/>
          <w:szCs w:val="20"/>
          <w:lang w:val="en-AU"/>
        </w:rPr>
        <w:footnoteReference w:id="5"/>
      </w:r>
      <w:r w:rsidR="00C3372D">
        <w:rPr>
          <w:rFonts w:ascii="Century Gothic" w:eastAsiaTheme="minorHAnsi" w:hAnsi="Century Gothic"/>
          <w:sz w:val="20"/>
          <w:szCs w:val="20"/>
          <w:lang w:val="en-AU"/>
        </w:rPr>
        <w:t xml:space="preserve"> </w:t>
      </w:r>
      <w:r w:rsidR="00865D49">
        <w:rPr>
          <w:rFonts w:ascii="Century Gothic" w:eastAsiaTheme="minorHAnsi" w:hAnsi="Century Gothic"/>
          <w:sz w:val="20"/>
          <w:szCs w:val="20"/>
          <w:lang w:val="en-AU"/>
        </w:rPr>
        <w:t>Australian education has the added urgent pressure t</w:t>
      </w:r>
      <w:r w:rsidR="00235AD7">
        <w:rPr>
          <w:rFonts w:ascii="Century Gothic" w:eastAsiaTheme="minorHAnsi" w:hAnsi="Century Gothic"/>
          <w:sz w:val="20"/>
          <w:szCs w:val="20"/>
          <w:lang w:val="en-AU"/>
        </w:rPr>
        <w:t>o improve students’ performance and collectively a</w:t>
      </w:r>
      <w:r w:rsidR="007C7FAF">
        <w:rPr>
          <w:rFonts w:ascii="Century Gothic" w:eastAsiaTheme="minorHAnsi" w:hAnsi="Century Gothic"/>
          <w:sz w:val="20"/>
          <w:szCs w:val="20"/>
          <w:lang w:val="en-AU"/>
        </w:rPr>
        <w:t>gree how that is best achieved.</w:t>
      </w:r>
    </w:p>
    <w:p w14:paraId="0BF12AB5" w14:textId="04D14F2B" w:rsidR="00CD648A" w:rsidRPr="00CD648A" w:rsidRDefault="00235AD7" w:rsidP="00CD64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SFSF is part of the Australian Government’s strategy for </w:t>
      </w:r>
      <w:r w:rsidR="00372633">
        <w:rPr>
          <w:rFonts w:ascii="Century Gothic" w:eastAsiaTheme="minorHAnsi" w:hAnsi="Century Gothic"/>
          <w:sz w:val="20"/>
          <w:szCs w:val="20"/>
          <w:lang w:val="en-AU"/>
        </w:rPr>
        <w:t xml:space="preserve">school improvement. While </w:t>
      </w:r>
      <w:r w:rsidR="00F43C71">
        <w:rPr>
          <w:rFonts w:ascii="Century Gothic" w:eastAsiaTheme="minorHAnsi" w:hAnsi="Century Gothic"/>
          <w:sz w:val="20"/>
          <w:szCs w:val="20"/>
          <w:lang w:val="en-AU"/>
        </w:rPr>
        <w:t xml:space="preserve">the Review has identified </w:t>
      </w:r>
      <w:r w:rsidR="00372633">
        <w:rPr>
          <w:rFonts w:ascii="Century Gothic" w:eastAsiaTheme="minorHAnsi" w:hAnsi="Century Gothic"/>
          <w:sz w:val="20"/>
          <w:szCs w:val="20"/>
          <w:lang w:val="en-AU"/>
        </w:rPr>
        <w:t xml:space="preserve">some impressive initiatives </w:t>
      </w:r>
      <w:r w:rsidR="00F43C71">
        <w:rPr>
          <w:rFonts w:ascii="Century Gothic" w:eastAsiaTheme="minorHAnsi" w:hAnsi="Century Gothic"/>
          <w:sz w:val="20"/>
          <w:szCs w:val="20"/>
          <w:lang w:val="en-AU"/>
        </w:rPr>
        <w:t xml:space="preserve">there is a strong case for a more coherent </w:t>
      </w:r>
      <w:r w:rsidR="00372633">
        <w:rPr>
          <w:rFonts w:ascii="Century Gothic" w:eastAsiaTheme="minorHAnsi" w:hAnsi="Century Gothic"/>
          <w:sz w:val="20"/>
          <w:szCs w:val="20"/>
          <w:lang w:val="en-AU"/>
        </w:rPr>
        <w:t>and outcomes focussed approach to implementation of priorities</w:t>
      </w:r>
      <w:r w:rsidR="00CD648A" w:rsidRPr="00CD648A">
        <w:rPr>
          <w:rFonts w:ascii="Century Gothic" w:eastAsiaTheme="minorHAnsi" w:hAnsi="Century Gothic"/>
          <w:sz w:val="20"/>
          <w:szCs w:val="20"/>
          <w:lang w:val="en-AU"/>
        </w:rPr>
        <w:t xml:space="preserve">. Many NGRBs are reflecting on the </w:t>
      </w:r>
      <w:r w:rsidR="00F43C71">
        <w:rPr>
          <w:rFonts w:ascii="Century Gothic" w:eastAsiaTheme="minorHAnsi" w:hAnsi="Century Gothic"/>
          <w:sz w:val="20"/>
          <w:szCs w:val="20"/>
          <w:lang w:val="en-AU"/>
        </w:rPr>
        <w:t xml:space="preserve">effectiveness </w:t>
      </w:r>
      <w:r w:rsidR="00CD648A" w:rsidRPr="00CD648A">
        <w:rPr>
          <w:rFonts w:ascii="Century Gothic" w:eastAsiaTheme="minorHAnsi" w:hAnsi="Century Gothic"/>
          <w:sz w:val="20"/>
          <w:szCs w:val="20"/>
          <w:lang w:val="en-AU"/>
        </w:rPr>
        <w:t>of their role and would welcome a discussion of their support s</w:t>
      </w:r>
      <w:r w:rsidR="007C7FAF">
        <w:rPr>
          <w:rFonts w:ascii="Century Gothic" w:eastAsiaTheme="minorHAnsi" w:hAnsi="Century Gothic"/>
          <w:sz w:val="20"/>
          <w:szCs w:val="20"/>
          <w:lang w:val="en-AU"/>
        </w:rPr>
        <w:t>trategy at this ‘system’ level.</w:t>
      </w:r>
    </w:p>
    <w:p w14:paraId="1FB5EA1F" w14:textId="347886E7" w:rsidR="00865D49" w:rsidRDefault="00CD648A" w:rsidP="00F62A87">
      <w:pPr>
        <w:spacing w:after="200" w:line="276" w:lineRule="auto"/>
        <w:ind w:right="-340"/>
        <w:jc w:val="both"/>
        <w:rPr>
          <w:b/>
          <w:szCs w:val="20"/>
        </w:rPr>
      </w:pPr>
      <w:r w:rsidRPr="00CD648A">
        <w:rPr>
          <w:rFonts w:ascii="Century Gothic" w:eastAsiaTheme="minorHAnsi" w:hAnsi="Century Gothic"/>
          <w:sz w:val="20"/>
          <w:szCs w:val="20"/>
          <w:lang w:val="en-AU"/>
        </w:rPr>
        <w:t>The diagram below represents a set of factors that comprise a proposed strategy for NGRB support.</w:t>
      </w:r>
      <w:r w:rsidR="00F52A4A">
        <w:rPr>
          <w:rStyle w:val="FootnoteReference"/>
          <w:rFonts w:ascii="Century Gothic" w:eastAsiaTheme="minorHAnsi" w:hAnsi="Century Gothic"/>
          <w:sz w:val="20"/>
          <w:szCs w:val="20"/>
          <w:lang w:val="en-AU"/>
        </w:rPr>
        <w:footnoteReference w:id="6"/>
      </w:r>
      <w:r w:rsidRPr="00CD648A">
        <w:rPr>
          <w:rFonts w:ascii="Century Gothic" w:eastAsiaTheme="minorHAnsi" w:hAnsi="Century Gothic"/>
          <w:sz w:val="20"/>
          <w:szCs w:val="20"/>
          <w:lang w:val="en-AU"/>
        </w:rPr>
        <w:t xml:space="preserve">  Most were suggested by NGRBs as discrete elements and they have been assembled in a model to indicate how to enhance the national impact of SFSF</w:t>
      </w:r>
      <w:r w:rsidR="007C7FAF">
        <w:rPr>
          <w:szCs w:val="20"/>
        </w:rPr>
        <w:t>.</w:t>
      </w:r>
    </w:p>
    <w:p w14:paraId="131BB6FD" w14:textId="0761708F" w:rsidR="00F52A4A" w:rsidRPr="00F52A4A" w:rsidRDefault="00F52A4A" w:rsidP="00F62A87">
      <w:pPr>
        <w:spacing w:after="200" w:line="276" w:lineRule="auto"/>
        <w:ind w:right="-340"/>
        <w:jc w:val="both"/>
        <w:rPr>
          <w:b/>
          <w:szCs w:val="20"/>
        </w:rPr>
      </w:pPr>
      <w:r>
        <w:rPr>
          <w:noProof/>
          <w:color w:val="0070C0"/>
          <w:szCs w:val="20"/>
          <w:lang w:val="en-AU" w:eastAsia="en-AU"/>
        </w:rPr>
        <w:drawing>
          <wp:inline distT="0" distB="0" distL="0" distR="0" wp14:anchorId="4BBC576C" wp14:editId="24964C98">
            <wp:extent cx="5486400" cy="2808514"/>
            <wp:effectExtent l="0" t="0" r="0" b="11430"/>
            <wp:docPr id="17" name="Diagram 17" descr="Elements in this diagram include strategy and governance, capactiy, collaboration, procedures, and implementation." title="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7735E91" w14:textId="3F56C5FF" w:rsidR="00F52A4A" w:rsidRPr="00A8115E" w:rsidRDefault="00F52A4A" w:rsidP="00A8115E">
      <w:pPr>
        <w:spacing w:after="200" w:line="276" w:lineRule="auto"/>
        <w:ind w:right="-340"/>
        <w:jc w:val="both"/>
        <w:rPr>
          <w:rFonts w:ascii="Century Gothic" w:eastAsiaTheme="minorHAnsi" w:hAnsi="Century Gothic"/>
          <w:sz w:val="20"/>
          <w:szCs w:val="20"/>
          <w:lang w:val="en-AU"/>
        </w:rPr>
      </w:pPr>
      <w:r w:rsidRPr="00A8115E">
        <w:rPr>
          <w:rFonts w:ascii="Century Gothic" w:eastAsiaTheme="minorHAnsi" w:hAnsi="Century Gothic"/>
          <w:sz w:val="20"/>
          <w:szCs w:val="20"/>
          <w:lang w:val="en-AU"/>
        </w:rPr>
        <w:t>This model provides a coherent systems approach to implementing national reform priorities to achieve school improvemen</w:t>
      </w:r>
      <w:r w:rsidR="00A8115E">
        <w:rPr>
          <w:rFonts w:ascii="Century Gothic" w:eastAsiaTheme="minorHAnsi" w:hAnsi="Century Gothic"/>
          <w:sz w:val="20"/>
          <w:szCs w:val="20"/>
          <w:lang w:val="en-AU"/>
        </w:rPr>
        <w:t>t.</w:t>
      </w:r>
    </w:p>
    <w:p w14:paraId="7FFFCF6B" w14:textId="77777777" w:rsidR="00F52A4A" w:rsidRPr="009D199A" w:rsidRDefault="00F52A4A" w:rsidP="009D199A">
      <w:pPr>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 xml:space="preserve">Strategy and governance </w:t>
      </w:r>
    </w:p>
    <w:p w14:paraId="47553654" w14:textId="084F8F3F" w:rsidR="00160F3B" w:rsidRPr="00372633" w:rsidRDefault="00F52A4A" w:rsidP="006A1D2B">
      <w:pPr>
        <w:pStyle w:val="ListParagraph"/>
        <w:numPr>
          <w:ilvl w:val="0"/>
          <w:numId w:val="9"/>
        </w:numPr>
        <w:spacing w:line="276" w:lineRule="auto"/>
        <w:ind w:right="-340"/>
        <w:jc w:val="both"/>
        <w:rPr>
          <w:rFonts w:ascii="Century Gothic" w:eastAsiaTheme="minorHAnsi" w:hAnsi="Century Gothic"/>
          <w:i/>
          <w:sz w:val="20"/>
          <w:szCs w:val="20"/>
          <w:lang w:val="en-AU"/>
        </w:rPr>
      </w:pPr>
      <w:r w:rsidRPr="00372633">
        <w:rPr>
          <w:rFonts w:ascii="Century Gothic" w:eastAsiaTheme="minorHAnsi" w:hAnsi="Century Gothic"/>
          <w:i/>
          <w:sz w:val="20"/>
          <w:szCs w:val="20"/>
          <w:lang w:val="en-AU"/>
        </w:rPr>
        <w:t xml:space="preserve">A vision for a ‘system’ </w:t>
      </w:r>
      <w:r w:rsidR="00853F64" w:rsidRPr="00372633">
        <w:rPr>
          <w:rFonts w:ascii="Century Gothic" w:eastAsiaTheme="minorHAnsi" w:hAnsi="Century Gothic"/>
          <w:i/>
          <w:sz w:val="20"/>
          <w:szCs w:val="20"/>
          <w:lang w:val="en-AU"/>
        </w:rPr>
        <w:t xml:space="preserve">role for NGRBs in context with </w:t>
      </w:r>
      <w:r w:rsidRPr="00372633">
        <w:rPr>
          <w:rFonts w:ascii="Century Gothic" w:eastAsiaTheme="minorHAnsi" w:hAnsi="Century Gothic"/>
          <w:i/>
          <w:sz w:val="20"/>
          <w:szCs w:val="20"/>
          <w:lang w:val="en-AU"/>
        </w:rPr>
        <w:t>school autonomy and State and Territory jurisdictional roles</w:t>
      </w:r>
      <w:r w:rsidR="00A8115E" w:rsidRPr="00372633">
        <w:rPr>
          <w:rFonts w:ascii="Century Gothic" w:eastAsiaTheme="minorHAnsi" w:hAnsi="Century Gothic"/>
          <w:i/>
          <w:sz w:val="20"/>
          <w:szCs w:val="20"/>
          <w:lang w:val="en-AU"/>
        </w:rPr>
        <w:t xml:space="preserve">. </w:t>
      </w:r>
      <w:r w:rsidR="00372633">
        <w:rPr>
          <w:rFonts w:ascii="Century Gothic" w:eastAsiaTheme="minorHAnsi" w:hAnsi="Century Gothic"/>
          <w:sz w:val="20"/>
          <w:szCs w:val="20"/>
          <w:lang w:val="en-AU"/>
        </w:rPr>
        <w:t>S</w:t>
      </w:r>
      <w:r w:rsidR="00372633" w:rsidRPr="00160F3B">
        <w:rPr>
          <w:rFonts w:ascii="Century Gothic" w:eastAsiaTheme="minorHAnsi" w:hAnsi="Century Gothic"/>
          <w:sz w:val="20"/>
          <w:szCs w:val="20"/>
          <w:lang w:val="en-AU"/>
        </w:rPr>
        <w:t>chools are mostly unawar</w:t>
      </w:r>
      <w:r w:rsidR="00372633">
        <w:rPr>
          <w:rFonts w:ascii="Century Gothic" w:eastAsiaTheme="minorHAnsi" w:hAnsi="Century Gothic"/>
          <w:sz w:val="20"/>
          <w:szCs w:val="20"/>
          <w:lang w:val="en-AU"/>
        </w:rPr>
        <w:t>e of the origins and import of national priorities</w:t>
      </w:r>
      <w:r w:rsidR="00372633" w:rsidRPr="00160F3B">
        <w:rPr>
          <w:rFonts w:ascii="Century Gothic" w:eastAsiaTheme="minorHAnsi" w:hAnsi="Century Gothic"/>
          <w:sz w:val="20"/>
          <w:szCs w:val="20"/>
          <w:lang w:val="en-AU"/>
        </w:rPr>
        <w:t xml:space="preserve"> and how they relate to NGRBs. This suggests a more coherent reform narrative is warranted, p</w:t>
      </w:r>
      <w:r w:rsidR="00372633">
        <w:rPr>
          <w:rFonts w:ascii="Century Gothic" w:eastAsiaTheme="minorHAnsi" w:hAnsi="Century Gothic"/>
          <w:sz w:val="20"/>
          <w:szCs w:val="20"/>
          <w:lang w:val="en-AU"/>
        </w:rPr>
        <w:t>articularly in relation to the n</w:t>
      </w:r>
      <w:r w:rsidR="00372633" w:rsidRPr="00160F3B">
        <w:rPr>
          <w:rFonts w:ascii="Century Gothic" w:eastAsiaTheme="minorHAnsi" w:hAnsi="Century Gothic"/>
          <w:sz w:val="20"/>
          <w:szCs w:val="20"/>
          <w:lang w:val="en-AU"/>
        </w:rPr>
        <w:t>ationa</w:t>
      </w:r>
      <w:r w:rsidR="00372633">
        <w:rPr>
          <w:rFonts w:ascii="Century Gothic" w:eastAsiaTheme="minorHAnsi" w:hAnsi="Century Gothic"/>
          <w:sz w:val="20"/>
          <w:szCs w:val="20"/>
          <w:lang w:val="en-AU"/>
        </w:rPr>
        <w:t>l p</w:t>
      </w:r>
      <w:r w:rsidR="007C7FAF">
        <w:rPr>
          <w:rFonts w:ascii="Century Gothic" w:eastAsiaTheme="minorHAnsi" w:hAnsi="Century Gothic"/>
          <w:sz w:val="20"/>
          <w:szCs w:val="20"/>
          <w:lang w:val="en-AU"/>
        </w:rPr>
        <w:t>riorities.</w:t>
      </w:r>
    </w:p>
    <w:p w14:paraId="77CFD2F4" w14:textId="77777777" w:rsidR="00372633" w:rsidRPr="00372633" w:rsidRDefault="00372633" w:rsidP="00372633">
      <w:pPr>
        <w:pStyle w:val="ListParagraph"/>
        <w:spacing w:line="276" w:lineRule="auto"/>
        <w:ind w:right="-340"/>
        <w:jc w:val="both"/>
        <w:rPr>
          <w:rFonts w:ascii="Century Gothic" w:eastAsiaTheme="minorHAnsi" w:hAnsi="Century Gothic"/>
          <w:i/>
          <w:sz w:val="20"/>
          <w:szCs w:val="20"/>
          <w:lang w:val="en-AU"/>
        </w:rPr>
      </w:pPr>
    </w:p>
    <w:p w14:paraId="438255B6" w14:textId="3EF37911" w:rsidR="00A8115E" w:rsidRDefault="00A8115E" w:rsidP="006A1D2B">
      <w:pPr>
        <w:pStyle w:val="ListParagraph"/>
        <w:numPr>
          <w:ilvl w:val="0"/>
          <w:numId w:val="9"/>
        </w:numPr>
        <w:spacing w:line="276" w:lineRule="auto"/>
        <w:ind w:right="-340"/>
        <w:jc w:val="both"/>
        <w:rPr>
          <w:rFonts w:ascii="Century Gothic" w:eastAsiaTheme="minorHAnsi" w:hAnsi="Century Gothic"/>
          <w:sz w:val="20"/>
          <w:szCs w:val="20"/>
          <w:lang w:val="en-AU"/>
        </w:rPr>
      </w:pPr>
      <w:r w:rsidRPr="00180684">
        <w:rPr>
          <w:rFonts w:ascii="Century Gothic" w:eastAsiaTheme="minorHAnsi" w:hAnsi="Century Gothic"/>
          <w:i/>
          <w:sz w:val="20"/>
          <w:szCs w:val="20"/>
          <w:lang w:val="en-AU"/>
        </w:rPr>
        <w:t>Clearer line of sight between national priorities, measures, resources and actions.</w:t>
      </w:r>
      <w:r>
        <w:rPr>
          <w:rFonts w:ascii="Century Gothic" w:eastAsiaTheme="minorHAnsi" w:hAnsi="Century Gothic"/>
          <w:sz w:val="20"/>
          <w:szCs w:val="20"/>
          <w:lang w:val="en-AU"/>
        </w:rPr>
        <w:t xml:space="preserve">  There is wide diversity in how the NGRBs have interpreted and applied the SFSF to achieve the national priorities. While this reflects </w:t>
      </w:r>
      <w:r w:rsidR="00372633">
        <w:rPr>
          <w:rFonts w:ascii="Century Gothic" w:eastAsiaTheme="minorHAnsi" w:hAnsi="Century Gothic"/>
          <w:sz w:val="20"/>
          <w:szCs w:val="20"/>
          <w:lang w:val="en-AU"/>
        </w:rPr>
        <w:t xml:space="preserve">highly legitimate local differences, </w:t>
      </w:r>
      <w:r>
        <w:rPr>
          <w:rFonts w:ascii="Century Gothic" w:eastAsiaTheme="minorHAnsi" w:hAnsi="Century Gothic"/>
          <w:sz w:val="20"/>
          <w:szCs w:val="20"/>
          <w:lang w:val="en-AU"/>
        </w:rPr>
        <w:t xml:space="preserve">there is </w:t>
      </w:r>
      <w:r w:rsidR="00372633">
        <w:rPr>
          <w:rFonts w:ascii="Century Gothic" w:eastAsiaTheme="minorHAnsi" w:hAnsi="Century Gothic"/>
          <w:sz w:val="20"/>
          <w:szCs w:val="20"/>
          <w:lang w:val="en-AU"/>
        </w:rPr>
        <w:t xml:space="preserve">a need </w:t>
      </w:r>
      <w:r>
        <w:rPr>
          <w:rFonts w:ascii="Century Gothic" w:eastAsiaTheme="minorHAnsi" w:hAnsi="Century Gothic"/>
          <w:sz w:val="20"/>
          <w:szCs w:val="20"/>
          <w:lang w:val="en-AU"/>
        </w:rPr>
        <w:t>for a tighter focus in the high level objectives and clearer expectations for what is expected to be achieved and reported.  NGRBs should be able to forecast relevant and realistic outcomes.</w:t>
      </w:r>
    </w:p>
    <w:p w14:paraId="6BF5CF75" w14:textId="77777777" w:rsidR="00A8115E" w:rsidRPr="00A8115E" w:rsidRDefault="00A8115E" w:rsidP="00A8115E">
      <w:pPr>
        <w:pStyle w:val="ListParagraph"/>
        <w:spacing w:line="276" w:lineRule="auto"/>
        <w:ind w:right="-340"/>
        <w:jc w:val="both"/>
        <w:rPr>
          <w:rFonts w:ascii="Century Gothic" w:eastAsiaTheme="minorHAnsi" w:hAnsi="Century Gothic"/>
          <w:sz w:val="20"/>
          <w:szCs w:val="20"/>
          <w:lang w:val="en-AU"/>
        </w:rPr>
      </w:pPr>
    </w:p>
    <w:p w14:paraId="20CD3ED7" w14:textId="5BA7EAD4" w:rsidR="00EC2B8B" w:rsidRPr="00EC2B8B" w:rsidRDefault="00A8115E" w:rsidP="006A1D2B">
      <w:pPr>
        <w:pStyle w:val="ListParagraph"/>
        <w:numPr>
          <w:ilvl w:val="0"/>
          <w:numId w:val="24"/>
        </w:numPr>
        <w:spacing w:after="120" w:line="276" w:lineRule="auto"/>
        <w:ind w:right="-340"/>
        <w:jc w:val="both"/>
        <w:rPr>
          <w:rFonts w:ascii="Century Gothic" w:eastAsiaTheme="minorHAnsi" w:hAnsi="Century Gothic"/>
          <w:i/>
          <w:sz w:val="20"/>
          <w:szCs w:val="20"/>
          <w:lang w:val="en-AU"/>
        </w:rPr>
      </w:pPr>
      <w:r w:rsidRPr="00EC2B8B">
        <w:rPr>
          <w:rFonts w:ascii="Century Gothic" w:eastAsiaTheme="minorHAnsi" w:hAnsi="Century Gothic"/>
          <w:i/>
          <w:sz w:val="20"/>
          <w:szCs w:val="20"/>
          <w:lang w:val="en-AU"/>
        </w:rPr>
        <w:t>Fewer priorities</w:t>
      </w:r>
      <w:r w:rsidR="00EC2B8B" w:rsidRPr="00EC2B8B">
        <w:rPr>
          <w:rFonts w:ascii="Century Gothic" w:eastAsiaTheme="minorHAnsi" w:hAnsi="Century Gothic"/>
          <w:i/>
          <w:sz w:val="20"/>
          <w:szCs w:val="20"/>
          <w:lang w:val="en-AU"/>
        </w:rPr>
        <w:t xml:space="preserve"> and relative stability in the priorit</w:t>
      </w:r>
      <w:r w:rsidR="007C7FAF">
        <w:rPr>
          <w:rFonts w:ascii="Century Gothic" w:eastAsiaTheme="minorHAnsi" w:hAnsi="Century Gothic"/>
          <w:i/>
          <w:sz w:val="20"/>
          <w:szCs w:val="20"/>
          <w:lang w:val="en-AU"/>
        </w:rPr>
        <w:t>ies and indicators of success.</w:t>
      </w:r>
    </w:p>
    <w:p w14:paraId="6FD74180" w14:textId="6DDA7DF5" w:rsidR="00EC2B8B" w:rsidRDefault="00A8115E" w:rsidP="00EC2B8B">
      <w:pPr>
        <w:pStyle w:val="ListParagraph"/>
        <w:spacing w:after="120" w:line="276" w:lineRule="auto"/>
        <w:ind w:right="-340"/>
        <w:jc w:val="both"/>
        <w:rPr>
          <w:rFonts w:ascii="Century Gothic" w:eastAsiaTheme="minorHAnsi" w:hAnsi="Century Gothic"/>
          <w:sz w:val="20"/>
          <w:szCs w:val="20"/>
          <w:lang w:val="en-AU"/>
        </w:rPr>
      </w:pPr>
      <w:r w:rsidRPr="00EC2B8B">
        <w:rPr>
          <w:rFonts w:ascii="Century Gothic" w:eastAsiaTheme="minorHAnsi" w:hAnsi="Century Gothic"/>
          <w:sz w:val="20"/>
          <w:szCs w:val="20"/>
          <w:lang w:val="en-AU"/>
        </w:rPr>
        <w:t xml:space="preserve">NGRBs have interpreted SFSF priorities in different ways – one of the most noticeable differences is the breadth of projects that are being conducted to respond to the five national priorities. </w:t>
      </w:r>
      <w:r w:rsidR="00EC2B8B">
        <w:rPr>
          <w:rFonts w:ascii="Century Gothic" w:eastAsiaTheme="minorHAnsi" w:hAnsi="Century Gothic"/>
          <w:sz w:val="20"/>
          <w:szCs w:val="20"/>
          <w:lang w:val="en-AU"/>
        </w:rPr>
        <w:t xml:space="preserve">Most indicate that </w:t>
      </w:r>
      <w:r w:rsidR="00837619">
        <w:rPr>
          <w:rFonts w:ascii="Century Gothic" w:eastAsiaTheme="minorHAnsi" w:hAnsi="Century Gothic"/>
          <w:sz w:val="20"/>
          <w:szCs w:val="20"/>
          <w:lang w:val="en-AU"/>
        </w:rPr>
        <w:t xml:space="preserve">generating multiple projects with small resource allocations is not a productive and effective use of resources. </w:t>
      </w:r>
      <w:r w:rsidRPr="00EC2B8B">
        <w:rPr>
          <w:rFonts w:ascii="Century Gothic" w:eastAsiaTheme="minorHAnsi" w:hAnsi="Century Gothic"/>
          <w:sz w:val="20"/>
          <w:szCs w:val="20"/>
          <w:lang w:val="en-AU"/>
        </w:rPr>
        <w:t>An improvement would be to nominate two or three top priorities and leave others as discretionary. The top priorities should be a logical progression from current priorities</w:t>
      </w:r>
      <w:r w:rsidR="00837619">
        <w:rPr>
          <w:rFonts w:ascii="Century Gothic" w:eastAsiaTheme="minorHAnsi" w:hAnsi="Century Gothic"/>
          <w:sz w:val="20"/>
          <w:szCs w:val="20"/>
          <w:lang w:val="en-AU"/>
        </w:rPr>
        <w:t>. Stability of priorities and indicators enables efficient data collections systems to be built and for feedb</w:t>
      </w:r>
      <w:r w:rsidR="007C7FAF">
        <w:rPr>
          <w:rFonts w:ascii="Century Gothic" w:eastAsiaTheme="minorHAnsi" w:hAnsi="Century Gothic"/>
          <w:sz w:val="20"/>
          <w:szCs w:val="20"/>
          <w:lang w:val="en-AU"/>
        </w:rPr>
        <w:t>ack to schools to have impact.</w:t>
      </w:r>
    </w:p>
    <w:p w14:paraId="1E37D24E" w14:textId="77777777" w:rsidR="00F52A4A" w:rsidRPr="009D199A" w:rsidRDefault="00F52A4A" w:rsidP="00F43816">
      <w:pPr>
        <w:keepNext/>
        <w:keepLines/>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Procedures</w:t>
      </w:r>
    </w:p>
    <w:p w14:paraId="69AB92CF" w14:textId="5A98493B" w:rsidR="004E3609" w:rsidRDefault="004E3609" w:rsidP="00F43816">
      <w:pPr>
        <w:pStyle w:val="ListParagraph"/>
        <w:keepNext/>
        <w:keepLines/>
        <w:numPr>
          <w:ilvl w:val="0"/>
          <w:numId w:val="11"/>
        </w:numPr>
        <w:spacing w:after="240" w:line="276" w:lineRule="auto"/>
        <w:ind w:right="-340"/>
        <w:contextualSpacing w:val="0"/>
        <w:jc w:val="both"/>
        <w:rPr>
          <w:rFonts w:ascii="Century Gothic" w:eastAsiaTheme="minorHAnsi" w:hAnsi="Century Gothic"/>
          <w:sz w:val="20"/>
          <w:szCs w:val="20"/>
          <w:lang w:val="en-AU"/>
        </w:rPr>
      </w:pPr>
      <w:r>
        <w:rPr>
          <w:rFonts w:ascii="Century Gothic" w:eastAsiaTheme="minorHAnsi" w:hAnsi="Century Gothic"/>
          <w:i/>
          <w:sz w:val="20"/>
          <w:szCs w:val="20"/>
          <w:lang w:val="en-AU"/>
        </w:rPr>
        <w:t xml:space="preserve">Strengthened </w:t>
      </w:r>
      <w:r w:rsidRPr="0051386C">
        <w:rPr>
          <w:rFonts w:ascii="Century Gothic" w:eastAsiaTheme="minorHAnsi" w:hAnsi="Century Gothic"/>
          <w:i/>
          <w:sz w:val="20"/>
          <w:szCs w:val="20"/>
          <w:lang w:val="en-AU"/>
        </w:rPr>
        <w:t>accountability</w:t>
      </w:r>
      <w:r w:rsidR="00FC4E2D">
        <w:rPr>
          <w:rFonts w:ascii="Century Gothic" w:eastAsiaTheme="minorHAnsi" w:hAnsi="Century Gothic"/>
          <w:i/>
          <w:sz w:val="20"/>
          <w:szCs w:val="20"/>
          <w:lang w:val="en-AU"/>
        </w:rPr>
        <w:t xml:space="preserve"> and feedback</w:t>
      </w:r>
      <w:r>
        <w:rPr>
          <w:rFonts w:ascii="Century Gothic" w:eastAsiaTheme="minorHAnsi" w:hAnsi="Century Gothic"/>
          <w:sz w:val="20"/>
          <w:szCs w:val="20"/>
          <w:lang w:val="en-AU"/>
        </w:rPr>
        <w:t xml:space="preserve">.  There is a wealth of practices underway but very few mechanisms to draw out findings and clarify lessons. </w:t>
      </w:r>
      <w:r w:rsidRPr="00E051E8">
        <w:rPr>
          <w:rFonts w:ascii="Century Gothic" w:eastAsiaTheme="minorHAnsi" w:hAnsi="Century Gothic"/>
          <w:sz w:val="20"/>
          <w:szCs w:val="20"/>
          <w:lang w:val="en-AU"/>
        </w:rPr>
        <w:t xml:space="preserve">There is a case for more structured accountability for the use of SFSF funds.  This </w:t>
      </w:r>
      <w:r w:rsidR="00372633">
        <w:rPr>
          <w:rFonts w:ascii="Century Gothic" w:eastAsiaTheme="minorHAnsi" w:hAnsi="Century Gothic"/>
          <w:sz w:val="20"/>
          <w:szCs w:val="20"/>
          <w:lang w:val="en-AU"/>
        </w:rPr>
        <w:t>should</w:t>
      </w:r>
      <w:r w:rsidRPr="00E051E8">
        <w:rPr>
          <w:rFonts w:ascii="Century Gothic" w:eastAsiaTheme="minorHAnsi" w:hAnsi="Century Gothic"/>
          <w:sz w:val="20"/>
          <w:szCs w:val="20"/>
          <w:lang w:val="en-AU"/>
        </w:rPr>
        <w:t xml:space="preserve"> not to place greater administrative burdens on NGRBs but ensure that reporting of activities across NGRBs has some common basis and facilitates assessment and sha</w:t>
      </w:r>
      <w:r w:rsidR="007C7FAF">
        <w:rPr>
          <w:rFonts w:ascii="Century Gothic" w:eastAsiaTheme="minorHAnsi" w:hAnsi="Century Gothic"/>
          <w:sz w:val="20"/>
          <w:szCs w:val="20"/>
          <w:lang w:val="en-AU"/>
        </w:rPr>
        <w:t>ring of what works nationally.</w:t>
      </w:r>
    </w:p>
    <w:p w14:paraId="2DFD165E" w14:textId="35B9D812" w:rsidR="00EC2B8B" w:rsidRDefault="00F52A4A" w:rsidP="007C7FAF">
      <w:pPr>
        <w:pStyle w:val="ListParagraph"/>
        <w:numPr>
          <w:ilvl w:val="0"/>
          <w:numId w:val="11"/>
        </w:numPr>
        <w:spacing w:after="240" w:line="276" w:lineRule="auto"/>
        <w:ind w:left="714" w:right="-340" w:hanging="357"/>
        <w:contextualSpacing w:val="0"/>
        <w:jc w:val="both"/>
        <w:rPr>
          <w:rFonts w:ascii="Century Gothic" w:eastAsiaTheme="minorHAnsi" w:hAnsi="Century Gothic"/>
          <w:sz w:val="20"/>
          <w:szCs w:val="20"/>
          <w:lang w:val="en-AU"/>
        </w:rPr>
      </w:pPr>
      <w:r w:rsidRPr="00837619">
        <w:rPr>
          <w:rFonts w:ascii="Century Gothic" w:eastAsiaTheme="minorHAnsi" w:hAnsi="Century Gothic"/>
          <w:i/>
          <w:sz w:val="20"/>
          <w:szCs w:val="20"/>
          <w:lang w:val="en-AU"/>
        </w:rPr>
        <w:t xml:space="preserve">An outcomes framework with both </w:t>
      </w:r>
      <w:r w:rsidR="004E3609">
        <w:rPr>
          <w:rFonts w:ascii="Century Gothic" w:eastAsiaTheme="minorHAnsi" w:hAnsi="Century Gothic"/>
          <w:i/>
          <w:sz w:val="20"/>
          <w:szCs w:val="20"/>
          <w:lang w:val="en-AU"/>
        </w:rPr>
        <w:t>i</w:t>
      </w:r>
      <w:r w:rsidR="004E3609" w:rsidRPr="00837619">
        <w:rPr>
          <w:rFonts w:ascii="Century Gothic" w:eastAsiaTheme="minorHAnsi" w:hAnsi="Century Gothic"/>
          <w:i/>
          <w:sz w:val="20"/>
          <w:szCs w:val="20"/>
          <w:lang w:val="en-AU"/>
        </w:rPr>
        <w:t xml:space="preserve">nterim </w:t>
      </w:r>
      <w:r w:rsidR="004E3609">
        <w:rPr>
          <w:rFonts w:ascii="Century Gothic" w:eastAsiaTheme="minorHAnsi" w:hAnsi="Century Gothic"/>
          <w:i/>
          <w:sz w:val="20"/>
          <w:szCs w:val="20"/>
          <w:lang w:val="en-AU"/>
        </w:rPr>
        <w:t xml:space="preserve">and longer term </w:t>
      </w:r>
      <w:r w:rsidRPr="00837619">
        <w:rPr>
          <w:rFonts w:ascii="Century Gothic" w:eastAsiaTheme="minorHAnsi" w:hAnsi="Century Gothic"/>
          <w:i/>
          <w:sz w:val="20"/>
          <w:szCs w:val="20"/>
          <w:lang w:val="en-AU"/>
        </w:rPr>
        <w:t>outcomes</w:t>
      </w:r>
      <w:r w:rsidR="00837619">
        <w:rPr>
          <w:rFonts w:ascii="Century Gothic" w:eastAsiaTheme="minorHAnsi" w:hAnsi="Century Gothic"/>
          <w:i/>
          <w:sz w:val="20"/>
          <w:szCs w:val="20"/>
          <w:lang w:val="en-AU"/>
        </w:rPr>
        <w:t xml:space="preserve">. </w:t>
      </w:r>
      <w:r w:rsidR="008C171A">
        <w:rPr>
          <w:rFonts w:ascii="Century Gothic" w:eastAsiaTheme="minorHAnsi" w:hAnsi="Century Gothic"/>
          <w:sz w:val="20"/>
          <w:szCs w:val="20"/>
          <w:lang w:val="en-AU"/>
        </w:rPr>
        <w:t>M</w:t>
      </w:r>
      <w:r w:rsidR="008C171A" w:rsidRPr="008C171A">
        <w:rPr>
          <w:rFonts w:ascii="Century Gothic" w:eastAsiaTheme="minorHAnsi" w:hAnsi="Century Gothic"/>
          <w:sz w:val="20"/>
          <w:szCs w:val="20"/>
          <w:lang w:val="en-AU"/>
        </w:rPr>
        <w:t xml:space="preserve">ost annual reports do not contain success </w:t>
      </w:r>
      <w:r w:rsidR="008C171A">
        <w:rPr>
          <w:rFonts w:ascii="Century Gothic" w:eastAsiaTheme="minorHAnsi" w:hAnsi="Century Gothic"/>
          <w:sz w:val="20"/>
          <w:szCs w:val="20"/>
          <w:lang w:val="en-AU"/>
        </w:rPr>
        <w:t>indicators</w:t>
      </w:r>
      <w:r w:rsidR="00FC4E2D">
        <w:rPr>
          <w:rFonts w:ascii="Century Gothic" w:eastAsiaTheme="minorHAnsi" w:hAnsi="Century Gothic"/>
          <w:sz w:val="20"/>
          <w:szCs w:val="20"/>
          <w:lang w:val="en-AU"/>
        </w:rPr>
        <w:t>,</w:t>
      </w:r>
      <w:r w:rsidR="004E3609">
        <w:rPr>
          <w:rFonts w:ascii="Century Gothic" w:eastAsiaTheme="minorHAnsi" w:hAnsi="Century Gothic"/>
          <w:sz w:val="20"/>
          <w:szCs w:val="20"/>
          <w:lang w:val="en-AU"/>
        </w:rPr>
        <w:t xml:space="preserve"> their measure</w:t>
      </w:r>
      <w:r w:rsidR="00FC4E2D">
        <w:rPr>
          <w:rFonts w:ascii="Century Gothic" w:eastAsiaTheme="minorHAnsi" w:hAnsi="Century Gothic"/>
          <w:sz w:val="20"/>
          <w:szCs w:val="20"/>
          <w:lang w:val="en-AU"/>
        </w:rPr>
        <w:t xml:space="preserve">s and </w:t>
      </w:r>
      <w:r w:rsidR="00FC4E2D" w:rsidRPr="008C171A">
        <w:rPr>
          <w:rFonts w:ascii="Century Gothic" w:eastAsiaTheme="minorHAnsi" w:hAnsi="Century Gothic"/>
          <w:sz w:val="20"/>
          <w:szCs w:val="20"/>
          <w:lang w:val="en-AU"/>
        </w:rPr>
        <w:t>outcomes</w:t>
      </w:r>
      <w:r w:rsidR="00FC4E2D">
        <w:rPr>
          <w:rFonts w:ascii="Century Gothic" w:eastAsiaTheme="minorHAnsi" w:hAnsi="Century Gothic"/>
          <w:sz w:val="20"/>
          <w:szCs w:val="20"/>
          <w:lang w:val="en-AU"/>
        </w:rPr>
        <w:t xml:space="preserve"> </w:t>
      </w:r>
      <w:r w:rsidR="008C171A">
        <w:rPr>
          <w:rFonts w:ascii="Century Gothic" w:eastAsiaTheme="minorHAnsi" w:hAnsi="Century Gothic"/>
          <w:sz w:val="20"/>
          <w:szCs w:val="20"/>
          <w:lang w:val="en-AU"/>
        </w:rPr>
        <w:t>– most ‘results’ are expressed as simple outputs such as attendance</w:t>
      </w:r>
      <w:r w:rsidR="004E3609">
        <w:rPr>
          <w:rFonts w:ascii="Century Gothic" w:eastAsiaTheme="minorHAnsi" w:hAnsi="Century Gothic"/>
          <w:sz w:val="20"/>
          <w:szCs w:val="20"/>
          <w:lang w:val="en-AU"/>
        </w:rPr>
        <w:t xml:space="preserve"> or satisfaction</w:t>
      </w:r>
      <w:r w:rsidR="008C171A">
        <w:rPr>
          <w:rFonts w:ascii="Century Gothic" w:eastAsiaTheme="minorHAnsi" w:hAnsi="Century Gothic"/>
          <w:sz w:val="20"/>
          <w:szCs w:val="20"/>
          <w:lang w:val="en-AU"/>
        </w:rPr>
        <w:t>.</w:t>
      </w:r>
      <w:r w:rsidR="008C171A" w:rsidRPr="008C171A">
        <w:rPr>
          <w:rFonts w:ascii="Century Gothic" w:eastAsiaTheme="minorHAnsi" w:hAnsi="Century Gothic"/>
          <w:sz w:val="20"/>
          <w:szCs w:val="20"/>
          <w:lang w:val="en-AU"/>
        </w:rPr>
        <w:t xml:space="preserve">  T</w:t>
      </w:r>
      <w:r w:rsidR="00837619" w:rsidRPr="008C171A">
        <w:rPr>
          <w:rFonts w:ascii="Century Gothic" w:eastAsiaTheme="minorHAnsi" w:hAnsi="Century Gothic"/>
          <w:sz w:val="20"/>
          <w:szCs w:val="20"/>
          <w:lang w:val="en-AU"/>
        </w:rPr>
        <w:t xml:space="preserve">he capacity to analyse performance results </w:t>
      </w:r>
      <w:r w:rsidR="008C171A" w:rsidRPr="008C171A">
        <w:rPr>
          <w:rFonts w:ascii="Century Gothic" w:eastAsiaTheme="minorHAnsi" w:hAnsi="Century Gothic"/>
          <w:sz w:val="20"/>
          <w:szCs w:val="20"/>
          <w:lang w:val="en-AU"/>
        </w:rPr>
        <w:t xml:space="preserve">and </w:t>
      </w:r>
      <w:r w:rsidR="00837619" w:rsidRPr="008C171A">
        <w:rPr>
          <w:rFonts w:ascii="Century Gothic" w:eastAsiaTheme="minorHAnsi" w:hAnsi="Century Gothic"/>
          <w:sz w:val="20"/>
          <w:szCs w:val="20"/>
          <w:lang w:val="en-AU"/>
        </w:rPr>
        <w:t>r</w:t>
      </w:r>
      <w:r w:rsidR="008C171A" w:rsidRPr="008C171A">
        <w:rPr>
          <w:rFonts w:ascii="Century Gothic" w:eastAsiaTheme="minorHAnsi" w:hAnsi="Century Gothic"/>
          <w:sz w:val="20"/>
          <w:szCs w:val="20"/>
          <w:lang w:val="en-AU"/>
        </w:rPr>
        <w:t>eport</w:t>
      </w:r>
      <w:r w:rsidR="00837619" w:rsidRPr="008C171A">
        <w:rPr>
          <w:rFonts w:ascii="Century Gothic" w:eastAsiaTheme="minorHAnsi" w:hAnsi="Century Gothic"/>
          <w:sz w:val="20"/>
          <w:szCs w:val="20"/>
          <w:lang w:val="en-AU"/>
        </w:rPr>
        <w:t xml:space="preserve"> outputs</w:t>
      </w:r>
      <w:r w:rsidR="00837619" w:rsidRPr="00837619">
        <w:rPr>
          <w:rFonts w:ascii="Century Gothic" w:eastAsiaTheme="minorHAnsi" w:hAnsi="Century Gothic"/>
          <w:sz w:val="20"/>
          <w:szCs w:val="20"/>
          <w:lang w:val="en-AU"/>
        </w:rPr>
        <w:t xml:space="preserve"> and outcomes </w:t>
      </w:r>
      <w:r w:rsidR="008C171A">
        <w:rPr>
          <w:rFonts w:ascii="Century Gothic" w:eastAsiaTheme="minorHAnsi" w:hAnsi="Century Gothic"/>
          <w:sz w:val="20"/>
          <w:szCs w:val="20"/>
          <w:lang w:val="en-AU"/>
        </w:rPr>
        <w:t>could be enhanced through more guidance on what outcomes are expected and expressed as interim as well as longer term</w:t>
      </w:r>
      <w:r w:rsidR="00894714" w:rsidRPr="00894714">
        <w:rPr>
          <w:rFonts w:ascii="Century Gothic" w:eastAsiaTheme="minorHAnsi" w:hAnsi="Century Gothic"/>
          <w:sz w:val="20"/>
          <w:szCs w:val="20"/>
          <w:lang w:val="en-AU"/>
        </w:rPr>
        <w:t xml:space="preserve"> </w:t>
      </w:r>
      <w:r w:rsidR="00894714">
        <w:rPr>
          <w:rFonts w:ascii="Century Gothic" w:eastAsiaTheme="minorHAnsi" w:hAnsi="Century Gothic"/>
          <w:sz w:val="20"/>
          <w:szCs w:val="20"/>
          <w:lang w:val="en-AU"/>
        </w:rPr>
        <w:t>outcomes</w:t>
      </w:r>
      <w:r w:rsidR="008C171A">
        <w:rPr>
          <w:rFonts w:ascii="Century Gothic" w:eastAsiaTheme="minorHAnsi" w:hAnsi="Century Gothic"/>
          <w:sz w:val="20"/>
          <w:szCs w:val="20"/>
          <w:lang w:val="en-AU"/>
        </w:rPr>
        <w:t xml:space="preserve">. This could </w:t>
      </w:r>
      <w:r w:rsidR="00894714">
        <w:rPr>
          <w:rFonts w:ascii="Century Gothic" w:eastAsiaTheme="minorHAnsi" w:hAnsi="Century Gothic"/>
          <w:sz w:val="20"/>
          <w:szCs w:val="20"/>
          <w:lang w:val="en-AU"/>
        </w:rPr>
        <w:t xml:space="preserve">also </w:t>
      </w:r>
      <w:r w:rsidR="008C171A">
        <w:rPr>
          <w:rFonts w:ascii="Century Gothic" w:eastAsiaTheme="minorHAnsi" w:hAnsi="Century Gothic"/>
          <w:sz w:val="20"/>
          <w:szCs w:val="20"/>
          <w:lang w:val="en-AU"/>
        </w:rPr>
        <w:t>include advice on performance monitoring tools</w:t>
      </w:r>
      <w:r w:rsidR="004E3609">
        <w:rPr>
          <w:rFonts w:ascii="Century Gothic" w:eastAsiaTheme="minorHAnsi" w:hAnsi="Century Gothic"/>
          <w:sz w:val="20"/>
          <w:szCs w:val="20"/>
          <w:lang w:val="en-AU"/>
        </w:rPr>
        <w:t xml:space="preserve">. There is considerable potential for </w:t>
      </w:r>
      <w:r w:rsidR="00372633">
        <w:rPr>
          <w:rFonts w:ascii="Century Gothic" w:eastAsiaTheme="minorHAnsi" w:hAnsi="Century Gothic"/>
          <w:sz w:val="20"/>
          <w:szCs w:val="20"/>
          <w:lang w:val="en-AU"/>
        </w:rPr>
        <w:t xml:space="preserve">the Department or </w:t>
      </w:r>
      <w:r w:rsidR="00894714">
        <w:rPr>
          <w:rFonts w:ascii="Century Gothic" w:eastAsiaTheme="minorHAnsi" w:hAnsi="Century Gothic"/>
          <w:sz w:val="20"/>
          <w:szCs w:val="20"/>
          <w:lang w:val="en-AU"/>
        </w:rPr>
        <w:t xml:space="preserve">a national body to offer </w:t>
      </w:r>
      <w:r w:rsidR="004E3609">
        <w:rPr>
          <w:rFonts w:ascii="Century Gothic" w:eastAsiaTheme="minorHAnsi" w:hAnsi="Century Gothic"/>
          <w:sz w:val="20"/>
          <w:szCs w:val="20"/>
          <w:lang w:val="en-AU"/>
        </w:rPr>
        <w:t>expert advice and support on how ‘syste</w:t>
      </w:r>
      <w:r w:rsidR="007C7FAF">
        <w:rPr>
          <w:rFonts w:ascii="Century Gothic" w:eastAsiaTheme="minorHAnsi" w:hAnsi="Century Gothic"/>
          <w:sz w:val="20"/>
          <w:szCs w:val="20"/>
          <w:lang w:val="en-AU"/>
        </w:rPr>
        <w:t>ms’ assess their effectiveness.</w:t>
      </w:r>
    </w:p>
    <w:p w14:paraId="52447643" w14:textId="43A7A335" w:rsidR="00EC2B8B" w:rsidRDefault="00B23112" w:rsidP="007C7FAF">
      <w:pPr>
        <w:pStyle w:val="ListParagraph"/>
        <w:numPr>
          <w:ilvl w:val="0"/>
          <w:numId w:val="11"/>
        </w:numPr>
        <w:spacing w:after="240" w:line="276" w:lineRule="auto"/>
        <w:ind w:right="-340"/>
        <w:contextualSpacing w:val="0"/>
        <w:jc w:val="both"/>
        <w:rPr>
          <w:rFonts w:ascii="Century Gothic" w:eastAsiaTheme="minorHAnsi" w:hAnsi="Century Gothic"/>
          <w:sz w:val="20"/>
          <w:szCs w:val="20"/>
          <w:lang w:val="en-AU"/>
        </w:rPr>
      </w:pPr>
      <w:r w:rsidRPr="00E051E8">
        <w:rPr>
          <w:rFonts w:ascii="Century Gothic" w:eastAsiaTheme="minorHAnsi" w:hAnsi="Century Gothic"/>
          <w:i/>
          <w:sz w:val="20"/>
          <w:szCs w:val="20"/>
          <w:lang w:val="en-AU"/>
        </w:rPr>
        <w:t>Allow for continuity and development time</w:t>
      </w:r>
      <w:r>
        <w:rPr>
          <w:rFonts w:ascii="Century Gothic" w:eastAsiaTheme="minorHAnsi" w:hAnsi="Century Gothic"/>
          <w:sz w:val="20"/>
          <w:szCs w:val="20"/>
          <w:lang w:val="en-AU"/>
        </w:rPr>
        <w:t>.  Certainty of funding and constancy of directions and priorities are consistent and strong message</w:t>
      </w:r>
      <w:r w:rsidR="00894714">
        <w:rPr>
          <w:rFonts w:ascii="Century Gothic" w:eastAsiaTheme="minorHAnsi" w:hAnsi="Century Gothic"/>
          <w:sz w:val="20"/>
          <w:szCs w:val="20"/>
          <w:lang w:val="en-AU"/>
        </w:rPr>
        <w:t>s</w:t>
      </w:r>
      <w:r w:rsidR="007C7FAF">
        <w:rPr>
          <w:rFonts w:ascii="Century Gothic" w:eastAsiaTheme="minorHAnsi" w:hAnsi="Century Gothic"/>
          <w:sz w:val="20"/>
          <w:szCs w:val="20"/>
          <w:lang w:val="en-AU"/>
        </w:rPr>
        <w:t xml:space="preserve"> from the NGRBs. </w:t>
      </w:r>
      <w:r>
        <w:rPr>
          <w:rFonts w:ascii="Century Gothic" w:eastAsiaTheme="minorHAnsi" w:hAnsi="Century Gothic"/>
          <w:sz w:val="20"/>
          <w:szCs w:val="20"/>
          <w:lang w:val="en-AU"/>
        </w:rPr>
        <w:t>As previously identified a number of NGRBs have used the four</w:t>
      </w:r>
      <w:r w:rsidR="00F43816">
        <w:rPr>
          <w:rFonts w:ascii="Century Gothic" w:eastAsiaTheme="minorHAnsi" w:hAnsi="Century Gothic"/>
          <w:sz w:val="20"/>
          <w:szCs w:val="20"/>
          <w:lang w:val="en-AU"/>
        </w:rPr>
        <w:t>-</w:t>
      </w:r>
      <w:r>
        <w:rPr>
          <w:rFonts w:ascii="Century Gothic" w:eastAsiaTheme="minorHAnsi" w:hAnsi="Century Gothic"/>
          <w:sz w:val="20"/>
          <w:szCs w:val="20"/>
          <w:lang w:val="en-AU"/>
        </w:rPr>
        <w:t xml:space="preserve">year period of their funding to rethink and restructure their approaches </w:t>
      </w:r>
      <w:r w:rsidR="007C7FAF">
        <w:rPr>
          <w:rFonts w:ascii="Century Gothic" w:eastAsiaTheme="minorHAnsi" w:hAnsi="Century Gothic"/>
          <w:sz w:val="20"/>
          <w:szCs w:val="20"/>
          <w:lang w:val="en-AU"/>
        </w:rPr>
        <w:t>to working with their schools.</w:t>
      </w:r>
    </w:p>
    <w:p w14:paraId="5E8BCC4E" w14:textId="1C20BC28" w:rsidR="00F52A4A" w:rsidRPr="009D199A" w:rsidRDefault="00B748A1" w:rsidP="007C7FAF">
      <w:pPr>
        <w:pStyle w:val="ListParagraph"/>
        <w:spacing w:after="240" w:line="276" w:lineRule="auto"/>
        <w:ind w:right="-340"/>
        <w:contextualSpacing w:val="0"/>
        <w:jc w:val="both"/>
        <w:rPr>
          <w:rFonts w:ascii="Century Gothic" w:eastAsiaTheme="minorHAnsi" w:hAnsi="Century Gothic"/>
          <w:sz w:val="20"/>
          <w:szCs w:val="20"/>
          <w:lang w:val="en-AU"/>
        </w:rPr>
      </w:pPr>
      <w:r>
        <w:rPr>
          <w:rFonts w:ascii="Century Gothic" w:eastAsiaTheme="minorHAnsi" w:hAnsi="Century Gothic"/>
          <w:sz w:val="20"/>
          <w:szCs w:val="20"/>
          <w:lang w:val="en-AU"/>
        </w:rPr>
        <w:t>(</w:t>
      </w:r>
      <w:r w:rsidR="00B23112">
        <w:rPr>
          <w:rFonts w:ascii="Century Gothic" w:eastAsiaTheme="minorHAnsi" w:hAnsi="Century Gothic"/>
          <w:sz w:val="20"/>
          <w:szCs w:val="20"/>
          <w:lang w:val="en-AU"/>
        </w:rPr>
        <w:t xml:space="preserve">Future funding arrangements may </w:t>
      </w:r>
      <w:r>
        <w:rPr>
          <w:rFonts w:ascii="Century Gothic" w:eastAsiaTheme="minorHAnsi" w:hAnsi="Century Gothic"/>
          <w:sz w:val="20"/>
          <w:szCs w:val="20"/>
          <w:lang w:val="en-AU"/>
        </w:rPr>
        <w:t xml:space="preserve">also </w:t>
      </w:r>
      <w:r w:rsidR="00B23112">
        <w:rPr>
          <w:rFonts w:ascii="Century Gothic" w:eastAsiaTheme="minorHAnsi" w:hAnsi="Century Gothic"/>
          <w:sz w:val="20"/>
          <w:szCs w:val="20"/>
          <w:lang w:val="en-AU"/>
        </w:rPr>
        <w:t>need to articulate the methodology behind the all</w:t>
      </w:r>
      <w:r>
        <w:rPr>
          <w:rFonts w:ascii="Century Gothic" w:eastAsiaTheme="minorHAnsi" w:hAnsi="Century Gothic"/>
          <w:sz w:val="20"/>
          <w:szCs w:val="20"/>
          <w:lang w:val="en-AU"/>
        </w:rPr>
        <w:t>ocations</w:t>
      </w:r>
      <w:r w:rsidR="00372633">
        <w:rPr>
          <w:rFonts w:ascii="Century Gothic" w:eastAsiaTheme="minorHAnsi" w:hAnsi="Century Gothic"/>
          <w:sz w:val="20"/>
          <w:szCs w:val="20"/>
          <w:lang w:val="en-AU"/>
        </w:rPr>
        <w:t>.)</w:t>
      </w:r>
    </w:p>
    <w:p w14:paraId="54027E06" w14:textId="338213E6" w:rsidR="00894714" w:rsidRPr="009D199A" w:rsidRDefault="00F52A4A" w:rsidP="009D199A">
      <w:pPr>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 xml:space="preserve">Capacity </w:t>
      </w:r>
    </w:p>
    <w:p w14:paraId="520A3D74" w14:textId="61412A34" w:rsidR="009D199A" w:rsidRPr="007C7FAF" w:rsidRDefault="00894714" w:rsidP="007C7FAF">
      <w:pPr>
        <w:pStyle w:val="ListParagraph"/>
        <w:numPr>
          <w:ilvl w:val="0"/>
          <w:numId w:val="11"/>
        </w:numPr>
        <w:spacing w:after="240" w:line="276" w:lineRule="auto"/>
        <w:ind w:left="714" w:right="-340" w:hanging="357"/>
        <w:contextualSpacing w:val="0"/>
        <w:jc w:val="both"/>
        <w:rPr>
          <w:rFonts w:ascii="Century Gothic" w:eastAsiaTheme="minorHAnsi" w:hAnsi="Century Gothic"/>
          <w:sz w:val="20"/>
          <w:szCs w:val="20"/>
          <w:lang w:val="en-AU"/>
        </w:rPr>
      </w:pPr>
      <w:r w:rsidRPr="007C7FAF">
        <w:rPr>
          <w:rFonts w:ascii="Century Gothic" w:eastAsiaTheme="minorHAnsi" w:hAnsi="Century Gothic"/>
          <w:sz w:val="20"/>
          <w:szCs w:val="20"/>
          <w:lang w:val="en-AU"/>
        </w:rPr>
        <w:t>Making use of system-level information on school improvement. A national approach to collecting qualitative information on programs and impact is warranted. The Commonwealth in conjunction with the NGRBs should consider how best to facilitate the shared learnings from the sometimes significant evaluations conducted by NGRBs into their programs.  Whilst it is likely that some of this sharing occurs within the national discussions of each sector a greater emphasis could be placed on cross sectoral sharing</w:t>
      </w:r>
    </w:p>
    <w:p w14:paraId="11DFFB06" w14:textId="1DA1FE16" w:rsidR="00894714" w:rsidRPr="00894714" w:rsidRDefault="00894714" w:rsidP="007C7FAF">
      <w:pPr>
        <w:pStyle w:val="ListParagraph"/>
        <w:numPr>
          <w:ilvl w:val="0"/>
          <w:numId w:val="11"/>
        </w:numPr>
        <w:spacing w:after="240" w:line="276" w:lineRule="auto"/>
        <w:ind w:left="714" w:right="-340" w:hanging="357"/>
        <w:contextualSpacing w:val="0"/>
        <w:jc w:val="both"/>
        <w:rPr>
          <w:rFonts w:ascii="Century Gothic" w:eastAsiaTheme="minorHAnsi" w:hAnsi="Century Gothic"/>
          <w:sz w:val="20"/>
          <w:szCs w:val="20"/>
          <w:lang w:val="en-AU"/>
        </w:rPr>
      </w:pPr>
      <w:r w:rsidRPr="007C7FAF">
        <w:rPr>
          <w:rFonts w:ascii="Century Gothic" w:eastAsiaTheme="minorHAnsi" w:hAnsi="Century Gothic"/>
          <w:sz w:val="20"/>
          <w:szCs w:val="20"/>
          <w:lang w:val="en-AU"/>
        </w:rPr>
        <w:t>Support an evaluation culture in NGRBs</w:t>
      </w:r>
      <w:r w:rsidRPr="00A8115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The development of e</w:t>
      </w:r>
      <w:r w:rsidRPr="00A8115E">
        <w:rPr>
          <w:rFonts w:ascii="Century Gothic" w:eastAsiaTheme="minorHAnsi" w:hAnsi="Century Gothic"/>
          <w:sz w:val="20"/>
          <w:szCs w:val="20"/>
          <w:lang w:val="en-AU"/>
        </w:rPr>
        <w:t xml:space="preserve">nhanced national evaluation expertise that supports systems’ and schools’ needs </w:t>
      </w:r>
      <w:r>
        <w:rPr>
          <w:rFonts w:ascii="Century Gothic" w:eastAsiaTheme="minorHAnsi" w:hAnsi="Century Gothic"/>
          <w:sz w:val="20"/>
          <w:szCs w:val="20"/>
          <w:lang w:val="en-AU"/>
        </w:rPr>
        <w:t xml:space="preserve">is a priority. There is a role for the Department or a national body to </w:t>
      </w:r>
      <w:r w:rsidRPr="003843C9">
        <w:rPr>
          <w:rFonts w:ascii="Century Gothic" w:eastAsiaTheme="minorHAnsi" w:hAnsi="Century Gothic"/>
          <w:sz w:val="20"/>
          <w:szCs w:val="20"/>
          <w:lang w:val="en-AU"/>
        </w:rPr>
        <w:t xml:space="preserve">support student improvement through the curation of best practice </w:t>
      </w:r>
      <w:r>
        <w:rPr>
          <w:rFonts w:ascii="Century Gothic" w:eastAsiaTheme="minorHAnsi" w:hAnsi="Century Gothic"/>
          <w:sz w:val="20"/>
          <w:szCs w:val="20"/>
          <w:lang w:val="en-AU"/>
        </w:rPr>
        <w:t xml:space="preserve">measurement and evaluation tools and the transmission of </w:t>
      </w:r>
      <w:r w:rsidRPr="003843C9">
        <w:rPr>
          <w:rFonts w:ascii="Century Gothic" w:eastAsiaTheme="minorHAnsi" w:hAnsi="Century Gothic"/>
          <w:sz w:val="20"/>
          <w:szCs w:val="20"/>
          <w:lang w:val="en-AU"/>
        </w:rPr>
        <w:t xml:space="preserve">evidence </w:t>
      </w:r>
      <w:r w:rsidR="00160F3B">
        <w:rPr>
          <w:rFonts w:ascii="Century Gothic" w:eastAsiaTheme="minorHAnsi" w:hAnsi="Century Gothic"/>
          <w:sz w:val="20"/>
          <w:szCs w:val="20"/>
          <w:lang w:val="en-AU"/>
        </w:rPr>
        <w:t xml:space="preserve">across </w:t>
      </w:r>
      <w:r w:rsidR="00160F3B" w:rsidRPr="003843C9">
        <w:rPr>
          <w:rFonts w:ascii="Century Gothic" w:eastAsiaTheme="minorHAnsi" w:hAnsi="Century Gothic"/>
          <w:sz w:val="20"/>
          <w:szCs w:val="20"/>
          <w:lang w:val="en-AU"/>
        </w:rPr>
        <w:t>sectors</w:t>
      </w:r>
      <w:r w:rsidR="007C7FAF">
        <w:rPr>
          <w:rFonts w:ascii="Century Gothic" w:eastAsiaTheme="minorHAnsi" w:hAnsi="Century Gothic"/>
          <w:sz w:val="20"/>
          <w:szCs w:val="20"/>
          <w:lang w:val="en-AU"/>
        </w:rPr>
        <w:t>.</w:t>
      </w:r>
    </w:p>
    <w:p w14:paraId="1FBD806D" w14:textId="77777777" w:rsidR="00F52A4A" w:rsidRPr="009D199A" w:rsidRDefault="00F52A4A" w:rsidP="009D199A">
      <w:pPr>
        <w:spacing w:before="120" w:after="120" w:line="276" w:lineRule="auto"/>
        <w:ind w:right="-340"/>
        <w:jc w:val="both"/>
        <w:rPr>
          <w:rFonts w:ascii="Century Gothic" w:eastAsiaTheme="minorHAnsi" w:hAnsi="Century Gothic"/>
          <w:b/>
          <w:color w:val="4F81BD" w:themeColor="accent1"/>
          <w:sz w:val="20"/>
          <w:szCs w:val="20"/>
          <w:lang w:val="en-AU"/>
        </w:rPr>
      </w:pPr>
      <w:r w:rsidRPr="009D199A">
        <w:rPr>
          <w:rFonts w:ascii="Century Gothic" w:eastAsiaTheme="minorHAnsi" w:hAnsi="Century Gothic"/>
          <w:b/>
          <w:color w:val="4F81BD" w:themeColor="accent1"/>
          <w:sz w:val="20"/>
          <w:szCs w:val="20"/>
          <w:lang w:val="en-AU"/>
        </w:rPr>
        <w:t xml:space="preserve">Collaboration </w:t>
      </w:r>
    </w:p>
    <w:p w14:paraId="1DF446DF" w14:textId="7AE5CDF8" w:rsidR="003F3AAA" w:rsidRDefault="00F52A4A" w:rsidP="007C7FAF">
      <w:pPr>
        <w:pStyle w:val="ListParagraph"/>
        <w:numPr>
          <w:ilvl w:val="0"/>
          <w:numId w:val="11"/>
        </w:numPr>
        <w:spacing w:after="240" w:line="276" w:lineRule="auto"/>
        <w:ind w:left="714" w:right="-340" w:hanging="357"/>
        <w:contextualSpacing w:val="0"/>
        <w:jc w:val="both"/>
        <w:rPr>
          <w:rFonts w:ascii="Century Gothic" w:eastAsiaTheme="minorHAnsi" w:hAnsi="Century Gothic"/>
          <w:sz w:val="20"/>
          <w:szCs w:val="20"/>
          <w:lang w:val="en-AU"/>
        </w:rPr>
      </w:pPr>
      <w:r w:rsidRPr="007C7FAF">
        <w:rPr>
          <w:rFonts w:ascii="Century Gothic" w:eastAsiaTheme="minorHAnsi" w:hAnsi="Century Gothic"/>
          <w:sz w:val="20"/>
          <w:szCs w:val="20"/>
          <w:lang w:val="en-AU"/>
        </w:rPr>
        <w:t>Incentivise cross sector collaboration in implementation</w:t>
      </w:r>
      <w:r w:rsidR="003F3AAA" w:rsidRPr="003F3AAA">
        <w:rPr>
          <w:rFonts w:ascii="Century Gothic" w:eastAsiaTheme="minorHAnsi" w:hAnsi="Century Gothic"/>
          <w:sz w:val="20"/>
          <w:szCs w:val="20"/>
          <w:lang w:val="en-AU"/>
        </w:rPr>
        <w:t xml:space="preserve"> </w:t>
      </w:r>
      <w:r w:rsidR="003F3AAA">
        <w:rPr>
          <w:rFonts w:ascii="Century Gothic" w:eastAsiaTheme="minorHAnsi" w:hAnsi="Century Gothic"/>
          <w:sz w:val="20"/>
          <w:szCs w:val="20"/>
          <w:lang w:val="en-AU"/>
        </w:rPr>
        <w:t xml:space="preserve">Cross sector collaboration could also be fostered through a renewed and revamped SFSF.  This could be particular relevant to rural and provincial areas where local efforts are already underway to varying degrees. Collaboration </w:t>
      </w:r>
      <w:r w:rsidR="00BC0A6B">
        <w:rPr>
          <w:rFonts w:ascii="Century Gothic" w:eastAsiaTheme="minorHAnsi" w:hAnsi="Century Gothic"/>
          <w:sz w:val="20"/>
          <w:szCs w:val="20"/>
          <w:lang w:val="en-AU"/>
        </w:rPr>
        <w:t xml:space="preserve">among schools when appropriate </w:t>
      </w:r>
      <w:r w:rsidR="003F3AAA">
        <w:rPr>
          <w:rFonts w:ascii="Century Gothic" w:eastAsiaTheme="minorHAnsi" w:hAnsi="Century Gothic"/>
          <w:sz w:val="20"/>
          <w:szCs w:val="20"/>
          <w:lang w:val="en-AU"/>
        </w:rPr>
        <w:t>was</w:t>
      </w:r>
      <w:r w:rsidR="00200002">
        <w:rPr>
          <w:rFonts w:ascii="Century Gothic" w:eastAsiaTheme="minorHAnsi" w:hAnsi="Century Gothic"/>
          <w:sz w:val="20"/>
          <w:szCs w:val="20"/>
          <w:lang w:val="en-AU"/>
        </w:rPr>
        <w:t xml:space="preserve"> an expectation of the National P</w:t>
      </w:r>
      <w:r w:rsidR="003F3AAA">
        <w:rPr>
          <w:rFonts w:ascii="Century Gothic" w:eastAsiaTheme="minorHAnsi" w:hAnsi="Century Gothic"/>
          <w:sz w:val="20"/>
          <w:szCs w:val="20"/>
          <w:lang w:val="en-AU"/>
        </w:rPr>
        <w:t>artnershi</w:t>
      </w:r>
      <w:r w:rsidR="007C7FAF">
        <w:rPr>
          <w:rFonts w:ascii="Century Gothic" w:eastAsiaTheme="minorHAnsi" w:hAnsi="Century Gothic"/>
          <w:sz w:val="20"/>
          <w:szCs w:val="20"/>
          <w:lang w:val="en-AU"/>
        </w:rPr>
        <w:t>p and it has now mostly ceased.</w:t>
      </w:r>
    </w:p>
    <w:p w14:paraId="2B966A8B" w14:textId="5CB68FE3" w:rsidR="00F52A4A" w:rsidRPr="007C7FAF" w:rsidRDefault="00F52A4A" w:rsidP="007C7FAF">
      <w:pPr>
        <w:pStyle w:val="ListParagraph"/>
        <w:numPr>
          <w:ilvl w:val="0"/>
          <w:numId w:val="11"/>
        </w:numPr>
        <w:spacing w:after="240" w:line="276" w:lineRule="auto"/>
        <w:ind w:left="714" w:right="-340" w:hanging="357"/>
        <w:contextualSpacing w:val="0"/>
        <w:jc w:val="both"/>
        <w:rPr>
          <w:rFonts w:ascii="Century Gothic" w:eastAsiaTheme="minorHAnsi" w:hAnsi="Century Gothic"/>
          <w:sz w:val="20"/>
          <w:szCs w:val="20"/>
          <w:lang w:val="en-AU"/>
        </w:rPr>
      </w:pPr>
      <w:r w:rsidRPr="007C7FAF">
        <w:rPr>
          <w:rFonts w:ascii="Century Gothic" w:eastAsiaTheme="minorHAnsi" w:hAnsi="Century Gothic"/>
          <w:sz w:val="20"/>
          <w:szCs w:val="20"/>
          <w:lang w:val="en-AU"/>
        </w:rPr>
        <w:t xml:space="preserve">Facilitate sharing </w:t>
      </w:r>
      <w:r w:rsidR="00BC0A6B" w:rsidRPr="007C7FAF">
        <w:rPr>
          <w:rFonts w:ascii="Century Gothic" w:eastAsiaTheme="minorHAnsi" w:hAnsi="Century Gothic"/>
          <w:sz w:val="20"/>
          <w:szCs w:val="20"/>
          <w:lang w:val="en-AU"/>
        </w:rPr>
        <w:t xml:space="preserve">‘system’ support </w:t>
      </w:r>
      <w:r w:rsidRPr="007C7FAF">
        <w:rPr>
          <w:rFonts w:ascii="Century Gothic" w:eastAsiaTheme="minorHAnsi" w:hAnsi="Century Gothic"/>
          <w:sz w:val="20"/>
          <w:szCs w:val="20"/>
          <w:lang w:val="en-AU"/>
        </w:rPr>
        <w:t>expertise</w:t>
      </w:r>
      <w:r w:rsidR="00073B79" w:rsidRPr="007C7FAF">
        <w:rPr>
          <w:rFonts w:ascii="Century Gothic" w:eastAsiaTheme="minorHAnsi" w:hAnsi="Century Gothic"/>
          <w:sz w:val="20"/>
          <w:szCs w:val="20"/>
          <w:lang w:val="en-AU"/>
        </w:rPr>
        <w:t xml:space="preserve">. </w:t>
      </w:r>
      <w:r w:rsidR="00073B79">
        <w:rPr>
          <w:rFonts w:ascii="Century Gothic" w:eastAsiaTheme="minorHAnsi" w:hAnsi="Century Gothic"/>
          <w:sz w:val="20"/>
          <w:szCs w:val="20"/>
          <w:lang w:val="en-AU"/>
        </w:rPr>
        <w:t>Collaboration</w:t>
      </w:r>
      <w:r w:rsidR="00073B79" w:rsidRPr="007C7FAF">
        <w:rPr>
          <w:rFonts w:ascii="Century Gothic" w:eastAsiaTheme="minorHAnsi" w:hAnsi="Century Gothic"/>
          <w:sz w:val="20"/>
          <w:szCs w:val="20"/>
          <w:lang w:val="en-AU"/>
        </w:rPr>
        <w:t xml:space="preserve"> </w:t>
      </w:r>
      <w:r w:rsidR="00073B79" w:rsidRPr="00073B79">
        <w:rPr>
          <w:rFonts w:ascii="Century Gothic" w:eastAsiaTheme="minorHAnsi" w:hAnsi="Century Gothic"/>
          <w:sz w:val="20"/>
          <w:szCs w:val="20"/>
          <w:lang w:val="en-AU"/>
        </w:rPr>
        <w:t>and netw</w:t>
      </w:r>
      <w:r w:rsidR="00073B79">
        <w:rPr>
          <w:rFonts w:ascii="Century Gothic" w:eastAsiaTheme="minorHAnsi" w:hAnsi="Century Gothic"/>
          <w:sz w:val="20"/>
          <w:szCs w:val="20"/>
          <w:lang w:val="en-AU"/>
        </w:rPr>
        <w:t>o</w:t>
      </w:r>
      <w:r w:rsidR="00073B79" w:rsidRPr="00073B79">
        <w:rPr>
          <w:rFonts w:ascii="Century Gothic" w:eastAsiaTheme="minorHAnsi" w:hAnsi="Century Gothic"/>
          <w:sz w:val="20"/>
          <w:szCs w:val="20"/>
          <w:lang w:val="en-AU"/>
        </w:rPr>
        <w:t>rks are valued in all sectors.</w:t>
      </w:r>
      <w:r w:rsidR="00073B79" w:rsidRPr="007C7FAF">
        <w:rPr>
          <w:rFonts w:ascii="Century Gothic" w:eastAsiaTheme="minorHAnsi" w:hAnsi="Century Gothic"/>
          <w:sz w:val="20"/>
          <w:szCs w:val="20"/>
          <w:lang w:val="en-AU"/>
        </w:rPr>
        <w:t xml:space="preserve"> </w:t>
      </w:r>
      <w:r w:rsidR="00BC0A6B">
        <w:rPr>
          <w:rFonts w:ascii="Century Gothic" w:eastAsiaTheme="minorHAnsi" w:hAnsi="Century Gothic"/>
          <w:sz w:val="20"/>
          <w:szCs w:val="20"/>
          <w:lang w:val="en-AU"/>
        </w:rPr>
        <w:t>W</w:t>
      </w:r>
      <w:r w:rsidR="00073B79">
        <w:rPr>
          <w:rFonts w:ascii="Century Gothic" w:eastAsiaTheme="minorHAnsi" w:hAnsi="Century Gothic"/>
          <w:sz w:val="20"/>
          <w:szCs w:val="20"/>
          <w:lang w:val="en-AU"/>
        </w:rPr>
        <w:t>hilst collaboration happen</w:t>
      </w:r>
      <w:r w:rsidR="00BC0A6B">
        <w:rPr>
          <w:rFonts w:ascii="Century Gothic" w:eastAsiaTheme="minorHAnsi" w:hAnsi="Century Gothic"/>
          <w:sz w:val="20"/>
          <w:szCs w:val="20"/>
          <w:lang w:val="en-AU"/>
        </w:rPr>
        <w:t>s</w:t>
      </w:r>
      <w:r w:rsidR="00073B79">
        <w:rPr>
          <w:rFonts w:ascii="Century Gothic" w:eastAsiaTheme="minorHAnsi" w:hAnsi="Century Gothic"/>
          <w:sz w:val="20"/>
          <w:szCs w:val="20"/>
          <w:lang w:val="en-AU"/>
        </w:rPr>
        <w:t xml:space="preserve"> informally, there may be s</w:t>
      </w:r>
      <w:r w:rsidR="00BC0A6B">
        <w:rPr>
          <w:rFonts w:ascii="Century Gothic" w:eastAsiaTheme="minorHAnsi" w:hAnsi="Century Gothic"/>
          <w:sz w:val="20"/>
          <w:szCs w:val="20"/>
          <w:lang w:val="en-AU"/>
        </w:rPr>
        <w:t>cop</w:t>
      </w:r>
      <w:r w:rsidR="00434F9F">
        <w:rPr>
          <w:rFonts w:ascii="Century Gothic" w:eastAsiaTheme="minorHAnsi" w:hAnsi="Century Gothic"/>
          <w:sz w:val="20"/>
          <w:szCs w:val="20"/>
          <w:lang w:val="en-AU"/>
        </w:rPr>
        <w:t xml:space="preserve">e for more formally structured </w:t>
      </w:r>
      <w:r w:rsidR="00BC0A6B">
        <w:rPr>
          <w:rFonts w:ascii="Century Gothic" w:eastAsiaTheme="minorHAnsi" w:hAnsi="Century Gothic"/>
          <w:sz w:val="20"/>
          <w:szCs w:val="20"/>
          <w:lang w:val="en-AU"/>
        </w:rPr>
        <w:t>exchange</w:t>
      </w:r>
      <w:r w:rsidR="00073B79">
        <w:rPr>
          <w:rFonts w:ascii="Century Gothic" w:eastAsiaTheme="minorHAnsi" w:hAnsi="Century Gothic"/>
          <w:sz w:val="20"/>
          <w:szCs w:val="20"/>
          <w:lang w:val="en-AU"/>
        </w:rPr>
        <w:t>, for in</w:t>
      </w:r>
      <w:r w:rsidR="00BC0A6B">
        <w:rPr>
          <w:rFonts w:ascii="Century Gothic" w:eastAsiaTheme="minorHAnsi" w:hAnsi="Century Gothic"/>
          <w:sz w:val="20"/>
          <w:szCs w:val="20"/>
          <w:lang w:val="en-AU"/>
        </w:rPr>
        <w:t>stance, sharing professional expertise on be</w:t>
      </w:r>
      <w:r w:rsidR="007C7FAF">
        <w:rPr>
          <w:rFonts w:ascii="Century Gothic" w:eastAsiaTheme="minorHAnsi" w:hAnsi="Century Gothic"/>
          <w:sz w:val="20"/>
          <w:szCs w:val="20"/>
          <w:lang w:val="en-AU"/>
        </w:rPr>
        <w:t>st practices in school support.</w:t>
      </w:r>
    </w:p>
    <w:p w14:paraId="4F7DAAB6" w14:textId="633C5DBD" w:rsidR="005467D3" w:rsidRDefault="00160F3B"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These suggestions </w:t>
      </w:r>
      <w:r w:rsidR="005467D3" w:rsidRPr="005467D3">
        <w:rPr>
          <w:rFonts w:ascii="Century Gothic" w:eastAsiaTheme="minorHAnsi" w:hAnsi="Century Gothic"/>
          <w:sz w:val="20"/>
          <w:szCs w:val="20"/>
          <w:lang w:val="en-AU"/>
        </w:rPr>
        <w:t xml:space="preserve">arise from </w:t>
      </w:r>
      <w:r w:rsidR="005467D3">
        <w:rPr>
          <w:rFonts w:ascii="Century Gothic" w:eastAsiaTheme="minorHAnsi" w:hAnsi="Century Gothic"/>
          <w:sz w:val="20"/>
          <w:szCs w:val="20"/>
          <w:lang w:val="en-AU"/>
        </w:rPr>
        <w:t>analysis of</w:t>
      </w:r>
      <w:r w:rsidR="005467D3" w:rsidRPr="005467D3">
        <w:rPr>
          <w:rFonts w:ascii="Century Gothic" w:eastAsiaTheme="minorHAnsi" w:hAnsi="Century Gothic"/>
          <w:sz w:val="20"/>
          <w:szCs w:val="20"/>
          <w:lang w:val="en-AU"/>
        </w:rPr>
        <w:t xml:space="preserve"> NGRBs SFSF</w:t>
      </w:r>
      <w:r w:rsidR="005467D3">
        <w:rPr>
          <w:rFonts w:ascii="Century Gothic" w:eastAsiaTheme="minorHAnsi" w:hAnsi="Century Gothic"/>
          <w:sz w:val="20"/>
          <w:szCs w:val="20"/>
          <w:lang w:val="en-AU"/>
        </w:rPr>
        <w:t xml:space="preserve"> activities and impact, views of the efficiency and effectiveness of the SFSF</w:t>
      </w:r>
      <w:r w:rsidR="00434F9F">
        <w:rPr>
          <w:rFonts w:ascii="Century Gothic" w:eastAsiaTheme="minorHAnsi" w:hAnsi="Century Gothic"/>
          <w:sz w:val="20"/>
          <w:szCs w:val="20"/>
          <w:lang w:val="en-AU"/>
        </w:rPr>
        <w:t xml:space="preserve">, including from principals, </w:t>
      </w:r>
      <w:r w:rsidR="005467D3">
        <w:rPr>
          <w:rFonts w:ascii="Century Gothic" w:eastAsiaTheme="minorHAnsi" w:hAnsi="Century Gothic"/>
          <w:sz w:val="20"/>
          <w:szCs w:val="20"/>
          <w:lang w:val="en-AU"/>
        </w:rPr>
        <w:t>and best practice themes in educa</w:t>
      </w:r>
      <w:r w:rsidR="007C7FAF">
        <w:rPr>
          <w:rFonts w:ascii="Century Gothic" w:eastAsiaTheme="minorHAnsi" w:hAnsi="Century Gothic"/>
          <w:sz w:val="20"/>
          <w:szCs w:val="20"/>
          <w:lang w:val="en-AU"/>
        </w:rPr>
        <w:t>tion and public administration.</w:t>
      </w:r>
    </w:p>
    <w:p w14:paraId="4AC40068" w14:textId="2C6B445F" w:rsidR="00D0640D" w:rsidRDefault="00D0640D" w:rsidP="00D0640D">
      <w:pPr>
        <w:pStyle w:val="Heading2"/>
        <w:ind w:right="-340"/>
        <w:rPr>
          <w:rStyle w:val="IntenseReference"/>
          <w:b/>
          <w:bCs/>
          <w:smallCaps w:val="0"/>
          <w:color w:val="0070C0"/>
          <w:spacing w:val="0"/>
        </w:rPr>
      </w:pPr>
      <w:bookmarkStart w:id="117" w:name="_Toc495587316"/>
      <w:r w:rsidRPr="005D40DE">
        <w:rPr>
          <w:rStyle w:val="IntenseReference"/>
          <w:b/>
          <w:bCs/>
          <w:smallCaps w:val="0"/>
          <w:color w:val="0070C0"/>
          <w:spacing w:val="0"/>
        </w:rPr>
        <w:t>5.</w:t>
      </w:r>
      <w:r>
        <w:rPr>
          <w:rStyle w:val="IntenseReference"/>
          <w:b/>
          <w:bCs/>
          <w:smallCaps w:val="0"/>
          <w:color w:val="0070C0"/>
          <w:spacing w:val="0"/>
        </w:rPr>
        <w:t>4</w:t>
      </w:r>
      <w:r w:rsidRPr="005D40DE">
        <w:rPr>
          <w:rStyle w:val="IntenseReference"/>
          <w:b/>
          <w:bCs/>
          <w:smallCaps w:val="0"/>
          <w:color w:val="0070C0"/>
          <w:spacing w:val="0"/>
        </w:rPr>
        <w:t xml:space="preserve"> </w:t>
      </w:r>
      <w:r>
        <w:rPr>
          <w:rStyle w:val="IntenseReference"/>
          <w:b/>
          <w:bCs/>
          <w:smallCaps w:val="0"/>
          <w:color w:val="0070C0"/>
          <w:spacing w:val="0"/>
        </w:rPr>
        <w:tab/>
      </w:r>
      <w:r w:rsidR="00E81E4C">
        <w:rPr>
          <w:rStyle w:val="IntenseReference"/>
          <w:b/>
          <w:bCs/>
          <w:smallCaps w:val="0"/>
          <w:color w:val="0070C0"/>
          <w:spacing w:val="0"/>
        </w:rPr>
        <w:t>O</w:t>
      </w:r>
      <w:r>
        <w:rPr>
          <w:rStyle w:val="IntenseReference"/>
          <w:b/>
          <w:bCs/>
          <w:smallCaps w:val="0"/>
          <w:color w:val="0070C0"/>
          <w:spacing w:val="0"/>
        </w:rPr>
        <w:t>ptions</w:t>
      </w:r>
      <w:r w:rsidR="00E81E4C">
        <w:rPr>
          <w:rStyle w:val="IntenseReference"/>
          <w:b/>
          <w:bCs/>
          <w:smallCaps w:val="0"/>
          <w:color w:val="0070C0"/>
          <w:spacing w:val="0"/>
        </w:rPr>
        <w:t>: Alternative funding models</w:t>
      </w:r>
      <w:r>
        <w:rPr>
          <w:rStyle w:val="IntenseReference"/>
          <w:b/>
          <w:bCs/>
          <w:smallCaps w:val="0"/>
          <w:color w:val="0070C0"/>
          <w:spacing w:val="0"/>
        </w:rPr>
        <w:t xml:space="preserve"> for the SFSF</w:t>
      </w:r>
      <w:bookmarkEnd w:id="117"/>
      <w:r>
        <w:rPr>
          <w:rStyle w:val="IntenseReference"/>
          <w:b/>
          <w:bCs/>
          <w:smallCaps w:val="0"/>
          <w:color w:val="0070C0"/>
          <w:spacing w:val="0"/>
        </w:rPr>
        <w:t xml:space="preserve"> </w:t>
      </w:r>
    </w:p>
    <w:p w14:paraId="5291A5BA" w14:textId="6C6384FE" w:rsidR="00764BF1" w:rsidRDefault="00764BF1"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As mentioned previously the </w:t>
      </w:r>
      <w:r w:rsidR="0044117E">
        <w:rPr>
          <w:rFonts w:ascii="Century Gothic" w:eastAsiaTheme="minorHAnsi" w:hAnsi="Century Gothic"/>
          <w:sz w:val="20"/>
          <w:szCs w:val="20"/>
          <w:lang w:val="en-AU"/>
        </w:rPr>
        <w:t xml:space="preserve">Australian Government </w:t>
      </w:r>
      <w:r>
        <w:rPr>
          <w:rFonts w:ascii="Century Gothic" w:eastAsiaTheme="minorHAnsi" w:hAnsi="Century Gothic"/>
          <w:sz w:val="20"/>
          <w:szCs w:val="20"/>
          <w:lang w:val="en-AU"/>
        </w:rPr>
        <w:t>as the funder of the SFSF needs to carefully consider how best to target its resources to its priorities so that it has confidence that the priorities are being addressed and it is receiving value for money.  The current structure of the SFSF has pushed the majority of NGRBs to think more broadly about their role and to develop app</w:t>
      </w:r>
      <w:r w:rsidR="00E81E4C">
        <w:rPr>
          <w:rFonts w:ascii="Century Gothic" w:eastAsiaTheme="minorHAnsi" w:hAnsi="Century Gothic"/>
          <w:sz w:val="20"/>
          <w:szCs w:val="20"/>
          <w:lang w:val="en-AU"/>
        </w:rPr>
        <w:t>roaches that see them assume a ‘system leader’</w:t>
      </w:r>
      <w:r>
        <w:rPr>
          <w:rFonts w:ascii="Century Gothic" w:eastAsiaTheme="minorHAnsi" w:hAnsi="Century Gothic"/>
          <w:sz w:val="20"/>
          <w:szCs w:val="20"/>
          <w:lang w:val="en-AU"/>
        </w:rPr>
        <w:t xml:space="preserve"> role </w:t>
      </w:r>
      <w:r w:rsidR="00DB5910">
        <w:rPr>
          <w:rFonts w:ascii="Century Gothic" w:eastAsiaTheme="minorHAnsi" w:hAnsi="Century Gothic"/>
          <w:sz w:val="20"/>
          <w:szCs w:val="20"/>
          <w:lang w:val="en-AU"/>
        </w:rPr>
        <w:t>and address</w:t>
      </w:r>
      <w:r w:rsidR="00FB32C2">
        <w:rPr>
          <w:rFonts w:ascii="Century Gothic" w:eastAsiaTheme="minorHAnsi" w:hAnsi="Century Gothic"/>
          <w:sz w:val="20"/>
          <w:szCs w:val="20"/>
          <w:lang w:val="en-AU"/>
        </w:rPr>
        <w:t xml:space="preserve"> the </w:t>
      </w:r>
      <w:r w:rsidR="00476557">
        <w:rPr>
          <w:rFonts w:ascii="Century Gothic" w:eastAsiaTheme="minorHAnsi" w:hAnsi="Century Gothic"/>
          <w:sz w:val="20"/>
          <w:szCs w:val="20"/>
          <w:lang w:val="en-AU"/>
        </w:rPr>
        <w:t xml:space="preserve">Australian Government’s </w:t>
      </w:r>
      <w:r w:rsidR="00FB32C2">
        <w:rPr>
          <w:rFonts w:ascii="Century Gothic" w:eastAsiaTheme="minorHAnsi" w:hAnsi="Century Gothic"/>
          <w:sz w:val="20"/>
          <w:szCs w:val="20"/>
          <w:lang w:val="en-AU"/>
        </w:rPr>
        <w:t>priorities through that lens.  This role has been valued by their schools and a future SFSF could continue to assist with the further development of NGRB’s along this trajectory – see previous section</w:t>
      </w:r>
      <w:r w:rsidR="00E81E4C">
        <w:rPr>
          <w:rFonts w:ascii="Century Gothic" w:eastAsiaTheme="minorHAnsi" w:hAnsi="Century Gothic"/>
          <w:sz w:val="20"/>
          <w:szCs w:val="20"/>
          <w:lang w:val="en-AU"/>
        </w:rPr>
        <w:t>s</w:t>
      </w:r>
      <w:r w:rsidR="00FB32C2">
        <w:rPr>
          <w:rFonts w:ascii="Century Gothic" w:eastAsiaTheme="minorHAnsi" w:hAnsi="Century Gothic"/>
          <w:sz w:val="20"/>
          <w:szCs w:val="20"/>
          <w:lang w:val="en-AU"/>
        </w:rPr>
        <w:t>.</w:t>
      </w:r>
    </w:p>
    <w:p w14:paraId="54E12409" w14:textId="0EDEA88F" w:rsidR="004B1B81" w:rsidRDefault="004B1B81"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However</w:t>
      </w:r>
      <w:r w:rsidR="00E81E4C">
        <w:rPr>
          <w:rFonts w:ascii="Century Gothic" w:eastAsiaTheme="minorHAnsi" w:hAnsi="Century Gothic"/>
          <w:sz w:val="20"/>
          <w:szCs w:val="20"/>
          <w:lang w:val="en-AU"/>
        </w:rPr>
        <w:t>,</w:t>
      </w:r>
      <w:r>
        <w:rPr>
          <w:rFonts w:ascii="Century Gothic" w:eastAsiaTheme="minorHAnsi" w:hAnsi="Century Gothic"/>
          <w:sz w:val="20"/>
          <w:szCs w:val="20"/>
          <w:lang w:val="en-AU"/>
        </w:rPr>
        <w:t xml:space="preserve"> </w:t>
      </w:r>
      <w:r w:rsidR="00E81E4C">
        <w:rPr>
          <w:rFonts w:ascii="Century Gothic" w:eastAsiaTheme="minorHAnsi" w:hAnsi="Century Gothic"/>
          <w:sz w:val="20"/>
          <w:szCs w:val="20"/>
          <w:lang w:val="en-AU"/>
        </w:rPr>
        <w:t xml:space="preserve">a key issue is </w:t>
      </w:r>
      <w:r>
        <w:rPr>
          <w:rFonts w:ascii="Century Gothic" w:eastAsiaTheme="minorHAnsi" w:hAnsi="Century Gothic"/>
          <w:sz w:val="20"/>
          <w:szCs w:val="20"/>
          <w:lang w:val="en-AU"/>
        </w:rPr>
        <w:t xml:space="preserve">whether this activity is one that Government should be funding </w:t>
      </w:r>
      <w:r w:rsidR="00E81E4C">
        <w:rPr>
          <w:rFonts w:ascii="Century Gothic" w:eastAsiaTheme="minorHAnsi" w:hAnsi="Century Gothic"/>
          <w:sz w:val="20"/>
          <w:szCs w:val="20"/>
          <w:lang w:val="en-AU"/>
        </w:rPr>
        <w:t xml:space="preserve">as a separate function </w:t>
      </w:r>
      <w:r>
        <w:rPr>
          <w:rFonts w:ascii="Century Gothic" w:eastAsiaTheme="minorHAnsi" w:hAnsi="Century Gothic"/>
          <w:sz w:val="20"/>
          <w:szCs w:val="20"/>
          <w:lang w:val="en-AU"/>
        </w:rPr>
        <w:t>or whether it is in fact core business for NGRBs and hence should be part of the</w:t>
      </w:r>
      <w:r w:rsidR="00E81E4C">
        <w:rPr>
          <w:rFonts w:ascii="Century Gothic" w:eastAsiaTheme="minorHAnsi" w:hAnsi="Century Gothic"/>
          <w:sz w:val="20"/>
          <w:szCs w:val="20"/>
          <w:lang w:val="en-AU"/>
        </w:rPr>
        <w:t>ir</w:t>
      </w:r>
      <w:r>
        <w:rPr>
          <w:rFonts w:ascii="Century Gothic" w:eastAsiaTheme="minorHAnsi" w:hAnsi="Century Gothic"/>
          <w:sz w:val="20"/>
          <w:szCs w:val="20"/>
          <w:lang w:val="en-AU"/>
        </w:rPr>
        <w:t xml:space="preserve"> general operation i.e. activity that is funded through their </w:t>
      </w:r>
      <w:r w:rsidR="00054378">
        <w:rPr>
          <w:rFonts w:ascii="Century Gothic" w:eastAsiaTheme="minorHAnsi" w:hAnsi="Century Gothic"/>
          <w:sz w:val="20"/>
          <w:szCs w:val="20"/>
          <w:lang w:val="en-AU"/>
        </w:rPr>
        <w:t>standard</w:t>
      </w:r>
      <w:r>
        <w:rPr>
          <w:rFonts w:ascii="Century Gothic" w:eastAsiaTheme="minorHAnsi" w:hAnsi="Century Gothic"/>
          <w:sz w:val="20"/>
          <w:szCs w:val="20"/>
          <w:lang w:val="en-AU"/>
        </w:rPr>
        <w:t xml:space="preserve"> business model – user pays, affiliation fees etc.</w:t>
      </w:r>
    </w:p>
    <w:p w14:paraId="7E5B10C6" w14:textId="4FE45447" w:rsidR="004B1B81" w:rsidRDefault="004B1B81"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key question here is whether Australian Government funding should be used (within the non</w:t>
      </w:r>
      <w:r w:rsidR="00F43816">
        <w:rPr>
          <w:rFonts w:ascii="Century Gothic" w:eastAsiaTheme="minorHAnsi" w:hAnsi="Century Gothic"/>
          <w:sz w:val="20"/>
          <w:szCs w:val="20"/>
          <w:lang w:val="en-AU"/>
        </w:rPr>
        <w:t>-</w:t>
      </w:r>
      <w:r>
        <w:rPr>
          <w:rFonts w:ascii="Century Gothic" w:eastAsiaTheme="minorHAnsi" w:hAnsi="Century Gothic"/>
          <w:sz w:val="20"/>
          <w:szCs w:val="20"/>
          <w:lang w:val="en-AU"/>
        </w:rPr>
        <w:t xml:space="preserve">government sector) to support </w:t>
      </w:r>
      <w:r w:rsidR="00E81E4C">
        <w:rPr>
          <w:rFonts w:ascii="Century Gothic" w:eastAsiaTheme="minorHAnsi" w:hAnsi="Century Gothic"/>
          <w:sz w:val="20"/>
          <w:szCs w:val="20"/>
          <w:lang w:val="en-AU"/>
        </w:rPr>
        <w:t xml:space="preserve">a wide definition of </w:t>
      </w:r>
      <w:r>
        <w:rPr>
          <w:rFonts w:ascii="Century Gothic" w:eastAsiaTheme="minorHAnsi" w:hAnsi="Century Gothic"/>
          <w:sz w:val="20"/>
          <w:szCs w:val="20"/>
          <w:lang w:val="en-AU"/>
        </w:rPr>
        <w:t xml:space="preserve">school improvement efforts or to </w:t>
      </w:r>
      <w:r w:rsidR="00CC7398">
        <w:rPr>
          <w:rFonts w:ascii="Century Gothic" w:eastAsiaTheme="minorHAnsi" w:hAnsi="Century Gothic"/>
          <w:sz w:val="20"/>
          <w:szCs w:val="20"/>
          <w:lang w:val="en-AU"/>
        </w:rPr>
        <w:t xml:space="preserve">drive </w:t>
      </w:r>
      <w:r w:rsidR="001177CC">
        <w:rPr>
          <w:rFonts w:ascii="Century Gothic" w:eastAsiaTheme="minorHAnsi" w:hAnsi="Century Gothic"/>
          <w:sz w:val="20"/>
          <w:szCs w:val="20"/>
          <w:lang w:val="en-AU"/>
        </w:rPr>
        <w:t xml:space="preserve">more specifically </w:t>
      </w:r>
      <w:r>
        <w:rPr>
          <w:rFonts w:ascii="Century Gothic" w:eastAsiaTheme="minorHAnsi" w:hAnsi="Century Gothic"/>
          <w:sz w:val="20"/>
          <w:szCs w:val="20"/>
          <w:lang w:val="en-AU"/>
        </w:rPr>
        <w:t>the implementation of national priorities.</w:t>
      </w:r>
    </w:p>
    <w:p w14:paraId="6C09E649" w14:textId="1BCF0F38" w:rsidR="00C33375" w:rsidRDefault="00054378"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As an alternative to the current SFSF approach </w:t>
      </w:r>
      <w:r w:rsidR="00FB32C2">
        <w:rPr>
          <w:rFonts w:ascii="Century Gothic" w:eastAsiaTheme="minorHAnsi" w:hAnsi="Century Gothic"/>
          <w:sz w:val="20"/>
          <w:szCs w:val="20"/>
          <w:lang w:val="en-AU"/>
        </w:rPr>
        <w:t xml:space="preserve">the </w:t>
      </w:r>
      <w:r w:rsidR="00476557">
        <w:rPr>
          <w:rFonts w:ascii="Century Gothic" w:eastAsiaTheme="minorHAnsi" w:hAnsi="Century Gothic"/>
          <w:sz w:val="20"/>
          <w:szCs w:val="20"/>
          <w:lang w:val="en-AU"/>
        </w:rPr>
        <w:t xml:space="preserve">Australian Government </w:t>
      </w:r>
      <w:r w:rsidR="00FB32C2">
        <w:rPr>
          <w:rFonts w:ascii="Century Gothic" w:eastAsiaTheme="minorHAnsi" w:hAnsi="Century Gothic"/>
          <w:sz w:val="20"/>
          <w:szCs w:val="20"/>
          <w:lang w:val="en-AU"/>
        </w:rPr>
        <w:t xml:space="preserve">could consider a number of different options for achieving its goals.  </w:t>
      </w:r>
      <w:r w:rsidR="00C33375">
        <w:rPr>
          <w:rFonts w:ascii="Century Gothic" w:eastAsiaTheme="minorHAnsi" w:hAnsi="Century Gothic"/>
          <w:sz w:val="20"/>
          <w:szCs w:val="20"/>
          <w:lang w:val="en-AU"/>
        </w:rPr>
        <w:t>Decisions on other options could be predicated on the following assumptions:</w:t>
      </w:r>
      <w:r w:rsidR="00CC7398">
        <w:rPr>
          <w:rFonts w:ascii="Century Gothic" w:eastAsiaTheme="minorHAnsi" w:hAnsi="Century Gothic"/>
          <w:sz w:val="20"/>
          <w:szCs w:val="20"/>
          <w:lang w:val="en-AU"/>
        </w:rPr>
        <w:t xml:space="preserve"> </w:t>
      </w:r>
    </w:p>
    <w:p w14:paraId="416722BD" w14:textId="294179F2" w:rsidR="00C33375" w:rsidRDefault="00C33375" w:rsidP="006A1D2B">
      <w:pPr>
        <w:pStyle w:val="ListParagraph"/>
        <w:numPr>
          <w:ilvl w:val="0"/>
          <w:numId w:val="3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SFSF has helped NGRBs to mature their provision of services and they are now in a position to move to a user pays </w:t>
      </w:r>
      <w:r w:rsidR="001177CC">
        <w:rPr>
          <w:rFonts w:ascii="Century Gothic" w:eastAsiaTheme="minorHAnsi" w:hAnsi="Century Gothic"/>
          <w:sz w:val="20"/>
          <w:szCs w:val="20"/>
          <w:lang w:val="en-AU"/>
        </w:rPr>
        <w:t xml:space="preserve">or business as usual </w:t>
      </w:r>
      <w:r>
        <w:rPr>
          <w:rFonts w:ascii="Century Gothic" w:eastAsiaTheme="minorHAnsi" w:hAnsi="Century Gothic"/>
          <w:sz w:val="20"/>
          <w:szCs w:val="20"/>
          <w:lang w:val="en-AU"/>
        </w:rPr>
        <w:t>approach for these services</w:t>
      </w:r>
    </w:p>
    <w:p w14:paraId="108B6C14" w14:textId="1578A656" w:rsidR="00C33375" w:rsidRDefault="00C33375" w:rsidP="006A1D2B">
      <w:pPr>
        <w:pStyle w:val="ListParagraph"/>
        <w:numPr>
          <w:ilvl w:val="0"/>
          <w:numId w:val="39"/>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The </w:t>
      </w:r>
      <w:r w:rsidR="001177CC">
        <w:rPr>
          <w:rFonts w:ascii="Century Gothic" w:eastAsiaTheme="minorHAnsi" w:hAnsi="Century Gothic"/>
          <w:sz w:val="20"/>
          <w:szCs w:val="20"/>
          <w:lang w:val="en-AU"/>
        </w:rPr>
        <w:t xml:space="preserve">Australian Government </w:t>
      </w:r>
      <w:r w:rsidR="006A6D1A">
        <w:rPr>
          <w:rFonts w:ascii="Century Gothic" w:eastAsiaTheme="minorHAnsi" w:hAnsi="Century Gothic"/>
          <w:sz w:val="20"/>
          <w:szCs w:val="20"/>
          <w:lang w:val="en-AU"/>
        </w:rPr>
        <w:t xml:space="preserve">may wish to be more specific about the directions supported by the SFSF – a future program should have the flexibility to address broad reform areas as well as specific </w:t>
      </w:r>
      <w:r w:rsidR="00E81E4C">
        <w:rPr>
          <w:rFonts w:ascii="Century Gothic" w:eastAsiaTheme="minorHAnsi" w:hAnsi="Century Gothic"/>
          <w:sz w:val="20"/>
          <w:szCs w:val="20"/>
          <w:lang w:val="en-AU"/>
        </w:rPr>
        <w:t xml:space="preserve">priority </w:t>
      </w:r>
      <w:r w:rsidR="006A6D1A">
        <w:rPr>
          <w:rFonts w:ascii="Century Gothic" w:eastAsiaTheme="minorHAnsi" w:hAnsi="Century Gothic"/>
          <w:sz w:val="20"/>
          <w:szCs w:val="20"/>
          <w:lang w:val="en-AU"/>
        </w:rPr>
        <w:t>initiatives such as NAPLAN On Line</w:t>
      </w:r>
    </w:p>
    <w:p w14:paraId="66AEF03F" w14:textId="55BB1061" w:rsidR="0044117E" w:rsidRPr="00C33375" w:rsidRDefault="0044117E" w:rsidP="006A1D2B">
      <w:pPr>
        <w:pStyle w:val="ListParagraph"/>
        <w:numPr>
          <w:ilvl w:val="0"/>
          <w:numId w:val="39"/>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Provision of services to schools via Australian Government funding s</w:t>
      </w:r>
      <w:r w:rsidR="00E81E4C">
        <w:rPr>
          <w:rFonts w:ascii="Century Gothic" w:eastAsiaTheme="minorHAnsi" w:hAnsi="Century Gothic"/>
          <w:sz w:val="20"/>
          <w:szCs w:val="20"/>
          <w:lang w:val="en-AU"/>
        </w:rPr>
        <w:t>hould be outco</w:t>
      </w:r>
      <w:r w:rsidR="00CC7398">
        <w:rPr>
          <w:rFonts w:ascii="Century Gothic" w:eastAsiaTheme="minorHAnsi" w:hAnsi="Century Gothic"/>
          <w:sz w:val="20"/>
          <w:szCs w:val="20"/>
          <w:lang w:val="en-AU"/>
        </w:rPr>
        <w:t xml:space="preserve">mes driven and to some extent </w:t>
      </w:r>
      <w:r w:rsidR="00E81E4C">
        <w:rPr>
          <w:rFonts w:ascii="Century Gothic" w:eastAsiaTheme="minorHAnsi" w:hAnsi="Century Gothic"/>
          <w:sz w:val="20"/>
          <w:szCs w:val="20"/>
          <w:lang w:val="en-AU"/>
        </w:rPr>
        <w:t>contesta</w:t>
      </w:r>
      <w:r>
        <w:rPr>
          <w:rFonts w:ascii="Century Gothic" w:eastAsiaTheme="minorHAnsi" w:hAnsi="Century Gothic"/>
          <w:sz w:val="20"/>
          <w:szCs w:val="20"/>
          <w:lang w:val="en-AU"/>
        </w:rPr>
        <w:t>ble</w:t>
      </w:r>
      <w:r w:rsidR="007C7FAF">
        <w:rPr>
          <w:rFonts w:ascii="Century Gothic" w:eastAsiaTheme="minorHAnsi" w:hAnsi="Century Gothic"/>
          <w:sz w:val="20"/>
          <w:szCs w:val="20"/>
          <w:lang w:val="en-AU"/>
        </w:rPr>
        <w:t>.</w:t>
      </w:r>
    </w:p>
    <w:p w14:paraId="3BFFF2BF" w14:textId="4CE25EB2" w:rsidR="00FB32C2" w:rsidRDefault="006A6D1A" w:rsidP="004B2D8A">
      <w:p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Some alternative approaches are</w:t>
      </w:r>
      <w:r w:rsidR="00FB32C2">
        <w:rPr>
          <w:rFonts w:ascii="Century Gothic" w:eastAsiaTheme="minorHAnsi" w:hAnsi="Century Gothic"/>
          <w:sz w:val="20"/>
          <w:szCs w:val="20"/>
          <w:lang w:val="en-AU"/>
        </w:rPr>
        <w:t xml:space="preserve"> explored below.</w:t>
      </w:r>
      <w:r w:rsidR="005E6369">
        <w:rPr>
          <w:rFonts w:ascii="Century Gothic" w:eastAsiaTheme="minorHAnsi" w:hAnsi="Century Gothic"/>
          <w:sz w:val="20"/>
          <w:szCs w:val="20"/>
          <w:lang w:val="en-AU"/>
        </w:rPr>
        <w:t xml:space="preserve">  These are not mutually exclusive</w:t>
      </w:r>
      <w:r w:rsidR="00054378">
        <w:rPr>
          <w:rFonts w:ascii="Century Gothic" w:eastAsiaTheme="minorHAnsi" w:hAnsi="Century Gothic"/>
          <w:sz w:val="20"/>
          <w:szCs w:val="20"/>
          <w:lang w:val="en-AU"/>
        </w:rPr>
        <w:t>.</w:t>
      </w:r>
      <w:r w:rsidR="005E6369">
        <w:rPr>
          <w:rFonts w:ascii="Century Gothic" w:eastAsiaTheme="minorHAnsi" w:hAnsi="Century Gothic"/>
          <w:sz w:val="20"/>
          <w:szCs w:val="20"/>
          <w:lang w:val="en-AU"/>
        </w:rPr>
        <w:t xml:space="preserve"> </w:t>
      </w:r>
      <w:r w:rsidR="00584B3C">
        <w:rPr>
          <w:rFonts w:ascii="Century Gothic" w:eastAsiaTheme="minorHAnsi" w:hAnsi="Century Gothic"/>
          <w:sz w:val="20"/>
          <w:szCs w:val="20"/>
          <w:lang w:val="en-AU"/>
        </w:rPr>
        <w:t xml:space="preserve"> </w:t>
      </w:r>
    </w:p>
    <w:p w14:paraId="5F7DCF09" w14:textId="35785997" w:rsidR="00D94293" w:rsidRPr="00FB32C2" w:rsidRDefault="00D94293" w:rsidP="003A3CAE">
      <w:pPr>
        <w:pStyle w:val="Heading3"/>
        <w:rPr>
          <w:lang w:val="en-AU"/>
        </w:rPr>
      </w:pPr>
      <w:r w:rsidRPr="00D94293">
        <w:rPr>
          <w:lang w:val="en-AU"/>
        </w:rPr>
        <w:t>SFSF funds are allocated to state and territory authorities for work with non</w:t>
      </w:r>
      <w:r w:rsidR="003A3CAE">
        <w:rPr>
          <w:lang w:val="en-AU"/>
        </w:rPr>
        <w:noBreakHyphen/>
      </w:r>
      <w:r w:rsidRPr="00D94293">
        <w:rPr>
          <w:lang w:val="en-AU"/>
        </w:rPr>
        <w:t>government sector on national priorities</w:t>
      </w:r>
    </w:p>
    <w:p w14:paraId="49B98659" w14:textId="77777777" w:rsidR="003B766F" w:rsidRPr="003B766F" w:rsidRDefault="003B766F" w:rsidP="00584B3C">
      <w:pPr>
        <w:spacing w:after="120" w:line="276" w:lineRule="auto"/>
        <w:ind w:right="-340"/>
        <w:jc w:val="both"/>
        <w:rPr>
          <w:rFonts w:ascii="Century Gothic" w:eastAsiaTheme="minorHAnsi" w:hAnsi="Century Gothic"/>
          <w:i/>
          <w:sz w:val="20"/>
          <w:szCs w:val="20"/>
          <w:lang w:val="en-AU"/>
        </w:rPr>
      </w:pPr>
      <w:r w:rsidRPr="003B766F">
        <w:rPr>
          <w:rFonts w:ascii="Century Gothic" w:eastAsiaTheme="minorHAnsi" w:hAnsi="Century Gothic"/>
          <w:i/>
          <w:sz w:val="20"/>
          <w:szCs w:val="20"/>
          <w:lang w:val="en-AU"/>
        </w:rPr>
        <w:t>Key Features</w:t>
      </w:r>
    </w:p>
    <w:p w14:paraId="19FBC3AB" w14:textId="4C5C3641" w:rsidR="00D0640D" w:rsidRPr="003B766F" w:rsidRDefault="00FB32C2"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sidRPr="003B766F">
        <w:rPr>
          <w:rFonts w:ascii="Century Gothic" w:eastAsiaTheme="minorHAnsi" w:hAnsi="Century Gothic"/>
          <w:sz w:val="20"/>
          <w:szCs w:val="20"/>
          <w:lang w:val="en-AU"/>
        </w:rPr>
        <w:t xml:space="preserve">Commonwealth would allocate </w:t>
      </w:r>
      <w:r w:rsidR="003B766F" w:rsidRPr="003B766F">
        <w:rPr>
          <w:rFonts w:ascii="Century Gothic" w:eastAsiaTheme="minorHAnsi" w:hAnsi="Century Gothic"/>
          <w:sz w:val="20"/>
          <w:szCs w:val="20"/>
          <w:lang w:val="en-AU"/>
        </w:rPr>
        <w:t xml:space="preserve">SFSF </w:t>
      </w:r>
      <w:r w:rsidRPr="003B766F">
        <w:rPr>
          <w:rFonts w:ascii="Century Gothic" w:eastAsiaTheme="minorHAnsi" w:hAnsi="Century Gothic"/>
          <w:sz w:val="20"/>
          <w:szCs w:val="20"/>
          <w:lang w:val="en-AU"/>
        </w:rPr>
        <w:t>funds to the state and territory authorities</w:t>
      </w:r>
    </w:p>
    <w:p w14:paraId="089A4C16" w14:textId="530B5952" w:rsidR="003B766F" w:rsidRDefault="003B766F"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Funding to be used by states and territories to support non government schools in areas of national priority</w:t>
      </w:r>
    </w:p>
    <w:p w14:paraId="7F935AB2" w14:textId="5B06E85D" w:rsidR="003B766F" w:rsidRDefault="003B766F"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States and territories to reach agreement with NGRBs on the use of SFSF with their schools</w:t>
      </w:r>
      <w:r w:rsidR="003E4DD0">
        <w:rPr>
          <w:rFonts w:ascii="Century Gothic" w:eastAsiaTheme="minorHAnsi" w:hAnsi="Century Gothic"/>
          <w:sz w:val="20"/>
          <w:szCs w:val="20"/>
          <w:lang w:val="en-AU"/>
        </w:rPr>
        <w:t xml:space="preserve"> and this agreement to be endorsed by the </w:t>
      </w:r>
      <w:r w:rsidR="00476557" w:rsidRPr="00476557">
        <w:rPr>
          <w:rFonts w:ascii="Century Gothic" w:eastAsiaTheme="minorHAnsi" w:hAnsi="Century Gothic"/>
          <w:sz w:val="20"/>
          <w:szCs w:val="20"/>
          <w:lang w:val="en-AU"/>
        </w:rPr>
        <w:t>Australian Government</w:t>
      </w:r>
      <w:r w:rsidR="003E4DD0">
        <w:rPr>
          <w:rFonts w:ascii="Century Gothic" w:eastAsiaTheme="minorHAnsi" w:hAnsi="Century Gothic"/>
          <w:sz w:val="20"/>
          <w:szCs w:val="20"/>
          <w:lang w:val="en-AU"/>
        </w:rPr>
        <w:t>.</w:t>
      </w:r>
    </w:p>
    <w:p w14:paraId="756E85F6" w14:textId="5D84DAE2" w:rsidR="003B766F" w:rsidRDefault="003B766F"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Flexibility within the program to implement joint </w:t>
      </w:r>
      <w:r w:rsidR="0044117E">
        <w:rPr>
          <w:rFonts w:ascii="Century Gothic" w:eastAsiaTheme="minorHAnsi" w:hAnsi="Century Gothic"/>
          <w:sz w:val="20"/>
          <w:szCs w:val="20"/>
          <w:lang w:val="en-AU"/>
        </w:rPr>
        <w:t xml:space="preserve">initiatives </w:t>
      </w:r>
      <w:r>
        <w:rPr>
          <w:rFonts w:ascii="Century Gothic" w:eastAsiaTheme="minorHAnsi" w:hAnsi="Century Gothic"/>
          <w:sz w:val="20"/>
          <w:szCs w:val="20"/>
          <w:lang w:val="en-AU"/>
        </w:rPr>
        <w:t>across sectors</w:t>
      </w:r>
    </w:p>
    <w:p w14:paraId="02FEA9DC" w14:textId="5EE626C8" w:rsidR="003E4DD0" w:rsidRDefault="003E4DD0"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States and territories accountable to the </w:t>
      </w:r>
      <w:r w:rsidR="00476557">
        <w:rPr>
          <w:rFonts w:ascii="Century Gothic" w:eastAsiaTheme="minorHAnsi" w:hAnsi="Century Gothic"/>
          <w:sz w:val="20"/>
          <w:szCs w:val="20"/>
          <w:lang w:val="en-AU"/>
        </w:rPr>
        <w:t xml:space="preserve">Australian Government </w:t>
      </w:r>
      <w:r>
        <w:rPr>
          <w:rFonts w:ascii="Century Gothic" w:eastAsiaTheme="minorHAnsi" w:hAnsi="Century Gothic"/>
          <w:sz w:val="20"/>
          <w:szCs w:val="20"/>
          <w:lang w:val="en-AU"/>
        </w:rPr>
        <w:t>for delivery</w:t>
      </w:r>
    </w:p>
    <w:p w14:paraId="05716A48" w14:textId="21252D52" w:rsidR="00B561A6" w:rsidRDefault="00B561A6"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may access SFSF funding through their state and territory government</w:t>
      </w:r>
    </w:p>
    <w:p w14:paraId="011F610F" w14:textId="11185C4D" w:rsidR="003E4DD0" w:rsidRPr="00E81E4C" w:rsidRDefault="003E4DD0" w:rsidP="00F43816">
      <w:pPr>
        <w:keepNext/>
        <w:keepLines/>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Pluses</w:t>
      </w:r>
    </w:p>
    <w:p w14:paraId="2BDB249D" w14:textId="30B1D097" w:rsidR="003E4DD0" w:rsidRDefault="003E4DD0" w:rsidP="00F43816">
      <w:pPr>
        <w:pStyle w:val="ListParagraph"/>
        <w:keepNext/>
        <w:keepLines/>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Allows for the integration of </w:t>
      </w:r>
      <w:r w:rsidR="00476557" w:rsidRPr="00476557">
        <w:rPr>
          <w:rFonts w:ascii="Century Gothic" w:eastAsiaTheme="minorHAnsi" w:hAnsi="Century Gothic"/>
          <w:sz w:val="20"/>
          <w:szCs w:val="20"/>
          <w:lang w:val="en-AU"/>
        </w:rPr>
        <w:t xml:space="preserve">Australian Government </w:t>
      </w:r>
      <w:r>
        <w:rPr>
          <w:rFonts w:ascii="Century Gothic" w:eastAsiaTheme="minorHAnsi" w:hAnsi="Century Gothic"/>
          <w:sz w:val="20"/>
          <w:szCs w:val="20"/>
          <w:lang w:val="en-AU"/>
        </w:rPr>
        <w:t>and state priorities in a way that could reduce confusion for schools</w:t>
      </w:r>
    </w:p>
    <w:p w14:paraId="7FE8367E" w14:textId="6E5562DF" w:rsidR="003E4DD0" w:rsidRDefault="003E4DD0" w:rsidP="00F43816">
      <w:pPr>
        <w:pStyle w:val="ListParagraph"/>
        <w:keepNext/>
        <w:keepLines/>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Potential to foster cross sectoral cooperation and learning</w:t>
      </w:r>
    </w:p>
    <w:p w14:paraId="5CBEF747" w14:textId="4CCDFC5F" w:rsidR="003E4DD0" w:rsidRDefault="003E4DD0" w:rsidP="00F43816">
      <w:pPr>
        <w:pStyle w:val="ListParagraph"/>
        <w:keepNext/>
        <w:keepLines/>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Clear accountability at </w:t>
      </w:r>
      <w:r w:rsidR="0044117E">
        <w:rPr>
          <w:rFonts w:ascii="Century Gothic" w:eastAsiaTheme="minorHAnsi" w:hAnsi="Century Gothic"/>
          <w:sz w:val="20"/>
          <w:szCs w:val="20"/>
          <w:lang w:val="en-AU"/>
        </w:rPr>
        <w:t xml:space="preserve">the </w:t>
      </w:r>
      <w:r>
        <w:rPr>
          <w:rFonts w:ascii="Century Gothic" w:eastAsiaTheme="minorHAnsi" w:hAnsi="Century Gothic"/>
          <w:sz w:val="20"/>
          <w:szCs w:val="20"/>
          <w:lang w:val="en-AU"/>
        </w:rPr>
        <w:t>level</w:t>
      </w:r>
      <w:r w:rsidR="0044117E">
        <w:rPr>
          <w:rFonts w:ascii="Century Gothic" w:eastAsiaTheme="minorHAnsi" w:hAnsi="Century Gothic"/>
          <w:sz w:val="20"/>
          <w:szCs w:val="20"/>
          <w:lang w:val="en-AU"/>
        </w:rPr>
        <w:t xml:space="preserve"> of state and territory government</w:t>
      </w:r>
    </w:p>
    <w:p w14:paraId="202DB603" w14:textId="14AC4F35" w:rsidR="003E4DD0" w:rsidRPr="00E81E4C" w:rsidRDefault="003E4DD0" w:rsidP="00584B3C">
      <w:pPr>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Issues</w:t>
      </w:r>
    </w:p>
    <w:p w14:paraId="31676DFC" w14:textId="5E7BE1CA" w:rsidR="003E4DD0" w:rsidRDefault="003E4DD0"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Potentially alienates some NGRBs who do not have a </w:t>
      </w:r>
      <w:r w:rsidR="00C33375">
        <w:rPr>
          <w:rFonts w:ascii="Century Gothic" w:eastAsiaTheme="minorHAnsi" w:hAnsi="Century Gothic"/>
          <w:sz w:val="20"/>
          <w:szCs w:val="20"/>
          <w:lang w:val="en-AU"/>
        </w:rPr>
        <w:t xml:space="preserve">good relationship with their state and territory department and who have traditionally looked to the </w:t>
      </w:r>
      <w:r w:rsidR="00476557">
        <w:rPr>
          <w:rFonts w:ascii="Century Gothic" w:eastAsiaTheme="minorHAnsi" w:hAnsi="Century Gothic"/>
          <w:sz w:val="20"/>
          <w:szCs w:val="20"/>
          <w:lang w:val="en-AU"/>
        </w:rPr>
        <w:t xml:space="preserve">Australian Government </w:t>
      </w:r>
      <w:r w:rsidR="00C33375">
        <w:rPr>
          <w:rFonts w:ascii="Century Gothic" w:eastAsiaTheme="minorHAnsi" w:hAnsi="Century Gothic"/>
          <w:sz w:val="20"/>
          <w:szCs w:val="20"/>
          <w:lang w:val="en-AU"/>
        </w:rPr>
        <w:t>as a buffer against state incursions into the operation of their schools</w:t>
      </w:r>
    </w:p>
    <w:p w14:paraId="7419F5C5" w14:textId="525B6351" w:rsidR="00B561A6" w:rsidRDefault="00B561A6"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On the other hand some state and territory governments may not wish to engage in this way with their non-government school sector</w:t>
      </w:r>
    </w:p>
    <w:p w14:paraId="03F249A8" w14:textId="0D60C1B5" w:rsidR="00C33375" w:rsidRDefault="00B561A6"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NGRBs may move to a more </w:t>
      </w:r>
      <w:r w:rsidR="006A6D1A">
        <w:rPr>
          <w:rFonts w:ascii="Century Gothic" w:eastAsiaTheme="minorHAnsi" w:hAnsi="Century Gothic"/>
          <w:sz w:val="20"/>
          <w:szCs w:val="20"/>
          <w:lang w:val="en-AU"/>
        </w:rPr>
        <w:t xml:space="preserve">user pays environment </w:t>
      </w:r>
      <w:r>
        <w:rPr>
          <w:rFonts w:ascii="Century Gothic" w:eastAsiaTheme="minorHAnsi" w:hAnsi="Century Gothic"/>
          <w:sz w:val="20"/>
          <w:szCs w:val="20"/>
          <w:lang w:val="en-AU"/>
        </w:rPr>
        <w:t xml:space="preserve">that results in </w:t>
      </w:r>
      <w:r w:rsidR="00A81702">
        <w:rPr>
          <w:rFonts w:ascii="Century Gothic" w:eastAsiaTheme="minorHAnsi" w:hAnsi="Century Gothic"/>
          <w:sz w:val="20"/>
          <w:szCs w:val="20"/>
          <w:lang w:val="en-AU"/>
        </w:rPr>
        <w:t>some non-</w:t>
      </w:r>
      <w:r w:rsidR="006A6D1A">
        <w:rPr>
          <w:rFonts w:ascii="Century Gothic" w:eastAsiaTheme="minorHAnsi" w:hAnsi="Century Gothic"/>
          <w:sz w:val="20"/>
          <w:szCs w:val="20"/>
          <w:lang w:val="en-AU"/>
        </w:rPr>
        <w:t>government schools opt</w:t>
      </w:r>
      <w:r>
        <w:rPr>
          <w:rFonts w:ascii="Century Gothic" w:eastAsiaTheme="minorHAnsi" w:hAnsi="Century Gothic"/>
          <w:sz w:val="20"/>
          <w:szCs w:val="20"/>
          <w:lang w:val="en-AU"/>
        </w:rPr>
        <w:t>ing</w:t>
      </w:r>
      <w:r w:rsidR="006A6D1A">
        <w:rPr>
          <w:rFonts w:ascii="Century Gothic" w:eastAsiaTheme="minorHAnsi" w:hAnsi="Century Gothic"/>
          <w:sz w:val="20"/>
          <w:szCs w:val="20"/>
          <w:lang w:val="en-AU"/>
        </w:rPr>
        <w:t xml:space="preserve"> out of engagement with outside school improvement activities</w:t>
      </w:r>
    </w:p>
    <w:p w14:paraId="613568E7" w14:textId="6E551D8C" w:rsidR="006A6D1A" w:rsidRDefault="006A6D1A"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Government school agendas</w:t>
      </w:r>
      <w:r w:rsidR="00A81702">
        <w:rPr>
          <w:rFonts w:ascii="Century Gothic" w:eastAsiaTheme="minorHAnsi" w:hAnsi="Century Gothic"/>
          <w:sz w:val="20"/>
          <w:szCs w:val="20"/>
          <w:lang w:val="en-AU"/>
        </w:rPr>
        <w:t xml:space="preserve"> dominate at the expense of non-</w:t>
      </w:r>
      <w:r>
        <w:rPr>
          <w:rFonts w:ascii="Century Gothic" w:eastAsiaTheme="minorHAnsi" w:hAnsi="Century Gothic"/>
          <w:sz w:val="20"/>
          <w:szCs w:val="20"/>
          <w:lang w:val="en-AU"/>
        </w:rPr>
        <w:t>government school issues</w:t>
      </w:r>
      <w:r w:rsidR="00E81E4C">
        <w:rPr>
          <w:rFonts w:ascii="Century Gothic" w:eastAsiaTheme="minorHAnsi" w:hAnsi="Century Gothic"/>
          <w:sz w:val="20"/>
          <w:szCs w:val="20"/>
          <w:lang w:val="en-AU"/>
        </w:rPr>
        <w:t>.</w:t>
      </w:r>
    </w:p>
    <w:p w14:paraId="5597754A" w14:textId="475AB6E1" w:rsidR="003E4DD0" w:rsidRDefault="00476557" w:rsidP="00094310">
      <w:pPr>
        <w:spacing w:before="120" w:after="120" w:line="276" w:lineRule="auto"/>
        <w:ind w:right="-340"/>
        <w:jc w:val="both"/>
        <w:rPr>
          <w:rFonts w:ascii="Century Gothic" w:eastAsiaTheme="minorHAnsi" w:hAnsi="Century Gothic"/>
          <w:b/>
          <w:color w:val="4F81BD" w:themeColor="accent1"/>
          <w:sz w:val="20"/>
          <w:szCs w:val="20"/>
          <w:lang w:val="en-AU"/>
        </w:rPr>
      </w:pPr>
      <w:r>
        <w:rPr>
          <w:rFonts w:ascii="Century Gothic" w:eastAsiaTheme="minorHAnsi" w:hAnsi="Century Gothic"/>
          <w:b/>
          <w:color w:val="4F81BD" w:themeColor="accent1"/>
          <w:sz w:val="20"/>
          <w:szCs w:val="20"/>
          <w:lang w:val="en-AU"/>
        </w:rPr>
        <w:t>Australian Government</w:t>
      </w:r>
      <w:r w:rsidR="003E4DD0">
        <w:rPr>
          <w:rFonts w:ascii="Century Gothic" w:eastAsiaTheme="minorHAnsi" w:hAnsi="Century Gothic"/>
          <w:b/>
          <w:color w:val="4F81BD" w:themeColor="accent1"/>
          <w:sz w:val="20"/>
          <w:szCs w:val="20"/>
          <w:lang w:val="en-AU"/>
        </w:rPr>
        <w:t xml:space="preserve"> conducts open tender</w:t>
      </w:r>
      <w:r w:rsidR="00D94293">
        <w:rPr>
          <w:rFonts w:ascii="Century Gothic" w:eastAsiaTheme="minorHAnsi" w:hAnsi="Century Gothic"/>
          <w:b/>
          <w:color w:val="4F81BD" w:themeColor="accent1"/>
          <w:sz w:val="20"/>
          <w:szCs w:val="20"/>
          <w:lang w:val="en-AU"/>
        </w:rPr>
        <w:t>s</w:t>
      </w:r>
      <w:r w:rsidR="003E4DD0">
        <w:rPr>
          <w:rFonts w:ascii="Century Gothic" w:eastAsiaTheme="minorHAnsi" w:hAnsi="Century Gothic"/>
          <w:b/>
          <w:color w:val="4F81BD" w:themeColor="accent1"/>
          <w:sz w:val="20"/>
          <w:szCs w:val="20"/>
          <w:lang w:val="en-AU"/>
        </w:rPr>
        <w:t xml:space="preserve"> for the provision of specific initiatives with non-government schools</w:t>
      </w:r>
    </w:p>
    <w:p w14:paraId="3D02E73E" w14:textId="77777777" w:rsidR="003E4DD0" w:rsidRPr="003B766F" w:rsidRDefault="003E4DD0" w:rsidP="00584B3C">
      <w:pPr>
        <w:spacing w:after="120" w:line="276" w:lineRule="auto"/>
        <w:ind w:right="-340"/>
        <w:jc w:val="both"/>
        <w:rPr>
          <w:rFonts w:ascii="Century Gothic" w:eastAsiaTheme="minorHAnsi" w:hAnsi="Century Gothic"/>
          <w:i/>
          <w:sz w:val="20"/>
          <w:szCs w:val="20"/>
          <w:lang w:val="en-AU"/>
        </w:rPr>
      </w:pPr>
      <w:r w:rsidRPr="003B766F">
        <w:rPr>
          <w:rFonts w:ascii="Century Gothic" w:eastAsiaTheme="minorHAnsi" w:hAnsi="Century Gothic"/>
          <w:i/>
          <w:sz w:val="20"/>
          <w:szCs w:val="20"/>
          <w:lang w:val="en-AU"/>
        </w:rPr>
        <w:t>Key Features</w:t>
      </w:r>
    </w:p>
    <w:p w14:paraId="336E0E77" w14:textId="46BFE1A9" w:rsidR="003E4DD0" w:rsidRDefault="00D964B1"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Australian Government </w:t>
      </w:r>
      <w:r w:rsidR="006A6D1A">
        <w:rPr>
          <w:rFonts w:ascii="Century Gothic" w:eastAsiaTheme="minorHAnsi" w:hAnsi="Century Gothic"/>
          <w:sz w:val="20"/>
          <w:szCs w:val="20"/>
          <w:lang w:val="en-AU"/>
        </w:rPr>
        <w:t>determines specific activities to be supported by SFSF rather than broad reform areas</w:t>
      </w:r>
    </w:p>
    <w:p w14:paraId="78F00176" w14:textId="1C0CE9DA" w:rsidR="006A6D1A" w:rsidRDefault="006A6D1A"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Conduct of these services is put out to open tender – either as a national </w:t>
      </w:r>
      <w:r w:rsidR="00DB5910">
        <w:rPr>
          <w:rFonts w:ascii="Century Gothic" w:eastAsiaTheme="minorHAnsi" w:hAnsi="Century Gothic"/>
          <w:sz w:val="20"/>
          <w:szCs w:val="20"/>
          <w:lang w:val="en-AU"/>
        </w:rPr>
        <w:t xml:space="preserve">activity </w:t>
      </w:r>
      <w:r>
        <w:rPr>
          <w:rFonts w:ascii="Century Gothic" w:eastAsiaTheme="minorHAnsi" w:hAnsi="Century Gothic"/>
          <w:sz w:val="20"/>
          <w:szCs w:val="20"/>
          <w:lang w:val="en-AU"/>
        </w:rPr>
        <w:t>or in appropriate geographic groupings</w:t>
      </w:r>
      <w:r w:rsidR="00A14DF9">
        <w:rPr>
          <w:rFonts w:ascii="Century Gothic" w:eastAsiaTheme="minorHAnsi" w:hAnsi="Century Gothic"/>
          <w:sz w:val="20"/>
          <w:szCs w:val="20"/>
          <w:lang w:val="en-AU"/>
        </w:rPr>
        <w:t xml:space="preserve"> or on a sector basis</w:t>
      </w:r>
    </w:p>
    <w:p w14:paraId="237312C8" w14:textId="373C0A78" w:rsidR="006A6D1A"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Accountability is through contracts with a provider</w:t>
      </w:r>
    </w:p>
    <w:p w14:paraId="62B92890" w14:textId="623059BA" w:rsidR="00017103" w:rsidRPr="003B766F"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State and territory and NGRB authorities are eligible to tender for the provision of services</w:t>
      </w:r>
    </w:p>
    <w:p w14:paraId="6255DD24" w14:textId="77777777" w:rsidR="00017103" w:rsidRPr="00E81E4C" w:rsidRDefault="00017103" w:rsidP="00584B3C">
      <w:pPr>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Pluses</w:t>
      </w:r>
    </w:p>
    <w:p w14:paraId="4A8FFEA9" w14:textId="5F965D18" w:rsidR="00017103"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Puts the Commonwealth in a position to provide tight direction and receive direct accountability via a provider</w:t>
      </w:r>
    </w:p>
    <w:p w14:paraId="267E503D" w14:textId="5F850CF9" w:rsidR="00017103"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Clarity of purpose and message to schools</w:t>
      </w:r>
    </w:p>
    <w:p w14:paraId="56D90AED" w14:textId="7B98048E" w:rsidR="00017103"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Tender pr</w:t>
      </w:r>
      <w:r w:rsidR="00DB5910">
        <w:rPr>
          <w:rFonts w:ascii="Century Gothic" w:eastAsiaTheme="minorHAnsi" w:hAnsi="Century Gothic"/>
          <w:sz w:val="20"/>
          <w:szCs w:val="20"/>
          <w:lang w:val="en-AU"/>
        </w:rPr>
        <w:t xml:space="preserve">ocess has the potential to cap </w:t>
      </w:r>
      <w:r>
        <w:rPr>
          <w:rFonts w:ascii="Century Gothic" w:eastAsiaTheme="minorHAnsi" w:hAnsi="Century Gothic"/>
          <w:sz w:val="20"/>
          <w:szCs w:val="20"/>
          <w:lang w:val="en-AU"/>
        </w:rPr>
        <w:t>costs and provide better value for money</w:t>
      </w:r>
    </w:p>
    <w:p w14:paraId="4CA2A7B1" w14:textId="77777777" w:rsidR="00A14DF9"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Time limited</w:t>
      </w:r>
    </w:p>
    <w:p w14:paraId="0E4F955C" w14:textId="0590FD35" w:rsidR="00017103" w:rsidRDefault="00A14DF9"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Allows for tailoring of initiatives to size and sector characteristics i.e. small to large, Catholic or Independent</w:t>
      </w:r>
    </w:p>
    <w:p w14:paraId="1129842C" w14:textId="77777777" w:rsidR="00017103" w:rsidRPr="00E81E4C" w:rsidRDefault="00017103" w:rsidP="00584B3C">
      <w:pPr>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Issues</w:t>
      </w:r>
    </w:p>
    <w:p w14:paraId="7AFF96F0" w14:textId="1F9CE7D9" w:rsidR="003E4DD0"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Potentially bypasses state and territory authorities with a program conducted in their jurisdiction</w:t>
      </w:r>
    </w:p>
    <w:p w14:paraId="16C506A7" w14:textId="32EB7B5D" w:rsidR="00017103"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Similarly for NGRBs</w:t>
      </w:r>
    </w:p>
    <w:p w14:paraId="617725A1" w14:textId="1BB0571B" w:rsidR="00017103" w:rsidRDefault="00017103"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It is not clear how many priorities would be suitable for this approach requiring as it would the delivery of a specific service in a limited time frame.  </w:t>
      </w:r>
    </w:p>
    <w:p w14:paraId="768D92B7" w14:textId="7B72F5E0" w:rsidR="00DB5910" w:rsidRPr="00DB5910" w:rsidRDefault="00476557" w:rsidP="00DB5910">
      <w:pPr>
        <w:spacing w:before="120" w:after="120" w:line="276" w:lineRule="auto"/>
        <w:ind w:right="-340"/>
        <w:jc w:val="both"/>
        <w:rPr>
          <w:rFonts w:ascii="Century Gothic" w:eastAsiaTheme="minorHAnsi" w:hAnsi="Century Gothic"/>
          <w:b/>
          <w:color w:val="4F81BD" w:themeColor="accent1"/>
          <w:sz w:val="20"/>
          <w:szCs w:val="20"/>
          <w:lang w:val="en-AU"/>
        </w:rPr>
      </w:pPr>
      <w:r>
        <w:rPr>
          <w:rFonts w:ascii="Century Gothic" w:eastAsiaTheme="minorHAnsi" w:hAnsi="Century Gothic"/>
          <w:b/>
          <w:color w:val="4F81BD" w:themeColor="accent1"/>
          <w:sz w:val="20"/>
          <w:szCs w:val="20"/>
          <w:lang w:val="en-AU"/>
        </w:rPr>
        <w:t>Australian Government</w:t>
      </w:r>
      <w:r w:rsidRPr="00DB5910">
        <w:rPr>
          <w:rFonts w:ascii="Century Gothic" w:eastAsiaTheme="minorHAnsi" w:hAnsi="Century Gothic"/>
          <w:b/>
          <w:color w:val="4F81BD" w:themeColor="accent1"/>
          <w:sz w:val="20"/>
          <w:szCs w:val="20"/>
          <w:lang w:val="en-AU"/>
        </w:rPr>
        <w:t xml:space="preserve"> </w:t>
      </w:r>
      <w:r w:rsidR="00D964B1">
        <w:rPr>
          <w:rFonts w:ascii="Century Gothic" w:eastAsiaTheme="minorHAnsi" w:hAnsi="Century Gothic"/>
          <w:b/>
          <w:color w:val="4F81BD" w:themeColor="accent1"/>
          <w:sz w:val="20"/>
          <w:szCs w:val="20"/>
          <w:lang w:val="en-AU"/>
        </w:rPr>
        <w:t xml:space="preserve">repurposes SFSF funding on a project basis </w:t>
      </w:r>
    </w:p>
    <w:p w14:paraId="792F63AA" w14:textId="77777777" w:rsidR="00DB5910" w:rsidRPr="003B766F" w:rsidRDefault="00DB5910" w:rsidP="00584B3C">
      <w:pPr>
        <w:spacing w:after="120" w:line="276" w:lineRule="auto"/>
        <w:ind w:right="-340"/>
        <w:jc w:val="both"/>
        <w:rPr>
          <w:rFonts w:ascii="Century Gothic" w:eastAsiaTheme="minorHAnsi" w:hAnsi="Century Gothic"/>
          <w:i/>
          <w:sz w:val="20"/>
          <w:szCs w:val="20"/>
          <w:lang w:val="en-AU"/>
        </w:rPr>
      </w:pPr>
      <w:r w:rsidRPr="003B766F">
        <w:rPr>
          <w:rFonts w:ascii="Century Gothic" w:eastAsiaTheme="minorHAnsi" w:hAnsi="Century Gothic"/>
          <w:i/>
          <w:sz w:val="20"/>
          <w:szCs w:val="20"/>
          <w:lang w:val="en-AU"/>
        </w:rPr>
        <w:t>Key Features</w:t>
      </w:r>
    </w:p>
    <w:p w14:paraId="6D4E725B" w14:textId="7E78B0BC" w:rsidR="00017103" w:rsidRDefault="005E6369" w:rsidP="006A1D2B">
      <w:pPr>
        <w:pStyle w:val="ListParagraph"/>
        <w:numPr>
          <w:ilvl w:val="0"/>
          <w:numId w:val="41"/>
        </w:numPr>
        <w:spacing w:after="200" w:line="276" w:lineRule="auto"/>
        <w:ind w:left="709"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Australian Government identifies key educational projects </w:t>
      </w:r>
      <w:r w:rsidR="00EC27B8">
        <w:rPr>
          <w:rFonts w:ascii="Century Gothic" w:eastAsiaTheme="minorHAnsi" w:hAnsi="Century Gothic"/>
          <w:sz w:val="20"/>
          <w:szCs w:val="20"/>
          <w:lang w:val="en-AU"/>
        </w:rPr>
        <w:t xml:space="preserve">to address identified delivery or research priorities </w:t>
      </w:r>
    </w:p>
    <w:p w14:paraId="7219095D" w14:textId="39B1B774" w:rsidR="00EC27B8" w:rsidRDefault="00EC27B8" w:rsidP="006A1D2B">
      <w:pPr>
        <w:pStyle w:val="ListParagraph"/>
        <w:numPr>
          <w:ilvl w:val="0"/>
          <w:numId w:val="41"/>
        </w:numPr>
        <w:spacing w:after="200" w:line="276" w:lineRule="auto"/>
        <w:ind w:left="709"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Priorities and/or projects could be agreed with the Education Council</w:t>
      </w:r>
    </w:p>
    <w:p w14:paraId="436FB621" w14:textId="4E49AE03" w:rsidR="00EC27B8" w:rsidRPr="00EC27B8" w:rsidRDefault="00EC27B8" w:rsidP="006A1D2B">
      <w:pPr>
        <w:pStyle w:val="ListParagraph"/>
        <w:numPr>
          <w:ilvl w:val="0"/>
          <w:numId w:val="41"/>
        </w:numPr>
        <w:spacing w:after="200" w:line="276" w:lineRule="auto"/>
        <w:ind w:left="709"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Project methodology is determined on a </w:t>
      </w:r>
      <w:r w:rsidR="00642AA2">
        <w:rPr>
          <w:rFonts w:ascii="Century Gothic" w:eastAsiaTheme="minorHAnsi" w:hAnsi="Century Gothic"/>
          <w:sz w:val="20"/>
          <w:szCs w:val="20"/>
          <w:lang w:val="en-AU"/>
        </w:rPr>
        <w:t>case-by-case</w:t>
      </w:r>
      <w:r>
        <w:rPr>
          <w:rFonts w:ascii="Century Gothic" w:eastAsiaTheme="minorHAnsi" w:hAnsi="Century Gothic"/>
          <w:sz w:val="20"/>
          <w:szCs w:val="20"/>
          <w:lang w:val="en-AU"/>
        </w:rPr>
        <w:t xml:space="preserve"> basis appropriate to nature of the project and could include the funding options above or the current approach of funding the NGRBs.</w:t>
      </w:r>
    </w:p>
    <w:p w14:paraId="66C4096C" w14:textId="77777777" w:rsidR="00EC27B8" w:rsidRPr="00E81E4C" w:rsidRDefault="00EC27B8" w:rsidP="00EC27B8">
      <w:pPr>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Pluses</w:t>
      </w:r>
    </w:p>
    <w:p w14:paraId="63E23708" w14:textId="7BA595A8" w:rsidR="00EC27B8" w:rsidRDefault="00EC27B8"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Amount and duration of funding fitted to specific projects</w:t>
      </w:r>
    </w:p>
    <w:p w14:paraId="1A6B55CE" w14:textId="47F44740" w:rsidR="00642AA2" w:rsidRDefault="00642AA2"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Ability to directly support national priorities </w:t>
      </w:r>
    </w:p>
    <w:p w14:paraId="0CB5879D" w14:textId="7721226A" w:rsidR="00EC27B8" w:rsidRDefault="00EC27B8"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Potential to utilise SFSF as a lever to improve national evidence base</w:t>
      </w:r>
    </w:p>
    <w:p w14:paraId="4D32421B" w14:textId="53C923CA" w:rsidR="00EC27B8" w:rsidRDefault="00B111B4"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Potential to involve NGRBs and State and Territory governments in agreement on a program of national education projects with a delivery or research focus</w:t>
      </w:r>
    </w:p>
    <w:p w14:paraId="08B2B692" w14:textId="77777777" w:rsidR="00B111B4" w:rsidRPr="00E81E4C" w:rsidRDefault="00B111B4" w:rsidP="00B111B4">
      <w:pPr>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Issues</w:t>
      </w:r>
    </w:p>
    <w:p w14:paraId="1975A4C8" w14:textId="3D3D43D9" w:rsidR="00B111B4" w:rsidRDefault="00B111B4"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Fundamental tensions between the Australian Government’s role in education compared with states and territories makes it difficult to develop key projects without overlap and confusion with existing local initiatives</w:t>
      </w:r>
    </w:p>
    <w:p w14:paraId="49917D0A" w14:textId="11F5B999" w:rsidR="00B111B4" w:rsidRDefault="00642AA2" w:rsidP="006A1D2B">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NGRBs may see this approach has little relevance to their schools especially if they are not involved in decision-making or delivery.</w:t>
      </w:r>
    </w:p>
    <w:p w14:paraId="4B2471DA" w14:textId="29AD07E5" w:rsidR="003E4DD0" w:rsidRPr="00F251AB" w:rsidRDefault="001177CC" w:rsidP="003E4DD0">
      <w:pPr>
        <w:pStyle w:val="ListParagraph"/>
        <w:numPr>
          <w:ilvl w:val="0"/>
          <w:numId w:val="38"/>
        </w:numPr>
        <w:spacing w:after="20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Could lead to a proliferation of small programs that do not fit coherently together to support national reforms</w:t>
      </w:r>
    </w:p>
    <w:p w14:paraId="7D884C79" w14:textId="261DC145" w:rsidR="001900A1" w:rsidRDefault="001900A1" w:rsidP="001900A1">
      <w:pPr>
        <w:spacing w:after="200" w:line="276" w:lineRule="auto"/>
        <w:ind w:right="-340"/>
        <w:jc w:val="both"/>
        <w:rPr>
          <w:rFonts w:ascii="Century Gothic" w:eastAsiaTheme="minorHAnsi" w:hAnsi="Century Gothic"/>
          <w:b/>
          <w:color w:val="4F81BD" w:themeColor="accent1"/>
          <w:sz w:val="20"/>
          <w:szCs w:val="20"/>
          <w:lang w:val="en-AU"/>
        </w:rPr>
      </w:pPr>
      <w:r>
        <w:rPr>
          <w:rFonts w:ascii="Century Gothic" w:eastAsiaTheme="minorHAnsi" w:hAnsi="Century Gothic"/>
          <w:b/>
          <w:color w:val="4F81BD" w:themeColor="accent1"/>
          <w:sz w:val="20"/>
          <w:szCs w:val="20"/>
          <w:lang w:val="en-AU"/>
        </w:rPr>
        <w:t>Australian Government</w:t>
      </w:r>
      <w:r w:rsidRPr="00DB5910">
        <w:rPr>
          <w:rFonts w:ascii="Century Gothic" w:eastAsiaTheme="minorHAnsi" w:hAnsi="Century Gothic"/>
          <w:b/>
          <w:color w:val="4F81BD" w:themeColor="accent1"/>
          <w:sz w:val="20"/>
          <w:szCs w:val="20"/>
          <w:lang w:val="en-AU"/>
        </w:rPr>
        <w:t xml:space="preserve"> </w:t>
      </w:r>
      <w:r>
        <w:rPr>
          <w:rFonts w:ascii="Century Gothic" w:eastAsiaTheme="minorHAnsi" w:hAnsi="Century Gothic"/>
          <w:b/>
          <w:color w:val="4F81BD" w:themeColor="accent1"/>
          <w:sz w:val="20"/>
          <w:szCs w:val="20"/>
          <w:lang w:val="en-AU"/>
        </w:rPr>
        <w:t xml:space="preserve">determines that SFSF will lapse at the conclusion of the current funding period 2014-2017 </w:t>
      </w:r>
    </w:p>
    <w:p w14:paraId="4C48AC54" w14:textId="77777777" w:rsidR="001900A1" w:rsidRPr="003B766F" w:rsidRDefault="001900A1" w:rsidP="001900A1">
      <w:pPr>
        <w:spacing w:after="120" w:line="276" w:lineRule="auto"/>
        <w:ind w:right="-340"/>
        <w:jc w:val="both"/>
        <w:rPr>
          <w:rFonts w:ascii="Century Gothic" w:eastAsiaTheme="minorHAnsi" w:hAnsi="Century Gothic"/>
          <w:i/>
          <w:sz w:val="20"/>
          <w:szCs w:val="20"/>
          <w:lang w:val="en-AU"/>
        </w:rPr>
      </w:pPr>
      <w:r w:rsidRPr="003B766F">
        <w:rPr>
          <w:rFonts w:ascii="Century Gothic" w:eastAsiaTheme="minorHAnsi" w:hAnsi="Century Gothic"/>
          <w:i/>
          <w:sz w:val="20"/>
          <w:szCs w:val="20"/>
          <w:lang w:val="en-AU"/>
        </w:rPr>
        <w:t>Key Features</w:t>
      </w:r>
    </w:p>
    <w:p w14:paraId="7504854D" w14:textId="518E640C" w:rsidR="001900A1" w:rsidRDefault="001900A1" w:rsidP="00E9352A">
      <w:pPr>
        <w:pStyle w:val="ListParagraph"/>
        <w:numPr>
          <w:ilvl w:val="0"/>
          <w:numId w:val="41"/>
        </w:numPr>
        <w:spacing w:after="200" w:line="276" w:lineRule="auto"/>
        <w:ind w:left="709"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Australian Government SFSF</w:t>
      </w:r>
      <w:r w:rsidR="00E9352A">
        <w:rPr>
          <w:rFonts w:ascii="Century Gothic" w:eastAsiaTheme="minorHAnsi" w:hAnsi="Century Gothic"/>
          <w:sz w:val="20"/>
          <w:szCs w:val="20"/>
          <w:lang w:val="en-AU"/>
        </w:rPr>
        <w:t>,</w:t>
      </w:r>
      <w:r w:rsidRPr="001900A1">
        <w:rPr>
          <w:rFonts w:ascii="Century Gothic" w:eastAsiaTheme="minorHAnsi" w:hAnsi="Century Gothic"/>
          <w:sz w:val="20"/>
          <w:szCs w:val="20"/>
          <w:lang w:val="en-AU"/>
        </w:rPr>
        <w:t xml:space="preserve"> </w:t>
      </w:r>
      <w:r w:rsidR="00E9352A">
        <w:rPr>
          <w:rFonts w:ascii="Century Gothic" w:eastAsiaTheme="minorHAnsi" w:hAnsi="Century Gothic"/>
          <w:sz w:val="20"/>
          <w:szCs w:val="20"/>
          <w:lang w:val="en-AU"/>
        </w:rPr>
        <w:t xml:space="preserve">which </w:t>
      </w:r>
      <w:r w:rsidRPr="001900A1">
        <w:rPr>
          <w:rFonts w:ascii="Century Gothic" w:eastAsiaTheme="minorHAnsi" w:hAnsi="Century Gothic"/>
          <w:sz w:val="20"/>
          <w:szCs w:val="20"/>
          <w:lang w:val="en-AU"/>
        </w:rPr>
        <w:t xml:space="preserve">has provided $165 million </w:t>
      </w:r>
      <w:r w:rsidR="00E9352A" w:rsidRPr="001900A1">
        <w:rPr>
          <w:rFonts w:ascii="Century Gothic" w:eastAsiaTheme="minorHAnsi" w:hAnsi="Century Gothic"/>
          <w:sz w:val="20"/>
          <w:szCs w:val="20"/>
          <w:lang w:val="en-AU"/>
        </w:rPr>
        <w:t>over 2014-17</w:t>
      </w:r>
      <w:r w:rsidR="00E9352A">
        <w:rPr>
          <w:rFonts w:ascii="Century Gothic" w:eastAsiaTheme="minorHAnsi" w:hAnsi="Century Gothic"/>
          <w:sz w:val="20"/>
          <w:szCs w:val="20"/>
          <w:lang w:val="en-AU"/>
        </w:rPr>
        <w:t xml:space="preserve"> </w:t>
      </w:r>
      <w:r w:rsidRPr="00E9352A">
        <w:rPr>
          <w:rFonts w:ascii="Century Gothic" w:eastAsiaTheme="minorHAnsi" w:hAnsi="Century Gothic"/>
          <w:sz w:val="20"/>
          <w:szCs w:val="20"/>
          <w:lang w:val="en-AU"/>
        </w:rPr>
        <w:t xml:space="preserve">to NGRBs </w:t>
      </w:r>
      <w:r w:rsidR="00E9352A" w:rsidRPr="00E9352A">
        <w:rPr>
          <w:rFonts w:ascii="Century Gothic" w:eastAsiaTheme="minorHAnsi" w:hAnsi="Century Gothic"/>
          <w:sz w:val="20"/>
          <w:szCs w:val="20"/>
          <w:lang w:val="en-AU"/>
        </w:rPr>
        <w:t>to advance implementation of five national priorities</w:t>
      </w:r>
      <w:r w:rsidR="00E9352A">
        <w:rPr>
          <w:rFonts w:ascii="Century Gothic" w:eastAsiaTheme="minorHAnsi" w:hAnsi="Century Gothic"/>
          <w:sz w:val="20"/>
          <w:szCs w:val="20"/>
          <w:lang w:val="en-AU"/>
        </w:rPr>
        <w:t xml:space="preserve"> in non-g</w:t>
      </w:r>
      <w:r w:rsidR="007C7FAF">
        <w:rPr>
          <w:rFonts w:ascii="Century Gothic" w:eastAsiaTheme="minorHAnsi" w:hAnsi="Century Gothic"/>
          <w:sz w:val="20"/>
          <w:szCs w:val="20"/>
          <w:lang w:val="en-AU"/>
        </w:rPr>
        <w:t>overnment schools, now lapses.</w:t>
      </w:r>
    </w:p>
    <w:p w14:paraId="05C777A3" w14:textId="182A3A0C" w:rsidR="00DE0251" w:rsidRPr="00DE0251" w:rsidRDefault="00E9352A" w:rsidP="00DE0251">
      <w:pPr>
        <w:pStyle w:val="ListParagraph"/>
        <w:numPr>
          <w:ilvl w:val="0"/>
          <w:numId w:val="9"/>
        </w:numPr>
        <w:spacing w:after="200" w:line="276" w:lineRule="auto"/>
        <w:ind w:right="-340"/>
        <w:jc w:val="both"/>
        <w:rPr>
          <w:rFonts w:ascii="Century Gothic" w:eastAsiaTheme="minorHAnsi" w:hAnsi="Century Gothic"/>
          <w:i/>
          <w:sz w:val="20"/>
          <w:szCs w:val="20"/>
          <w:lang w:val="en-AU"/>
        </w:rPr>
      </w:pPr>
      <w:r w:rsidRPr="00E9352A">
        <w:rPr>
          <w:rFonts w:ascii="Century Gothic" w:eastAsiaTheme="minorHAnsi" w:hAnsi="Century Gothic"/>
          <w:sz w:val="20"/>
          <w:szCs w:val="20"/>
          <w:lang w:val="en-AU"/>
        </w:rPr>
        <w:t xml:space="preserve">Subsequent </w:t>
      </w:r>
      <w:r w:rsidR="006E5FD6" w:rsidRPr="00E9352A">
        <w:rPr>
          <w:rFonts w:ascii="Century Gothic" w:eastAsiaTheme="minorHAnsi" w:hAnsi="Century Gothic"/>
          <w:sz w:val="20"/>
          <w:szCs w:val="20"/>
          <w:lang w:val="en-AU"/>
        </w:rPr>
        <w:t xml:space="preserve">national priorities </w:t>
      </w:r>
      <w:r w:rsidRPr="00E9352A">
        <w:rPr>
          <w:rFonts w:ascii="Century Gothic" w:eastAsiaTheme="minorHAnsi" w:hAnsi="Century Gothic"/>
          <w:sz w:val="20"/>
          <w:szCs w:val="20"/>
          <w:lang w:val="en-AU"/>
        </w:rPr>
        <w:t xml:space="preserve">will be advanced </w:t>
      </w:r>
      <w:r w:rsidR="006E5FD6" w:rsidRPr="00E9352A">
        <w:rPr>
          <w:rFonts w:ascii="Century Gothic" w:eastAsiaTheme="minorHAnsi" w:hAnsi="Century Gothic"/>
          <w:sz w:val="20"/>
          <w:szCs w:val="20"/>
          <w:lang w:val="en-AU"/>
        </w:rPr>
        <w:t xml:space="preserve">through alternative </w:t>
      </w:r>
      <w:r w:rsidR="00DE0251">
        <w:rPr>
          <w:rFonts w:ascii="Century Gothic" w:eastAsiaTheme="minorHAnsi" w:hAnsi="Century Gothic"/>
          <w:sz w:val="20"/>
          <w:szCs w:val="20"/>
          <w:lang w:val="en-AU"/>
        </w:rPr>
        <w:t xml:space="preserve">support strategies for NGRBs such as – </w:t>
      </w:r>
      <w:r w:rsidR="009C2528">
        <w:rPr>
          <w:rFonts w:ascii="Century Gothic" w:eastAsiaTheme="minorHAnsi" w:hAnsi="Century Gothic"/>
          <w:sz w:val="20"/>
          <w:szCs w:val="20"/>
          <w:lang w:val="en-AU"/>
        </w:rPr>
        <w:t xml:space="preserve">enhanced </w:t>
      </w:r>
      <w:r w:rsidR="00DE0251" w:rsidRPr="00DE0251">
        <w:rPr>
          <w:rFonts w:ascii="Century Gothic" w:eastAsiaTheme="minorHAnsi" w:hAnsi="Century Gothic"/>
          <w:sz w:val="20"/>
          <w:szCs w:val="20"/>
          <w:lang w:val="en-AU"/>
        </w:rPr>
        <w:t>system-level information on school improvement</w:t>
      </w:r>
      <w:r w:rsidR="00DE0251">
        <w:rPr>
          <w:rFonts w:ascii="Century Gothic" w:eastAsiaTheme="minorHAnsi" w:hAnsi="Century Gothic"/>
          <w:sz w:val="20"/>
          <w:szCs w:val="20"/>
          <w:lang w:val="en-AU"/>
        </w:rPr>
        <w:t>;</w:t>
      </w:r>
      <w:r w:rsidR="002273DE">
        <w:rPr>
          <w:rFonts w:ascii="Century Gothic" w:eastAsiaTheme="minorHAnsi" w:hAnsi="Century Gothic"/>
          <w:i/>
          <w:sz w:val="20"/>
          <w:szCs w:val="20"/>
          <w:lang w:val="en-AU"/>
        </w:rPr>
        <w:t xml:space="preserve"> </w:t>
      </w:r>
      <w:r w:rsidR="00DE0251">
        <w:rPr>
          <w:rFonts w:ascii="Century Gothic" w:eastAsiaTheme="minorHAnsi" w:hAnsi="Century Gothic"/>
          <w:sz w:val="20"/>
          <w:szCs w:val="20"/>
          <w:lang w:val="en-AU"/>
        </w:rPr>
        <w:t>facilitating</w:t>
      </w:r>
      <w:r w:rsidR="00DE0251" w:rsidRPr="003F3AAA">
        <w:rPr>
          <w:rFonts w:ascii="Century Gothic" w:eastAsiaTheme="minorHAnsi" w:hAnsi="Century Gothic"/>
          <w:sz w:val="20"/>
          <w:szCs w:val="20"/>
          <w:lang w:val="en-AU"/>
        </w:rPr>
        <w:t xml:space="preserve"> shared learnings from significant evaluations</w:t>
      </w:r>
      <w:r w:rsidR="00DE0251">
        <w:rPr>
          <w:rFonts w:ascii="Century Gothic" w:eastAsiaTheme="minorHAnsi" w:hAnsi="Century Gothic"/>
          <w:sz w:val="20"/>
          <w:szCs w:val="20"/>
          <w:lang w:val="en-AU"/>
        </w:rPr>
        <w:t xml:space="preserve">; incentivising </w:t>
      </w:r>
      <w:r w:rsidR="00DE0251" w:rsidRPr="003F3AAA">
        <w:rPr>
          <w:rFonts w:ascii="Century Gothic" w:eastAsiaTheme="minorHAnsi" w:hAnsi="Century Gothic"/>
          <w:sz w:val="20"/>
          <w:szCs w:val="20"/>
          <w:lang w:val="en-AU"/>
        </w:rPr>
        <w:t>cross sectoral sharing</w:t>
      </w:r>
      <w:r w:rsidR="00DE0251">
        <w:rPr>
          <w:rFonts w:ascii="Century Gothic" w:eastAsiaTheme="minorHAnsi" w:hAnsi="Century Gothic"/>
          <w:sz w:val="20"/>
          <w:szCs w:val="20"/>
          <w:lang w:val="en-AU"/>
        </w:rPr>
        <w:t>; and s</w:t>
      </w:r>
      <w:r w:rsidR="00DE0251" w:rsidRPr="00DE0251">
        <w:rPr>
          <w:rFonts w:ascii="Century Gothic" w:eastAsiaTheme="minorHAnsi" w:hAnsi="Century Gothic"/>
          <w:sz w:val="20"/>
          <w:szCs w:val="20"/>
          <w:lang w:val="en-AU"/>
        </w:rPr>
        <w:t>upport</w:t>
      </w:r>
      <w:r w:rsidR="00DE0251">
        <w:rPr>
          <w:rFonts w:ascii="Century Gothic" w:eastAsiaTheme="minorHAnsi" w:hAnsi="Century Gothic"/>
          <w:sz w:val="20"/>
          <w:szCs w:val="20"/>
          <w:lang w:val="en-AU"/>
        </w:rPr>
        <w:t>ing</w:t>
      </w:r>
      <w:r w:rsidR="00DE0251" w:rsidRPr="00DE0251">
        <w:rPr>
          <w:rFonts w:ascii="Century Gothic" w:eastAsiaTheme="minorHAnsi" w:hAnsi="Century Gothic"/>
          <w:sz w:val="20"/>
          <w:szCs w:val="20"/>
          <w:lang w:val="en-AU"/>
        </w:rPr>
        <w:t xml:space="preserve"> </w:t>
      </w:r>
      <w:r w:rsidR="00DE0251">
        <w:rPr>
          <w:rFonts w:ascii="Century Gothic" w:eastAsiaTheme="minorHAnsi" w:hAnsi="Century Gothic"/>
          <w:sz w:val="20"/>
          <w:szCs w:val="20"/>
          <w:lang w:val="en-AU"/>
        </w:rPr>
        <w:t xml:space="preserve">the growth of </w:t>
      </w:r>
      <w:r w:rsidR="00DE0251" w:rsidRPr="00DE0251">
        <w:rPr>
          <w:rFonts w:ascii="Century Gothic" w:eastAsiaTheme="minorHAnsi" w:hAnsi="Century Gothic"/>
          <w:sz w:val="20"/>
          <w:szCs w:val="20"/>
          <w:lang w:val="en-AU"/>
        </w:rPr>
        <w:t>an evaluation culture in NGRBs</w:t>
      </w:r>
      <w:r w:rsidR="00DE0251">
        <w:rPr>
          <w:rFonts w:ascii="Century Gothic" w:eastAsiaTheme="minorHAnsi" w:hAnsi="Century Gothic"/>
          <w:sz w:val="20"/>
          <w:szCs w:val="20"/>
          <w:lang w:val="en-AU"/>
        </w:rPr>
        <w:t>.</w:t>
      </w:r>
      <w:r w:rsidR="00DE0251" w:rsidRPr="00DE0251">
        <w:rPr>
          <w:rFonts w:ascii="Century Gothic" w:eastAsiaTheme="minorHAnsi" w:hAnsi="Century Gothic"/>
          <w:sz w:val="20"/>
          <w:szCs w:val="20"/>
          <w:lang w:val="en-AU"/>
        </w:rPr>
        <w:t xml:space="preserve"> </w:t>
      </w:r>
    </w:p>
    <w:p w14:paraId="5CC4ED89" w14:textId="50454C08" w:rsidR="001900A1" w:rsidRPr="00DE0251" w:rsidRDefault="001900A1" w:rsidP="00DE0251">
      <w:pPr>
        <w:spacing w:after="200" w:line="276" w:lineRule="auto"/>
        <w:ind w:right="-340"/>
        <w:jc w:val="both"/>
        <w:rPr>
          <w:rFonts w:ascii="Century Gothic" w:eastAsiaTheme="minorHAnsi" w:hAnsi="Century Gothic"/>
          <w:i/>
          <w:sz w:val="20"/>
          <w:szCs w:val="20"/>
          <w:lang w:val="en-AU"/>
        </w:rPr>
      </w:pPr>
      <w:r w:rsidRPr="00DE0251">
        <w:rPr>
          <w:rFonts w:ascii="Century Gothic" w:eastAsiaTheme="minorHAnsi" w:hAnsi="Century Gothic"/>
          <w:i/>
          <w:sz w:val="20"/>
          <w:szCs w:val="20"/>
          <w:lang w:val="en-AU"/>
        </w:rPr>
        <w:t>Pluses</w:t>
      </w:r>
    </w:p>
    <w:p w14:paraId="6E0921D3" w14:textId="06036868" w:rsidR="001900A1" w:rsidRDefault="006E5FD6" w:rsidP="001900A1">
      <w:pPr>
        <w:pStyle w:val="ListParagraph"/>
        <w:numPr>
          <w:ilvl w:val="0"/>
          <w:numId w:val="9"/>
        </w:numPr>
        <w:spacing w:after="120" w:line="276" w:lineRule="auto"/>
        <w:ind w:right="-340"/>
        <w:jc w:val="both"/>
        <w:rPr>
          <w:rFonts w:ascii="Century Gothic" w:eastAsiaTheme="minorHAnsi" w:hAnsi="Century Gothic"/>
          <w:sz w:val="20"/>
          <w:szCs w:val="20"/>
          <w:lang w:val="en-AU"/>
        </w:rPr>
      </w:pPr>
      <w:r w:rsidRPr="006E5FD6">
        <w:rPr>
          <w:rFonts w:ascii="Century Gothic" w:eastAsiaTheme="minorHAnsi" w:hAnsi="Century Gothic"/>
          <w:sz w:val="20"/>
          <w:szCs w:val="20"/>
          <w:lang w:val="en-AU"/>
        </w:rPr>
        <w:t xml:space="preserve">The SFSF 2014-2017 has </w:t>
      </w:r>
      <w:r w:rsidR="00E9352A">
        <w:rPr>
          <w:rFonts w:ascii="Century Gothic" w:eastAsiaTheme="minorHAnsi" w:hAnsi="Century Gothic"/>
          <w:sz w:val="20"/>
          <w:szCs w:val="20"/>
          <w:lang w:val="en-AU"/>
        </w:rPr>
        <w:t>been successful in strengthening</w:t>
      </w:r>
      <w:r w:rsidRPr="006E5FD6">
        <w:rPr>
          <w:rFonts w:ascii="Century Gothic" w:eastAsiaTheme="minorHAnsi" w:hAnsi="Century Gothic"/>
          <w:sz w:val="20"/>
          <w:szCs w:val="20"/>
          <w:lang w:val="en-AU"/>
        </w:rPr>
        <w:t xml:space="preserve"> NGRBs’ </w:t>
      </w:r>
      <w:r w:rsidR="00F251AB">
        <w:rPr>
          <w:rFonts w:ascii="Century Gothic" w:eastAsiaTheme="minorHAnsi" w:hAnsi="Century Gothic"/>
          <w:sz w:val="20"/>
          <w:szCs w:val="20"/>
          <w:lang w:val="en-AU"/>
        </w:rPr>
        <w:t xml:space="preserve">capacity and </w:t>
      </w:r>
      <w:r w:rsidRPr="006E5FD6">
        <w:rPr>
          <w:rFonts w:ascii="Century Gothic" w:eastAsiaTheme="minorHAnsi" w:hAnsi="Century Gothic"/>
          <w:sz w:val="20"/>
          <w:szCs w:val="20"/>
          <w:lang w:val="en-AU"/>
        </w:rPr>
        <w:t xml:space="preserve">capability to support their schools and has laid the foundation for </w:t>
      </w:r>
      <w:r w:rsidR="00E9352A">
        <w:rPr>
          <w:rFonts w:ascii="Century Gothic" w:eastAsiaTheme="minorHAnsi" w:hAnsi="Century Gothic"/>
          <w:sz w:val="20"/>
          <w:szCs w:val="20"/>
          <w:lang w:val="en-AU"/>
        </w:rPr>
        <w:t xml:space="preserve">sustainability </w:t>
      </w:r>
      <w:r w:rsidRPr="006E5FD6">
        <w:rPr>
          <w:rFonts w:ascii="Century Gothic" w:eastAsiaTheme="minorHAnsi" w:hAnsi="Century Gothic"/>
          <w:sz w:val="20"/>
          <w:szCs w:val="20"/>
          <w:lang w:val="en-AU"/>
        </w:rPr>
        <w:t>of the most valuable support</w:t>
      </w:r>
      <w:r w:rsidR="00F251AB">
        <w:rPr>
          <w:rFonts w:ascii="Century Gothic" w:eastAsiaTheme="minorHAnsi" w:hAnsi="Century Gothic"/>
          <w:sz w:val="20"/>
          <w:szCs w:val="20"/>
          <w:lang w:val="en-AU"/>
        </w:rPr>
        <w:t xml:space="preserve"> mechanisms</w:t>
      </w:r>
      <w:r w:rsidR="007C7FAF">
        <w:rPr>
          <w:rFonts w:ascii="Century Gothic" w:eastAsiaTheme="minorHAnsi" w:hAnsi="Century Gothic"/>
          <w:sz w:val="20"/>
          <w:szCs w:val="20"/>
          <w:lang w:val="en-AU"/>
        </w:rPr>
        <w:t>.</w:t>
      </w:r>
    </w:p>
    <w:p w14:paraId="57A674B1" w14:textId="408B5452" w:rsidR="00DE0251" w:rsidRDefault="002273DE" w:rsidP="001900A1">
      <w:pPr>
        <w:pStyle w:val="ListParagraph"/>
        <w:numPr>
          <w:ilvl w:val="0"/>
          <w:numId w:val="9"/>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AISs have the capacity to develop their membership services/user pay schemes and that would ensure support </w:t>
      </w:r>
      <w:r w:rsidR="00F251AB">
        <w:rPr>
          <w:rFonts w:ascii="Century Gothic" w:eastAsiaTheme="minorHAnsi" w:hAnsi="Century Gothic"/>
          <w:sz w:val="20"/>
          <w:szCs w:val="20"/>
          <w:lang w:val="en-AU"/>
        </w:rPr>
        <w:t xml:space="preserve">that </w:t>
      </w:r>
      <w:r>
        <w:rPr>
          <w:rFonts w:ascii="Century Gothic" w:eastAsiaTheme="minorHAnsi" w:hAnsi="Century Gothic"/>
          <w:sz w:val="20"/>
          <w:szCs w:val="20"/>
          <w:lang w:val="en-AU"/>
        </w:rPr>
        <w:t>is</w:t>
      </w:r>
      <w:r w:rsidR="00F251AB">
        <w:rPr>
          <w:rFonts w:ascii="Century Gothic" w:eastAsiaTheme="minorHAnsi" w:hAnsi="Century Gothic"/>
          <w:sz w:val="20"/>
          <w:szCs w:val="20"/>
          <w:lang w:val="en-AU"/>
        </w:rPr>
        <w:t xml:space="preserve"> most</w:t>
      </w:r>
      <w:r w:rsidR="00EF304E">
        <w:rPr>
          <w:rFonts w:ascii="Century Gothic" w:eastAsiaTheme="minorHAnsi" w:hAnsi="Century Gothic"/>
          <w:sz w:val="20"/>
          <w:szCs w:val="20"/>
          <w:lang w:val="en-AU"/>
        </w:rPr>
        <w:t xml:space="preserve"> relevant </w:t>
      </w:r>
      <w:r>
        <w:rPr>
          <w:rFonts w:ascii="Century Gothic" w:eastAsiaTheme="minorHAnsi" w:hAnsi="Century Gothic"/>
          <w:sz w:val="20"/>
          <w:szCs w:val="20"/>
          <w:lang w:val="en-AU"/>
        </w:rPr>
        <w:t>to their schools</w:t>
      </w:r>
      <w:r w:rsidR="00F251AB">
        <w:rPr>
          <w:rFonts w:ascii="Century Gothic" w:eastAsiaTheme="minorHAnsi" w:hAnsi="Century Gothic"/>
          <w:sz w:val="20"/>
          <w:szCs w:val="20"/>
          <w:lang w:val="en-AU"/>
        </w:rPr>
        <w:t xml:space="preserve"> </w:t>
      </w:r>
      <w:r w:rsidR="00DF2417">
        <w:rPr>
          <w:rFonts w:ascii="Century Gothic" w:eastAsiaTheme="minorHAnsi" w:hAnsi="Century Gothic"/>
          <w:sz w:val="20"/>
          <w:szCs w:val="20"/>
          <w:lang w:val="en-AU"/>
        </w:rPr>
        <w:t>is</w:t>
      </w:r>
      <w:r w:rsidR="00F251AB">
        <w:rPr>
          <w:rFonts w:ascii="Century Gothic" w:eastAsiaTheme="minorHAnsi" w:hAnsi="Century Gothic"/>
          <w:sz w:val="20"/>
          <w:szCs w:val="20"/>
          <w:lang w:val="en-AU"/>
        </w:rPr>
        <w:t xml:space="preserve"> sustained</w:t>
      </w:r>
      <w:r w:rsidR="007C7FAF">
        <w:rPr>
          <w:rFonts w:ascii="Century Gothic" w:eastAsiaTheme="minorHAnsi" w:hAnsi="Century Gothic"/>
          <w:sz w:val="20"/>
          <w:szCs w:val="20"/>
          <w:lang w:val="en-AU"/>
        </w:rPr>
        <w:t>.</w:t>
      </w:r>
    </w:p>
    <w:p w14:paraId="7A7A885A" w14:textId="147AB911" w:rsidR="006E5FD6" w:rsidRPr="006E5FD6" w:rsidRDefault="002273DE" w:rsidP="001900A1">
      <w:pPr>
        <w:pStyle w:val="ListParagraph"/>
        <w:numPr>
          <w:ilvl w:val="0"/>
          <w:numId w:val="9"/>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CECs routinely allocate funds according to their </w:t>
      </w:r>
      <w:r w:rsidR="00EF304E">
        <w:rPr>
          <w:rFonts w:ascii="Century Gothic" w:eastAsiaTheme="minorHAnsi" w:hAnsi="Century Gothic"/>
          <w:sz w:val="20"/>
          <w:szCs w:val="20"/>
          <w:lang w:val="en-AU"/>
        </w:rPr>
        <w:t xml:space="preserve">needs and </w:t>
      </w:r>
      <w:r>
        <w:rPr>
          <w:rFonts w:ascii="Century Gothic" w:eastAsiaTheme="minorHAnsi" w:hAnsi="Century Gothic"/>
          <w:sz w:val="20"/>
          <w:szCs w:val="20"/>
          <w:lang w:val="en-AU"/>
        </w:rPr>
        <w:t xml:space="preserve">priorities </w:t>
      </w:r>
      <w:r w:rsidR="00F251AB">
        <w:rPr>
          <w:rFonts w:ascii="Century Gothic" w:eastAsiaTheme="minorHAnsi" w:hAnsi="Century Gothic"/>
          <w:sz w:val="20"/>
          <w:szCs w:val="20"/>
          <w:lang w:val="en-AU"/>
        </w:rPr>
        <w:t>and</w:t>
      </w:r>
      <w:r>
        <w:rPr>
          <w:rFonts w:ascii="Century Gothic" w:eastAsiaTheme="minorHAnsi" w:hAnsi="Century Gothic"/>
          <w:sz w:val="20"/>
          <w:szCs w:val="20"/>
          <w:lang w:val="en-AU"/>
        </w:rPr>
        <w:t xml:space="preserve"> ‘system’ level school improvement support</w:t>
      </w:r>
      <w:r w:rsidR="00F251AB">
        <w:rPr>
          <w:rFonts w:ascii="Century Gothic" w:eastAsiaTheme="minorHAnsi" w:hAnsi="Century Gothic"/>
          <w:sz w:val="20"/>
          <w:szCs w:val="20"/>
          <w:lang w:val="en-AU"/>
        </w:rPr>
        <w:t xml:space="preserve"> </w:t>
      </w:r>
      <w:r w:rsidR="00EF304E">
        <w:rPr>
          <w:rFonts w:ascii="Century Gothic" w:eastAsiaTheme="minorHAnsi" w:hAnsi="Century Gothic"/>
          <w:sz w:val="20"/>
          <w:szCs w:val="20"/>
          <w:lang w:val="en-AU"/>
        </w:rPr>
        <w:t xml:space="preserve">would continue as an important part of that allocation, </w:t>
      </w:r>
      <w:r w:rsidR="00F251AB">
        <w:rPr>
          <w:rFonts w:ascii="Century Gothic" w:eastAsiaTheme="minorHAnsi" w:hAnsi="Century Gothic"/>
          <w:sz w:val="20"/>
          <w:szCs w:val="20"/>
          <w:lang w:val="en-AU"/>
        </w:rPr>
        <w:t xml:space="preserve">irrespective of SFSF </w:t>
      </w:r>
      <w:r w:rsidR="007C7FAF">
        <w:rPr>
          <w:rFonts w:ascii="Century Gothic" w:eastAsiaTheme="minorHAnsi" w:hAnsi="Century Gothic"/>
          <w:sz w:val="20"/>
          <w:szCs w:val="20"/>
          <w:lang w:val="en-AU"/>
        </w:rPr>
        <w:t>lapsing.</w:t>
      </w:r>
    </w:p>
    <w:p w14:paraId="16CD5FC8" w14:textId="77777777" w:rsidR="001900A1" w:rsidRPr="00E81E4C" w:rsidRDefault="001900A1" w:rsidP="001900A1">
      <w:pPr>
        <w:spacing w:after="120" w:line="276" w:lineRule="auto"/>
        <w:ind w:right="-340"/>
        <w:jc w:val="both"/>
        <w:rPr>
          <w:rFonts w:ascii="Century Gothic" w:eastAsiaTheme="minorHAnsi" w:hAnsi="Century Gothic"/>
          <w:i/>
          <w:sz w:val="20"/>
          <w:szCs w:val="20"/>
          <w:lang w:val="en-AU"/>
        </w:rPr>
      </w:pPr>
      <w:r w:rsidRPr="00E81E4C">
        <w:rPr>
          <w:rFonts w:ascii="Century Gothic" w:eastAsiaTheme="minorHAnsi" w:hAnsi="Century Gothic"/>
          <w:i/>
          <w:sz w:val="20"/>
          <w:szCs w:val="20"/>
          <w:lang w:val="en-AU"/>
        </w:rPr>
        <w:t>Issues</w:t>
      </w:r>
    </w:p>
    <w:p w14:paraId="2FAA5362" w14:textId="3281F79F" w:rsidR="00B6601B" w:rsidRDefault="00B6601B" w:rsidP="001900A1">
      <w:pPr>
        <w:pStyle w:val="ListParagraph"/>
        <w:numPr>
          <w:ilvl w:val="0"/>
          <w:numId w:val="38"/>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 capacity of NGRBs to provide support services for schools may diminish</w:t>
      </w:r>
      <w:r w:rsidR="00DF2417">
        <w:rPr>
          <w:rFonts w:ascii="Century Gothic" w:eastAsiaTheme="minorHAnsi" w:hAnsi="Century Gothic"/>
          <w:sz w:val="20"/>
          <w:szCs w:val="20"/>
          <w:lang w:val="en-AU"/>
        </w:rPr>
        <w:t>.</w:t>
      </w:r>
    </w:p>
    <w:p w14:paraId="178E88FD" w14:textId="0D3222F3" w:rsidR="00B6601B" w:rsidRDefault="00B6601B" w:rsidP="00B6601B">
      <w:pPr>
        <w:pStyle w:val="ListParagraph"/>
        <w:numPr>
          <w:ilvl w:val="0"/>
          <w:numId w:val="38"/>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Pr="006E5FD6">
        <w:rPr>
          <w:rFonts w:ascii="Century Gothic" w:eastAsiaTheme="minorHAnsi" w:hAnsi="Century Gothic"/>
          <w:sz w:val="20"/>
          <w:szCs w:val="20"/>
          <w:lang w:val="en-AU"/>
        </w:rPr>
        <w:t>maller NGRBs</w:t>
      </w:r>
      <w:r>
        <w:rPr>
          <w:rFonts w:ascii="Century Gothic" w:eastAsiaTheme="minorHAnsi" w:hAnsi="Century Gothic"/>
          <w:sz w:val="20"/>
          <w:szCs w:val="20"/>
          <w:lang w:val="en-AU"/>
        </w:rPr>
        <w:t>’</w:t>
      </w:r>
      <w:r w:rsidRPr="006E5FD6">
        <w:rPr>
          <w:rFonts w:ascii="Century Gothic" w:eastAsiaTheme="minorHAnsi" w:hAnsi="Century Gothic"/>
          <w:sz w:val="20"/>
          <w:szCs w:val="20"/>
          <w:lang w:val="en-AU"/>
        </w:rPr>
        <w:t xml:space="preserve"> support </w:t>
      </w:r>
      <w:r>
        <w:rPr>
          <w:rFonts w:ascii="Century Gothic" w:eastAsiaTheme="minorHAnsi" w:hAnsi="Century Gothic"/>
          <w:sz w:val="20"/>
          <w:szCs w:val="20"/>
          <w:lang w:val="en-AU"/>
        </w:rPr>
        <w:t xml:space="preserve">for </w:t>
      </w:r>
      <w:r w:rsidRPr="006E5FD6">
        <w:rPr>
          <w:rFonts w:ascii="Century Gothic" w:eastAsiaTheme="minorHAnsi" w:hAnsi="Century Gothic"/>
          <w:sz w:val="20"/>
          <w:szCs w:val="20"/>
          <w:lang w:val="en-AU"/>
        </w:rPr>
        <w:t xml:space="preserve">their schools </w:t>
      </w:r>
      <w:r>
        <w:rPr>
          <w:rFonts w:ascii="Century Gothic" w:eastAsiaTheme="minorHAnsi" w:hAnsi="Century Gothic"/>
          <w:sz w:val="20"/>
          <w:szCs w:val="20"/>
          <w:lang w:val="en-AU"/>
        </w:rPr>
        <w:t>may be jeopardised</w:t>
      </w:r>
      <w:r w:rsidR="004B7DEC">
        <w:rPr>
          <w:rFonts w:ascii="Century Gothic" w:eastAsiaTheme="minorHAnsi" w:hAnsi="Century Gothic"/>
          <w:sz w:val="20"/>
          <w:szCs w:val="20"/>
          <w:lang w:val="en-AU"/>
        </w:rPr>
        <w:t>.</w:t>
      </w:r>
    </w:p>
    <w:p w14:paraId="61C016D6" w14:textId="78D36BAD" w:rsidR="006E5FD6" w:rsidRDefault="00B6601B" w:rsidP="001900A1">
      <w:pPr>
        <w:pStyle w:val="ListParagraph"/>
        <w:numPr>
          <w:ilvl w:val="0"/>
          <w:numId w:val="38"/>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Removing the SFSF may w</w:t>
      </w:r>
      <w:r w:rsidR="00EF304E">
        <w:rPr>
          <w:rFonts w:ascii="Century Gothic" w:eastAsiaTheme="minorHAnsi" w:hAnsi="Century Gothic"/>
          <w:sz w:val="20"/>
          <w:szCs w:val="20"/>
          <w:lang w:val="en-AU"/>
        </w:rPr>
        <w:t>ea</w:t>
      </w:r>
      <w:r w:rsidR="00DF2417">
        <w:rPr>
          <w:rFonts w:ascii="Century Gothic" w:eastAsiaTheme="minorHAnsi" w:hAnsi="Century Gothic"/>
          <w:sz w:val="20"/>
          <w:szCs w:val="20"/>
          <w:lang w:val="en-AU"/>
        </w:rPr>
        <w:t>ken</w:t>
      </w:r>
      <w:r w:rsidR="00EF304E">
        <w:rPr>
          <w:rFonts w:ascii="Century Gothic" w:eastAsiaTheme="minorHAnsi" w:hAnsi="Century Gothic"/>
          <w:sz w:val="20"/>
          <w:szCs w:val="20"/>
          <w:lang w:val="en-AU"/>
        </w:rPr>
        <w:t xml:space="preserve"> </w:t>
      </w:r>
      <w:r w:rsidR="00DF2417">
        <w:rPr>
          <w:rFonts w:ascii="Century Gothic" w:eastAsiaTheme="minorHAnsi" w:hAnsi="Century Gothic"/>
          <w:sz w:val="20"/>
          <w:szCs w:val="20"/>
          <w:lang w:val="en-AU"/>
        </w:rPr>
        <w:t>the visibility of national priorities and NGRBs co</w:t>
      </w:r>
      <w:r w:rsidR="007C7FAF">
        <w:rPr>
          <w:rFonts w:ascii="Century Gothic" w:eastAsiaTheme="minorHAnsi" w:hAnsi="Century Gothic"/>
          <w:sz w:val="20"/>
          <w:szCs w:val="20"/>
          <w:lang w:val="en-AU"/>
        </w:rPr>
        <w:t>mmitment to them.</w:t>
      </w:r>
    </w:p>
    <w:p w14:paraId="309C8A61" w14:textId="1BA5C2F8" w:rsidR="006E5FD6" w:rsidRPr="009C2528" w:rsidRDefault="00DF2417" w:rsidP="006E5FD6">
      <w:pPr>
        <w:pStyle w:val="ListParagraph"/>
        <w:numPr>
          <w:ilvl w:val="0"/>
          <w:numId w:val="38"/>
        </w:numPr>
        <w:spacing w:after="120"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Without the SFSF the government may lose an</w:t>
      </w:r>
      <w:r w:rsidR="00EF304E">
        <w:rPr>
          <w:rFonts w:ascii="Century Gothic" w:eastAsiaTheme="minorHAnsi" w:hAnsi="Century Gothic"/>
          <w:sz w:val="20"/>
          <w:szCs w:val="20"/>
          <w:lang w:val="en-AU"/>
        </w:rPr>
        <w:t xml:space="preserve"> important </w:t>
      </w:r>
      <w:r w:rsidR="00B6601B">
        <w:rPr>
          <w:rFonts w:ascii="Century Gothic" w:eastAsiaTheme="minorHAnsi" w:hAnsi="Century Gothic"/>
          <w:sz w:val="20"/>
          <w:szCs w:val="20"/>
          <w:lang w:val="en-AU"/>
        </w:rPr>
        <w:t xml:space="preserve">avenue for </w:t>
      </w:r>
      <w:r w:rsidR="00EF304E">
        <w:rPr>
          <w:rFonts w:ascii="Century Gothic" w:eastAsiaTheme="minorHAnsi" w:hAnsi="Century Gothic"/>
          <w:sz w:val="20"/>
          <w:szCs w:val="20"/>
          <w:lang w:val="en-AU"/>
        </w:rPr>
        <w:t xml:space="preserve">relationship </w:t>
      </w:r>
      <w:r w:rsidR="00B6601B">
        <w:rPr>
          <w:rFonts w:ascii="Century Gothic" w:eastAsiaTheme="minorHAnsi" w:hAnsi="Century Gothic"/>
          <w:sz w:val="20"/>
          <w:szCs w:val="20"/>
          <w:lang w:val="en-AU"/>
        </w:rPr>
        <w:t xml:space="preserve">building </w:t>
      </w:r>
      <w:r>
        <w:rPr>
          <w:rFonts w:ascii="Century Gothic" w:eastAsiaTheme="minorHAnsi" w:hAnsi="Century Gothic"/>
          <w:sz w:val="20"/>
          <w:szCs w:val="20"/>
          <w:lang w:val="en-AU"/>
        </w:rPr>
        <w:t>with</w:t>
      </w:r>
      <w:r w:rsidR="007C7FAF">
        <w:rPr>
          <w:rFonts w:ascii="Century Gothic" w:eastAsiaTheme="minorHAnsi" w:hAnsi="Century Gothic"/>
          <w:sz w:val="20"/>
          <w:szCs w:val="20"/>
          <w:lang w:val="en-AU"/>
        </w:rPr>
        <w:t xml:space="preserve"> NGRBs.</w:t>
      </w:r>
    </w:p>
    <w:p w14:paraId="7481566D" w14:textId="26B7518B" w:rsidR="001900A1" w:rsidRPr="006E5FD6" w:rsidRDefault="001900A1" w:rsidP="006E5FD6">
      <w:pPr>
        <w:spacing w:after="120" w:line="276" w:lineRule="auto"/>
        <w:ind w:right="-340"/>
        <w:jc w:val="both"/>
        <w:rPr>
          <w:rFonts w:ascii="Century Gothic" w:eastAsiaTheme="minorHAnsi" w:hAnsi="Century Gothic"/>
          <w:sz w:val="20"/>
          <w:szCs w:val="20"/>
          <w:lang w:val="en-AU"/>
        </w:rPr>
      </w:pPr>
      <w:r w:rsidRPr="006E5FD6">
        <w:rPr>
          <w:rFonts w:ascii="Century Gothic" w:eastAsiaTheme="minorHAnsi" w:hAnsi="Century Gothic"/>
          <w:sz w:val="20"/>
          <w:szCs w:val="20"/>
          <w:lang w:val="en-AU"/>
        </w:rPr>
        <w:t>The Australian Government could consider these alternative approaches especially in the context of a (likely) constrained resource environment.</w:t>
      </w:r>
    </w:p>
    <w:p w14:paraId="6AD1D71B" w14:textId="77777777" w:rsidR="003E4DD0" w:rsidRPr="003E4DD0" w:rsidRDefault="003E4DD0" w:rsidP="00EA77BD">
      <w:pPr>
        <w:spacing w:after="200" w:line="276" w:lineRule="auto"/>
        <w:ind w:right="-340"/>
        <w:jc w:val="both"/>
        <w:rPr>
          <w:rStyle w:val="IntenseReference"/>
          <w:rFonts w:ascii="Century Gothic" w:eastAsiaTheme="minorHAnsi" w:hAnsi="Century Gothic"/>
          <w:b w:val="0"/>
          <w:bCs w:val="0"/>
          <w:smallCaps w:val="0"/>
          <w:color w:val="auto"/>
          <w:spacing w:val="0"/>
          <w:sz w:val="20"/>
          <w:szCs w:val="20"/>
          <w:u w:val="none"/>
          <w:lang w:val="en-AU"/>
        </w:rPr>
        <w:sectPr w:rsidR="003E4DD0" w:rsidRPr="003E4DD0" w:rsidSect="008E560A">
          <w:footerReference w:type="even" r:id="rId24"/>
          <w:footerReference w:type="default" r:id="rId25"/>
          <w:pgSz w:w="11900" w:h="16840"/>
          <w:pgMar w:top="709" w:right="1460" w:bottom="1440" w:left="1800" w:header="708" w:footer="708" w:gutter="0"/>
          <w:pgNumType w:start="0"/>
          <w:cols w:space="708"/>
          <w:titlePg/>
          <w:docGrid w:linePitch="326"/>
        </w:sectPr>
      </w:pPr>
    </w:p>
    <w:p w14:paraId="2994B4E9" w14:textId="2F55890D" w:rsidR="00DC4448" w:rsidRPr="00AC4028" w:rsidRDefault="00DC4448" w:rsidP="00DC4448">
      <w:pPr>
        <w:pStyle w:val="Heading1"/>
        <w:ind w:right="-340"/>
        <w:jc w:val="center"/>
        <w:rPr>
          <w:sz w:val="32"/>
          <w:szCs w:val="32"/>
          <w:u w:val="none"/>
        </w:rPr>
      </w:pPr>
      <w:bookmarkStart w:id="118" w:name="_Toc346123975"/>
      <w:bookmarkStart w:id="119" w:name="_Toc495587317"/>
      <w:r w:rsidRPr="00AC4028">
        <w:rPr>
          <w:sz w:val="32"/>
          <w:szCs w:val="32"/>
          <w:u w:val="none"/>
        </w:rPr>
        <w:t>Part 2</w:t>
      </w:r>
      <w:bookmarkEnd w:id="118"/>
      <w:bookmarkEnd w:id="119"/>
    </w:p>
    <w:p w14:paraId="4AC44AE9" w14:textId="430D8471" w:rsidR="00DC4448" w:rsidRPr="00AC4028" w:rsidRDefault="00DC4448" w:rsidP="007C7FAF">
      <w:pPr>
        <w:pStyle w:val="Heading1"/>
        <w:ind w:right="-340"/>
        <w:jc w:val="center"/>
        <w:rPr>
          <w:sz w:val="20"/>
          <w:szCs w:val="20"/>
        </w:rPr>
      </w:pPr>
      <w:bookmarkStart w:id="120" w:name="_Toc346123976"/>
      <w:bookmarkStart w:id="121" w:name="_Toc495587318"/>
      <w:r w:rsidRPr="00AC4028">
        <w:rPr>
          <w:sz w:val="32"/>
          <w:szCs w:val="32"/>
          <w:u w:val="none"/>
        </w:rPr>
        <w:t>Student First Support Fund Programs</w:t>
      </w:r>
      <w:r>
        <w:rPr>
          <w:sz w:val="32"/>
          <w:szCs w:val="32"/>
          <w:u w:val="none"/>
        </w:rPr>
        <w:t xml:space="preserve"> and Key Features</w:t>
      </w:r>
      <w:bookmarkEnd w:id="120"/>
      <w:bookmarkEnd w:id="121"/>
      <w:r>
        <w:rPr>
          <w:sz w:val="32"/>
          <w:szCs w:val="32"/>
          <w:u w:val="none"/>
        </w:rPr>
        <w:t xml:space="preserve"> </w:t>
      </w:r>
    </w:p>
    <w:p w14:paraId="677AB611" w14:textId="3826517B" w:rsidR="00DC4448" w:rsidRPr="00AC4028" w:rsidRDefault="00DC4448" w:rsidP="00DC4448">
      <w:pPr>
        <w:ind w:right="-340"/>
        <w:jc w:val="center"/>
        <w:rPr>
          <w:rFonts w:ascii="Century Gothic" w:eastAsiaTheme="majorEastAsia" w:hAnsi="Century Gothic" w:cstheme="majorBidi"/>
          <w:b/>
          <w:bCs/>
          <w:color w:val="0070C0"/>
          <w:sz w:val="22"/>
          <w:szCs w:val="22"/>
        </w:rPr>
      </w:pPr>
      <w:r w:rsidRPr="00AC4028">
        <w:rPr>
          <w:sz w:val="22"/>
          <w:szCs w:val="22"/>
        </w:rPr>
        <w:br w:type="page"/>
      </w:r>
    </w:p>
    <w:p w14:paraId="69A799D1" w14:textId="603F0F06" w:rsidR="00DC4448" w:rsidRPr="005D40DE" w:rsidRDefault="00DC4448" w:rsidP="00DC4448">
      <w:pPr>
        <w:pStyle w:val="Heading1"/>
        <w:ind w:right="-340"/>
        <w:rPr>
          <w:sz w:val="32"/>
          <w:szCs w:val="32"/>
        </w:rPr>
      </w:pPr>
      <w:bookmarkStart w:id="122" w:name="_Toc346123977"/>
      <w:bookmarkStart w:id="123" w:name="_Toc495587319"/>
      <w:r>
        <w:rPr>
          <w:sz w:val="32"/>
          <w:szCs w:val="32"/>
        </w:rPr>
        <w:t>1.</w:t>
      </w:r>
      <w:r>
        <w:rPr>
          <w:sz w:val="32"/>
          <w:szCs w:val="32"/>
        </w:rPr>
        <w:tab/>
      </w:r>
      <w:r w:rsidRPr="005D40DE">
        <w:rPr>
          <w:sz w:val="32"/>
          <w:szCs w:val="32"/>
        </w:rPr>
        <w:t xml:space="preserve">NGRB </w:t>
      </w:r>
      <w:r w:rsidR="00227EAA">
        <w:rPr>
          <w:sz w:val="32"/>
          <w:szCs w:val="32"/>
        </w:rPr>
        <w:t xml:space="preserve">SFSF </w:t>
      </w:r>
      <w:r w:rsidRPr="005D40DE">
        <w:rPr>
          <w:sz w:val="32"/>
          <w:szCs w:val="32"/>
        </w:rPr>
        <w:t>Activity</w:t>
      </w:r>
      <w:bookmarkEnd w:id="122"/>
      <w:r w:rsidR="00227EAA">
        <w:rPr>
          <w:sz w:val="32"/>
          <w:szCs w:val="32"/>
        </w:rPr>
        <w:t xml:space="preserve"> Profiles</w:t>
      </w:r>
      <w:bookmarkEnd w:id="123"/>
    </w:p>
    <w:p w14:paraId="5DC4D97D" w14:textId="77777777" w:rsidR="00DC4448" w:rsidRPr="00AC4028" w:rsidRDefault="00DC4448" w:rsidP="007C7FAF">
      <w:pPr>
        <w:spacing w:after="240" w:line="276" w:lineRule="auto"/>
        <w:ind w:right="-340"/>
        <w:jc w:val="both"/>
        <w:rPr>
          <w:rFonts w:ascii="Century Gothic" w:eastAsiaTheme="minorHAnsi" w:hAnsi="Century Gothic"/>
          <w:sz w:val="20"/>
          <w:szCs w:val="20"/>
          <w:lang w:val="en-AU"/>
        </w:rPr>
      </w:pPr>
      <w:r w:rsidRPr="00AC4028">
        <w:rPr>
          <w:rFonts w:ascii="Century Gothic" w:hAnsi="Century Gothic"/>
          <w:sz w:val="20"/>
          <w:szCs w:val="20"/>
        </w:rPr>
        <w:t xml:space="preserve">The following are </w:t>
      </w:r>
      <w:r w:rsidRPr="00AC4028">
        <w:rPr>
          <w:rFonts w:ascii="Century Gothic" w:eastAsiaTheme="minorHAnsi" w:hAnsi="Century Gothic"/>
          <w:sz w:val="20"/>
          <w:szCs w:val="20"/>
          <w:lang w:val="en-AU"/>
        </w:rPr>
        <w:t xml:space="preserve">NGRB SFSF programs profiles </w:t>
      </w:r>
      <w:r>
        <w:rPr>
          <w:rFonts w:ascii="Century Gothic" w:eastAsiaTheme="minorHAnsi" w:hAnsi="Century Gothic"/>
          <w:sz w:val="20"/>
          <w:szCs w:val="20"/>
          <w:lang w:val="en-AU"/>
        </w:rPr>
        <w:t xml:space="preserve">that summarise the key features drawn from documentation and consultation. </w:t>
      </w:r>
    </w:p>
    <w:tbl>
      <w:tblPr>
        <w:tblW w:w="0" w:type="auto"/>
        <w:tblInd w:w="392" w:type="dxa"/>
        <w:tblLook w:val="04A0" w:firstRow="1" w:lastRow="0" w:firstColumn="1" w:lastColumn="0" w:noHBand="0" w:noVBand="1"/>
        <w:tblCaption w:val="NGRBs"/>
        <w:tblDescription w:val="This table lists the 16 NGRBs"/>
      </w:tblPr>
      <w:tblGrid>
        <w:gridCol w:w="5528"/>
      </w:tblGrid>
      <w:tr w:rsidR="00DC4448" w:rsidRPr="00AC4028" w14:paraId="33898258" w14:textId="77777777" w:rsidTr="00CD1809">
        <w:trPr>
          <w:tblHeader/>
        </w:trPr>
        <w:tc>
          <w:tcPr>
            <w:tcW w:w="5528" w:type="dxa"/>
          </w:tcPr>
          <w:p w14:paraId="04A11AB0" w14:textId="084805C5" w:rsidR="00DC4448" w:rsidRPr="00AC4028" w:rsidRDefault="00C73301" w:rsidP="002C6ABD">
            <w:pPr>
              <w:spacing w:before="60" w:after="60"/>
              <w:ind w:right="-340"/>
              <w:rPr>
                <w:rFonts w:ascii="Century Gothic" w:hAnsi="Century Gothic"/>
                <w:sz w:val="20"/>
                <w:szCs w:val="20"/>
              </w:rPr>
            </w:pPr>
            <w:r w:rsidRPr="00CD1809">
              <w:rPr>
                <w:rFonts w:ascii="Century Gothic" w:hAnsi="Century Gothic"/>
                <w:b/>
                <w:sz w:val="20"/>
                <w:szCs w:val="20"/>
              </w:rPr>
              <w:t>NGRBs</w:t>
            </w:r>
          </w:p>
        </w:tc>
      </w:tr>
      <w:tr w:rsidR="00C73301" w:rsidRPr="00AC4028" w14:paraId="195A238E" w14:textId="77777777" w:rsidTr="002C6ABD">
        <w:tc>
          <w:tcPr>
            <w:tcW w:w="5528" w:type="dxa"/>
          </w:tcPr>
          <w:p w14:paraId="35019912" w14:textId="0CB5E371" w:rsidR="00C73301" w:rsidRPr="00AC4028" w:rsidRDefault="00C73301" w:rsidP="002C6ABD">
            <w:pPr>
              <w:spacing w:before="60" w:after="60"/>
              <w:ind w:right="-340"/>
              <w:rPr>
                <w:rFonts w:ascii="Century Gothic" w:hAnsi="Century Gothic"/>
                <w:sz w:val="20"/>
                <w:szCs w:val="20"/>
              </w:rPr>
            </w:pPr>
            <w:r w:rsidRPr="00AC4028">
              <w:rPr>
                <w:rFonts w:ascii="Century Gothic" w:hAnsi="Century Gothic"/>
                <w:sz w:val="20"/>
                <w:szCs w:val="20"/>
              </w:rPr>
              <w:t>NSW Independent</w:t>
            </w:r>
            <w:r>
              <w:rPr>
                <w:rFonts w:ascii="Century Gothic" w:hAnsi="Century Gothic"/>
                <w:sz w:val="20"/>
                <w:szCs w:val="20"/>
              </w:rPr>
              <w:t xml:space="preserve"> (AIS NSW)</w:t>
            </w:r>
          </w:p>
        </w:tc>
      </w:tr>
      <w:tr w:rsidR="00DC4448" w:rsidRPr="00AC4028" w14:paraId="471C9995" w14:textId="77777777" w:rsidTr="002C6ABD">
        <w:tc>
          <w:tcPr>
            <w:tcW w:w="5528" w:type="dxa"/>
          </w:tcPr>
          <w:p w14:paraId="3D5A2A7C"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NSW Catholic</w:t>
            </w:r>
            <w:r>
              <w:rPr>
                <w:rFonts w:ascii="Century Gothic" w:hAnsi="Century Gothic"/>
                <w:sz w:val="20"/>
                <w:szCs w:val="20"/>
              </w:rPr>
              <w:t xml:space="preserve"> (CEC NSW) </w:t>
            </w:r>
          </w:p>
        </w:tc>
      </w:tr>
      <w:tr w:rsidR="00DC4448" w:rsidRPr="00AC4028" w14:paraId="4AC5621C" w14:textId="77777777" w:rsidTr="002C6ABD">
        <w:tc>
          <w:tcPr>
            <w:tcW w:w="5528" w:type="dxa"/>
          </w:tcPr>
          <w:p w14:paraId="2F3CCE5C"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Victoria Independent</w:t>
            </w:r>
            <w:r>
              <w:rPr>
                <w:rFonts w:ascii="Century Gothic" w:hAnsi="Century Gothic"/>
                <w:sz w:val="20"/>
                <w:szCs w:val="20"/>
              </w:rPr>
              <w:t xml:space="preserve">  (ISV) </w:t>
            </w:r>
          </w:p>
        </w:tc>
      </w:tr>
      <w:tr w:rsidR="00DC4448" w:rsidRPr="00AC4028" w14:paraId="02666945" w14:textId="77777777" w:rsidTr="002C6ABD">
        <w:tc>
          <w:tcPr>
            <w:tcW w:w="5528" w:type="dxa"/>
          </w:tcPr>
          <w:p w14:paraId="115198FA"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Victoria Catholic</w:t>
            </w:r>
            <w:r>
              <w:rPr>
                <w:rFonts w:ascii="Century Gothic" w:hAnsi="Century Gothic"/>
                <w:sz w:val="20"/>
                <w:szCs w:val="20"/>
              </w:rPr>
              <w:t xml:space="preserve"> (CECV) </w:t>
            </w:r>
          </w:p>
        </w:tc>
      </w:tr>
      <w:tr w:rsidR="00DC4448" w:rsidRPr="00AC4028" w14:paraId="31124E62" w14:textId="77777777" w:rsidTr="002C6ABD">
        <w:tc>
          <w:tcPr>
            <w:tcW w:w="5528" w:type="dxa"/>
          </w:tcPr>
          <w:p w14:paraId="2DE12341"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Queensland Independent</w:t>
            </w:r>
            <w:r>
              <w:rPr>
                <w:rFonts w:ascii="Century Gothic" w:hAnsi="Century Gothic"/>
                <w:sz w:val="20"/>
                <w:szCs w:val="20"/>
              </w:rPr>
              <w:t xml:space="preserve">  (ISQ) </w:t>
            </w:r>
          </w:p>
        </w:tc>
      </w:tr>
      <w:tr w:rsidR="00DC4448" w:rsidRPr="00AC4028" w14:paraId="42D7D85C" w14:textId="77777777" w:rsidTr="002C6ABD">
        <w:tc>
          <w:tcPr>
            <w:tcW w:w="5528" w:type="dxa"/>
          </w:tcPr>
          <w:p w14:paraId="2655C0F2"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Queensland Catholic</w:t>
            </w:r>
            <w:r>
              <w:rPr>
                <w:rFonts w:ascii="Century Gothic" w:hAnsi="Century Gothic"/>
                <w:sz w:val="20"/>
                <w:szCs w:val="20"/>
              </w:rPr>
              <w:t xml:space="preserve"> (QCEC) </w:t>
            </w:r>
          </w:p>
        </w:tc>
      </w:tr>
      <w:tr w:rsidR="00DC4448" w:rsidRPr="00AC4028" w14:paraId="643A5E48" w14:textId="77777777" w:rsidTr="002C6ABD">
        <w:tc>
          <w:tcPr>
            <w:tcW w:w="5528" w:type="dxa"/>
          </w:tcPr>
          <w:p w14:paraId="6D941018"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South Australia Independent</w:t>
            </w:r>
            <w:r>
              <w:rPr>
                <w:rFonts w:ascii="Century Gothic" w:hAnsi="Century Gothic"/>
                <w:sz w:val="20"/>
                <w:szCs w:val="20"/>
              </w:rPr>
              <w:t xml:space="preserve"> (AISSA) </w:t>
            </w:r>
          </w:p>
        </w:tc>
      </w:tr>
      <w:tr w:rsidR="00DC4448" w:rsidRPr="00AC4028" w14:paraId="602F4D91" w14:textId="77777777" w:rsidTr="002C6ABD">
        <w:tc>
          <w:tcPr>
            <w:tcW w:w="5528" w:type="dxa"/>
          </w:tcPr>
          <w:p w14:paraId="2E3FC9D9"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South Australia Catholic</w:t>
            </w:r>
            <w:r>
              <w:rPr>
                <w:rFonts w:ascii="Century Gothic" w:hAnsi="Century Gothic"/>
                <w:sz w:val="20"/>
                <w:szCs w:val="20"/>
              </w:rPr>
              <w:t xml:space="preserve"> (CESA) </w:t>
            </w:r>
          </w:p>
        </w:tc>
      </w:tr>
      <w:tr w:rsidR="00DC4448" w:rsidRPr="00AC4028" w14:paraId="7DCFC52C" w14:textId="77777777" w:rsidTr="002C6ABD">
        <w:tc>
          <w:tcPr>
            <w:tcW w:w="5528" w:type="dxa"/>
          </w:tcPr>
          <w:p w14:paraId="11BF954F"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Western Australia Independent</w:t>
            </w:r>
            <w:r>
              <w:rPr>
                <w:rFonts w:ascii="Century Gothic" w:hAnsi="Century Gothic"/>
                <w:sz w:val="20"/>
                <w:szCs w:val="20"/>
              </w:rPr>
              <w:t xml:space="preserve"> (AISWA) </w:t>
            </w:r>
          </w:p>
        </w:tc>
      </w:tr>
      <w:tr w:rsidR="00DC4448" w:rsidRPr="00AC4028" w14:paraId="0046B458" w14:textId="77777777" w:rsidTr="002C6ABD">
        <w:tc>
          <w:tcPr>
            <w:tcW w:w="5528" w:type="dxa"/>
          </w:tcPr>
          <w:p w14:paraId="26CC2225"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Western Australia Catholic</w:t>
            </w:r>
            <w:r>
              <w:rPr>
                <w:rFonts w:ascii="Century Gothic" w:hAnsi="Century Gothic"/>
                <w:sz w:val="20"/>
                <w:szCs w:val="20"/>
              </w:rPr>
              <w:t xml:space="preserve">  (CE WA) </w:t>
            </w:r>
          </w:p>
        </w:tc>
      </w:tr>
      <w:tr w:rsidR="00DC4448" w:rsidRPr="00AC4028" w14:paraId="03288060" w14:textId="77777777" w:rsidTr="002C6ABD">
        <w:tc>
          <w:tcPr>
            <w:tcW w:w="5528" w:type="dxa"/>
          </w:tcPr>
          <w:p w14:paraId="338151B6"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Tasmania Independent</w:t>
            </w:r>
            <w:r>
              <w:rPr>
                <w:rFonts w:ascii="Century Gothic" w:hAnsi="Century Gothic"/>
                <w:sz w:val="20"/>
                <w:szCs w:val="20"/>
              </w:rPr>
              <w:t xml:space="preserve"> (IST) </w:t>
            </w:r>
          </w:p>
        </w:tc>
      </w:tr>
      <w:tr w:rsidR="00DC4448" w:rsidRPr="00AC4028" w14:paraId="587983C7" w14:textId="77777777" w:rsidTr="002C6ABD">
        <w:tc>
          <w:tcPr>
            <w:tcW w:w="5528" w:type="dxa"/>
          </w:tcPr>
          <w:p w14:paraId="43D188CA"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Tasmania Catholic</w:t>
            </w:r>
            <w:r>
              <w:rPr>
                <w:rFonts w:ascii="Century Gothic" w:hAnsi="Century Gothic"/>
                <w:sz w:val="20"/>
                <w:szCs w:val="20"/>
              </w:rPr>
              <w:t xml:space="preserve"> (TAS CEO) </w:t>
            </w:r>
          </w:p>
        </w:tc>
      </w:tr>
      <w:tr w:rsidR="00DC4448" w:rsidRPr="00AC4028" w14:paraId="39673EF4" w14:textId="77777777" w:rsidTr="002C6ABD">
        <w:tc>
          <w:tcPr>
            <w:tcW w:w="5528" w:type="dxa"/>
          </w:tcPr>
          <w:p w14:paraId="48C14455"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Northern Territory Independent</w:t>
            </w:r>
            <w:r>
              <w:rPr>
                <w:rFonts w:ascii="Century Gothic" w:hAnsi="Century Gothic"/>
                <w:sz w:val="20"/>
                <w:szCs w:val="20"/>
              </w:rPr>
              <w:t xml:space="preserve"> (AIS NT) </w:t>
            </w:r>
          </w:p>
        </w:tc>
      </w:tr>
      <w:tr w:rsidR="00DC4448" w:rsidRPr="00AC4028" w14:paraId="60311E82" w14:textId="77777777" w:rsidTr="002C6ABD">
        <w:tc>
          <w:tcPr>
            <w:tcW w:w="5528" w:type="dxa"/>
          </w:tcPr>
          <w:p w14:paraId="48E6FAD2"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Northern Territory Catholic</w:t>
            </w:r>
            <w:r>
              <w:rPr>
                <w:rFonts w:ascii="Century Gothic" w:hAnsi="Century Gothic"/>
                <w:sz w:val="20"/>
                <w:szCs w:val="20"/>
              </w:rPr>
              <w:t xml:space="preserve"> (CENT) </w:t>
            </w:r>
          </w:p>
        </w:tc>
      </w:tr>
      <w:tr w:rsidR="00DC4448" w:rsidRPr="00AC4028" w14:paraId="6F1441FB" w14:textId="77777777" w:rsidTr="002C6ABD">
        <w:tc>
          <w:tcPr>
            <w:tcW w:w="5528" w:type="dxa"/>
          </w:tcPr>
          <w:p w14:paraId="576C415C"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ACT Independent</w:t>
            </w:r>
            <w:r>
              <w:rPr>
                <w:rFonts w:ascii="Century Gothic" w:hAnsi="Century Gothic"/>
                <w:sz w:val="20"/>
                <w:szCs w:val="20"/>
              </w:rPr>
              <w:t xml:space="preserve"> (AISACT) </w:t>
            </w:r>
          </w:p>
        </w:tc>
      </w:tr>
      <w:tr w:rsidR="00DC4448" w:rsidRPr="00AC4028" w14:paraId="297CFC0B" w14:textId="77777777" w:rsidTr="002C6ABD">
        <w:tc>
          <w:tcPr>
            <w:tcW w:w="5528" w:type="dxa"/>
          </w:tcPr>
          <w:p w14:paraId="77343909" w14:textId="77777777" w:rsidR="00DC4448" w:rsidRPr="00AC4028" w:rsidRDefault="00DC4448" w:rsidP="002C6ABD">
            <w:pPr>
              <w:spacing w:before="60" w:after="60"/>
              <w:ind w:right="-340"/>
              <w:rPr>
                <w:rFonts w:ascii="Century Gothic" w:hAnsi="Century Gothic"/>
                <w:sz w:val="20"/>
                <w:szCs w:val="20"/>
              </w:rPr>
            </w:pPr>
            <w:r w:rsidRPr="00AC4028">
              <w:rPr>
                <w:rFonts w:ascii="Century Gothic" w:hAnsi="Century Gothic"/>
                <w:sz w:val="20"/>
                <w:szCs w:val="20"/>
              </w:rPr>
              <w:t>ACT Catholic</w:t>
            </w:r>
            <w:r>
              <w:rPr>
                <w:rFonts w:ascii="Century Gothic" w:hAnsi="Century Gothic"/>
                <w:sz w:val="20"/>
                <w:szCs w:val="20"/>
              </w:rPr>
              <w:t xml:space="preserve"> (CE ACT)</w:t>
            </w:r>
          </w:p>
        </w:tc>
      </w:tr>
    </w:tbl>
    <w:p w14:paraId="6E545DA5" w14:textId="7F2B255F" w:rsidR="00DC4448" w:rsidRDefault="00DC4448" w:rsidP="00DC4448">
      <w:pPr>
        <w:ind w:right="-340"/>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NSW Independent NGRB."/>
      </w:tblPr>
      <w:tblGrid>
        <w:gridCol w:w="3777"/>
        <w:gridCol w:w="1009"/>
        <w:gridCol w:w="1285"/>
        <w:gridCol w:w="1325"/>
        <w:gridCol w:w="1296"/>
      </w:tblGrid>
      <w:tr w:rsidR="00DC4448" w:rsidRPr="00E4618A" w14:paraId="2163A88D" w14:textId="77777777" w:rsidTr="00CD1809">
        <w:trPr>
          <w:tblHeader/>
        </w:trPr>
        <w:tc>
          <w:tcPr>
            <w:tcW w:w="3777" w:type="dxa"/>
            <w:vMerge w:val="restart"/>
            <w:tcBorders>
              <w:top w:val="nil"/>
              <w:left w:val="nil"/>
              <w:bottom w:val="nil"/>
              <w:right w:val="single" w:sz="4" w:space="0" w:color="auto"/>
            </w:tcBorders>
            <w:shd w:val="clear" w:color="auto" w:fill="auto"/>
          </w:tcPr>
          <w:p w14:paraId="359963F9" w14:textId="77777777" w:rsidR="00DC4448" w:rsidRPr="00870B9B" w:rsidRDefault="00DC4448" w:rsidP="005621A8">
            <w:pPr>
              <w:pStyle w:val="Heading2"/>
              <w:spacing w:before="0" w:after="0"/>
            </w:pPr>
            <w:r w:rsidRPr="005621A8">
              <w:rPr>
                <w:sz w:val="24"/>
              </w:rPr>
              <w:t xml:space="preserve">NSW Independent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9D29FD" w14:textId="77777777" w:rsidR="00DC4448" w:rsidRPr="00E4618A" w:rsidRDefault="00DC4448" w:rsidP="002C6ABD">
            <w:pPr>
              <w:ind w:right="-340"/>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60A348"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64C8DD"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7A999B" w14:textId="77777777" w:rsidR="00DC4448" w:rsidRPr="00E4618A" w:rsidRDefault="00DC4448" w:rsidP="002C6ABD">
            <w:pPr>
              <w:ind w:right="-340"/>
              <w:jc w:val="center"/>
              <w:rPr>
                <w:sz w:val="16"/>
                <w:szCs w:val="16"/>
              </w:rPr>
            </w:pPr>
            <w:r>
              <w:rPr>
                <w:sz w:val="16"/>
                <w:szCs w:val="16"/>
              </w:rPr>
              <w:t>SFSF $</w:t>
            </w:r>
          </w:p>
        </w:tc>
      </w:tr>
      <w:tr w:rsidR="00DC4448" w:rsidRPr="004E2552" w14:paraId="38184B98" w14:textId="77777777" w:rsidTr="00CD1809">
        <w:trPr>
          <w:tblHeader/>
        </w:trPr>
        <w:tc>
          <w:tcPr>
            <w:tcW w:w="3777" w:type="dxa"/>
            <w:vMerge/>
            <w:tcBorders>
              <w:left w:val="nil"/>
              <w:bottom w:val="nil"/>
              <w:right w:val="single" w:sz="4" w:space="0" w:color="auto"/>
            </w:tcBorders>
            <w:shd w:val="clear" w:color="auto" w:fill="auto"/>
          </w:tcPr>
          <w:p w14:paraId="0745E984"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201C1A96" w14:textId="77777777" w:rsidR="00DC4448" w:rsidRPr="004E2552" w:rsidRDefault="00DC4448" w:rsidP="002C6ABD">
            <w:pPr>
              <w:ind w:right="-340"/>
              <w:jc w:val="center"/>
              <w:rPr>
                <w:rFonts w:eastAsia="Times New Roman" w:cs="Times New Roman"/>
                <w:bCs/>
                <w:color w:val="000000"/>
                <w:sz w:val="16"/>
                <w:szCs w:val="16"/>
              </w:rPr>
            </w:pPr>
            <w:r>
              <w:rPr>
                <w:rFonts w:eastAsia="Times New Roman" w:cs="Times New Roman"/>
                <w:color w:val="000000"/>
                <w:sz w:val="16"/>
                <w:szCs w:val="16"/>
              </w:rPr>
              <w:t xml:space="preserve"> 34</w:t>
            </w:r>
            <w:r w:rsidRPr="004E2552">
              <w:rPr>
                <w:rFonts w:eastAsia="Times New Roman" w:cs="Times New Roman"/>
                <w:color w:val="000000"/>
                <w:sz w:val="16"/>
                <w:szCs w:val="16"/>
              </w:rPr>
              <w:t xml:space="preserve">6 </w:t>
            </w:r>
          </w:p>
        </w:tc>
        <w:tc>
          <w:tcPr>
            <w:tcW w:w="1285" w:type="dxa"/>
            <w:tcBorders>
              <w:top w:val="single" w:sz="4" w:space="0" w:color="auto"/>
              <w:left w:val="single" w:sz="4" w:space="0" w:color="auto"/>
              <w:bottom w:val="single" w:sz="4" w:space="0" w:color="auto"/>
              <w:right w:val="single" w:sz="4" w:space="0" w:color="auto"/>
            </w:tcBorders>
            <w:vAlign w:val="bottom"/>
          </w:tcPr>
          <w:p w14:paraId="7134B7B8" w14:textId="77777777" w:rsidR="00DC4448" w:rsidRPr="004E2552" w:rsidRDefault="00DC4448" w:rsidP="002C6ABD">
            <w:pPr>
              <w:ind w:right="-340"/>
              <w:jc w:val="center"/>
              <w:rPr>
                <w:rFonts w:eastAsia="Times New Roman" w:cs="Times New Roman"/>
                <w:bCs/>
                <w:color w:val="000000"/>
                <w:sz w:val="16"/>
                <w:szCs w:val="16"/>
              </w:rPr>
            </w:pPr>
            <w:r>
              <w:rPr>
                <w:rFonts w:eastAsia="Times New Roman" w:cs="Times New Roman"/>
                <w:color w:val="000000"/>
                <w:sz w:val="16"/>
                <w:szCs w:val="16"/>
              </w:rPr>
              <w:t xml:space="preserve"> 161,307.8</w:t>
            </w:r>
            <w:r w:rsidRPr="004E2552">
              <w:rPr>
                <w:rFonts w:eastAsia="Times New Roman" w:cs="Times New Roman"/>
                <w:color w:val="000000"/>
                <w:sz w:val="16"/>
                <w:szCs w:val="16"/>
              </w:rPr>
              <w:t xml:space="preserve"> </w:t>
            </w:r>
          </w:p>
        </w:tc>
        <w:tc>
          <w:tcPr>
            <w:tcW w:w="1325" w:type="dxa"/>
            <w:tcBorders>
              <w:top w:val="single" w:sz="4" w:space="0" w:color="auto"/>
              <w:left w:val="single" w:sz="4" w:space="0" w:color="auto"/>
              <w:bottom w:val="single" w:sz="4" w:space="0" w:color="auto"/>
              <w:right w:val="single" w:sz="4" w:space="0" w:color="auto"/>
            </w:tcBorders>
            <w:vAlign w:val="bottom"/>
          </w:tcPr>
          <w:p w14:paraId="0E78F5C6" w14:textId="77777777" w:rsidR="00DC4448" w:rsidRPr="004E2552" w:rsidRDefault="00DC4448" w:rsidP="002C6ABD">
            <w:pPr>
              <w:ind w:right="-340"/>
              <w:jc w:val="center"/>
              <w:rPr>
                <w:rFonts w:eastAsia="Times New Roman" w:cs="Times New Roman"/>
                <w:bCs/>
                <w:color w:val="000000"/>
                <w:sz w:val="16"/>
                <w:szCs w:val="16"/>
              </w:rPr>
            </w:pPr>
            <w:r>
              <w:rPr>
                <w:rFonts w:eastAsia="Times New Roman" w:cs="Times New Roman"/>
                <w:color w:val="000000"/>
                <w:sz w:val="16"/>
                <w:szCs w:val="16"/>
              </w:rPr>
              <w:t xml:space="preserve"> 15</w:t>
            </w:r>
            <w:r w:rsidRPr="004E2552">
              <w:rPr>
                <w:rFonts w:eastAsia="Times New Roman" w:cs="Times New Roman"/>
                <w:color w:val="000000"/>
                <w:sz w:val="16"/>
                <w:szCs w:val="16"/>
              </w:rPr>
              <w:t>,</w:t>
            </w:r>
            <w:r>
              <w:rPr>
                <w:rFonts w:eastAsia="Times New Roman" w:cs="Times New Roman"/>
                <w:color w:val="000000"/>
                <w:sz w:val="16"/>
                <w:szCs w:val="16"/>
              </w:rPr>
              <w:t>791</w:t>
            </w:r>
            <w:r w:rsidRPr="004E2552">
              <w:rPr>
                <w:rFonts w:eastAsia="Times New Roman" w:cs="Times New Roman"/>
                <w:color w:val="000000"/>
                <w:sz w:val="16"/>
                <w:szCs w:val="16"/>
              </w:rPr>
              <w:t xml:space="preserve"> </w:t>
            </w:r>
          </w:p>
        </w:tc>
        <w:tc>
          <w:tcPr>
            <w:tcW w:w="1296" w:type="dxa"/>
            <w:tcBorders>
              <w:top w:val="single" w:sz="4" w:space="0" w:color="auto"/>
              <w:left w:val="single" w:sz="4" w:space="0" w:color="auto"/>
              <w:bottom w:val="single" w:sz="4" w:space="0" w:color="auto"/>
              <w:right w:val="single" w:sz="4" w:space="0" w:color="auto"/>
            </w:tcBorders>
            <w:vAlign w:val="bottom"/>
          </w:tcPr>
          <w:p w14:paraId="51795E02"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$7,485,668</w:t>
            </w:r>
          </w:p>
        </w:tc>
      </w:tr>
    </w:tbl>
    <w:p w14:paraId="1718CA08" w14:textId="77777777" w:rsidR="00DC4448" w:rsidRPr="00C31922" w:rsidRDefault="00DC4448" w:rsidP="00C31922">
      <w:pPr>
        <w:pStyle w:val="Heading3"/>
        <w:spacing w:before="120"/>
        <w:rPr>
          <w:rStyle w:val="IntenseEmphasis"/>
          <w:b/>
          <w:bCs/>
          <w:i w:val="0"/>
          <w:iCs w:val="0"/>
        </w:rPr>
      </w:pPr>
      <w:r w:rsidRPr="00C31922">
        <w:rPr>
          <w:rStyle w:val="IntenseEmphasis"/>
          <w:b/>
          <w:bCs/>
          <w:i w:val="0"/>
          <w:iCs w:val="0"/>
        </w:rPr>
        <w:t xml:space="preserve">Key features of approach  </w:t>
      </w:r>
    </w:p>
    <w:p w14:paraId="2D0B5725" w14:textId="77777777" w:rsidR="00DC4448" w:rsidRPr="005D5A52" w:rsidRDefault="00DC4448" w:rsidP="006A1D2B">
      <w:pPr>
        <w:pStyle w:val="ListParagraph"/>
        <w:numPr>
          <w:ilvl w:val="0"/>
          <w:numId w:val="17"/>
        </w:numPr>
        <w:spacing w:line="276" w:lineRule="auto"/>
        <w:ind w:right="-340"/>
        <w:jc w:val="both"/>
        <w:rPr>
          <w:rFonts w:ascii="Century Gothic" w:hAnsi="Century Gothic"/>
          <w:sz w:val="20"/>
          <w:szCs w:val="20"/>
        </w:rPr>
      </w:pPr>
      <w:r w:rsidRPr="005D5A52">
        <w:rPr>
          <w:rFonts w:ascii="Century Gothic" w:hAnsi="Century Gothic"/>
          <w:sz w:val="20"/>
          <w:szCs w:val="20"/>
        </w:rPr>
        <w:t xml:space="preserve">Strong belief in the efficacy of improvement projects that directly engage leaders in their own environments on </w:t>
      </w:r>
      <w:r>
        <w:rPr>
          <w:rFonts w:ascii="Century Gothic" w:hAnsi="Century Gothic"/>
          <w:sz w:val="20"/>
          <w:szCs w:val="20"/>
        </w:rPr>
        <w:t xml:space="preserve">the </w:t>
      </w:r>
      <w:r w:rsidRPr="005D5A52">
        <w:rPr>
          <w:rFonts w:ascii="Century Gothic" w:hAnsi="Century Gothic"/>
          <w:sz w:val="20"/>
          <w:szCs w:val="20"/>
        </w:rPr>
        <w:t>whole school issues</w:t>
      </w:r>
      <w:r>
        <w:rPr>
          <w:rFonts w:ascii="Century Gothic" w:hAnsi="Century Gothic"/>
          <w:sz w:val="20"/>
          <w:szCs w:val="20"/>
        </w:rPr>
        <w:t xml:space="preserve"> in the National Priorities</w:t>
      </w:r>
      <w:r w:rsidRPr="005D5A52">
        <w:rPr>
          <w:rFonts w:ascii="Century Gothic" w:hAnsi="Century Gothic"/>
          <w:sz w:val="20"/>
          <w:szCs w:val="20"/>
        </w:rPr>
        <w:t>.</w:t>
      </w:r>
    </w:p>
    <w:p w14:paraId="271AEFCC" w14:textId="781F940A" w:rsidR="00DC4448" w:rsidRPr="00596936" w:rsidRDefault="00DC4448" w:rsidP="006A1D2B">
      <w:pPr>
        <w:pStyle w:val="ListParagraph"/>
        <w:numPr>
          <w:ilvl w:val="0"/>
          <w:numId w:val="17"/>
        </w:numPr>
        <w:spacing w:line="276" w:lineRule="auto"/>
        <w:ind w:right="-340"/>
        <w:jc w:val="both"/>
        <w:rPr>
          <w:rFonts w:ascii="Century Gothic" w:hAnsi="Century Gothic"/>
          <w:sz w:val="20"/>
          <w:szCs w:val="20"/>
        </w:rPr>
      </w:pPr>
      <w:r w:rsidRPr="00596936">
        <w:rPr>
          <w:rFonts w:ascii="Century Gothic" w:hAnsi="Century Gothic"/>
          <w:sz w:val="20"/>
          <w:szCs w:val="20"/>
        </w:rPr>
        <w:t xml:space="preserve">Thirteen school improvement projects </w:t>
      </w:r>
      <w:r>
        <w:rPr>
          <w:rFonts w:ascii="Century Gothic" w:hAnsi="Century Gothic"/>
          <w:sz w:val="20"/>
          <w:szCs w:val="20"/>
        </w:rPr>
        <w:t>are funded by SFSF ($29.9m) and that has leveraged funding (NSW Govt. $6.4m and AISNSW $8.3m, the latter incl $3m on consultants for SWD using accumulated funds) to enable the projects to operate over four years with sufficie</w:t>
      </w:r>
      <w:r w:rsidR="007C7FAF">
        <w:rPr>
          <w:rFonts w:ascii="Century Gothic" w:hAnsi="Century Gothic"/>
          <w:sz w:val="20"/>
          <w:szCs w:val="20"/>
        </w:rPr>
        <w:t>nt intensity to have an impact.</w:t>
      </w:r>
    </w:p>
    <w:p w14:paraId="4F6E3847" w14:textId="77777777" w:rsidR="00DC4448" w:rsidRPr="005D5A52" w:rsidRDefault="00DC4448" w:rsidP="006A1D2B">
      <w:pPr>
        <w:pStyle w:val="ListParagraph"/>
        <w:numPr>
          <w:ilvl w:val="0"/>
          <w:numId w:val="17"/>
        </w:numPr>
        <w:spacing w:line="276" w:lineRule="auto"/>
        <w:ind w:right="-340"/>
        <w:jc w:val="both"/>
        <w:rPr>
          <w:rFonts w:ascii="Century Gothic" w:hAnsi="Century Gothic"/>
          <w:sz w:val="20"/>
          <w:szCs w:val="20"/>
        </w:rPr>
      </w:pPr>
      <w:r w:rsidRPr="005D5A52">
        <w:rPr>
          <w:rFonts w:ascii="Century Gothic" w:hAnsi="Century Gothic"/>
          <w:sz w:val="20"/>
          <w:szCs w:val="20"/>
        </w:rPr>
        <w:t>There is a clear demarcation between the school improvement and developmental projects in SFSF and the core association services (e.g. advice and support for governance and regulatory compliance).</w:t>
      </w:r>
    </w:p>
    <w:p w14:paraId="5271ED75" w14:textId="77777777" w:rsidR="00DC4448" w:rsidRPr="007140D6" w:rsidRDefault="00DC4448" w:rsidP="005621A8">
      <w:pPr>
        <w:pStyle w:val="Heading3"/>
        <w:spacing w:before="120"/>
      </w:pPr>
      <w:r w:rsidRPr="007140D6">
        <w:t xml:space="preserve">Predominant mode of delivery </w:t>
      </w:r>
    </w:p>
    <w:tbl>
      <w:tblPr>
        <w:tblW w:w="4502" w:type="dxa"/>
        <w:tblLook w:val="04A0" w:firstRow="1" w:lastRow="0" w:firstColumn="1" w:lastColumn="0" w:noHBand="0" w:noVBand="1"/>
        <w:tblCaption w:val="Predominant mode of delivery"/>
        <w:tblDescription w:val="This table shows that predominant delivery models include Professional learning,&#10;Consultancy advice in schools, Coaching and mentoring services, On-line tools, Resource provision, and Research practitioner.&#10;"/>
      </w:tblPr>
      <w:tblGrid>
        <w:gridCol w:w="3652"/>
        <w:gridCol w:w="850"/>
      </w:tblGrid>
      <w:tr w:rsidR="00C31922" w:rsidRPr="003E5526" w14:paraId="7D0B3A1E"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7AF9065" w14:textId="77777777" w:rsidR="00C31922" w:rsidRDefault="00C31922"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436C4D" w14:textId="7B280932" w:rsidR="00C31922" w:rsidRPr="003E5526" w:rsidRDefault="003E5526" w:rsidP="003E5526">
            <w:pPr>
              <w:spacing w:before="100" w:beforeAutospacing="1" w:after="120"/>
              <w:ind w:right="-340"/>
              <w:jc w:val="center"/>
              <w:rPr>
                <w:rFonts w:cs="Times New Roman"/>
                <w:i/>
                <w:iCs/>
                <w:sz w:val="15"/>
                <w:szCs w:val="15"/>
              </w:rPr>
            </w:pPr>
            <w:r w:rsidRPr="003E5526">
              <w:rPr>
                <w:rFonts w:cs="Times New Roman"/>
                <w:i/>
                <w:iCs/>
                <w:sz w:val="15"/>
                <w:szCs w:val="15"/>
              </w:rPr>
              <w:t>Yes/no</w:t>
            </w:r>
          </w:p>
        </w:tc>
      </w:tr>
      <w:tr w:rsidR="00C31922" w:rsidRPr="00961128" w14:paraId="5E24ED28"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32C18663"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454D569C" w14:textId="35004680" w:rsidR="00C31922"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961128" w14:paraId="36A06663"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49AB0274"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4089FDB3" w14:textId="51D32F3A" w:rsidR="00C31922"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961128" w14:paraId="22FDB475"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4284C49F"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hideMark/>
          </w:tcPr>
          <w:p w14:paraId="7A77EDBC" w14:textId="207CF568" w:rsidR="00C31922"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961128" w14:paraId="191D0187" w14:textId="77777777" w:rsidTr="00C31922">
        <w:trPr>
          <w:trHeight w:val="269"/>
        </w:trPr>
        <w:tc>
          <w:tcPr>
            <w:tcW w:w="3652" w:type="dxa"/>
            <w:tcBorders>
              <w:top w:val="single" w:sz="4" w:space="0" w:color="auto"/>
              <w:left w:val="single" w:sz="4" w:space="0" w:color="auto"/>
              <w:bottom w:val="single" w:sz="4" w:space="0" w:color="auto"/>
              <w:right w:val="single" w:sz="4" w:space="0" w:color="auto"/>
            </w:tcBorders>
            <w:hideMark/>
          </w:tcPr>
          <w:p w14:paraId="7A00BD33"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hideMark/>
          </w:tcPr>
          <w:p w14:paraId="09673F6C" w14:textId="0F11F908" w:rsidR="00C31922"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7F4BFBA4"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08D051E4"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Resource provision</w:t>
            </w:r>
            <w:r w:rsidRPr="00C453CD">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AE253FF" w14:textId="4975FB43"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048BD11F" w14:textId="77777777" w:rsidTr="00C31922">
        <w:tc>
          <w:tcPr>
            <w:tcW w:w="3652" w:type="dxa"/>
            <w:tcBorders>
              <w:top w:val="single" w:sz="4" w:space="0" w:color="auto"/>
              <w:left w:val="single" w:sz="4" w:space="0" w:color="auto"/>
              <w:bottom w:val="single" w:sz="4" w:space="0" w:color="auto"/>
              <w:right w:val="single" w:sz="4" w:space="0" w:color="auto"/>
            </w:tcBorders>
          </w:tcPr>
          <w:p w14:paraId="73694A1D" w14:textId="560E2987"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294D2E27" w14:textId="47B2288F" w:rsidR="00C31922" w:rsidRPr="00961128" w:rsidRDefault="003E5526" w:rsidP="00C31922">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380D5BD8" w14:textId="77777777" w:rsidTr="00C31922">
        <w:tc>
          <w:tcPr>
            <w:tcW w:w="3652" w:type="dxa"/>
            <w:tcBorders>
              <w:top w:val="single" w:sz="4" w:space="0" w:color="auto"/>
              <w:left w:val="single" w:sz="4" w:space="0" w:color="auto"/>
              <w:bottom w:val="single" w:sz="4" w:space="0" w:color="auto"/>
              <w:right w:val="single" w:sz="4" w:space="0" w:color="auto"/>
            </w:tcBorders>
          </w:tcPr>
          <w:p w14:paraId="02E2484A" w14:textId="7ADECCA9"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3DFBF0EF" w14:textId="505E5E10" w:rsidR="00C31922" w:rsidRPr="00961128"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0B84E546" w14:textId="77777777" w:rsidTr="00C31922">
        <w:tc>
          <w:tcPr>
            <w:tcW w:w="3652" w:type="dxa"/>
            <w:tcBorders>
              <w:top w:val="single" w:sz="4" w:space="0" w:color="auto"/>
              <w:left w:val="single" w:sz="4" w:space="0" w:color="auto"/>
              <w:bottom w:val="single" w:sz="4" w:space="0" w:color="auto"/>
              <w:right w:val="single" w:sz="4" w:space="0" w:color="auto"/>
            </w:tcBorders>
          </w:tcPr>
          <w:p w14:paraId="7389303A" w14:textId="4F4B7097" w:rsidR="00C31922" w:rsidRDefault="00C31922" w:rsidP="00C31922">
            <w:pPr>
              <w:spacing w:before="100" w:beforeAutospacing="1" w:after="120"/>
              <w:ind w:right="-340"/>
              <w:rPr>
                <w:rFonts w:cs="Times New Roman"/>
                <w:i/>
                <w:iCs/>
                <w:sz w:val="15"/>
                <w:szCs w:val="15"/>
              </w:rPr>
            </w:pPr>
            <w:r>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710C1B33" w14:textId="1C2B3676" w:rsidR="00C31922" w:rsidRPr="00961128"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724A68BA" w14:textId="77777777" w:rsidTr="00C31922">
        <w:tc>
          <w:tcPr>
            <w:tcW w:w="3652" w:type="dxa"/>
            <w:tcBorders>
              <w:top w:val="single" w:sz="4" w:space="0" w:color="auto"/>
              <w:left w:val="single" w:sz="4" w:space="0" w:color="auto"/>
              <w:bottom w:val="single" w:sz="4" w:space="0" w:color="auto"/>
              <w:right w:val="single" w:sz="4" w:space="0" w:color="auto"/>
            </w:tcBorders>
          </w:tcPr>
          <w:p w14:paraId="045C6821" w14:textId="40D50C08" w:rsidR="00C31922" w:rsidRDefault="00C31922" w:rsidP="00C31922">
            <w:pPr>
              <w:spacing w:before="100" w:beforeAutospacing="1" w:after="120"/>
              <w:ind w:right="-340"/>
              <w:rPr>
                <w:rFonts w:cs="Times New Roman"/>
                <w:i/>
                <w:iCs/>
                <w:sz w:val="15"/>
                <w:szCs w:val="15"/>
              </w:rPr>
            </w:pPr>
            <w:r>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68136838" w14:textId="483B6D77" w:rsidR="00C31922" w:rsidRPr="00961128"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bl>
    <w:p w14:paraId="2101C22F" w14:textId="77777777" w:rsidR="00DC4448" w:rsidRPr="003A3CAE" w:rsidRDefault="00DC4448" w:rsidP="005621A8">
      <w:pPr>
        <w:pStyle w:val="Heading3"/>
        <w:spacing w:before="120"/>
      </w:pPr>
      <w:r w:rsidRPr="003A3CAE">
        <w:t xml:space="preserve">Sample programs </w:t>
      </w:r>
    </w:p>
    <w:p w14:paraId="5B834570" w14:textId="0311B1BA" w:rsidR="00DC4448" w:rsidRDefault="00DC4448" w:rsidP="006A1D2B">
      <w:pPr>
        <w:pStyle w:val="ListParagraph"/>
        <w:numPr>
          <w:ilvl w:val="0"/>
          <w:numId w:val="17"/>
        </w:numPr>
        <w:spacing w:line="276" w:lineRule="auto"/>
        <w:ind w:right="-340"/>
        <w:jc w:val="both"/>
        <w:rPr>
          <w:rFonts w:ascii="Century Gothic" w:hAnsi="Century Gothic"/>
          <w:sz w:val="20"/>
          <w:szCs w:val="20"/>
        </w:rPr>
      </w:pPr>
      <w:r>
        <w:rPr>
          <w:rFonts w:ascii="Century Gothic" w:hAnsi="Century Gothic"/>
          <w:i/>
          <w:sz w:val="20"/>
          <w:szCs w:val="20"/>
        </w:rPr>
        <w:t>Schools Leading Learning –</w:t>
      </w:r>
      <w:r w:rsidRPr="00CD243C">
        <w:rPr>
          <w:rFonts w:ascii="Century Gothic" w:hAnsi="Century Gothic"/>
          <w:sz w:val="20"/>
          <w:szCs w:val="20"/>
        </w:rPr>
        <w:t xml:space="preserve">comprehensive </w:t>
      </w:r>
      <w:r w:rsidRPr="001F039E">
        <w:rPr>
          <w:rFonts w:ascii="Century Gothic" w:hAnsi="Century Gothic"/>
          <w:sz w:val="20"/>
          <w:szCs w:val="20"/>
        </w:rPr>
        <w:t>d</w:t>
      </w:r>
      <w:r>
        <w:rPr>
          <w:rFonts w:ascii="Century Gothic" w:hAnsi="Century Gothic"/>
          <w:sz w:val="20"/>
          <w:szCs w:val="20"/>
        </w:rPr>
        <w:t>esign</w:t>
      </w:r>
      <w:r w:rsidRPr="001F039E">
        <w:rPr>
          <w:rFonts w:ascii="Century Gothic" w:hAnsi="Century Gothic"/>
          <w:sz w:val="20"/>
          <w:szCs w:val="20"/>
        </w:rPr>
        <w:t xml:space="preserve"> </w:t>
      </w:r>
      <w:r>
        <w:rPr>
          <w:rFonts w:ascii="Century Gothic" w:hAnsi="Century Gothic"/>
          <w:sz w:val="20"/>
          <w:szCs w:val="20"/>
        </w:rPr>
        <w:t>of</w:t>
      </w:r>
      <w:r w:rsidRPr="001F039E">
        <w:rPr>
          <w:rFonts w:ascii="Century Gothic" w:hAnsi="Century Gothic"/>
          <w:sz w:val="20"/>
          <w:szCs w:val="20"/>
        </w:rPr>
        <w:t xml:space="preserve"> </w:t>
      </w:r>
      <w:r>
        <w:rPr>
          <w:rFonts w:ascii="Century Gothic" w:hAnsi="Century Gothic"/>
          <w:sz w:val="20"/>
          <w:szCs w:val="20"/>
        </w:rPr>
        <w:t xml:space="preserve">school based </w:t>
      </w:r>
      <w:r w:rsidRPr="001F039E">
        <w:rPr>
          <w:rFonts w:ascii="Century Gothic" w:hAnsi="Century Gothic"/>
          <w:sz w:val="20"/>
          <w:szCs w:val="20"/>
        </w:rPr>
        <w:t xml:space="preserve">professional learning </w:t>
      </w:r>
      <w:r>
        <w:rPr>
          <w:rFonts w:ascii="Century Gothic" w:hAnsi="Century Gothic"/>
          <w:sz w:val="20"/>
          <w:szCs w:val="20"/>
        </w:rPr>
        <w:t>for whole school improvement; consultants work alongside schools to equip them for data driven self-evaluation and whole school planning; targets low SES schools to provide teacher release for those that may not previously have had access to these services. The first cohort was 28 schools for three years; second cohort s</w:t>
      </w:r>
      <w:r w:rsidR="007C7FAF">
        <w:rPr>
          <w:rFonts w:ascii="Century Gothic" w:hAnsi="Century Gothic"/>
          <w:sz w:val="20"/>
          <w:szCs w:val="20"/>
        </w:rPr>
        <w:t>tarting in 2016 has 23 schools.</w:t>
      </w:r>
    </w:p>
    <w:p w14:paraId="560BB4A6" w14:textId="07B2A1D0" w:rsidR="00DC4448" w:rsidRPr="00404A26" w:rsidRDefault="00DC4448" w:rsidP="006A1D2B">
      <w:pPr>
        <w:pStyle w:val="ListParagraph"/>
        <w:numPr>
          <w:ilvl w:val="0"/>
          <w:numId w:val="17"/>
        </w:numPr>
        <w:spacing w:line="276" w:lineRule="auto"/>
        <w:ind w:right="-340"/>
        <w:jc w:val="both"/>
        <w:rPr>
          <w:rFonts w:ascii="Century Gothic" w:hAnsi="Century Gothic"/>
          <w:sz w:val="20"/>
          <w:szCs w:val="20"/>
        </w:rPr>
      </w:pPr>
      <w:r w:rsidRPr="00404A26">
        <w:rPr>
          <w:rFonts w:ascii="Century Gothic" w:hAnsi="Century Gothic" w:cs="ArialMT"/>
          <w:bCs/>
          <w:i/>
          <w:sz w:val="20"/>
          <w:szCs w:val="20"/>
        </w:rPr>
        <w:t xml:space="preserve">STEM K-12: </w:t>
      </w:r>
      <w:r>
        <w:rPr>
          <w:rFonts w:ascii="Century Gothic" w:hAnsi="Century Gothic" w:cs="ArialMT"/>
          <w:bCs/>
          <w:i/>
          <w:sz w:val="20"/>
          <w:szCs w:val="20"/>
        </w:rPr>
        <w:t xml:space="preserve">- </w:t>
      </w:r>
      <w:r w:rsidRPr="00BD77F5">
        <w:rPr>
          <w:rFonts w:ascii="Century Gothic" w:hAnsi="Century Gothic" w:cs="ArialMT"/>
          <w:bCs/>
          <w:sz w:val="20"/>
          <w:szCs w:val="20"/>
        </w:rPr>
        <w:t>Designed to lift up</w:t>
      </w:r>
      <w:r>
        <w:rPr>
          <w:rFonts w:ascii="Century Gothic" w:hAnsi="Century Gothic" w:cs="ArialMT"/>
          <w:bCs/>
          <w:sz w:val="20"/>
          <w:szCs w:val="20"/>
        </w:rPr>
        <w:t>take, engagement and achievement. A</w:t>
      </w:r>
      <w:r w:rsidRPr="00404A26">
        <w:rPr>
          <w:rFonts w:ascii="Century Gothic" w:hAnsi="Century Gothic" w:cs="ArialMT"/>
          <w:bCs/>
          <w:sz w:val="20"/>
          <w:szCs w:val="20"/>
        </w:rPr>
        <w:t xml:space="preserve">ll </w:t>
      </w:r>
      <w:r>
        <w:rPr>
          <w:rFonts w:ascii="Century Gothic" w:hAnsi="Century Gothic" w:cs="ArialMT"/>
          <w:bCs/>
          <w:sz w:val="20"/>
          <w:szCs w:val="20"/>
        </w:rPr>
        <w:t xml:space="preserve">Independent </w:t>
      </w:r>
      <w:r w:rsidRPr="00404A26">
        <w:rPr>
          <w:rFonts w:ascii="Century Gothic" w:hAnsi="Century Gothic" w:cs="ArialMT"/>
          <w:bCs/>
          <w:sz w:val="20"/>
          <w:szCs w:val="20"/>
        </w:rPr>
        <w:t>school</w:t>
      </w:r>
      <w:r>
        <w:rPr>
          <w:rFonts w:ascii="Century Gothic" w:hAnsi="Century Gothic" w:cs="ArialMT"/>
          <w:bCs/>
          <w:sz w:val="20"/>
          <w:szCs w:val="20"/>
        </w:rPr>
        <w:t>s</w:t>
      </w:r>
      <w:r w:rsidRPr="00404A26">
        <w:rPr>
          <w:rFonts w:ascii="Century Gothic" w:hAnsi="Century Gothic" w:cs="ArialMT"/>
          <w:bCs/>
          <w:sz w:val="20"/>
          <w:szCs w:val="20"/>
        </w:rPr>
        <w:t xml:space="preserve"> in NSW and ACT were invited to apply for up to $10,000 and access to consultancy support to introduce a 12 month</w:t>
      </w:r>
      <w:r>
        <w:rPr>
          <w:rFonts w:ascii="Century Gothic" w:hAnsi="Century Gothic" w:cs="ArialMT"/>
          <w:bCs/>
          <w:sz w:val="20"/>
          <w:szCs w:val="20"/>
        </w:rPr>
        <w:t xml:space="preserve"> </w:t>
      </w:r>
      <w:r w:rsidRPr="00404A26">
        <w:rPr>
          <w:rFonts w:ascii="Century Gothic" w:hAnsi="Century Gothic" w:cs="ArialMT"/>
          <w:bCs/>
          <w:sz w:val="20"/>
          <w:szCs w:val="20"/>
        </w:rPr>
        <w:t>STEM project.</w:t>
      </w:r>
      <w:r>
        <w:rPr>
          <w:rFonts w:ascii="Century Gothic" w:hAnsi="Century Gothic" w:cs="ArialMT"/>
          <w:bCs/>
          <w:sz w:val="20"/>
          <w:szCs w:val="20"/>
        </w:rPr>
        <w:t xml:space="preserve"> T</w:t>
      </w:r>
      <w:r w:rsidRPr="00404A26">
        <w:rPr>
          <w:rFonts w:ascii="Century Gothic" w:hAnsi="Century Gothic" w:cs="ArialMT"/>
          <w:bCs/>
          <w:sz w:val="20"/>
          <w:szCs w:val="20"/>
        </w:rPr>
        <w:t xml:space="preserve">he first </w:t>
      </w:r>
      <w:r>
        <w:rPr>
          <w:rFonts w:ascii="Century Gothic" w:hAnsi="Century Gothic" w:cs="ArialMT"/>
          <w:bCs/>
          <w:sz w:val="20"/>
          <w:szCs w:val="20"/>
        </w:rPr>
        <w:t>round had 28 schools and subsequent two rounds similar numbers. Outcomes were shared in a STEM Symposium.</w:t>
      </w:r>
    </w:p>
    <w:p w14:paraId="1A1E31C7" w14:textId="13AD2827" w:rsidR="00DC4448" w:rsidRPr="007140D6" w:rsidRDefault="007C7FAF" w:rsidP="005621A8">
      <w:pPr>
        <w:pStyle w:val="Heading3"/>
        <w:spacing w:before="120"/>
      </w:pPr>
      <w:r>
        <w:t>Funding – how used?</w:t>
      </w:r>
    </w:p>
    <w:p w14:paraId="1368613C" w14:textId="52139B8C" w:rsidR="00DC4448" w:rsidRPr="00596936" w:rsidRDefault="00DC4448" w:rsidP="006A1D2B">
      <w:pPr>
        <w:pStyle w:val="ListParagraph"/>
        <w:numPr>
          <w:ilvl w:val="0"/>
          <w:numId w:val="18"/>
        </w:numPr>
        <w:spacing w:after="200" w:line="276" w:lineRule="auto"/>
        <w:ind w:right="-340"/>
      </w:pPr>
      <w:r w:rsidRPr="00DF7E3D">
        <w:rPr>
          <w:rFonts w:ascii="Century Gothic" w:hAnsi="Century Gothic"/>
          <w:sz w:val="20"/>
          <w:szCs w:val="20"/>
        </w:rPr>
        <w:t xml:space="preserve">SFSF leverages support from other sources e.g. </w:t>
      </w:r>
      <w:r w:rsidRPr="00404A26">
        <w:rPr>
          <w:rFonts w:ascii="Century Gothic" w:hAnsi="Century Gothic"/>
          <w:i/>
          <w:sz w:val="20"/>
          <w:szCs w:val="20"/>
        </w:rPr>
        <w:t>Schools Leading Learning</w:t>
      </w:r>
      <w:r w:rsidRPr="00DF7E3D">
        <w:rPr>
          <w:rFonts w:ascii="Century Gothic" w:hAnsi="Century Gothic"/>
          <w:sz w:val="20"/>
          <w:szCs w:val="20"/>
        </w:rPr>
        <w:t xml:space="preserve"> has $</w:t>
      </w:r>
      <w:r>
        <w:rPr>
          <w:rFonts w:ascii="Century Gothic" w:hAnsi="Century Gothic"/>
          <w:sz w:val="20"/>
          <w:szCs w:val="20"/>
        </w:rPr>
        <w:t xml:space="preserve">8.2m </w:t>
      </w:r>
      <w:r w:rsidRPr="00DF7E3D">
        <w:rPr>
          <w:rFonts w:ascii="Century Gothic" w:hAnsi="Century Gothic"/>
          <w:sz w:val="20"/>
          <w:szCs w:val="20"/>
        </w:rPr>
        <w:t xml:space="preserve">available </w:t>
      </w:r>
      <w:r>
        <w:rPr>
          <w:rFonts w:ascii="Century Gothic" w:hAnsi="Century Gothic"/>
          <w:sz w:val="20"/>
          <w:szCs w:val="20"/>
        </w:rPr>
        <w:t>over four years, including approx. $3.8</w:t>
      </w:r>
      <w:r w:rsidR="007C7FAF">
        <w:rPr>
          <w:rFonts w:ascii="Century Gothic" w:hAnsi="Century Gothic"/>
          <w:sz w:val="20"/>
          <w:szCs w:val="20"/>
        </w:rPr>
        <w:t>m from SFSF.</w:t>
      </w:r>
    </w:p>
    <w:p w14:paraId="2666E848" w14:textId="2A677BA7" w:rsidR="00DC4448" w:rsidRPr="00BD77F5" w:rsidRDefault="00DC4448" w:rsidP="006A1D2B">
      <w:pPr>
        <w:pStyle w:val="ListParagraph"/>
        <w:numPr>
          <w:ilvl w:val="0"/>
          <w:numId w:val="18"/>
        </w:numPr>
        <w:spacing w:after="200" w:line="276" w:lineRule="auto"/>
        <w:ind w:right="-340"/>
      </w:pPr>
      <w:r w:rsidRPr="00AE7EEF">
        <w:rPr>
          <w:rFonts w:ascii="Century Gothic" w:hAnsi="Century Gothic"/>
          <w:sz w:val="20"/>
          <w:szCs w:val="20"/>
        </w:rPr>
        <w:t>SFSF</w:t>
      </w:r>
      <w:r>
        <w:rPr>
          <w:rFonts w:ascii="Century Gothic" w:hAnsi="Century Gothic"/>
          <w:sz w:val="20"/>
          <w:szCs w:val="20"/>
        </w:rPr>
        <w:t xml:space="preserve"> funds</w:t>
      </w:r>
      <w:r w:rsidR="007C7FAF">
        <w:rPr>
          <w:rFonts w:ascii="Century Gothic" w:hAnsi="Century Gothic"/>
          <w:sz w:val="20"/>
          <w:szCs w:val="20"/>
        </w:rPr>
        <w:t xml:space="preserve"> approximately 23 consultants</w:t>
      </w:r>
    </w:p>
    <w:p w14:paraId="54E9CF72" w14:textId="6A881599" w:rsidR="00DC4448" w:rsidRPr="001F039E" w:rsidRDefault="00DC4448" w:rsidP="006A1D2B">
      <w:pPr>
        <w:pStyle w:val="ListParagraph"/>
        <w:numPr>
          <w:ilvl w:val="0"/>
          <w:numId w:val="18"/>
        </w:numPr>
        <w:spacing w:after="60" w:line="276" w:lineRule="auto"/>
        <w:ind w:left="714" w:right="-340" w:hanging="357"/>
      </w:pPr>
      <w:r>
        <w:rPr>
          <w:rFonts w:ascii="Century Gothic" w:hAnsi="Century Gothic"/>
          <w:sz w:val="20"/>
          <w:szCs w:val="20"/>
        </w:rPr>
        <w:t>Other resources are applied to teacher relief (a major component) and to the developme</w:t>
      </w:r>
      <w:r w:rsidR="007C7FAF">
        <w:rPr>
          <w:rFonts w:ascii="Century Gothic" w:hAnsi="Century Gothic"/>
          <w:sz w:val="20"/>
          <w:szCs w:val="20"/>
        </w:rPr>
        <w:t>nt of resources.</w:t>
      </w:r>
    </w:p>
    <w:p w14:paraId="28C83895" w14:textId="77777777" w:rsidR="00DC4448" w:rsidRPr="007140D6" w:rsidRDefault="00DC4448" w:rsidP="005621A8">
      <w:pPr>
        <w:pStyle w:val="Heading3"/>
        <w:spacing w:before="120"/>
      </w:pPr>
      <w:r w:rsidRPr="007140D6">
        <w:t xml:space="preserve">Monitoring success  </w:t>
      </w:r>
    </w:p>
    <w:p w14:paraId="242F82BF" w14:textId="77777777" w:rsidR="00DC4448" w:rsidRDefault="00DC4448" w:rsidP="006A1D2B">
      <w:pPr>
        <w:pStyle w:val="ListParagraph"/>
        <w:numPr>
          <w:ilvl w:val="0"/>
          <w:numId w:val="18"/>
        </w:numPr>
        <w:ind w:left="714" w:right="-340" w:hanging="357"/>
        <w:rPr>
          <w:rFonts w:ascii="Century Gothic" w:hAnsi="Century Gothic"/>
          <w:sz w:val="20"/>
          <w:szCs w:val="20"/>
        </w:rPr>
      </w:pPr>
      <w:r>
        <w:rPr>
          <w:rFonts w:ascii="Century Gothic" w:hAnsi="Century Gothic"/>
          <w:sz w:val="20"/>
          <w:szCs w:val="20"/>
        </w:rPr>
        <w:t>Comprehensive evaluation program for all initiatives and results made available.</w:t>
      </w:r>
    </w:p>
    <w:p w14:paraId="4DB7B253" w14:textId="0A0263D0" w:rsidR="00DC4448" w:rsidRDefault="00DC4448" w:rsidP="006A1D2B">
      <w:pPr>
        <w:pStyle w:val="ListParagraph"/>
        <w:numPr>
          <w:ilvl w:val="0"/>
          <w:numId w:val="18"/>
        </w:numPr>
        <w:ind w:left="714" w:right="-340" w:hanging="357"/>
        <w:rPr>
          <w:rFonts w:ascii="Century Gothic" w:hAnsi="Century Gothic"/>
          <w:sz w:val="20"/>
          <w:szCs w:val="20"/>
        </w:rPr>
      </w:pPr>
      <w:r>
        <w:rPr>
          <w:rFonts w:ascii="Century Gothic" w:hAnsi="Century Gothic"/>
          <w:sz w:val="20"/>
          <w:szCs w:val="20"/>
        </w:rPr>
        <w:t>Program success measured by participation and satisfaction along with more ambitious evaluations of impact (e.g. changed practices, en</w:t>
      </w:r>
      <w:r w:rsidR="007C7FAF">
        <w:rPr>
          <w:rFonts w:ascii="Century Gothic" w:hAnsi="Century Gothic"/>
          <w:sz w:val="20"/>
          <w:szCs w:val="20"/>
        </w:rPr>
        <w:t>hanced teacher skills.)</w:t>
      </w:r>
    </w:p>
    <w:p w14:paraId="1B410B4C" w14:textId="77777777" w:rsidR="00DC4448" w:rsidRPr="00241706" w:rsidRDefault="00DC4448" w:rsidP="006A1D2B">
      <w:pPr>
        <w:pStyle w:val="ListParagraph"/>
        <w:numPr>
          <w:ilvl w:val="0"/>
          <w:numId w:val="18"/>
        </w:numPr>
        <w:ind w:left="714" w:right="-340" w:hanging="357"/>
      </w:pPr>
      <w:r>
        <w:rPr>
          <w:rFonts w:ascii="Century Gothic" w:hAnsi="Century Gothic"/>
          <w:sz w:val="20"/>
          <w:szCs w:val="20"/>
        </w:rPr>
        <w:t xml:space="preserve">Eight projects have been modified and extended and one ceased following evaluation </w:t>
      </w:r>
    </w:p>
    <w:p w14:paraId="295B20BA" w14:textId="77777777" w:rsidR="00DC4448" w:rsidRPr="007140D6" w:rsidRDefault="00DC4448" w:rsidP="005621A8">
      <w:pPr>
        <w:pStyle w:val="Heading3"/>
        <w:spacing w:before="120"/>
      </w:pPr>
      <w:r w:rsidRPr="007140D6">
        <w:t>Issues and implications</w:t>
      </w:r>
    </w:p>
    <w:p w14:paraId="211FDEA0" w14:textId="6F88EAB5" w:rsidR="00DC4448" w:rsidRDefault="00DC4448" w:rsidP="00DC4448">
      <w:pPr>
        <w:rPr>
          <w:rFonts w:ascii="Century Gothic" w:hAnsi="Century Gothic"/>
          <w:sz w:val="20"/>
          <w:szCs w:val="20"/>
        </w:rPr>
      </w:pPr>
      <w:r w:rsidRPr="005D5A52">
        <w:rPr>
          <w:rFonts w:ascii="Century Gothic" w:hAnsi="Century Gothic"/>
          <w:sz w:val="20"/>
          <w:szCs w:val="20"/>
        </w:rPr>
        <w:t xml:space="preserve">Evaluations </w:t>
      </w:r>
      <w:r>
        <w:rPr>
          <w:rFonts w:ascii="Century Gothic" w:hAnsi="Century Gothic"/>
          <w:sz w:val="20"/>
          <w:szCs w:val="20"/>
        </w:rPr>
        <w:t>show</w:t>
      </w:r>
      <w:r w:rsidRPr="005D5A52">
        <w:rPr>
          <w:rFonts w:ascii="Century Gothic" w:hAnsi="Century Gothic"/>
          <w:sz w:val="20"/>
          <w:szCs w:val="20"/>
        </w:rPr>
        <w:t xml:space="preserve"> that economies of scale matter and some small initiatives can be phased out. Demand is increasing for support schools </w:t>
      </w:r>
      <w:r>
        <w:rPr>
          <w:rFonts w:ascii="Century Gothic" w:hAnsi="Century Gothic"/>
          <w:sz w:val="20"/>
          <w:szCs w:val="20"/>
        </w:rPr>
        <w:t xml:space="preserve">implement the Government’s agenda </w:t>
      </w:r>
      <w:r w:rsidRPr="005D5A52">
        <w:rPr>
          <w:rFonts w:ascii="Century Gothic" w:hAnsi="Century Gothic"/>
          <w:sz w:val="20"/>
          <w:szCs w:val="20"/>
        </w:rPr>
        <w:t xml:space="preserve">and </w:t>
      </w:r>
      <w:r>
        <w:rPr>
          <w:rFonts w:ascii="Century Gothic" w:hAnsi="Century Gothic"/>
          <w:sz w:val="20"/>
          <w:szCs w:val="20"/>
        </w:rPr>
        <w:t xml:space="preserve">there is significant demand to support </w:t>
      </w:r>
      <w:r w:rsidR="007C7FAF">
        <w:rPr>
          <w:rFonts w:ascii="Century Gothic" w:hAnsi="Century Gothic"/>
          <w:sz w:val="20"/>
          <w:szCs w:val="20"/>
        </w:rPr>
        <w:t>students with a disability.</w:t>
      </w: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NSW Catholic NGRB."/>
      </w:tblPr>
      <w:tblGrid>
        <w:gridCol w:w="3777"/>
        <w:gridCol w:w="1009"/>
        <w:gridCol w:w="1285"/>
        <w:gridCol w:w="1325"/>
        <w:gridCol w:w="1296"/>
      </w:tblGrid>
      <w:tr w:rsidR="00DC4448" w:rsidRPr="00E4618A" w14:paraId="421298ED" w14:textId="77777777" w:rsidTr="002C6ABD">
        <w:tc>
          <w:tcPr>
            <w:tcW w:w="3777" w:type="dxa"/>
            <w:vMerge w:val="restart"/>
            <w:tcBorders>
              <w:top w:val="nil"/>
              <w:left w:val="nil"/>
              <w:bottom w:val="nil"/>
              <w:right w:val="single" w:sz="4" w:space="0" w:color="auto"/>
            </w:tcBorders>
            <w:shd w:val="clear" w:color="auto" w:fill="auto"/>
          </w:tcPr>
          <w:p w14:paraId="148BA70F" w14:textId="77777777" w:rsidR="00DC4448" w:rsidRPr="00870B9B" w:rsidRDefault="00DC4448" w:rsidP="005621A8">
            <w:pPr>
              <w:pStyle w:val="Heading2"/>
              <w:spacing w:before="0" w:after="0"/>
            </w:pPr>
            <w:r w:rsidRPr="005621A8">
              <w:rPr>
                <w:sz w:val="24"/>
              </w:rPr>
              <w:t xml:space="preserve">NSW Catholic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94AC16" w14:textId="77777777" w:rsidR="00DC4448" w:rsidRPr="00E4618A" w:rsidRDefault="00DC4448" w:rsidP="002C6ABD">
            <w:pPr>
              <w:ind w:right="-340"/>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9AA653" w14:textId="77777777" w:rsidR="00DC4448" w:rsidRPr="00E4618A" w:rsidRDefault="00DC4448" w:rsidP="002C6ABD">
            <w:pPr>
              <w:ind w:right="-340"/>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EBB24B" w14:textId="77777777" w:rsidR="00DC4448" w:rsidRPr="00E4618A" w:rsidRDefault="00DC4448" w:rsidP="002C6ABD">
            <w:pPr>
              <w:ind w:right="-340"/>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23AF8E" w14:textId="77777777" w:rsidR="00DC4448" w:rsidRPr="00E4618A" w:rsidRDefault="00DC4448" w:rsidP="002C6ABD">
            <w:pPr>
              <w:ind w:right="-340"/>
              <w:rPr>
                <w:sz w:val="16"/>
                <w:szCs w:val="16"/>
              </w:rPr>
            </w:pPr>
            <w:r>
              <w:rPr>
                <w:sz w:val="16"/>
                <w:szCs w:val="16"/>
              </w:rPr>
              <w:t>SFSF $</w:t>
            </w:r>
          </w:p>
        </w:tc>
      </w:tr>
      <w:tr w:rsidR="00DC4448" w:rsidRPr="004E2552" w14:paraId="7820BE34" w14:textId="77777777" w:rsidTr="002C6ABD">
        <w:tc>
          <w:tcPr>
            <w:tcW w:w="3777" w:type="dxa"/>
            <w:vMerge/>
            <w:tcBorders>
              <w:left w:val="nil"/>
              <w:bottom w:val="nil"/>
              <w:right w:val="single" w:sz="4" w:space="0" w:color="auto"/>
            </w:tcBorders>
            <w:shd w:val="clear" w:color="auto" w:fill="auto"/>
          </w:tcPr>
          <w:p w14:paraId="5E819ABB"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2D19E195"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592 </w:t>
            </w:r>
          </w:p>
        </w:tc>
        <w:tc>
          <w:tcPr>
            <w:tcW w:w="1285" w:type="dxa"/>
            <w:tcBorders>
              <w:top w:val="single" w:sz="4" w:space="0" w:color="auto"/>
              <w:left w:val="single" w:sz="4" w:space="0" w:color="auto"/>
              <w:bottom w:val="single" w:sz="4" w:space="0" w:color="auto"/>
              <w:right w:val="single" w:sz="4" w:space="0" w:color="auto"/>
            </w:tcBorders>
            <w:vAlign w:val="bottom"/>
          </w:tcPr>
          <w:p w14:paraId="54EFEF50"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255,625.10 </w:t>
            </w:r>
          </w:p>
        </w:tc>
        <w:tc>
          <w:tcPr>
            <w:tcW w:w="1325" w:type="dxa"/>
            <w:tcBorders>
              <w:top w:val="single" w:sz="4" w:space="0" w:color="auto"/>
              <w:left w:val="single" w:sz="4" w:space="0" w:color="auto"/>
              <w:bottom w:val="single" w:sz="4" w:space="0" w:color="auto"/>
              <w:right w:val="single" w:sz="4" w:space="0" w:color="auto"/>
            </w:tcBorders>
            <w:vAlign w:val="bottom"/>
          </w:tcPr>
          <w:p w14:paraId="13BCB645"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16,957.0 </w:t>
            </w:r>
          </w:p>
        </w:tc>
        <w:tc>
          <w:tcPr>
            <w:tcW w:w="1296" w:type="dxa"/>
            <w:tcBorders>
              <w:top w:val="single" w:sz="4" w:space="0" w:color="auto"/>
              <w:left w:val="single" w:sz="4" w:space="0" w:color="auto"/>
              <w:bottom w:val="single" w:sz="4" w:space="0" w:color="auto"/>
              <w:right w:val="single" w:sz="4" w:space="0" w:color="auto"/>
            </w:tcBorders>
            <w:vAlign w:val="bottom"/>
          </w:tcPr>
          <w:p w14:paraId="49A91F40"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$4,594,418</w:t>
            </w:r>
          </w:p>
        </w:tc>
      </w:tr>
    </w:tbl>
    <w:p w14:paraId="1B2DB692" w14:textId="0777267F" w:rsidR="00DC4448" w:rsidRPr="005621A8" w:rsidRDefault="007C7FAF" w:rsidP="005621A8">
      <w:pPr>
        <w:pStyle w:val="Heading3"/>
        <w:spacing w:before="120"/>
        <w:rPr>
          <w:rStyle w:val="IntenseEmphasis"/>
          <w:b/>
          <w:bCs/>
          <w:i w:val="0"/>
          <w:iCs w:val="0"/>
        </w:rPr>
      </w:pPr>
      <w:r w:rsidRPr="005621A8">
        <w:rPr>
          <w:rStyle w:val="IntenseEmphasis"/>
          <w:b/>
          <w:bCs/>
          <w:i w:val="0"/>
          <w:iCs w:val="0"/>
        </w:rPr>
        <w:t xml:space="preserve">Key features of approach </w:t>
      </w:r>
    </w:p>
    <w:p w14:paraId="43C1C53F" w14:textId="2D0A2C29" w:rsidR="00DC4448" w:rsidRPr="005D5A52" w:rsidRDefault="00DC4448" w:rsidP="006A1D2B">
      <w:pPr>
        <w:pStyle w:val="ListParagraph"/>
        <w:numPr>
          <w:ilvl w:val="0"/>
          <w:numId w:val="17"/>
        </w:numPr>
        <w:spacing w:line="276" w:lineRule="auto"/>
        <w:ind w:right="-340"/>
        <w:jc w:val="both"/>
        <w:rPr>
          <w:rFonts w:ascii="Century Gothic" w:hAnsi="Century Gothic"/>
          <w:sz w:val="20"/>
          <w:szCs w:val="20"/>
        </w:rPr>
      </w:pPr>
      <w:r w:rsidRPr="005D5A52">
        <w:rPr>
          <w:rFonts w:ascii="Century Gothic" w:hAnsi="Century Gothic"/>
          <w:sz w:val="20"/>
          <w:szCs w:val="20"/>
        </w:rPr>
        <w:t>Governance is an integrated matrix model (eleven Dioceses and 588 systemic schools and 44 Independent schools). While the SFSF funds sustain necessary infrastructure at CECNSW and diocesan levels it is not possible for the CECNSW to disaggregate SFSF funding to the level of specif</w:t>
      </w:r>
      <w:r w:rsidR="007C7FAF">
        <w:rPr>
          <w:rFonts w:ascii="Century Gothic" w:hAnsi="Century Gothic"/>
          <w:sz w:val="20"/>
          <w:szCs w:val="20"/>
        </w:rPr>
        <w:t>ic projects and delivery model.</w:t>
      </w:r>
    </w:p>
    <w:p w14:paraId="7BB8E34A" w14:textId="5D40EDA5" w:rsidR="00DC4448" w:rsidRPr="005D5A52" w:rsidRDefault="00DC4448" w:rsidP="006A1D2B">
      <w:pPr>
        <w:pStyle w:val="ListParagraph"/>
        <w:numPr>
          <w:ilvl w:val="0"/>
          <w:numId w:val="17"/>
        </w:numPr>
        <w:spacing w:line="276" w:lineRule="auto"/>
        <w:ind w:right="-340"/>
        <w:jc w:val="both"/>
        <w:rPr>
          <w:rFonts w:ascii="Century Gothic" w:hAnsi="Century Gothic"/>
          <w:sz w:val="20"/>
          <w:szCs w:val="20"/>
        </w:rPr>
      </w:pPr>
      <w:r>
        <w:rPr>
          <w:rFonts w:ascii="Century Gothic" w:hAnsi="Century Gothic"/>
          <w:sz w:val="20"/>
          <w:szCs w:val="20"/>
        </w:rPr>
        <w:t>Five CECNSW co</w:t>
      </w:r>
      <w:r w:rsidRPr="005D5A52">
        <w:rPr>
          <w:rFonts w:ascii="Century Gothic" w:hAnsi="Century Gothic"/>
          <w:sz w:val="20"/>
          <w:szCs w:val="20"/>
        </w:rPr>
        <w:t>ordinators are funded by two thirds of the SFSF funds: VET, student well-being, assessment and early learning, special ne</w:t>
      </w:r>
      <w:r>
        <w:rPr>
          <w:rFonts w:ascii="Century Gothic" w:hAnsi="Century Gothic"/>
          <w:sz w:val="20"/>
          <w:szCs w:val="20"/>
        </w:rPr>
        <w:t>eds, and Aboriginal education. T</w:t>
      </w:r>
      <w:r w:rsidRPr="005D5A52">
        <w:rPr>
          <w:rFonts w:ascii="Century Gothic" w:hAnsi="Century Gothic"/>
          <w:sz w:val="20"/>
          <w:szCs w:val="20"/>
        </w:rPr>
        <w:t>heir work supports SFSF priorities and l</w:t>
      </w:r>
      <w:r w:rsidR="007C7FAF">
        <w:rPr>
          <w:rFonts w:ascii="Century Gothic" w:hAnsi="Century Gothic"/>
          <w:sz w:val="20"/>
          <w:szCs w:val="20"/>
        </w:rPr>
        <w:t>inks with Diocesan offices</w:t>
      </w:r>
    </w:p>
    <w:p w14:paraId="7EF4932D" w14:textId="390482F2" w:rsidR="00DC4448" w:rsidRPr="005D5A52" w:rsidRDefault="00DC4448" w:rsidP="006A1D2B">
      <w:pPr>
        <w:pStyle w:val="ListParagraph"/>
        <w:numPr>
          <w:ilvl w:val="0"/>
          <w:numId w:val="17"/>
        </w:numPr>
        <w:spacing w:line="276" w:lineRule="auto"/>
        <w:ind w:right="-340"/>
        <w:jc w:val="both"/>
        <w:rPr>
          <w:rFonts w:ascii="Century Gothic" w:hAnsi="Century Gothic"/>
          <w:sz w:val="20"/>
          <w:szCs w:val="20"/>
        </w:rPr>
      </w:pPr>
      <w:r w:rsidRPr="005D5A52">
        <w:rPr>
          <w:rFonts w:ascii="Century Gothic" w:hAnsi="Century Gothic"/>
          <w:sz w:val="20"/>
          <w:szCs w:val="20"/>
        </w:rPr>
        <w:t xml:space="preserve">Reform initiatives are mostly integrated with NSW wide initiatives and link to NSW government bodies as they implement </w:t>
      </w:r>
      <w:r w:rsidR="009617E9">
        <w:rPr>
          <w:rFonts w:ascii="Century Gothic" w:hAnsi="Century Gothic"/>
          <w:sz w:val="20"/>
          <w:szCs w:val="20"/>
        </w:rPr>
        <w:t>national and state priorities.</w:t>
      </w:r>
    </w:p>
    <w:p w14:paraId="07BF2AF3" w14:textId="77777777" w:rsidR="00DC4448" w:rsidRPr="007140D6" w:rsidRDefault="00DC4448" w:rsidP="005621A8">
      <w:pPr>
        <w:pStyle w:val="Heading3"/>
        <w:spacing w:before="120"/>
      </w:pPr>
      <w:r w:rsidRPr="007140D6">
        <w:t xml:space="preserve">Predominant mode of delivery </w:t>
      </w:r>
    </w:p>
    <w:tbl>
      <w:tblPr>
        <w:tblW w:w="4502" w:type="dxa"/>
        <w:tblLook w:val="04A0" w:firstRow="1" w:lastRow="0" w:firstColumn="1" w:lastColumn="0" w:noHBand="0" w:noVBand="1"/>
        <w:tblCaption w:val="Predominant mode of delivery"/>
        <w:tblDescription w:val="This table shows that predominant delivery models include Professional learning,&#10;Consultancy advice in schools and Resource provision."/>
      </w:tblPr>
      <w:tblGrid>
        <w:gridCol w:w="3652"/>
        <w:gridCol w:w="850"/>
      </w:tblGrid>
      <w:tr w:rsidR="00C31922" w14:paraId="1F1EED2D"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DF5AA8" w14:textId="77777777" w:rsidR="00C31922" w:rsidRDefault="00C31922"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2A5C994" w14:textId="0A99909C" w:rsidR="00C31922" w:rsidRDefault="003E5526" w:rsidP="002C6ABD">
            <w:pPr>
              <w:spacing w:before="100" w:beforeAutospacing="1"/>
              <w:ind w:right="-340"/>
              <w:jc w:val="center"/>
              <w:rPr>
                <w:rFonts w:ascii="Times New Roman" w:hAnsi="Times New Roman" w:cs="Times New Roman"/>
              </w:rPr>
            </w:pPr>
            <w:r w:rsidRPr="003E5526">
              <w:rPr>
                <w:rFonts w:cs="Times New Roman"/>
                <w:i/>
                <w:iCs/>
                <w:sz w:val="15"/>
                <w:szCs w:val="15"/>
              </w:rPr>
              <w:t>Yes/no</w:t>
            </w:r>
          </w:p>
        </w:tc>
      </w:tr>
      <w:tr w:rsidR="00C31922" w:rsidRPr="00C453CD" w14:paraId="440C012B"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007D911F"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6C350775" w14:textId="656EAB45"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59AF5545"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1B95ABC2"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57EB02D9" w14:textId="5D7B3432"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0790CB37"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36671222"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2B2F6291" w14:textId="00476158"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379F3862" w14:textId="77777777" w:rsidTr="00C31922">
        <w:trPr>
          <w:trHeight w:val="269"/>
        </w:trPr>
        <w:tc>
          <w:tcPr>
            <w:tcW w:w="3652" w:type="dxa"/>
            <w:tcBorders>
              <w:top w:val="single" w:sz="4" w:space="0" w:color="auto"/>
              <w:left w:val="single" w:sz="4" w:space="0" w:color="auto"/>
              <w:bottom w:val="single" w:sz="4" w:space="0" w:color="auto"/>
              <w:right w:val="single" w:sz="4" w:space="0" w:color="auto"/>
            </w:tcBorders>
            <w:hideMark/>
          </w:tcPr>
          <w:p w14:paraId="58D0B181"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5936885D" w14:textId="4D62A5AF"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52DC8E5A"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7242E602"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Resource provision</w:t>
            </w:r>
            <w:r w:rsidRPr="00C453CD">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B7ED5D6" w14:textId="73F60BE9"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1549073E" w14:textId="77777777" w:rsidTr="00C31922">
        <w:tc>
          <w:tcPr>
            <w:tcW w:w="3652" w:type="dxa"/>
            <w:tcBorders>
              <w:top w:val="single" w:sz="4" w:space="0" w:color="auto"/>
              <w:left w:val="single" w:sz="4" w:space="0" w:color="auto"/>
              <w:bottom w:val="single" w:sz="4" w:space="0" w:color="auto"/>
              <w:right w:val="single" w:sz="4" w:space="0" w:color="auto"/>
            </w:tcBorders>
          </w:tcPr>
          <w:p w14:paraId="488919FA" w14:textId="0D3D9406"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4EB67432" w14:textId="0E64581D" w:rsidR="00C31922" w:rsidRPr="00C453CD"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19AE707E" w14:textId="77777777" w:rsidTr="00C31922">
        <w:tc>
          <w:tcPr>
            <w:tcW w:w="3652" w:type="dxa"/>
            <w:tcBorders>
              <w:top w:val="single" w:sz="4" w:space="0" w:color="auto"/>
              <w:left w:val="single" w:sz="4" w:space="0" w:color="auto"/>
              <w:bottom w:val="single" w:sz="4" w:space="0" w:color="auto"/>
              <w:right w:val="single" w:sz="4" w:space="0" w:color="auto"/>
            </w:tcBorders>
          </w:tcPr>
          <w:p w14:paraId="2DA78242" w14:textId="3A951146"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0E3CE251" w14:textId="03C481E0" w:rsidR="00C31922" w:rsidRPr="00C453CD"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79FE56E3" w14:textId="77777777" w:rsidTr="00C31922">
        <w:tc>
          <w:tcPr>
            <w:tcW w:w="3652" w:type="dxa"/>
            <w:tcBorders>
              <w:top w:val="single" w:sz="4" w:space="0" w:color="auto"/>
              <w:left w:val="single" w:sz="4" w:space="0" w:color="auto"/>
              <w:bottom w:val="single" w:sz="4" w:space="0" w:color="auto"/>
              <w:right w:val="single" w:sz="4" w:space="0" w:color="auto"/>
            </w:tcBorders>
          </w:tcPr>
          <w:p w14:paraId="541E446D" w14:textId="24B720E1" w:rsidR="00C31922" w:rsidRDefault="00C31922" w:rsidP="00C31922">
            <w:pPr>
              <w:spacing w:before="100" w:beforeAutospacing="1" w:after="120"/>
              <w:ind w:right="-340"/>
              <w:rPr>
                <w:rFonts w:cs="Times New Roman"/>
                <w:i/>
                <w:iCs/>
                <w:sz w:val="15"/>
                <w:szCs w:val="15"/>
              </w:rPr>
            </w:pPr>
            <w:r w:rsidRPr="00414D7A">
              <w:rPr>
                <w:rFonts w:cs="Times New Roman"/>
                <w:b/>
                <w:i/>
                <w:iCs/>
                <w:sz w:val="15"/>
                <w:szCs w:val="15"/>
              </w:rPr>
              <w:t>VET teacher training &amp; special education behavior management training</w:t>
            </w:r>
          </w:p>
        </w:tc>
        <w:tc>
          <w:tcPr>
            <w:tcW w:w="850" w:type="dxa"/>
            <w:tcBorders>
              <w:top w:val="single" w:sz="4" w:space="0" w:color="auto"/>
              <w:left w:val="single" w:sz="4" w:space="0" w:color="auto"/>
              <w:bottom w:val="single" w:sz="4" w:space="0" w:color="auto"/>
              <w:right w:val="single" w:sz="4" w:space="0" w:color="auto"/>
            </w:tcBorders>
          </w:tcPr>
          <w:p w14:paraId="2833DB59" w14:textId="20751B8D" w:rsidR="00C31922" w:rsidRPr="00C453CD"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5C9EABE6" w14:textId="77777777" w:rsidTr="00C31922">
        <w:tc>
          <w:tcPr>
            <w:tcW w:w="3652" w:type="dxa"/>
            <w:tcBorders>
              <w:top w:val="single" w:sz="4" w:space="0" w:color="auto"/>
              <w:left w:val="single" w:sz="4" w:space="0" w:color="auto"/>
              <w:bottom w:val="single" w:sz="4" w:space="0" w:color="auto"/>
              <w:right w:val="single" w:sz="4" w:space="0" w:color="auto"/>
            </w:tcBorders>
          </w:tcPr>
          <w:p w14:paraId="2D583149" w14:textId="47AEB276" w:rsidR="00C31922" w:rsidRDefault="00C31922" w:rsidP="00C31922">
            <w:pPr>
              <w:spacing w:before="100" w:beforeAutospacing="1" w:after="120"/>
              <w:ind w:right="-340"/>
              <w:rPr>
                <w:rFonts w:cs="Times New Roman"/>
                <w:i/>
                <w:iCs/>
                <w:sz w:val="15"/>
                <w:szCs w:val="15"/>
              </w:rPr>
            </w:pPr>
            <w:r w:rsidRPr="00414D7A">
              <w:rPr>
                <w:rFonts w:cs="Times New Roman"/>
                <w:b/>
                <w:i/>
                <w:iCs/>
                <w:sz w:val="15"/>
                <w:szCs w:val="15"/>
              </w:rPr>
              <w:t>DDA compliance, HSC analysis, literacy support</w:t>
            </w:r>
          </w:p>
        </w:tc>
        <w:tc>
          <w:tcPr>
            <w:tcW w:w="850" w:type="dxa"/>
            <w:tcBorders>
              <w:top w:val="single" w:sz="4" w:space="0" w:color="auto"/>
              <w:left w:val="single" w:sz="4" w:space="0" w:color="auto"/>
              <w:bottom w:val="single" w:sz="4" w:space="0" w:color="auto"/>
              <w:right w:val="single" w:sz="4" w:space="0" w:color="auto"/>
            </w:tcBorders>
          </w:tcPr>
          <w:p w14:paraId="2B6789DF" w14:textId="1401223A" w:rsidR="00C31922" w:rsidRPr="00C453CD"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bl>
    <w:p w14:paraId="724DE81C" w14:textId="36ED1C3D" w:rsidR="00DC4448" w:rsidRPr="007140D6" w:rsidRDefault="009617E9" w:rsidP="005621A8">
      <w:pPr>
        <w:pStyle w:val="Heading3"/>
        <w:spacing w:before="120"/>
      </w:pPr>
      <w:r>
        <w:t>Sample programs</w:t>
      </w:r>
    </w:p>
    <w:p w14:paraId="31CE7D13" w14:textId="77777777" w:rsidR="00DC4448" w:rsidRPr="003319ED" w:rsidRDefault="00DC4448" w:rsidP="006A1D2B">
      <w:pPr>
        <w:pStyle w:val="ListParagraph"/>
        <w:numPr>
          <w:ilvl w:val="0"/>
          <w:numId w:val="17"/>
        </w:numPr>
        <w:ind w:right="-340"/>
        <w:jc w:val="both"/>
        <w:rPr>
          <w:rFonts w:ascii="Century Gothic" w:hAnsi="Century Gothic"/>
          <w:sz w:val="20"/>
          <w:szCs w:val="20"/>
        </w:rPr>
      </w:pPr>
      <w:r>
        <w:rPr>
          <w:rFonts w:ascii="Century Gothic" w:hAnsi="Century Gothic"/>
          <w:i/>
          <w:sz w:val="20"/>
          <w:szCs w:val="20"/>
        </w:rPr>
        <w:t xml:space="preserve">Implementation of Australian Teacher Performance and Development Framework Schools and the </w:t>
      </w:r>
      <w:r w:rsidRPr="00D27EBF">
        <w:rPr>
          <w:rFonts w:ascii="Century Gothic" w:hAnsi="Century Gothic" w:cs="FranklinGothic-Book"/>
          <w:bCs/>
          <w:sz w:val="20"/>
          <w:szCs w:val="20"/>
        </w:rPr>
        <w:t xml:space="preserve">NSW Government’s Great </w:t>
      </w:r>
      <w:r w:rsidRPr="00D27EBF">
        <w:rPr>
          <w:rFonts w:ascii="Century Gothic" w:hAnsi="Century Gothic" w:cs="FranklinGothic-BookItalic"/>
          <w:bCs/>
          <w:i/>
          <w:iCs/>
          <w:sz w:val="20"/>
          <w:szCs w:val="20"/>
        </w:rPr>
        <w:t>Teaching Inspired Learning</w:t>
      </w:r>
      <w:r>
        <w:rPr>
          <w:rFonts w:ascii="Century Gothic" w:hAnsi="Century Gothic" w:cs="FranklinGothic-BookItalic"/>
          <w:bCs/>
          <w:i/>
          <w:iCs/>
          <w:sz w:val="20"/>
          <w:szCs w:val="20"/>
        </w:rPr>
        <w:t xml:space="preserve"> (GTIL)</w:t>
      </w:r>
      <w:r w:rsidRPr="00D27EBF">
        <w:rPr>
          <w:rFonts w:ascii="Century Gothic" w:hAnsi="Century Gothic" w:cs="FranklinGothic-BookItalic"/>
          <w:bCs/>
          <w:i/>
          <w:iCs/>
          <w:sz w:val="20"/>
          <w:szCs w:val="20"/>
        </w:rPr>
        <w:t xml:space="preserve"> </w:t>
      </w:r>
      <w:r>
        <w:rPr>
          <w:rFonts w:ascii="Century Gothic" w:hAnsi="Century Gothic" w:cs="FranklinGothic-Book"/>
          <w:bCs/>
          <w:sz w:val="20"/>
          <w:szCs w:val="20"/>
        </w:rPr>
        <w:t>reform, comprising trial implementation models, networks, communication and conferences (25% SFSF budget)</w:t>
      </w:r>
      <w:r>
        <w:rPr>
          <w:rFonts w:ascii="Century Gothic" w:hAnsi="Century Gothic" w:cs="ArialMT"/>
          <w:bCs/>
          <w:sz w:val="20"/>
          <w:szCs w:val="20"/>
        </w:rPr>
        <w:t>.</w:t>
      </w:r>
    </w:p>
    <w:p w14:paraId="59A101F7" w14:textId="77777777" w:rsidR="00DC4448" w:rsidRPr="00B83EA5" w:rsidRDefault="00DC4448" w:rsidP="006A1D2B">
      <w:pPr>
        <w:pStyle w:val="ListParagraph"/>
        <w:numPr>
          <w:ilvl w:val="0"/>
          <w:numId w:val="17"/>
        </w:numPr>
        <w:ind w:right="-340"/>
        <w:jc w:val="both"/>
        <w:rPr>
          <w:rFonts w:ascii="Century Gothic" w:hAnsi="Century Gothic"/>
          <w:sz w:val="20"/>
          <w:szCs w:val="20"/>
        </w:rPr>
      </w:pPr>
      <w:r>
        <w:rPr>
          <w:rFonts w:ascii="Century Gothic" w:hAnsi="Century Gothic"/>
          <w:i/>
          <w:sz w:val="20"/>
          <w:szCs w:val="20"/>
        </w:rPr>
        <w:t>Action plans for students in need</w:t>
      </w:r>
      <w:r w:rsidRPr="003319ED">
        <w:rPr>
          <w:rFonts w:ascii="Century Gothic" w:hAnsi="Century Gothic" w:cs="ArialMT"/>
          <w:bCs/>
          <w:sz w:val="20"/>
          <w:szCs w:val="20"/>
        </w:rPr>
        <w:t>:</w:t>
      </w:r>
      <w:r>
        <w:rPr>
          <w:rFonts w:ascii="Century Gothic" w:hAnsi="Century Gothic" w:cs="ArialMT"/>
          <w:bCs/>
          <w:sz w:val="20"/>
          <w:szCs w:val="20"/>
        </w:rPr>
        <w:t xml:space="preserve"> </w:t>
      </w:r>
      <w:r w:rsidRPr="003319ED">
        <w:rPr>
          <w:rFonts w:ascii="Century Gothic" w:hAnsi="Century Gothic" w:cs="ArialMT"/>
          <w:bCs/>
          <w:i/>
          <w:sz w:val="20"/>
          <w:szCs w:val="20"/>
        </w:rPr>
        <w:t>Indigenous, those with disabilities and vulnerable children</w:t>
      </w:r>
      <w:r>
        <w:rPr>
          <w:rFonts w:ascii="Century Gothic" w:hAnsi="Century Gothic" w:cs="ArialMT"/>
          <w:bCs/>
          <w:sz w:val="20"/>
          <w:szCs w:val="20"/>
        </w:rPr>
        <w:t xml:space="preserve"> – interactive data base for students with a disability; committee engagement; resources and on-line professional learning modules (25 % SFSF budget). </w:t>
      </w:r>
      <w:r w:rsidRPr="00B83EA5">
        <w:rPr>
          <w:rFonts w:ascii="Century Gothic" w:hAnsi="Century Gothic" w:cs="ArialMT"/>
          <w:bCs/>
          <w:sz w:val="20"/>
          <w:szCs w:val="20"/>
        </w:rPr>
        <w:t>NCCD compliance involving 44,680 students K-12.</w:t>
      </w:r>
    </w:p>
    <w:p w14:paraId="10D54630" w14:textId="77777777" w:rsidR="00DC4448" w:rsidRPr="00B83EA5" w:rsidRDefault="00DC4448" w:rsidP="006A1D2B">
      <w:pPr>
        <w:pStyle w:val="ListParagraph"/>
        <w:numPr>
          <w:ilvl w:val="0"/>
          <w:numId w:val="17"/>
        </w:numPr>
        <w:ind w:right="-340"/>
        <w:jc w:val="both"/>
        <w:rPr>
          <w:rFonts w:ascii="Century Gothic" w:hAnsi="Century Gothic"/>
          <w:sz w:val="20"/>
          <w:szCs w:val="20"/>
        </w:rPr>
      </w:pPr>
      <w:r w:rsidRPr="00B83EA5">
        <w:rPr>
          <w:rFonts w:ascii="Century Gothic" w:hAnsi="Century Gothic"/>
          <w:i/>
          <w:sz w:val="20"/>
          <w:szCs w:val="20"/>
        </w:rPr>
        <w:t>VET Teacher Training</w:t>
      </w:r>
      <w:r>
        <w:rPr>
          <w:rFonts w:ascii="Century Gothic" w:hAnsi="Century Gothic"/>
          <w:sz w:val="20"/>
          <w:szCs w:val="20"/>
        </w:rPr>
        <w:t xml:space="preserve">- </w:t>
      </w:r>
      <w:r w:rsidRPr="00B83EA5">
        <w:rPr>
          <w:rFonts w:ascii="Century Gothic" w:hAnsi="Century Gothic"/>
          <w:sz w:val="20"/>
          <w:szCs w:val="20"/>
        </w:rPr>
        <w:t>130 new teachers each year and 1200 teachers whose training is being maintained. Also, support for RTO Managers in diocesan offices.</w:t>
      </w:r>
    </w:p>
    <w:p w14:paraId="60F250AA" w14:textId="045BE3B8" w:rsidR="00DC4448" w:rsidRPr="007140D6" w:rsidRDefault="00DC4448" w:rsidP="005621A8">
      <w:pPr>
        <w:pStyle w:val="Heading3"/>
        <w:spacing w:before="120"/>
      </w:pPr>
      <w:r w:rsidRPr="007140D6">
        <w:t>Funding – ho</w:t>
      </w:r>
      <w:r w:rsidR="009617E9">
        <w:t>w used?</w:t>
      </w:r>
    </w:p>
    <w:p w14:paraId="4B0D708F" w14:textId="6272140E" w:rsidR="00DC4448" w:rsidRPr="006B08F7" w:rsidRDefault="00DC4448" w:rsidP="006A1D2B">
      <w:pPr>
        <w:pStyle w:val="ListParagraph"/>
        <w:numPr>
          <w:ilvl w:val="0"/>
          <w:numId w:val="18"/>
        </w:numPr>
        <w:ind w:right="-340"/>
        <w:jc w:val="both"/>
        <w:rPr>
          <w:rStyle w:val="IntenseEmphasis"/>
          <w:i w:val="0"/>
          <w:iCs w:val="0"/>
        </w:rPr>
      </w:pPr>
      <w:r w:rsidRPr="006B08F7">
        <w:rPr>
          <w:rFonts w:ascii="Century Gothic" w:hAnsi="Century Gothic"/>
          <w:sz w:val="20"/>
          <w:szCs w:val="20"/>
        </w:rPr>
        <w:t>Of the SFSF allocation (approximately $4.6 m a year) two thirds is retained by CEC NSW for five state coordinator positions and one third is distributed to Diocesan offices for integration into their implementation of national priorities</w:t>
      </w:r>
      <w:r w:rsidR="009617E9">
        <w:rPr>
          <w:bCs/>
          <w:sz w:val="20"/>
          <w:szCs w:val="20"/>
        </w:rPr>
        <w:t>.</w:t>
      </w:r>
    </w:p>
    <w:p w14:paraId="5DA3FFE1" w14:textId="176D9D42" w:rsidR="00DC4448" w:rsidRPr="00414D7A" w:rsidRDefault="00DC4448" w:rsidP="006A1D2B">
      <w:pPr>
        <w:pStyle w:val="ListParagraph"/>
        <w:numPr>
          <w:ilvl w:val="0"/>
          <w:numId w:val="18"/>
        </w:numPr>
        <w:spacing w:after="120"/>
        <w:ind w:left="714" w:right="-340" w:hanging="357"/>
      </w:pPr>
      <w:r>
        <w:rPr>
          <w:rFonts w:ascii="Century Gothic" w:hAnsi="Century Gothic"/>
          <w:sz w:val="20"/>
          <w:szCs w:val="20"/>
        </w:rPr>
        <w:t>Funds are mainly used for provision of networks, committees, diocesan professional learning, and r</w:t>
      </w:r>
      <w:r w:rsidR="009617E9">
        <w:rPr>
          <w:rFonts w:ascii="Century Gothic" w:hAnsi="Century Gothic"/>
          <w:sz w:val="20"/>
          <w:szCs w:val="20"/>
        </w:rPr>
        <w:t>esources and tools for schools.</w:t>
      </w:r>
    </w:p>
    <w:p w14:paraId="779C4416" w14:textId="77777777" w:rsidR="00DC4448" w:rsidRPr="00B83EA5" w:rsidRDefault="00DC4448" w:rsidP="006A1D2B">
      <w:pPr>
        <w:pStyle w:val="ListParagraph"/>
        <w:numPr>
          <w:ilvl w:val="0"/>
          <w:numId w:val="18"/>
        </w:numPr>
        <w:spacing w:after="120"/>
        <w:ind w:left="714" w:right="-340" w:hanging="357"/>
      </w:pPr>
      <w:r w:rsidRPr="00B83EA5">
        <w:rPr>
          <w:rFonts w:ascii="Century Gothic" w:hAnsi="Century Gothic"/>
          <w:sz w:val="20"/>
          <w:szCs w:val="20"/>
        </w:rPr>
        <w:t xml:space="preserve">Professional development for special education and VET teachers, </w:t>
      </w:r>
      <w:r>
        <w:rPr>
          <w:rFonts w:ascii="Century Gothic" w:hAnsi="Century Gothic"/>
          <w:sz w:val="20"/>
          <w:szCs w:val="20"/>
        </w:rPr>
        <w:t xml:space="preserve">incl. </w:t>
      </w:r>
      <w:r w:rsidRPr="00B83EA5">
        <w:rPr>
          <w:rFonts w:ascii="Century Gothic" w:hAnsi="Century Gothic"/>
          <w:sz w:val="20"/>
          <w:szCs w:val="20"/>
        </w:rPr>
        <w:t>online.</w:t>
      </w:r>
    </w:p>
    <w:p w14:paraId="40ECE8AB" w14:textId="62386182" w:rsidR="00DC4448" w:rsidRPr="007140D6" w:rsidRDefault="009617E9" w:rsidP="005621A8">
      <w:pPr>
        <w:pStyle w:val="Heading3"/>
        <w:spacing w:before="120"/>
      </w:pPr>
      <w:r>
        <w:t>Monitoring success</w:t>
      </w:r>
    </w:p>
    <w:p w14:paraId="5BA6B885" w14:textId="7C9FF2B0" w:rsidR="00DC4448" w:rsidRDefault="00DC4448" w:rsidP="006A1D2B">
      <w:pPr>
        <w:pStyle w:val="ListParagraph"/>
        <w:numPr>
          <w:ilvl w:val="0"/>
          <w:numId w:val="18"/>
        </w:numPr>
        <w:spacing w:after="200"/>
        <w:ind w:right="-340"/>
        <w:rPr>
          <w:rFonts w:ascii="Century Gothic" w:hAnsi="Century Gothic"/>
          <w:sz w:val="20"/>
          <w:szCs w:val="20"/>
        </w:rPr>
      </w:pPr>
      <w:r>
        <w:rPr>
          <w:rFonts w:ascii="Century Gothic" w:hAnsi="Century Gothic"/>
          <w:sz w:val="20"/>
          <w:szCs w:val="20"/>
        </w:rPr>
        <w:t>All program components in the five national priorities identify indicators of succ</w:t>
      </w:r>
      <w:r w:rsidR="009617E9">
        <w:rPr>
          <w:rFonts w:ascii="Century Gothic" w:hAnsi="Century Gothic"/>
          <w:sz w:val="20"/>
          <w:szCs w:val="20"/>
        </w:rPr>
        <w:t>ess. Results are not available.</w:t>
      </w:r>
    </w:p>
    <w:p w14:paraId="26019C56" w14:textId="77777777" w:rsidR="00DC4448" w:rsidRDefault="00DC4448" w:rsidP="006A1D2B">
      <w:pPr>
        <w:pStyle w:val="ListParagraph"/>
        <w:numPr>
          <w:ilvl w:val="0"/>
          <w:numId w:val="18"/>
        </w:numPr>
        <w:spacing w:after="200"/>
        <w:ind w:right="-340"/>
        <w:rPr>
          <w:rFonts w:ascii="Century Gothic" w:hAnsi="Century Gothic"/>
          <w:sz w:val="20"/>
          <w:szCs w:val="20"/>
        </w:rPr>
      </w:pPr>
      <w:r>
        <w:rPr>
          <w:rFonts w:ascii="Century Gothic" w:hAnsi="Century Gothic"/>
          <w:sz w:val="20"/>
          <w:szCs w:val="20"/>
        </w:rPr>
        <w:t>The indicators of success factors are predominantly compliance, input and some output factors such as:  adherence to required planning processes; participation of teachers; and commitment to reporting on activities.</w:t>
      </w:r>
    </w:p>
    <w:p w14:paraId="26D756CD" w14:textId="1BE89C46" w:rsidR="00DC4448" w:rsidRPr="00672ED4" w:rsidRDefault="00DC4448" w:rsidP="006A1D2B">
      <w:pPr>
        <w:pStyle w:val="ListParagraph"/>
        <w:numPr>
          <w:ilvl w:val="0"/>
          <w:numId w:val="18"/>
        </w:numPr>
        <w:spacing w:after="120"/>
        <w:ind w:left="714" w:right="-340" w:hanging="357"/>
        <w:rPr>
          <w:rFonts w:ascii="Century Gothic" w:hAnsi="Century Gothic"/>
          <w:sz w:val="20"/>
          <w:szCs w:val="20"/>
        </w:rPr>
      </w:pPr>
      <w:r>
        <w:rPr>
          <w:rFonts w:ascii="Century Gothic" w:hAnsi="Century Gothic"/>
          <w:sz w:val="20"/>
          <w:szCs w:val="20"/>
        </w:rPr>
        <w:t>While results are not specific, the CECNSW gives an account of a vibrant and productiv</w:t>
      </w:r>
      <w:r w:rsidR="009617E9">
        <w:rPr>
          <w:rFonts w:ascii="Century Gothic" w:hAnsi="Century Gothic"/>
          <w:sz w:val="20"/>
          <w:szCs w:val="20"/>
        </w:rPr>
        <w:t>e sector that is in transition.</w:t>
      </w:r>
    </w:p>
    <w:p w14:paraId="2E29BBDC" w14:textId="77777777" w:rsidR="00DC4448" w:rsidRPr="007140D6" w:rsidRDefault="00DC4448" w:rsidP="005621A8">
      <w:pPr>
        <w:pStyle w:val="Heading3"/>
        <w:spacing w:before="120"/>
      </w:pPr>
      <w:r w:rsidRPr="007140D6">
        <w:t>Issues and implications</w:t>
      </w:r>
    </w:p>
    <w:p w14:paraId="1218A20B" w14:textId="77777777" w:rsidR="00DC4448" w:rsidRPr="00261306" w:rsidRDefault="00DC4448" w:rsidP="00DC4448">
      <w:r w:rsidRPr="005D5A52">
        <w:rPr>
          <w:rFonts w:ascii="Century Gothic" w:hAnsi="Century Gothic"/>
          <w:sz w:val="20"/>
          <w:szCs w:val="20"/>
        </w:rPr>
        <w:t>In a complex matrix governance environment it is not possible to attribute activity or outcomes to a discrete initiative such as SFSF.</w:t>
      </w: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Victorian Independent NGRB."/>
      </w:tblPr>
      <w:tblGrid>
        <w:gridCol w:w="3777"/>
        <w:gridCol w:w="1009"/>
        <w:gridCol w:w="1285"/>
        <w:gridCol w:w="1325"/>
        <w:gridCol w:w="1296"/>
      </w:tblGrid>
      <w:tr w:rsidR="00DC4448" w:rsidRPr="00E4618A" w14:paraId="76EF8BF6" w14:textId="77777777" w:rsidTr="002C6ABD">
        <w:tc>
          <w:tcPr>
            <w:tcW w:w="3777" w:type="dxa"/>
            <w:vMerge w:val="restart"/>
            <w:tcBorders>
              <w:top w:val="nil"/>
              <w:left w:val="nil"/>
              <w:bottom w:val="nil"/>
              <w:right w:val="single" w:sz="4" w:space="0" w:color="auto"/>
            </w:tcBorders>
            <w:shd w:val="clear" w:color="auto" w:fill="auto"/>
          </w:tcPr>
          <w:p w14:paraId="560D3F89" w14:textId="77777777" w:rsidR="00DC4448" w:rsidRPr="00870B9B" w:rsidRDefault="00DC4448" w:rsidP="005621A8">
            <w:pPr>
              <w:pStyle w:val="Heading2"/>
              <w:spacing w:before="0" w:after="0"/>
            </w:pPr>
            <w:r w:rsidRPr="005621A8">
              <w:rPr>
                <w:sz w:val="24"/>
              </w:rPr>
              <w:t xml:space="preserve">Victoria Independents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B45CE" w14:textId="77777777" w:rsidR="00DC4448" w:rsidRPr="00E4618A" w:rsidRDefault="00DC4448" w:rsidP="002C6ABD">
            <w:pPr>
              <w:ind w:right="-340"/>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C1E446"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5F359D"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9875E4" w14:textId="77777777" w:rsidR="00DC4448" w:rsidRPr="00E4618A" w:rsidRDefault="00DC4448" w:rsidP="002C6ABD">
            <w:pPr>
              <w:ind w:right="-340"/>
              <w:jc w:val="center"/>
              <w:rPr>
                <w:sz w:val="16"/>
                <w:szCs w:val="16"/>
              </w:rPr>
            </w:pPr>
            <w:r>
              <w:rPr>
                <w:sz w:val="16"/>
                <w:szCs w:val="16"/>
              </w:rPr>
              <w:t>SFSF $</w:t>
            </w:r>
          </w:p>
        </w:tc>
      </w:tr>
      <w:tr w:rsidR="00DC4448" w:rsidRPr="004E2552" w14:paraId="4B2A40F5" w14:textId="77777777" w:rsidTr="002C6ABD">
        <w:tc>
          <w:tcPr>
            <w:tcW w:w="3777" w:type="dxa"/>
            <w:vMerge/>
            <w:tcBorders>
              <w:left w:val="nil"/>
              <w:bottom w:val="nil"/>
              <w:right w:val="single" w:sz="4" w:space="0" w:color="auto"/>
            </w:tcBorders>
            <w:shd w:val="clear" w:color="auto" w:fill="auto"/>
          </w:tcPr>
          <w:p w14:paraId="5ED94650"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506B651F"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203</w:t>
            </w:r>
          </w:p>
        </w:tc>
        <w:tc>
          <w:tcPr>
            <w:tcW w:w="1285" w:type="dxa"/>
            <w:tcBorders>
              <w:top w:val="single" w:sz="4" w:space="0" w:color="auto"/>
              <w:left w:val="single" w:sz="4" w:space="0" w:color="auto"/>
              <w:bottom w:val="single" w:sz="4" w:space="0" w:color="auto"/>
              <w:right w:val="single" w:sz="4" w:space="0" w:color="auto"/>
            </w:tcBorders>
            <w:vAlign w:val="bottom"/>
          </w:tcPr>
          <w:p w14:paraId="43132BFB"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131,834.60</w:t>
            </w:r>
          </w:p>
        </w:tc>
        <w:tc>
          <w:tcPr>
            <w:tcW w:w="1325" w:type="dxa"/>
            <w:tcBorders>
              <w:top w:val="single" w:sz="4" w:space="0" w:color="auto"/>
              <w:left w:val="single" w:sz="4" w:space="0" w:color="auto"/>
              <w:bottom w:val="single" w:sz="4" w:space="0" w:color="auto"/>
              <w:right w:val="single" w:sz="4" w:space="0" w:color="auto"/>
            </w:tcBorders>
            <w:vAlign w:val="bottom"/>
          </w:tcPr>
          <w:p w14:paraId="518B0E3B"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12,267.2</w:t>
            </w:r>
          </w:p>
        </w:tc>
        <w:tc>
          <w:tcPr>
            <w:tcW w:w="1296" w:type="dxa"/>
            <w:tcBorders>
              <w:top w:val="single" w:sz="4" w:space="0" w:color="auto"/>
              <w:left w:val="single" w:sz="4" w:space="0" w:color="auto"/>
              <w:bottom w:val="single" w:sz="4" w:space="0" w:color="auto"/>
              <w:right w:val="single" w:sz="4" w:space="0" w:color="auto"/>
            </w:tcBorders>
            <w:vAlign w:val="bottom"/>
          </w:tcPr>
          <w:p w14:paraId="5EADC34D"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$5,444,491</w:t>
            </w:r>
          </w:p>
        </w:tc>
      </w:tr>
    </w:tbl>
    <w:p w14:paraId="2F0AC4A2" w14:textId="77777777" w:rsidR="00DC4448" w:rsidRPr="005621A8" w:rsidRDefault="00DC4448" w:rsidP="005621A8">
      <w:pPr>
        <w:pStyle w:val="Heading3"/>
        <w:spacing w:before="120"/>
        <w:rPr>
          <w:rStyle w:val="IntenseEmphasis"/>
          <w:b/>
          <w:bCs/>
          <w:i w:val="0"/>
          <w:iCs w:val="0"/>
        </w:rPr>
      </w:pPr>
      <w:r w:rsidRPr="005621A8">
        <w:rPr>
          <w:rStyle w:val="IntenseEmphasis"/>
          <w:b/>
          <w:bCs/>
          <w:i w:val="0"/>
          <w:iCs w:val="0"/>
        </w:rPr>
        <w:t>Key Features of Approach</w:t>
      </w:r>
    </w:p>
    <w:p w14:paraId="4B263538" w14:textId="5C47822E"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183569">
        <w:rPr>
          <w:rFonts w:ascii="Century Gothic" w:eastAsiaTheme="minorHAnsi" w:hAnsi="Century Gothic"/>
          <w:sz w:val="20"/>
          <w:szCs w:val="20"/>
          <w:lang w:val="en-AU"/>
        </w:rPr>
        <w:t xml:space="preserve">General approach is to roll SFSF funding into ISV’s range of support for schools in two categories – General Support available to all independent schools and </w:t>
      </w:r>
      <w:r w:rsidR="009617E9">
        <w:rPr>
          <w:rFonts w:ascii="Century Gothic" w:eastAsiaTheme="minorHAnsi" w:hAnsi="Century Gothic"/>
          <w:sz w:val="20"/>
          <w:szCs w:val="20"/>
          <w:lang w:val="en-AU"/>
        </w:rPr>
        <w:t>Customised in school support.</w:t>
      </w:r>
    </w:p>
    <w:p w14:paraId="13D4924B" w14:textId="1D59A96F" w:rsidR="00DC4448" w:rsidRPr="007B21D4"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w:t>
      </w:r>
      <w:r w:rsidRPr="00DB6E05">
        <w:rPr>
          <w:rFonts w:ascii="Century Gothic" w:eastAsiaTheme="minorHAnsi" w:hAnsi="Century Gothic"/>
          <w:sz w:val="20"/>
          <w:szCs w:val="20"/>
          <w:lang w:val="en-AU"/>
        </w:rPr>
        <w:t xml:space="preserve">ach Victorian Independent school </w:t>
      </w:r>
      <w:r>
        <w:rPr>
          <w:rFonts w:ascii="Century Gothic" w:eastAsiaTheme="minorHAnsi" w:hAnsi="Century Gothic"/>
          <w:sz w:val="20"/>
          <w:szCs w:val="20"/>
          <w:lang w:val="en-AU"/>
        </w:rPr>
        <w:t>is</w:t>
      </w:r>
      <w:r w:rsidRPr="00DB6E05">
        <w:rPr>
          <w:rFonts w:ascii="Century Gothic" w:eastAsiaTheme="minorHAnsi" w:hAnsi="Century Gothic"/>
          <w:sz w:val="20"/>
          <w:szCs w:val="20"/>
          <w:lang w:val="en-AU"/>
        </w:rPr>
        <w:t xml:space="preserve"> allocate</w:t>
      </w:r>
      <w:r>
        <w:rPr>
          <w:rFonts w:ascii="Century Gothic" w:eastAsiaTheme="minorHAnsi" w:hAnsi="Century Gothic"/>
          <w:sz w:val="20"/>
          <w:szCs w:val="20"/>
          <w:lang w:val="en-AU"/>
        </w:rPr>
        <w:t xml:space="preserve">d a School Improvement Advisor.  </w:t>
      </w:r>
      <w:r w:rsidRPr="00183569">
        <w:rPr>
          <w:rFonts w:ascii="Century Gothic" w:eastAsiaTheme="minorHAnsi" w:hAnsi="Century Gothic"/>
          <w:sz w:val="20"/>
          <w:szCs w:val="20"/>
          <w:lang w:val="en-AU"/>
        </w:rPr>
        <w:t>No of advisors rose from 5 to 7 in 2015.</w:t>
      </w:r>
      <w:r>
        <w:rPr>
          <w:rFonts w:ascii="Century Gothic" w:eastAsiaTheme="minorHAnsi" w:hAnsi="Century Gothic"/>
          <w:sz w:val="20"/>
          <w:szCs w:val="20"/>
          <w:lang w:val="en-AU"/>
        </w:rPr>
        <w:t xml:space="preserve">  </w:t>
      </w:r>
      <w:r w:rsidRPr="007B21D4">
        <w:rPr>
          <w:rFonts w:ascii="Century Gothic" w:eastAsiaTheme="minorHAnsi" w:hAnsi="Century Gothic"/>
          <w:sz w:val="20"/>
          <w:szCs w:val="20"/>
          <w:lang w:val="en-AU"/>
        </w:rPr>
        <w:t>ISV Development Centre” plays a large role in delivering programs to teachers and leaders supp</w:t>
      </w:r>
      <w:r w:rsidR="009617E9">
        <w:rPr>
          <w:rFonts w:ascii="Century Gothic" w:eastAsiaTheme="minorHAnsi" w:hAnsi="Century Gothic"/>
          <w:sz w:val="20"/>
          <w:szCs w:val="20"/>
          <w:lang w:val="en-AU"/>
        </w:rPr>
        <w:t>lemented by a team of advisors.</w:t>
      </w:r>
    </w:p>
    <w:p w14:paraId="5CFCFEC4" w14:textId="77777777" w:rsidR="00DC4448" w:rsidRPr="007140D6" w:rsidRDefault="00DC4448" w:rsidP="005621A8">
      <w:pPr>
        <w:pStyle w:val="Heading3"/>
        <w:spacing w:before="120"/>
      </w:pPr>
      <w:r w:rsidRPr="007140D6">
        <w:t>Predominant Modes of Delivery</w:t>
      </w:r>
    </w:p>
    <w:tbl>
      <w:tblPr>
        <w:tblW w:w="4502" w:type="dxa"/>
        <w:tblLook w:val="04A0" w:firstRow="1" w:lastRow="0" w:firstColumn="1" w:lastColumn="0" w:noHBand="0" w:noVBand="1"/>
        <w:tblCaption w:val="Predominant mode of delivery"/>
        <w:tblDescription w:val="This table shows that predominant delivery models include Professional learning,&#10;Consultancy advice in schools, Coaching and mentoring services, On-line tools, Resource provision, and Support and advice.&#10;"/>
      </w:tblPr>
      <w:tblGrid>
        <w:gridCol w:w="3652"/>
        <w:gridCol w:w="850"/>
      </w:tblGrid>
      <w:tr w:rsidR="00C31922" w:rsidRPr="00E4618A" w14:paraId="5246751D"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C695E5" w14:textId="77777777" w:rsidR="00C31922" w:rsidRPr="00E4618A" w:rsidRDefault="00C31922"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71533A" w14:textId="33AA4703" w:rsidR="00C31922" w:rsidRPr="00E4618A" w:rsidRDefault="003E5526" w:rsidP="002C6ABD">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C31922" w:rsidRPr="00C453CD" w14:paraId="3D6698DD" w14:textId="77777777" w:rsidTr="00C31922">
        <w:tc>
          <w:tcPr>
            <w:tcW w:w="3652" w:type="dxa"/>
            <w:tcBorders>
              <w:top w:val="single" w:sz="4" w:space="0" w:color="auto"/>
              <w:left w:val="single" w:sz="4" w:space="0" w:color="auto"/>
              <w:bottom w:val="single" w:sz="4" w:space="0" w:color="auto"/>
              <w:right w:val="single" w:sz="4" w:space="0" w:color="auto"/>
            </w:tcBorders>
          </w:tcPr>
          <w:p w14:paraId="7407ACDA"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657F26CC" w14:textId="52B8ED0D"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20DF1A1E"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24031839"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tcPr>
          <w:p w14:paraId="25C5168E" w14:textId="3AD9473F"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42BC08A5" w14:textId="77777777" w:rsidTr="00C31922">
        <w:tc>
          <w:tcPr>
            <w:tcW w:w="3652" w:type="dxa"/>
            <w:tcBorders>
              <w:top w:val="single" w:sz="4" w:space="0" w:color="auto"/>
              <w:left w:val="single" w:sz="4" w:space="0" w:color="auto"/>
              <w:bottom w:val="single" w:sz="4" w:space="0" w:color="auto"/>
              <w:right w:val="single" w:sz="4" w:space="0" w:color="auto"/>
            </w:tcBorders>
          </w:tcPr>
          <w:p w14:paraId="29F9A37A"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69014A19" w14:textId="2180247E"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706F01D8" w14:textId="77777777" w:rsidTr="00C31922">
        <w:tc>
          <w:tcPr>
            <w:tcW w:w="3652" w:type="dxa"/>
            <w:tcBorders>
              <w:top w:val="single" w:sz="4" w:space="0" w:color="auto"/>
              <w:left w:val="single" w:sz="4" w:space="0" w:color="auto"/>
              <w:bottom w:val="single" w:sz="4" w:space="0" w:color="auto"/>
              <w:right w:val="single" w:sz="4" w:space="0" w:color="auto"/>
            </w:tcBorders>
          </w:tcPr>
          <w:p w14:paraId="42A47F01"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3BA913C5" w14:textId="7EEBAE17"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090397DF"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6DA6AA23"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 xml:space="preserve">Resource provision </w:t>
            </w:r>
          </w:p>
        </w:tc>
        <w:tc>
          <w:tcPr>
            <w:tcW w:w="850" w:type="dxa"/>
            <w:tcBorders>
              <w:top w:val="single" w:sz="4" w:space="0" w:color="auto"/>
              <w:left w:val="single" w:sz="4" w:space="0" w:color="auto"/>
              <w:bottom w:val="single" w:sz="4" w:space="0" w:color="auto"/>
              <w:right w:val="single" w:sz="4" w:space="0" w:color="auto"/>
            </w:tcBorders>
          </w:tcPr>
          <w:p w14:paraId="2DD9E57F" w14:textId="2089E758"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5BC28C7F" w14:textId="77777777" w:rsidTr="00C31922">
        <w:tc>
          <w:tcPr>
            <w:tcW w:w="3652" w:type="dxa"/>
            <w:tcBorders>
              <w:top w:val="single" w:sz="4" w:space="0" w:color="auto"/>
              <w:left w:val="single" w:sz="4" w:space="0" w:color="auto"/>
              <w:bottom w:val="single" w:sz="4" w:space="0" w:color="auto"/>
              <w:right w:val="single" w:sz="4" w:space="0" w:color="auto"/>
            </w:tcBorders>
          </w:tcPr>
          <w:p w14:paraId="2FE912E2" w14:textId="5A73048F"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1B8641A5" w14:textId="0982D3FE"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3F72FDCD" w14:textId="77777777" w:rsidTr="00C31922">
        <w:tc>
          <w:tcPr>
            <w:tcW w:w="3652" w:type="dxa"/>
            <w:tcBorders>
              <w:top w:val="single" w:sz="4" w:space="0" w:color="auto"/>
              <w:left w:val="single" w:sz="4" w:space="0" w:color="auto"/>
              <w:bottom w:val="single" w:sz="4" w:space="0" w:color="auto"/>
              <w:right w:val="single" w:sz="4" w:space="0" w:color="auto"/>
            </w:tcBorders>
          </w:tcPr>
          <w:p w14:paraId="5194BDFA" w14:textId="7B0B7C47"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5248F17E" w14:textId="02ABBB2A"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2A6A5F1E" w14:textId="77777777" w:rsidTr="00C31922">
        <w:tc>
          <w:tcPr>
            <w:tcW w:w="3652" w:type="dxa"/>
            <w:tcBorders>
              <w:top w:val="single" w:sz="4" w:space="0" w:color="auto"/>
              <w:left w:val="single" w:sz="4" w:space="0" w:color="auto"/>
              <w:bottom w:val="single" w:sz="4" w:space="0" w:color="auto"/>
              <w:right w:val="single" w:sz="4" w:space="0" w:color="auto"/>
            </w:tcBorders>
          </w:tcPr>
          <w:p w14:paraId="397F6D87" w14:textId="1137E80B"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68999587" w14:textId="74DF5BAA" w:rsidR="00C31922" w:rsidRPr="00AC7F0C" w:rsidRDefault="003E5526"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450A1356" w14:textId="77777777" w:rsidTr="00C31922">
        <w:tc>
          <w:tcPr>
            <w:tcW w:w="3652" w:type="dxa"/>
            <w:tcBorders>
              <w:top w:val="single" w:sz="4" w:space="0" w:color="auto"/>
              <w:left w:val="single" w:sz="4" w:space="0" w:color="auto"/>
              <w:bottom w:val="single" w:sz="4" w:space="0" w:color="auto"/>
              <w:right w:val="single" w:sz="4" w:space="0" w:color="auto"/>
            </w:tcBorders>
          </w:tcPr>
          <w:p w14:paraId="4DCFC748" w14:textId="739EA8CB"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371CF6A4" w14:textId="28BE6929"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bl>
    <w:p w14:paraId="69E602B4" w14:textId="77777777" w:rsidR="00DC4448" w:rsidRPr="00027DD6" w:rsidRDefault="00DC4448" w:rsidP="005621A8">
      <w:pPr>
        <w:pStyle w:val="Heading3"/>
        <w:spacing w:before="120"/>
      </w:pPr>
      <w:r w:rsidRPr="00027DD6">
        <w:t>Sample of Key Programs</w:t>
      </w:r>
    </w:p>
    <w:p w14:paraId="3802922D" w14:textId="77777777" w:rsidR="00DC4448" w:rsidRPr="00DB6E05"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DB6E05">
        <w:rPr>
          <w:rFonts w:ascii="Century Gothic" w:eastAsiaTheme="minorHAnsi" w:hAnsi="Century Gothic"/>
          <w:sz w:val="20"/>
          <w:szCs w:val="20"/>
          <w:lang w:val="en-AU"/>
        </w:rPr>
        <w:t>General Support was offered to all Independent schools by way of briefings, professional learning seminars and wo</w:t>
      </w:r>
      <w:r>
        <w:rPr>
          <w:rFonts w:ascii="Century Gothic" w:eastAsiaTheme="minorHAnsi" w:hAnsi="Century Gothic"/>
          <w:sz w:val="20"/>
          <w:szCs w:val="20"/>
          <w:lang w:val="en-AU"/>
        </w:rPr>
        <w:t>rkshops across the Reform Areas including sessions on pedagogy, school leadership and governance</w:t>
      </w:r>
    </w:p>
    <w:p w14:paraId="55AE9992" w14:textId="77777777" w:rsidR="00DC4448" w:rsidRPr="00D92F17"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DB6E05">
        <w:rPr>
          <w:rFonts w:ascii="Century Gothic" w:eastAsiaTheme="minorHAnsi" w:hAnsi="Century Gothic"/>
          <w:sz w:val="20"/>
          <w:szCs w:val="20"/>
          <w:lang w:val="en-AU"/>
        </w:rPr>
        <w:t>Customised Support was offered to all Independent schools depending on the specific needs of the</w:t>
      </w:r>
      <w:r>
        <w:rPr>
          <w:rFonts w:ascii="Century Gothic" w:eastAsiaTheme="minorHAnsi" w:hAnsi="Century Gothic"/>
          <w:sz w:val="20"/>
          <w:szCs w:val="20"/>
          <w:lang w:val="en-AU"/>
        </w:rPr>
        <w:t xml:space="preserve"> school, and to build capacity.  </w:t>
      </w:r>
      <w:r w:rsidRPr="00DB6E05">
        <w:rPr>
          <w:rFonts w:ascii="Century Gothic" w:eastAsiaTheme="minorHAnsi" w:hAnsi="Century Gothic"/>
          <w:sz w:val="20"/>
          <w:szCs w:val="20"/>
          <w:lang w:val="en-AU"/>
        </w:rPr>
        <w:t xml:space="preserve">Discussions with the Principal </w:t>
      </w:r>
      <w:r>
        <w:rPr>
          <w:rFonts w:ascii="Century Gothic" w:eastAsiaTheme="minorHAnsi" w:hAnsi="Century Gothic"/>
          <w:sz w:val="20"/>
          <w:szCs w:val="20"/>
          <w:lang w:val="en-AU"/>
        </w:rPr>
        <w:t>guide the</w:t>
      </w:r>
      <w:r w:rsidRPr="00DB6E05">
        <w:rPr>
          <w:rFonts w:ascii="Century Gothic" w:eastAsiaTheme="minorHAnsi" w:hAnsi="Century Gothic"/>
          <w:sz w:val="20"/>
          <w:szCs w:val="20"/>
          <w:lang w:val="en-AU"/>
        </w:rPr>
        <w:t xml:space="preserve"> support </w:t>
      </w:r>
      <w:r>
        <w:rPr>
          <w:rFonts w:ascii="Century Gothic" w:eastAsiaTheme="minorHAnsi" w:hAnsi="Century Gothic"/>
          <w:sz w:val="20"/>
          <w:szCs w:val="20"/>
          <w:lang w:val="en-AU"/>
        </w:rPr>
        <w:t xml:space="preserve">to be provided </w:t>
      </w:r>
      <w:r w:rsidRPr="00DB6E05">
        <w:rPr>
          <w:rFonts w:ascii="Century Gothic" w:eastAsiaTheme="minorHAnsi" w:hAnsi="Century Gothic"/>
          <w:sz w:val="20"/>
          <w:szCs w:val="20"/>
          <w:lang w:val="en-AU"/>
        </w:rPr>
        <w:t>across</w:t>
      </w:r>
      <w:r>
        <w:rPr>
          <w:rFonts w:ascii="Century Gothic" w:eastAsiaTheme="minorHAnsi" w:hAnsi="Century Gothic"/>
          <w:sz w:val="20"/>
          <w:szCs w:val="20"/>
          <w:lang w:val="en-AU"/>
        </w:rPr>
        <w:t xml:space="preserve"> each of the five Reform Areas.</w:t>
      </w:r>
    </w:p>
    <w:p w14:paraId="26464BFC" w14:textId="77777777" w:rsidR="00DC4448" w:rsidRPr="00027DD6" w:rsidRDefault="00DC4448" w:rsidP="005621A8">
      <w:pPr>
        <w:pStyle w:val="Heading3"/>
        <w:spacing w:before="120"/>
      </w:pPr>
      <w:r w:rsidRPr="00027DD6">
        <w:t>Funding – how used?</w:t>
      </w:r>
    </w:p>
    <w:p w14:paraId="71DDC322" w14:textId="77777777" w:rsidR="00DC4448" w:rsidRPr="00DB6E05"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DB6E05">
        <w:rPr>
          <w:rFonts w:ascii="Century Gothic" w:eastAsiaTheme="minorHAnsi" w:hAnsi="Century Gothic"/>
          <w:sz w:val="20"/>
          <w:szCs w:val="20"/>
          <w:lang w:val="en-AU"/>
        </w:rPr>
        <w:t xml:space="preserve">Funds from the Students First Support Fund </w:t>
      </w:r>
      <w:r>
        <w:rPr>
          <w:rFonts w:ascii="Century Gothic" w:eastAsiaTheme="minorHAnsi" w:hAnsi="Century Gothic"/>
          <w:sz w:val="20"/>
          <w:szCs w:val="20"/>
          <w:lang w:val="en-AU"/>
        </w:rPr>
        <w:t>are</w:t>
      </w:r>
      <w:r w:rsidRPr="00DB6E05">
        <w:rPr>
          <w:rFonts w:ascii="Century Gothic" w:eastAsiaTheme="minorHAnsi" w:hAnsi="Century Gothic"/>
          <w:sz w:val="20"/>
          <w:szCs w:val="20"/>
          <w:lang w:val="en-AU"/>
        </w:rPr>
        <w:t xml:space="preserve"> used to subsidise the c</w:t>
      </w:r>
      <w:r>
        <w:rPr>
          <w:rFonts w:ascii="Century Gothic" w:eastAsiaTheme="minorHAnsi" w:hAnsi="Century Gothic"/>
          <w:sz w:val="20"/>
          <w:szCs w:val="20"/>
          <w:lang w:val="en-AU"/>
        </w:rPr>
        <w:t>osts of seminars and workshops and to employ advisers at ISV</w:t>
      </w:r>
    </w:p>
    <w:p w14:paraId="6393DF38" w14:textId="77777777" w:rsidR="00DC4448" w:rsidRPr="00027DD6" w:rsidRDefault="00DC4448" w:rsidP="005621A8">
      <w:pPr>
        <w:pStyle w:val="Heading3"/>
        <w:spacing w:before="120"/>
      </w:pPr>
      <w:r w:rsidRPr="00027DD6">
        <w:t>Monitoring Success</w:t>
      </w:r>
    </w:p>
    <w:p w14:paraId="3AE74887" w14:textId="13E9A35E" w:rsidR="00DC4448" w:rsidRPr="00D92F17"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Indicators of success are largely outputs e.g. </w:t>
      </w:r>
      <w:r w:rsidRPr="00DB6E05">
        <w:rPr>
          <w:rFonts w:ascii="Century Gothic" w:eastAsiaTheme="minorHAnsi" w:hAnsi="Century Gothic"/>
          <w:sz w:val="20"/>
          <w:szCs w:val="20"/>
          <w:lang w:val="en-AU"/>
        </w:rPr>
        <w:t xml:space="preserve">activities </w:t>
      </w:r>
      <w:r>
        <w:rPr>
          <w:rFonts w:ascii="Century Gothic" w:eastAsiaTheme="minorHAnsi" w:hAnsi="Century Gothic"/>
          <w:sz w:val="20"/>
          <w:szCs w:val="20"/>
          <w:lang w:val="en-AU"/>
        </w:rPr>
        <w:t xml:space="preserve">and </w:t>
      </w:r>
      <w:r w:rsidRPr="00DB6E05">
        <w:rPr>
          <w:rFonts w:ascii="Century Gothic" w:eastAsiaTheme="minorHAnsi" w:hAnsi="Century Gothic"/>
          <w:sz w:val="20"/>
          <w:szCs w:val="20"/>
          <w:lang w:val="en-AU"/>
        </w:rPr>
        <w:t xml:space="preserve">number of participants under General Support and </w:t>
      </w:r>
      <w:r>
        <w:rPr>
          <w:rFonts w:ascii="Century Gothic" w:eastAsiaTheme="minorHAnsi" w:hAnsi="Century Gothic"/>
          <w:sz w:val="20"/>
          <w:szCs w:val="20"/>
          <w:lang w:val="en-AU"/>
        </w:rPr>
        <w:t xml:space="preserve">numbers of schools, hours spent by advisors for </w:t>
      </w:r>
      <w:r w:rsidRPr="00DB6E05">
        <w:rPr>
          <w:rFonts w:ascii="Century Gothic" w:eastAsiaTheme="minorHAnsi" w:hAnsi="Century Gothic"/>
          <w:sz w:val="20"/>
          <w:szCs w:val="20"/>
          <w:lang w:val="en-AU"/>
        </w:rPr>
        <w:t>Customised</w:t>
      </w:r>
      <w:r>
        <w:rPr>
          <w:rFonts w:ascii="Century Gothic" w:eastAsiaTheme="minorHAnsi" w:hAnsi="Century Gothic"/>
          <w:sz w:val="20"/>
          <w:szCs w:val="20"/>
          <w:lang w:val="en-AU"/>
        </w:rPr>
        <w:t xml:space="preserve"> Support</w:t>
      </w:r>
      <w:r w:rsidR="009617E9">
        <w:rPr>
          <w:rFonts w:ascii="Century Gothic" w:eastAsiaTheme="minorHAnsi" w:hAnsi="Century Gothic"/>
          <w:sz w:val="20"/>
          <w:szCs w:val="20"/>
          <w:lang w:val="en-AU"/>
        </w:rPr>
        <w:t>.</w:t>
      </w:r>
    </w:p>
    <w:p w14:paraId="55D62D12" w14:textId="77777777" w:rsidR="00DC4448" w:rsidRPr="00027DD6" w:rsidRDefault="00DC4448" w:rsidP="005621A8">
      <w:pPr>
        <w:pStyle w:val="Heading3"/>
        <w:spacing w:before="120"/>
      </w:pPr>
      <w:r w:rsidRPr="00027DD6">
        <w:t>Issues and Implications</w:t>
      </w:r>
    </w:p>
    <w:p w14:paraId="148BF710" w14:textId="77777777" w:rsidR="00DC4448" w:rsidRPr="00183569"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Indicated that t</w:t>
      </w:r>
      <w:r w:rsidRPr="00183569">
        <w:rPr>
          <w:rFonts w:ascii="Century Gothic" w:eastAsiaTheme="minorHAnsi" w:hAnsi="Century Gothic"/>
          <w:sz w:val="20"/>
          <w:szCs w:val="20"/>
          <w:lang w:val="en-AU"/>
        </w:rPr>
        <w:t xml:space="preserve">he broad nature of SFSF is a significant advantage. </w:t>
      </w:r>
      <w:r>
        <w:rPr>
          <w:rFonts w:ascii="Century Gothic" w:eastAsiaTheme="minorHAnsi" w:hAnsi="Century Gothic"/>
          <w:sz w:val="20"/>
          <w:szCs w:val="20"/>
          <w:lang w:val="en-AU"/>
        </w:rPr>
        <w:t>Allows for the</w:t>
      </w:r>
      <w:r w:rsidRPr="00183569">
        <w:rPr>
          <w:rFonts w:ascii="Century Gothic" w:eastAsiaTheme="minorHAnsi" w:hAnsi="Century Gothic"/>
          <w:sz w:val="20"/>
          <w:szCs w:val="20"/>
          <w:lang w:val="en-AU"/>
        </w:rPr>
        <w:t xml:space="preserve"> build</w:t>
      </w:r>
      <w:r>
        <w:rPr>
          <w:rFonts w:ascii="Century Gothic" w:eastAsiaTheme="minorHAnsi" w:hAnsi="Century Gothic"/>
          <w:sz w:val="20"/>
          <w:szCs w:val="20"/>
          <w:lang w:val="en-AU"/>
        </w:rPr>
        <w:t>ing</w:t>
      </w:r>
      <w:r w:rsidRPr="00183569">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of </w:t>
      </w:r>
      <w:r w:rsidRPr="00183569">
        <w:rPr>
          <w:rFonts w:ascii="Century Gothic" w:eastAsiaTheme="minorHAnsi" w:hAnsi="Century Gothic"/>
          <w:sz w:val="20"/>
          <w:szCs w:val="20"/>
          <w:lang w:val="en-AU"/>
        </w:rPr>
        <w:t>a community across a range of independent scho</w:t>
      </w:r>
      <w:r>
        <w:rPr>
          <w:rFonts w:ascii="Century Gothic" w:eastAsiaTheme="minorHAnsi" w:hAnsi="Century Gothic"/>
          <w:sz w:val="20"/>
          <w:szCs w:val="20"/>
          <w:lang w:val="en-AU"/>
        </w:rPr>
        <w:t>ols to interact with each other not restricted by a target group of schools</w:t>
      </w:r>
    </w:p>
    <w:p w14:paraId="5891ED63"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W</w:t>
      </w:r>
      <w:r w:rsidRPr="00183569">
        <w:rPr>
          <w:rFonts w:ascii="Century Gothic" w:eastAsiaTheme="minorHAnsi" w:hAnsi="Century Gothic"/>
          <w:sz w:val="20"/>
          <w:szCs w:val="20"/>
          <w:lang w:val="en-AU"/>
        </w:rPr>
        <w:t>ithout SFSF subsidizing professional learning activities some schools would not attend or in many cases 1 person instead of a team might attend (not best practice)</w:t>
      </w:r>
    </w:p>
    <w:p w14:paraId="714CE13A"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SFSF funding has allowed ISV </w:t>
      </w:r>
      <w:r w:rsidRPr="004C6FEC">
        <w:rPr>
          <w:rFonts w:ascii="Century Gothic" w:eastAsiaTheme="minorHAnsi" w:hAnsi="Century Gothic"/>
          <w:sz w:val="20"/>
          <w:szCs w:val="20"/>
          <w:lang w:val="en-AU"/>
        </w:rPr>
        <w:t xml:space="preserve">to become a provider and broker of knowledge and </w:t>
      </w:r>
      <w:r>
        <w:rPr>
          <w:rFonts w:ascii="Century Gothic" w:eastAsiaTheme="minorHAnsi" w:hAnsi="Century Gothic"/>
          <w:sz w:val="20"/>
          <w:szCs w:val="20"/>
          <w:lang w:val="en-AU"/>
        </w:rPr>
        <w:t xml:space="preserve">expertise - </w:t>
      </w:r>
      <w:r w:rsidRPr="004C6FEC">
        <w:rPr>
          <w:rFonts w:ascii="Century Gothic" w:eastAsiaTheme="minorHAnsi" w:hAnsi="Century Gothic"/>
          <w:sz w:val="20"/>
          <w:szCs w:val="20"/>
          <w:lang w:val="en-AU"/>
        </w:rPr>
        <w:t>gaining more acknowledgements from their schools for this.</w:t>
      </w:r>
    </w:p>
    <w:p w14:paraId="2D696E59" w14:textId="77777777" w:rsidR="00DC4448" w:rsidRPr="00C8105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C81052">
        <w:rPr>
          <w:rFonts w:ascii="Century Gothic" w:eastAsiaTheme="minorHAnsi" w:hAnsi="Century Gothic"/>
          <w:sz w:val="20"/>
          <w:szCs w:val="20"/>
          <w:lang w:val="en-AU"/>
        </w:rPr>
        <w:t>The fund also helps gain entry to schools to engage schools on issues such as the Australian Curriculum and compliance requirements.</w:t>
      </w:r>
    </w:p>
    <w:p w14:paraId="668639B9"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Victorian Catholic NGRB."/>
      </w:tblPr>
      <w:tblGrid>
        <w:gridCol w:w="3777"/>
        <w:gridCol w:w="1009"/>
        <w:gridCol w:w="1285"/>
        <w:gridCol w:w="1325"/>
        <w:gridCol w:w="1296"/>
      </w:tblGrid>
      <w:tr w:rsidR="00DC4448" w:rsidRPr="004D73D2" w14:paraId="5B17143F" w14:textId="77777777" w:rsidTr="002C6ABD">
        <w:tc>
          <w:tcPr>
            <w:tcW w:w="3777" w:type="dxa"/>
            <w:vMerge w:val="restart"/>
            <w:tcBorders>
              <w:top w:val="nil"/>
              <w:left w:val="nil"/>
              <w:bottom w:val="nil"/>
              <w:right w:val="single" w:sz="4" w:space="0" w:color="auto"/>
            </w:tcBorders>
            <w:shd w:val="clear" w:color="auto" w:fill="auto"/>
          </w:tcPr>
          <w:p w14:paraId="4661632C" w14:textId="77777777" w:rsidR="00DC4448" w:rsidRPr="00870B9B" w:rsidRDefault="00DC4448" w:rsidP="005621A8">
            <w:pPr>
              <w:pStyle w:val="Heading2"/>
              <w:spacing w:before="0" w:after="0"/>
            </w:pPr>
            <w:r w:rsidRPr="005621A8">
              <w:rPr>
                <w:sz w:val="24"/>
              </w:rPr>
              <w:t xml:space="preserve">Victoria Catholic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265738" w14:textId="77777777" w:rsidR="00DC4448" w:rsidRPr="00E4618A" w:rsidRDefault="00DC4448" w:rsidP="002C6ABD">
            <w:pPr>
              <w:ind w:right="-340"/>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CB6B7"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2A6D3C"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AD8012" w14:textId="77777777" w:rsidR="00DC4448" w:rsidRPr="00E4618A" w:rsidRDefault="00DC4448" w:rsidP="002C6ABD">
            <w:pPr>
              <w:ind w:right="-340"/>
              <w:jc w:val="center"/>
              <w:rPr>
                <w:sz w:val="16"/>
                <w:szCs w:val="16"/>
              </w:rPr>
            </w:pPr>
            <w:r>
              <w:rPr>
                <w:sz w:val="16"/>
                <w:szCs w:val="16"/>
              </w:rPr>
              <w:t>SFSF $</w:t>
            </w:r>
          </w:p>
        </w:tc>
      </w:tr>
      <w:tr w:rsidR="00DC4448" w:rsidRPr="005D146A" w14:paraId="0109DDF1" w14:textId="77777777" w:rsidTr="002C6ABD">
        <w:tc>
          <w:tcPr>
            <w:tcW w:w="3777" w:type="dxa"/>
            <w:vMerge/>
            <w:tcBorders>
              <w:left w:val="nil"/>
              <w:bottom w:val="nil"/>
              <w:right w:val="single" w:sz="4" w:space="0" w:color="auto"/>
            </w:tcBorders>
            <w:shd w:val="clear" w:color="auto" w:fill="auto"/>
          </w:tcPr>
          <w:p w14:paraId="1F708955"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3B51508E"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494 </w:t>
            </w:r>
          </w:p>
        </w:tc>
        <w:tc>
          <w:tcPr>
            <w:tcW w:w="1285" w:type="dxa"/>
            <w:tcBorders>
              <w:top w:val="single" w:sz="4" w:space="0" w:color="auto"/>
              <w:left w:val="single" w:sz="4" w:space="0" w:color="auto"/>
              <w:bottom w:val="single" w:sz="4" w:space="0" w:color="auto"/>
              <w:right w:val="single" w:sz="4" w:space="0" w:color="auto"/>
            </w:tcBorders>
            <w:vAlign w:val="bottom"/>
          </w:tcPr>
          <w:p w14:paraId="398C26C9"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206,450.50 </w:t>
            </w:r>
          </w:p>
        </w:tc>
        <w:tc>
          <w:tcPr>
            <w:tcW w:w="1325" w:type="dxa"/>
            <w:tcBorders>
              <w:top w:val="single" w:sz="4" w:space="0" w:color="auto"/>
              <w:left w:val="single" w:sz="4" w:space="0" w:color="auto"/>
              <w:bottom w:val="single" w:sz="4" w:space="0" w:color="auto"/>
              <w:right w:val="single" w:sz="4" w:space="0" w:color="auto"/>
            </w:tcBorders>
            <w:vAlign w:val="bottom"/>
          </w:tcPr>
          <w:p w14:paraId="50B8C6A2"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14,733.1 </w:t>
            </w:r>
          </w:p>
        </w:tc>
        <w:tc>
          <w:tcPr>
            <w:tcW w:w="1296" w:type="dxa"/>
            <w:tcBorders>
              <w:top w:val="single" w:sz="4" w:space="0" w:color="auto"/>
              <w:left w:val="single" w:sz="4" w:space="0" w:color="auto"/>
              <w:bottom w:val="single" w:sz="4" w:space="0" w:color="auto"/>
              <w:right w:val="single" w:sz="4" w:space="0" w:color="auto"/>
            </w:tcBorders>
            <w:vAlign w:val="bottom"/>
          </w:tcPr>
          <w:p w14:paraId="5BA917FB"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$3,670,155</w:t>
            </w:r>
          </w:p>
        </w:tc>
      </w:tr>
    </w:tbl>
    <w:p w14:paraId="72940D49" w14:textId="77777777" w:rsidR="00DC4448" w:rsidRPr="003A3CAE" w:rsidRDefault="00DC4448" w:rsidP="005621A8">
      <w:pPr>
        <w:pStyle w:val="Heading3"/>
        <w:spacing w:before="120"/>
        <w:rPr>
          <w:rStyle w:val="IntenseEmphasis"/>
          <w:b/>
          <w:bCs/>
          <w:i w:val="0"/>
          <w:iCs w:val="0"/>
        </w:rPr>
      </w:pPr>
      <w:r w:rsidRPr="003A3CAE">
        <w:rPr>
          <w:rStyle w:val="IntenseEmphasis"/>
          <w:b/>
          <w:bCs/>
          <w:i w:val="0"/>
          <w:iCs w:val="0"/>
        </w:rPr>
        <w:t>Key Features of Approach</w:t>
      </w:r>
    </w:p>
    <w:p w14:paraId="34CEA634"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AE5DFC">
        <w:rPr>
          <w:rFonts w:ascii="Century Gothic" w:eastAsiaTheme="minorHAnsi" w:hAnsi="Century Gothic"/>
          <w:sz w:val="20"/>
          <w:szCs w:val="20"/>
          <w:lang w:val="en-AU"/>
        </w:rPr>
        <w:t>CECV have put their</w:t>
      </w:r>
      <w:r>
        <w:rPr>
          <w:rFonts w:ascii="Century Gothic" w:eastAsiaTheme="minorHAnsi" w:hAnsi="Century Gothic"/>
          <w:sz w:val="20"/>
          <w:szCs w:val="20"/>
          <w:lang w:val="en-AU"/>
        </w:rPr>
        <w:t xml:space="preserve"> effort into two major programs:</w:t>
      </w:r>
    </w:p>
    <w:p w14:paraId="76CAE17E" w14:textId="3E3BCFC7" w:rsidR="00DC4448" w:rsidRPr="00814E26"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sidRPr="00AE5DFC">
        <w:rPr>
          <w:rFonts w:ascii="Century Gothic" w:eastAsiaTheme="minorHAnsi" w:hAnsi="Century Gothic"/>
          <w:sz w:val="20"/>
          <w:szCs w:val="20"/>
          <w:lang w:val="en-AU"/>
        </w:rPr>
        <w:t>Leading Languages Learning in Catholic Schools Initiative 2014-2016</w:t>
      </w:r>
      <w:r>
        <w:rPr>
          <w:rFonts w:ascii="Century Gothic" w:eastAsiaTheme="minorHAnsi" w:hAnsi="Century Gothic"/>
          <w:sz w:val="20"/>
          <w:szCs w:val="20"/>
          <w:lang w:val="en-AU"/>
        </w:rPr>
        <w:t xml:space="preserve">.  A </w:t>
      </w:r>
      <w:r w:rsidRPr="00814E26">
        <w:rPr>
          <w:rFonts w:ascii="Century Gothic" w:eastAsiaTheme="minorHAnsi" w:hAnsi="Century Gothic"/>
          <w:sz w:val="20"/>
          <w:szCs w:val="20"/>
          <w:lang w:val="en-AU"/>
        </w:rPr>
        <w:t xml:space="preserve">Primary school focused approach to language learning, providing professional support for teachers to </w:t>
      </w:r>
      <w:r w:rsidR="009617E9">
        <w:rPr>
          <w:rFonts w:ascii="Century Gothic" w:eastAsiaTheme="minorHAnsi" w:hAnsi="Century Gothic"/>
          <w:sz w:val="20"/>
          <w:szCs w:val="20"/>
          <w:lang w:val="en-AU"/>
        </w:rPr>
        <w:t>drive better language pedagogy.</w:t>
      </w:r>
    </w:p>
    <w:p w14:paraId="60399F59" w14:textId="52BC69B4" w:rsidR="00DC4448" w:rsidRPr="00814E26"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sidRPr="00AE5DFC">
        <w:rPr>
          <w:rFonts w:ascii="Century Gothic" w:eastAsiaTheme="minorHAnsi" w:hAnsi="Century Gothic"/>
          <w:sz w:val="20"/>
          <w:szCs w:val="20"/>
          <w:lang w:val="en-AU"/>
        </w:rPr>
        <w:t>Auspiced Training and Industry Partnership</w:t>
      </w:r>
      <w:r>
        <w:rPr>
          <w:rFonts w:ascii="Century Gothic" w:eastAsiaTheme="minorHAnsi" w:hAnsi="Century Gothic"/>
          <w:sz w:val="20"/>
          <w:szCs w:val="20"/>
          <w:lang w:val="en-AU"/>
        </w:rPr>
        <w:t xml:space="preserve"> (ATIP) </w:t>
      </w:r>
      <w:r w:rsidRPr="00814E26">
        <w:rPr>
          <w:rFonts w:ascii="Century Gothic" w:eastAsiaTheme="minorHAnsi" w:hAnsi="Century Gothic"/>
          <w:sz w:val="20"/>
          <w:szCs w:val="20"/>
          <w:lang w:val="en-AU"/>
        </w:rPr>
        <w:t>designed to support schools to deliver skills creation VET onsite (up to and inclu</w:t>
      </w:r>
      <w:r w:rsidR="009617E9">
        <w:rPr>
          <w:rFonts w:ascii="Century Gothic" w:eastAsiaTheme="minorHAnsi" w:hAnsi="Century Gothic"/>
          <w:sz w:val="20"/>
          <w:szCs w:val="20"/>
          <w:lang w:val="en-AU"/>
        </w:rPr>
        <w:t>ding Certificate III programs).</w:t>
      </w:r>
    </w:p>
    <w:p w14:paraId="1DA30DD9" w14:textId="77777777" w:rsidR="00DC4448" w:rsidRPr="00AE5DFC"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79428B">
        <w:rPr>
          <w:rFonts w:ascii="Century Gothic" w:eastAsiaTheme="minorHAnsi" w:hAnsi="Century Gothic"/>
          <w:sz w:val="20"/>
          <w:szCs w:val="20"/>
          <w:lang w:val="en-AU"/>
        </w:rPr>
        <w:t>Choice of programs influenced by the fact that they run across Cathol</w:t>
      </w:r>
      <w:r>
        <w:rPr>
          <w:rFonts w:ascii="Century Gothic" w:eastAsiaTheme="minorHAnsi" w:hAnsi="Century Gothic"/>
          <w:sz w:val="20"/>
          <w:szCs w:val="20"/>
          <w:lang w:val="en-AU"/>
        </w:rPr>
        <w:t>ic schools in Victoria i.e. they straddle</w:t>
      </w:r>
      <w:r w:rsidRPr="0079428B">
        <w:rPr>
          <w:rFonts w:ascii="Century Gothic" w:eastAsiaTheme="minorHAnsi" w:hAnsi="Century Gothic"/>
          <w:sz w:val="20"/>
          <w:szCs w:val="20"/>
          <w:lang w:val="en-AU"/>
        </w:rPr>
        <w:t xml:space="preserve"> the 4 dioceses</w:t>
      </w:r>
      <w:r>
        <w:rPr>
          <w:rFonts w:ascii="Century Gothic" w:eastAsiaTheme="minorHAnsi" w:hAnsi="Century Gothic"/>
          <w:sz w:val="20"/>
          <w:szCs w:val="20"/>
          <w:lang w:val="en-AU"/>
        </w:rPr>
        <w:t xml:space="preserve"> within Victoria</w:t>
      </w:r>
    </w:p>
    <w:p w14:paraId="1357029F" w14:textId="77777777" w:rsidR="00DC4448" w:rsidRPr="003A3CAE" w:rsidRDefault="00DC4448" w:rsidP="005621A8">
      <w:pPr>
        <w:pStyle w:val="Heading3"/>
        <w:spacing w:before="120"/>
      </w:pPr>
      <w:r w:rsidRPr="003A3CAE">
        <w:t>Predominant Modes of Delivery</w:t>
      </w:r>
    </w:p>
    <w:tbl>
      <w:tblPr>
        <w:tblW w:w="4502" w:type="dxa"/>
        <w:tblLook w:val="04A0" w:firstRow="1" w:lastRow="0" w:firstColumn="1" w:lastColumn="0" w:noHBand="0" w:noVBand="1"/>
        <w:tblCaption w:val="Predominant delivery models"/>
        <w:tblDescription w:val="This table shows that predominant delivery models include Professional learning, Resource provision, Support and advice, and awareness.&#10;"/>
      </w:tblPr>
      <w:tblGrid>
        <w:gridCol w:w="3652"/>
        <w:gridCol w:w="850"/>
      </w:tblGrid>
      <w:tr w:rsidR="00C31922" w14:paraId="0507BE88"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C3780" w14:textId="77777777" w:rsidR="00C31922" w:rsidRPr="00E4618A" w:rsidRDefault="00C31922"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B9E3A5" w14:textId="2B9B2A78" w:rsidR="00C31922" w:rsidRPr="00E4618A" w:rsidRDefault="003E5526" w:rsidP="002C6ABD">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C31922" w:rsidRPr="00C453CD" w14:paraId="719791A8" w14:textId="77777777" w:rsidTr="00C31922">
        <w:tc>
          <w:tcPr>
            <w:tcW w:w="3652" w:type="dxa"/>
            <w:tcBorders>
              <w:top w:val="single" w:sz="4" w:space="0" w:color="auto"/>
              <w:left w:val="single" w:sz="4" w:space="0" w:color="auto"/>
              <w:bottom w:val="single" w:sz="4" w:space="0" w:color="auto"/>
              <w:right w:val="single" w:sz="4" w:space="0" w:color="auto"/>
            </w:tcBorders>
          </w:tcPr>
          <w:p w14:paraId="15252CA5"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4E2E631F" w14:textId="2BA4F55C"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623141E7"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5EBBC10E"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tcPr>
          <w:p w14:paraId="63EA2CFF" w14:textId="1AC548EA"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6AE2E9E7" w14:textId="77777777" w:rsidTr="00C31922">
        <w:tc>
          <w:tcPr>
            <w:tcW w:w="3652" w:type="dxa"/>
            <w:tcBorders>
              <w:top w:val="single" w:sz="4" w:space="0" w:color="auto"/>
              <w:left w:val="single" w:sz="4" w:space="0" w:color="auto"/>
              <w:bottom w:val="single" w:sz="4" w:space="0" w:color="auto"/>
              <w:right w:val="single" w:sz="4" w:space="0" w:color="auto"/>
            </w:tcBorders>
          </w:tcPr>
          <w:p w14:paraId="16BA155C"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7BD2271C" w14:textId="3C42EED9"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08631BA4" w14:textId="77777777" w:rsidTr="00C31922">
        <w:tc>
          <w:tcPr>
            <w:tcW w:w="3652" w:type="dxa"/>
            <w:tcBorders>
              <w:top w:val="single" w:sz="4" w:space="0" w:color="auto"/>
              <w:left w:val="single" w:sz="4" w:space="0" w:color="auto"/>
              <w:bottom w:val="single" w:sz="4" w:space="0" w:color="auto"/>
              <w:right w:val="single" w:sz="4" w:space="0" w:color="auto"/>
            </w:tcBorders>
          </w:tcPr>
          <w:p w14:paraId="1E3425C0"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519900B4" w14:textId="3F0FC0D2"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0E449129"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5D28209E"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 xml:space="preserve">Resource provision </w:t>
            </w:r>
          </w:p>
        </w:tc>
        <w:tc>
          <w:tcPr>
            <w:tcW w:w="850" w:type="dxa"/>
            <w:tcBorders>
              <w:top w:val="single" w:sz="4" w:space="0" w:color="auto"/>
              <w:left w:val="single" w:sz="4" w:space="0" w:color="auto"/>
              <w:bottom w:val="single" w:sz="4" w:space="0" w:color="auto"/>
              <w:right w:val="single" w:sz="4" w:space="0" w:color="auto"/>
            </w:tcBorders>
          </w:tcPr>
          <w:p w14:paraId="67783685" w14:textId="4E7347E0"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3FE5299E" w14:textId="77777777" w:rsidTr="00C31922">
        <w:tc>
          <w:tcPr>
            <w:tcW w:w="3652" w:type="dxa"/>
            <w:tcBorders>
              <w:top w:val="single" w:sz="4" w:space="0" w:color="auto"/>
              <w:left w:val="single" w:sz="4" w:space="0" w:color="auto"/>
              <w:bottom w:val="single" w:sz="4" w:space="0" w:color="auto"/>
              <w:right w:val="single" w:sz="4" w:space="0" w:color="auto"/>
            </w:tcBorders>
          </w:tcPr>
          <w:p w14:paraId="3D093422" w14:textId="33A771C0"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2521CCFA" w14:textId="39C3A027"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06726830" w14:textId="77777777" w:rsidTr="00C31922">
        <w:tc>
          <w:tcPr>
            <w:tcW w:w="3652" w:type="dxa"/>
            <w:tcBorders>
              <w:top w:val="single" w:sz="4" w:space="0" w:color="auto"/>
              <w:left w:val="single" w:sz="4" w:space="0" w:color="auto"/>
              <w:bottom w:val="single" w:sz="4" w:space="0" w:color="auto"/>
              <w:right w:val="single" w:sz="4" w:space="0" w:color="auto"/>
            </w:tcBorders>
          </w:tcPr>
          <w:p w14:paraId="557A6950" w14:textId="20E3C3FF"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542716E0" w14:textId="5CE2E095"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44B903B8" w14:textId="77777777" w:rsidTr="00C31922">
        <w:tc>
          <w:tcPr>
            <w:tcW w:w="3652" w:type="dxa"/>
            <w:tcBorders>
              <w:top w:val="single" w:sz="4" w:space="0" w:color="auto"/>
              <w:left w:val="single" w:sz="4" w:space="0" w:color="auto"/>
              <w:bottom w:val="single" w:sz="4" w:space="0" w:color="auto"/>
              <w:right w:val="single" w:sz="4" w:space="0" w:color="auto"/>
            </w:tcBorders>
          </w:tcPr>
          <w:p w14:paraId="6E13A3FF" w14:textId="06CE90E5"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02874E13" w14:textId="0FA13687" w:rsidR="00C31922" w:rsidRPr="00AC7F0C" w:rsidRDefault="003E5526"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46788F8F" w14:textId="77777777" w:rsidTr="00C31922">
        <w:tc>
          <w:tcPr>
            <w:tcW w:w="3652" w:type="dxa"/>
            <w:tcBorders>
              <w:top w:val="single" w:sz="4" w:space="0" w:color="auto"/>
              <w:left w:val="single" w:sz="4" w:space="0" w:color="auto"/>
              <w:bottom w:val="single" w:sz="4" w:space="0" w:color="auto"/>
              <w:right w:val="single" w:sz="4" w:space="0" w:color="auto"/>
            </w:tcBorders>
          </w:tcPr>
          <w:p w14:paraId="08D09046" w14:textId="3D943E54"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443B8C85" w14:textId="3FDDE68A" w:rsidR="00C31922" w:rsidRPr="00AC7F0C" w:rsidRDefault="003E5526"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bl>
    <w:p w14:paraId="778181C5" w14:textId="77777777" w:rsidR="00DC4448" w:rsidRPr="00027DD6" w:rsidRDefault="00DC4448" w:rsidP="005621A8">
      <w:pPr>
        <w:pStyle w:val="Heading3"/>
        <w:spacing w:before="120"/>
      </w:pPr>
      <w:r w:rsidRPr="00027DD6">
        <w:t>Sample of Key Programs</w:t>
      </w:r>
    </w:p>
    <w:p w14:paraId="3E5C6564" w14:textId="77777777" w:rsidR="00DC4448" w:rsidRDefault="00DC4448" w:rsidP="006A1D2B">
      <w:pPr>
        <w:pStyle w:val="ListParagraph"/>
        <w:numPr>
          <w:ilvl w:val="0"/>
          <w:numId w:val="15"/>
        </w:numPr>
        <w:ind w:right="-340"/>
        <w:jc w:val="both"/>
        <w:rPr>
          <w:rFonts w:ascii="Century Gothic" w:eastAsiaTheme="minorHAnsi" w:hAnsi="Century Gothic"/>
          <w:sz w:val="20"/>
          <w:szCs w:val="20"/>
          <w:lang w:val="en-AU"/>
        </w:rPr>
      </w:pPr>
      <w:r w:rsidRPr="00697DA7">
        <w:rPr>
          <w:rFonts w:ascii="Century Gothic" w:eastAsiaTheme="minorHAnsi" w:hAnsi="Century Gothic"/>
          <w:sz w:val="20"/>
          <w:szCs w:val="20"/>
          <w:lang w:val="en-AU"/>
        </w:rPr>
        <w:t xml:space="preserve">Leading Languages </w:t>
      </w:r>
      <w:r>
        <w:rPr>
          <w:rFonts w:ascii="Century Gothic" w:eastAsiaTheme="minorHAnsi" w:hAnsi="Century Gothic"/>
          <w:sz w:val="20"/>
          <w:szCs w:val="20"/>
          <w:lang w:val="en-AU"/>
        </w:rPr>
        <w:t>Learning includes:</w:t>
      </w:r>
    </w:p>
    <w:p w14:paraId="79AA8CB5" w14:textId="589B94C7" w:rsidR="00DC4448" w:rsidRDefault="003A3CAE" w:rsidP="006A1D2B">
      <w:pPr>
        <w:pStyle w:val="ListParagraph"/>
        <w:numPr>
          <w:ilvl w:val="1"/>
          <w:numId w:val="15"/>
        </w:numPr>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w:t>
      </w:r>
      <w:r w:rsidR="00DC4448">
        <w:rPr>
          <w:rFonts w:ascii="Century Gothic" w:eastAsiaTheme="minorHAnsi" w:hAnsi="Century Gothic"/>
          <w:sz w:val="20"/>
          <w:szCs w:val="20"/>
          <w:lang w:val="en-AU"/>
        </w:rPr>
        <w:t>our</w:t>
      </w:r>
      <w:r>
        <w:rPr>
          <w:rFonts w:ascii="Century Gothic" w:eastAsiaTheme="minorHAnsi" w:hAnsi="Century Gothic"/>
          <w:sz w:val="20"/>
          <w:szCs w:val="20"/>
          <w:lang w:val="en-AU"/>
        </w:rPr>
        <w:t>-</w:t>
      </w:r>
      <w:r w:rsidR="00DC4448">
        <w:rPr>
          <w:rFonts w:ascii="Century Gothic" w:eastAsiaTheme="minorHAnsi" w:hAnsi="Century Gothic"/>
          <w:sz w:val="20"/>
          <w:szCs w:val="20"/>
          <w:lang w:val="en-AU"/>
        </w:rPr>
        <w:t xml:space="preserve">day </w:t>
      </w:r>
      <w:r w:rsidR="00DC4448" w:rsidRPr="00697DA7">
        <w:rPr>
          <w:rFonts w:ascii="Century Gothic" w:eastAsiaTheme="minorHAnsi" w:hAnsi="Century Gothic"/>
          <w:sz w:val="20"/>
          <w:szCs w:val="20"/>
          <w:lang w:val="en-AU"/>
        </w:rPr>
        <w:t xml:space="preserve">Professional Learning Program </w:t>
      </w:r>
      <w:r w:rsidR="00DC4448">
        <w:rPr>
          <w:rFonts w:ascii="Century Gothic" w:eastAsiaTheme="minorHAnsi" w:hAnsi="Century Gothic"/>
          <w:sz w:val="20"/>
          <w:szCs w:val="20"/>
          <w:lang w:val="en-AU"/>
        </w:rPr>
        <w:t xml:space="preserve">for </w:t>
      </w:r>
      <w:r w:rsidR="00DC4448" w:rsidRPr="00697DA7">
        <w:rPr>
          <w:rFonts w:ascii="Century Gothic" w:eastAsiaTheme="minorHAnsi" w:hAnsi="Century Gothic"/>
          <w:sz w:val="20"/>
          <w:szCs w:val="20"/>
          <w:lang w:val="en-AU"/>
        </w:rPr>
        <w:t xml:space="preserve">school teams </w:t>
      </w:r>
      <w:r w:rsidR="00DC4448">
        <w:rPr>
          <w:rFonts w:ascii="Century Gothic" w:eastAsiaTheme="minorHAnsi" w:hAnsi="Century Gothic"/>
          <w:sz w:val="20"/>
          <w:szCs w:val="20"/>
          <w:lang w:val="en-AU"/>
        </w:rPr>
        <w:t>to</w:t>
      </w:r>
      <w:r w:rsidR="00DC4448" w:rsidRPr="00697DA7">
        <w:rPr>
          <w:rFonts w:ascii="Century Gothic" w:eastAsiaTheme="minorHAnsi" w:hAnsi="Century Gothic"/>
          <w:sz w:val="20"/>
          <w:szCs w:val="20"/>
          <w:lang w:val="en-AU"/>
        </w:rPr>
        <w:t xml:space="preserve"> </w:t>
      </w:r>
      <w:r w:rsidR="00DC4448">
        <w:rPr>
          <w:rFonts w:ascii="Century Gothic" w:eastAsiaTheme="minorHAnsi" w:hAnsi="Century Gothic"/>
          <w:sz w:val="20"/>
          <w:szCs w:val="20"/>
          <w:lang w:val="en-AU"/>
        </w:rPr>
        <w:t>develop</w:t>
      </w:r>
      <w:r w:rsidR="00DC4448" w:rsidRPr="00697DA7">
        <w:rPr>
          <w:rFonts w:ascii="Century Gothic" w:eastAsiaTheme="minorHAnsi" w:hAnsi="Century Gothic"/>
          <w:sz w:val="20"/>
          <w:szCs w:val="20"/>
          <w:lang w:val="en-AU"/>
        </w:rPr>
        <w:t xml:space="preserve"> a whole school</w:t>
      </w:r>
      <w:r w:rsidR="009617E9">
        <w:rPr>
          <w:rFonts w:ascii="Century Gothic" w:eastAsiaTheme="minorHAnsi" w:hAnsi="Century Gothic"/>
          <w:sz w:val="20"/>
          <w:szCs w:val="20"/>
          <w:lang w:val="en-AU"/>
        </w:rPr>
        <w:t xml:space="preserve"> Languages Implementation Plan.</w:t>
      </w:r>
    </w:p>
    <w:p w14:paraId="1EE504BA" w14:textId="77777777" w:rsidR="00DC4448"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sidRPr="00A436BD">
        <w:rPr>
          <w:rFonts w:ascii="Century Gothic" w:eastAsiaTheme="minorHAnsi" w:hAnsi="Century Gothic"/>
          <w:sz w:val="20"/>
          <w:szCs w:val="20"/>
          <w:lang w:val="en-AU"/>
        </w:rPr>
        <w:t>qualification upgrade courses, designed by CECV and facilita</w:t>
      </w:r>
      <w:r>
        <w:rPr>
          <w:rFonts w:ascii="Century Gothic" w:eastAsiaTheme="minorHAnsi" w:hAnsi="Century Gothic"/>
          <w:sz w:val="20"/>
          <w:szCs w:val="20"/>
          <w:lang w:val="en-AU"/>
        </w:rPr>
        <w:t>ted by University of Melbourne</w:t>
      </w:r>
    </w:p>
    <w:p w14:paraId="52F3088B" w14:textId="3ABDC642" w:rsidR="00DC4448" w:rsidRPr="00A436BD"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sidRPr="00A436BD">
        <w:rPr>
          <w:rFonts w:ascii="Century Gothic" w:eastAsiaTheme="minorHAnsi" w:hAnsi="Century Gothic"/>
          <w:sz w:val="20"/>
          <w:szCs w:val="20"/>
          <w:lang w:val="en-AU"/>
        </w:rPr>
        <w:t>Languages Partnership Grants</w:t>
      </w:r>
      <w:r>
        <w:rPr>
          <w:rFonts w:ascii="Century Gothic" w:eastAsiaTheme="minorHAnsi" w:hAnsi="Century Gothic"/>
          <w:sz w:val="20"/>
          <w:szCs w:val="20"/>
          <w:lang w:val="en-AU"/>
        </w:rPr>
        <w:t xml:space="preserve"> for schools</w:t>
      </w:r>
      <w:r w:rsidR="009617E9">
        <w:rPr>
          <w:rFonts w:ascii="Century Gothic" w:eastAsiaTheme="minorHAnsi" w:hAnsi="Century Gothic"/>
          <w:sz w:val="20"/>
          <w:szCs w:val="20"/>
          <w:lang w:val="en-AU"/>
        </w:rPr>
        <w:t>.</w:t>
      </w:r>
    </w:p>
    <w:p w14:paraId="509BA672" w14:textId="77777777" w:rsidR="00DC4448" w:rsidRDefault="00DC4448" w:rsidP="006A1D2B">
      <w:pPr>
        <w:pStyle w:val="ListParagraph"/>
        <w:numPr>
          <w:ilvl w:val="0"/>
          <w:numId w:val="15"/>
        </w:numPr>
        <w:ind w:right="-340"/>
        <w:jc w:val="both"/>
        <w:rPr>
          <w:rFonts w:ascii="Century Gothic" w:eastAsiaTheme="minorHAnsi" w:hAnsi="Century Gothic"/>
          <w:sz w:val="20"/>
          <w:szCs w:val="20"/>
          <w:lang w:val="en-AU"/>
        </w:rPr>
      </w:pPr>
      <w:r w:rsidRPr="00AE5DFC">
        <w:rPr>
          <w:rFonts w:ascii="Century Gothic" w:eastAsiaTheme="minorHAnsi" w:hAnsi="Century Gothic"/>
          <w:sz w:val="20"/>
          <w:szCs w:val="20"/>
          <w:lang w:val="en-AU"/>
        </w:rPr>
        <w:t>Auspiced Training and Industry Partnership</w:t>
      </w:r>
      <w:r>
        <w:rPr>
          <w:rFonts w:ascii="Century Gothic" w:eastAsiaTheme="minorHAnsi" w:hAnsi="Century Gothic"/>
          <w:sz w:val="20"/>
          <w:szCs w:val="20"/>
          <w:lang w:val="en-AU"/>
        </w:rPr>
        <w:t>(ATIP) includes:</w:t>
      </w:r>
    </w:p>
    <w:p w14:paraId="7E4D371B" w14:textId="017D4474" w:rsidR="00DC4448" w:rsidRPr="00A436BD"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Pr="00A436BD">
        <w:rPr>
          <w:rFonts w:ascii="Century Gothic" w:eastAsiaTheme="minorHAnsi" w:hAnsi="Century Gothic"/>
          <w:sz w:val="20"/>
          <w:szCs w:val="20"/>
          <w:lang w:val="en-AU"/>
        </w:rPr>
        <w:t>eminars and workshops were held for participants fro</w:t>
      </w:r>
      <w:r w:rsidR="009617E9">
        <w:rPr>
          <w:rFonts w:ascii="Century Gothic" w:eastAsiaTheme="minorHAnsi" w:hAnsi="Century Gothic"/>
          <w:sz w:val="20"/>
          <w:szCs w:val="20"/>
          <w:lang w:val="en-AU"/>
        </w:rPr>
        <w:t>m ATIP schools and RTO partners</w:t>
      </w:r>
    </w:p>
    <w:p w14:paraId="734802E3" w14:textId="77777777" w:rsidR="00DC4448" w:rsidRPr="00A436BD"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Pr="00A436BD">
        <w:rPr>
          <w:rFonts w:ascii="Century Gothic" w:eastAsiaTheme="minorHAnsi" w:hAnsi="Century Gothic"/>
          <w:sz w:val="20"/>
          <w:szCs w:val="20"/>
          <w:lang w:val="en-AU"/>
        </w:rPr>
        <w:t xml:space="preserve">eachers/trainers </w:t>
      </w:r>
      <w:r>
        <w:rPr>
          <w:rFonts w:ascii="Century Gothic" w:eastAsiaTheme="minorHAnsi" w:hAnsi="Century Gothic"/>
          <w:sz w:val="20"/>
          <w:szCs w:val="20"/>
          <w:lang w:val="en-AU"/>
        </w:rPr>
        <w:t xml:space="preserve">qualifications </w:t>
      </w:r>
      <w:r w:rsidRPr="00A436BD">
        <w:rPr>
          <w:rFonts w:ascii="Century Gothic" w:eastAsiaTheme="minorHAnsi" w:hAnsi="Century Gothic"/>
          <w:sz w:val="20"/>
          <w:szCs w:val="20"/>
          <w:lang w:val="en-AU"/>
        </w:rPr>
        <w:t>upgrade to the TAE40110 Certificate</w:t>
      </w:r>
      <w:r>
        <w:rPr>
          <w:rFonts w:ascii="Century Gothic" w:eastAsiaTheme="minorHAnsi" w:hAnsi="Century Gothic"/>
          <w:sz w:val="20"/>
          <w:szCs w:val="20"/>
          <w:lang w:val="en-AU"/>
        </w:rPr>
        <w:t xml:space="preserve"> IV in Training and Assessment</w:t>
      </w:r>
    </w:p>
    <w:p w14:paraId="2CA3B6E0" w14:textId="77777777" w:rsidR="00DC4448" w:rsidRPr="00A436BD" w:rsidRDefault="00DC4448" w:rsidP="006A1D2B">
      <w:pPr>
        <w:pStyle w:val="ListParagraph"/>
        <w:numPr>
          <w:ilvl w:val="1"/>
          <w:numId w:val="15"/>
        </w:numPr>
        <w:ind w:left="1134" w:right="-340"/>
        <w:jc w:val="both"/>
        <w:rPr>
          <w:rFonts w:ascii="Century Gothic" w:eastAsiaTheme="minorHAnsi" w:hAnsi="Century Gothic"/>
          <w:sz w:val="20"/>
          <w:szCs w:val="20"/>
          <w:lang w:val="en-AU"/>
        </w:rPr>
      </w:pPr>
      <w:r w:rsidRPr="00A436BD">
        <w:rPr>
          <w:rFonts w:ascii="Century Gothic" w:eastAsiaTheme="minorHAnsi" w:hAnsi="Century Gothic"/>
          <w:sz w:val="20"/>
          <w:szCs w:val="20"/>
          <w:lang w:val="en-AU"/>
        </w:rPr>
        <w:t xml:space="preserve">support </w:t>
      </w:r>
      <w:r>
        <w:rPr>
          <w:rFonts w:ascii="Century Gothic" w:eastAsiaTheme="minorHAnsi" w:hAnsi="Century Gothic"/>
          <w:sz w:val="20"/>
          <w:szCs w:val="20"/>
          <w:lang w:val="en-AU"/>
        </w:rPr>
        <w:t xml:space="preserve">for </w:t>
      </w:r>
      <w:r w:rsidRPr="00A436BD">
        <w:rPr>
          <w:rFonts w:ascii="Century Gothic" w:eastAsiaTheme="minorHAnsi" w:hAnsi="Century Gothic"/>
          <w:sz w:val="20"/>
          <w:szCs w:val="20"/>
          <w:lang w:val="en-AU"/>
        </w:rPr>
        <w:t xml:space="preserve">participation in </w:t>
      </w:r>
      <w:r>
        <w:rPr>
          <w:rFonts w:ascii="Century Gothic" w:eastAsiaTheme="minorHAnsi" w:hAnsi="Century Gothic"/>
          <w:sz w:val="20"/>
          <w:szCs w:val="20"/>
          <w:lang w:val="en-AU"/>
        </w:rPr>
        <w:t>Teacher Industry Placements.</w:t>
      </w:r>
    </w:p>
    <w:p w14:paraId="1FAB8552" w14:textId="77777777" w:rsidR="00DC4448" w:rsidRPr="00027DD6" w:rsidRDefault="00DC4448" w:rsidP="005621A8">
      <w:pPr>
        <w:pStyle w:val="Heading3"/>
        <w:spacing w:before="120"/>
      </w:pPr>
      <w:r w:rsidRPr="00027DD6">
        <w:t>Funding – how used?</w:t>
      </w:r>
    </w:p>
    <w:p w14:paraId="12265B61" w14:textId="77777777" w:rsidR="00DC4448" w:rsidRDefault="00DC4448" w:rsidP="006A1D2B">
      <w:pPr>
        <w:pStyle w:val="ListParagraph"/>
        <w:numPr>
          <w:ilvl w:val="0"/>
          <w:numId w:val="15"/>
        </w:numPr>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Funds used to support participation in professional learning programs and teacher qualification upgrades</w:t>
      </w:r>
    </w:p>
    <w:p w14:paraId="648C61BE" w14:textId="77777777" w:rsidR="00DC4448" w:rsidRPr="00DB6E05" w:rsidRDefault="00DC4448" w:rsidP="006A1D2B">
      <w:pPr>
        <w:pStyle w:val="ListParagraph"/>
        <w:numPr>
          <w:ilvl w:val="0"/>
          <w:numId w:val="15"/>
        </w:numPr>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Prior to 2017 untied grants provided to primary schools for Language support – tied to Language development but not to specific professional learning activities. Changing to tied grants for 2017.</w:t>
      </w:r>
    </w:p>
    <w:p w14:paraId="788E9721" w14:textId="77777777" w:rsidR="00DC4448" w:rsidRPr="00027DD6" w:rsidRDefault="00DC4448" w:rsidP="005621A8">
      <w:pPr>
        <w:pStyle w:val="Heading3"/>
        <w:spacing w:before="120"/>
      </w:pPr>
      <w:r w:rsidRPr="00027DD6">
        <w:t>Monitoring Success</w:t>
      </w:r>
    </w:p>
    <w:p w14:paraId="1148B66A" w14:textId="77777777" w:rsidR="00DC4448" w:rsidRPr="00BE6F7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2015 report</w:t>
      </w:r>
      <w:r w:rsidRPr="00DB6E05">
        <w:rPr>
          <w:rFonts w:ascii="Century Gothic" w:eastAsiaTheme="minorHAnsi" w:hAnsi="Century Gothic"/>
          <w:sz w:val="20"/>
          <w:szCs w:val="20"/>
          <w:lang w:val="en-AU"/>
        </w:rPr>
        <w:t xml:space="preserve"> indicate</w:t>
      </w:r>
      <w:r>
        <w:rPr>
          <w:rFonts w:ascii="Century Gothic" w:eastAsiaTheme="minorHAnsi" w:hAnsi="Century Gothic"/>
          <w:sz w:val="20"/>
          <w:szCs w:val="20"/>
          <w:lang w:val="en-AU"/>
        </w:rPr>
        <w:t>s</w:t>
      </w:r>
      <w:r w:rsidRPr="00DB6E05">
        <w:rPr>
          <w:rFonts w:ascii="Century Gothic" w:eastAsiaTheme="minorHAnsi" w:hAnsi="Century Gothic"/>
          <w:sz w:val="20"/>
          <w:szCs w:val="20"/>
          <w:lang w:val="en-AU"/>
        </w:rPr>
        <w:t xml:space="preserve"> number of participants and activities </w:t>
      </w:r>
      <w:r>
        <w:rPr>
          <w:rFonts w:ascii="Century Gothic" w:eastAsiaTheme="minorHAnsi" w:hAnsi="Century Gothic"/>
          <w:sz w:val="20"/>
          <w:szCs w:val="20"/>
          <w:lang w:val="en-AU"/>
        </w:rPr>
        <w:t xml:space="preserve">for each of the two initiatives.  </w:t>
      </w:r>
      <w:r w:rsidRPr="00BE6F78">
        <w:rPr>
          <w:rFonts w:ascii="Century Gothic" w:eastAsiaTheme="minorHAnsi" w:hAnsi="Century Gothic"/>
          <w:sz w:val="20"/>
          <w:szCs w:val="20"/>
          <w:lang w:val="en-AU"/>
        </w:rPr>
        <w:t>Each prog</w:t>
      </w:r>
      <w:r>
        <w:rPr>
          <w:rFonts w:ascii="Century Gothic" w:eastAsiaTheme="minorHAnsi" w:hAnsi="Century Gothic"/>
          <w:sz w:val="20"/>
          <w:szCs w:val="20"/>
          <w:lang w:val="en-AU"/>
        </w:rPr>
        <w:t>ram has a budget for evaluation</w:t>
      </w:r>
      <w:r w:rsidRPr="00BE6F78">
        <w:rPr>
          <w:rFonts w:ascii="Century Gothic" w:eastAsiaTheme="minorHAnsi" w:hAnsi="Century Gothic"/>
          <w:sz w:val="20"/>
          <w:szCs w:val="20"/>
          <w:lang w:val="en-AU"/>
        </w:rPr>
        <w:t>.</w:t>
      </w:r>
    </w:p>
    <w:p w14:paraId="2D8AC9DD" w14:textId="77777777" w:rsidR="00DC4448" w:rsidRPr="00027DD6" w:rsidRDefault="00DC4448" w:rsidP="005621A8">
      <w:pPr>
        <w:pStyle w:val="Heading3"/>
        <w:spacing w:before="120"/>
      </w:pPr>
      <w:r w:rsidRPr="00027DD6">
        <w:t>Issues and Implications</w:t>
      </w:r>
    </w:p>
    <w:p w14:paraId="406EF675" w14:textId="77777777" w:rsidR="00DC4448" w:rsidRPr="00BE6F78" w:rsidRDefault="00DC4448" w:rsidP="00DC4448">
      <w:p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CECV is predominantly an administrative and regulatory </w:t>
      </w:r>
      <w:r w:rsidRPr="00BE6F78">
        <w:rPr>
          <w:rFonts w:ascii="Century Gothic" w:eastAsiaTheme="minorHAnsi" w:hAnsi="Century Gothic"/>
          <w:sz w:val="20"/>
          <w:szCs w:val="20"/>
          <w:lang w:val="en-AU"/>
        </w:rPr>
        <w:t xml:space="preserve">entity and the </w:t>
      </w:r>
      <w:r>
        <w:rPr>
          <w:rFonts w:ascii="Century Gothic" w:eastAsiaTheme="minorHAnsi" w:hAnsi="Century Gothic"/>
          <w:sz w:val="20"/>
          <w:szCs w:val="20"/>
          <w:lang w:val="en-AU"/>
        </w:rPr>
        <w:t xml:space="preserve">4 </w:t>
      </w:r>
      <w:r w:rsidRPr="00BE6F78">
        <w:rPr>
          <w:rFonts w:ascii="Century Gothic" w:eastAsiaTheme="minorHAnsi" w:hAnsi="Century Gothic"/>
          <w:sz w:val="20"/>
          <w:szCs w:val="20"/>
          <w:lang w:val="en-AU"/>
        </w:rPr>
        <w:t xml:space="preserve">dioceses </w:t>
      </w:r>
      <w:r>
        <w:rPr>
          <w:rFonts w:ascii="Century Gothic" w:eastAsiaTheme="minorHAnsi" w:hAnsi="Century Gothic"/>
          <w:sz w:val="20"/>
          <w:szCs w:val="20"/>
          <w:lang w:val="en-AU"/>
        </w:rPr>
        <w:t>operate largely independently within the CECV</w:t>
      </w:r>
      <w:r w:rsidRPr="00BE6F78">
        <w:rPr>
          <w:rFonts w:ascii="Century Gothic" w:eastAsiaTheme="minorHAnsi" w:hAnsi="Century Gothic"/>
          <w:sz w:val="20"/>
          <w:szCs w:val="20"/>
          <w:lang w:val="en-AU"/>
        </w:rPr>
        <w:t>.  For both these programs they have working parties across the 4 dioceses.</w:t>
      </w:r>
    </w:p>
    <w:p w14:paraId="7BF1B1CE" w14:textId="77777777" w:rsidR="00DC4448" w:rsidRDefault="00DC4448" w:rsidP="00DC4448">
      <w:r w:rsidRPr="00BE6F78">
        <w:rPr>
          <w:rFonts w:ascii="Century Gothic" w:eastAsiaTheme="minorHAnsi" w:hAnsi="Century Gothic"/>
          <w:sz w:val="20"/>
          <w:szCs w:val="20"/>
          <w:lang w:val="en-AU"/>
        </w:rPr>
        <w:t>Recognition of SFSF by schools would not be strong compared with previous programs such as the Commonwealth Teacher Quality Program that required use of a logo.</w:t>
      </w:r>
    </w:p>
    <w:p w14:paraId="023F1ABC"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Queensland Indpendent NGRB."/>
      </w:tblPr>
      <w:tblGrid>
        <w:gridCol w:w="3777"/>
        <w:gridCol w:w="1009"/>
        <w:gridCol w:w="1285"/>
        <w:gridCol w:w="1325"/>
        <w:gridCol w:w="1296"/>
      </w:tblGrid>
      <w:tr w:rsidR="00DC4448" w:rsidRPr="00E4618A" w14:paraId="75C33FCA" w14:textId="77777777" w:rsidTr="002C6ABD">
        <w:tc>
          <w:tcPr>
            <w:tcW w:w="3777" w:type="dxa"/>
            <w:vMerge w:val="restart"/>
            <w:tcBorders>
              <w:top w:val="nil"/>
              <w:left w:val="nil"/>
              <w:bottom w:val="nil"/>
              <w:right w:val="single" w:sz="4" w:space="0" w:color="auto"/>
            </w:tcBorders>
            <w:shd w:val="clear" w:color="auto" w:fill="auto"/>
          </w:tcPr>
          <w:p w14:paraId="49F14B2E" w14:textId="77777777" w:rsidR="00DC4448" w:rsidRPr="00870B9B" w:rsidRDefault="00DC4448" w:rsidP="005621A8">
            <w:pPr>
              <w:pStyle w:val="Heading2"/>
              <w:spacing w:before="0" w:after="0"/>
            </w:pPr>
            <w:r w:rsidRPr="005621A8">
              <w:rPr>
                <w:sz w:val="24"/>
              </w:rPr>
              <w:t xml:space="preserve">Queensland Independent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DF5FC" w14:textId="77777777" w:rsidR="00DC4448" w:rsidRPr="00E4618A" w:rsidRDefault="00DC4448" w:rsidP="002C6ABD">
            <w:pPr>
              <w:ind w:right="-340"/>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29FF7"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F6AEB"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25AF4F" w14:textId="77777777" w:rsidR="00DC4448" w:rsidRPr="00E4618A" w:rsidRDefault="00DC4448" w:rsidP="002C6ABD">
            <w:pPr>
              <w:ind w:right="-340"/>
              <w:jc w:val="center"/>
              <w:rPr>
                <w:sz w:val="16"/>
                <w:szCs w:val="16"/>
              </w:rPr>
            </w:pPr>
            <w:r>
              <w:rPr>
                <w:sz w:val="16"/>
                <w:szCs w:val="16"/>
              </w:rPr>
              <w:t>SFSF $</w:t>
            </w:r>
          </w:p>
        </w:tc>
      </w:tr>
      <w:tr w:rsidR="00DC4448" w:rsidRPr="004E2552" w14:paraId="59227526" w14:textId="77777777" w:rsidTr="002C6ABD">
        <w:tc>
          <w:tcPr>
            <w:tcW w:w="3777" w:type="dxa"/>
            <w:vMerge/>
            <w:tcBorders>
              <w:left w:val="nil"/>
              <w:bottom w:val="nil"/>
              <w:right w:val="single" w:sz="4" w:space="0" w:color="auto"/>
            </w:tcBorders>
            <w:shd w:val="clear" w:color="auto" w:fill="auto"/>
          </w:tcPr>
          <w:p w14:paraId="5E731D45"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0136C7B2"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192 </w:t>
            </w:r>
          </w:p>
        </w:tc>
        <w:tc>
          <w:tcPr>
            <w:tcW w:w="1285" w:type="dxa"/>
            <w:tcBorders>
              <w:top w:val="single" w:sz="4" w:space="0" w:color="auto"/>
              <w:left w:val="single" w:sz="4" w:space="0" w:color="auto"/>
              <w:bottom w:val="single" w:sz="4" w:space="0" w:color="auto"/>
              <w:right w:val="single" w:sz="4" w:space="0" w:color="auto"/>
            </w:tcBorders>
            <w:vAlign w:val="bottom"/>
          </w:tcPr>
          <w:p w14:paraId="2D97B329"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116,571.20 </w:t>
            </w:r>
          </w:p>
        </w:tc>
        <w:tc>
          <w:tcPr>
            <w:tcW w:w="1325" w:type="dxa"/>
            <w:tcBorders>
              <w:top w:val="single" w:sz="4" w:space="0" w:color="auto"/>
              <w:left w:val="single" w:sz="4" w:space="0" w:color="auto"/>
              <w:bottom w:val="single" w:sz="4" w:space="0" w:color="auto"/>
              <w:right w:val="single" w:sz="4" w:space="0" w:color="auto"/>
            </w:tcBorders>
            <w:vAlign w:val="bottom"/>
          </w:tcPr>
          <w:p w14:paraId="2FC0E7EA"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8,670.2 </w:t>
            </w:r>
          </w:p>
        </w:tc>
        <w:tc>
          <w:tcPr>
            <w:tcW w:w="1296" w:type="dxa"/>
            <w:tcBorders>
              <w:top w:val="single" w:sz="4" w:space="0" w:color="auto"/>
              <w:left w:val="single" w:sz="4" w:space="0" w:color="auto"/>
              <w:bottom w:val="single" w:sz="4" w:space="0" w:color="auto"/>
              <w:right w:val="single" w:sz="4" w:space="0" w:color="auto"/>
            </w:tcBorders>
            <w:vAlign w:val="bottom"/>
          </w:tcPr>
          <w:p w14:paraId="168DCDF2"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$4,833,513</w:t>
            </w:r>
          </w:p>
        </w:tc>
      </w:tr>
    </w:tbl>
    <w:p w14:paraId="19F505CA" w14:textId="3F2E5649" w:rsidR="00DC4448" w:rsidRPr="003A3CAE" w:rsidRDefault="009617E9" w:rsidP="005621A8">
      <w:pPr>
        <w:pStyle w:val="Heading3"/>
        <w:spacing w:before="120"/>
        <w:rPr>
          <w:rStyle w:val="IntenseEmphasis"/>
          <w:b/>
          <w:bCs/>
          <w:i w:val="0"/>
          <w:iCs w:val="0"/>
        </w:rPr>
      </w:pPr>
      <w:r w:rsidRPr="003A3CAE">
        <w:rPr>
          <w:rStyle w:val="IntenseEmphasis"/>
          <w:b/>
          <w:bCs/>
          <w:i w:val="0"/>
          <w:iCs w:val="0"/>
        </w:rPr>
        <w:t>Key features of approach</w:t>
      </w:r>
    </w:p>
    <w:p w14:paraId="67EBE37B" w14:textId="78DB98A7" w:rsidR="00DC4448" w:rsidRPr="00101DBF" w:rsidRDefault="00DC4448" w:rsidP="006A1D2B">
      <w:pPr>
        <w:pStyle w:val="ListParagraph"/>
        <w:numPr>
          <w:ilvl w:val="0"/>
          <w:numId w:val="18"/>
        </w:numPr>
        <w:spacing w:after="200"/>
        <w:ind w:left="426" w:right="-340"/>
        <w:rPr>
          <w:rFonts w:ascii="Century Gothic" w:hAnsi="Century Gothic"/>
          <w:sz w:val="20"/>
          <w:szCs w:val="20"/>
        </w:rPr>
      </w:pPr>
      <w:r w:rsidRPr="00101DBF">
        <w:rPr>
          <w:rFonts w:ascii="Century Gothic" w:hAnsi="Century Gothic"/>
          <w:sz w:val="20"/>
          <w:szCs w:val="20"/>
        </w:rPr>
        <w:t>Twenty nine projects across the five priorities are funded by SFSF and supplemented by other funds from past Commonwealth initiatives and the</w:t>
      </w:r>
      <w:r w:rsidR="009617E9">
        <w:rPr>
          <w:rFonts w:ascii="Century Gothic" w:hAnsi="Century Gothic"/>
          <w:sz w:val="20"/>
          <w:szCs w:val="20"/>
        </w:rPr>
        <w:t xml:space="preserve"> state government.</w:t>
      </w:r>
    </w:p>
    <w:p w14:paraId="5F82E25D" w14:textId="77777777" w:rsidR="00DC4448" w:rsidRPr="00101DBF" w:rsidRDefault="00DC4448" w:rsidP="006A1D2B">
      <w:pPr>
        <w:pStyle w:val="ListParagraph"/>
        <w:numPr>
          <w:ilvl w:val="0"/>
          <w:numId w:val="18"/>
        </w:numPr>
        <w:spacing w:after="200"/>
        <w:ind w:left="426" w:right="-340"/>
        <w:rPr>
          <w:rFonts w:ascii="Century Gothic" w:hAnsi="Century Gothic"/>
          <w:sz w:val="20"/>
          <w:szCs w:val="20"/>
        </w:rPr>
      </w:pPr>
      <w:r w:rsidRPr="00101DBF">
        <w:rPr>
          <w:rFonts w:ascii="Century Gothic" w:hAnsi="Century Gothic"/>
          <w:sz w:val="20"/>
          <w:szCs w:val="20"/>
        </w:rPr>
        <w:t>Strong offering of professional learning opportunities are a centrepiece –in 2015 there were 324 professional learning opportunities with 9,500 participants.</w:t>
      </w:r>
    </w:p>
    <w:p w14:paraId="3B32ED37" w14:textId="77777777" w:rsidR="00DC4448" w:rsidRPr="00101DBF" w:rsidRDefault="00DC4448" w:rsidP="006A1D2B">
      <w:pPr>
        <w:pStyle w:val="ListParagraph"/>
        <w:numPr>
          <w:ilvl w:val="0"/>
          <w:numId w:val="18"/>
        </w:numPr>
        <w:spacing w:after="60"/>
        <w:ind w:left="426" w:right="-340" w:hanging="357"/>
        <w:rPr>
          <w:rFonts w:ascii="Century Gothic" w:hAnsi="Century Gothic"/>
          <w:sz w:val="20"/>
          <w:szCs w:val="20"/>
        </w:rPr>
      </w:pPr>
      <w:r w:rsidRPr="00101DBF">
        <w:rPr>
          <w:rFonts w:ascii="Century Gothic" w:hAnsi="Century Gothic"/>
          <w:sz w:val="20"/>
          <w:szCs w:val="20"/>
        </w:rPr>
        <w:t>Professional learning communities are flourishing linked to SFSF projects–Literacy and Numeracy Coaching Academy, Teachers as Researchers in Languages and Science, Technology, Engineer and Math (STEM). Supporting schools on site in their own school improvement strategies is the core objective.</w:t>
      </w:r>
    </w:p>
    <w:p w14:paraId="2BC3323F" w14:textId="77777777" w:rsidR="00DC4448" w:rsidRPr="007140D6" w:rsidRDefault="00DC4448" w:rsidP="005621A8">
      <w:pPr>
        <w:pStyle w:val="Heading3"/>
        <w:spacing w:before="120"/>
      </w:pPr>
      <w:r w:rsidRPr="007140D6">
        <w:t xml:space="preserve">Predominant mode of delivery </w:t>
      </w:r>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Coaching and mentoring services, On-line tools, Research practitioner, and support and advice.&#10;"/>
      </w:tblPr>
      <w:tblGrid>
        <w:gridCol w:w="3652"/>
        <w:gridCol w:w="850"/>
      </w:tblGrid>
      <w:tr w:rsidR="00C31922" w14:paraId="193D6DA4"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A6B5780" w14:textId="77777777" w:rsidR="00C31922" w:rsidRDefault="00C31922"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308C7AF" w14:textId="0F125F67" w:rsidR="00C31922" w:rsidRDefault="003E5526" w:rsidP="002C6ABD">
            <w:pPr>
              <w:spacing w:before="100" w:beforeAutospacing="1"/>
              <w:ind w:right="-340"/>
              <w:jc w:val="center"/>
              <w:rPr>
                <w:rFonts w:ascii="Times New Roman" w:hAnsi="Times New Roman" w:cs="Times New Roman"/>
              </w:rPr>
            </w:pPr>
            <w:r w:rsidRPr="003E5526">
              <w:rPr>
                <w:rFonts w:cs="Times New Roman"/>
                <w:i/>
                <w:iCs/>
                <w:sz w:val="15"/>
                <w:szCs w:val="15"/>
              </w:rPr>
              <w:t>Yes/no</w:t>
            </w:r>
          </w:p>
        </w:tc>
      </w:tr>
      <w:tr w:rsidR="00C31922" w:rsidRPr="00C453CD" w14:paraId="2D7DA419"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64A3F9FF"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01BA95FC" w14:textId="43DC612E"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5FC66956"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480D2CB2"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3C788BCB" w14:textId="15FD3395"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37304164"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59C3F2A4"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hideMark/>
          </w:tcPr>
          <w:p w14:paraId="4D4054B8" w14:textId="15C7D695"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3966B5FF" w14:textId="77777777" w:rsidTr="00C31922">
        <w:trPr>
          <w:trHeight w:val="269"/>
        </w:trPr>
        <w:tc>
          <w:tcPr>
            <w:tcW w:w="3652" w:type="dxa"/>
            <w:tcBorders>
              <w:top w:val="single" w:sz="4" w:space="0" w:color="auto"/>
              <w:left w:val="single" w:sz="4" w:space="0" w:color="auto"/>
              <w:bottom w:val="single" w:sz="4" w:space="0" w:color="auto"/>
              <w:right w:val="single" w:sz="4" w:space="0" w:color="auto"/>
            </w:tcBorders>
            <w:hideMark/>
          </w:tcPr>
          <w:p w14:paraId="514970C5"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hideMark/>
          </w:tcPr>
          <w:p w14:paraId="09780E6F" w14:textId="0999CD14" w:rsidR="00C31922"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65FC97D8"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3460CACF" w14:textId="77777777" w:rsidR="00C31922" w:rsidRPr="00C453CD" w:rsidRDefault="00C31922" w:rsidP="002C6ABD">
            <w:pPr>
              <w:spacing w:before="100" w:beforeAutospacing="1" w:after="120"/>
              <w:ind w:right="-340"/>
              <w:rPr>
                <w:rFonts w:cs="Times New Roman"/>
                <w:i/>
                <w:iCs/>
                <w:sz w:val="15"/>
                <w:szCs w:val="15"/>
              </w:rPr>
            </w:pPr>
            <w:r>
              <w:rPr>
                <w:rFonts w:cs="Times New Roman"/>
                <w:i/>
                <w:iCs/>
                <w:sz w:val="15"/>
                <w:szCs w:val="15"/>
              </w:rPr>
              <w:t>Resource provision</w:t>
            </w:r>
            <w:r w:rsidRPr="00C453CD">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0513282" w14:textId="5D13A65D"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0737C567" w14:textId="77777777" w:rsidTr="00C31922">
        <w:tc>
          <w:tcPr>
            <w:tcW w:w="3652" w:type="dxa"/>
            <w:tcBorders>
              <w:top w:val="single" w:sz="4" w:space="0" w:color="auto"/>
              <w:left w:val="single" w:sz="4" w:space="0" w:color="auto"/>
              <w:bottom w:val="single" w:sz="4" w:space="0" w:color="auto"/>
              <w:right w:val="single" w:sz="4" w:space="0" w:color="auto"/>
            </w:tcBorders>
          </w:tcPr>
          <w:p w14:paraId="6E8E81D9" w14:textId="0265217A"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6C186721" w14:textId="03EFB983" w:rsidR="00C31922" w:rsidRPr="00C453CD" w:rsidRDefault="003E5526" w:rsidP="00C31922">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312B6A68" w14:textId="77777777" w:rsidTr="00C31922">
        <w:tc>
          <w:tcPr>
            <w:tcW w:w="3652" w:type="dxa"/>
            <w:tcBorders>
              <w:top w:val="single" w:sz="4" w:space="0" w:color="auto"/>
              <w:left w:val="single" w:sz="4" w:space="0" w:color="auto"/>
              <w:bottom w:val="single" w:sz="4" w:space="0" w:color="auto"/>
              <w:right w:val="single" w:sz="4" w:space="0" w:color="auto"/>
            </w:tcBorders>
          </w:tcPr>
          <w:p w14:paraId="019CC61B" w14:textId="3A106929"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7668AA6F" w14:textId="229F2862" w:rsidR="00C31922" w:rsidRPr="00C453CD"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3A27D2CE" w14:textId="77777777" w:rsidTr="00C31922">
        <w:tc>
          <w:tcPr>
            <w:tcW w:w="3652" w:type="dxa"/>
            <w:tcBorders>
              <w:top w:val="single" w:sz="4" w:space="0" w:color="auto"/>
              <w:left w:val="single" w:sz="4" w:space="0" w:color="auto"/>
              <w:bottom w:val="single" w:sz="4" w:space="0" w:color="auto"/>
              <w:right w:val="single" w:sz="4" w:space="0" w:color="auto"/>
            </w:tcBorders>
          </w:tcPr>
          <w:p w14:paraId="699DE16F" w14:textId="4EDCECF3" w:rsidR="00C31922" w:rsidRDefault="00C31922" w:rsidP="00C31922">
            <w:pPr>
              <w:spacing w:before="100" w:beforeAutospacing="1" w:after="120"/>
              <w:ind w:right="-340"/>
              <w:rPr>
                <w:rFonts w:cs="Times New Roman"/>
                <w:i/>
                <w:iCs/>
                <w:sz w:val="15"/>
                <w:szCs w:val="15"/>
              </w:rPr>
            </w:pPr>
            <w:r>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68DE4E5E" w14:textId="71592404" w:rsidR="00C31922" w:rsidRPr="00C453CD" w:rsidRDefault="003E5526" w:rsidP="00C31922">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465430A0" w14:textId="77777777" w:rsidTr="00C31922">
        <w:tc>
          <w:tcPr>
            <w:tcW w:w="3652" w:type="dxa"/>
            <w:tcBorders>
              <w:top w:val="single" w:sz="4" w:space="0" w:color="auto"/>
              <w:left w:val="single" w:sz="4" w:space="0" w:color="auto"/>
              <w:bottom w:val="single" w:sz="4" w:space="0" w:color="auto"/>
              <w:right w:val="single" w:sz="4" w:space="0" w:color="auto"/>
            </w:tcBorders>
          </w:tcPr>
          <w:p w14:paraId="24CEF56A" w14:textId="67A33AD7" w:rsidR="00C31922" w:rsidRDefault="00C31922" w:rsidP="00C31922">
            <w:pPr>
              <w:spacing w:before="100" w:beforeAutospacing="1" w:after="120"/>
              <w:ind w:right="-340"/>
              <w:rPr>
                <w:rFonts w:cs="Times New Roman"/>
                <w:i/>
                <w:iCs/>
                <w:sz w:val="15"/>
                <w:szCs w:val="15"/>
              </w:rPr>
            </w:pPr>
            <w:r>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32A9AF69" w14:textId="7C15480E" w:rsidR="00C31922" w:rsidRPr="00C453CD"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bl>
    <w:p w14:paraId="265A1F73" w14:textId="0BAD1F2E" w:rsidR="00DC4448" w:rsidRPr="00027DD6" w:rsidRDefault="009617E9" w:rsidP="005621A8">
      <w:pPr>
        <w:pStyle w:val="Heading3"/>
        <w:spacing w:before="120"/>
      </w:pPr>
      <w:r>
        <w:t>Sample programs</w:t>
      </w:r>
    </w:p>
    <w:p w14:paraId="6A753A6B" w14:textId="1B4E5DEE" w:rsidR="00DC4448" w:rsidRPr="00101DBF" w:rsidRDefault="00DC4448" w:rsidP="006A1D2B">
      <w:pPr>
        <w:pStyle w:val="ListParagraph"/>
        <w:numPr>
          <w:ilvl w:val="0"/>
          <w:numId w:val="18"/>
        </w:numPr>
        <w:spacing w:after="200"/>
        <w:ind w:left="426" w:right="-340"/>
        <w:rPr>
          <w:rFonts w:ascii="Century Gothic" w:hAnsi="Century Gothic"/>
          <w:sz w:val="20"/>
          <w:szCs w:val="20"/>
        </w:rPr>
      </w:pPr>
      <w:r w:rsidRPr="000D1678">
        <w:rPr>
          <w:rFonts w:ascii="Century Gothic" w:hAnsi="Century Gothic"/>
          <w:i/>
          <w:sz w:val="20"/>
          <w:szCs w:val="20"/>
        </w:rPr>
        <w:t>Literacy and Numeracy Coaching Academy</w:t>
      </w:r>
      <w:r w:rsidRPr="00101DBF">
        <w:rPr>
          <w:rFonts w:ascii="Century Gothic" w:hAnsi="Century Gothic"/>
          <w:sz w:val="20"/>
          <w:szCs w:val="20"/>
        </w:rPr>
        <w:t xml:space="preserve"> – builds teacher capacity for peer coaching by developing school based coaches (with 25 schools a year) through 10 intensive workshops and on-line opportunities. Results show improved coaching capacity, a school culture that supports peer coaching and expertise in pedagogy. Schools also create research teams </w:t>
      </w:r>
      <w:r>
        <w:rPr>
          <w:rFonts w:ascii="Century Gothic" w:hAnsi="Century Gothic"/>
          <w:sz w:val="20"/>
          <w:szCs w:val="20"/>
        </w:rPr>
        <w:t>on coaching and measuring</w:t>
      </w:r>
      <w:r w:rsidRPr="00101DBF">
        <w:rPr>
          <w:rFonts w:ascii="Century Gothic" w:hAnsi="Century Gothic"/>
          <w:sz w:val="20"/>
          <w:szCs w:val="20"/>
        </w:rPr>
        <w:t xml:space="preserve"> its impact on student achievement. In 2016 this include</w:t>
      </w:r>
      <w:r>
        <w:rPr>
          <w:rFonts w:ascii="Century Gothic" w:hAnsi="Century Gothic"/>
          <w:sz w:val="20"/>
          <w:szCs w:val="20"/>
        </w:rPr>
        <w:t>d</w:t>
      </w:r>
      <w:r w:rsidR="009617E9">
        <w:rPr>
          <w:rFonts w:ascii="Century Gothic" w:hAnsi="Century Gothic"/>
          <w:sz w:val="20"/>
          <w:szCs w:val="20"/>
        </w:rPr>
        <w:t xml:space="preserve"> other curriculum areas</w:t>
      </w:r>
    </w:p>
    <w:p w14:paraId="2E4F0B31" w14:textId="77777777" w:rsidR="00DC4448" w:rsidRPr="00101DBF" w:rsidRDefault="00DC4448" w:rsidP="006A1D2B">
      <w:pPr>
        <w:pStyle w:val="ListParagraph"/>
        <w:numPr>
          <w:ilvl w:val="0"/>
          <w:numId w:val="18"/>
        </w:numPr>
        <w:spacing w:after="60"/>
        <w:ind w:left="425" w:right="-340" w:hanging="357"/>
        <w:rPr>
          <w:rFonts w:ascii="Century Gothic" w:hAnsi="Century Gothic"/>
          <w:sz w:val="20"/>
          <w:szCs w:val="20"/>
        </w:rPr>
      </w:pPr>
      <w:r w:rsidRPr="000D1678">
        <w:rPr>
          <w:rFonts w:ascii="Century Gothic" w:hAnsi="Century Gothic"/>
          <w:i/>
          <w:sz w:val="20"/>
          <w:szCs w:val="20"/>
        </w:rPr>
        <w:t>Self-improving Schools Program</w:t>
      </w:r>
      <w:r w:rsidRPr="00101DBF">
        <w:rPr>
          <w:rFonts w:ascii="Century Gothic" w:hAnsi="Century Gothic"/>
          <w:sz w:val="20"/>
          <w:szCs w:val="20"/>
        </w:rPr>
        <w:t xml:space="preserve"> –</w:t>
      </w:r>
      <w:r>
        <w:rPr>
          <w:rFonts w:ascii="Century Gothic" w:hAnsi="Century Gothic"/>
          <w:sz w:val="20"/>
          <w:szCs w:val="20"/>
        </w:rPr>
        <w:t xml:space="preserve"> </w:t>
      </w:r>
      <w:r w:rsidRPr="00101DBF">
        <w:rPr>
          <w:rFonts w:ascii="Century Gothic" w:hAnsi="Century Gothic"/>
          <w:sz w:val="20"/>
          <w:szCs w:val="20"/>
        </w:rPr>
        <w:t xml:space="preserve">leadership and management of school review and school improvement activities. Eighty-nine schools </w:t>
      </w:r>
      <w:r>
        <w:rPr>
          <w:rFonts w:ascii="Century Gothic" w:hAnsi="Century Gothic"/>
          <w:sz w:val="20"/>
          <w:szCs w:val="20"/>
        </w:rPr>
        <w:t>in</w:t>
      </w:r>
      <w:r w:rsidRPr="00101DBF">
        <w:rPr>
          <w:rFonts w:ascii="Century Gothic" w:hAnsi="Century Gothic"/>
          <w:sz w:val="20"/>
          <w:szCs w:val="20"/>
        </w:rPr>
        <w:t xml:space="preserve"> the 2015 Program. A consultant was availa</w:t>
      </w:r>
      <w:r>
        <w:rPr>
          <w:rFonts w:ascii="Century Gothic" w:hAnsi="Century Gothic"/>
          <w:sz w:val="20"/>
          <w:szCs w:val="20"/>
        </w:rPr>
        <w:t xml:space="preserve">ble to the school to facilitate. </w:t>
      </w:r>
      <w:r w:rsidRPr="00101DBF">
        <w:rPr>
          <w:rFonts w:ascii="Century Gothic" w:hAnsi="Century Gothic"/>
          <w:sz w:val="20"/>
          <w:szCs w:val="20"/>
        </w:rPr>
        <w:t>Seven consultants and four staff facilitated the SIS Program to assist schools with the development, implementation and evaluation of strategies for improvement in selected focus areas.</w:t>
      </w:r>
    </w:p>
    <w:p w14:paraId="296D14FE" w14:textId="77777777" w:rsidR="00DC4448" w:rsidRPr="00027DD6" w:rsidRDefault="00DC4448" w:rsidP="005621A8">
      <w:pPr>
        <w:pStyle w:val="Heading3"/>
        <w:spacing w:before="120"/>
      </w:pPr>
      <w:r w:rsidRPr="00027DD6">
        <w:t xml:space="preserve">Funding – how used? </w:t>
      </w:r>
    </w:p>
    <w:p w14:paraId="58CB24F8" w14:textId="10E0936B" w:rsidR="00DC4448" w:rsidRPr="00462901" w:rsidRDefault="00DC4448" w:rsidP="006A1D2B">
      <w:pPr>
        <w:pStyle w:val="ListParagraph"/>
        <w:numPr>
          <w:ilvl w:val="0"/>
          <w:numId w:val="18"/>
        </w:numPr>
        <w:spacing w:after="200"/>
        <w:ind w:left="426" w:right="-340"/>
        <w:rPr>
          <w:rFonts w:ascii="Century Gothic" w:hAnsi="Century Gothic"/>
          <w:sz w:val="20"/>
          <w:szCs w:val="20"/>
        </w:rPr>
      </w:pPr>
      <w:r w:rsidRPr="00101DBF">
        <w:rPr>
          <w:rFonts w:ascii="Century Gothic" w:hAnsi="Century Gothic"/>
          <w:sz w:val="20"/>
          <w:szCs w:val="20"/>
        </w:rPr>
        <w:t>SF</w:t>
      </w:r>
      <w:r>
        <w:rPr>
          <w:rFonts w:ascii="Century Gothic" w:hAnsi="Century Gothic"/>
          <w:sz w:val="20"/>
          <w:szCs w:val="20"/>
        </w:rPr>
        <w:t>SF</w:t>
      </w:r>
      <w:r w:rsidRPr="00101DBF">
        <w:rPr>
          <w:rFonts w:ascii="Century Gothic" w:hAnsi="Century Gothic"/>
          <w:sz w:val="20"/>
          <w:szCs w:val="20"/>
        </w:rPr>
        <w:t xml:space="preserve"> contributes approximately $2.5m per year to salaries and $.5m to administration; no l</w:t>
      </w:r>
      <w:r w:rsidR="009617E9">
        <w:rPr>
          <w:rFonts w:ascii="Century Gothic" w:hAnsi="Century Gothic"/>
          <w:sz w:val="20"/>
          <w:szCs w:val="20"/>
        </w:rPr>
        <w:t>onger provide grants to schools</w:t>
      </w:r>
    </w:p>
    <w:p w14:paraId="04562FFD" w14:textId="77777777" w:rsidR="00DC4448" w:rsidRPr="00462901" w:rsidRDefault="00DC4448" w:rsidP="006A1D2B">
      <w:pPr>
        <w:pStyle w:val="ListParagraph"/>
        <w:numPr>
          <w:ilvl w:val="0"/>
          <w:numId w:val="18"/>
        </w:numPr>
        <w:spacing w:after="200"/>
        <w:ind w:left="426" w:right="-340"/>
        <w:rPr>
          <w:rFonts w:ascii="Century Gothic" w:hAnsi="Century Gothic"/>
          <w:sz w:val="20"/>
          <w:szCs w:val="20"/>
        </w:rPr>
      </w:pPr>
      <w:r w:rsidRPr="00101DBF">
        <w:rPr>
          <w:rFonts w:ascii="Century Gothic" w:hAnsi="Century Gothic"/>
          <w:sz w:val="20"/>
          <w:szCs w:val="20"/>
        </w:rPr>
        <w:t>This supported 25.2 staff to develop and deliver the SFSF action plan.</w:t>
      </w:r>
    </w:p>
    <w:p w14:paraId="797BB3FB" w14:textId="75323AEB" w:rsidR="00DC4448" w:rsidRPr="00462901" w:rsidRDefault="00DC4448" w:rsidP="006A1D2B">
      <w:pPr>
        <w:pStyle w:val="ListParagraph"/>
        <w:numPr>
          <w:ilvl w:val="0"/>
          <w:numId w:val="18"/>
        </w:numPr>
        <w:spacing w:after="60"/>
        <w:ind w:left="425" w:right="-340" w:hanging="357"/>
        <w:rPr>
          <w:rFonts w:ascii="Century Gothic" w:hAnsi="Century Gothic"/>
          <w:sz w:val="20"/>
          <w:szCs w:val="20"/>
        </w:rPr>
      </w:pPr>
      <w:r w:rsidRPr="00101DBF">
        <w:rPr>
          <w:rFonts w:ascii="Century Gothic" w:hAnsi="Century Gothic"/>
          <w:sz w:val="20"/>
          <w:szCs w:val="20"/>
        </w:rPr>
        <w:t>Distribution is over 29 projects, some where SFSF makes a small contribution such as $25,000 to supplement a $400,000 budget. Some rationalisation in</w:t>
      </w:r>
      <w:r>
        <w:rPr>
          <w:rFonts w:ascii="Century Gothic" w:hAnsi="Century Gothic"/>
          <w:sz w:val="20"/>
          <w:szCs w:val="20"/>
        </w:rPr>
        <w:t xml:space="preserve"> </w:t>
      </w:r>
      <w:r w:rsidR="009617E9">
        <w:rPr>
          <w:rFonts w:ascii="Century Gothic" w:hAnsi="Century Gothic"/>
          <w:sz w:val="20"/>
          <w:szCs w:val="20"/>
        </w:rPr>
        <w:t>2016.</w:t>
      </w:r>
    </w:p>
    <w:p w14:paraId="19B4916F" w14:textId="457659F1" w:rsidR="00DC4448" w:rsidRPr="00027DD6" w:rsidRDefault="009617E9" w:rsidP="005621A8">
      <w:pPr>
        <w:pStyle w:val="Heading3"/>
        <w:spacing w:before="120"/>
      </w:pPr>
      <w:r>
        <w:t>Monitoring success</w:t>
      </w:r>
    </w:p>
    <w:p w14:paraId="3F3BFC5B" w14:textId="44BB4A4C" w:rsidR="00DC4448" w:rsidRDefault="00DC4448" w:rsidP="006A1D2B">
      <w:pPr>
        <w:pStyle w:val="ListParagraph"/>
        <w:numPr>
          <w:ilvl w:val="0"/>
          <w:numId w:val="18"/>
        </w:numPr>
        <w:spacing w:after="200"/>
        <w:ind w:left="426" w:right="-340"/>
        <w:rPr>
          <w:rFonts w:ascii="Century Gothic" w:hAnsi="Century Gothic"/>
          <w:sz w:val="20"/>
          <w:szCs w:val="20"/>
        </w:rPr>
      </w:pPr>
      <w:r>
        <w:rPr>
          <w:rFonts w:ascii="Century Gothic" w:hAnsi="Century Gothic"/>
          <w:sz w:val="20"/>
          <w:szCs w:val="20"/>
        </w:rPr>
        <w:t>70% of projects incorporate evaluation, many of which are undertaken independent external reviewers. Projects are modified according to evaluation outcomes e/g 2016 extended som</w:t>
      </w:r>
      <w:r w:rsidR="009617E9">
        <w:rPr>
          <w:rFonts w:ascii="Century Gothic" w:hAnsi="Century Gothic"/>
          <w:sz w:val="20"/>
          <w:szCs w:val="20"/>
        </w:rPr>
        <w:t>e projects and modified others.</w:t>
      </w:r>
    </w:p>
    <w:p w14:paraId="7B4D0F43" w14:textId="21D4C772" w:rsidR="00DC4448" w:rsidRDefault="00DC4448" w:rsidP="006A1D2B">
      <w:pPr>
        <w:pStyle w:val="ListParagraph"/>
        <w:numPr>
          <w:ilvl w:val="0"/>
          <w:numId w:val="18"/>
        </w:numPr>
        <w:spacing w:after="60"/>
        <w:ind w:left="425" w:right="-340" w:hanging="357"/>
        <w:rPr>
          <w:rFonts w:ascii="Century Gothic" w:hAnsi="Century Gothic"/>
          <w:sz w:val="20"/>
          <w:szCs w:val="20"/>
        </w:rPr>
      </w:pPr>
      <w:r>
        <w:rPr>
          <w:rFonts w:ascii="Century Gothic" w:hAnsi="Century Gothic"/>
          <w:sz w:val="20"/>
          <w:szCs w:val="20"/>
        </w:rPr>
        <w:t>Indicators of success closely match the objectives of the projects and include:  awareness and impact on school leadership; growth in coaching capacity; and c</w:t>
      </w:r>
      <w:r w:rsidR="009617E9">
        <w:rPr>
          <w:rFonts w:ascii="Century Gothic" w:hAnsi="Century Gothic"/>
          <w:sz w:val="20"/>
          <w:szCs w:val="20"/>
        </w:rPr>
        <w:t>hanges in teaching practices</w:t>
      </w:r>
    </w:p>
    <w:p w14:paraId="564F863C" w14:textId="77777777" w:rsidR="00DC4448" w:rsidRPr="00027DD6" w:rsidRDefault="00DC4448" w:rsidP="005621A8">
      <w:pPr>
        <w:pStyle w:val="Heading3"/>
        <w:spacing w:before="120"/>
      </w:pPr>
      <w:r w:rsidRPr="00027DD6">
        <w:t>Issues and implications</w:t>
      </w:r>
    </w:p>
    <w:p w14:paraId="43DD803E" w14:textId="313754C8" w:rsidR="00DC4448" w:rsidRPr="00101DBF" w:rsidRDefault="00DC4448" w:rsidP="00DC4448">
      <w:pPr>
        <w:ind w:right="-340"/>
        <w:rPr>
          <w:rFonts w:ascii="Century Gothic" w:hAnsi="Century Gothic"/>
          <w:sz w:val="20"/>
          <w:szCs w:val="20"/>
        </w:rPr>
      </w:pPr>
      <w:r w:rsidRPr="00101DBF">
        <w:rPr>
          <w:rFonts w:ascii="Century Gothic" w:hAnsi="Century Gothic"/>
          <w:sz w:val="20"/>
          <w:szCs w:val="20"/>
        </w:rPr>
        <w:t>The future direction is not to give top-down advice – provide instead frameworks, and processes. Activities must be data and evidence driven.</w:t>
      </w:r>
    </w:p>
    <w:p w14:paraId="238D9933" w14:textId="6195C648" w:rsidR="00DC4448" w:rsidRPr="00261306" w:rsidRDefault="00DC4448" w:rsidP="00DC4448">
      <w:r w:rsidRPr="00101DBF">
        <w:rPr>
          <w:rFonts w:ascii="Century Gothic" w:hAnsi="Century Gothic"/>
          <w:sz w:val="20"/>
          <w:szCs w:val="20"/>
        </w:rPr>
        <w:t>Teachers as Researchers; and Teache</w:t>
      </w:r>
      <w:r>
        <w:rPr>
          <w:rFonts w:ascii="Century Gothic" w:hAnsi="Century Gothic"/>
          <w:sz w:val="20"/>
          <w:szCs w:val="20"/>
        </w:rPr>
        <w:t>r</w:t>
      </w:r>
      <w:r w:rsidRPr="00101DBF">
        <w:rPr>
          <w:rFonts w:ascii="Century Gothic" w:hAnsi="Century Gothic"/>
          <w:sz w:val="20"/>
          <w:szCs w:val="20"/>
        </w:rPr>
        <w:t>s a Researcher for STEM – enhanced capacity for innovative teaching and learning in ESL, LOTE and gifted and talented children through facilitated professional learning on site, cross team collaboration, on-line collaboration for 25 schools a year. For STE</w:t>
      </w:r>
      <w:r>
        <w:rPr>
          <w:rFonts w:ascii="Century Gothic" w:hAnsi="Century Gothic"/>
          <w:sz w:val="20"/>
          <w:szCs w:val="20"/>
        </w:rPr>
        <w:t>M</w:t>
      </w:r>
      <w:r w:rsidRPr="00101DBF">
        <w:rPr>
          <w:rFonts w:ascii="Century Gothic" w:hAnsi="Century Gothic"/>
          <w:sz w:val="20"/>
          <w:szCs w:val="20"/>
        </w:rPr>
        <w:t>, nine centres of excellence were established for collaborative research</w:t>
      </w:r>
      <w:r w:rsidR="009617E9">
        <w:rPr>
          <w:rFonts w:ascii="Century Gothic" w:hAnsi="Century Gothic"/>
          <w:sz w:val="20"/>
          <w:szCs w:val="20"/>
        </w:rPr>
        <w:t xml:space="preserve"> and professional development.</w:t>
      </w: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Queensland Catholic NGRB."/>
      </w:tblPr>
      <w:tblGrid>
        <w:gridCol w:w="3777"/>
        <w:gridCol w:w="1009"/>
        <w:gridCol w:w="1285"/>
        <w:gridCol w:w="1325"/>
        <w:gridCol w:w="1296"/>
      </w:tblGrid>
      <w:tr w:rsidR="00DC4448" w:rsidRPr="004D73D2" w14:paraId="1770CE51" w14:textId="77777777" w:rsidTr="002C6ABD">
        <w:tc>
          <w:tcPr>
            <w:tcW w:w="3777" w:type="dxa"/>
            <w:vMerge w:val="restart"/>
            <w:tcBorders>
              <w:top w:val="nil"/>
              <w:left w:val="nil"/>
              <w:bottom w:val="nil"/>
              <w:right w:val="single" w:sz="4" w:space="0" w:color="auto"/>
            </w:tcBorders>
            <w:shd w:val="clear" w:color="auto" w:fill="auto"/>
          </w:tcPr>
          <w:p w14:paraId="0A3B08BB" w14:textId="77777777" w:rsidR="00DC4448" w:rsidRPr="00870B9B" w:rsidRDefault="00DC4448" w:rsidP="005621A8">
            <w:pPr>
              <w:pStyle w:val="Heading2"/>
              <w:spacing w:before="0" w:after="0"/>
            </w:pPr>
            <w:bookmarkStart w:id="124" w:name="_Toc472261292"/>
            <w:bookmarkStart w:id="125" w:name="_Toc472262635"/>
            <w:bookmarkStart w:id="126" w:name="_Toc472263017"/>
            <w:bookmarkStart w:id="127" w:name="_Toc472263167"/>
            <w:bookmarkStart w:id="128" w:name="_Toc472263318"/>
            <w:bookmarkStart w:id="129" w:name="_Toc346124009"/>
            <w:r w:rsidRPr="005621A8">
              <w:rPr>
                <w:sz w:val="24"/>
              </w:rPr>
              <w:t>Queensland Catholic</w:t>
            </w:r>
            <w:bookmarkEnd w:id="124"/>
            <w:bookmarkEnd w:id="125"/>
            <w:bookmarkEnd w:id="126"/>
            <w:bookmarkEnd w:id="127"/>
            <w:bookmarkEnd w:id="128"/>
            <w:bookmarkEnd w:id="129"/>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AA130" w14:textId="77777777" w:rsidR="00DC4448" w:rsidRPr="00E4618A" w:rsidRDefault="00DC4448" w:rsidP="002C6ABD">
            <w:pPr>
              <w:ind w:right="-340"/>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966B35" w14:textId="77777777" w:rsidR="00DC4448" w:rsidRPr="00E4618A" w:rsidRDefault="00DC4448" w:rsidP="002C6ABD">
            <w:pPr>
              <w:ind w:right="-340"/>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9B8FA5" w14:textId="77777777" w:rsidR="00DC4448" w:rsidRPr="00E4618A" w:rsidRDefault="00DC4448" w:rsidP="002C6ABD">
            <w:pPr>
              <w:ind w:right="-340"/>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E27A0A" w14:textId="77777777" w:rsidR="00DC4448" w:rsidRPr="00E4618A" w:rsidRDefault="00DC4448" w:rsidP="002C6ABD">
            <w:pPr>
              <w:ind w:right="-340"/>
              <w:rPr>
                <w:sz w:val="16"/>
                <w:szCs w:val="16"/>
              </w:rPr>
            </w:pPr>
            <w:r>
              <w:rPr>
                <w:sz w:val="16"/>
                <w:szCs w:val="16"/>
              </w:rPr>
              <w:t>SFSF $</w:t>
            </w:r>
          </w:p>
        </w:tc>
      </w:tr>
      <w:tr w:rsidR="00DC4448" w:rsidRPr="005D146A" w14:paraId="13B41EE3" w14:textId="77777777" w:rsidTr="002C6ABD">
        <w:tc>
          <w:tcPr>
            <w:tcW w:w="3777" w:type="dxa"/>
            <w:vMerge/>
            <w:tcBorders>
              <w:left w:val="nil"/>
              <w:bottom w:val="nil"/>
              <w:right w:val="single" w:sz="4" w:space="0" w:color="auto"/>
            </w:tcBorders>
            <w:shd w:val="clear" w:color="auto" w:fill="auto"/>
          </w:tcPr>
          <w:p w14:paraId="5DA7B67E"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0610DB0A"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299 </w:t>
            </w:r>
          </w:p>
        </w:tc>
        <w:tc>
          <w:tcPr>
            <w:tcW w:w="1285" w:type="dxa"/>
            <w:tcBorders>
              <w:top w:val="single" w:sz="4" w:space="0" w:color="auto"/>
              <w:left w:val="single" w:sz="4" w:space="0" w:color="auto"/>
              <w:bottom w:val="single" w:sz="4" w:space="0" w:color="auto"/>
              <w:right w:val="single" w:sz="4" w:space="0" w:color="auto"/>
            </w:tcBorders>
            <w:vAlign w:val="bottom"/>
          </w:tcPr>
          <w:p w14:paraId="4FAFCB40"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145,460.30 </w:t>
            </w:r>
          </w:p>
        </w:tc>
        <w:tc>
          <w:tcPr>
            <w:tcW w:w="1325" w:type="dxa"/>
            <w:tcBorders>
              <w:top w:val="single" w:sz="4" w:space="0" w:color="auto"/>
              <w:left w:val="single" w:sz="4" w:space="0" w:color="auto"/>
              <w:bottom w:val="single" w:sz="4" w:space="0" w:color="auto"/>
              <w:right w:val="single" w:sz="4" w:space="0" w:color="auto"/>
            </w:tcBorders>
            <w:vAlign w:val="bottom"/>
          </w:tcPr>
          <w:p w14:paraId="26152E11"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9,818.7 </w:t>
            </w:r>
          </w:p>
        </w:tc>
        <w:tc>
          <w:tcPr>
            <w:tcW w:w="1296" w:type="dxa"/>
            <w:tcBorders>
              <w:top w:val="single" w:sz="4" w:space="0" w:color="auto"/>
              <w:left w:val="single" w:sz="4" w:space="0" w:color="auto"/>
              <w:bottom w:val="single" w:sz="4" w:space="0" w:color="auto"/>
              <w:right w:val="single" w:sz="4" w:space="0" w:color="auto"/>
            </w:tcBorders>
            <w:vAlign w:val="bottom"/>
          </w:tcPr>
          <w:p w14:paraId="15951786"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$2,567,447</w:t>
            </w:r>
          </w:p>
        </w:tc>
      </w:tr>
    </w:tbl>
    <w:p w14:paraId="0011AE94" w14:textId="77777777" w:rsidR="00DC4448" w:rsidRPr="003A3CAE" w:rsidRDefault="00DC4448" w:rsidP="005621A8">
      <w:pPr>
        <w:pStyle w:val="Heading3"/>
        <w:spacing w:before="120"/>
        <w:rPr>
          <w:rStyle w:val="IntenseEmphasis"/>
          <w:b/>
          <w:bCs/>
          <w:i w:val="0"/>
          <w:iCs w:val="0"/>
        </w:rPr>
      </w:pPr>
      <w:bookmarkStart w:id="130" w:name="_Toc472261293"/>
      <w:bookmarkStart w:id="131" w:name="_Toc472262636"/>
      <w:bookmarkStart w:id="132" w:name="_Toc472263018"/>
      <w:bookmarkStart w:id="133" w:name="_Toc472263168"/>
      <w:bookmarkStart w:id="134" w:name="_Toc472263319"/>
      <w:bookmarkStart w:id="135" w:name="_Toc346124010"/>
      <w:r w:rsidRPr="003A3CAE">
        <w:rPr>
          <w:rStyle w:val="IntenseEmphasis"/>
          <w:b/>
          <w:bCs/>
          <w:i w:val="0"/>
          <w:iCs w:val="0"/>
        </w:rPr>
        <w:t>Key Features of Approach</w:t>
      </w:r>
      <w:bookmarkEnd w:id="130"/>
      <w:bookmarkEnd w:id="131"/>
      <w:bookmarkEnd w:id="132"/>
      <w:bookmarkEnd w:id="133"/>
      <w:bookmarkEnd w:id="134"/>
      <w:bookmarkEnd w:id="135"/>
    </w:p>
    <w:p w14:paraId="41631B83" w14:textId="2A4A485E" w:rsidR="00DC4448" w:rsidRDefault="00DC4448" w:rsidP="006A1D2B">
      <w:pPr>
        <w:pStyle w:val="ListParagraph"/>
        <w:numPr>
          <w:ilvl w:val="0"/>
          <w:numId w:val="15"/>
        </w:numPr>
        <w:spacing w:line="276" w:lineRule="auto"/>
        <w:ind w:left="18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Catholic education in Queensland has a number of elements - </w:t>
      </w:r>
      <w:r w:rsidRPr="004357E4">
        <w:rPr>
          <w:rFonts w:ascii="Century Gothic" w:eastAsiaTheme="minorHAnsi" w:hAnsi="Century Gothic"/>
          <w:sz w:val="20"/>
          <w:szCs w:val="20"/>
          <w:lang w:val="en-AU"/>
        </w:rPr>
        <w:t>22 Catholic schooling authorities – five dioce</w:t>
      </w:r>
      <w:r>
        <w:rPr>
          <w:rFonts w:ascii="Century Gothic" w:eastAsiaTheme="minorHAnsi" w:hAnsi="Century Gothic"/>
          <w:sz w:val="20"/>
          <w:szCs w:val="20"/>
          <w:lang w:val="en-AU"/>
        </w:rPr>
        <w:t xml:space="preserve">san Catholic Education Offices </w:t>
      </w:r>
      <w:r w:rsidRPr="004357E4">
        <w:rPr>
          <w:rFonts w:ascii="Century Gothic" w:eastAsiaTheme="minorHAnsi" w:hAnsi="Century Gothic"/>
          <w:sz w:val="20"/>
          <w:szCs w:val="20"/>
          <w:lang w:val="en-AU"/>
        </w:rPr>
        <w:t>and 17 Religious Institutes</w:t>
      </w:r>
      <w:r>
        <w:rPr>
          <w:rFonts w:ascii="Century Gothic" w:eastAsiaTheme="minorHAnsi" w:hAnsi="Century Gothic"/>
          <w:sz w:val="20"/>
          <w:szCs w:val="20"/>
          <w:lang w:val="en-AU"/>
        </w:rPr>
        <w:t>.</w:t>
      </w:r>
      <w:r w:rsidRPr="0032398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E</w:t>
      </w:r>
      <w:r w:rsidRPr="0032398E">
        <w:rPr>
          <w:rFonts w:ascii="Century Gothic" w:eastAsiaTheme="minorHAnsi" w:hAnsi="Century Gothic"/>
          <w:sz w:val="20"/>
          <w:szCs w:val="20"/>
          <w:lang w:val="en-AU"/>
        </w:rPr>
        <w:t>ach authority access</w:t>
      </w:r>
      <w:r>
        <w:rPr>
          <w:rFonts w:ascii="Century Gothic" w:eastAsiaTheme="minorHAnsi" w:hAnsi="Century Gothic"/>
          <w:sz w:val="20"/>
          <w:szCs w:val="20"/>
          <w:lang w:val="en-AU"/>
        </w:rPr>
        <w:t>es</w:t>
      </w:r>
      <w:r w:rsidRPr="0032398E">
        <w:rPr>
          <w:rFonts w:ascii="Century Gothic" w:eastAsiaTheme="minorHAnsi" w:hAnsi="Century Gothic"/>
          <w:sz w:val="20"/>
          <w:szCs w:val="20"/>
          <w:lang w:val="en-AU"/>
        </w:rPr>
        <w:t xml:space="preserve"> funding </w:t>
      </w:r>
      <w:r>
        <w:rPr>
          <w:rFonts w:ascii="Century Gothic" w:eastAsiaTheme="minorHAnsi" w:hAnsi="Century Gothic"/>
          <w:sz w:val="20"/>
          <w:szCs w:val="20"/>
          <w:lang w:val="en-AU"/>
        </w:rPr>
        <w:t xml:space="preserve">through </w:t>
      </w:r>
      <w:r w:rsidRPr="0032398E">
        <w:rPr>
          <w:rFonts w:ascii="Century Gothic" w:eastAsiaTheme="minorHAnsi" w:hAnsi="Century Gothic"/>
          <w:sz w:val="20"/>
          <w:szCs w:val="20"/>
          <w:lang w:val="en-AU"/>
        </w:rPr>
        <w:t xml:space="preserve">addressing criteria and objectives – </w:t>
      </w:r>
      <w:r>
        <w:rPr>
          <w:rFonts w:ascii="Century Gothic" w:eastAsiaTheme="minorHAnsi" w:hAnsi="Century Gothic"/>
          <w:sz w:val="20"/>
          <w:szCs w:val="20"/>
          <w:lang w:val="en-AU"/>
        </w:rPr>
        <w:t xml:space="preserve">authorities </w:t>
      </w:r>
      <w:r w:rsidRPr="0032398E">
        <w:rPr>
          <w:rFonts w:ascii="Century Gothic" w:eastAsiaTheme="minorHAnsi" w:hAnsi="Century Gothic"/>
          <w:sz w:val="20"/>
          <w:szCs w:val="20"/>
          <w:lang w:val="en-AU"/>
        </w:rPr>
        <w:t xml:space="preserve">have the flexibility </w:t>
      </w:r>
      <w:r>
        <w:rPr>
          <w:rFonts w:ascii="Century Gothic" w:eastAsiaTheme="minorHAnsi" w:hAnsi="Century Gothic"/>
          <w:sz w:val="20"/>
          <w:szCs w:val="20"/>
          <w:lang w:val="en-AU"/>
        </w:rPr>
        <w:t xml:space="preserve">to </w:t>
      </w:r>
      <w:r w:rsidRPr="0032398E">
        <w:rPr>
          <w:rFonts w:ascii="Century Gothic" w:eastAsiaTheme="minorHAnsi" w:hAnsi="Century Gothic"/>
          <w:sz w:val="20"/>
          <w:szCs w:val="20"/>
          <w:lang w:val="en-AU"/>
        </w:rPr>
        <w:t>target</w:t>
      </w:r>
      <w:r w:rsidR="009617E9">
        <w:rPr>
          <w:rFonts w:ascii="Century Gothic" w:eastAsiaTheme="minorHAnsi" w:hAnsi="Century Gothic"/>
          <w:sz w:val="20"/>
          <w:szCs w:val="20"/>
          <w:lang w:val="en-AU"/>
        </w:rPr>
        <w:t xml:space="preserve"> funds.</w:t>
      </w:r>
    </w:p>
    <w:p w14:paraId="12234FD4" w14:textId="77777777" w:rsidR="00DC4448" w:rsidRDefault="00DC4448" w:rsidP="006A1D2B">
      <w:pPr>
        <w:pStyle w:val="ListParagraph"/>
        <w:numPr>
          <w:ilvl w:val="0"/>
          <w:numId w:val="15"/>
        </w:numPr>
        <w:spacing w:line="276" w:lineRule="auto"/>
        <w:ind w:left="18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Documentation covers a large range of activities under the five reform areas with the caveat that “n</w:t>
      </w:r>
      <w:r w:rsidRPr="004357E4">
        <w:rPr>
          <w:rFonts w:ascii="Century Gothic" w:eastAsiaTheme="minorHAnsi" w:hAnsi="Century Gothic"/>
          <w:sz w:val="20"/>
          <w:szCs w:val="20"/>
          <w:lang w:val="en-AU"/>
        </w:rPr>
        <w:t>ot all Catholic schooling authorities will undertake all the activities listed in the implementation plan and not all success indicators are relevant to all Catholic schooling authorities</w:t>
      </w:r>
      <w:r>
        <w:rPr>
          <w:rFonts w:ascii="Century Gothic" w:eastAsiaTheme="minorHAnsi" w:hAnsi="Century Gothic"/>
          <w:sz w:val="20"/>
          <w:szCs w:val="20"/>
          <w:lang w:val="en-AU"/>
        </w:rPr>
        <w:t>…”.</w:t>
      </w:r>
    </w:p>
    <w:p w14:paraId="6FBA33F5" w14:textId="77777777" w:rsidR="00DC4448" w:rsidRDefault="00DC4448" w:rsidP="006A1D2B">
      <w:pPr>
        <w:pStyle w:val="ListParagraph"/>
        <w:numPr>
          <w:ilvl w:val="0"/>
          <w:numId w:val="15"/>
        </w:numPr>
        <w:spacing w:line="276" w:lineRule="auto"/>
        <w:ind w:left="18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Broad emphasis on Quality Teaching activities – more than 50% of budget</w:t>
      </w:r>
    </w:p>
    <w:p w14:paraId="556823D5" w14:textId="77777777" w:rsidR="00DC4448" w:rsidRPr="007140D6" w:rsidRDefault="00DC4448" w:rsidP="005621A8">
      <w:pPr>
        <w:pStyle w:val="Heading3"/>
        <w:spacing w:before="120"/>
      </w:pPr>
      <w:bookmarkStart w:id="136" w:name="_Toc472261294"/>
      <w:bookmarkStart w:id="137" w:name="_Toc472262637"/>
      <w:bookmarkStart w:id="138" w:name="_Toc472263019"/>
      <w:bookmarkStart w:id="139" w:name="_Toc472263169"/>
      <w:bookmarkStart w:id="140" w:name="_Toc472263320"/>
      <w:r w:rsidRPr="007140D6">
        <w:t>Predominant Modes of Delivery</w:t>
      </w:r>
      <w:bookmarkEnd w:id="136"/>
      <w:bookmarkEnd w:id="137"/>
      <w:bookmarkEnd w:id="138"/>
      <w:bookmarkEnd w:id="139"/>
      <w:bookmarkEnd w:id="140"/>
    </w:p>
    <w:tbl>
      <w:tblPr>
        <w:tblW w:w="4502" w:type="dxa"/>
        <w:tblLook w:val="04A0" w:firstRow="1" w:lastRow="0" w:firstColumn="1" w:lastColumn="0" w:noHBand="0" w:noVBand="1"/>
        <w:tblCaption w:val="Predominant delivery models"/>
        <w:tblDescription w:val="This table shows that predominant delivery models include Professional learning,&#10;Coaching and mentoring services, On-line tools, Resource provision, and Research practitioner.&#10;"/>
      </w:tblPr>
      <w:tblGrid>
        <w:gridCol w:w="3652"/>
        <w:gridCol w:w="850"/>
      </w:tblGrid>
      <w:tr w:rsidR="00C31922" w:rsidRPr="00E4618A" w14:paraId="33975060"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337687" w14:textId="77777777" w:rsidR="00C31922" w:rsidRPr="00E4618A" w:rsidRDefault="00C31922"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56CBD9" w14:textId="52A63098" w:rsidR="00C31922" w:rsidRPr="00E4618A" w:rsidRDefault="003E5526" w:rsidP="002C6ABD">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C31922" w:rsidRPr="00C453CD" w14:paraId="672A87F6" w14:textId="77777777" w:rsidTr="00C31922">
        <w:tc>
          <w:tcPr>
            <w:tcW w:w="3652" w:type="dxa"/>
            <w:tcBorders>
              <w:top w:val="single" w:sz="4" w:space="0" w:color="auto"/>
              <w:left w:val="single" w:sz="4" w:space="0" w:color="auto"/>
              <w:bottom w:val="single" w:sz="4" w:space="0" w:color="auto"/>
              <w:right w:val="single" w:sz="4" w:space="0" w:color="auto"/>
            </w:tcBorders>
          </w:tcPr>
          <w:p w14:paraId="4EF337F5"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63B69DF9" w14:textId="55DAB1EF"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40267540"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65AED935"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tcPr>
          <w:p w14:paraId="7FCFB538" w14:textId="6541E3D7"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655FD681" w14:textId="77777777" w:rsidTr="00C31922">
        <w:tc>
          <w:tcPr>
            <w:tcW w:w="3652" w:type="dxa"/>
            <w:tcBorders>
              <w:top w:val="single" w:sz="4" w:space="0" w:color="auto"/>
              <w:left w:val="single" w:sz="4" w:space="0" w:color="auto"/>
              <w:bottom w:val="single" w:sz="4" w:space="0" w:color="auto"/>
              <w:right w:val="single" w:sz="4" w:space="0" w:color="auto"/>
            </w:tcBorders>
          </w:tcPr>
          <w:p w14:paraId="1E6CE85A"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531A7ED7" w14:textId="72E53F9A"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214E337A" w14:textId="77777777" w:rsidTr="00C31922">
        <w:tc>
          <w:tcPr>
            <w:tcW w:w="3652" w:type="dxa"/>
            <w:tcBorders>
              <w:top w:val="single" w:sz="4" w:space="0" w:color="auto"/>
              <w:left w:val="single" w:sz="4" w:space="0" w:color="auto"/>
              <w:bottom w:val="single" w:sz="4" w:space="0" w:color="auto"/>
              <w:right w:val="single" w:sz="4" w:space="0" w:color="auto"/>
            </w:tcBorders>
          </w:tcPr>
          <w:p w14:paraId="28B4FE89"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4295A848" w14:textId="0E7503BB"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0AF735A3"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50199261"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 xml:space="preserve">Resource provision </w:t>
            </w:r>
          </w:p>
        </w:tc>
        <w:tc>
          <w:tcPr>
            <w:tcW w:w="850" w:type="dxa"/>
            <w:tcBorders>
              <w:top w:val="single" w:sz="4" w:space="0" w:color="auto"/>
              <w:left w:val="single" w:sz="4" w:space="0" w:color="auto"/>
              <w:bottom w:val="single" w:sz="4" w:space="0" w:color="auto"/>
              <w:right w:val="single" w:sz="4" w:space="0" w:color="auto"/>
            </w:tcBorders>
          </w:tcPr>
          <w:p w14:paraId="001182E3" w14:textId="3245193F"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02A4E09B" w14:textId="77777777" w:rsidTr="00C31922">
        <w:tc>
          <w:tcPr>
            <w:tcW w:w="3652" w:type="dxa"/>
            <w:tcBorders>
              <w:top w:val="single" w:sz="4" w:space="0" w:color="auto"/>
              <w:left w:val="single" w:sz="4" w:space="0" w:color="auto"/>
              <w:bottom w:val="single" w:sz="4" w:space="0" w:color="auto"/>
              <w:right w:val="single" w:sz="4" w:space="0" w:color="auto"/>
            </w:tcBorders>
          </w:tcPr>
          <w:p w14:paraId="479F178A" w14:textId="4AE6A6C8"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3D56D676" w14:textId="118812F5" w:rsidR="00C31922" w:rsidRPr="00AC7F0C" w:rsidRDefault="003E5526"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2CCFCE08" w14:textId="77777777" w:rsidTr="00C31922">
        <w:tc>
          <w:tcPr>
            <w:tcW w:w="3652" w:type="dxa"/>
            <w:tcBorders>
              <w:top w:val="single" w:sz="4" w:space="0" w:color="auto"/>
              <w:left w:val="single" w:sz="4" w:space="0" w:color="auto"/>
              <w:bottom w:val="single" w:sz="4" w:space="0" w:color="auto"/>
              <w:right w:val="single" w:sz="4" w:space="0" w:color="auto"/>
            </w:tcBorders>
          </w:tcPr>
          <w:p w14:paraId="0A494C5D" w14:textId="498B76C3"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39034C27" w14:textId="0657EBF6"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1C6E1C82" w14:textId="77777777" w:rsidTr="00C31922">
        <w:tc>
          <w:tcPr>
            <w:tcW w:w="3652" w:type="dxa"/>
            <w:tcBorders>
              <w:top w:val="single" w:sz="4" w:space="0" w:color="auto"/>
              <w:left w:val="single" w:sz="4" w:space="0" w:color="auto"/>
              <w:bottom w:val="single" w:sz="4" w:space="0" w:color="auto"/>
              <w:right w:val="single" w:sz="4" w:space="0" w:color="auto"/>
            </w:tcBorders>
          </w:tcPr>
          <w:p w14:paraId="3B1FD961" w14:textId="7603FD07"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4FE33B39" w14:textId="120EEC62"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4D739C83" w14:textId="77777777" w:rsidTr="00C31922">
        <w:tc>
          <w:tcPr>
            <w:tcW w:w="3652" w:type="dxa"/>
            <w:tcBorders>
              <w:top w:val="single" w:sz="4" w:space="0" w:color="auto"/>
              <w:left w:val="single" w:sz="4" w:space="0" w:color="auto"/>
              <w:bottom w:val="single" w:sz="4" w:space="0" w:color="auto"/>
              <w:right w:val="single" w:sz="4" w:space="0" w:color="auto"/>
            </w:tcBorders>
          </w:tcPr>
          <w:p w14:paraId="47487886" w14:textId="618F225F"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42448997" w14:textId="4B268E3F"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bl>
    <w:p w14:paraId="48D160DE" w14:textId="77777777" w:rsidR="00DC4448" w:rsidRPr="00027DD6" w:rsidRDefault="00DC4448" w:rsidP="005621A8">
      <w:pPr>
        <w:pStyle w:val="Heading3"/>
        <w:spacing w:before="120"/>
      </w:pPr>
      <w:bookmarkStart w:id="141" w:name="_Toc472261295"/>
      <w:bookmarkStart w:id="142" w:name="_Toc472262638"/>
      <w:bookmarkStart w:id="143" w:name="_Toc472263020"/>
      <w:bookmarkStart w:id="144" w:name="_Toc472263170"/>
      <w:bookmarkStart w:id="145" w:name="_Toc472263321"/>
      <w:bookmarkStart w:id="146" w:name="_Toc346124011"/>
      <w:r w:rsidRPr="00027DD6">
        <w:t>Sample of Key Programs</w:t>
      </w:r>
      <w:bookmarkEnd w:id="141"/>
      <w:bookmarkEnd w:id="142"/>
      <w:bookmarkEnd w:id="143"/>
      <w:bookmarkEnd w:id="144"/>
      <w:bookmarkEnd w:id="145"/>
      <w:bookmarkEnd w:id="146"/>
    </w:p>
    <w:p w14:paraId="237DF666" w14:textId="77777777" w:rsidR="00DC4448" w:rsidRPr="00722037"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Implement teacher performance </w:t>
      </w:r>
      <w:r w:rsidRPr="00722037">
        <w:rPr>
          <w:rFonts w:ascii="Century Gothic" w:eastAsiaTheme="minorHAnsi" w:hAnsi="Century Gothic"/>
          <w:sz w:val="20"/>
          <w:szCs w:val="20"/>
          <w:lang w:val="en-AU"/>
        </w:rPr>
        <w:t>&amp;</w:t>
      </w:r>
      <w:r>
        <w:rPr>
          <w:rFonts w:ascii="Century Gothic" w:eastAsiaTheme="minorHAnsi" w:hAnsi="Century Gothic"/>
          <w:sz w:val="20"/>
          <w:szCs w:val="20"/>
          <w:lang w:val="en-AU"/>
        </w:rPr>
        <w:t xml:space="preserve"> development</w:t>
      </w:r>
      <w:r w:rsidRPr="00722037">
        <w:rPr>
          <w:rFonts w:ascii="Century Gothic" w:eastAsiaTheme="minorHAnsi" w:hAnsi="Century Gothic"/>
          <w:sz w:val="20"/>
          <w:szCs w:val="20"/>
          <w:lang w:val="en-AU"/>
        </w:rPr>
        <w:t xml:space="preserve"> framework</w:t>
      </w:r>
      <w:r>
        <w:rPr>
          <w:rFonts w:ascii="Century Gothic" w:eastAsiaTheme="minorHAnsi" w:hAnsi="Century Gothic"/>
          <w:sz w:val="20"/>
          <w:szCs w:val="20"/>
          <w:lang w:val="en-AU"/>
        </w:rPr>
        <w:t>(s)</w:t>
      </w:r>
      <w:r w:rsidRPr="00722037">
        <w:rPr>
          <w:rFonts w:ascii="Century Gothic" w:eastAsiaTheme="minorHAnsi" w:hAnsi="Century Gothic"/>
          <w:sz w:val="20"/>
          <w:szCs w:val="20"/>
          <w:lang w:val="en-AU"/>
        </w:rPr>
        <w:t xml:space="preserve"> to enhance collaboration and improve </w:t>
      </w:r>
      <w:r>
        <w:rPr>
          <w:rFonts w:ascii="Century Gothic" w:eastAsiaTheme="minorHAnsi" w:hAnsi="Century Gothic"/>
          <w:sz w:val="20"/>
          <w:szCs w:val="20"/>
          <w:lang w:val="en-AU"/>
        </w:rPr>
        <w:t>teaching and learning</w:t>
      </w:r>
    </w:p>
    <w:p w14:paraId="3262610D" w14:textId="77777777" w:rsidR="00DC4448" w:rsidRPr="00722037"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sidRPr="00722037">
        <w:rPr>
          <w:rFonts w:ascii="Century Gothic" w:eastAsiaTheme="minorHAnsi" w:hAnsi="Century Gothic"/>
          <w:sz w:val="20"/>
          <w:szCs w:val="20"/>
          <w:lang w:val="en-AU"/>
        </w:rPr>
        <w:t>Implementation and use of national professional standards (NPST) to inform annual professional goal setting and learning plans</w:t>
      </w:r>
    </w:p>
    <w:p w14:paraId="0331F9D5" w14:textId="77777777" w:rsidR="00DC4448" w:rsidRPr="00722037"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sidRPr="00722037">
        <w:rPr>
          <w:rFonts w:ascii="Century Gothic" w:eastAsiaTheme="minorHAnsi" w:hAnsi="Century Gothic"/>
          <w:sz w:val="20"/>
          <w:szCs w:val="20"/>
          <w:lang w:val="en-AU"/>
        </w:rPr>
        <w:t>Increased opportunities for parent and community engagement through online environments.</w:t>
      </w:r>
    </w:p>
    <w:p w14:paraId="2F4A0625" w14:textId="77777777" w:rsidR="00DC4448" w:rsidRPr="00027DD6" w:rsidRDefault="00DC4448" w:rsidP="005621A8">
      <w:pPr>
        <w:pStyle w:val="Heading3"/>
        <w:spacing w:before="120"/>
      </w:pPr>
      <w:bookmarkStart w:id="147" w:name="_Toc472261296"/>
      <w:bookmarkStart w:id="148" w:name="_Toc472262639"/>
      <w:bookmarkStart w:id="149" w:name="_Toc472263021"/>
      <w:bookmarkStart w:id="150" w:name="_Toc472263171"/>
      <w:bookmarkStart w:id="151" w:name="_Toc472263322"/>
      <w:bookmarkStart w:id="152" w:name="_Toc346124012"/>
      <w:r w:rsidRPr="00027DD6">
        <w:t>Funding – how used?</w:t>
      </w:r>
      <w:bookmarkEnd w:id="147"/>
      <w:bookmarkEnd w:id="148"/>
      <w:bookmarkEnd w:id="149"/>
      <w:bookmarkEnd w:id="150"/>
      <w:bookmarkEnd w:id="151"/>
      <w:bookmarkEnd w:id="152"/>
    </w:p>
    <w:p w14:paraId="45DA81E6" w14:textId="77777777" w:rsidR="00DC4448" w:rsidRPr="00632624"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Funding distributed on a per capita basis across the authorities.  </w:t>
      </w:r>
      <w:r w:rsidRPr="00632624">
        <w:rPr>
          <w:rFonts w:ascii="Century Gothic" w:eastAsiaTheme="minorHAnsi" w:hAnsi="Century Gothic"/>
          <w:sz w:val="20"/>
          <w:szCs w:val="20"/>
          <w:lang w:val="en-AU"/>
        </w:rPr>
        <w:t>There are some system wide initiatives; some authorities have particular schools that are trialling resources, e.g. data analysis.  One authority has allocated funding to schools</w:t>
      </w:r>
      <w:r>
        <w:rPr>
          <w:rFonts w:ascii="Century Gothic" w:eastAsiaTheme="minorHAnsi" w:hAnsi="Century Gothic"/>
          <w:sz w:val="20"/>
          <w:szCs w:val="20"/>
          <w:lang w:val="en-AU"/>
        </w:rPr>
        <w:t xml:space="preserve"> for local, rather than system-wide, initiatives.</w:t>
      </w:r>
    </w:p>
    <w:p w14:paraId="6AB637D5" w14:textId="77777777" w:rsidR="00DC4448" w:rsidRPr="00027DD6" w:rsidRDefault="00DC4448" w:rsidP="005621A8">
      <w:pPr>
        <w:pStyle w:val="Heading3"/>
        <w:spacing w:before="120"/>
      </w:pPr>
      <w:bookmarkStart w:id="153" w:name="_Toc472261297"/>
      <w:bookmarkStart w:id="154" w:name="_Toc472262640"/>
      <w:bookmarkStart w:id="155" w:name="_Toc472263022"/>
      <w:bookmarkStart w:id="156" w:name="_Toc472263172"/>
      <w:bookmarkStart w:id="157" w:name="_Toc472263323"/>
      <w:bookmarkStart w:id="158" w:name="_Toc346124013"/>
      <w:r w:rsidRPr="00027DD6">
        <w:t>Monitoring Success</w:t>
      </w:r>
      <w:bookmarkEnd w:id="153"/>
      <w:bookmarkEnd w:id="154"/>
      <w:bookmarkEnd w:id="155"/>
      <w:bookmarkEnd w:id="156"/>
      <w:bookmarkEnd w:id="157"/>
      <w:bookmarkEnd w:id="158"/>
    </w:p>
    <w:p w14:paraId="6B88DA11" w14:textId="77777777" w:rsidR="00DC4448"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Documents provide assessment of outcomes of activities. </w:t>
      </w:r>
      <w:r w:rsidRPr="00632624">
        <w:rPr>
          <w:rFonts w:ascii="Century Gothic" w:eastAsiaTheme="minorHAnsi" w:hAnsi="Century Gothic"/>
          <w:sz w:val="20"/>
          <w:szCs w:val="20"/>
          <w:lang w:val="en-AU"/>
        </w:rPr>
        <w:t xml:space="preserve">Generally </w:t>
      </w:r>
      <w:r>
        <w:rPr>
          <w:rFonts w:ascii="Century Gothic" w:eastAsiaTheme="minorHAnsi" w:hAnsi="Century Gothic"/>
          <w:sz w:val="20"/>
          <w:szCs w:val="20"/>
          <w:lang w:val="en-AU"/>
        </w:rPr>
        <w:t xml:space="preserve"> qualitative rather than quantitative performance indicators:  participating numbers are provided, </w:t>
      </w:r>
      <w:r w:rsidRPr="00632624">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plus a</w:t>
      </w:r>
      <w:r w:rsidRPr="00632624">
        <w:rPr>
          <w:rFonts w:ascii="Century Gothic" w:eastAsiaTheme="minorHAnsi" w:hAnsi="Century Gothic"/>
          <w:sz w:val="20"/>
          <w:szCs w:val="20"/>
          <w:lang w:val="en-AU"/>
        </w:rPr>
        <w:t xml:space="preserve"> large number of qualitative assessments</w:t>
      </w:r>
      <w:r>
        <w:rPr>
          <w:rFonts w:ascii="Century Gothic" w:eastAsiaTheme="minorHAnsi" w:hAnsi="Century Gothic"/>
          <w:sz w:val="20"/>
          <w:szCs w:val="20"/>
          <w:lang w:val="en-AU"/>
        </w:rPr>
        <w:t xml:space="preserve"> </w:t>
      </w:r>
      <w:r w:rsidRPr="00632624">
        <w:rPr>
          <w:rFonts w:ascii="Century Gothic" w:eastAsiaTheme="minorHAnsi" w:hAnsi="Century Gothic"/>
          <w:sz w:val="20"/>
          <w:szCs w:val="20"/>
          <w:lang w:val="en-AU"/>
        </w:rPr>
        <w:t>e.g.</w:t>
      </w:r>
    </w:p>
    <w:p w14:paraId="7C22A965" w14:textId="4348D212" w:rsidR="00DC4448" w:rsidRDefault="00DC4448" w:rsidP="006A1D2B">
      <w:pPr>
        <w:pStyle w:val="ListParagraph"/>
        <w:numPr>
          <w:ilvl w:val="1"/>
          <w:numId w:val="15"/>
        </w:numPr>
        <w:spacing w:line="276" w:lineRule="auto"/>
        <w:ind w:left="540" w:right="-340" w:hanging="180"/>
        <w:jc w:val="both"/>
        <w:rPr>
          <w:rFonts w:ascii="Century Gothic" w:eastAsiaTheme="minorHAnsi" w:hAnsi="Century Gothic"/>
          <w:sz w:val="20"/>
          <w:szCs w:val="20"/>
          <w:lang w:val="en-AU"/>
        </w:rPr>
      </w:pPr>
      <w:r w:rsidRPr="00081A48">
        <w:rPr>
          <w:rFonts w:ascii="Century Gothic" w:eastAsiaTheme="minorHAnsi" w:hAnsi="Century Gothic"/>
          <w:sz w:val="20"/>
          <w:szCs w:val="20"/>
          <w:lang w:val="en-AU"/>
        </w:rPr>
        <w:t>significant development in collaboration in s</w:t>
      </w:r>
      <w:r w:rsidR="009617E9">
        <w:rPr>
          <w:rFonts w:ascii="Century Gothic" w:eastAsiaTheme="minorHAnsi" w:hAnsi="Century Gothic"/>
          <w:sz w:val="20"/>
          <w:szCs w:val="20"/>
          <w:lang w:val="en-AU"/>
        </w:rPr>
        <w:t>haring ways to improve pedagogy</w:t>
      </w:r>
    </w:p>
    <w:p w14:paraId="58C98532" w14:textId="79B4CC0D" w:rsidR="00DC4448" w:rsidRPr="00081A48" w:rsidRDefault="00DC4448" w:rsidP="006A1D2B">
      <w:pPr>
        <w:pStyle w:val="ListParagraph"/>
        <w:numPr>
          <w:ilvl w:val="1"/>
          <w:numId w:val="15"/>
        </w:numPr>
        <w:spacing w:line="276" w:lineRule="auto"/>
        <w:ind w:left="540" w:right="-340" w:hanging="180"/>
        <w:jc w:val="both"/>
        <w:rPr>
          <w:rFonts w:ascii="Century Gothic" w:eastAsiaTheme="minorHAnsi" w:hAnsi="Century Gothic"/>
          <w:sz w:val="20"/>
          <w:szCs w:val="20"/>
          <w:lang w:val="en-AU"/>
        </w:rPr>
      </w:pPr>
      <w:r w:rsidRPr="00081A48">
        <w:rPr>
          <w:rFonts w:ascii="Century Gothic" w:eastAsiaTheme="minorHAnsi" w:hAnsi="Century Gothic"/>
          <w:sz w:val="20"/>
          <w:szCs w:val="20"/>
          <w:lang w:val="en-AU"/>
        </w:rPr>
        <w:t>more support for the professional learning needs of teachers through clearer and better defined le</w:t>
      </w:r>
      <w:r w:rsidR="009617E9">
        <w:rPr>
          <w:rFonts w:ascii="Century Gothic" w:eastAsiaTheme="minorHAnsi" w:hAnsi="Century Gothic"/>
          <w:sz w:val="20"/>
          <w:szCs w:val="20"/>
          <w:lang w:val="en-AU"/>
        </w:rPr>
        <w:t>adership structures</w:t>
      </w:r>
    </w:p>
    <w:p w14:paraId="4607B298" w14:textId="77777777" w:rsidR="00DC4448" w:rsidRPr="00027DD6" w:rsidRDefault="00DC4448" w:rsidP="005621A8">
      <w:pPr>
        <w:pStyle w:val="Heading3"/>
        <w:spacing w:before="120"/>
      </w:pPr>
      <w:bookmarkStart w:id="159" w:name="_Toc472261298"/>
      <w:bookmarkStart w:id="160" w:name="_Toc472262641"/>
      <w:bookmarkStart w:id="161" w:name="_Toc472263023"/>
      <w:bookmarkStart w:id="162" w:name="_Toc472263173"/>
      <w:bookmarkStart w:id="163" w:name="_Toc472263324"/>
      <w:bookmarkStart w:id="164" w:name="_Toc346124014"/>
      <w:r w:rsidRPr="00027DD6">
        <w:t>Issues and Implications</w:t>
      </w:r>
      <w:bookmarkEnd w:id="159"/>
      <w:bookmarkEnd w:id="160"/>
      <w:bookmarkEnd w:id="161"/>
      <w:bookmarkEnd w:id="162"/>
      <w:bookmarkEnd w:id="163"/>
      <w:bookmarkEnd w:id="164"/>
    </w:p>
    <w:p w14:paraId="305B4C7C" w14:textId="77777777" w:rsidR="00DC4448" w:rsidRPr="008E6901"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Pr="008E6901">
        <w:rPr>
          <w:rFonts w:ascii="Century Gothic" w:eastAsiaTheme="minorHAnsi" w:hAnsi="Century Gothic"/>
          <w:sz w:val="20"/>
          <w:szCs w:val="20"/>
          <w:lang w:val="en-AU"/>
        </w:rPr>
        <w:t>akes time to develop and embed initiatives</w:t>
      </w:r>
      <w:r>
        <w:rPr>
          <w:rFonts w:ascii="Century Gothic" w:eastAsiaTheme="minorHAnsi" w:hAnsi="Century Gothic"/>
          <w:sz w:val="20"/>
          <w:szCs w:val="20"/>
          <w:lang w:val="en-AU"/>
        </w:rPr>
        <w:t xml:space="preserve">. </w:t>
      </w:r>
      <w:r w:rsidRPr="008E6901">
        <w:rPr>
          <w:rFonts w:ascii="Century Gothic" w:eastAsiaTheme="minorHAnsi" w:hAnsi="Century Gothic"/>
          <w:sz w:val="20"/>
          <w:szCs w:val="20"/>
          <w:lang w:val="en-AU"/>
        </w:rPr>
        <w:t>Ideally br</w:t>
      </w:r>
      <w:r>
        <w:rPr>
          <w:rFonts w:ascii="Century Gothic" w:eastAsiaTheme="minorHAnsi" w:hAnsi="Century Gothic"/>
          <w:sz w:val="20"/>
          <w:szCs w:val="20"/>
          <w:lang w:val="en-AU"/>
        </w:rPr>
        <w:t xml:space="preserve">oad objectives are continued to </w:t>
      </w:r>
      <w:r w:rsidRPr="008E6901">
        <w:rPr>
          <w:rFonts w:ascii="Century Gothic" w:eastAsiaTheme="minorHAnsi" w:hAnsi="Century Gothic"/>
          <w:sz w:val="20"/>
          <w:szCs w:val="20"/>
          <w:lang w:val="en-AU"/>
        </w:rPr>
        <w:t xml:space="preserve">ensure continuity </w:t>
      </w:r>
      <w:r>
        <w:rPr>
          <w:rFonts w:ascii="Century Gothic" w:eastAsiaTheme="minorHAnsi" w:hAnsi="Century Gothic"/>
          <w:sz w:val="20"/>
          <w:szCs w:val="20"/>
          <w:lang w:val="en-AU"/>
        </w:rPr>
        <w:t>of effort and learning</w:t>
      </w:r>
    </w:p>
    <w:p w14:paraId="3991EDAA" w14:textId="77777777" w:rsidR="00DC4448" w:rsidRPr="008E6901"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There may be room for some increased guidance e.g. a template to help guide people, common language consistent with other areas e.g. AITSL</w:t>
      </w:r>
    </w:p>
    <w:p w14:paraId="2E576A93" w14:textId="77777777" w:rsidR="00DC4448" w:rsidRPr="0022269D" w:rsidRDefault="00DC4448" w:rsidP="006A1D2B">
      <w:pPr>
        <w:pStyle w:val="ListParagraph"/>
        <w:numPr>
          <w:ilvl w:val="0"/>
          <w:numId w:val="15"/>
        </w:numPr>
        <w:spacing w:line="276" w:lineRule="auto"/>
        <w:ind w:left="360" w:right="-340"/>
        <w:jc w:val="both"/>
        <w:rPr>
          <w:rFonts w:ascii="Century Gothic" w:eastAsiaTheme="minorHAnsi" w:hAnsi="Century Gothic"/>
          <w:sz w:val="20"/>
          <w:szCs w:val="20"/>
          <w:lang w:val="en-AU"/>
        </w:rPr>
      </w:pPr>
      <w:r w:rsidRPr="008E6901">
        <w:rPr>
          <w:rFonts w:ascii="Century Gothic" w:eastAsiaTheme="minorHAnsi" w:hAnsi="Century Gothic"/>
          <w:sz w:val="20"/>
          <w:szCs w:val="20"/>
          <w:lang w:val="en-AU"/>
        </w:rPr>
        <w:t xml:space="preserve">Funding – transparency </w:t>
      </w:r>
      <w:r>
        <w:rPr>
          <w:rFonts w:ascii="Century Gothic" w:eastAsiaTheme="minorHAnsi" w:hAnsi="Century Gothic"/>
          <w:sz w:val="20"/>
          <w:szCs w:val="20"/>
          <w:lang w:val="en-AU"/>
        </w:rPr>
        <w:t>and equity between sectors and knowledge</w:t>
      </w:r>
      <w:r w:rsidRPr="008E6901">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of funding future as early as possible.</w:t>
      </w:r>
    </w:p>
    <w:p w14:paraId="255F9AF5"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South Australian Independent NGRB."/>
      </w:tblPr>
      <w:tblGrid>
        <w:gridCol w:w="3839"/>
        <w:gridCol w:w="1016"/>
        <w:gridCol w:w="1196"/>
        <w:gridCol w:w="1337"/>
        <w:gridCol w:w="1304"/>
      </w:tblGrid>
      <w:tr w:rsidR="00DC4448" w:rsidRPr="004D73D2" w14:paraId="0D0BEC1C" w14:textId="77777777" w:rsidTr="002C6ABD">
        <w:tc>
          <w:tcPr>
            <w:tcW w:w="3839" w:type="dxa"/>
            <w:vMerge w:val="restart"/>
            <w:tcBorders>
              <w:top w:val="nil"/>
              <w:left w:val="nil"/>
              <w:bottom w:val="nil"/>
              <w:right w:val="single" w:sz="4" w:space="0" w:color="auto"/>
            </w:tcBorders>
            <w:shd w:val="clear" w:color="auto" w:fill="auto"/>
          </w:tcPr>
          <w:p w14:paraId="5FC86D1D" w14:textId="77777777" w:rsidR="00DC4448" w:rsidRPr="00870B9B" w:rsidRDefault="00DC4448" w:rsidP="005621A8">
            <w:pPr>
              <w:pStyle w:val="Heading2"/>
              <w:spacing w:before="0" w:after="0"/>
            </w:pPr>
            <w:bookmarkStart w:id="165" w:name="_Toc472261299"/>
            <w:bookmarkStart w:id="166" w:name="_Toc472262642"/>
            <w:bookmarkStart w:id="167" w:name="_Toc472263024"/>
            <w:bookmarkStart w:id="168" w:name="_Toc472263174"/>
            <w:bookmarkStart w:id="169" w:name="_Toc472263325"/>
            <w:bookmarkStart w:id="170" w:name="_Toc346124015"/>
            <w:r w:rsidRPr="005621A8">
              <w:rPr>
                <w:sz w:val="24"/>
              </w:rPr>
              <w:t>South Australia Independents</w:t>
            </w:r>
            <w:bookmarkEnd w:id="165"/>
            <w:bookmarkEnd w:id="166"/>
            <w:bookmarkEnd w:id="167"/>
            <w:bookmarkEnd w:id="168"/>
            <w:bookmarkEnd w:id="169"/>
            <w:bookmarkEnd w:id="170"/>
            <w:r w:rsidRPr="005621A8">
              <w:rPr>
                <w:sz w:val="24"/>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ECFA6" w14:textId="77777777" w:rsidR="00DC4448" w:rsidRPr="00E4618A" w:rsidRDefault="00DC4448" w:rsidP="002C6ABD">
            <w:pPr>
              <w:ind w:right="-340"/>
              <w:jc w:val="center"/>
              <w:rPr>
                <w:sz w:val="16"/>
                <w:szCs w:val="16"/>
              </w:rPr>
            </w:pPr>
            <w:r w:rsidRPr="00E4618A">
              <w:rPr>
                <w:sz w:val="16"/>
                <w:szCs w:val="16"/>
              </w:rPr>
              <w:t>Schools</w:t>
            </w:r>
          </w:p>
        </w:tc>
        <w:tc>
          <w:tcPr>
            <w:tcW w:w="11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40CC2C" w14:textId="77777777" w:rsidR="00DC4448" w:rsidRPr="00E4618A" w:rsidRDefault="00DC4448" w:rsidP="002C6ABD">
            <w:pPr>
              <w:ind w:right="-340"/>
              <w:jc w:val="center"/>
              <w:rPr>
                <w:sz w:val="16"/>
                <w:szCs w:val="16"/>
              </w:rPr>
            </w:pPr>
            <w:r w:rsidRPr="00E4618A">
              <w:rPr>
                <w:sz w:val="16"/>
                <w:szCs w:val="16"/>
              </w:rPr>
              <w:t>Students</w:t>
            </w:r>
          </w:p>
        </w:tc>
        <w:tc>
          <w:tcPr>
            <w:tcW w:w="13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E5AF05" w14:textId="77777777" w:rsidR="00DC4448" w:rsidRPr="00E4618A" w:rsidRDefault="00DC4448" w:rsidP="002C6ABD">
            <w:pPr>
              <w:ind w:right="-340"/>
              <w:jc w:val="center"/>
              <w:rPr>
                <w:sz w:val="16"/>
                <w:szCs w:val="16"/>
              </w:rPr>
            </w:pPr>
            <w:r w:rsidRPr="00E4618A">
              <w:rPr>
                <w:sz w:val="16"/>
                <w:szCs w:val="16"/>
              </w:rPr>
              <w:t>Teaching Staff</w:t>
            </w:r>
          </w:p>
        </w:tc>
        <w:tc>
          <w:tcPr>
            <w:tcW w:w="13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781009" w14:textId="77777777" w:rsidR="00DC4448" w:rsidRPr="00E4618A" w:rsidRDefault="00DC4448" w:rsidP="002C6ABD">
            <w:pPr>
              <w:ind w:right="-340"/>
              <w:jc w:val="center"/>
              <w:rPr>
                <w:sz w:val="16"/>
                <w:szCs w:val="16"/>
              </w:rPr>
            </w:pPr>
            <w:r>
              <w:rPr>
                <w:sz w:val="16"/>
                <w:szCs w:val="16"/>
              </w:rPr>
              <w:t>SFSF $</w:t>
            </w:r>
          </w:p>
        </w:tc>
      </w:tr>
      <w:tr w:rsidR="00DC4448" w14:paraId="082FA691" w14:textId="77777777" w:rsidTr="002C6ABD">
        <w:tc>
          <w:tcPr>
            <w:tcW w:w="3839" w:type="dxa"/>
            <w:vMerge/>
            <w:tcBorders>
              <w:left w:val="nil"/>
              <w:bottom w:val="nil"/>
              <w:right w:val="single" w:sz="4" w:space="0" w:color="auto"/>
            </w:tcBorders>
            <w:shd w:val="clear" w:color="auto" w:fill="auto"/>
          </w:tcPr>
          <w:p w14:paraId="1D6DA28D" w14:textId="77777777" w:rsidR="00DC4448" w:rsidRDefault="00DC4448" w:rsidP="002C6ABD">
            <w:pPr>
              <w:ind w:right="-340"/>
            </w:pPr>
          </w:p>
        </w:tc>
        <w:tc>
          <w:tcPr>
            <w:tcW w:w="1016" w:type="dxa"/>
            <w:tcBorders>
              <w:top w:val="single" w:sz="4" w:space="0" w:color="auto"/>
              <w:left w:val="single" w:sz="4" w:space="0" w:color="auto"/>
              <w:bottom w:val="single" w:sz="4" w:space="0" w:color="auto"/>
              <w:right w:val="single" w:sz="4" w:space="0" w:color="auto"/>
            </w:tcBorders>
            <w:vAlign w:val="bottom"/>
          </w:tcPr>
          <w:p w14:paraId="1201AD6E" w14:textId="77777777" w:rsidR="00DC4448" w:rsidRPr="00E4618A" w:rsidRDefault="00DC4448" w:rsidP="002C6ABD">
            <w:pPr>
              <w:ind w:right="-340"/>
              <w:jc w:val="center"/>
              <w:rPr>
                <w:rFonts w:eastAsia="Times New Roman" w:cs="Times New Roman"/>
                <w:color w:val="000000"/>
                <w:sz w:val="16"/>
                <w:szCs w:val="16"/>
              </w:rPr>
            </w:pPr>
            <w:r w:rsidRPr="00E4618A">
              <w:rPr>
                <w:rFonts w:eastAsia="Times New Roman" w:cs="Times New Roman"/>
                <w:color w:val="000000"/>
                <w:sz w:val="16"/>
                <w:szCs w:val="16"/>
              </w:rPr>
              <w:t>94</w:t>
            </w:r>
          </w:p>
        </w:tc>
        <w:tc>
          <w:tcPr>
            <w:tcW w:w="1196" w:type="dxa"/>
            <w:tcBorders>
              <w:top w:val="single" w:sz="4" w:space="0" w:color="auto"/>
              <w:left w:val="single" w:sz="4" w:space="0" w:color="auto"/>
              <w:bottom w:val="single" w:sz="4" w:space="0" w:color="auto"/>
              <w:right w:val="single" w:sz="4" w:space="0" w:color="auto"/>
            </w:tcBorders>
            <w:vAlign w:val="bottom"/>
          </w:tcPr>
          <w:p w14:paraId="6566FCE5" w14:textId="77777777" w:rsidR="00DC4448" w:rsidRPr="00E4618A" w:rsidRDefault="00DC4448" w:rsidP="002C6ABD">
            <w:pPr>
              <w:ind w:right="-340"/>
              <w:jc w:val="center"/>
              <w:rPr>
                <w:rFonts w:eastAsia="Times New Roman" w:cs="Times New Roman"/>
                <w:color w:val="000000"/>
                <w:sz w:val="16"/>
                <w:szCs w:val="16"/>
              </w:rPr>
            </w:pPr>
            <w:r w:rsidRPr="00E4618A">
              <w:rPr>
                <w:rFonts w:eastAsia="Times New Roman" w:cs="Times New Roman"/>
                <w:color w:val="000000"/>
                <w:sz w:val="16"/>
                <w:szCs w:val="16"/>
              </w:rPr>
              <w:t>46,987.7</w:t>
            </w:r>
          </w:p>
        </w:tc>
        <w:tc>
          <w:tcPr>
            <w:tcW w:w="1337" w:type="dxa"/>
            <w:tcBorders>
              <w:top w:val="single" w:sz="4" w:space="0" w:color="auto"/>
              <w:left w:val="single" w:sz="4" w:space="0" w:color="auto"/>
              <w:bottom w:val="single" w:sz="4" w:space="0" w:color="auto"/>
              <w:right w:val="single" w:sz="4" w:space="0" w:color="auto"/>
            </w:tcBorders>
            <w:vAlign w:val="bottom"/>
          </w:tcPr>
          <w:p w14:paraId="3B00D647" w14:textId="77777777" w:rsidR="00DC4448" w:rsidRPr="00E4618A" w:rsidRDefault="00DC4448" w:rsidP="002C6ABD">
            <w:pPr>
              <w:ind w:right="-340"/>
              <w:jc w:val="center"/>
              <w:rPr>
                <w:rFonts w:eastAsia="Times New Roman" w:cs="Times New Roman"/>
                <w:color w:val="000000"/>
                <w:sz w:val="16"/>
                <w:szCs w:val="16"/>
              </w:rPr>
            </w:pPr>
            <w:r w:rsidRPr="00E4618A">
              <w:rPr>
                <w:rFonts w:eastAsia="Times New Roman" w:cs="Times New Roman"/>
                <w:color w:val="000000"/>
                <w:sz w:val="16"/>
                <w:szCs w:val="16"/>
              </w:rPr>
              <w:t>3,630.1</w:t>
            </w:r>
          </w:p>
        </w:tc>
        <w:tc>
          <w:tcPr>
            <w:tcW w:w="1304" w:type="dxa"/>
            <w:tcBorders>
              <w:top w:val="single" w:sz="4" w:space="0" w:color="auto"/>
              <w:left w:val="single" w:sz="4" w:space="0" w:color="auto"/>
              <w:bottom w:val="single" w:sz="4" w:space="0" w:color="auto"/>
              <w:right w:val="single" w:sz="4" w:space="0" w:color="auto"/>
            </w:tcBorders>
          </w:tcPr>
          <w:p w14:paraId="2A2929A7" w14:textId="77777777" w:rsidR="00DC4448" w:rsidRPr="00E4618A" w:rsidRDefault="00DC4448" w:rsidP="002C6ABD">
            <w:pPr>
              <w:ind w:right="-340"/>
              <w:jc w:val="center"/>
              <w:rPr>
                <w:rFonts w:eastAsia="Times New Roman" w:cs="Times New Roman"/>
                <w:color w:val="000000"/>
                <w:sz w:val="16"/>
                <w:szCs w:val="16"/>
              </w:rPr>
            </w:pPr>
            <w:r w:rsidRPr="005D146A">
              <w:rPr>
                <w:rFonts w:eastAsia="Times New Roman" w:cs="Times New Roman"/>
                <w:color w:val="000000"/>
                <w:sz w:val="16"/>
                <w:szCs w:val="16"/>
              </w:rPr>
              <w:t>$2,093,598</w:t>
            </w:r>
          </w:p>
        </w:tc>
      </w:tr>
    </w:tbl>
    <w:p w14:paraId="2715B350" w14:textId="77777777" w:rsidR="00DC4448" w:rsidRPr="003A3CAE" w:rsidRDefault="00DC4448" w:rsidP="005621A8">
      <w:pPr>
        <w:pStyle w:val="Heading3"/>
        <w:spacing w:before="120"/>
        <w:rPr>
          <w:rStyle w:val="IntenseEmphasis"/>
          <w:b/>
          <w:bCs/>
          <w:i w:val="0"/>
          <w:iCs w:val="0"/>
        </w:rPr>
      </w:pPr>
      <w:bookmarkStart w:id="171" w:name="_Toc472261300"/>
      <w:bookmarkStart w:id="172" w:name="_Toc472262643"/>
      <w:bookmarkStart w:id="173" w:name="_Toc472263025"/>
      <w:bookmarkStart w:id="174" w:name="_Toc472263175"/>
      <w:bookmarkStart w:id="175" w:name="_Toc472263326"/>
      <w:bookmarkStart w:id="176" w:name="_Toc346124016"/>
      <w:r w:rsidRPr="003A3CAE">
        <w:rPr>
          <w:rStyle w:val="IntenseEmphasis"/>
          <w:b/>
          <w:bCs/>
          <w:i w:val="0"/>
          <w:iCs w:val="0"/>
        </w:rPr>
        <w:t>Key Features of Approach</w:t>
      </w:r>
      <w:bookmarkEnd w:id="171"/>
      <w:bookmarkEnd w:id="172"/>
      <w:bookmarkEnd w:id="173"/>
      <w:bookmarkEnd w:id="174"/>
      <w:bookmarkEnd w:id="175"/>
      <w:bookmarkEnd w:id="176"/>
    </w:p>
    <w:p w14:paraId="068CC51B" w14:textId="7377CD4C" w:rsidR="00DC4448" w:rsidRPr="004768C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4768C2">
        <w:rPr>
          <w:rFonts w:ascii="Century Gothic" w:eastAsiaTheme="minorHAnsi" w:hAnsi="Century Gothic"/>
          <w:sz w:val="20"/>
          <w:szCs w:val="20"/>
          <w:lang w:val="en-AU"/>
        </w:rPr>
        <w:t>Approach based on the belief that change/improv</w:t>
      </w:r>
      <w:r>
        <w:rPr>
          <w:rFonts w:ascii="Century Gothic" w:eastAsiaTheme="minorHAnsi" w:hAnsi="Century Gothic"/>
          <w:sz w:val="20"/>
          <w:szCs w:val="20"/>
          <w:lang w:val="en-AU"/>
        </w:rPr>
        <w:t>ement requires long term effort and commitments, an understanding of the school context</w:t>
      </w:r>
      <w:r w:rsidRPr="004768C2">
        <w:rPr>
          <w:rFonts w:ascii="Century Gothic" w:eastAsiaTheme="minorHAnsi" w:hAnsi="Century Gothic"/>
          <w:sz w:val="20"/>
          <w:szCs w:val="20"/>
          <w:lang w:val="en-AU"/>
        </w:rPr>
        <w:t xml:space="preserve"> and high quality support </w:t>
      </w:r>
      <w:r>
        <w:rPr>
          <w:rFonts w:ascii="Century Gothic" w:eastAsiaTheme="minorHAnsi" w:hAnsi="Century Gothic"/>
          <w:sz w:val="20"/>
          <w:szCs w:val="20"/>
          <w:lang w:val="en-AU"/>
        </w:rPr>
        <w:t>particularly for</w:t>
      </w:r>
      <w:r w:rsidRPr="004768C2">
        <w:rPr>
          <w:rFonts w:ascii="Century Gothic" w:eastAsiaTheme="minorHAnsi" w:hAnsi="Century Gothic"/>
          <w:sz w:val="20"/>
          <w:szCs w:val="20"/>
          <w:lang w:val="en-AU"/>
        </w:rPr>
        <w:t xml:space="preserve"> the</w:t>
      </w:r>
      <w:r w:rsidR="009617E9">
        <w:rPr>
          <w:rFonts w:ascii="Century Gothic" w:eastAsiaTheme="minorHAnsi" w:hAnsi="Century Gothic"/>
          <w:sz w:val="20"/>
          <w:szCs w:val="20"/>
          <w:lang w:val="en-AU"/>
        </w:rPr>
        <w:t xml:space="preserve"> leadership team at the school.</w:t>
      </w:r>
    </w:p>
    <w:p w14:paraId="61724365" w14:textId="77777777" w:rsidR="00DC4448" w:rsidRPr="004768C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4768C2">
        <w:rPr>
          <w:rFonts w:ascii="Century Gothic" w:eastAsiaTheme="minorHAnsi" w:hAnsi="Century Gothic"/>
          <w:sz w:val="20"/>
          <w:szCs w:val="20"/>
          <w:lang w:val="en-AU"/>
        </w:rPr>
        <w:t>AISSA has employed fewer but more highly skilled staff (down to 28 from 40) and has attached a Senior Education Consultant (SEC) to each school</w:t>
      </w:r>
      <w:r>
        <w:rPr>
          <w:rFonts w:ascii="Century Gothic" w:eastAsiaTheme="minorHAnsi" w:hAnsi="Century Gothic"/>
          <w:sz w:val="20"/>
          <w:szCs w:val="20"/>
          <w:lang w:val="en-AU"/>
        </w:rPr>
        <w:t xml:space="preserve"> to provide support based on the needs of the school, as identified by the principal, through consultation with the SEC.</w:t>
      </w:r>
    </w:p>
    <w:p w14:paraId="7790686F" w14:textId="77777777" w:rsidR="00DC4448" w:rsidRPr="007140D6" w:rsidRDefault="00DC4448" w:rsidP="005621A8">
      <w:pPr>
        <w:pStyle w:val="Heading3"/>
        <w:spacing w:before="120"/>
      </w:pPr>
      <w:bookmarkStart w:id="177" w:name="_Toc472261301"/>
      <w:bookmarkStart w:id="178" w:name="_Toc472262644"/>
      <w:bookmarkStart w:id="179" w:name="_Toc472263026"/>
      <w:bookmarkStart w:id="180" w:name="_Toc472263176"/>
      <w:bookmarkStart w:id="181" w:name="_Toc472263327"/>
      <w:r w:rsidRPr="007140D6">
        <w:t>Predominant Modes of Delivery</w:t>
      </w:r>
      <w:bookmarkEnd w:id="177"/>
      <w:bookmarkEnd w:id="178"/>
      <w:bookmarkEnd w:id="179"/>
      <w:bookmarkEnd w:id="180"/>
      <w:bookmarkEnd w:id="181"/>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Resource provision, support and advice, and Awareness.&#10;"/>
      </w:tblPr>
      <w:tblGrid>
        <w:gridCol w:w="3652"/>
        <w:gridCol w:w="850"/>
      </w:tblGrid>
      <w:tr w:rsidR="00C31922" w:rsidRPr="00E4618A" w14:paraId="32C9AEC6"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A0355FE" w14:textId="77777777" w:rsidR="00C31922" w:rsidRPr="00E4618A" w:rsidRDefault="00C31922"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06F239" w14:textId="00A5A532" w:rsidR="00C31922" w:rsidRPr="00E4618A" w:rsidRDefault="003E5526" w:rsidP="003E5526">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C31922" w:rsidRPr="00C453CD" w14:paraId="4E56F935" w14:textId="77777777" w:rsidTr="00C31922">
        <w:tc>
          <w:tcPr>
            <w:tcW w:w="3652" w:type="dxa"/>
            <w:tcBorders>
              <w:top w:val="single" w:sz="4" w:space="0" w:color="auto"/>
              <w:left w:val="single" w:sz="4" w:space="0" w:color="auto"/>
              <w:bottom w:val="single" w:sz="4" w:space="0" w:color="auto"/>
              <w:right w:val="single" w:sz="4" w:space="0" w:color="auto"/>
            </w:tcBorders>
          </w:tcPr>
          <w:p w14:paraId="7E42AD14"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5EF6DF96" w14:textId="47A72A85"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3065D894"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79A33CB8"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Consultancy advice in schools</w:t>
            </w:r>
          </w:p>
        </w:tc>
        <w:tc>
          <w:tcPr>
            <w:tcW w:w="850" w:type="dxa"/>
            <w:tcBorders>
              <w:top w:val="single" w:sz="4" w:space="0" w:color="auto"/>
              <w:left w:val="single" w:sz="4" w:space="0" w:color="auto"/>
              <w:bottom w:val="single" w:sz="4" w:space="0" w:color="auto"/>
              <w:right w:val="single" w:sz="4" w:space="0" w:color="auto"/>
            </w:tcBorders>
          </w:tcPr>
          <w:p w14:paraId="065D5037" w14:textId="38050604"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2957A76D" w14:textId="77777777" w:rsidTr="00C31922">
        <w:tc>
          <w:tcPr>
            <w:tcW w:w="3652" w:type="dxa"/>
            <w:tcBorders>
              <w:top w:val="single" w:sz="4" w:space="0" w:color="auto"/>
              <w:left w:val="single" w:sz="4" w:space="0" w:color="auto"/>
              <w:bottom w:val="single" w:sz="4" w:space="0" w:color="auto"/>
              <w:right w:val="single" w:sz="4" w:space="0" w:color="auto"/>
            </w:tcBorders>
          </w:tcPr>
          <w:p w14:paraId="4E3278A3"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014ADB03" w14:textId="4257D8B4"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6DEB8152" w14:textId="77777777" w:rsidTr="00C31922">
        <w:tc>
          <w:tcPr>
            <w:tcW w:w="3652" w:type="dxa"/>
            <w:tcBorders>
              <w:top w:val="single" w:sz="4" w:space="0" w:color="auto"/>
              <w:left w:val="single" w:sz="4" w:space="0" w:color="auto"/>
              <w:bottom w:val="single" w:sz="4" w:space="0" w:color="auto"/>
              <w:right w:val="single" w:sz="4" w:space="0" w:color="auto"/>
            </w:tcBorders>
          </w:tcPr>
          <w:p w14:paraId="22BED95A"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0EA51E3D" w14:textId="288A3FBD"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72451B62"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7ECD148E"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Resource provision</w:t>
            </w:r>
          </w:p>
        </w:tc>
        <w:tc>
          <w:tcPr>
            <w:tcW w:w="850" w:type="dxa"/>
            <w:tcBorders>
              <w:top w:val="single" w:sz="4" w:space="0" w:color="auto"/>
              <w:left w:val="single" w:sz="4" w:space="0" w:color="auto"/>
              <w:bottom w:val="single" w:sz="4" w:space="0" w:color="auto"/>
              <w:right w:val="single" w:sz="4" w:space="0" w:color="auto"/>
            </w:tcBorders>
          </w:tcPr>
          <w:p w14:paraId="1C9A8FD6" w14:textId="117E7C41"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2AA883EF" w14:textId="77777777" w:rsidTr="00C31922">
        <w:tc>
          <w:tcPr>
            <w:tcW w:w="3652" w:type="dxa"/>
            <w:tcBorders>
              <w:top w:val="single" w:sz="4" w:space="0" w:color="auto"/>
              <w:left w:val="single" w:sz="4" w:space="0" w:color="auto"/>
              <w:bottom w:val="single" w:sz="4" w:space="0" w:color="auto"/>
              <w:right w:val="single" w:sz="4" w:space="0" w:color="auto"/>
            </w:tcBorders>
          </w:tcPr>
          <w:p w14:paraId="1B505432" w14:textId="22736F4F"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73BAC020" w14:textId="4181DE13"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0AB48C93" w14:textId="77777777" w:rsidTr="00C31922">
        <w:tc>
          <w:tcPr>
            <w:tcW w:w="3652" w:type="dxa"/>
            <w:tcBorders>
              <w:top w:val="single" w:sz="4" w:space="0" w:color="auto"/>
              <w:left w:val="single" w:sz="4" w:space="0" w:color="auto"/>
              <w:bottom w:val="single" w:sz="4" w:space="0" w:color="auto"/>
              <w:right w:val="single" w:sz="4" w:space="0" w:color="auto"/>
            </w:tcBorders>
          </w:tcPr>
          <w:p w14:paraId="1DDA3108" w14:textId="2E315778"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5697C524" w14:textId="35F564E5" w:rsidR="00C31922" w:rsidRPr="00AC7F0C" w:rsidRDefault="00C31922"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C31922" w:rsidRPr="00C453CD" w14:paraId="2BE00325" w14:textId="77777777" w:rsidTr="00C31922">
        <w:tc>
          <w:tcPr>
            <w:tcW w:w="3652" w:type="dxa"/>
            <w:tcBorders>
              <w:top w:val="single" w:sz="4" w:space="0" w:color="auto"/>
              <w:left w:val="single" w:sz="4" w:space="0" w:color="auto"/>
              <w:bottom w:val="single" w:sz="4" w:space="0" w:color="auto"/>
              <w:right w:val="single" w:sz="4" w:space="0" w:color="auto"/>
            </w:tcBorders>
          </w:tcPr>
          <w:p w14:paraId="4B819228" w14:textId="222C77EA"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44D0EF8F" w14:textId="776BE157" w:rsidR="00C31922" w:rsidRPr="00AC7F0C" w:rsidRDefault="003E5526"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684E4696" w14:textId="77777777" w:rsidTr="00C31922">
        <w:tc>
          <w:tcPr>
            <w:tcW w:w="3652" w:type="dxa"/>
            <w:tcBorders>
              <w:top w:val="single" w:sz="4" w:space="0" w:color="auto"/>
              <w:left w:val="single" w:sz="4" w:space="0" w:color="auto"/>
              <w:bottom w:val="single" w:sz="4" w:space="0" w:color="auto"/>
              <w:right w:val="single" w:sz="4" w:space="0" w:color="auto"/>
            </w:tcBorders>
          </w:tcPr>
          <w:p w14:paraId="4BE56833" w14:textId="0763E68C"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3ADB4A7D" w14:textId="4F1787D8" w:rsidR="00C31922" w:rsidRPr="00AC7F0C" w:rsidRDefault="003E5526" w:rsidP="00C31922">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bl>
    <w:p w14:paraId="603872BD" w14:textId="77777777" w:rsidR="00DC4448" w:rsidRPr="00027DD6" w:rsidRDefault="00DC4448" w:rsidP="005621A8">
      <w:pPr>
        <w:pStyle w:val="Heading3"/>
        <w:spacing w:before="120"/>
      </w:pPr>
      <w:bookmarkStart w:id="182" w:name="_Toc472261302"/>
      <w:bookmarkStart w:id="183" w:name="_Toc472262645"/>
      <w:bookmarkStart w:id="184" w:name="_Toc472263027"/>
      <w:bookmarkStart w:id="185" w:name="_Toc472263177"/>
      <w:bookmarkStart w:id="186" w:name="_Toc472263328"/>
      <w:bookmarkStart w:id="187" w:name="_Toc346124017"/>
      <w:r w:rsidRPr="00027DD6">
        <w:t>Sample of Key Programs</w:t>
      </w:r>
      <w:bookmarkEnd w:id="182"/>
      <w:bookmarkEnd w:id="183"/>
      <w:bookmarkEnd w:id="184"/>
      <w:bookmarkEnd w:id="185"/>
      <w:bookmarkEnd w:id="186"/>
      <w:bookmarkEnd w:id="187"/>
    </w:p>
    <w:p w14:paraId="7096AB54" w14:textId="77777777" w:rsidR="00DC4448" w:rsidRPr="00572EB0"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4768C2">
        <w:rPr>
          <w:rFonts w:ascii="Century Gothic" w:eastAsiaTheme="minorHAnsi" w:hAnsi="Century Gothic"/>
          <w:sz w:val="20"/>
          <w:szCs w:val="20"/>
          <w:lang w:val="en-AU"/>
        </w:rPr>
        <w:t>In-school support using the AITSL Performance and Development Framework in areas such as classroom observation, coaching, mentoring, professional learning teams and effective feedback (line manager, peer and student).</w:t>
      </w:r>
      <w:r>
        <w:rPr>
          <w:rFonts w:ascii="Century Gothic" w:eastAsiaTheme="minorHAnsi" w:hAnsi="Century Gothic"/>
          <w:sz w:val="20"/>
          <w:szCs w:val="20"/>
          <w:lang w:val="en-AU"/>
        </w:rPr>
        <w:t xml:space="preserve"> AISSA encourages and assists schools to link the Performance and Development Framework to the school’s strategic school improvement goals.</w:t>
      </w:r>
    </w:p>
    <w:p w14:paraId="5F379A38" w14:textId="77777777" w:rsidR="00DC4448" w:rsidRPr="004768C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D</w:t>
      </w:r>
      <w:r w:rsidRPr="004768C2">
        <w:rPr>
          <w:rFonts w:ascii="Century Gothic" w:eastAsiaTheme="minorHAnsi" w:hAnsi="Century Gothic"/>
          <w:sz w:val="20"/>
          <w:szCs w:val="20"/>
          <w:lang w:val="en-AU"/>
        </w:rPr>
        <w:t>evelop</w:t>
      </w:r>
      <w:r>
        <w:rPr>
          <w:rFonts w:ascii="Century Gothic" w:eastAsiaTheme="minorHAnsi" w:hAnsi="Century Gothic"/>
          <w:sz w:val="20"/>
          <w:szCs w:val="20"/>
          <w:lang w:val="en-AU"/>
        </w:rPr>
        <w:t>ment</w:t>
      </w:r>
      <w:r w:rsidRPr="004768C2">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of</w:t>
      </w:r>
      <w:r w:rsidRPr="004768C2">
        <w:rPr>
          <w:rFonts w:ascii="Century Gothic" w:eastAsiaTheme="minorHAnsi" w:hAnsi="Century Gothic"/>
          <w:sz w:val="20"/>
          <w:szCs w:val="20"/>
          <w:lang w:val="en-AU"/>
        </w:rPr>
        <w:t xml:space="preserve"> a High Impact School Improvement Tool, which include</w:t>
      </w:r>
      <w:r>
        <w:rPr>
          <w:rFonts w:ascii="Century Gothic" w:eastAsiaTheme="minorHAnsi" w:hAnsi="Century Gothic"/>
          <w:sz w:val="20"/>
          <w:szCs w:val="20"/>
          <w:lang w:val="en-AU"/>
        </w:rPr>
        <w:t>s</w:t>
      </w:r>
      <w:r w:rsidRPr="004768C2">
        <w:rPr>
          <w:rFonts w:ascii="Century Gothic" w:eastAsiaTheme="minorHAnsi" w:hAnsi="Century Gothic"/>
          <w:sz w:val="20"/>
          <w:szCs w:val="20"/>
          <w:lang w:val="en-AU"/>
        </w:rPr>
        <w:t xml:space="preserve"> research, strategies and resources to support school leaders in their school improvement journey</w:t>
      </w:r>
    </w:p>
    <w:p w14:paraId="732434FA" w14:textId="464AE153" w:rsidR="00DC4448" w:rsidRPr="004768C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P</w:t>
      </w:r>
      <w:r w:rsidRPr="004768C2">
        <w:rPr>
          <w:rFonts w:ascii="Century Gothic" w:eastAsiaTheme="minorHAnsi" w:hAnsi="Century Gothic"/>
          <w:sz w:val="20"/>
          <w:szCs w:val="20"/>
          <w:lang w:val="en-AU"/>
        </w:rPr>
        <w:t xml:space="preserve">rogram with workshops and presentations </w:t>
      </w:r>
      <w:r>
        <w:rPr>
          <w:rFonts w:ascii="Century Gothic" w:eastAsiaTheme="minorHAnsi" w:hAnsi="Century Gothic"/>
          <w:sz w:val="20"/>
          <w:szCs w:val="20"/>
          <w:lang w:val="en-AU"/>
        </w:rPr>
        <w:t>to improve school l</w:t>
      </w:r>
      <w:r w:rsidRPr="004768C2">
        <w:rPr>
          <w:rFonts w:ascii="Century Gothic" w:eastAsiaTheme="minorHAnsi" w:hAnsi="Century Gothic"/>
          <w:sz w:val="20"/>
          <w:szCs w:val="20"/>
          <w:lang w:val="en-AU"/>
        </w:rPr>
        <w:t>eadership capacity</w:t>
      </w:r>
    </w:p>
    <w:p w14:paraId="4F114478" w14:textId="77777777" w:rsidR="00DC4448" w:rsidRPr="00027DD6" w:rsidRDefault="00DC4448" w:rsidP="005621A8">
      <w:pPr>
        <w:pStyle w:val="Heading3"/>
        <w:spacing w:before="120"/>
      </w:pPr>
      <w:bookmarkStart w:id="188" w:name="_Toc472261303"/>
      <w:bookmarkStart w:id="189" w:name="_Toc472262646"/>
      <w:bookmarkStart w:id="190" w:name="_Toc472263028"/>
      <w:bookmarkStart w:id="191" w:name="_Toc472263178"/>
      <w:bookmarkStart w:id="192" w:name="_Toc472263329"/>
      <w:bookmarkStart w:id="193" w:name="_Toc346124018"/>
      <w:r w:rsidRPr="00027DD6">
        <w:t>Funding – how used?</w:t>
      </w:r>
      <w:bookmarkEnd w:id="188"/>
      <w:bookmarkEnd w:id="189"/>
      <w:bookmarkEnd w:id="190"/>
      <w:bookmarkEnd w:id="191"/>
      <w:bookmarkEnd w:id="192"/>
      <w:bookmarkEnd w:id="193"/>
    </w:p>
    <w:p w14:paraId="647C8DC7" w14:textId="77777777" w:rsidR="00DC4448" w:rsidRPr="00DA4B40" w:rsidRDefault="00DC4448" w:rsidP="00DC4448">
      <w:pPr>
        <w:widowControl w:val="0"/>
        <w:tabs>
          <w:tab w:val="left" w:pos="220"/>
          <w:tab w:val="left" w:pos="720"/>
        </w:tabs>
        <w:autoSpaceDE w:val="0"/>
        <w:autoSpaceDN w:val="0"/>
        <w:adjustRightInd w:val="0"/>
        <w:spacing w:after="120"/>
        <w:ind w:right="-340"/>
        <w:rPr>
          <w:rFonts w:ascii="Century Gothic" w:hAnsi="Century Gothic" w:cs="Times New Roman"/>
          <w:sz w:val="20"/>
          <w:szCs w:val="20"/>
        </w:rPr>
      </w:pPr>
      <w:r w:rsidRPr="00DA4B40">
        <w:rPr>
          <w:rFonts w:ascii="Century Gothic" w:hAnsi="Century Gothic" w:cs="Times New Roman"/>
          <w:sz w:val="20"/>
          <w:szCs w:val="20"/>
        </w:rPr>
        <w:t xml:space="preserve">SFSF provides 50% of AISSA’s funding with the rest coming from member subscriptions. SFSF funds provide </w:t>
      </w:r>
      <w:r>
        <w:rPr>
          <w:rFonts w:ascii="Century Gothic" w:hAnsi="Century Gothic" w:cs="Times New Roman"/>
          <w:sz w:val="20"/>
          <w:szCs w:val="20"/>
        </w:rPr>
        <w:t>the majority of</w:t>
      </w:r>
      <w:r w:rsidRPr="00DA4B40">
        <w:rPr>
          <w:rFonts w:ascii="Century Gothic" w:hAnsi="Century Gothic" w:cs="Times New Roman"/>
          <w:sz w:val="20"/>
          <w:szCs w:val="20"/>
        </w:rPr>
        <w:t xml:space="preserve"> the educational support to their schools.</w:t>
      </w:r>
    </w:p>
    <w:p w14:paraId="1957F17F" w14:textId="77777777" w:rsidR="00DC4448" w:rsidRPr="00A90E94" w:rsidRDefault="00DC4448" w:rsidP="00DC4448">
      <w:pPr>
        <w:spacing w:after="120"/>
        <w:ind w:right="-340"/>
        <w:rPr>
          <w:rFonts w:ascii="Century Gothic" w:hAnsi="Century Gothic"/>
          <w:sz w:val="20"/>
          <w:szCs w:val="20"/>
        </w:rPr>
      </w:pPr>
      <w:r w:rsidRPr="00DA4B40">
        <w:rPr>
          <w:rFonts w:ascii="Century Gothic" w:hAnsi="Century Gothic" w:cs="Times New Roman"/>
          <w:sz w:val="20"/>
          <w:szCs w:val="20"/>
        </w:rPr>
        <w:t xml:space="preserve">80% of SFSF funds used </w:t>
      </w:r>
      <w:r w:rsidRPr="00DA4B40">
        <w:rPr>
          <w:rFonts w:ascii="Century Gothic" w:hAnsi="Century Gothic"/>
          <w:sz w:val="20"/>
          <w:szCs w:val="20"/>
        </w:rPr>
        <w:t>to cover staff salaries, accommodation, travel and professional</w:t>
      </w:r>
      <w:r>
        <w:rPr>
          <w:rFonts w:ascii="Century Gothic" w:hAnsi="Century Gothic"/>
          <w:sz w:val="20"/>
          <w:szCs w:val="20"/>
        </w:rPr>
        <w:t xml:space="preserve"> development.  </w:t>
      </w:r>
      <w:r w:rsidRPr="00C46EAF">
        <w:rPr>
          <w:rFonts w:ascii="Century Gothic" w:hAnsi="Century Gothic" w:cs="Times New Roman"/>
          <w:sz w:val="20"/>
          <w:szCs w:val="20"/>
        </w:rPr>
        <w:t>Documents do not allocate funds across projects.</w:t>
      </w:r>
    </w:p>
    <w:p w14:paraId="5DD865AF" w14:textId="77777777" w:rsidR="00DC4448" w:rsidRPr="00027DD6" w:rsidRDefault="00DC4448" w:rsidP="005621A8">
      <w:pPr>
        <w:pStyle w:val="Heading3"/>
        <w:spacing w:before="120"/>
      </w:pPr>
      <w:bookmarkStart w:id="194" w:name="_Toc472261304"/>
      <w:bookmarkStart w:id="195" w:name="_Toc472262647"/>
      <w:bookmarkStart w:id="196" w:name="_Toc472263029"/>
      <w:bookmarkStart w:id="197" w:name="_Toc472263179"/>
      <w:bookmarkStart w:id="198" w:name="_Toc472263330"/>
      <w:bookmarkStart w:id="199" w:name="_Toc346124019"/>
      <w:r w:rsidRPr="00027DD6">
        <w:t>Monitoring Success</w:t>
      </w:r>
      <w:bookmarkEnd w:id="194"/>
      <w:bookmarkEnd w:id="195"/>
      <w:bookmarkEnd w:id="196"/>
      <w:bookmarkEnd w:id="197"/>
      <w:bookmarkEnd w:id="198"/>
      <w:bookmarkEnd w:id="199"/>
    </w:p>
    <w:p w14:paraId="51C1CE87" w14:textId="5FD5B3D1" w:rsidR="00DC4448" w:rsidRPr="005D6380" w:rsidRDefault="00DC4448" w:rsidP="00DC4448">
      <w:pPr>
        <w:widowControl w:val="0"/>
        <w:tabs>
          <w:tab w:val="left" w:pos="220"/>
          <w:tab w:val="left" w:pos="720"/>
        </w:tabs>
        <w:autoSpaceDE w:val="0"/>
        <w:autoSpaceDN w:val="0"/>
        <w:adjustRightInd w:val="0"/>
        <w:spacing w:after="120"/>
        <w:ind w:right="-340"/>
        <w:rPr>
          <w:rFonts w:ascii="Century Gothic" w:hAnsi="Century Gothic" w:cs="Times New Roman"/>
          <w:sz w:val="20"/>
          <w:szCs w:val="20"/>
        </w:rPr>
      </w:pPr>
      <w:r w:rsidRPr="005D6380">
        <w:rPr>
          <w:rFonts w:ascii="Century Gothic" w:hAnsi="Century Gothic" w:cs="Times New Roman"/>
          <w:sz w:val="20"/>
          <w:szCs w:val="20"/>
        </w:rPr>
        <w:t xml:space="preserve">Measures provided in </w:t>
      </w:r>
      <w:r>
        <w:rPr>
          <w:rFonts w:ascii="Century Gothic" w:hAnsi="Century Gothic" w:cs="Times New Roman"/>
          <w:sz w:val="20"/>
          <w:szCs w:val="20"/>
        </w:rPr>
        <w:t xml:space="preserve">planning </w:t>
      </w:r>
      <w:r w:rsidRPr="005D6380">
        <w:rPr>
          <w:rFonts w:ascii="Century Gothic" w:hAnsi="Century Gothic" w:cs="Times New Roman"/>
          <w:sz w:val="20"/>
          <w:szCs w:val="20"/>
        </w:rPr>
        <w:t xml:space="preserve">documents </w:t>
      </w:r>
      <w:r>
        <w:rPr>
          <w:rFonts w:ascii="Century Gothic" w:hAnsi="Century Gothic" w:cs="Times New Roman"/>
          <w:sz w:val="20"/>
          <w:szCs w:val="20"/>
        </w:rPr>
        <w:t>and reported on each year</w:t>
      </w:r>
      <w:r w:rsidRPr="005D6380">
        <w:rPr>
          <w:rFonts w:ascii="Century Gothic" w:hAnsi="Century Gothic" w:cs="Times New Roman"/>
          <w:sz w:val="20"/>
          <w:szCs w:val="20"/>
        </w:rPr>
        <w:t>.</w:t>
      </w:r>
      <w:r>
        <w:rPr>
          <w:rFonts w:ascii="Century Gothic" w:hAnsi="Century Gothic" w:cs="Times New Roman"/>
          <w:sz w:val="20"/>
          <w:szCs w:val="20"/>
        </w:rPr>
        <w:t xml:space="preserve">  Measures largely numbers of workshops, numbers of schools supported. An independent company did a survey of schools’ experiences with the support provided through SFSF. The resu</w:t>
      </w:r>
      <w:r w:rsidR="009617E9">
        <w:rPr>
          <w:rFonts w:ascii="Century Gothic" w:hAnsi="Century Gothic" w:cs="Times New Roman"/>
          <w:sz w:val="20"/>
          <w:szCs w:val="20"/>
        </w:rPr>
        <w:t>lt was overwhelmingly positive.</w:t>
      </w:r>
    </w:p>
    <w:p w14:paraId="131CF6B9" w14:textId="77777777" w:rsidR="00DC4448" w:rsidRPr="00027DD6" w:rsidRDefault="00DC4448" w:rsidP="005621A8">
      <w:pPr>
        <w:pStyle w:val="Heading3"/>
        <w:spacing w:before="120"/>
      </w:pPr>
      <w:bookmarkStart w:id="200" w:name="_Toc472261305"/>
      <w:bookmarkStart w:id="201" w:name="_Toc472262648"/>
      <w:bookmarkStart w:id="202" w:name="_Toc472263030"/>
      <w:bookmarkStart w:id="203" w:name="_Toc472263180"/>
      <w:bookmarkStart w:id="204" w:name="_Toc472263331"/>
      <w:bookmarkStart w:id="205" w:name="_Toc346124020"/>
      <w:r w:rsidRPr="00027DD6">
        <w:t>Issues and Implications</w:t>
      </w:r>
      <w:bookmarkEnd w:id="200"/>
      <w:bookmarkEnd w:id="201"/>
      <w:bookmarkEnd w:id="202"/>
      <w:bookmarkEnd w:id="203"/>
      <w:bookmarkEnd w:id="204"/>
      <w:bookmarkEnd w:id="205"/>
    </w:p>
    <w:p w14:paraId="5931DD57" w14:textId="3188BE16" w:rsidR="00DC4448" w:rsidRPr="00DA4B40" w:rsidRDefault="00DC4448" w:rsidP="00DC4448">
      <w:pPr>
        <w:spacing w:after="120"/>
        <w:ind w:right="-340"/>
        <w:rPr>
          <w:rFonts w:ascii="Century Gothic" w:hAnsi="Century Gothic" w:cs="Times New Roman"/>
          <w:sz w:val="20"/>
          <w:szCs w:val="20"/>
        </w:rPr>
      </w:pPr>
      <w:r w:rsidRPr="00DA4B40">
        <w:rPr>
          <w:rFonts w:ascii="Century Gothic" w:hAnsi="Century Gothic" w:cs="Times New Roman"/>
          <w:sz w:val="20"/>
          <w:szCs w:val="20"/>
        </w:rPr>
        <w:t xml:space="preserve">Previous programs (targeted programs, NPs) required work with specific schools on specific issues.  </w:t>
      </w:r>
      <w:r>
        <w:rPr>
          <w:rFonts w:ascii="Century Gothic" w:hAnsi="Century Gothic" w:cs="Times New Roman"/>
          <w:sz w:val="20"/>
          <w:szCs w:val="20"/>
        </w:rPr>
        <w:t>SFSF</w:t>
      </w:r>
      <w:r w:rsidRPr="00DA4B40">
        <w:rPr>
          <w:rFonts w:ascii="Century Gothic" w:hAnsi="Century Gothic" w:cs="Times New Roman"/>
          <w:sz w:val="20"/>
          <w:szCs w:val="20"/>
        </w:rPr>
        <w:t xml:space="preserve"> program allows Government priorities to be addressed but within a school context and a general approach to school improvement.</w:t>
      </w:r>
    </w:p>
    <w:p w14:paraId="69052D0B" w14:textId="77777777" w:rsidR="00DC4448" w:rsidRDefault="00DC4448" w:rsidP="00DC4448">
      <w:r>
        <w:rPr>
          <w:rFonts w:ascii="Century Gothic" w:hAnsi="Century Gothic" w:cs="Times New Roman"/>
          <w:sz w:val="20"/>
          <w:szCs w:val="20"/>
        </w:rPr>
        <w:t>Previously difficult for</w:t>
      </w:r>
      <w:r w:rsidRPr="00DA4B40">
        <w:rPr>
          <w:rFonts w:ascii="Century Gothic" w:hAnsi="Century Gothic" w:cs="Times New Roman"/>
          <w:sz w:val="20"/>
          <w:szCs w:val="20"/>
        </w:rPr>
        <w:t xml:space="preserve"> schools </w:t>
      </w:r>
      <w:r>
        <w:rPr>
          <w:rFonts w:ascii="Century Gothic" w:hAnsi="Century Gothic" w:cs="Times New Roman"/>
          <w:sz w:val="20"/>
          <w:szCs w:val="20"/>
        </w:rPr>
        <w:t>to fund</w:t>
      </w:r>
      <w:r w:rsidRPr="00DA4B40">
        <w:rPr>
          <w:rFonts w:ascii="Century Gothic" w:hAnsi="Century Gothic" w:cs="Times New Roman"/>
          <w:sz w:val="20"/>
          <w:szCs w:val="20"/>
        </w:rPr>
        <w:t xml:space="preserve"> this work </w:t>
      </w:r>
      <w:r>
        <w:rPr>
          <w:rFonts w:ascii="Century Gothic" w:hAnsi="Century Gothic" w:cs="Times New Roman"/>
          <w:sz w:val="20"/>
          <w:szCs w:val="20"/>
        </w:rPr>
        <w:t>or be aware o</w:t>
      </w:r>
      <w:r w:rsidRPr="00DA4B40">
        <w:rPr>
          <w:rFonts w:ascii="Century Gothic" w:hAnsi="Century Gothic" w:cs="Times New Roman"/>
          <w:sz w:val="20"/>
          <w:szCs w:val="20"/>
        </w:rPr>
        <w:t xml:space="preserve">f what was available.  AISSA </w:t>
      </w:r>
      <w:r>
        <w:rPr>
          <w:rFonts w:ascii="Century Gothic" w:hAnsi="Century Gothic" w:cs="Times New Roman"/>
          <w:sz w:val="20"/>
          <w:szCs w:val="20"/>
        </w:rPr>
        <w:t>role</w:t>
      </w:r>
      <w:r w:rsidRPr="00DA4B40">
        <w:rPr>
          <w:rFonts w:ascii="Century Gothic" w:hAnsi="Century Gothic" w:cs="Times New Roman"/>
          <w:sz w:val="20"/>
          <w:szCs w:val="20"/>
        </w:rPr>
        <w:t xml:space="preserve"> </w:t>
      </w:r>
      <w:r>
        <w:rPr>
          <w:rFonts w:ascii="Century Gothic" w:hAnsi="Century Gothic" w:cs="Times New Roman"/>
          <w:sz w:val="20"/>
          <w:szCs w:val="20"/>
        </w:rPr>
        <w:t xml:space="preserve">(enabled by SFSF funding) </w:t>
      </w:r>
      <w:r w:rsidRPr="00DA4B40">
        <w:rPr>
          <w:rFonts w:ascii="Century Gothic" w:hAnsi="Century Gothic" w:cs="Times New Roman"/>
          <w:sz w:val="20"/>
          <w:szCs w:val="20"/>
        </w:rPr>
        <w:t xml:space="preserve">as </w:t>
      </w:r>
      <w:r>
        <w:rPr>
          <w:rFonts w:ascii="Century Gothic" w:hAnsi="Century Gothic" w:cs="Times New Roman"/>
          <w:sz w:val="20"/>
          <w:szCs w:val="20"/>
        </w:rPr>
        <w:t xml:space="preserve">a </w:t>
      </w:r>
      <w:r w:rsidRPr="00DA4B40">
        <w:rPr>
          <w:rFonts w:ascii="Century Gothic" w:hAnsi="Century Gothic" w:cs="Times New Roman"/>
          <w:sz w:val="20"/>
          <w:szCs w:val="20"/>
        </w:rPr>
        <w:t>broker and link</w:t>
      </w:r>
      <w:r>
        <w:rPr>
          <w:rFonts w:ascii="Century Gothic" w:hAnsi="Century Gothic" w:cs="Times New Roman"/>
          <w:sz w:val="20"/>
          <w:szCs w:val="20"/>
        </w:rPr>
        <w:t xml:space="preserve"> addresses these issues.  AISSA indicates that schools are aware of their </w:t>
      </w:r>
      <w:r w:rsidRPr="005D6380">
        <w:rPr>
          <w:rFonts w:ascii="Century Gothic" w:hAnsi="Century Gothic" w:cs="Times New Roman"/>
          <w:sz w:val="20"/>
          <w:szCs w:val="20"/>
        </w:rPr>
        <w:t xml:space="preserve">work and that funding comes from Commonwealth but may not </w:t>
      </w:r>
      <w:r>
        <w:rPr>
          <w:rFonts w:ascii="Century Gothic" w:hAnsi="Century Gothic" w:cs="Times New Roman"/>
          <w:sz w:val="20"/>
          <w:szCs w:val="20"/>
        </w:rPr>
        <w:t>be aware of</w:t>
      </w:r>
      <w:r w:rsidRPr="005D6380">
        <w:rPr>
          <w:rFonts w:ascii="Century Gothic" w:hAnsi="Century Gothic" w:cs="Times New Roman"/>
          <w:sz w:val="20"/>
          <w:szCs w:val="20"/>
        </w:rPr>
        <w:t xml:space="preserve"> SFSF</w:t>
      </w:r>
    </w:p>
    <w:p w14:paraId="069DE20E"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South Australian Catholic NGRB."/>
      </w:tblPr>
      <w:tblGrid>
        <w:gridCol w:w="3839"/>
        <w:gridCol w:w="1016"/>
        <w:gridCol w:w="1196"/>
        <w:gridCol w:w="1337"/>
        <w:gridCol w:w="1304"/>
      </w:tblGrid>
      <w:tr w:rsidR="00DC4448" w:rsidRPr="004D73D2" w14:paraId="6703E070" w14:textId="77777777" w:rsidTr="002C6ABD">
        <w:tc>
          <w:tcPr>
            <w:tcW w:w="3839" w:type="dxa"/>
            <w:vMerge w:val="restart"/>
            <w:tcBorders>
              <w:top w:val="nil"/>
              <w:left w:val="nil"/>
              <w:bottom w:val="nil"/>
              <w:right w:val="single" w:sz="4" w:space="0" w:color="auto"/>
            </w:tcBorders>
            <w:shd w:val="clear" w:color="auto" w:fill="auto"/>
          </w:tcPr>
          <w:p w14:paraId="71F5EB81" w14:textId="77777777" w:rsidR="00DC4448" w:rsidRPr="00870B9B" w:rsidRDefault="00DC4448" w:rsidP="005621A8">
            <w:pPr>
              <w:pStyle w:val="Heading2"/>
              <w:spacing w:before="0" w:after="0"/>
            </w:pPr>
            <w:bookmarkStart w:id="206" w:name="_Toc472261306"/>
            <w:bookmarkStart w:id="207" w:name="_Toc472262649"/>
            <w:bookmarkStart w:id="208" w:name="_Toc472263031"/>
            <w:bookmarkStart w:id="209" w:name="_Toc472263181"/>
            <w:bookmarkStart w:id="210" w:name="_Toc472263332"/>
            <w:bookmarkStart w:id="211" w:name="_Toc346124021"/>
            <w:r w:rsidRPr="005621A8">
              <w:rPr>
                <w:sz w:val="24"/>
              </w:rPr>
              <w:t>South Australia Catholics</w:t>
            </w:r>
            <w:bookmarkEnd w:id="206"/>
            <w:bookmarkEnd w:id="207"/>
            <w:bookmarkEnd w:id="208"/>
            <w:bookmarkEnd w:id="209"/>
            <w:bookmarkEnd w:id="210"/>
            <w:bookmarkEnd w:id="211"/>
            <w:r w:rsidRPr="005621A8">
              <w:rPr>
                <w:sz w:val="24"/>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58AB74" w14:textId="77777777" w:rsidR="00DC4448" w:rsidRPr="00E4618A" w:rsidRDefault="00DC4448" w:rsidP="002C6ABD">
            <w:pPr>
              <w:ind w:right="-340"/>
              <w:jc w:val="center"/>
              <w:rPr>
                <w:sz w:val="16"/>
                <w:szCs w:val="16"/>
              </w:rPr>
            </w:pPr>
            <w:r w:rsidRPr="00E4618A">
              <w:rPr>
                <w:sz w:val="16"/>
                <w:szCs w:val="16"/>
              </w:rPr>
              <w:t>Schools</w:t>
            </w:r>
          </w:p>
        </w:tc>
        <w:tc>
          <w:tcPr>
            <w:tcW w:w="11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B630B9" w14:textId="77777777" w:rsidR="00DC4448" w:rsidRPr="00E4618A" w:rsidRDefault="00DC4448" w:rsidP="002C6ABD">
            <w:pPr>
              <w:ind w:right="-340"/>
              <w:jc w:val="center"/>
              <w:rPr>
                <w:sz w:val="16"/>
                <w:szCs w:val="16"/>
              </w:rPr>
            </w:pPr>
            <w:r w:rsidRPr="00E4618A">
              <w:rPr>
                <w:sz w:val="16"/>
                <w:szCs w:val="16"/>
              </w:rPr>
              <w:t>Students</w:t>
            </w:r>
          </w:p>
        </w:tc>
        <w:tc>
          <w:tcPr>
            <w:tcW w:w="13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7E9CC" w14:textId="77777777" w:rsidR="00DC4448" w:rsidRPr="00E4618A" w:rsidRDefault="00DC4448" w:rsidP="002C6ABD">
            <w:pPr>
              <w:ind w:right="-340"/>
              <w:jc w:val="center"/>
              <w:rPr>
                <w:sz w:val="16"/>
                <w:szCs w:val="16"/>
              </w:rPr>
            </w:pPr>
            <w:r w:rsidRPr="00E4618A">
              <w:rPr>
                <w:sz w:val="16"/>
                <w:szCs w:val="16"/>
              </w:rPr>
              <w:t>Teaching Staff</w:t>
            </w:r>
          </w:p>
        </w:tc>
        <w:tc>
          <w:tcPr>
            <w:tcW w:w="13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51179D" w14:textId="77777777" w:rsidR="00DC4448" w:rsidRPr="00E4618A" w:rsidRDefault="00DC4448" w:rsidP="002C6ABD">
            <w:pPr>
              <w:ind w:right="-340"/>
              <w:jc w:val="center"/>
              <w:rPr>
                <w:sz w:val="16"/>
                <w:szCs w:val="16"/>
              </w:rPr>
            </w:pPr>
            <w:r>
              <w:rPr>
                <w:sz w:val="16"/>
                <w:szCs w:val="16"/>
              </w:rPr>
              <w:t>SFSF $</w:t>
            </w:r>
          </w:p>
        </w:tc>
      </w:tr>
      <w:tr w:rsidR="00DC4448" w:rsidRPr="005D146A" w14:paraId="7EC4AC7E" w14:textId="77777777" w:rsidTr="002C6ABD">
        <w:tc>
          <w:tcPr>
            <w:tcW w:w="3839" w:type="dxa"/>
            <w:vMerge/>
            <w:tcBorders>
              <w:left w:val="nil"/>
              <w:bottom w:val="nil"/>
              <w:right w:val="single" w:sz="4" w:space="0" w:color="auto"/>
            </w:tcBorders>
            <w:shd w:val="clear" w:color="auto" w:fill="auto"/>
          </w:tcPr>
          <w:p w14:paraId="1AC612F0" w14:textId="77777777" w:rsidR="00DC4448" w:rsidRDefault="00DC4448" w:rsidP="002C6ABD">
            <w:pPr>
              <w:ind w:right="-340"/>
            </w:pPr>
          </w:p>
        </w:tc>
        <w:tc>
          <w:tcPr>
            <w:tcW w:w="1016" w:type="dxa"/>
            <w:tcBorders>
              <w:top w:val="single" w:sz="4" w:space="0" w:color="auto"/>
              <w:left w:val="single" w:sz="4" w:space="0" w:color="auto"/>
              <w:bottom w:val="single" w:sz="4" w:space="0" w:color="auto"/>
              <w:right w:val="single" w:sz="4" w:space="0" w:color="auto"/>
            </w:tcBorders>
            <w:vAlign w:val="bottom"/>
          </w:tcPr>
          <w:p w14:paraId="3BD14A65" w14:textId="77777777" w:rsidR="00DC4448" w:rsidRPr="00E4618A" w:rsidRDefault="00DC4448" w:rsidP="002C6ABD">
            <w:pPr>
              <w:ind w:right="-340"/>
              <w:jc w:val="center"/>
              <w:rPr>
                <w:rFonts w:eastAsia="Times New Roman" w:cs="Times New Roman"/>
                <w:color w:val="000000"/>
                <w:sz w:val="16"/>
                <w:szCs w:val="16"/>
              </w:rPr>
            </w:pPr>
            <w:r w:rsidRPr="005D146A">
              <w:rPr>
                <w:rFonts w:eastAsia="Times New Roman" w:cs="Times New Roman"/>
                <w:color w:val="000000"/>
                <w:sz w:val="16"/>
                <w:szCs w:val="16"/>
              </w:rPr>
              <w:t>103</w:t>
            </w:r>
          </w:p>
        </w:tc>
        <w:tc>
          <w:tcPr>
            <w:tcW w:w="1196" w:type="dxa"/>
            <w:tcBorders>
              <w:top w:val="single" w:sz="4" w:space="0" w:color="auto"/>
              <w:left w:val="single" w:sz="4" w:space="0" w:color="auto"/>
              <w:bottom w:val="single" w:sz="4" w:space="0" w:color="auto"/>
              <w:right w:val="single" w:sz="4" w:space="0" w:color="auto"/>
            </w:tcBorders>
            <w:vAlign w:val="bottom"/>
          </w:tcPr>
          <w:p w14:paraId="671FC9EC" w14:textId="77777777" w:rsidR="00DC4448" w:rsidRPr="00E4618A" w:rsidRDefault="00DC4448" w:rsidP="002C6ABD">
            <w:pPr>
              <w:ind w:right="-340"/>
              <w:jc w:val="center"/>
              <w:rPr>
                <w:rFonts w:eastAsia="Times New Roman" w:cs="Times New Roman"/>
                <w:color w:val="000000"/>
                <w:sz w:val="16"/>
                <w:szCs w:val="16"/>
              </w:rPr>
            </w:pPr>
            <w:r w:rsidRPr="005D146A">
              <w:rPr>
                <w:rFonts w:eastAsia="Times New Roman" w:cs="Times New Roman"/>
                <w:color w:val="000000"/>
                <w:sz w:val="16"/>
                <w:szCs w:val="16"/>
              </w:rPr>
              <w:t>47,835.70</w:t>
            </w:r>
          </w:p>
        </w:tc>
        <w:tc>
          <w:tcPr>
            <w:tcW w:w="1337" w:type="dxa"/>
            <w:tcBorders>
              <w:top w:val="single" w:sz="4" w:space="0" w:color="auto"/>
              <w:left w:val="single" w:sz="4" w:space="0" w:color="auto"/>
              <w:bottom w:val="single" w:sz="4" w:space="0" w:color="auto"/>
              <w:right w:val="single" w:sz="4" w:space="0" w:color="auto"/>
            </w:tcBorders>
            <w:vAlign w:val="bottom"/>
          </w:tcPr>
          <w:p w14:paraId="49925CA4" w14:textId="77777777" w:rsidR="00DC4448" w:rsidRPr="00E4618A" w:rsidRDefault="00DC4448" w:rsidP="002C6ABD">
            <w:pPr>
              <w:ind w:right="-340"/>
              <w:jc w:val="center"/>
              <w:rPr>
                <w:rFonts w:eastAsia="Times New Roman" w:cs="Times New Roman"/>
                <w:color w:val="000000"/>
                <w:sz w:val="16"/>
                <w:szCs w:val="16"/>
              </w:rPr>
            </w:pPr>
            <w:r w:rsidRPr="005D146A">
              <w:rPr>
                <w:rFonts w:eastAsia="Times New Roman" w:cs="Times New Roman"/>
                <w:color w:val="000000"/>
                <w:sz w:val="16"/>
                <w:szCs w:val="16"/>
              </w:rPr>
              <w:t>3,256.0</w:t>
            </w:r>
          </w:p>
        </w:tc>
        <w:tc>
          <w:tcPr>
            <w:tcW w:w="1304" w:type="dxa"/>
            <w:tcBorders>
              <w:top w:val="single" w:sz="4" w:space="0" w:color="auto"/>
              <w:left w:val="single" w:sz="4" w:space="0" w:color="auto"/>
              <w:bottom w:val="single" w:sz="4" w:space="0" w:color="auto"/>
              <w:right w:val="single" w:sz="4" w:space="0" w:color="auto"/>
            </w:tcBorders>
            <w:vAlign w:val="bottom"/>
          </w:tcPr>
          <w:p w14:paraId="0EF8EDBA" w14:textId="77777777" w:rsidR="00DC4448" w:rsidRPr="005D146A" w:rsidRDefault="00DC4448" w:rsidP="002C6ABD">
            <w:pPr>
              <w:ind w:right="-340"/>
              <w:jc w:val="center"/>
              <w:rPr>
                <w:rFonts w:eastAsia="Times New Roman" w:cs="Times New Roman"/>
                <w:color w:val="000000"/>
                <w:sz w:val="16"/>
                <w:szCs w:val="16"/>
              </w:rPr>
            </w:pPr>
            <w:r w:rsidRPr="005D146A">
              <w:rPr>
                <w:rFonts w:eastAsia="Times New Roman" w:cs="Times New Roman"/>
                <w:color w:val="000000"/>
                <w:sz w:val="16"/>
                <w:szCs w:val="16"/>
              </w:rPr>
              <w:t>$898,993</w:t>
            </w:r>
          </w:p>
        </w:tc>
      </w:tr>
    </w:tbl>
    <w:p w14:paraId="5A1A5941" w14:textId="77777777" w:rsidR="00DC4448" w:rsidRPr="003A3CAE" w:rsidRDefault="00DC4448" w:rsidP="005621A8">
      <w:pPr>
        <w:pStyle w:val="Heading3"/>
        <w:spacing w:before="120"/>
        <w:rPr>
          <w:rStyle w:val="IntenseEmphasis"/>
          <w:b/>
          <w:bCs/>
          <w:i w:val="0"/>
          <w:iCs w:val="0"/>
        </w:rPr>
      </w:pPr>
      <w:bookmarkStart w:id="212" w:name="_Toc472261307"/>
      <w:bookmarkStart w:id="213" w:name="_Toc472262650"/>
      <w:bookmarkStart w:id="214" w:name="_Toc472263032"/>
      <w:bookmarkStart w:id="215" w:name="_Toc472263182"/>
      <w:bookmarkStart w:id="216" w:name="_Toc472263333"/>
      <w:bookmarkStart w:id="217" w:name="_Toc346124022"/>
      <w:r w:rsidRPr="003A3CAE">
        <w:rPr>
          <w:rStyle w:val="IntenseEmphasis"/>
          <w:b/>
          <w:bCs/>
          <w:i w:val="0"/>
          <w:iCs w:val="0"/>
        </w:rPr>
        <w:t>Key Features of Approach</w:t>
      </w:r>
      <w:bookmarkEnd w:id="212"/>
      <w:bookmarkEnd w:id="213"/>
      <w:bookmarkEnd w:id="214"/>
      <w:bookmarkEnd w:id="215"/>
      <w:bookmarkEnd w:id="216"/>
      <w:bookmarkEnd w:id="217"/>
    </w:p>
    <w:p w14:paraId="3FDEF9A4" w14:textId="77777777" w:rsidR="00DC4448" w:rsidRPr="00E332E7"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E332E7">
        <w:rPr>
          <w:rFonts w:ascii="Century Gothic" w:eastAsiaTheme="minorHAnsi" w:hAnsi="Century Gothic"/>
          <w:sz w:val="20"/>
          <w:szCs w:val="20"/>
          <w:lang w:val="en-AU"/>
        </w:rPr>
        <w:t xml:space="preserve">Changed approach after 2014 – </w:t>
      </w:r>
      <w:r>
        <w:rPr>
          <w:rFonts w:ascii="Century Gothic" w:eastAsiaTheme="minorHAnsi" w:hAnsi="Century Gothic"/>
          <w:sz w:val="20"/>
          <w:szCs w:val="20"/>
          <w:lang w:val="en-AU"/>
        </w:rPr>
        <w:t xml:space="preserve">established three </w:t>
      </w:r>
      <w:r w:rsidRPr="00E332E7">
        <w:rPr>
          <w:rFonts w:ascii="Century Gothic" w:eastAsiaTheme="minorHAnsi" w:hAnsi="Century Gothic"/>
          <w:sz w:val="20"/>
          <w:szCs w:val="20"/>
          <w:lang w:val="en-AU"/>
        </w:rPr>
        <w:t>hi</w:t>
      </w:r>
      <w:r>
        <w:rPr>
          <w:rFonts w:ascii="Century Gothic" w:eastAsiaTheme="minorHAnsi" w:hAnsi="Century Gothic"/>
          <w:sz w:val="20"/>
          <w:szCs w:val="20"/>
          <w:lang w:val="en-AU"/>
        </w:rPr>
        <w:t>gher level, longer term (3 year</w:t>
      </w:r>
      <w:r w:rsidRPr="00E332E7">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priorities </w:t>
      </w:r>
      <w:r w:rsidRPr="00E332E7">
        <w:rPr>
          <w:rFonts w:ascii="Century Gothic" w:eastAsiaTheme="minorHAnsi" w:hAnsi="Century Gothic"/>
          <w:sz w:val="20"/>
          <w:szCs w:val="20"/>
          <w:lang w:val="en-AU"/>
        </w:rPr>
        <w:t xml:space="preserve">focusing </w:t>
      </w:r>
      <w:r>
        <w:rPr>
          <w:rFonts w:ascii="Century Gothic" w:eastAsiaTheme="minorHAnsi" w:hAnsi="Century Gothic"/>
          <w:sz w:val="20"/>
          <w:szCs w:val="20"/>
          <w:lang w:val="en-AU"/>
        </w:rPr>
        <w:t>largely on system wide i</w:t>
      </w:r>
      <w:r w:rsidRPr="00E332E7">
        <w:rPr>
          <w:rFonts w:ascii="Century Gothic" w:eastAsiaTheme="minorHAnsi" w:hAnsi="Century Gothic"/>
          <w:sz w:val="20"/>
          <w:szCs w:val="20"/>
          <w:lang w:val="en-AU"/>
        </w:rPr>
        <w:t xml:space="preserve">ssues </w:t>
      </w:r>
      <w:r>
        <w:rPr>
          <w:rFonts w:ascii="Century Gothic" w:eastAsiaTheme="minorHAnsi" w:hAnsi="Century Gothic"/>
          <w:sz w:val="20"/>
          <w:szCs w:val="20"/>
          <w:lang w:val="en-AU"/>
        </w:rPr>
        <w:t>and support:</w:t>
      </w:r>
    </w:p>
    <w:p w14:paraId="681BD90D" w14:textId="041CB8C6" w:rsidR="00DC4448" w:rsidRPr="00E332E7"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sidRPr="00E332E7">
        <w:rPr>
          <w:rFonts w:ascii="Century Gothic" w:eastAsiaTheme="minorHAnsi" w:hAnsi="Century Gothic"/>
          <w:sz w:val="20"/>
          <w:szCs w:val="20"/>
          <w:lang w:val="en-AU"/>
        </w:rPr>
        <w:t xml:space="preserve">Leading Catholic Education to New Levels </w:t>
      </w:r>
      <w:r w:rsidR="009617E9">
        <w:rPr>
          <w:rFonts w:ascii="Century Gothic" w:eastAsiaTheme="minorHAnsi" w:hAnsi="Century Gothic"/>
          <w:sz w:val="20"/>
          <w:szCs w:val="20"/>
          <w:lang w:val="en-AU"/>
        </w:rPr>
        <w:t>of Excellence</w:t>
      </w:r>
    </w:p>
    <w:p w14:paraId="0F62A4B6" w14:textId="7ED1B3B9" w:rsidR="00DC4448" w:rsidRPr="00E332E7" w:rsidRDefault="009617E9"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Continuous Improvement</w:t>
      </w:r>
    </w:p>
    <w:p w14:paraId="56559D8D" w14:textId="77777777" w:rsidR="00DC4448" w:rsidRPr="00E332E7"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sidRPr="00E332E7">
        <w:rPr>
          <w:rFonts w:ascii="Century Gothic" w:eastAsiaTheme="minorHAnsi" w:hAnsi="Century Gothic"/>
          <w:sz w:val="20"/>
          <w:szCs w:val="20"/>
          <w:lang w:val="en-AU"/>
        </w:rPr>
        <w:t>Student Need</w:t>
      </w:r>
    </w:p>
    <w:p w14:paraId="2D8A1658" w14:textId="77777777" w:rsidR="00DC4448" w:rsidRPr="007140D6" w:rsidRDefault="00DC4448" w:rsidP="005621A8">
      <w:pPr>
        <w:pStyle w:val="Heading3"/>
        <w:spacing w:before="120"/>
      </w:pPr>
      <w:bookmarkStart w:id="218" w:name="_Toc472261308"/>
      <w:bookmarkStart w:id="219" w:name="_Toc472262651"/>
      <w:bookmarkStart w:id="220" w:name="_Toc472263033"/>
      <w:bookmarkStart w:id="221" w:name="_Toc472263183"/>
      <w:bookmarkStart w:id="222" w:name="_Toc472263334"/>
      <w:r w:rsidRPr="007140D6">
        <w:t>Predominant Modes of Delivery</w:t>
      </w:r>
      <w:bookmarkEnd w:id="218"/>
      <w:bookmarkEnd w:id="219"/>
      <w:bookmarkEnd w:id="220"/>
      <w:bookmarkEnd w:id="221"/>
      <w:bookmarkEnd w:id="222"/>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Coaching and mentoring services, On-line tools, and support and advice.&#10;"/>
      </w:tblPr>
      <w:tblGrid>
        <w:gridCol w:w="3652"/>
        <w:gridCol w:w="850"/>
      </w:tblGrid>
      <w:tr w:rsidR="003E5526" w:rsidRPr="003E5526" w14:paraId="35753CFD"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880BEE" w14:textId="77777777" w:rsidR="00C31922" w:rsidRPr="00E4618A" w:rsidRDefault="00C31922"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7AC1" w14:textId="76CC81ED" w:rsidR="00C31922" w:rsidRPr="003E5526" w:rsidRDefault="003E5526" w:rsidP="003E5526">
            <w:pPr>
              <w:spacing w:after="60"/>
              <w:ind w:right="-340"/>
              <w:jc w:val="center"/>
              <w:rPr>
                <w:rFonts w:eastAsia="Times New Roman" w:cs="Times New Roman"/>
                <w:sz w:val="16"/>
                <w:szCs w:val="16"/>
              </w:rPr>
            </w:pPr>
            <w:r w:rsidRPr="003E5526">
              <w:rPr>
                <w:rFonts w:cs="Times New Roman"/>
                <w:i/>
                <w:iCs/>
                <w:sz w:val="15"/>
                <w:szCs w:val="15"/>
              </w:rPr>
              <w:t>Yes/no</w:t>
            </w:r>
          </w:p>
        </w:tc>
      </w:tr>
      <w:tr w:rsidR="00C31922" w:rsidRPr="00961128" w14:paraId="428AFAE6" w14:textId="77777777" w:rsidTr="00C31922">
        <w:tc>
          <w:tcPr>
            <w:tcW w:w="3652" w:type="dxa"/>
            <w:tcBorders>
              <w:top w:val="single" w:sz="4" w:space="0" w:color="auto"/>
              <w:left w:val="single" w:sz="4" w:space="0" w:color="auto"/>
              <w:bottom w:val="single" w:sz="4" w:space="0" w:color="auto"/>
              <w:right w:val="single" w:sz="4" w:space="0" w:color="auto"/>
            </w:tcBorders>
          </w:tcPr>
          <w:p w14:paraId="6DB1937E" w14:textId="77777777" w:rsidR="00C31922" w:rsidRPr="00961128" w:rsidRDefault="00C31922" w:rsidP="002C6ABD">
            <w:pPr>
              <w:spacing w:before="100" w:beforeAutospacing="1" w:after="120"/>
              <w:ind w:right="-340"/>
              <w:rPr>
                <w:rFonts w:cs="Times New Roman"/>
                <w:b/>
                <w:i/>
                <w:iCs/>
                <w:sz w:val="15"/>
                <w:szCs w:val="15"/>
              </w:rPr>
            </w:pPr>
            <w:r w:rsidRPr="00961128">
              <w:rPr>
                <w:rFonts w:cs="Times New Roman"/>
                <w:b/>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507443F4" w14:textId="5222B2D8"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69597545"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68C81B13"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Consultancy advice in schools</w:t>
            </w:r>
          </w:p>
        </w:tc>
        <w:tc>
          <w:tcPr>
            <w:tcW w:w="850" w:type="dxa"/>
            <w:tcBorders>
              <w:top w:val="single" w:sz="4" w:space="0" w:color="auto"/>
              <w:left w:val="single" w:sz="4" w:space="0" w:color="auto"/>
              <w:bottom w:val="single" w:sz="4" w:space="0" w:color="auto"/>
              <w:right w:val="single" w:sz="4" w:space="0" w:color="auto"/>
            </w:tcBorders>
          </w:tcPr>
          <w:p w14:paraId="5FC399B8" w14:textId="648E262C"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770B2F20" w14:textId="77777777" w:rsidTr="00C31922">
        <w:tc>
          <w:tcPr>
            <w:tcW w:w="3652" w:type="dxa"/>
            <w:tcBorders>
              <w:top w:val="single" w:sz="4" w:space="0" w:color="auto"/>
              <w:left w:val="single" w:sz="4" w:space="0" w:color="auto"/>
              <w:bottom w:val="single" w:sz="4" w:space="0" w:color="auto"/>
              <w:right w:val="single" w:sz="4" w:space="0" w:color="auto"/>
            </w:tcBorders>
          </w:tcPr>
          <w:p w14:paraId="27F4C2C4"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73E0A5DA" w14:textId="1F25F0E8"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4020726D" w14:textId="77777777" w:rsidTr="00C31922">
        <w:tc>
          <w:tcPr>
            <w:tcW w:w="3652" w:type="dxa"/>
            <w:tcBorders>
              <w:top w:val="single" w:sz="4" w:space="0" w:color="auto"/>
              <w:left w:val="single" w:sz="4" w:space="0" w:color="auto"/>
              <w:bottom w:val="single" w:sz="4" w:space="0" w:color="auto"/>
              <w:right w:val="single" w:sz="4" w:space="0" w:color="auto"/>
            </w:tcBorders>
          </w:tcPr>
          <w:p w14:paraId="031BD6BD"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5E09CABA" w14:textId="3EB4B46A" w:rsidR="00C31922"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C31922" w:rsidRPr="00C453CD" w14:paraId="36A91410" w14:textId="77777777" w:rsidTr="00C31922">
        <w:tc>
          <w:tcPr>
            <w:tcW w:w="3652" w:type="dxa"/>
            <w:tcBorders>
              <w:top w:val="single" w:sz="4" w:space="0" w:color="auto"/>
              <w:left w:val="single" w:sz="4" w:space="0" w:color="auto"/>
              <w:bottom w:val="single" w:sz="4" w:space="0" w:color="auto"/>
              <w:right w:val="single" w:sz="4" w:space="0" w:color="auto"/>
            </w:tcBorders>
            <w:vAlign w:val="center"/>
          </w:tcPr>
          <w:p w14:paraId="37D2892E" w14:textId="77777777" w:rsidR="00C31922" w:rsidRPr="00C453CD" w:rsidRDefault="00C31922" w:rsidP="002C6ABD">
            <w:pPr>
              <w:spacing w:before="100" w:beforeAutospacing="1" w:after="120"/>
              <w:ind w:right="-340"/>
              <w:rPr>
                <w:rFonts w:cs="Times New Roman"/>
                <w:i/>
                <w:iCs/>
                <w:sz w:val="15"/>
                <w:szCs w:val="15"/>
              </w:rPr>
            </w:pPr>
            <w:r w:rsidRPr="00C453CD">
              <w:rPr>
                <w:rFonts w:cs="Times New Roman"/>
                <w:i/>
                <w:iCs/>
                <w:sz w:val="15"/>
                <w:szCs w:val="15"/>
              </w:rPr>
              <w:t>Resource provision</w:t>
            </w:r>
          </w:p>
        </w:tc>
        <w:tc>
          <w:tcPr>
            <w:tcW w:w="850" w:type="dxa"/>
            <w:tcBorders>
              <w:top w:val="single" w:sz="4" w:space="0" w:color="auto"/>
              <w:left w:val="single" w:sz="4" w:space="0" w:color="auto"/>
              <w:bottom w:val="single" w:sz="4" w:space="0" w:color="auto"/>
              <w:right w:val="single" w:sz="4" w:space="0" w:color="auto"/>
            </w:tcBorders>
          </w:tcPr>
          <w:p w14:paraId="22E56B6D" w14:textId="7B34AD9B" w:rsidR="00C31922" w:rsidRPr="00C453CD" w:rsidRDefault="00C31922"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47D32A42" w14:textId="77777777" w:rsidTr="00C31922">
        <w:tc>
          <w:tcPr>
            <w:tcW w:w="3652" w:type="dxa"/>
            <w:tcBorders>
              <w:top w:val="single" w:sz="4" w:space="0" w:color="auto"/>
              <w:left w:val="single" w:sz="4" w:space="0" w:color="auto"/>
              <w:bottom w:val="single" w:sz="4" w:space="0" w:color="auto"/>
              <w:right w:val="single" w:sz="4" w:space="0" w:color="auto"/>
            </w:tcBorders>
          </w:tcPr>
          <w:p w14:paraId="4340D709" w14:textId="3FCE15EB" w:rsidR="00C31922" w:rsidRPr="00C453CD" w:rsidRDefault="00C31922" w:rsidP="00C31922">
            <w:pPr>
              <w:spacing w:before="100" w:beforeAutospacing="1" w:after="120"/>
              <w:ind w:right="-340"/>
              <w:rPr>
                <w:rFonts w:cs="Times New Roman"/>
                <w:i/>
                <w:iCs/>
                <w:sz w:val="15"/>
                <w:szCs w:val="15"/>
              </w:rPr>
            </w:pPr>
            <w:r w:rsidRPr="00961128">
              <w:rPr>
                <w:rFonts w:cs="Times New Roman"/>
                <w:b/>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2986511B" w14:textId="602BAE2A" w:rsidR="00C31922" w:rsidRDefault="00C31922" w:rsidP="00C31922">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C31922" w:rsidRPr="00C453CD" w14:paraId="37AC4BE5" w14:textId="77777777" w:rsidTr="00C31922">
        <w:tc>
          <w:tcPr>
            <w:tcW w:w="3652" w:type="dxa"/>
            <w:tcBorders>
              <w:top w:val="single" w:sz="4" w:space="0" w:color="auto"/>
              <w:left w:val="single" w:sz="4" w:space="0" w:color="auto"/>
              <w:bottom w:val="single" w:sz="4" w:space="0" w:color="auto"/>
              <w:right w:val="single" w:sz="4" w:space="0" w:color="auto"/>
            </w:tcBorders>
          </w:tcPr>
          <w:p w14:paraId="0B08FE52" w14:textId="06C55A47"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7311492E" w14:textId="5C25012D" w:rsidR="00C31922"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r w:rsidR="00C31922" w:rsidRPr="00C453CD" w14:paraId="4A1236A6" w14:textId="77777777" w:rsidTr="00C31922">
        <w:tc>
          <w:tcPr>
            <w:tcW w:w="3652" w:type="dxa"/>
            <w:tcBorders>
              <w:top w:val="single" w:sz="4" w:space="0" w:color="auto"/>
              <w:left w:val="single" w:sz="4" w:space="0" w:color="auto"/>
              <w:bottom w:val="single" w:sz="4" w:space="0" w:color="auto"/>
              <w:right w:val="single" w:sz="4" w:space="0" w:color="auto"/>
            </w:tcBorders>
          </w:tcPr>
          <w:p w14:paraId="67E85533" w14:textId="12AAFBB5"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57196A88" w14:textId="0AF83C92" w:rsidR="00C31922" w:rsidRDefault="003E5526" w:rsidP="00C31922">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C453CD" w14:paraId="553C8E29" w14:textId="77777777" w:rsidTr="00C31922">
        <w:tc>
          <w:tcPr>
            <w:tcW w:w="3652" w:type="dxa"/>
            <w:tcBorders>
              <w:top w:val="single" w:sz="4" w:space="0" w:color="auto"/>
              <w:left w:val="single" w:sz="4" w:space="0" w:color="auto"/>
              <w:bottom w:val="single" w:sz="4" w:space="0" w:color="auto"/>
              <w:right w:val="single" w:sz="4" w:space="0" w:color="auto"/>
            </w:tcBorders>
          </w:tcPr>
          <w:p w14:paraId="37C7566C" w14:textId="0DD17C0D" w:rsidR="00C31922" w:rsidRPr="00C453CD" w:rsidRDefault="00C31922" w:rsidP="00C31922">
            <w:pPr>
              <w:spacing w:before="100" w:beforeAutospacing="1" w:after="120"/>
              <w:ind w:right="-340"/>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754B3816" w14:textId="3890C72E" w:rsidR="00C31922" w:rsidRDefault="00C31922" w:rsidP="00C31922">
            <w:pPr>
              <w:spacing w:before="100" w:beforeAutospacing="1" w:after="120"/>
              <w:ind w:right="-340"/>
              <w:jc w:val="center"/>
              <w:rPr>
                <w:rFonts w:cs="Times New Roman"/>
                <w:i/>
                <w:iCs/>
                <w:sz w:val="15"/>
                <w:szCs w:val="15"/>
              </w:rPr>
            </w:pPr>
            <w:r>
              <w:rPr>
                <w:rFonts w:cs="Times New Roman"/>
                <w:i/>
                <w:iCs/>
                <w:sz w:val="15"/>
                <w:szCs w:val="15"/>
              </w:rPr>
              <w:t>no</w:t>
            </w:r>
          </w:p>
        </w:tc>
      </w:tr>
    </w:tbl>
    <w:p w14:paraId="0F738AFF" w14:textId="77777777" w:rsidR="00DC4448" w:rsidRPr="00027DD6" w:rsidRDefault="00DC4448" w:rsidP="005621A8">
      <w:pPr>
        <w:pStyle w:val="Heading3"/>
        <w:spacing w:before="120"/>
      </w:pPr>
      <w:bookmarkStart w:id="223" w:name="_Toc472261309"/>
      <w:bookmarkStart w:id="224" w:name="_Toc472262652"/>
      <w:bookmarkStart w:id="225" w:name="_Toc472263034"/>
      <w:bookmarkStart w:id="226" w:name="_Toc472263184"/>
      <w:bookmarkStart w:id="227" w:name="_Toc472263335"/>
      <w:bookmarkStart w:id="228" w:name="_Toc346124023"/>
      <w:r w:rsidRPr="00027DD6">
        <w:t>Sample of Key Programs</w:t>
      </w:r>
      <w:bookmarkEnd w:id="223"/>
      <w:bookmarkEnd w:id="224"/>
      <w:bookmarkEnd w:id="225"/>
      <w:bookmarkEnd w:id="226"/>
      <w:bookmarkEnd w:id="227"/>
      <w:bookmarkEnd w:id="228"/>
    </w:p>
    <w:p w14:paraId="5EA822AA"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System level reform including support for </w:t>
      </w:r>
      <w:r w:rsidRPr="00E332E7">
        <w:rPr>
          <w:rFonts w:ascii="Century Gothic" w:eastAsiaTheme="minorHAnsi" w:hAnsi="Century Gothic"/>
          <w:sz w:val="20"/>
          <w:szCs w:val="20"/>
          <w:lang w:val="en-AU"/>
        </w:rPr>
        <w:t>moving Year 7s to secondar</w:t>
      </w:r>
      <w:r>
        <w:rPr>
          <w:rFonts w:ascii="Century Gothic" w:eastAsiaTheme="minorHAnsi" w:hAnsi="Century Gothic"/>
          <w:sz w:val="20"/>
          <w:szCs w:val="20"/>
          <w:lang w:val="en-AU"/>
        </w:rPr>
        <w:t xml:space="preserve">y schools, new funding formula and a </w:t>
      </w:r>
      <w:r w:rsidRPr="00E332E7">
        <w:rPr>
          <w:rFonts w:ascii="Century Gothic" w:eastAsiaTheme="minorHAnsi" w:hAnsi="Century Gothic"/>
          <w:sz w:val="20"/>
          <w:szCs w:val="20"/>
          <w:lang w:val="en-AU"/>
        </w:rPr>
        <w:t>review of provision</w:t>
      </w:r>
    </w:p>
    <w:p w14:paraId="7346BF47" w14:textId="77777777" w:rsidR="00DC4448" w:rsidRPr="00E332E7"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w:t>
      </w:r>
      <w:r w:rsidRPr="00E332E7">
        <w:rPr>
          <w:rFonts w:ascii="Century Gothic" w:eastAsiaTheme="minorHAnsi" w:hAnsi="Century Gothic"/>
          <w:sz w:val="20"/>
          <w:szCs w:val="20"/>
          <w:lang w:val="en-AU"/>
        </w:rPr>
        <w:t>mplementation of Continuous Improvement for Catholic Schools</w:t>
      </w:r>
      <w:r>
        <w:rPr>
          <w:rFonts w:ascii="Century Gothic" w:eastAsiaTheme="minorHAnsi" w:hAnsi="Century Gothic"/>
          <w:sz w:val="20"/>
          <w:szCs w:val="20"/>
          <w:lang w:val="en-AU"/>
        </w:rPr>
        <w:t xml:space="preserve"> Framework</w:t>
      </w:r>
      <w:r w:rsidRPr="00E332E7">
        <w:rPr>
          <w:rFonts w:ascii="Century Gothic" w:eastAsiaTheme="minorHAnsi" w:hAnsi="Century Gothic"/>
          <w:sz w:val="20"/>
          <w:szCs w:val="20"/>
          <w:lang w:val="en-AU"/>
        </w:rPr>
        <w:t xml:space="preserve">, support for school leaders including rural principals, support for </w:t>
      </w:r>
      <w:r>
        <w:rPr>
          <w:rFonts w:ascii="Century Gothic" w:eastAsiaTheme="minorHAnsi" w:hAnsi="Century Gothic"/>
          <w:sz w:val="20"/>
          <w:szCs w:val="20"/>
          <w:lang w:val="en-AU"/>
        </w:rPr>
        <w:t xml:space="preserve">school </w:t>
      </w:r>
      <w:r w:rsidRPr="00E332E7">
        <w:rPr>
          <w:rFonts w:ascii="Century Gothic" w:eastAsiaTheme="minorHAnsi" w:hAnsi="Century Gothic"/>
          <w:sz w:val="20"/>
          <w:szCs w:val="20"/>
          <w:lang w:val="en-AU"/>
        </w:rPr>
        <w:t>governance, school improvement plans and re</w:t>
      </w:r>
      <w:r>
        <w:rPr>
          <w:rFonts w:ascii="Century Gothic" w:eastAsiaTheme="minorHAnsi" w:hAnsi="Century Gothic"/>
          <w:sz w:val="20"/>
          <w:szCs w:val="20"/>
          <w:lang w:val="en-AU"/>
        </w:rPr>
        <w:t>porting</w:t>
      </w:r>
    </w:p>
    <w:p w14:paraId="7C24F9BB" w14:textId="77777777" w:rsidR="00DC4448" w:rsidRPr="00E332E7"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E332E7">
        <w:rPr>
          <w:rFonts w:ascii="Century Gothic" w:eastAsiaTheme="minorHAnsi" w:hAnsi="Century Gothic"/>
          <w:sz w:val="20"/>
          <w:szCs w:val="20"/>
          <w:lang w:val="en-AU"/>
        </w:rPr>
        <w:t>Grants to schools to meet the specific needs of ATSI</w:t>
      </w:r>
      <w:r>
        <w:rPr>
          <w:rFonts w:ascii="Century Gothic" w:eastAsiaTheme="minorHAnsi" w:hAnsi="Century Gothic"/>
          <w:sz w:val="20"/>
          <w:szCs w:val="20"/>
          <w:lang w:val="en-AU"/>
        </w:rPr>
        <w:t xml:space="preserve"> students</w:t>
      </w:r>
      <w:r w:rsidRPr="00E332E7">
        <w:rPr>
          <w:rFonts w:ascii="Century Gothic" w:eastAsiaTheme="minorHAnsi" w:hAnsi="Century Gothic"/>
          <w:sz w:val="20"/>
          <w:szCs w:val="20"/>
          <w:lang w:val="en-AU"/>
        </w:rPr>
        <w:t>, students with disabilities and other groups of disadvantaged students including refugees and new arrivals, case management fo</w:t>
      </w:r>
      <w:r>
        <w:rPr>
          <w:rFonts w:ascii="Century Gothic" w:eastAsiaTheme="minorHAnsi" w:hAnsi="Century Gothic"/>
          <w:sz w:val="20"/>
          <w:szCs w:val="20"/>
          <w:lang w:val="en-AU"/>
        </w:rPr>
        <w:t>r</w:t>
      </w:r>
      <w:r w:rsidRPr="00E332E7">
        <w:rPr>
          <w:rFonts w:ascii="Century Gothic" w:eastAsiaTheme="minorHAnsi" w:hAnsi="Century Gothic"/>
          <w:sz w:val="20"/>
          <w:szCs w:val="20"/>
          <w:lang w:val="en-AU"/>
        </w:rPr>
        <w:t xml:space="preserve"> those at risk of leaving school</w:t>
      </w:r>
    </w:p>
    <w:p w14:paraId="318D6D33" w14:textId="77777777" w:rsidR="00DC4448" w:rsidRPr="00027DD6" w:rsidRDefault="00DC4448" w:rsidP="005621A8">
      <w:pPr>
        <w:pStyle w:val="Heading3"/>
        <w:spacing w:before="120"/>
      </w:pPr>
      <w:bookmarkStart w:id="229" w:name="_Toc472261310"/>
      <w:bookmarkStart w:id="230" w:name="_Toc472262653"/>
      <w:bookmarkStart w:id="231" w:name="_Toc472263035"/>
      <w:bookmarkStart w:id="232" w:name="_Toc472263185"/>
      <w:bookmarkStart w:id="233" w:name="_Toc472263336"/>
      <w:bookmarkStart w:id="234" w:name="_Toc346124024"/>
      <w:r w:rsidRPr="00027DD6">
        <w:t>Funding – how used?</w:t>
      </w:r>
      <w:bookmarkEnd w:id="229"/>
      <w:bookmarkEnd w:id="230"/>
      <w:bookmarkEnd w:id="231"/>
      <w:bookmarkEnd w:id="232"/>
      <w:bookmarkEnd w:id="233"/>
      <w:bookmarkEnd w:id="234"/>
    </w:p>
    <w:p w14:paraId="19A31785" w14:textId="4EF65090" w:rsidR="00DC4448" w:rsidRPr="00CD3496" w:rsidRDefault="009617E9" w:rsidP="00DC4448">
      <w:pPr>
        <w:spacing w:line="276" w:lineRule="auto"/>
        <w:ind w:left="142" w:right="-340"/>
        <w:jc w:val="both"/>
        <w:rPr>
          <w:rFonts w:ascii="Century Gothic" w:eastAsiaTheme="minorHAnsi" w:hAnsi="Century Gothic"/>
          <w:sz w:val="20"/>
          <w:szCs w:val="20"/>
          <w:lang w:val="en-AU"/>
        </w:rPr>
      </w:pPr>
      <w:r>
        <w:rPr>
          <w:rFonts w:ascii="Century Gothic" w:hAnsi="Century Gothic" w:cs="Times New Roman"/>
          <w:sz w:val="20"/>
          <w:szCs w:val="20"/>
        </w:rPr>
        <w:t>Funding used for</w:t>
      </w:r>
    </w:p>
    <w:p w14:paraId="20CA0290"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hAnsi="Century Gothic" w:cs="Times New Roman"/>
          <w:sz w:val="20"/>
          <w:szCs w:val="20"/>
        </w:rPr>
        <w:t xml:space="preserve">professional learning programs for schools, school leaders and </w:t>
      </w:r>
      <w:r>
        <w:rPr>
          <w:rFonts w:ascii="Century Gothic" w:eastAsiaTheme="minorHAnsi" w:hAnsi="Century Gothic"/>
          <w:sz w:val="20"/>
          <w:szCs w:val="20"/>
          <w:lang w:val="en-AU"/>
        </w:rPr>
        <w:t>councils,</w:t>
      </w:r>
    </w:p>
    <w:p w14:paraId="00D11F77" w14:textId="180AC487" w:rsidR="00DC4448" w:rsidRPr="00CD3496"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CD3496">
        <w:rPr>
          <w:rFonts w:ascii="Century Gothic" w:eastAsiaTheme="minorHAnsi" w:hAnsi="Century Gothic"/>
          <w:sz w:val="20"/>
          <w:szCs w:val="20"/>
          <w:lang w:val="en-AU"/>
        </w:rPr>
        <w:t>system strategy and resource de</w:t>
      </w:r>
      <w:r w:rsidR="009617E9">
        <w:rPr>
          <w:rFonts w:ascii="Century Gothic" w:eastAsiaTheme="minorHAnsi" w:hAnsi="Century Gothic"/>
          <w:sz w:val="20"/>
          <w:szCs w:val="20"/>
          <w:lang w:val="en-AU"/>
        </w:rPr>
        <w:t>velopment and grants to schools</w:t>
      </w:r>
    </w:p>
    <w:p w14:paraId="71B0C0D7" w14:textId="6D2B7938" w:rsidR="00DC4448" w:rsidRPr="00CD3496"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CD3496">
        <w:rPr>
          <w:rFonts w:ascii="Century Gothic" w:eastAsiaTheme="minorHAnsi" w:hAnsi="Century Gothic"/>
          <w:sz w:val="20"/>
          <w:szCs w:val="20"/>
          <w:lang w:val="en-AU"/>
        </w:rPr>
        <w:t xml:space="preserve">MoUs with principal associations to provide professional learning for clusters of principals on specific domains of the </w:t>
      </w:r>
      <w:r w:rsidRPr="00E332E7">
        <w:rPr>
          <w:rFonts w:ascii="Century Gothic" w:eastAsiaTheme="minorHAnsi" w:hAnsi="Century Gothic"/>
          <w:sz w:val="20"/>
          <w:szCs w:val="20"/>
          <w:lang w:val="en-AU"/>
        </w:rPr>
        <w:t>Continuous Improvement for Catholic Schools</w:t>
      </w:r>
      <w:r w:rsidR="009617E9">
        <w:rPr>
          <w:rFonts w:ascii="Century Gothic" w:eastAsiaTheme="minorHAnsi" w:hAnsi="Century Gothic"/>
          <w:sz w:val="20"/>
          <w:szCs w:val="20"/>
          <w:lang w:val="en-AU"/>
        </w:rPr>
        <w:t xml:space="preserve"> Framework.</w:t>
      </w:r>
    </w:p>
    <w:p w14:paraId="24E2E32E" w14:textId="77777777" w:rsidR="00DC4448" w:rsidRPr="00027DD6" w:rsidRDefault="00DC4448" w:rsidP="005621A8">
      <w:pPr>
        <w:pStyle w:val="Heading3"/>
        <w:spacing w:before="120"/>
      </w:pPr>
      <w:bookmarkStart w:id="235" w:name="_Toc472261311"/>
      <w:bookmarkStart w:id="236" w:name="_Toc472262654"/>
      <w:bookmarkStart w:id="237" w:name="_Toc472263036"/>
      <w:bookmarkStart w:id="238" w:name="_Toc472263186"/>
      <w:bookmarkStart w:id="239" w:name="_Toc472263337"/>
      <w:bookmarkStart w:id="240" w:name="_Toc346124025"/>
      <w:r w:rsidRPr="00027DD6">
        <w:t>Monitoring Success</w:t>
      </w:r>
      <w:bookmarkEnd w:id="235"/>
      <w:bookmarkEnd w:id="236"/>
      <w:bookmarkEnd w:id="237"/>
      <w:bookmarkEnd w:id="238"/>
      <w:bookmarkEnd w:id="239"/>
      <w:bookmarkEnd w:id="240"/>
    </w:p>
    <w:p w14:paraId="2F32304E" w14:textId="77777777" w:rsidR="00DC4448" w:rsidRDefault="00DC4448" w:rsidP="00DC4448">
      <w:pPr>
        <w:widowControl w:val="0"/>
        <w:tabs>
          <w:tab w:val="left" w:pos="220"/>
          <w:tab w:val="left" w:pos="720"/>
        </w:tabs>
        <w:autoSpaceDE w:val="0"/>
        <w:autoSpaceDN w:val="0"/>
        <w:adjustRightInd w:val="0"/>
        <w:spacing w:after="120"/>
        <w:ind w:right="-340"/>
        <w:rPr>
          <w:rFonts w:ascii="Century Gothic" w:hAnsi="Century Gothic" w:cs="Times New Roman"/>
          <w:sz w:val="20"/>
          <w:szCs w:val="20"/>
        </w:rPr>
      </w:pPr>
      <w:r>
        <w:rPr>
          <w:rFonts w:ascii="Century Gothic" w:hAnsi="Century Gothic" w:cs="Times New Roman"/>
          <w:sz w:val="20"/>
          <w:szCs w:val="20"/>
        </w:rPr>
        <w:t>A range of measures are reported on including:</w:t>
      </w:r>
    </w:p>
    <w:p w14:paraId="3373FCF3" w14:textId="77777777" w:rsidR="00DC4448" w:rsidRDefault="00DC4448" w:rsidP="006A1D2B">
      <w:pPr>
        <w:pStyle w:val="ListParagraph"/>
        <w:numPr>
          <w:ilvl w:val="0"/>
          <w:numId w:val="15"/>
        </w:numPr>
        <w:spacing w:line="276" w:lineRule="auto"/>
        <w:ind w:right="-340"/>
        <w:jc w:val="both"/>
        <w:rPr>
          <w:rFonts w:ascii="Century Gothic" w:hAnsi="Century Gothic" w:cs="Times New Roman"/>
          <w:sz w:val="20"/>
          <w:szCs w:val="20"/>
        </w:rPr>
      </w:pPr>
      <w:r>
        <w:rPr>
          <w:rFonts w:ascii="Century Gothic" w:hAnsi="Century Gothic" w:cs="Times New Roman"/>
          <w:sz w:val="20"/>
          <w:szCs w:val="20"/>
        </w:rPr>
        <w:t>Completion of strategy and resource development</w:t>
      </w:r>
    </w:p>
    <w:p w14:paraId="03BBBD3D" w14:textId="77777777" w:rsidR="00DC4448" w:rsidRPr="005D6380" w:rsidRDefault="00DC4448" w:rsidP="006A1D2B">
      <w:pPr>
        <w:pStyle w:val="ListParagraph"/>
        <w:numPr>
          <w:ilvl w:val="0"/>
          <w:numId w:val="15"/>
        </w:numPr>
        <w:spacing w:line="276" w:lineRule="auto"/>
        <w:ind w:right="-340"/>
        <w:jc w:val="both"/>
        <w:rPr>
          <w:rFonts w:ascii="Century Gothic" w:hAnsi="Century Gothic" w:cs="Times New Roman"/>
          <w:sz w:val="20"/>
          <w:szCs w:val="20"/>
        </w:rPr>
      </w:pPr>
      <w:r>
        <w:rPr>
          <w:rFonts w:ascii="Century Gothic" w:hAnsi="Century Gothic" w:cs="Times New Roman"/>
          <w:sz w:val="20"/>
          <w:szCs w:val="20"/>
        </w:rPr>
        <w:t>Schools and school leaders participation measures</w:t>
      </w:r>
    </w:p>
    <w:p w14:paraId="54578129" w14:textId="77777777" w:rsidR="00DC4448" w:rsidRPr="00027DD6" w:rsidRDefault="00DC4448" w:rsidP="005621A8">
      <w:pPr>
        <w:pStyle w:val="Heading3"/>
        <w:spacing w:before="120"/>
      </w:pPr>
      <w:bookmarkStart w:id="241" w:name="_Toc472261312"/>
      <w:bookmarkStart w:id="242" w:name="_Toc472262655"/>
      <w:bookmarkStart w:id="243" w:name="_Toc472263037"/>
      <w:bookmarkStart w:id="244" w:name="_Toc472263187"/>
      <w:bookmarkStart w:id="245" w:name="_Toc472263338"/>
      <w:bookmarkStart w:id="246" w:name="_Toc346124026"/>
      <w:r w:rsidRPr="00027DD6">
        <w:t>Issues and Implications</w:t>
      </w:r>
      <w:bookmarkEnd w:id="241"/>
      <w:bookmarkEnd w:id="242"/>
      <w:bookmarkEnd w:id="243"/>
      <w:bookmarkEnd w:id="244"/>
      <w:bookmarkEnd w:id="245"/>
      <w:bookmarkEnd w:id="246"/>
    </w:p>
    <w:p w14:paraId="3C02DDFB" w14:textId="4169BE0D" w:rsidR="00DC4448" w:rsidRPr="00A451DF" w:rsidRDefault="00DC4448" w:rsidP="00DC4448">
      <w:pPr>
        <w:spacing w:after="120"/>
        <w:ind w:right="-340"/>
        <w:rPr>
          <w:rFonts w:ascii="Century Gothic" w:hAnsi="Century Gothic" w:cs="Times New Roman"/>
          <w:sz w:val="20"/>
          <w:szCs w:val="20"/>
        </w:rPr>
      </w:pPr>
      <w:r>
        <w:rPr>
          <w:rFonts w:ascii="Century Gothic" w:hAnsi="Century Gothic" w:cs="Times New Roman"/>
          <w:sz w:val="20"/>
          <w:szCs w:val="20"/>
        </w:rPr>
        <w:t>SFSF f</w:t>
      </w:r>
      <w:r w:rsidRPr="00A451DF">
        <w:rPr>
          <w:rFonts w:ascii="Century Gothic" w:hAnsi="Century Gothic" w:cs="Times New Roman"/>
          <w:sz w:val="20"/>
          <w:szCs w:val="20"/>
        </w:rPr>
        <w:t>unds enable longer-term approach to system improvement</w:t>
      </w:r>
      <w:r>
        <w:rPr>
          <w:rFonts w:ascii="Century Gothic" w:hAnsi="Century Gothic" w:cs="Times New Roman"/>
          <w:sz w:val="20"/>
          <w:szCs w:val="20"/>
        </w:rPr>
        <w:t xml:space="preserve"> to be adopted</w:t>
      </w:r>
      <w:r w:rsidR="009617E9">
        <w:rPr>
          <w:rFonts w:ascii="Century Gothic" w:hAnsi="Century Gothic" w:cs="Times New Roman"/>
          <w:sz w:val="20"/>
          <w:szCs w:val="20"/>
        </w:rPr>
        <w:t>.</w:t>
      </w:r>
    </w:p>
    <w:p w14:paraId="550AC917" w14:textId="77777777" w:rsidR="00DC4448" w:rsidRPr="00A451DF" w:rsidRDefault="00DC4448" w:rsidP="00DC4448">
      <w:pPr>
        <w:spacing w:after="120"/>
        <w:ind w:right="-340"/>
        <w:rPr>
          <w:rFonts w:ascii="Century Gothic" w:hAnsi="Century Gothic" w:cs="Times New Roman"/>
          <w:sz w:val="20"/>
          <w:szCs w:val="20"/>
        </w:rPr>
      </w:pPr>
      <w:r w:rsidRPr="00A451DF">
        <w:rPr>
          <w:rFonts w:ascii="Century Gothic" w:hAnsi="Century Gothic" w:cs="Times New Roman"/>
          <w:sz w:val="20"/>
          <w:szCs w:val="20"/>
        </w:rPr>
        <w:t>Difficulties in acquitting on an annual basis for a three year plan.</w:t>
      </w:r>
    </w:p>
    <w:p w14:paraId="0CCBCC5C" w14:textId="561DEC5E" w:rsidR="00DC4448" w:rsidRDefault="00DC4448" w:rsidP="00DC4448">
      <w:pPr>
        <w:rPr>
          <w:rFonts w:ascii="Century Gothic" w:hAnsi="Century Gothic"/>
          <w:sz w:val="20"/>
          <w:szCs w:val="20"/>
        </w:rPr>
      </w:pPr>
      <w:r w:rsidRPr="00A451DF">
        <w:rPr>
          <w:rFonts w:ascii="Century Gothic" w:hAnsi="Century Gothic" w:cs="Times New Roman"/>
          <w:sz w:val="20"/>
          <w:szCs w:val="20"/>
        </w:rPr>
        <w:t>Schools will be aware in a general sense that these activities are supported by the Commonwealth but may not be able to specifically identify SFSF although it is referenced in MoUs with prin</w:t>
      </w:r>
      <w:r>
        <w:rPr>
          <w:rFonts w:ascii="Century Gothic" w:hAnsi="Century Gothic" w:cs="Times New Roman"/>
          <w:sz w:val="20"/>
          <w:szCs w:val="20"/>
        </w:rPr>
        <w:t>cipal</w:t>
      </w:r>
      <w:r w:rsidRPr="00A451DF">
        <w:rPr>
          <w:rFonts w:ascii="Century Gothic" w:hAnsi="Century Gothic" w:cs="Times New Roman"/>
          <w:sz w:val="20"/>
          <w:szCs w:val="20"/>
        </w:rPr>
        <w:t xml:space="preserve"> asso</w:t>
      </w:r>
      <w:r w:rsidR="009617E9">
        <w:rPr>
          <w:rFonts w:ascii="Century Gothic" w:hAnsi="Century Gothic" w:cs="Times New Roman"/>
          <w:sz w:val="20"/>
          <w:szCs w:val="20"/>
        </w:rPr>
        <w:t>ciations</w:t>
      </w:r>
      <w:r w:rsidR="003E5526">
        <w:rPr>
          <w:rFonts w:ascii="Century Gothic" w:hAnsi="Century Gothic" w:cs="Times New Roman"/>
          <w:sz w:val="20"/>
          <w:szCs w:val="20"/>
        </w:rPr>
        <w:t>.</w:t>
      </w: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Western Australian Independent NGRB."/>
      </w:tblPr>
      <w:tblGrid>
        <w:gridCol w:w="3777"/>
        <w:gridCol w:w="1009"/>
        <w:gridCol w:w="1285"/>
        <w:gridCol w:w="1325"/>
        <w:gridCol w:w="1296"/>
      </w:tblGrid>
      <w:tr w:rsidR="00DC4448" w:rsidRPr="00E4618A" w14:paraId="1B0B23F7" w14:textId="77777777" w:rsidTr="002C6ABD">
        <w:tc>
          <w:tcPr>
            <w:tcW w:w="3777" w:type="dxa"/>
            <w:vMerge w:val="restart"/>
            <w:tcBorders>
              <w:top w:val="nil"/>
              <w:left w:val="nil"/>
              <w:bottom w:val="nil"/>
              <w:right w:val="single" w:sz="4" w:space="0" w:color="auto"/>
            </w:tcBorders>
            <w:shd w:val="clear" w:color="auto" w:fill="auto"/>
          </w:tcPr>
          <w:p w14:paraId="016B9442" w14:textId="77777777" w:rsidR="00DC4448" w:rsidRPr="00870B9B" w:rsidRDefault="00DC4448" w:rsidP="005621A8">
            <w:pPr>
              <w:pStyle w:val="Heading2"/>
              <w:spacing w:before="0" w:after="0"/>
            </w:pPr>
            <w:bookmarkStart w:id="247" w:name="_Toc472261313"/>
            <w:bookmarkStart w:id="248" w:name="_Toc472262656"/>
            <w:bookmarkStart w:id="249" w:name="_Toc472263038"/>
            <w:bookmarkStart w:id="250" w:name="_Toc472263188"/>
            <w:bookmarkStart w:id="251" w:name="_Toc472263339"/>
            <w:bookmarkStart w:id="252" w:name="_Toc346124027"/>
            <w:bookmarkStart w:id="253" w:name="_Toc463183795"/>
            <w:r w:rsidRPr="005621A8">
              <w:rPr>
                <w:sz w:val="24"/>
              </w:rPr>
              <w:t>West Australian Independent</w:t>
            </w:r>
            <w:bookmarkEnd w:id="247"/>
            <w:bookmarkEnd w:id="248"/>
            <w:bookmarkEnd w:id="249"/>
            <w:bookmarkEnd w:id="250"/>
            <w:bookmarkEnd w:id="251"/>
            <w:bookmarkEnd w:id="252"/>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3493F" w14:textId="77777777" w:rsidR="00DC4448" w:rsidRPr="00E4618A" w:rsidRDefault="00DC4448" w:rsidP="002C6ABD">
            <w:pPr>
              <w:ind w:right="-340"/>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BDC23D" w14:textId="77777777" w:rsidR="00DC4448" w:rsidRPr="00E4618A" w:rsidRDefault="00DC4448" w:rsidP="002C6ABD">
            <w:pPr>
              <w:ind w:right="-340"/>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D18705" w14:textId="77777777" w:rsidR="00DC4448" w:rsidRPr="00E4618A" w:rsidRDefault="00DC4448" w:rsidP="002C6ABD">
            <w:pPr>
              <w:ind w:right="-340"/>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35BFC8" w14:textId="77777777" w:rsidR="00DC4448" w:rsidRPr="00E4618A" w:rsidRDefault="00DC4448" w:rsidP="002C6ABD">
            <w:pPr>
              <w:ind w:right="-340"/>
              <w:rPr>
                <w:sz w:val="16"/>
                <w:szCs w:val="16"/>
              </w:rPr>
            </w:pPr>
            <w:r>
              <w:rPr>
                <w:sz w:val="16"/>
                <w:szCs w:val="16"/>
              </w:rPr>
              <w:t>SFSF $</w:t>
            </w:r>
          </w:p>
        </w:tc>
      </w:tr>
      <w:tr w:rsidR="00DC4448" w:rsidRPr="004E2552" w14:paraId="6965CD81" w14:textId="77777777" w:rsidTr="002C6ABD">
        <w:tc>
          <w:tcPr>
            <w:tcW w:w="3777" w:type="dxa"/>
            <w:vMerge/>
            <w:tcBorders>
              <w:left w:val="nil"/>
              <w:bottom w:val="nil"/>
              <w:right w:val="single" w:sz="4" w:space="0" w:color="auto"/>
            </w:tcBorders>
            <w:shd w:val="clear" w:color="auto" w:fill="auto"/>
          </w:tcPr>
          <w:p w14:paraId="156F7913"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7084862C"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141 </w:t>
            </w:r>
          </w:p>
        </w:tc>
        <w:tc>
          <w:tcPr>
            <w:tcW w:w="1285" w:type="dxa"/>
            <w:tcBorders>
              <w:top w:val="single" w:sz="4" w:space="0" w:color="auto"/>
              <w:left w:val="single" w:sz="4" w:space="0" w:color="auto"/>
              <w:bottom w:val="single" w:sz="4" w:space="0" w:color="auto"/>
              <w:right w:val="single" w:sz="4" w:space="0" w:color="auto"/>
            </w:tcBorders>
            <w:vAlign w:val="bottom"/>
          </w:tcPr>
          <w:p w14:paraId="271C2FA3"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65,430.80 </w:t>
            </w:r>
          </w:p>
        </w:tc>
        <w:tc>
          <w:tcPr>
            <w:tcW w:w="1325" w:type="dxa"/>
            <w:tcBorders>
              <w:top w:val="single" w:sz="4" w:space="0" w:color="auto"/>
              <w:left w:val="single" w:sz="4" w:space="0" w:color="auto"/>
              <w:bottom w:val="single" w:sz="4" w:space="0" w:color="auto"/>
              <w:right w:val="single" w:sz="4" w:space="0" w:color="auto"/>
            </w:tcBorders>
            <w:vAlign w:val="bottom"/>
          </w:tcPr>
          <w:p w14:paraId="7F5C3808"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 xml:space="preserve"> 5,360.2 </w:t>
            </w:r>
          </w:p>
        </w:tc>
        <w:tc>
          <w:tcPr>
            <w:tcW w:w="1296" w:type="dxa"/>
            <w:tcBorders>
              <w:top w:val="single" w:sz="4" w:space="0" w:color="auto"/>
              <w:left w:val="single" w:sz="4" w:space="0" w:color="auto"/>
              <w:bottom w:val="single" w:sz="4" w:space="0" w:color="auto"/>
              <w:right w:val="single" w:sz="4" w:space="0" w:color="auto"/>
            </w:tcBorders>
            <w:vAlign w:val="bottom"/>
          </w:tcPr>
          <w:p w14:paraId="0FDE977A" w14:textId="77777777" w:rsidR="00DC4448" w:rsidRPr="004E2552" w:rsidRDefault="00DC4448" w:rsidP="002C6ABD">
            <w:pPr>
              <w:ind w:right="-340"/>
              <w:rPr>
                <w:rFonts w:eastAsia="Times New Roman" w:cs="Times New Roman"/>
                <w:bCs/>
                <w:color w:val="000000"/>
                <w:sz w:val="16"/>
                <w:szCs w:val="16"/>
              </w:rPr>
            </w:pPr>
            <w:r w:rsidRPr="004E2552">
              <w:rPr>
                <w:rFonts w:eastAsia="Times New Roman" w:cs="Times New Roman"/>
                <w:color w:val="000000"/>
                <w:sz w:val="16"/>
                <w:szCs w:val="16"/>
              </w:rPr>
              <w:t>$3,207,197</w:t>
            </w:r>
          </w:p>
        </w:tc>
      </w:tr>
    </w:tbl>
    <w:p w14:paraId="0189B1D2" w14:textId="04043908" w:rsidR="00DC4448" w:rsidRPr="003A3CAE" w:rsidRDefault="00DC4448" w:rsidP="005621A8">
      <w:pPr>
        <w:pStyle w:val="Heading3"/>
        <w:spacing w:before="120"/>
        <w:rPr>
          <w:rStyle w:val="IntenseEmphasis"/>
          <w:b/>
          <w:bCs/>
          <w:i w:val="0"/>
          <w:iCs w:val="0"/>
        </w:rPr>
      </w:pPr>
      <w:bookmarkStart w:id="254" w:name="_Toc472261314"/>
      <w:bookmarkStart w:id="255" w:name="_Toc472262657"/>
      <w:bookmarkStart w:id="256" w:name="_Toc472263039"/>
      <w:bookmarkStart w:id="257" w:name="_Toc472263189"/>
      <w:bookmarkStart w:id="258" w:name="_Toc472263340"/>
      <w:bookmarkStart w:id="259" w:name="_Toc346124028"/>
      <w:r w:rsidRPr="003A3CAE">
        <w:rPr>
          <w:rStyle w:val="IntenseEmphasis"/>
          <w:b/>
          <w:bCs/>
          <w:i w:val="0"/>
          <w:iCs w:val="0"/>
        </w:rPr>
        <w:t>Key features of approach</w:t>
      </w:r>
      <w:bookmarkEnd w:id="254"/>
      <w:bookmarkEnd w:id="255"/>
      <w:bookmarkEnd w:id="256"/>
      <w:bookmarkEnd w:id="257"/>
      <w:bookmarkEnd w:id="258"/>
      <w:bookmarkEnd w:id="259"/>
    </w:p>
    <w:p w14:paraId="1A77849B" w14:textId="29401950" w:rsidR="00DC4448" w:rsidRDefault="00DC4448" w:rsidP="006A1D2B">
      <w:pPr>
        <w:pStyle w:val="ListParagraph"/>
        <w:numPr>
          <w:ilvl w:val="0"/>
          <w:numId w:val="16"/>
        </w:numPr>
        <w:ind w:right="-340"/>
        <w:jc w:val="both"/>
        <w:rPr>
          <w:rFonts w:ascii="Century Gothic" w:hAnsi="Century Gothic"/>
          <w:sz w:val="20"/>
          <w:szCs w:val="20"/>
        </w:rPr>
      </w:pPr>
      <w:r w:rsidRPr="00567084">
        <w:rPr>
          <w:rFonts w:ascii="Century Gothic" w:hAnsi="Century Gothic"/>
          <w:sz w:val="20"/>
          <w:szCs w:val="20"/>
        </w:rPr>
        <w:t xml:space="preserve">Australian Professional Standards for Teachers and Principal Standards; the Australian Curriculum; </w:t>
      </w:r>
      <w:r>
        <w:rPr>
          <w:rFonts w:ascii="Century Gothic" w:hAnsi="Century Gothic"/>
          <w:sz w:val="20"/>
          <w:szCs w:val="20"/>
        </w:rPr>
        <w:t xml:space="preserve">support for schools with very diverse populations (SWD, learning difficulties, Low SES and a range of social and cultural backgrounds) </w:t>
      </w:r>
      <w:r w:rsidRPr="00567084">
        <w:rPr>
          <w:rFonts w:ascii="Century Gothic" w:hAnsi="Century Gothic"/>
          <w:sz w:val="20"/>
          <w:szCs w:val="20"/>
        </w:rPr>
        <w:t>and related requirements of schools are strong drivers for their initia</w:t>
      </w:r>
      <w:r w:rsidR="009617E9">
        <w:rPr>
          <w:rFonts w:ascii="Century Gothic" w:hAnsi="Century Gothic"/>
          <w:sz w:val="20"/>
          <w:szCs w:val="20"/>
        </w:rPr>
        <w:t xml:space="preserve">tives and schools’ engagement. </w:t>
      </w:r>
      <w:r>
        <w:rPr>
          <w:rFonts w:ascii="Century Gothic" w:hAnsi="Century Gothic"/>
          <w:sz w:val="20"/>
          <w:szCs w:val="20"/>
        </w:rPr>
        <w:t>The focus is to understand the requirements and to be able to implement at the school level.</w:t>
      </w:r>
    </w:p>
    <w:p w14:paraId="7626F471" w14:textId="7364A2D0" w:rsidR="00DC4448" w:rsidRPr="00567084" w:rsidRDefault="00DC4448" w:rsidP="006A1D2B">
      <w:pPr>
        <w:pStyle w:val="ListParagraph"/>
        <w:numPr>
          <w:ilvl w:val="0"/>
          <w:numId w:val="16"/>
        </w:numPr>
        <w:spacing w:after="200"/>
        <w:ind w:right="-340"/>
        <w:jc w:val="both"/>
        <w:rPr>
          <w:rFonts w:ascii="Century Gothic" w:hAnsi="Century Gothic"/>
          <w:sz w:val="20"/>
          <w:szCs w:val="20"/>
        </w:rPr>
      </w:pPr>
      <w:r w:rsidRPr="00567084">
        <w:rPr>
          <w:rFonts w:ascii="Century Gothic" w:hAnsi="Century Gothic"/>
          <w:sz w:val="20"/>
          <w:szCs w:val="20"/>
        </w:rPr>
        <w:t>Model of operation centres on expert and peer consultancy services to teachers, principals and schools</w:t>
      </w:r>
      <w:r>
        <w:rPr>
          <w:rFonts w:ascii="Century Gothic" w:hAnsi="Century Gothic"/>
          <w:sz w:val="20"/>
          <w:szCs w:val="20"/>
        </w:rPr>
        <w:t>,</w:t>
      </w:r>
      <w:r w:rsidRPr="00567084">
        <w:rPr>
          <w:rFonts w:ascii="Century Gothic" w:hAnsi="Century Gothic"/>
          <w:b/>
          <w:sz w:val="20"/>
          <w:szCs w:val="20"/>
        </w:rPr>
        <w:t xml:space="preserve"> </w:t>
      </w:r>
      <w:r w:rsidRPr="00567084">
        <w:rPr>
          <w:rFonts w:ascii="Century Gothic" w:hAnsi="Century Gothic"/>
          <w:sz w:val="20"/>
          <w:szCs w:val="20"/>
        </w:rPr>
        <w:t>from 1:</w:t>
      </w:r>
      <w:r>
        <w:rPr>
          <w:rFonts w:ascii="Century Gothic" w:hAnsi="Century Gothic"/>
          <w:sz w:val="20"/>
          <w:szCs w:val="20"/>
        </w:rPr>
        <w:t>1support to in-school workshops</w:t>
      </w:r>
      <w:r w:rsidRPr="00567084">
        <w:rPr>
          <w:rFonts w:ascii="Century Gothic" w:hAnsi="Century Gothic"/>
          <w:sz w:val="20"/>
          <w:szCs w:val="20"/>
        </w:rPr>
        <w:t>; ‘schools really like consultants visiting</w:t>
      </w:r>
      <w:r>
        <w:rPr>
          <w:rFonts w:ascii="Century Gothic" w:hAnsi="Century Gothic"/>
          <w:sz w:val="20"/>
          <w:szCs w:val="20"/>
        </w:rPr>
        <w:t xml:space="preserve"> and being available for in depth discussions</w:t>
      </w:r>
      <w:r w:rsidRPr="00567084">
        <w:rPr>
          <w:rFonts w:ascii="Century Gothic" w:hAnsi="Century Gothic"/>
          <w:sz w:val="20"/>
          <w:szCs w:val="20"/>
        </w:rPr>
        <w:t xml:space="preserve">’. Consultants often work over </w:t>
      </w:r>
      <w:r w:rsidR="009617E9">
        <w:rPr>
          <w:rFonts w:ascii="Century Gothic" w:hAnsi="Century Gothic"/>
          <w:sz w:val="20"/>
          <w:szCs w:val="20"/>
        </w:rPr>
        <w:t>a number of days with teachers.</w:t>
      </w:r>
    </w:p>
    <w:p w14:paraId="4F7C78FD" w14:textId="584348A8" w:rsidR="00DC4448" w:rsidRPr="00567084" w:rsidRDefault="00DC4448" w:rsidP="006A1D2B">
      <w:pPr>
        <w:pStyle w:val="ListParagraph"/>
        <w:numPr>
          <w:ilvl w:val="0"/>
          <w:numId w:val="16"/>
        </w:numPr>
        <w:spacing w:after="60"/>
        <w:ind w:left="714" w:right="-340" w:hanging="357"/>
        <w:jc w:val="both"/>
        <w:rPr>
          <w:rFonts w:ascii="Century Gothic" w:hAnsi="Century Gothic"/>
          <w:sz w:val="20"/>
          <w:szCs w:val="20"/>
        </w:rPr>
      </w:pPr>
      <w:r w:rsidRPr="00567084">
        <w:rPr>
          <w:rFonts w:ascii="Century Gothic" w:hAnsi="Century Gothic"/>
          <w:sz w:val="20"/>
          <w:szCs w:val="20"/>
        </w:rPr>
        <w:t>Approximately 30 consultants; many are curriculum specialists, including for literacy and numeracy intervention</w:t>
      </w:r>
      <w:r>
        <w:rPr>
          <w:rFonts w:ascii="Century Gothic" w:hAnsi="Century Gothic"/>
          <w:sz w:val="20"/>
          <w:szCs w:val="20"/>
        </w:rPr>
        <w:t xml:space="preserve">; five are working with schools to cater for Students with a Disability; </w:t>
      </w:r>
      <w:r w:rsidRPr="00567084">
        <w:rPr>
          <w:rFonts w:ascii="Century Gothic" w:hAnsi="Century Gothic"/>
          <w:sz w:val="20"/>
          <w:szCs w:val="20"/>
        </w:rPr>
        <w:t xml:space="preserve">and 5 support Indigenous schools.  </w:t>
      </w:r>
      <w:r w:rsidRPr="005D5A52">
        <w:rPr>
          <w:rFonts w:ascii="Century Gothic" w:hAnsi="Century Gothic"/>
          <w:sz w:val="20"/>
          <w:szCs w:val="20"/>
        </w:rPr>
        <w:t xml:space="preserve">No teacher relief funding </w:t>
      </w:r>
      <w:r>
        <w:rPr>
          <w:rFonts w:ascii="Century Gothic" w:hAnsi="Century Gothic"/>
          <w:sz w:val="20"/>
          <w:szCs w:val="20"/>
        </w:rPr>
        <w:t xml:space="preserve">- </w:t>
      </w:r>
      <w:r w:rsidRPr="005D5A52">
        <w:rPr>
          <w:rFonts w:ascii="Century Gothic" w:hAnsi="Century Gothic"/>
          <w:sz w:val="20"/>
          <w:szCs w:val="20"/>
        </w:rPr>
        <w:t>most activity</w:t>
      </w:r>
      <w:r w:rsidR="009617E9">
        <w:rPr>
          <w:rFonts w:ascii="Century Gothic" w:hAnsi="Century Gothic"/>
          <w:sz w:val="20"/>
          <w:szCs w:val="20"/>
        </w:rPr>
        <w:t xml:space="preserve"> occurs outside teaching hours.</w:t>
      </w:r>
    </w:p>
    <w:p w14:paraId="753A7393" w14:textId="77777777" w:rsidR="00DC4448" w:rsidRPr="003A3CAE" w:rsidRDefault="00DC4448" w:rsidP="005621A8">
      <w:pPr>
        <w:pStyle w:val="Heading3"/>
        <w:spacing w:before="120"/>
      </w:pPr>
      <w:bookmarkStart w:id="260" w:name="_Toc472261315"/>
      <w:bookmarkStart w:id="261" w:name="_Toc472262658"/>
      <w:bookmarkStart w:id="262" w:name="_Toc472263040"/>
      <w:bookmarkStart w:id="263" w:name="_Toc472263190"/>
      <w:bookmarkStart w:id="264" w:name="_Toc472263341"/>
      <w:r w:rsidRPr="003A3CAE">
        <w:t>Predominant mode of delivery</w:t>
      </w:r>
      <w:bookmarkEnd w:id="260"/>
      <w:bookmarkEnd w:id="261"/>
      <w:bookmarkEnd w:id="262"/>
      <w:bookmarkEnd w:id="263"/>
      <w:bookmarkEnd w:id="264"/>
      <w:r w:rsidRPr="003A3CAE">
        <w:t xml:space="preserve"> </w:t>
      </w:r>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Coaching and mentoring services, On-line tools, Resource provision, support and advice, and awareness.&#10;"/>
      </w:tblPr>
      <w:tblGrid>
        <w:gridCol w:w="3652"/>
        <w:gridCol w:w="850"/>
      </w:tblGrid>
      <w:tr w:rsidR="003E5526" w14:paraId="4B4B0214" w14:textId="77777777" w:rsidTr="003E5526">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70BD4B" w14:textId="77777777" w:rsidR="003E5526" w:rsidRDefault="003E5526"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1ADFDB" w14:textId="3E20C5A9" w:rsidR="003E5526" w:rsidRDefault="003E5526" w:rsidP="003E5526">
            <w:pPr>
              <w:spacing w:before="100" w:beforeAutospacing="1"/>
              <w:ind w:right="-340"/>
              <w:jc w:val="center"/>
              <w:rPr>
                <w:rFonts w:ascii="Times New Roman" w:hAnsi="Times New Roman" w:cs="Times New Roman"/>
              </w:rPr>
            </w:pPr>
            <w:r w:rsidRPr="003E5526">
              <w:rPr>
                <w:rFonts w:cs="Times New Roman"/>
                <w:i/>
                <w:iCs/>
                <w:sz w:val="15"/>
                <w:szCs w:val="15"/>
              </w:rPr>
              <w:t>Yes/no</w:t>
            </w:r>
          </w:p>
        </w:tc>
      </w:tr>
      <w:tr w:rsidR="003E5526" w:rsidRPr="00C453CD" w14:paraId="0AD8FF73"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179B8EFD"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45C92B98" w14:textId="74DCA2E8"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C453CD" w14:paraId="099D42B7" w14:textId="77777777" w:rsidTr="003E5526">
        <w:tc>
          <w:tcPr>
            <w:tcW w:w="3652" w:type="dxa"/>
            <w:tcBorders>
              <w:top w:val="single" w:sz="4" w:space="0" w:color="auto"/>
              <w:left w:val="single" w:sz="4" w:space="0" w:color="auto"/>
              <w:bottom w:val="single" w:sz="4" w:space="0" w:color="auto"/>
              <w:right w:val="single" w:sz="4" w:space="0" w:color="auto"/>
            </w:tcBorders>
            <w:vAlign w:val="center"/>
            <w:hideMark/>
          </w:tcPr>
          <w:p w14:paraId="41CC9926"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611C0D63" w14:textId="65913E53"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r w:rsidRPr="00C453CD">
              <w:rPr>
                <w:rFonts w:cs="Times New Roman"/>
                <w:i/>
                <w:iCs/>
                <w:sz w:val="15"/>
                <w:szCs w:val="15"/>
              </w:rPr>
              <w:t> </w:t>
            </w:r>
          </w:p>
        </w:tc>
      </w:tr>
      <w:tr w:rsidR="003E5526" w:rsidRPr="00C453CD" w14:paraId="09A73C0C"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71152292"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hideMark/>
          </w:tcPr>
          <w:p w14:paraId="52DC2ECD" w14:textId="37C047E2"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r w:rsidRPr="00C453CD">
              <w:rPr>
                <w:rFonts w:cs="Times New Roman"/>
                <w:i/>
                <w:iCs/>
                <w:sz w:val="15"/>
                <w:szCs w:val="15"/>
              </w:rPr>
              <w:t> </w:t>
            </w:r>
          </w:p>
        </w:tc>
      </w:tr>
      <w:tr w:rsidR="003E5526" w:rsidRPr="00C453CD" w14:paraId="642F6ACA"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6FB74743"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hideMark/>
          </w:tcPr>
          <w:p w14:paraId="6535CA4D" w14:textId="5E65DD6E"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r w:rsidRPr="00C453CD">
              <w:rPr>
                <w:rFonts w:cs="Times New Roman"/>
                <w:i/>
                <w:iCs/>
                <w:sz w:val="15"/>
                <w:szCs w:val="15"/>
              </w:rPr>
              <w:t>  </w:t>
            </w:r>
          </w:p>
        </w:tc>
      </w:tr>
      <w:tr w:rsidR="003E5526" w:rsidRPr="00C453CD" w14:paraId="1EA83776" w14:textId="77777777" w:rsidTr="003E5526">
        <w:tc>
          <w:tcPr>
            <w:tcW w:w="3652" w:type="dxa"/>
            <w:tcBorders>
              <w:top w:val="single" w:sz="4" w:space="0" w:color="auto"/>
              <w:left w:val="single" w:sz="4" w:space="0" w:color="auto"/>
              <w:bottom w:val="single" w:sz="4" w:space="0" w:color="auto"/>
              <w:right w:val="single" w:sz="4" w:space="0" w:color="auto"/>
            </w:tcBorders>
            <w:vAlign w:val="center"/>
            <w:hideMark/>
          </w:tcPr>
          <w:p w14:paraId="0A20B11C"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Resource provision</w:t>
            </w:r>
            <w:r w:rsidRPr="00C453CD">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3373DF7" w14:textId="6506663B"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r w:rsidRPr="00C453CD">
              <w:rPr>
                <w:rFonts w:cs="Times New Roman"/>
                <w:i/>
                <w:iCs/>
                <w:sz w:val="15"/>
                <w:szCs w:val="15"/>
              </w:rPr>
              <w:t>  </w:t>
            </w:r>
          </w:p>
        </w:tc>
      </w:tr>
      <w:tr w:rsidR="003E5526" w:rsidRPr="00C453CD" w14:paraId="019884F3" w14:textId="77777777" w:rsidTr="003E5526">
        <w:tc>
          <w:tcPr>
            <w:tcW w:w="3652" w:type="dxa"/>
            <w:tcBorders>
              <w:top w:val="single" w:sz="4" w:space="0" w:color="auto"/>
              <w:left w:val="single" w:sz="4" w:space="0" w:color="auto"/>
              <w:bottom w:val="single" w:sz="4" w:space="0" w:color="auto"/>
              <w:right w:val="single" w:sz="4" w:space="0" w:color="auto"/>
            </w:tcBorders>
          </w:tcPr>
          <w:p w14:paraId="5DE61F4D" w14:textId="7212DD98" w:rsidR="003E5526" w:rsidRDefault="003E5526" w:rsidP="003E5526">
            <w:pPr>
              <w:spacing w:before="100" w:beforeAutospacing="1" w:after="120"/>
              <w:ind w:right="-340"/>
              <w:rPr>
                <w:rFonts w:cs="Times New Roman"/>
                <w:i/>
                <w:iCs/>
                <w:sz w:val="15"/>
                <w:szCs w:val="15"/>
              </w:rPr>
            </w:pPr>
            <w:r>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604BA397" w14:textId="58CBFF43" w:rsidR="003E5526" w:rsidRPr="00C453CD"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5128DD33" w14:textId="77777777" w:rsidTr="003E5526">
        <w:tc>
          <w:tcPr>
            <w:tcW w:w="3652" w:type="dxa"/>
            <w:tcBorders>
              <w:top w:val="single" w:sz="4" w:space="0" w:color="auto"/>
              <w:left w:val="single" w:sz="4" w:space="0" w:color="auto"/>
              <w:bottom w:val="single" w:sz="4" w:space="0" w:color="auto"/>
              <w:right w:val="single" w:sz="4" w:space="0" w:color="auto"/>
            </w:tcBorders>
          </w:tcPr>
          <w:p w14:paraId="533101A5" w14:textId="250C8EAC" w:rsidR="003E5526" w:rsidRDefault="003E5526" w:rsidP="003E5526">
            <w:pPr>
              <w:spacing w:before="100" w:beforeAutospacing="1" w:after="120"/>
              <w:ind w:right="-340"/>
              <w:rPr>
                <w:rFonts w:cs="Times New Roman"/>
                <w:i/>
                <w:iCs/>
                <w:sz w:val="15"/>
                <w:szCs w:val="15"/>
              </w:rPr>
            </w:pPr>
            <w:r>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1A18E698" w14:textId="6DCA3473" w:rsidR="003E5526" w:rsidRPr="00C453CD"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3B6F36F0" w14:textId="77777777" w:rsidTr="003E5526">
        <w:tc>
          <w:tcPr>
            <w:tcW w:w="3652" w:type="dxa"/>
            <w:tcBorders>
              <w:top w:val="single" w:sz="4" w:space="0" w:color="auto"/>
              <w:left w:val="single" w:sz="4" w:space="0" w:color="auto"/>
              <w:bottom w:val="single" w:sz="4" w:space="0" w:color="auto"/>
              <w:right w:val="single" w:sz="4" w:space="0" w:color="auto"/>
            </w:tcBorders>
          </w:tcPr>
          <w:p w14:paraId="27BADED2" w14:textId="014B0310" w:rsidR="003E5526" w:rsidRDefault="003E5526" w:rsidP="003E5526">
            <w:pPr>
              <w:spacing w:before="100" w:beforeAutospacing="1" w:after="120"/>
              <w:ind w:right="-340"/>
              <w:rPr>
                <w:rFonts w:cs="Times New Roman"/>
                <w:i/>
                <w:iCs/>
                <w:sz w:val="15"/>
                <w:szCs w:val="15"/>
              </w:rPr>
            </w:pPr>
            <w:r>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4702EA57" w14:textId="4BC6AA14" w:rsidR="003E5526" w:rsidRPr="00C453CD" w:rsidRDefault="003E5526" w:rsidP="003E5526">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r w:rsidRPr="00C453CD">
              <w:rPr>
                <w:rFonts w:cs="Times New Roman"/>
                <w:i/>
                <w:iCs/>
                <w:sz w:val="15"/>
                <w:szCs w:val="15"/>
              </w:rPr>
              <w:t> </w:t>
            </w:r>
          </w:p>
        </w:tc>
      </w:tr>
      <w:tr w:rsidR="003E5526" w:rsidRPr="00C453CD" w14:paraId="57F87E60" w14:textId="77777777" w:rsidTr="003E5526">
        <w:tc>
          <w:tcPr>
            <w:tcW w:w="3652" w:type="dxa"/>
            <w:tcBorders>
              <w:top w:val="single" w:sz="4" w:space="0" w:color="auto"/>
              <w:left w:val="single" w:sz="4" w:space="0" w:color="auto"/>
              <w:bottom w:val="single" w:sz="4" w:space="0" w:color="auto"/>
              <w:right w:val="single" w:sz="4" w:space="0" w:color="auto"/>
            </w:tcBorders>
          </w:tcPr>
          <w:p w14:paraId="349B5CBF" w14:textId="4D892E06" w:rsidR="003E5526" w:rsidRDefault="003E5526" w:rsidP="003E5526">
            <w:pPr>
              <w:spacing w:before="100" w:beforeAutospacing="1" w:after="120"/>
              <w:ind w:right="-340"/>
              <w:rPr>
                <w:rFonts w:cs="Times New Roman"/>
                <w:i/>
                <w:iCs/>
                <w:sz w:val="15"/>
                <w:szCs w:val="15"/>
              </w:rPr>
            </w:pPr>
            <w:r>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4741D0C5" w14:textId="4B0F6E01" w:rsidR="003E5526" w:rsidRPr="00C453CD" w:rsidRDefault="003E5526" w:rsidP="003E5526">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bl>
    <w:p w14:paraId="36647AF1" w14:textId="77777777" w:rsidR="00DC4448" w:rsidRPr="00027DD6" w:rsidRDefault="00DC4448" w:rsidP="005621A8">
      <w:pPr>
        <w:pStyle w:val="Heading3"/>
        <w:spacing w:before="120"/>
      </w:pPr>
      <w:bookmarkStart w:id="265" w:name="_Toc472261316"/>
      <w:bookmarkStart w:id="266" w:name="_Toc472262659"/>
      <w:bookmarkStart w:id="267" w:name="_Toc472263041"/>
      <w:bookmarkStart w:id="268" w:name="_Toc472263191"/>
      <w:bookmarkStart w:id="269" w:name="_Toc472263342"/>
      <w:bookmarkStart w:id="270" w:name="_Toc346124029"/>
      <w:r w:rsidRPr="00027DD6">
        <w:t>Sample programs</w:t>
      </w:r>
      <w:bookmarkEnd w:id="265"/>
      <w:bookmarkEnd w:id="266"/>
      <w:bookmarkEnd w:id="267"/>
      <w:bookmarkEnd w:id="268"/>
      <w:bookmarkEnd w:id="269"/>
      <w:bookmarkEnd w:id="270"/>
      <w:r w:rsidRPr="00027DD6">
        <w:t xml:space="preserve"> </w:t>
      </w:r>
    </w:p>
    <w:p w14:paraId="47CD378F" w14:textId="77777777" w:rsidR="00DC4448" w:rsidRDefault="00DC4448" w:rsidP="006A1D2B">
      <w:pPr>
        <w:pStyle w:val="ListParagraph"/>
        <w:numPr>
          <w:ilvl w:val="0"/>
          <w:numId w:val="17"/>
        </w:numPr>
        <w:ind w:right="-340"/>
        <w:jc w:val="both"/>
        <w:rPr>
          <w:rFonts w:ascii="Century Gothic" w:hAnsi="Century Gothic"/>
          <w:sz w:val="20"/>
          <w:szCs w:val="20"/>
        </w:rPr>
      </w:pPr>
      <w:r w:rsidRPr="00567084">
        <w:rPr>
          <w:rFonts w:ascii="Century Gothic" w:hAnsi="Century Gothic"/>
          <w:i/>
          <w:sz w:val="20"/>
          <w:szCs w:val="20"/>
        </w:rPr>
        <w:t>Implementation of the Australian Curriculum</w:t>
      </w:r>
      <w:r w:rsidRPr="00567084">
        <w:rPr>
          <w:rFonts w:ascii="Century Gothic" w:hAnsi="Century Gothic"/>
          <w:sz w:val="20"/>
          <w:szCs w:val="20"/>
        </w:rPr>
        <w:t xml:space="preserve"> </w:t>
      </w:r>
      <w:r>
        <w:rPr>
          <w:rFonts w:ascii="Century Gothic" w:hAnsi="Century Gothic"/>
          <w:sz w:val="20"/>
          <w:szCs w:val="20"/>
        </w:rPr>
        <w:t xml:space="preserve">– </w:t>
      </w:r>
      <w:r w:rsidRPr="00567084">
        <w:rPr>
          <w:rFonts w:ascii="Century Gothic" w:hAnsi="Century Gothic"/>
          <w:sz w:val="20"/>
          <w:szCs w:val="20"/>
        </w:rPr>
        <w:t>with workshops, consultancy services, information sessions and on-line resources. For professional learning sessions, modules are sequenced and schools send more than one representative to group sessions. Outputs are documented curriculum and the formation of teacher</w:t>
      </w:r>
      <w:r>
        <w:rPr>
          <w:rFonts w:ascii="Century Gothic" w:hAnsi="Century Gothic"/>
          <w:sz w:val="20"/>
          <w:szCs w:val="20"/>
        </w:rPr>
        <w:t xml:space="preserve"> networks.</w:t>
      </w:r>
    </w:p>
    <w:p w14:paraId="26D931C8" w14:textId="77777777" w:rsidR="00DC4448" w:rsidRPr="00A71E22" w:rsidRDefault="00DC4448" w:rsidP="006A1D2B">
      <w:pPr>
        <w:pStyle w:val="ListParagraph"/>
        <w:numPr>
          <w:ilvl w:val="0"/>
          <w:numId w:val="17"/>
        </w:numPr>
        <w:ind w:right="-340"/>
        <w:jc w:val="both"/>
        <w:rPr>
          <w:rFonts w:ascii="Century Gothic" w:hAnsi="Century Gothic"/>
          <w:sz w:val="20"/>
          <w:szCs w:val="20"/>
        </w:rPr>
      </w:pPr>
      <w:r w:rsidRPr="000D1642">
        <w:rPr>
          <w:rFonts w:ascii="Century Gothic" w:hAnsi="Century Gothic"/>
          <w:i/>
          <w:sz w:val="20"/>
          <w:szCs w:val="20"/>
        </w:rPr>
        <w:t>Implementation of Australian Professional Standards for Teachers and Principal Standards</w:t>
      </w:r>
      <w:r>
        <w:rPr>
          <w:rFonts w:ascii="Century Gothic" w:hAnsi="Century Gothic"/>
          <w:sz w:val="20"/>
          <w:szCs w:val="20"/>
        </w:rPr>
        <w:t xml:space="preserve"> – consultancy services and advice for e.g. certification, inclusion of the standards in performance and development processes, professional development and job descriptions.</w:t>
      </w:r>
    </w:p>
    <w:p w14:paraId="75578E69" w14:textId="77777777" w:rsidR="00DC4448" w:rsidRDefault="00DC4448" w:rsidP="006A1D2B">
      <w:pPr>
        <w:pStyle w:val="ListParagraph"/>
        <w:numPr>
          <w:ilvl w:val="0"/>
          <w:numId w:val="17"/>
        </w:numPr>
        <w:ind w:right="-340"/>
        <w:jc w:val="both"/>
        <w:rPr>
          <w:rFonts w:ascii="Century Gothic" w:hAnsi="Century Gothic"/>
          <w:sz w:val="20"/>
          <w:szCs w:val="20"/>
        </w:rPr>
      </w:pPr>
      <w:r>
        <w:rPr>
          <w:rFonts w:ascii="Century Gothic" w:hAnsi="Century Gothic"/>
          <w:i/>
          <w:sz w:val="20"/>
          <w:szCs w:val="20"/>
        </w:rPr>
        <w:t xml:space="preserve">Principals as Numeracy Leaders </w:t>
      </w:r>
      <w:r>
        <w:rPr>
          <w:rFonts w:ascii="Century Gothic" w:hAnsi="Century Gothic"/>
          <w:sz w:val="20"/>
          <w:szCs w:val="20"/>
        </w:rPr>
        <w:t>– four days over a semester: covering leadership, essential numeracy content for leaders and using data with ongoing mentoring support to schools.</w:t>
      </w:r>
    </w:p>
    <w:p w14:paraId="3AFF3A4C" w14:textId="77777777" w:rsidR="00DC4448" w:rsidRDefault="00DC4448" w:rsidP="006A1D2B">
      <w:pPr>
        <w:pStyle w:val="ListParagraph"/>
        <w:numPr>
          <w:ilvl w:val="0"/>
          <w:numId w:val="17"/>
        </w:numPr>
        <w:ind w:right="-340"/>
        <w:jc w:val="both"/>
        <w:rPr>
          <w:rFonts w:ascii="Century Gothic" w:hAnsi="Century Gothic"/>
          <w:sz w:val="20"/>
          <w:szCs w:val="20"/>
        </w:rPr>
      </w:pPr>
      <w:r>
        <w:rPr>
          <w:rFonts w:ascii="Century Gothic" w:hAnsi="Century Gothic"/>
          <w:i/>
          <w:sz w:val="20"/>
          <w:szCs w:val="20"/>
        </w:rPr>
        <w:t xml:space="preserve">Future Footprints Program </w:t>
      </w:r>
      <w:r w:rsidRPr="00A71E22">
        <w:rPr>
          <w:rFonts w:ascii="Century Gothic" w:hAnsi="Century Gothic"/>
          <w:sz w:val="20"/>
          <w:szCs w:val="20"/>
        </w:rPr>
        <w:t>that supports over 300 Aboriginal Boarding students across 16 schools.</w:t>
      </w:r>
      <w:r>
        <w:rPr>
          <w:rFonts w:ascii="Century Gothic" w:hAnsi="Century Gothic"/>
          <w:sz w:val="20"/>
          <w:szCs w:val="20"/>
        </w:rPr>
        <w:t xml:space="preserve"> </w:t>
      </w:r>
    </w:p>
    <w:p w14:paraId="6C6C3B84" w14:textId="77777777" w:rsidR="00DC4448" w:rsidRDefault="00DC4448" w:rsidP="006A1D2B">
      <w:pPr>
        <w:pStyle w:val="ListParagraph"/>
        <w:numPr>
          <w:ilvl w:val="0"/>
          <w:numId w:val="17"/>
        </w:numPr>
        <w:ind w:right="-340"/>
        <w:jc w:val="both"/>
        <w:rPr>
          <w:rFonts w:ascii="Century Gothic" w:hAnsi="Century Gothic"/>
          <w:sz w:val="20"/>
          <w:szCs w:val="20"/>
        </w:rPr>
      </w:pPr>
      <w:r>
        <w:rPr>
          <w:rFonts w:ascii="Century Gothic" w:hAnsi="Century Gothic"/>
          <w:i/>
          <w:sz w:val="20"/>
          <w:szCs w:val="20"/>
        </w:rPr>
        <w:t xml:space="preserve">Support for schools catering for Students with a disability </w:t>
      </w:r>
      <w:r>
        <w:rPr>
          <w:rFonts w:ascii="Century Gothic" w:hAnsi="Century Gothic"/>
          <w:sz w:val="20"/>
          <w:szCs w:val="20"/>
        </w:rPr>
        <w:t>– working with school leaders and teachers on strategies for inclusion and support for SWD.</w:t>
      </w:r>
    </w:p>
    <w:p w14:paraId="0F3422DA" w14:textId="77777777" w:rsidR="00DC4448" w:rsidRPr="00027DD6" w:rsidRDefault="00DC4448" w:rsidP="005621A8">
      <w:pPr>
        <w:pStyle w:val="Heading3"/>
        <w:spacing w:before="120"/>
      </w:pPr>
      <w:bookmarkStart w:id="271" w:name="_Toc472261317"/>
      <w:bookmarkStart w:id="272" w:name="_Toc472262660"/>
      <w:bookmarkStart w:id="273" w:name="_Toc472263042"/>
      <w:bookmarkStart w:id="274" w:name="_Toc472263192"/>
      <w:bookmarkStart w:id="275" w:name="_Toc472263343"/>
      <w:bookmarkStart w:id="276" w:name="_Toc346124030"/>
      <w:r w:rsidRPr="00027DD6">
        <w:t>Funding – how used?</w:t>
      </w:r>
      <w:bookmarkEnd w:id="271"/>
      <w:bookmarkEnd w:id="272"/>
      <w:bookmarkEnd w:id="273"/>
      <w:bookmarkEnd w:id="274"/>
      <w:bookmarkEnd w:id="275"/>
      <w:bookmarkEnd w:id="276"/>
      <w:r w:rsidRPr="00027DD6">
        <w:t xml:space="preserve"> </w:t>
      </w:r>
    </w:p>
    <w:p w14:paraId="5E29CE40" w14:textId="77777777" w:rsidR="00DC4448" w:rsidRPr="00567084" w:rsidRDefault="00DC4448" w:rsidP="006A1D2B">
      <w:pPr>
        <w:pStyle w:val="ListParagraph"/>
        <w:numPr>
          <w:ilvl w:val="0"/>
          <w:numId w:val="18"/>
        </w:numPr>
        <w:spacing w:after="60" w:line="276" w:lineRule="auto"/>
        <w:ind w:right="-340"/>
      </w:pPr>
      <w:r w:rsidRPr="00567084">
        <w:rPr>
          <w:rFonts w:ascii="Century Gothic" w:hAnsi="Century Gothic"/>
          <w:sz w:val="20"/>
          <w:szCs w:val="20"/>
        </w:rPr>
        <w:t>Over 90% of the SFSF budget is allocated to the projects</w:t>
      </w:r>
      <w:r>
        <w:rPr>
          <w:rFonts w:ascii="Century Gothic" w:hAnsi="Century Gothic"/>
          <w:sz w:val="20"/>
          <w:szCs w:val="20"/>
        </w:rPr>
        <w:t>/activities</w:t>
      </w:r>
      <w:r w:rsidRPr="00567084">
        <w:rPr>
          <w:rFonts w:ascii="Century Gothic" w:hAnsi="Century Gothic"/>
          <w:sz w:val="20"/>
          <w:szCs w:val="20"/>
        </w:rPr>
        <w:t xml:space="preserve"> </w:t>
      </w:r>
      <w:r>
        <w:rPr>
          <w:rFonts w:ascii="Century Gothic" w:hAnsi="Century Gothic"/>
          <w:sz w:val="20"/>
          <w:szCs w:val="20"/>
        </w:rPr>
        <w:t xml:space="preserve">described in the SFSF Plan </w:t>
      </w:r>
      <w:r w:rsidRPr="00567084">
        <w:rPr>
          <w:rFonts w:ascii="Century Gothic" w:hAnsi="Century Gothic"/>
          <w:sz w:val="20"/>
          <w:szCs w:val="20"/>
        </w:rPr>
        <w:t>and projects allocations are available</w:t>
      </w:r>
      <w:r>
        <w:rPr>
          <w:rFonts w:ascii="Century Gothic" w:hAnsi="Century Gothic"/>
          <w:sz w:val="20"/>
          <w:szCs w:val="20"/>
        </w:rPr>
        <w:t>.</w:t>
      </w:r>
    </w:p>
    <w:p w14:paraId="04DA4AEA" w14:textId="77777777" w:rsidR="00DC4448" w:rsidRPr="00567084" w:rsidRDefault="00DC4448" w:rsidP="006A1D2B">
      <w:pPr>
        <w:pStyle w:val="ListParagraph"/>
        <w:numPr>
          <w:ilvl w:val="0"/>
          <w:numId w:val="18"/>
        </w:numPr>
        <w:spacing w:after="60" w:line="276" w:lineRule="auto"/>
        <w:ind w:right="-340"/>
      </w:pPr>
      <w:r>
        <w:rPr>
          <w:rFonts w:ascii="Century Gothic" w:hAnsi="Century Gothic"/>
          <w:sz w:val="20"/>
          <w:szCs w:val="20"/>
        </w:rPr>
        <w:t>Some projects are supplemented by small user pay contributions.</w:t>
      </w:r>
    </w:p>
    <w:p w14:paraId="4578A86F" w14:textId="77777777" w:rsidR="00DC4448" w:rsidRPr="00567084" w:rsidRDefault="00DC4448" w:rsidP="006A1D2B">
      <w:pPr>
        <w:pStyle w:val="ListParagraph"/>
        <w:numPr>
          <w:ilvl w:val="0"/>
          <w:numId w:val="18"/>
        </w:numPr>
        <w:spacing w:after="60" w:line="276" w:lineRule="auto"/>
        <w:ind w:left="714" w:right="-340" w:hanging="357"/>
      </w:pPr>
      <w:r>
        <w:rPr>
          <w:rFonts w:ascii="Century Gothic" w:hAnsi="Century Gothic"/>
          <w:sz w:val="20"/>
          <w:szCs w:val="20"/>
        </w:rPr>
        <w:t xml:space="preserve">Budget mostly allocated to employment of consultants to work on site with schools. </w:t>
      </w:r>
    </w:p>
    <w:p w14:paraId="40E2715B" w14:textId="77777777" w:rsidR="00DC4448" w:rsidRPr="00027DD6" w:rsidRDefault="00DC4448" w:rsidP="005621A8">
      <w:pPr>
        <w:pStyle w:val="Heading3"/>
        <w:spacing w:before="120"/>
      </w:pPr>
      <w:bookmarkStart w:id="277" w:name="_Toc472261318"/>
      <w:bookmarkStart w:id="278" w:name="_Toc472262661"/>
      <w:bookmarkStart w:id="279" w:name="_Toc472263043"/>
      <w:bookmarkStart w:id="280" w:name="_Toc472263193"/>
      <w:bookmarkStart w:id="281" w:name="_Toc472263344"/>
      <w:bookmarkStart w:id="282" w:name="_Toc346124031"/>
      <w:r w:rsidRPr="00027DD6">
        <w:t>Monitoring success</w:t>
      </w:r>
      <w:bookmarkEnd w:id="277"/>
      <w:bookmarkEnd w:id="278"/>
      <w:bookmarkEnd w:id="279"/>
      <w:bookmarkEnd w:id="280"/>
      <w:bookmarkEnd w:id="281"/>
      <w:bookmarkEnd w:id="282"/>
      <w:r w:rsidRPr="00027DD6">
        <w:t xml:space="preserve">  </w:t>
      </w:r>
    </w:p>
    <w:p w14:paraId="4A239164" w14:textId="15964487" w:rsidR="00DC4448" w:rsidRDefault="00DC4448" w:rsidP="006A1D2B">
      <w:pPr>
        <w:pStyle w:val="ListParagraph"/>
        <w:numPr>
          <w:ilvl w:val="0"/>
          <w:numId w:val="18"/>
        </w:numPr>
        <w:spacing w:line="276" w:lineRule="auto"/>
        <w:ind w:right="-340"/>
        <w:rPr>
          <w:rFonts w:ascii="Century Gothic" w:hAnsi="Century Gothic"/>
          <w:sz w:val="20"/>
          <w:szCs w:val="20"/>
        </w:rPr>
      </w:pPr>
      <w:r>
        <w:rPr>
          <w:rFonts w:ascii="Century Gothic" w:hAnsi="Century Gothic"/>
          <w:sz w:val="20"/>
          <w:szCs w:val="20"/>
        </w:rPr>
        <w:t>Close monitoring of activity and engagement levels t</w:t>
      </w:r>
      <w:r w:rsidRPr="007C6EDB">
        <w:rPr>
          <w:rFonts w:ascii="Century Gothic" w:hAnsi="Century Gothic"/>
          <w:sz w:val="20"/>
          <w:szCs w:val="20"/>
        </w:rPr>
        <w:t xml:space="preserve">ake </w:t>
      </w:r>
      <w:r>
        <w:rPr>
          <w:rFonts w:ascii="Century Gothic" w:hAnsi="Century Gothic"/>
          <w:sz w:val="20"/>
          <w:szCs w:val="20"/>
        </w:rPr>
        <w:t>up – mostly exceeded expectations; governance activ</w:t>
      </w:r>
      <w:r w:rsidR="009617E9">
        <w:rPr>
          <w:rFonts w:ascii="Century Gothic" w:hAnsi="Century Gothic"/>
          <w:sz w:val="20"/>
          <w:szCs w:val="20"/>
        </w:rPr>
        <w:t>ities were particularly strong.</w:t>
      </w:r>
    </w:p>
    <w:p w14:paraId="518D814B" w14:textId="217CE56D" w:rsidR="00DC4448" w:rsidRDefault="00DC4448" w:rsidP="006A1D2B">
      <w:pPr>
        <w:pStyle w:val="ListParagraph"/>
        <w:numPr>
          <w:ilvl w:val="0"/>
          <w:numId w:val="18"/>
        </w:numPr>
        <w:spacing w:after="200" w:line="276" w:lineRule="auto"/>
        <w:ind w:right="-340"/>
        <w:rPr>
          <w:rFonts w:ascii="Century Gothic" w:hAnsi="Century Gothic"/>
          <w:sz w:val="20"/>
          <w:szCs w:val="20"/>
        </w:rPr>
      </w:pPr>
      <w:r>
        <w:rPr>
          <w:rFonts w:ascii="Century Gothic" w:hAnsi="Century Gothic"/>
          <w:sz w:val="20"/>
          <w:szCs w:val="20"/>
        </w:rPr>
        <w:t xml:space="preserve">Evaluation of participant </w:t>
      </w:r>
      <w:r w:rsidR="009617E9">
        <w:rPr>
          <w:rFonts w:ascii="Century Gothic" w:hAnsi="Century Gothic"/>
          <w:sz w:val="20"/>
          <w:szCs w:val="20"/>
        </w:rPr>
        <w:t>satisfaction consistently high.</w:t>
      </w:r>
    </w:p>
    <w:p w14:paraId="3CA5FD87" w14:textId="5EF4AC9D" w:rsidR="00DC4448" w:rsidRDefault="00DC4448" w:rsidP="006A1D2B">
      <w:pPr>
        <w:pStyle w:val="ListParagraph"/>
        <w:numPr>
          <w:ilvl w:val="0"/>
          <w:numId w:val="18"/>
        </w:numPr>
        <w:spacing w:after="60" w:line="276" w:lineRule="auto"/>
        <w:ind w:left="714" w:right="-340" w:hanging="357"/>
        <w:rPr>
          <w:rFonts w:ascii="Century Gothic" w:hAnsi="Century Gothic"/>
          <w:sz w:val="20"/>
          <w:szCs w:val="20"/>
        </w:rPr>
      </w:pPr>
      <w:r>
        <w:rPr>
          <w:rFonts w:ascii="Century Gothic" w:hAnsi="Century Gothic"/>
          <w:sz w:val="20"/>
          <w:szCs w:val="20"/>
        </w:rPr>
        <w:t>Changed practices and improved compliance observed e.g. data analysis frequency</w:t>
      </w:r>
      <w:r w:rsidR="009617E9">
        <w:rPr>
          <w:rFonts w:ascii="Century Gothic" w:hAnsi="Century Gothic"/>
          <w:sz w:val="20"/>
          <w:szCs w:val="20"/>
        </w:rPr>
        <w:t>; school improvement planning.</w:t>
      </w:r>
    </w:p>
    <w:p w14:paraId="46FBF15E" w14:textId="77777777" w:rsidR="00DC4448" w:rsidRPr="00027DD6" w:rsidRDefault="00DC4448" w:rsidP="005621A8">
      <w:pPr>
        <w:pStyle w:val="Heading3"/>
        <w:spacing w:before="120"/>
      </w:pPr>
      <w:bookmarkStart w:id="283" w:name="_Toc472261319"/>
      <w:bookmarkStart w:id="284" w:name="_Toc472262662"/>
      <w:bookmarkStart w:id="285" w:name="_Toc472263044"/>
      <w:bookmarkStart w:id="286" w:name="_Toc472263194"/>
      <w:bookmarkStart w:id="287" w:name="_Toc472263345"/>
      <w:bookmarkStart w:id="288" w:name="_Toc346124032"/>
      <w:r w:rsidRPr="00027DD6">
        <w:t>Issues and implications</w:t>
      </w:r>
      <w:bookmarkEnd w:id="283"/>
      <w:bookmarkEnd w:id="284"/>
      <w:bookmarkEnd w:id="285"/>
      <w:bookmarkEnd w:id="286"/>
      <w:bookmarkEnd w:id="287"/>
      <w:bookmarkEnd w:id="288"/>
    </w:p>
    <w:p w14:paraId="4A678E5F" w14:textId="30F4BA7D" w:rsidR="00DC4448" w:rsidRDefault="00DC4448" w:rsidP="00DC4448">
      <w:pPr>
        <w:ind w:right="-340"/>
        <w:rPr>
          <w:rFonts w:ascii="Century Gothic" w:hAnsi="Century Gothic"/>
          <w:sz w:val="20"/>
          <w:szCs w:val="20"/>
        </w:rPr>
      </w:pPr>
      <w:r w:rsidRPr="00791572">
        <w:rPr>
          <w:rFonts w:ascii="Century Gothic" w:hAnsi="Century Gothic"/>
          <w:sz w:val="20"/>
          <w:szCs w:val="20"/>
        </w:rPr>
        <w:t>Activities are predominantly shaped by the ne</w:t>
      </w:r>
      <w:r>
        <w:rPr>
          <w:rFonts w:ascii="Century Gothic" w:hAnsi="Century Gothic"/>
          <w:sz w:val="20"/>
          <w:szCs w:val="20"/>
        </w:rPr>
        <w:t>e</w:t>
      </w:r>
      <w:r w:rsidRPr="00791572">
        <w:rPr>
          <w:rFonts w:ascii="Century Gothic" w:hAnsi="Century Gothic"/>
          <w:sz w:val="20"/>
          <w:szCs w:val="20"/>
        </w:rPr>
        <w:t>d</w:t>
      </w:r>
      <w:r>
        <w:rPr>
          <w:rFonts w:ascii="Century Gothic" w:hAnsi="Century Gothic"/>
          <w:sz w:val="20"/>
          <w:szCs w:val="20"/>
        </w:rPr>
        <w:t>s</w:t>
      </w:r>
      <w:r w:rsidRPr="00791572">
        <w:rPr>
          <w:rFonts w:ascii="Century Gothic" w:hAnsi="Century Gothic"/>
          <w:sz w:val="20"/>
          <w:szCs w:val="20"/>
        </w:rPr>
        <w:t xml:space="preserve"> in schools</w:t>
      </w:r>
      <w:r>
        <w:rPr>
          <w:rFonts w:ascii="Century Gothic" w:hAnsi="Century Gothic"/>
          <w:sz w:val="20"/>
          <w:szCs w:val="20"/>
        </w:rPr>
        <w:t>.</w:t>
      </w:r>
      <w:r w:rsidRPr="00791572">
        <w:rPr>
          <w:rFonts w:ascii="Century Gothic" w:hAnsi="Century Gothic"/>
          <w:sz w:val="20"/>
          <w:szCs w:val="20"/>
        </w:rPr>
        <w:t xml:space="preserve"> </w:t>
      </w:r>
      <w:r>
        <w:rPr>
          <w:rFonts w:ascii="Century Gothic" w:hAnsi="Century Gothic"/>
          <w:sz w:val="20"/>
          <w:szCs w:val="20"/>
        </w:rPr>
        <w:t>School in WA are increasingly seeking support from AIS WA to assist them do their work in ne</w:t>
      </w:r>
      <w:r w:rsidR="009617E9">
        <w:rPr>
          <w:rFonts w:ascii="Century Gothic" w:hAnsi="Century Gothic"/>
          <w:sz w:val="20"/>
          <w:szCs w:val="20"/>
        </w:rPr>
        <w:t>w ways.</w:t>
      </w:r>
    </w:p>
    <w:p w14:paraId="01CDA995" w14:textId="77777777" w:rsidR="00DC4448" w:rsidRPr="00A71E22" w:rsidRDefault="00DC4448" w:rsidP="00DC4448">
      <w:pPr>
        <w:ind w:right="-340"/>
        <w:rPr>
          <w:rFonts w:ascii="Century Gothic" w:hAnsi="Century Gothic"/>
          <w:sz w:val="20"/>
          <w:szCs w:val="20"/>
        </w:rPr>
      </w:pPr>
      <w:r>
        <w:rPr>
          <w:rFonts w:ascii="Century Gothic" w:hAnsi="Century Gothic"/>
          <w:sz w:val="20"/>
          <w:szCs w:val="20"/>
        </w:rPr>
        <w:t>Demand for advice on inclusion is very strong and growing.</w:t>
      </w:r>
      <w:bookmarkEnd w:id="253"/>
    </w:p>
    <w:p w14:paraId="49EF6F27"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Western Australian Catholic NGRB."/>
      </w:tblPr>
      <w:tblGrid>
        <w:gridCol w:w="3777"/>
        <w:gridCol w:w="1009"/>
        <w:gridCol w:w="1285"/>
        <w:gridCol w:w="1325"/>
        <w:gridCol w:w="1296"/>
      </w:tblGrid>
      <w:tr w:rsidR="00DC4448" w:rsidRPr="00E4618A" w14:paraId="10B2A831" w14:textId="77777777" w:rsidTr="002C6ABD">
        <w:tc>
          <w:tcPr>
            <w:tcW w:w="3777" w:type="dxa"/>
            <w:vMerge w:val="restart"/>
            <w:tcBorders>
              <w:top w:val="nil"/>
              <w:left w:val="nil"/>
              <w:bottom w:val="nil"/>
              <w:right w:val="single" w:sz="4" w:space="0" w:color="auto"/>
            </w:tcBorders>
            <w:shd w:val="clear" w:color="auto" w:fill="auto"/>
          </w:tcPr>
          <w:p w14:paraId="01880397" w14:textId="77777777" w:rsidR="00DC4448" w:rsidRPr="00870B9B" w:rsidRDefault="00DC4448" w:rsidP="005621A8">
            <w:pPr>
              <w:pStyle w:val="Heading2"/>
              <w:spacing w:before="0" w:after="0"/>
            </w:pPr>
            <w:bookmarkStart w:id="289" w:name="_Toc472261320"/>
            <w:bookmarkStart w:id="290" w:name="_Toc472262663"/>
            <w:bookmarkStart w:id="291" w:name="_Toc472263045"/>
            <w:bookmarkStart w:id="292" w:name="_Toc472263195"/>
            <w:bookmarkStart w:id="293" w:name="_Toc472263346"/>
            <w:bookmarkStart w:id="294" w:name="_Toc346124033"/>
            <w:r w:rsidRPr="005621A8">
              <w:rPr>
                <w:sz w:val="24"/>
              </w:rPr>
              <w:t>West Australian Catholic</w:t>
            </w:r>
            <w:bookmarkEnd w:id="289"/>
            <w:bookmarkEnd w:id="290"/>
            <w:bookmarkEnd w:id="291"/>
            <w:bookmarkEnd w:id="292"/>
            <w:bookmarkEnd w:id="293"/>
            <w:bookmarkEnd w:id="294"/>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FE68DB" w14:textId="77777777" w:rsidR="00DC4448" w:rsidRPr="00E4618A" w:rsidRDefault="00DC4448" w:rsidP="002C6ABD">
            <w:pPr>
              <w:ind w:right="-27"/>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0991D3"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BF8AF"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F031C8" w14:textId="77777777" w:rsidR="00DC4448" w:rsidRPr="00E4618A" w:rsidRDefault="00DC4448" w:rsidP="002C6ABD">
            <w:pPr>
              <w:ind w:right="-340"/>
              <w:jc w:val="center"/>
              <w:rPr>
                <w:sz w:val="16"/>
                <w:szCs w:val="16"/>
              </w:rPr>
            </w:pPr>
            <w:r>
              <w:rPr>
                <w:sz w:val="16"/>
                <w:szCs w:val="16"/>
              </w:rPr>
              <w:t>SFSF $</w:t>
            </w:r>
          </w:p>
        </w:tc>
      </w:tr>
      <w:tr w:rsidR="00DC4448" w:rsidRPr="004E2552" w14:paraId="453DDD91" w14:textId="77777777" w:rsidTr="002C6ABD">
        <w:tc>
          <w:tcPr>
            <w:tcW w:w="3777" w:type="dxa"/>
            <w:vMerge/>
            <w:tcBorders>
              <w:left w:val="nil"/>
              <w:bottom w:val="nil"/>
              <w:right w:val="single" w:sz="4" w:space="0" w:color="auto"/>
            </w:tcBorders>
            <w:shd w:val="clear" w:color="auto" w:fill="auto"/>
          </w:tcPr>
          <w:p w14:paraId="30EB0DCF"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447D85E8"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16</w:t>
            </w:r>
            <w:r>
              <w:rPr>
                <w:rFonts w:eastAsia="Times New Roman" w:cs="Times New Roman"/>
                <w:color w:val="000000"/>
                <w:sz w:val="16"/>
                <w:szCs w:val="16"/>
              </w:rPr>
              <w:t>3</w:t>
            </w:r>
          </w:p>
        </w:tc>
        <w:tc>
          <w:tcPr>
            <w:tcW w:w="1285" w:type="dxa"/>
            <w:tcBorders>
              <w:top w:val="single" w:sz="4" w:space="0" w:color="auto"/>
              <w:left w:val="single" w:sz="4" w:space="0" w:color="auto"/>
              <w:bottom w:val="single" w:sz="4" w:space="0" w:color="auto"/>
              <w:right w:val="single" w:sz="4" w:space="0" w:color="auto"/>
            </w:tcBorders>
            <w:vAlign w:val="bottom"/>
          </w:tcPr>
          <w:p w14:paraId="1E86E89B" w14:textId="77777777" w:rsidR="00DC4448" w:rsidRPr="004E2552" w:rsidRDefault="00DC4448" w:rsidP="002C6ABD">
            <w:pPr>
              <w:ind w:right="-340"/>
              <w:jc w:val="center"/>
              <w:rPr>
                <w:rFonts w:eastAsia="Times New Roman" w:cs="Times New Roman"/>
                <w:bCs/>
                <w:color w:val="000000"/>
                <w:sz w:val="16"/>
                <w:szCs w:val="16"/>
              </w:rPr>
            </w:pPr>
            <w:r>
              <w:rPr>
                <w:rFonts w:eastAsia="Times New Roman" w:cs="Times New Roman"/>
                <w:color w:val="000000"/>
                <w:sz w:val="16"/>
                <w:szCs w:val="16"/>
              </w:rPr>
              <w:t>76,791</w:t>
            </w:r>
          </w:p>
        </w:tc>
        <w:tc>
          <w:tcPr>
            <w:tcW w:w="1325" w:type="dxa"/>
            <w:tcBorders>
              <w:top w:val="single" w:sz="4" w:space="0" w:color="auto"/>
              <w:left w:val="single" w:sz="4" w:space="0" w:color="auto"/>
              <w:bottom w:val="single" w:sz="4" w:space="0" w:color="auto"/>
              <w:right w:val="single" w:sz="4" w:space="0" w:color="auto"/>
            </w:tcBorders>
            <w:vAlign w:val="bottom"/>
          </w:tcPr>
          <w:p w14:paraId="38963530" w14:textId="77777777" w:rsidR="00DC4448" w:rsidRPr="004E2552" w:rsidRDefault="00DC4448" w:rsidP="002C6ABD">
            <w:pPr>
              <w:ind w:right="-340"/>
              <w:jc w:val="center"/>
              <w:rPr>
                <w:rFonts w:eastAsia="Times New Roman" w:cs="Times New Roman"/>
                <w:bCs/>
                <w:color w:val="000000"/>
                <w:sz w:val="16"/>
                <w:szCs w:val="16"/>
              </w:rPr>
            </w:pPr>
            <w:r>
              <w:rPr>
                <w:rFonts w:eastAsia="Times New Roman" w:cs="Times New Roman"/>
                <w:color w:val="000000"/>
                <w:sz w:val="16"/>
                <w:szCs w:val="16"/>
              </w:rPr>
              <w:t>12,518</w:t>
            </w:r>
          </w:p>
        </w:tc>
        <w:tc>
          <w:tcPr>
            <w:tcW w:w="1296" w:type="dxa"/>
            <w:tcBorders>
              <w:top w:val="single" w:sz="4" w:space="0" w:color="auto"/>
              <w:left w:val="single" w:sz="4" w:space="0" w:color="auto"/>
              <w:bottom w:val="single" w:sz="4" w:space="0" w:color="auto"/>
              <w:right w:val="single" w:sz="4" w:space="0" w:color="auto"/>
            </w:tcBorders>
            <w:vAlign w:val="bottom"/>
          </w:tcPr>
          <w:p w14:paraId="758332B9"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$1,252,891</w:t>
            </w:r>
          </w:p>
        </w:tc>
      </w:tr>
    </w:tbl>
    <w:p w14:paraId="7169CEFA" w14:textId="5AD36962" w:rsidR="00DC4448" w:rsidRPr="005621A8" w:rsidRDefault="00DC4448" w:rsidP="005621A8">
      <w:pPr>
        <w:pStyle w:val="Heading3"/>
        <w:spacing w:before="120"/>
        <w:rPr>
          <w:rStyle w:val="IntenseEmphasis"/>
          <w:b/>
          <w:bCs/>
          <w:i w:val="0"/>
          <w:iCs w:val="0"/>
        </w:rPr>
      </w:pPr>
      <w:bookmarkStart w:id="295" w:name="_Toc472261321"/>
      <w:bookmarkStart w:id="296" w:name="_Toc472262664"/>
      <w:bookmarkStart w:id="297" w:name="_Toc472263046"/>
      <w:bookmarkStart w:id="298" w:name="_Toc472263196"/>
      <w:bookmarkStart w:id="299" w:name="_Toc472263347"/>
      <w:bookmarkStart w:id="300" w:name="_Toc346124034"/>
      <w:r w:rsidRPr="005621A8">
        <w:rPr>
          <w:rStyle w:val="IntenseEmphasis"/>
          <w:b/>
          <w:bCs/>
          <w:i w:val="0"/>
          <w:iCs w:val="0"/>
        </w:rPr>
        <w:t>Key features of approach</w:t>
      </w:r>
      <w:bookmarkEnd w:id="295"/>
      <w:bookmarkEnd w:id="296"/>
      <w:bookmarkEnd w:id="297"/>
      <w:bookmarkEnd w:id="298"/>
      <w:bookmarkEnd w:id="299"/>
      <w:bookmarkEnd w:id="300"/>
    </w:p>
    <w:p w14:paraId="03363BB8" w14:textId="77777777" w:rsidR="00DC4448" w:rsidRPr="00A12103" w:rsidRDefault="00DC4448" w:rsidP="006A1D2B">
      <w:pPr>
        <w:pStyle w:val="ListParagraph"/>
        <w:numPr>
          <w:ilvl w:val="0"/>
          <w:numId w:val="19"/>
        </w:numPr>
        <w:spacing w:after="200" w:line="276" w:lineRule="auto"/>
        <w:ind w:right="-340"/>
        <w:rPr>
          <w:rFonts w:ascii="Century Gothic" w:hAnsi="Century Gothic"/>
          <w:sz w:val="20"/>
          <w:szCs w:val="20"/>
        </w:rPr>
      </w:pPr>
      <w:r w:rsidRPr="00A12103">
        <w:rPr>
          <w:rFonts w:ascii="Century Gothic" w:hAnsi="Century Gothic"/>
          <w:sz w:val="20"/>
          <w:szCs w:val="20"/>
        </w:rPr>
        <w:t>A coherent program across WA; The Catholic Education Commission of WA has delegated to the CEO WA to implement SFSF.</w:t>
      </w:r>
    </w:p>
    <w:p w14:paraId="529DAEBA" w14:textId="3F942D42" w:rsidR="00DC4448" w:rsidRPr="00A12103" w:rsidRDefault="00DC4448" w:rsidP="006A1D2B">
      <w:pPr>
        <w:pStyle w:val="ListParagraph"/>
        <w:numPr>
          <w:ilvl w:val="0"/>
          <w:numId w:val="19"/>
        </w:numPr>
        <w:spacing w:after="200" w:line="276" w:lineRule="auto"/>
        <w:ind w:right="-340"/>
        <w:rPr>
          <w:rFonts w:ascii="Century Gothic" w:hAnsi="Century Gothic"/>
          <w:sz w:val="20"/>
          <w:szCs w:val="20"/>
        </w:rPr>
      </w:pPr>
      <w:r w:rsidRPr="00A12103">
        <w:rPr>
          <w:rFonts w:ascii="Century Gothic" w:hAnsi="Century Gothic"/>
          <w:sz w:val="20"/>
          <w:szCs w:val="20"/>
        </w:rPr>
        <w:t xml:space="preserve">Major focus is on teacher quality through building Standards into the preparation of early career </w:t>
      </w:r>
      <w:r w:rsidR="00D32CC3">
        <w:rPr>
          <w:rFonts w:ascii="Century Gothic" w:hAnsi="Century Gothic"/>
          <w:sz w:val="20"/>
          <w:szCs w:val="20"/>
        </w:rPr>
        <w:t xml:space="preserve">and more experienced teachers, </w:t>
      </w:r>
      <w:r w:rsidRPr="00A12103">
        <w:rPr>
          <w:rFonts w:ascii="Century Gothic" w:hAnsi="Century Gothic"/>
          <w:sz w:val="20"/>
          <w:szCs w:val="20"/>
        </w:rPr>
        <w:t>mentoring principals and supporting those teaching in Indigenous settings.</w:t>
      </w:r>
    </w:p>
    <w:p w14:paraId="0644E7D9" w14:textId="68AABFF8" w:rsidR="00DC4448" w:rsidRPr="00A12103" w:rsidRDefault="00DC4448" w:rsidP="006A1D2B">
      <w:pPr>
        <w:pStyle w:val="ListParagraph"/>
        <w:numPr>
          <w:ilvl w:val="0"/>
          <w:numId w:val="19"/>
        </w:numPr>
        <w:spacing w:after="200" w:line="276" w:lineRule="auto"/>
        <w:ind w:right="-340"/>
        <w:rPr>
          <w:rFonts w:ascii="Century Gothic" w:hAnsi="Century Gothic"/>
          <w:sz w:val="20"/>
          <w:szCs w:val="20"/>
        </w:rPr>
      </w:pPr>
      <w:r w:rsidRPr="00A12103">
        <w:rPr>
          <w:rFonts w:ascii="Century Gothic" w:hAnsi="Century Gothic"/>
          <w:sz w:val="20"/>
          <w:szCs w:val="20"/>
        </w:rPr>
        <w:t>Main mode of delivery is use of consultants and peer advisors and mentors coupled with professional learning opportunities to support schools to build t</w:t>
      </w:r>
      <w:r w:rsidR="009617E9">
        <w:rPr>
          <w:rFonts w:ascii="Century Gothic" w:hAnsi="Century Gothic"/>
          <w:sz w:val="20"/>
          <w:szCs w:val="20"/>
        </w:rPr>
        <w:t>eacher and principal capacity.</w:t>
      </w:r>
    </w:p>
    <w:p w14:paraId="1C7F24E2" w14:textId="77777777" w:rsidR="00DC4448" w:rsidRPr="00A12103" w:rsidRDefault="00DC4448" w:rsidP="006A1D2B">
      <w:pPr>
        <w:pStyle w:val="ListParagraph"/>
        <w:numPr>
          <w:ilvl w:val="0"/>
          <w:numId w:val="19"/>
        </w:numPr>
        <w:spacing w:line="276" w:lineRule="auto"/>
        <w:ind w:right="-340"/>
        <w:rPr>
          <w:rFonts w:ascii="Century Gothic" w:hAnsi="Century Gothic"/>
          <w:sz w:val="20"/>
          <w:szCs w:val="20"/>
        </w:rPr>
      </w:pPr>
      <w:r w:rsidRPr="00A12103">
        <w:rPr>
          <w:rFonts w:ascii="Century Gothic" w:hAnsi="Century Gothic"/>
          <w:bCs/>
          <w:iCs/>
          <w:sz w:val="20"/>
          <w:szCs w:val="20"/>
        </w:rPr>
        <w:t xml:space="preserve">FTE equivalent 8 consultants </w:t>
      </w:r>
    </w:p>
    <w:p w14:paraId="54B6BCA7" w14:textId="77777777" w:rsidR="00DC4448" w:rsidRPr="007140D6" w:rsidRDefault="00DC4448" w:rsidP="005621A8">
      <w:pPr>
        <w:pStyle w:val="Heading3"/>
        <w:spacing w:before="120"/>
      </w:pPr>
      <w:r w:rsidRPr="007140D6">
        <w:t xml:space="preserve">Predominant mode of delivery </w:t>
      </w:r>
    </w:p>
    <w:tbl>
      <w:tblPr>
        <w:tblW w:w="4502" w:type="dxa"/>
        <w:tblLook w:val="04A0" w:firstRow="1" w:lastRow="0" w:firstColumn="1" w:lastColumn="0" w:noHBand="0" w:noVBand="1"/>
        <w:tblCaption w:val="Predominant delivery models"/>
        <w:tblDescription w:val="This table shows that predominant delivery models include Consultancy advice in schools and Coaching and mentoring services.&#10;"/>
      </w:tblPr>
      <w:tblGrid>
        <w:gridCol w:w="3652"/>
        <w:gridCol w:w="850"/>
      </w:tblGrid>
      <w:tr w:rsidR="003E5526" w14:paraId="27643A6B" w14:textId="77777777" w:rsidTr="003E5526">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70489C" w14:textId="77777777" w:rsidR="003E5526" w:rsidRDefault="003E5526"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9E3867" w14:textId="272270DA" w:rsidR="003E5526" w:rsidRDefault="003E5526" w:rsidP="003E5526">
            <w:pPr>
              <w:spacing w:before="100" w:beforeAutospacing="1"/>
              <w:ind w:right="-340"/>
              <w:jc w:val="center"/>
              <w:rPr>
                <w:rFonts w:ascii="Times New Roman" w:hAnsi="Times New Roman" w:cs="Times New Roman"/>
              </w:rPr>
            </w:pPr>
            <w:r w:rsidRPr="003E5526">
              <w:rPr>
                <w:rFonts w:cs="Times New Roman"/>
                <w:i/>
                <w:iCs/>
                <w:sz w:val="15"/>
                <w:szCs w:val="15"/>
              </w:rPr>
              <w:t>Yes/no</w:t>
            </w:r>
          </w:p>
        </w:tc>
      </w:tr>
      <w:tr w:rsidR="003E5526" w:rsidRPr="00C453CD" w14:paraId="4FC69E10"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4B21EC8B"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6F7C69E2" w14:textId="107C62FF" w:rsidR="003E5526" w:rsidRPr="00C453CD" w:rsidRDefault="003E5526" w:rsidP="002C6ABD">
            <w:pPr>
              <w:spacing w:before="100" w:beforeAutospacing="1" w:after="120"/>
              <w:ind w:right="-340"/>
              <w:jc w:val="center"/>
              <w:rPr>
                <w:rFonts w:cs="Times New Roman"/>
                <w:i/>
                <w:iCs/>
                <w:sz w:val="15"/>
                <w:szCs w:val="15"/>
              </w:rPr>
            </w:pPr>
            <w:r w:rsidRPr="00C453CD">
              <w:rPr>
                <w:rFonts w:cs="Times New Roman"/>
                <w:i/>
                <w:iCs/>
                <w:sz w:val="15"/>
                <w:szCs w:val="15"/>
              </w:rPr>
              <w:t> </w:t>
            </w:r>
            <w:r>
              <w:rPr>
                <w:rFonts w:cs="Times New Roman"/>
                <w:i/>
                <w:iCs/>
                <w:sz w:val="15"/>
                <w:szCs w:val="15"/>
              </w:rPr>
              <w:t>no</w:t>
            </w:r>
          </w:p>
        </w:tc>
      </w:tr>
      <w:tr w:rsidR="003E5526" w:rsidRPr="00C453CD" w14:paraId="54BAD1B9" w14:textId="77777777" w:rsidTr="003E5526">
        <w:tc>
          <w:tcPr>
            <w:tcW w:w="3652" w:type="dxa"/>
            <w:tcBorders>
              <w:top w:val="single" w:sz="4" w:space="0" w:color="auto"/>
              <w:left w:val="single" w:sz="4" w:space="0" w:color="auto"/>
              <w:bottom w:val="single" w:sz="4" w:space="0" w:color="auto"/>
              <w:right w:val="single" w:sz="4" w:space="0" w:color="auto"/>
            </w:tcBorders>
            <w:vAlign w:val="center"/>
            <w:hideMark/>
          </w:tcPr>
          <w:p w14:paraId="11AAACB3"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5BAFFD2F" w14:textId="4E20D37E"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C453CD" w14:paraId="55EE73E8"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1E0C85D1"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hideMark/>
          </w:tcPr>
          <w:p w14:paraId="61767412" w14:textId="35DB43CB"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C453CD" w14:paraId="44E07B24"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37E16FE9"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hideMark/>
          </w:tcPr>
          <w:p w14:paraId="5E8F154F" w14:textId="27366282"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7BB58B29" w14:textId="77777777" w:rsidTr="003E5526">
        <w:tc>
          <w:tcPr>
            <w:tcW w:w="3652" w:type="dxa"/>
            <w:tcBorders>
              <w:top w:val="single" w:sz="4" w:space="0" w:color="auto"/>
              <w:left w:val="single" w:sz="4" w:space="0" w:color="auto"/>
              <w:bottom w:val="single" w:sz="4" w:space="0" w:color="auto"/>
              <w:right w:val="single" w:sz="4" w:space="0" w:color="auto"/>
            </w:tcBorders>
            <w:vAlign w:val="center"/>
            <w:hideMark/>
          </w:tcPr>
          <w:p w14:paraId="72E0F93B" w14:textId="77777777" w:rsidR="003E5526" w:rsidRPr="00C453CD" w:rsidRDefault="003E5526" w:rsidP="002C6ABD">
            <w:pPr>
              <w:spacing w:before="100" w:beforeAutospacing="1" w:after="120"/>
              <w:ind w:right="-340"/>
              <w:rPr>
                <w:rFonts w:cs="Times New Roman"/>
                <w:i/>
                <w:iCs/>
                <w:sz w:val="15"/>
                <w:szCs w:val="15"/>
              </w:rPr>
            </w:pPr>
            <w:r>
              <w:rPr>
                <w:rFonts w:cs="Times New Roman"/>
                <w:i/>
                <w:iCs/>
                <w:sz w:val="15"/>
                <w:szCs w:val="15"/>
              </w:rPr>
              <w:t>Resource provision</w:t>
            </w:r>
            <w:r w:rsidRPr="00C453CD">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BC62E84" w14:textId="04625EDB"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723D842E" w14:textId="77777777" w:rsidTr="003E5526">
        <w:tc>
          <w:tcPr>
            <w:tcW w:w="3652" w:type="dxa"/>
            <w:tcBorders>
              <w:top w:val="single" w:sz="4" w:space="0" w:color="auto"/>
              <w:left w:val="single" w:sz="4" w:space="0" w:color="auto"/>
              <w:bottom w:val="single" w:sz="4" w:space="0" w:color="auto"/>
              <w:right w:val="single" w:sz="4" w:space="0" w:color="auto"/>
            </w:tcBorders>
          </w:tcPr>
          <w:p w14:paraId="1B97396C" w14:textId="0690FD74" w:rsidR="003E5526" w:rsidRDefault="003E5526" w:rsidP="003E5526">
            <w:pPr>
              <w:spacing w:before="100" w:beforeAutospacing="1" w:after="120"/>
              <w:ind w:right="-340"/>
              <w:rPr>
                <w:rFonts w:cs="Times New Roman"/>
                <w:i/>
                <w:iCs/>
                <w:sz w:val="15"/>
                <w:szCs w:val="15"/>
              </w:rPr>
            </w:pPr>
            <w:r w:rsidRPr="00C31922">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13829876" w14:textId="0357ECCA" w:rsidR="003E5526"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22610812" w14:textId="77777777" w:rsidTr="003E5526">
        <w:tc>
          <w:tcPr>
            <w:tcW w:w="3652" w:type="dxa"/>
            <w:tcBorders>
              <w:top w:val="single" w:sz="4" w:space="0" w:color="auto"/>
              <w:left w:val="single" w:sz="4" w:space="0" w:color="auto"/>
              <w:bottom w:val="single" w:sz="4" w:space="0" w:color="auto"/>
              <w:right w:val="single" w:sz="4" w:space="0" w:color="auto"/>
            </w:tcBorders>
          </w:tcPr>
          <w:p w14:paraId="3D04CDF9" w14:textId="5F23A3D9" w:rsidR="003E5526" w:rsidRDefault="003E5526" w:rsidP="003E5526">
            <w:pPr>
              <w:spacing w:before="100" w:beforeAutospacing="1" w:after="120"/>
              <w:ind w:right="-340"/>
              <w:rPr>
                <w:rFonts w:cs="Times New Roman"/>
                <w:i/>
                <w:iCs/>
                <w:sz w:val="15"/>
                <w:szCs w:val="15"/>
              </w:rPr>
            </w:pPr>
            <w:r w:rsidRPr="00C31922">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7C5EADA2" w14:textId="7551AAF3" w:rsidR="003E5526"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1AD77779" w14:textId="77777777" w:rsidTr="003E5526">
        <w:tc>
          <w:tcPr>
            <w:tcW w:w="3652" w:type="dxa"/>
            <w:tcBorders>
              <w:top w:val="single" w:sz="4" w:space="0" w:color="auto"/>
              <w:left w:val="single" w:sz="4" w:space="0" w:color="auto"/>
              <w:bottom w:val="single" w:sz="4" w:space="0" w:color="auto"/>
              <w:right w:val="single" w:sz="4" w:space="0" w:color="auto"/>
            </w:tcBorders>
          </w:tcPr>
          <w:p w14:paraId="7F7F4CAA" w14:textId="5918146D" w:rsidR="003E5526" w:rsidRDefault="003E5526" w:rsidP="003E5526">
            <w:pPr>
              <w:spacing w:before="100" w:beforeAutospacing="1" w:after="120"/>
              <w:ind w:right="-340"/>
              <w:rPr>
                <w:rFonts w:cs="Times New Roman"/>
                <w:i/>
                <w:iCs/>
                <w:sz w:val="15"/>
                <w:szCs w:val="15"/>
              </w:rPr>
            </w:pPr>
            <w:r w:rsidRPr="00C31922">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51AD0374" w14:textId="0BD48606" w:rsidR="003E5526"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r w:rsidR="003E5526" w:rsidRPr="00C453CD" w14:paraId="521DF1F5" w14:textId="77777777" w:rsidTr="003E5526">
        <w:tc>
          <w:tcPr>
            <w:tcW w:w="3652" w:type="dxa"/>
            <w:tcBorders>
              <w:top w:val="single" w:sz="4" w:space="0" w:color="auto"/>
              <w:left w:val="single" w:sz="4" w:space="0" w:color="auto"/>
              <w:bottom w:val="single" w:sz="4" w:space="0" w:color="auto"/>
              <w:right w:val="single" w:sz="4" w:space="0" w:color="auto"/>
            </w:tcBorders>
          </w:tcPr>
          <w:p w14:paraId="570F2A22" w14:textId="73264149" w:rsidR="003E5526" w:rsidRDefault="003E5526" w:rsidP="003E5526">
            <w:pPr>
              <w:spacing w:before="100" w:beforeAutospacing="1" w:after="120"/>
              <w:ind w:right="-340"/>
              <w:rPr>
                <w:rFonts w:cs="Times New Roman"/>
                <w:i/>
                <w:iCs/>
                <w:sz w:val="15"/>
                <w:szCs w:val="15"/>
              </w:rPr>
            </w:pPr>
            <w:r w:rsidRPr="00C31922">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7BD037A2" w14:textId="1DA374B3" w:rsidR="003E5526"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C453CD">
              <w:rPr>
                <w:rFonts w:cs="Times New Roman"/>
                <w:i/>
                <w:iCs/>
                <w:sz w:val="15"/>
                <w:szCs w:val="15"/>
              </w:rPr>
              <w:t> </w:t>
            </w:r>
          </w:p>
        </w:tc>
      </w:tr>
    </w:tbl>
    <w:p w14:paraId="7EA892A3" w14:textId="77777777" w:rsidR="00DC4448" w:rsidRPr="00027DD6" w:rsidRDefault="00DC4448" w:rsidP="005621A8">
      <w:pPr>
        <w:pStyle w:val="Heading3"/>
        <w:spacing w:before="120"/>
      </w:pPr>
      <w:bookmarkStart w:id="301" w:name="_Toc472261322"/>
      <w:bookmarkStart w:id="302" w:name="_Toc472262665"/>
      <w:bookmarkStart w:id="303" w:name="_Toc472263047"/>
      <w:bookmarkStart w:id="304" w:name="_Toc472263197"/>
      <w:bookmarkStart w:id="305" w:name="_Toc472263348"/>
      <w:bookmarkStart w:id="306" w:name="_Toc346124035"/>
      <w:r w:rsidRPr="00027DD6">
        <w:t>Sample programs</w:t>
      </w:r>
      <w:bookmarkEnd w:id="301"/>
      <w:bookmarkEnd w:id="302"/>
      <w:bookmarkEnd w:id="303"/>
      <w:bookmarkEnd w:id="304"/>
      <w:bookmarkEnd w:id="305"/>
      <w:bookmarkEnd w:id="306"/>
      <w:r w:rsidRPr="00027DD6">
        <w:t xml:space="preserve"> </w:t>
      </w:r>
    </w:p>
    <w:p w14:paraId="240E62E4" w14:textId="15AAB9A8" w:rsidR="00DC4448" w:rsidRDefault="00DC4448" w:rsidP="006A1D2B">
      <w:pPr>
        <w:pStyle w:val="ListParagraph"/>
        <w:numPr>
          <w:ilvl w:val="0"/>
          <w:numId w:val="17"/>
        </w:numPr>
        <w:spacing w:line="276" w:lineRule="auto"/>
        <w:ind w:right="-340"/>
        <w:jc w:val="both"/>
        <w:rPr>
          <w:rFonts w:ascii="Century Gothic" w:hAnsi="Century Gothic"/>
          <w:sz w:val="20"/>
          <w:szCs w:val="20"/>
        </w:rPr>
      </w:pPr>
      <w:r>
        <w:rPr>
          <w:rFonts w:ascii="Century Gothic" w:hAnsi="Century Gothic"/>
          <w:i/>
          <w:sz w:val="20"/>
          <w:szCs w:val="20"/>
        </w:rPr>
        <w:t xml:space="preserve">Support for newly graduated teachers – </w:t>
      </w:r>
      <w:r w:rsidRPr="00F35233">
        <w:rPr>
          <w:rFonts w:ascii="Century Gothic" w:hAnsi="Century Gothic"/>
          <w:sz w:val="20"/>
          <w:szCs w:val="20"/>
        </w:rPr>
        <w:t>comprehensive</w:t>
      </w:r>
      <w:r>
        <w:rPr>
          <w:rFonts w:ascii="Century Gothic" w:hAnsi="Century Gothic"/>
          <w:sz w:val="20"/>
          <w:szCs w:val="20"/>
        </w:rPr>
        <w:t xml:space="preserve"> suite of supports comprising consultant visits, network opportunities, liaison with universities, trained mentors in schools and increased focus by schools on the needs of new graduates. Approximately 70 % of targete</w:t>
      </w:r>
      <w:r w:rsidR="009617E9">
        <w:rPr>
          <w:rFonts w:ascii="Century Gothic" w:hAnsi="Century Gothic"/>
          <w:sz w:val="20"/>
          <w:szCs w:val="20"/>
        </w:rPr>
        <w:t>d teachers have been engaged.</w:t>
      </w:r>
    </w:p>
    <w:p w14:paraId="56F4790D" w14:textId="77777777" w:rsidR="00DC4448" w:rsidRDefault="00DC4448" w:rsidP="006A1D2B">
      <w:pPr>
        <w:pStyle w:val="ListParagraph"/>
        <w:numPr>
          <w:ilvl w:val="0"/>
          <w:numId w:val="17"/>
        </w:numPr>
        <w:spacing w:line="276" w:lineRule="auto"/>
        <w:ind w:right="-340"/>
        <w:jc w:val="both"/>
        <w:rPr>
          <w:rFonts w:ascii="Century Gothic" w:hAnsi="Century Gothic"/>
          <w:sz w:val="20"/>
          <w:szCs w:val="20"/>
        </w:rPr>
      </w:pPr>
      <w:r w:rsidRPr="00627AC6">
        <w:rPr>
          <w:rFonts w:ascii="Century Gothic" w:hAnsi="Century Gothic"/>
          <w:i/>
          <w:sz w:val="20"/>
          <w:szCs w:val="20"/>
        </w:rPr>
        <w:t>Implementation of a regional school support model –</w:t>
      </w:r>
      <w:r>
        <w:rPr>
          <w:rFonts w:ascii="Century Gothic" w:hAnsi="Century Gothic"/>
          <w:i/>
          <w:sz w:val="20"/>
          <w:szCs w:val="20"/>
        </w:rPr>
        <w:t xml:space="preserve"> </w:t>
      </w:r>
      <w:r w:rsidRPr="00627AC6">
        <w:rPr>
          <w:rFonts w:ascii="Century Gothic" w:hAnsi="Century Gothic"/>
          <w:sz w:val="20"/>
          <w:szCs w:val="20"/>
        </w:rPr>
        <w:t xml:space="preserve">closer proximity of </w:t>
      </w:r>
      <w:r>
        <w:rPr>
          <w:rFonts w:ascii="Century Gothic" w:hAnsi="Century Gothic"/>
          <w:sz w:val="20"/>
          <w:szCs w:val="20"/>
        </w:rPr>
        <w:t xml:space="preserve">seven </w:t>
      </w:r>
      <w:r w:rsidRPr="00627AC6">
        <w:rPr>
          <w:rFonts w:ascii="Century Gothic" w:hAnsi="Century Gothic"/>
          <w:sz w:val="20"/>
          <w:szCs w:val="20"/>
        </w:rPr>
        <w:t xml:space="preserve">advisors and consultants to provide assistance for regional and isolated schools; focus on supporting school improvement planning in showing positive results </w:t>
      </w:r>
      <w:r>
        <w:rPr>
          <w:rFonts w:ascii="Century Gothic" w:hAnsi="Century Gothic"/>
          <w:sz w:val="20"/>
          <w:szCs w:val="20"/>
        </w:rPr>
        <w:t>in improvement in the quality of planning</w:t>
      </w:r>
      <w:r w:rsidRPr="00627AC6">
        <w:rPr>
          <w:rFonts w:ascii="Century Gothic" w:hAnsi="Century Gothic"/>
          <w:sz w:val="20"/>
          <w:szCs w:val="20"/>
        </w:rPr>
        <w:t>.</w:t>
      </w:r>
    </w:p>
    <w:p w14:paraId="7BD4D8B6" w14:textId="7D6A1B87" w:rsidR="00DC4448" w:rsidRDefault="00DC4448" w:rsidP="006A1D2B">
      <w:pPr>
        <w:pStyle w:val="ListParagraph"/>
        <w:numPr>
          <w:ilvl w:val="0"/>
          <w:numId w:val="17"/>
        </w:numPr>
        <w:spacing w:line="276" w:lineRule="auto"/>
        <w:ind w:right="-340"/>
        <w:jc w:val="both"/>
        <w:rPr>
          <w:rFonts w:ascii="Century Gothic" w:hAnsi="Century Gothic"/>
          <w:sz w:val="20"/>
          <w:szCs w:val="20"/>
        </w:rPr>
      </w:pPr>
      <w:r w:rsidRPr="00B6164D">
        <w:rPr>
          <w:rFonts w:ascii="Century Gothic" w:hAnsi="Century Gothic"/>
          <w:i/>
          <w:sz w:val="20"/>
          <w:szCs w:val="20"/>
        </w:rPr>
        <w:t xml:space="preserve">Support for Kimberley schools – </w:t>
      </w:r>
      <w:r w:rsidRPr="00B6164D">
        <w:rPr>
          <w:rFonts w:ascii="Century Gothic" w:hAnsi="Century Gothic"/>
          <w:sz w:val="20"/>
          <w:szCs w:val="20"/>
        </w:rPr>
        <w:t>adopted a senior secondary focus</w:t>
      </w:r>
      <w:r w:rsidRPr="00B6164D">
        <w:rPr>
          <w:rFonts w:ascii="Century Gothic" w:hAnsi="Century Gothic"/>
          <w:i/>
          <w:sz w:val="20"/>
          <w:szCs w:val="20"/>
        </w:rPr>
        <w:t xml:space="preserve"> </w:t>
      </w:r>
      <w:r w:rsidRPr="00B6164D">
        <w:rPr>
          <w:rFonts w:ascii="Century Gothic" w:hAnsi="Century Gothic"/>
          <w:sz w:val="20"/>
          <w:szCs w:val="20"/>
        </w:rPr>
        <w:t xml:space="preserve">and provided Kimberly based consultant to support for training for principals and employment of more Aboriginal staff. Results are positive with increased enrolment and completions. This program is complemented by others </w:t>
      </w:r>
      <w:r>
        <w:rPr>
          <w:rFonts w:ascii="Century Gothic" w:hAnsi="Century Gothic"/>
          <w:sz w:val="20"/>
          <w:szCs w:val="20"/>
        </w:rPr>
        <w:t xml:space="preserve">in this region. </w:t>
      </w:r>
      <w:r w:rsidRPr="00B6164D">
        <w:rPr>
          <w:rFonts w:ascii="Century Gothic" w:hAnsi="Century Gothic"/>
          <w:sz w:val="20"/>
          <w:szCs w:val="20"/>
        </w:rPr>
        <w:t>e.g</w:t>
      </w:r>
      <w:r>
        <w:rPr>
          <w:rFonts w:ascii="Century Gothic" w:hAnsi="Century Gothic"/>
          <w:sz w:val="20"/>
          <w:szCs w:val="20"/>
        </w:rPr>
        <w:t>.</w:t>
      </w:r>
      <w:r w:rsidRPr="00B6164D">
        <w:rPr>
          <w:rFonts w:ascii="Century Gothic" w:hAnsi="Century Gothic"/>
          <w:sz w:val="20"/>
          <w:szCs w:val="20"/>
        </w:rPr>
        <w:t xml:space="preserve"> skilling aboriginal teacher Assistant</w:t>
      </w:r>
      <w:r>
        <w:rPr>
          <w:rFonts w:ascii="Century Gothic" w:hAnsi="Century Gothic"/>
          <w:sz w:val="20"/>
          <w:szCs w:val="20"/>
        </w:rPr>
        <w:t>s</w:t>
      </w:r>
      <w:r w:rsidR="009617E9">
        <w:rPr>
          <w:rFonts w:ascii="Century Gothic" w:hAnsi="Century Gothic"/>
          <w:sz w:val="20"/>
          <w:szCs w:val="20"/>
        </w:rPr>
        <w:t>.</w:t>
      </w:r>
    </w:p>
    <w:p w14:paraId="2F8ABB06" w14:textId="77777777" w:rsidR="00DC4448" w:rsidRPr="00027DD6" w:rsidRDefault="00DC4448" w:rsidP="005621A8">
      <w:pPr>
        <w:pStyle w:val="Heading3"/>
        <w:spacing w:before="120"/>
      </w:pPr>
      <w:bookmarkStart w:id="307" w:name="_Toc472261323"/>
      <w:bookmarkStart w:id="308" w:name="_Toc472262666"/>
      <w:bookmarkStart w:id="309" w:name="_Toc472263048"/>
      <w:bookmarkStart w:id="310" w:name="_Toc472263198"/>
      <w:bookmarkStart w:id="311" w:name="_Toc472263349"/>
      <w:bookmarkStart w:id="312" w:name="_Toc346124036"/>
      <w:r w:rsidRPr="00027DD6">
        <w:t>Funding – how used?</w:t>
      </w:r>
      <w:bookmarkEnd w:id="307"/>
      <w:bookmarkEnd w:id="308"/>
      <w:bookmarkEnd w:id="309"/>
      <w:bookmarkEnd w:id="310"/>
      <w:bookmarkEnd w:id="311"/>
      <w:bookmarkEnd w:id="312"/>
      <w:r w:rsidRPr="00027DD6">
        <w:t xml:space="preserve"> </w:t>
      </w:r>
    </w:p>
    <w:p w14:paraId="7835A739" w14:textId="05DC5551" w:rsidR="00DC4448" w:rsidRPr="002B10E5" w:rsidRDefault="00DC4448" w:rsidP="006A1D2B">
      <w:pPr>
        <w:pStyle w:val="ListParagraph"/>
        <w:numPr>
          <w:ilvl w:val="0"/>
          <w:numId w:val="18"/>
        </w:numPr>
        <w:spacing w:after="200" w:line="276" w:lineRule="auto"/>
        <w:ind w:right="-340"/>
      </w:pPr>
      <w:r>
        <w:rPr>
          <w:rFonts w:ascii="Century Gothic" w:hAnsi="Century Gothic"/>
          <w:sz w:val="20"/>
          <w:szCs w:val="20"/>
        </w:rPr>
        <w:t xml:space="preserve">Explicit use of </w:t>
      </w:r>
      <w:r w:rsidR="009617E9">
        <w:rPr>
          <w:rFonts w:ascii="Century Gothic" w:hAnsi="Century Gothic"/>
          <w:sz w:val="20"/>
          <w:szCs w:val="20"/>
        </w:rPr>
        <w:t xml:space="preserve">system co-investment for most </w:t>
      </w:r>
      <w:r>
        <w:rPr>
          <w:rFonts w:ascii="Century Gothic" w:hAnsi="Century Gothic"/>
          <w:sz w:val="20"/>
          <w:szCs w:val="20"/>
        </w:rPr>
        <w:t>programs; SFSF partly funds consultants and some teache</w:t>
      </w:r>
      <w:r w:rsidR="009617E9">
        <w:rPr>
          <w:rFonts w:ascii="Century Gothic" w:hAnsi="Century Gothic"/>
          <w:sz w:val="20"/>
          <w:szCs w:val="20"/>
        </w:rPr>
        <w:t>r relief and workshop delivery.</w:t>
      </w:r>
    </w:p>
    <w:p w14:paraId="3D5D31F0" w14:textId="69CD56FB" w:rsidR="00DC4448" w:rsidRPr="00567084" w:rsidRDefault="00DC4448" w:rsidP="005621A8">
      <w:pPr>
        <w:pStyle w:val="ListParagraph"/>
        <w:numPr>
          <w:ilvl w:val="0"/>
          <w:numId w:val="18"/>
        </w:numPr>
        <w:spacing w:after="120" w:line="276" w:lineRule="auto"/>
        <w:ind w:left="714" w:right="-340" w:hanging="357"/>
      </w:pPr>
      <w:r>
        <w:rPr>
          <w:rFonts w:ascii="Century Gothic" w:hAnsi="Century Gothic"/>
          <w:sz w:val="20"/>
          <w:szCs w:val="20"/>
        </w:rPr>
        <w:t>Quality teaching is the priority funded area foll</w:t>
      </w:r>
      <w:r w:rsidR="009617E9">
        <w:rPr>
          <w:rFonts w:ascii="Century Gothic" w:hAnsi="Century Gothic"/>
          <w:sz w:val="20"/>
          <w:szCs w:val="20"/>
        </w:rPr>
        <w:t>owed by meeting student needs.</w:t>
      </w:r>
    </w:p>
    <w:p w14:paraId="3B51A42C" w14:textId="5AA57C08" w:rsidR="00DC4448" w:rsidRPr="00027DD6" w:rsidRDefault="00DC4448" w:rsidP="005621A8">
      <w:pPr>
        <w:pStyle w:val="Heading3"/>
        <w:spacing w:before="120"/>
      </w:pPr>
      <w:bookmarkStart w:id="313" w:name="_Toc472261324"/>
      <w:bookmarkStart w:id="314" w:name="_Toc472262667"/>
      <w:bookmarkStart w:id="315" w:name="_Toc472263049"/>
      <w:bookmarkStart w:id="316" w:name="_Toc472263199"/>
      <w:bookmarkStart w:id="317" w:name="_Toc472263350"/>
      <w:bookmarkStart w:id="318" w:name="_Toc346124037"/>
      <w:r w:rsidRPr="00027DD6">
        <w:t>Monitoring success</w:t>
      </w:r>
      <w:bookmarkEnd w:id="313"/>
      <w:bookmarkEnd w:id="314"/>
      <w:bookmarkEnd w:id="315"/>
      <w:bookmarkEnd w:id="316"/>
      <w:bookmarkEnd w:id="317"/>
      <w:bookmarkEnd w:id="318"/>
    </w:p>
    <w:p w14:paraId="4613F99C" w14:textId="5633EAA0" w:rsidR="00DC4448" w:rsidRDefault="009617E9" w:rsidP="006A1D2B">
      <w:pPr>
        <w:pStyle w:val="ListParagraph"/>
        <w:numPr>
          <w:ilvl w:val="0"/>
          <w:numId w:val="18"/>
        </w:numPr>
        <w:spacing w:line="276" w:lineRule="auto"/>
        <w:ind w:right="-340"/>
        <w:rPr>
          <w:rFonts w:ascii="Century Gothic" w:hAnsi="Century Gothic"/>
          <w:sz w:val="20"/>
          <w:szCs w:val="20"/>
        </w:rPr>
      </w:pPr>
      <w:r>
        <w:rPr>
          <w:rFonts w:ascii="Century Gothic" w:hAnsi="Century Gothic"/>
          <w:sz w:val="20"/>
          <w:szCs w:val="20"/>
        </w:rPr>
        <w:t xml:space="preserve">Clear specification </w:t>
      </w:r>
      <w:r w:rsidR="00DC4448">
        <w:rPr>
          <w:rFonts w:ascii="Century Gothic" w:hAnsi="Century Gothic"/>
          <w:sz w:val="20"/>
          <w:szCs w:val="20"/>
        </w:rPr>
        <w:t>of success indicators for initiatives- Evaluations being conducted for majo</w:t>
      </w:r>
      <w:r w:rsidR="005621A8">
        <w:rPr>
          <w:rFonts w:ascii="Century Gothic" w:hAnsi="Century Gothic"/>
          <w:sz w:val="20"/>
          <w:szCs w:val="20"/>
        </w:rPr>
        <w:t xml:space="preserve">r initiatives Close monitoring </w:t>
      </w:r>
      <w:r w:rsidR="00DC4448">
        <w:rPr>
          <w:rFonts w:ascii="Century Gothic" w:hAnsi="Century Gothic"/>
          <w:sz w:val="20"/>
          <w:szCs w:val="20"/>
        </w:rPr>
        <w:t>of activity and engagement levels t</w:t>
      </w:r>
      <w:r w:rsidR="00DC4448" w:rsidRPr="007C6EDB">
        <w:rPr>
          <w:rFonts w:ascii="Century Gothic" w:hAnsi="Century Gothic"/>
          <w:sz w:val="20"/>
          <w:szCs w:val="20"/>
        </w:rPr>
        <w:t xml:space="preserve">ake </w:t>
      </w:r>
      <w:r>
        <w:rPr>
          <w:rFonts w:ascii="Century Gothic" w:hAnsi="Century Gothic"/>
          <w:sz w:val="20"/>
          <w:szCs w:val="20"/>
        </w:rPr>
        <w:t>up – mostly exceeded</w:t>
      </w:r>
    </w:p>
    <w:p w14:paraId="075BB668" w14:textId="77777777" w:rsidR="00DC4448" w:rsidRPr="00027DD6" w:rsidRDefault="00DC4448" w:rsidP="005621A8">
      <w:pPr>
        <w:pStyle w:val="Heading3"/>
        <w:spacing w:before="120"/>
      </w:pPr>
      <w:bookmarkStart w:id="319" w:name="_Toc472261325"/>
      <w:bookmarkStart w:id="320" w:name="_Toc472262668"/>
      <w:bookmarkStart w:id="321" w:name="_Toc472263050"/>
      <w:bookmarkStart w:id="322" w:name="_Toc472263200"/>
      <w:bookmarkStart w:id="323" w:name="_Toc472263351"/>
      <w:bookmarkStart w:id="324" w:name="_Toc346124038"/>
      <w:r w:rsidRPr="00027DD6">
        <w:t>Issues and implications</w:t>
      </w:r>
      <w:bookmarkEnd w:id="319"/>
      <w:bookmarkEnd w:id="320"/>
      <w:bookmarkEnd w:id="321"/>
      <w:bookmarkEnd w:id="322"/>
      <w:bookmarkEnd w:id="323"/>
      <w:bookmarkEnd w:id="324"/>
    </w:p>
    <w:p w14:paraId="64717A5D" w14:textId="77777777" w:rsidR="00DC4448" w:rsidRDefault="00DC4448" w:rsidP="00DC4448">
      <w:pPr>
        <w:rPr>
          <w:rFonts w:ascii="Century Gothic" w:hAnsi="Century Gothic"/>
          <w:sz w:val="20"/>
          <w:szCs w:val="20"/>
        </w:rPr>
      </w:pPr>
      <w:r>
        <w:rPr>
          <w:rFonts w:ascii="Century Gothic" w:hAnsi="Century Gothic"/>
          <w:sz w:val="20"/>
          <w:szCs w:val="20"/>
        </w:rPr>
        <w:t>They h</w:t>
      </w:r>
      <w:r w:rsidRPr="00995DD5">
        <w:rPr>
          <w:rFonts w:ascii="Century Gothic" w:hAnsi="Century Gothic"/>
          <w:sz w:val="20"/>
          <w:szCs w:val="20"/>
        </w:rPr>
        <w:t xml:space="preserve">ave had </w:t>
      </w:r>
      <w:r>
        <w:rPr>
          <w:rFonts w:ascii="Century Gothic" w:hAnsi="Century Gothic"/>
          <w:sz w:val="20"/>
          <w:szCs w:val="20"/>
        </w:rPr>
        <w:t>to make transition from the focus on National Partnership activities to SFSF. Priority is now to build capacity of the organisation to provide superior support for schools; have to avoid just re-inventing the wheel because priorities change.  They would welcome a sharper set of priorities e.g. STEM or using NAPLAN on demand.</w:t>
      </w: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Tasmanian Independent NGRB."/>
      </w:tblPr>
      <w:tblGrid>
        <w:gridCol w:w="3777"/>
        <w:gridCol w:w="1009"/>
        <w:gridCol w:w="1285"/>
        <w:gridCol w:w="1325"/>
        <w:gridCol w:w="1296"/>
      </w:tblGrid>
      <w:tr w:rsidR="00DC4448" w:rsidRPr="00E4618A" w14:paraId="75C12513" w14:textId="77777777" w:rsidTr="002C6ABD">
        <w:tc>
          <w:tcPr>
            <w:tcW w:w="3777" w:type="dxa"/>
            <w:vMerge w:val="restart"/>
            <w:tcBorders>
              <w:top w:val="nil"/>
              <w:left w:val="nil"/>
              <w:bottom w:val="nil"/>
              <w:right w:val="single" w:sz="4" w:space="0" w:color="auto"/>
            </w:tcBorders>
            <w:shd w:val="clear" w:color="auto" w:fill="auto"/>
          </w:tcPr>
          <w:p w14:paraId="70701FAB" w14:textId="77777777" w:rsidR="00DC4448" w:rsidRPr="00870B9B" w:rsidRDefault="00DC4448" w:rsidP="005621A8">
            <w:pPr>
              <w:pStyle w:val="Heading2"/>
              <w:spacing w:before="0" w:after="0"/>
            </w:pPr>
            <w:bookmarkStart w:id="325" w:name="_Toc472261326"/>
            <w:bookmarkStart w:id="326" w:name="_Toc472262669"/>
            <w:bookmarkStart w:id="327" w:name="_Toc472263051"/>
            <w:bookmarkStart w:id="328" w:name="_Toc472263201"/>
            <w:bookmarkStart w:id="329" w:name="_Toc472263352"/>
            <w:bookmarkStart w:id="330" w:name="_Toc346124039"/>
            <w:r w:rsidRPr="005621A8">
              <w:rPr>
                <w:sz w:val="24"/>
              </w:rPr>
              <w:t>Tasmania Independents</w:t>
            </w:r>
            <w:bookmarkEnd w:id="325"/>
            <w:bookmarkEnd w:id="326"/>
            <w:bookmarkEnd w:id="327"/>
            <w:bookmarkEnd w:id="328"/>
            <w:bookmarkEnd w:id="329"/>
            <w:bookmarkEnd w:id="330"/>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7BD3D1" w14:textId="77777777" w:rsidR="00DC4448" w:rsidRPr="00E4618A" w:rsidRDefault="00DC4448" w:rsidP="002C6ABD">
            <w:pPr>
              <w:ind w:right="-340"/>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79B398"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EBB0AD"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E5AA40" w14:textId="77777777" w:rsidR="00DC4448" w:rsidRPr="00E4618A" w:rsidRDefault="00DC4448" w:rsidP="002C6ABD">
            <w:pPr>
              <w:ind w:right="-340"/>
              <w:jc w:val="center"/>
              <w:rPr>
                <w:sz w:val="16"/>
                <w:szCs w:val="16"/>
              </w:rPr>
            </w:pPr>
            <w:r>
              <w:rPr>
                <w:sz w:val="16"/>
                <w:szCs w:val="16"/>
              </w:rPr>
              <w:t>SFSF $</w:t>
            </w:r>
          </w:p>
        </w:tc>
      </w:tr>
      <w:tr w:rsidR="00DC4448" w:rsidRPr="004E2552" w14:paraId="229F2FFB" w14:textId="77777777" w:rsidTr="002C6ABD">
        <w:tc>
          <w:tcPr>
            <w:tcW w:w="3777" w:type="dxa"/>
            <w:vMerge/>
            <w:tcBorders>
              <w:left w:val="nil"/>
              <w:bottom w:val="nil"/>
              <w:right w:val="single" w:sz="4" w:space="0" w:color="auto"/>
            </w:tcBorders>
            <w:shd w:val="clear" w:color="auto" w:fill="auto"/>
          </w:tcPr>
          <w:p w14:paraId="0DB84337"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70F74B73"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27 </w:t>
            </w:r>
          </w:p>
        </w:tc>
        <w:tc>
          <w:tcPr>
            <w:tcW w:w="1285" w:type="dxa"/>
            <w:tcBorders>
              <w:top w:val="single" w:sz="4" w:space="0" w:color="auto"/>
              <w:left w:val="single" w:sz="4" w:space="0" w:color="auto"/>
              <w:bottom w:val="single" w:sz="4" w:space="0" w:color="auto"/>
              <w:right w:val="single" w:sz="4" w:space="0" w:color="auto"/>
            </w:tcBorders>
            <w:vAlign w:val="bottom"/>
          </w:tcPr>
          <w:p w14:paraId="5A167D00"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9,210.20 </w:t>
            </w:r>
          </w:p>
        </w:tc>
        <w:tc>
          <w:tcPr>
            <w:tcW w:w="1325" w:type="dxa"/>
            <w:tcBorders>
              <w:top w:val="single" w:sz="4" w:space="0" w:color="auto"/>
              <w:left w:val="single" w:sz="4" w:space="0" w:color="auto"/>
              <w:bottom w:val="single" w:sz="4" w:space="0" w:color="auto"/>
              <w:right w:val="single" w:sz="4" w:space="0" w:color="auto"/>
            </w:tcBorders>
            <w:vAlign w:val="bottom"/>
          </w:tcPr>
          <w:p w14:paraId="2BC65D5D"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851.0 </w:t>
            </w:r>
          </w:p>
        </w:tc>
        <w:tc>
          <w:tcPr>
            <w:tcW w:w="1296" w:type="dxa"/>
            <w:tcBorders>
              <w:top w:val="single" w:sz="4" w:space="0" w:color="auto"/>
              <w:left w:val="single" w:sz="4" w:space="0" w:color="auto"/>
              <w:bottom w:val="single" w:sz="4" w:space="0" w:color="auto"/>
              <w:right w:val="single" w:sz="4" w:space="0" w:color="auto"/>
            </w:tcBorders>
            <w:vAlign w:val="bottom"/>
          </w:tcPr>
          <w:p w14:paraId="73F895FE"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$640,380</w:t>
            </w:r>
          </w:p>
        </w:tc>
      </w:tr>
    </w:tbl>
    <w:p w14:paraId="500069A7" w14:textId="77777777" w:rsidR="00DC4448" w:rsidRPr="005621A8" w:rsidRDefault="00DC4448" w:rsidP="005621A8">
      <w:pPr>
        <w:pStyle w:val="Heading3"/>
        <w:spacing w:before="120"/>
        <w:rPr>
          <w:rStyle w:val="IntenseEmphasis"/>
          <w:b/>
          <w:bCs/>
          <w:i w:val="0"/>
          <w:iCs w:val="0"/>
        </w:rPr>
      </w:pPr>
      <w:bookmarkStart w:id="331" w:name="_Toc472261327"/>
      <w:bookmarkStart w:id="332" w:name="_Toc472262670"/>
      <w:bookmarkStart w:id="333" w:name="_Toc472263052"/>
      <w:bookmarkStart w:id="334" w:name="_Toc472263202"/>
      <w:bookmarkStart w:id="335" w:name="_Toc472263353"/>
      <w:bookmarkStart w:id="336" w:name="_Toc346124040"/>
      <w:r w:rsidRPr="005621A8">
        <w:rPr>
          <w:rStyle w:val="IntenseEmphasis"/>
          <w:b/>
          <w:bCs/>
          <w:i w:val="0"/>
          <w:iCs w:val="0"/>
        </w:rPr>
        <w:t>Key Features of Approach</w:t>
      </w:r>
      <w:bookmarkEnd w:id="331"/>
      <w:bookmarkEnd w:id="332"/>
      <w:bookmarkEnd w:id="333"/>
      <w:bookmarkEnd w:id="334"/>
      <w:bookmarkEnd w:id="335"/>
      <w:bookmarkEnd w:id="336"/>
    </w:p>
    <w:p w14:paraId="3AE211B9" w14:textId="77777777" w:rsidR="00DC4448" w:rsidRPr="00EF5EE3"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Reviewed previous initiatives such as </w:t>
      </w:r>
      <w:r w:rsidRPr="006618EF">
        <w:rPr>
          <w:rFonts w:ascii="Century Gothic" w:eastAsiaTheme="minorHAnsi" w:hAnsi="Century Gothic"/>
          <w:sz w:val="20"/>
          <w:szCs w:val="20"/>
          <w:lang w:val="en-AU"/>
        </w:rPr>
        <w:t xml:space="preserve">Targeted Programs, Literacy and Numeracy, Special Learning Needs </w:t>
      </w:r>
      <w:r>
        <w:rPr>
          <w:rFonts w:ascii="Century Gothic" w:eastAsiaTheme="minorHAnsi" w:hAnsi="Century Gothic"/>
          <w:sz w:val="20"/>
          <w:szCs w:val="20"/>
          <w:lang w:val="en-AU"/>
        </w:rPr>
        <w:t xml:space="preserve">programs </w:t>
      </w:r>
      <w:r w:rsidRPr="006618EF">
        <w:rPr>
          <w:rFonts w:ascii="Century Gothic" w:eastAsiaTheme="minorHAnsi" w:hAnsi="Century Gothic"/>
          <w:sz w:val="20"/>
          <w:szCs w:val="20"/>
          <w:lang w:val="en-AU"/>
        </w:rPr>
        <w:t xml:space="preserve">and </w:t>
      </w:r>
      <w:r>
        <w:rPr>
          <w:rFonts w:ascii="Century Gothic" w:eastAsiaTheme="minorHAnsi" w:hAnsi="Century Gothic"/>
          <w:sz w:val="20"/>
          <w:szCs w:val="20"/>
          <w:lang w:val="en-AU"/>
        </w:rPr>
        <w:t>developed an approach to SFSF</w:t>
      </w:r>
      <w:r w:rsidRPr="006618EF">
        <w:rPr>
          <w:rFonts w:ascii="Century Gothic" w:eastAsiaTheme="minorHAnsi" w:hAnsi="Century Gothic"/>
          <w:sz w:val="20"/>
          <w:szCs w:val="20"/>
          <w:lang w:val="en-AU"/>
        </w:rPr>
        <w:t xml:space="preserve"> in consultation with their schools</w:t>
      </w:r>
    </w:p>
    <w:p w14:paraId="0DCEA8D2" w14:textId="77777777" w:rsidR="00DC4448" w:rsidRPr="00A60DA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SFSF</w:t>
      </w:r>
      <w:r w:rsidRPr="00962EFE">
        <w:rPr>
          <w:rFonts w:ascii="Century Gothic" w:eastAsiaTheme="minorHAnsi" w:hAnsi="Century Gothic"/>
          <w:sz w:val="20"/>
          <w:szCs w:val="20"/>
          <w:lang w:val="en-AU"/>
        </w:rPr>
        <w:t xml:space="preserve"> effort is focused on school specific programs with </w:t>
      </w:r>
      <w:r>
        <w:rPr>
          <w:rFonts w:ascii="Century Gothic" w:eastAsiaTheme="minorHAnsi" w:hAnsi="Century Gothic"/>
          <w:sz w:val="20"/>
          <w:szCs w:val="20"/>
          <w:lang w:val="en-AU"/>
        </w:rPr>
        <w:t>officers</w:t>
      </w:r>
      <w:r w:rsidRPr="00962EFE">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working</w:t>
      </w:r>
      <w:r w:rsidRPr="00962EFE">
        <w:rPr>
          <w:rFonts w:ascii="Century Gothic" w:eastAsiaTheme="minorHAnsi" w:hAnsi="Century Gothic"/>
          <w:sz w:val="20"/>
          <w:szCs w:val="20"/>
          <w:lang w:val="en-AU"/>
        </w:rPr>
        <w:t xml:space="preserve"> with schools </w:t>
      </w:r>
      <w:r>
        <w:rPr>
          <w:rFonts w:ascii="Century Gothic" w:eastAsiaTheme="minorHAnsi" w:hAnsi="Century Gothic"/>
          <w:sz w:val="20"/>
          <w:szCs w:val="20"/>
          <w:lang w:val="en-AU"/>
        </w:rPr>
        <w:t>on</w:t>
      </w:r>
      <w:r w:rsidRPr="00962EFE">
        <w:rPr>
          <w:rFonts w:ascii="Century Gothic" w:eastAsiaTheme="minorHAnsi" w:hAnsi="Century Gothic"/>
          <w:sz w:val="20"/>
          <w:szCs w:val="20"/>
          <w:lang w:val="en-AU"/>
        </w:rPr>
        <w:t xml:space="preserve"> a needs- based assessment and plan</w:t>
      </w:r>
      <w:r>
        <w:rPr>
          <w:rFonts w:ascii="Century Gothic" w:eastAsiaTheme="minorHAnsi" w:hAnsi="Century Gothic"/>
          <w:sz w:val="20"/>
          <w:szCs w:val="20"/>
          <w:lang w:val="en-AU"/>
        </w:rPr>
        <w:t>ning</w:t>
      </w:r>
      <w:r w:rsidRPr="00962EFE">
        <w:rPr>
          <w:rFonts w:ascii="Century Gothic" w:eastAsiaTheme="minorHAnsi" w:hAnsi="Century Gothic"/>
          <w:sz w:val="20"/>
          <w:szCs w:val="20"/>
          <w:lang w:val="en-AU"/>
        </w:rPr>
        <w:t xml:space="preserve"> the</w:t>
      </w:r>
      <w:r>
        <w:rPr>
          <w:rFonts w:ascii="Century Gothic" w:eastAsiaTheme="minorHAnsi" w:hAnsi="Century Gothic"/>
          <w:sz w:val="20"/>
          <w:szCs w:val="20"/>
          <w:lang w:val="en-AU"/>
        </w:rPr>
        <w:t xml:space="preserve"> offering suited to that school taking into account– cultural, location, SES,</w:t>
      </w:r>
      <w:r w:rsidRPr="006618EF">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educational needs.</w:t>
      </w:r>
    </w:p>
    <w:p w14:paraId="4C2F461F" w14:textId="77777777" w:rsidR="00DC4448" w:rsidRPr="007140D6" w:rsidRDefault="00DC4448" w:rsidP="005621A8">
      <w:pPr>
        <w:pStyle w:val="Heading3"/>
        <w:spacing w:before="120"/>
      </w:pPr>
      <w:bookmarkStart w:id="337" w:name="_Toc472261328"/>
      <w:bookmarkStart w:id="338" w:name="_Toc472262671"/>
      <w:bookmarkStart w:id="339" w:name="_Toc472263053"/>
      <w:bookmarkStart w:id="340" w:name="_Toc472263203"/>
      <w:bookmarkStart w:id="341" w:name="_Toc472263354"/>
      <w:r w:rsidRPr="007140D6">
        <w:t>Predominant Modes of Delivery</w:t>
      </w:r>
      <w:bookmarkEnd w:id="337"/>
      <w:bookmarkEnd w:id="338"/>
      <w:bookmarkEnd w:id="339"/>
      <w:bookmarkEnd w:id="340"/>
      <w:bookmarkEnd w:id="341"/>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Coaching and mentoring services, Resource provision, and Support and advice.&#10;"/>
      </w:tblPr>
      <w:tblGrid>
        <w:gridCol w:w="3652"/>
        <w:gridCol w:w="850"/>
      </w:tblGrid>
      <w:tr w:rsidR="003E5526" w14:paraId="4C2BB968" w14:textId="77777777" w:rsidTr="003E5526">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A1F831" w14:textId="77777777" w:rsidR="003E5526" w:rsidRPr="00E4618A" w:rsidRDefault="003E5526"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BB3CF9" w14:textId="79C26987" w:rsidR="003E5526" w:rsidRPr="00E4618A" w:rsidRDefault="003E5526" w:rsidP="003E5526">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3E5526" w:rsidRPr="00C453CD" w14:paraId="41BB80E3" w14:textId="77777777" w:rsidTr="003E5526">
        <w:tc>
          <w:tcPr>
            <w:tcW w:w="3652" w:type="dxa"/>
            <w:tcBorders>
              <w:top w:val="single" w:sz="4" w:space="0" w:color="auto"/>
              <w:left w:val="single" w:sz="4" w:space="0" w:color="auto"/>
              <w:bottom w:val="single" w:sz="4" w:space="0" w:color="auto"/>
              <w:right w:val="single" w:sz="4" w:space="0" w:color="auto"/>
            </w:tcBorders>
          </w:tcPr>
          <w:p w14:paraId="4474A61E" w14:textId="77777777" w:rsidR="003E5526" w:rsidRPr="00C453CD" w:rsidRDefault="003E5526" w:rsidP="002C6ABD">
            <w:pPr>
              <w:spacing w:before="100" w:beforeAutospacing="1" w:after="120"/>
              <w:ind w:right="-340"/>
              <w:rPr>
                <w:rFonts w:cs="Times New Roman"/>
                <w:i/>
                <w:iCs/>
                <w:sz w:val="15"/>
                <w:szCs w:val="15"/>
              </w:rPr>
            </w:pPr>
            <w:r w:rsidRPr="00C453CD">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4A15B6D9" w14:textId="3F490CDD"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1B1217D3" w14:textId="77777777" w:rsidTr="003E5526">
        <w:tc>
          <w:tcPr>
            <w:tcW w:w="3652" w:type="dxa"/>
            <w:tcBorders>
              <w:top w:val="single" w:sz="4" w:space="0" w:color="auto"/>
              <w:left w:val="single" w:sz="4" w:space="0" w:color="auto"/>
              <w:bottom w:val="single" w:sz="4" w:space="0" w:color="auto"/>
              <w:right w:val="single" w:sz="4" w:space="0" w:color="auto"/>
            </w:tcBorders>
            <w:vAlign w:val="center"/>
          </w:tcPr>
          <w:p w14:paraId="514C5A55" w14:textId="77777777" w:rsidR="003E5526" w:rsidRPr="00C453CD" w:rsidRDefault="003E5526" w:rsidP="002C6ABD">
            <w:pPr>
              <w:spacing w:before="100" w:beforeAutospacing="1" w:after="120"/>
              <w:ind w:right="-340"/>
              <w:rPr>
                <w:rFonts w:cs="Times New Roman"/>
                <w:i/>
                <w:iCs/>
                <w:sz w:val="15"/>
                <w:szCs w:val="15"/>
              </w:rPr>
            </w:pPr>
            <w:r w:rsidRPr="00C453CD">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tcPr>
          <w:p w14:paraId="79324EDC" w14:textId="020A89BA"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71BF5B90" w14:textId="77777777" w:rsidTr="003E5526">
        <w:tc>
          <w:tcPr>
            <w:tcW w:w="3652" w:type="dxa"/>
            <w:tcBorders>
              <w:top w:val="single" w:sz="4" w:space="0" w:color="auto"/>
              <w:left w:val="single" w:sz="4" w:space="0" w:color="auto"/>
              <w:bottom w:val="single" w:sz="4" w:space="0" w:color="auto"/>
              <w:right w:val="single" w:sz="4" w:space="0" w:color="auto"/>
            </w:tcBorders>
          </w:tcPr>
          <w:p w14:paraId="2028B12D" w14:textId="77777777" w:rsidR="003E5526" w:rsidRPr="00C453CD" w:rsidRDefault="003E5526" w:rsidP="002C6ABD">
            <w:pPr>
              <w:spacing w:before="100" w:beforeAutospacing="1" w:after="120"/>
              <w:ind w:right="-340"/>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5421D5AD" w14:textId="134269F0"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3B4E9776" w14:textId="77777777" w:rsidTr="003E5526">
        <w:tc>
          <w:tcPr>
            <w:tcW w:w="3652" w:type="dxa"/>
            <w:tcBorders>
              <w:top w:val="single" w:sz="4" w:space="0" w:color="auto"/>
              <w:left w:val="single" w:sz="4" w:space="0" w:color="auto"/>
              <w:bottom w:val="single" w:sz="4" w:space="0" w:color="auto"/>
              <w:right w:val="single" w:sz="4" w:space="0" w:color="auto"/>
            </w:tcBorders>
          </w:tcPr>
          <w:p w14:paraId="55289581" w14:textId="77777777" w:rsidR="003E5526" w:rsidRPr="00C453CD" w:rsidRDefault="003E5526" w:rsidP="002C6ABD">
            <w:pPr>
              <w:spacing w:before="100" w:beforeAutospacing="1" w:after="120"/>
              <w:ind w:right="-340"/>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10FC48D0" w14:textId="0B61D641"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3E5526" w:rsidRPr="00C453CD" w14:paraId="402A2F3A" w14:textId="77777777" w:rsidTr="003E5526">
        <w:tc>
          <w:tcPr>
            <w:tcW w:w="3652" w:type="dxa"/>
            <w:tcBorders>
              <w:top w:val="single" w:sz="4" w:space="0" w:color="auto"/>
              <w:left w:val="single" w:sz="4" w:space="0" w:color="auto"/>
              <w:bottom w:val="single" w:sz="4" w:space="0" w:color="auto"/>
              <w:right w:val="single" w:sz="4" w:space="0" w:color="auto"/>
            </w:tcBorders>
            <w:vAlign w:val="center"/>
          </w:tcPr>
          <w:p w14:paraId="511566B4" w14:textId="77777777" w:rsidR="003E5526" w:rsidRPr="00C453CD" w:rsidRDefault="003E5526" w:rsidP="002C6ABD">
            <w:pPr>
              <w:spacing w:before="100" w:beforeAutospacing="1" w:after="120"/>
              <w:ind w:right="-340"/>
              <w:rPr>
                <w:rFonts w:cs="Times New Roman"/>
                <w:i/>
                <w:iCs/>
                <w:sz w:val="15"/>
                <w:szCs w:val="15"/>
              </w:rPr>
            </w:pPr>
            <w:r w:rsidRPr="00C453CD">
              <w:rPr>
                <w:rFonts w:cs="Times New Roman"/>
                <w:i/>
                <w:iCs/>
                <w:sz w:val="15"/>
                <w:szCs w:val="15"/>
              </w:rPr>
              <w:t xml:space="preserve">Resource provision </w:t>
            </w:r>
          </w:p>
        </w:tc>
        <w:tc>
          <w:tcPr>
            <w:tcW w:w="850" w:type="dxa"/>
            <w:tcBorders>
              <w:top w:val="single" w:sz="4" w:space="0" w:color="auto"/>
              <w:left w:val="single" w:sz="4" w:space="0" w:color="auto"/>
              <w:bottom w:val="single" w:sz="4" w:space="0" w:color="auto"/>
              <w:right w:val="single" w:sz="4" w:space="0" w:color="auto"/>
            </w:tcBorders>
          </w:tcPr>
          <w:p w14:paraId="3D11E341" w14:textId="4AC099D5"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1016278A" w14:textId="77777777" w:rsidTr="003E5526">
        <w:tc>
          <w:tcPr>
            <w:tcW w:w="3652" w:type="dxa"/>
            <w:tcBorders>
              <w:top w:val="single" w:sz="4" w:space="0" w:color="auto"/>
              <w:left w:val="single" w:sz="4" w:space="0" w:color="auto"/>
              <w:bottom w:val="single" w:sz="4" w:space="0" w:color="auto"/>
              <w:right w:val="single" w:sz="4" w:space="0" w:color="auto"/>
            </w:tcBorders>
          </w:tcPr>
          <w:p w14:paraId="6BA430F7" w14:textId="3911C112" w:rsidR="003E5526" w:rsidRPr="00C453CD" w:rsidRDefault="003E5526" w:rsidP="003E5526">
            <w:pPr>
              <w:spacing w:before="100" w:beforeAutospacing="1" w:after="120"/>
              <w:ind w:right="-340"/>
              <w:rPr>
                <w:rFonts w:cs="Times New Roman"/>
                <w:i/>
                <w:iCs/>
                <w:sz w:val="15"/>
                <w:szCs w:val="15"/>
              </w:rPr>
            </w:pPr>
            <w:r w:rsidRPr="00C453CD">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14F752D1" w14:textId="7928A089" w:rsidR="003E5526" w:rsidRPr="00AC7F0C" w:rsidRDefault="003E5526" w:rsidP="003E5526">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3E5526" w:rsidRPr="00C453CD" w14:paraId="613E4B7A" w14:textId="77777777" w:rsidTr="003E5526">
        <w:tc>
          <w:tcPr>
            <w:tcW w:w="3652" w:type="dxa"/>
            <w:tcBorders>
              <w:top w:val="single" w:sz="4" w:space="0" w:color="auto"/>
              <w:left w:val="single" w:sz="4" w:space="0" w:color="auto"/>
              <w:bottom w:val="single" w:sz="4" w:space="0" w:color="auto"/>
              <w:right w:val="single" w:sz="4" w:space="0" w:color="auto"/>
            </w:tcBorders>
          </w:tcPr>
          <w:p w14:paraId="3CF794ED" w14:textId="26A38F2C" w:rsidR="003E5526" w:rsidRPr="00C453CD" w:rsidRDefault="003E5526" w:rsidP="003E5526">
            <w:pPr>
              <w:spacing w:before="100" w:beforeAutospacing="1" w:after="120"/>
              <w:ind w:right="-340"/>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01191FFE" w14:textId="6BB857EF" w:rsidR="003E5526" w:rsidRPr="00AC7F0C" w:rsidRDefault="003E5526" w:rsidP="003E5526">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r w:rsidR="003E5526" w:rsidRPr="00C453CD" w14:paraId="7B9A424D" w14:textId="77777777" w:rsidTr="003E5526">
        <w:tc>
          <w:tcPr>
            <w:tcW w:w="3652" w:type="dxa"/>
            <w:tcBorders>
              <w:top w:val="single" w:sz="4" w:space="0" w:color="auto"/>
              <w:left w:val="single" w:sz="4" w:space="0" w:color="auto"/>
              <w:bottom w:val="single" w:sz="4" w:space="0" w:color="auto"/>
              <w:right w:val="single" w:sz="4" w:space="0" w:color="auto"/>
            </w:tcBorders>
          </w:tcPr>
          <w:p w14:paraId="2DE28042" w14:textId="1A125A92" w:rsidR="003E5526" w:rsidRPr="00C453CD" w:rsidRDefault="003E5526" w:rsidP="003E5526">
            <w:pPr>
              <w:spacing w:before="100" w:beforeAutospacing="1" w:after="120"/>
              <w:ind w:right="-340"/>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655F1DE5" w14:textId="1338BE52" w:rsidR="003E5526" w:rsidRPr="00AC7F0C" w:rsidRDefault="003E5526" w:rsidP="003E5526">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5DB995EE" w14:textId="77777777" w:rsidTr="003E5526">
        <w:tc>
          <w:tcPr>
            <w:tcW w:w="3652" w:type="dxa"/>
            <w:tcBorders>
              <w:top w:val="single" w:sz="4" w:space="0" w:color="auto"/>
              <w:left w:val="single" w:sz="4" w:space="0" w:color="auto"/>
              <w:bottom w:val="single" w:sz="4" w:space="0" w:color="auto"/>
              <w:right w:val="single" w:sz="4" w:space="0" w:color="auto"/>
            </w:tcBorders>
          </w:tcPr>
          <w:p w14:paraId="67EE7A48" w14:textId="4634E896" w:rsidR="003E5526" w:rsidRPr="00C453CD" w:rsidRDefault="003E5526" w:rsidP="003E5526">
            <w:pPr>
              <w:spacing w:before="100" w:beforeAutospacing="1" w:after="120"/>
              <w:ind w:right="-340"/>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42D6152A" w14:textId="76CBA445" w:rsidR="003E5526" w:rsidRPr="00AC7F0C" w:rsidRDefault="003E5526" w:rsidP="003E5526">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no</w:t>
            </w:r>
          </w:p>
        </w:tc>
      </w:tr>
    </w:tbl>
    <w:p w14:paraId="2D62A3D5" w14:textId="77777777" w:rsidR="00DC4448" w:rsidRPr="00027DD6" w:rsidRDefault="00DC4448" w:rsidP="005621A8">
      <w:pPr>
        <w:pStyle w:val="Heading3"/>
        <w:spacing w:before="120"/>
      </w:pPr>
      <w:bookmarkStart w:id="342" w:name="_Toc472261329"/>
      <w:bookmarkStart w:id="343" w:name="_Toc472262672"/>
      <w:bookmarkStart w:id="344" w:name="_Toc472263054"/>
      <w:bookmarkStart w:id="345" w:name="_Toc472263204"/>
      <w:bookmarkStart w:id="346" w:name="_Toc472263355"/>
      <w:bookmarkStart w:id="347" w:name="_Toc346124041"/>
      <w:r w:rsidRPr="00027DD6">
        <w:t>Sample of Key Programs</w:t>
      </w:r>
      <w:bookmarkEnd w:id="342"/>
      <w:bookmarkEnd w:id="343"/>
      <w:bookmarkEnd w:id="344"/>
      <w:bookmarkEnd w:id="345"/>
      <w:bookmarkEnd w:id="346"/>
      <w:bookmarkEnd w:id="347"/>
    </w:p>
    <w:p w14:paraId="3C33DB1A"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A range of professional learning programs e.g. professional standards for teachers – role of the principal, Australian Curriculum, early years educators</w:t>
      </w:r>
    </w:p>
    <w:p w14:paraId="2C693B2E"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In school programs including Australian Professional Standards for Teachers, National School Improvement Tool and use of data to improve student outcomes</w:t>
      </w:r>
    </w:p>
    <w:p w14:paraId="5C10192B"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W</w:t>
      </w:r>
      <w:r w:rsidRPr="00EF5EE3">
        <w:rPr>
          <w:rFonts w:ascii="Century Gothic" w:eastAsiaTheme="minorHAnsi" w:hAnsi="Century Gothic"/>
          <w:sz w:val="20"/>
          <w:szCs w:val="20"/>
          <w:lang w:val="en-AU"/>
        </w:rPr>
        <w:t>ork on nationally consistent data for SWD where IST support was essential in schools being able to supply high quality assessments according to the national framework compared with other states and sectors.</w:t>
      </w:r>
    </w:p>
    <w:p w14:paraId="70A26F12" w14:textId="77777777" w:rsidR="00DC4448" w:rsidRPr="00AB5F97"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C144F9">
        <w:rPr>
          <w:rFonts w:ascii="Century Gothic" w:eastAsiaTheme="minorHAnsi" w:hAnsi="Century Gothic"/>
          <w:sz w:val="20"/>
          <w:szCs w:val="20"/>
          <w:lang w:val="en-AU"/>
        </w:rPr>
        <w:t>Worked with a cluster of 5 small schools on curriculum development – monthly session with key people from each school whom then work back within that school.</w:t>
      </w:r>
    </w:p>
    <w:p w14:paraId="228BE753" w14:textId="77777777" w:rsidR="00DC4448" w:rsidRPr="00027DD6" w:rsidRDefault="00DC4448" w:rsidP="005621A8">
      <w:pPr>
        <w:pStyle w:val="Heading3"/>
        <w:spacing w:before="120"/>
      </w:pPr>
      <w:bookmarkStart w:id="348" w:name="_Toc472261330"/>
      <w:bookmarkStart w:id="349" w:name="_Toc472262673"/>
      <w:bookmarkStart w:id="350" w:name="_Toc472263055"/>
      <w:bookmarkStart w:id="351" w:name="_Toc472263205"/>
      <w:bookmarkStart w:id="352" w:name="_Toc472263356"/>
      <w:bookmarkStart w:id="353" w:name="_Toc346124042"/>
      <w:r w:rsidRPr="00027DD6">
        <w:t>Funding – how used?</w:t>
      </w:r>
      <w:bookmarkEnd w:id="348"/>
      <w:bookmarkEnd w:id="349"/>
      <w:bookmarkEnd w:id="350"/>
      <w:bookmarkEnd w:id="351"/>
      <w:bookmarkEnd w:id="352"/>
      <w:bookmarkEnd w:id="353"/>
    </w:p>
    <w:p w14:paraId="6C361046" w14:textId="2DCA5C5F" w:rsidR="00DC4448" w:rsidRPr="00C144F9" w:rsidRDefault="00DC4448" w:rsidP="00DC4448">
      <w:pPr>
        <w:spacing w:line="276" w:lineRule="auto"/>
        <w:ind w:left="142" w:right="-340"/>
        <w:jc w:val="both"/>
        <w:rPr>
          <w:rFonts w:ascii="Century Gothic" w:eastAsiaTheme="minorHAnsi" w:hAnsi="Century Gothic"/>
          <w:sz w:val="20"/>
          <w:szCs w:val="20"/>
          <w:lang w:val="en-AU"/>
        </w:rPr>
      </w:pPr>
      <w:r w:rsidRPr="00CD3496">
        <w:rPr>
          <w:rFonts w:ascii="Century Gothic" w:hAnsi="Century Gothic" w:cs="Times New Roman"/>
          <w:sz w:val="20"/>
          <w:szCs w:val="20"/>
        </w:rPr>
        <w:t xml:space="preserve">Funding used </w:t>
      </w:r>
      <w:r w:rsidRPr="00C144F9">
        <w:rPr>
          <w:rFonts w:ascii="Century Gothic" w:eastAsiaTheme="minorHAnsi" w:hAnsi="Century Gothic"/>
          <w:sz w:val="20"/>
          <w:szCs w:val="20"/>
          <w:lang w:val="en-AU"/>
        </w:rPr>
        <w:t xml:space="preserve">to deliver professional learning programs and in school support.  </w:t>
      </w:r>
      <w:r w:rsidR="00C2634B">
        <w:rPr>
          <w:rFonts w:ascii="Century Gothic" w:eastAsiaTheme="minorHAnsi" w:hAnsi="Century Gothic"/>
          <w:sz w:val="20"/>
          <w:szCs w:val="20"/>
          <w:lang w:val="en-AU"/>
        </w:rPr>
        <w:t xml:space="preserve">Funding was also used </w:t>
      </w:r>
      <w:r w:rsidR="00C2634B" w:rsidRPr="00C144F9">
        <w:rPr>
          <w:rFonts w:ascii="Century Gothic" w:eastAsiaTheme="minorHAnsi" w:hAnsi="Century Gothic"/>
          <w:sz w:val="20"/>
          <w:szCs w:val="20"/>
          <w:lang w:val="en-AU"/>
        </w:rPr>
        <w:t xml:space="preserve">to </w:t>
      </w:r>
      <w:r w:rsidR="00C2634B">
        <w:rPr>
          <w:rFonts w:ascii="Century Gothic" w:eastAsiaTheme="minorHAnsi" w:hAnsi="Century Gothic"/>
          <w:sz w:val="20"/>
          <w:szCs w:val="20"/>
          <w:lang w:val="en-AU"/>
        </w:rPr>
        <w:t>support teacher</w:t>
      </w:r>
      <w:r w:rsidR="00C2634B" w:rsidRPr="00C144F9">
        <w:rPr>
          <w:rFonts w:ascii="Century Gothic" w:eastAsiaTheme="minorHAnsi" w:hAnsi="Century Gothic"/>
          <w:sz w:val="20"/>
          <w:szCs w:val="20"/>
          <w:lang w:val="en-AU"/>
        </w:rPr>
        <w:t xml:space="preserve"> release</w:t>
      </w:r>
      <w:r w:rsidR="00C2634B">
        <w:rPr>
          <w:rFonts w:ascii="Century Gothic" w:eastAsiaTheme="minorHAnsi" w:hAnsi="Century Gothic"/>
          <w:sz w:val="20"/>
          <w:szCs w:val="20"/>
          <w:lang w:val="en-AU"/>
        </w:rPr>
        <w:t xml:space="preserve"> and contracting of external expertise.</w:t>
      </w:r>
    </w:p>
    <w:p w14:paraId="711B4550" w14:textId="77777777" w:rsidR="00DC4448" w:rsidRPr="00027DD6" w:rsidRDefault="00DC4448" w:rsidP="005621A8">
      <w:pPr>
        <w:pStyle w:val="Heading3"/>
        <w:spacing w:before="120"/>
      </w:pPr>
      <w:bookmarkStart w:id="354" w:name="_Toc472261331"/>
      <w:bookmarkStart w:id="355" w:name="_Toc472262674"/>
      <w:bookmarkStart w:id="356" w:name="_Toc472263056"/>
      <w:bookmarkStart w:id="357" w:name="_Toc472263206"/>
      <w:bookmarkStart w:id="358" w:name="_Toc472263357"/>
      <w:bookmarkStart w:id="359" w:name="_Toc346124043"/>
      <w:r w:rsidRPr="00027DD6">
        <w:t>Monitoring Success</w:t>
      </w:r>
      <w:bookmarkEnd w:id="354"/>
      <w:bookmarkEnd w:id="355"/>
      <w:bookmarkEnd w:id="356"/>
      <w:bookmarkEnd w:id="357"/>
      <w:bookmarkEnd w:id="358"/>
      <w:bookmarkEnd w:id="359"/>
    </w:p>
    <w:p w14:paraId="3E3EFFE1"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IST assesses both quantitative data – attendance at professional learning, % of school staff at professional learning, NAPLAN data and qualitative data - feedback on professional learning, satisfaction surveys</w:t>
      </w:r>
    </w:p>
    <w:p w14:paraId="11EB3149" w14:textId="77777777" w:rsidR="00DC4448" w:rsidRPr="00C144F9"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Relies on feedback - models</w:t>
      </w:r>
      <w:r w:rsidRPr="00C144F9">
        <w:rPr>
          <w:rFonts w:ascii="Century Gothic" w:eastAsiaTheme="minorHAnsi" w:hAnsi="Century Gothic"/>
          <w:sz w:val="20"/>
          <w:szCs w:val="20"/>
          <w:lang w:val="en-AU"/>
        </w:rPr>
        <w:t xml:space="preserve"> teacher and leadership processes e.g. AITSL</w:t>
      </w:r>
    </w:p>
    <w:p w14:paraId="06CE6922" w14:textId="77777777" w:rsidR="00DC4448" w:rsidRPr="00027DD6" w:rsidRDefault="00DC4448" w:rsidP="005621A8">
      <w:pPr>
        <w:pStyle w:val="Heading3"/>
        <w:spacing w:before="120"/>
      </w:pPr>
      <w:bookmarkStart w:id="360" w:name="_Toc472261332"/>
      <w:bookmarkStart w:id="361" w:name="_Toc472262675"/>
      <w:bookmarkStart w:id="362" w:name="_Toc472263057"/>
      <w:bookmarkStart w:id="363" w:name="_Toc472263207"/>
      <w:bookmarkStart w:id="364" w:name="_Toc472263358"/>
      <w:bookmarkStart w:id="365" w:name="_Toc346124044"/>
      <w:r w:rsidRPr="00027DD6">
        <w:t>Issues and Implications</w:t>
      </w:r>
      <w:bookmarkEnd w:id="360"/>
      <w:bookmarkEnd w:id="361"/>
      <w:bookmarkEnd w:id="362"/>
      <w:bookmarkEnd w:id="363"/>
      <w:bookmarkEnd w:id="364"/>
      <w:bookmarkEnd w:id="365"/>
    </w:p>
    <w:p w14:paraId="37A3E5E3"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E93E2D">
        <w:rPr>
          <w:rFonts w:ascii="Century Gothic" w:eastAsiaTheme="minorHAnsi" w:hAnsi="Century Gothic"/>
          <w:sz w:val="20"/>
          <w:szCs w:val="20"/>
          <w:lang w:val="en-AU"/>
        </w:rPr>
        <w:t>Note current funding includes a base for Tasmania, ACT and NT – then a per capita (base around $250k</w:t>
      </w:r>
      <w:r>
        <w:rPr>
          <w:rFonts w:ascii="Century Gothic" w:eastAsiaTheme="minorHAnsi" w:hAnsi="Century Gothic"/>
          <w:sz w:val="20"/>
          <w:szCs w:val="20"/>
          <w:lang w:val="en-AU"/>
        </w:rPr>
        <w:t>)</w:t>
      </w:r>
      <w:r w:rsidRPr="00E93E2D">
        <w:rPr>
          <w:rFonts w:ascii="Century Gothic" w:eastAsiaTheme="minorHAnsi" w:hAnsi="Century Gothic"/>
          <w:sz w:val="20"/>
          <w:szCs w:val="20"/>
          <w:lang w:val="en-AU"/>
        </w:rPr>
        <w:t>.  Agreed by ISCA.</w:t>
      </w:r>
    </w:p>
    <w:p w14:paraId="25B71992" w14:textId="77777777" w:rsidR="00DC4448" w:rsidRPr="00711499"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711499">
        <w:rPr>
          <w:rFonts w:ascii="Century Gothic" w:eastAsiaTheme="minorHAnsi" w:hAnsi="Century Gothic"/>
          <w:sz w:val="20"/>
          <w:szCs w:val="20"/>
          <w:lang w:val="en-AU"/>
        </w:rPr>
        <w:t>Significant funding for their sector and comfortable with level of accountability would not like to see small sectors have to report in great detail a la NSW – horses for courses</w:t>
      </w:r>
    </w:p>
    <w:p w14:paraId="7C5CC349" w14:textId="77777777" w:rsidR="00DC4448" w:rsidRDefault="00DC4448" w:rsidP="00DC4448">
      <w:pPr>
        <w:rPr>
          <w:rFonts w:ascii="Century Gothic" w:hAnsi="Century Gothic"/>
          <w:sz w:val="20"/>
          <w:szCs w:val="20"/>
        </w:rPr>
      </w:pPr>
      <w:r>
        <w:rPr>
          <w:rFonts w:ascii="Century Gothic" w:hAnsi="Century Gothic"/>
          <w:sz w:val="20"/>
          <w:szCs w:val="20"/>
        </w:rPr>
        <w:br w:type="page"/>
      </w:r>
    </w:p>
    <w:p w14:paraId="415D9D36" w14:textId="77777777" w:rsidR="00B01F36" w:rsidRDefault="00B01F36" w:rsidP="00B01F36">
      <w:pPr>
        <w:pStyle w:val="Normal1"/>
        <w:tabs>
          <w:tab w:val="left" w:pos="220"/>
          <w:tab w:val="left" w:pos="720"/>
        </w:tabs>
        <w:spacing w:after="120"/>
        <w:ind w:right="-340"/>
      </w:pPr>
    </w:p>
    <w:tbl>
      <w:tblPr>
        <w:tblW w:w="8692" w:type="dxa"/>
        <w:tblInd w:w="-291" w:type="dxa"/>
        <w:tblLayout w:type="fixed"/>
        <w:tblLook w:val="0400" w:firstRow="0" w:lastRow="0" w:firstColumn="0" w:lastColumn="0" w:noHBand="0" w:noVBand="1"/>
        <w:tblDescription w:val="This table provides a description of the Tasmanian Catholic NGRB."/>
      </w:tblPr>
      <w:tblGrid>
        <w:gridCol w:w="3839"/>
        <w:gridCol w:w="1016"/>
        <w:gridCol w:w="1196"/>
        <w:gridCol w:w="1337"/>
        <w:gridCol w:w="1304"/>
      </w:tblGrid>
      <w:tr w:rsidR="00B01F36" w14:paraId="0BFF22CD" w14:textId="77777777" w:rsidTr="003014DA">
        <w:tc>
          <w:tcPr>
            <w:tcW w:w="3839" w:type="dxa"/>
            <w:vMerge w:val="restart"/>
            <w:tcBorders>
              <w:top w:val="nil"/>
              <w:left w:val="nil"/>
              <w:bottom w:val="nil"/>
              <w:right w:val="single" w:sz="4" w:space="0" w:color="000000"/>
            </w:tcBorders>
            <w:shd w:val="clear" w:color="auto" w:fill="FFFFFF"/>
          </w:tcPr>
          <w:p w14:paraId="3F64EC85" w14:textId="77777777" w:rsidR="00B01F36" w:rsidRDefault="00B01F36" w:rsidP="005621A8">
            <w:pPr>
              <w:pStyle w:val="Heading2"/>
              <w:spacing w:before="0" w:after="0"/>
            </w:pPr>
            <w:bookmarkStart w:id="366" w:name="_gjdgxs" w:colFirst="0" w:colLast="0"/>
            <w:bookmarkEnd w:id="366"/>
            <w:r w:rsidRPr="005621A8">
              <w:rPr>
                <w:sz w:val="24"/>
              </w:rPr>
              <w:t>Tasmania Catholics</w:t>
            </w:r>
            <w:r w:rsidRPr="005621A8">
              <w:rPr>
                <w:rFonts w:eastAsia="Century Gothic" w:cs="Century Gothic"/>
                <w:sz w:val="24"/>
              </w:rPr>
              <w:t xml:space="preserve"> </w:t>
            </w:r>
          </w:p>
        </w:tc>
        <w:tc>
          <w:tcPr>
            <w:tcW w:w="1016" w:type="dxa"/>
            <w:tcBorders>
              <w:top w:val="single" w:sz="4" w:space="0" w:color="000000"/>
              <w:left w:val="single" w:sz="4" w:space="0" w:color="000000"/>
              <w:bottom w:val="single" w:sz="4" w:space="0" w:color="000000"/>
              <w:right w:val="single" w:sz="4" w:space="0" w:color="000000"/>
            </w:tcBorders>
            <w:shd w:val="clear" w:color="auto" w:fill="DBE5F1"/>
          </w:tcPr>
          <w:p w14:paraId="1DD2843C" w14:textId="77777777" w:rsidR="00B01F36" w:rsidRDefault="00B01F36" w:rsidP="003014DA">
            <w:pPr>
              <w:pStyle w:val="Normal1"/>
              <w:ind w:right="-340"/>
              <w:jc w:val="center"/>
            </w:pPr>
            <w:r>
              <w:rPr>
                <w:sz w:val="16"/>
                <w:szCs w:val="16"/>
              </w:rPr>
              <w:t>Schools</w:t>
            </w:r>
          </w:p>
        </w:tc>
        <w:tc>
          <w:tcPr>
            <w:tcW w:w="1196" w:type="dxa"/>
            <w:tcBorders>
              <w:top w:val="single" w:sz="4" w:space="0" w:color="000000"/>
              <w:left w:val="single" w:sz="4" w:space="0" w:color="000000"/>
              <w:bottom w:val="single" w:sz="4" w:space="0" w:color="000000"/>
              <w:right w:val="single" w:sz="4" w:space="0" w:color="000000"/>
            </w:tcBorders>
            <w:shd w:val="clear" w:color="auto" w:fill="DBE5F1"/>
          </w:tcPr>
          <w:p w14:paraId="3027A413" w14:textId="77777777" w:rsidR="00B01F36" w:rsidRDefault="00B01F36" w:rsidP="003014DA">
            <w:pPr>
              <w:pStyle w:val="Normal1"/>
              <w:jc w:val="center"/>
            </w:pPr>
            <w:r>
              <w:rPr>
                <w:sz w:val="16"/>
                <w:szCs w:val="16"/>
              </w:rPr>
              <w:t>Students</w:t>
            </w:r>
          </w:p>
        </w:tc>
        <w:tc>
          <w:tcPr>
            <w:tcW w:w="1337" w:type="dxa"/>
            <w:tcBorders>
              <w:top w:val="single" w:sz="4" w:space="0" w:color="000000"/>
              <w:left w:val="single" w:sz="4" w:space="0" w:color="000000"/>
              <w:bottom w:val="single" w:sz="4" w:space="0" w:color="000000"/>
              <w:right w:val="single" w:sz="4" w:space="0" w:color="000000"/>
            </w:tcBorders>
            <w:shd w:val="clear" w:color="auto" w:fill="DBE5F1"/>
          </w:tcPr>
          <w:p w14:paraId="7BCE422B" w14:textId="77777777" w:rsidR="00B01F36" w:rsidRDefault="00B01F36" w:rsidP="003014DA">
            <w:pPr>
              <w:pStyle w:val="Normal1"/>
              <w:ind w:right="-340"/>
              <w:jc w:val="center"/>
            </w:pPr>
            <w:r>
              <w:rPr>
                <w:sz w:val="16"/>
                <w:szCs w:val="16"/>
              </w:rPr>
              <w:t>Teaching Staff</w:t>
            </w:r>
          </w:p>
        </w:tc>
        <w:tc>
          <w:tcPr>
            <w:tcW w:w="1304" w:type="dxa"/>
            <w:tcBorders>
              <w:top w:val="single" w:sz="4" w:space="0" w:color="000000"/>
              <w:left w:val="single" w:sz="4" w:space="0" w:color="000000"/>
              <w:bottom w:val="single" w:sz="4" w:space="0" w:color="000000"/>
              <w:right w:val="single" w:sz="4" w:space="0" w:color="000000"/>
            </w:tcBorders>
            <w:shd w:val="clear" w:color="auto" w:fill="DBE5F1"/>
          </w:tcPr>
          <w:p w14:paraId="32CD6096" w14:textId="77777777" w:rsidR="00B01F36" w:rsidRDefault="00B01F36" w:rsidP="003014DA">
            <w:pPr>
              <w:pStyle w:val="Normal1"/>
              <w:ind w:right="-340"/>
              <w:jc w:val="center"/>
            </w:pPr>
            <w:r>
              <w:rPr>
                <w:sz w:val="16"/>
                <w:szCs w:val="16"/>
              </w:rPr>
              <w:t>SFSF $</w:t>
            </w:r>
          </w:p>
        </w:tc>
      </w:tr>
      <w:tr w:rsidR="00B01F36" w14:paraId="1D759068" w14:textId="77777777" w:rsidTr="003014DA">
        <w:tc>
          <w:tcPr>
            <w:tcW w:w="3839" w:type="dxa"/>
            <w:vMerge/>
            <w:tcBorders>
              <w:top w:val="nil"/>
              <w:left w:val="nil"/>
              <w:bottom w:val="nil"/>
              <w:right w:val="single" w:sz="4" w:space="0" w:color="000000"/>
            </w:tcBorders>
            <w:shd w:val="clear" w:color="auto" w:fill="FFFFFF"/>
          </w:tcPr>
          <w:p w14:paraId="55E6D0D0" w14:textId="77777777" w:rsidR="00B01F36" w:rsidRDefault="00B01F36" w:rsidP="003014DA">
            <w:pPr>
              <w:pStyle w:val="Normal1"/>
              <w:ind w:right="-340"/>
            </w:pPr>
          </w:p>
        </w:tc>
        <w:tc>
          <w:tcPr>
            <w:tcW w:w="1016" w:type="dxa"/>
            <w:tcBorders>
              <w:top w:val="single" w:sz="4" w:space="0" w:color="000000"/>
              <w:left w:val="single" w:sz="4" w:space="0" w:color="000000"/>
              <w:bottom w:val="single" w:sz="4" w:space="0" w:color="000000"/>
              <w:right w:val="single" w:sz="4" w:space="0" w:color="000000"/>
            </w:tcBorders>
            <w:vAlign w:val="bottom"/>
          </w:tcPr>
          <w:p w14:paraId="12E59A33" w14:textId="77777777" w:rsidR="00B01F36" w:rsidRDefault="00B01F36" w:rsidP="003014DA">
            <w:pPr>
              <w:pStyle w:val="Normal1"/>
              <w:ind w:right="-340"/>
              <w:jc w:val="center"/>
            </w:pPr>
            <w:r>
              <w:rPr>
                <w:sz w:val="16"/>
                <w:szCs w:val="16"/>
              </w:rPr>
              <w:t>37</w:t>
            </w:r>
          </w:p>
        </w:tc>
        <w:tc>
          <w:tcPr>
            <w:tcW w:w="1196" w:type="dxa"/>
            <w:tcBorders>
              <w:top w:val="single" w:sz="4" w:space="0" w:color="000000"/>
              <w:left w:val="single" w:sz="4" w:space="0" w:color="000000"/>
              <w:bottom w:val="single" w:sz="4" w:space="0" w:color="000000"/>
              <w:right w:val="single" w:sz="4" w:space="0" w:color="000000"/>
            </w:tcBorders>
            <w:vAlign w:val="bottom"/>
          </w:tcPr>
          <w:p w14:paraId="0D5959D1" w14:textId="77777777" w:rsidR="00B01F36" w:rsidRDefault="00B01F36" w:rsidP="003014DA">
            <w:pPr>
              <w:pStyle w:val="Normal1"/>
              <w:jc w:val="center"/>
            </w:pPr>
            <w:r>
              <w:rPr>
                <w:sz w:val="16"/>
                <w:szCs w:val="16"/>
              </w:rPr>
              <w:t>14,900.90</w:t>
            </w:r>
          </w:p>
        </w:tc>
        <w:tc>
          <w:tcPr>
            <w:tcW w:w="1337" w:type="dxa"/>
            <w:tcBorders>
              <w:top w:val="single" w:sz="4" w:space="0" w:color="000000"/>
              <w:left w:val="single" w:sz="4" w:space="0" w:color="000000"/>
              <w:bottom w:val="single" w:sz="4" w:space="0" w:color="000000"/>
              <w:right w:val="single" w:sz="4" w:space="0" w:color="000000"/>
            </w:tcBorders>
            <w:vAlign w:val="bottom"/>
          </w:tcPr>
          <w:p w14:paraId="37D75EC0" w14:textId="77777777" w:rsidR="00B01F36" w:rsidRDefault="00B01F36" w:rsidP="003014DA">
            <w:pPr>
              <w:pStyle w:val="Normal1"/>
              <w:ind w:right="-340"/>
              <w:jc w:val="center"/>
            </w:pPr>
            <w:r>
              <w:rPr>
                <w:sz w:val="16"/>
                <w:szCs w:val="16"/>
              </w:rPr>
              <w:t>986.7</w:t>
            </w:r>
          </w:p>
        </w:tc>
        <w:tc>
          <w:tcPr>
            <w:tcW w:w="1304" w:type="dxa"/>
            <w:tcBorders>
              <w:top w:val="single" w:sz="4" w:space="0" w:color="000000"/>
              <w:left w:val="single" w:sz="4" w:space="0" w:color="000000"/>
              <w:bottom w:val="single" w:sz="4" w:space="0" w:color="000000"/>
              <w:right w:val="single" w:sz="4" w:space="0" w:color="000000"/>
            </w:tcBorders>
            <w:vAlign w:val="bottom"/>
          </w:tcPr>
          <w:p w14:paraId="5C5AAB96" w14:textId="77777777" w:rsidR="00B01F36" w:rsidRDefault="00B01F36" w:rsidP="003014DA">
            <w:pPr>
              <w:pStyle w:val="Normal1"/>
              <w:ind w:right="-340"/>
              <w:jc w:val="center"/>
            </w:pPr>
            <w:r>
              <w:rPr>
                <w:sz w:val="16"/>
                <w:szCs w:val="16"/>
              </w:rPr>
              <w:t>$271,789</w:t>
            </w:r>
          </w:p>
        </w:tc>
      </w:tr>
    </w:tbl>
    <w:p w14:paraId="4231A35F" w14:textId="77777777" w:rsidR="00B01F36" w:rsidRPr="005621A8" w:rsidRDefault="00B01F36" w:rsidP="005621A8">
      <w:pPr>
        <w:pStyle w:val="Heading3"/>
        <w:spacing w:before="120"/>
        <w:rPr>
          <w:rStyle w:val="IntenseEmphasis"/>
          <w:b/>
          <w:bCs/>
          <w:i w:val="0"/>
          <w:iCs w:val="0"/>
        </w:rPr>
      </w:pPr>
      <w:bookmarkStart w:id="367" w:name="_30j0zll" w:colFirst="0" w:colLast="0"/>
      <w:bookmarkEnd w:id="367"/>
      <w:r w:rsidRPr="005621A8">
        <w:rPr>
          <w:rStyle w:val="IntenseEmphasis"/>
          <w:b/>
          <w:bCs/>
          <w:i w:val="0"/>
          <w:iCs w:val="0"/>
        </w:rPr>
        <w:t>Key Features of Approach</w:t>
      </w:r>
    </w:p>
    <w:p w14:paraId="05555931"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Established Service Agreements with schools including some non-negotiables – e.g. attendance at network meetings, Key Teacher position, Key Teacher part of leadership team</w:t>
      </w:r>
    </w:p>
    <w:p w14:paraId="364B72EF"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Use of relevant national AITSL Teacher and Principal Standards Frameworks and Charters to support school leaders and teachers</w:t>
      </w:r>
    </w:p>
    <w:p w14:paraId="07851544" w14:textId="77777777" w:rsidR="00B01F36" w:rsidRDefault="00B01F36" w:rsidP="005621A8">
      <w:pPr>
        <w:pStyle w:val="Heading3"/>
        <w:spacing w:before="120"/>
      </w:pPr>
      <w:bookmarkStart w:id="368" w:name="_1fob9te" w:colFirst="0" w:colLast="0"/>
      <w:bookmarkEnd w:id="368"/>
      <w:r>
        <w:t>Predominant Modes of Delivery</w:t>
      </w:r>
    </w:p>
    <w:tbl>
      <w:tblPr>
        <w:tblW w:w="4502" w:type="dxa"/>
        <w:tblInd w:w="-115" w:type="dxa"/>
        <w:tblLayout w:type="fixed"/>
        <w:tblLook w:val="0400" w:firstRow="0" w:lastRow="0" w:firstColumn="0" w:lastColumn="0" w:noHBand="0" w:noVBand="1"/>
        <w:tblCaption w:val="Predominant delivery models"/>
        <w:tblDescription w:val="This table shows that predominant delivery models include Professional learning,&#10;Consultancy advice in schools, Coaching and mentoring services, Resource provision, and Support and advice.&#10;"/>
      </w:tblPr>
      <w:tblGrid>
        <w:gridCol w:w="3652"/>
        <w:gridCol w:w="850"/>
      </w:tblGrid>
      <w:tr w:rsidR="003E5526" w14:paraId="077B05A5" w14:textId="77777777" w:rsidTr="003E5526">
        <w:tc>
          <w:tcPr>
            <w:tcW w:w="3652" w:type="dxa"/>
            <w:tcBorders>
              <w:top w:val="single" w:sz="4" w:space="0" w:color="000000"/>
              <w:left w:val="single" w:sz="4" w:space="0" w:color="000000"/>
              <w:bottom w:val="single" w:sz="4" w:space="0" w:color="000000"/>
              <w:right w:val="single" w:sz="4" w:space="0" w:color="000000"/>
            </w:tcBorders>
            <w:shd w:val="clear" w:color="auto" w:fill="B8CCE4"/>
          </w:tcPr>
          <w:p w14:paraId="178D8E66" w14:textId="77777777" w:rsidR="003E5526" w:rsidRDefault="003E5526" w:rsidP="003014DA">
            <w:pPr>
              <w:pStyle w:val="Normal1"/>
              <w:spacing w:after="60"/>
              <w:ind w:right="-340"/>
              <w:jc w:val="center"/>
            </w:pPr>
            <w:r>
              <w:rPr>
                <w:sz w:val="16"/>
                <w:szCs w:val="16"/>
              </w:rPr>
              <w:t>Delivery model</w:t>
            </w:r>
          </w:p>
        </w:tc>
        <w:tc>
          <w:tcPr>
            <w:tcW w:w="850" w:type="dxa"/>
            <w:tcBorders>
              <w:top w:val="single" w:sz="4" w:space="0" w:color="000000"/>
              <w:left w:val="single" w:sz="4" w:space="0" w:color="000000"/>
              <w:bottom w:val="single" w:sz="4" w:space="0" w:color="000000"/>
              <w:right w:val="single" w:sz="4" w:space="0" w:color="000000"/>
            </w:tcBorders>
            <w:shd w:val="clear" w:color="auto" w:fill="B8CCE4"/>
          </w:tcPr>
          <w:p w14:paraId="2C9C977A" w14:textId="4E0B7C4B" w:rsidR="003E5526" w:rsidRDefault="003E5526" w:rsidP="003014DA">
            <w:pPr>
              <w:pStyle w:val="Normal1"/>
              <w:spacing w:after="60"/>
              <w:ind w:right="-340"/>
              <w:jc w:val="center"/>
            </w:pPr>
            <w:r w:rsidRPr="003E5526">
              <w:rPr>
                <w:rFonts w:asciiTheme="minorHAnsi" w:hAnsiTheme="minorHAnsi" w:cs="Times New Roman"/>
                <w:i/>
                <w:iCs/>
                <w:sz w:val="15"/>
                <w:szCs w:val="15"/>
              </w:rPr>
              <w:t>Yes/no</w:t>
            </w:r>
          </w:p>
        </w:tc>
      </w:tr>
      <w:tr w:rsidR="003E5526" w14:paraId="4963CA8F" w14:textId="77777777" w:rsidTr="003E5526">
        <w:trPr>
          <w:trHeight w:val="335"/>
        </w:trPr>
        <w:tc>
          <w:tcPr>
            <w:tcW w:w="3652" w:type="dxa"/>
            <w:tcBorders>
              <w:top w:val="single" w:sz="4" w:space="0" w:color="000000"/>
              <w:left w:val="single" w:sz="4" w:space="0" w:color="000000"/>
              <w:bottom w:val="single" w:sz="4" w:space="0" w:color="000000"/>
              <w:right w:val="single" w:sz="4" w:space="0" w:color="000000"/>
            </w:tcBorders>
          </w:tcPr>
          <w:p w14:paraId="15942E16" w14:textId="77777777" w:rsidR="003E5526" w:rsidRDefault="003E5526" w:rsidP="003014DA">
            <w:pPr>
              <w:pStyle w:val="Normal1"/>
              <w:spacing w:before="40" w:after="60"/>
              <w:ind w:right="-340"/>
              <w:jc w:val="center"/>
            </w:pPr>
            <w:r>
              <w:rPr>
                <w:i/>
                <w:sz w:val="15"/>
                <w:szCs w:val="15"/>
              </w:rPr>
              <w:t>Professional learning</w:t>
            </w:r>
          </w:p>
        </w:tc>
        <w:tc>
          <w:tcPr>
            <w:tcW w:w="850" w:type="dxa"/>
            <w:tcBorders>
              <w:top w:val="single" w:sz="4" w:space="0" w:color="000000"/>
              <w:left w:val="single" w:sz="4" w:space="0" w:color="000000"/>
              <w:bottom w:val="single" w:sz="4" w:space="0" w:color="000000"/>
              <w:right w:val="single" w:sz="4" w:space="0" w:color="000000"/>
            </w:tcBorders>
          </w:tcPr>
          <w:p w14:paraId="70B8BCBC" w14:textId="40F487B8" w:rsidR="003E5526" w:rsidRDefault="003E5526" w:rsidP="003014DA">
            <w:pPr>
              <w:pStyle w:val="Normal1"/>
              <w:spacing w:before="40" w:after="60"/>
              <w:ind w:right="-340"/>
              <w:jc w:val="center"/>
            </w:pPr>
            <w:r>
              <w:rPr>
                <w:rFonts w:cs="Times New Roman"/>
                <w:i/>
                <w:iCs/>
                <w:sz w:val="15"/>
                <w:szCs w:val="15"/>
              </w:rPr>
              <w:t>y</w:t>
            </w:r>
            <w:r>
              <w:rPr>
                <w:rFonts w:cs="Times New Roman" w:hint="eastAsia"/>
                <w:i/>
                <w:iCs/>
                <w:sz w:val="15"/>
                <w:szCs w:val="15"/>
              </w:rPr>
              <w:t>es</w:t>
            </w:r>
          </w:p>
        </w:tc>
      </w:tr>
      <w:tr w:rsidR="003E5526" w14:paraId="48B83A58" w14:textId="77777777" w:rsidTr="003E5526">
        <w:tc>
          <w:tcPr>
            <w:tcW w:w="3652" w:type="dxa"/>
            <w:tcBorders>
              <w:top w:val="single" w:sz="4" w:space="0" w:color="000000"/>
              <w:left w:val="single" w:sz="4" w:space="0" w:color="000000"/>
              <w:bottom w:val="single" w:sz="4" w:space="0" w:color="000000"/>
              <w:right w:val="single" w:sz="4" w:space="0" w:color="000000"/>
            </w:tcBorders>
            <w:vAlign w:val="center"/>
          </w:tcPr>
          <w:p w14:paraId="145EA239" w14:textId="77777777" w:rsidR="003E5526" w:rsidRDefault="003E5526" w:rsidP="003014DA">
            <w:pPr>
              <w:pStyle w:val="Normal1"/>
              <w:spacing w:before="40" w:after="60"/>
              <w:ind w:right="-340"/>
              <w:jc w:val="center"/>
            </w:pPr>
            <w:r>
              <w:rPr>
                <w:i/>
                <w:sz w:val="15"/>
                <w:szCs w:val="15"/>
              </w:rPr>
              <w:t xml:space="preserve">Consultancy advice in schools </w:t>
            </w:r>
          </w:p>
        </w:tc>
        <w:tc>
          <w:tcPr>
            <w:tcW w:w="850" w:type="dxa"/>
            <w:tcBorders>
              <w:top w:val="single" w:sz="4" w:space="0" w:color="000000"/>
              <w:left w:val="single" w:sz="4" w:space="0" w:color="000000"/>
              <w:bottom w:val="single" w:sz="4" w:space="0" w:color="000000"/>
              <w:right w:val="single" w:sz="4" w:space="0" w:color="000000"/>
            </w:tcBorders>
          </w:tcPr>
          <w:p w14:paraId="0D82291F" w14:textId="3B887D2A" w:rsidR="003E5526" w:rsidRDefault="003E5526" w:rsidP="003014DA">
            <w:pPr>
              <w:pStyle w:val="Normal1"/>
              <w:spacing w:before="40" w:after="60"/>
              <w:ind w:right="-340"/>
              <w:jc w:val="center"/>
            </w:pPr>
            <w:r>
              <w:rPr>
                <w:rFonts w:cs="Times New Roman"/>
                <w:i/>
                <w:iCs/>
                <w:sz w:val="15"/>
                <w:szCs w:val="15"/>
              </w:rPr>
              <w:t>y</w:t>
            </w:r>
            <w:r>
              <w:rPr>
                <w:rFonts w:cs="Times New Roman" w:hint="eastAsia"/>
                <w:i/>
                <w:iCs/>
                <w:sz w:val="15"/>
                <w:szCs w:val="15"/>
              </w:rPr>
              <w:t>es</w:t>
            </w:r>
          </w:p>
        </w:tc>
      </w:tr>
      <w:tr w:rsidR="003E5526" w14:paraId="4C9D804B" w14:textId="77777777" w:rsidTr="003E5526">
        <w:tc>
          <w:tcPr>
            <w:tcW w:w="3652" w:type="dxa"/>
            <w:tcBorders>
              <w:top w:val="single" w:sz="4" w:space="0" w:color="000000"/>
              <w:left w:val="single" w:sz="4" w:space="0" w:color="000000"/>
              <w:bottom w:val="single" w:sz="4" w:space="0" w:color="000000"/>
              <w:right w:val="single" w:sz="4" w:space="0" w:color="000000"/>
            </w:tcBorders>
          </w:tcPr>
          <w:p w14:paraId="5EA31776" w14:textId="77777777" w:rsidR="003E5526" w:rsidRDefault="003E5526" w:rsidP="003014DA">
            <w:pPr>
              <w:pStyle w:val="Normal1"/>
              <w:spacing w:before="40" w:after="60"/>
              <w:ind w:right="-340"/>
              <w:jc w:val="center"/>
            </w:pPr>
            <w:r>
              <w:rPr>
                <w:i/>
                <w:sz w:val="15"/>
                <w:szCs w:val="15"/>
              </w:rPr>
              <w:t>Coaching and mentoring Services</w:t>
            </w:r>
          </w:p>
        </w:tc>
        <w:tc>
          <w:tcPr>
            <w:tcW w:w="850" w:type="dxa"/>
            <w:tcBorders>
              <w:top w:val="single" w:sz="4" w:space="0" w:color="000000"/>
              <w:left w:val="single" w:sz="4" w:space="0" w:color="000000"/>
              <w:bottom w:val="single" w:sz="4" w:space="0" w:color="000000"/>
              <w:right w:val="single" w:sz="4" w:space="0" w:color="000000"/>
            </w:tcBorders>
          </w:tcPr>
          <w:p w14:paraId="31C7ED60" w14:textId="4796E933" w:rsidR="003E5526" w:rsidRDefault="003E5526" w:rsidP="003014DA">
            <w:pPr>
              <w:pStyle w:val="Normal1"/>
              <w:spacing w:before="40" w:after="60"/>
              <w:ind w:right="-340"/>
              <w:jc w:val="center"/>
            </w:pPr>
            <w:r>
              <w:rPr>
                <w:rFonts w:cs="Times New Roman"/>
                <w:i/>
                <w:iCs/>
                <w:sz w:val="15"/>
                <w:szCs w:val="15"/>
              </w:rPr>
              <w:t>y</w:t>
            </w:r>
            <w:r>
              <w:rPr>
                <w:rFonts w:cs="Times New Roman" w:hint="eastAsia"/>
                <w:i/>
                <w:iCs/>
                <w:sz w:val="15"/>
                <w:szCs w:val="15"/>
              </w:rPr>
              <w:t>es</w:t>
            </w:r>
          </w:p>
        </w:tc>
      </w:tr>
      <w:tr w:rsidR="003E5526" w14:paraId="4742347E" w14:textId="77777777" w:rsidTr="003E5526">
        <w:tc>
          <w:tcPr>
            <w:tcW w:w="3652" w:type="dxa"/>
            <w:tcBorders>
              <w:top w:val="single" w:sz="4" w:space="0" w:color="000000"/>
              <w:left w:val="single" w:sz="4" w:space="0" w:color="000000"/>
              <w:bottom w:val="single" w:sz="4" w:space="0" w:color="000000"/>
              <w:right w:val="single" w:sz="4" w:space="0" w:color="000000"/>
            </w:tcBorders>
          </w:tcPr>
          <w:p w14:paraId="514F8F24" w14:textId="77777777" w:rsidR="003E5526" w:rsidRDefault="003E5526" w:rsidP="003014DA">
            <w:pPr>
              <w:pStyle w:val="Normal1"/>
              <w:spacing w:before="40" w:after="60"/>
              <w:ind w:right="-340"/>
              <w:jc w:val="center"/>
            </w:pPr>
            <w:r>
              <w:rPr>
                <w:i/>
                <w:sz w:val="15"/>
                <w:szCs w:val="15"/>
              </w:rPr>
              <w:t>On-line Tools</w:t>
            </w:r>
          </w:p>
        </w:tc>
        <w:tc>
          <w:tcPr>
            <w:tcW w:w="850" w:type="dxa"/>
            <w:tcBorders>
              <w:top w:val="single" w:sz="4" w:space="0" w:color="000000"/>
              <w:left w:val="single" w:sz="4" w:space="0" w:color="000000"/>
              <w:bottom w:val="single" w:sz="4" w:space="0" w:color="000000"/>
              <w:right w:val="single" w:sz="4" w:space="0" w:color="000000"/>
            </w:tcBorders>
          </w:tcPr>
          <w:p w14:paraId="7433465F" w14:textId="061CCCAE" w:rsidR="003E5526" w:rsidRDefault="003E5526" w:rsidP="00C31922">
            <w:pPr>
              <w:spacing w:before="100" w:beforeAutospacing="1" w:after="120"/>
              <w:ind w:right="-340"/>
              <w:jc w:val="center"/>
            </w:pPr>
            <w:r w:rsidRPr="00C31922">
              <w:rPr>
                <w:rFonts w:cs="Times New Roman"/>
                <w:i/>
                <w:iCs/>
                <w:sz w:val="15"/>
                <w:szCs w:val="15"/>
              </w:rPr>
              <w:t>no</w:t>
            </w:r>
          </w:p>
        </w:tc>
      </w:tr>
      <w:tr w:rsidR="003E5526" w14:paraId="429A8316" w14:textId="77777777" w:rsidTr="003E5526">
        <w:tc>
          <w:tcPr>
            <w:tcW w:w="3652" w:type="dxa"/>
            <w:tcBorders>
              <w:top w:val="single" w:sz="4" w:space="0" w:color="000000"/>
              <w:left w:val="single" w:sz="4" w:space="0" w:color="000000"/>
              <w:bottom w:val="single" w:sz="4" w:space="0" w:color="000000"/>
              <w:right w:val="single" w:sz="4" w:space="0" w:color="000000"/>
            </w:tcBorders>
            <w:vAlign w:val="center"/>
          </w:tcPr>
          <w:p w14:paraId="51E4920D" w14:textId="77777777" w:rsidR="003E5526" w:rsidRDefault="003E5526" w:rsidP="003014DA">
            <w:pPr>
              <w:pStyle w:val="Normal1"/>
              <w:spacing w:before="40" w:after="60"/>
              <w:ind w:right="-340"/>
              <w:jc w:val="center"/>
            </w:pPr>
            <w:r>
              <w:rPr>
                <w:i/>
                <w:sz w:val="15"/>
                <w:szCs w:val="15"/>
              </w:rPr>
              <w:t xml:space="preserve">Resource provision </w:t>
            </w:r>
          </w:p>
        </w:tc>
        <w:tc>
          <w:tcPr>
            <w:tcW w:w="850" w:type="dxa"/>
            <w:tcBorders>
              <w:top w:val="single" w:sz="4" w:space="0" w:color="000000"/>
              <w:left w:val="single" w:sz="4" w:space="0" w:color="000000"/>
              <w:bottom w:val="single" w:sz="4" w:space="0" w:color="000000"/>
              <w:right w:val="single" w:sz="4" w:space="0" w:color="000000"/>
            </w:tcBorders>
          </w:tcPr>
          <w:p w14:paraId="48C3D31D" w14:textId="07A9D6C2" w:rsidR="003E5526" w:rsidRDefault="003E5526" w:rsidP="003014DA">
            <w:pPr>
              <w:pStyle w:val="Normal1"/>
              <w:spacing w:before="40" w:after="60"/>
              <w:ind w:right="-340"/>
              <w:jc w:val="center"/>
            </w:pPr>
            <w:r>
              <w:rPr>
                <w:rFonts w:cs="Times New Roman"/>
                <w:i/>
                <w:iCs/>
                <w:sz w:val="15"/>
                <w:szCs w:val="15"/>
              </w:rPr>
              <w:t>y</w:t>
            </w:r>
            <w:r>
              <w:rPr>
                <w:rFonts w:cs="Times New Roman" w:hint="eastAsia"/>
                <w:i/>
                <w:iCs/>
                <w:sz w:val="15"/>
                <w:szCs w:val="15"/>
              </w:rPr>
              <w:t>es</w:t>
            </w:r>
          </w:p>
        </w:tc>
      </w:tr>
      <w:tr w:rsidR="003E5526" w14:paraId="5657B12D" w14:textId="77777777" w:rsidTr="003E5526">
        <w:tc>
          <w:tcPr>
            <w:tcW w:w="3652" w:type="dxa"/>
            <w:tcBorders>
              <w:top w:val="single" w:sz="4" w:space="0" w:color="000000"/>
              <w:left w:val="single" w:sz="4" w:space="0" w:color="000000"/>
              <w:bottom w:val="single" w:sz="4" w:space="0" w:color="000000"/>
              <w:right w:val="single" w:sz="4" w:space="0" w:color="000000"/>
            </w:tcBorders>
          </w:tcPr>
          <w:p w14:paraId="125ECEC9" w14:textId="6C7CEAAD" w:rsidR="003E5526" w:rsidRDefault="003E5526" w:rsidP="003E5526">
            <w:pPr>
              <w:pStyle w:val="Normal1"/>
              <w:spacing w:before="40" w:after="60"/>
              <w:ind w:right="-340"/>
              <w:jc w:val="center"/>
              <w:rPr>
                <w:i/>
                <w:sz w:val="15"/>
                <w:szCs w:val="15"/>
              </w:rPr>
            </w:pPr>
            <w:r>
              <w:rPr>
                <w:i/>
                <w:sz w:val="15"/>
                <w:szCs w:val="15"/>
              </w:rPr>
              <w:t>Research practitioner</w:t>
            </w:r>
          </w:p>
        </w:tc>
        <w:tc>
          <w:tcPr>
            <w:tcW w:w="850" w:type="dxa"/>
            <w:tcBorders>
              <w:top w:val="single" w:sz="4" w:space="0" w:color="000000"/>
              <w:left w:val="single" w:sz="4" w:space="0" w:color="000000"/>
              <w:bottom w:val="single" w:sz="4" w:space="0" w:color="000000"/>
              <w:right w:val="single" w:sz="4" w:space="0" w:color="000000"/>
            </w:tcBorders>
          </w:tcPr>
          <w:p w14:paraId="5A2FA3B3" w14:textId="0F43F08D" w:rsidR="003E5526" w:rsidRPr="00AC7F0C" w:rsidRDefault="003E5526" w:rsidP="003E5526">
            <w:pPr>
              <w:pStyle w:val="Normal1"/>
              <w:spacing w:before="40" w:after="60"/>
              <w:ind w:right="-340"/>
              <w:jc w:val="center"/>
              <w:rPr>
                <w:rFonts w:ascii="MS Gothic" w:eastAsia="MS Gothic" w:hAnsi="MS Gothic" w:cs="MS Gothic"/>
                <w:b/>
                <w:i/>
                <w:iCs/>
                <w:sz w:val="15"/>
                <w:szCs w:val="15"/>
              </w:rPr>
            </w:pPr>
            <w:r w:rsidRPr="00C31922">
              <w:rPr>
                <w:rFonts w:cs="Times New Roman"/>
                <w:i/>
                <w:iCs/>
                <w:sz w:val="15"/>
                <w:szCs w:val="15"/>
              </w:rPr>
              <w:t>no</w:t>
            </w:r>
          </w:p>
        </w:tc>
      </w:tr>
      <w:tr w:rsidR="003E5526" w14:paraId="09266B62" w14:textId="77777777" w:rsidTr="003E5526">
        <w:tc>
          <w:tcPr>
            <w:tcW w:w="3652" w:type="dxa"/>
            <w:tcBorders>
              <w:top w:val="single" w:sz="4" w:space="0" w:color="000000"/>
              <w:left w:val="single" w:sz="4" w:space="0" w:color="000000"/>
              <w:bottom w:val="single" w:sz="4" w:space="0" w:color="000000"/>
              <w:right w:val="single" w:sz="4" w:space="0" w:color="000000"/>
            </w:tcBorders>
          </w:tcPr>
          <w:p w14:paraId="7D34FFB5" w14:textId="3C7014E2" w:rsidR="003E5526" w:rsidRDefault="003E5526" w:rsidP="003E5526">
            <w:pPr>
              <w:pStyle w:val="Normal1"/>
              <w:spacing w:before="40" w:after="60"/>
              <w:ind w:right="-340"/>
              <w:jc w:val="center"/>
              <w:rPr>
                <w:i/>
                <w:sz w:val="15"/>
                <w:szCs w:val="15"/>
              </w:rPr>
            </w:pPr>
            <w:r>
              <w:rPr>
                <w:i/>
                <w:sz w:val="15"/>
                <w:szCs w:val="15"/>
              </w:rPr>
              <w:t>Research academic</w:t>
            </w:r>
          </w:p>
        </w:tc>
        <w:tc>
          <w:tcPr>
            <w:tcW w:w="850" w:type="dxa"/>
            <w:tcBorders>
              <w:top w:val="single" w:sz="4" w:space="0" w:color="000000"/>
              <w:left w:val="single" w:sz="4" w:space="0" w:color="000000"/>
              <w:bottom w:val="single" w:sz="4" w:space="0" w:color="000000"/>
              <w:right w:val="single" w:sz="4" w:space="0" w:color="000000"/>
            </w:tcBorders>
          </w:tcPr>
          <w:p w14:paraId="7542C653" w14:textId="32DDFCC4" w:rsidR="003E5526" w:rsidRPr="00AC7F0C" w:rsidRDefault="003E5526" w:rsidP="003E5526">
            <w:pPr>
              <w:pStyle w:val="Normal1"/>
              <w:spacing w:before="40" w:after="60"/>
              <w:ind w:right="-340"/>
              <w:jc w:val="center"/>
              <w:rPr>
                <w:rFonts w:ascii="MS Gothic" w:eastAsia="MS Gothic" w:hAnsi="MS Gothic" w:cs="MS Gothic"/>
                <w:b/>
                <w:i/>
                <w:iCs/>
                <w:sz w:val="15"/>
                <w:szCs w:val="15"/>
              </w:rPr>
            </w:pPr>
            <w:r w:rsidRPr="00C31922">
              <w:rPr>
                <w:rFonts w:cs="Times New Roman"/>
                <w:i/>
                <w:iCs/>
                <w:sz w:val="15"/>
                <w:szCs w:val="15"/>
              </w:rPr>
              <w:t>no</w:t>
            </w:r>
          </w:p>
        </w:tc>
      </w:tr>
      <w:tr w:rsidR="003E5526" w14:paraId="371C3D90" w14:textId="77777777" w:rsidTr="003E5526">
        <w:tc>
          <w:tcPr>
            <w:tcW w:w="3652" w:type="dxa"/>
            <w:tcBorders>
              <w:top w:val="single" w:sz="4" w:space="0" w:color="000000"/>
              <w:left w:val="single" w:sz="4" w:space="0" w:color="000000"/>
              <w:bottom w:val="single" w:sz="4" w:space="0" w:color="000000"/>
              <w:right w:val="single" w:sz="4" w:space="0" w:color="000000"/>
            </w:tcBorders>
          </w:tcPr>
          <w:p w14:paraId="21F25137" w14:textId="0936BCCE" w:rsidR="003E5526" w:rsidRDefault="003E5526" w:rsidP="003E5526">
            <w:pPr>
              <w:pStyle w:val="Normal1"/>
              <w:spacing w:before="40" w:after="60"/>
              <w:ind w:right="-340"/>
              <w:jc w:val="center"/>
              <w:rPr>
                <w:i/>
                <w:sz w:val="15"/>
                <w:szCs w:val="15"/>
              </w:rPr>
            </w:pPr>
            <w:r>
              <w:rPr>
                <w:i/>
                <w:sz w:val="15"/>
                <w:szCs w:val="15"/>
              </w:rPr>
              <w:t>Support and advice</w:t>
            </w:r>
          </w:p>
        </w:tc>
        <w:tc>
          <w:tcPr>
            <w:tcW w:w="850" w:type="dxa"/>
            <w:tcBorders>
              <w:top w:val="single" w:sz="4" w:space="0" w:color="000000"/>
              <w:left w:val="single" w:sz="4" w:space="0" w:color="000000"/>
              <w:bottom w:val="single" w:sz="4" w:space="0" w:color="000000"/>
              <w:right w:val="single" w:sz="4" w:space="0" w:color="000000"/>
            </w:tcBorders>
          </w:tcPr>
          <w:p w14:paraId="682270D0" w14:textId="5CC9BEA9" w:rsidR="003E5526" w:rsidRPr="00AC7F0C" w:rsidRDefault="003E5526" w:rsidP="003E5526">
            <w:pPr>
              <w:pStyle w:val="Normal1"/>
              <w:spacing w:before="40" w:after="6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14:paraId="3DEFD07A" w14:textId="77777777" w:rsidTr="003E5526">
        <w:tc>
          <w:tcPr>
            <w:tcW w:w="3652" w:type="dxa"/>
            <w:tcBorders>
              <w:top w:val="single" w:sz="4" w:space="0" w:color="000000"/>
              <w:left w:val="single" w:sz="4" w:space="0" w:color="000000"/>
              <w:bottom w:val="single" w:sz="4" w:space="0" w:color="000000"/>
              <w:right w:val="single" w:sz="4" w:space="0" w:color="000000"/>
            </w:tcBorders>
          </w:tcPr>
          <w:p w14:paraId="51729C9F" w14:textId="5941E189" w:rsidR="003E5526" w:rsidRDefault="003E5526" w:rsidP="003E5526">
            <w:pPr>
              <w:pStyle w:val="Normal1"/>
              <w:spacing w:before="40" w:after="60"/>
              <w:ind w:right="-340"/>
              <w:jc w:val="center"/>
              <w:rPr>
                <w:i/>
                <w:sz w:val="15"/>
                <w:szCs w:val="15"/>
              </w:rPr>
            </w:pPr>
            <w:r>
              <w:rPr>
                <w:i/>
                <w:sz w:val="15"/>
                <w:szCs w:val="15"/>
              </w:rPr>
              <w:t>Awareness</w:t>
            </w:r>
          </w:p>
        </w:tc>
        <w:tc>
          <w:tcPr>
            <w:tcW w:w="850" w:type="dxa"/>
            <w:tcBorders>
              <w:top w:val="single" w:sz="4" w:space="0" w:color="000000"/>
              <w:left w:val="single" w:sz="4" w:space="0" w:color="000000"/>
              <w:bottom w:val="single" w:sz="4" w:space="0" w:color="000000"/>
              <w:right w:val="single" w:sz="4" w:space="0" w:color="000000"/>
            </w:tcBorders>
          </w:tcPr>
          <w:p w14:paraId="34EF5B66" w14:textId="4F763683" w:rsidR="003E5526" w:rsidRPr="00AC7F0C" w:rsidRDefault="003E5526" w:rsidP="003E5526">
            <w:pPr>
              <w:pStyle w:val="Normal1"/>
              <w:spacing w:before="40" w:after="60"/>
              <w:ind w:right="-340"/>
              <w:jc w:val="center"/>
              <w:rPr>
                <w:rFonts w:ascii="MS Gothic" w:eastAsia="MS Gothic" w:hAnsi="MS Gothic" w:cs="MS Gothic"/>
                <w:b/>
                <w:i/>
                <w:iCs/>
                <w:sz w:val="15"/>
                <w:szCs w:val="15"/>
              </w:rPr>
            </w:pPr>
            <w:r w:rsidRPr="00C31922">
              <w:rPr>
                <w:rFonts w:cs="Times New Roman"/>
                <w:i/>
                <w:iCs/>
                <w:sz w:val="15"/>
                <w:szCs w:val="15"/>
              </w:rPr>
              <w:t>no</w:t>
            </w:r>
          </w:p>
        </w:tc>
      </w:tr>
    </w:tbl>
    <w:p w14:paraId="3CA3B749" w14:textId="77777777" w:rsidR="00B01F36" w:rsidRDefault="00B01F36" w:rsidP="005621A8">
      <w:pPr>
        <w:pStyle w:val="Heading3"/>
        <w:spacing w:before="120"/>
      </w:pPr>
      <w:bookmarkStart w:id="369" w:name="_3znysh7" w:colFirst="0" w:colLast="0"/>
      <w:bookmarkStart w:id="370" w:name="_Toc495587320"/>
      <w:bookmarkEnd w:id="369"/>
      <w:r>
        <w:t>Sample of Key Programs</w:t>
      </w:r>
      <w:bookmarkEnd w:id="370"/>
    </w:p>
    <w:p w14:paraId="6FBB529E" w14:textId="12D0E22F"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Leadership programs including aspiring and beginning leaders and Principal Induction and Mentor programs to support Principals in their first</w:t>
      </w:r>
      <w:r w:rsidR="009617E9">
        <w:rPr>
          <w:rFonts w:ascii="Century Gothic" w:eastAsia="Century Gothic" w:hAnsi="Century Gothic" w:cs="Century Gothic"/>
          <w:sz w:val="20"/>
          <w:szCs w:val="20"/>
        </w:rPr>
        <w:t xml:space="preserve"> three years of Principal-ship.</w:t>
      </w:r>
    </w:p>
    <w:p w14:paraId="005D7535"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Professional Learning sessions for school leadership teams and staff covering understanding of the AITSL Teaching Standards and effective pedagogical practices</w:t>
      </w:r>
    </w:p>
    <w:p w14:paraId="1C6624D5"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School effectiveness tools e.g. a tool tracking teacher self-assessment of pedagogical effectiveness.</w:t>
      </w:r>
    </w:p>
    <w:p w14:paraId="159FCA29"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Development of a Literacy Initiative following system wide data analysis</w:t>
      </w:r>
    </w:p>
    <w:p w14:paraId="2E1B5366" w14:textId="77777777" w:rsidR="00B01F36" w:rsidRDefault="00B01F36" w:rsidP="005621A8">
      <w:pPr>
        <w:pStyle w:val="Heading3"/>
        <w:spacing w:before="120"/>
      </w:pPr>
      <w:bookmarkStart w:id="371" w:name="_2et92p0" w:colFirst="0" w:colLast="0"/>
      <w:bookmarkStart w:id="372" w:name="_Toc495587321"/>
      <w:bookmarkEnd w:id="371"/>
      <w:r>
        <w:t>Funding – how used?</w:t>
      </w:r>
      <w:bookmarkEnd w:id="372"/>
    </w:p>
    <w:p w14:paraId="695B34FD" w14:textId="4F2A814A" w:rsidR="00B01F36" w:rsidRDefault="009617E9" w:rsidP="00B01F36">
      <w:pPr>
        <w:pStyle w:val="Normal1"/>
        <w:spacing w:line="276" w:lineRule="auto"/>
        <w:ind w:left="142" w:right="-340"/>
        <w:jc w:val="both"/>
      </w:pPr>
      <w:r>
        <w:rPr>
          <w:rFonts w:ascii="Century Gothic" w:eastAsia="Century Gothic" w:hAnsi="Century Gothic" w:cs="Century Gothic"/>
          <w:sz w:val="20"/>
          <w:szCs w:val="20"/>
        </w:rPr>
        <w:t>Funding used for</w:t>
      </w:r>
    </w:p>
    <w:p w14:paraId="6B0CABF1"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resources for schools – participation in professional learning and some network meetings.</w:t>
      </w:r>
    </w:p>
    <w:p w14:paraId="602D3B2E"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conduct of professional learning programs for school teams and school leaders</w:t>
      </w:r>
    </w:p>
    <w:p w14:paraId="42442CA7" w14:textId="7DAE1CD3"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central staff - employed a Team leader within the office to coordinate activities and staff (literacy officer, education officers) and provided leadership and c</w:t>
      </w:r>
      <w:r w:rsidR="009617E9">
        <w:rPr>
          <w:rFonts w:ascii="Century Gothic" w:eastAsia="Century Gothic" w:hAnsi="Century Gothic" w:cs="Century Gothic"/>
          <w:sz w:val="20"/>
          <w:szCs w:val="20"/>
        </w:rPr>
        <w:t>oaching for education officers.</w:t>
      </w:r>
    </w:p>
    <w:p w14:paraId="4C71CD72" w14:textId="77777777" w:rsidR="00B01F36" w:rsidRDefault="00B01F36" w:rsidP="005621A8">
      <w:pPr>
        <w:pStyle w:val="Heading3"/>
        <w:spacing w:before="120"/>
      </w:pPr>
      <w:bookmarkStart w:id="373" w:name="_tyjcwt" w:colFirst="0" w:colLast="0"/>
      <w:bookmarkStart w:id="374" w:name="_Toc495587322"/>
      <w:bookmarkEnd w:id="373"/>
      <w:r>
        <w:t>Monitoring Success</w:t>
      </w:r>
      <w:bookmarkEnd w:id="374"/>
    </w:p>
    <w:p w14:paraId="44E372E5" w14:textId="2DEB7810" w:rsidR="00B01F36" w:rsidRDefault="00B01F36" w:rsidP="00B01F36">
      <w:pPr>
        <w:pStyle w:val="Normal1"/>
        <w:tabs>
          <w:tab w:val="left" w:pos="220"/>
          <w:tab w:val="left" w:pos="720"/>
        </w:tabs>
        <w:spacing w:after="120"/>
        <w:ind w:right="-340"/>
      </w:pPr>
      <w:r>
        <w:rPr>
          <w:rFonts w:ascii="Century Gothic" w:eastAsia="Century Gothic" w:hAnsi="Century Gothic" w:cs="Century Gothic"/>
          <w:sz w:val="20"/>
          <w:szCs w:val="20"/>
        </w:rPr>
        <w:t>Reports provide a range of quantitative measures (participation, completion) and qualitative discussion of the effectiveness of the approaches adopted. I</w:t>
      </w:r>
      <w:r w:rsidR="00891273">
        <w:rPr>
          <w:rFonts w:ascii="Century Gothic" w:eastAsia="Century Gothic" w:hAnsi="Century Gothic" w:cs="Century Gothic"/>
          <w:sz w:val="20"/>
          <w:szCs w:val="20"/>
        </w:rPr>
        <w:t>ndicates that prep outcome data</w:t>
      </w:r>
      <w:r>
        <w:rPr>
          <w:rFonts w:ascii="Century Gothic" w:eastAsia="Century Gothic" w:hAnsi="Century Gothic" w:cs="Century Gothic"/>
          <w:sz w:val="20"/>
          <w:szCs w:val="20"/>
        </w:rPr>
        <w:t xml:space="preserve"> (PIPS testing) has improved significantly over the last two years.</w:t>
      </w:r>
    </w:p>
    <w:p w14:paraId="64BB84EB" w14:textId="77777777" w:rsidR="00B01F36" w:rsidRDefault="00B01F36" w:rsidP="005621A8">
      <w:pPr>
        <w:pStyle w:val="Heading3"/>
        <w:spacing w:before="120"/>
      </w:pPr>
      <w:bookmarkStart w:id="375" w:name="_3dy6vkm" w:colFirst="0" w:colLast="0"/>
      <w:bookmarkStart w:id="376" w:name="_Toc495587323"/>
      <w:bookmarkEnd w:id="375"/>
      <w:r>
        <w:t>Issues and Implications</w:t>
      </w:r>
      <w:bookmarkEnd w:id="376"/>
    </w:p>
    <w:p w14:paraId="08E72163" w14:textId="6D3C13DA"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Benefit is to see SFSF as a 4</w:t>
      </w:r>
      <w:r w:rsidR="005621A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year program and plan accordingly – enables coordination and focus of support. Broad nature of SFSF is also positive compared with previous programs e.g. NPs, too </w:t>
      </w:r>
      <w:r w:rsidR="009617E9">
        <w:rPr>
          <w:rFonts w:ascii="Century Gothic" w:eastAsia="Century Gothic" w:hAnsi="Century Gothic" w:cs="Century Gothic"/>
          <w:sz w:val="20"/>
          <w:szCs w:val="20"/>
        </w:rPr>
        <w:t>many projects, spread too thin.</w:t>
      </w:r>
    </w:p>
    <w:p w14:paraId="25F889AA" w14:textId="77777777" w:rsidR="00B01F36" w:rsidRDefault="00B01F36" w:rsidP="006A1D2B">
      <w:pPr>
        <w:pStyle w:val="Normal1"/>
        <w:numPr>
          <w:ilvl w:val="0"/>
          <w:numId w:val="40"/>
        </w:numPr>
        <w:spacing w:line="276" w:lineRule="auto"/>
        <w:ind w:right="-340" w:hanging="360"/>
        <w:contextualSpacing/>
        <w:jc w:val="both"/>
        <w:rPr>
          <w:sz w:val="20"/>
          <w:szCs w:val="20"/>
        </w:rPr>
      </w:pPr>
      <w:r>
        <w:rPr>
          <w:rFonts w:ascii="Century Gothic" w:eastAsia="Century Gothic" w:hAnsi="Century Gothic" w:cs="Century Gothic"/>
          <w:sz w:val="20"/>
          <w:szCs w:val="20"/>
        </w:rPr>
        <w:t>Some differences in how non systemic schools are involved.</w:t>
      </w:r>
    </w:p>
    <w:p w14:paraId="13EB2CD7" w14:textId="25D8B95C" w:rsidR="00DC4448" w:rsidRPr="003E5526" w:rsidRDefault="00B01F36" w:rsidP="0064309F">
      <w:pPr>
        <w:pStyle w:val="Normal1"/>
        <w:numPr>
          <w:ilvl w:val="0"/>
          <w:numId w:val="40"/>
        </w:numPr>
        <w:spacing w:line="276" w:lineRule="auto"/>
        <w:ind w:right="-340" w:hanging="360"/>
        <w:contextualSpacing/>
        <w:jc w:val="both"/>
        <w:rPr>
          <w:rFonts w:ascii="Century Gothic" w:hAnsi="Century Gothic"/>
          <w:sz w:val="20"/>
          <w:szCs w:val="20"/>
        </w:rPr>
      </w:pPr>
      <w:bookmarkStart w:id="377" w:name="_1t3h5sf" w:colFirst="0" w:colLast="0"/>
      <w:bookmarkEnd w:id="377"/>
      <w:r w:rsidRPr="003E5526">
        <w:rPr>
          <w:rFonts w:ascii="Century Gothic" w:eastAsia="Century Gothic" w:hAnsi="Century Gothic" w:cs="Century Gothic"/>
          <w:sz w:val="20"/>
          <w:szCs w:val="20"/>
        </w:rPr>
        <w:t>Indicated SFSF funds were not seen as significant</w:t>
      </w:r>
      <w:r w:rsidR="00DC4448" w:rsidRPr="003E5526">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Northern Territory Independent NGRB."/>
      </w:tblPr>
      <w:tblGrid>
        <w:gridCol w:w="3777"/>
        <w:gridCol w:w="1009"/>
        <w:gridCol w:w="1285"/>
        <w:gridCol w:w="1325"/>
        <w:gridCol w:w="1296"/>
      </w:tblGrid>
      <w:tr w:rsidR="00DC4448" w:rsidRPr="00E4618A" w14:paraId="7369C07B" w14:textId="77777777" w:rsidTr="002C6ABD">
        <w:tc>
          <w:tcPr>
            <w:tcW w:w="3777" w:type="dxa"/>
            <w:vMerge w:val="restart"/>
            <w:tcBorders>
              <w:top w:val="nil"/>
              <w:left w:val="nil"/>
              <w:bottom w:val="nil"/>
              <w:right w:val="single" w:sz="4" w:space="0" w:color="auto"/>
            </w:tcBorders>
            <w:shd w:val="clear" w:color="auto" w:fill="auto"/>
          </w:tcPr>
          <w:p w14:paraId="4023DD8B" w14:textId="77777777" w:rsidR="00DC4448" w:rsidRPr="00870B9B" w:rsidRDefault="00DC4448" w:rsidP="005621A8">
            <w:pPr>
              <w:pStyle w:val="Heading2"/>
              <w:spacing w:before="0" w:after="0"/>
            </w:pPr>
            <w:bookmarkStart w:id="378" w:name="_Toc472261340"/>
            <w:bookmarkStart w:id="379" w:name="_Toc472262683"/>
            <w:bookmarkStart w:id="380" w:name="_Toc472263065"/>
            <w:bookmarkStart w:id="381" w:name="_Toc472263215"/>
            <w:bookmarkStart w:id="382" w:name="_Toc472263366"/>
            <w:bookmarkStart w:id="383" w:name="_Toc346124051"/>
            <w:r w:rsidRPr="005621A8">
              <w:rPr>
                <w:sz w:val="24"/>
              </w:rPr>
              <w:t>Northern Territory Independent</w:t>
            </w:r>
            <w:bookmarkEnd w:id="378"/>
            <w:bookmarkEnd w:id="379"/>
            <w:bookmarkEnd w:id="380"/>
            <w:bookmarkEnd w:id="381"/>
            <w:bookmarkEnd w:id="382"/>
            <w:bookmarkEnd w:id="383"/>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F6E222" w14:textId="77777777" w:rsidR="00DC4448" w:rsidRPr="00E4618A" w:rsidRDefault="00DC4448" w:rsidP="002C6ABD">
            <w:pPr>
              <w:ind w:right="-340"/>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DF484" w14:textId="77777777" w:rsidR="00DC4448" w:rsidRPr="00E4618A" w:rsidRDefault="00DC4448" w:rsidP="002C6ABD">
            <w:pPr>
              <w:ind w:right="-340"/>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A2E57" w14:textId="77777777" w:rsidR="00DC4448" w:rsidRPr="00E4618A" w:rsidRDefault="00DC4448" w:rsidP="002C6ABD">
            <w:pPr>
              <w:ind w:right="-340"/>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C096E6" w14:textId="77777777" w:rsidR="00DC4448" w:rsidRPr="00E4618A" w:rsidRDefault="00DC4448" w:rsidP="002C6ABD">
            <w:pPr>
              <w:ind w:right="-340"/>
              <w:jc w:val="center"/>
              <w:rPr>
                <w:sz w:val="16"/>
                <w:szCs w:val="16"/>
              </w:rPr>
            </w:pPr>
            <w:r>
              <w:rPr>
                <w:sz w:val="16"/>
                <w:szCs w:val="16"/>
              </w:rPr>
              <w:t>SFSF $</w:t>
            </w:r>
          </w:p>
        </w:tc>
      </w:tr>
      <w:tr w:rsidR="00DC4448" w:rsidRPr="004E2552" w14:paraId="7EA2D1BD" w14:textId="77777777" w:rsidTr="002C6ABD">
        <w:tc>
          <w:tcPr>
            <w:tcW w:w="3777" w:type="dxa"/>
            <w:vMerge/>
            <w:tcBorders>
              <w:left w:val="nil"/>
              <w:bottom w:val="nil"/>
              <w:right w:val="single" w:sz="4" w:space="0" w:color="auto"/>
            </w:tcBorders>
            <w:shd w:val="clear" w:color="auto" w:fill="auto"/>
          </w:tcPr>
          <w:p w14:paraId="3B0A211A"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0EA4A403"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20 </w:t>
            </w:r>
          </w:p>
        </w:tc>
        <w:tc>
          <w:tcPr>
            <w:tcW w:w="1285" w:type="dxa"/>
            <w:tcBorders>
              <w:top w:val="single" w:sz="4" w:space="0" w:color="auto"/>
              <w:left w:val="single" w:sz="4" w:space="0" w:color="auto"/>
              <w:bottom w:val="single" w:sz="4" w:space="0" w:color="auto"/>
              <w:right w:val="single" w:sz="4" w:space="0" w:color="auto"/>
            </w:tcBorders>
            <w:vAlign w:val="bottom"/>
          </w:tcPr>
          <w:p w14:paraId="5D34B817"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6,537.00 </w:t>
            </w:r>
          </w:p>
        </w:tc>
        <w:tc>
          <w:tcPr>
            <w:tcW w:w="1325" w:type="dxa"/>
            <w:tcBorders>
              <w:top w:val="single" w:sz="4" w:space="0" w:color="auto"/>
              <w:left w:val="single" w:sz="4" w:space="0" w:color="auto"/>
              <w:bottom w:val="single" w:sz="4" w:space="0" w:color="auto"/>
              <w:right w:val="single" w:sz="4" w:space="0" w:color="auto"/>
            </w:tcBorders>
            <w:vAlign w:val="bottom"/>
          </w:tcPr>
          <w:p w14:paraId="4A87429D"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 xml:space="preserve"> 533.7 </w:t>
            </w:r>
          </w:p>
        </w:tc>
        <w:tc>
          <w:tcPr>
            <w:tcW w:w="1296" w:type="dxa"/>
            <w:tcBorders>
              <w:top w:val="single" w:sz="4" w:space="0" w:color="auto"/>
              <w:left w:val="single" w:sz="4" w:space="0" w:color="auto"/>
              <w:bottom w:val="single" w:sz="4" w:space="0" w:color="auto"/>
              <w:right w:val="single" w:sz="4" w:space="0" w:color="auto"/>
            </w:tcBorders>
            <w:vAlign w:val="bottom"/>
          </w:tcPr>
          <w:p w14:paraId="42136F54" w14:textId="77777777" w:rsidR="00DC4448" w:rsidRPr="004E2552" w:rsidRDefault="00DC4448" w:rsidP="002C6ABD">
            <w:pPr>
              <w:ind w:right="-340"/>
              <w:jc w:val="center"/>
              <w:rPr>
                <w:rFonts w:eastAsia="Times New Roman" w:cs="Times New Roman"/>
                <w:bCs/>
                <w:color w:val="000000"/>
                <w:sz w:val="16"/>
                <w:szCs w:val="16"/>
              </w:rPr>
            </w:pPr>
            <w:r w:rsidRPr="004E2552">
              <w:rPr>
                <w:rFonts w:eastAsia="Times New Roman" w:cs="Times New Roman"/>
                <w:color w:val="000000"/>
                <w:sz w:val="16"/>
                <w:szCs w:val="16"/>
              </w:rPr>
              <w:t>$510,933</w:t>
            </w:r>
          </w:p>
        </w:tc>
      </w:tr>
    </w:tbl>
    <w:p w14:paraId="475532E6" w14:textId="77777777" w:rsidR="00DC4448" w:rsidRPr="005621A8" w:rsidRDefault="00DC4448" w:rsidP="005621A8">
      <w:pPr>
        <w:pStyle w:val="Heading3"/>
        <w:spacing w:before="120"/>
        <w:rPr>
          <w:rStyle w:val="IntenseEmphasis"/>
          <w:b/>
          <w:bCs/>
          <w:i w:val="0"/>
          <w:iCs w:val="0"/>
        </w:rPr>
      </w:pPr>
      <w:bookmarkStart w:id="384" w:name="_Toc472261341"/>
      <w:bookmarkStart w:id="385" w:name="_Toc472262684"/>
      <w:bookmarkStart w:id="386" w:name="_Toc472263066"/>
      <w:bookmarkStart w:id="387" w:name="_Toc472263216"/>
      <w:bookmarkStart w:id="388" w:name="_Toc472263367"/>
      <w:bookmarkStart w:id="389" w:name="_Toc346124052"/>
      <w:r w:rsidRPr="005621A8">
        <w:rPr>
          <w:rStyle w:val="IntenseEmphasis"/>
          <w:b/>
          <w:bCs/>
          <w:i w:val="0"/>
          <w:iCs w:val="0"/>
        </w:rPr>
        <w:t>Key Features of Approach</w:t>
      </w:r>
      <w:bookmarkEnd w:id="384"/>
      <w:bookmarkEnd w:id="385"/>
      <w:bookmarkEnd w:id="386"/>
      <w:bookmarkEnd w:id="387"/>
      <w:bookmarkEnd w:id="388"/>
      <w:bookmarkEnd w:id="389"/>
    </w:p>
    <w:p w14:paraId="2A8E8955" w14:textId="03FDF4F4" w:rsidR="00DC4448" w:rsidRPr="00814E26"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B721CA">
        <w:rPr>
          <w:rFonts w:ascii="Century Gothic" w:eastAsiaTheme="minorHAnsi" w:hAnsi="Century Gothic"/>
          <w:sz w:val="20"/>
          <w:szCs w:val="20"/>
          <w:lang w:val="en-AU"/>
        </w:rPr>
        <w:t xml:space="preserve">Intent </w:t>
      </w:r>
      <w:r>
        <w:rPr>
          <w:rFonts w:ascii="Century Gothic" w:eastAsiaTheme="minorHAnsi" w:hAnsi="Century Gothic"/>
          <w:sz w:val="20"/>
          <w:szCs w:val="20"/>
          <w:lang w:val="en-AU"/>
        </w:rPr>
        <w:t xml:space="preserve">is </w:t>
      </w:r>
      <w:r w:rsidRPr="00B721CA">
        <w:rPr>
          <w:rFonts w:ascii="Century Gothic" w:eastAsiaTheme="minorHAnsi" w:hAnsi="Century Gothic"/>
          <w:sz w:val="20"/>
          <w:szCs w:val="20"/>
          <w:lang w:val="en-AU"/>
        </w:rPr>
        <w:t>to impact quality of teaching (</w:t>
      </w:r>
      <w:r>
        <w:rPr>
          <w:rFonts w:ascii="Century Gothic" w:eastAsiaTheme="minorHAnsi" w:hAnsi="Century Gothic"/>
          <w:sz w:val="20"/>
          <w:szCs w:val="20"/>
          <w:lang w:val="en-AU"/>
        </w:rPr>
        <w:t>particularly through</w:t>
      </w:r>
      <w:r w:rsidRPr="00B721CA">
        <w:rPr>
          <w:rFonts w:ascii="Century Gothic" w:eastAsiaTheme="minorHAnsi" w:hAnsi="Century Gothic"/>
          <w:sz w:val="20"/>
          <w:szCs w:val="20"/>
          <w:lang w:val="en-AU"/>
        </w:rPr>
        <w:t xml:space="preserve"> P</w:t>
      </w:r>
      <w:r>
        <w:rPr>
          <w:rFonts w:ascii="Century Gothic" w:eastAsiaTheme="minorHAnsi" w:hAnsi="Century Gothic"/>
          <w:sz w:val="20"/>
          <w:szCs w:val="20"/>
          <w:lang w:val="en-AU"/>
        </w:rPr>
        <w:t>rofessional Learning</w:t>
      </w:r>
      <w:r w:rsidRPr="00B721CA">
        <w:rPr>
          <w:rFonts w:ascii="Century Gothic" w:eastAsiaTheme="minorHAnsi" w:hAnsi="Century Gothic"/>
          <w:sz w:val="20"/>
          <w:szCs w:val="20"/>
          <w:lang w:val="en-AU"/>
        </w:rPr>
        <w:t xml:space="preserve">), as </w:t>
      </w:r>
      <w:r>
        <w:rPr>
          <w:rFonts w:ascii="Century Gothic" w:eastAsiaTheme="minorHAnsi" w:hAnsi="Century Gothic"/>
          <w:sz w:val="20"/>
          <w:szCs w:val="20"/>
          <w:lang w:val="en-AU"/>
        </w:rPr>
        <w:t xml:space="preserve">well as governance, curriculum issues and </w:t>
      </w:r>
      <w:r w:rsidR="009617E9">
        <w:rPr>
          <w:rFonts w:ascii="Century Gothic" w:eastAsiaTheme="minorHAnsi" w:hAnsi="Century Gothic"/>
          <w:sz w:val="20"/>
          <w:szCs w:val="20"/>
          <w:lang w:val="en-AU"/>
        </w:rPr>
        <w:t>compliance</w:t>
      </w:r>
    </w:p>
    <w:p w14:paraId="39374B4F" w14:textId="77777777" w:rsidR="00DC4448" w:rsidRPr="00814E26"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Employed 2 staff (out of 4 total) – one with communication expertise, one with business and governance expertise.</w:t>
      </w:r>
    </w:p>
    <w:p w14:paraId="1950EFD7" w14:textId="77777777" w:rsidR="00DC4448" w:rsidRPr="007140D6" w:rsidRDefault="00DC4448" w:rsidP="005621A8">
      <w:pPr>
        <w:pStyle w:val="Heading3"/>
        <w:spacing w:before="120"/>
      </w:pPr>
      <w:bookmarkStart w:id="390" w:name="_Toc472261342"/>
      <w:bookmarkStart w:id="391" w:name="_Toc472262685"/>
      <w:bookmarkStart w:id="392" w:name="_Toc472263067"/>
      <w:bookmarkStart w:id="393" w:name="_Toc472263217"/>
      <w:bookmarkStart w:id="394" w:name="_Toc472263368"/>
      <w:r w:rsidRPr="007140D6">
        <w:t>Predominant Modes of Delivery</w:t>
      </w:r>
      <w:bookmarkEnd w:id="390"/>
      <w:bookmarkEnd w:id="391"/>
      <w:bookmarkEnd w:id="392"/>
      <w:bookmarkEnd w:id="393"/>
      <w:bookmarkEnd w:id="394"/>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On-line Tools, and Support and advice.&#10;"/>
      </w:tblPr>
      <w:tblGrid>
        <w:gridCol w:w="3652"/>
        <w:gridCol w:w="850"/>
      </w:tblGrid>
      <w:tr w:rsidR="003E5526" w14:paraId="38981B64" w14:textId="77777777" w:rsidTr="003E5526">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0DD249" w14:textId="77777777" w:rsidR="003E5526" w:rsidRPr="00E4618A" w:rsidRDefault="003E5526"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4929CA" w14:textId="66F50B32" w:rsidR="003E5526" w:rsidRPr="00E4618A" w:rsidRDefault="003E5526" w:rsidP="003E5526">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3E5526" w:rsidRPr="00C453CD" w14:paraId="0EF5CC57" w14:textId="77777777" w:rsidTr="003E5526">
        <w:tc>
          <w:tcPr>
            <w:tcW w:w="3652" w:type="dxa"/>
            <w:tcBorders>
              <w:top w:val="single" w:sz="4" w:space="0" w:color="auto"/>
              <w:left w:val="single" w:sz="4" w:space="0" w:color="auto"/>
              <w:bottom w:val="single" w:sz="4" w:space="0" w:color="auto"/>
              <w:right w:val="single" w:sz="4" w:space="0" w:color="auto"/>
            </w:tcBorders>
          </w:tcPr>
          <w:p w14:paraId="3E5F8D57" w14:textId="77777777" w:rsidR="003E5526" w:rsidRPr="00C453CD" w:rsidRDefault="003E5526" w:rsidP="002C6ABD">
            <w:pPr>
              <w:spacing w:before="100" w:beforeAutospacing="1" w:after="120"/>
              <w:ind w:right="-340"/>
              <w:jc w:val="center"/>
              <w:rPr>
                <w:rFonts w:cs="Times New Roman"/>
                <w:i/>
                <w:iCs/>
                <w:sz w:val="15"/>
                <w:szCs w:val="15"/>
              </w:rPr>
            </w:pPr>
            <w:r w:rsidRPr="00C453CD">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72BE1D6A" w14:textId="0C585B03"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5BEB8A00" w14:textId="77777777" w:rsidTr="003E5526">
        <w:tc>
          <w:tcPr>
            <w:tcW w:w="3652" w:type="dxa"/>
            <w:tcBorders>
              <w:top w:val="single" w:sz="4" w:space="0" w:color="auto"/>
              <w:left w:val="single" w:sz="4" w:space="0" w:color="auto"/>
              <w:bottom w:val="single" w:sz="4" w:space="0" w:color="auto"/>
              <w:right w:val="single" w:sz="4" w:space="0" w:color="auto"/>
            </w:tcBorders>
            <w:vAlign w:val="center"/>
          </w:tcPr>
          <w:p w14:paraId="06ACD676" w14:textId="77777777" w:rsidR="003E5526" w:rsidRPr="00C453CD" w:rsidRDefault="003E5526" w:rsidP="002C6ABD">
            <w:pPr>
              <w:spacing w:before="100" w:beforeAutospacing="1" w:after="120"/>
              <w:ind w:right="-340"/>
              <w:jc w:val="center"/>
              <w:rPr>
                <w:rFonts w:cs="Times New Roman"/>
                <w:i/>
                <w:iCs/>
                <w:sz w:val="15"/>
                <w:szCs w:val="15"/>
              </w:rPr>
            </w:pPr>
            <w:r w:rsidRPr="00C453CD">
              <w:rPr>
                <w:rFonts w:cs="Times New Roman"/>
                <w:i/>
                <w:iCs/>
                <w:sz w:val="15"/>
                <w:szCs w:val="15"/>
              </w:rPr>
              <w:t>Consultancy advice in schools</w:t>
            </w:r>
          </w:p>
        </w:tc>
        <w:tc>
          <w:tcPr>
            <w:tcW w:w="850" w:type="dxa"/>
            <w:tcBorders>
              <w:top w:val="single" w:sz="4" w:space="0" w:color="auto"/>
              <w:left w:val="single" w:sz="4" w:space="0" w:color="auto"/>
              <w:bottom w:val="single" w:sz="4" w:space="0" w:color="auto"/>
              <w:right w:val="single" w:sz="4" w:space="0" w:color="auto"/>
            </w:tcBorders>
          </w:tcPr>
          <w:p w14:paraId="2FAC30D4" w14:textId="1119D6CA"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4A09F191" w14:textId="77777777" w:rsidTr="003E5526">
        <w:tc>
          <w:tcPr>
            <w:tcW w:w="3652" w:type="dxa"/>
            <w:tcBorders>
              <w:top w:val="single" w:sz="4" w:space="0" w:color="auto"/>
              <w:left w:val="single" w:sz="4" w:space="0" w:color="auto"/>
              <w:bottom w:val="single" w:sz="4" w:space="0" w:color="auto"/>
              <w:right w:val="single" w:sz="4" w:space="0" w:color="auto"/>
            </w:tcBorders>
          </w:tcPr>
          <w:p w14:paraId="761A13AA" w14:textId="77777777" w:rsidR="003E5526" w:rsidRPr="00C453CD" w:rsidRDefault="003E5526" w:rsidP="002C6ABD">
            <w:pPr>
              <w:spacing w:before="100" w:beforeAutospacing="1" w:after="120"/>
              <w:ind w:right="-340"/>
              <w:jc w:val="center"/>
              <w:rPr>
                <w:rFonts w:cs="Times New Roman"/>
                <w:i/>
                <w:iCs/>
                <w:sz w:val="15"/>
                <w:szCs w:val="15"/>
              </w:rPr>
            </w:pPr>
            <w:r w:rsidRPr="00C453CD">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61714FA6" w14:textId="6695478C" w:rsidR="003E5526" w:rsidRPr="00C453CD" w:rsidRDefault="003E5526" w:rsidP="002C6ABD">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C453CD" w14:paraId="52215DBA" w14:textId="77777777" w:rsidTr="003E5526">
        <w:tc>
          <w:tcPr>
            <w:tcW w:w="3652" w:type="dxa"/>
            <w:tcBorders>
              <w:top w:val="single" w:sz="4" w:space="0" w:color="auto"/>
              <w:left w:val="single" w:sz="4" w:space="0" w:color="auto"/>
              <w:bottom w:val="single" w:sz="4" w:space="0" w:color="auto"/>
              <w:right w:val="single" w:sz="4" w:space="0" w:color="auto"/>
            </w:tcBorders>
          </w:tcPr>
          <w:p w14:paraId="7A851B4B" w14:textId="77777777" w:rsidR="003E5526" w:rsidRPr="00C453CD" w:rsidRDefault="003E5526" w:rsidP="002C6ABD">
            <w:pPr>
              <w:spacing w:before="100" w:beforeAutospacing="1" w:after="120"/>
              <w:ind w:right="-340"/>
              <w:jc w:val="center"/>
              <w:rPr>
                <w:rFonts w:cs="Times New Roman"/>
                <w:i/>
                <w:iCs/>
                <w:sz w:val="15"/>
                <w:szCs w:val="15"/>
              </w:rPr>
            </w:pPr>
            <w:r w:rsidRPr="00C453CD">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5F75015C" w14:textId="46C9FFBC"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C453CD" w14:paraId="361F4AF7" w14:textId="77777777" w:rsidTr="003E5526">
        <w:tc>
          <w:tcPr>
            <w:tcW w:w="3652" w:type="dxa"/>
            <w:tcBorders>
              <w:top w:val="single" w:sz="4" w:space="0" w:color="auto"/>
              <w:left w:val="single" w:sz="4" w:space="0" w:color="auto"/>
              <w:bottom w:val="single" w:sz="4" w:space="0" w:color="auto"/>
              <w:right w:val="single" w:sz="4" w:space="0" w:color="auto"/>
            </w:tcBorders>
            <w:vAlign w:val="center"/>
          </w:tcPr>
          <w:p w14:paraId="65158B40" w14:textId="77777777" w:rsidR="003E5526" w:rsidRPr="00C453CD" w:rsidRDefault="003E5526" w:rsidP="002C6ABD">
            <w:pPr>
              <w:spacing w:before="100" w:beforeAutospacing="1" w:after="120"/>
              <w:ind w:right="-340"/>
              <w:jc w:val="center"/>
              <w:rPr>
                <w:rFonts w:cs="Times New Roman"/>
                <w:i/>
                <w:iCs/>
                <w:sz w:val="15"/>
                <w:szCs w:val="15"/>
              </w:rPr>
            </w:pPr>
            <w:r w:rsidRPr="00C453CD">
              <w:rPr>
                <w:rFonts w:cs="Times New Roman"/>
                <w:i/>
                <w:iCs/>
                <w:sz w:val="15"/>
                <w:szCs w:val="15"/>
              </w:rPr>
              <w:t>Resource provision</w:t>
            </w:r>
          </w:p>
        </w:tc>
        <w:tc>
          <w:tcPr>
            <w:tcW w:w="850" w:type="dxa"/>
            <w:tcBorders>
              <w:top w:val="single" w:sz="4" w:space="0" w:color="auto"/>
              <w:left w:val="single" w:sz="4" w:space="0" w:color="auto"/>
              <w:bottom w:val="single" w:sz="4" w:space="0" w:color="auto"/>
              <w:right w:val="single" w:sz="4" w:space="0" w:color="auto"/>
            </w:tcBorders>
          </w:tcPr>
          <w:p w14:paraId="068BF88F" w14:textId="244F976F" w:rsidR="003E5526" w:rsidRPr="00C453CD" w:rsidRDefault="003E5526" w:rsidP="002C6ABD">
            <w:pPr>
              <w:spacing w:before="100" w:beforeAutospacing="1" w:after="120"/>
              <w:ind w:right="-340"/>
              <w:jc w:val="center"/>
              <w:rPr>
                <w:rFonts w:cs="Times New Roman"/>
                <w:i/>
                <w:iCs/>
                <w:sz w:val="15"/>
                <w:szCs w:val="15"/>
              </w:rPr>
            </w:pPr>
            <w:r>
              <w:rPr>
                <w:rFonts w:cs="Times New Roman"/>
                <w:i/>
                <w:iCs/>
                <w:sz w:val="15"/>
                <w:szCs w:val="15"/>
              </w:rPr>
              <w:t>no</w:t>
            </w:r>
          </w:p>
        </w:tc>
      </w:tr>
      <w:tr w:rsidR="003E5526" w:rsidRPr="00C453CD" w14:paraId="39B4CEEA" w14:textId="77777777" w:rsidTr="003E5526">
        <w:tc>
          <w:tcPr>
            <w:tcW w:w="3652" w:type="dxa"/>
            <w:tcBorders>
              <w:top w:val="single" w:sz="4" w:space="0" w:color="auto"/>
              <w:left w:val="single" w:sz="4" w:space="0" w:color="auto"/>
              <w:bottom w:val="single" w:sz="4" w:space="0" w:color="auto"/>
              <w:right w:val="single" w:sz="4" w:space="0" w:color="auto"/>
            </w:tcBorders>
          </w:tcPr>
          <w:p w14:paraId="51A1EA06" w14:textId="38C51C13" w:rsidR="003E5526" w:rsidRPr="00C453CD" w:rsidRDefault="003E5526" w:rsidP="003E5526">
            <w:pPr>
              <w:spacing w:before="100" w:beforeAutospacing="1" w:after="120"/>
              <w:ind w:right="-340"/>
              <w:jc w:val="center"/>
              <w:rPr>
                <w:rFonts w:cs="Times New Roman"/>
                <w:i/>
                <w:iCs/>
                <w:sz w:val="15"/>
                <w:szCs w:val="15"/>
              </w:rPr>
            </w:pPr>
            <w:r w:rsidRPr="00C453CD">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4B9BC278" w14:textId="7CD2CA82" w:rsidR="003E5526" w:rsidRPr="00C453CD"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C453CD" w14:paraId="079E645C" w14:textId="77777777" w:rsidTr="003E5526">
        <w:tc>
          <w:tcPr>
            <w:tcW w:w="3652" w:type="dxa"/>
            <w:tcBorders>
              <w:top w:val="single" w:sz="4" w:space="0" w:color="auto"/>
              <w:left w:val="single" w:sz="4" w:space="0" w:color="auto"/>
              <w:bottom w:val="single" w:sz="4" w:space="0" w:color="auto"/>
              <w:right w:val="single" w:sz="4" w:space="0" w:color="auto"/>
            </w:tcBorders>
          </w:tcPr>
          <w:p w14:paraId="6872C3FE" w14:textId="3DAFD39D" w:rsidR="003E5526" w:rsidRPr="00C453CD" w:rsidRDefault="003E5526" w:rsidP="003E5526">
            <w:pPr>
              <w:spacing w:before="100" w:beforeAutospacing="1" w:after="120"/>
              <w:ind w:right="-340"/>
              <w:jc w:val="center"/>
              <w:rPr>
                <w:rFonts w:cs="Times New Roman"/>
                <w:i/>
                <w:iCs/>
                <w:sz w:val="15"/>
                <w:szCs w:val="15"/>
              </w:rPr>
            </w:pPr>
            <w:r w:rsidRPr="00C453CD">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15D5D113" w14:textId="1D560794" w:rsidR="003E5526" w:rsidRPr="00C453CD"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C453CD" w14:paraId="6FC9E299" w14:textId="77777777" w:rsidTr="003E5526">
        <w:tc>
          <w:tcPr>
            <w:tcW w:w="3652" w:type="dxa"/>
            <w:tcBorders>
              <w:top w:val="single" w:sz="4" w:space="0" w:color="auto"/>
              <w:left w:val="single" w:sz="4" w:space="0" w:color="auto"/>
              <w:bottom w:val="single" w:sz="4" w:space="0" w:color="auto"/>
              <w:right w:val="single" w:sz="4" w:space="0" w:color="auto"/>
            </w:tcBorders>
          </w:tcPr>
          <w:p w14:paraId="627CD3F8" w14:textId="086D6E91" w:rsidR="003E5526" w:rsidRPr="00C453CD" w:rsidRDefault="003E5526" w:rsidP="003E5526">
            <w:pPr>
              <w:spacing w:before="100" w:beforeAutospacing="1" w:after="120"/>
              <w:ind w:right="-340"/>
              <w:jc w:val="center"/>
              <w:rPr>
                <w:rFonts w:cs="Times New Roman"/>
                <w:i/>
                <w:iCs/>
                <w:sz w:val="15"/>
                <w:szCs w:val="15"/>
              </w:rPr>
            </w:pPr>
            <w:r w:rsidRPr="00C453CD">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69DCB3EC" w14:textId="7B1D0D04" w:rsidR="003E5526" w:rsidRPr="00C453CD" w:rsidRDefault="003E5526" w:rsidP="003E5526">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C453CD" w14:paraId="7EFAF4AC" w14:textId="77777777" w:rsidTr="003E5526">
        <w:tc>
          <w:tcPr>
            <w:tcW w:w="3652" w:type="dxa"/>
            <w:tcBorders>
              <w:top w:val="single" w:sz="4" w:space="0" w:color="auto"/>
              <w:left w:val="single" w:sz="4" w:space="0" w:color="auto"/>
              <w:bottom w:val="single" w:sz="4" w:space="0" w:color="auto"/>
              <w:right w:val="single" w:sz="4" w:space="0" w:color="auto"/>
            </w:tcBorders>
          </w:tcPr>
          <w:p w14:paraId="2F06F91A" w14:textId="0F71222B" w:rsidR="003E5526" w:rsidRPr="00C453CD" w:rsidRDefault="003E5526" w:rsidP="003E5526">
            <w:pPr>
              <w:spacing w:before="100" w:beforeAutospacing="1" w:after="120"/>
              <w:ind w:right="-340"/>
              <w:jc w:val="center"/>
              <w:rPr>
                <w:rFonts w:cs="Times New Roman"/>
                <w:i/>
                <w:iCs/>
                <w:sz w:val="15"/>
                <w:szCs w:val="15"/>
              </w:rPr>
            </w:pPr>
            <w:r w:rsidRPr="00C453CD">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398F151D" w14:textId="02387F1A" w:rsidR="003E5526" w:rsidRPr="00C453CD"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p>
        </w:tc>
      </w:tr>
    </w:tbl>
    <w:p w14:paraId="698BA32B" w14:textId="77777777" w:rsidR="00DC4448" w:rsidRPr="00027DD6" w:rsidRDefault="00DC4448" w:rsidP="005621A8">
      <w:pPr>
        <w:pStyle w:val="Heading3"/>
        <w:spacing w:before="120"/>
      </w:pPr>
      <w:bookmarkStart w:id="395" w:name="_Toc472261343"/>
      <w:bookmarkStart w:id="396" w:name="_Toc472262686"/>
      <w:bookmarkStart w:id="397" w:name="_Toc472263068"/>
      <w:bookmarkStart w:id="398" w:name="_Toc472263218"/>
      <w:bookmarkStart w:id="399" w:name="_Toc472263369"/>
      <w:bookmarkStart w:id="400" w:name="_Toc346124053"/>
      <w:r w:rsidRPr="00027DD6">
        <w:t>Sample of Key Programs</w:t>
      </w:r>
      <w:bookmarkEnd w:id="395"/>
      <w:bookmarkEnd w:id="396"/>
      <w:bookmarkEnd w:id="397"/>
      <w:bookmarkEnd w:id="398"/>
      <w:bookmarkEnd w:id="399"/>
      <w:bookmarkEnd w:id="400"/>
    </w:p>
    <w:p w14:paraId="2CFFA6BA" w14:textId="598107C5"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Provides a range of </w:t>
      </w:r>
      <w:r w:rsidRPr="00B721CA">
        <w:rPr>
          <w:rFonts w:ascii="Century Gothic" w:eastAsiaTheme="minorHAnsi" w:hAnsi="Century Gothic"/>
          <w:sz w:val="20"/>
          <w:szCs w:val="20"/>
          <w:lang w:val="en-AU"/>
        </w:rPr>
        <w:t>P</w:t>
      </w:r>
      <w:r>
        <w:rPr>
          <w:rFonts w:ascii="Century Gothic" w:eastAsiaTheme="minorHAnsi" w:hAnsi="Century Gothic"/>
          <w:sz w:val="20"/>
          <w:szCs w:val="20"/>
          <w:lang w:val="en-AU"/>
        </w:rPr>
        <w:t xml:space="preserve">rofessional </w:t>
      </w:r>
      <w:r w:rsidRPr="00B721CA">
        <w:rPr>
          <w:rFonts w:ascii="Century Gothic" w:eastAsiaTheme="minorHAnsi" w:hAnsi="Century Gothic"/>
          <w:sz w:val="20"/>
          <w:szCs w:val="20"/>
          <w:lang w:val="en-AU"/>
        </w:rPr>
        <w:t>L</w:t>
      </w:r>
      <w:r>
        <w:rPr>
          <w:rFonts w:ascii="Century Gothic" w:eastAsiaTheme="minorHAnsi" w:hAnsi="Century Gothic"/>
          <w:sz w:val="20"/>
          <w:szCs w:val="20"/>
          <w:lang w:val="en-AU"/>
        </w:rPr>
        <w:t>earning activities</w:t>
      </w:r>
      <w:r w:rsidRPr="00B721CA">
        <w:rPr>
          <w:rFonts w:ascii="Century Gothic" w:eastAsiaTheme="minorHAnsi" w:hAnsi="Century Gothic"/>
          <w:sz w:val="20"/>
          <w:szCs w:val="20"/>
          <w:lang w:val="en-AU"/>
        </w:rPr>
        <w:t xml:space="preserve"> in the form of information sessions, consultancy advice and support</w:t>
      </w:r>
      <w:r w:rsidR="009617E9">
        <w:rPr>
          <w:rFonts w:ascii="Century Gothic" w:eastAsiaTheme="minorHAnsi" w:hAnsi="Century Gothic"/>
          <w:sz w:val="20"/>
          <w:szCs w:val="20"/>
          <w:lang w:val="en-AU"/>
        </w:rPr>
        <w:t>.</w:t>
      </w:r>
    </w:p>
    <w:p w14:paraId="66ABFBF1" w14:textId="77777777" w:rsidR="00DC4448" w:rsidRPr="00EB370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Specific activities include support for the </w:t>
      </w:r>
      <w:r w:rsidRPr="00B721CA">
        <w:rPr>
          <w:rFonts w:ascii="Century Gothic" w:eastAsiaTheme="minorHAnsi" w:hAnsi="Century Gothic"/>
          <w:sz w:val="20"/>
          <w:szCs w:val="20"/>
          <w:lang w:val="en-AU"/>
        </w:rPr>
        <w:t>Australian Professional Standards for Teachers, the Principal Standards and the Performance Development Framework</w:t>
      </w:r>
      <w:r>
        <w:rPr>
          <w:rFonts w:ascii="Century Gothic" w:eastAsiaTheme="minorHAnsi" w:hAnsi="Century Gothic"/>
          <w:sz w:val="20"/>
          <w:szCs w:val="20"/>
          <w:lang w:val="en-AU"/>
        </w:rPr>
        <w:t xml:space="preserve"> and </w:t>
      </w:r>
      <w:r w:rsidRPr="00C914FD">
        <w:rPr>
          <w:rFonts w:ascii="Century Gothic" w:eastAsiaTheme="minorHAnsi" w:hAnsi="Century Gothic"/>
          <w:sz w:val="20"/>
          <w:szCs w:val="20"/>
          <w:lang w:val="en-AU"/>
        </w:rPr>
        <w:t>Certification of Highly Accomplished and Lead Teachers</w:t>
      </w:r>
      <w:r>
        <w:rPr>
          <w:rFonts w:ascii="Century Gothic" w:eastAsiaTheme="minorHAnsi" w:hAnsi="Century Gothic"/>
          <w:sz w:val="20"/>
          <w:szCs w:val="20"/>
          <w:lang w:val="en-AU"/>
        </w:rPr>
        <w:t xml:space="preserve">, </w:t>
      </w:r>
      <w:r w:rsidRPr="00C914FD">
        <w:rPr>
          <w:rFonts w:ascii="Century Gothic" w:eastAsiaTheme="minorHAnsi" w:hAnsi="Century Gothic"/>
          <w:sz w:val="20"/>
          <w:szCs w:val="20"/>
          <w:lang w:val="en-AU"/>
        </w:rPr>
        <w:t>use of data leading to better tailored strategies to meet the needs of Aboriginal and Torres Strait Islander students,</w:t>
      </w:r>
      <w:r>
        <w:rPr>
          <w:rFonts w:ascii="Century Gothic" w:eastAsiaTheme="minorHAnsi" w:hAnsi="Century Gothic"/>
          <w:sz w:val="20"/>
          <w:szCs w:val="20"/>
          <w:lang w:val="en-AU"/>
        </w:rPr>
        <w:t xml:space="preserve"> Australian Curriculum</w:t>
      </w:r>
    </w:p>
    <w:p w14:paraId="6EED4C9A" w14:textId="77777777" w:rsidR="00DC4448" w:rsidRPr="00027DD6" w:rsidRDefault="00DC4448" w:rsidP="005621A8">
      <w:pPr>
        <w:pStyle w:val="Heading3"/>
        <w:spacing w:before="120"/>
      </w:pPr>
      <w:bookmarkStart w:id="401" w:name="_Toc472261344"/>
      <w:bookmarkStart w:id="402" w:name="_Toc472262687"/>
      <w:bookmarkStart w:id="403" w:name="_Toc472263069"/>
      <w:bookmarkStart w:id="404" w:name="_Toc472263219"/>
      <w:bookmarkStart w:id="405" w:name="_Toc472263370"/>
      <w:bookmarkStart w:id="406" w:name="_Toc346124054"/>
      <w:r w:rsidRPr="00027DD6">
        <w:t>Funding – how used?</w:t>
      </w:r>
      <w:bookmarkEnd w:id="401"/>
      <w:bookmarkEnd w:id="402"/>
      <w:bookmarkEnd w:id="403"/>
      <w:bookmarkEnd w:id="404"/>
      <w:bookmarkEnd w:id="405"/>
      <w:bookmarkEnd w:id="406"/>
    </w:p>
    <w:p w14:paraId="20A09A0C" w14:textId="77777777" w:rsidR="00DC4448" w:rsidRPr="00163A55"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Funds used to support participation in professional learning programs and employment of staff</w:t>
      </w:r>
    </w:p>
    <w:p w14:paraId="4C4279A1" w14:textId="77777777" w:rsidR="00DC4448" w:rsidRPr="00027DD6" w:rsidRDefault="00DC4448" w:rsidP="005621A8">
      <w:pPr>
        <w:pStyle w:val="Heading3"/>
        <w:spacing w:before="120"/>
      </w:pPr>
      <w:bookmarkStart w:id="407" w:name="_Toc472261345"/>
      <w:bookmarkStart w:id="408" w:name="_Toc472262688"/>
      <w:bookmarkStart w:id="409" w:name="_Toc472263070"/>
      <w:bookmarkStart w:id="410" w:name="_Toc472263220"/>
      <w:bookmarkStart w:id="411" w:name="_Toc472263371"/>
      <w:bookmarkStart w:id="412" w:name="_Toc346124055"/>
      <w:r w:rsidRPr="00027DD6">
        <w:t>Monitoring Success</w:t>
      </w:r>
      <w:bookmarkEnd w:id="407"/>
      <w:bookmarkEnd w:id="408"/>
      <w:bookmarkEnd w:id="409"/>
      <w:bookmarkEnd w:id="410"/>
      <w:bookmarkEnd w:id="411"/>
      <w:bookmarkEnd w:id="412"/>
    </w:p>
    <w:p w14:paraId="2D40E2F7" w14:textId="77777777" w:rsidR="00DC4448" w:rsidRPr="00FE6E40"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Pr="00FE6E40">
        <w:rPr>
          <w:rFonts w:ascii="Century Gothic" w:eastAsiaTheme="minorHAnsi" w:hAnsi="Century Gothic"/>
          <w:sz w:val="20"/>
          <w:szCs w:val="20"/>
          <w:lang w:val="en-AU"/>
        </w:rPr>
        <w:t>uccess indicators focused on recording meetings, forums and workshops; numbers of publications distributed; improved functionality of website</w:t>
      </w:r>
    </w:p>
    <w:p w14:paraId="2D4FF087" w14:textId="77777777" w:rsidR="00DC4448" w:rsidRPr="00EB3702"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Reports </w:t>
      </w:r>
      <w:r w:rsidRPr="00FE6E40">
        <w:rPr>
          <w:rFonts w:ascii="Century Gothic" w:eastAsiaTheme="minorHAnsi" w:hAnsi="Century Gothic"/>
          <w:sz w:val="20"/>
          <w:szCs w:val="20"/>
          <w:lang w:val="en-AU"/>
        </w:rPr>
        <w:t>improved and supportive communication including via a communication officer</w:t>
      </w:r>
    </w:p>
    <w:p w14:paraId="6ECB39DD" w14:textId="77777777" w:rsidR="00DC4448" w:rsidRPr="00027DD6" w:rsidRDefault="00DC4448" w:rsidP="005621A8">
      <w:pPr>
        <w:pStyle w:val="Heading3"/>
        <w:spacing w:before="120"/>
      </w:pPr>
      <w:bookmarkStart w:id="413" w:name="_Toc472261346"/>
      <w:bookmarkStart w:id="414" w:name="_Toc472262689"/>
      <w:bookmarkStart w:id="415" w:name="_Toc472263071"/>
      <w:bookmarkStart w:id="416" w:name="_Toc472263221"/>
      <w:bookmarkStart w:id="417" w:name="_Toc472263372"/>
      <w:bookmarkStart w:id="418" w:name="_Toc346124056"/>
      <w:r w:rsidRPr="00027DD6">
        <w:t>Issues and Implications</w:t>
      </w:r>
      <w:bookmarkEnd w:id="413"/>
      <w:bookmarkEnd w:id="414"/>
      <w:bookmarkEnd w:id="415"/>
      <w:bookmarkEnd w:id="416"/>
      <w:bookmarkEnd w:id="417"/>
      <w:bookmarkEnd w:id="418"/>
    </w:p>
    <w:p w14:paraId="0577D6CA"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SFSF funding has enabled the Association to learn and improve how it conducts its support for schools including professional learning activities.</w:t>
      </w:r>
    </w:p>
    <w:p w14:paraId="6177AE77" w14:textId="77777777" w:rsidR="00DC4448" w:rsidRPr="00FE6E40"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FE6E40">
        <w:rPr>
          <w:rFonts w:ascii="Century Gothic" w:eastAsiaTheme="minorHAnsi" w:hAnsi="Century Gothic"/>
          <w:sz w:val="20"/>
          <w:szCs w:val="20"/>
          <w:lang w:val="en-AU"/>
        </w:rPr>
        <w:t xml:space="preserve">The way the </w:t>
      </w:r>
      <w:r>
        <w:rPr>
          <w:rFonts w:ascii="Century Gothic" w:eastAsiaTheme="minorHAnsi" w:hAnsi="Century Gothic"/>
          <w:sz w:val="20"/>
          <w:szCs w:val="20"/>
          <w:lang w:val="en-AU"/>
        </w:rPr>
        <w:t>funding</w:t>
      </w:r>
      <w:r w:rsidRPr="00FE6E40">
        <w:rPr>
          <w:rFonts w:ascii="Century Gothic" w:eastAsiaTheme="minorHAnsi" w:hAnsi="Century Gothic"/>
          <w:sz w:val="20"/>
          <w:szCs w:val="20"/>
          <w:lang w:val="en-AU"/>
        </w:rPr>
        <w:t xml:space="preserve"> is distributed</w:t>
      </w:r>
      <w:r>
        <w:rPr>
          <w:rFonts w:ascii="Century Gothic" w:eastAsiaTheme="minorHAnsi" w:hAnsi="Century Gothic"/>
          <w:sz w:val="20"/>
          <w:szCs w:val="20"/>
          <w:lang w:val="en-AU"/>
        </w:rPr>
        <w:t xml:space="preserve"> is an issue for small systems</w:t>
      </w:r>
      <w:r w:rsidRPr="00FE6E40">
        <w:rPr>
          <w:rFonts w:ascii="Century Gothic" w:eastAsiaTheme="minorHAnsi" w:hAnsi="Century Gothic"/>
          <w:sz w:val="20"/>
          <w:szCs w:val="20"/>
          <w:lang w:val="en-AU"/>
        </w:rPr>
        <w:t xml:space="preserve">.  Perhaps some weighting </w:t>
      </w:r>
      <w:r>
        <w:rPr>
          <w:rFonts w:ascii="Century Gothic" w:eastAsiaTheme="minorHAnsi" w:hAnsi="Century Gothic"/>
          <w:sz w:val="20"/>
          <w:szCs w:val="20"/>
          <w:lang w:val="en-AU"/>
        </w:rPr>
        <w:t>of</w:t>
      </w:r>
      <w:r w:rsidRPr="00FE6E40">
        <w:rPr>
          <w:rFonts w:ascii="Century Gothic" w:eastAsiaTheme="minorHAnsi" w:hAnsi="Century Gothic"/>
          <w:sz w:val="20"/>
          <w:szCs w:val="20"/>
          <w:lang w:val="en-AU"/>
        </w:rPr>
        <w:t xml:space="preserve"> distributions</w:t>
      </w:r>
      <w:r>
        <w:rPr>
          <w:rFonts w:ascii="Century Gothic" w:eastAsiaTheme="minorHAnsi" w:hAnsi="Century Gothic"/>
          <w:sz w:val="20"/>
          <w:szCs w:val="20"/>
          <w:lang w:val="en-AU"/>
        </w:rPr>
        <w:t xml:space="preserve"> for future allocations</w:t>
      </w:r>
    </w:p>
    <w:p w14:paraId="476CF614"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Existence as an Association would be in jeopardy without this funding.  SFSF also enables the work done on behalf of DET</w:t>
      </w:r>
    </w:p>
    <w:p w14:paraId="3A2937DB" w14:textId="77777777" w:rsidR="00DC4448" w:rsidRDefault="00DC4448" w:rsidP="00DC4448">
      <w:r w:rsidRPr="00EB3702">
        <w:rPr>
          <w:rFonts w:ascii="Century Gothic" w:eastAsiaTheme="minorHAnsi" w:hAnsi="Century Gothic"/>
          <w:sz w:val="20"/>
          <w:szCs w:val="20"/>
          <w:lang w:val="en-AU"/>
        </w:rPr>
        <w:t>The SFSF provides the opportunity for flexibility so school needs are met in context.  Indicated that if funding disappeared schools would notice even if they don’t know this is formally SFSF</w:t>
      </w:r>
    </w:p>
    <w:p w14:paraId="5A509730"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Northern Territory Catholic NGRB."/>
      </w:tblPr>
      <w:tblGrid>
        <w:gridCol w:w="3777"/>
        <w:gridCol w:w="1009"/>
        <w:gridCol w:w="1285"/>
        <w:gridCol w:w="1325"/>
        <w:gridCol w:w="1296"/>
      </w:tblGrid>
      <w:tr w:rsidR="00DC4448" w:rsidRPr="00E4618A" w14:paraId="14B9129E" w14:textId="77777777" w:rsidTr="002C6ABD">
        <w:tc>
          <w:tcPr>
            <w:tcW w:w="3777" w:type="dxa"/>
            <w:vMerge w:val="restart"/>
            <w:tcBorders>
              <w:top w:val="nil"/>
              <w:left w:val="nil"/>
              <w:bottom w:val="nil"/>
              <w:right w:val="single" w:sz="4" w:space="0" w:color="auto"/>
            </w:tcBorders>
            <w:shd w:val="clear" w:color="auto" w:fill="auto"/>
          </w:tcPr>
          <w:p w14:paraId="60C4E2FA" w14:textId="77777777" w:rsidR="00DC4448" w:rsidRPr="00870B9B" w:rsidRDefault="00DC4448" w:rsidP="005621A8">
            <w:pPr>
              <w:pStyle w:val="Heading2"/>
              <w:spacing w:before="0" w:after="0"/>
            </w:pPr>
            <w:bookmarkStart w:id="419" w:name="_Toc472261347"/>
            <w:bookmarkStart w:id="420" w:name="_Toc472262690"/>
            <w:bookmarkStart w:id="421" w:name="_Toc472263072"/>
            <w:bookmarkStart w:id="422" w:name="_Toc472263222"/>
            <w:bookmarkStart w:id="423" w:name="_Toc472263373"/>
            <w:bookmarkStart w:id="424" w:name="_Toc346124057"/>
            <w:r w:rsidRPr="005621A8">
              <w:rPr>
                <w:sz w:val="24"/>
              </w:rPr>
              <w:t>Northern Territory Catholic</w:t>
            </w:r>
            <w:bookmarkEnd w:id="419"/>
            <w:bookmarkEnd w:id="420"/>
            <w:bookmarkEnd w:id="421"/>
            <w:bookmarkEnd w:id="422"/>
            <w:bookmarkEnd w:id="423"/>
            <w:bookmarkEnd w:id="424"/>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448927" w14:textId="77777777" w:rsidR="00DC4448" w:rsidRPr="00E4618A" w:rsidRDefault="00DC4448" w:rsidP="002C6ABD">
            <w:pPr>
              <w:ind w:right="-27"/>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4E926E" w14:textId="77777777" w:rsidR="00DC4448" w:rsidRPr="00E4618A" w:rsidRDefault="00DC4448" w:rsidP="002C6ABD">
            <w:pPr>
              <w:ind w:right="-27"/>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546A24" w14:textId="77777777" w:rsidR="00DC4448" w:rsidRPr="00E4618A" w:rsidRDefault="00DC4448" w:rsidP="002C6ABD">
            <w:pPr>
              <w:ind w:right="-27"/>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78BB5F" w14:textId="77777777" w:rsidR="00DC4448" w:rsidRPr="00E4618A" w:rsidRDefault="00DC4448" w:rsidP="002C6ABD">
            <w:pPr>
              <w:ind w:right="-27"/>
              <w:jc w:val="center"/>
              <w:rPr>
                <w:sz w:val="16"/>
                <w:szCs w:val="16"/>
              </w:rPr>
            </w:pPr>
            <w:r>
              <w:rPr>
                <w:sz w:val="16"/>
                <w:szCs w:val="16"/>
              </w:rPr>
              <w:t>SFSF $</w:t>
            </w:r>
          </w:p>
        </w:tc>
      </w:tr>
      <w:tr w:rsidR="00DC4448" w:rsidRPr="004E2552" w14:paraId="1F588960" w14:textId="77777777" w:rsidTr="002C6ABD">
        <w:tc>
          <w:tcPr>
            <w:tcW w:w="3777" w:type="dxa"/>
            <w:vMerge/>
            <w:tcBorders>
              <w:left w:val="nil"/>
              <w:bottom w:val="nil"/>
              <w:right w:val="single" w:sz="4" w:space="0" w:color="auto"/>
            </w:tcBorders>
            <w:shd w:val="clear" w:color="auto" w:fill="auto"/>
          </w:tcPr>
          <w:p w14:paraId="1B0BE87B"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32E26930"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17</w:t>
            </w:r>
          </w:p>
        </w:tc>
        <w:tc>
          <w:tcPr>
            <w:tcW w:w="1285" w:type="dxa"/>
            <w:tcBorders>
              <w:top w:val="single" w:sz="4" w:space="0" w:color="auto"/>
              <w:left w:val="single" w:sz="4" w:space="0" w:color="auto"/>
              <w:bottom w:val="single" w:sz="4" w:space="0" w:color="auto"/>
              <w:right w:val="single" w:sz="4" w:space="0" w:color="auto"/>
            </w:tcBorders>
            <w:vAlign w:val="bottom"/>
          </w:tcPr>
          <w:p w14:paraId="32EA1A40"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5,134.00</w:t>
            </w:r>
          </w:p>
        </w:tc>
        <w:tc>
          <w:tcPr>
            <w:tcW w:w="1325" w:type="dxa"/>
            <w:tcBorders>
              <w:top w:val="single" w:sz="4" w:space="0" w:color="auto"/>
              <w:left w:val="single" w:sz="4" w:space="0" w:color="auto"/>
              <w:bottom w:val="single" w:sz="4" w:space="0" w:color="auto"/>
              <w:right w:val="single" w:sz="4" w:space="0" w:color="auto"/>
            </w:tcBorders>
            <w:vAlign w:val="bottom"/>
          </w:tcPr>
          <w:p w14:paraId="59FDCB7C"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403.4</w:t>
            </w:r>
          </w:p>
        </w:tc>
        <w:tc>
          <w:tcPr>
            <w:tcW w:w="1296" w:type="dxa"/>
            <w:tcBorders>
              <w:top w:val="single" w:sz="4" w:space="0" w:color="auto"/>
              <w:left w:val="single" w:sz="4" w:space="0" w:color="auto"/>
              <w:bottom w:val="single" w:sz="4" w:space="0" w:color="auto"/>
              <w:right w:val="single" w:sz="4" w:space="0" w:color="auto"/>
            </w:tcBorders>
            <w:vAlign w:val="bottom"/>
          </w:tcPr>
          <w:p w14:paraId="787443C3"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$86,032</w:t>
            </w:r>
          </w:p>
        </w:tc>
      </w:tr>
    </w:tbl>
    <w:p w14:paraId="229AF32E" w14:textId="77777777" w:rsidR="00DC4448" w:rsidRPr="005621A8" w:rsidRDefault="00DC4448" w:rsidP="005621A8">
      <w:pPr>
        <w:pStyle w:val="Heading3"/>
        <w:spacing w:before="120"/>
        <w:rPr>
          <w:rStyle w:val="IntenseEmphasis"/>
          <w:b/>
          <w:bCs/>
          <w:i w:val="0"/>
          <w:iCs w:val="0"/>
        </w:rPr>
      </w:pPr>
      <w:bookmarkStart w:id="425" w:name="_Toc472261348"/>
      <w:bookmarkStart w:id="426" w:name="_Toc472262691"/>
      <w:bookmarkStart w:id="427" w:name="_Toc472263073"/>
      <w:bookmarkStart w:id="428" w:name="_Toc472263223"/>
      <w:bookmarkStart w:id="429" w:name="_Toc472263374"/>
      <w:bookmarkStart w:id="430" w:name="_Toc346124058"/>
      <w:r w:rsidRPr="005621A8">
        <w:rPr>
          <w:rStyle w:val="IntenseEmphasis"/>
          <w:b/>
          <w:bCs/>
          <w:i w:val="0"/>
          <w:iCs w:val="0"/>
        </w:rPr>
        <w:t>Key Features of Approach</w:t>
      </w:r>
      <w:bookmarkEnd w:id="425"/>
      <w:bookmarkEnd w:id="426"/>
      <w:bookmarkEnd w:id="427"/>
      <w:bookmarkEnd w:id="428"/>
      <w:bookmarkEnd w:id="429"/>
      <w:bookmarkEnd w:id="430"/>
    </w:p>
    <w:p w14:paraId="2D6FF43E" w14:textId="0811EEB9"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SFSF and other funds support p</w:t>
      </w:r>
      <w:r w:rsidRPr="00061C93">
        <w:rPr>
          <w:rFonts w:ascii="Century Gothic" w:eastAsiaTheme="minorHAnsi" w:hAnsi="Century Gothic"/>
          <w:sz w:val="20"/>
          <w:szCs w:val="20"/>
          <w:lang w:val="en-AU"/>
        </w:rPr>
        <w:t>rofessional learning and CENT consultancy advice and support</w:t>
      </w:r>
      <w:r w:rsidR="009617E9">
        <w:rPr>
          <w:rFonts w:ascii="Century Gothic" w:eastAsiaTheme="minorHAnsi" w:hAnsi="Century Gothic"/>
          <w:sz w:val="20"/>
          <w:szCs w:val="20"/>
          <w:lang w:val="en-AU"/>
        </w:rPr>
        <w:t xml:space="preserve"> with a focus on</w:t>
      </w:r>
    </w:p>
    <w:p w14:paraId="3AF9C1C5" w14:textId="77777777" w:rsidR="00DC4448" w:rsidRPr="00061C93"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L</w:t>
      </w:r>
      <w:r w:rsidRPr="00061C93">
        <w:rPr>
          <w:rFonts w:ascii="Century Gothic" w:eastAsiaTheme="minorHAnsi" w:hAnsi="Century Gothic"/>
          <w:sz w:val="20"/>
          <w:szCs w:val="20"/>
          <w:lang w:val="en-AU"/>
        </w:rPr>
        <w:t>it</w:t>
      </w:r>
      <w:r>
        <w:rPr>
          <w:rFonts w:ascii="Century Gothic" w:eastAsiaTheme="minorHAnsi" w:hAnsi="Century Gothic"/>
          <w:sz w:val="20"/>
          <w:szCs w:val="20"/>
          <w:lang w:val="en-AU"/>
        </w:rPr>
        <w:t xml:space="preserve">eracy </w:t>
      </w:r>
      <w:r w:rsidRPr="00061C93">
        <w:rPr>
          <w:rFonts w:ascii="Century Gothic" w:eastAsiaTheme="minorHAnsi" w:hAnsi="Century Gothic"/>
          <w:sz w:val="20"/>
          <w:szCs w:val="20"/>
          <w:lang w:val="en-AU"/>
        </w:rPr>
        <w:t>and numeracy</w:t>
      </w:r>
    </w:p>
    <w:p w14:paraId="1A8B74D7" w14:textId="77777777" w:rsidR="00DC4448" w:rsidRPr="00061C93"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T</w:t>
      </w:r>
      <w:r w:rsidRPr="00061C93">
        <w:rPr>
          <w:rFonts w:ascii="Century Gothic" w:eastAsiaTheme="minorHAnsi" w:hAnsi="Century Gothic"/>
          <w:sz w:val="20"/>
          <w:szCs w:val="20"/>
          <w:lang w:val="en-AU"/>
        </w:rPr>
        <w:t>eacher and leadership capacity</w:t>
      </w:r>
    </w:p>
    <w:p w14:paraId="730E2083" w14:textId="77777777" w:rsidR="00DC4448" w:rsidRPr="00061C93"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Pr="00061C93">
        <w:rPr>
          <w:rFonts w:ascii="Century Gothic" w:eastAsiaTheme="minorHAnsi" w:hAnsi="Century Gothic"/>
          <w:sz w:val="20"/>
          <w:szCs w:val="20"/>
          <w:lang w:val="en-AU"/>
        </w:rPr>
        <w:t>tudents with disabilities</w:t>
      </w:r>
    </w:p>
    <w:p w14:paraId="00023B94" w14:textId="77777777" w:rsidR="00DC4448" w:rsidRPr="00E4618A"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sidRPr="00061C93">
        <w:rPr>
          <w:rFonts w:ascii="Century Gothic" w:eastAsiaTheme="minorHAnsi" w:hAnsi="Century Gothic"/>
          <w:sz w:val="20"/>
          <w:szCs w:val="20"/>
          <w:lang w:val="en-AU"/>
        </w:rPr>
        <w:t>Collection of data</w:t>
      </w:r>
    </w:p>
    <w:p w14:paraId="70B44526" w14:textId="77777777" w:rsidR="00DC4448" w:rsidRPr="007140D6" w:rsidRDefault="00DC4448" w:rsidP="005621A8">
      <w:pPr>
        <w:pStyle w:val="Heading3"/>
        <w:spacing w:before="120"/>
      </w:pPr>
      <w:bookmarkStart w:id="431" w:name="_Toc472261349"/>
      <w:bookmarkStart w:id="432" w:name="_Toc472262692"/>
      <w:bookmarkStart w:id="433" w:name="_Toc472263074"/>
      <w:bookmarkStart w:id="434" w:name="_Toc472263224"/>
      <w:bookmarkStart w:id="435" w:name="_Toc472263375"/>
      <w:r w:rsidRPr="007140D6">
        <w:t>Predominant Modes of Delivery</w:t>
      </w:r>
      <w:bookmarkEnd w:id="431"/>
      <w:bookmarkEnd w:id="432"/>
      <w:bookmarkEnd w:id="433"/>
      <w:bookmarkEnd w:id="434"/>
      <w:bookmarkEnd w:id="435"/>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and Support and advice.&#10;"/>
      </w:tblPr>
      <w:tblGrid>
        <w:gridCol w:w="3652"/>
        <w:gridCol w:w="850"/>
      </w:tblGrid>
      <w:tr w:rsidR="003E5526" w14:paraId="6B16BD8E" w14:textId="77777777" w:rsidTr="003E5526">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CDBF56" w14:textId="77777777" w:rsidR="003E5526" w:rsidRPr="00E4618A" w:rsidRDefault="003E5526" w:rsidP="002C6ABD">
            <w:pPr>
              <w:spacing w:after="60"/>
              <w:ind w:right="-340"/>
              <w:rPr>
                <w:rFonts w:eastAsia="Times New Roman" w:cs="Times New Roman"/>
                <w:color w:val="000000"/>
                <w:sz w:val="16"/>
                <w:szCs w:val="16"/>
              </w:rPr>
            </w:pPr>
            <w:r w:rsidRPr="00E4618A">
              <w:rPr>
                <w:rFonts w:eastAsia="Times New Roman" w:cs="Times New Roman"/>
                <w:color w:val="000000"/>
                <w:sz w:val="16"/>
                <w:szCs w:val="16"/>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322986" w14:textId="6A04022A" w:rsidR="003E5526" w:rsidRPr="00E4618A" w:rsidRDefault="003E5526" w:rsidP="003E5526">
            <w:pPr>
              <w:spacing w:after="60"/>
              <w:ind w:right="-340"/>
              <w:jc w:val="center"/>
              <w:rPr>
                <w:rFonts w:eastAsia="Times New Roman" w:cs="Times New Roman"/>
                <w:color w:val="000000"/>
                <w:sz w:val="16"/>
                <w:szCs w:val="16"/>
              </w:rPr>
            </w:pPr>
            <w:r w:rsidRPr="003E5526">
              <w:rPr>
                <w:rFonts w:cs="Times New Roman"/>
                <w:i/>
                <w:iCs/>
                <w:sz w:val="15"/>
                <w:szCs w:val="15"/>
              </w:rPr>
              <w:t>Yes/no</w:t>
            </w:r>
          </w:p>
        </w:tc>
      </w:tr>
      <w:tr w:rsidR="003E5526" w:rsidRPr="00961128" w14:paraId="11F5145D" w14:textId="77777777" w:rsidTr="003E5526">
        <w:tc>
          <w:tcPr>
            <w:tcW w:w="3652" w:type="dxa"/>
            <w:tcBorders>
              <w:top w:val="single" w:sz="4" w:space="0" w:color="auto"/>
              <w:left w:val="single" w:sz="4" w:space="0" w:color="auto"/>
              <w:bottom w:val="single" w:sz="4" w:space="0" w:color="auto"/>
              <w:right w:val="single" w:sz="4" w:space="0" w:color="auto"/>
            </w:tcBorders>
          </w:tcPr>
          <w:p w14:paraId="6272F356" w14:textId="77777777" w:rsidR="003E5526" w:rsidRPr="00961128" w:rsidRDefault="003E5526" w:rsidP="002C6ABD">
            <w:pPr>
              <w:spacing w:before="100" w:beforeAutospacing="1" w:after="120"/>
              <w:ind w:right="-340"/>
              <w:rPr>
                <w:rFonts w:cs="Times New Roman"/>
                <w:i/>
                <w:iCs/>
                <w:sz w:val="15"/>
                <w:szCs w:val="15"/>
              </w:rPr>
            </w:pPr>
            <w:r w:rsidRPr="00961128">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tcPr>
          <w:p w14:paraId="6EEE02BB" w14:textId="08C66957"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961128" w14:paraId="48645D91" w14:textId="77777777" w:rsidTr="003E5526">
        <w:tc>
          <w:tcPr>
            <w:tcW w:w="3652" w:type="dxa"/>
            <w:tcBorders>
              <w:top w:val="single" w:sz="4" w:space="0" w:color="auto"/>
              <w:left w:val="single" w:sz="4" w:space="0" w:color="auto"/>
              <w:bottom w:val="single" w:sz="4" w:space="0" w:color="auto"/>
              <w:right w:val="single" w:sz="4" w:space="0" w:color="auto"/>
            </w:tcBorders>
            <w:vAlign w:val="center"/>
          </w:tcPr>
          <w:p w14:paraId="021AF234" w14:textId="77777777" w:rsidR="003E5526" w:rsidRPr="00961128" w:rsidRDefault="003E5526" w:rsidP="002C6ABD">
            <w:pPr>
              <w:spacing w:before="100" w:beforeAutospacing="1" w:after="120"/>
              <w:ind w:right="-340"/>
              <w:rPr>
                <w:rFonts w:cs="Times New Roman"/>
                <w:i/>
                <w:iCs/>
                <w:sz w:val="15"/>
                <w:szCs w:val="15"/>
              </w:rPr>
            </w:pPr>
            <w:r w:rsidRPr="00961128">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tcPr>
          <w:p w14:paraId="5ECA7421" w14:textId="53A0D31D" w:rsidR="003E5526" w:rsidRPr="00AC7F0C" w:rsidRDefault="003E5526" w:rsidP="002C6ABD">
            <w:pPr>
              <w:spacing w:before="100" w:beforeAutospacing="1" w:after="120"/>
              <w:ind w:right="-340"/>
              <w:jc w:val="center"/>
              <w:rPr>
                <w:rFonts w:ascii="MS Gothic" w:eastAsia="MS Gothic" w:hAnsi="MS Gothic" w:cs="MS Gothic"/>
                <w:b/>
                <w:i/>
                <w:iCs/>
                <w:sz w:val="15"/>
                <w:szCs w:val="15"/>
              </w:rPr>
            </w:pPr>
            <w:r>
              <w:rPr>
                <w:rFonts w:cs="Times New Roman"/>
                <w:i/>
                <w:iCs/>
                <w:sz w:val="15"/>
                <w:szCs w:val="15"/>
              </w:rPr>
              <w:t>y</w:t>
            </w:r>
            <w:r>
              <w:rPr>
                <w:rFonts w:cs="Times New Roman" w:hint="eastAsia"/>
                <w:i/>
                <w:iCs/>
                <w:sz w:val="15"/>
                <w:szCs w:val="15"/>
              </w:rPr>
              <w:t>es</w:t>
            </w:r>
          </w:p>
        </w:tc>
      </w:tr>
      <w:tr w:rsidR="003E5526" w:rsidRPr="00961128" w14:paraId="08F1F52B" w14:textId="77777777" w:rsidTr="003E5526">
        <w:tc>
          <w:tcPr>
            <w:tcW w:w="3652" w:type="dxa"/>
            <w:tcBorders>
              <w:top w:val="single" w:sz="4" w:space="0" w:color="auto"/>
              <w:left w:val="single" w:sz="4" w:space="0" w:color="auto"/>
              <w:bottom w:val="single" w:sz="4" w:space="0" w:color="auto"/>
              <w:right w:val="single" w:sz="4" w:space="0" w:color="auto"/>
            </w:tcBorders>
          </w:tcPr>
          <w:p w14:paraId="4D6666CE" w14:textId="77777777" w:rsidR="003E5526" w:rsidRPr="00961128" w:rsidRDefault="003E5526" w:rsidP="002C6ABD">
            <w:pPr>
              <w:spacing w:before="100" w:beforeAutospacing="1" w:after="120"/>
              <w:ind w:right="-340"/>
              <w:rPr>
                <w:rFonts w:cs="Times New Roman"/>
                <w:i/>
                <w:iCs/>
                <w:sz w:val="15"/>
                <w:szCs w:val="15"/>
              </w:rPr>
            </w:pPr>
            <w:r w:rsidRPr="00961128">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tcPr>
          <w:p w14:paraId="6C82D296" w14:textId="5E6F6D2C" w:rsidR="003E5526" w:rsidRPr="00961128" w:rsidRDefault="003E5526" w:rsidP="002C6ABD">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961128" w14:paraId="6E3E6C23" w14:textId="77777777" w:rsidTr="003E5526">
        <w:tc>
          <w:tcPr>
            <w:tcW w:w="3652" w:type="dxa"/>
            <w:tcBorders>
              <w:top w:val="single" w:sz="4" w:space="0" w:color="auto"/>
              <w:left w:val="single" w:sz="4" w:space="0" w:color="auto"/>
              <w:bottom w:val="single" w:sz="4" w:space="0" w:color="auto"/>
              <w:right w:val="single" w:sz="4" w:space="0" w:color="auto"/>
            </w:tcBorders>
          </w:tcPr>
          <w:p w14:paraId="45572A5E" w14:textId="77777777" w:rsidR="003E5526" w:rsidRPr="00961128" w:rsidRDefault="003E5526" w:rsidP="002C6ABD">
            <w:pPr>
              <w:spacing w:before="100" w:beforeAutospacing="1" w:after="120"/>
              <w:ind w:right="-340"/>
              <w:rPr>
                <w:rFonts w:cs="Times New Roman"/>
                <w:i/>
                <w:iCs/>
                <w:sz w:val="15"/>
                <w:szCs w:val="15"/>
              </w:rPr>
            </w:pPr>
            <w:r w:rsidRPr="00961128">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tcPr>
          <w:p w14:paraId="3C013762" w14:textId="6D56A21C" w:rsidR="003E5526" w:rsidRPr="00961128" w:rsidRDefault="003E5526" w:rsidP="002C6ABD">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961128" w14:paraId="7CA10812" w14:textId="77777777" w:rsidTr="003E5526">
        <w:tc>
          <w:tcPr>
            <w:tcW w:w="3652" w:type="dxa"/>
            <w:tcBorders>
              <w:top w:val="single" w:sz="4" w:space="0" w:color="auto"/>
              <w:left w:val="single" w:sz="4" w:space="0" w:color="auto"/>
              <w:bottom w:val="single" w:sz="4" w:space="0" w:color="auto"/>
              <w:right w:val="single" w:sz="4" w:space="0" w:color="auto"/>
            </w:tcBorders>
            <w:vAlign w:val="center"/>
          </w:tcPr>
          <w:p w14:paraId="6BC77BD0" w14:textId="77777777" w:rsidR="003E5526" w:rsidRPr="00961128" w:rsidRDefault="003E5526" w:rsidP="002C6ABD">
            <w:pPr>
              <w:spacing w:before="100" w:beforeAutospacing="1" w:after="120"/>
              <w:ind w:right="-340"/>
              <w:rPr>
                <w:rFonts w:cs="Times New Roman"/>
                <w:i/>
                <w:iCs/>
                <w:sz w:val="15"/>
                <w:szCs w:val="15"/>
              </w:rPr>
            </w:pPr>
            <w:r w:rsidRPr="00961128">
              <w:rPr>
                <w:rFonts w:cs="Times New Roman"/>
                <w:i/>
                <w:iCs/>
                <w:sz w:val="15"/>
                <w:szCs w:val="15"/>
              </w:rPr>
              <w:t xml:space="preserve">Resource provision </w:t>
            </w:r>
          </w:p>
        </w:tc>
        <w:tc>
          <w:tcPr>
            <w:tcW w:w="850" w:type="dxa"/>
            <w:tcBorders>
              <w:top w:val="single" w:sz="4" w:space="0" w:color="auto"/>
              <w:left w:val="single" w:sz="4" w:space="0" w:color="auto"/>
              <w:bottom w:val="single" w:sz="4" w:space="0" w:color="auto"/>
              <w:right w:val="single" w:sz="4" w:space="0" w:color="auto"/>
            </w:tcBorders>
          </w:tcPr>
          <w:p w14:paraId="5EE5D990" w14:textId="6E697E36" w:rsidR="003E5526" w:rsidRPr="00961128" w:rsidRDefault="003E5526" w:rsidP="002C6ABD">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961128" w14:paraId="51F5D08C" w14:textId="77777777" w:rsidTr="003E5526">
        <w:tc>
          <w:tcPr>
            <w:tcW w:w="3652" w:type="dxa"/>
            <w:tcBorders>
              <w:top w:val="single" w:sz="4" w:space="0" w:color="auto"/>
              <w:left w:val="single" w:sz="4" w:space="0" w:color="auto"/>
              <w:bottom w:val="single" w:sz="4" w:space="0" w:color="auto"/>
              <w:right w:val="single" w:sz="4" w:space="0" w:color="auto"/>
            </w:tcBorders>
          </w:tcPr>
          <w:p w14:paraId="44792662" w14:textId="4264FCD3" w:rsidR="003E5526" w:rsidRPr="00961128" w:rsidRDefault="003E5526" w:rsidP="003E5526">
            <w:pPr>
              <w:spacing w:before="100" w:beforeAutospacing="1" w:after="120"/>
              <w:ind w:right="-340"/>
              <w:rPr>
                <w:rFonts w:cs="Times New Roman"/>
                <w:i/>
                <w:iCs/>
                <w:sz w:val="15"/>
                <w:szCs w:val="15"/>
              </w:rPr>
            </w:pPr>
            <w:r w:rsidRPr="00961128">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76C24E85" w14:textId="37440910" w:rsidR="003E5526" w:rsidRPr="00C31922"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961128" w14:paraId="553A1FC8" w14:textId="77777777" w:rsidTr="003E5526">
        <w:tc>
          <w:tcPr>
            <w:tcW w:w="3652" w:type="dxa"/>
            <w:tcBorders>
              <w:top w:val="single" w:sz="4" w:space="0" w:color="auto"/>
              <w:left w:val="single" w:sz="4" w:space="0" w:color="auto"/>
              <w:bottom w:val="single" w:sz="4" w:space="0" w:color="auto"/>
              <w:right w:val="single" w:sz="4" w:space="0" w:color="auto"/>
            </w:tcBorders>
          </w:tcPr>
          <w:p w14:paraId="5E4E75EE" w14:textId="481C7F8E" w:rsidR="003E5526" w:rsidRPr="00961128" w:rsidRDefault="003E5526" w:rsidP="003E5526">
            <w:pPr>
              <w:spacing w:before="100" w:beforeAutospacing="1" w:after="120"/>
              <w:ind w:right="-340"/>
              <w:rPr>
                <w:rFonts w:cs="Times New Roman"/>
                <w:i/>
                <w:iCs/>
                <w:sz w:val="15"/>
                <w:szCs w:val="15"/>
              </w:rPr>
            </w:pPr>
            <w:r w:rsidRPr="00961128">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030F1AF5" w14:textId="08565523" w:rsidR="003E5526" w:rsidRPr="00C31922"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p>
        </w:tc>
      </w:tr>
      <w:tr w:rsidR="003E5526" w:rsidRPr="00961128" w14:paraId="4DA2FC9B" w14:textId="77777777" w:rsidTr="003E5526">
        <w:tc>
          <w:tcPr>
            <w:tcW w:w="3652" w:type="dxa"/>
            <w:tcBorders>
              <w:top w:val="single" w:sz="4" w:space="0" w:color="auto"/>
              <w:left w:val="single" w:sz="4" w:space="0" w:color="auto"/>
              <w:bottom w:val="single" w:sz="4" w:space="0" w:color="auto"/>
              <w:right w:val="single" w:sz="4" w:space="0" w:color="auto"/>
            </w:tcBorders>
          </w:tcPr>
          <w:p w14:paraId="31E2175F" w14:textId="730CDE6D" w:rsidR="003E5526" w:rsidRPr="00961128" w:rsidRDefault="003E5526" w:rsidP="003E5526">
            <w:pPr>
              <w:spacing w:before="100" w:beforeAutospacing="1" w:after="120"/>
              <w:ind w:right="-340"/>
              <w:rPr>
                <w:rFonts w:cs="Times New Roman"/>
                <w:i/>
                <w:iCs/>
                <w:sz w:val="15"/>
                <w:szCs w:val="15"/>
              </w:rPr>
            </w:pPr>
            <w:r w:rsidRPr="00961128">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49A75793" w14:textId="696231D4" w:rsidR="003E5526" w:rsidRPr="00C31922" w:rsidRDefault="003E5526" w:rsidP="003E5526">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961128" w14:paraId="1B2B6FB9" w14:textId="77777777" w:rsidTr="003E5526">
        <w:tc>
          <w:tcPr>
            <w:tcW w:w="3652" w:type="dxa"/>
            <w:tcBorders>
              <w:top w:val="single" w:sz="4" w:space="0" w:color="auto"/>
              <w:left w:val="single" w:sz="4" w:space="0" w:color="auto"/>
              <w:bottom w:val="single" w:sz="4" w:space="0" w:color="auto"/>
              <w:right w:val="single" w:sz="4" w:space="0" w:color="auto"/>
            </w:tcBorders>
          </w:tcPr>
          <w:p w14:paraId="00C1A83E" w14:textId="46A296F2" w:rsidR="003E5526" w:rsidRPr="00961128" w:rsidRDefault="003E5526" w:rsidP="003E5526">
            <w:pPr>
              <w:spacing w:before="100" w:beforeAutospacing="1" w:after="120"/>
              <w:ind w:right="-340"/>
              <w:rPr>
                <w:rFonts w:cs="Times New Roman"/>
                <w:i/>
                <w:iCs/>
                <w:sz w:val="15"/>
                <w:szCs w:val="15"/>
              </w:rPr>
            </w:pPr>
            <w:r w:rsidRPr="00961128">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20601583" w14:textId="6685A1F8" w:rsidR="003E5526" w:rsidRPr="00C31922"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p>
        </w:tc>
      </w:tr>
    </w:tbl>
    <w:p w14:paraId="48BF9F03" w14:textId="77777777" w:rsidR="00DC4448" w:rsidRPr="00027DD6" w:rsidRDefault="00DC4448" w:rsidP="005621A8">
      <w:pPr>
        <w:pStyle w:val="Heading3"/>
        <w:spacing w:before="120"/>
      </w:pPr>
      <w:bookmarkStart w:id="436" w:name="_Toc472261350"/>
      <w:bookmarkStart w:id="437" w:name="_Toc472262693"/>
      <w:bookmarkStart w:id="438" w:name="_Toc472263075"/>
      <w:bookmarkStart w:id="439" w:name="_Toc472263225"/>
      <w:bookmarkStart w:id="440" w:name="_Toc472263376"/>
      <w:bookmarkStart w:id="441" w:name="_Toc346124059"/>
      <w:r w:rsidRPr="00027DD6">
        <w:t>Sample of Key Programs</w:t>
      </w:r>
      <w:bookmarkEnd w:id="436"/>
      <w:bookmarkEnd w:id="437"/>
      <w:bookmarkEnd w:id="438"/>
      <w:bookmarkEnd w:id="439"/>
      <w:bookmarkEnd w:id="440"/>
      <w:bookmarkEnd w:id="441"/>
    </w:p>
    <w:p w14:paraId="7A441552"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E</w:t>
      </w:r>
      <w:r w:rsidRPr="0062042B">
        <w:rPr>
          <w:rFonts w:ascii="Century Gothic" w:eastAsiaTheme="minorHAnsi" w:hAnsi="Century Gothic"/>
          <w:sz w:val="20"/>
          <w:szCs w:val="20"/>
          <w:lang w:val="en-AU"/>
        </w:rPr>
        <w:t>nhance community engagement through initiatives such as the Catholic Indigenous Leadership Team (CILT) and school-based initiatives.</w:t>
      </w:r>
      <w:r>
        <w:rPr>
          <w:rFonts w:ascii="Century Gothic" w:eastAsiaTheme="minorHAnsi" w:hAnsi="Century Gothic"/>
          <w:sz w:val="20"/>
          <w:szCs w:val="20"/>
          <w:lang w:val="en-AU"/>
        </w:rPr>
        <w:t xml:space="preserve"> CILT</w:t>
      </w:r>
      <w:r w:rsidRPr="00736578">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is</w:t>
      </w:r>
      <w:r w:rsidRPr="00736578">
        <w:rPr>
          <w:rFonts w:ascii="Century Gothic" w:eastAsiaTheme="minorHAnsi" w:hAnsi="Century Gothic"/>
          <w:sz w:val="20"/>
          <w:szCs w:val="20"/>
          <w:lang w:val="en-AU"/>
        </w:rPr>
        <w:t xml:space="preserve"> </w:t>
      </w:r>
      <w:r>
        <w:rPr>
          <w:rFonts w:ascii="Century Gothic" w:eastAsiaTheme="minorHAnsi" w:hAnsi="Century Gothic"/>
          <w:sz w:val="20"/>
          <w:szCs w:val="20"/>
          <w:lang w:val="en-AU"/>
        </w:rPr>
        <w:t xml:space="preserve">a collective of </w:t>
      </w:r>
      <w:r w:rsidRPr="00736578">
        <w:rPr>
          <w:rFonts w:ascii="Century Gothic" w:eastAsiaTheme="minorHAnsi" w:hAnsi="Century Gothic"/>
          <w:sz w:val="20"/>
          <w:szCs w:val="20"/>
          <w:lang w:val="en-AU"/>
        </w:rPr>
        <w:t xml:space="preserve">5 </w:t>
      </w:r>
      <w:r>
        <w:rPr>
          <w:rFonts w:ascii="Century Gothic" w:eastAsiaTheme="minorHAnsi" w:hAnsi="Century Gothic"/>
          <w:sz w:val="20"/>
          <w:szCs w:val="20"/>
          <w:lang w:val="en-AU"/>
        </w:rPr>
        <w:t xml:space="preserve">schools </w:t>
      </w:r>
      <w:r w:rsidRPr="00736578">
        <w:rPr>
          <w:rFonts w:ascii="Century Gothic" w:eastAsiaTheme="minorHAnsi" w:hAnsi="Century Gothic"/>
          <w:sz w:val="20"/>
          <w:szCs w:val="20"/>
          <w:lang w:val="en-AU"/>
        </w:rPr>
        <w:t>in the most remote areas in the country</w:t>
      </w:r>
      <w:r>
        <w:rPr>
          <w:rFonts w:ascii="Century Gothic" w:eastAsiaTheme="minorHAnsi" w:hAnsi="Century Gothic"/>
          <w:sz w:val="20"/>
          <w:szCs w:val="20"/>
          <w:lang w:val="en-AU"/>
        </w:rPr>
        <w:t>.</w:t>
      </w:r>
    </w:p>
    <w:p w14:paraId="20F2E5D3" w14:textId="2B536882"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736578">
        <w:rPr>
          <w:rFonts w:ascii="Century Gothic" w:eastAsiaTheme="minorHAnsi" w:hAnsi="Century Gothic"/>
          <w:sz w:val="20"/>
          <w:szCs w:val="20"/>
          <w:lang w:val="en-AU"/>
        </w:rPr>
        <w:t>Implementation of the CENT School Improvement and Renewal Framework</w:t>
      </w:r>
      <w:r w:rsidR="009617E9">
        <w:rPr>
          <w:rFonts w:ascii="Century Gothic" w:eastAsiaTheme="minorHAnsi" w:hAnsi="Century Gothic"/>
          <w:sz w:val="20"/>
          <w:szCs w:val="20"/>
          <w:lang w:val="en-AU"/>
        </w:rPr>
        <w:t>.</w:t>
      </w:r>
    </w:p>
    <w:p w14:paraId="21678CDF" w14:textId="77777777" w:rsidR="00DC4448" w:rsidRPr="00C914FD"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Implemented</w:t>
      </w:r>
      <w:r w:rsidRPr="0062042B">
        <w:rPr>
          <w:rFonts w:ascii="Century Gothic" w:eastAsiaTheme="minorHAnsi" w:hAnsi="Century Gothic"/>
          <w:sz w:val="20"/>
          <w:szCs w:val="20"/>
          <w:lang w:val="en-AU"/>
        </w:rPr>
        <w:t xml:space="preserve"> the </w:t>
      </w:r>
      <w:r>
        <w:rPr>
          <w:rFonts w:ascii="Century Gothic" w:eastAsiaTheme="minorHAnsi" w:hAnsi="Century Gothic"/>
          <w:sz w:val="20"/>
          <w:szCs w:val="20"/>
          <w:lang w:val="en-AU"/>
        </w:rPr>
        <w:t>Teacher Registration Board NT</w:t>
      </w:r>
      <w:r w:rsidRPr="0062042B">
        <w:rPr>
          <w:rFonts w:ascii="Century Gothic" w:eastAsiaTheme="minorHAnsi" w:hAnsi="Century Gothic"/>
          <w:sz w:val="20"/>
          <w:szCs w:val="20"/>
          <w:lang w:val="en-AU"/>
        </w:rPr>
        <w:t xml:space="preserve"> adoption of Australian Prof</w:t>
      </w:r>
      <w:r>
        <w:rPr>
          <w:rFonts w:ascii="Century Gothic" w:eastAsiaTheme="minorHAnsi" w:hAnsi="Century Gothic"/>
          <w:sz w:val="20"/>
          <w:szCs w:val="20"/>
          <w:lang w:val="en-AU"/>
        </w:rPr>
        <w:t>essional Standards for Teachers and e</w:t>
      </w:r>
      <w:r w:rsidRPr="0062042B">
        <w:rPr>
          <w:rFonts w:ascii="Century Gothic" w:eastAsiaTheme="minorHAnsi" w:hAnsi="Century Gothic"/>
          <w:sz w:val="20"/>
          <w:szCs w:val="20"/>
          <w:lang w:val="en-AU"/>
        </w:rPr>
        <w:t>xpand</w:t>
      </w:r>
      <w:r>
        <w:rPr>
          <w:rFonts w:ascii="Century Gothic" w:eastAsiaTheme="minorHAnsi" w:hAnsi="Century Gothic"/>
          <w:sz w:val="20"/>
          <w:szCs w:val="20"/>
          <w:lang w:val="en-AU"/>
        </w:rPr>
        <w:t>ed</w:t>
      </w:r>
      <w:r w:rsidRPr="0062042B">
        <w:rPr>
          <w:rFonts w:ascii="Century Gothic" w:eastAsiaTheme="minorHAnsi" w:hAnsi="Century Gothic"/>
          <w:sz w:val="20"/>
          <w:szCs w:val="20"/>
          <w:lang w:val="en-AU"/>
        </w:rPr>
        <w:t xml:space="preserve"> workforce understanding of Professional Standards and their use to inform teacher development.</w:t>
      </w:r>
    </w:p>
    <w:p w14:paraId="1C9409DA" w14:textId="77777777" w:rsidR="00DC4448" w:rsidRPr="00027DD6" w:rsidRDefault="00DC4448" w:rsidP="005621A8">
      <w:pPr>
        <w:pStyle w:val="Heading3"/>
        <w:spacing w:before="120"/>
      </w:pPr>
      <w:bookmarkStart w:id="442" w:name="_Toc472261351"/>
      <w:bookmarkStart w:id="443" w:name="_Toc472262694"/>
      <w:bookmarkStart w:id="444" w:name="_Toc472263076"/>
      <w:bookmarkStart w:id="445" w:name="_Toc472263226"/>
      <w:bookmarkStart w:id="446" w:name="_Toc472263377"/>
      <w:bookmarkStart w:id="447" w:name="_Toc346124060"/>
      <w:r w:rsidRPr="00027DD6">
        <w:t>Funding – how used?</w:t>
      </w:r>
      <w:bookmarkEnd w:id="442"/>
      <w:bookmarkEnd w:id="443"/>
      <w:bookmarkEnd w:id="444"/>
      <w:bookmarkEnd w:id="445"/>
      <w:bookmarkEnd w:id="446"/>
      <w:bookmarkEnd w:id="447"/>
    </w:p>
    <w:p w14:paraId="764AA491" w14:textId="77777777"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62042B">
        <w:rPr>
          <w:rFonts w:ascii="Century Gothic" w:eastAsiaTheme="minorHAnsi" w:hAnsi="Century Gothic"/>
          <w:sz w:val="20"/>
          <w:szCs w:val="20"/>
          <w:lang w:val="en-AU"/>
        </w:rPr>
        <w:t xml:space="preserve">Consultancy support </w:t>
      </w:r>
      <w:r>
        <w:rPr>
          <w:rFonts w:ascii="Century Gothic" w:eastAsiaTheme="minorHAnsi" w:hAnsi="Century Gothic"/>
          <w:sz w:val="20"/>
          <w:szCs w:val="20"/>
          <w:lang w:val="en-AU"/>
        </w:rPr>
        <w:t>for</w:t>
      </w:r>
      <w:r w:rsidRPr="0062042B">
        <w:rPr>
          <w:rFonts w:ascii="Century Gothic" w:eastAsiaTheme="minorHAnsi" w:hAnsi="Century Gothic"/>
          <w:sz w:val="20"/>
          <w:szCs w:val="20"/>
          <w:lang w:val="en-AU"/>
        </w:rPr>
        <w:t xml:space="preserve"> schools </w:t>
      </w:r>
      <w:r>
        <w:rPr>
          <w:rFonts w:ascii="Century Gothic" w:eastAsiaTheme="minorHAnsi" w:hAnsi="Century Gothic"/>
          <w:sz w:val="20"/>
          <w:szCs w:val="20"/>
          <w:lang w:val="en-AU"/>
        </w:rPr>
        <w:t xml:space="preserve">including </w:t>
      </w:r>
    </w:p>
    <w:p w14:paraId="28984D9B" w14:textId="2AD426F2" w:rsidR="00DC4448"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sidRPr="0062042B">
        <w:rPr>
          <w:rFonts w:ascii="Century Gothic" w:eastAsiaTheme="minorHAnsi" w:hAnsi="Century Gothic"/>
          <w:sz w:val="20"/>
          <w:szCs w:val="20"/>
          <w:lang w:val="en-AU"/>
        </w:rPr>
        <w:t>to develop and Implement School Improvement Plans and m</w:t>
      </w:r>
      <w:r w:rsidR="009617E9">
        <w:rPr>
          <w:rFonts w:ascii="Century Gothic" w:eastAsiaTheme="minorHAnsi" w:hAnsi="Century Gothic"/>
          <w:sz w:val="20"/>
          <w:szCs w:val="20"/>
          <w:lang w:val="en-AU"/>
        </w:rPr>
        <w:t>eet accountability requirements</w:t>
      </w:r>
    </w:p>
    <w:p w14:paraId="75E6019B" w14:textId="28F87568" w:rsidR="00DC4448" w:rsidRPr="001B4DAA" w:rsidRDefault="00DC4448" w:rsidP="006A1D2B">
      <w:pPr>
        <w:pStyle w:val="ListParagraph"/>
        <w:numPr>
          <w:ilvl w:val="1"/>
          <w:numId w:val="15"/>
        </w:numPr>
        <w:spacing w:line="276" w:lineRule="auto"/>
        <w:ind w:left="1134" w:right="-340"/>
        <w:jc w:val="both"/>
        <w:rPr>
          <w:rFonts w:ascii="Century Gothic" w:eastAsiaTheme="minorHAnsi" w:hAnsi="Century Gothic"/>
          <w:sz w:val="20"/>
          <w:szCs w:val="20"/>
          <w:lang w:val="en-AU"/>
        </w:rPr>
      </w:pPr>
      <w:r w:rsidRPr="001B4DAA">
        <w:rPr>
          <w:rFonts w:ascii="Century Gothic" w:eastAsiaTheme="minorHAnsi" w:hAnsi="Century Gothic"/>
          <w:sz w:val="20"/>
          <w:szCs w:val="20"/>
          <w:lang w:val="en-AU"/>
        </w:rPr>
        <w:t>to develop professional learning for principals and school leaders and to lead CENT’</w:t>
      </w:r>
      <w:r w:rsidR="009617E9">
        <w:rPr>
          <w:rFonts w:ascii="Century Gothic" w:eastAsiaTheme="minorHAnsi" w:hAnsi="Century Gothic"/>
          <w:sz w:val="20"/>
          <w:szCs w:val="20"/>
          <w:lang w:val="en-AU"/>
        </w:rPr>
        <w:t>s External Validation processes</w:t>
      </w:r>
    </w:p>
    <w:p w14:paraId="13D89065" w14:textId="77777777" w:rsidR="00DC4448" w:rsidRPr="0062042B"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62042B">
        <w:rPr>
          <w:rFonts w:ascii="Century Gothic" w:eastAsiaTheme="minorHAnsi" w:hAnsi="Century Gothic"/>
          <w:sz w:val="20"/>
          <w:szCs w:val="20"/>
          <w:lang w:val="en-AU"/>
        </w:rPr>
        <w:t>Consultancy fees to review processes and undertake Appraisals for Principals* and Deputy/Assistant Principals</w:t>
      </w:r>
    </w:p>
    <w:p w14:paraId="76283A8B" w14:textId="77777777" w:rsidR="00DC4448" w:rsidRPr="0062042B"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Support professional learning particularly for </w:t>
      </w:r>
      <w:r w:rsidRPr="0062042B">
        <w:rPr>
          <w:rFonts w:ascii="Century Gothic" w:eastAsiaTheme="minorHAnsi" w:hAnsi="Century Gothic"/>
          <w:sz w:val="20"/>
          <w:szCs w:val="20"/>
          <w:lang w:val="en-AU"/>
        </w:rPr>
        <w:t>Aspiring Leaders Programs</w:t>
      </w:r>
      <w:r>
        <w:rPr>
          <w:rFonts w:ascii="Century Gothic" w:eastAsiaTheme="minorHAnsi" w:hAnsi="Century Gothic"/>
          <w:sz w:val="20"/>
          <w:szCs w:val="20"/>
          <w:lang w:val="en-AU"/>
        </w:rPr>
        <w:t xml:space="preserve"> and </w:t>
      </w:r>
      <w:r w:rsidRPr="0062042B">
        <w:rPr>
          <w:rFonts w:ascii="Century Gothic" w:eastAsiaTheme="minorHAnsi" w:hAnsi="Century Gothic"/>
          <w:sz w:val="20"/>
          <w:szCs w:val="20"/>
          <w:lang w:val="en-AU"/>
        </w:rPr>
        <w:t>Professional development for Principals – leadership development</w:t>
      </w:r>
    </w:p>
    <w:p w14:paraId="005AEE1F" w14:textId="77777777" w:rsidR="00DC4448" w:rsidRPr="00027DD6" w:rsidRDefault="00DC4448" w:rsidP="005621A8">
      <w:pPr>
        <w:pStyle w:val="Heading3"/>
        <w:spacing w:before="120"/>
      </w:pPr>
      <w:bookmarkStart w:id="448" w:name="_Toc472261352"/>
      <w:bookmarkStart w:id="449" w:name="_Toc472262695"/>
      <w:bookmarkStart w:id="450" w:name="_Toc472263077"/>
      <w:bookmarkStart w:id="451" w:name="_Toc472263227"/>
      <w:bookmarkStart w:id="452" w:name="_Toc472263378"/>
      <w:bookmarkStart w:id="453" w:name="_Toc346124061"/>
      <w:r w:rsidRPr="00027DD6">
        <w:t>Monitoring Success</w:t>
      </w:r>
      <w:bookmarkEnd w:id="448"/>
      <w:bookmarkEnd w:id="449"/>
      <w:bookmarkEnd w:id="450"/>
      <w:bookmarkEnd w:id="451"/>
      <w:bookmarkEnd w:id="452"/>
      <w:bookmarkEnd w:id="453"/>
    </w:p>
    <w:p w14:paraId="3B6DC5E6" w14:textId="77777777" w:rsidR="00DC4448" w:rsidRPr="00FE6E40"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S</w:t>
      </w:r>
      <w:r w:rsidRPr="00FE6E40">
        <w:rPr>
          <w:rFonts w:ascii="Century Gothic" w:eastAsiaTheme="minorHAnsi" w:hAnsi="Century Gothic"/>
          <w:sz w:val="20"/>
          <w:szCs w:val="20"/>
          <w:lang w:val="en-AU"/>
        </w:rPr>
        <w:t xml:space="preserve">uccess indicators focused on </w:t>
      </w:r>
      <w:r>
        <w:rPr>
          <w:rFonts w:ascii="Century Gothic" w:eastAsiaTheme="minorHAnsi" w:hAnsi="Century Gothic"/>
          <w:sz w:val="20"/>
          <w:szCs w:val="20"/>
          <w:lang w:val="en-AU"/>
        </w:rPr>
        <w:t>delivery, implementation and compliance with a range of policies e.g. principal appraisal, completion of school improvement plans, implementation of Australian Curriculum and number of participants in programs where appropriate.</w:t>
      </w:r>
    </w:p>
    <w:p w14:paraId="7D4DC997" w14:textId="77777777" w:rsidR="00DC4448" w:rsidRPr="00027DD6" w:rsidRDefault="00DC4448" w:rsidP="005621A8">
      <w:pPr>
        <w:pStyle w:val="Heading3"/>
        <w:spacing w:before="120"/>
      </w:pPr>
      <w:bookmarkStart w:id="454" w:name="_Toc472261353"/>
      <w:bookmarkStart w:id="455" w:name="_Toc472262696"/>
      <w:bookmarkStart w:id="456" w:name="_Toc472263078"/>
      <w:bookmarkStart w:id="457" w:name="_Toc472263228"/>
      <w:bookmarkStart w:id="458" w:name="_Toc472263379"/>
      <w:bookmarkStart w:id="459" w:name="_Toc346124062"/>
      <w:r w:rsidRPr="00027DD6">
        <w:t>Issues and Implications</w:t>
      </w:r>
      <w:bookmarkEnd w:id="454"/>
      <w:bookmarkEnd w:id="455"/>
      <w:bookmarkEnd w:id="456"/>
      <w:bookmarkEnd w:id="457"/>
      <w:bookmarkEnd w:id="458"/>
      <w:bookmarkEnd w:id="459"/>
    </w:p>
    <w:p w14:paraId="2C3BA78F" w14:textId="5D5D40AA" w:rsidR="00DC4448"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Funding is</w:t>
      </w:r>
      <w:r w:rsidRPr="00C10BCF">
        <w:rPr>
          <w:rFonts w:ascii="Century Gothic" w:eastAsiaTheme="minorHAnsi" w:hAnsi="Century Gothic"/>
          <w:sz w:val="20"/>
          <w:szCs w:val="20"/>
          <w:lang w:val="en-AU"/>
        </w:rPr>
        <w:t xml:space="preserve"> valua</w:t>
      </w:r>
      <w:r>
        <w:rPr>
          <w:rFonts w:ascii="Century Gothic" w:eastAsiaTheme="minorHAnsi" w:hAnsi="Century Gothic"/>
          <w:sz w:val="20"/>
          <w:szCs w:val="20"/>
          <w:lang w:val="en-AU"/>
        </w:rPr>
        <w:t>ble for a small sector - assists with looking</w:t>
      </w:r>
      <w:r w:rsidRPr="00C10BCF">
        <w:rPr>
          <w:rFonts w:ascii="Century Gothic" w:eastAsiaTheme="minorHAnsi" w:hAnsi="Century Gothic"/>
          <w:sz w:val="20"/>
          <w:szCs w:val="20"/>
          <w:lang w:val="en-AU"/>
        </w:rPr>
        <w:t xml:space="preserve"> at ways of improving things </w:t>
      </w:r>
      <w:r>
        <w:rPr>
          <w:rFonts w:ascii="Century Gothic" w:eastAsiaTheme="minorHAnsi" w:hAnsi="Century Gothic"/>
          <w:sz w:val="20"/>
          <w:szCs w:val="20"/>
          <w:lang w:val="en-AU"/>
        </w:rPr>
        <w:t>e.g. SFSF funding has enabled CENT to review status and then target</w:t>
      </w:r>
      <w:r w:rsidRPr="001B4C0F">
        <w:rPr>
          <w:rFonts w:ascii="Century Gothic" w:eastAsiaTheme="minorHAnsi" w:hAnsi="Century Gothic"/>
          <w:sz w:val="20"/>
          <w:szCs w:val="20"/>
          <w:lang w:val="en-AU"/>
        </w:rPr>
        <w:t xml:space="preserve"> upper/middle </w:t>
      </w:r>
      <w:r>
        <w:rPr>
          <w:rFonts w:ascii="Century Gothic" w:eastAsiaTheme="minorHAnsi" w:hAnsi="Century Gothic"/>
          <w:sz w:val="20"/>
          <w:szCs w:val="20"/>
          <w:lang w:val="en-AU"/>
        </w:rPr>
        <w:t>leaders to develop their skills</w:t>
      </w:r>
      <w:r w:rsidR="009617E9">
        <w:rPr>
          <w:rFonts w:ascii="Century Gothic" w:eastAsiaTheme="minorHAnsi" w:hAnsi="Century Gothic"/>
          <w:sz w:val="20"/>
          <w:szCs w:val="20"/>
          <w:lang w:val="en-AU"/>
        </w:rPr>
        <w:t>.</w:t>
      </w:r>
    </w:p>
    <w:p w14:paraId="0797DC9D" w14:textId="77777777" w:rsidR="00DC4448" w:rsidRPr="007847CE" w:rsidRDefault="00DC4448" w:rsidP="006A1D2B">
      <w:pPr>
        <w:pStyle w:val="ListParagraph"/>
        <w:numPr>
          <w:ilvl w:val="0"/>
          <w:numId w:val="15"/>
        </w:numPr>
        <w:spacing w:line="276" w:lineRule="auto"/>
        <w:ind w:right="-340"/>
        <w:jc w:val="both"/>
        <w:rPr>
          <w:rFonts w:ascii="Century Gothic" w:eastAsiaTheme="minorHAnsi" w:hAnsi="Century Gothic"/>
          <w:sz w:val="20"/>
          <w:szCs w:val="20"/>
          <w:lang w:val="en-AU"/>
        </w:rPr>
      </w:pPr>
      <w:r w:rsidRPr="007847CE">
        <w:rPr>
          <w:rFonts w:ascii="Century Gothic" w:eastAsiaTheme="minorHAnsi" w:hAnsi="Century Gothic"/>
          <w:sz w:val="20"/>
          <w:szCs w:val="20"/>
          <w:lang w:val="en-AU"/>
        </w:rPr>
        <w:t>The amount available to small jurisdictions is an issue but funding over a number of years is a plus.</w:t>
      </w:r>
    </w:p>
    <w:p w14:paraId="67F72755" w14:textId="77777777" w:rsidR="00DC4448" w:rsidRDefault="00DC4448" w:rsidP="00DC4448">
      <w:pPr>
        <w:rPr>
          <w:rFonts w:ascii="Century Gothic" w:hAnsi="Century Gothic"/>
          <w:sz w:val="20"/>
          <w:szCs w:val="20"/>
        </w:rPr>
      </w:pP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ACT Independent NGRB."/>
      </w:tblPr>
      <w:tblGrid>
        <w:gridCol w:w="3777"/>
        <w:gridCol w:w="1009"/>
        <w:gridCol w:w="1285"/>
        <w:gridCol w:w="1325"/>
        <w:gridCol w:w="1296"/>
      </w:tblGrid>
      <w:tr w:rsidR="00DC4448" w:rsidRPr="00E4618A" w14:paraId="407CC680" w14:textId="77777777" w:rsidTr="002C6ABD">
        <w:tc>
          <w:tcPr>
            <w:tcW w:w="3777" w:type="dxa"/>
            <w:vMerge w:val="restart"/>
            <w:tcBorders>
              <w:top w:val="nil"/>
              <w:left w:val="nil"/>
              <w:bottom w:val="nil"/>
              <w:right w:val="single" w:sz="4" w:space="0" w:color="auto"/>
            </w:tcBorders>
            <w:shd w:val="clear" w:color="auto" w:fill="auto"/>
          </w:tcPr>
          <w:p w14:paraId="0FACDFD8" w14:textId="77777777" w:rsidR="00DC4448" w:rsidRPr="005D6184" w:rsidRDefault="00DC4448" w:rsidP="005621A8">
            <w:pPr>
              <w:pStyle w:val="Heading2"/>
              <w:spacing w:before="0" w:after="0"/>
            </w:pPr>
            <w:bookmarkStart w:id="460" w:name="_Toc472261354"/>
            <w:bookmarkStart w:id="461" w:name="_Toc472262697"/>
            <w:bookmarkStart w:id="462" w:name="_Toc472263079"/>
            <w:bookmarkStart w:id="463" w:name="_Toc472263229"/>
            <w:bookmarkStart w:id="464" w:name="_Toc472263380"/>
            <w:bookmarkStart w:id="465" w:name="_Toc346124063"/>
            <w:r w:rsidRPr="005621A8">
              <w:rPr>
                <w:sz w:val="24"/>
              </w:rPr>
              <w:t>ACT Independent</w:t>
            </w:r>
            <w:bookmarkEnd w:id="460"/>
            <w:bookmarkEnd w:id="461"/>
            <w:bookmarkEnd w:id="462"/>
            <w:bookmarkEnd w:id="463"/>
            <w:bookmarkEnd w:id="464"/>
            <w:bookmarkEnd w:id="465"/>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140D86" w14:textId="77777777" w:rsidR="00DC4448" w:rsidRPr="00E4618A" w:rsidRDefault="00DC4448" w:rsidP="002C6ABD">
            <w:pPr>
              <w:ind w:right="-27"/>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57C663" w14:textId="77777777" w:rsidR="00DC4448" w:rsidRPr="00E4618A" w:rsidRDefault="00DC4448" w:rsidP="002C6ABD">
            <w:pPr>
              <w:ind w:right="-27"/>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62B5C9" w14:textId="77777777" w:rsidR="00DC4448" w:rsidRPr="00E4618A" w:rsidRDefault="00DC4448" w:rsidP="002C6ABD">
            <w:pPr>
              <w:ind w:right="-27"/>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E49033" w14:textId="77777777" w:rsidR="00DC4448" w:rsidRPr="00E4618A" w:rsidRDefault="00DC4448" w:rsidP="002C6ABD">
            <w:pPr>
              <w:ind w:right="-27"/>
              <w:jc w:val="center"/>
              <w:rPr>
                <w:sz w:val="16"/>
                <w:szCs w:val="16"/>
              </w:rPr>
            </w:pPr>
            <w:r>
              <w:rPr>
                <w:sz w:val="16"/>
                <w:szCs w:val="16"/>
              </w:rPr>
              <w:t>SFSF $</w:t>
            </w:r>
          </w:p>
        </w:tc>
      </w:tr>
      <w:tr w:rsidR="00DC4448" w:rsidRPr="004E2552" w14:paraId="0302BF36" w14:textId="77777777" w:rsidTr="002C6ABD">
        <w:tc>
          <w:tcPr>
            <w:tcW w:w="3777" w:type="dxa"/>
            <w:vMerge/>
            <w:tcBorders>
              <w:left w:val="nil"/>
              <w:bottom w:val="nil"/>
              <w:right w:val="single" w:sz="4" w:space="0" w:color="auto"/>
            </w:tcBorders>
            <w:shd w:val="clear" w:color="auto" w:fill="auto"/>
          </w:tcPr>
          <w:p w14:paraId="0DD7EB67"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2F6E8C29"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 xml:space="preserve"> 1</w:t>
            </w:r>
            <w:r>
              <w:rPr>
                <w:rFonts w:eastAsia="Times New Roman" w:cs="Times New Roman"/>
                <w:color w:val="000000"/>
                <w:sz w:val="16"/>
                <w:szCs w:val="16"/>
              </w:rPr>
              <w:t>6</w:t>
            </w:r>
          </w:p>
        </w:tc>
        <w:tc>
          <w:tcPr>
            <w:tcW w:w="1285" w:type="dxa"/>
            <w:tcBorders>
              <w:top w:val="single" w:sz="4" w:space="0" w:color="auto"/>
              <w:left w:val="single" w:sz="4" w:space="0" w:color="auto"/>
              <w:bottom w:val="single" w:sz="4" w:space="0" w:color="auto"/>
              <w:right w:val="single" w:sz="4" w:space="0" w:color="auto"/>
            </w:tcBorders>
            <w:vAlign w:val="bottom"/>
          </w:tcPr>
          <w:p w14:paraId="3F03CE25"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 xml:space="preserve"> 9,275.00 </w:t>
            </w:r>
          </w:p>
        </w:tc>
        <w:tc>
          <w:tcPr>
            <w:tcW w:w="1325" w:type="dxa"/>
            <w:tcBorders>
              <w:top w:val="single" w:sz="4" w:space="0" w:color="auto"/>
              <w:left w:val="single" w:sz="4" w:space="0" w:color="auto"/>
              <w:bottom w:val="single" w:sz="4" w:space="0" w:color="auto"/>
              <w:right w:val="single" w:sz="4" w:space="0" w:color="auto"/>
            </w:tcBorders>
            <w:vAlign w:val="bottom"/>
          </w:tcPr>
          <w:p w14:paraId="100845B3"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 xml:space="preserve"> 787.4 </w:t>
            </w:r>
          </w:p>
        </w:tc>
        <w:tc>
          <w:tcPr>
            <w:tcW w:w="1296" w:type="dxa"/>
            <w:tcBorders>
              <w:top w:val="single" w:sz="4" w:space="0" w:color="auto"/>
              <w:left w:val="single" w:sz="4" w:space="0" w:color="auto"/>
              <w:bottom w:val="single" w:sz="4" w:space="0" w:color="auto"/>
              <w:right w:val="single" w:sz="4" w:space="0" w:color="auto"/>
            </w:tcBorders>
            <w:vAlign w:val="bottom"/>
          </w:tcPr>
          <w:p w14:paraId="286698DB"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$784,219</w:t>
            </w:r>
          </w:p>
        </w:tc>
      </w:tr>
    </w:tbl>
    <w:p w14:paraId="1B6E3032" w14:textId="7169C14B" w:rsidR="00DC4448" w:rsidRPr="005621A8" w:rsidRDefault="00DC4448" w:rsidP="005621A8">
      <w:pPr>
        <w:pStyle w:val="Heading3"/>
        <w:spacing w:before="120"/>
        <w:rPr>
          <w:rStyle w:val="IntenseEmphasis"/>
          <w:b/>
          <w:bCs/>
          <w:i w:val="0"/>
          <w:iCs w:val="0"/>
        </w:rPr>
      </w:pPr>
      <w:bookmarkStart w:id="466" w:name="_Toc472261355"/>
      <w:bookmarkStart w:id="467" w:name="_Toc472262698"/>
      <w:bookmarkStart w:id="468" w:name="_Toc472263080"/>
      <w:bookmarkStart w:id="469" w:name="_Toc472263230"/>
      <w:bookmarkStart w:id="470" w:name="_Toc472263381"/>
      <w:bookmarkStart w:id="471" w:name="_Toc346124064"/>
      <w:r w:rsidRPr="005621A8">
        <w:rPr>
          <w:rStyle w:val="IntenseEmphasis"/>
          <w:b/>
          <w:bCs/>
          <w:i w:val="0"/>
          <w:iCs w:val="0"/>
        </w:rPr>
        <w:t>Key features of approach</w:t>
      </w:r>
      <w:bookmarkEnd w:id="466"/>
      <w:bookmarkEnd w:id="467"/>
      <w:bookmarkEnd w:id="468"/>
      <w:bookmarkEnd w:id="469"/>
      <w:bookmarkEnd w:id="470"/>
      <w:bookmarkEnd w:id="471"/>
    </w:p>
    <w:p w14:paraId="6D3B9CC5" w14:textId="77777777" w:rsidR="00DC4448" w:rsidRPr="006F70D1" w:rsidRDefault="00DC4448" w:rsidP="006A1D2B">
      <w:pPr>
        <w:pStyle w:val="ListParagraph"/>
        <w:numPr>
          <w:ilvl w:val="0"/>
          <w:numId w:val="17"/>
        </w:numPr>
        <w:spacing w:line="276" w:lineRule="auto"/>
        <w:ind w:left="450" w:right="-340"/>
        <w:jc w:val="both"/>
        <w:rPr>
          <w:rFonts w:ascii="Century Gothic" w:hAnsi="Century Gothic"/>
          <w:sz w:val="20"/>
          <w:szCs w:val="20"/>
        </w:rPr>
      </w:pPr>
      <w:r w:rsidRPr="006F70D1">
        <w:rPr>
          <w:rFonts w:ascii="Century Gothic" w:hAnsi="Century Gothic"/>
          <w:bCs/>
          <w:sz w:val="20"/>
          <w:szCs w:val="20"/>
        </w:rPr>
        <w:t>The association has used SFSF funds to build their capacity for engagement and support of their 18 schools. Staff has grown from 1.5 to 5 staff, where 3.5 are funded by SFSF. The level of impact has changed accordingl</w:t>
      </w:r>
      <w:r>
        <w:rPr>
          <w:rFonts w:ascii="Century Gothic" w:hAnsi="Century Gothic"/>
          <w:bCs/>
          <w:sz w:val="20"/>
          <w:szCs w:val="20"/>
        </w:rPr>
        <w:t>y and well received by schools.</w:t>
      </w:r>
    </w:p>
    <w:p w14:paraId="22FA21A9" w14:textId="74EAAFB1" w:rsidR="00DC4448" w:rsidRPr="006F70D1" w:rsidRDefault="00DC4448" w:rsidP="006A1D2B">
      <w:pPr>
        <w:pStyle w:val="ListParagraph"/>
        <w:numPr>
          <w:ilvl w:val="0"/>
          <w:numId w:val="17"/>
        </w:numPr>
        <w:spacing w:line="276" w:lineRule="auto"/>
        <w:ind w:left="450" w:right="-340"/>
        <w:jc w:val="both"/>
        <w:rPr>
          <w:rStyle w:val="IntenseEmphasis"/>
          <w:rFonts w:ascii="Century Gothic" w:hAnsi="Century Gothic"/>
          <w:b w:val="0"/>
          <w:bCs w:val="0"/>
          <w:i w:val="0"/>
          <w:iCs w:val="0"/>
          <w:sz w:val="20"/>
          <w:szCs w:val="20"/>
        </w:rPr>
      </w:pPr>
      <w:r w:rsidRPr="006F70D1">
        <w:rPr>
          <w:rFonts w:ascii="Century Gothic" w:hAnsi="Century Gothic"/>
          <w:bCs/>
          <w:sz w:val="20"/>
          <w:szCs w:val="20"/>
        </w:rPr>
        <w:t>The association is committed to establishing a high level of responsiveness to schools’ long term needs and they see value in supporting schools to build relationships with</w:t>
      </w:r>
      <w:r w:rsidR="009617E9">
        <w:rPr>
          <w:rFonts w:ascii="Century Gothic" w:hAnsi="Century Gothic"/>
          <w:bCs/>
          <w:sz w:val="20"/>
          <w:szCs w:val="20"/>
        </w:rPr>
        <w:t>in the sector and cross sector.</w:t>
      </w:r>
    </w:p>
    <w:p w14:paraId="70EA200A" w14:textId="77777777" w:rsidR="00DC4448" w:rsidRPr="007140D6" w:rsidRDefault="00DC4448" w:rsidP="005621A8">
      <w:pPr>
        <w:pStyle w:val="Heading3"/>
        <w:spacing w:before="120"/>
      </w:pPr>
      <w:r w:rsidRPr="007140D6">
        <w:t xml:space="preserve">Predominant mode of delivery </w:t>
      </w:r>
    </w:p>
    <w:tbl>
      <w:tblPr>
        <w:tblW w:w="4502" w:type="dxa"/>
        <w:tblLook w:val="04A0" w:firstRow="1" w:lastRow="0" w:firstColumn="1" w:lastColumn="0" w:noHBand="0" w:noVBand="1"/>
        <w:tblCaption w:val="Predominant delivery models"/>
        <w:tblDescription w:val="This table shows that predominant delivery models include Professional learning,&#10;Consultancy advice in schools, Coaching and mentoring services, On-line tools, and Support and advice.&#10;"/>
      </w:tblPr>
      <w:tblGrid>
        <w:gridCol w:w="3652"/>
        <w:gridCol w:w="850"/>
      </w:tblGrid>
      <w:tr w:rsidR="003E5526" w14:paraId="579D9346" w14:textId="77777777" w:rsidTr="003E5526">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0DC230E" w14:textId="77777777" w:rsidR="003E5526" w:rsidRDefault="003E5526"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839C0DA" w14:textId="78DF23A5" w:rsidR="003E5526" w:rsidRDefault="003E5526" w:rsidP="003E5526">
            <w:pPr>
              <w:spacing w:before="100" w:beforeAutospacing="1"/>
              <w:ind w:right="-340"/>
              <w:jc w:val="center"/>
              <w:rPr>
                <w:rFonts w:ascii="Times New Roman" w:hAnsi="Times New Roman" w:cs="Times New Roman"/>
              </w:rPr>
            </w:pPr>
            <w:r w:rsidRPr="003E5526">
              <w:rPr>
                <w:rFonts w:cs="Times New Roman"/>
                <w:i/>
                <w:iCs/>
                <w:sz w:val="15"/>
                <w:szCs w:val="15"/>
              </w:rPr>
              <w:t>Yes/no</w:t>
            </w:r>
          </w:p>
        </w:tc>
      </w:tr>
      <w:tr w:rsidR="003E5526" w:rsidRPr="00961128" w14:paraId="171E489D"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5327D319" w14:textId="77777777" w:rsidR="003E5526" w:rsidRPr="00961128" w:rsidRDefault="003E5526"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39DA4AC9" w14:textId="1DBDED0C" w:rsidR="003E5526"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r w:rsidRPr="00961128">
              <w:rPr>
                <w:rFonts w:cs="Times New Roman"/>
                <w:i/>
                <w:iCs/>
                <w:sz w:val="15"/>
                <w:szCs w:val="15"/>
              </w:rPr>
              <w:t> </w:t>
            </w:r>
          </w:p>
        </w:tc>
      </w:tr>
      <w:tr w:rsidR="003E5526" w:rsidRPr="00961128" w14:paraId="7E2CAA6B" w14:textId="77777777" w:rsidTr="003E5526">
        <w:tc>
          <w:tcPr>
            <w:tcW w:w="3652" w:type="dxa"/>
            <w:tcBorders>
              <w:top w:val="single" w:sz="4" w:space="0" w:color="auto"/>
              <w:left w:val="single" w:sz="4" w:space="0" w:color="auto"/>
              <w:bottom w:val="single" w:sz="4" w:space="0" w:color="auto"/>
              <w:right w:val="single" w:sz="4" w:space="0" w:color="auto"/>
            </w:tcBorders>
            <w:vAlign w:val="center"/>
            <w:hideMark/>
          </w:tcPr>
          <w:p w14:paraId="7FD46EDF" w14:textId="77777777" w:rsidR="003E5526" w:rsidRPr="00961128" w:rsidRDefault="003E5526"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13AE57ED" w14:textId="2AE7011F" w:rsidR="003E5526"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961128" w14:paraId="63EBAE01" w14:textId="77777777" w:rsidTr="003E5526">
        <w:tc>
          <w:tcPr>
            <w:tcW w:w="3652" w:type="dxa"/>
            <w:tcBorders>
              <w:top w:val="single" w:sz="4" w:space="0" w:color="auto"/>
              <w:left w:val="single" w:sz="4" w:space="0" w:color="auto"/>
              <w:bottom w:val="single" w:sz="4" w:space="0" w:color="auto"/>
              <w:right w:val="single" w:sz="4" w:space="0" w:color="auto"/>
            </w:tcBorders>
            <w:hideMark/>
          </w:tcPr>
          <w:p w14:paraId="1292CC0D" w14:textId="77777777" w:rsidR="003E5526" w:rsidRPr="00961128" w:rsidRDefault="003E5526"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hideMark/>
          </w:tcPr>
          <w:p w14:paraId="24AAC7E5" w14:textId="3E2D5C1C" w:rsidR="003E5526"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961128" w14:paraId="7D992721" w14:textId="77777777" w:rsidTr="003E5526">
        <w:trPr>
          <w:trHeight w:val="269"/>
        </w:trPr>
        <w:tc>
          <w:tcPr>
            <w:tcW w:w="3652" w:type="dxa"/>
            <w:tcBorders>
              <w:top w:val="single" w:sz="4" w:space="0" w:color="auto"/>
              <w:left w:val="single" w:sz="4" w:space="0" w:color="auto"/>
              <w:bottom w:val="single" w:sz="4" w:space="0" w:color="auto"/>
              <w:right w:val="single" w:sz="4" w:space="0" w:color="auto"/>
            </w:tcBorders>
            <w:hideMark/>
          </w:tcPr>
          <w:p w14:paraId="637F4F60" w14:textId="77777777" w:rsidR="003E5526" w:rsidRPr="00961128" w:rsidRDefault="003E5526"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hideMark/>
          </w:tcPr>
          <w:p w14:paraId="26150F1C" w14:textId="058889B2" w:rsidR="003E5526" w:rsidRPr="00961128" w:rsidRDefault="003E5526" w:rsidP="002C6ABD">
            <w:pPr>
              <w:spacing w:before="100" w:beforeAutospacing="1" w:after="120"/>
              <w:ind w:right="-340"/>
              <w:jc w:val="center"/>
              <w:rPr>
                <w:rFonts w:cs="Times New Roman"/>
                <w:i/>
                <w:iCs/>
                <w:sz w:val="15"/>
                <w:szCs w:val="15"/>
              </w:rPr>
            </w:pPr>
            <w:r>
              <w:rPr>
                <w:rFonts w:cs="Times New Roman"/>
                <w:i/>
                <w:iCs/>
                <w:sz w:val="15"/>
                <w:szCs w:val="15"/>
              </w:rPr>
              <w:t>y</w:t>
            </w:r>
            <w:r>
              <w:rPr>
                <w:rFonts w:cs="Times New Roman" w:hint="eastAsia"/>
                <w:i/>
                <w:iCs/>
                <w:sz w:val="15"/>
                <w:szCs w:val="15"/>
              </w:rPr>
              <w:t>es</w:t>
            </w:r>
          </w:p>
        </w:tc>
      </w:tr>
      <w:tr w:rsidR="003E5526" w:rsidRPr="00961128" w14:paraId="596975B2" w14:textId="77777777" w:rsidTr="003E5526">
        <w:tc>
          <w:tcPr>
            <w:tcW w:w="3652" w:type="dxa"/>
            <w:tcBorders>
              <w:top w:val="single" w:sz="4" w:space="0" w:color="auto"/>
              <w:left w:val="single" w:sz="4" w:space="0" w:color="auto"/>
              <w:bottom w:val="single" w:sz="4" w:space="0" w:color="auto"/>
              <w:right w:val="single" w:sz="4" w:space="0" w:color="auto"/>
            </w:tcBorders>
            <w:vAlign w:val="center"/>
            <w:hideMark/>
          </w:tcPr>
          <w:p w14:paraId="777F23B5" w14:textId="77777777" w:rsidR="003E5526" w:rsidRPr="00961128" w:rsidRDefault="003E5526" w:rsidP="002C6ABD">
            <w:pPr>
              <w:spacing w:before="100" w:beforeAutospacing="1" w:after="120"/>
              <w:ind w:right="-340"/>
              <w:rPr>
                <w:rFonts w:cs="Times New Roman"/>
                <w:i/>
                <w:iCs/>
                <w:sz w:val="15"/>
                <w:szCs w:val="15"/>
              </w:rPr>
            </w:pPr>
            <w:r>
              <w:rPr>
                <w:rFonts w:cs="Times New Roman"/>
                <w:i/>
                <w:iCs/>
                <w:sz w:val="15"/>
                <w:szCs w:val="15"/>
              </w:rPr>
              <w:t>Resource provision</w:t>
            </w:r>
            <w:r w:rsidRPr="00961128">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389C738" w14:textId="66D0D71F" w:rsidR="003E5526" w:rsidRPr="00961128" w:rsidRDefault="003E5526" w:rsidP="002C6ABD">
            <w:pPr>
              <w:spacing w:before="100" w:beforeAutospacing="1" w:after="120"/>
              <w:ind w:right="-340"/>
              <w:jc w:val="center"/>
              <w:rPr>
                <w:rFonts w:cs="Times New Roman"/>
                <w:i/>
                <w:iCs/>
                <w:sz w:val="15"/>
                <w:szCs w:val="15"/>
              </w:rPr>
            </w:pPr>
            <w:r w:rsidRPr="00961128">
              <w:rPr>
                <w:rFonts w:cs="Times New Roman"/>
                <w:i/>
                <w:iCs/>
                <w:sz w:val="15"/>
                <w:szCs w:val="15"/>
              </w:rPr>
              <w:t> </w:t>
            </w:r>
            <w:r w:rsidRPr="00C31922">
              <w:rPr>
                <w:rFonts w:cs="Times New Roman"/>
                <w:i/>
                <w:iCs/>
                <w:sz w:val="15"/>
                <w:szCs w:val="15"/>
              </w:rPr>
              <w:t>no</w:t>
            </w:r>
          </w:p>
        </w:tc>
      </w:tr>
      <w:tr w:rsidR="003E5526" w:rsidRPr="00961128" w14:paraId="0E0C1170" w14:textId="77777777" w:rsidTr="003E5526">
        <w:tc>
          <w:tcPr>
            <w:tcW w:w="3652" w:type="dxa"/>
            <w:tcBorders>
              <w:top w:val="single" w:sz="4" w:space="0" w:color="auto"/>
              <w:left w:val="single" w:sz="4" w:space="0" w:color="auto"/>
              <w:bottom w:val="single" w:sz="4" w:space="0" w:color="auto"/>
              <w:right w:val="single" w:sz="4" w:space="0" w:color="auto"/>
            </w:tcBorders>
          </w:tcPr>
          <w:p w14:paraId="11DB74D3" w14:textId="10D00150" w:rsidR="003E5526" w:rsidRDefault="003E5526" w:rsidP="003E5526">
            <w:pPr>
              <w:spacing w:before="100" w:beforeAutospacing="1" w:after="120"/>
              <w:ind w:right="-340"/>
              <w:rPr>
                <w:rFonts w:cs="Times New Roman"/>
                <w:i/>
                <w:iCs/>
                <w:sz w:val="15"/>
                <w:szCs w:val="15"/>
              </w:rPr>
            </w:pPr>
            <w:r>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2B1D75D4" w14:textId="16CF05AC" w:rsidR="003E5526" w:rsidRPr="00961128"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r w:rsidRPr="00961128">
              <w:rPr>
                <w:rFonts w:cs="Times New Roman"/>
                <w:i/>
                <w:iCs/>
                <w:sz w:val="15"/>
                <w:szCs w:val="15"/>
              </w:rPr>
              <w:t> </w:t>
            </w:r>
          </w:p>
        </w:tc>
      </w:tr>
      <w:tr w:rsidR="003E5526" w:rsidRPr="00961128" w14:paraId="18571810" w14:textId="77777777" w:rsidTr="003E5526">
        <w:tc>
          <w:tcPr>
            <w:tcW w:w="3652" w:type="dxa"/>
            <w:tcBorders>
              <w:top w:val="single" w:sz="4" w:space="0" w:color="auto"/>
              <w:left w:val="single" w:sz="4" w:space="0" w:color="auto"/>
              <w:bottom w:val="single" w:sz="4" w:space="0" w:color="auto"/>
              <w:right w:val="single" w:sz="4" w:space="0" w:color="auto"/>
            </w:tcBorders>
          </w:tcPr>
          <w:p w14:paraId="0005A92B" w14:textId="1F196663" w:rsidR="003E5526" w:rsidRDefault="003E5526" w:rsidP="003E5526">
            <w:pPr>
              <w:spacing w:before="100" w:beforeAutospacing="1" w:after="120"/>
              <w:ind w:right="-340"/>
              <w:rPr>
                <w:rFonts w:cs="Times New Roman"/>
                <w:i/>
                <w:iCs/>
                <w:sz w:val="15"/>
                <w:szCs w:val="15"/>
              </w:rPr>
            </w:pPr>
            <w:r>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743781ED" w14:textId="2C79A1B5" w:rsidR="003E5526" w:rsidRPr="00961128" w:rsidRDefault="003E5526" w:rsidP="003E5526">
            <w:pPr>
              <w:spacing w:before="100" w:beforeAutospacing="1" w:after="120"/>
              <w:ind w:right="-340"/>
              <w:jc w:val="center"/>
              <w:rPr>
                <w:rFonts w:cs="Times New Roman"/>
                <w:i/>
                <w:iCs/>
                <w:sz w:val="15"/>
                <w:szCs w:val="15"/>
              </w:rPr>
            </w:pPr>
            <w:r w:rsidRPr="00C31922">
              <w:rPr>
                <w:rFonts w:cs="Times New Roman"/>
                <w:i/>
                <w:iCs/>
                <w:sz w:val="15"/>
                <w:szCs w:val="15"/>
              </w:rPr>
              <w:t>no</w:t>
            </w:r>
            <w:r w:rsidRPr="00961128">
              <w:rPr>
                <w:rFonts w:cs="Times New Roman"/>
                <w:i/>
                <w:iCs/>
                <w:sz w:val="15"/>
                <w:szCs w:val="15"/>
              </w:rPr>
              <w:t> </w:t>
            </w:r>
          </w:p>
        </w:tc>
      </w:tr>
      <w:tr w:rsidR="003E5526" w:rsidRPr="00961128" w14:paraId="7D9FD1C2" w14:textId="77777777" w:rsidTr="003E5526">
        <w:tc>
          <w:tcPr>
            <w:tcW w:w="3652" w:type="dxa"/>
            <w:tcBorders>
              <w:top w:val="single" w:sz="4" w:space="0" w:color="auto"/>
              <w:left w:val="single" w:sz="4" w:space="0" w:color="auto"/>
              <w:bottom w:val="single" w:sz="4" w:space="0" w:color="auto"/>
              <w:right w:val="single" w:sz="4" w:space="0" w:color="auto"/>
            </w:tcBorders>
          </w:tcPr>
          <w:p w14:paraId="6042EEA9" w14:textId="513D6A01" w:rsidR="003E5526" w:rsidRDefault="003E5526" w:rsidP="003E5526">
            <w:pPr>
              <w:spacing w:before="100" w:beforeAutospacing="1" w:after="120"/>
              <w:ind w:right="-340"/>
              <w:rPr>
                <w:rFonts w:cs="Times New Roman"/>
                <w:i/>
                <w:iCs/>
                <w:sz w:val="15"/>
                <w:szCs w:val="15"/>
              </w:rPr>
            </w:pPr>
            <w:r>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02CAA2DD" w14:textId="6B653DBC" w:rsidR="003E5526" w:rsidRPr="00961128" w:rsidRDefault="003E5526" w:rsidP="003E5526">
            <w:pPr>
              <w:spacing w:before="100" w:beforeAutospacing="1" w:after="120"/>
              <w:ind w:right="-340"/>
              <w:jc w:val="center"/>
              <w:rPr>
                <w:rFonts w:cs="Times New Roman"/>
                <w:i/>
                <w:iCs/>
                <w:sz w:val="15"/>
                <w:szCs w:val="15"/>
              </w:rPr>
            </w:pPr>
            <w:r>
              <w:rPr>
                <w:rFonts w:cs="Times New Roman" w:hint="eastAsia"/>
                <w:i/>
                <w:iCs/>
                <w:sz w:val="15"/>
                <w:szCs w:val="15"/>
              </w:rPr>
              <w:t>yes</w:t>
            </w:r>
            <w:r w:rsidRPr="00961128">
              <w:rPr>
                <w:rFonts w:cs="Times New Roman"/>
                <w:i/>
                <w:iCs/>
                <w:sz w:val="15"/>
                <w:szCs w:val="15"/>
              </w:rPr>
              <w:t>  </w:t>
            </w:r>
          </w:p>
        </w:tc>
      </w:tr>
      <w:tr w:rsidR="003E5526" w:rsidRPr="00961128" w14:paraId="04B83548" w14:textId="77777777" w:rsidTr="003E5526">
        <w:tc>
          <w:tcPr>
            <w:tcW w:w="3652" w:type="dxa"/>
            <w:tcBorders>
              <w:top w:val="single" w:sz="4" w:space="0" w:color="auto"/>
              <w:left w:val="single" w:sz="4" w:space="0" w:color="auto"/>
              <w:bottom w:val="single" w:sz="4" w:space="0" w:color="auto"/>
              <w:right w:val="single" w:sz="4" w:space="0" w:color="auto"/>
            </w:tcBorders>
          </w:tcPr>
          <w:p w14:paraId="773EFA48" w14:textId="14D76497" w:rsidR="003E5526" w:rsidRDefault="003E5526" w:rsidP="003E5526">
            <w:pPr>
              <w:spacing w:before="100" w:beforeAutospacing="1" w:after="120"/>
              <w:ind w:right="-340"/>
              <w:rPr>
                <w:rFonts w:cs="Times New Roman"/>
                <w:i/>
                <w:iCs/>
                <w:sz w:val="15"/>
                <w:szCs w:val="15"/>
              </w:rPr>
            </w:pPr>
            <w:r>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46149145" w14:textId="263AAA82" w:rsidR="003E5526" w:rsidRPr="00961128" w:rsidRDefault="003E5526" w:rsidP="003E5526">
            <w:pPr>
              <w:spacing w:before="100" w:beforeAutospacing="1" w:after="120"/>
              <w:ind w:right="-340"/>
              <w:jc w:val="center"/>
              <w:rPr>
                <w:rFonts w:cs="Times New Roman"/>
                <w:i/>
                <w:iCs/>
                <w:sz w:val="15"/>
                <w:szCs w:val="15"/>
              </w:rPr>
            </w:pPr>
            <w:r>
              <w:rPr>
                <w:rFonts w:cs="Times New Roman"/>
                <w:i/>
                <w:iCs/>
                <w:sz w:val="15"/>
                <w:szCs w:val="15"/>
              </w:rPr>
              <w:t>no</w:t>
            </w:r>
            <w:r w:rsidRPr="00961128">
              <w:rPr>
                <w:rFonts w:cs="Times New Roman"/>
                <w:i/>
                <w:iCs/>
                <w:sz w:val="15"/>
                <w:szCs w:val="15"/>
              </w:rPr>
              <w:t> </w:t>
            </w:r>
          </w:p>
        </w:tc>
      </w:tr>
    </w:tbl>
    <w:p w14:paraId="3DD50482" w14:textId="77777777" w:rsidR="00DC4448" w:rsidRPr="00027DD6" w:rsidRDefault="00DC4448" w:rsidP="005621A8">
      <w:pPr>
        <w:pStyle w:val="Heading3"/>
        <w:spacing w:before="120"/>
      </w:pPr>
      <w:bookmarkStart w:id="472" w:name="_Toc472261356"/>
      <w:bookmarkStart w:id="473" w:name="_Toc472262699"/>
      <w:bookmarkStart w:id="474" w:name="_Toc472263081"/>
      <w:bookmarkStart w:id="475" w:name="_Toc472263231"/>
      <w:bookmarkStart w:id="476" w:name="_Toc472263382"/>
      <w:bookmarkStart w:id="477" w:name="_Toc346124065"/>
      <w:r w:rsidRPr="00027DD6">
        <w:t>Sample programs</w:t>
      </w:r>
      <w:bookmarkEnd w:id="472"/>
      <w:bookmarkEnd w:id="473"/>
      <w:bookmarkEnd w:id="474"/>
      <w:bookmarkEnd w:id="475"/>
      <w:bookmarkEnd w:id="476"/>
      <w:bookmarkEnd w:id="477"/>
      <w:r w:rsidRPr="00027DD6">
        <w:t xml:space="preserve"> </w:t>
      </w:r>
    </w:p>
    <w:p w14:paraId="301AB6B6" w14:textId="748B4E48" w:rsidR="00DC4448" w:rsidRPr="008A0E8C" w:rsidRDefault="00DC4448" w:rsidP="006A1D2B">
      <w:pPr>
        <w:pStyle w:val="ListParagraph"/>
        <w:numPr>
          <w:ilvl w:val="0"/>
          <w:numId w:val="17"/>
        </w:numPr>
        <w:tabs>
          <w:tab w:val="left" w:pos="450"/>
        </w:tabs>
        <w:spacing w:line="276" w:lineRule="auto"/>
        <w:ind w:right="-340"/>
        <w:jc w:val="both"/>
        <w:rPr>
          <w:rFonts w:ascii="Century Gothic" w:hAnsi="Century Gothic"/>
          <w:sz w:val="20"/>
          <w:szCs w:val="20"/>
        </w:rPr>
      </w:pPr>
      <w:r>
        <w:rPr>
          <w:rFonts w:ascii="Century Gothic" w:hAnsi="Century Gothic"/>
          <w:i/>
          <w:sz w:val="20"/>
          <w:szCs w:val="20"/>
        </w:rPr>
        <w:t xml:space="preserve">Architecture for high quality professional learning – </w:t>
      </w:r>
      <w:r w:rsidRPr="008A0E8C">
        <w:rPr>
          <w:rFonts w:ascii="Century Gothic" w:hAnsi="Century Gothic"/>
          <w:sz w:val="20"/>
          <w:szCs w:val="20"/>
        </w:rPr>
        <w:t>this is the major project that signals a n</w:t>
      </w:r>
      <w:r>
        <w:rPr>
          <w:rFonts w:ascii="Century Gothic" w:hAnsi="Century Gothic"/>
          <w:sz w:val="20"/>
          <w:szCs w:val="20"/>
        </w:rPr>
        <w:t>ew way of suppo</w:t>
      </w:r>
      <w:r w:rsidR="009617E9">
        <w:rPr>
          <w:rFonts w:ascii="Century Gothic" w:hAnsi="Century Gothic"/>
          <w:sz w:val="20"/>
          <w:szCs w:val="20"/>
        </w:rPr>
        <w:t>rting schools by systematically</w:t>
      </w:r>
      <w:r>
        <w:rPr>
          <w:rFonts w:ascii="Century Gothic" w:hAnsi="Century Gothic"/>
          <w:sz w:val="20"/>
          <w:szCs w:val="20"/>
        </w:rPr>
        <w:t xml:space="preserve"> building capability through, among other activities, the Literacy and Numeracy Coaching Academy, communities of practice in other curriculum areas and an </w:t>
      </w:r>
      <w:r w:rsidR="009617E9">
        <w:rPr>
          <w:rFonts w:ascii="Century Gothic" w:hAnsi="Century Gothic"/>
          <w:sz w:val="20"/>
          <w:szCs w:val="20"/>
        </w:rPr>
        <w:t>annual leadership colloquium.</w:t>
      </w:r>
    </w:p>
    <w:p w14:paraId="0BE02289" w14:textId="1B81C1FA" w:rsidR="00DC4448" w:rsidRPr="005A53EC" w:rsidRDefault="00DC4448" w:rsidP="006A1D2B">
      <w:pPr>
        <w:pStyle w:val="ListParagraph"/>
        <w:numPr>
          <w:ilvl w:val="0"/>
          <w:numId w:val="17"/>
        </w:numPr>
        <w:tabs>
          <w:tab w:val="left" w:pos="450"/>
        </w:tabs>
        <w:spacing w:line="276" w:lineRule="auto"/>
        <w:ind w:right="-340"/>
        <w:jc w:val="both"/>
        <w:rPr>
          <w:rFonts w:ascii="Century Gothic" w:hAnsi="Century Gothic"/>
          <w:sz w:val="20"/>
          <w:szCs w:val="20"/>
        </w:rPr>
      </w:pPr>
      <w:r>
        <w:rPr>
          <w:rFonts w:ascii="Century Gothic" w:hAnsi="Century Gothic"/>
          <w:i/>
          <w:sz w:val="20"/>
          <w:szCs w:val="20"/>
        </w:rPr>
        <w:t xml:space="preserve">Students with Disability Network and other similar networks – </w:t>
      </w:r>
      <w:r w:rsidRPr="005A53EC">
        <w:rPr>
          <w:rFonts w:ascii="Century Gothic" w:hAnsi="Century Gothic"/>
          <w:sz w:val="20"/>
          <w:szCs w:val="20"/>
        </w:rPr>
        <w:t xml:space="preserve">an advisory service to support schools </w:t>
      </w:r>
      <w:r>
        <w:rPr>
          <w:rFonts w:ascii="Century Gothic" w:hAnsi="Century Gothic"/>
          <w:sz w:val="20"/>
          <w:szCs w:val="20"/>
        </w:rPr>
        <w:t>have a common understanding of the needs of students with a disability; how to report data; access to on-line teaching resources, and professional learning on building relationships with f</w:t>
      </w:r>
      <w:r w:rsidR="009617E9">
        <w:rPr>
          <w:rFonts w:ascii="Century Gothic" w:hAnsi="Century Gothic"/>
          <w:sz w:val="20"/>
          <w:szCs w:val="20"/>
        </w:rPr>
        <w:t>amilies.</w:t>
      </w:r>
    </w:p>
    <w:p w14:paraId="3099A103" w14:textId="77777777" w:rsidR="00DC4448" w:rsidRPr="00027DD6" w:rsidRDefault="00DC4448" w:rsidP="005621A8">
      <w:pPr>
        <w:pStyle w:val="Heading3"/>
        <w:spacing w:before="120"/>
      </w:pPr>
      <w:bookmarkStart w:id="478" w:name="_Toc472261357"/>
      <w:bookmarkStart w:id="479" w:name="_Toc472262700"/>
      <w:bookmarkStart w:id="480" w:name="_Toc472263082"/>
      <w:bookmarkStart w:id="481" w:name="_Toc472263232"/>
      <w:bookmarkStart w:id="482" w:name="_Toc472263383"/>
      <w:bookmarkStart w:id="483" w:name="_Toc346124066"/>
      <w:r w:rsidRPr="00027DD6">
        <w:t>Funding – how used?</w:t>
      </w:r>
      <w:bookmarkEnd w:id="478"/>
      <w:bookmarkEnd w:id="479"/>
      <w:bookmarkEnd w:id="480"/>
      <w:bookmarkEnd w:id="481"/>
      <w:bookmarkEnd w:id="482"/>
      <w:bookmarkEnd w:id="483"/>
      <w:r w:rsidRPr="00027DD6">
        <w:t xml:space="preserve"> </w:t>
      </w:r>
    </w:p>
    <w:p w14:paraId="10C2AF42" w14:textId="105FDB21" w:rsidR="00DC4448" w:rsidRPr="00FF664E" w:rsidRDefault="00DC4448" w:rsidP="006A1D2B">
      <w:pPr>
        <w:pStyle w:val="ListParagraph"/>
        <w:numPr>
          <w:ilvl w:val="0"/>
          <w:numId w:val="18"/>
        </w:numPr>
        <w:spacing w:after="200" w:line="276" w:lineRule="auto"/>
        <w:ind w:right="-340"/>
      </w:pPr>
      <w:r>
        <w:rPr>
          <w:rFonts w:ascii="Century Gothic" w:hAnsi="Century Gothic"/>
          <w:sz w:val="20"/>
          <w:szCs w:val="20"/>
        </w:rPr>
        <w:t xml:space="preserve">SFSF effectively leveraged by partnerships with other associations (Queensland and NSW) through access to </w:t>
      </w:r>
      <w:r w:rsidR="009617E9">
        <w:rPr>
          <w:rFonts w:ascii="Century Gothic" w:hAnsi="Century Gothic"/>
          <w:sz w:val="20"/>
          <w:szCs w:val="20"/>
        </w:rPr>
        <w:t>their expertise and materials.</w:t>
      </w:r>
    </w:p>
    <w:p w14:paraId="17CA2F2D" w14:textId="3B36F7E8" w:rsidR="00DC4448" w:rsidRPr="002B10E5" w:rsidRDefault="00DC4448" w:rsidP="005621A8">
      <w:pPr>
        <w:pStyle w:val="ListParagraph"/>
        <w:numPr>
          <w:ilvl w:val="0"/>
          <w:numId w:val="18"/>
        </w:numPr>
        <w:spacing w:after="120" w:line="276" w:lineRule="auto"/>
        <w:ind w:left="714" w:right="-340" w:hanging="357"/>
      </w:pPr>
      <w:r>
        <w:rPr>
          <w:rFonts w:ascii="Century Gothic" w:hAnsi="Century Gothic"/>
          <w:sz w:val="20"/>
          <w:szCs w:val="20"/>
        </w:rPr>
        <w:t xml:space="preserve">Predominantly used to employ </w:t>
      </w:r>
      <w:r w:rsidR="009617E9">
        <w:rPr>
          <w:rFonts w:ascii="Century Gothic" w:hAnsi="Century Gothic"/>
          <w:sz w:val="20"/>
          <w:szCs w:val="20"/>
        </w:rPr>
        <w:t>expert consultants to schools.</w:t>
      </w:r>
    </w:p>
    <w:p w14:paraId="42808DAA" w14:textId="77777777" w:rsidR="00DC4448" w:rsidRPr="00027DD6" w:rsidRDefault="00DC4448" w:rsidP="005621A8">
      <w:pPr>
        <w:pStyle w:val="Heading3"/>
        <w:spacing w:before="120"/>
      </w:pPr>
      <w:bookmarkStart w:id="484" w:name="_Toc472261358"/>
      <w:bookmarkStart w:id="485" w:name="_Toc472262701"/>
      <w:bookmarkStart w:id="486" w:name="_Toc472263083"/>
      <w:bookmarkStart w:id="487" w:name="_Toc472263233"/>
      <w:bookmarkStart w:id="488" w:name="_Toc472263384"/>
      <w:bookmarkStart w:id="489" w:name="_Toc346124067"/>
      <w:r w:rsidRPr="00027DD6">
        <w:t>Monitoring success</w:t>
      </w:r>
      <w:bookmarkEnd w:id="484"/>
      <w:bookmarkEnd w:id="485"/>
      <w:bookmarkEnd w:id="486"/>
      <w:bookmarkEnd w:id="487"/>
      <w:bookmarkEnd w:id="488"/>
      <w:bookmarkEnd w:id="489"/>
      <w:r w:rsidRPr="00027DD6">
        <w:t xml:space="preserve">  </w:t>
      </w:r>
    </w:p>
    <w:p w14:paraId="58C79510" w14:textId="46B5A5C1" w:rsidR="00DC4448" w:rsidRPr="00FF664E" w:rsidRDefault="00DC4448" w:rsidP="006A1D2B">
      <w:pPr>
        <w:pStyle w:val="ListParagraph"/>
        <w:numPr>
          <w:ilvl w:val="0"/>
          <w:numId w:val="18"/>
        </w:numPr>
        <w:spacing w:after="200" w:line="276" w:lineRule="auto"/>
        <w:ind w:right="-340"/>
        <w:rPr>
          <w:rFonts w:ascii="Century Gothic" w:hAnsi="Century Gothic"/>
          <w:sz w:val="20"/>
          <w:szCs w:val="20"/>
        </w:rPr>
      </w:pPr>
      <w:r>
        <w:rPr>
          <w:rFonts w:ascii="Century Gothic" w:hAnsi="Century Gothic"/>
          <w:sz w:val="20"/>
          <w:szCs w:val="20"/>
        </w:rPr>
        <w:t>Principals’</w:t>
      </w:r>
      <w:r w:rsidRPr="00FF664E">
        <w:rPr>
          <w:rFonts w:ascii="Century Gothic" w:hAnsi="Century Gothic"/>
          <w:sz w:val="20"/>
          <w:szCs w:val="20"/>
        </w:rPr>
        <w:t xml:space="preserve"> satisfaction with services is measured and the association respon</w:t>
      </w:r>
      <w:r>
        <w:rPr>
          <w:rFonts w:ascii="Century Gothic" w:hAnsi="Century Gothic"/>
          <w:sz w:val="20"/>
          <w:szCs w:val="20"/>
        </w:rPr>
        <w:t>ds accordingly (</w:t>
      </w:r>
      <w:r w:rsidRPr="00FF664E">
        <w:rPr>
          <w:rFonts w:ascii="Century Gothic" w:hAnsi="Century Gothic"/>
          <w:sz w:val="20"/>
          <w:szCs w:val="20"/>
        </w:rPr>
        <w:t>all school</w:t>
      </w:r>
      <w:r>
        <w:rPr>
          <w:rFonts w:ascii="Century Gothic" w:hAnsi="Century Gothic"/>
          <w:sz w:val="20"/>
          <w:szCs w:val="20"/>
        </w:rPr>
        <w:t>s</w:t>
      </w:r>
      <w:r w:rsidRPr="00FF664E">
        <w:rPr>
          <w:rFonts w:ascii="Century Gothic" w:hAnsi="Century Gothic"/>
          <w:sz w:val="20"/>
          <w:szCs w:val="20"/>
        </w:rPr>
        <w:t xml:space="preserve"> can have two members on the B</w:t>
      </w:r>
      <w:r>
        <w:rPr>
          <w:rFonts w:ascii="Century Gothic" w:hAnsi="Century Gothic"/>
          <w:sz w:val="20"/>
          <w:szCs w:val="20"/>
        </w:rPr>
        <w:t>oard)</w:t>
      </w:r>
      <w:r w:rsidR="009617E9">
        <w:rPr>
          <w:rFonts w:ascii="Century Gothic" w:hAnsi="Century Gothic"/>
          <w:i/>
          <w:sz w:val="20"/>
          <w:szCs w:val="20"/>
        </w:rPr>
        <w:t>.</w:t>
      </w:r>
    </w:p>
    <w:p w14:paraId="7BAE6CA3" w14:textId="77777777" w:rsidR="00DC4448" w:rsidRDefault="00DC4448" w:rsidP="006A1D2B">
      <w:pPr>
        <w:pStyle w:val="ListParagraph"/>
        <w:numPr>
          <w:ilvl w:val="0"/>
          <w:numId w:val="18"/>
        </w:numPr>
        <w:spacing w:line="276" w:lineRule="auto"/>
        <w:ind w:right="-340"/>
        <w:rPr>
          <w:rFonts w:ascii="Century Gothic" w:hAnsi="Century Gothic"/>
          <w:sz w:val="20"/>
          <w:szCs w:val="20"/>
        </w:rPr>
      </w:pPr>
      <w:r>
        <w:rPr>
          <w:rFonts w:ascii="Century Gothic" w:hAnsi="Century Gothic"/>
          <w:sz w:val="20"/>
          <w:szCs w:val="20"/>
        </w:rPr>
        <w:t>The augmentation of services since 2014 is highly valued in terms of the spread of services from both regulatory to teaching and learning support.</w:t>
      </w:r>
    </w:p>
    <w:p w14:paraId="6D8AA3A5" w14:textId="79D6EA94" w:rsidR="00DC4448" w:rsidRPr="00241706" w:rsidRDefault="00DC4448" w:rsidP="006A1D2B">
      <w:pPr>
        <w:pStyle w:val="ListParagraph"/>
        <w:numPr>
          <w:ilvl w:val="0"/>
          <w:numId w:val="18"/>
        </w:numPr>
        <w:spacing w:line="276" w:lineRule="auto"/>
        <w:ind w:right="-340"/>
      </w:pPr>
      <w:r w:rsidRPr="00241706">
        <w:rPr>
          <w:rFonts w:ascii="Century Gothic" w:hAnsi="Century Gothic"/>
          <w:sz w:val="20"/>
          <w:szCs w:val="20"/>
        </w:rPr>
        <w:t>Seven evaluations have been conducted for professional learning initiatives -all show a high level of usefulness and implications for</w:t>
      </w:r>
      <w:r w:rsidR="009617E9">
        <w:rPr>
          <w:rFonts w:ascii="Century Gothic" w:hAnsi="Century Gothic"/>
          <w:sz w:val="20"/>
          <w:szCs w:val="20"/>
        </w:rPr>
        <w:t xml:space="preserve"> transfer to schools practices.</w:t>
      </w:r>
    </w:p>
    <w:p w14:paraId="7AB4E97F" w14:textId="77777777" w:rsidR="00DC4448" w:rsidRPr="00027DD6" w:rsidRDefault="00DC4448" w:rsidP="005621A8">
      <w:pPr>
        <w:pStyle w:val="Heading3"/>
        <w:spacing w:before="120"/>
      </w:pPr>
      <w:bookmarkStart w:id="490" w:name="_Toc472261359"/>
      <w:bookmarkStart w:id="491" w:name="_Toc472262702"/>
      <w:bookmarkStart w:id="492" w:name="_Toc472263084"/>
      <w:bookmarkStart w:id="493" w:name="_Toc472263234"/>
      <w:bookmarkStart w:id="494" w:name="_Toc472263385"/>
      <w:bookmarkStart w:id="495" w:name="_Toc346124068"/>
      <w:r w:rsidRPr="00027DD6">
        <w:t>Issues and implications</w:t>
      </w:r>
      <w:bookmarkEnd w:id="490"/>
      <w:bookmarkEnd w:id="491"/>
      <w:bookmarkEnd w:id="492"/>
      <w:bookmarkEnd w:id="493"/>
      <w:bookmarkEnd w:id="494"/>
      <w:bookmarkEnd w:id="495"/>
    </w:p>
    <w:p w14:paraId="096EB762" w14:textId="77777777" w:rsidR="00DC4448" w:rsidRDefault="00DC4448" w:rsidP="00DC4448">
      <w:pPr>
        <w:spacing w:after="200" w:line="276" w:lineRule="auto"/>
        <w:ind w:left="360" w:right="-340"/>
        <w:rPr>
          <w:rFonts w:ascii="Century Gothic" w:hAnsi="Century Gothic"/>
          <w:sz w:val="20"/>
          <w:szCs w:val="20"/>
        </w:rPr>
      </w:pPr>
      <w:r w:rsidRPr="005D5A52">
        <w:rPr>
          <w:rFonts w:ascii="Century Gothic" w:hAnsi="Century Gothic"/>
          <w:sz w:val="20"/>
          <w:szCs w:val="20"/>
        </w:rPr>
        <w:t xml:space="preserve">The association did not previously have the capacity </w:t>
      </w:r>
      <w:r>
        <w:rPr>
          <w:rFonts w:ascii="Century Gothic" w:hAnsi="Century Gothic"/>
          <w:sz w:val="20"/>
          <w:szCs w:val="20"/>
        </w:rPr>
        <w:t>to support schools beyond</w:t>
      </w:r>
      <w:r w:rsidRPr="005D5A52">
        <w:rPr>
          <w:rFonts w:ascii="Century Gothic" w:hAnsi="Century Gothic"/>
          <w:sz w:val="20"/>
          <w:szCs w:val="20"/>
        </w:rPr>
        <w:t xml:space="preserve"> a base level of engagement</w:t>
      </w:r>
      <w:r>
        <w:rPr>
          <w:rFonts w:ascii="Century Gothic" w:hAnsi="Century Gothic"/>
          <w:sz w:val="20"/>
          <w:szCs w:val="20"/>
        </w:rPr>
        <w:t>.</w:t>
      </w:r>
      <w:r w:rsidRPr="005D5A52">
        <w:rPr>
          <w:rFonts w:ascii="Century Gothic" w:hAnsi="Century Gothic"/>
          <w:sz w:val="20"/>
          <w:szCs w:val="20"/>
        </w:rPr>
        <w:t xml:space="preserve"> Hence activities that are routine in other jurisdictions (e.g. advice on Industr</w:t>
      </w:r>
      <w:r>
        <w:rPr>
          <w:rFonts w:ascii="Century Gothic" w:hAnsi="Century Gothic"/>
          <w:sz w:val="20"/>
          <w:szCs w:val="20"/>
        </w:rPr>
        <w:t>ial relations and regulations</w:t>
      </w:r>
      <w:r w:rsidRPr="005D5A52">
        <w:rPr>
          <w:rFonts w:ascii="Century Gothic" w:hAnsi="Century Gothic"/>
          <w:sz w:val="20"/>
          <w:szCs w:val="20"/>
        </w:rPr>
        <w:t xml:space="preserve">) are funded through SFSF in </w:t>
      </w:r>
      <w:r>
        <w:rPr>
          <w:rFonts w:ascii="Century Gothic" w:hAnsi="Century Gothic"/>
          <w:sz w:val="20"/>
          <w:szCs w:val="20"/>
        </w:rPr>
        <w:t>ACT</w:t>
      </w:r>
      <w:r w:rsidRPr="005D5A52">
        <w:rPr>
          <w:rFonts w:ascii="Century Gothic" w:hAnsi="Century Gothic"/>
          <w:sz w:val="20"/>
          <w:szCs w:val="20"/>
        </w:rPr>
        <w:t xml:space="preserve">. </w:t>
      </w:r>
      <w:r>
        <w:rPr>
          <w:rFonts w:ascii="Century Gothic" w:hAnsi="Century Gothic"/>
          <w:sz w:val="20"/>
          <w:szCs w:val="20"/>
        </w:rPr>
        <w:t>Further, provision of programs focused on literacy &amp; numeracy, coaching, leadership and differentiated teaching are now able to be offered and are enthusiastically engaged with by member schools.</w:t>
      </w:r>
      <w:r>
        <w:rPr>
          <w:rFonts w:ascii="Century Gothic" w:hAnsi="Century Gothic"/>
          <w:sz w:val="20"/>
          <w:szCs w:val="20"/>
        </w:rPr>
        <w:br w:type="page"/>
      </w:r>
    </w:p>
    <w:tbl>
      <w:tblPr>
        <w:tblW w:w="8692" w:type="dxa"/>
        <w:tblInd w:w="-176" w:type="dxa"/>
        <w:tblLook w:val="04A0" w:firstRow="1" w:lastRow="0" w:firstColumn="1" w:lastColumn="0" w:noHBand="0" w:noVBand="1"/>
        <w:tblDescription w:val="This table provides a description of the ACT Catholic NGRB."/>
      </w:tblPr>
      <w:tblGrid>
        <w:gridCol w:w="3777"/>
        <w:gridCol w:w="1009"/>
        <w:gridCol w:w="1285"/>
        <w:gridCol w:w="1325"/>
        <w:gridCol w:w="1296"/>
      </w:tblGrid>
      <w:tr w:rsidR="00DC4448" w:rsidRPr="00E4618A" w14:paraId="1BEE7D59" w14:textId="77777777" w:rsidTr="002C6ABD">
        <w:tc>
          <w:tcPr>
            <w:tcW w:w="3777" w:type="dxa"/>
            <w:vMerge w:val="restart"/>
            <w:tcBorders>
              <w:top w:val="nil"/>
              <w:left w:val="nil"/>
              <w:bottom w:val="nil"/>
              <w:right w:val="single" w:sz="4" w:space="0" w:color="auto"/>
            </w:tcBorders>
            <w:shd w:val="clear" w:color="auto" w:fill="auto"/>
          </w:tcPr>
          <w:p w14:paraId="777DE305" w14:textId="77777777" w:rsidR="00DC4448" w:rsidRPr="00870B9B" w:rsidRDefault="00DC4448" w:rsidP="005621A8">
            <w:pPr>
              <w:pStyle w:val="Heading2"/>
              <w:spacing w:before="0" w:after="0"/>
            </w:pPr>
            <w:bookmarkStart w:id="496" w:name="_Toc472261360"/>
            <w:bookmarkStart w:id="497" w:name="_Toc472262703"/>
            <w:bookmarkStart w:id="498" w:name="_Toc472263085"/>
            <w:bookmarkStart w:id="499" w:name="_Toc472263235"/>
            <w:bookmarkStart w:id="500" w:name="_Toc472263386"/>
            <w:bookmarkStart w:id="501" w:name="_Toc346124069"/>
            <w:r w:rsidRPr="005621A8">
              <w:rPr>
                <w:sz w:val="24"/>
              </w:rPr>
              <w:t>ACT Catholic</w:t>
            </w:r>
            <w:bookmarkEnd w:id="496"/>
            <w:bookmarkEnd w:id="497"/>
            <w:bookmarkEnd w:id="498"/>
            <w:bookmarkEnd w:id="499"/>
            <w:bookmarkEnd w:id="500"/>
            <w:bookmarkEnd w:id="501"/>
            <w:r w:rsidRPr="005621A8">
              <w:rPr>
                <w:sz w:val="24"/>
              </w:rPr>
              <w:t xml:space="preserve"> </w:t>
            </w:r>
          </w:p>
        </w:tc>
        <w:tc>
          <w:tcPr>
            <w:tcW w:w="10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7B2E67" w14:textId="77777777" w:rsidR="00DC4448" w:rsidRPr="00E4618A" w:rsidRDefault="00DC4448" w:rsidP="002C6ABD">
            <w:pPr>
              <w:ind w:right="-27"/>
              <w:jc w:val="center"/>
              <w:rPr>
                <w:sz w:val="16"/>
                <w:szCs w:val="16"/>
              </w:rPr>
            </w:pPr>
            <w:r w:rsidRPr="00E4618A">
              <w:rPr>
                <w:sz w:val="16"/>
                <w:szCs w:val="16"/>
              </w:rPr>
              <w:t>Schools</w:t>
            </w:r>
          </w:p>
        </w:tc>
        <w:tc>
          <w:tcPr>
            <w:tcW w:w="12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AFFB5D" w14:textId="77777777" w:rsidR="00DC4448" w:rsidRPr="00E4618A" w:rsidRDefault="00DC4448" w:rsidP="002C6ABD">
            <w:pPr>
              <w:ind w:right="-27"/>
              <w:jc w:val="center"/>
              <w:rPr>
                <w:sz w:val="16"/>
                <w:szCs w:val="16"/>
              </w:rPr>
            </w:pPr>
            <w:r w:rsidRPr="00E4618A">
              <w:rPr>
                <w:sz w:val="16"/>
                <w:szCs w:val="16"/>
              </w:rPr>
              <w:t>Students</w:t>
            </w:r>
          </w:p>
        </w:tc>
        <w:tc>
          <w:tcPr>
            <w:tcW w:w="13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ADF5F" w14:textId="77777777" w:rsidR="00DC4448" w:rsidRPr="00E4618A" w:rsidRDefault="00DC4448" w:rsidP="002C6ABD">
            <w:pPr>
              <w:ind w:right="-27"/>
              <w:jc w:val="center"/>
              <w:rPr>
                <w:sz w:val="16"/>
                <w:szCs w:val="16"/>
              </w:rPr>
            </w:pPr>
            <w:r w:rsidRPr="00E4618A">
              <w:rPr>
                <w:sz w:val="16"/>
                <w:szCs w:val="16"/>
              </w:rPr>
              <w:t>Teaching Staff</w:t>
            </w:r>
          </w:p>
        </w:tc>
        <w:tc>
          <w:tcPr>
            <w:tcW w:w="12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682F61" w14:textId="77777777" w:rsidR="00DC4448" w:rsidRPr="00E4618A" w:rsidRDefault="00DC4448" w:rsidP="002C6ABD">
            <w:pPr>
              <w:ind w:right="-27"/>
              <w:jc w:val="center"/>
              <w:rPr>
                <w:sz w:val="16"/>
                <w:szCs w:val="16"/>
              </w:rPr>
            </w:pPr>
            <w:r>
              <w:rPr>
                <w:sz w:val="16"/>
                <w:szCs w:val="16"/>
              </w:rPr>
              <w:t>SFSF $</w:t>
            </w:r>
          </w:p>
        </w:tc>
      </w:tr>
      <w:tr w:rsidR="00DC4448" w:rsidRPr="004E2552" w14:paraId="114D9F2F" w14:textId="77777777" w:rsidTr="002C6ABD">
        <w:tc>
          <w:tcPr>
            <w:tcW w:w="3777" w:type="dxa"/>
            <w:vMerge/>
            <w:tcBorders>
              <w:left w:val="nil"/>
              <w:bottom w:val="nil"/>
              <w:right w:val="single" w:sz="4" w:space="0" w:color="auto"/>
            </w:tcBorders>
            <w:shd w:val="clear" w:color="auto" w:fill="auto"/>
          </w:tcPr>
          <w:p w14:paraId="274B8265" w14:textId="77777777" w:rsidR="00DC4448" w:rsidRDefault="00DC4448" w:rsidP="002C6ABD">
            <w:pPr>
              <w:ind w:right="-340"/>
            </w:pPr>
          </w:p>
        </w:tc>
        <w:tc>
          <w:tcPr>
            <w:tcW w:w="1009" w:type="dxa"/>
            <w:tcBorders>
              <w:top w:val="single" w:sz="4" w:space="0" w:color="auto"/>
              <w:left w:val="single" w:sz="4" w:space="0" w:color="auto"/>
              <w:bottom w:val="single" w:sz="4" w:space="0" w:color="auto"/>
              <w:right w:val="single" w:sz="4" w:space="0" w:color="auto"/>
            </w:tcBorders>
            <w:vAlign w:val="bottom"/>
          </w:tcPr>
          <w:p w14:paraId="16D625F9"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 xml:space="preserve"> 30 </w:t>
            </w:r>
          </w:p>
        </w:tc>
        <w:tc>
          <w:tcPr>
            <w:tcW w:w="1285" w:type="dxa"/>
            <w:tcBorders>
              <w:top w:val="single" w:sz="4" w:space="0" w:color="auto"/>
              <w:left w:val="single" w:sz="4" w:space="0" w:color="auto"/>
              <w:bottom w:val="single" w:sz="4" w:space="0" w:color="auto"/>
              <w:right w:val="single" w:sz="4" w:space="0" w:color="auto"/>
            </w:tcBorders>
            <w:vAlign w:val="bottom"/>
          </w:tcPr>
          <w:p w14:paraId="307B8DA9"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 xml:space="preserve"> 18,063.50 </w:t>
            </w:r>
          </w:p>
        </w:tc>
        <w:tc>
          <w:tcPr>
            <w:tcW w:w="1325" w:type="dxa"/>
            <w:tcBorders>
              <w:top w:val="single" w:sz="4" w:space="0" w:color="auto"/>
              <w:left w:val="single" w:sz="4" w:space="0" w:color="auto"/>
              <w:bottom w:val="single" w:sz="4" w:space="0" w:color="auto"/>
              <w:right w:val="single" w:sz="4" w:space="0" w:color="auto"/>
            </w:tcBorders>
            <w:vAlign w:val="bottom"/>
          </w:tcPr>
          <w:p w14:paraId="0EF65BD2"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 xml:space="preserve"> 1,183.8 </w:t>
            </w:r>
          </w:p>
        </w:tc>
        <w:tc>
          <w:tcPr>
            <w:tcW w:w="1296" w:type="dxa"/>
            <w:tcBorders>
              <w:top w:val="single" w:sz="4" w:space="0" w:color="auto"/>
              <w:left w:val="single" w:sz="4" w:space="0" w:color="auto"/>
              <w:bottom w:val="single" w:sz="4" w:space="0" w:color="auto"/>
              <w:right w:val="single" w:sz="4" w:space="0" w:color="auto"/>
            </w:tcBorders>
            <w:vAlign w:val="bottom"/>
          </w:tcPr>
          <w:p w14:paraId="1C2D4F73" w14:textId="77777777" w:rsidR="00DC4448" w:rsidRPr="004E2552" w:rsidRDefault="00DC4448" w:rsidP="002C6ABD">
            <w:pPr>
              <w:ind w:right="-27"/>
              <w:jc w:val="center"/>
              <w:rPr>
                <w:rFonts w:eastAsia="Times New Roman" w:cs="Times New Roman"/>
                <w:bCs/>
                <w:color w:val="000000"/>
                <w:sz w:val="16"/>
                <w:szCs w:val="16"/>
              </w:rPr>
            </w:pPr>
            <w:r w:rsidRPr="004E2552">
              <w:rPr>
                <w:rFonts w:eastAsia="Times New Roman" w:cs="Times New Roman"/>
                <w:color w:val="000000"/>
                <w:sz w:val="16"/>
                <w:szCs w:val="16"/>
              </w:rPr>
              <w:t>$324,938</w:t>
            </w:r>
          </w:p>
        </w:tc>
      </w:tr>
    </w:tbl>
    <w:p w14:paraId="69E08E96" w14:textId="2564D908" w:rsidR="00DC4448" w:rsidRPr="005621A8" w:rsidRDefault="00DC4448" w:rsidP="005621A8">
      <w:pPr>
        <w:pStyle w:val="Heading3"/>
        <w:spacing w:before="120"/>
        <w:rPr>
          <w:rStyle w:val="IntenseEmphasis"/>
          <w:b/>
          <w:bCs/>
          <w:i w:val="0"/>
          <w:iCs w:val="0"/>
        </w:rPr>
      </w:pPr>
      <w:bookmarkStart w:id="502" w:name="_Toc472261361"/>
      <w:bookmarkStart w:id="503" w:name="_Toc472262704"/>
      <w:bookmarkStart w:id="504" w:name="_Toc472263086"/>
      <w:bookmarkStart w:id="505" w:name="_Toc472263236"/>
      <w:bookmarkStart w:id="506" w:name="_Toc472263387"/>
      <w:bookmarkStart w:id="507" w:name="_Toc346124070"/>
      <w:r w:rsidRPr="005621A8">
        <w:rPr>
          <w:rStyle w:val="IntenseEmphasis"/>
          <w:b/>
          <w:bCs/>
          <w:i w:val="0"/>
          <w:iCs w:val="0"/>
        </w:rPr>
        <w:t>Key features of approach</w:t>
      </w:r>
      <w:bookmarkEnd w:id="502"/>
      <w:bookmarkEnd w:id="503"/>
      <w:bookmarkEnd w:id="504"/>
      <w:bookmarkEnd w:id="505"/>
      <w:bookmarkEnd w:id="506"/>
      <w:bookmarkEnd w:id="507"/>
    </w:p>
    <w:p w14:paraId="66CAF964" w14:textId="77777777" w:rsidR="00DC4448" w:rsidRPr="00E51DB0" w:rsidRDefault="00DC4448" w:rsidP="006A1D2B">
      <w:pPr>
        <w:pStyle w:val="ListParagraph"/>
        <w:numPr>
          <w:ilvl w:val="0"/>
          <w:numId w:val="17"/>
        </w:numPr>
        <w:spacing w:line="276" w:lineRule="auto"/>
        <w:ind w:right="-340"/>
        <w:jc w:val="both"/>
        <w:rPr>
          <w:rFonts w:ascii="Century Gothic" w:hAnsi="Century Gothic"/>
          <w:sz w:val="20"/>
          <w:szCs w:val="20"/>
        </w:rPr>
      </w:pPr>
      <w:r w:rsidRPr="00E51DB0">
        <w:rPr>
          <w:rFonts w:ascii="Century Gothic" w:hAnsi="Century Gothic"/>
          <w:bCs/>
          <w:sz w:val="20"/>
          <w:szCs w:val="20"/>
        </w:rPr>
        <w:t xml:space="preserve">The rationale for the initiatives is to build educational leadership capability and assist with governance improvements that sustain reform into the future rather than be reactive and offer short term initiatives.  There are </w:t>
      </w:r>
      <w:r w:rsidRPr="00E51DB0">
        <w:rPr>
          <w:rFonts w:ascii="Century Gothic" w:hAnsi="Century Gothic"/>
          <w:sz w:val="20"/>
          <w:szCs w:val="20"/>
        </w:rPr>
        <w:t>14 projects conducted under the 5 national priorities.</w:t>
      </w:r>
    </w:p>
    <w:p w14:paraId="13CE568F" w14:textId="7DE699DD" w:rsidR="00DC4448" w:rsidRPr="00E51DB0" w:rsidRDefault="00DC4448" w:rsidP="006A1D2B">
      <w:pPr>
        <w:pStyle w:val="ListParagraph"/>
        <w:numPr>
          <w:ilvl w:val="0"/>
          <w:numId w:val="17"/>
        </w:numPr>
        <w:spacing w:line="276" w:lineRule="auto"/>
        <w:ind w:right="-340"/>
        <w:jc w:val="both"/>
        <w:rPr>
          <w:rFonts w:ascii="Century Gothic" w:hAnsi="Century Gothic"/>
          <w:bCs/>
          <w:sz w:val="20"/>
          <w:szCs w:val="20"/>
        </w:rPr>
      </w:pPr>
      <w:r w:rsidRPr="00E51DB0">
        <w:rPr>
          <w:rFonts w:ascii="Century Gothic" w:hAnsi="Century Gothic"/>
          <w:bCs/>
          <w:sz w:val="20"/>
          <w:szCs w:val="20"/>
        </w:rPr>
        <w:t>Quality Learning and School Leadership are the national priorities that receive t</w:t>
      </w:r>
      <w:r w:rsidR="009617E9">
        <w:rPr>
          <w:rFonts w:ascii="Century Gothic" w:hAnsi="Century Gothic"/>
          <w:bCs/>
          <w:sz w:val="20"/>
          <w:szCs w:val="20"/>
        </w:rPr>
        <w:t>he highest allocation of SFSF.</w:t>
      </w:r>
    </w:p>
    <w:p w14:paraId="6DDB6EA2" w14:textId="0AF00DA5" w:rsidR="00DC4448" w:rsidRPr="00E51DB0" w:rsidRDefault="00DC4448" w:rsidP="006A1D2B">
      <w:pPr>
        <w:pStyle w:val="ListParagraph"/>
        <w:numPr>
          <w:ilvl w:val="0"/>
          <w:numId w:val="17"/>
        </w:numPr>
        <w:spacing w:line="276" w:lineRule="auto"/>
        <w:ind w:right="-340"/>
        <w:jc w:val="both"/>
        <w:rPr>
          <w:rFonts w:ascii="Century Gothic" w:hAnsi="Century Gothic"/>
          <w:bCs/>
          <w:sz w:val="20"/>
          <w:szCs w:val="20"/>
        </w:rPr>
      </w:pPr>
      <w:r w:rsidRPr="00E51DB0">
        <w:rPr>
          <w:rFonts w:ascii="Century Gothic" w:hAnsi="Century Gothic"/>
          <w:bCs/>
          <w:sz w:val="20"/>
          <w:szCs w:val="20"/>
        </w:rPr>
        <w:t>They are seeking to establish sustainable support for their 56 schools through building a support infrastructure with skilled experts, tool</w:t>
      </w:r>
      <w:r w:rsidR="009617E9">
        <w:rPr>
          <w:rFonts w:ascii="Century Gothic" w:hAnsi="Century Gothic"/>
          <w:bCs/>
          <w:sz w:val="20"/>
          <w:szCs w:val="20"/>
        </w:rPr>
        <w:t>s and strong advisory services.</w:t>
      </w:r>
    </w:p>
    <w:p w14:paraId="16303005" w14:textId="657A50E1" w:rsidR="00DC4448" w:rsidRPr="007140D6" w:rsidRDefault="00DC4448" w:rsidP="006A1D2B">
      <w:pPr>
        <w:pStyle w:val="ListParagraph"/>
        <w:numPr>
          <w:ilvl w:val="0"/>
          <w:numId w:val="17"/>
        </w:numPr>
        <w:spacing w:line="276" w:lineRule="auto"/>
        <w:ind w:right="-340"/>
        <w:jc w:val="both"/>
        <w:rPr>
          <w:rFonts w:ascii="Century Gothic" w:hAnsi="Century Gothic"/>
          <w:bCs/>
          <w:sz w:val="20"/>
          <w:szCs w:val="20"/>
        </w:rPr>
      </w:pPr>
      <w:r w:rsidRPr="00E51DB0">
        <w:rPr>
          <w:rFonts w:ascii="Century Gothic" w:hAnsi="Century Gothic"/>
          <w:bCs/>
          <w:sz w:val="20"/>
          <w:szCs w:val="20"/>
        </w:rPr>
        <w:t>There are 5</w:t>
      </w:r>
      <w:r w:rsidR="009617E9">
        <w:rPr>
          <w:rFonts w:ascii="Century Gothic" w:hAnsi="Century Gothic"/>
          <w:bCs/>
          <w:sz w:val="20"/>
          <w:szCs w:val="20"/>
        </w:rPr>
        <w:t>6 schools serviced by the CEACT</w:t>
      </w:r>
    </w:p>
    <w:p w14:paraId="51AEEA56" w14:textId="77777777" w:rsidR="00DC4448" w:rsidRPr="007140D6" w:rsidRDefault="00DC4448" w:rsidP="005621A8">
      <w:pPr>
        <w:pStyle w:val="Heading3"/>
        <w:spacing w:before="120"/>
      </w:pPr>
      <w:r w:rsidRPr="007140D6">
        <w:t xml:space="preserve">Predominant mode of delivery </w:t>
      </w:r>
    </w:p>
    <w:tbl>
      <w:tblPr>
        <w:tblW w:w="4502" w:type="dxa"/>
        <w:tblLook w:val="04A0" w:firstRow="1" w:lastRow="0" w:firstColumn="1" w:lastColumn="0" w:noHBand="0" w:noVBand="1"/>
        <w:tblCaption w:val="Predominant delivery models"/>
        <w:tblDescription w:val="This table shows that predominant delivery models include Professional learning,&#10;On-line tools, and Support and advice.&#10;"/>
      </w:tblPr>
      <w:tblGrid>
        <w:gridCol w:w="3652"/>
        <w:gridCol w:w="850"/>
      </w:tblGrid>
      <w:tr w:rsidR="00C31922" w14:paraId="08B606A6" w14:textId="77777777" w:rsidTr="00C31922">
        <w:tc>
          <w:tcPr>
            <w:tcW w:w="365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E60B9C3" w14:textId="77777777" w:rsidR="00C31922" w:rsidRDefault="00C31922" w:rsidP="002C6ABD">
            <w:pPr>
              <w:spacing w:before="100" w:beforeAutospacing="1"/>
              <w:ind w:right="-340"/>
              <w:rPr>
                <w:rFonts w:ascii="Times New Roman" w:hAnsi="Times New Roman" w:cs="Times New Roman"/>
              </w:rPr>
            </w:pPr>
            <w:r>
              <w:rPr>
                <w:rFonts w:cs="Times New Roman"/>
                <w:sz w:val="15"/>
                <w:szCs w:val="15"/>
              </w:rPr>
              <w:t>Delivery model</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FC3437C" w14:textId="5EFFD894" w:rsidR="00C31922" w:rsidRPr="003E5526" w:rsidRDefault="003E5526" w:rsidP="003E5526">
            <w:pPr>
              <w:spacing w:before="100" w:beforeAutospacing="1"/>
              <w:ind w:right="-340"/>
              <w:jc w:val="center"/>
              <w:rPr>
                <w:rFonts w:cs="Times New Roman"/>
                <w:sz w:val="15"/>
                <w:szCs w:val="15"/>
              </w:rPr>
            </w:pPr>
            <w:r w:rsidRPr="003E5526">
              <w:rPr>
                <w:rFonts w:cs="Times New Roman"/>
                <w:sz w:val="15"/>
                <w:szCs w:val="15"/>
              </w:rPr>
              <w:t>Yes/no</w:t>
            </w:r>
          </w:p>
        </w:tc>
      </w:tr>
      <w:tr w:rsidR="00C31922" w:rsidRPr="00961128" w14:paraId="5581642D"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4A29B917"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Professional learning</w:t>
            </w:r>
          </w:p>
        </w:tc>
        <w:tc>
          <w:tcPr>
            <w:tcW w:w="850" w:type="dxa"/>
            <w:tcBorders>
              <w:top w:val="single" w:sz="4" w:space="0" w:color="auto"/>
              <w:left w:val="single" w:sz="4" w:space="0" w:color="auto"/>
              <w:bottom w:val="single" w:sz="4" w:space="0" w:color="auto"/>
              <w:right w:val="single" w:sz="4" w:space="0" w:color="auto"/>
            </w:tcBorders>
            <w:hideMark/>
          </w:tcPr>
          <w:p w14:paraId="3DAE7655" w14:textId="46BAFEE3" w:rsidR="00C31922" w:rsidRPr="00961128" w:rsidRDefault="003E5526" w:rsidP="002C6ABD">
            <w:pPr>
              <w:spacing w:before="100" w:beforeAutospacing="1" w:after="120"/>
              <w:ind w:right="-340"/>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961128" w14:paraId="1A2BFB36"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5FECEA03"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 xml:space="preserve">Consultancy advice in schools </w:t>
            </w:r>
          </w:p>
        </w:tc>
        <w:tc>
          <w:tcPr>
            <w:tcW w:w="850" w:type="dxa"/>
            <w:tcBorders>
              <w:top w:val="single" w:sz="4" w:space="0" w:color="auto"/>
              <w:left w:val="single" w:sz="4" w:space="0" w:color="auto"/>
              <w:bottom w:val="single" w:sz="4" w:space="0" w:color="auto"/>
              <w:right w:val="single" w:sz="4" w:space="0" w:color="auto"/>
            </w:tcBorders>
            <w:hideMark/>
          </w:tcPr>
          <w:p w14:paraId="1EDA6E53" w14:textId="0EDA7395" w:rsidR="00C31922" w:rsidRPr="00961128" w:rsidRDefault="00C31922" w:rsidP="002C6ABD">
            <w:pPr>
              <w:spacing w:before="100" w:beforeAutospacing="1" w:after="120"/>
              <w:ind w:right="-340"/>
              <w:rPr>
                <w:rFonts w:cs="Times New Roman"/>
                <w:i/>
                <w:iCs/>
                <w:sz w:val="15"/>
                <w:szCs w:val="15"/>
              </w:rPr>
            </w:pPr>
            <w:r w:rsidRPr="00C31922">
              <w:rPr>
                <w:rFonts w:cs="Times New Roman"/>
                <w:i/>
                <w:iCs/>
                <w:sz w:val="15"/>
                <w:szCs w:val="15"/>
              </w:rPr>
              <w:t>no</w:t>
            </w:r>
          </w:p>
        </w:tc>
      </w:tr>
      <w:tr w:rsidR="00C31922" w:rsidRPr="00961128" w14:paraId="2AB95565" w14:textId="77777777" w:rsidTr="00C31922">
        <w:tc>
          <w:tcPr>
            <w:tcW w:w="3652" w:type="dxa"/>
            <w:tcBorders>
              <w:top w:val="single" w:sz="4" w:space="0" w:color="auto"/>
              <w:left w:val="single" w:sz="4" w:space="0" w:color="auto"/>
              <w:bottom w:val="single" w:sz="4" w:space="0" w:color="auto"/>
              <w:right w:val="single" w:sz="4" w:space="0" w:color="auto"/>
            </w:tcBorders>
            <w:hideMark/>
          </w:tcPr>
          <w:p w14:paraId="2451009D"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Coaching and mentoring services</w:t>
            </w:r>
          </w:p>
        </w:tc>
        <w:tc>
          <w:tcPr>
            <w:tcW w:w="850" w:type="dxa"/>
            <w:tcBorders>
              <w:top w:val="single" w:sz="4" w:space="0" w:color="auto"/>
              <w:left w:val="single" w:sz="4" w:space="0" w:color="auto"/>
              <w:bottom w:val="single" w:sz="4" w:space="0" w:color="auto"/>
              <w:right w:val="single" w:sz="4" w:space="0" w:color="auto"/>
            </w:tcBorders>
            <w:hideMark/>
          </w:tcPr>
          <w:p w14:paraId="52915123" w14:textId="156C5B8E" w:rsidR="00C31922" w:rsidRPr="00961128" w:rsidRDefault="00C31922" w:rsidP="002C6ABD">
            <w:pPr>
              <w:spacing w:before="100" w:beforeAutospacing="1" w:after="120"/>
              <w:ind w:right="-340"/>
              <w:rPr>
                <w:rFonts w:cs="Times New Roman"/>
                <w:i/>
                <w:iCs/>
                <w:sz w:val="15"/>
                <w:szCs w:val="15"/>
              </w:rPr>
            </w:pPr>
            <w:r w:rsidRPr="00C31922">
              <w:rPr>
                <w:rFonts w:cs="Times New Roman"/>
                <w:i/>
                <w:iCs/>
                <w:sz w:val="15"/>
                <w:szCs w:val="15"/>
              </w:rPr>
              <w:t>no</w:t>
            </w:r>
          </w:p>
        </w:tc>
      </w:tr>
      <w:tr w:rsidR="00C31922" w:rsidRPr="00961128" w14:paraId="56E12FC1" w14:textId="77777777" w:rsidTr="00C31922">
        <w:trPr>
          <w:trHeight w:val="269"/>
        </w:trPr>
        <w:tc>
          <w:tcPr>
            <w:tcW w:w="3652" w:type="dxa"/>
            <w:tcBorders>
              <w:top w:val="single" w:sz="4" w:space="0" w:color="auto"/>
              <w:left w:val="single" w:sz="4" w:space="0" w:color="auto"/>
              <w:bottom w:val="single" w:sz="4" w:space="0" w:color="auto"/>
              <w:right w:val="single" w:sz="4" w:space="0" w:color="auto"/>
            </w:tcBorders>
            <w:hideMark/>
          </w:tcPr>
          <w:p w14:paraId="230DDA16"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On-line tools</w:t>
            </w:r>
          </w:p>
        </w:tc>
        <w:tc>
          <w:tcPr>
            <w:tcW w:w="850" w:type="dxa"/>
            <w:tcBorders>
              <w:top w:val="single" w:sz="4" w:space="0" w:color="auto"/>
              <w:left w:val="single" w:sz="4" w:space="0" w:color="auto"/>
              <w:bottom w:val="single" w:sz="4" w:space="0" w:color="auto"/>
              <w:right w:val="single" w:sz="4" w:space="0" w:color="auto"/>
            </w:tcBorders>
            <w:hideMark/>
          </w:tcPr>
          <w:p w14:paraId="65744206" w14:textId="1B812A7D" w:rsidR="00C31922" w:rsidRPr="00961128" w:rsidRDefault="003E5526" w:rsidP="002C6ABD">
            <w:pPr>
              <w:spacing w:before="100" w:beforeAutospacing="1" w:after="120"/>
              <w:ind w:right="-340"/>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961128" w14:paraId="08C58238" w14:textId="77777777" w:rsidTr="00C31922">
        <w:tc>
          <w:tcPr>
            <w:tcW w:w="3652" w:type="dxa"/>
            <w:tcBorders>
              <w:top w:val="single" w:sz="4" w:space="0" w:color="auto"/>
              <w:left w:val="single" w:sz="4" w:space="0" w:color="auto"/>
              <w:bottom w:val="single" w:sz="4" w:space="0" w:color="auto"/>
              <w:right w:val="single" w:sz="4" w:space="0" w:color="auto"/>
            </w:tcBorders>
            <w:vAlign w:val="center"/>
            <w:hideMark/>
          </w:tcPr>
          <w:p w14:paraId="17F1E638" w14:textId="77777777" w:rsidR="00C31922" w:rsidRPr="00961128" w:rsidRDefault="00C31922" w:rsidP="002C6ABD">
            <w:pPr>
              <w:spacing w:before="100" w:beforeAutospacing="1" w:after="120"/>
              <w:ind w:right="-340"/>
              <w:rPr>
                <w:rFonts w:cs="Times New Roman"/>
                <w:i/>
                <w:iCs/>
                <w:sz w:val="15"/>
                <w:szCs w:val="15"/>
              </w:rPr>
            </w:pPr>
            <w:r>
              <w:rPr>
                <w:rFonts w:cs="Times New Roman"/>
                <w:i/>
                <w:iCs/>
                <w:sz w:val="15"/>
                <w:szCs w:val="15"/>
              </w:rPr>
              <w:t>Resource provision</w:t>
            </w:r>
            <w:r w:rsidRPr="00961128">
              <w:rPr>
                <w:rFonts w:cs="Times New Roman"/>
                <w:i/>
                <w:iCs/>
                <w:sz w:val="15"/>
                <w:szCs w:val="15"/>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619A36C" w14:textId="77F94CEC" w:rsidR="00C31922" w:rsidRPr="00961128" w:rsidRDefault="00C31922" w:rsidP="002C6ABD">
            <w:pPr>
              <w:spacing w:before="100" w:beforeAutospacing="1" w:after="120"/>
              <w:ind w:right="-340"/>
              <w:rPr>
                <w:rFonts w:cs="Times New Roman"/>
                <w:i/>
                <w:iCs/>
                <w:sz w:val="15"/>
                <w:szCs w:val="15"/>
              </w:rPr>
            </w:pPr>
            <w:r w:rsidRPr="00C31922">
              <w:rPr>
                <w:rFonts w:cs="Times New Roman"/>
                <w:i/>
                <w:iCs/>
                <w:sz w:val="15"/>
                <w:szCs w:val="15"/>
              </w:rPr>
              <w:t>no</w:t>
            </w:r>
          </w:p>
        </w:tc>
      </w:tr>
      <w:tr w:rsidR="00C31922" w:rsidRPr="00961128" w14:paraId="4E92FC48" w14:textId="77777777" w:rsidTr="00C31922">
        <w:tc>
          <w:tcPr>
            <w:tcW w:w="3652" w:type="dxa"/>
            <w:tcBorders>
              <w:top w:val="single" w:sz="4" w:space="0" w:color="auto"/>
              <w:left w:val="single" w:sz="4" w:space="0" w:color="auto"/>
              <w:bottom w:val="single" w:sz="4" w:space="0" w:color="auto"/>
              <w:right w:val="single" w:sz="4" w:space="0" w:color="auto"/>
            </w:tcBorders>
          </w:tcPr>
          <w:p w14:paraId="464D7495" w14:textId="40294A0D"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practitioner</w:t>
            </w:r>
          </w:p>
        </w:tc>
        <w:tc>
          <w:tcPr>
            <w:tcW w:w="850" w:type="dxa"/>
            <w:tcBorders>
              <w:top w:val="single" w:sz="4" w:space="0" w:color="auto"/>
              <w:left w:val="single" w:sz="4" w:space="0" w:color="auto"/>
              <w:bottom w:val="single" w:sz="4" w:space="0" w:color="auto"/>
              <w:right w:val="single" w:sz="4" w:space="0" w:color="auto"/>
            </w:tcBorders>
          </w:tcPr>
          <w:p w14:paraId="247E42C2" w14:textId="1FE42619" w:rsidR="00C31922" w:rsidRPr="00C31922" w:rsidRDefault="00C31922" w:rsidP="00C31922">
            <w:pPr>
              <w:spacing w:before="100" w:beforeAutospacing="1" w:after="120"/>
              <w:ind w:right="-340"/>
              <w:rPr>
                <w:rFonts w:cs="Times New Roman"/>
                <w:i/>
                <w:iCs/>
                <w:sz w:val="15"/>
                <w:szCs w:val="15"/>
              </w:rPr>
            </w:pPr>
            <w:r w:rsidRPr="00C31922">
              <w:rPr>
                <w:rFonts w:cs="Times New Roman"/>
                <w:i/>
                <w:iCs/>
                <w:sz w:val="15"/>
                <w:szCs w:val="15"/>
              </w:rPr>
              <w:t>no</w:t>
            </w:r>
          </w:p>
        </w:tc>
      </w:tr>
      <w:tr w:rsidR="00C31922" w:rsidRPr="00961128" w14:paraId="1A79C27A" w14:textId="77777777" w:rsidTr="00C31922">
        <w:tc>
          <w:tcPr>
            <w:tcW w:w="3652" w:type="dxa"/>
            <w:tcBorders>
              <w:top w:val="single" w:sz="4" w:space="0" w:color="auto"/>
              <w:left w:val="single" w:sz="4" w:space="0" w:color="auto"/>
              <w:bottom w:val="single" w:sz="4" w:space="0" w:color="auto"/>
              <w:right w:val="single" w:sz="4" w:space="0" w:color="auto"/>
            </w:tcBorders>
          </w:tcPr>
          <w:p w14:paraId="77E53A42" w14:textId="332843E0" w:rsidR="00C31922" w:rsidRDefault="00C31922" w:rsidP="00C31922">
            <w:pPr>
              <w:spacing w:before="100" w:beforeAutospacing="1" w:after="120"/>
              <w:ind w:right="-340"/>
              <w:rPr>
                <w:rFonts w:cs="Times New Roman"/>
                <w:i/>
                <w:iCs/>
                <w:sz w:val="15"/>
                <w:szCs w:val="15"/>
              </w:rPr>
            </w:pPr>
            <w:r>
              <w:rPr>
                <w:rFonts w:cs="Times New Roman"/>
                <w:i/>
                <w:iCs/>
                <w:sz w:val="15"/>
                <w:szCs w:val="15"/>
              </w:rPr>
              <w:t>Research academic</w:t>
            </w:r>
          </w:p>
        </w:tc>
        <w:tc>
          <w:tcPr>
            <w:tcW w:w="850" w:type="dxa"/>
            <w:tcBorders>
              <w:top w:val="single" w:sz="4" w:space="0" w:color="auto"/>
              <w:left w:val="single" w:sz="4" w:space="0" w:color="auto"/>
              <w:bottom w:val="single" w:sz="4" w:space="0" w:color="auto"/>
              <w:right w:val="single" w:sz="4" w:space="0" w:color="auto"/>
            </w:tcBorders>
          </w:tcPr>
          <w:p w14:paraId="2FF8E998" w14:textId="365100C9" w:rsidR="00C31922" w:rsidRPr="00C31922" w:rsidRDefault="00C31922" w:rsidP="00C31922">
            <w:pPr>
              <w:spacing w:before="100" w:beforeAutospacing="1" w:after="120"/>
              <w:ind w:right="-340"/>
              <w:rPr>
                <w:rFonts w:cs="Times New Roman"/>
                <w:i/>
                <w:iCs/>
                <w:sz w:val="15"/>
                <w:szCs w:val="15"/>
              </w:rPr>
            </w:pPr>
            <w:r w:rsidRPr="00C31922">
              <w:rPr>
                <w:rFonts w:cs="Times New Roman"/>
                <w:i/>
                <w:iCs/>
                <w:sz w:val="15"/>
                <w:szCs w:val="15"/>
              </w:rPr>
              <w:t>no</w:t>
            </w:r>
          </w:p>
        </w:tc>
      </w:tr>
      <w:tr w:rsidR="00C31922" w:rsidRPr="00961128" w14:paraId="24BEDA2D" w14:textId="77777777" w:rsidTr="00C31922">
        <w:tc>
          <w:tcPr>
            <w:tcW w:w="3652" w:type="dxa"/>
            <w:tcBorders>
              <w:top w:val="single" w:sz="4" w:space="0" w:color="auto"/>
              <w:left w:val="single" w:sz="4" w:space="0" w:color="auto"/>
              <w:bottom w:val="single" w:sz="4" w:space="0" w:color="auto"/>
              <w:right w:val="single" w:sz="4" w:space="0" w:color="auto"/>
            </w:tcBorders>
          </w:tcPr>
          <w:p w14:paraId="4C268635" w14:textId="3D44080B" w:rsidR="00C31922" w:rsidRDefault="00C31922" w:rsidP="00C31922">
            <w:pPr>
              <w:spacing w:before="100" w:beforeAutospacing="1" w:after="120"/>
              <w:ind w:right="-340"/>
              <w:rPr>
                <w:rFonts w:cs="Times New Roman"/>
                <w:i/>
                <w:iCs/>
                <w:sz w:val="15"/>
                <w:szCs w:val="15"/>
              </w:rPr>
            </w:pPr>
            <w:r>
              <w:rPr>
                <w:rFonts w:cs="Times New Roman"/>
                <w:i/>
                <w:iCs/>
                <w:sz w:val="15"/>
                <w:szCs w:val="15"/>
              </w:rPr>
              <w:t>Support and advice</w:t>
            </w:r>
          </w:p>
        </w:tc>
        <w:tc>
          <w:tcPr>
            <w:tcW w:w="850" w:type="dxa"/>
            <w:tcBorders>
              <w:top w:val="single" w:sz="4" w:space="0" w:color="auto"/>
              <w:left w:val="single" w:sz="4" w:space="0" w:color="auto"/>
              <w:bottom w:val="single" w:sz="4" w:space="0" w:color="auto"/>
              <w:right w:val="single" w:sz="4" w:space="0" w:color="auto"/>
            </w:tcBorders>
          </w:tcPr>
          <w:p w14:paraId="7CF77F75" w14:textId="15AB47D4" w:rsidR="00C31922" w:rsidRPr="00C31922" w:rsidRDefault="003E5526" w:rsidP="00C31922">
            <w:pPr>
              <w:spacing w:before="100" w:beforeAutospacing="1" w:after="120"/>
              <w:ind w:right="-340"/>
              <w:rPr>
                <w:rFonts w:cs="Times New Roman"/>
                <w:i/>
                <w:iCs/>
                <w:sz w:val="15"/>
                <w:szCs w:val="15"/>
              </w:rPr>
            </w:pPr>
            <w:r>
              <w:rPr>
                <w:rFonts w:cs="Times New Roman"/>
                <w:i/>
                <w:iCs/>
                <w:sz w:val="15"/>
                <w:szCs w:val="15"/>
              </w:rPr>
              <w:t>y</w:t>
            </w:r>
            <w:r>
              <w:rPr>
                <w:rFonts w:cs="Times New Roman" w:hint="eastAsia"/>
                <w:i/>
                <w:iCs/>
                <w:sz w:val="15"/>
                <w:szCs w:val="15"/>
              </w:rPr>
              <w:t>es</w:t>
            </w:r>
          </w:p>
        </w:tc>
      </w:tr>
      <w:tr w:rsidR="00C31922" w:rsidRPr="00961128" w14:paraId="671F397C" w14:textId="77777777" w:rsidTr="00C31922">
        <w:tc>
          <w:tcPr>
            <w:tcW w:w="3652" w:type="dxa"/>
            <w:tcBorders>
              <w:top w:val="single" w:sz="4" w:space="0" w:color="auto"/>
              <w:left w:val="single" w:sz="4" w:space="0" w:color="auto"/>
              <w:bottom w:val="single" w:sz="4" w:space="0" w:color="auto"/>
              <w:right w:val="single" w:sz="4" w:space="0" w:color="auto"/>
            </w:tcBorders>
          </w:tcPr>
          <w:p w14:paraId="48C4BF8C" w14:textId="63F35F06" w:rsidR="00C31922" w:rsidRDefault="00C31922" w:rsidP="00C31922">
            <w:pPr>
              <w:spacing w:before="100" w:beforeAutospacing="1" w:after="120"/>
              <w:ind w:right="-340"/>
              <w:rPr>
                <w:rFonts w:cs="Times New Roman"/>
                <w:i/>
                <w:iCs/>
                <w:sz w:val="15"/>
                <w:szCs w:val="15"/>
              </w:rPr>
            </w:pPr>
            <w:r>
              <w:rPr>
                <w:rFonts w:cs="Times New Roman"/>
                <w:i/>
                <w:iCs/>
                <w:sz w:val="15"/>
                <w:szCs w:val="15"/>
              </w:rPr>
              <w:t>Awareness</w:t>
            </w:r>
          </w:p>
        </w:tc>
        <w:tc>
          <w:tcPr>
            <w:tcW w:w="850" w:type="dxa"/>
            <w:tcBorders>
              <w:top w:val="single" w:sz="4" w:space="0" w:color="auto"/>
              <w:left w:val="single" w:sz="4" w:space="0" w:color="auto"/>
              <w:bottom w:val="single" w:sz="4" w:space="0" w:color="auto"/>
              <w:right w:val="single" w:sz="4" w:space="0" w:color="auto"/>
            </w:tcBorders>
          </w:tcPr>
          <w:p w14:paraId="3EF53779" w14:textId="0A914AF7" w:rsidR="00C31922" w:rsidRPr="00C31922" w:rsidRDefault="00C31922" w:rsidP="00C31922">
            <w:pPr>
              <w:spacing w:before="100" w:beforeAutospacing="1" w:after="120"/>
              <w:ind w:right="-340"/>
              <w:rPr>
                <w:rFonts w:cs="Times New Roman"/>
                <w:i/>
                <w:iCs/>
                <w:sz w:val="15"/>
                <w:szCs w:val="15"/>
              </w:rPr>
            </w:pPr>
            <w:r w:rsidRPr="00961128">
              <w:rPr>
                <w:rFonts w:cs="Times New Roman"/>
                <w:i/>
                <w:iCs/>
                <w:sz w:val="15"/>
                <w:szCs w:val="15"/>
              </w:rPr>
              <w:t> </w:t>
            </w:r>
            <w:r>
              <w:rPr>
                <w:rFonts w:cs="Times New Roman"/>
                <w:i/>
                <w:iCs/>
                <w:sz w:val="15"/>
                <w:szCs w:val="15"/>
              </w:rPr>
              <w:t>no</w:t>
            </w:r>
          </w:p>
        </w:tc>
      </w:tr>
    </w:tbl>
    <w:p w14:paraId="1C214156" w14:textId="035FD757" w:rsidR="00DC4448" w:rsidRPr="00027DD6" w:rsidRDefault="00DC4448" w:rsidP="005621A8">
      <w:pPr>
        <w:pStyle w:val="Heading3"/>
        <w:spacing w:before="120"/>
      </w:pPr>
      <w:bookmarkStart w:id="508" w:name="_Toc472261362"/>
      <w:bookmarkStart w:id="509" w:name="_Toc472262705"/>
      <w:bookmarkStart w:id="510" w:name="_Toc472263087"/>
      <w:bookmarkStart w:id="511" w:name="_Toc472263237"/>
      <w:bookmarkStart w:id="512" w:name="_Toc472263388"/>
      <w:bookmarkStart w:id="513" w:name="_Toc346124071"/>
      <w:r w:rsidRPr="00027DD6">
        <w:t>Sample programs</w:t>
      </w:r>
      <w:bookmarkEnd w:id="508"/>
      <w:bookmarkEnd w:id="509"/>
      <w:bookmarkEnd w:id="510"/>
      <w:bookmarkEnd w:id="511"/>
      <w:bookmarkEnd w:id="512"/>
      <w:bookmarkEnd w:id="513"/>
    </w:p>
    <w:p w14:paraId="42D4536A" w14:textId="64DB4F4E" w:rsidR="00DC4448" w:rsidRPr="00B6164D" w:rsidRDefault="00DC4448" w:rsidP="006A1D2B">
      <w:pPr>
        <w:pStyle w:val="ListParagraph"/>
        <w:numPr>
          <w:ilvl w:val="0"/>
          <w:numId w:val="17"/>
        </w:numPr>
        <w:spacing w:line="276" w:lineRule="auto"/>
        <w:ind w:right="-340"/>
        <w:jc w:val="both"/>
        <w:rPr>
          <w:rFonts w:ascii="Century Gothic" w:hAnsi="Century Gothic"/>
          <w:sz w:val="20"/>
          <w:szCs w:val="20"/>
        </w:rPr>
      </w:pPr>
      <w:r>
        <w:rPr>
          <w:rFonts w:ascii="Century Gothic" w:hAnsi="Century Gothic"/>
          <w:i/>
          <w:sz w:val="20"/>
          <w:szCs w:val="20"/>
        </w:rPr>
        <w:t xml:space="preserve">Archdiocesan Catholic School Parent Body – </w:t>
      </w:r>
      <w:r w:rsidRPr="005F3B22">
        <w:rPr>
          <w:rFonts w:ascii="Century Gothic" w:hAnsi="Century Gothic"/>
          <w:sz w:val="20"/>
          <w:szCs w:val="20"/>
        </w:rPr>
        <w:t>SFSF was critical</w:t>
      </w:r>
      <w:r>
        <w:rPr>
          <w:rFonts w:ascii="Century Gothic" w:hAnsi="Century Gothic"/>
          <w:sz w:val="20"/>
          <w:szCs w:val="20"/>
        </w:rPr>
        <w:t xml:space="preserve"> to supporting the establishment of this new body that supported parents to engage in the development of schools’ strategic plans and advise on engagement with their parent body. The funds enabled consultation, expert advice and the infrastruct</w:t>
      </w:r>
      <w:r w:rsidR="009617E9">
        <w:rPr>
          <w:rFonts w:ascii="Century Gothic" w:hAnsi="Century Gothic"/>
          <w:sz w:val="20"/>
          <w:szCs w:val="20"/>
        </w:rPr>
        <w:t>ure for the body to meet.</w:t>
      </w:r>
    </w:p>
    <w:p w14:paraId="6690D4CF" w14:textId="76C85CC3" w:rsidR="00DC4448" w:rsidRPr="00822B2A" w:rsidRDefault="00DC4448" w:rsidP="006A1D2B">
      <w:pPr>
        <w:pStyle w:val="ListParagraph"/>
        <w:numPr>
          <w:ilvl w:val="0"/>
          <w:numId w:val="17"/>
        </w:numPr>
        <w:spacing w:line="276" w:lineRule="auto"/>
        <w:ind w:right="-340"/>
        <w:jc w:val="both"/>
        <w:rPr>
          <w:rFonts w:ascii="Century Gothic" w:hAnsi="Century Gothic"/>
          <w:sz w:val="20"/>
          <w:szCs w:val="20"/>
        </w:rPr>
      </w:pPr>
      <w:r w:rsidRPr="00822B2A">
        <w:rPr>
          <w:rFonts w:ascii="Century Gothic" w:hAnsi="Century Gothic"/>
          <w:i/>
          <w:sz w:val="20"/>
          <w:szCs w:val="20"/>
        </w:rPr>
        <w:t>Teacher performance and development</w:t>
      </w:r>
      <w:r>
        <w:rPr>
          <w:rFonts w:ascii="Century Gothic" w:hAnsi="Century Gothic"/>
          <w:i/>
          <w:sz w:val="20"/>
          <w:szCs w:val="20"/>
        </w:rPr>
        <w:t xml:space="preserve"> – SFSF was also critical to </w:t>
      </w:r>
      <w:r w:rsidRPr="00822B2A">
        <w:rPr>
          <w:rFonts w:ascii="Century Gothic" w:hAnsi="Century Gothic"/>
          <w:sz w:val="20"/>
          <w:szCs w:val="20"/>
        </w:rPr>
        <w:t>the web-based ‘</w:t>
      </w:r>
      <w:r>
        <w:rPr>
          <w:rFonts w:ascii="Century Gothic" w:hAnsi="Century Gothic"/>
          <w:sz w:val="20"/>
          <w:szCs w:val="20"/>
        </w:rPr>
        <w:t>My P</w:t>
      </w:r>
      <w:r w:rsidRPr="00822B2A">
        <w:rPr>
          <w:rFonts w:ascii="Century Gothic" w:hAnsi="Century Gothic"/>
          <w:sz w:val="20"/>
          <w:szCs w:val="20"/>
        </w:rPr>
        <w:t>erfo</w:t>
      </w:r>
      <w:r>
        <w:rPr>
          <w:rFonts w:ascii="Century Gothic" w:hAnsi="Century Gothic"/>
          <w:sz w:val="20"/>
          <w:szCs w:val="20"/>
        </w:rPr>
        <w:t>rmance and Development (</w:t>
      </w:r>
      <w:r w:rsidRPr="00822B2A">
        <w:rPr>
          <w:rFonts w:ascii="Century Gothic" w:hAnsi="Century Gothic"/>
          <w:sz w:val="20"/>
          <w:szCs w:val="20"/>
        </w:rPr>
        <w:t>MyPAD)</w:t>
      </w:r>
      <w:r>
        <w:rPr>
          <w:rFonts w:ascii="Century Gothic" w:hAnsi="Century Gothic"/>
          <w:sz w:val="20"/>
          <w:szCs w:val="20"/>
        </w:rPr>
        <w:t xml:space="preserve"> application has been developed and used for individual learning plans and goal setting consistent with the Australian Teacher Performa</w:t>
      </w:r>
      <w:r w:rsidR="009617E9">
        <w:rPr>
          <w:rFonts w:ascii="Century Gothic" w:hAnsi="Century Gothic"/>
          <w:sz w:val="20"/>
          <w:szCs w:val="20"/>
        </w:rPr>
        <w:t>nce and Development Framework.</w:t>
      </w:r>
    </w:p>
    <w:p w14:paraId="5D40F817" w14:textId="77777777" w:rsidR="00DC4448" w:rsidRPr="00027DD6" w:rsidRDefault="00DC4448" w:rsidP="005621A8">
      <w:pPr>
        <w:pStyle w:val="Heading3"/>
        <w:spacing w:before="120"/>
      </w:pPr>
      <w:bookmarkStart w:id="514" w:name="_Toc472261363"/>
      <w:bookmarkStart w:id="515" w:name="_Toc472262706"/>
      <w:bookmarkStart w:id="516" w:name="_Toc472263088"/>
      <w:bookmarkStart w:id="517" w:name="_Toc472263238"/>
      <w:bookmarkStart w:id="518" w:name="_Toc472263389"/>
      <w:bookmarkStart w:id="519" w:name="_Toc346124072"/>
      <w:r w:rsidRPr="00027DD6">
        <w:t>Funding – how used?</w:t>
      </w:r>
      <w:bookmarkEnd w:id="514"/>
      <w:bookmarkEnd w:id="515"/>
      <w:bookmarkEnd w:id="516"/>
      <w:bookmarkEnd w:id="517"/>
      <w:bookmarkEnd w:id="518"/>
      <w:bookmarkEnd w:id="519"/>
      <w:r w:rsidRPr="00027DD6">
        <w:t xml:space="preserve"> </w:t>
      </w:r>
    </w:p>
    <w:p w14:paraId="207A83F7" w14:textId="77777777" w:rsidR="00DC4448" w:rsidRPr="00354DFA" w:rsidRDefault="00DC4448" w:rsidP="006A1D2B">
      <w:pPr>
        <w:pStyle w:val="ListParagraph"/>
        <w:numPr>
          <w:ilvl w:val="0"/>
          <w:numId w:val="18"/>
        </w:numPr>
        <w:spacing w:after="200" w:line="276" w:lineRule="auto"/>
        <w:ind w:right="-340"/>
      </w:pPr>
      <w:r>
        <w:rPr>
          <w:rFonts w:ascii="Century Gothic" w:hAnsi="Century Gothic"/>
          <w:sz w:val="20"/>
          <w:szCs w:val="20"/>
        </w:rPr>
        <w:t xml:space="preserve">SFSF funds around one third of the cost of the initiatives reported on with the CEO funding the balance. </w:t>
      </w:r>
    </w:p>
    <w:p w14:paraId="17256D01" w14:textId="3F201164" w:rsidR="00DC4448" w:rsidRPr="002B10E5" w:rsidRDefault="00DC4448" w:rsidP="005621A8">
      <w:pPr>
        <w:pStyle w:val="ListParagraph"/>
        <w:numPr>
          <w:ilvl w:val="0"/>
          <w:numId w:val="18"/>
        </w:numPr>
        <w:spacing w:after="120" w:line="276" w:lineRule="auto"/>
        <w:ind w:left="714" w:right="-340" w:hanging="357"/>
      </w:pPr>
      <w:r>
        <w:rPr>
          <w:rFonts w:ascii="Century Gothic" w:hAnsi="Century Gothic"/>
          <w:sz w:val="20"/>
          <w:szCs w:val="20"/>
        </w:rPr>
        <w:t>Most expenditure is for CE ACT staff and provision for professional</w:t>
      </w:r>
      <w:r w:rsidR="009617E9">
        <w:rPr>
          <w:rFonts w:ascii="Century Gothic" w:hAnsi="Century Gothic"/>
          <w:sz w:val="20"/>
          <w:szCs w:val="20"/>
        </w:rPr>
        <w:t xml:space="preserve"> learning.</w:t>
      </w:r>
    </w:p>
    <w:p w14:paraId="11D383C7" w14:textId="77777777" w:rsidR="00DC4448" w:rsidRPr="00027DD6" w:rsidRDefault="00DC4448" w:rsidP="005621A8">
      <w:pPr>
        <w:pStyle w:val="Heading3"/>
        <w:spacing w:before="120"/>
      </w:pPr>
      <w:bookmarkStart w:id="520" w:name="_Toc472261364"/>
      <w:bookmarkStart w:id="521" w:name="_Toc472262707"/>
      <w:bookmarkStart w:id="522" w:name="_Toc472263089"/>
      <w:bookmarkStart w:id="523" w:name="_Toc472263239"/>
      <w:bookmarkStart w:id="524" w:name="_Toc472263390"/>
      <w:bookmarkStart w:id="525" w:name="_Toc346124073"/>
      <w:r w:rsidRPr="00027DD6">
        <w:t>Monitoring success</w:t>
      </w:r>
      <w:bookmarkEnd w:id="520"/>
      <w:bookmarkEnd w:id="521"/>
      <w:bookmarkEnd w:id="522"/>
      <w:bookmarkEnd w:id="523"/>
      <w:bookmarkEnd w:id="524"/>
      <w:bookmarkEnd w:id="525"/>
      <w:r w:rsidRPr="00027DD6">
        <w:t xml:space="preserve">  </w:t>
      </w:r>
    </w:p>
    <w:p w14:paraId="7A73168C" w14:textId="77777777" w:rsidR="00DC4448" w:rsidRDefault="00DC4448" w:rsidP="006A1D2B">
      <w:pPr>
        <w:pStyle w:val="ListParagraph"/>
        <w:numPr>
          <w:ilvl w:val="0"/>
          <w:numId w:val="18"/>
        </w:numPr>
        <w:spacing w:line="276" w:lineRule="auto"/>
        <w:ind w:right="-340"/>
        <w:rPr>
          <w:rFonts w:ascii="Century Gothic" w:hAnsi="Century Gothic"/>
          <w:sz w:val="20"/>
          <w:szCs w:val="20"/>
        </w:rPr>
      </w:pPr>
      <w:r>
        <w:rPr>
          <w:rFonts w:ascii="Century Gothic" w:hAnsi="Century Gothic"/>
          <w:sz w:val="20"/>
          <w:szCs w:val="20"/>
        </w:rPr>
        <w:t xml:space="preserve">School participation, CEO ACT activities and change in schools’ practices comprise the major success indicators.  Results are not available  </w:t>
      </w:r>
    </w:p>
    <w:p w14:paraId="2C34EDF9" w14:textId="77777777" w:rsidR="00DC4448" w:rsidRPr="00027DD6" w:rsidRDefault="00DC4448" w:rsidP="005621A8">
      <w:pPr>
        <w:pStyle w:val="Heading3"/>
        <w:spacing w:before="120"/>
      </w:pPr>
      <w:bookmarkStart w:id="526" w:name="_Toc472261365"/>
      <w:bookmarkStart w:id="527" w:name="_Toc472262708"/>
      <w:bookmarkStart w:id="528" w:name="_Toc472263090"/>
      <w:bookmarkStart w:id="529" w:name="_Toc472263240"/>
      <w:bookmarkStart w:id="530" w:name="_Toc472263391"/>
      <w:bookmarkStart w:id="531" w:name="_Toc346124074"/>
      <w:r w:rsidRPr="00027DD6">
        <w:t>Issues and implications</w:t>
      </w:r>
      <w:bookmarkEnd w:id="526"/>
      <w:bookmarkEnd w:id="527"/>
      <w:bookmarkEnd w:id="528"/>
      <w:bookmarkEnd w:id="529"/>
      <w:bookmarkEnd w:id="530"/>
      <w:bookmarkEnd w:id="531"/>
    </w:p>
    <w:p w14:paraId="4D1386DB" w14:textId="0EF52B8D" w:rsidR="00DC4448" w:rsidRPr="005D5A52" w:rsidRDefault="00DC4448" w:rsidP="00DC4448">
      <w:pPr>
        <w:ind w:right="-340"/>
        <w:rPr>
          <w:rFonts w:ascii="Century Gothic" w:hAnsi="Century Gothic"/>
          <w:sz w:val="20"/>
          <w:szCs w:val="20"/>
        </w:rPr>
      </w:pPr>
      <w:r>
        <w:rPr>
          <w:rFonts w:ascii="Century Gothic" w:hAnsi="Century Gothic"/>
          <w:sz w:val="20"/>
          <w:szCs w:val="20"/>
        </w:rPr>
        <w:t>They are seeking to build sustainable system infrastructure to support schools. Biggest issue is to avoid the band-aid solutions that can arise from short term initiatives.  ‘</w:t>
      </w:r>
      <w:r w:rsidRPr="009859A1">
        <w:rPr>
          <w:rFonts w:ascii="Century Gothic" w:hAnsi="Century Gothic"/>
          <w:i/>
          <w:sz w:val="20"/>
          <w:szCs w:val="20"/>
        </w:rPr>
        <w:t>We need certainty to build mature system’</w:t>
      </w:r>
      <w:r w:rsidR="009617E9">
        <w:rPr>
          <w:rFonts w:ascii="Century Gothic" w:hAnsi="Century Gothic"/>
          <w:i/>
          <w:sz w:val="20"/>
          <w:szCs w:val="20"/>
        </w:rPr>
        <w:t>.</w:t>
      </w:r>
    </w:p>
    <w:p w14:paraId="01295342" w14:textId="77777777" w:rsidR="00DC4448" w:rsidRDefault="00DC4448" w:rsidP="00DC4448">
      <w:pPr>
        <w:pStyle w:val="ListParagraph"/>
        <w:spacing w:after="200" w:line="276" w:lineRule="auto"/>
        <w:ind w:right="-340"/>
        <w:jc w:val="both"/>
        <w:rPr>
          <w:rFonts w:ascii="Century Gothic" w:eastAsiaTheme="minorHAnsi" w:hAnsi="Century Gothic"/>
          <w:sz w:val="20"/>
          <w:szCs w:val="20"/>
          <w:lang w:val="en-AU"/>
        </w:rPr>
        <w:sectPr w:rsidR="00DC4448" w:rsidSect="00897735">
          <w:footerReference w:type="even" r:id="rId26"/>
          <w:footerReference w:type="default" r:id="rId27"/>
          <w:pgSz w:w="11900" w:h="16840"/>
          <w:pgMar w:top="1440" w:right="1460" w:bottom="1440" w:left="1800" w:header="708" w:footer="708" w:gutter="0"/>
          <w:cols w:space="708"/>
          <w:titlePg/>
          <w:docGrid w:linePitch="326"/>
        </w:sectPr>
      </w:pPr>
    </w:p>
    <w:p w14:paraId="296BBA55" w14:textId="167DF918" w:rsidR="00DC4448" w:rsidRDefault="00DC4448" w:rsidP="00DC4448">
      <w:pPr>
        <w:pStyle w:val="Heading1"/>
        <w:ind w:right="-340"/>
        <w:rPr>
          <w:sz w:val="32"/>
          <w:szCs w:val="32"/>
        </w:rPr>
      </w:pPr>
      <w:bookmarkStart w:id="532" w:name="_Toc472263091"/>
      <w:bookmarkStart w:id="533" w:name="_Toc346124075"/>
      <w:bookmarkStart w:id="534" w:name="_Toc495587324"/>
      <w:r w:rsidRPr="005D40DE">
        <w:rPr>
          <w:sz w:val="32"/>
          <w:szCs w:val="32"/>
        </w:rPr>
        <w:t>2.</w:t>
      </w:r>
      <w:r w:rsidRPr="0012614E">
        <w:rPr>
          <w:sz w:val="32"/>
          <w:szCs w:val="32"/>
        </w:rPr>
        <w:tab/>
      </w:r>
      <w:r>
        <w:rPr>
          <w:sz w:val="32"/>
          <w:szCs w:val="32"/>
        </w:rPr>
        <w:t>Additional SFSF Data</w:t>
      </w:r>
      <w:bookmarkEnd w:id="532"/>
      <w:bookmarkEnd w:id="533"/>
      <w:bookmarkEnd w:id="534"/>
    </w:p>
    <w:p w14:paraId="12740578" w14:textId="6AE76097" w:rsidR="00DC4448" w:rsidRDefault="00C2634B" w:rsidP="009617E9">
      <w:pPr>
        <w:pStyle w:val="ListParagraph"/>
        <w:spacing w:before="240" w:after="200" w:line="480"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2.1 SFSF</w:t>
      </w:r>
      <w:r w:rsidR="00475A8E">
        <w:rPr>
          <w:rFonts w:ascii="Century Gothic" w:eastAsiaTheme="minorHAnsi" w:hAnsi="Century Gothic"/>
          <w:sz w:val="20"/>
          <w:szCs w:val="20"/>
          <w:lang w:val="en-AU"/>
        </w:rPr>
        <w:t xml:space="preserve"> Funding tables and c</w:t>
      </w:r>
      <w:r w:rsidR="00DC4448">
        <w:rPr>
          <w:rFonts w:ascii="Century Gothic" w:eastAsiaTheme="minorHAnsi" w:hAnsi="Century Gothic"/>
          <w:sz w:val="20"/>
          <w:szCs w:val="20"/>
          <w:lang w:val="en-AU"/>
        </w:rPr>
        <w:t>harts</w:t>
      </w:r>
    </w:p>
    <w:p w14:paraId="6615B052" w14:textId="2893672D" w:rsidR="00DC4448" w:rsidRDefault="00C2634B" w:rsidP="009617E9">
      <w:pPr>
        <w:pStyle w:val="ListParagraph"/>
        <w:spacing w:before="240" w:after="200" w:line="480"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2.2 Delivery</w:t>
      </w:r>
      <w:r w:rsidR="00475A8E">
        <w:rPr>
          <w:rFonts w:ascii="Century Gothic" w:eastAsiaTheme="minorHAnsi" w:hAnsi="Century Gothic"/>
          <w:sz w:val="20"/>
          <w:szCs w:val="20"/>
          <w:lang w:val="en-AU"/>
        </w:rPr>
        <w:t xml:space="preserve"> m</w:t>
      </w:r>
      <w:r w:rsidR="00DC4448">
        <w:rPr>
          <w:rFonts w:ascii="Century Gothic" w:eastAsiaTheme="minorHAnsi" w:hAnsi="Century Gothic"/>
          <w:sz w:val="20"/>
          <w:szCs w:val="20"/>
          <w:lang w:val="en-AU"/>
        </w:rPr>
        <w:t>odels</w:t>
      </w:r>
      <w:r w:rsidR="00475A8E">
        <w:rPr>
          <w:rFonts w:ascii="Century Gothic" w:eastAsiaTheme="minorHAnsi" w:hAnsi="Century Gothic"/>
          <w:sz w:val="20"/>
          <w:szCs w:val="20"/>
          <w:lang w:val="en-AU"/>
        </w:rPr>
        <w:t xml:space="preserve"> by NGRBs </w:t>
      </w:r>
    </w:p>
    <w:p w14:paraId="2C56BC42" w14:textId="5A59F301" w:rsidR="00DC4448" w:rsidRDefault="00C2634B" w:rsidP="009617E9">
      <w:pPr>
        <w:pStyle w:val="ListParagraph"/>
        <w:spacing w:before="240" w:after="200" w:line="480"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 xml:space="preserve">2.3 </w:t>
      </w:r>
      <w:r w:rsidR="00475A8E">
        <w:rPr>
          <w:rFonts w:ascii="Century Gothic" w:eastAsiaTheme="minorHAnsi" w:hAnsi="Century Gothic"/>
          <w:sz w:val="20"/>
          <w:szCs w:val="20"/>
          <w:lang w:val="en-AU"/>
        </w:rPr>
        <w:t>SFSF D</w:t>
      </w:r>
      <w:r>
        <w:rPr>
          <w:rFonts w:ascii="Century Gothic" w:eastAsiaTheme="minorHAnsi" w:hAnsi="Century Gothic"/>
          <w:sz w:val="20"/>
          <w:szCs w:val="20"/>
          <w:lang w:val="en-AU"/>
        </w:rPr>
        <w:t>ocuments</w:t>
      </w:r>
      <w:r w:rsidR="00DC4448">
        <w:rPr>
          <w:rFonts w:ascii="Century Gothic" w:eastAsiaTheme="minorHAnsi" w:hAnsi="Century Gothic"/>
          <w:sz w:val="20"/>
          <w:szCs w:val="20"/>
          <w:lang w:val="en-AU"/>
        </w:rPr>
        <w:t xml:space="preserve"> provided to PTR</w:t>
      </w:r>
    </w:p>
    <w:p w14:paraId="6DF27926" w14:textId="5EED5A53" w:rsidR="00DC4448" w:rsidRDefault="00C2634B" w:rsidP="009617E9">
      <w:pPr>
        <w:pStyle w:val="ListParagraph"/>
        <w:spacing w:before="240" w:after="200" w:line="480" w:lineRule="auto"/>
        <w:ind w:right="-340"/>
        <w:jc w:val="both"/>
        <w:rPr>
          <w:rFonts w:ascii="Century Gothic" w:eastAsiaTheme="minorHAnsi" w:hAnsi="Century Gothic"/>
          <w:sz w:val="20"/>
          <w:szCs w:val="20"/>
          <w:lang w:val="en-AU"/>
        </w:rPr>
      </w:pPr>
      <w:r>
        <w:rPr>
          <w:rFonts w:ascii="Century Gothic" w:eastAsiaTheme="minorHAnsi" w:hAnsi="Century Gothic"/>
          <w:sz w:val="20"/>
          <w:szCs w:val="20"/>
          <w:lang w:val="en-AU"/>
        </w:rPr>
        <w:t>2.4 Interviews</w:t>
      </w:r>
      <w:r w:rsidR="00DC4448">
        <w:rPr>
          <w:rFonts w:ascii="Century Gothic" w:eastAsiaTheme="minorHAnsi" w:hAnsi="Century Gothic"/>
          <w:sz w:val="20"/>
          <w:szCs w:val="20"/>
          <w:lang w:val="en-AU"/>
        </w:rPr>
        <w:t xml:space="preserve"> with school principals  </w:t>
      </w:r>
    </w:p>
    <w:p w14:paraId="6E3A7D5B" w14:textId="77777777" w:rsidR="00DC4448" w:rsidRDefault="00DC4448" w:rsidP="00DC4448">
      <w:pPr>
        <w:ind w:right="-340"/>
        <w:rPr>
          <w:rFonts w:ascii="Century Gothic" w:eastAsiaTheme="minorHAnsi" w:hAnsi="Century Gothic"/>
          <w:sz w:val="20"/>
          <w:szCs w:val="20"/>
          <w:lang w:val="en-AU"/>
        </w:rPr>
      </w:pPr>
      <w:r>
        <w:rPr>
          <w:rFonts w:ascii="Century Gothic" w:eastAsiaTheme="minorHAnsi" w:hAnsi="Century Gothic"/>
          <w:sz w:val="20"/>
          <w:szCs w:val="20"/>
          <w:lang w:val="en-AU"/>
        </w:rPr>
        <w:br w:type="page"/>
      </w:r>
    </w:p>
    <w:p w14:paraId="54E80A16" w14:textId="77777777" w:rsidR="00DC4448" w:rsidRDefault="00DC4448" w:rsidP="00DC4448">
      <w:pPr>
        <w:pStyle w:val="Heading2"/>
        <w:spacing w:before="120"/>
        <w:ind w:right="-340"/>
      </w:pPr>
      <w:bookmarkStart w:id="535" w:name="_Toc472263092"/>
      <w:bookmarkStart w:id="536" w:name="_Toc346124076"/>
      <w:bookmarkStart w:id="537" w:name="_Toc495587325"/>
      <w:r>
        <w:t xml:space="preserve">2.1 </w:t>
      </w:r>
      <w:r>
        <w:tab/>
      </w:r>
      <w:r w:rsidRPr="003F333A">
        <w:t>SFSF Funding Tables and Charts</w:t>
      </w:r>
      <w:bookmarkEnd w:id="535"/>
      <w:bookmarkEnd w:id="536"/>
      <w:bookmarkEnd w:id="537"/>
    </w:p>
    <w:p w14:paraId="64D7DBC3" w14:textId="77777777" w:rsidR="00DC4448" w:rsidRPr="0002685F" w:rsidRDefault="00DC4448" w:rsidP="00DC4448">
      <w:pPr>
        <w:ind w:right="-340"/>
        <w:rPr>
          <w:rFonts w:ascii="Century Gothic" w:hAnsi="Century Gothic"/>
          <w:sz w:val="20"/>
          <w:szCs w:val="20"/>
        </w:rPr>
      </w:pPr>
      <w:r w:rsidRPr="0002685F">
        <w:rPr>
          <w:rFonts w:ascii="Century Gothic" w:hAnsi="Century Gothic"/>
          <w:sz w:val="20"/>
          <w:szCs w:val="20"/>
        </w:rPr>
        <w:t>Table 1: Annual SFSF Allocation by State and Sector</w:t>
      </w:r>
    </w:p>
    <w:tbl>
      <w:tblPr>
        <w:tblStyle w:val="LightList-Accent1"/>
        <w:tblW w:w="8046" w:type="dxa"/>
        <w:tblLayout w:type="fixed"/>
        <w:tblLook w:val="04A0" w:firstRow="1" w:lastRow="0" w:firstColumn="1" w:lastColumn="0" w:noHBand="0" w:noVBand="1"/>
        <w:tblDescription w:val="This table shows the Independent sector is allocated $24,999,999 per year and the Catholic sector is allocated $13,666,663 per year."/>
      </w:tblPr>
      <w:tblGrid>
        <w:gridCol w:w="1300"/>
        <w:gridCol w:w="1502"/>
        <w:gridCol w:w="1716"/>
        <w:gridCol w:w="1827"/>
        <w:gridCol w:w="1701"/>
      </w:tblGrid>
      <w:tr w:rsidR="0006599D" w:rsidRPr="0002685F" w14:paraId="6EA5EB54" w14:textId="77777777" w:rsidTr="00C3192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tcPr>
          <w:p w14:paraId="1C649A0E" w14:textId="77777777" w:rsidR="0006599D" w:rsidRPr="0002685F" w:rsidRDefault="0006599D" w:rsidP="002C6ABD">
            <w:pPr>
              <w:ind w:right="-340"/>
              <w:rPr>
                <w:rFonts w:ascii="Century Gothic" w:eastAsia="Times New Roman" w:hAnsi="Century Gothic" w:cs="Times New Roman"/>
                <w:color w:val="000000"/>
                <w:sz w:val="20"/>
                <w:szCs w:val="20"/>
                <w:lang w:val="en-AU"/>
              </w:rPr>
            </w:pPr>
          </w:p>
        </w:tc>
        <w:tc>
          <w:tcPr>
            <w:tcW w:w="1502" w:type="dxa"/>
            <w:tcBorders>
              <w:left w:val="single" w:sz="4" w:space="0" w:color="auto"/>
            </w:tcBorders>
            <w:noWrap/>
          </w:tcPr>
          <w:p w14:paraId="5A76C8E7" w14:textId="68CC6CEE" w:rsidR="0006599D" w:rsidRPr="0002685F" w:rsidRDefault="0006599D" w:rsidP="0006599D">
            <w:pPr>
              <w:ind w:right="-24"/>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Arial"/>
                <w:color w:val="000000"/>
                <w:sz w:val="20"/>
                <w:szCs w:val="20"/>
                <w:lang w:val="en-AU"/>
              </w:rPr>
              <w:t>Independent</w:t>
            </w:r>
          </w:p>
        </w:tc>
        <w:tc>
          <w:tcPr>
            <w:tcW w:w="1716" w:type="dxa"/>
            <w:tcBorders>
              <w:right w:val="single" w:sz="4" w:space="0" w:color="auto"/>
            </w:tcBorders>
            <w:vAlign w:val="bottom"/>
          </w:tcPr>
          <w:p w14:paraId="1A061A24" w14:textId="77777777" w:rsidR="0006599D" w:rsidRPr="0002685F" w:rsidRDefault="0006599D" w:rsidP="002C6ABD">
            <w:pPr>
              <w:ind w:right="-24"/>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rPr>
            </w:pPr>
          </w:p>
        </w:tc>
        <w:tc>
          <w:tcPr>
            <w:tcW w:w="1827" w:type="dxa"/>
            <w:tcBorders>
              <w:top w:val="single" w:sz="4" w:space="0" w:color="auto"/>
              <w:left w:val="single" w:sz="4" w:space="0" w:color="auto"/>
              <w:bottom w:val="single" w:sz="4" w:space="0" w:color="auto"/>
              <w:right w:val="nil"/>
            </w:tcBorders>
            <w:noWrap/>
          </w:tcPr>
          <w:p w14:paraId="772590D8" w14:textId="0C67228E" w:rsidR="0006599D" w:rsidRPr="0002685F" w:rsidRDefault="0006599D" w:rsidP="0006599D">
            <w:pPr>
              <w:ind w:right="72"/>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Catholic</w:t>
            </w:r>
          </w:p>
        </w:tc>
        <w:tc>
          <w:tcPr>
            <w:tcW w:w="1701" w:type="dxa"/>
            <w:tcBorders>
              <w:top w:val="single" w:sz="4" w:space="0" w:color="auto"/>
              <w:left w:val="nil"/>
              <w:bottom w:val="single" w:sz="4" w:space="0" w:color="auto"/>
              <w:right w:val="single" w:sz="4" w:space="0" w:color="auto"/>
            </w:tcBorders>
            <w:vAlign w:val="bottom"/>
          </w:tcPr>
          <w:p w14:paraId="7732B064" w14:textId="77777777" w:rsidR="0006599D" w:rsidRPr="0002685F" w:rsidRDefault="0006599D" w:rsidP="002C6ABD">
            <w:pPr>
              <w:ind w:right="612"/>
              <w:jc w:val="right"/>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rPr>
            </w:pPr>
          </w:p>
        </w:tc>
      </w:tr>
      <w:tr w:rsidR="00DC4448" w:rsidRPr="0002685F" w14:paraId="717AAD63" w14:textId="77777777" w:rsidTr="000659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51E7E64F"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 xml:space="preserve">NSW </w:t>
            </w:r>
          </w:p>
        </w:tc>
        <w:tc>
          <w:tcPr>
            <w:tcW w:w="1502" w:type="dxa"/>
            <w:tcBorders>
              <w:left w:val="single" w:sz="4" w:space="0" w:color="auto"/>
              <w:bottom w:val="single" w:sz="4" w:space="0" w:color="000000"/>
            </w:tcBorders>
            <w:noWrap/>
            <w:hideMark/>
          </w:tcPr>
          <w:p w14:paraId="487B5381"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$7,485,668</w:t>
            </w:r>
          </w:p>
        </w:tc>
        <w:tc>
          <w:tcPr>
            <w:tcW w:w="1716" w:type="dxa"/>
            <w:tcBorders>
              <w:bottom w:val="single" w:sz="4" w:space="0" w:color="000000"/>
              <w:right w:val="single" w:sz="4" w:space="0" w:color="auto"/>
            </w:tcBorders>
            <w:vAlign w:val="bottom"/>
          </w:tcPr>
          <w:p w14:paraId="3E3F57A7"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29.9%</w:t>
            </w:r>
          </w:p>
        </w:tc>
        <w:tc>
          <w:tcPr>
            <w:tcW w:w="1827" w:type="dxa"/>
            <w:tcBorders>
              <w:top w:val="single" w:sz="4" w:space="0" w:color="auto"/>
              <w:left w:val="single" w:sz="4" w:space="0" w:color="auto"/>
              <w:bottom w:val="single" w:sz="4" w:space="0" w:color="auto"/>
              <w:right w:val="nil"/>
            </w:tcBorders>
            <w:noWrap/>
            <w:hideMark/>
          </w:tcPr>
          <w:p w14:paraId="1F1268B4" w14:textId="77777777" w:rsidR="00DC4448" w:rsidRPr="0002685F" w:rsidRDefault="00DC4448" w:rsidP="0006599D">
            <w:pPr>
              <w:ind w:right="72"/>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$4,594,418</w:t>
            </w:r>
          </w:p>
        </w:tc>
        <w:tc>
          <w:tcPr>
            <w:tcW w:w="1701" w:type="dxa"/>
            <w:tcBorders>
              <w:top w:val="single" w:sz="4" w:space="0" w:color="auto"/>
              <w:left w:val="nil"/>
              <w:bottom w:val="single" w:sz="4" w:space="0" w:color="auto"/>
              <w:right w:val="single" w:sz="4" w:space="0" w:color="auto"/>
            </w:tcBorders>
            <w:vAlign w:val="bottom"/>
          </w:tcPr>
          <w:p w14:paraId="20477C5D" w14:textId="77777777" w:rsidR="00DC4448" w:rsidRPr="0002685F" w:rsidRDefault="00DC4448" w:rsidP="0006599D">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33.6%</w:t>
            </w:r>
          </w:p>
        </w:tc>
      </w:tr>
      <w:tr w:rsidR="00DC4448" w:rsidRPr="0002685F" w14:paraId="629DA94B" w14:textId="77777777" w:rsidTr="0006599D">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0A5A9240"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Vic</w:t>
            </w:r>
          </w:p>
        </w:tc>
        <w:tc>
          <w:tcPr>
            <w:tcW w:w="1502" w:type="dxa"/>
            <w:tcBorders>
              <w:top w:val="single" w:sz="4" w:space="0" w:color="000000"/>
              <w:left w:val="single" w:sz="4" w:space="0" w:color="auto"/>
              <w:bottom w:val="single" w:sz="4" w:space="0" w:color="000000"/>
            </w:tcBorders>
            <w:noWrap/>
            <w:hideMark/>
          </w:tcPr>
          <w:p w14:paraId="4FA94849"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$5,444,491</w:t>
            </w:r>
          </w:p>
        </w:tc>
        <w:tc>
          <w:tcPr>
            <w:tcW w:w="1716" w:type="dxa"/>
            <w:tcBorders>
              <w:top w:val="single" w:sz="4" w:space="0" w:color="000000"/>
              <w:bottom w:val="single" w:sz="4" w:space="0" w:color="000000"/>
              <w:right w:val="single" w:sz="4" w:space="0" w:color="auto"/>
            </w:tcBorders>
            <w:vAlign w:val="bottom"/>
          </w:tcPr>
          <w:p w14:paraId="2C470AB6"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21.8%</w:t>
            </w:r>
          </w:p>
        </w:tc>
        <w:tc>
          <w:tcPr>
            <w:tcW w:w="1827" w:type="dxa"/>
            <w:tcBorders>
              <w:top w:val="single" w:sz="4" w:space="0" w:color="auto"/>
              <w:left w:val="single" w:sz="4" w:space="0" w:color="auto"/>
              <w:bottom w:val="single" w:sz="4" w:space="0" w:color="auto"/>
              <w:right w:val="nil"/>
            </w:tcBorders>
            <w:noWrap/>
            <w:hideMark/>
          </w:tcPr>
          <w:p w14:paraId="3C72BB10" w14:textId="77777777" w:rsidR="00DC4448" w:rsidRPr="0002685F" w:rsidRDefault="00DC4448" w:rsidP="0006599D">
            <w:pPr>
              <w:ind w:right="72"/>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$3,670,155</w:t>
            </w:r>
          </w:p>
        </w:tc>
        <w:tc>
          <w:tcPr>
            <w:tcW w:w="1701" w:type="dxa"/>
            <w:tcBorders>
              <w:top w:val="single" w:sz="4" w:space="0" w:color="auto"/>
              <w:left w:val="nil"/>
              <w:bottom w:val="single" w:sz="4" w:space="0" w:color="auto"/>
              <w:right w:val="single" w:sz="4" w:space="0" w:color="auto"/>
            </w:tcBorders>
            <w:vAlign w:val="bottom"/>
          </w:tcPr>
          <w:p w14:paraId="187F3194" w14:textId="77777777" w:rsidR="00DC4448" w:rsidRPr="0002685F" w:rsidRDefault="00DC4448" w:rsidP="0006599D">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26.9%</w:t>
            </w:r>
          </w:p>
        </w:tc>
      </w:tr>
      <w:tr w:rsidR="00DC4448" w:rsidRPr="0002685F" w14:paraId="1DA7E21C" w14:textId="77777777" w:rsidTr="000659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55749ABB"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Qld</w:t>
            </w:r>
          </w:p>
        </w:tc>
        <w:tc>
          <w:tcPr>
            <w:tcW w:w="1502" w:type="dxa"/>
            <w:tcBorders>
              <w:top w:val="single" w:sz="4" w:space="0" w:color="000000"/>
              <w:left w:val="single" w:sz="4" w:space="0" w:color="auto"/>
              <w:bottom w:val="single" w:sz="4" w:space="0" w:color="000000"/>
            </w:tcBorders>
            <w:noWrap/>
            <w:hideMark/>
          </w:tcPr>
          <w:p w14:paraId="7560D4C4"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$4,833,513</w:t>
            </w:r>
          </w:p>
        </w:tc>
        <w:tc>
          <w:tcPr>
            <w:tcW w:w="1716" w:type="dxa"/>
            <w:tcBorders>
              <w:top w:val="single" w:sz="4" w:space="0" w:color="000000"/>
              <w:bottom w:val="single" w:sz="4" w:space="0" w:color="000000"/>
              <w:right w:val="single" w:sz="4" w:space="0" w:color="auto"/>
            </w:tcBorders>
            <w:vAlign w:val="bottom"/>
          </w:tcPr>
          <w:p w14:paraId="1ECF656E"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19.3%</w:t>
            </w:r>
          </w:p>
        </w:tc>
        <w:tc>
          <w:tcPr>
            <w:tcW w:w="1827" w:type="dxa"/>
            <w:tcBorders>
              <w:top w:val="single" w:sz="4" w:space="0" w:color="auto"/>
              <w:left w:val="single" w:sz="4" w:space="0" w:color="auto"/>
              <w:bottom w:val="single" w:sz="4" w:space="0" w:color="auto"/>
              <w:right w:val="nil"/>
            </w:tcBorders>
            <w:noWrap/>
            <w:hideMark/>
          </w:tcPr>
          <w:p w14:paraId="1572FAF7" w14:textId="77777777" w:rsidR="00DC4448" w:rsidRPr="0002685F" w:rsidRDefault="00DC4448" w:rsidP="0006599D">
            <w:pPr>
              <w:ind w:right="72"/>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$2,567,447</w:t>
            </w:r>
          </w:p>
        </w:tc>
        <w:tc>
          <w:tcPr>
            <w:tcW w:w="1701" w:type="dxa"/>
            <w:tcBorders>
              <w:top w:val="single" w:sz="4" w:space="0" w:color="auto"/>
              <w:left w:val="nil"/>
              <w:bottom w:val="single" w:sz="4" w:space="0" w:color="auto"/>
              <w:right w:val="single" w:sz="4" w:space="0" w:color="auto"/>
            </w:tcBorders>
            <w:vAlign w:val="bottom"/>
          </w:tcPr>
          <w:p w14:paraId="77128C93" w14:textId="77777777" w:rsidR="00DC4448" w:rsidRPr="0002685F" w:rsidRDefault="00DC4448" w:rsidP="0006599D">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18.8%</w:t>
            </w:r>
          </w:p>
        </w:tc>
      </w:tr>
      <w:tr w:rsidR="00DC4448" w:rsidRPr="0002685F" w14:paraId="68747233" w14:textId="77777777" w:rsidTr="0006599D">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4C9A05A4"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WA</w:t>
            </w:r>
          </w:p>
        </w:tc>
        <w:tc>
          <w:tcPr>
            <w:tcW w:w="1502" w:type="dxa"/>
            <w:tcBorders>
              <w:top w:val="single" w:sz="4" w:space="0" w:color="000000"/>
              <w:left w:val="single" w:sz="4" w:space="0" w:color="auto"/>
              <w:bottom w:val="single" w:sz="4" w:space="0" w:color="000000"/>
            </w:tcBorders>
            <w:noWrap/>
            <w:hideMark/>
          </w:tcPr>
          <w:p w14:paraId="4BD74AA1"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$3,207,197</w:t>
            </w:r>
          </w:p>
        </w:tc>
        <w:tc>
          <w:tcPr>
            <w:tcW w:w="1716" w:type="dxa"/>
            <w:tcBorders>
              <w:top w:val="single" w:sz="4" w:space="0" w:color="000000"/>
              <w:bottom w:val="single" w:sz="4" w:space="0" w:color="000000"/>
              <w:right w:val="single" w:sz="4" w:space="0" w:color="auto"/>
            </w:tcBorders>
            <w:vAlign w:val="bottom"/>
          </w:tcPr>
          <w:p w14:paraId="1D56EB77"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12.8%</w:t>
            </w:r>
          </w:p>
        </w:tc>
        <w:tc>
          <w:tcPr>
            <w:tcW w:w="1827" w:type="dxa"/>
            <w:tcBorders>
              <w:top w:val="single" w:sz="4" w:space="0" w:color="auto"/>
              <w:left w:val="single" w:sz="4" w:space="0" w:color="auto"/>
              <w:bottom w:val="single" w:sz="4" w:space="0" w:color="auto"/>
              <w:right w:val="nil"/>
            </w:tcBorders>
            <w:noWrap/>
            <w:hideMark/>
          </w:tcPr>
          <w:p w14:paraId="2A93FA11" w14:textId="77777777" w:rsidR="00DC4448" w:rsidRPr="0002685F" w:rsidRDefault="00DC4448" w:rsidP="0006599D">
            <w:pPr>
              <w:ind w:right="72"/>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$1,252,891</w:t>
            </w:r>
          </w:p>
        </w:tc>
        <w:tc>
          <w:tcPr>
            <w:tcW w:w="1701" w:type="dxa"/>
            <w:tcBorders>
              <w:top w:val="single" w:sz="4" w:space="0" w:color="auto"/>
              <w:left w:val="nil"/>
              <w:bottom w:val="single" w:sz="4" w:space="0" w:color="auto"/>
              <w:right w:val="single" w:sz="4" w:space="0" w:color="auto"/>
            </w:tcBorders>
            <w:vAlign w:val="bottom"/>
          </w:tcPr>
          <w:p w14:paraId="09ED1CBF" w14:textId="77777777" w:rsidR="00DC4448" w:rsidRPr="0002685F" w:rsidRDefault="00DC4448" w:rsidP="0006599D">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9.2%</w:t>
            </w:r>
          </w:p>
        </w:tc>
      </w:tr>
      <w:tr w:rsidR="00DC4448" w:rsidRPr="0002685F" w14:paraId="4A6521B9" w14:textId="77777777" w:rsidTr="000659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564DEBD0"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SA</w:t>
            </w:r>
          </w:p>
        </w:tc>
        <w:tc>
          <w:tcPr>
            <w:tcW w:w="1502" w:type="dxa"/>
            <w:tcBorders>
              <w:top w:val="single" w:sz="4" w:space="0" w:color="000000"/>
              <w:left w:val="single" w:sz="4" w:space="0" w:color="auto"/>
              <w:bottom w:val="single" w:sz="4" w:space="0" w:color="000000"/>
            </w:tcBorders>
            <w:noWrap/>
            <w:hideMark/>
          </w:tcPr>
          <w:p w14:paraId="065C69E0"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$2,093,598</w:t>
            </w:r>
          </w:p>
        </w:tc>
        <w:tc>
          <w:tcPr>
            <w:tcW w:w="1716" w:type="dxa"/>
            <w:tcBorders>
              <w:top w:val="single" w:sz="4" w:space="0" w:color="000000"/>
              <w:bottom w:val="single" w:sz="4" w:space="0" w:color="000000"/>
              <w:right w:val="single" w:sz="4" w:space="0" w:color="auto"/>
            </w:tcBorders>
            <w:vAlign w:val="bottom"/>
          </w:tcPr>
          <w:p w14:paraId="22566BA7"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8.4%</w:t>
            </w:r>
          </w:p>
        </w:tc>
        <w:tc>
          <w:tcPr>
            <w:tcW w:w="1827" w:type="dxa"/>
            <w:tcBorders>
              <w:top w:val="single" w:sz="4" w:space="0" w:color="auto"/>
              <w:left w:val="single" w:sz="4" w:space="0" w:color="auto"/>
              <w:bottom w:val="single" w:sz="4" w:space="0" w:color="auto"/>
              <w:right w:val="nil"/>
            </w:tcBorders>
            <w:noWrap/>
            <w:hideMark/>
          </w:tcPr>
          <w:p w14:paraId="686C9EC3" w14:textId="77777777" w:rsidR="00DC4448" w:rsidRPr="0002685F" w:rsidRDefault="00DC4448" w:rsidP="0006599D">
            <w:pPr>
              <w:ind w:right="72"/>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$898,993</w:t>
            </w:r>
          </w:p>
        </w:tc>
        <w:tc>
          <w:tcPr>
            <w:tcW w:w="1701" w:type="dxa"/>
            <w:tcBorders>
              <w:top w:val="single" w:sz="4" w:space="0" w:color="auto"/>
              <w:left w:val="nil"/>
              <w:bottom w:val="single" w:sz="4" w:space="0" w:color="auto"/>
              <w:right w:val="single" w:sz="4" w:space="0" w:color="auto"/>
            </w:tcBorders>
            <w:vAlign w:val="bottom"/>
          </w:tcPr>
          <w:p w14:paraId="2A13886A" w14:textId="77777777" w:rsidR="00DC4448" w:rsidRPr="0002685F" w:rsidRDefault="00DC4448" w:rsidP="0006599D">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6.6%</w:t>
            </w:r>
          </w:p>
        </w:tc>
      </w:tr>
      <w:tr w:rsidR="00DC4448" w:rsidRPr="0002685F" w14:paraId="17A29F89" w14:textId="77777777" w:rsidTr="0006599D">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24CBA088"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TAS</w:t>
            </w:r>
          </w:p>
        </w:tc>
        <w:tc>
          <w:tcPr>
            <w:tcW w:w="1502" w:type="dxa"/>
            <w:tcBorders>
              <w:top w:val="single" w:sz="4" w:space="0" w:color="000000"/>
              <w:left w:val="single" w:sz="4" w:space="0" w:color="auto"/>
              <w:bottom w:val="single" w:sz="4" w:space="0" w:color="000000"/>
            </w:tcBorders>
            <w:noWrap/>
            <w:hideMark/>
          </w:tcPr>
          <w:p w14:paraId="32DA5195"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$640,380</w:t>
            </w:r>
          </w:p>
        </w:tc>
        <w:tc>
          <w:tcPr>
            <w:tcW w:w="1716" w:type="dxa"/>
            <w:tcBorders>
              <w:top w:val="single" w:sz="4" w:space="0" w:color="000000"/>
              <w:bottom w:val="single" w:sz="4" w:space="0" w:color="000000"/>
              <w:right w:val="single" w:sz="4" w:space="0" w:color="auto"/>
            </w:tcBorders>
            <w:vAlign w:val="bottom"/>
          </w:tcPr>
          <w:p w14:paraId="7C78823D"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2.6%</w:t>
            </w:r>
          </w:p>
        </w:tc>
        <w:tc>
          <w:tcPr>
            <w:tcW w:w="1827" w:type="dxa"/>
            <w:tcBorders>
              <w:top w:val="single" w:sz="4" w:space="0" w:color="auto"/>
              <w:left w:val="single" w:sz="4" w:space="0" w:color="auto"/>
              <w:bottom w:val="single" w:sz="4" w:space="0" w:color="auto"/>
              <w:right w:val="nil"/>
            </w:tcBorders>
            <w:noWrap/>
            <w:hideMark/>
          </w:tcPr>
          <w:p w14:paraId="36295872" w14:textId="77777777" w:rsidR="00DC4448" w:rsidRPr="0002685F" w:rsidRDefault="00DC4448" w:rsidP="0006599D">
            <w:pPr>
              <w:ind w:right="72"/>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$271,789</w:t>
            </w:r>
          </w:p>
        </w:tc>
        <w:tc>
          <w:tcPr>
            <w:tcW w:w="1701" w:type="dxa"/>
            <w:tcBorders>
              <w:top w:val="single" w:sz="4" w:space="0" w:color="auto"/>
              <w:left w:val="nil"/>
              <w:bottom w:val="single" w:sz="4" w:space="0" w:color="auto"/>
              <w:right w:val="single" w:sz="4" w:space="0" w:color="auto"/>
            </w:tcBorders>
            <w:vAlign w:val="bottom"/>
          </w:tcPr>
          <w:p w14:paraId="6B32D1AC" w14:textId="77777777" w:rsidR="00DC4448" w:rsidRPr="0002685F" w:rsidRDefault="00DC4448" w:rsidP="0006599D">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2.0%</w:t>
            </w:r>
          </w:p>
        </w:tc>
      </w:tr>
      <w:tr w:rsidR="00DC4448" w:rsidRPr="0002685F" w14:paraId="7257AAE2" w14:textId="77777777" w:rsidTr="000659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54CEFB66"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ACT</w:t>
            </w:r>
          </w:p>
        </w:tc>
        <w:tc>
          <w:tcPr>
            <w:tcW w:w="1502" w:type="dxa"/>
            <w:tcBorders>
              <w:top w:val="single" w:sz="4" w:space="0" w:color="000000"/>
              <w:left w:val="single" w:sz="4" w:space="0" w:color="auto"/>
              <w:bottom w:val="single" w:sz="4" w:space="0" w:color="000000"/>
            </w:tcBorders>
            <w:noWrap/>
            <w:hideMark/>
          </w:tcPr>
          <w:p w14:paraId="238F4D7A"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$784,219</w:t>
            </w:r>
          </w:p>
        </w:tc>
        <w:tc>
          <w:tcPr>
            <w:tcW w:w="1716" w:type="dxa"/>
            <w:tcBorders>
              <w:top w:val="single" w:sz="4" w:space="0" w:color="000000"/>
              <w:bottom w:val="single" w:sz="4" w:space="0" w:color="000000"/>
              <w:right w:val="single" w:sz="4" w:space="0" w:color="auto"/>
            </w:tcBorders>
            <w:vAlign w:val="bottom"/>
          </w:tcPr>
          <w:p w14:paraId="4B9BF77E"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3.1%</w:t>
            </w:r>
          </w:p>
        </w:tc>
        <w:tc>
          <w:tcPr>
            <w:tcW w:w="1827" w:type="dxa"/>
            <w:tcBorders>
              <w:top w:val="single" w:sz="4" w:space="0" w:color="auto"/>
              <w:left w:val="single" w:sz="4" w:space="0" w:color="auto"/>
              <w:bottom w:val="single" w:sz="4" w:space="0" w:color="auto"/>
              <w:right w:val="nil"/>
            </w:tcBorders>
            <w:noWrap/>
            <w:hideMark/>
          </w:tcPr>
          <w:p w14:paraId="39728320" w14:textId="77777777" w:rsidR="00DC4448" w:rsidRPr="0002685F" w:rsidRDefault="00DC4448" w:rsidP="0006599D">
            <w:pPr>
              <w:ind w:right="72"/>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$324,938</w:t>
            </w:r>
          </w:p>
        </w:tc>
        <w:tc>
          <w:tcPr>
            <w:tcW w:w="1701" w:type="dxa"/>
            <w:tcBorders>
              <w:top w:val="single" w:sz="4" w:space="0" w:color="auto"/>
              <w:left w:val="nil"/>
              <w:bottom w:val="single" w:sz="4" w:space="0" w:color="auto"/>
              <w:right w:val="single" w:sz="4" w:space="0" w:color="auto"/>
            </w:tcBorders>
            <w:vAlign w:val="bottom"/>
          </w:tcPr>
          <w:p w14:paraId="791D411B" w14:textId="77777777" w:rsidR="00DC4448" w:rsidRPr="0002685F" w:rsidRDefault="00DC4448" w:rsidP="0006599D">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2.4%</w:t>
            </w:r>
          </w:p>
        </w:tc>
      </w:tr>
      <w:tr w:rsidR="00DC4448" w:rsidRPr="0002685F" w14:paraId="4DEB94C5" w14:textId="77777777" w:rsidTr="0006599D">
        <w:trPr>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hideMark/>
          </w:tcPr>
          <w:p w14:paraId="28438688"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NT</w:t>
            </w:r>
          </w:p>
        </w:tc>
        <w:tc>
          <w:tcPr>
            <w:tcW w:w="1502" w:type="dxa"/>
            <w:tcBorders>
              <w:top w:val="single" w:sz="4" w:space="0" w:color="000000"/>
              <w:left w:val="single" w:sz="4" w:space="0" w:color="auto"/>
              <w:bottom w:val="single" w:sz="4" w:space="0" w:color="000000"/>
            </w:tcBorders>
            <w:noWrap/>
            <w:hideMark/>
          </w:tcPr>
          <w:p w14:paraId="418CCE92"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$510,933</w:t>
            </w:r>
          </w:p>
        </w:tc>
        <w:tc>
          <w:tcPr>
            <w:tcW w:w="1716" w:type="dxa"/>
            <w:tcBorders>
              <w:top w:val="single" w:sz="4" w:space="0" w:color="000000"/>
              <w:bottom w:val="single" w:sz="4" w:space="0" w:color="000000"/>
              <w:right w:val="single" w:sz="4" w:space="0" w:color="auto"/>
            </w:tcBorders>
            <w:vAlign w:val="bottom"/>
          </w:tcPr>
          <w:p w14:paraId="51DD9599" w14:textId="77777777" w:rsidR="00DC4448" w:rsidRPr="0002685F" w:rsidRDefault="00DC4448" w:rsidP="002C6ABD">
            <w:pPr>
              <w:ind w:right="-24"/>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2.0%</w:t>
            </w:r>
          </w:p>
        </w:tc>
        <w:tc>
          <w:tcPr>
            <w:tcW w:w="1827" w:type="dxa"/>
            <w:tcBorders>
              <w:top w:val="single" w:sz="4" w:space="0" w:color="auto"/>
              <w:left w:val="single" w:sz="4" w:space="0" w:color="auto"/>
              <w:bottom w:val="single" w:sz="4" w:space="0" w:color="auto"/>
              <w:right w:val="nil"/>
            </w:tcBorders>
            <w:noWrap/>
            <w:hideMark/>
          </w:tcPr>
          <w:p w14:paraId="3CC0F143" w14:textId="77777777" w:rsidR="00DC4448" w:rsidRPr="0002685F" w:rsidRDefault="00DC4448" w:rsidP="0006599D">
            <w:pPr>
              <w:ind w:right="72"/>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$86,032</w:t>
            </w:r>
          </w:p>
        </w:tc>
        <w:tc>
          <w:tcPr>
            <w:tcW w:w="1701" w:type="dxa"/>
            <w:tcBorders>
              <w:top w:val="single" w:sz="4" w:space="0" w:color="auto"/>
              <w:left w:val="nil"/>
              <w:bottom w:val="single" w:sz="4" w:space="0" w:color="auto"/>
              <w:right w:val="single" w:sz="4" w:space="0" w:color="auto"/>
            </w:tcBorders>
            <w:vAlign w:val="bottom"/>
          </w:tcPr>
          <w:p w14:paraId="50F479A5" w14:textId="77777777" w:rsidR="00DC4448" w:rsidRPr="0002685F" w:rsidRDefault="00DC4448" w:rsidP="0006599D">
            <w:pPr>
              <w:jc w:val="right"/>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0.6%</w:t>
            </w:r>
          </w:p>
        </w:tc>
      </w:tr>
      <w:tr w:rsidR="00DC4448" w:rsidRPr="0002685F" w14:paraId="03D5FC7E" w14:textId="77777777" w:rsidTr="0006599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0" w:type="dxa"/>
            <w:tcBorders>
              <w:top w:val="single" w:sz="4" w:space="0" w:color="auto"/>
              <w:left w:val="single" w:sz="4" w:space="0" w:color="auto"/>
              <w:bottom w:val="single" w:sz="4" w:space="0" w:color="auto"/>
              <w:right w:val="single" w:sz="4" w:space="0" w:color="auto"/>
            </w:tcBorders>
            <w:noWrap/>
            <w:hideMark/>
          </w:tcPr>
          <w:p w14:paraId="61B71DA2" w14:textId="77777777" w:rsidR="00DC4448" w:rsidRPr="0002685F" w:rsidRDefault="00DC4448" w:rsidP="002C6ABD">
            <w:pPr>
              <w:jc w:val="right"/>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Total</w:t>
            </w:r>
          </w:p>
        </w:tc>
        <w:tc>
          <w:tcPr>
            <w:tcW w:w="1502" w:type="dxa"/>
            <w:tcBorders>
              <w:top w:val="single" w:sz="4" w:space="0" w:color="000000"/>
              <w:left w:val="single" w:sz="4" w:space="0" w:color="auto"/>
              <w:bottom w:val="single" w:sz="4" w:space="0" w:color="000000"/>
            </w:tcBorders>
            <w:noWrap/>
            <w:hideMark/>
          </w:tcPr>
          <w:p w14:paraId="48F8C869" w14:textId="77777777" w:rsidR="00DC4448" w:rsidRPr="0002685F" w:rsidRDefault="00DC4448"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$24,999,999</w:t>
            </w:r>
          </w:p>
        </w:tc>
        <w:tc>
          <w:tcPr>
            <w:tcW w:w="1716" w:type="dxa"/>
            <w:tcBorders>
              <w:top w:val="single" w:sz="4" w:space="0" w:color="000000"/>
              <w:bottom w:val="single" w:sz="4" w:space="0" w:color="000000"/>
              <w:right w:val="single" w:sz="4" w:space="0" w:color="auto"/>
            </w:tcBorders>
          </w:tcPr>
          <w:p w14:paraId="0B2D47F4" w14:textId="6E438438" w:rsidR="00DC4448" w:rsidRPr="0002685F" w:rsidRDefault="0064309F" w:rsidP="002C6ABD">
            <w:pPr>
              <w:ind w:right="-24"/>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100%</w:t>
            </w:r>
          </w:p>
        </w:tc>
        <w:tc>
          <w:tcPr>
            <w:tcW w:w="1827" w:type="dxa"/>
            <w:tcBorders>
              <w:top w:val="single" w:sz="4" w:space="0" w:color="auto"/>
              <w:left w:val="single" w:sz="4" w:space="0" w:color="auto"/>
              <w:bottom w:val="single" w:sz="4" w:space="0" w:color="auto"/>
              <w:right w:val="nil"/>
            </w:tcBorders>
            <w:noWrap/>
            <w:hideMark/>
          </w:tcPr>
          <w:p w14:paraId="632E0D04" w14:textId="77777777" w:rsidR="00DC4448" w:rsidRPr="0002685F" w:rsidRDefault="00DC4448" w:rsidP="0006599D">
            <w:pPr>
              <w:ind w:right="72"/>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$13,666,663</w:t>
            </w:r>
          </w:p>
        </w:tc>
        <w:tc>
          <w:tcPr>
            <w:tcW w:w="1701" w:type="dxa"/>
            <w:tcBorders>
              <w:top w:val="single" w:sz="4" w:space="0" w:color="auto"/>
              <w:left w:val="nil"/>
              <w:bottom w:val="single" w:sz="4" w:space="0" w:color="auto"/>
              <w:right w:val="single" w:sz="4" w:space="0" w:color="auto"/>
            </w:tcBorders>
          </w:tcPr>
          <w:p w14:paraId="78B64730" w14:textId="543735E6" w:rsidR="00DC4448" w:rsidRPr="0002685F" w:rsidRDefault="0064309F" w:rsidP="0064309F">
            <w:pPr>
              <w:jc w:val="right"/>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100%</w:t>
            </w:r>
          </w:p>
        </w:tc>
      </w:tr>
    </w:tbl>
    <w:p w14:paraId="43443195" w14:textId="77777777" w:rsidR="00DC4448" w:rsidRPr="0002685F" w:rsidRDefault="00DC4448" w:rsidP="009617E9">
      <w:pPr>
        <w:spacing w:line="480" w:lineRule="auto"/>
        <w:ind w:right="-340"/>
        <w:rPr>
          <w:rFonts w:ascii="Century Gothic" w:hAnsi="Century Gothic"/>
          <w:sz w:val="20"/>
          <w:szCs w:val="20"/>
        </w:rPr>
      </w:pPr>
      <w:r w:rsidRPr="0002685F">
        <w:rPr>
          <w:rFonts w:ascii="Century Gothic" w:hAnsi="Century Gothic"/>
          <w:sz w:val="20"/>
          <w:szCs w:val="20"/>
        </w:rPr>
        <w:t>Note: Independent sector allocations include a base for the 3 smallest jurisdictions.</w:t>
      </w:r>
    </w:p>
    <w:p w14:paraId="69951449" w14:textId="44296F4A" w:rsidR="00DC4448" w:rsidRPr="0002685F" w:rsidRDefault="00DC4448" w:rsidP="00DC4448">
      <w:pPr>
        <w:spacing w:after="120"/>
        <w:ind w:right="-340"/>
        <w:rPr>
          <w:rFonts w:ascii="Century Gothic" w:hAnsi="Century Gothic"/>
          <w:sz w:val="20"/>
          <w:szCs w:val="20"/>
          <w:lang w:val="en-AU"/>
        </w:rPr>
      </w:pPr>
      <w:r w:rsidRPr="0002685F">
        <w:rPr>
          <w:rFonts w:ascii="Century Gothic" w:hAnsi="Century Gothic"/>
          <w:sz w:val="20"/>
          <w:szCs w:val="20"/>
        </w:rPr>
        <w:t>Fig 1:</w:t>
      </w:r>
      <w:r w:rsidRPr="0002685F">
        <w:rPr>
          <w:rFonts w:ascii="Century Gothic" w:hAnsi="Century Gothic"/>
          <w:sz w:val="20"/>
          <w:szCs w:val="20"/>
        </w:rPr>
        <w:tab/>
      </w:r>
      <w:r w:rsidRPr="0002685F">
        <w:rPr>
          <w:rFonts w:ascii="Century Gothic" w:hAnsi="Century Gothic"/>
          <w:bCs/>
          <w:sz w:val="20"/>
          <w:szCs w:val="20"/>
          <w:lang w:val="en-AU"/>
        </w:rPr>
        <w:t>Annual SFSF</w:t>
      </w:r>
      <w:r w:rsidR="009617E9">
        <w:rPr>
          <w:rFonts w:ascii="Century Gothic" w:hAnsi="Century Gothic"/>
          <w:bCs/>
          <w:sz w:val="20"/>
          <w:szCs w:val="20"/>
          <w:lang w:val="en-AU"/>
        </w:rPr>
        <w:t xml:space="preserve"> Allocation by State and Sector</w:t>
      </w:r>
    </w:p>
    <w:p w14:paraId="17382E0E" w14:textId="77777777" w:rsidR="00DC4448" w:rsidRDefault="00DC4448" w:rsidP="00DC4448">
      <w:pPr>
        <w:ind w:right="-340"/>
      </w:pPr>
      <w:r>
        <w:rPr>
          <w:noProof/>
          <w:lang w:val="en-AU" w:eastAsia="en-AU"/>
        </w:rPr>
        <w:drawing>
          <wp:inline distT="0" distB="0" distL="0" distR="0" wp14:anchorId="0F39BED6" wp14:editId="133073B5">
            <wp:extent cx="5033222" cy="2497667"/>
            <wp:effectExtent l="0" t="0" r="15240" b="17145"/>
            <wp:docPr id="12" name="Chart 12" descr="This is a graph of the tabel above. This graph shows that larger states (in terms of population) receive more SFSF funding than smaller states." title="Fig 1: Annual SFSF Allocation by State and Secto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C6EB6DC" w14:textId="77777777" w:rsidR="00DC4448" w:rsidRPr="0002685F" w:rsidRDefault="00DC4448" w:rsidP="00E939AD">
      <w:pPr>
        <w:spacing w:before="240" w:after="120"/>
        <w:ind w:right="-340"/>
        <w:rPr>
          <w:rFonts w:ascii="Century Gothic" w:hAnsi="Century Gothic"/>
          <w:sz w:val="20"/>
          <w:szCs w:val="20"/>
          <w:lang w:val="en-AU"/>
        </w:rPr>
      </w:pPr>
      <w:r w:rsidRPr="0002685F">
        <w:rPr>
          <w:rFonts w:ascii="Century Gothic" w:hAnsi="Century Gothic"/>
          <w:sz w:val="20"/>
          <w:szCs w:val="20"/>
        </w:rPr>
        <w:t>Fig 2:</w:t>
      </w:r>
      <w:r w:rsidRPr="0002685F">
        <w:rPr>
          <w:rFonts w:ascii="Century Gothic" w:hAnsi="Century Gothic"/>
          <w:sz w:val="20"/>
          <w:szCs w:val="20"/>
        </w:rPr>
        <w:tab/>
      </w:r>
      <w:r w:rsidRPr="0002685F">
        <w:rPr>
          <w:rFonts w:ascii="Century Gothic" w:hAnsi="Century Gothic"/>
          <w:bCs/>
          <w:sz w:val="20"/>
          <w:szCs w:val="20"/>
          <w:lang w:val="en-AU"/>
        </w:rPr>
        <w:t xml:space="preserve">Annual Percentage of SFSF Allocation by State and Sector </w:t>
      </w:r>
    </w:p>
    <w:p w14:paraId="3022E8E5" w14:textId="2D2F83DB" w:rsidR="00DC4448" w:rsidRDefault="00DC4448" w:rsidP="00DC4448">
      <w:pPr>
        <w:ind w:right="-340"/>
        <w:sectPr w:rsidR="00DC4448" w:rsidSect="00897735">
          <w:pgSz w:w="11900" w:h="16820"/>
          <w:pgMar w:top="1440" w:right="1460" w:bottom="1440" w:left="993" w:header="708" w:footer="708" w:gutter="0"/>
          <w:cols w:space="708"/>
        </w:sectPr>
      </w:pPr>
      <w:r>
        <w:rPr>
          <w:noProof/>
          <w:lang w:val="en-AU" w:eastAsia="en-AU"/>
        </w:rPr>
        <w:drawing>
          <wp:inline distT="0" distB="0" distL="0" distR="0" wp14:anchorId="78A8A433" wp14:editId="20401E9E">
            <wp:extent cx="5033222" cy="2743200"/>
            <wp:effectExtent l="0" t="0" r="15240" b="0"/>
            <wp:docPr id="13" name="Chart 13" descr="This graph breaks down SFSF funding by state and sector." title="Fig 2: Annual Percentage of SFSF Allocation by State and Secto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64D5D9A" w14:textId="77777777" w:rsidR="00DC4448" w:rsidRPr="00837879" w:rsidRDefault="00DC4448" w:rsidP="00DC4448">
      <w:pPr>
        <w:ind w:right="-340"/>
        <w:rPr>
          <w:rFonts w:ascii="Century Gothic" w:hAnsi="Century Gothic"/>
          <w:sz w:val="20"/>
          <w:szCs w:val="20"/>
          <w:lang w:val="en-AU"/>
        </w:rPr>
      </w:pPr>
      <w:r w:rsidRPr="0002685F">
        <w:rPr>
          <w:rFonts w:ascii="Century Gothic" w:hAnsi="Century Gothic"/>
          <w:sz w:val="20"/>
          <w:szCs w:val="20"/>
        </w:rPr>
        <w:t>Table 2:</w:t>
      </w:r>
      <w:r w:rsidRPr="0002685F">
        <w:rPr>
          <w:rFonts w:ascii="Century Gothic" w:hAnsi="Century Gothic"/>
          <w:sz w:val="20"/>
          <w:szCs w:val="20"/>
        </w:rPr>
        <w:tab/>
      </w:r>
      <w:r w:rsidRPr="0002685F">
        <w:rPr>
          <w:rFonts w:ascii="Century Gothic" w:hAnsi="Century Gothic"/>
          <w:bCs/>
          <w:sz w:val="20"/>
          <w:szCs w:val="20"/>
          <w:lang w:val="en-AU"/>
        </w:rPr>
        <w:t>Assessment of expenditure across reform areas – percentage</w:t>
      </w:r>
    </w:p>
    <w:tbl>
      <w:tblPr>
        <w:tblStyle w:val="LightList-Accent1"/>
        <w:tblW w:w="15026" w:type="dxa"/>
        <w:tblInd w:w="-459" w:type="dxa"/>
        <w:tblLayout w:type="fixed"/>
        <w:tblLook w:val="04A0" w:firstRow="1" w:lastRow="0" w:firstColumn="1" w:lastColumn="0" w:noHBand="0" w:noVBand="1"/>
        <w:tblCaption w:val="Table 2: Assessment of expenditure across reform areas – percentage"/>
        <w:tblDescription w:val="This table shows expenditure across reform areas in different jurisdictions, as a percentage of total expenditure in each jurisdiction."/>
      </w:tblPr>
      <w:tblGrid>
        <w:gridCol w:w="1525"/>
        <w:gridCol w:w="1134"/>
        <w:gridCol w:w="1276"/>
        <w:gridCol w:w="1276"/>
        <w:gridCol w:w="1559"/>
        <w:gridCol w:w="1134"/>
        <w:gridCol w:w="7122"/>
      </w:tblGrid>
      <w:tr w:rsidR="00DC4448" w:rsidRPr="0002685F" w14:paraId="3BCE2247" w14:textId="77777777" w:rsidTr="00C31922">
        <w:trPr>
          <w:cnfStyle w:val="100000000000" w:firstRow="1" w:lastRow="0" w:firstColumn="0" w:lastColumn="0" w:oddVBand="0" w:evenVBand="0" w:oddHBand="0" w:evenHBand="0" w:firstRowFirstColumn="0" w:firstRowLastColumn="0" w:lastRowFirstColumn="0" w:lastRowLastColumn="0"/>
          <w:trHeight w:val="920"/>
          <w:tblHeader/>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shd w:val="clear" w:color="auto" w:fill="95B3D7" w:themeFill="accent1" w:themeFillTint="99"/>
            <w:hideMark/>
          </w:tcPr>
          <w:p w14:paraId="210CB091"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Jurisdiction</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EDE796C" w14:textId="77777777" w:rsidR="00DC4448" w:rsidRPr="0002685F" w:rsidRDefault="00DC4448" w:rsidP="002C6ABD">
            <w:pPr>
              <w:ind w:right="-34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Quality Teaching</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7E520C4" w14:textId="77777777" w:rsidR="00DC4448" w:rsidRPr="0002685F" w:rsidRDefault="00DC4448" w:rsidP="002C6ABD">
            <w:pPr>
              <w:ind w:right="-34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Quality Learning</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C26D4B2" w14:textId="77777777" w:rsidR="00DC4448" w:rsidRPr="0002685F" w:rsidRDefault="00DC4448" w:rsidP="002C6ABD">
            <w:pPr>
              <w:ind w:right="-34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Empowered School Leadership</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8BA942C" w14:textId="77777777" w:rsidR="00DC4448" w:rsidRPr="0002685F" w:rsidRDefault="00DC4448" w:rsidP="002C6ABD">
            <w:pPr>
              <w:ind w:right="-34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Transparency and Accountability</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8D317DB" w14:textId="77777777" w:rsidR="00DC4448" w:rsidRPr="0002685F" w:rsidRDefault="00DC4448" w:rsidP="002C6ABD">
            <w:pPr>
              <w:ind w:right="-34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Meeting Student Needs</w:t>
            </w:r>
          </w:p>
        </w:tc>
        <w:tc>
          <w:tcPr>
            <w:tcW w:w="7122"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hideMark/>
          </w:tcPr>
          <w:p w14:paraId="7546E50D" w14:textId="77777777" w:rsidR="00DC4448" w:rsidRPr="0002685F" w:rsidRDefault="00DC4448" w:rsidP="002C6ABD">
            <w:pPr>
              <w:ind w:right="84"/>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Notes</w:t>
            </w:r>
          </w:p>
        </w:tc>
      </w:tr>
      <w:tr w:rsidR="00DC4448" w:rsidRPr="0002685F" w14:paraId="69D7B3B5"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6E05CFB0"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NSW Indep</w:t>
            </w:r>
          </w:p>
        </w:tc>
        <w:tc>
          <w:tcPr>
            <w:tcW w:w="1134" w:type="dxa"/>
            <w:tcBorders>
              <w:top w:val="single" w:sz="4" w:space="0" w:color="auto"/>
              <w:left w:val="single" w:sz="4" w:space="0" w:color="auto"/>
              <w:bottom w:val="single" w:sz="4" w:space="0" w:color="auto"/>
              <w:right w:val="single" w:sz="4" w:space="0" w:color="auto"/>
            </w:tcBorders>
            <w:hideMark/>
          </w:tcPr>
          <w:p w14:paraId="6FFD813B"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17.0%</w:t>
            </w:r>
          </w:p>
        </w:tc>
        <w:tc>
          <w:tcPr>
            <w:tcW w:w="1276" w:type="dxa"/>
            <w:tcBorders>
              <w:top w:val="single" w:sz="4" w:space="0" w:color="auto"/>
              <w:left w:val="single" w:sz="4" w:space="0" w:color="auto"/>
              <w:bottom w:val="single" w:sz="4" w:space="0" w:color="auto"/>
              <w:right w:val="single" w:sz="4" w:space="0" w:color="auto"/>
            </w:tcBorders>
            <w:hideMark/>
          </w:tcPr>
          <w:p w14:paraId="6B539CA8"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16.8%</w:t>
            </w:r>
          </w:p>
        </w:tc>
        <w:tc>
          <w:tcPr>
            <w:tcW w:w="1276" w:type="dxa"/>
            <w:tcBorders>
              <w:top w:val="single" w:sz="4" w:space="0" w:color="auto"/>
              <w:left w:val="single" w:sz="4" w:space="0" w:color="auto"/>
              <w:bottom w:val="single" w:sz="4" w:space="0" w:color="auto"/>
              <w:right w:val="single" w:sz="4" w:space="0" w:color="auto"/>
            </w:tcBorders>
            <w:hideMark/>
          </w:tcPr>
          <w:p w14:paraId="01ADCC5A"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16.4%</w:t>
            </w:r>
          </w:p>
        </w:tc>
        <w:tc>
          <w:tcPr>
            <w:tcW w:w="1559" w:type="dxa"/>
            <w:tcBorders>
              <w:top w:val="single" w:sz="4" w:space="0" w:color="auto"/>
              <w:left w:val="single" w:sz="4" w:space="0" w:color="auto"/>
              <w:bottom w:val="single" w:sz="4" w:space="0" w:color="auto"/>
              <w:right w:val="single" w:sz="4" w:space="0" w:color="auto"/>
            </w:tcBorders>
            <w:hideMark/>
          </w:tcPr>
          <w:p w14:paraId="03853ACB"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16.9%</w:t>
            </w:r>
          </w:p>
        </w:tc>
        <w:tc>
          <w:tcPr>
            <w:tcW w:w="1134" w:type="dxa"/>
            <w:tcBorders>
              <w:top w:val="single" w:sz="4" w:space="0" w:color="auto"/>
              <w:left w:val="single" w:sz="4" w:space="0" w:color="auto"/>
              <w:bottom w:val="single" w:sz="4" w:space="0" w:color="auto"/>
              <w:right w:val="single" w:sz="4" w:space="0" w:color="auto"/>
            </w:tcBorders>
            <w:hideMark/>
          </w:tcPr>
          <w:p w14:paraId="292D23AA"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32.9%</w:t>
            </w:r>
          </w:p>
        </w:tc>
        <w:tc>
          <w:tcPr>
            <w:tcW w:w="7122" w:type="dxa"/>
            <w:tcBorders>
              <w:top w:val="single" w:sz="4" w:space="0" w:color="auto"/>
              <w:left w:val="single" w:sz="4" w:space="0" w:color="auto"/>
              <w:bottom w:val="single" w:sz="4" w:space="0" w:color="auto"/>
              <w:right w:val="single" w:sz="4" w:space="0" w:color="auto"/>
            </w:tcBorders>
            <w:noWrap/>
            <w:hideMark/>
          </w:tcPr>
          <w:p w14:paraId="43BDF7C9" w14:textId="77777777" w:rsidR="00DC4448" w:rsidRPr="0002685F" w:rsidRDefault="00DC4448" w:rsidP="002C6ABD">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Provides budget on a project-by-project basis. Assignment to reform areas based on project descriptions</w:t>
            </w:r>
          </w:p>
        </w:tc>
      </w:tr>
      <w:tr w:rsidR="00DC4448" w:rsidRPr="0002685F" w14:paraId="7C830663"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131610DB"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NSW Cath</w:t>
            </w:r>
          </w:p>
        </w:tc>
        <w:tc>
          <w:tcPr>
            <w:tcW w:w="1134" w:type="dxa"/>
            <w:tcBorders>
              <w:top w:val="single" w:sz="4" w:space="0" w:color="auto"/>
              <w:left w:val="single" w:sz="4" w:space="0" w:color="auto"/>
              <w:bottom w:val="single" w:sz="4" w:space="0" w:color="auto"/>
              <w:right w:val="single" w:sz="4" w:space="0" w:color="auto"/>
            </w:tcBorders>
            <w:hideMark/>
          </w:tcPr>
          <w:p w14:paraId="50915CD4"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25.0%</w:t>
            </w:r>
          </w:p>
        </w:tc>
        <w:tc>
          <w:tcPr>
            <w:tcW w:w="1276" w:type="dxa"/>
            <w:tcBorders>
              <w:top w:val="single" w:sz="4" w:space="0" w:color="auto"/>
              <w:left w:val="single" w:sz="4" w:space="0" w:color="auto"/>
              <w:bottom w:val="single" w:sz="4" w:space="0" w:color="auto"/>
              <w:right w:val="single" w:sz="4" w:space="0" w:color="auto"/>
            </w:tcBorders>
            <w:hideMark/>
          </w:tcPr>
          <w:p w14:paraId="73A2FE7D"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15.0%</w:t>
            </w:r>
          </w:p>
        </w:tc>
        <w:tc>
          <w:tcPr>
            <w:tcW w:w="1276" w:type="dxa"/>
            <w:tcBorders>
              <w:top w:val="single" w:sz="4" w:space="0" w:color="auto"/>
              <w:left w:val="single" w:sz="4" w:space="0" w:color="auto"/>
              <w:bottom w:val="single" w:sz="4" w:space="0" w:color="auto"/>
              <w:right w:val="single" w:sz="4" w:space="0" w:color="auto"/>
            </w:tcBorders>
            <w:hideMark/>
          </w:tcPr>
          <w:p w14:paraId="4F09FA92"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20.0%</w:t>
            </w:r>
          </w:p>
        </w:tc>
        <w:tc>
          <w:tcPr>
            <w:tcW w:w="1559" w:type="dxa"/>
            <w:tcBorders>
              <w:top w:val="single" w:sz="4" w:space="0" w:color="auto"/>
              <w:left w:val="single" w:sz="4" w:space="0" w:color="auto"/>
              <w:bottom w:val="single" w:sz="4" w:space="0" w:color="auto"/>
              <w:right w:val="single" w:sz="4" w:space="0" w:color="auto"/>
            </w:tcBorders>
            <w:hideMark/>
          </w:tcPr>
          <w:p w14:paraId="4CDE81F0"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15.0%</w:t>
            </w:r>
          </w:p>
        </w:tc>
        <w:tc>
          <w:tcPr>
            <w:tcW w:w="1134" w:type="dxa"/>
            <w:tcBorders>
              <w:top w:val="single" w:sz="4" w:space="0" w:color="auto"/>
              <w:left w:val="single" w:sz="4" w:space="0" w:color="auto"/>
              <w:bottom w:val="single" w:sz="4" w:space="0" w:color="auto"/>
              <w:right w:val="single" w:sz="4" w:space="0" w:color="auto"/>
            </w:tcBorders>
            <w:hideMark/>
          </w:tcPr>
          <w:p w14:paraId="0F2BB84C"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25.0%</w:t>
            </w:r>
          </w:p>
        </w:tc>
        <w:tc>
          <w:tcPr>
            <w:tcW w:w="7122" w:type="dxa"/>
            <w:tcBorders>
              <w:top w:val="single" w:sz="4" w:space="0" w:color="auto"/>
              <w:left w:val="single" w:sz="4" w:space="0" w:color="auto"/>
              <w:bottom w:val="single" w:sz="4" w:space="0" w:color="auto"/>
              <w:right w:val="single" w:sz="4" w:space="0" w:color="auto"/>
            </w:tcBorders>
            <w:noWrap/>
            <w:hideMark/>
          </w:tcPr>
          <w:p w14:paraId="1B49E280" w14:textId="73AE65AC" w:rsidR="00DC4448" w:rsidRPr="0002685F" w:rsidRDefault="0064309F"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N/A</w:t>
            </w:r>
          </w:p>
        </w:tc>
      </w:tr>
      <w:tr w:rsidR="00DC4448" w:rsidRPr="0002685F" w14:paraId="5675B2B4"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49990584"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Vic Indep</w:t>
            </w:r>
          </w:p>
        </w:tc>
        <w:tc>
          <w:tcPr>
            <w:tcW w:w="1134" w:type="dxa"/>
            <w:tcBorders>
              <w:top w:val="single" w:sz="4" w:space="0" w:color="auto"/>
              <w:left w:val="single" w:sz="4" w:space="0" w:color="auto"/>
              <w:bottom w:val="single" w:sz="4" w:space="0" w:color="auto"/>
              <w:right w:val="single" w:sz="4" w:space="0" w:color="auto"/>
            </w:tcBorders>
            <w:hideMark/>
          </w:tcPr>
          <w:p w14:paraId="0E75750B"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17.1%</w:t>
            </w:r>
          </w:p>
        </w:tc>
        <w:tc>
          <w:tcPr>
            <w:tcW w:w="1276" w:type="dxa"/>
            <w:tcBorders>
              <w:top w:val="single" w:sz="4" w:space="0" w:color="auto"/>
              <w:left w:val="single" w:sz="4" w:space="0" w:color="auto"/>
              <w:bottom w:val="single" w:sz="4" w:space="0" w:color="auto"/>
              <w:right w:val="single" w:sz="4" w:space="0" w:color="auto"/>
            </w:tcBorders>
            <w:hideMark/>
          </w:tcPr>
          <w:p w14:paraId="4B17E38A"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27.8%</w:t>
            </w:r>
          </w:p>
        </w:tc>
        <w:tc>
          <w:tcPr>
            <w:tcW w:w="1276" w:type="dxa"/>
            <w:tcBorders>
              <w:top w:val="single" w:sz="4" w:space="0" w:color="auto"/>
              <w:left w:val="single" w:sz="4" w:space="0" w:color="auto"/>
              <w:bottom w:val="single" w:sz="4" w:space="0" w:color="auto"/>
              <w:right w:val="single" w:sz="4" w:space="0" w:color="auto"/>
            </w:tcBorders>
            <w:hideMark/>
          </w:tcPr>
          <w:p w14:paraId="6E80F5FA"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31.0%</w:t>
            </w:r>
          </w:p>
        </w:tc>
        <w:tc>
          <w:tcPr>
            <w:tcW w:w="1559" w:type="dxa"/>
            <w:tcBorders>
              <w:top w:val="single" w:sz="4" w:space="0" w:color="auto"/>
              <w:left w:val="single" w:sz="4" w:space="0" w:color="auto"/>
              <w:bottom w:val="single" w:sz="4" w:space="0" w:color="auto"/>
              <w:right w:val="single" w:sz="4" w:space="0" w:color="auto"/>
            </w:tcBorders>
            <w:hideMark/>
          </w:tcPr>
          <w:p w14:paraId="646977A5"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9.7%</w:t>
            </w:r>
          </w:p>
        </w:tc>
        <w:tc>
          <w:tcPr>
            <w:tcW w:w="1134" w:type="dxa"/>
            <w:tcBorders>
              <w:top w:val="single" w:sz="4" w:space="0" w:color="auto"/>
              <w:left w:val="single" w:sz="4" w:space="0" w:color="auto"/>
              <w:bottom w:val="single" w:sz="4" w:space="0" w:color="auto"/>
              <w:right w:val="single" w:sz="4" w:space="0" w:color="auto"/>
            </w:tcBorders>
            <w:hideMark/>
          </w:tcPr>
          <w:p w14:paraId="3D1FF080"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14.4%</w:t>
            </w:r>
          </w:p>
        </w:tc>
        <w:tc>
          <w:tcPr>
            <w:tcW w:w="7122" w:type="dxa"/>
            <w:tcBorders>
              <w:top w:val="single" w:sz="4" w:space="0" w:color="auto"/>
              <w:left w:val="single" w:sz="4" w:space="0" w:color="auto"/>
              <w:bottom w:val="single" w:sz="4" w:space="0" w:color="auto"/>
              <w:right w:val="single" w:sz="4" w:space="0" w:color="auto"/>
            </w:tcBorders>
            <w:noWrap/>
            <w:hideMark/>
          </w:tcPr>
          <w:p w14:paraId="0D5A2623" w14:textId="01CFAF22" w:rsidR="00DC4448" w:rsidRPr="0002685F" w:rsidRDefault="0064309F" w:rsidP="002C6ABD">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N/A</w:t>
            </w:r>
          </w:p>
        </w:tc>
      </w:tr>
      <w:tr w:rsidR="00DC4448" w:rsidRPr="0002685F" w14:paraId="160361C8"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7C5580BF"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Vic Cath</w:t>
            </w:r>
          </w:p>
        </w:tc>
        <w:tc>
          <w:tcPr>
            <w:tcW w:w="1134" w:type="dxa"/>
            <w:tcBorders>
              <w:top w:val="single" w:sz="4" w:space="0" w:color="auto"/>
              <w:left w:val="single" w:sz="4" w:space="0" w:color="auto"/>
              <w:bottom w:val="single" w:sz="4" w:space="0" w:color="auto"/>
              <w:right w:val="single" w:sz="4" w:space="0" w:color="auto"/>
            </w:tcBorders>
            <w:hideMark/>
          </w:tcPr>
          <w:p w14:paraId="77392C06"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48.5%</w:t>
            </w:r>
          </w:p>
        </w:tc>
        <w:tc>
          <w:tcPr>
            <w:tcW w:w="1276" w:type="dxa"/>
            <w:tcBorders>
              <w:top w:val="single" w:sz="4" w:space="0" w:color="auto"/>
              <w:left w:val="single" w:sz="4" w:space="0" w:color="auto"/>
              <w:bottom w:val="single" w:sz="4" w:space="0" w:color="auto"/>
              <w:right w:val="single" w:sz="4" w:space="0" w:color="auto"/>
            </w:tcBorders>
            <w:hideMark/>
          </w:tcPr>
          <w:p w14:paraId="675AE022"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46.5%</w:t>
            </w:r>
          </w:p>
        </w:tc>
        <w:tc>
          <w:tcPr>
            <w:tcW w:w="1276" w:type="dxa"/>
            <w:tcBorders>
              <w:top w:val="single" w:sz="4" w:space="0" w:color="auto"/>
              <w:left w:val="single" w:sz="4" w:space="0" w:color="auto"/>
              <w:bottom w:val="single" w:sz="4" w:space="0" w:color="auto"/>
              <w:right w:val="single" w:sz="4" w:space="0" w:color="auto"/>
            </w:tcBorders>
            <w:hideMark/>
          </w:tcPr>
          <w:p w14:paraId="24555F3B"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5.0%</w:t>
            </w:r>
          </w:p>
        </w:tc>
        <w:tc>
          <w:tcPr>
            <w:tcW w:w="1559" w:type="dxa"/>
            <w:tcBorders>
              <w:top w:val="single" w:sz="4" w:space="0" w:color="auto"/>
              <w:left w:val="single" w:sz="4" w:space="0" w:color="auto"/>
              <w:bottom w:val="single" w:sz="4" w:space="0" w:color="auto"/>
              <w:right w:val="single" w:sz="4" w:space="0" w:color="auto"/>
            </w:tcBorders>
            <w:hideMark/>
          </w:tcPr>
          <w:p w14:paraId="7A331CF7"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14:paraId="15EB3B53"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rPr>
              <w:t>0.0%</w:t>
            </w:r>
          </w:p>
        </w:tc>
        <w:tc>
          <w:tcPr>
            <w:tcW w:w="7122" w:type="dxa"/>
            <w:tcBorders>
              <w:top w:val="single" w:sz="4" w:space="0" w:color="auto"/>
              <w:left w:val="single" w:sz="4" w:space="0" w:color="auto"/>
              <w:bottom w:val="single" w:sz="4" w:space="0" w:color="auto"/>
              <w:right w:val="single" w:sz="4" w:space="0" w:color="auto"/>
            </w:tcBorders>
            <w:noWrap/>
            <w:hideMark/>
          </w:tcPr>
          <w:p w14:paraId="7C4FA1E9" w14:textId="77777777" w:rsidR="00DC4448" w:rsidRPr="0002685F" w:rsidRDefault="00DC4448"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 xml:space="preserve">SFSF funding supports two programs: </w:t>
            </w:r>
            <w:r w:rsidRPr="0002685F">
              <w:rPr>
                <w:rFonts w:ascii="Century Gothic" w:eastAsia="Times New Roman" w:hAnsi="Century Gothic" w:cs="Times New Roman"/>
                <w:i/>
                <w:color w:val="000000"/>
                <w:sz w:val="20"/>
                <w:szCs w:val="20"/>
                <w:lang w:val="en-AU"/>
              </w:rPr>
              <w:t>Leading Languages Learning in Catholic Schools Initiative</w:t>
            </w:r>
            <w:r w:rsidRPr="0002685F">
              <w:rPr>
                <w:rFonts w:ascii="Century Gothic" w:eastAsia="Times New Roman" w:hAnsi="Century Gothic" w:cs="Times New Roman"/>
                <w:color w:val="000000"/>
                <w:sz w:val="20"/>
                <w:szCs w:val="20"/>
                <w:lang w:val="en-AU"/>
              </w:rPr>
              <w:t xml:space="preserve"> and </w:t>
            </w:r>
            <w:r w:rsidRPr="0002685F">
              <w:rPr>
                <w:rFonts w:ascii="Century Gothic" w:eastAsia="Times New Roman" w:hAnsi="Century Gothic" w:cs="Times New Roman"/>
                <w:i/>
                <w:color w:val="000000"/>
                <w:sz w:val="20"/>
                <w:szCs w:val="20"/>
                <w:lang w:val="en-AU"/>
              </w:rPr>
              <w:t>Auspiced Training and Industry Partnership</w:t>
            </w:r>
            <w:r w:rsidRPr="0002685F">
              <w:rPr>
                <w:rFonts w:ascii="Century Gothic" w:eastAsia="Times New Roman" w:hAnsi="Century Gothic" w:cs="Times New Roman"/>
                <w:color w:val="000000"/>
                <w:sz w:val="20"/>
                <w:szCs w:val="20"/>
                <w:lang w:val="en-AU"/>
              </w:rPr>
              <w:t>.  Assignment to reform areas based on project descriptions</w:t>
            </w:r>
          </w:p>
        </w:tc>
      </w:tr>
      <w:tr w:rsidR="00993BC8" w:rsidRPr="0002685F" w14:paraId="26156A6B"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1ACAEBFB" w14:textId="77777777" w:rsidR="00C3002F" w:rsidRPr="0002685F" w:rsidRDefault="00C3002F"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Qld Indep</w:t>
            </w:r>
          </w:p>
        </w:tc>
        <w:tc>
          <w:tcPr>
            <w:tcW w:w="1134" w:type="dxa"/>
            <w:tcBorders>
              <w:top w:val="single" w:sz="4" w:space="0" w:color="auto"/>
              <w:left w:val="single" w:sz="4" w:space="0" w:color="auto"/>
              <w:bottom w:val="single" w:sz="4" w:space="0" w:color="auto"/>
              <w:right w:val="single" w:sz="4" w:space="0" w:color="auto"/>
            </w:tcBorders>
            <w:hideMark/>
          </w:tcPr>
          <w:p w14:paraId="68A434D6" w14:textId="683792DA"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7E8BE7DB" w14:textId="4189BAE0"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584AAEE6" w14:textId="5D86B488"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559" w:type="dxa"/>
            <w:tcBorders>
              <w:top w:val="single" w:sz="4" w:space="0" w:color="auto"/>
              <w:left w:val="single" w:sz="4" w:space="0" w:color="auto"/>
              <w:bottom w:val="single" w:sz="4" w:space="0" w:color="auto"/>
              <w:right w:val="single" w:sz="4" w:space="0" w:color="auto"/>
            </w:tcBorders>
          </w:tcPr>
          <w:p w14:paraId="44248E96" w14:textId="13C8A278"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134" w:type="dxa"/>
            <w:tcBorders>
              <w:top w:val="single" w:sz="4" w:space="0" w:color="auto"/>
              <w:left w:val="single" w:sz="4" w:space="0" w:color="auto"/>
              <w:bottom w:val="single" w:sz="4" w:space="0" w:color="auto"/>
              <w:right w:val="single" w:sz="4" w:space="0" w:color="auto"/>
            </w:tcBorders>
          </w:tcPr>
          <w:p w14:paraId="497EF2F3" w14:textId="130DA000"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7122" w:type="dxa"/>
            <w:tcBorders>
              <w:top w:val="single" w:sz="4" w:space="0" w:color="auto"/>
              <w:left w:val="single" w:sz="4" w:space="0" w:color="auto"/>
              <w:bottom w:val="single" w:sz="4" w:space="0" w:color="auto"/>
              <w:right w:val="single" w:sz="4" w:space="0" w:color="auto"/>
            </w:tcBorders>
          </w:tcPr>
          <w:p w14:paraId="75CBCA1B" w14:textId="4B5A4FF5" w:rsidR="00C3002F" w:rsidRPr="0002685F" w:rsidRDefault="00C3002F" w:rsidP="00C3002F">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Large number of projects.  Documents indicate they support all reform areas</w:t>
            </w:r>
          </w:p>
        </w:tc>
      </w:tr>
      <w:tr w:rsidR="00DC4448" w:rsidRPr="0002685F" w14:paraId="4C0712F0"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1EA0410C"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Qld Cath</w:t>
            </w:r>
          </w:p>
        </w:tc>
        <w:tc>
          <w:tcPr>
            <w:tcW w:w="1134" w:type="dxa"/>
            <w:tcBorders>
              <w:top w:val="single" w:sz="4" w:space="0" w:color="auto"/>
              <w:left w:val="single" w:sz="4" w:space="0" w:color="auto"/>
              <w:bottom w:val="single" w:sz="4" w:space="0" w:color="auto"/>
              <w:right w:val="single" w:sz="4" w:space="0" w:color="auto"/>
            </w:tcBorders>
            <w:hideMark/>
          </w:tcPr>
          <w:p w14:paraId="04EC295A"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63.9%</w:t>
            </w:r>
          </w:p>
        </w:tc>
        <w:tc>
          <w:tcPr>
            <w:tcW w:w="1276" w:type="dxa"/>
            <w:tcBorders>
              <w:top w:val="single" w:sz="4" w:space="0" w:color="auto"/>
              <w:left w:val="single" w:sz="4" w:space="0" w:color="auto"/>
              <w:bottom w:val="single" w:sz="4" w:space="0" w:color="auto"/>
              <w:right w:val="single" w:sz="4" w:space="0" w:color="auto"/>
            </w:tcBorders>
            <w:hideMark/>
          </w:tcPr>
          <w:p w14:paraId="72FB19D0"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9.3%</w:t>
            </w:r>
          </w:p>
        </w:tc>
        <w:tc>
          <w:tcPr>
            <w:tcW w:w="1276" w:type="dxa"/>
            <w:tcBorders>
              <w:top w:val="single" w:sz="4" w:space="0" w:color="auto"/>
              <w:left w:val="single" w:sz="4" w:space="0" w:color="auto"/>
              <w:bottom w:val="single" w:sz="4" w:space="0" w:color="auto"/>
              <w:right w:val="single" w:sz="4" w:space="0" w:color="auto"/>
            </w:tcBorders>
            <w:hideMark/>
          </w:tcPr>
          <w:p w14:paraId="261A42A4"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6.8%</w:t>
            </w:r>
          </w:p>
        </w:tc>
        <w:tc>
          <w:tcPr>
            <w:tcW w:w="1559" w:type="dxa"/>
            <w:tcBorders>
              <w:top w:val="single" w:sz="4" w:space="0" w:color="auto"/>
              <w:left w:val="single" w:sz="4" w:space="0" w:color="auto"/>
              <w:bottom w:val="single" w:sz="4" w:space="0" w:color="auto"/>
              <w:right w:val="single" w:sz="4" w:space="0" w:color="auto"/>
            </w:tcBorders>
            <w:hideMark/>
          </w:tcPr>
          <w:p w14:paraId="587B4DA4"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16.1%</w:t>
            </w:r>
          </w:p>
        </w:tc>
        <w:tc>
          <w:tcPr>
            <w:tcW w:w="1134" w:type="dxa"/>
            <w:tcBorders>
              <w:top w:val="single" w:sz="4" w:space="0" w:color="auto"/>
              <w:left w:val="single" w:sz="4" w:space="0" w:color="auto"/>
              <w:bottom w:val="single" w:sz="4" w:space="0" w:color="auto"/>
              <w:right w:val="single" w:sz="4" w:space="0" w:color="auto"/>
            </w:tcBorders>
            <w:hideMark/>
          </w:tcPr>
          <w:p w14:paraId="0D5E7209"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3.9%</w:t>
            </w:r>
          </w:p>
        </w:tc>
        <w:tc>
          <w:tcPr>
            <w:tcW w:w="7122" w:type="dxa"/>
            <w:tcBorders>
              <w:top w:val="single" w:sz="4" w:space="0" w:color="auto"/>
              <w:left w:val="single" w:sz="4" w:space="0" w:color="auto"/>
              <w:bottom w:val="single" w:sz="4" w:space="0" w:color="auto"/>
              <w:right w:val="single" w:sz="4" w:space="0" w:color="auto"/>
            </w:tcBorders>
            <w:noWrap/>
            <w:hideMark/>
          </w:tcPr>
          <w:p w14:paraId="7B49747E" w14:textId="3BEB633E" w:rsidR="00DC4448" w:rsidRPr="0002685F" w:rsidRDefault="0064309F"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N/A</w:t>
            </w:r>
          </w:p>
        </w:tc>
      </w:tr>
      <w:tr w:rsidR="00DC4448" w:rsidRPr="0002685F" w14:paraId="7C31C1AC"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466E631E"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WA Indep</w:t>
            </w:r>
          </w:p>
        </w:tc>
        <w:tc>
          <w:tcPr>
            <w:tcW w:w="1134" w:type="dxa"/>
            <w:tcBorders>
              <w:top w:val="single" w:sz="4" w:space="0" w:color="auto"/>
              <w:left w:val="single" w:sz="4" w:space="0" w:color="auto"/>
              <w:bottom w:val="single" w:sz="4" w:space="0" w:color="auto"/>
              <w:right w:val="single" w:sz="4" w:space="0" w:color="auto"/>
            </w:tcBorders>
            <w:hideMark/>
          </w:tcPr>
          <w:p w14:paraId="13DD5F40"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11.4%</w:t>
            </w:r>
          </w:p>
        </w:tc>
        <w:tc>
          <w:tcPr>
            <w:tcW w:w="1276" w:type="dxa"/>
            <w:tcBorders>
              <w:top w:val="single" w:sz="4" w:space="0" w:color="auto"/>
              <w:left w:val="single" w:sz="4" w:space="0" w:color="auto"/>
              <w:bottom w:val="single" w:sz="4" w:space="0" w:color="auto"/>
              <w:right w:val="single" w:sz="4" w:space="0" w:color="auto"/>
            </w:tcBorders>
            <w:hideMark/>
          </w:tcPr>
          <w:p w14:paraId="2E9BDC90"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52.6%</w:t>
            </w:r>
          </w:p>
        </w:tc>
        <w:tc>
          <w:tcPr>
            <w:tcW w:w="1276" w:type="dxa"/>
            <w:tcBorders>
              <w:top w:val="single" w:sz="4" w:space="0" w:color="auto"/>
              <w:left w:val="single" w:sz="4" w:space="0" w:color="auto"/>
              <w:bottom w:val="single" w:sz="4" w:space="0" w:color="auto"/>
              <w:right w:val="single" w:sz="4" w:space="0" w:color="auto"/>
            </w:tcBorders>
            <w:hideMark/>
          </w:tcPr>
          <w:p w14:paraId="2C6950A3"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7.1%</w:t>
            </w:r>
          </w:p>
        </w:tc>
        <w:tc>
          <w:tcPr>
            <w:tcW w:w="1559" w:type="dxa"/>
            <w:tcBorders>
              <w:top w:val="single" w:sz="4" w:space="0" w:color="auto"/>
              <w:left w:val="single" w:sz="4" w:space="0" w:color="auto"/>
              <w:bottom w:val="single" w:sz="4" w:space="0" w:color="auto"/>
              <w:right w:val="single" w:sz="4" w:space="0" w:color="auto"/>
            </w:tcBorders>
            <w:hideMark/>
          </w:tcPr>
          <w:p w14:paraId="5F474C43"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2.8%</w:t>
            </w:r>
          </w:p>
        </w:tc>
        <w:tc>
          <w:tcPr>
            <w:tcW w:w="1134" w:type="dxa"/>
            <w:tcBorders>
              <w:top w:val="single" w:sz="4" w:space="0" w:color="auto"/>
              <w:left w:val="single" w:sz="4" w:space="0" w:color="auto"/>
              <w:bottom w:val="single" w:sz="4" w:space="0" w:color="auto"/>
              <w:right w:val="single" w:sz="4" w:space="0" w:color="auto"/>
            </w:tcBorders>
            <w:hideMark/>
          </w:tcPr>
          <w:p w14:paraId="4D459861"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26.1%</w:t>
            </w:r>
          </w:p>
        </w:tc>
        <w:tc>
          <w:tcPr>
            <w:tcW w:w="7122" w:type="dxa"/>
            <w:tcBorders>
              <w:top w:val="single" w:sz="4" w:space="0" w:color="auto"/>
              <w:left w:val="single" w:sz="4" w:space="0" w:color="auto"/>
              <w:bottom w:val="single" w:sz="4" w:space="0" w:color="auto"/>
              <w:right w:val="single" w:sz="4" w:space="0" w:color="auto"/>
            </w:tcBorders>
            <w:noWrap/>
            <w:hideMark/>
          </w:tcPr>
          <w:p w14:paraId="01F3AC9D" w14:textId="77777777" w:rsidR="00DC4448" w:rsidRPr="0002685F" w:rsidRDefault="00DC4448" w:rsidP="002C6ABD">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Taken from 2014 plan.  No budget information in subsequent reports</w:t>
            </w:r>
          </w:p>
        </w:tc>
      </w:tr>
      <w:tr w:rsidR="00DC4448" w:rsidRPr="0002685F" w14:paraId="13CC441C"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1BDFDDFF"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WA Cath</w:t>
            </w:r>
          </w:p>
        </w:tc>
        <w:tc>
          <w:tcPr>
            <w:tcW w:w="1134" w:type="dxa"/>
            <w:tcBorders>
              <w:top w:val="single" w:sz="4" w:space="0" w:color="auto"/>
              <w:left w:val="single" w:sz="4" w:space="0" w:color="auto"/>
              <w:bottom w:val="single" w:sz="4" w:space="0" w:color="auto"/>
              <w:right w:val="single" w:sz="4" w:space="0" w:color="auto"/>
            </w:tcBorders>
            <w:hideMark/>
          </w:tcPr>
          <w:p w14:paraId="76544970"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33.5%</w:t>
            </w:r>
          </w:p>
        </w:tc>
        <w:tc>
          <w:tcPr>
            <w:tcW w:w="1276" w:type="dxa"/>
            <w:tcBorders>
              <w:top w:val="single" w:sz="4" w:space="0" w:color="auto"/>
              <w:left w:val="single" w:sz="4" w:space="0" w:color="auto"/>
              <w:bottom w:val="single" w:sz="4" w:space="0" w:color="auto"/>
              <w:right w:val="single" w:sz="4" w:space="0" w:color="auto"/>
            </w:tcBorders>
            <w:hideMark/>
          </w:tcPr>
          <w:p w14:paraId="1A924AAC"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16.0%</w:t>
            </w:r>
          </w:p>
        </w:tc>
        <w:tc>
          <w:tcPr>
            <w:tcW w:w="1276" w:type="dxa"/>
            <w:tcBorders>
              <w:top w:val="single" w:sz="4" w:space="0" w:color="auto"/>
              <w:left w:val="single" w:sz="4" w:space="0" w:color="auto"/>
              <w:bottom w:val="single" w:sz="4" w:space="0" w:color="auto"/>
              <w:right w:val="single" w:sz="4" w:space="0" w:color="auto"/>
            </w:tcBorders>
            <w:hideMark/>
          </w:tcPr>
          <w:p w14:paraId="79475B0F"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15.2%</w:t>
            </w:r>
          </w:p>
        </w:tc>
        <w:tc>
          <w:tcPr>
            <w:tcW w:w="1559" w:type="dxa"/>
            <w:tcBorders>
              <w:top w:val="single" w:sz="4" w:space="0" w:color="auto"/>
              <w:left w:val="single" w:sz="4" w:space="0" w:color="auto"/>
              <w:bottom w:val="single" w:sz="4" w:space="0" w:color="auto"/>
              <w:right w:val="single" w:sz="4" w:space="0" w:color="auto"/>
            </w:tcBorders>
            <w:hideMark/>
          </w:tcPr>
          <w:p w14:paraId="417D3F97"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16.2%</w:t>
            </w:r>
          </w:p>
        </w:tc>
        <w:tc>
          <w:tcPr>
            <w:tcW w:w="1134" w:type="dxa"/>
            <w:tcBorders>
              <w:top w:val="single" w:sz="4" w:space="0" w:color="auto"/>
              <w:left w:val="single" w:sz="4" w:space="0" w:color="auto"/>
              <w:bottom w:val="single" w:sz="4" w:space="0" w:color="auto"/>
              <w:right w:val="single" w:sz="4" w:space="0" w:color="auto"/>
            </w:tcBorders>
            <w:hideMark/>
          </w:tcPr>
          <w:p w14:paraId="7CFD6855"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19.2%</w:t>
            </w:r>
          </w:p>
        </w:tc>
        <w:tc>
          <w:tcPr>
            <w:tcW w:w="7122" w:type="dxa"/>
            <w:tcBorders>
              <w:top w:val="single" w:sz="4" w:space="0" w:color="auto"/>
              <w:left w:val="single" w:sz="4" w:space="0" w:color="auto"/>
              <w:bottom w:val="single" w:sz="4" w:space="0" w:color="auto"/>
              <w:right w:val="single" w:sz="4" w:space="0" w:color="auto"/>
            </w:tcBorders>
            <w:noWrap/>
            <w:hideMark/>
          </w:tcPr>
          <w:p w14:paraId="209874F9" w14:textId="113437E7" w:rsidR="00DC4448" w:rsidRPr="0002685F" w:rsidRDefault="0064309F"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N/A</w:t>
            </w:r>
          </w:p>
        </w:tc>
      </w:tr>
      <w:tr w:rsidR="00993BC8" w:rsidRPr="0002685F" w14:paraId="2E6F8782"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1E5D9CDF" w14:textId="77777777" w:rsidR="00C3002F" w:rsidRPr="0002685F" w:rsidRDefault="00C3002F"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SA Indep</w:t>
            </w:r>
          </w:p>
        </w:tc>
        <w:tc>
          <w:tcPr>
            <w:tcW w:w="1134" w:type="dxa"/>
            <w:tcBorders>
              <w:top w:val="single" w:sz="4" w:space="0" w:color="auto"/>
              <w:left w:val="single" w:sz="4" w:space="0" w:color="auto"/>
              <w:bottom w:val="single" w:sz="4" w:space="0" w:color="auto"/>
              <w:right w:val="single" w:sz="4" w:space="0" w:color="auto"/>
            </w:tcBorders>
            <w:hideMark/>
          </w:tcPr>
          <w:p w14:paraId="32C43629" w14:textId="2799B015"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2C5E964B" w14:textId="4E04CB94"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43B87517" w14:textId="2902BE37"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559" w:type="dxa"/>
            <w:tcBorders>
              <w:top w:val="single" w:sz="4" w:space="0" w:color="auto"/>
              <w:left w:val="single" w:sz="4" w:space="0" w:color="auto"/>
              <w:bottom w:val="single" w:sz="4" w:space="0" w:color="auto"/>
              <w:right w:val="single" w:sz="4" w:space="0" w:color="auto"/>
            </w:tcBorders>
          </w:tcPr>
          <w:p w14:paraId="1670D5E4" w14:textId="69480876"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134" w:type="dxa"/>
            <w:tcBorders>
              <w:top w:val="single" w:sz="4" w:space="0" w:color="auto"/>
              <w:left w:val="single" w:sz="4" w:space="0" w:color="auto"/>
              <w:bottom w:val="single" w:sz="4" w:space="0" w:color="auto"/>
              <w:right w:val="single" w:sz="4" w:space="0" w:color="auto"/>
            </w:tcBorders>
          </w:tcPr>
          <w:p w14:paraId="01CA39D7" w14:textId="0B7997D3"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7122" w:type="dxa"/>
            <w:tcBorders>
              <w:top w:val="single" w:sz="4" w:space="0" w:color="auto"/>
              <w:left w:val="single" w:sz="4" w:space="0" w:color="auto"/>
              <w:bottom w:val="single" w:sz="4" w:space="0" w:color="auto"/>
              <w:right w:val="single" w:sz="4" w:space="0" w:color="auto"/>
            </w:tcBorders>
          </w:tcPr>
          <w:p w14:paraId="0857E16B" w14:textId="6C34DDB9" w:rsidR="00C3002F" w:rsidRPr="0002685F" w:rsidRDefault="00C3002F" w:rsidP="00C3002F">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Significant expenditure on staff costs.  Budget not broken down by activity</w:t>
            </w:r>
          </w:p>
        </w:tc>
      </w:tr>
      <w:tr w:rsidR="00DC4448" w:rsidRPr="0002685F" w14:paraId="11BEB331"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07AE6491"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SA Cath</w:t>
            </w:r>
          </w:p>
        </w:tc>
        <w:tc>
          <w:tcPr>
            <w:tcW w:w="1134" w:type="dxa"/>
            <w:tcBorders>
              <w:top w:val="single" w:sz="4" w:space="0" w:color="auto"/>
              <w:left w:val="single" w:sz="4" w:space="0" w:color="auto"/>
              <w:bottom w:val="single" w:sz="4" w:space="0" w:color="auto"/>
              <w:right w:val="single" w:sz="4" w:space="0" w:color="auto"/>
            </w:tcBorders>
            <w:hideMark/>
          </w:tcPr>
          <w:p w14:paraId="4854B616"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27.8%</w:t>
            </w:r>
          </w:p>
        </w:tc>
        <w:tc>
          <w:tcPr>
            <w:tcW w:w="1276" w:type="dxa"/>
            <w:tcBorders>
              <w:top w:val="single" w:sz="4" w:space="0" w:color="auto"/>
              <w:left w:val="single" w:sz="4" w:space="0" w:color="auto"/>
              <w:bottom w:val="single" w:sz="4" w:space="0" w:color="auto"/>
              <w:right w:val="single" w:sz="4" w:space="0" w:color="auto"/>
            </w:tcBorders>
            <w:hideMark/>
          </w:tcPr>
          <w:p w14:paraId="74DA58A9"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33.4%</w:t>
            </w:r>
          </w:p>
        </w:tc>
        <w:tc>
          <w:tcPr>
            <w:tcW w:w="1276" w:type="dxa"/>
            <w:tcBorders>
              <w:top w:val="single" w:sz="4" w:space="0" w:color="auto"/>
              <w:left w:val="single" w:sz="4" w:space="0" w:color="auto"/>
              <w:bottom w:val="single" w:sz="4" w:space="0" w:color="auto"/>
              <w:right w:val="single" w:sz="4" w:space="0" w:color="auto"/>
            </w:tcBorders>
            <w:hideMark/>
          </w:tcPr>
          <w:p w14:paraId="77883018"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8.9%</w:t>
            </w:r>
          </w:p>
        </w:tc>
        <w:tc>
          <w:tcPr>
            <w:tcW w:w="1559" w:type="dxa"/>
            <w:tcBorders>
              <w:top w:val="single" w:sz="4" w:space="0" w:color="auto"/>
              <w:left w:val="single" w:sz="4" w:space="0" w:color="auto"/>
              <w:bottom w:val="single" w:sz="4" w:space="0" w:color="auto"/>
              <w:right w:val="single" w:sz="4" w:space="0" w:color="auto"/>
            </w:tcBorders>
            <w:hideMark/>
          </w:tcPr>
          <w:p w14:paraId="3EAA0DB8"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10.1%</w:t>
            </w:r>
          </w:p>
        </w:tc>
        <w:tc>
          <w:tcPr>
            <w:tcW w:w="1134" w:type="dxa"/>
            <w:tcBorders>
              <w:top w:val="single" w:sz="4" w:space="0" w:color="auto"/>
              <w:left w:val="single" w:sz="4" w:space="0" w:color="auto"/>
              <w:bottom w:val="single" w:sz="4" w:space="0" w:color="auto"/>
              <w:right w:val="single" w:sz="4" w:space="0" w:color="auto"/>
            </w:tcBorders>
            <w:hideMark/>
          </w:tcPr>
          <w:p w14:paraId="1CDD0F35"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19.8%</w:t>
            </w:r>
          </w:p>
        </w:tc>
        <w:tc>
          <w:tcPr>
            <w:tcW w:w="7122" w:type="dxa"/>
            <w:tcBorders>
              <w:top w:val="single" w:sz="4" w:space="0" w:color="auto"/>
              <w:left w:val="single" w:sz="4" w:space="0" w:color="auto"/>
              <w:bottom w:val="single" w:sz="4" w:space="0" w:color="auto"/>
              <w:right w:val="single" w:sz="4" w:space="0" w:color="auto"/>
            </w:tcBorders>
            <w:noWrap/>
            <w:hideMark/>
          </w:tcPr>
          <w:p w14:paraId="679D230B" w14:textId="77777777" w:rsidR="00DC4448" w:rsidRPr="0002685F" w:rsidRDefault="00DC4448"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2014 figures.</w:t>
            </w:r>
          </w:p>
          <w:p w14:paraId="12563F15" w14:textId="77777777" w:rsidR="00DC4448" w:rsidRPr="0002685F" w:rsidRDefault="00DC4448"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2015 - QT 10.0%, QL 10.0%, SL 10.0%, TA 50.0%, SN 20.0%</w:t>
            </w:r>
          </w:p>
        </w:tc>
      </w:tr>
      <w:tr w:rsidR="00993BC8" w:rsidRPr="0002685F" w14:paraId="77A3B7FF"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5BED18DE" w14:textId="77777777" w:rsidR="00C3002F" w:rsidRPr="0002685F" w:rsidRDefault="00C3002F"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Tas Indep</w:t>
            </w:r>
          </w:p>
        </w:tc>
        <w:tc>
          <w:tcPr>
            <w:tcW w:w="1134" w:type="dxa"/>
            <w:tcBorders>
              <w:top w:val="single" w:sz="4" w:space="0" w:color="auto"/>
              <w:left w:val="single" w:sz="4" w:space="0" w:color="auto"/>
              <w:bottom w:val="single" w:sz="4" w:space="0" w:color="auto"/>
              <w:right w:val="single" w:sz="4" w:space="0" w:color="auto"/>
            </w:tcBorders>
            <w:hideMark/>
          </w:tcPr>
          <w:p w14:paraId="759FE23C" w14:textId="7F37CBD1"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11B6FE27" w14:textId="1A930165"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3440D671" w14:textId="14A94BE5"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559" w:type="dxa"/>
            <w:tcBorders>
              <w:top w:val="single" w:sz="4" w:space="0" w:color="auto"/>
              <w:left w:val="single" w:sz="4" w:space="0" w:color="auto"/>
              <w:bottom w:val="single" w:sz="4" w:space="0" w:color="auto"/>
              <w:right w:val="single" w:sz="4" w:space="0" w:color="auto"/>
            </w:tcBorders>
          </w:tcPr>
          <w:p w14:paraId="366F7056" w14:textId="3DD15F9E"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134" w:type="dxa"/>
            <w:tcBorders>
              <w:top w:val="single" w:sz="4" w:space="0" w:color="auto"/>
              <w:left w:val="single" w:sz="4" w:space="0" w:color="auto"/>
              <w:bottom w:val="single" w:sz="4" w:space="0" w:color="auto"/>
              <w:right w:val="single" w:sz="4" w:space="0" w:color="auto"/>
            </w:tcBorders>
          </w:tcPr>
          <w:p w14:paraId="6C35716D" w14:textId="244DF88E"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7122" w:type="dxa"/>
            <w:tcBorders>
              <w:top w:val="single" w:sz="4" w:space="0" w:color="auto"/>
              <w:left w:val="single" w:sz="4" w:space="0" w:color="auto"/>
              <w:bottom w:val="single" w:sz="4" w:space="0" w:color="auto"/>
              <w:right w:val="single" w:sz="4" w:space="0" w:color="auto"/>
            </w:tcBorders>
          </w:tcPr>
          <w:p w14:paraId="31DFF416" w14:textId="592991B7" w:rsidR="00C3002F" w:rsidRPr="0002685F" w:rsidRDefault="00C3002F" w:rsidP="00C3002F">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SFSF budget rolled into a global budget including other sources to fund full program.  SFSF provides 70% of funds</w:t>
            </w:r>
          </w:p>
        </w:tc>
      </w:tr>
      <w:tr w:rsidR="00DC4448" w:rsidRPr="0002685F" w14:paraId="2E07C780"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5ED6A0D4"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Tas Cath</w:t>
            </w:r>
          </w:p>
        </w:tc>
        <w:tc>
          <w:tcPr>
            <w:tcW w:w="1134" w:type="dxa"/>
            <w:tcBorders>
              <w:top w:val="single" w:sz="4" w:space="0" w:color="auto"/>
              <w:left w:val="single" w:sz="4" w:space="0" w:color="auto"/>
              <w:bottom w:val="single" w:sz="4" w:space="0" w:color="auto"/>
              <w:right w:val="single" w:sz="4" w:space="0" w:color="auto"/>
            </w:tcBorders>
            <w:hideMark/>
          </w:tcPr>
          <w:p w14:paraId="6AE4D422"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34.9%</w:t>
            </w:r>
          </w:p>
        </w:tc>
        <w:tc>
          <w:tcPr>
            <w:tcW w:w="1276" w:type="dxa"/>
            <w:tcBorders>
              <w:top w:val="single" w:sz="4" w:space="0" w:color="auto"/>
              <w:left w:val="single" w:sz="4" w:space="0" w:color="auto"/>
              <w:bottom w:val="single" w:sz="4" w:space="0" w:color="auto"/>
              <w:right w:val="single" w:sz="4" w:space="0" w:color="auto"/>
            </w:tcBorders>
            <w:hideMark/>
          </w:tcPr>
          <w:p w14:paraId="67AB0480"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50.4%</w:t>
            </w:r>
          </w:p>
        </w:tc>
        <w:tc>
          <w:tcPr>
            <w:tcW w:w="1276" w:type="dxa"/>
            <w:tcBorders>
              <w:top w:val="single" w:sz="4" w:space="0" w:color="auto"/>
              <w:left w:val="single" w:sz="4" w:space="0" w:color="auto"/>
              <w:bottom w:val="single" w:sz="4" w:space="0" w:color="auto"/>
              <w:right w:val="single" w:sz="4" w:space="0" w:color="auto"/>
            </w:tcBorders>
            <w:hideMark/>
          </w:tcPr>
          <w:p w14:paraId="26D88EC6"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9.9%</w:t>
            </w:r>
          </w:p>
        </w:tc>
        <w:tc>
          <w:tcPr>
            <w:tcW w:w="1559" w:type="dxa"/>
            <w:tcBorders>
              <w:top w:val="single" w:sz="4" w:space="0" w:color="auto"/>
              <w:left w:val="single" w:sz="4" w:space="0" w:color="auto"/>
              <w:bottom w:val="single" w:sz="4" w:space="0" w:color="auto"/>
              <w:right w:val="single" w:sz="4" w:space="0" w:color="auto"/>
            </w:tcBorders>
            <w:hideMark/>
          </w:tcPr>
          <w:p w14:paraId="5CEA0776"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4.8%</w:t>
            </w:r>
          </w:p>
        </w:tc>
        <w:tc>
          <w:tcPr>
            <w:tcW w:w="1134" w:type="dxa"/>
            <w:tcBorders>
              <w:top w:val="single" w:sz="4" w:space="0" w:color="auto"/>
              <w:left w:val="single" w:sz="4" w:space="0" w:color="auto"/>
              <w:bottom w:val="single" w:sz="4" w:space="0" w:color="auto"/>
              <w:right w:val="single" w:sz="4" w:space="0" w:color="auto"/>
            </w:tcBorders>
            <w:hideMark/>
          </w:tcPr>
          <w:p w14:paraId="192D294A"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0.0%</w:t>
            </w:r>
          </w:p>
        </w:tc>
        <w:tc>
          <w:tcPr>
            <w:tcW w:w="7122" w:type="dxa"/>
            <w:tcBorders>
              <w:top w:val="single" w:sz="4" w:space="0" w:color="auto"/>
              <w:left w:val="single" w:sz="4" w:space="0" w:color="auto"/>
              <w:bottom w:val="single" w:sz="4" w:space="0" w:color="auto"/>
              <w:right w:val="single" w:sz="4" w:space="0" w:color="auto"/>
            </w:tcBorders>
            <w:hideMark/>
          </w:tcPr>
          <w:p w14:paraId="7495B32D" w14:textId="77777777" w:rsidR="00DC4448" w:rsidRPr="0002685F" w:rsidRDefault="00DC4448"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2015</w:t>
            </w:r>
          </w:p>
        </w:tc>
      </w:tr>
      <w:tr w:rsidR="00993BC8" w:rsidRPr="0002685F" w14:paraId="01E7CE85"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7B7D409B" w14:textId="77777777" w:rsidR="00C3002F" w:rsidRPr="0002685F" w:rsidRDefault="00C3002F"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ACT Indep</w:t>
            </w:r>
          </w:p>
        </w:tc>
        <w:tc>
          <w:tcPr>
            <w:tcW w:w="1134" w:type="dxa"/>
            <w:tcBorders>
              <w:top w:val="single" w:sz="4" w:space="0" w:color="auto"/>
              <w:left w:val="single" w:sz="4" w:space="0" w:color="auto"/>
              <w:bottom w:val="single" w:sz="4" w:space="0" w:color="auto"/>
              <w:right w:val="single" w:sz="4" w:space="0" w:color="auto"/>
            </w:tcBorders>
            <w:hideMark/>
          </w:tcPr>
          <w:p w14:paraId="78B657DA" w14:textId="2CFF7B95"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065545A7" w14:textId="6034BB19"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276" w:type="dxa"/>
            <w:tcBorders>
              <w:top w:val="single" w:sz="4" w:space="0" w:color="auto"/>
              <w:left w:val="single" w:sz="4" w:space="0" w:color="auto"/>
              <w:bottom w:val="single" w:sz="4" w:space="0" w:color="auto"/>
              <w:right w:val="single" w:sz="4" w:space="0" w:color="auto"/>
            </w:tcBorders>
          </w:tcPr>
          <w:p w14:paraId="105DCA19" w14:textId="61FAA238"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559" w:type="dxa"/>
            <w:tcBorders>
              <w:top w:val="single" w:sz="4" w:space="0" w:color="auto"/>
              <w:left w:val="single" w:sz="4" w:space="0" w:color="auto"/>
              <w:bottom w:val="single" w:sz="4" w:space="0" w:color="auto"/>
              <w:right w:val="single" w:sz="4" w:space="0" w:color="auto"/>
            </w:tcBorders>
          </w:tcPr>
          <w:p w14:paraId="791EDDEC" w14:textId="672E2D03"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1134" w:type="dxa"/>
            <w:tcBorders>
              <w:top w:val="single" w:sz="4" w:space="0" w:color="auto"/>
              <w:left w:val="single" w:sz="4" w:space="0" w:color="auto"/>
              <w:bottom w:val="single" w:sz="4" w:space="0" w:color="auto"/>
              <w:right w:val="single" w:sz="4" w:space="0" w:color="auto"/>
            </w:tcBorders>
          </w:tcPr>
          <w:p w14:paraId="30349375" w14:textId="149484F7" w:rsidR="00C3002F" w:rsidRPr="0002685F" w:rsidRDefault="00C3002F" w:rsidP="002C6ABD">
            <w:pPr>
              <w:ind w:right="84"/>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See notes</w:t>
            </w:r>
          </w:p>
        </w:tc>
        <w:tc>
          <w:tcPr>
            <w:tcW w:w="7122" w:type="dxa"/>
            <w:tcBorders>
              <w:top w:val="single" w:sz="4" w:space="0" w:color="auto"/>
              <w:left w:val="single" w:sz="4" w:space="0" w:color="auto"/>
              <w:bottom w:val="single" w:sz="4" w:space="0" w:color="auto"/>
              <w:right w:val="single" w:sz="4" w:space="0" w:color="auto"/>
            </w:tcBorders>
          </w:tcPr>
          <w:p w14:paraId="0F24629D" w14:textId="7C47DEF7" w:rsidR="00C3002F" w:rsidRPr="0002685F" w:rsidRDefault="00C3002F" w:rsidP="00C3002F">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Budget provided for 4 projects in 2014 work plan but not subsequently. One project is business as usual</w:t>
            </w:r>
          </w:p>
        </w:tc>
      </w:tr>
      <w:tr w:rsidR="00DC4448" w:rsidRPr="0002685F" w14:paraId="3273466F"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34EA819C"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ACT Cath</w:t>
            </w:r>
          </w:p>
        </w:tc>
        <w:tc>
          <w:tcPr>
            <w:tcW w:w="1134" w:type="dxa"/>
            <w:tcBorders>
              <w:top w:val="single" w:sz="4" w:space="0" w:color="auto"/>
              <w:left w:val="single" w:sz="4" w:space="0" w:color="auto"/>
              <w:bottom w:val="single" w:sz="4" w:space="0" w:color="auto"/>
              <w:right w:val="single" w:sz="4" w:space="0" w:color="auto"/>
            </w:tcBorders>
            <w:hideMark/>
          </w:tcPr>
          <w:p w14:paraId="237B077B"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15.4%</w:t>
            </w:r>
          </w:p>
        </w:tc>
        <w:tc>
          <w:tcPr>
            <w:tcW w:w="1276" w:type="dxa"/>
            <w:tcBorders>
              <w:top w:val="single" w:sz="4" w:space="0" w:color="auto"/>
              <w:left w:val="single" w:sz="4" w:space="0" w:color="auto"/>
              <w:bottom w:val="single" w:sz="4" w:space="0" w:color="auto"/>
              <w:right w:val="single" w:sz="4" w:space="0" w:color="auto"/>
            </w:tcBorders>
            <w:hideMark/>
          </w:tcPr>
          <w:p w14:paraId="41DAC0F1"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33.8%</w:t>
            </w:r>
          </w:p>
        </w:tc>
        <w:tc>
          <w:tcPr>
            <w:tcW w:w="1276" w:type="dxa"/>
            <w:tcBorders>
              <w:top w:val="single" w:sz="4" w:space="0" w:color="auto"/>
              <w:left w:val="single" w:sz="4" w:space="0" w:color="auto"/>
              <w:bottom w:val="single" w:sz="4" w:space="0" w:color="auto"/>
              <w:right w:val="single" w:sz="4" w:space="0" w:color="auto"/>
            </w:tcBorders>
            <w:hideMark/>
          </w:tcPr>
          <w:p w14:paraId="0028AD6E"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28.9%</w:t>
            </w:r>
          </w:p>
        </w:tc>
        <w:tc>
          <w:tcPr>
            <w:tcW w:w="1559" w:type="dxa"/>
            <w:tcBorders>
              <w:top w:val="single" w:sz="4" w:space="0" w:color="auto"/>
              <w:left w:val="single" w:sz="4" w:space="0" w:color="auto"/>
              <w:bottom w:val="single" w:sz="4" w:space="0" w:color="auto"/>
              <w:right w:val="single" w:sz="4" w:space="0" w:color="auto"/>
            </w:tcBorders>
            <w:hideMark/>
          </w:tcPr>
          <w:p w14:paraId="3391FA34"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9.5%</w:t>
            </w:r>
          </w:p>
        </w:tc>
        <w:tc>
          <w:tcPr>
            <w:tcW w:w="1134" w:type="dxa"/>
            <w:tcBorders>
              <w:top w:val="single" w:sz="4" w:space="0" w:color="auto"/>
              <w:left w:val="single" w:sz="4" w:space="0" w:color="auto"/>
              <w:bottom w:val="single" w:sz="4" w:space="0" w:color="auto"/>
              <w:right w:val="single" w:sz="4" w:space="0" w:color="auto"/>
            </w:tcBorders>
            <w:hideMark/>
          </w:tcPr>
          <w:p w14:paraId="02385AF0"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12.3%</w:t>
            </w:r>
          </w:p>
        </w:tc>
        <w:tc>
          <w:tcPr>
            <w:tcW w:w="7122" w:type="dxa"/>
            <w:tcBorders>
              <w:top w:val="single" w:sz="4" w:space="0" w:color="auto"/>
              <w:left w:val="single" w:sz="4" w:space="0" w:color="auto"/>
              <w:bottom w:val="single" w:sz="4" w:space="0" w:color="auto"/>
              <w:right w:val="single" w:sz="4" w:space="0" w:color="auto"/>
            </w:tcBorders>
            <w:noWrap/>
            <w:hideMark/>
          </w:tcPr>
          <w:p w14:paraId="470553F9" w14:textId="2C5E7DBF" w:rsidR="00DC4448" w:rsidRPr="0002685F" w:rsidRDefault="0064309F"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N/A</w:t>
            </w:r>
          </w:p>
        </w:tc>
      </w:tr>
      <w:tr w:rsidR="00DC4448" w:rsidRPr="0002685F" w14:paraId="23C33BEE" w14:textId="77777777" w:rsidTr="009152B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0B61EC0A"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NT Indep</w:t>
            </w:r>
          </w:p>
        </w:tc>
        <w:tc>
          <w:tcPr>
            <w:tcW w:w="1134" w:type="dxa"/>
            <w:tcBorders>
              <w:top w:val="single" w:sz="4" w:space="0" w:color="auto"/>
              <w:left w:val="single" w:sz="4" w:space="0" w:color="auto"/>
              <w:bottom w:val="single" w:sz="4" w:space="0" w:color="auto"/>
              <w:right w:val="single" w:sz="4" w:space="0" w:color="auto"/>
            </w:tcBorders>
            <w:hideMark/>
          </w:tcPr>
          <w:p w14:paraId="46A8FBB2"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11.5%</w:t>
            </w:r>
          </w:p>
        </w:tc>
        <w:tc>
          <w:tcPr>
            <w:tcW w:w="1276" w:type="dxa"/>
            <w:tcBorders>
              <w:top w:val="single" w:sz="4" w:space="0" w:color="auto"/>
              <w:left w:val="single" w:sz="4" w:space="0" w:color="auto"/>
              <w:bottom w:val="single" w:sz="4" w:space="0" w:color="auto"/>
              <w:right w:val="single" w:sz="4" w:space="0" w:color="auto"/>
            </w:tcBorders>
            <w:hideMark/>
          </w:tcPr>
          <w:p w14:paraId="5BCCC11E"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14.9%</w:t>
            </w:r>
          </w:p>
        </w:tc>
        <w:tc>
          <w:tcPr>
            <w:tcW w:w="1276" w:type="dxa"/>
            <w:tcBorders>
              <w:top w:val="single" w:sz="4" w:space="0" w:color="auto"/>
              <w:left w:val="single" w:sz="4" w:space="0" w:color="auto"/>
              <w:bottom w:val="single" w:sz="4" w:space="0" w:color="auto"/>
              <w:right w:val="single" w:sz="4" w:space="0" w:color="auto"/>
            </w:tcBorders>
            <w:hideMark/>
          </w:tcPr>
          <w:p w14:paraId="5919737D"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41.4%</w:t>
            </w:r>
          </w:p>
        </w:tc>
        <w:tc>
          <w:tcPr>
            <w:tcW w:w="1559" w:type="dxa"/>
            <w:tcBorders>
              <w:top w:val="single" w:sz="4" w:space="0" w:color="auto"/>
              <w:left w:val="single" w:sz="4" w:space="0" w:color="auto"/>
              <w:bottom w:val="single" w:sz="4" w:space="0" w:color="auto"/>
              <w:right w:val="single" w:sz="4" w:space="0" w:color="auto"/>
            </w:tcBorders>
            <w:hideMark/>
          </w:tcPr>
          <w:p w14:paraId="40706936"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9.3%</w:t>
            </w:r>
          </w:p>
        </w:tc>
        <w:tc>
          <w:tcPr>
            <w:tcW w:w="1134" w:type="dxa"/>
            <w:tcBorders>
              <w:top w:val="single" w:sz="4" w:space="0" w:color="auto"/>
              <w:left w:val="single" w:sz="4" w:space="0" w:color="auto"/>
              <w:bottom w:val="single" w:sz="4" w:space="0" w:color="auto"/>
              <w:right w:val="single" w:sz="4" w:space="0" w:color="auto"/>
            </w:tcBorders>
            <w:hideMark/>
          </w:tcPr>
          <w:p w14:paraId="33811E8D" w14:textId="77777777" w:rsidR="00DC4448" w:rsidRPr="0002685F" w:rsidRDefault="00DC4448" w:rsidP="002C6ABD">
            <w:pPr>
              <w:ind w:right="-340"/>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22.9%</w:t>
            </w:r>
          </w:p>
        </w:tc>
        <w:tc>
          <w:tcPr>
            <w:tcW w:w="7122" w:type="dxa"/>
            <w:tcBorders>
              <w:top w:val="single" w:sz="4" w:space="0" w:color="auto"/>
              <w:left w:val="single" w:sz="4" w:space="0" w:color="auto"/>
              <w:bottom w:val="single" w:sz="4" w:space="0" w:color="auto"/>
              <w:right w:val="single" w:sz="4" w:space="0" w:color="auto"/>
            </w:tcBorders>
            <w:noWrap/>
            <w:hideMark/>
          </w:tcPr>
          <w:p w14:paraId="7B7DCA35" w14:textId="22B07B31" w:rsidR="00DC4448" w:rsidRPr="0002685F" w:rsidRDefault="0064309F" w:rsidP="002C6ABD">
            <w:pPr>
              <w:ind w:right="84"/>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n-AU"/>
              </w:rPr>
            </w:pPr>
            <w:r>
              <w:rPr>
                <w:rFonts w:ascii="Century Gothic" w:eastAsia="Times New Roman" w:hAnsi="Century Gothic" w:cs="Times New Roman"/>
                <w:color w:val="000000"/>
                <w:sz w:val="20"/>
                <w:szCs w:val="20"/>
                <w:lang w:val="en-AU"/>
              </w:rPr>
              <w:t>N/A</w:t>
            </w:r>
          </w:p>
        </w:tc>
      </w:tr>
      <w:tr w:rsidR="00DC4448" w:rsidRPr="0002685F" w14:paraId="405E334D" w14:textId="77777777" w:rsidTr="009152BC">
        <w:trPr>
          <w:trHeight w:val="320"/>
        </w:trPr>
        <w:tc>
          <w:tcPr>
            <w:cnfStyle w:val="001000000000" w:firstRow="0" w:lastRow="0" w:firstColumn="1" w:lastColumn="0" w:oddVBand="0" w:evenVBand="0" w:oddHBand="0" w:evenHBand="0" w:firstRowFirstColumn="0" w:firstRowLastColumn="0" w:lastRowFirstColumn="0" w:lastRowLastColumn="0"/>
            <w:tcW w:w="1525" w:type="dxa"/>
            <w:tcBorders>
              <w:right w:val="single" w:sz="4" w:space="0" w:color="auto"/>
            </w:tcBorders>
            <w:hideMark/>
          </w:tcPr>
          <w:p w14:paraId="13DEE9DD" w14:textId="77777777" w:rsidR="00DC4448" w:rsidRPr="0002685F" w:rsidRDefault="00DC4448" w:rsidP="002C6ABD">
            <w:pPr>
              <w:ind w:right="-34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NT Cath</w:t>
            </w:r>
          </w:p>
        </w:tc>
        <w:tc>
          <w:tcPr>
            <w:tcW w:w="1134" w:type="dxa"/>
            <w:tcBorders>
              <w:top w:val="single" w:sz="4" w:space="0" w:color="auto"/>
              <w:left w:val="single" w:sz="4" w:space="0" w:color="auto"/>
              <w:bottom w:val="single" w:sz="4" w:space="0" w:color="auto"/>
              <w:right w:val="single" w:sz="4" w:space="0" w:color="auto"/>
            </w:tcBorders>
            <w:hideMark/>
          </w:tcPr>
          <w:p w14:paraId="69BE72F0"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46.5%</w:t>
            </w:r>
          </w:p>
        </w:tc>
        <w:tc>
          <w:tcPr>
            <w:tcW w:w="1276" w:type="dxa"/>
            <w:tcBorders>
              <w:top w:val="single" w:sz="4" w:space="0" w:color="auto"/>
              <w:left w:val="single" w:sz="4" w:space="0" w:color="auto"/>
              <w:bottom w:val="single" w:sz="4" w:space="0" w:color="auto"/>
              <w:right w:val="single" w:sz="4" w:space="0" w:color="auto"/>
            </w:tcBorders>
            <w:hideMark/>
          </w:tcPr>
          <w:p w14:paraId="4A4C4F1B"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0.0%</w:t>
            </w:r>
          </w:p>
        </w:tc>
        <w:tc>
          <w:tcPr>
            <w:tcW w:w="1276" w:type="dxa"/>
            <w:tcBorders>
              <w:top w:val="single" w:sz="4" w:space="0" w:color="auto"/>
              <w:left w:val="single" w:sz="4" w:space="0" w:color="auto"/>
              <w:bottom w:val="single" w:sz="4" w:space="0" w:color="auto"/>
              <w:right w:val="single" w:sz="4" w:space="0" w:color="auto"/>
            </w:tcBorders>
            <w:hideMark/>
          </w:tcPr>
          <w:p w14:paraId="6C83AA8E"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23.2%</w:t>
            </w:r>
          </w:p>
        </w:tc>
        <w:tc>
          <w:tcPr>
            <w:tcW w:w="1559" w:type="dxa"/>
            <w:tcBorders>
              <w:top w:val="single" w:sz="4" w:space="0" w:color="auto"/>
              <w:left w:val="single" w:sz="4" w:space="0" w:color="auto"/>
              <w:bottom w:val="single" w:sz="4" w:space="0" w:color="auto"/>
              <w:right w:val="single" w:sz="4" w:space="0" w:color="auto"/>
            </w:tcBorders>
            <w:hideMark/>
          </w:tcPr>
          <w:p w14:paraId="1232EB12"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0.0%</w:t>
            </w:r>
          </w:p>
        </w:tc>
        <w:tc>
          <w:tcPr>
            <w:tcW w:w="1134" w:type="dxa"/>
            <w:tcBorders>
              <w:top w:val="single" w:sz="4" w:space="0" w:color="auto"/>
              <w:left w:val="single" w:sz="4" w:space="0" w:color="auto"/>
              <w:bottom w:val="single" w:sz="4" w:space="0" w:color="auto"/>
              <w:right w:val="single" w:sz="4" w:space="0" w:color="auto"/>
            </w:tcBorders>
            <w:hideMark/>
          </w:tcPr>
          <w:p w14:paraId="4670D127" w14:textId="77777777" w:rsidR="00DC4448" w:rsidRPr="0002685F" w:rsidRDefault="00DC4448" w:rsidP="002C6ABD">
            <w:pPr>
              <w:ind w:right="-340"/>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0.0%</w:t>
            </w:r>
          </w:p>
        </w:tc>
        <w:tc>
          <w:tcPr>
            <w:tcW w:w="7122" w:type="dxa"/>
            <w:tcBorders>
              <w:top w:val="single" w:sz="4" w:space="0" w:color="auto"/>
              <w:left w:val="single" w:sz="4" w:space="0" w:color="auto"/>
              <w:bottom w:val="single" w:sz="4" w:space="0" w:color="auto"/>
              <w:right w:val="single" w:sz="4" w:space="0" w:color="auto"/>
            </w:tcBorders>
            <w:noWrap/>
            <w:hideMark/>
          </w:tcPr>
          <w:p w14:paraId="7114A72C" w14:textId="77777777" w:rsidR="00DC4448" w:rsidRPr="0002685F" w:rsidRDefault="00DC4448" w:rsidP="002C6ABD">
            <w:pPr>
              <w:ind w:right="84"/>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20"/>
                <w:szCs w:val="20"/>
                <w:lang w:val="en-AU"/>
              </w:rPr>
            </w:pPr>
            <w:r w:rsidRPr="0002685F">
              <w:rPr>
                <w:rFonts w:ascii="Century Gothic" w:eastAsia="Times New Roman" w:hAnsi="Century Gothic" w:cs="Times New Roman"/>
                <w:color w:val="000000"/>
                <w:sz w:val="20"/>
                <w:szCs w:val="20"/>
                <w:lang w:val="en-AU"/>
              </w:rPr>
              <w:t>Plus 30.3% of SFSF for General Improvement.  0% means in kind support.</w:t>
            </w:r>
          </w:p>
        </w:tc>
      </w:tr>
    </w:tbl>
    <w:p w14:paraId="35F4EC9D" w14:textId="77777777" w:rsidR="00DC4448" w:rsidRPr="00961128" w:rsidRDefault="00DC4448" w:rsidP="00DC4448">
      <w:pPr>
        <w:spacing w:after="120"/>
        <w:ind w:right="-340"/>
        <w:rPr>
          <w:rFonts w:ascii="Century Gothic" w:hAnsi="Century Gothic"/>
          <w:sz w:val="20"/>
          <w:szCs w:val="20"/>
        </w:rPr>
      </w:pPr>
      <w:r w:rsidRPr="00961128">
        <w:rPr>
          <w:rFonts w:ascii="Century Gothic" w:hAnsi="Century Gothic"/>
          <w:sz w:val="20"/>
          <w:szCs w:val="20"/>
        </w:rPr>
        <w:t>Fig 3:</w:t>
      </w:r>
      <w:r w:rsidRPr="00961128">
        <w:rPr>
          <w:rFonts w:ascii="Century Gothic" w:hAnsi="Century Gothic"/>
          <w:sz w:val="20"/>
          <w:szCs w:val="20"/>
        </w:rPr>
        <w:tab/>
        <w:t>Assessment of expenditure across reform areas – percentage</w:t>
      </w:r>
    </w:p>
    <w:p w14:paraId="10260A72" w14:textId="77777777" w:rsidR="00DC4448" w:rsidRDefault="00DC4448" w:rsidP="00DC4448">
      <w:pPr>
        <w:ind w:right="-340"/>
      </w:pPr>
      <w:r>
        <w:rPr>
          <w:noProof/>
          <w:lang w:val="en-AU" w:eastAsia="en-AU"/>
        </w:rPr>
        <w:drawing>
          <wp:inline distT="0" distB="0" distL="0" distR="0" wp14:anchorId="1B9FAE22" wp14:editId="0A25849A">
            <wp:extent cx="7772400" cy="4443518"/>
            <wp:effectExtent l="0" t="0" r="0" b="14605"/>
            <wp:docPr id="14" name="Chart 14" descr="This is a graph of the tabel above. This graph shows that NGRBs in different jurisdictions have priorities different Reform Areas in terms of expenditure. " title="Fig 3: Assessment of expenditure across reform areas – percent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E6B6EDD" w14:textId="77777777" w:rsidR="00DC4448" w:rsidRPr="0002685F" w:rsidRDefault="00DC4448" w:rsidP="00DC4448">
      <w:pPr>
        <w:ind w:right="-340"/>
        <w:rPr>
          <w:sz w:val="20"/>
          <w:szCs w:val="20"/>
        </w:rPr>
      </w:pPr>
      <w:r w:rsidRPr="0002685F">
        <w:rPr>
          <w:sz w:val="20"/>
          <w:szCs w:val="20"/>
        </w:rPr>
        <w:t>Notes:</w:t>
      </w:r>
    </w:p>
    <w:p w14:paraId="1A88D7A6" w14:textId="77777777" w:rsidR="00DC4448" w:rsidRPr="0002685F" w:rsidRDefault="00DC4448" w:rsidP="00DC4448">
      <w:pPr>
        <w:ind w:right="-340"/>
        <w:rPr>
          <w:sz w:val="20"/>
          <w:szCs w:val="20"/>
        </w:rPr>
      </w:pPr>
      <w:r w:rsidRPr="0002685F">
        <w:rPr>
          <w:sz w:val="20"/>
          <w:szCs w:val="20"/>
        </w:rPr>
        <w:t>NT Catholic system allocates 30.3% of SFSF for General Improvement and provides in kind support for the reform areas where no breakdown is given.</w:t>
      </w:r>
    </w:p>
    <w:p w14:paraId="0EC5BA19" w14:textId="77777777" w:rsidR="00DC4448" w:rsidRPr="00837879" w:rsidRDefault="00DC4448" w:rsidP="00DC4448">
      <w:pPr>
        <w:ind w:right="-340"/>
        <w:rPr>
          <w:sz w:val="20"/>
          <w:szCs w:val="20"/>
        </w:rPr>
      </w:pPr>
      <w:r w:rsidRPr="0002685F">
        <w:rPr>
          <w:sz w:val="20"/>
          <w:szCs w:val="20"/>
        </w:rPr>
        <w:t>NSW Independent: Provides budget on a project by project basis. Assignment to reform areas based on project descriptions</w:t>
      </w:r>
      <w:r>
        <w:br w:type="page"/>
      </w:r>
    </w:p>
    <w:p w14:paraId="52810CCD" w14:textId="77777777" w:rsidR="00DC4448" w:rsidRPr="00961128" w:rsidRDefault="00DC4448" w:rsidP="00DC4448">
      <w:pPr>
        <w:ind w:right="-340"/>
        <w:rPr>
          <w:rFonts w:ascii="Century Gothic" w:hAnsi="Century Gothic"/>
          <w:sz w:val="20"/>
          <w:szCs w:val="20"/>
        </w:rPr>
      </w:pPr>
      <w:r>
        <w:rPr>
          <w:rFonts w:ascii="Century Gothic" w:hAnsi="Century Gothic"/>
          <w:sz w:val="20"/>
          <w:szCs w:val="20"/>
        </w:rPr>
        <w:t xml:space="preserve">Table 3: </w:t>
      </w:r>
      <w:r w:rsidRPr="00961128">
        <w:rPr>
          <w:rFonts w:ascii="Century Gothic" w:hAnsi="Century Gothic"/>
          <w:sz w:val="20"/>
          <w:szCs w:val="20"/>
        </w:rPr>
        <w:t>Assessment of expenditure across reform areas – $s</w:t>
      </w:r>
    </w:p>
    <w:tbl>
      <w:tblPr>
        <w:tblStyle w:val="LightList-Accent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Assessment of expenditure across reform areas – $s"/>
        <w:tblDescription w:val="This table shows expenditure across reform areas in different jurisdictions."/>
      </w:tblPr>
      <w:tblGrid>
        <w:gridCol w:w="1405"/>
        <w:gridCol w:w="1255"/>
        <w:gridCol w:w="1134"/>
        <w:gridCol w:w="1276"/>
        <w:gridCol w:w="1701"/>
        <w:gridCol w:w="1134"/>
        <w:gridCol w:w="1275"/>
        <w:gridCol w:w="5387"/>
      </w:tblGrid>
      <w:tr w:rsidR="0006599D" w:rsidRPr="00837879" w14:paraId="05138E11" w14:textId="77777777" w:rsidTr="00301150">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1405" w:type="dxa"/>
          </w:tcPr>
          <w:p w14:paraId="01433E7F" w14:textId="072B35A0" w:rsidR="0006599D" w:rsidRPr="00837879" w:rsidRDefault="0006599D" w:rsidP="0006599D">
            <w:pPr>
              <w:ind w:right="21"/>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Jurisdiction</w:t>
            </w:r>
          </w:p>
        </w:tc>
        <w:tc>
          <w:tcPr>
            <w:tcW w:w="1255" w:type="dxa"/>
            <w:noWrap/>
          </w:tcPr>
          <w:p w14:paraId="0BC14117" w14:textId="1FB4F5B9" w:rsidR="0006599D" w:rsidRPr="00837879" w:rsidRDefault="0006599D" w:rsidP="0006599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Quality Teaching</w:t>
            </w:r>
          </w:p>
        </w:tc>
        <w:tc>
          <w:tcPr>
            <w:tcW w:w="1134" w:type="dxa"/>
            <w:noWrap/>
          </w:tcPr>
          <w:p w14:paraId="0FEAD69E" w14:textId="7C436F54" w:rsidR="0006599D" w:rsidRPr="00837879" w:rsidRDefault="0006599D" w:rsidP="0006599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Quality Learning</w:t>
            </w:r>
          </w:p>
        </w:tc>
        <w:tc>
          <w:tcPr>
            <w:tcW w:w="1276" w:type="dxa"/>
            <w:noWrap/>
          </w:tcPr>
          <w:p w14:paraId="3F382069" w14:textId="4212E167" w:rsidR="0006599D" w:rsidRPr="00837879" w:rsidRDefault="0006599D" w:rsidP="0006599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Empowered School Leadership</w:t>
            </w:r>
          </w:p>
        </w:tc>
        <w:tc>
          <w:tcPr>
            <w:tcW w:w="1701" w:type="dxa"/>
            <w:noWrap/>
          </w:tcPr>
          <w:p w14:paraId="67403665" w14:textId="695DF7DE" w:rsidR="0006599D" w:rsidRPr="00837879" w:rsidRDefault="0006599D" w:rsidP="0006599D">
            <w:pPr>
              <w:ind w:right="49"/>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Transparency and Accountability</w:t>
            </w:r>
          </w:p>
        </w:tc>
        <w:tc>
          <w:tcPr>
            <w:tcW w:w="1134" w:type="dxa"/>
            <w:noWrap/>
          </w:tcPr>
          <w:p w14:paraId="2573A58C" w14:textId="54FAFC7A" w:rsidR="0006599D" w:rsidRPr="00837879" w:rsidRDefault="0006599D" w:rsidP="0006599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Meeting Student Needs</w:t>
            </w:r>
          </w:p>
        </w:tc>
        <w:tc>
          <w:tcPr>
            <w:tcW w:w="1275" w:type="dxa"/>
            <w:noWrap/>
          </w:tcPr>
          <w:p w14:paraId="60A2B211" w14:textId="3BB4C5B0" w:rsidR="0006599D" w:rsidRPr="00837879" w:rsidRDefault="0006599D" w:rsidP="0006599D">
            <w:pPr>
              <w:ind w:right="9"/>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Total</w:t>
            </w:r>
          </w:p>
        </w:tc>
        <w:tc>
          <w:tcPr>
            <w:tcW w:w="5387" w:type="dxa"/>
          </w:tcPr>
          <w:p w14:paraId="5C961795" w14:textId="2110C3F6" w:rsidR="0006599D" w:rsidRPr="00837879" w:rsidRDefault="0006599D" w:rsidP="0006599D">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02685F">
              <w:rPr>
                <w:rFonts w:ascii="Cambria" w:eastAsia="Times New Roman" w:hAnsi="Cambria" w:cs="Times New Roman"/>
                <w:color w:val="000000"/>
                <w:sz w:val="20"/>
                <w:szCs w:val="20"/>
                <w:lang w:val="en-AU"/>
              </w:rPr>
              <w:t>Notes</w:t>
            </w:r>
          </w:p>
        </w:tc>
      </w:tr>
      <w:tr w:rsidR="006B4CB2" w:rsidRPr="00837879" w14:paraId="6B323BC9"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hideMark/>
          </w:tcPr>
          <w:p w14:paraId="2F4B2199"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NSW Indep</w:t>
            </w:r>
          </w:p>
        </w:tc>
        <w:tc>
          <w:tcPr>
            <w:tcW w:w="1255" w:type="dxa"/>
            <w:noWrap/>
            <w:hideMark/>
          </w:tcPr>
          <w:p w14:paraId="7054C82A"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$1,275,662</w:t>
            </w:r>
          </w:p>
        </w:tc>
        <w:tc>
          <w:tcPr>
            <w:tcW w:w="1134" w:type="dxa"/>
            <w:noWrap/>
            <w:hideMark/>
          </w:tcPr>
          <w:p w14:paraId="7F8FEE70"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$1,258,324</w:t>
            </w:r>
          </w:p>
        </w:tc>
        <w:tc>
          <w:tcPr>
            <w:tcW w:w="1276" w:type="dxa"/>
            <w:noWrap/>
            <w:hideMark/>
          </w:tcPr>
          <w:p w14:paraId="4FBB3034"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$1,225,559</w:t>
            </w:r>
          </w:p>
        </w:tc>
        <w:tc>
          <w:tcPr>
            <w:tcW w:w="1701" w:type="dxa"/>
            <w:noWrap/>
            <w:hideMark/>
          </w:tcPr>
          <w:p w14:paraId="5B351BEC" w14:textId="77777777"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$1,262,511</w:t>
            </w:r>
          </w:p>
        </w:tc>
        <w:tc>
          <w:tcPr>
            <w:tcW w:w="1134" w:type="dxa"/>
            <w:noWrap/>
            <w:hideMark/>
          </w:tcPr>
          <w:p w14:paraId="1F7D0F31"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$2,463,610</w:t>
            </w:r>
          </w:p>
        </w:tc>
        <w:tc>
          <w:tcPr>
            <w:tcW w:w="1275" w:type="dxa"/>
            <w:noWrap/>
            <w:hideMark/>
          </w:tcPr>
          <w:p w14:paraId="1BBC9834" w14:textId="77777777"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$7,485,668</w:t>
            </w:r>
          </w:p>
        </w:tc>
        <w:tc>
          <w:tcPr>
            <w:tcW w:w="5387" w:type="dxa"/>
          </w:tcPr>
          <w:p w14:paraId="2D27CEB8" w14:textId="77777777" w:rsidR="0006599D" w:rsidRPr="00837879" w:rsidRDefault="0006599D"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Provides budget on a project-by-project basis. Assignment to reform areas based on project descriptions</w:t>
            </w:r>
          </w:p>
        </w:tc>
      </w:tr>
      <w:tr w:rsidR="006B4CB2" w:rsidRPr="00837879" w14:paraId="727CA378"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hideMark/>
          </w:tcPr>
          <w:p w14:paraId="012C9126"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NSW Cath</w:t>
            </w:r>
          </w:p>
        </w:tc>
        <w:tc>
          <w:tcPr>
            <w:tcW w:w="1255" w:type="dxa"/>
            <w:noWrap/>
            <w:hideMark/>
          </w:tcPr>
          <w:p w14:paraId="25C90D56"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$1,148,605</w:t>
            </w:r>
          </w:p>
        </w:tc>
        <w:tc>
          <w:tcPr>
            <w:tcW w:w="1134" w:type="dxa"/>
            <w:noWrap/>
            <w:hideMark/>
          </w:tcPr>
          <w:p w14:paraId="2D116E5E"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$689,163</w:t>
            </w:r>
          </w:p>
        </w:tc>
        <w:tc>
          <w:tcPr>
            <w:tcW w:w="1276" w:type="dxa"/>
            <w:noWrap/>
            <w:hideMark/>
          </w:tcPr>
          <w:p w14:paraId="10C3CE20"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$918,884</w:t>
            </w:r>
          </w:p>
        </w:tc>
        <w:tc>
          <w:tcPr>
            <w:tcW w:w="1701" w:type="dxa"/>
            <w:noWrap/>
            <w:hideMark/>
          </w:tcPr>
          <w:p w14:paraId="42C765C6"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$689,163</w:t>
            </w:r>
          </w:p>
        </w:tc>
        <w:tc>
          <w:tcPr>
            <w:tcW w:w="1134" w:type="dxa"/>
            <w:noWrap/>
            <w:hideMark/>
          </w:tcPr>
          <w:p w14:paraId="76982B57"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$1,148,605</w:t>
            </w:r>
          </w:p>
        </w:tc>
        <w:tc>
          <w:tcPr>
            <w:tcW w:w="1275" w:type="dxa"/>
            <w:noWrap/>
            <w:hideMark/>
          </w:tcPr>
          <w:p w14:paraId="46C398FF"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$4,594,418</w:t>
            </w:r>
          </w:p>
        </w:tc>
        <w:tc>
          <w:tcPr>
            <w:tcW w:w="5387" w:type="dxa"/>
          </w:tcPr>
          <w:p w14:paraId="58D15A28" w14:textId="2769F822" w:rsidR="0006599D" w:rsidRPr="00837879" w:rsidRDefault="0064309F"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1F1B8D40"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hideMark/>
          </w:tcPr>
          <w:p w14:paraId="329824DC"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Vic Indep</w:t>
            </w:r>
          </w:p>
        </w:tc>
        <w:tc>
          <w:tcPr>
            <w:tcW w:w="1255" w:type="dxa"/>
            <w:noWrap/>
            <w:hideMark/>
          </w:tcPr>
          <w:p w14:paraId="11CAE5EA"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$925,000</w:t>
            </w:r>
          </w:p>
        </w:tc>
        <w:tc>
          <w:tcPr>
            <w:tcW w:w="1134" w:type="dxa"/>
            <w:noWrap/>
            <w:hideMark/>
          </w:tcPr>
          <w:p w14:paraId="2FE2FB41"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$1,500,000</w:t>
            </w:r>
          </w:p>
        </w:tc>
        <w:tc>
          <w:tcPr>
            <w:tcW w:w="1276" w:type="dxa"/>
            <w:noWrap/>
            <w:hideMark/>
          </w:tcPr>
          <w:p w14:paraId="31CDBDC3"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$1,675,000</w:t>
            </w:r>
          </w:p>
        </w:tc>
        <w:tc>
          <w:tcPr>
            <w:tcW w:w="1701" w:type="dxa"/>
            <w:noWrap/>
            <w:hideMark/>
          </w:tcPr>
          <w:p w14:paraId="3CF5B0D1" w14:textId="77777777"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$525,000</w:t>
            </w:r>
          </w:p>
        </w:tc>
        <w:tc>
          <w:tcPr>
            <w:tcW w:w="1134" w:type="dxa"/>
            <w:noWrap/>
            <w:hideMark/>
          </w:tcPr>
          <w:p w14:paraId="388D06A3"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$775,000</w:t>
            </w:r>
          </w:p>
        </w:tc>
        <w:tc>
          <w:tcPr>
            <w:tcW w:w="1275" w:type="dxa"/>
            <w:noWrap/>
            <w:hideMark/>
          </w:tcPr>
          <w:p w14:paraId="15446459" w14:textId="77777777"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$5,400,000</w:t>
            </w:r>
          </w:p>
        </w:tc>
        <w:tc>
          <w:tcPr>
            <w:tcW w:w="5387" w:type="dxa"/>
          </w:tcPr>
          <w:p w14:paraId="7BCA6898" w14:textId="3EDF8EE7" w:rsidR="0006599D" w:rsidRPr="00837879" w:rsidRDefault="0064309F"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7279529F"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tcBorders>
              <w:bottom w:val="single" w:sz="4" w:space="0" w:color="000000"/>
            </w:tcBorders>
            <w:hideMark/>
          </w:tcPr>
          <w:p w14:paraId="7F0697A7"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Vic Cath</w:t>
            </w:r>
          </w:p>
        </w:tc>
        <w:tc>
          <w:tcPr>
            <w:tcW w:w="1255" w:type="dxa"/>
            <w:tcBorders>
              <w:bottom w:val="single" w:sz="4" w:space="0" w:color="000000"/>
            </w:tcBorders>
            <w:noWrap/>
            <w:hideMark/>
          </w:tcPr>
          <w:p w14:paraId="3AF4E5D8"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$1,780,209</w:t>
            </w:r>
          </w:p>
        </w:tc>
        <w:tc>
          <w:tcPr>
            <w:tcW w:w="1134" w:type="dxa"/>
            <w:tcBorders>
              <w:bottom w:val="single" w:sz="4" w:space="0" w:color="000000"/>
            </w:tcBorders>
            <w:noWrap/>
            <w:hideMark/>
          </w:tcPr>
          <w:p w14:paraId="602252D4"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$1,706,439</w:t>
            </w:r>
          </w:p>
        </w:tc>
        <w:tc>
          <w:tcPr>
            <w:tcW w:w="1276" w:type="dxa"/>
            <w:tcBorders>
              <w:bottom w:val="single" w:sz="4" w:space="0" w:color="000000"/>
            </w:tcBorders>
            <w:noWrap/>
            <w:hideMark/>
          </w:tcPr>
          <w:p w14:paraId="1FD0742C"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$183,508</w:t>
            </w:r>
          </w:p>
        </w:tc>
        <w:tc>
          <w:tcPr>
            <w:tcW w:w="1701" w:type="dxa"/>
            <w:tcBorders>
              <w:bottom w:val="single" w:sz="4" w:space="0" w:color="000000"/>
            </w:tcBorders>
            <w:noWrap/>
            <w:hideMark/>
          </w:tcPr>
          <w:p w14:paraId="1B0577B4"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$0</w:t>
            </w:r>
          </w:p>
        </w:tc>
        <w:tc>
          <w:tcPr>
            <w:tcW w:w="1134" w:type="dxa"/>
            <w:tcBorders>
              <w:bottom w:val="single" w:sz="4" w:space="0" w:color="000000"/>
            </w:tcBorders>
            <w:noWrap/>
            <w:hideMark/>
          </w:tcPr>
          <w:p w14:paraId="3BCE0550"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$0</w:t>
            </w:r>
          </w:p>
        </w:tc>
        <w:tc>
          <w:tcPr>
            <w:tcW w:w="1275" w:type="dxa"/>
            <w:tcBorders>
              <w:bottom w:val="single" w:sz="4" w:space="0" w:color="000000"/>
            </w:tcBorders>
            <w:noWrap/>
            <w:hideMark/>
          </w:tcPr>
          <w:p w14:paraId="69AEAE7E"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$3,670,155</w:t>
            </w:r>
          </w:p>
        </w:tc>
        <w:tc>
          <w:tcPr>
            <w:tcW w:w="5387" w:type="dxa"/>
            <w:tcBorders>
              <w:bottom w:val="single" w:sz="4" w:space="0" w:color="000000"/>
            </w:tcBorders>
          </w:tcPr>
          <w:p w14:paraId="6D690F35" w14:textId="77777777" w:rsidR="0006599D" w:rsidRPr="00837879" w:rsidRDefault="0006599D"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 xml:space="preserve">SFSF funding supports two programs: </w:t>
            </w:r>
            <w:r w:rsidRPr="000D1B9F">
              <w:rPr>
                <w:rFonts w:ascii="Century Gothic" w:eastAsia="Times New Roman" w:hAnsi="Century Gothic" w:cs="Times New Roman"/>
                <w:color w:val="000000"/>
                <w:sz w:val="18"/>
                <w:szCs w:val="18"/>
                <w:lang w:val="en-AU"/>
              </w:rPr>
              <w:t>Leading Languages Learning in Catholic Schools Initiative</w:t>
            </w:r>
            <w:r w:rsidRPr="00837879">
              <w:rPr>
                <w:rFonts w:ascii="Century Gothic" w:eastAsia="Times New Roman" w:hAnsi="Century Gothic" w:cs="Times New Roman"/>
                <w:color w:val="000000"/>
                <w:sz w:val="18"/>
                <w:szCs w:val="18"/>
                <w:lang w:val="en-AU"/>
              </w:rPr>
              <w:t xml:space="preserve"> and </w:t>
            </w:r>
            <w:r w:rsidRPr="000D1B9F">
              <w:rPr>
                <w:rFonts w:ascii="Century Gothic" w:eastAsia="Times New Roman" w:hAnsi="Century Gothic" w:cs="Times New Roman"/>
                <w:color w:val="000000"/>
                <w:sz w:val="18"/>
                <w:szCs w:val="18"/>
                <w:lang w:val="en-AU"/>
              </w:rPr>
              <w:t>Auspiced Training and Industry Partnership</w:t>
            </w:r>
            <w:r w:rsidRPr="00837879">
              <w:rPr>
                <w:rFonts w:ascii="Century Gothic" w:eastAsia="Times New Roman" w:hAnsi="Century Gothic" w:cs="Times New Roman"/>
                <w:color w:val="000000"/>
                <w:sz w:val="18"/>
                <w:szCs w:val="18"/>
                <w:lang w:val="en-AU"/>
              </w:rPr>
              <w:t>.  Assignment to reform areas based on project descriptions</w:t>
            </w:r>
          </w:p>
        </w:tc>
      </w:tr>
      <w:tr w:rsidR="006B4CB2" w:rsidRPr="00837879" w14:paraId="1742591F"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left w:val="single" w:sz="4" w:space="0" w:color="000000"/>
              <w:bottom w:val="single" w:sz="4" w:space="0" w:color="000000"/>
            </w:tcBorders>
          </w:tcPr>
          <w:p w14:paraId="6FC2A032" w14:textId="37137E8F"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Qld Indep</w:t>
            </w:r>
          </w:p>
        </w:tc>
        <w:tc>
          <w:tcPr>
            <w:tcW w:w="1255" w:type="dxa"/>
            <w:tcBorders>
              <w:top w:val="single" w:sz="4" w:space="0" w:color="000000"/>
              <w:bottom w:val="single" w:sz="4" w:space="0" w:color="000000"/>
            </w:tcBorders>
            <w:noWrap/>
          </w:tcPr>
          <w:p w14:paraId="188895E7" w14:textId="72676928"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4AEB7C95" w14:textId="2A12EEC2"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6" w:type="dxa"/>
            <w:tcBorders>
              <w:top w:val="single" w:sz="4" w:space="0" w:color="000000"/>
              <w:bottom w:val="single" w:sz="4" w:space="0" w:color="000000"/>
            </w:tcBorders>
            <w:noWrap/>
          </w:tcPr>
          <w:p w14:paraId="47174CC6" w14:textId="1BAB5CE2"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701" w:type="dxa"/>
            <w:tcBorders>
              <w:top w:val="single" w:sz="4" w:space="0" w:color="000000"/>
              <w:bottom w:val="single" w:sz="4" w:space="0" w:color="000000"/>
            </w:tcBorders>
            <w:noWrap/>
          </w:tcPr>
          <w:p w14:paraId="63E9304E" w14:textId="5BBEC8BD"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03EEFB27" w14:textId="06166526"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5" w:type="dxa"/>
            <w:tcBorders>
              <w:top w:val="single" w:sz="4" w:space="0" w:color="000000"/>
              <w:bottom w:val="single" w:sz="4" w:space="0" w:color="000000"/>
            </w:tcBorders>
            <w:noWrap/>
          </w:tcPr>
          <w:p w14:paraId="0225C058" w14:textId="7A62F6D7"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5387" w:type="dxa"/>
            <w:tcBorders>
              <w:top w:val="single" w:sz="4" w:space="0" w:color="000000"/>
              <w:bottom w:val="single" w:sz="4" w:space="0" w:color="000000"/>
              <w:right w:val="single" w:sz="4" w:space="0" w:color="000000"/>
            </w:tcBorders>
          </w:tcPr>
          <w:p w14:paraId="7D5093C8" w14:textId="4D2C18FD" w:rsidR="0006599D" w:rsidRPr="00837879" w:rsidRDefault="0006599D"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Large number of projects.  Documents indicate they support all reform areas</w:t>
            </w:r>
          </w:p>
        </w:tc>
      </w:tr>
      <w:tr w:rsidR="006B4CB2" w:rsidRPr="00837879" w14:paraId="03119C5C"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tcBorders>
            <w:hideMark/>
          </w:tcPr>
          <w:p w14:paraId="7604E57D"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Qld Cath</w:t>
            </w:r>
          </w:p>
        </w:tc>
        <w:tc>
          <w:tcPr>
            <w:tcW w:w="1255" w:type="dxa"/>
            <w:tcBorders>
              <w:top w:val="single" w:sz="4" w:space="0" w:color="000000"/>
            </w:tcBorders>
            <w:noWrap/>
            <w:hideMark/>
          </w:tcPr>
          <w:p w14:paraId="34E4D529"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$1,640,000</w:t>
            </w:r>
          </w:p>
        </w:tc>
        <w:tc>
          <w:tcPr>
            <w:tcW w:w="1134" w:type="dxa"/>
            <w:tcBorders>
              <w:top w:val="single" w:sz="4" w:space="0" w:color="000000"/>
            </w:tcBorders>
            <w:noWrap/>
            <w:hideMark/>
          </w:tcPr>
          <w:p w14:paraId="49D25D30"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$240,000</w:t>
            </w:r>
          </w:p>
        </w:tc>
        <w:tc>
          <w:tcPr>
            <w:tcW w:w="1276" w:type="dxa"/>
            <w:tcBorders>
              <w:top w:val="single" w:sz="4" w:space="0" w:color="000000"/>
            </w:tcBorders>
            <w:noWrap/>
            <w:hideMark/>
          </w:tcPr>
          <w:p w14:paraId="264DC55E"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$175,000</w:t>
            </w:r>
          </w:p>
        </w:tc>
        <w:tc>
          <w:tcPr>
            <w:tcW w:w="1701" w:type="dxa"/>
            <w:tcBorders>
              <w:top w:val="single" w:sz="4" w:space="0" w:color="000000"/>
            </w:tcBorders>
            <w:noWrap/>
            <w:hideMark/>
          </w:tcPr>
          <w:p w14:paraId="10997334"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$413,000</w:t>
            </w:r>
          </w:p>
        </w:tc>
        <w:tc>
          <w:tcPr>
            <w:tcW w:w="1134" w:type="dxa"/>
            <w:tcBorders>
              <w:top w:val="single" w:sz="4" w:space="0" w:color="000000"/>
            </w:tcBorders>
            <w:noWrap/>
            <w:hideMark/>
          </w:tcPr>
          <w:p w14:paraId="69E55360"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$100,000</w:t>
            </w:r>
          </w:p>
        </w:tc>
        <w:tc>
          <w:tcPr>
            <w:tcW w:w="1275" w:type="dxa"/>
            <w:tcBorders>
              <w:top w:val="single" w:sz="4" w:space="0" w:color="000000"/>
            </w:tcBorders>
            <w:noWrap/>
            <w:hideMark/>
          </w:tcPr>
          <w:p w14:paraId="1DBC80A4"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$2,568,000</w:t>
            </w:r>
          </w:p>
        </w:tc>
        <w:tc>
          <w:tcPr>
            <w:tcW w:w="5387" w:type="dxa"/>
            <w:tcBorders>
              <w:top w:val="single" w:sz="4" w:space="0" w:color="000000"/>
            </w:tcBorders>
          </w:tcPr>
          <w:p w14:paraId="639FC33B" w14:textId="619DB9EA" w:rsidR="0006599D" w:rsidRPr="00837879" w:rsidRDefault="0064309F"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6015EDAF"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hideMark/>
          </w:tcPr>
          <w:p w14:paraId="55A81471"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WA Indep</w:t>
            </w:r>
          </w:p>
        </w:tc>
        <w:tc>
          <w:tcPr>
            <w:tcW w:w="1255" w:type="dxa"/>
            <w:noWrap/>
            <w:hideMark/>
          </w:tcPr>
          <w:p w14:paraId="2C251489"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$400,000</w:t>
            </w:r>
          </w:p>
        </w:tc>
        <w:tc>
          <w:tcPr>
            <w:tcW w:w="1134" w:type="dxa"/>
            <w:noWrap/>
            <w:hideMark/>
          </w:tcPr>
          <w:p w14:paraId="2591A250"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$1,850,000</w:t>
            </w:r>
          </w:p>
        </w:tc>
        <w:tc>
          <w:tcPr>
            <w:tcW w:w="1276" w:type="dxa"/>
            <w:noWrap/>
            <w:hideMark/>
          </w:tcPr>
          <w:p w14:paraId="5F0CA908"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$250,000</w:t>
            </w:r>
          </w:p>
        </w:tc>
        <w:tc>
          <w:tcPr>
            <w:tcW w:w="1701" w:type="dxa"/>
            <w:noWrap/>
            <w:hideMark/>
          </w:tcPr>
          <w:p w14:paraId="03BD8D2C" w14:textId="77777777"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$100,000</w:t>
            </w:r>
          </w:p>
        </w:tc>
        <w:tc>
          <w:tcPr>
            <w:tcW w:w="1134" w:type="dxa"/>
            <w:noWrap/>
            <w:hideMark/>
          </w:tcPr>
          <w:p w14:paraId="19DD8EBA"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$920,000</w:t>
            </w:r>
          </w:p>
        </w:tc>
        <w:tc>
          <w:tcPr>
            <w:tcW w:w="1275" w:type="dxa"/>
            <w:noWrap/>
            <w:hideMark/>
          </w:tcPr>
          <w:p w14:paraId="63B942D2" w14:textId="77777777"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$3,520,000</w:t>
            </w:r>
          </w:p>
        </w:tc>
        <w:tc>
          <w:tcPr>
            <w:tcW w:w="5387" w:type="dxa"/>
          </w:tcPr>
          <w:p w14:paraId="5545568B" w14:textId="77777777" w:rsidR="0006599D" w:rsidRPr="00837879" w:rsidRDefault="0006599D"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Taken from 2014 plan.  No budget information in subsequent reports</w:t>
            </w:r>
          </w:p>
        </w:tc>
      </w:tr>
      <w:tr w:rsidR="006B4CB2" w:rsidRPr="00837879" w14:paraId="1F12951E"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tcBorders>
              <w:bottom w:val="single" w:sz="4" w:space="0" w:color="000000"/>
            </w:tcBorders>
            <w:hideMark/>
          </w:tcPr>
          <w:p w14:paraId="444C2E96"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WA Cath</w:t>
            </w:r>
          </w:p>
        </w:tc>
        <w:tc>
          <w:tcPr>
            <w:tcW w:w="1255" w:type="dxa"/>
            <w:tcBorders>
              <w:bottom w:val="single" w:sz="4" w:space="0" w:color="000000"/>
            </w:tcBorders>
            <w:noWrap/>
            <w:hideMark/>
          </w:tcPr>
          <w:p w14:paraId="39A40C6E"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$420,000</w:t>
            </w:r>
          </w:p>
        </w:tc>
        <w:tc>
          <w:tcPr>
            <w:tcW w:w="1134" w:type="dxa"/>
            <w:tcBorders>
              <w:bottom w:val="single" w:sz="4" w:space="0" w:color="000000"/>
            </w:tcBorders>
            <w:noWrap/>
            <w:hideMark/>
          </w:tcPr>
          <w:p w14:paraId="657DACED"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$200,000</w:t>
            </w:r>
          </w:p>
        </w:tc>
        <w:tc>
          <w:tcPr>
            <w:tcW w:w="1276" w:type="dxa"/>
            <w:tcBorders>
              <w:bottom w:val="single" w:sz="4" w:space="0" w:color="000000"/>
            </w:tcBorders>
            <w:noWrap/>
            <w:hideMark/>
          </w:tcPr>
          <w:p w14:paraId="215FFF8E"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$190,000</w:t>
            </w:r>
          </w:p>
        </w:tc>
        <w:tc>
          <w:tcPr>
            <w:tcW w:w="1701" w:type="dxa"/>
            <w:tcBorders>
              <w:bottom w:val="single" w:sz="4" w:space="0" w:color="000000"/>
            </w:tcBorders>
            <w:noWrap/>
            <w:hideMark/>
          </w:tcPr>
          <w:p w14:paraId="7ADB9CEF"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$240,000</w:t>
            </w:r>
          </w:p>
        </w:tc>
        <w:tc>
          <w:tcPr>
            <w:tcW w:w="1134" w:type="dxa"/>
            <w:tcBorders>
              <w:bottom w:val="single" w:sz="4" w:space="0" w:color="000000"/>
            </w:tcBorders>
            <w:noWrap/>
            <w:hideMark/>
          </w:tcPr>
          <w:p w14:paraId="56207F6C"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$202,891</w:t>
            </w:r>
          </w:p>
        </w:tc>
        <w:tc>
          <w:tcPr>
            <w:tcW w:w="1275" w:type="dxa"/>
            <w:tcBorders>
              <w:bottom w:val="single" w:sz="4" w:space="0" w:color="000000"/>
            </w:tcBorders>
            <w:noWrap/>
            <w:hideMark/>
          </w:tcPr>
          <w:p w14:paraId="37C54327"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$1,252,891</w:t>
            </w:r>
          </w:p>
        </w:tc>
        <w:tc>
          <w:tcPr>
            <w:tcW w:w="5387" w:type="dxa"/>
            <w:tcBorders>
              <w:bottom w:val="single" w:sz="4" w:space="0" w:color="000000"/>
            </w:tcBorders>
          </w:tcPr>
          <w:p w14:paraId="25ADFEBE" w14:textId="4904A928" w:rsidR="0006599D" w:rsidRPr="00837879" w:rsidRDefault="0064309F"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6CF11963"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left w:val="single" w:sz="4" w:space="0" w:color="000000"/>
              <w:bottom w:val="single" w:sz="4" w:space="0" w:color="000000"/>
            </w:tcBorders>
          </w:tcPr>
          <w:p w14:paraId="3E648160" w14:textId="442916FB"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SA Indep</w:t>
            </w:r>
          </w:p>
        </w:tc>
        <w:tc>
          <w:tcPr>
            <w:tcW w:w="1255" w:type="dxa"/>
            <w:tcBorders>
              <w:top w:val="single" w:sz="4" w:space="0" w:color="000000"/>
              <w:bottom w:val="single" w:sz="4" w:space="0" w:color="000000"/>
            </w:tcBorders>
            <w:noWrap/>
          </w:tcPr>
          <w:p w14:paraId="30C419F1" w14:textId="57C224BC"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6E23F2C3" w14:textId="4E0823BA"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6" w:type="dxa"/>
            <w:tcBorders>
              <w:top w:val="single" w:sz="4" w:space="0" w:color="000000"/>
              <w:bottom w:val="single" w:sz="4" w:space="0" w:color="000000"/>
            </w:tcBorders>
            <w:noWrap/>
          </w:tcPr>
          <w:p w14:paraId="7425163A" w14:textId="294F71D6"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701" w:type="dxa"/>
            <w:tcBorders>
              <w:top w:val="single" w:sz="4" w:space="0" w:color="000000"/>
              <w:bottom w:val="single" w:sz="4" w:space="0" w:color="000000"/>
            </w:tcBorders>
            <w:noWrap/>
          </w:tcPr>
          <w:p w14:paraId="4DD2A4C8" w14:textId="67CEDB5B"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25087449" w14:textId="05C2303E"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5" w:type="dxa"/>
            <w:tcBorders>
              <w:top w:val="single" w:sz="4" w:space="0" w:color="000000"/>
              <w:bottom w:val="single" w:sz="4" w:space="0" w:color="000000"/>
            </w:tcBorders>
            <w:noWrap/>
          </w:tcPr>
          <w:p w14:paraId="5061D003" w14:textId="05C16982"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5387" w:type="dxa"/>
            <w:tcBorders>
              <w:top w:val="single" w:sz="4" w:space="0" w:color="000000"/>
              <w:bottom w:val="single" w:sz="4" w:space="0" w:color="000000"/>
              <w:right w:val="single" w:sz="4" w:space="0" w:color="000000"/>
            </w:tcBorders>
          </w:tcPr>
          <w:p w14:paraId="5375E578" w14:textId="2F474B75" w:rsidR="0006599D" w:rsidRPr="00837879" w:rsidRDefault="0006599D"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Significant expenditure on staff costs.  Budget not broken down by activity</w:t>
            </w:r>
          </w:p>
        </w:tc>
      </w:tr>
      <w:tr w:rsidR="006B4CB2" w:rsidRPr="00837879" w14:paraId="1B3DEBC3"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bottom w:val="single" w:sz="4" w:space="0" w:color="000000"/>
            </w:tcBorders>
            <w:hideMark/>
          </w:tcPr>
          <w:p w14:paraId="70B9F5AC"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SA Cath</w:t>
            </w:r>
          </w:p>
        </w:tc>
        <w:tc>
          <w:tcPr>
            <w:tcW w:w="1255" w:type="dxa"/>
            <w:tcBorders>
              <w:top w:val="single" w:sz="4" w:space="0" w:color="000000"/>
              <w:bottom w:val="single" w:sz="4" w:space="0" w:color="000000"/>
            </w:tcBorders>
            <w:noWrap/>
            <w:hideMark/>
          </w:tcPr>
          <w:p w14:paraId="2912B448"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$250,000</w:t>
            </w:r>
          </w:p>
        </w:tc>
        <w:tc>
          <w:tcPr>
            <w:tcW w:w="1134" w:type="dxa"/>
            <w:tcBorders>
              <w:top w:val="single" w:sz="4" w:space="0" w:color="000000"/>
              <w:bottom w:val="single" w:sz="4" w:space="0" w:color="000000"/>
            </w:tcBorders>
            <w:noWrap/>
            <w:hideMark/>
          </w:tcPr>
          <w:p w14:paraId="4D9AFE1B"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$300,000</w:t>
            </w:r>
          </w:p>
        </w:tc>
        <w:tc>
          <w:tcPr>
            <w:tcW w:w="1276" w:type="dxa"/>
            <w:tcBorders>
              <w:top w:val="single" w:sz="4" w:space="0" w:color="000000"/>
              <w:bottom w:val="single" w:sz="4" w:space="0" w:color="000000"/>
            </w:tcBorders>
            <w:noWrap/>
            <w:hideMark/>
          </w:tcPr>
          <w:p w14:paraId="4E132461"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$80,000</w:t>
            </w:r>
          </w:p>
        </w:tc>
        <w:tc>
          <w:tcPr>
            <w:tcW w:w="1701" w:type="dxa"/>
            <w:tcBorders>
              <w:top w:val="single" w:sz="4" w:space="0" w:color="000000"/>
              <w:bottom w:val="single" w:sz="4" w:space="0" w:color="000000"/>
            </w:tcBorders>
            <w:noWrap/>
            <w:hideMark/>
          </w:tcPr>
          <w:p w14:paraId="4F677D85"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$90,993</w:t>
            </w:r>
          </w:p>
        </w:tc>
        <w:tc>
          <w:tcPr>
            <w:tcW w:w="1134" w:type="dxa"/>
            <w:tcBorders>
              <w:top w:val="single" w:sz="4" w:space="0" w:color="000000"/>
              <w:bottom w:val="single" w:sz="4" w:space="0" w:color="000000"/>
            </w:tcBorders>
            <w:noWrap/>
            <w:hideMark/>
          </w:tcPr>
          <w:p w14:paraId="504740D1"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$178,000</w:t>
            </w:r>
          </w:p>
        </w:tc>
        <w:tc>
          <w:tcPr>
            <w:tcW w:w="1275" w:type="dxa"/>
            <w:tcBorders>
              <w:top w:val="single" w:sz="4" w:space="0" w:color="000000"/>
              <w:bottom w:val="single" w:sz="4" w:space="0" w:color="000000"/>
            </w:tcBorders>
            <w:noWrap/>
            <w:hideMark/>
          </w:tcPr>
          <w:p w14:paraId="588E622C"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$898,993</w:t>
            </w:r>
          </w:p>
        </w:tc>
        <w:tc>
          <w:tcPr>
            <w:tcW w:w="5387" w:type="dxa"/>
            <w:tcBorders>
              <w:top w:val="single" w:sz="4" w:space="0" w:color="000000"/>
              <w:bottom w:val="single" w:sz="4" w:space="0" w:color="000000"/>
            </w:tcBorders>
          </w:tcPr>
          <w:p w14:paraId="6959206D" w14:textId="77777777" w:rsidR="0006599D" w:rsidRPr="00837879" w:rsidRDefault="0006599D"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2014 Figures</w:t>
            </w:r>
          </w:p>
        </w:tc>
      </w:tr>
      <w:tr w:rsidR="006B4CB2" w:rsidRPr="00837879" w14:paraId="01A708B3"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left w:val="single" w:sz="4" w:space="0" w:color="000000"/>
              <w:bottom w:val="single" w:sz="4" w:space="0" w:color="000000"/>
            </w:tcBorders>
          </w:tcPr>
          <w:p w14:paraId="5E975BB3" w14:textId="19E431B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Tas Indep</w:t>
            </w:r>
          </w:p>
        </w:tc>
        <w:tc>
          <w:tcPr>
            <w:tcW w:w="1255" w:type="dxa"/>
            <w:tcBorders>
              <w:top w:val="single" w:sz="4" w:space="0" w:color="000000"/>
              <w:bottom w:val="single" w:sz="4" w:space="0" w:color="000000"/>
            </w:tcBorders>
            <w:noWrap/>
          </w:tcPr>
          <w:p w14:paraId="6FA5C980" w14:textId="2DFF477A"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46302DC8" w14:textId="3565DDA6"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6" w:type="dxa"/>
            <w:tcBorders>
              <w:top w:val="single" w:sz="4" w:space="0" w:color="000000"/>
              <w:bottom w:val="single" w:sz="4" w:space="0" w:color="000000"/>
            </w:tcBorders>
            <w:noWrap/>
          </w:tcPr>
          <w:p w14:paraId="41593C48" w14:textId="1FF50A5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701" w:type="dxa"/>
            <w:tcBorders>
              <w:top w:val="single" w:sz="4" w:space="0" w:color="000000"/>
              <w:bottom w:val="single" w:sz="4" w:space="0" w:color="000000"/>
            </w:tcBorders>
            <w:noWrap/>
          </w:tcPr>
          <w:p w14:paraId="176A5BD8" w14:textId="169A67B3"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66521E18" w14:textId="3C890B6E"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5" w:type="dxa"/>
            <w:tcBorders>
              <w:top w:val="single" w:sz="4" w:space="0" w:color="000000"/>
              <w:bottom w:val="single" w:sz="4" w:space="0" w:color="000000"/>
            </w:tcBorders>
            <w:noWrap/>
          </w:tcPr>
          <w:p w14:paraId="77597A7F" w14:textId="708846C9"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5387" w:type="dxa"/>
            <w:tcBorders>
              <w:top w:val="single" w:sz="4" w:space="0" w:color="000000"/>
              <w:bottom w:val="single" w:sz="4" w:space="0" w:color="000000"/>
              <w:right w:val="single" w:sz="4" w:space="0" w:color="000000"/>
            </w:tcBorders>
          </w:tcPr>
          <w:p w14:paraId="3EBD5D09" w14:textId="18BBB2B9" w:rsidR="0006599D" w:rsidRPr="00837879" w:rsidRDefault="0006599D"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SFSF budget rolled into a global budget including other sources to fund full program.  SFSF provides 70% of funds</w:t>
            </w:r>
          </w:p>
        </w:tc>
      </w:tr>
      <w:tr w:rsidR="006B4CB2" w:rsidRPr="00837879" w14:paraId="7DDEA6B5"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left w:val="single" w:sz="4" w:space="0" w:color="000000"/>
            </w:tcBorders>
            <w:hideMark/>
          </w:tcPr>
          <w:p w14:paraId="2BBEBA9E"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Tas Cath</w:t>
            </w:r>
          </w:p>
        </w:tc>
        <w:tc>
          <w:tcPr>
            <w:tcW w:w="1255" w:type="dxa"/>
            <w:tcBorders>
              <w:top w:val="single" w:sz="4" w:space="0" w:color="000000"/>
            </w:tcBorders>
            <w:noWrap/>
            <w:hideMark/>
          </w:tcPr>
          <w:p w14:paraId="4F0A0A53"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$95,000</w:t>
            </w:r>
          </w:p>
        </w:tc>
        <w:tc>
          <w:tcPr>
            <w:tcW w:w="1134" w:type="dxa"/>
            <w:tcBorders>
              <w:top w:val="single" w:sz="4" w:space="0" w:color="000000"/>
            </w:tcBorders>
            <w:noWrap/>
            <w:hideMark/>
          </w:tcPr>
          <w:p w14:paraId="4F3B0491"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$137,000</w:t>
            </w:r>
          </w:p>
        </w:tc>
        <w:tc>
          <w:tcPr>
            <w:tcW w:w="1276" w:type="dxa"/>
            <w:tcBorders>
              <w:top w:val="single" w:sz="4" w:space="0" w:color="000000"/>
            </w:tcBorders>
            <w:noWrap/>
            <w:hideMark/>
          </w:tcPr>
          <w:p w14:paraId="262B1687"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$27,000</w:t>
            </w:r>
          </w:p>
        </w:tc>
        <w:tc>
          <w:tcPr>
            <w:tcW w:w="1701" w:type="dxa"/>
            <w:tcBorders>
              <w:top w:val="single" w:sz="4" w:space="0" w:color="000000"/>
            </w:tcBorders>
            <w:noWrap/>
            <w:hideMark/>
          </w:tcPr>
          <w:p w14:paraId="5E0C0971"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$13,000</w:t>
            </w:r>
          </w:p>
        </w:tc>
        <w:tc>
          <w:tcPr>
            <w:tcW w:w="1134" w:type="dxa"/>
            <w:tcBorders>
              <w:top w:val="single" w:sz="4" w:space="0" w:color="000000"/>
            </w:tcBorders>
            <w:noWrap/>
            <w:hideMark/>
          </w:tcPr>
          <w:p w14:paraId="0ED30A12"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$0</w:t>
            </w:r>
          </w:p>
        </w:tc>
        <w:tc>
          <w:tcPr>
            <w:tcW w:w="1275" w:type="dxa"/>
            <w:tcBorders>
              <w:top w:val="single" w:sz="4" w:space="0" w:color="000000"/>
            </w:tcBorders>
            <w:noWrap/>
            <w:hideMark/>
          </w:tcPr>
          <w:p w14:paraId="51361C18"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$272,000</w:t>
            </w:r>
          </w:p>
        </w:tc>
        <w:tc>
          <w:tcPr>
            <w:tcW w:w="5387" w:type="dxa"/>
            <w:tcBorders>
              <w:top w:val="single" w:sz="4" w:space="0" w:color="000000"/>
            </w:tcBorders>
          </w:tcPr>
          <w:p w14:paraId="23E0B078" w14:textId="70A0B398" w:rsidR="0006599D" w:rsidRPr="00837879" w:rsidRDefault="0064309F"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6777470A"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left w:val="single" w:sz="4" w:space="0" w:color="000000"/>
              <w:bottom w:val="single" w:sz="4" w:space="0" w:color="000000"/>
            </w:tcBorders>
          </w:tcPr>
          <w:p w14:paraId="37AF33F5" w14:textId="44F79D84"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ACT Indep</w:t>
            </w:r>
          </w:p>
        </w:tc>
        <w:tc>
          <w:tcPr>
            <w:tcW w:w="1255" w:type="dxa"/>
            <w:tcBorders>
              <w:top w:val="single" w:sz="4" w:space="0" w:color="000000"/>
              <w:bottom w:val="single" w:sz="4" w:space="0" w:color="000000"/>
            </w:tcBorders>
            <w:noWrap/>
          </w:tcPr>
          <w:p w14:paraId="5769027D" w14:textId="76E97346"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tcBorders>
            <w:noWrap/>
          </w:tcPr>
          <w:p w14:paraId="72914FFF" w14:textId="6252C68B"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6" w:type="dxa"/>
            <w:tcBorders>
              <w:top w:val="single" w:sz="4" w:space="0" w:color="000000"/>
              <w:bottom w:val="single" w:sz="4" w:space="0" w:color="000000"/>
            </w:tcBorders>
            <w:noWrap/>
          </w:tcPr>
          <w:p w14:paraId="4BB6DAA1" w14:textId="4139C124"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701" w:type="dxa"/>
            <w:tcBorders>
              <w:top w:val="single" w:sz="4" w:space="0" w:color="000000"/>
              <w:bottom w:val="single" w:sz="4" w:space="0" w:color="000000"/>
            </w:tcBorders>
            <w:noWrap/>
          </w:tcPr>
          <w:p w14:paraId="40EE2908" w14:textId="77E45507"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134" w:type="dxa"/>
            <w:tcBorders>
              <w:top w:val="single" w:sz="4" w:space="0" w:color="000000"/>
              <w:bottom w:val="single" w:sz="4" w:space="0" w:color="000000"/>
              <w:right w:val="single" w:sz="4" w:space="0" w:color="000000"/>
            </w:tcBorders>
            <w:noWrap/>
          </w:tcPr>
          <w:p w14:paraId="0BA8E9E2" w14:textId="199529E0"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1275" w:type="dxa"/>
            <w:tcBorders>
              <w:top w:val="single" w:sz="4" w:space="0" w:color="000000"/>
              <w:left w:val="single" w:sz="4" w:space="0" w:color="000000"/>
              <w:bottom w:val="single" w:sz="4" w:space="0" w:color="000000"/>
            </w:tcBorders>
            <w:noWrap/>
          </w:tcPr>
          <w:p w14:paraId="6A212BA3" w14:textId="0B0AFAC7" w:rsidR="0006599D" w:rsidRPr="00837879" w:rsidRDefault="0006599D"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18"/>
                <w:szCs w:val="18"/>
                <w:lang w:val="en-AU"/>
              </w:rPr>
              <w:t>See notes</w:t>
            </w:r>
          </w:p>
        </w:tc>
        <w:tc>
          <w:tcPr>
            <w:tcW w:w="5387" w:type="dxa"/>
            <w:tcBorders>
              <w:top w:val="single" w:sz="4" w:space="0" w:color="000000"/>
              <w:bottom w:val="single" w:sz="4" w:space="0" w:color="000000"/>
              <w:right w:val="single" w:sz="4" w:space="0" w:color="000000"/>
            </w:tcBorders>
          </w:tcPr>
          <w:p w14:paraId="1593F052" w14:textId="7EC655EA" w:rsidR="0006599D" w:rsidRPr="00837879" w:rsidRDefault="0006599D"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Budget provided for 4 projects in 2014 work plan but not subsequently. One project is business as usual</w:t>
            </w:r>
          </w:p>
        </w:tc>
      </w:tr>
      <w:tr w:rsidR="006B4CB2" w:rsidRPr="00837879" w14:paraId="6DBCA7C3"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tcBorders>
              <w:top w:val="single" w:sz="4" w:space="0" w:color="000000"/>
            </w:tcBorders>
            <w:hideMark/>
          </w:tcPr>
          <w:p w14:paraId="346A3A08"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ACT Cath</w:t>
            </w:r>
          </w:p>
        </w:tc>
        <w:tc>
          <w:tcPr>
            <w:tcW w:w="1255" w:type="dxa"/>
            <w:tcBorders>
              <w:top w:val="single" w:sz="4" w:space="0" w:color="000000"/>
            </w:tcBorders>
            <w:noWrap/>
            <w:hideMark/>
          </w:tcPr>
          <w:p w14:paraId="6A411933"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$50,000</w:t>
            </w:r>
          </w:p>
        </w:tc>
        <w:tc>
          <w:tcPr>
            <w:tcW w:w="1134" w:type="dxa"/>
            <w:tcBorders>
              <w:top w:val="single" w:sz="4" w:space="0" w:color="000000"/>
              <w:right w:val="single" w:sz="4" w:space="0" w:color="000000"/>
            </w:tcBorders>
            <w:noWrap/>
            <w:hideMark/>
          </w:tcPr>
          <w:p w14:paraId="5E70A0A1"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$110,000</w:t>
            </w:r>
          </w:p>
        </w:tc>
        <w:tc>
          <w:tcPr>
            <w:tcW w:w="1276" w:type="dxa"/>
            <w:tcBorders>
              <w:top w:val="single" w:sz="4" w:space="0" w:color="000000"/>
              <w:left w:val="single" w:sz="4" w:space="0" w:color="000000"/>
            </w:tcBorders>
            <w:noWrap/>
            <w:hideMark/>
          </w:tcPr>
          <w:p w14:paraId="21CF17EF"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$94,000</w:t>
            </w:r>
          </w:p>
        </w:tc>
        <w:tc>
          <w:tcPr>
            <w:tcW w:w="1701" w:type="dxa"/>
            <w:tcBorders>
              <w:top w:val="single" w:sz="4" w:space="0" w:color="000000"/>
            </w:tcBorders>
            <w:noWrap/>
            <w:hideMark/>
          </w:tcPr>
          <w:p w14:paraId="20D5DE54"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$31,000</w:t>
            </w:r>
          </w:p>
        </w:tc>
        <w:tc>
          <w:tcPr>
            <w:tcW w:w="1134" w:type="dxa"/>
            <w:tcBorders>
              <w:top w:val="single" w:sz="4" w:space="0" w:color="000000"/>
            </w:tcBorders>
            <w:noWrap/>
            <w:hideMark/>
          </w:tcPr>
          <w:p w14:paraId="47BF0053"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$40,000</w:t>
            </w:r>
          </w:p>
        </w:tc>
        <w:tc>
          <w:tcPr>
            <w:tcW w:w="1275" w:type="dxa"/>
            <w:tcBorders>
              <w:top w:val="single" w:sz="4" w:space="0" w:color="000000"/>
            </w:tcBorders>
            <w:noWrap/>
            <w:hideMark/>
          </w:tcPr>
          <w:p w14:paraId="057C58C2"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$325,000</w:t>
            </w:r>
          </w:p>
        </w:tc>
        <w:tc>
          <w:tcPr>
            <w:tcW w:w="5387" w:type="dxa"/>
            <w:tcBorders>
              <w:top w:val="single" w:sz="4" w:space="0" w:color="000000"/>
            </w:tcBorders>
          </w:tcPr>
          <w:p w14:paraId="0E65AD79" w14:textId="17206C76" w:rsidR="0006599D" w:rsidRPr="00837879" w:rsidRDefault="0064309F"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2290BFA5" w14:textId="77777777" w:rsidTr="00C3192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405" w:type="dxa"/>
            <w:hideMark/>
          </w:tcPr>
          <w:p w14:paraId="797CD581"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NT Indep</w:t>
            </w:r>
          </w:p>
        </w:tc>
        <w:tc>
          <w:tcPr>
            <w:tcW w:w="1255" w:type="dxa"/>
            <w:noWrap/>
            <w:hideMark/>
          </w:tcPr>
          <w:p w14:paraId="4517A4D5"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$100,000</w:t>
            </w:r>
          </w:p>
        </w:tc>
        <w:tc>
          <w:tcPr>
            <w:tcW w:w="1134" w:type="dxa"/>
            <w:tcBorders>
              <w:right w:val="single" w:sz="4" w:space="0" w:color="000000"/>
            </w:tcBorders>
            <w:noWrap/>
            <w:hideMark/>
          </w:tcPr>
          <w:p w14:paraId="371B59AB"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$130,000</w:t>
            </w:r>
          </w:p>
        </w:tc>
        <w:tc>
          <w:tcPr>
            <w:tcW w:w="1276" w:type="dxa"/>
            <w:tcBorders>
              <w:left w:val="single" w:sz="4" w:space="0" w:color="000000"/>
            </w:tcBorders>
            <w:noWrap/>
            <w:hideMark/>
          </w:tcPr>
          <w:p w14:paraId="2F4BCA3E"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$361,608</w:t>
            </w:r>
          </w:p>
        </w:tc>
        <w:tc>
          <w:tcPr>
            <w:tcW w:w="1701" w:type="dxa"/>
            <w:noWrap/>
            <w:hideMark/>
          </w:tcPr>
          <w:p w14:paraId="099A6D31" w14:textId="77777777" w:rsidR="0006599D" w:rsidRPr="00837879" w:rsidRDefault="0006599D" w:rsidP="0006599D">
            <w:pPr>
              <w:ind w:right="4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$81,209</w:t>
            </w:r>
          </w:p>
        </w:tc>
        <w:tc>
          <w:tcPr>
            <w:tcW w:w="1134" w:type="dxa"/>
            <w:noWrap/>
            <w:hideMark/>
          </w:tcPr>
          <w:p w14:paraId="045B9AEA" w14:textId="77777777" w:rsidR="0006599D" w:rsidRPr="00837879" w:rsidRDefault="0006599D" w:rsidP="0006599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$200,000</w:t>
            </w:r>
          </w:p>
        </w:tc>
        <w:tc>
          <w:tcPr>
            <w:tcW w:w="1275" w:type="dxa"/>
            <w:noWrap/>
            <w:hideMark/>
          </w:tcPr>
          <w:p w14:paraId="4952B9A1" w14:textId="058B403A" w:rsidR="0006599D" w:rsidRPr="00837879" w:rsidRDefault="0064309F" w:rsidP="0006599D">
            <w:pPr>
              <w:ind w:right="9"/>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c>
          <w:tcPr>
            <w:tcW w:w="5387" w:type="dxa"/>
          </w:tcPr>
          <w:p w14:paraId="05A83F4A" w14:textId="252D5CC5" w:rsidR="0006599D" w:rsidRPr="00837879" w:rsidRDefault="0064309F" w:rsidP="0006599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18"/>
                <w:szCs w:val="18"/>
                <w:lang w:val="en-AU"/>
              </w:rPr>
            </w:pPr>
            <w:r>
              <w:rPr>
                <w:rFonts w:ascii="Century Gothic" w:eastAsia="Times New Roman" w:hAnsi="Century Gothic" w:cs="Times New Roman"/>
                <w:color w:val="000000"/>
                <w:sz w:val="20"/>
                <w:szCs w:val="20"/>
                <w:lang w:val="en-AU"/>
              </w:rPr>
              <w:t>N/A</w:t>
            </w:r>
          </w:p>
        </w:tc>
      </w:tr>
      <w:tr w:rsidR="006B4CB2" w:rsidRPr="00837879" w14:paraId="17247E9A" w14:textId="77777777" w:rsidTr="00C31922">
        <w:trPr>
          <w:trHeight w:val="320"/>
        </w:trPr>
        <w:tc>
          <w:tcPr>
            <w:cnfStyle w:val="001000000000" w:firstRow="0" w:lastRow="0" w:firstColumn="1" w:lastColumn="0" w:oddVBand="0" w:evenVBand="0" w:oddHBand="0" w:evenHBand="0" w:firstRowFirstColumn="0" w:firstRowLastColumn="0" w:lastRowFirstColumn="0" w:lastRowLastColumn="0"/>
            <w:tcW w:w="1405" w:type="dxa"/>
            <w:hideMark/>
          </w:tcPr>
          <w:p w14:paraId="2614D48A" w14:textId="77777777" w:rsidR="0006599D" w:rsidRPr="00837879" w:rsidRDefault="0006599D" w:rsidP="0006599D">
            <w:pPr>
              <w:ind w:right="21"/>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NT Cath</w:t>
            </w:r>
          </w:p>
        </w:tc>
        <w:tc>
          <w:tcPr>
            <w:tcW w:w="1255" w:type="dxa"/>
            <w:noWrap/>
            <w:hideMark/>
          </w:tcPr>
          <w:p w14:paraId="082A836F"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$40,000</w:t>
            </w:r>
          </w:p>
        </w:tc>
        <w:tc>
          <w:tcPr>
            <w:tcW w:w="1134" w:type="dxa"/>
            <w:noWrap/>
            <w:hideMark/>
          </w:tcPr>
          <w:p w14:paraId="6200EFDF"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In-kind</w:t>
            </w:r>
          </w:p>
        </w:tc>
        <w:tc>
          <w:tcPr>
            <w:tcW w:w="1276" w:type="dxa"/>
            <w:noWrap/>
            <w:hideMark/>
          </w:tcPr>
          <w:p w14:paraId="58FF20D7"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$20,000</w:t>
            </w:r>
          </w:p>
        </w:tc>
        <w:tc>
          <w:tcPr>
            <w:tcW w:w="1701" w:type="dxa"/>
            <w:noWrap/>
            <w:hideMark/>
          </w:tcPr>
          <w:p w14:paraId="4E9BC859" w14:textId="77777777" w:rsidR="0006599D" w:rsidRPr="00837879" w:rsidRDefault="0006599D" w:rsidP="0006599D">
            <w:pPr>
              <w:ind w:right="4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In-kind</w:t>
            </w:r>
          </w:p>
        </w:tc>
        <w:tc>
          <w:tcPr>
            <w:tcW w:w="1134" w:type="dxa"/>
            <w:noWrap/>
            <w:hideMark/>
          </w:tcPr>
          <w:p w14:paraId="4961DBEB" w14:textId="77777777" w:rsidR="0006599D" w:rsidRPr="00837879" w:rsidRDefault="0006599D" w:rsidP="0006599D">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In-kind</w:t>
            </w:r>
          </w:p>
        </w:tc>
        <w:tc>
          <w:tcPr>
            <w:tcW w:w="1275" w:type="dxa"/>
            <w:noWrap/>
            <w:hideMark/>
          </w:tcPr>
          <w:p w14:paraId="4A3E9B31" w14:textId="77777777" w:rsidR="0006599D" w:rsidRPr="00837879" w:rsidRDefault="0006599D" w:rsidP="0006599D">
            <w:pPr>
              <w:ind w:right="9"/>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$60,000</w:t>
            </w:r>
          </w:p>
        </w:tc>
        <w:tc>
          <w:tcPr>
            <w:tcW w:w="5387" w:type="dxa"/>
          </w:tcPr>
          <w:p w14:paraId="5ED471F4" w14:textId="77777777" w:rsidR="0006599D" w:rsidRPr="00837879" w:rsidRDefault="0006599D" w:rsidP="0006599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sz w:val="18"/>
                <w:szCs w:val="18"/>
                <w:lang w:val="en-AU"/>
              </w:rPr>
            </w:pPr>
            <w:r w:rsidRPr="00837879">
              <w:rPr>
                <w:rFonts w:ascii="Century Gothic" w:eastAsia="Times New Roman" w:hAnsi="Century Gothic" w:cs="Times New Roman"/>
                <w:color w:val="000000"/>
                <w:sz w:val="18"/>
                <w:szCs w:val="18"/>
                <w:lang w:val="en-AU"/>
              </w:rPr>
              <w:t xml:space="preserve">Plus $26,032 of SFSF for General Improvement. </w:t>
            </w:r>
          </w:p>
        </w:tc>
      </w:tr>
    </w:tbl>
    <w:p w14:paraId="6E198F11" w14:textId="77777777" w:rsidR="00DC4448" w:rsidRDefault="00DC4448" w:rsidP="00DC4448">
      <w:pPr>
        <w:ind w:right="-340"/>
      </w:pPr>
      <w:r>
        <w:br w:type="page"/>
      </w:r>
    </w:p>
    <w:p w14:paraId="6592770F" w14:textId="77777777" w:rsidR="00DC4448" w:rsidRPr="00961128" w:rsidRDefault="00DC4448" w:rsidP="00DC4448">
      <w:pPr>
        <w:spacing w:after="120"/>
        <w:ind w:right="-340"/>
        <w:rPr>
          <w:rFonts w:ascii="Century Gothic" w:hAnsi="Century Gothic"/>
          <w:sz w:val="20"/>
          <w:szCs w:val="20"/>
        </w:rPr>
      </w:pPr>
      <w:r w:rsidRPr="00961128">
        <w:rPr>
          <w:rFonts w:ascii="Century Gothic" w:hAnsi="Century Gothic"/>
          <w:sz w:val="20"/>
          <w:szCs w:val="20"/>
        </w:rPr>
        <w:t>Fig 4:</w:t>
      </w:r>
      <w:r w:rsidRPr="00961128">
        <w:rPr>
          <w:rFonts w:ascii="Century Gothic" w:hAnsi="Century Gothic"/>
          <w:sz w:val="20"/>
          <w:szCs w:val="20"/>
        </w:rPr>
        <w:tab/>
        <w:t>Assessment of expenditure across reform areas – $s</w:t>
      </w:r>
    </w:p>
    <w:p w14:paraId="3EEE6C44" w14:textId="77777777" w:rsidR="00DC4448" w:rsidRDefault="00DC4448" w:rsidP="00DC4448">
      <w:pPr>
        <w:ind w:right="-340"/>
      </w:pPr>
      <w:r>
        <w:rPr>
          <w:noProof/>
          <w:lang w:val="en-AU" w:eastAsia="en-AU"/>
        </w:rPr>
        <w:drawing>
          <wp:inline distT="0" distB="0" distL="0" distR="0" wp14:anchorId="79EE7B72" wp14:editId="6007236A">
            <wp:extent cx="8001000" cy="4244788"/>
            <wp:effectExtent l="0" t="0" r="0" b="3810"/>
            <wp:docPr id="15" name="Chart 15" descr="This is a graph of the table above, showing how much is spent on each of the Reform Areas by NGRBs in each jurisdiction." title="Fig 4: Assessment of expenditure across reform areas – $s"/>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69B9FC" w14:textId="77777777" w:rsidR="00DC4448" w:rsidRPr="0002685F" w:rsidRDefault="00DC4448" w:rsidP="00DC4448">
      <w:pPr>
        <w:ind w:right="-340"/>
        <w:rPr>
          <w:sz w:val="20"/>
          <w:szCs w:val="20"/>
        </w:rPr>
      </w:pPr>
      <w:r w:rsidRPr="0002685F">
        <w:rPr>
          <w:sz w:val="20"/>
          <w:szCs w:val="20"/>
        </w:rPr>
        <w:t>Notes:</w:t>
      </w:r>
    </w:p>
    <w:p w14:paraId="5310F1EE" w14:textId="77777777" w:rsidR="00DC4448" w:rsidRPr="0002685F" w:rsidRDefault="00DC4448" w:rsidP="00DC4448">
      <w:pPr>
        <w:ind w:right="-340"/>
        <w:rPr>
          <w:sz w:val="20"/>
          <w:szCs w:val="20"/>
        </w:rPr>
      </w:pPr>
      <w:r w:rsidRPr="0002685F">
        <w:rPr>
          <w:sz w:val="20"/>
          <w:szCs w:val="20"/>
        </w:rPr>
        <w:t>NT Catholic system allocates 30.3% of SFSF for General Improvement and provides in kind support for the reform areas where no breakdown is given.</w:t>
      </w:r>
    </w:p>
    <w:p w14:paraId="4C1E1B31" w14:textId="77777777" w:rsidR="00DC4448" w:rsidRPr="0002685F" w:rsidRDefault="00DC4448" w:rsidP="00DC4448">
      <w:pPr>
        <w:ind w:right="-340"/>
        <w:rPr>
          <w:sz w:val="20"/>
          <w:szCs w:val="20"/>
        </w:rPr>
      </w:pPr>
      <w:r w:rsidRPr="0002685F">
        <w:rPr>
          <w:sz w:val="20"/>
          <w:szCs w:val="20"/>
        </w:rPr>
        <w:t>NSW Independent: Provides budget on a project by project basis. Assignment to reform areas based on project descriptions</w:t>
      </w:r>
    </w:p>
    <w:p w14:paraId="3A05F793" w14:textId="780C002F" w:rsidR="00DC4448" w:rsidRDefault="00DC4448" w:rsidP="00DC4448">
      <w:pPr>
        <w:pStyle w:val="Heading2"/>
        <w:spacing w:before="120"/>
        <w:ind w:right="-340"/>
      </w:pPr>
      <w:bookmarkStart w:id="538" w:name="_Toc472263093"/>
      <w:bookmarkStart w:id="539" w:name="_Toc346124077"/>
      <w:bookmarkStart w:id="540" w:name="_Toc495587326"/>
      <w:r>
        <w:t>2.2</w:t>
      </w:r>
      <w:r>
        <w:tab/>
        <w:t>Delivery</w:t>
      </w:r>
      <w:r w:rsidRPr="00E63B15">
        <w:t xml:space="preserve"> model</w:t>
      </w:r>
      <w:r w:rsidR="00C97557">
        <w:t>s</w:t>
      </w:r>
      <w:r w:rsidRPr="00E63B15">
        <w:t xml:space="preserve"> by NGRB</w:t>
      </w:r>
      <w:bookmarkEnd w:id="538"/>
      <w:bookmarkEnd w:id="539"/>
      <w:bookmarkEnd w:id="540"/>
      <w:r w:rsidRPr="00E63B15">
        <w:t xml:space="preserve"> </w:t>
      </w:r>
    </w:p>
    <w:p w14:paraId="11F794E7" w14:textId="7E41DF60" w:rsidR="00DC4448" w:rsidRDefault="00DC4448" w:rsidP="00E939AD">
      <w:pPr>
        <w:spacing w:after="240"/>
        <w:ind w:right="-340"/>
        <w:rPr>
          <w:rFonts w:ascii="Century Gothic" w:hAnsi="Century Gothic"/>
          <w:sz w:val="20"/>
          <w:szCs w:val="20"/>
        </w:rPr>
      </w:pPr>
      <w:r>
        <w:rPr>
          <w:rFonts w:ascii="Century Gothic" w:hAnsi="Century Gothic"/>
          <w:sz w:val="20"/>
          <w:szCs w:val="20"/>
        </w:rPr>
        <w:t>T</w:t>
      </w:r>
      <w:r w:rsidRPr="00E63B15">
        <w:rPr>
          <w:rFonts w:ascii="Century Gothic" w:hAnsi="Century Gothic"/>
          <w:sz w:val="20"/>
          <w:szCs w:val="20"/>
        </w:rPr>
        <w:t xml:space="preserve">he </w:t>
      </w:r>
      <w:r w:rsidR="009838C7">
        <w:rPr>
          <w:rFonts w:ascii="Century Gothic" w:hAnsi="Century Gothic"/>
          <w:sz w:val="20"/>
          <w:szCs w:val="20"/>
        </w:rPr>
        <w:t xml:space="preserve">seven </w:t>
      </w:r>
      <w:r w:rsidRPr="00E63B15">
        <w:rPr>
          <w:rFonts w:ascii="Century Gothic" w:hAnsi="Century Gothic"/>
          <w:sz w:val="20"/>
          <w:szCs w:val="20"/>
        </w:rPr>
        <w:t>delivery models represent the modes of delivery</w:t>
      </w:r>
      <w:r w:rsidR="009838C7">
        <w:rPr>
          <w:rFonts w:ascii="Century Gothic" w:hAnsi="Century Gothic"/>
          <w:sz w:val="20"/>
          <w:szCs w:val="20"/>
        </w:rPr>
        <w:t xml:space="preserve"> that are discernable in the annual reports</w:t>
      </w:r>
      <w:r w:rsidRPr="00E63B15">
        <w:rPr>
          <w:rFonts w:ascii="Century Gothic" w:hAnsi="Century Gothic"/>
          <w:sz w:val="20"/>
          <w:szCs w:val="20"/>
        </w:rPr>
        <w:t xml:space="preserve">; the predominant modes in </w:t>
      </w:r>
      <w:r w:rsidR="009838C7">
        <w:rPr>
          <w:rFonts w:ascii="Century Gothic" w:hAnsi="Century Gothic"/>
          <w:sz w:val="20"/>
          <w:szCs w:val="20"/>
        </w:rPr>
        <w:t xml:space="preserve">each </w:t>
      </w:r>
      <w:r w:rsidRPr="00E63B15">
        <w:rPr>
          <w:rFonts w:ascii="Century Gothic" w:hAnsi="Century Gothic"/>
          <w:sz w:val="20"/>
          <w:szCs w:val="20"/>
        </w:rPr>
        <w:t>NGRBs are shaded</w:t>
      </w:r>
      <w:r>
        <w:rPr>
          <w:rFonts w:ascii="Century Gothic" w:hAnsi="Century Gothic"/>
          <w:sz w:val="20"/>
          <w:szCs w:val="20"/>
        </w:rPr>
        <w:t>.</w:t>
      </w:r>
      <w:r w:rsidR="009838C7">
        <w:rPr>
          <w:rFonts w:ascii="Century Gothic" w:hAnsi="Century Gothic"/>
          <w:sz w:val="20"/>
          <w:szCs w:val="20"/>
        </w:rPr>
        <w:t xml:space="preserve"> This is not definitive but illustrates the nature of t</w:t>
      </w:r>
      <w:r w:rsidR="00E939AD">
        <w:rPr>
          <w:rFonts w:ascii="Century Gothic" w:hAnsi="Century Gothic"/>
          <w:sz w:val="20"/>
          <w:szCs w:val="20"/>
        </w:rPr>
        <w:t>he most significant activities.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livery models by NGRB "/>
        <w:tblDescription w:val="This table shows the delivery modes used by each NGRB"/>
      </w:tblPr>
      <w:tblGrid>
        <w:gridCol w:w="1587"/>
        <w:gridCol w:w="1587"/>
        <w:gridCol w:w="1587"/>
        <w:gridCol w:w="1587"/>
        <w:gridCol w:w="1587"/>
        <w:gridCol w:w="1587"/>
        <w:gridCol w:w="1587"/>
        <w:gridCol w:w="1587"/>
        <w:gridCol w:w="1587"/>
      </w:tblGrid>
      <w:tr w:rsidR="00DC4448" w14:paraId="5C77CC11" w14:textId="77777777" w:rsidTr="002C6ABD">
        <w:trPr>
          <w:tblHeader/>
        </w:trPr>
        <w:tc>
          <w:tcPr>
            <w:tcW w:w="1587" w:type="dxa"/>
            <w:shd w:val="clear" w:color="auto" w:fill="DBE5F1" w:themeFill="accent1" w:themeFillTint="33"/>
          </w:tcPr>
          <w:p w14:paraId="50E57645" w14:textId="77777777" w:rsidR="00DC4448" w:rsidRPr="00950155" w:rsidRDefault="00DC4448" w:rsidP="002C6ABD">
            <w:pPr>
              <w:ind w:right="-69"/>
            </w:pPr>
            <w:r w:rsidRPr="00950155">
              <w:t xml:space="preserve">Delivery model </w:t>
            </w:r>
          </w:p>
        </w:tc>
        <w:tc>
          <w:tcPr>
            <w:tcW w:w="1587" w:type="dxa"/>
            <w:shd w:val="clear" w:color="auto" w:fill="DBE5F1" w:themeFill="accent1" w:themeFillTint="33"/>
          </w:tcPr>
          <w:p w14:paraId="0DF704F1" w14:textId="77777777" w:rsidR="00DC4448" w:rsidRDefault="00DC4448" w:rsidP="002C6ABD">
            <w:pPr>
              <w:rPr>
                <w:rStyle w:val="Emphasis"/>
              </w:rPr>
            </w:pPr>
            <w:r>
              <w:rPr>
                <w:rStyle w:val="Emphasis"/>
              </w:rPr>
              <w:t>AIS NSW</w:t>
            </w:r>
          </w:p>
        </w:tc>
        <w:tc>
          <w:tcPr>
            <w:tcW w:w="1587" w:type="dxa"/>
            <w:shd w:val="clear" w:color="auto" w:fill="DBE5F1" w:themeFill="accent1" w:themeFillTint="33"/>
          </w:tcPr>
          <w:p w14:paraId="58855D27" w14:textId="77777777" w:rsidR="00DC4448" w:rsidRDefault="00DC4448" w:rsidP="002C6ABD">
            <w:pPr>
              <w:rPr>
                <w:rStyle w:val="Emphasis"/>
              </w:rPr>
            </w:pPr>
            <w:r>
              <w:rPr>
                <w:rStyle w:val="Emphasis"/>
              </w:rPr>
              <w:t xml:space="preserve">CEC NSW </w:t>
            </w:r>
          </w:p>
          <w:p w14:paraId="0F538593" w14:textId="77777777" w:rsidR="00DC4448" w:rsidRDefault="00DC4448" w:rsidP="002C6ABD">
            <w:pPr>
              <w:rPr>
                <w:rStyle w:val="Emphasis"/>
              </w:rPr>
            </w:pPr>
          </w:p>
        </w:tc>
        <w:tc>
          <w:tcPr>
            <w:tcW w:w="1587" w:type="dxa"/>
            <w:shd w:val="clear" w:color="auto" w:fill="DBE5F1" w:themeFill="accent1" w:themeFillTint="33"/>
          </w:tcPr>
          <w:p w14:paraId="12381B2B" w14:textId="77777777" w:rsidR="00DC4448" w:rsidRDefault="00DC4448" w:rsidP="002C6ABD">
            <w:pPr>
              <w:ind w:right="-78"/>
              <w:rPr>
                <w:rStyle w:val="Emphasis"/>
              </w:rPr>
            </w:pPr>
            <w:r>
              <w:rPr>
                <w:rStyle w:val="Emphasis"/>
              </w:rPr>
              <w:t>AIS VIC</w:t>
            </w:r>
          </w:p>
        </w:tc>
        <w:tc>
          <w:tcPr>
            <w:tcW w:w="1587" w:type="dxa"/>
            <w:shd w:val="clear" w:color="auto" w:fill="DBE5F1" w:themeFill="accent1" w:themeFillTint="33"/>
          </w:tcPr>
          <w:p w14:paraId="0D76EE08" w14:textId="77777777" w:rsidR="00DC4448" w:rsidRDefault="00DC4448" w:rsidP="002C6ABD">
            <w:pPr>
              <w:rPr>
                <w:rStyle w:val="Emphasis"/>
              </w:rPr>
            </w:pPr>
            <w:r>
              <w:rPr>
                <w:rStyle w:val="Emphasis"/>
              </w:rPr>
              <w:t>CECV</w:t>
            </w:r>
          </w:p>
          <w:p w14:paraId="26965F3B" w14:textId="77777777" w:rsidR="00DC4448" w:rsidRDefault="00DC4448" w:rsidP="002C6ABD">
            <w:pPr>
              <w:rPr>
                <w:rStyle w:val="Emphasis"/>
              </w:rPr>
            </w:pPr>
          </w:p>
        </w:tc>
        <w:tc>
          <w:tcPr>
            <w:tcW w:w="1587" w:type="dxa"/>
            <w:shd w:val="clear" w:color="auto" w:fill="DBE5F1" w:themeFill="accent1" w:themeFillTint="33"/>
          </w:tcPr>
          <w:p w14:paraId="71D0285B" w14:textId="77777777" w:rsidR="00DC4448" w:rsidRDefault="00DC4448" w:rsidP="002C6ABD">
            <w:pPr>
              <w:rPr>
                <w:rStyle w:val="Emphasis"/>
              </w:rPr>
            </w:pPr>
            <w:r>
              <w:rPr>
                <w:rStyle w:val="Emphasis"/>
              </w:rPr>
              <w:t xml:space="preserve">AIS QLD </w:t>
            </w:r>
          </w:p>
        </w:tc>
        <w:tc>
          <w:tcPr>
            <w:tcW w:w="1587" w:type="dxa"/>
            <w:shd w:val="clear" w:color="auto" w:fill="DBE5F1" w:themeFill="accent1" w:themeFillTint="33"/>
          </w:tcPr>
          <w:p w14:paraId="59A927AA" w14:textId="77777777" w:rsidR="00DC4448" w:rsidRDefault="00DC4448" w:rsidP="002C6ABD">
            <w:pPr>
              <w:ind w:right="3"/>
              <w:rPr>
                <w:rStyle w:val="Emphasis"/>
              </w:rPr>
            </w:pPr>
            <w:r>
              <w:rPr>
                <w:rStyle w:val="Emphasis"/>
              </w:rPr>
              <w:t xml:space="preserve">Q CEC </w:t>
            </w:r>
          </w:p>
        </w:tc>
        <w:tc>
          <w:tcPr>
            <w:tcW w:w="1587" w:type="dxa"/>
            <w:shd w:val="clear" w:color="auto" w:fill="DBE5F1" w:themeFill="accent1" w:themeFillTint="33"/>
          </w:tcPr>
          <w:p w14:paraId="4963814B" w14:textId="77777777" w:rsidR="00DC4448" w:rsidRDefault="00DC4448" w:rsidP="002C6ABD">
            <w:pPr>
              <w:ind w:right="-30"/>
              <w:rPr>
                <w:rStyle w:val="Emphasis"/>
              </w:rPr>
            </w:pPr>
            <w:r>
              <w:rPr>
                <w:rStyle w:val="Emphasis"/>
              </w:rPr>
              <w:t xml:space="preserve">AIS SA </w:t>
            </w:r>
          </w:p>
        </w:tc>
        <w:tc>
          <w:tcPr>
            <w:tcW w:w="1587" w:type="dxa"/>
            <w:shd w:val="clear" w:color="auto" w:fill="DBE5F1" w:themeFill="accent1" w:themeFillTint="33"/>
          </w:tcPr>
          <w:p w14:paraId="0964009A" w14:textId="77777777" w:rsidR="00DC4448" w:rsidRDefault="00DC4448" w:rsidP="002C6ABD">
            <w:pPr>
              <w:rPr>
                <w:rStyle w:val="Emphasis"/>
              </w:rPr>
            </w:pPr>
            <w:r>
              <w:rPr>
                <w:rStyle w:val="Emphasis"/>
              </w:rPr>
              <w:t xml:space="preserve">CESA </w:t>
            </w:r>
          </w:p>
        </w:tc>
      </w:tr>
      <w:tr w:rsidR="00DC4448" w14:paraId="6FA6D092" w14:textId="77777777" w:rsidTr="0064309F">
        <w:trPr>
          <w:trHeight w:val="3208"/>
        </w:trPr>
        <w:tc>
          <w:tcPr>
            <w:tcW w:w="1587" w:type="dxa"/>
            <w:shd w:val="clear" w:color="auto" w:fill="F2F2F2" w:themeFill="background1" w:themeFillShade="F2"/>
          </w:tcPr>
          <w:p w14:paraId="78BC81E4" w14:textId="5C778AD1" w:rsidR="00DC4448" w:rsidRPr="0064309F" w:rsidRDefault="00DC4448" w:rsidP="002C6ABD">
            <w:pPr>
              <w:ind w:right="-69"/>
            </w:pPr>
            <w:r w:rsidRPr="009D1042">
              <w:rPr>
                <w:rStyle w:val="Emphasis"/>
              </w:rPr>
              <w:t>Professional learning</w:t>
            </w:r>
            <w:r w:rsidR="0064309F">
              <w:t xml:space="preserve"> </w:t>
            </w:r>
          </w:p>
        </w:tc>
        <w:tc>
          <w:tcPr>
            <w:tcW w:w="1587" w:type="dxa"/>
            <w:shd w:val="clear" w:color="auto" w:fill="EEECE1" w:themeFill="background2"/>
          </w:tcPr>
          <w:p w14:paraId="72CFED5A" w14:textId="77777777" w:rsidR="00DC4448" w:rsidRDefault="00DC4448" w:rsidP="002C6ABD">
            <w:pPr>
              <w:rPr>
                <w:b/>
                <w:sz w:val="16"/>
                <w:szCs w:val="16"/>
              </w:rPr>
            </w:pPr>
            <w:r w:rsidRPr="00A26D4A">
              <w:rPr>
                <w:i/>
                <w:sz w:val="16"/>
                <w:szCs w:val="16"/>
              </w:rPr>
              <w:t>Quality Teaching</w:t>
            </w:r>
            <w:r w:rsidRPr="00A26D4A">
              <w:rPr>
                <w:sz w:val="16"/>
                <w:szCs w:val="16"/>
              </w:rPr>
              <w:t xml:space="preserve"> e.g</w:t>
            </w:r>
            <w:r>
              <w:rPr>
                <w:sz w:val="16"/>
                <w:szCs w:val="16"/>
              </w:rPr>
              <w:t>.</w:t>
            </w:r>
            <w:r w:rsidRPr="00A26D4A">
              <w:rPr>
                <w:sz w:val="16"/>
                <w:szCs w:val="16"/>
              </w:rPr>
              <w:t xml:space="preserve"> School</w:t>
            </w:r>
            <w:r>
              <w:rPr>
                <w:sz w:val="16"/>
                <w:szCs w:val="16"/>
              </w:rPr>
              <w:t>s Leading</w:t>
            </w:r>
            <w:r w:rsidRPr="00A26D4A">
              <w:rPr>
                <w:sz w:val="16"/>
                <w:szCs w:val="16"/>
              </w:rPr>
              <w:t xml:space="preserve"> </w:t>
            </w:r>
            <w:r>
              <w:rPr>
                <w:sz w:val="16"/>
                <w:szCs w:val="16"/>
              </w:rPr>
              <w:t>Learning: Consultants work in a common model for school based prof. learning for whole school planning</w:t>
            </w:r>
          </w:p>
          <w:p w14:paraId="2DD19AB2" w14:textId="77777777" w:rsidR="00DC4448" w:rsidRDefault="00DC4448" w:rsidP="002C6ABD">
            <w:pPr>
              <w:rPr>
                <w:b/>
                <w:sz w:val="16"/>
                <w:szCs w:val="16"/>
              </w:rPr>
            </w:pPr>
          </w:p>
          <w:p w14:paraId="5D286206" w14:textId="4EE96FE6" w:rsidR="00DC4448" w:rsidRPr="00A26D4A" w:rsidRDefault="00DC4448" w:rsidP="008E560A">
            <w:pPr>
              <w:rPr>
                <w:b/>
                <w:sz w:val="16"/>
                <w:szCs w:val="16"/>
              </w:rPr>
            </w:pPr>
            <w:r w:rsidRPr="00E410F6">
              <w:rPr>
                <w:i/>
                <w:sz w:val="16"/>
                <w:szCs w:val="16"/>
              </w:rPr>
              <w:t>Quality Learning</w:t>
            </w:r>
            <w:r>
              <w:rPr>
                <w:sz w:val="16"/>
                <w:szCs w:val="16"/>
              </w:rPr>
              <w:t xml:space="preserve"> e.g. Elevate: networks at different levels to share on boosting high ability students</w:t>
            </w:r>
          </w:p>
        </w:tc>
        <w:tc>
          <w:tcPr>
            <w:tcW w:w="1587" w:type="dxa"/>
          </w:tcPr>
          <w:p w14:paraId="71456555" w14:textId="3C3167F3" w:rsidR="00DC4448" w:rsidRPr="00FC2978" w:rsidRDefault="00DC4448" w:rsidP="002C6ABD">
            <w:pPr>
              <w:rPr>
                <w:b/>
                <w:sz w:val="16"/>
                <w:szCs w:val="16"/>
              </w:rPr>
            </w:pPr>
            <w:r w:rsidRPr="00FC2978">
              <w:rPr>
                <w:i/>
                <w:sz w:val="16"/>
                <w:szCs w:val="16"/>
              </w:rPr>
              <w:t>Quality Teaching</w:t>
            </w:r>
            <w:r w:rsidRPr="00FC2978">
              <w:rPr>
                <w:sz w:val="16"/>
                <w:szCs w:val="16"/>
              </w:rPr>
              <w:t xml:space="preserve"> e.g</w:t>
            </w:r>
            <w:r>
              <w:rPr>
                <w:sz w:val="16"/>
                <w:szCs w:val="16"/>
              </w:rPr>
              <w:t>.</w:t>
            </w:r>
            <w:r w:rsidRPr="00FC2978">
              <w:rPr>
                <w:sz w:val="16"/>
                <w:szCs w:val="16"/>
              </w:rPr>
              <w:t xml:space="preserve"> Implementation of the Australia</w:t>
            </w:r>
            <w:r>
              <w:rPr>
                <w:sz w:val="16"/>
                <w:szCs w:val="16"/>
              </w:rPr>
              <w:t>n T</w:t>
            </w:r>
            <w:r w:rsidRPr="00FC2978">
              <w:rPr>
                <w:sz w:val="16"/>
                <w:szCs w:val="16"/>
              </w:rPr>
              <w:t xml:space="preserve">eacher Performance and Development </w:t>
            </w:r>
            <w:r>
              <w:rPr>
                <w:sz w:val="16"/>
                <w:szCs w:val="16"/>
              </w:rPr>
              <w:t>F</w:t>
            </w:r>
            <w:r w:rsidRPr="00FC2978">
              <w:rPr>
                <w:sz w:val="16"/>
                <w:szCs w:val="16"/>
              </w:rPr>
              <w:t xml:space="preserve">ramework </w:t>
            </w:r>
            <w:r>
              <w:rPr>
                <w:sz w:val="16"/>
                <w:szCs w:val="16"/>
              </w:rPr>
              <w:t>– conferenc</w:t>
            </w:r>
            <w:r w:rsidR="0064309F">
              <w:rPr>
                <w:sz w:val="16"/>
                <w:szCs w:val="16"/>
              </w:rPr>
              <w:t>es, networks and communication</w:t>
            </w:r>
          </w:p>
        </w:tc>
        <w:tc>
          <w:tcPr>
            <w:tcW w:w="1587" w:type="dxa"/>
            <w:shd w:val="clear" w:color="auto" w:fill="EEECE1" w:themeFill="background2"/>
          </w:tcPr>
          <w:p w14:paraId="1B011430" w14:textId="1219781D" w:rsidR="00DC4448" w:rsidRDefault="00DC4448" w:rsidP="0064309F">
            <w:pPr>
              <w:widowControl w:val="0"/>
              <w:autoSpaceDE w:val="0"/>
              <w:autoSpaceDN w:val="0"/>
              <w:adjustRightInd w:val="0"/>
              <w:spacing w:after="293"/>
              <w:ind w:left="-17" w:right="-78"/>
              <w:rPr>
                <w:b/>
              </w:rPr>
            </w:pPr>
            <w:r w:rsidRPr="00FC2978">
              <w:rPr>
                <w:i/>
                <w:sz w:val="16"/>
                <w:szCs w:val="16"/>
              </w:rPr>
              <w:t>Quality Teaching</w:t>
            </w:r>
            <w:r w:rsidRPr="00FC2978">
              <w:rPr>
                <w:sz w:val="16"/>
                <w:szCs w:val="16"/>
              </w:rPr>
              <w:t xml:space="preserve"> e.g</w:t>
            </w:r>
            <w:r>
              <w:rPr>
                <w:sz w:val="16"/>
                <w:szCs w:val="16"/>
              </w:rPr>
              <w:t>.</w:t>
            </w:r>
            <w:r w:rsidRPr="00FC2978">
              <w:rPr>
                <w:sz w:val="16"/>
                <w:szCs w:val="16"/>
              </w:rPr>
              <w:t xml:space="preserve"> </w:t>
            </w:r>
            <w:r>
              <w:rPr>
                <w:sz w:val="16"/>
                <w:szCs w:val="16"/>
              </w:rPr>
              <w:t>Curriculum – Pedagogy,</w:t>
            </w:r>
            <w:r w:rsidRPr="007B0DF6">
              <w:rPr>
                <w:sz w:val="16"/>
                <w:szCs w:val="16"/>
              </w:rPr>
              <w:t xml:space="preserve"> </w:t>
            </w:r>
            <w:r>
              <w:rPr>
                <w:sz w:val="16"/>
                <w:szCs w:val="16"/>
              </w:rPr>
              <w:t xml:space="preserve">Literacy (and EAL), </w:t>
            </w:r>
            <w:r w:rsidRPr="007B0DF6">
              <w:rPr>
                <w:sz w:val="16"/>
                <w:szCs w:val="16"/>
              </w:rPr>
              <w:t xml:space="preserve">Numeracy: ICT (including STEM and robotics) </w:t>
            </w:r>
            <w:r w:rsidRPr="007B0DF6">
              <w:rPr>
                <w:rFonts w:ascii="Times New Roman" w:hAnsi="Times New Roman" w:cs="Times New Roman"/>
                <w:sz w:val="16"/>
                <w:szCs w:val="16"/>
              </w:rPr>
              <w:t> </w:t>
            </w:r>
            <w:r>
              <w:rPr>
                <w:sz w:val="16"/>
                <w:szCs w:val="16"/>
              </w:rPr>
              <w:t xml:space="preserve">aligned to AITSL </w:t>
            </w:r>
            <w:r w:rsidRPr="00E94B45">
              <w:rPr>
                <w:sz w:val="16"/>
                <w:szCs w:val="16"/>
              </w:rPr>
              <w:t xml:space="preserve">Professional Standards for Teachers, and the Australian Curriculum) </w:t>
            </w:r>
          </w:p>
        </w:tc>
        <w:tc>
          <w:tcPr>
            <w:tcW w:w="1587" w:type="dxa"/>
            <w:shd w:val="clear" w:color="auto" w:fill="EEECE1" w:themeFill="background2"/>
          </w:tcPr>
          <w:p w14:paraId="13704264" w14:textId="77777777" w:rsidR="00DC4448" w:rsidRPr="00664DBA" w:rsidRDefault="00DC4448" w:rsidP="002C6ABD">
            <w:pPr>
              <w:widowControl w:val="0"/>
              <w:autoSpaceDE w:val="0"/>
              <w:autoSpaceDN w:val="0"/>
              <w:adjustRightInd w:val="0"/>
              <w:spacing w:after="293"/>
              <w:ind w:left="-17"/>
              <w:rPr>
                <w:b/>
              </w:rPr>
            </w:pPr>
            <w:r w:rsidRPr="00FC2978">
              <w:rPr>
                <w:i/>
                <w:sz w:val="16"/>
                <w:szCs w:val="16"/>
              </w:rPr>
              <w:t>Quality Teaching</w:t>
            </w:r>
            <w:r w:rsidRPr="00FC2978">
              <w:rPr>
                <w:sz w:val="16"/>
                <w:szCs w:val="16"/>
              </w:rPr>
              <w:t xml:space="preserve"> </w:t>
            </w:r>
            <w:r>
              <w:rPr>
                <w:sz w:val="16"/>
                <w:szCs w:val="16"/>
              </w:rPr>
              <w:t>e.g. f</w:t>
            </w:r>
            <w:r w:rsidRPr="00664DBA">
              <w:rPr>
                <w:sz w:val="16"/>
                <w:szCs w:val="16"/>
              </w:rPr>
              <w:t>our day Professional Learning Program for school teams to develop a whole school Languages Implementation Plan</w:t>
            </w:r>
          </w:p>
        </w:tc>
        <w:tc>
          <w:tcPr>
            <w:tcW w:w="1587" w:type="dxa"/>
          </w:tcPr>
          <w:p w14:paraId="54AFBEB5" w14:textId="7BC66299" w:rsidR="00DC4448" w:rsidRDefault="0064309F" w:rsidP="002C6ABD">
            <w:pPr>
              <w:widowControl w:val="0"/>
              <w:tabs>
                <w:tab w:val="left" w:pos="220"/>
                <w:tab w:val="left" w:pos="720"/>
              </w:tabs>
              <w:autoSpaceDE w:val="0"/>
              <w:autoSpaceDN w:val="0"/>
              <w:adjustRightInd w:val="0"/>
              <w:spacing w:after="240"/>
              <w:rPr>
                <w:b/>
              </w:rPr>
            </w:pPr>
            <w:r w:rsidRPr="0064309F">
              <w:rPr>
                <w:sz w:val="16"/>
                <w:szCs w:val="16"/>
              </w:rPr>
              <w:t>N/A</w:t>
            </w:r>
          </w:p>
        </w:tc>
        <w:tc>
          <w:tcPr>
            <w:tcW w:w="1587" w:type="dxa"/>
          </w:tcPr>
          <w:p w14:paraId="7534116C" w14:textId="53121739" w:rsidR="00DC4448" w:rsidRDefault="0064309F" w:rsidP="002C6ABD">
            <w:pPr>
              <w:ind w:right="3"/>
              <w:rPr>
                <w:b/>
              </w:rPr>
            </w:pPr>
            <w:r w:rsidRPr="0064309F">
              <w:rPr>
                <w:sz w:val="16"/>
                <w:szCs w:val="16"/>
              </w:rPr>
              <w:t>N/A</w:t>
            </w:r>
          </w:p>
        </w:tc>
        <w:tc>
          <w:tcPr>
            <w:tcW w:w="1587" w:type="dxa"/>
          </w:tcPr>
          <w:p w14:paraId="698D5D1C" w14:textId="77777777" w:rsidR="00DC4448" w:rsidRPr="00171458" w:rsidRDefault="00DC4448" w:rsidP="002C6ABD">
            <w:pPr>
              <w:shd w:val="clear" w:color="auto" w:fill="EEECE1" w:themeFill="background2"/>
              <w:ind w:right="-30"/>
              <w:textAlignment w:val="baseline"/>
              <w:rPr>
                <w:rFonts w:eastAsia="Arial Narrow"/>
                <w:b/>
                <w:i/>
                <w:color w:val="000000"/>
                <w:sz w:val="16"/>
                <w:szCs w:val="16"/>
              </w:rPr>
            </w:pPr>
            <w:r w:rsidRPr="00171458">
              <w:rPr>
                <w:rFonts w:eastAsia="Arial Narrow"/>
                <w:i/>
                <w:color w:val="000000"/>
                <w:sz w:val="16"/>
                <w:szCs w:val="16"/>
              </w:rPr>
              <w:t>School Leadership</w:t>
            </w:r>
          </w:p>
          <w:p w14:paraId="6F39E531" w14:textId="77777777" w:rsidR="00DC4448" w:rsidRPr="00171458" w:rsidRDefault="00DC4448" w:rsidP="002C6ABD">
            <w:pPr>
              <w:shd w:val="clear" w:color="auto" w:fill="EEECE1" w:themeFill="background2"/>
              <w:ind w:right="-30"/>
              <w:textAlignment w:val="baseline"/>
              <w:rPr>
                <w:rFonts w:eastAsia="Arial Narrow"/>
                <w:b/>
                <w:color w:val="000000"/>
                <w:sz w:val="16"/>
                <w:szCs w:val="16"/>
              </w:rPr>
            </w:pPr>
            <w:r>
              <w:rPr>
                <w:rFonts w:eastAsia="Arial Narrow"/>
                <w:color w:val="000000"/>
                <w:sz w:val="16"/>
                <w:szCs w:val="16"/>
              </w:rPr>
              <w:t xml:space="preserve">e.g. </w:t>
            </w:r>
            <w:r w:rsidRPr="00171458">
              <w:rPr>
                <w:rFonts w:eastAsia="Arial Narrow"/>
                <w:color w:val="000000"/>
                <w:sz w:val="16"/>
                <w:szCs w:val="16"/>
              </w:rPr>
              <w:t>Leadership capacity will be developed by AISSA through a program with workshops and presentations including:</w:t>
            </w:r>
          </w:p>
          <w:p w14:paraId="1B1A89D4" w14:textId="77777777" w:rsidR="00DC4448" w:rsidRPr="00171458" w:rsidRDefault="00DC4448" w:rsidP="006A1D2B">
            <w:pPr>
              <w:pStyle w:val="ListParagraph"/>
              <w:numPr>
                <w:ilvl w:val="0"/>
                <w:numId w:val="20"/>
              </w:numPr>
              <w:shd w:val="clear" w:color="auto" w:fill="EEECE1" w:themeFill="background2"/>
              <w:ind w:left="0" w:right="-30"/>
              <w:textAlignment w:val="baseline"/>
              <w:rPr>
                <w:b/>
                <w:sz w:val="16"/>
                <w:szCs w:val="16"/>
              </w:rPr>
            </w:pPr>
            <w:r w:rsidRPr="00171458">
              <w:rPr>
                <w:sz w:val="16"/>
                <w:szCs w:val="16"/>
              </w:rPr>
              <w:t>A workshop series for recently appointed principals</w:t>
            </w:r>
          </w:p>
          <w:p w14:paraId="64265B9C" w14:textId="77777777" w:rsidR="00DC4448" w:rsidRPr="00F73692" w:rsidRDefault="00DC4448" w:rsidP="006A1D2B">
            <w:pPr>
              <w:pStyle w:val="ListParagraph"/>
              <w:numPr>
                <w:ilvl w:val="0"/>
                <w:numId w:val="20"/>
              </w:numPr>
              <w:shd w:val="clear" w:color="auto" w:fill="EEECE1" w:themeFill="background2"/>
              <w:ind w:left="0" w:right="-30"/>
              <w:textAlignment w:val="baseline"/>
              <w:rPr>
                <w:b/>
                <w:sz w:val="16"/>
                <w:szCs w:val="16"/>
              </w:rPr>
            </w:pPr>
            <w:r w:rsidRPr="00171458">
              <w:rPr>
                <w:sz w:val="16"/>
                <w:szCs w:val="16"/>
              </w:rPr>
              <w:t xml:space="preserve">High Impact School Improvement – a series of nine workshops </w:t>
            </w:r>
          </w:p>
        </w:tc>
        <w:tc>
          <w:tcPr>
            <w:tcW w:w="1587" w:type="dxa"/>
            <w:shd w:val="clear" w:color="auto" w:fill="EEECE1" w:themeFill="background2"/>
          </w:tcPr>
          <w:p w14:paraId="2E956875" w14:textId="77777777" w:rsidR="00DC4448" w:rsidRPr="00171458" w:rsidRDefault="00DC4448" w:rsidP="002C6ABD">
            <w:pPr>
              <w:textAlignment w:val="baseline"/>
              <w:rPr>
                <w:rFonts w:eastAsia="Arial Narrow"/>
                <w:b/>
                <w:i/>
                <w:color w:val="000000"/>
                <w:sz w:val="16"/>
                <w:szCs w:val="16"/>
              </w:rPr>
            </w:pPr>
            <w:r w:rsidRPr="00171458">
              <w:rPr>
                <w:rFonts w:eastAsia="Arial Narrow"/>
                <w:i/>
                <w:color w:val="000000"/>
                <w:sz w:val="16"/>
                <w:szCs w:val="16"/>
              </w:rPr>
              <w:t>School Leadership</w:t>
            </w:r>
          </w:p>
          <w:p w14:paraId="34D522DA" w14:textId="77777777" w:rsidR="00DC4448" w:rsidRPr="00F73692" w:rsidRDefault="00DC4448" w:rsidP="002C6ABD">
            <w:pPr>
              <w:widowControl w:val="0"/>
              <w:autoSpaceDE w:val="0"/>
              <w:autoSpaceDN w:val="0"/>
              <w:adjustRightInd w:val="0"/>
              <w:rPr>
                <w:rFonts w:cs="Times"/>
                <w:b/>
                <w:bCs/>
                <w:sz w:val="16"/>
                <w:szCs w:val="16"/>
              </w:rPr>
            </w:pPr>
            <w:r>
              <w:rPr>
                <w:rFonts w:eastAsia="Arial Narrow"/>
                <w:color w:val="000000"/>
                <w:sz w:val="16"/>
                <w:szCs w:val="16"/>
              </w:rPr>
              <w:t xml:space="preserve">e.g. </w:t>
            </w:r>
            <w:r w:rsidRPr="00635EBE">
              <w:rPr>
                <w:rFonts w:cs="Arial"/>
                <w:bCs/>
                <w:sz w:val="16"/>
                <w:szCs w:val="16"/>
              </w:rPr>
              <w:t xml:space="preserve">Support will be provided to SA Catholic Primary Principals’ Association (SACPPA) and the Association of Principals of Catholic Secondary Schools (APCSS) to provide professional learning for </w:t>
            </w:r>
            <w:r w:rsidRPr="002B4BEB">
              <w:rPr>
                <w:i/>
                <w:sz w:val="16"/>
                <w:szCs w:val="16"/>
              </w:rPr>
              <w:t xml:space="preserve">clusters of principals </w:t>
            </w:r>
          </w:p>
        </w:tc>
      </w:tr>
      <w:tr w:rsidR="00DC4448" w14:paraId="13F3A519" w14:textId="77777777" w:rsidTr="009838C7">
        <w:tc>
          <w:tcPr>
            <w:tcW w:w="1587" w:type="dxa"/>
            <w:shd w:val="clear" w:color="auto" w:fill="F2F2F2" w:themeFill="background1" w:themeFillShade="F2"/>
          </w:tcPr>
          <w:p w14:paraId="6D9C66E6" w14:textId="77777777" w:rsidR="00DC4448" w:rsidRPr="009838C7" w:rsidRDefault="00DC4448" w:rsidP="002C6ABD">
            <w:pPr>
              <w:ind w:right="-69"/>
              <w:rPr>
                <w:rStyle w:val="Emphasis"/>
              </w:rPr>
            </w:pPr>
            <w:r w:rsidRPr="009838C7">
              <w:rPr>
                <w:rStyle w:val="Emphasis"/>
              </w:rPr>
              <w:t xml:space="preserve">Consultancy advice for schools </w:t>
            </w:r>
          </w:p>
          <w:p w14:paraId="24247B1F" w14:textId="77777777" w:rsidR="00DC4448" w:rsidRPr="009D1042" w:rsidRDefault="00DC4448" w:rsidP="002C6ABD">
            <w:pPr>
              <w:ind w:right="-69"/>
              <w:rPr>
                <w:rStyle w:val="Emphasis"/>
              </w:rPr>
            </w:pPr>
          </w:p>
        </w:tc>
        <w:tc>
          <w:tcPr>
            <w:tcW w:w="1587" w:type="dxa"/>
            <w:shd w:val="clear" w:color="auto" w:fill="FFFFFF" w:themeFill="background1"/>
          </w:tcPr>
          <w:p w14:paraId="26940797" w14:textId="173D62DA" w:rsidR="00DC4448" w:rsidRPr="005B3D34" w:rsidRDefault="0064309F" w:rsidP="0064309F">
            <w:pPr>
              <w:widowControl w:val="0"/>
              <w:autoSpaceDE w:val="0"/>
              <w:autoSpaceDN w:val="0"/>
              <w:adjustRightInd w:val="0"/>
              <w:spacing w:after="293"/>
              <w:ind w:left="-17"/>
              <w:rPr>
                <w:b/>
                <w:sz w:val="16"/>
                <w:szCs w:val="16"/>
              </w:rPr>
            </w:pPr>
            <w:r w:rsidRPr="0064309F">
              <w:rPr>
                <w:sz w:val="16"/>
                <w:szCs w:val="16"/>
              </w:rPr>
              <w:t>N/A</w:t>
            </w:r>
          </w:p>
        </w:tc>
        <w:tc>
          <w:tcPr>
            <w:tcW w:w="1587" w:type="dxa"/>
          </w:tcPr>
          <w:p w14:paraId="17F3EF98" w14:textId="684BDC23" w:rsidR="00DC4448" w:rsidRDefault="0064309F" w:rsidP="002C6ABD">
            <w:pPr>
              <w:rPr>
                <w:b/>
              </w:rPr>
            </w:pPr>
            <w:r w:rsidRPr="0064309F">
              <w:rPr>
                <w:sz w:val="16"/>
                <w:szCs w:val="16"/>
              </w:rPr>
              <w:t>N/A</w:t>
            </w:r>
          </w:p>
        </w:tc>
        <w:tc>
          <w:tcPr>
            <w:tcW w:w="1587" w:type="dxa"/>
          </w:tcPr>
          <w:p w14:paraId="043B557E" w14:textId="77777777" w:rsidR="00DC4448" w:rsidRPr="00632D85" w:rsidRDefault="00DC4448" w:rsidP="002C6ABD">
            <w:pPr>
              <w:ind w:right="-78"/>
              <w:rPr>
                <w:rFonts w:cs="Arial"/>
                <w:b/>
                <w:bCs/>
                <w:i/>
                <w:sz w:val="16"/>
                <w:szCs w:val="16"/>
              </w:rPr>
            </w:pPr>
            <w:r w:rsidRPr="00632D85">
              <w:rPr>
                <w:rFonts w:cs="Arial"/>
                <w:bCs/>
                <w:i/>
                <w:sz w:val="16"/>
                <w:szCs w:val="16"/>
              </w:rPr>
              <w:t xml:space="preserve">Quality </w:t>
            </w:r>
            <w:r>
              <w:rPr>
                <w:rFonts w:cs="Arial"/>
                <w:bCs/>
                <w:i/>
                <w:sz w:val="16"/>
                <w:szCs w:val="16"/>
              </w:rPr>
              <w:t>Teaching</w:t>
            </w:r>
          </w:p>
          <w:p w14:paraId="734B69E2" w14:textId="77777777" w:rsidR="00DC4448" w:rsidRPr="00632D85" w:rsidRDefault="00DC4448" w:rsidP="002C6ABD">
            <w:pPr>
              <w:widowControl w:val="0"/>
              <w:autoSpaceDE w:val="0"/>
              <w:autoSpaceDN w:val="0"/>
              <w:adjustRightInd w:val="0"/>
              <w:spacing w:after="240"/>
              <w:ind w:right="-78"/>
              <w:rPr>
                <w:b/>
                <w:sz w:val="16"/>
                <w:szCs w:val="16"/>
              </w:rPr>
            </w:pPr>
            <w:r>
              <w:rPr>
                <w:sz w:val="16"/>
                <w:szCs w:val="16"/>
              </w:rPr>
              <w:t xml:space="preserve">e.g. </w:t>
            </w:r>
            <w:r w:rsidRPr="00632D85">
              <w:rPr>
                <w:sz w:val="16"/>
                <w:szCs w:val="16"/>
              </w:rPr>
              <w:t xml:space="preserve">support </w:t>
            </w:r>
            <w:r>
              <w:rPr>
                <w:sz w:val="16"/>
                <w:szCs w:val="16"/>
              </w:rPr>
              <w:t>for</w:t>
            </w:r>
            <w:r w:rsidRPr="00632D85">
              <w:rPr>
                <w:sz w:val="16"/>
                <w:szCs w:val="16"/>
              </w:rPr>
              <w:t xml:space="preserve"> teachers, by developing Professional Learning Teams, analysing data, differentiating the curriculum to improve individual learning needs and introducing appropriate ICT to cater for </w:t>
            </w:r>
            <w:r>
              <w:rPr>
                <w:sz w:val="16"/>
                <w:szCs w:val="16"/>
              </w:rPr>
              <w:t>individual differences.</w:t>
            </w:r>
          </w:p>
        </w:tc>
        <w:tc>
          <w:tcPr>
            <w:tcW w:w="1587" w:type="dxa"/>
          </w:tcPr>
          <w:p w14:paraId="2F29FC43" w14:textId="6C2BD30E" w:rsidR="00DC4448" w:rsidRPr="008C43D5" w:rsidRDefault="0064309F" w:rsidP="002C6ABD">
            <w:pPr>
              <w:rPr>
                <w:b/>
                <w:sz w:val="16"/>
                <w:szCs w:val="16"/>
              </w:rPr>
            </w:pPr>
            <w:r w:rsidRPr="0064309F">
              <w:rPr>
                <w:sz w:val="16"/>
                <w:szCs w:val="16"/>
              </w:rPr>
              <w:t>N/A</w:t>
            </w:r>
          </w:p>
        </w:tc>
        <w:tc>
          <w:tcPr>
            <w:tcW w:w="1587" w:type="dxa"/>
            <w:shd w:val="clear" w:color="auto" w:fill="EEECE1" w:themeFill="background2"/>
          </w:tcPr>
          <w:p w14:paraId="78BF653C" w14:textId="77777777" w:rsidR="00DC4448" w:rsidRPr="008C43D5" w:rsidRDefault="00DC4448" w:rsidP="002C6ABD">
            <w:pPr>
              <w:autoSpaceDE w:val="0"/>
              <w:autoSpaceDN w:val="0"/>
              <w:adjustRightInd w:val="0"/>
              <w:rPr>
                <w:rFonts w:cs="Arial"/>
                <w:b/>
                <w:bCs/>
                <w:sz w:val="16"/>
                <w:szCs w:val="16"/>
              </w:rPr>
            </w:pPr>
            <w:r w:rsidRPr="008C43D5">
              <w:rPr>
                <w:rFonts w:cs="Arial"/>
                <w:bCs/>
                <w:i/>
                <w:sz w:val="16"/>
                <w:szCs w:val="16"/>
              </w:rPr>
              <w:t>School Leadership</w:t>
            </w:r>
            <w:r>
              <w:rPr>
                <w:rFonts w:cs="Arial"/>
                <w:bCs/>
                <w:sz w:val="16"/>
                <w:szCs w:val="16"/>
              </w:rPr>
              <w:t xml:space="preserve"> e.g. Self-improving Schools project –</w:t>
            </w:r>
            <w:r w:rsidRPr="008C43D5">
              <w:rPr>
                <w:rFonts w:cs="Arial"/>
                <w:bCs/>
                <w:sz w:val="16"/>
                <w:szCs w:val="16"/>
              </w:rPr>
              <w:t>supports schools assess effectiveness and plan for</w:t>
            </w:r>
          </w:p>
          <w:p w14:paraId="619BB943" w14:textId="77777777" w:rsidR="00DC4448" w:rsidRPr="008C43D5" w:rsidRDefault="00DC4448" w:rsidP="002C6ABD">
            <w:pPr>
              <w:autoSpaceDE w:val="0"/>
              <w:autoSpaceDN w:val="0"/>
              <w:adjustRightInd w:val="0"/>
              <w:rPr>
                <w:rFonts w:cs="Arial"/>
                <w:b/>
                <w:bCs/>
                <w:sz w:val="16"/>
                <w:szCs w:val="16"/>
              </w:rPr>
            </w:pPr>
            <w:r>
              <w:rPr>
                <w:rFonts w:cs="Arial"/>
                <w:bCs/>
                <w:sz w:val="16"/>
                <w:szCs w:val="16"/>
              </w:rPr>
              <w:t xml:space="preserve">improvement; </w:t>
            </w:r>
            <w:r w:rsidRPr="008C43D5">
              <w:rPr>
                <w:rFonts w:cs="Arial"/>
                <w:bCs/>
                <w:sz w:val="16"/>
                <w:szCs w:val="16"/>
              </w:rPr>
              <w:t xml:space="preserve"> </w:t>
            </w:r>
            <w:r>
              <w:rPr>
                <w:rFonts w:cs="Arial"/>
                <w:bCs/>
                <w:sz w:val="16"/>
                <w:szCs w:val="16"/>
              </w:rPr>
              <w:t xml:space="preserve">supported by </w:t>
            </w:r>
            <w:r w:rsidRPr="008C43D5">
              <w:rPr>
                <w:rFonts w:cs="Arial"/>
                <w:bCs/>
                <w:sz w:val="16"/>
                <w:szCs w:val="16"/>
              </w:rPr>
              <w:t>consultants with experience in school</w:t>
            </w:r>
          </w:p>
          <w:p w14:paraId="2E1F32F5" w14:textId="77777777" w:rsidR="00DC4448" w:rsidRPr="008C43D5" w:rsidRDefault="00DC4448" w:rsidP="002C6ABD">
            <w:pPr>
              <w:autoSpaceDE w:val="0"/>
              <w:autoSpaceDN w:val="0"/>
              <w:adjustRightInd w:val="0"/>
              <w:rPr>
                <w:b/>
                <w:sz w:val="16"/>
                <w:szCs w:val="16"/>
              </w:rPr>
            </w:pPr>
            <w:r w:rsidRPr="008C43D5">
              <w:rPr>
                <w:rFonts w:cs="Arial"/>
                <w:bCs/>
                <w:sz w:val="16"/>
                <w:szCs w:val="16"/>
              </w:rPr>
              <w:t xml:space="preserve">leadership and </w:t>
            </w:r>
            <w:r>
              <w:rPr>
                <w:rFonts w:cs="Arial"/>
                <w:bCs/>
                <w:sz w:val="16"/>
                <w:szCs w:val="16"/>
              </w:rPr>
              <w:t xml:space="preserve">school improvement </w:t>
            </w:r>
          </w:p>
        </w:tc>
        <w:tc>
          <w:tcPr>
            <w:tcW w:w="1587" w:type="dxa"/>
          </w:tcPr>
          <w:p w14:paraId="7DF29EE4" w14:textId="0EC59435" w:rsidR="00DC4448" w:rsidRDefault="0064309F" w:rsidP="002C6ABD">
            <w:pPr>
              <w:ind w:right="3"/>
              <w:rPr>
                <w:b/>
              </w:rPr>
            </w:pPr>
            <w:r w:rsidRPr="0064309F">
              <w:rPr>
                <w:sz w:val="16"/>
                <w:szCs w:val="16"/>
              </w:rPr>
              <w:t>N/A</w:t>
            </w:r>
          </w:p>
        </w:tc>
        <w:tc>
          <w:tcPr>
            <w:tcW w:w="1587" w:type="dxa"/>
          </w:tcPr>
          <w:p w14:paraId="5FC69261" w14:textId="77777777" w:rsidR="00DC4448" w:rsidRPr="00632D85" w:rsidRDefault="00DC4448" w:rsidP="002C6ABD">
            <w:pPr>
              <w:ind w:right="-30"/>
              <w:rPr>
                <w:rFonts w:cs="Arial"/>
                <w:b/>
                <w:bCs/>
                <w:i/>
                <w:sz w:val="16"/>
                <w:szCs w:val="16"/>
              </w:rPr>
            </w:pPr>
            <w:r w:rsidRPr="00632D85">
              <w:rPr>
                <w:rFonts w:cs="Arial"/>
                <w:bCs/>
                <w:i/>
                <w:sz w:val="16"/>
                <w:szCs w:val="16"/>
              </w:rPr>
              <w:t xml:space="preserve">Quality </w:t>
            </w:r>
            <w:r>
              <w:rPr>
                <w:rFonts w:cs="Arial"/>
                <w:bCs/>
                <w:i/>
                <w:sz w:val="16"/>
                <w:szCs w:val="16"/>
              </w:rPr>
              <w:t>Teaching e.g.</w:t>
            </w:r>
          </w:p>
          <w:p w14:paraId="5FEA6F53" w14:textId="77777777" w:rsidR="00DC4448" w:rsidRPr="00426FF7" w:rsidRDefault="00DC4448" w:rsidP="002C6ABD">
            <w:pPr>
              <w:ind w:right="-30"/>
              <w:textAlignment w:val="baseline"/>
              <w:rPr>
                <w:rFonts w:eastAsia="Arial Narrow"/>
                <w:b/>
                <w:color w:val="000000"/>
                <w:sz w:val="18"/>
                <w:szCs w:val="18"/>
              </w:rPr>
            </w:pPr>
            <w:r w:rsidRPr="00426FF7">
              <w:rPr>
                <w:rFonts w:eastAsia="Arial Narrow"/>
                <w:color w:val="000000"/>
                <w:sz w:val="18"/>
                <w:szCs w:val="18"/>
              </w:rPr>
              <w:t>AISSA will offer to assist schools to identify the professional learning priorities of their teachers and to address these priorities</w:t>
            </w:r>
          </w:p>
          <w:p w14:paraId="3FBDA60F" w14:textId="77777777" w:rsidR="00DC4448" w:rsidRDefault="00DC4448" w:rsidP="002C6ABD">
            <w:pPr>
              <w:ind w:right="-30"/>
              <w:rPr>
                <w:b/>
              </w:rPr>
            </w:pPr>
          </w:p>
        </w:tc>
        <w:tc>
          <w:tcPr>
            <w:tcW w:w="1587" w:type="dxa"/>
          </w:tcPr>
          <w:p w14:paraId="69985E4B" w14:textId="77777777" w:rsidR="00DC4448" w:rsidRPr="00171458" w:rsidRDefault="00DC4448" w:rsidP="002C6ABD">
            <w:pPr>
              <w:textAlignment w:val="baseline"/>
              <w:rPr>
                <w:rFonts w:eastAsia="Arial Narrow"/>
                <w:b/>
                <w:i/>
                <w:color w:val="000000"/>
                <w:sz w:val="16"/>
                <w:szCs w:val="16"/>
              </w:rPr>
            </w:pPr>
            <w:r w:rsidRPr="00171458">
              <w:rPr>
                <w:rFonts w:eastAsia="Arial Narrow"/>
                <w:i/>
                <w:color w:val="000000"/>
                <w:sz w:val="16"/>
                <w:szCs w:val="16"/>
              </w:rPr>
              <w:t>School Leadership</w:t>
            </w:r>
          </w:p>
          <w:p w14:paraId="15666314" w14:textId="77777777" w:rsidR="00DC4448" w:rsidRPr="00F73692" w:rsidRDefault="00DC4448" w:rsidP="002C6ABD">
            <w:pPr>
              <w:widowControl w:val="0"/>
              <w:autoSpaceDE w:val="0"/>
              <w:autoSpaceDN w:val="0"/>
              <w:adjustRightInd w:val="0"/>
              <w:rPr>
                <w:rFonts w:cs="Times"/>
                <w:b/>
                <w:bCs/>
                <w:sz w:val="16"/>
                <w:szCs w:val="16"/>
              </w:rPr>
            </w:pPr>
            <w:r>
              <w:rPr>
                <w:rFonts w:eastAsia="Arial Narrow"/>
                <w:color w:val="000000"/>
                <w:sz w:val="16"/>
                <w:szCs w:val="16"/>
              </w:rPr>
              <w:t xml:space="preserve">e.g. </w:t>
            </w:r>
            <w:r w:rsidRPr="008C20F1">
              <w:rPr>
                <w:rFonts w:cs="Arial"/>
                <w:bCs/>
                <w:sz w:val="16"/>
                <w:szCs w:val="16"/>
              </w:rPr>
              <w:t xml:space="preserve">Schools will be supported to undertake the Diagnostic Inventory of School Alignment in collaboration with University of Southern Queensland as part of Framework Domain 5: High Quality Teaching and Learning and Domain 6: Effective Use of Data </w:t>
            </w:r>
          </w:p>
        </w:tc>
      </w:tr>
      <w:tr w:rsidR="00DC4448" w14:paraId="04CB69A2" w14:textId="77777777" w:rsidTr="002C6ABD">
        <w:tc>
          <w:tcPr>
            <w:tcW w:w="1587" w:type="dxa"/>
            <w:shd w:val="clear" w:color="auto" w:fill="F2F2F2" w:themeFill="background1" w:themeFillShade="F2"/>
          </w:tcPr>
          <w:p w14:paraId="051177B8" w14:textId="77777777" w:rsidR="00DC4448" w:rsidRDefault="00DC4448" w:rsidP="002C6ABD">
            <w:pPr>
              <w:ind w:right="-69"/>
            </w:pPr>
            <w:r w:rsidRPr="009D1042">
              <w:rPr>
                <w:rStyle w:val="Emphasis"/>
              </w:rPr>
              <w:t>Coaching and mentoring Services</w:t>
            </w:r>
            <w:r>
              <w:t xml:space="preserve"> </w:t>
            </w:r>
          </w:p>
          <w:p w14:paraId="0A2A73D6" w14:textId="77777777" w:rsidR="00DC4448" w:rsidRDefault="00DC4448" w:rsidP="002C6ABD">
            <w:pPr>
              <w:ind w:right="-69"/>
              <w:rPr>
                <w:rStyle w:val="Emphasis"/>
              </w:rPr>
            </w:pPr>
          </w:p>
        </w:tc>
        <w:tc>
          <w:tcPr>
            <w:tcW w:w="1587" w:type="dxa"/>
          </w:tcPr>
          <w:p w14:paraId="19AA8FBE" w14:textId="4C3E8737" w:rsidR="00DC4448" w:rsidRDefault="0064309F" w:rsidP="002C6ABD">
            <w:pPr>
              <w:rPr>
                <w:b/>
              </w:rPr>
            </w:pPr>
            <w:r w:rsidRPr="0064309F">
              <w:rPr>
                <w:sz w:val="16"/>
                <w:szCs w:val="16"/>
              </w:rPr>
              <w:t>N/A</w:t>
            </w:r>
          </w:p>
        </w:tc>
        <w:tc>
          <w:tcPr>
            <w:tcW w:w="1587" w:type="dxa"/>
          </w:tcPr>
          <w:p w14:paraId="3F592BF0" w14:textId="500FDD7E" w:rsidR="00DC4448" w:rsidRDefault="0064309F" w:rsidP="002C6ABD">
            <w:pPr>
              <w:rPr>
                <w:b/>
              </w:rPr>
            </w:pPr>
            <w:r w:rsidRPr="0064309F">
              <w:rPr>
                <w:sz w:val="16"/>
                <w:szCs w:val="16"/>
              </w:rPr>
              <w:t>N/A</w:t>
            </w:r>
          </w:p>
        </w:tc>
        <w:tc>
          <w:tcPr>
            <w:tcW w:w="1587" w:type="dxa"/>
          </w:tcPr>
          <w:p w14:paraId="5AF76DB4" w14:textId="77777777" w:rsidR="00DC4448" w:rsidRPr="00632D85" w:rsidRDefault="00DC4448" w:rsidP="002C6ABD">
            <w:pPr>
              <w:shd w:val="clear" w:color="auto" w:fill="EEECE1" w:themeFill="background2"/>
              <w:ind w:right="-78"/>
              <w:rPr>
                <w:b/>
                <w:i/>
                <w:sz w:val="16"/>
                <w:szCs w:val="16"/>
              </w:rPr>
            </w:pPr>
            <w:r w:rsidRPr="00632D85">
              <w:rPr>
                <w:i/>
                <w:sz w:val="16"/>
                <w:szCs w:val="16"/>
              </w:rPr>
              <w:t>School Leadership</w:t>
            </w:r>
            <w:r>
              <w:rPr>
                <w:i/>
                <w:sz w:val="16"/>
                <w:szCs w:val="16"/>
              </w:rPr>
              <w:t xml:space="preserve"> e.g.</w:t>
            </w:r>
          </w:p>
          <w:p w14:paraId="61387239" w14:textId="77777777" w:rsidR="00DC4448" w:rsidRDefault="00DC4448" w:rsidP="002C6ABD">
            <w:pPr>
              <w:widowControl w:val="0"/>
              <w:shd w:val="clear" w:color="auto" w:fill="EEECE1" w:themeFill="background2"/>
              <w:autoSpaceDE w:val="0"/>
              <w:autoSpaceDN w:val="0"/>
              <w:adjustRightInd w:val="0"/>
              <w:spacing w:after="40"/>
              <w:ind w:right="-78"/>
              <w:rPr>
                <w:rFonts w:ascii="Times" w:hAnsi="Times" w:cs="Times"/>
                <w:b/>
                <w:bCs/>
              </w:rPr>
            </w:pPr>
            <w:r w:rsidRPr="00632D85">
              <w:rPr>
                <w:sz w:val="16"/>
                <w:szCs w:val="16"/>
              </w:rPr>
              <w:t>coaching and mentoring for Principals and school leaders, assistance with analysing data and developing strategic plans and assistance with the development of School Improvement Plans.</w:t>
            </w:r>
            <w:r>
              <w:rPr>
                <w:rFonts w:ascii="Arial" w:hAnsi="Arial" w:cs="Arial"/>
                <w:bCs/>
                <w:sz w:val="30"/>
                <w:szCs w:val="30"/>
              </w:rPr>
              <w:t xml:space="preserve"> </w:t>
            </w:r>
            <w:r>
              <w:rPr>
                <w:rFonts w:ascii="Times" w:hAnsi="Times" w:cs="Times"/>
                <w:bCs/>
              </w:rPr>
              <w:t> </w:t>
            </w:r>
          </w:p>
          <w:p w14:paraId="4D82DAC2" w14:textId="77777777" w:rsidR="00DC4448" w:rsidRPr="002B4BEB" w:rsidRDefault="00DC4448" w:rsidP="002C6ABD">
            <w:pPr>
              <w:shd w:val="clear" w:color="auto" w:fill="EEECE1" w:themeFill="background2"/>
              <w:ind w:right="-78"/>
              <w:rPr>
                <w:b/>
                <w:sz w:val="16"/>
                <w:szCs w:val="16"/>
              </w:rPr>
            </w:pPr>
            <w:r>
              <w:rPr>
                <w:i/>
                <w:sz w:val="16"/>
                <w:szCs w:val="16"/>
              </w:rPr>
              <w:t>Quality Teaching</w:t>
            </w:r>
            <w:r w:rsidRPr="00632D85">
              <w:rPr>
                <w:i/>
                <w:sz w:val="16"/>
                <w:szCs w:val="16"/>
              </w:rPr>
              <w:t xml:space="preserve"> </w:t>
            </w:r>
            <w:r w:rsidRPr="00632D85">
              <w:rPr>
                <w:sz w:val="16"/>
                <w:szCs w:val="16"/>
              </w:rPr>
              <w:t>direct</w:t>
            </w:r>
            <w:r>
              <w:rPr>
                <w:i/>
                <w:sz w:val="16"/>
                <w:szCs w:val="16"/>
              </w:rPr>
              <w:t xml:space="preserve"> </w:t>
            </w:r>
            <w:r w:rsidRPr="00632D85">
              <w:rPr>
                <w:sz w:val="16"/>
                <w:szCs w:val="16"/>
              </w:rPr>
              <w:t>support to teachers, by modelling best practice, coaching,</w:t>
            </w:r>
          </w:p>
        </w:tc>
        <w:tc>
          <w:tcPr>
            <w:tcW w:w="1587" w:type="dxa"/>
          </w:tcPr>
          <w:p w14:paraId="300F2D74" w14:textId="19CF6BB7" w:rsidR="00DC4448" w:rsidRDefault="0064309F" w:rsidP="002C6ABD">
            <w:pPr>
              <w:rPr>
                <w:b/>
              </w:rPr>
            </w:pPr>
            <w:r w:rsidRPr="0064309F">
              <w:rPr>
                <w:sz w:val="16"/>
                <w:szCs w:val="16"/>
              </w:rPr>
              <w:t>N/A</w:t>
            </w:r>
          </w:p>
        </w:tc>
        <w:tc>
          <w:tcPr>
            <w:tcW w:w="1587" w:type="dxa"/>
            <w:shd w:val="clear" w:color="auto" w:fill="EEECE1" w:themeFill="background2"/>
          </w:tcPr>
          <w:p w14:paraId="514F80F9" w14:textId="77777777" w:rsidR="00DC4448" w:rsidRDefault="00DC4448" w:rsidP="002C6ABD">
            <w:pPr>
              <w:rPr>
                <w:b/>
                <w:sz w:val="16"/>
                <w:szCs w:val="16"/>
              </w:rPr>
            </w:pPr>
            <w:r w:rsidRPr="007B64EE">
              <w:rPr>
                <w:i/>
                <w:sz w:val="16"/>
                <w:szCs w:val="16"/>
              </w:rPr>
              <w:t>Quality Teaching</w:t>
            </w:r>
            <w:r w:rsidRPr="007B64EE">
              <w:rPr>
                <w:sz w:val="16"/>
                <w:szCs w:val="16"/>
              </w:rPr>
              <w:t xml:space="preserve"> e.g</w:t>
            </w:r>
            <w:r>
              <w:rPr>
                <w:sz w:val="16"/>
                <w:szCs w:val="16"/>
              </w:rPr>
              <w:t>.</w:t>
            </w:r>
            <w:r>
              <w:t xml:space="preserve"> </w:t>
            </w:r>
            <w:r w:rsidRPr="007B64EE">
              <w:rPr>
                <w:sz w:val="16"/>
                <w:szCs w:val="16"/>
              </w:rPr>
              <w:t xml:space="preserve">Literacy and Numeracy </w:t>
            </w:r>
            <w:r>
              <w:rPr>
                <w:sz w:val="16"/>
                <w:szCs w:val="16"/>
              </w:rPr>
              <w:t>Coaching A</w:t>
            </w:r>
            <w:r w:rsidRPr="007B64EE">
              <w:rPr>
                <w:sz w:val="16"/>
                <w:szCs w:val="16"/>
              </w:rPr>
              <w:t>cademy</w:t>
            </w:r>
            <w:r>
              <w:rPr>
                <w:sz w:val="16"/>
                <w:szCs w:val="16"/>
              </w:rPr>
              <w:t xml:space="preserve"> – school coaches are trained for intensive in-school coaching</w:t>
            </w:r>
          </w:p>
          <w:p w14:paraId="7213B562" w14:textId="77777777" w:rsidR="00DC4448" w:rsidRDefault="00DC4448" w:rsidP="002C6ABD">
            <w:pPr>
              <w:rPr>
                <w:b/>
                <w:sz w:val="16"/>
                <w:szCs w:val="16"/>
              </w:rPr>
            </w:pPr>
          </w:p>
          <w:p w14:paraId="79226423" w14:textId="77777777" w:rsidR="00DC4448" w:rsidRDefault="00DC4448" w:rsidP="002C6ABD">
            <w:pPr>
              <w:rPr>
                <w:b/>
              </w:rPr>
            </w:pPr>
            <w:r>
              <w:rPr>
                <w:sz w:val="16"/>
                <w:szCs w:val="16"/>
              </w:rPr>
              <w:t xml:space="preserve">School Leadership Development – executive coaching for early career principals as main part of leadership program </w:t>
            </w:r>
          </w:p>
        </w:tc>
        <w:tc>
          <w:tcPr>
            <w:tcW w:w="1587" w:type="dxa"/>
            <w:shd w:val="clear" w:color="auto" w:fill="EEECE1" w:themeFill="background2"/>
          </w:tcPr>
          <w:p w14:paraId="3768965D" w14:textId="77777777" w:rsidR="00DC4448" w:rsidRPr="00161D01" w:rsidRDefault="00DC4448" w:rsidP="002C6ABD">
            <w:pPr>
              <w:widowControl w:val="0"/>
              <w:tabs>
                <w:tab w:val="left" w:pos="220"/>
                <w:tab w:val="left" w:pos="720"/>
              </w:tabs>
              <w:autoSpaceDE w:val="0"/>
              <w:autoSpaceDN w:val="0"/>
              <w:adjustRightInd w:val="0"/>
              <w:spacing w:after="240"/>
              <w:ind w:right="3"/>
              <w:rPr>
                <w:rFonts w:cs="Times"/>
                <w:b/>
                <w:bCs/>
                <w:sz w:val="16"/>
                <w:szCs w:val="16"/>
              </w:rPr>
            </w:pPr>
            <w:r w:rsidRPr="00161D01">
              <w:rPr>
                <w:i/>
                <w:sz w:val="16"/>
                <w:szCs w:val="16"/>
              </w:rPr>
              <w:t>Quality Teaching</w:t>
            </w:r>
            <w:r w:rsidRPr="00161D01">
              <w:rPr>
                <w:sz w:val="16"/>
                <w:szCs w:val="16"/>
              </w:rPr>
              <w:t xml:space="preserve"> e.g. </w:t>
            </w:r>
            <w:r w:rsidRPr="00161D01">
              <w:rPr>
                <w:rFonts w:cs="Calibri"/>
                <w:bCs/>
                <w:sz w:val="16"/>
                <w:szCs w:val="16"/>
              </w:rPr>
              <w:t xml:space="preserve">Provided staff with professional coaching courses and mentor training to support colleagues, including early career teachers </w:t>
            </w:r>
            <w:r w:rsidRPr="00161D01">
              <w:rPr>
                <w:rFonts w:cs="Times"/>
                <w:bCs/>
                <w:sz w:val="16"/>
                <w:szCs w:val="16"/>
              </w:rPr>
              <w:t> </w:t>
            </w:r>
          </w:p>
          <w:p w14:paraId="425D4D2B" w14:textId="77777777" w:rsidR="00DC4448" w:rsidRDefault="00DC4448" w:rsidP="002C6ABD">
            <w:pPr>
              <w:ind w:right="3"/>
              <w:rPr>
                <w:b/>
              </w:rPr>
            </w:pPr>
          </w:p>
        </w:tc>
        <w:tc>
          <w:tcPr>
            <w:tcW w:w="1587" w:type="dxa"/>
          </w:tcPr>
          <w:p w14:paraId="10664D3B" w14:textId="4BC88326" w:rsidR="00DC4448" w:rsidRDefault="0064309F" w:rsidP="002C6ABD">
            <w:pPr>
              <w:ind w:right="-30"/>
              <w:rPr>
                <w:b/>
              </w:rPr>
            </w:pPr>
            <w:r w:rsidRPr="0064309F">
              <w:rPr>
                <w:sz w:val="16"/>
                <w:szCs w:val="16"/>
              </w:rPr>
              <w:t>N/A</w:t>
            </w:r>
          </w:p>
        </w:tc>
        <w:tc>
          <w:tcPr>
            <w:tcW w:w="1587" w:type="dxa"/>
          </w:tcPr>
          <w:p w14:paraId="3FAD8569" w14:textId="0FD089CC" w:rsidR="00DC4448" w:rsidRPr="00193226" w:rsidRDefault="00DC4448" w:rsidP="002C6ABD">
            <w:pPr>
              <w:widowControl w:val="0"/>
              <w:autoSpaceDE w:val="0"/>
              <w:autoSpaceDN w:val="0"/>
              <w:adjustRightInd w:val="0"/>
              <w:spacing w:after="240"/>
              <w:rPr>
                <w:rFonts w:cs="Times"/>
                <w:b/>
                <w:bCs/>
                <w:sz w:val="16"/>
                <w:szCs w:val="16"/>
              </w:rPr>
            </w:pPr>
            <w:r w:rsidRPr="00632D85">
              <w:rPr>
                <w:i/>
                <w:sz w:val="16"/>
                <w:szCs w:val="16"/>
              </w:rPr>
              <w:t>School Leadership</w:t>
            </w:r>
            <w:r>
              <w:rPr>
                <w:i/>
                <w:sz w:val="16"/>
                <w:szCs w:val="16"/>
              </w:rPr>
              <w:t xml:space="preserve"> </w:t>
            </w:r>
            <w:r w:rsidR="00C2634B">
              <w:rPr>
                <w:i/>
                <w:sz w:val="16"/>
                <w:szCs w:val="16"/>
              </w:rPr>
              <w:t>e.g.</w:t>
            </w:r>
            <w:r w:rsidRPr="00193226">
              <w:rPr>
                <w:rFonts w:cs="Arial"/>
                <w:bCs/>
                <w:sz w:val="16"/>
                <w:szCs w:val="16"/>
              </w:rPr>
              <w:t xml:space="preserve"> Participants will be provided with face-to-face personal coaching sessions in rural leadership through the partnership established between CEO and the Queensland Education Leadership Institute (QeLI) </w:t>
            </w:r>
          </w:p>
          <w:p w14:paraId="7EE3D0BA" w14:textId="77777777" w:rsidR="00DC4448" w:rsidRDefault="00DC4448" w:rsidP="002C6ABD">
            <w:pPr>
              <w:rPr>
                <w:b/>
              </w:rPr>
            </w:pPr>
          </w:p>
        </w:tc>
      </w:tr>
      <w:tr w:rsidR="00DC4448" w14:paraId="00EF1941" w14:textId="77777777" w:rsidTr="0064309F">
        <w:trPr>
          <w:trHeight w:val="3924"/>
        </w:trPr>
        <w:tc>
          <w:tcPr>
            <w:tcW w:w="1587" w:type="dxa"/>
            <w:shd w:val="clear" w:color="auto" w:fill="F2F2F2" w:themeFill="background1" w:themeFillShade="F2"/>
          </w:tcPr>
          <w:p w14:paraId="0AA01B49" w14:textId="77777777" w:rsidR="00DC4448" w:rsidRDefault="00DC4448" w:rsidP="002C6ABD">
            <w:pPr>
              <w:ind w:right="-69"/>
            </w:pPr>
            <w:r w:rsidRPr="009D1042">
              <w:rPr>
                <w:rStyle w:val="Emphasis"/>
              </w:rPr>
              <w:t>On-line Tools</w:t>
            </w:r>
            <w:r>
              <w:t xml:space="preserve"> </w:t>
            </w:r>
          </w:p>
          <w:p w14:paraId="3B43722C" w14:textId="77777777" w:rsidR="00DC4448" w:rsidRDefault="00DC4448" w:rsidP="002C6ABD">
            <w:pPr>
              <w:ind w:right="-69"/>
              <w:rPr>
                <w:b/>
              </w:rPr>
            </w:pPr>
          </w:p>
        </w:tc>
        <w:tc>
          <w:tcPr>
            <w:tcW w:w="1587" w:type="dxa"/>
          </w:tcPr>
          <w:p w14:paraId="257FD3BC" w14:textId="77777777" w:rsidR="00DC4448" w:rsidRPr="005B3D34" w:rsidRDefault="00DC4448" w:rsidP="002C6ABD">
            <w:pPr>
              <w:rPr>
                <w:b/>
                <w:sz w:val="16"/>
                <w:szCs w:val="16"/>
              </w:rPr>
            </w:pPr>
            <w:r>
              <w:rPr>
                <w:sz w:val="16"/>
                <w:szCs w:val="16"/>
              </w:rPr>
              <w:t>Early L</w:t>
            </w:r>
            <w:r w:rsidRPr="005B3D34">
              <w:rPr>
                <w:sz w:val="16"/>
                <w:szCs w:val="16"/>
              </w:rPr>
              <w:t>iteracy</w:t>
            </w:r>
            <w:r>
              <w:rPr>
                <w:sz w:val="16"/>
                <w:szCs w:val="16"/>
              </w:rPr>
              <w:t>, resources – a screening tool and prof learning modules</w:t>
            </w:r>
          </w:p>
        </w:tc>
        <w:tc>
          <w:tcPr>
            <w:tcW w:w="1587" w:type="dxa"/>
          </w:tcPr>
          <w:p w14:paraId="33EA8D4B" w14:textId="14A5DCDE" w:rsidR="00DC4448" w:rsidRDefault="0064309F" w:rsidP="002C6ABD">
            <w:pPr>
              <w:rPr>
                <w:b/>
              </w:rPr>
            </w:pPr>
            <w:r w:rsidRPr="0064309F">
              <w:rPr>
                <w:sz w:val="16"/>
                <w:szCs w:val="16"/>
              </w:rPr>
              <w:t>N/A</w:t>
            </w:r>
          </w:p>
        </w:tc>
        <w:tc>
          <w:tcPr>
            <w:tcW w:w="1587" w:type="dxa"/>
          </w:tcPr>
          <w:p w14:paraId="483B405A" w14:textId="36096899" w:rsidR="00DC4448" w:rsidRDefault="0064309F" w:rsidP="002C6ABD">
            <w:pPr>
              <w:ind w:right="-78"/>
              <w:rPr>
                <w:b/>
              </w:rPr>
            </w:pPr>
            <w:r w:rsidRPr="0064309F">
              <w:rPr>
                <w:sz w:val="16"/>
                <w:szCs w:val="16"/>
              </w:rPr>
              <w:t>N/A</w:t>
            </w:r>
          </w:p>
        </w:tc>
        <w:tc>
          <w:tcPr>
            <w:tcW w:w="1587" w:type="dxa"/>
          </w:tcPr>
          <w:p w14:paraId="242088D3" w14:textId="61E7727F" w:rsidR="00DC4448" w:rsidRDefault="0064309F" w:rsidP="002C6ABD">
            <w:pPr>
              <w:rPr>
                <w:b/>
              </w:rPr>
            </w:pPr>
            <w:r w:rsidRPr="0064309F">
              <w:rPr>
                <w:sz w:val="16"/>
                <w:szCs w:val="16"/>
              </w:rPr>
              <w:t>N/A</w:t>
            </w:r>
          </w:p>
        </w:tc>
        <w:tc>
          <w:tcPr>
            <w:tcW w:w="1587" w:type="dxa"/>
          </w:tcPr>
          <w:p w14:paraId="0F2DCF1C" w14:textId="5CFF28D1" w:rsidR="00DC4448" w:rsidRDefault="0064309F" w:rsidP="002C6ABD">
            <w:pPr>
              <w:rPr>
                <w:b/>
              </w:rPr>
            </w:pPr>
            <w:r w:rsidRPr="0064309F">
              <w:rPr>
                <w:sz w:val="16"/>
                <w:szCs w:val="16"/>
              </w:rPr>
              <w:t>N/A</w:t>
            </w:r>
          </w:p>
        </w:tc>
        <w:tc>
          <w:tcPr>
            <w:tcW w:w="1587" w:type="dxa"/>
          </w:tcPr>
          <w:p w14:paraId="6B6F3172" w14:textId="77777777" w:rsidR="00DC4448" w:rsidRPr="007E7CD3" w:rsidRDefault="00DC4448" w:rsidP="002C6ABD">
            <w:pPr>
              <w:widowControl w:val="0"/>
              <w:tabs>
                <w:tab w:val="left" w:pos="220"/>
                <w:tab w:val="left" w:pos="720"/>
              </w:tabs>
              <w:autoSpaceDE w:val="0"/>
              <w:autoSpaceDN w:val="0"/>
              <w:adjustRightInd w:val="0"/>
              <w:spacing w:after="240"/>
              <w:ind w:right="3"/>
              <w:rPr>
                <w:rFonts w:cs="Times"/>
                <w:b/>
                <w:bCs/>
                <w:sz w:val="16"/>
                <w:szCs w:val="16"/>
              </w:rPr>
            </w:pPr>
            <w:r>
              <w:rPr>
                <w:i/>
                <w:sz w:val="16"/>
                <w:szCs w:val="16"/>
              </w:rPr>
              <w:t>Quality L</w:t>
            </w:r>
            <w:r w:rsidRPr="005B3D34">
              <w:rPr>
                <w:i/>
                <w:sz w:val="16"/>
                <w:szCs w:val="16"/>
              </w:rPr>
              <w:t>earning</w:t>
            </w:r>
            <w:r w:rsidRPr="005B3D34">
              <w:rPr>
                <w:sz w:val="16"/>
                <w:szCs w:val="16"/>
              </w:rPr>
              <w:t xml:space="preserve"> e.g. </w:t>
            </w:r>
            <w:r w:rsidRPr="007E7CD3">
              <w:rPr>
                <w:rFonts w:cs="Calibri"/>
                <w:bCs/>
                <w:sz w:val="16"/>
                <w:szCs w:val="16"/>
              </w:rPr>
              <w:t xml:space="preserve">Developed tracking mechanisms and an online ACER Q- Central in Mathematics and English tool to enhance pre and post testing </w:t>
            </w:r>
            <w:r w:rsidRPr="007E7CD3">
              <w:rPr>
                <w:rFonts w:cs="Times"/>
                <w:bCs/>
                <w:sz w:val="16"/>
                <w:szCs w:val="16"/>
              </w:rPr>
              <w:t> </w:t>
            </w:r>
          </w:p>
          <w:p w14:paraId="23C8DF2C" w14:textId="77777777" w:rsidR="00DC4448" w:rsidRDefault="00DC4448" w:rsidP="002C6ABD">
            <w:pPr>
              <w:ind w:right="3"/>
              <w:rPr>
                <w:b/>
              </w:rPr>
            </w:pPr>
          </w:p>
        </w:tc>
        <w:tc>
          <w:tcPr>
            <w:tcW w:w="1587" w:type="dxa"/>
          </w:tcPr>
          <w:p w14:paraId="6C265F18" w14:textId="70FF0B40" w:rsidR="00DC4448" w:rsidRDefault="0064309F" w:rsidP="002C6ABD">
            <w:pPr>
              <w:ind w:right="-30"/>
              <w:rPr>
                <w:b/>
              </w:rPr>
            </w:pPr>
            <w:r w:rsidRPr="0064309F">
              <w:rPr>
                <w:sz w:val="16"/>
                <w:szCs w:val="16"/>
              </w:rPr>
              <w:t>N/A</w:t>
            </w:r>
          </w:p>
        </w:tc>
        <w:tc>
          <w:tcPr>
            <w:tcW w:w="1587" w:type="dxa"/>
            <w:shd w:val="clear" w:color="auto" w:fill="EEECE1" w:themeFill="background2"/>
          </w:tcPr>
          <w:p w14:paraId="171AF9D5" w14:textId="2ED314D2" w:rsidR="00DC4448" w:rsidRPr="002B4BEB" w:rsidRDefault="00DC4448" w:rsidP="002C6ABD">
            <w:pPr>
              <w:widowControl w:val="0"/>
              <w:autoSpaceDE w:val="0"/>
              <w:autoSpaceDN w:val="0"/>
              <w:adjustRightInd w:val="0"/>
              <w:rPr>
                <w:rFonts w:cs="Times"/>
                <w:b/>
                <w:bCs/>
                <w:sz w:val="16"/>
                <w:szCs w:val="16"/>
              </w:rPr>
            </w:pPr>
            <w:r w:rsidRPr="00632D85">
              <w:rPr>
                <w:i/>
                <w:sz w:val="16"/>
                <w:szCs w:val="16"/>
              </w:rPr>
              <w:t>School Leadership</w:t>
            </w:r>
            <w:r>
              <w:rPr>
                <w:i/>
                <w:sz w:val="16"/>
                <w:szCs w:val="16"/>
              </w:rPr>
              <w:t xml:space="preserve"> </w:t>
            </w:r>
            <w:r w:rsidR="00C2634B">
              <w:rPr>
                <w:i/>
                <w:sz w:val="16"/>
                <w:szCs w:val="16"/>
              </w:rPr>
              <w:t>e.g.</w:t>
            </w:r>
            <w:r w:rsidRPr="00171458">
              <w:rPr>
                <w:rFonts w:eastAsia="Arial Narrow"/>
                <w:color w:val="000000"/>
                <w:sz w:val="16"/>
                <w:szCs w:val="16"/>
              </w:rPr>
              <w:t xml:space="preserve"> </w:t>
            </w:r>
            <w:r w:rsidRPr="008C20F1">
              <w:rPr>
                <w:rFonts w:cs="Arial"/>
                <w:bCs/>
                <w:sz w:val="16"/>
                <w:szCs w:val="16"/>
              </w:rPr>
              <w:t>Le</w:t>
            </w:r>
            <w:r>
              <w:rPr>
                <w:rFonts w:cs="Arial"/>
                <w:bCs/>
                <w:sz w:val="16"/>
                <w:szCs w:val="16"/>
              </w:rPr>
              <w:t xml:space="preserve">adership Profiling Project </w:t>
            </w:r>
            <w:r w:rsidRPr="008C20F1">
              <w:rPr>
                <w:rFonts w:cs="Arial"/>
                <w:bCs/>
                <w:sz w:val="16"/>
                <w:szCs w:val="16"/>
              </w:rPr>
              <w:t>collate</w:t>
            </w:r>
            <w:r>
              <w:rPr>
                <w:rFonts w:cs="Arial"/>
                <w:bCs/>
                <w:sz w:val="16"/>
                <w:szCs w:val="16"/>
              </w:rPr>
              <w:t>s</w:t>
            </w:r>
            <w:r w:rsidRPr="008C20F1">
              <w:rPr>
                <w:rFonts w:cs="Arial"/>
                <w:bCs/>
                <w:sz w:val="16"/>
                <w:szCs w:val="16"/>
              </w:rPr>
              <w:t xml:space="preserve"> existing paper and electronic records for all principals and deputy principals into a single coherent data base that includes tenures, appraisals, professional development undertaken, school improvement plans and other entitlements. </w:t>
            </w:r>
          </w:p>
        </w:tc>
      </w:tr>
      <w:tr w:rsidR="00DC4448" w14:paraId="490D9A88" w14:textId="77777777" w:rsidTr="002C6ABD">
        <w:tc>
          <w:tcPr>
            <w:tcW w:w="1587" w:type="dxa"/>
            <w:shd w:val="clear" w:color="auto" w:fill="F2F2F2" w:themeFill="background1" w:themeFillShade="F2"/>
          </w:tcPr>
          <w:p w14:paraId="6FA880EB" w14:textId="77777777" w:rsidR="00DC4448" w:rsidRDefault="00DC4448" w:rsidP="002C6ABD">
            <w:pPr>
              <w:ind w:right="-69"/>
              <w:rPr>
                <w:b/>
              </w:rPr>
            </w:pPr>
            <w:r w:rsidRPr="009D1042">
              <w:rPr>
                <w:rStyle w:val="Emphasis"/>
              </w:rPr>
              <w:t>Resource provision</w:t>
            </w:r>
            <w:r>
              <w:t xml:space="preserve"> </w:t>
            </w:r>
          </w:p>
          <w:p w14:paraId="2E669AF4" w14:textId="77777777" w:rsidR="00DC4448" w:rsidRDefault="00DC4448" w:rsidP="002C6ABD">
            <w:pPr>
              <w:ind w:right="-69"/>
              <w:rPr>
                <w:b/>
              </w:rPr>
            </w:pPr>
          </w:p>
        </w:tc>
        <w:tc>
          <w:tcPr>
            <w:tcW w:w="1587" w:type="dxa"/>
          </w:tcPr>
          <w:p w14:paraId="315350F1" w14:textId="6A3BA655" w:rsidR="00DC4448" w:rsidRDefault="0064309F" w:rsidP="002C6ABD">
            <w:pPr>
              <w:rPr>
                <w:b/>
              </w:rPr>
            </w:pPr>
            <w:r w:rsidRPr="0064309F">
              <w:rPr>
                <w:sz w:val="16"/>
                <w:szCs w:val="16"/>
              </w:rPr>
              <w:t>N/A</w:t>
            </w:r>
          </w:p>
        </w:tc>
        <w:tc>
          <w:tcPr>
            <w:tcW w:w="1587" w:type="dxa"/>
            <w:shd w:val="clear" w:color="auto" w:fill="EEECE1" w:themeFill="background2"/>
          </w:tcPr>
          <w:p w14:paraId="64550045" w14:textId="77777777" w:rsidR="00DC4448" w:rsidRPr="00FC2978" w:rsidRDefault="00DC4448" w:rsidP="002C6ABD">
            <w:pPr>
              <w:rPr>
                <w:b/>
                <w:sz w:val="16"/>
                <w:szCs w:val="16"/>
              </w:rPr>
            </w:pPr>
            <w:r w:rsidRPr="00FC2978">
              <w:rPr>
                <w:i/>
                <w:sz w:val="16"/>
                <w:szCs w:val="16"/>
              </w:rPr>
              <w:t>Quality Learning</w:t>
            </w:r>
            <w:r w:rsidRPr="00FC2978">
              <w:rPr>
                <w:sz w:val="16"/>
                <w:szCs w:val="16"/>
              </w:rPr>
              <w:t xml:space="preserve"> e.g. numerous state</w:t>
            </w:r>
            <w:r>
              <w:rPr>
                <w:sz w:val="16"/>
                <w:szCs w:val="16"/>
              </w:rPr>
              <w:t xml:space="preserve"> </w:t>
            </w:r>
            <w:r w:rsidRPr="00FC2978">
              <w:rPr>
                <w:sz w:val="16"/>
                <w:szCs w:val="16"/>
              </w:rPr>
              <w:t xml:space="preserve">wide curriculum, teaching and learning Australian and NSW </w:t>
            </w:r>
            <w:r>
              <w:rPr>
                <w:sz w:val="16"/>
                <w:szCs w:val="16"/>
              </w:rPr>
              <w:t>G</w:t>
            </w:r>
            <w:r w:rsidRPr="00FC2978">
              <w:rPr>
                <w:sz w:val="16"/>
                <w:szCs w:val="16"/>
              </w:rPr>
              <w:t xml:space="preserve">overnment priorities </w:t>
            </w:r>
            <w:r>
              <w:rPr>
                <w:sz w:val="16"/>
                <w:szCs w:val="16"/>
              </w:rPr>
              <w:t xml:space="preserve">– resources and support for teachers </w:t>
            </w:r>
          </w:p>
        </w:tc>
        <w:tc>
          <w:tcPr>
            <w:tcW w:w="1587" w:type="dxa"/>
          </w:tcPr>
          <w:p w14:paraId="2BF8454A" w14:textId="3B220F99" w:rsidR="00DC4448" w:rsidRPr="002B4BEB" w:rsidRDefault="00DC4448" w:rsidP="002C6ABD">
            <w:pPr>
              <w:ind w:right="-78"/>
              <w:rPr>
                <w:b/>
                <w:i/>
                <w:sz w:val="16"/>
                <w:szCs w:val="16"/>
              </w:rPr>
            </w:pPr>
            <w:r w:rsidRPr="00632D85">
              <w:rPr>
                <w:i/>
                <w:sz w:val="16"/>
                <w:szCs w:val="16"/>
              </w:rPr>
              <w:t>School Leadership</w:t>
            </w:r>
            <w:r>
              <w:rPr>
                <w:i/>
                <w:sz w:val="16"/>
                <w:szCs w:val="16"/>
              </w:rPr>
              <w:t xml:space="preserve"> </w:t>
            </w:r>
            <w:r w:rsidR="00C2634B">
              <w:rPr>
                <w:i/>
                <w:sz w:val="16"/>
                <w:szCs w:val="16"/>
              </w:rPr>
              <w:t>e.g.</w:t>
            </w:r>
            <w:r>
              <w:rPr>
                <w:i/>
                <w:sz w:val="16"/>
                <w:szCs w:val="16"/>
              </w:rPr>
              <w:t xml:space="preserve"> a </w:t>
            </w:r>
            <w:r w:rsidRPr="00A177FA">
              <w:rPr>
                <w:rFonts w:cs="Arial"/>
                <w:bCs/>
                <w:sz w:val="18"/>
                <w:szCs w:val="18"/>
              </w:rPr>
              <w:t xml:space="preserve">survey and benchmarking service called </w:t>
            </w:r>
            <w:r>
              <w:rPr>
                <w:rFonts w:cs="Arial"/>
                <w:bCs/>
                <w:i/>
                <w:iCs/>
                <w:sz w:val="18"/>
                <w:szCs w:val="18"/>
              </w:rPr>
              <w:t>LEA</w:t>
            </w:r>
            <w:r w:rsidRPr="00A177FA">
              <w:rPr>
                <w:rFonts w:cs="Arial"/>
                <w:bCs/>
                <w:i/>
                <w:iCs/>
                <w:sz w:val="18"/>
                <w:szCs w:val="18"/>
              </w:rPr>
              <w:t xml:space="preserve">D </w:t>
            </w:r>
            <w:r w:rsidRPr="00A177FA">
              <w:rPr>
                <w:rFonts w:cs="Arial"/>
                <w:bCs/>
                <w:sz w:val="18"/>
                <w:szCs w:val="18"/>
              </w:rPr>
              <w:t>(Listen, Evaluate, Act, Deliver)</w:t>
            </w:r>
            <w:r>
              <w:rPr>
                <w:rFonts w:cs="Arial"/>
                <w:bCs/>
                <w:sz w:val="18"/>
                <w:szCs w:val="18"/>
              </w:rPr>
              <w:t xml:space="preserve"> - </w:t>
            </w:r>
            <w:r w:rsidRPr="00A177FA">
              <w:rPr>
                <w:rFonts w:cs="Arial"/>
                <w:bCs/>
                <w:sz w:val="18"/>
                <w:szCs w:val="18"/>
              </w:rPr>
              <w:t>a suite of seven stakeholder opinion surveys that provide a robust tool to assess and improve school performance.  </w:t>
            </w:r>
          </w:p>
        </w:tc>
        <w:tc>
          <w:tcPr>
            <w:tcW w:w="1587" w:type="dxa"/>
          </w:tcPr>
          <w:p w14:paraId="6E86E2C6" w14:textId="77FE8500" w:rsidR="00DC4448" w:rsidRDefault="0064309F" w:rsidP="002C6ABD">
            <w:pPr>
              <w:rPr>
                <w:b/>
              </w:rPr>
            </w:pPr>
            <w:r w:rsidRPr="0064309F">
              <w:rPr>
                <w:sz w:val="16"/>
                <w:szCs w:val="16"/>
              </w:rPr>
              <w:t>N/A</w:t>
            </w:r>
          </w:p>
        </w:tc>
        <w:tc>
          <w:tcPr>
            <w:tcW w:w="1587" w:type="dxa"/>
          </w:tcPr>
          <w:p w14:paraId="47B6BD4A" w14:textId="77777777" w:rsidR="00DC4448" w:rsidRPr="008C43D5" w:rsidRDefault="00DC4448" w:rsidP="002C6ABD">
            <w:pPr>
              <w:rPr>
                <w:b/>
                <w:i/>
                <w:sz w:val="16"/>
                <w:szCs w:val="16"/>
              </w:rPr>
            </w:pPr>
            <w:r w:rsidRPr="008C43D5">
              <w:rPr>
                <w:i/>
                <w:sz w:val="16"/>
                <w:szCs w:val="16"/>
              </w:rPr>
              <w:t>Transparency and Accountability</w:t>
            </w:r>
          </w:p>
          <w:p w14:paraId="4888A75C" w14:textId="77777777" w:rsidR="00DC4448" w:rsidRDefault="00DC4448" w:rsidP="002C6ABD">
            <w:pPr>
              <w:rPr>
                <w:b/>
              </w:rPr>
            </w:pPr>
            <w:r w:rsidRPr="008C43D5">
              <w:rPr>
                <w:sz w:val="16"/>
                <w:szCs w:val="16"/>
              </w:rPr>
              <w:t>e.g</w:t>
            </w:r>
            <w:r>
              <w:rPr>
                <w:sz w:val="16"/>
                <w:szCs w:val="16"/>
              </w:rPr>
              <w:t>.</w:t>
            </w:r>
            <w:r w:rsidRPr="008C43D5">
              <w:rPr>
                <w:sz w:val="16"/>
                <w:szCs w:val="16"/>
              </w:rPr>
              <w:t xml:space="preserve"> resources and on-line tools used in professional learning for governance support of Boards</w:t>
            </w:r>
            <w:r>
              <w:t xml:space="preserve">  </w:t>
            </w:r>
          </w:p>
        </w:tc>
        <w:tc>
          <w:tcPr>
            <w:tcW w:w="1587" w:type="dxa"/>
          </w:tcPr>
          <w:p w14:paraId="3D894858" w14:textId="77777777" w:rsidR="00DC4448" w:rsidRPr="007E7CD3" w:rsidRDefault="00DC4448" w:rsidP="002C6ABD">
            <w:pPr>
              <w:ind w:right="3"/>
              <w:rPr>
                <w:b/>
                <w:sz w:val="16"/>
                <w:szCs w:val="16"/>
              </w:rPr>
            </w:pPr>
            <w:r w:rsidRPr="00161D01">
              <w:rPr>
                <w:i/>
                <w:sz w:val="16"/>
                <w:szCs w:val="16"/>
              </w:rPr>
              <w:t>Quality Teaching</w:t>
            </w:r>
            <w:r w:rsidRPr="00161D01">
              <w:rPr>
                <w:sz w:val="16"/>
                <w:szCs w:val="16"/>
              </w:rPr>
              <w:t xml:space="preserve"> e.g. </w:t>
            </w:r>
            <w:r w:rsidRPr="007E7CD3">
              <w:rPr>
                <w:sz w:val="16"/>
                <w:szCs w:val="16"/>
              </w:rPr>
              <w:t xml:space="preserve">Resources to support teachers in the areas of: </w:t>
            </w:r>
          </w:p>
          <w:p w14:paraId="56A91C3A" w14:textId="77777777" w:rsidR="00DC4448" w:rsidRPr="007E7CD3" w:rsidRDefault="00DC4448" w:rsidP="002C6ABD">
            <w:pPr>
              <w:ind w:right="3"/>
              <w:rPr>
                <w:b/>
                <w:sz w:val="16"/>
                <w:szCs w:val="16"/>
              </w:rPr>
            </w:pPr>
            <w:r w:rsidRPr="007E7CD3">
              <w:rPr>
                <w:sz w:val="16"/>
                <w:szCs w:val="16"/>
              </w:rPr>
              <w:t xml:space="preserve">Australian Curriculum–Digital Technologies and Health and Physical Education (suite of videos) </w:t>
            </w:r>
          </w:p>
          <w:p w14:paraId="30ACC91E" w14:textId="77777777" w:rsidR="00DC4448" w:rsidRDefault="00DC4448" w:rsidP="002C6ABD">
            <w:pPr>
              <w:ind w:right="3"/>
              <w:rPr>
                <w:b/>
              </w:rPr>
            </w:pPr>
          </w:p>
        </w:tc>
        <w:tc>
          <w:tcPr>
            <w:tcW w:w="1587" w:type="dxa"/>
            <w:shd w:val="clear" w:color="auto" w:fill="EEECE1" w:themeFill="background2"/>
          </w:tcPr>
          <w:p w14:paraId="6FAC5AE3" w14:textId="63FC67AF" w:rsidR="00DC4448" w:rsidRDefault="00DC4448" w:rsidP="002C6ABD">
            <w:pPr>
              <w:ind w:right="-30"/>
              <w:rPr>
                <w:rFonts w:eastAsia="Arial Narrow"/>
                <w:b/>
                <w:color w:val="000000"/>
                <w:sz w:val="16"/>
                <w:szCs w:val="16"/>
              </w:rPr>
            </w:pPr>
            <w:r w:rsidRPr="00632D85">
              <w:rPr>
                <w:i/>
                <w:sz w:val="16"/>
                <w:szCs w:val="16"/>
              </w:rPr>
              <w:t>School Leadership</w:t>
            </w:r>
            <w:r>
              <w:rPr>
                <w:i/>
                <w:sz w:val="16"/>
                <w:szCs w:val="16"/>
              </w:rPr>
              <w:t xml:space="preserve"> </w:t>
            </w:r>
            <w:r w:rsidR="00C2634B">
              <w:rPr>
                <w:i/>
                <w:sz w:val="16"/>
                <w:szCs w:val="16"/>
              </w:rPr>
              <w:t>e.g.</w:t>
            </w:r>
            <w:r w:rsidRPr="00171458">
              <w:rPr>
                <w:rFonts w:eastAsia="Arial Narrow"/>
                <w:color w:val="000000"/>
                <w:sz w:val="16"/>
                <w:szCs w:val="16"/>
              </w:rPr>
              <w:t xml:space="preserve"> </w:t>
            </w:r>
            <w:r>
              <w:rPr>
                <w:rFonts w:eastAsia="Arial Narrow"/>
                <w:color w:val="000000"/>
                <w:sz w:val="16"/>
                <w:szCs w:val="16"/>
              </w:rPr>
              <w:t>D</w:t>
            </w:r>
            <w:r w:rsidRPr="00171458">
              <w:rPr>
                <w:rFonts w:eastAsia="Arial Narrow"/>
                <w:color w:val="000000"/>
                <w:sz w:val="16"/>
                <w:szCs w:val="16"/>
              </w:rPr>
              <w:t>evelop and release a High Impact School Improvement Tool, which will include research, strategies and resources to support school leaders in their school improvement journey.  It will be developed in conjunction with schools</w:t>
            </w:r>
          </w:p>
          <w:p w14:paraId="4227B23F" w14:textId="77777777" w:rsidR="00DC4448" w:rsidRDefault="00DC4448" w:rsidP="002C6ABD">
            <w:pPr>
              <w:ind w:right="-30"/>
              <w:rPr>
                <w:rFonts w:eastAsia="Arial Narrow"/>
                <w:b/>
                <w:color w:val="000000"/>
                <w:sz w:val="16"/>
                <w:szCs w:val="16"/>
              </w:rPr>
            </w:pPr>
          </w:p>
          <w:p w14:paraId="07EDF76D" w14:textId="77777777" w:rsidR="00DC4448" w:rsidRDefault="00DC4448" w:rsidP="002C6ABD">
            <w:pPr>
              <w:ind w:right="-30"/>
              <w:rPr>
                <w:rFonts w:eastAsia="Arial Narrow"/>
                <w:b/>
                <w:color w:val="000000"/>
                <w:sz w:val="16"/>
                <w:szCs w:val="16"/>
              </w:rPr>
            </w:pPr>
          </w:p>
          <w:p w14:paraId="4F39D096" w14:textId="77777777" w:rsidR="00DC4448" w:rsidRPr="00171458" w:rsidRDefault="00DC4448" w:rsidP="002C6ABD">
            <w:pPr>
              <w:ind w:right="-30"/>
              <w:rPr>
                <w:b/>
                <w:sz w:val="16"/>
                <w:szCs w:val="16"/>
              </w:rPr>
            </w:pPr>
          </w:p>
        </w:tc>
        <w:tc>
          <w:tcPr>
            <w:tcW w:w="1587" w:type="dxa"/>
          </w:tcPr>
          <w:p w14:paraId="7803E8F9" w14:textId="0EE700DA" w:rsidR="00DC4448" w:rsidRDefault="0064309F" w:rsidP="002C6ABD">
            <w:pPr>
              <w:rPr>
                <w:b/>
              </w:rPr>
            </w:pPr>
            <w:r w:rsidRPr="0064309F">
              <w:rPr>
                <w:sz w:val="16"/>
                <w:szCs w:val="16"/>
              </w:rPr>
              <w:t>N/A</w:t>
            </w:r>
          </w:p>
        </w:tc>
      </w:tr>
      <w:tr w:rsidR="00DC4448" w14:paraId="376686E5" w14:textId="77777777" w:rsidTr="002C6ABD">
        <w:tc>
          <w:tcPr>
            <w:tcW w:w="1587" w:type="dxa"/>
            <w:shd w:val="clear" w:color="auto" w:fill="F2F2F2" w:themeFill="background1" w:themeFillShade="F2"/>
          </w:tcPr>
          <w:p w14:paraId="29EE39D6" w14:textId="77777777" w:rsidR="00DC4448" w:rsidRDefault="00DC4448" w:rsidP="002C6ABD">
            <w:pPr>
              <w:ind w:right="-69"/>
              <w:rPr>
                <w:rStyle w:val="Emphasis"/>
              </w:rPr>
            </w:pPr>
            <w:r w:rsidRPr="009D1042">
              <w:rPr>
                <w:rStyle w:val="Emphasis"/>
              </w:rPr>
              <w:t>Research practitioner</w:t>
            </w:r>
          </w:p>
          <w:p w14:paraId="332D85D5" w14:textId="77777777" w:rsidR="00DC4448" w:rsidRDefault="00DC4448" w:rsidP="002C6ABD">
            <w:pPr>
              <w:ind w:right="-69"/>
              <w:rPr>
                <w:b/>
              </w:rPr>
            </w:pPr>
          </w:p>
        </w:tc>
        <w:tc>
          <w:tcPr>
            <w:tcW w:w="1587" w:type="dxa"/>
          </w:tcPr>
          <w:p w14:paraId="747413F8" w14:textId="77777777" w:rsidR="00DC4448" w:rsidRDefault="00DC4448" w:rsidP="002C6ABD">
            <w:pPr>
              <w:rPr>
                <w:b/>
                <w:sz w:val="16"/>
                <w:szCs w:val="16"/>
              </w:rPr>
            </w:pPr>
            <w:r w:rsidRPr="005B3D34">
              <w:rPr>
                <w:i/>
                <w:sz w:val="16"/>
                <w:szCs w:val="16"/>
              </w:rPr>
              <w:t>Student Need</w:t>
            </w:r>
            <w:r>
              <w:rPr>
                <w:sz w:val="16"/>
                <w:szCs w:val="16"/>
              </w:rPr>
              <w:t xml:space="preserve"> e.g. Whole School Practices for Inclusive Schooling –</w:t>
            </w:r>
            <w:r w:rsidRPr="005B3D34">
              <w:rPr>
                <w:sz w:val="16"/>
                <w:szCs w:val="16"/>
              </w:rPr>
              <w:t>action research</w:t>
            </w:r>
            <w:r>
              <w:rPr>
                <w:sz w:val="16"/>
                <w:szCs w:val="16"/>
              </w:rPr>
              <w:t>, in  3-4 schools a term</w:t>
            </w:r>
          </w:p>
          <w:p w14:paraId="242EF7E6" w14:textId="77777777" w:rsidR="00DC4448" w:rsidRDefault="00DC4448" w:rsidP="002C6ABD">
            <w:pPr>
              <w:rPr>
                <w:b/>
                <w:sz w:val="16"/>
                <w:szCs w:val="16"/>
              </w:rPr>
            </w:pPr>
          </w:p>
          <w:p w14:paraId="38E8EE20" w14:textId="77777777" w:rsidR="00DC4448" w:rsidRPr="005B3D34" w:rsidRDefault="00DC4448" w:rsidP="002C6ABD">
            <w:pPr>
              <w:rPr>
                <w:b/>
                <w:i/>
                <w:sz w:val="16"/>
                <w:szCs w:val="16"/>
              </w:rPr>
            </w:pPr>
            <w:r w:rsidRPr="005B3D34">
              <w:rPr>
                <w:i/>
                <w:sz w:val="16"/>
                <w:szCs w:val="16"/>
              </w:rPr>
              <w:t xml:space="preserve">Quality Teaching </w:t>
            </w:r>
          </w:p>
          <w:p w14:paraId="5B04049C" w14:textId="77777777" w:rsidR="00DC4448" w:rsidRPr="005B3D34" w:rsidRDefault="00DC4448" w:rsidP="002C6ABD">
            <w:pPr>
              <w:rPr>
                <w:b/>
                <w:sz w:val="16"/>
                <w:szCs w:val="16"/>
              </w:rPr>
            </w:pPr>
            <w:r>
              <w:rPr>
                <w:sz w:val="16"/>
                <w:szCs w:val="16"/>
              </w:rPr>
              <w:t xml:space="preserve">e.g.  Education Research – schools funded for school based research and symposium </w:t>
            </w:r>
          </w:p>
        </w:tc>
        <w:tc>
          <w:tcPr>
            <w:tcW w:w="1587" w:type="dxa"/>
          </w:tcPr>
          <w:p w14:paraId="4431BD59" w14:textId="2AA593C7" w:rsidR="00DC4448" w:rsidRDefault="0064309F" w:rsidP="002C6ABD">
            <w:pPr>
              <w:rPr>
                <w:b/>
              </w:rPr>
            </w:pPr>
            <w:r w:rsidRPr="0064309F">
              <w:rPr>
                <w:sz w:val="16"/>
                <w:szCs w:val="16"/>
              </w:rPr>
              <w:t>N/A</w:t>
            </w:r>
          </w:p>
        </w:tc>
        <w:tc>
          <w:tcPr>
            <w:tcW w:w="1587" w:type="dxa"/>
          </w:tcPr>
          <w:p w14:paraId="4339CFA8" w14:textId="3C236FC1" w:rsidR="00DC4448" w:rsidRDefault="0064309F" w:rsidP="002C6ABD">
            <w:pPr>
              <w:ind w:right="-78"/>
              <w:rPr>
                <w:b/>
              </w:rPr>
            </w:pPr>
            <w:r w:rsidRPr="0064309F">
              <w:rPr>
                <w:sz w:val="16"/>
                <w:szCs w:val="16"/>
              </w:rPr>
              <w:t>N/A</w:t>
            </w:r>
          </w:p>
        </w:tc>
        <w:tc>
          <w:tcPr>
            <w:tcW w:w="1587" w:type="dxa"/>
          </w:tcPr>
          <w:p w14:paraId="1BE02F15" w14:textId="09081C17" w:rsidR="00DC4448" w:rsidRDefault="0064309F" w:rsidP="002C6ABD">
            <w:pPr>
              <w:rPr>
                <w:b/>
              </w:rPr>
            </w:pPr>
            <w:r w:rsidRPr="0064309F">
              <w:rPr>
                <w:sz w:val="16"/>
                <w:szCs w:val="16"/>
              </w:rPr>
              <w:t>N/A</w:t>
            </w:r>
          </w:p>
        </w:tc>
        <w:tc>
          <w:tcPr>
            <w:tcW w:w="1587" w:type="dxa"/>
          </w:tcPr>
          <w:p w14:paraId="027B0450" w14:textId="1162DB83" w:rsidR="00DC4448" w:rsidRDefault="0064309F" w:rsidP="002C6ABD">
            <w:pPr>
              <w:rPr>
                <w:b/>
              </w:rPr>
            </w:pPr>
            <w:r w:rsidRPr="0064309F">
              <w:rPr>
                <w:sz w:val="16"/>
                <w:szCs w:val="16"/>
              </w:rPr>
              <w:t>N/A</w:t>
            </w:r>
          </w:p>
        </w:tc>
        <w:tc>
          <w:tcPr>
            <w:tcW w:w="1587" w:type="dxa"/>
          </w:tcPr>
          <w:p w14:paraId="44610FB5" w14:textId="6AE1FB22" w:rsidR="00DC4448" w:rsidRDefault="00DC4448" w:rsidP="002C6ABD">
            <w:pPr>
              <w:widowControl w:val="0"/>
              <w:shd w:val="clear" w:color="auto" w:fill="EEECE1" w:themeFill="background2"/>
              <w:autoSpaceDE w:val="0"/>
              <w:autoSpaceDN w:val="0"/>
              <w:adjustRightInd w:val="0"/>
              <w:spacing w:after="240"/>
              <w:ind w:right="3"/>
              <w:rPr>
                <w:rFonts w:cs="Calibri"/>
                <w:b/>
                <w:bCs/>
                <w:sz w:val="16"/>
                <w:szCs w:val="16"/>
              </w:rPr>
            </w:pPr>
            <w:r w:rsidRPr="00161D01">
              <w:rPr>
                <w:i/>
                <w:sz w:val="16"/>
                <w:szCs w:val="16"/>
              </w:rPr>
              <w:t>Quality Teaching</w:t>
            </w:r>
            <w:r w:rsidRPr="00161D01">
              <w:rPr>
                <w:sz w:val="16"/>
                <w:szCs w:val="16"/>
              </w:rPr>
              <w:t xml:space="preserve"> e.g. </w:t>
            </w:r>
            <w:r w:rsidR="00C2634B">
              <w:rPr>
                <w:sz w:val="16"/>
                <w:szCs w:val="16"/>
              </w:rPr>
              <w:t>i</w:t>
            </w:r>
            <w:r w:rsidR="00C2634B" w:rsidRPr="007E7CD3">
              <w:rPr>
                <w:rFonts w:cs="Calibri"/>
                <w:bCs/>
                <w:sz w:val="16"/>
                <w:szCs w:val="16"/>
              </w:rPr>
              <w:t>mplemented</w:t>
            </w:r>
            <w:r w:rsidRPr="007E7CD3">
              <w:rPr>
                <w:rFonts w:cs="Calibri"/>
                <w:bCs/>
                <w:sz w:val="16"/>
                <w:szCs w:val="16"/>
              </w:rPr>
              <w:t xml:space="preserve"> teacher performance and development </w:t>
            </w:r>
            <w:r>
              <w:rPr>
                <w:rFonts w:cs="Times"/>
                <w:bCs/>
                <w:sz w:val="16"/>
                <w:szCs w:val="16"/>
              </w:rPr>
              <w:t>f</w:t>
            </w:r>
            <w:r w:rsidRPr="007E7CD3">
              <w:rPr>
                <w:rFonts w:cs="Calibri"/>
                <w:bCs/>
                <w:sz w:val="16"/>
                <w:szCs w:val="16"/>
              </w:rPr>
              <w:t xml:space="preserve">rameworks which enabled teachers to conduct inquiry projects/action research involving teacher collaboration, analysis of data, research and reflection </w:t>
            </w:r>
          </w:p>
          <w:p w14:paraId="5AA477C2" w14:textId="77777777" w:rsidR="00DC4448" w:rsidRDefault="00DC4448" w:rsidP="002C6ABD">
            <w:pPr>
              <w:widowControl w:val="0"/>
              <w:autoSpaceDE w:val="0"/>
              <w:autoSpaceDN w:val="0"/>
              <w:adjustRightInd w:val="0"/>
              <w:spacing w:after="240"/>
              <w:ind w:right="3"/>
              <w:rPr>
                <w:rFonts w:cs="Times"/>
                <w:b/>
                <w:bCs/>
                <w:sz w:val="16"/>
                <w:szCs w:val="16"/>
              </w:rPr>
            </w:pPr>
          </w:p>
          <w:p w14:paraId="7293389F" w14:textId="77777777" w:rsidR="00DC4448" w:rsidRPr="002B4BEB" w:rsidRDefault="00DC4448" w:rsidP="002C6ABD">
            <w:pPr>
              <w:widowControl w:val="0"/>
              <w:autoSpaceDE w:val="0"/>
              <w:autoSpaceDN w:val="0"/>
              <w:adjustRightInd w:val="0"/>
              <w:spacing w:after="240"/>
              <w:ind w:right="3"/>
              <w:rPr>
                <w:rFonts w:cs="Times"/>
                <w:b/>
                <w:bCs/>
                <w:sz w:val="16"/>
                <w:szCs w:val="16"/>
              </w:rPr>
            </w:pPr>
          </w:p>
        </w:tc>
        <w:tc>
          <w:tcPr>
            <w:tcW w:w="1587" w:type="dxa"/>
          </w:tcPr>
          <w:p w14:paraId="14F0223A" w14:textId="377C306B" w:rsidR="00DC4448" w:rsidRDefault="0064309F" w:rsidP="002C6ABD">
            <w:pPr>
              <w:ind w:right="-30"/>
              <w:rPr>
                <w:b/>
              </w:rPr>
            </w:pPr>
            <w:r w:rsidRPr="0064309F">
              <w:rPr>
                <w:sz w:val="16"/>
                <w:szCs w:val="16"/>
              </w:rPr>
              <w:t>N/A</w:t>
            </w:r>
          </w:p>
        </w:tc>
        <w:tc>
          <w:tcPr>
            <w:tcW w:w="1587" w:type="dxa"/>
          </w:tcPr>
          <w:p w14:paraId="5B5DC54A" w14:textId="6743A59C" w:rsidR="00DC4448" w:rsidRDefault="0064309F" w:rsidP="002C6ABD">
            <w:pPr>
              <w:rPr>
                <w:b/>
              </w:rPr>
            </w:pPr>
            <w:r w:rsidRPr="0064309F">
              <w:rPr>
                <w:sz w:val="16"/>
                <w:szCs w:val="16"/>
              </w:rPr>
              <w:t>N/A</w:t>
            </w:r>
          </w:p>
        </w:tc>
      </w:tr>
      <w:tr w:rsidR="00DC4448" w14:paraId="463A328F" w14:textId="77777777" w:rsidTr="002C6ABD">
        <w:tc>
          <w:tcPr>
            <w:tcW w:w="1587" w:type="dxa"/>
            <w:shd w:val="clear" w:color="auto" w:fill="F2F2F2" w:themeFill="background1" w:themeFillShade="F2"/>
          </w:tcPr>
          <w:p w14:paraId="7351BEF4" w14:textId="77777777" w:rsidR="00DC4448" w:rsidRPr="00517896" w:rsidRDefault="00DC4448" w:rsidP="002C6ABD">
            <w:pPr>
              <w:ind w:right="-69"/>
              <w:rPr>
                <w:b/>
                <w:i/>
              </w:rPr>
            </w:pPr>
            <w:r w:rsidRPr="00517896">
              <w:rPr>
                <w:rStyle w:val="Emphasis"/>
                <w:i w:val="0"/>
              </w:rPr>
              <w:t>Support and advice</w:t>
            </w:r>
            <w:r w:rsidRPr="00517896">
              <w:rPr>
                <w:i/>
              </w:rPr>
              <w:t xml:space="preserve">, </w:t>
            </w:r>
            <w:r>
              <w:rPr>
                <w:i/>
              </w:rPr>
              <w:t>(</w:t>
            </w:r>
            <w:r w:rsidRPr="00517896">
              <w:rPr>
                <w:i/>
              </w:rPr>
              <w:t>including committees</w:t>
            </w:r>
            <w:r>
              <w:rPr>
                <w:i/>
              </w:rPr>
              <w:t>)</w:t>
            </w:r>
            <w:r w:rsidRPr="00517896">
              <w:rPr>
                <w:i/>
              </w:rPr>
              <w:t xml:space="preserve"> </w:t>
            </w:r>
          </w:p>
          <w:p w14:paraId="22178696" w14:textId="77777777" w:rsidR="00DC4448" w:rsidRDefault="00DC4448" w:rsidP="002C6ABD">
            <w:pPr>
              <w:ind w:right="-69"/>
              <w:rPr>
                <w:rStyle w:val="Emphasis"/>
              </w:rPr>
            </w:pPr>
          </w:p>
        </w:tc>
        <w:tc>
          <w:tcPr>
            <w:tcW w:w="1587" w:type="dxa"/>
            <w:shd w:val="clear" w:color="auto" w:fill="FFFFFF" w:themeFill="background1"/>
          </w:tcPr>
          <w:p w14:paraId="7B92EA33" w14:textId="62223941" w:rsidR="00DC4448" w:rsidRPr="00517896" w:rsidRDefault="0064309F" w:rsidP="002C6ABD">
            <w:pPr>
              <w:rPr>
                <w:b/>
                <w:sz w:val="16"/>
                <w:szCs w:val="16"/>
              </w:rPr>
            </w:pPr>
            <w:r w:rsidRPr="0064309F">
              <w:rPr>
                <w:sz w:val="16"/>
                <w:szCs w:val="16"/>
              </w:rPr>
              <w:t>N/A</w:t>
            </w:r>
          </w:p>
        </w:tc>
        <w:tc>
          <w:tcPr>
            <w:tcW w:w="1587" w:type="dxa"/>
            <w:shd w:val="clear" w:color="auto" w:fill="EEECE1" w:themeFill="background2"/>
          </w:tcPr>
          <w:p w14:paraId="4E2FB231" w14:textId="77777777" w:rsidR="00DC4448" w:rsidRDefault="00DC4448" w:rsidP="002C6ABD">
            <w:pPr>
              <w:rPr>
                <w:b/>
              </w:rPr>
            </w:pPr>
            <w:r w:rsidRPr="00517896">
              <w:rPr>
                <w:i/>
                <w:sz w:val="16"/>
                <w:szCs w:val="16"/>
              </w:rPr>
              <w:t>Student Needs</w:t>
            </w:r>
            <w:r w:rsidRPr="00517896">
              <w:rPr>
                <w:sz w:val="16"/>
                <w:szCs w:val="16"/>
              </w:rPr>
              <w:t xml:space="preserve"> e</w:t>
            </w:r>
            <w:r>
              <w:rPr>
                <w:sz w:val="16"/>
                <w:szCs w:val="16"/>
              </w:rPr>
              <w:t>.</w:t>
            </w:r>
            <w:r w:rsidRPr="00517896">
              <w:rPr>
                <w:sz w:val="16"/>
                <w:szCs w:val="16"/>
              </w:rPr>
              <w:t>g</w:t>
            </w:r>
            <w:r>
              <w:rPr>
                <w:sz w:val="16"/>
                <w:szCs w:val="16"/>
              </w:rPr>
              <w:t>.</w:t>
            </w:r>
            <w:r w:rsidRPr="00517896">
              <w:rPr>
                <w:sz w:val="16"/>
                <w:szCs w:val="16"/>
              </w:rPr>
              <w:t xml:space="preserve"> implementation of national agreements and action plans for students in needs- indigenous</w:t>
            </w:r>
            <w:r>
              <w:rPr>
                <w:sz w:val="16"/>
                <w:szCs w:val="16"/>
              </w:rPr>
              <w:t xml:space="preserve">, students with a disability, vulnerable children </w:t>
            </w:r>
            <w:r w:rsidRPr="00517896">
              <w:rPr>
                <w:sz w:val="16"/>
                <w:szCs w:val="16"/>
              </w:rPr>
              <w:t xml:space="preserve"> </w:t>
            </w:r>
          </w:p>
        </w:tc>
        <w:tc>
          <w:tcPr>
            <w:tcW w:w="1587" w:type="dxa"/>
          </w:tcPr>
          <w:p w14:paraId="16D3F1D2" w14:textId="77777777" w:rsidR="00DC4448" w:rsidRPr="00E414A8" w:rsidRDefault="00DC4448" w:rsidP="002C6ABD">
            <w:pPr>
              <w:ind w:right="-78"/>
              <w:rPr>
                <w:b/>
                <w:i/>
                <w:sz w:val="16"/>
                <w:szCs w:val="16"/>
              </w:rPr>
            </w:pPr>
            <w:r w:rsidRPr="00E414A8">
              <w:rPr>
                <w:i/>
                <w:sz w:val="16"/>
                <w:szCs w:val="16"/>
              </w:rPr>
              <w:t>Quality Learning</w:t>
            </w:r>
            <w:r>
              <w:rPr>
                <w:i/>
                <w:sz w:val="16"/>
                <w:szCs w:val="16"/>
              </w:rPr>
              <w:t xml:space="preserve"> e.g.</w:t>
            </w:r>
          </w:p>
          <w:p w14:paraId="5BF0CDF8" w14:textId="77777777" w:rsidR="00DC4448" w:rsidRPr="00E414A8" w:rsidRDefault="00DC4448" w:rsidP="002C6ABD">
            <w:pPr>
              <w:widowControl w:val="0"/>
              <w:autoSpaceDE w:val="0"/>
              <w:autoSpaceDN w:val="0"/>
              <w:adjustRightInd w:val="0"/>
              <w:spacing w:after="240"/>
              <w:ind w:right="-78"/>
              <w:rPr>
                <w:b/>
                <w:sz w:val="16"/>
                <w:szCs w:val="16"/>
              </w:rPr>
            </w:pPr>
            <w:r w:rsidRPr="00E414A8">
              <w:rPr>
                <w:sz w:val="16"/>
                <w:szCs w:val="16"/>
              </w:rPr>
              <w:t xml:space="preserve">assisting teachers to analyse data, differentiate the curriculum and cater for students with individual needs. </w:t>
            </w:r>
          </w:p>
          <w:p w14:paraId="401A8447" w14:textId="77777777" w:rsidR="00DC4448" w:rsidRDefault="00DC4448" w:rsidP="002C6ABD">
            <w:pPr>
              <w:ind w:right="-78"/>
              <w:rPr>
                <w:b/>
              </w:rPr>
            </w:pPr>
          </w:p>
        </w:tc>
        <w:tc>
          <w:tcPr>
            <w:tcW w:w="1587" w:type="dxa"/>
          </w:tcPr>
          <w:p w14:paraId="545161D2" w14:textId="77777777" w:rsidR="00DC4448" w:rsidRPr="00E414A8" w:rsidRDefault="00DC4448" w:rsidP="002C6ABD">
            <w:pPr>
              <w:rPr>
                <w:b/>
                <w:i/>
                <w:sz w:val="16"/>
                <w:szCs w:val="16"/>
              </w:rPr>
            </w:pPr>
            <w:r w:rsidRPr="00E414A8">
              <w:rPr>
                <w:i/>
                <w:sz w:val="16"/>
                <w:szCs w:val="16"/>
              </w:rPr>
              <w:t>Quality Learning</w:t>
            </w:r>
            <w:r>
              <w:rPr>
                <w:i/>
                <w:sz w:val="16"/>
                <w:szCs w:val="16"/>
              </w:rPr>
              <w:t xml:space="preserve"> e.g.</w:t>
            </w:r>
          </w:p>
          <w:p w14:paraId="5122A0CF" w14:textId="77777777" w:rsidR="00DC4448" w:rsidRPr="00664DBA" w:rsidRDefault="00DC4448" w:rsidP="002C6ABD">
            <w:pPr>
              <w:widowControl w:val="0"/>
              <w:autoSpaceDE w:val="0"/>
              <w:autoSpaceDN w:val="0"/>
              <w:adjustRightInd w:val="0"/>
              <w:spacing w:after="240"/>
              <w:rPr>
                <w:b/>
                <w:sz w:val="16"/>
                <w:szCs w:val="16"/>
              </w:rPr>
            </w:pPr>
            <w:r w:rsidRPr="00664DBA">
              <w:rPr>
                <w:sz w:val="16"/>
                <w:szCs w:val="16"/>
              </w:rPr>
              <w:t xml:space="preserve">Continued to build understanding and knowledge related to compliance requirements for the delivery of VET through a third party arrangements </w:t>
            </w:r>
          </w:p>
          <w:p w14:paraId="38801824" w14:textId="77777777" w:rsidR="00DC4448" w:rsidRDefault="00DC4448" w:rsidP="002C6ABD">
            <w:pPr>
              <w:rPr>
                <w:b/>
              </w:rPr>
            </w:pPr>
          </w:p>
        </w:tc>
        <w:tc>
          <w:tcPr>
            <w:tcW w:w="1587" w:type="dxa"/>
          </w:tcPr>
          <w:p w14:paraId="252AE8FC" w14:textId="0CB977D7" w:rsidR="00DC4448" w:rsidRDefault="0064309F" w:rsidP="002C6ABD">
            <w:pPr>
              <w:rPr>
                <w:b/>
              </w:rPr>
            </w:pPr>
            <w:r w:rsidRPr="0064309F">
              <w:rPr>
                <w:sz w:val="16"/>
                <w:szCs w:val="16"/>
              </w:rPr>
              <w:t>N/A</w:t>
            </w:r>
          </w:p>
        </w:tc>
        <w:tc>
          <w:tcPr>
            <w:tcW w:w="1587" w:type="dxa"/>
          </w:tcPr>
          <w:p w14:paraId="7A38BF18" w14:textId="77777777" w:rsidR="00DC4448" w:rsidRDefault="00DC4448" w:rsidP="002C6ABD">
            <w:pPr>
              <w:ind w:right="3"/>
              <w:rPr>
                <w:b/>
                <w:spacing w:val="5"/>
                <w:sz w:val="16"/>
                <w:szCs w:val="16"/>
              </w:rPr>
            </w:pPr>
            <w:r w:rsidRPr="00517896">
              <w:rPr>
                <w:i/>
                <w:sz w:val="16"/>
                <w:szCs w:val="16"/>
              </w:rPr>
              <w:t>Student Needs</w:t>
            </w:r>
            <w:r w:rsidRPr="00517896">
              <w:rPr>
                <w:sz w:val="16"/>
                <w:szCs w:val="16"/>
              </w:rPr>
              <w:t xml:space="preserve"> e</w:t>
            </w:r>
            <w:r>
              <w:rPr>
                <w:sz w:val="16"/>
                <w:szCs w:val="16"/>
              </w:rPr>
              <w:t>.</w:t>
            </w:r>
            <w:r w:rsidRPr="00517896">
              <w:rPr>
                <w:sz w:val="16"/>
                <w:szCs w:val="16"/>
              </w:rPr>
              <w:t>g.</w:t>
            </w:r>
            <w:r w:rsidRPr="00CD0B00">
              <w:rPr>
                <w:spacing w:val="5"/>
                <w:sz w:val="16"/>
                <w:szCs w:val="16"/>
              </w:rPr>
              <w:t xml:space="preserve"> </w:t>
            </w:r>
          </w:p>
          <w:p w14:paraId="6E07FAB8" w14:textId="77777777" w:rsidR="00DC4448" w:rsidRPr="00CD0B00" w:rsidRDefault="00DC4448" w:rsidP="002C6ABD">
            <w:pPr>
              <w:ind w:right="3"/>
              <w:rPr>
                <w:b/>
                <w:sz w:val="16"/>
                <w:szCs w:val="16"/>
              </w:rPr>
            </w:pPr>
            <w:r w:rsidRPr="00CD0B00">
              <w:rPr>
                <w:spacing w:val="5"/>
                <w:sz w:val="16"/>
                <w:szCs w:val="16"/>
              </w:rPr>
              <w:t>AISSA will support school leadership build stronger connections between Aboriginal and non-Aboriginal families and student learning</w:t>
            </w:r>
          </w:p>
        </w:tc>
        <w:tc>
          <w:tcPr>
            <w:tcW w:w="1587" w:type="dxa"/>
          </w:tcPr>
          <w:p w14:paraId="432A608D" w14:textId="6E6435DE" w:rsidR="00DC4448" w:rsidRDefault="0064309F" w:rsidP="002C6ABD">
            <w:pPr>
              <w:ind w:right="-30"/>
              <w:rPr>
                <w:b/>
              </w:rPr>
            </w:pPr>
            <w:r w:rsidRPr="0064309F">
              <w:rPr>
                <w:sz w:val="16"/>
                <w:szCs w:val="16"/>
              </w:rPr>
              <w:t>N/A</w:t>
            </w:r>
          </w:p>
        </w:tc>
        <w:tc>
          <w:tcPr>
            <w:tcW w:w="1587" w:type="dxa"/>
          </w:tcPr>
          <w:p w14:paraId="4BC6D6DE" w14:textId="77777777" w:rsidR="00DC4448" w:rsidRDefault="00DC4448" w:rsidP="002C6ABD">
            <w:pPr>
              <w:rPr>
                <w:b/>
                <w:spacing w:val="5"/>
                <w:sz w:val="16"/>
                <w:szCs w:val="16"/>
              </w:rPr>
            </w:pPr>
            <w:r w:rsidRPr="00517896">
              <w:rPr>
                <w:i/>
                <w:sz w:val="16"/>
                <w:szCs w:val="16"/>
              </w:rPr>
              <w:t>Student Needs</w:t>
            </w:r>
            <w:r w:rsidRPr="00517896">
              <w:rPr>
                <w:sz w:val="16"/>
                <w:szCs w:val="16"/>
              </w:rPr>
              <w:t xml:space="preserve"> e</w:t>
            </w:r>
            <w:r>
              <w:rPr>
                <w:sz w:val="16"/>
                <w:szCs w:val="16"/>
              </w:rPr>
              <w:t>.</w:t>
            </w:r>
            <w:r w:rsidRPr="00517896">
              <w:rPr>
                <w:sz w:val="16"/>
                <w:szCs w:val="16"/>
              </w:rPr>
              <w:t>g.</w:t>
            </w:r>
            <w:r w:rsidRPr="00CD0B00">
              <w:rPr>
                <w:spacing w:val="5"/>
                <w:sz w:val="16"/>
                <w:szCs w:val="16"/>
              </w:rPr>
              <w:t xml:space="preserve"> </w:t>
            </w:r>
          </w:p>
          <w:p w14:paraId="262DCDBA" w14:textId="77777777" w:rsidR="00DC4448" w:rsidRPr="002B4BEB" w:rsidRDefault="00DC4448" w:rsidP="002C6ABD">
            <w:pPr>
              <w:widowControl w:val="0"/>
              <w:autoSpaceDE w:val="0"/>
              <w:autoSpaceDN w:val="0"/>
              <w:adjustRightInd w:val="0"/>
              <w:spacing w:after="240"/>
              <w:rPr>
                <w:rFonts w:cs="Times"/>
                <w:b/>
                <w:bCs/>
                <w:sz w:val="16"/>
                <w:szCs w:val="16"/>
              </w:rPr>
            </w:pPr>
            <w:r w:rsidRPr="008C20F1">
              <w:rPr>
                <w:rFonts w:cs="Arial"/>
                <w:bCs/>
                <w:sz w:val="16"/>
                <w:szCs w:val="16"/>
              </w:rPr>
              <w:t xml:space="preserve">Grants will be provided to schools to participate in programs and initiatives designed to meet the specific needs of ATSI, students with disabilities and other groups of disadvantaged students including refugees and new arrivals that are currently not being met by other programs. </w:t>
            </w:r>
          </w:p>
        </w:tc>
      </w:tr>
    </w:tbl>
    <w:p w14:paraId="76A17A18" w14:textId="77777777" w:rsidR="00DC4448" w:rsidRDefault="00DC4448" w:rsidP="00DC4448">
      <w:pPr>
        <w:spacing w:after="200" w:line="276" w:lineRule="auto"/>
        <w:ind w:right="-340"/>
        <w:rPr>
          <w:rStyle w:val="Emphasis"/>
        </w:rPr>
      </w:pPr>
      <w:r>
        <w:rPr>
          <w:rStyle w:val="Emphasis"/>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575"/>
        <w:gridCol w:w="1575"/>
        <w:gridCol w:w="1575"/>
        <w:gridCol w:w="1575"/>
        <w:gridCol w:w="1575"/>
        <w:gridCol w:w="1575"/>
        <w:gridCol w:w="1575"/>
        <w:gridCol w:w="1575"/>
      </w:tblGrid>
      <w:tr w:rsidR="00DC4448" w14:paraId="3AC58F78" w14:textId="77777777" w:rsidTr="00E939AD">
        <w:trPr>
          <w:tblHeader/>
        </w:trPr>
        <w:tc>
          <w:tcPr>
            <w:tcW w:w="1574" w:type="dxa"/>
            <w:shd w:val="clear" w:color="auto" w:fill="DBE5F1" w:themeFill="accent1" w:themeFillTint="33"/>
          </w:tcPr>
          <w:p w14:paraId="47016429" w14:textId="77777777" w:rsidR="00DC4448" w:rsidRPr="00950155" w:rsidRDefault="00DC4448" w:rsidP="002C6ABD">
            <w:r w:rsidRPr="00950155">
              <w:t xml:space="preserve">Delivery model </w:t>
            </w:r>
          </w:p>
        </w:tc>
        <w:tc>
          <w:tcPr>
            <w:tcW w:w="1575" w:type="dxa"/>
            <w:shd w:val="clear" w:color="auto" w:fill="DBE5F1" w:themeFill="accent1" w:themeFillTint="33"/>
          </w:tcPr>
          <w:p w14:paraId="1B6C4207" w14:textId="77777777" w:rsidR="00DC4448" w:rsidRDefault="00DC4448" w:rsidP="002C6ABD">
            <w:pPr>
              <w:rPr>
                <w:rStyle w:val="Emphasis"/>
              </w:rPr>
            </w:pPr>
            <w:r>
              <w:rPr>
                <w:rStyle w:val="Emphasis"/>
              </w:rPr>
              <w:t xml:space="preserve">AIS WA </w:t>
            </w:r>
          </w:p>
        </w:tc>
        <w:tc>
          <w:tcPr>
            <w:tcW w:w="1575" w:type="dxa"/>
            <w:shd w:val="clear" w:color="auto" w:fill="DBE5F1" w:themeFill="accent1" w:themeFillTint="33"/>
          </w:tcPr>
          <w:p w14:paraId="232DC4CF" w14:textId="77777777" w:rsidR="00DC4448" w:rsidRDefault="00DC4448" w:rsidP="002C6ABD">
            <w:pPr>
              <w:rPr>
                <w:rStyle w:val="Emphasis"/>
              </w:rPr>
            </w:pPr>
            <w:r>
              <w:rPr>
                <w:rStyle w:val="Emphasis"/>
              </w:rPr>
              <w:t xml:space="preserve">CE WA </w:t>
            </w:r>
          </w:p>
          <w:p w14:paraId="2DE410DE" w14:textId="77777777" w:rsidR="00DC4448" w:rsidRDefault="00DC4448" w:rsidP="002C6ABD">
            <w:pPr>
              <w:rPr>
                <w:rStyle w:val="Emphasis"/>
              </w:rPr>
            </w:pPr>
          </w:p>
        </w:tc>
        <w:tc>
          <w:tcPr>
            <w:tcW w:w="1575" w:type="dxa"/>
            <w:shd w:val="clear" w:color="auto" w:fill="DBE5F1" w:themeFill="accent1" w:themeFillTint="33"/>
          </w:tcPr>
          <w:p w14:paraId="2167DC0F" w14:textId="77777777" w:rsidR="00DC4448" w:rsidRDefault="00DC4448" w:rsidP="002C6ABD">
            <w:pPr>
              <w:ind w:right="-37"/>
              <w:rPr>
                <w:rStyle w:val="Emphasis"/>
              </w:rPr>
            </w:pPr>
            <w:r>
              <w:rPr>
                <w:rStyle w:val="Emphasis"/>
              </w:rPr>
              <w:t xml:space="preserve">IST </w:t>
            </w:r>
          </w:p>
        </w:tc>
        <w:tc>
          <w:tcPr>
            <w:tcW w:w="1575" w:type="dxa"/>
            <w:shd w:val="clear" w:color="auto" w:fill="DBE5F1" w:themeFill="accent1" w:themeFillTint="33"/>
          </w:tcPr>
          <w:p w14:paraId="2871E2E6" w14:textId="77777777" w:rsidR="00DC4448" w:rsidRDefault="00DC4448" w:rsidP="002C6ABD">
            <w:pPr>
              <w:rPr>
                <w:rStyle w:val="Emphasis"/>
              </w:rPr>
            </w:pPr>
            <w:r>
              <w:rPr>
                <w:rStyle w:val="Emphasis"/>
              </w:rPr>
              <w:t xml:space="preserve">TAS CEO </w:t>
            </w:r>
          </w:p>
          <w:p w14:paraId="341A54EB" w14:textId="77777777" w:rsidR="00DC4448" w:rsidRDefault="00DC4448" w:rsidP="002C6ABD">
            <w:pPr>
              <w:rPr>
                <w:rStyle w:val="Emphasis"/>
              </w:rPr>
            </w:pPr>
          </w:p>
        </w:tc>
        <w:tc>
          <w:tcPr>
            <w:tcW w:w="1575" w:type="dxa"/>
            <w:shd w:val="clear" w:color="auto" w:fill="DBE5F1" w:themeFill="accent1" w:themeFillTint="33"/>
          </w:tcPr>
          <w:p w14:paraId="71387A29" w14:textId="77777777" w:rsidR="00DC4448" w:rsidRDefault="00DC4448" w:rsidP="002C6ABD">
            <w:pPr>
              <w:ind w:right="-37"/>
              <w:rPr>
                <w:rStyle w:val="Emphasis"/>
              </w:rPr>
            </w:pPr>
            <w:r>
              <w:rPr>
                <w:rStyle w:val="Emphasis"/>
              </w:rPr>
              <w:t xml:space="preserve">AIS ACT </w:t>
            </w:r>
          </w:p>
        </w:tc>
        <w:tc>
          <w:tcPr>
            <w:tcW w:w="1575" w:type="dxa"/>
            <w:shd w:val="clear" w:color="auto" w:fill="DBE5F1" w:themeFill="accent1" w:themeFillTint="33"/>
          </w:tcPr>
          <w:p w14:paraId="1EB358FA" w14:textId="77777777" w:rsidR="00DC4448" w:rsidRDefault="00DC4448" w:rsidP="002C6ABD">
            <w:pPr>
              <w:rPr>
                <w:rStyle w:val="Emphasis"/>
              </w:rPr>
            </w:pPr>
            <w:r>
              <w:rPr>
                <w:rStyle w:val="Emphasis"/>
              </w:rPr>
              <w:t xml:space="preserve">CE ACT </w:t>
            </w:r>
          </w:p>
        </w:tc>
        <w:tc>
          <w:tcPr>
            <w:tcW w:w="1575" w:type="dxa"/>
            <w:shd w:val="clear" w:color="auto" w:fill="DBE5F1" w:themeFill="accent1" w:themeFillTint="33"/>
          </w:tcPr>
          <w:p w14:paraId="61693FD1" w14:textId="77777777" w:rsidR="00DC4448" w:rsidRDefault="00DC4448" w:rsidP="002C6ABD">
            <w:pPr>
              <w:ind w:right="-37"/>
              <w:rPr>
                <w:rStyle w:val="Emphasis"/>
              </w:rPr>
            </w:pPr>
            <w:r>
              <w:rPr>
                <w:rStyle w:val="Emphasis"/>
              </w:rPr>
              <w:t xml:space="preserve">AIS NT </w:t>
            </w:r>
          </w:p>
        </w:tc>
        <w:tc>
          <w:tcPr>
            <w:tcW w:w="1575" w:type="dxa"/>
            <w:shd w:val="clear" w:color="auto" w:fill="DBE5F1" w:themeFill="accent1" w:themeFillTint="33"/>
          </w:tcPr>
          <w:p w14:paraId="1DC21C54" w14:textId="77777777" w:rsidR="00DC4448" w:rsidRDefault="00DC4448" w:rsidP="002C6ABD">
            <w:pPr>
              <w:rPr>
                <w:rStyle w:val="Emphasis"/>
              </w:rPr>
            </w:pPr>
            <w:r>
              <w:rPr>
                <w:rStyle w:val="Emphasis"/>
              </w:rPr>
              <w:t xml:space="preserve">CENT </w:t>
            </w:r>
          </w:p>
        </w:tc>
      </w:tr>
      <w:tr w:rsidR="00DC4448" w14:paraId="759DF7D4" w14:textId="77777777" w:rsidTr="00E939AD">
        <w:tc>
          <w:tcPr>
            <w:tcW w:w="1574" w:type="dxa"/>
            <w:shd w:val="clear" w:color="auto" w:fill="F2F2F2" w:themeFill="background1" w:themeFillShade="F2"/>
          </w:tcPr>
          <w:p w14:paraId="481DB6F9" w14:textId="11DE2DB7" w:rsidR="00DC4448" w:rsidRPr="00995DD5" w:rsidRDefault="00E939AD" w:rsidP="002C6ABD">
            <w:pPr>
              <w:ind w:right="-69"/>
              <w:rPr>
                <w:rStyle w:val="Emphasis"/>
                <w:i w:val="0"/>
              </w:rPr>
            </w:pPr>
            <w:r>
              <w:rPr>
                <w:rStyle w:val="Emphasis"/>
                <w:i w:val="0"/>
              </w:rPr>
              <w:t>Professional learning:</w:t>
            </w:r>
          </w:p>
          <w:p w14:paraId="37015A21" w14:textId="77777777" w:rsidR="00DC4448" w:rsidRPr="007D4015" w:rsidRDefault="00DC4448" w:rsidP="002C6ABD">
            <w:pPr>
              <w:rPr>
                <w:b/>
                <w:sz w:val="18"/>
                <w:szCs w:val="18"/>
              </w:rPr>
            </w:pPr>
          </w:p>
        </w:tc>
        <w:tc>
          <w:tcPr>
            <w:tcW w:w="1575" w:type="dxa"/>
            <w:shd w:val="clear" w:color="auto" w:fill="EEECE1" w:themeFill="background2"/>
          </w:tcPr>
          <w:p w14:paraId="49EB7E80" w14:textId="77777777" w:rsidR="00DC4448" w:rsidRPr="00B527F8" w:rsidRDefault="00DC4448" w:rsidP="00E939AD">
            <w:pPr>
              <w:spacing w:after="240"/>
              <w:rPr>
                <w:b/>
                <w:sz w:val="16"/>
                <w:szCs w:val="16"/>
              </w:rPr>
            </w:pPr>
            <w:r w:rsidRPr="00B527F8">
              <w:rPr>
                <w:i/>
                <w:sz w:val="16"/>
                <w:szCs w:val="16"/>
              </w:rPr>
              <w:t>Quality Teaching</w:t>
            </w:r>
            <w:r w:rsidRPr="00B527F8">
              <w:rPr>
                <w:sz w:val="16"/>
                <w:szCs w:val="16"/>
              </w:rPr>
              <w:t xml:space="preserve"> e.g. information on Au</w:t>
            </w:r>
            <w:r>
              <w:rPr>
                <w:sz w:val="16"/>
                <w:szCs w:val="16"/>
              </w:rPr>
              <w:t>st. Prof Standards for Teachers.</w:t>
            </w:r>
          </w:p>
          <w:p w14:paraId="21459558" w14:textId="77777777" w:rsidR="00DC4448" w:rsidRPr="00B527F8" w:rsidRDefault="00DC4448" w:rsidP="00E939AD">
            <w:pPr>
              <w:spacing w:after="240"/>
              <w:rPr>
                <w:b/>
                <w:i/>
                <w:sz w:val="16"/>
                <w:szCs w:val="16"/>
              </w:rPr>
            </w:pPr>
            <w:r w:rsidRPr="00B527F8">
              <w:rPr>
                <w:i/>
                <w:sz w:val="16"/>
                <w:szCs w:val="16"/>
              </w:rPr>
              <w:t>Quality learning</w:t>
            </w:r>
          </w:p>
          <w:p w14:paraId="057F2292" w14:textId="250D6EE5" w:rsidR="00DC4448" w:rsidRPr="00B527F8" w:rsidRDefault="00DC4448" w:rsidP="00E939AD">
            <w:pPr>
              <w:spacing w:after="240"/>
              <w:rPr>
                <w:b/>
                <w:sz w:val="16"/>
                <w:szCs w:val="16"/>
              </w:rPr>
            </w:pPr>
            <w:r>
              <w:rPr>
                <w:sz w:val="16"/>
                <w:szCs w:val="16"/>
              </w:rPr>
              <w:t>e.g. Aust.</w:t>
            </w:r>
            <w:r w:rsidRPr="00B527F8">
              <w:rPr>
                <w:sz w:val="16"/>
                <w:szCs w:val="16"/>
              </w:rPr>
              <w:t xml:space="preserve"> Curriculum workshops</w:t>
            </w:r>
            <w:r>
              <w:rPr>
                <w:sz w:val="16"/>
                <w:szCs w:val="16"/>
              </w:rPr>
              <w:t>;</w:t>
            </w:r>
            <w:r w:rsidRPr="00B527F8">
              <w:rPr>
                <w:sz w:val="16"/>
                <w:szCs w:val="16"/>
              </w:rPr>
              <w:t xml:space="preserve"> </w:t>
            </w:r>
            <w:r>
              <w:rPr>
                <w:sz w:val="16"/>
                <w:szCs w:val="16"/>
              </w:rPr>
              <w:t>literacy and numeracy options</w:t>
            </w:r>
          </w:p>
        </w:tc>
        <w:tc>
          <w:tcPr>
            <w:tcW w:w="1575" w:type="dxa"/>
          </w:tcPr>
          <w:p w14:paraId="795DE718" w14:textId="77777777" w:rsidR="00DC4448" w:rsidRPr="007D4015" w:rsidRDefault="00DC4448" w:rsidP="002C6ABD">
            <w:pPr>
              <w:rPr>
                <w:b/>
                <w:sz w:val="16"/>
                <w:szCs w:val="16"/>
              </w:rPr>
            </w:pPr>
            <w:r w:rsidRPr="00B000CE">
              <w:rPr>
                <w:i/>
                <w:sz w:val="16"/>
                <w:szCs w:val="16"/>
              </w:rPr>
              <w:t>Quality Teaching</w:t>
            </w:r>
            <w:r w:rsidRPr="007D4015">
              <w:rPr>
                <w:sz w:val="16"/>
                <w:szCs w:val="16"/>
              </w:rPr>
              <w:t xml:space="preserve"> </w:t>
            </w:r>
            <w:r>
              <w:rPr>
                <w:sz w:val="16"/>
                <w:szCs w:val="16"/>
              </w:rPr>
              <w:t>(</w:t>
            </w:r>
            <w:r w:rsidRPr="007D4015">
              <w:rPr>
                <w:sz w:val="16"/>
                <w:szCs w:val="16"/>
              </w:rPr>
              <w:t xml:space="preserve"> </w:t>
            </w:r>
            <w:r>
              <w:rPr>
                <w:sz w:val="16"/>
                <w:szCs w:val="16"/>
              </w:rPr>
              <w:t>e.g. mentoring capability; Aboriginal assistant skilling)</w:t>
            </w:r>
          </w:p>
        </w:tc>
        <w:tc>
          <w:tcPr>
            <w:tcW w:w="1575" w:type="dxa"/>
          </w:tcPr>
          <w:p w14:paraId="5CED536A" w14:textId="4C78A922" w:rsidR="00DC4448" w:rsidRDefault="00DC4448" w:rsidP="00E939AD">
            <w:pPr>
              <w:ind w:right="-37"/>
              <w:rPr>
                <w:b/>
              </w:rPr>
            </w:pPr>
            <w:r w:rsidRPr="00B000CE">
              <w:rPr>
                <w:i/>
                <w:sz w:val="16"/>
                <w:szCs w:val="16"/>
              </w:rPr>
              <w:t>Quality Teaching</w:t>
            </w:r>
            <w:r w:rsidRPr="007D4015">
              <w:rPr>
                <w:sz w:val="16"/>
                <w:szCs w:val="16"/>
              </w:rPr>
              <w:t xml:space="preserve"> </w:t>
            </w:r>
            <w:r>
              <w:rPr>
                <w:sz w:val="16"/>
                <w:szCs w:val="16"/>
              </w:rPr>
              <w:t xml:space="preserve">e.g. </w:t>
            </w:r>
            <w:r w:rsidRPr="00D336FC">
              <w:rPr>
                <w:sz w:val="16"/>
                <w:szCs w:val="16"/>
              </w:rPr>
              <w:t xml:space="preserve">A range of professional learning programs </w:t>
            </w:r>
            <w:r>
              <w:rPr>
                <w:sz w:val="16"/>
                <w:szCs w:val="16"/>
              </w:rPr>
              <w:t>including</w:t>
            </w:r>
            <w:r w:rsidRPr="00D336FC">
              <w:rPr>
                <w:sz w:val="16"/>
                <w:szCs w:val="16"/>
              </w:rPr>
              <w:t xml:space="preserve"> professional standards </w:t>
            </w:r>
            <w:r>
              <w:rPr>
                <w:sz w:val="16"/>
                <w:szCs w:val="16"/>
              </w:rPr>
              <w:t>for teachers</w:t>
            </w:r>
            <w:r w:rsidRPr="00D336FC">
              <w:rPr>
                <w:sz w:val="16"/>
                <w:szCs w:val="16"/>
              </w:rPr>
              <w:t>, Australian Curriculum, early years educators</w:t>
            </w:r>
          </w:p>
        </w:tc>
        <w:tc>
          <w:tcPr>
            <w:tcW w:w="1575" w:type="dxa"/>
          </w:tcPr>
          <w:p w14:paraId="5FF91B36" w14:textId="6D3D7155" w:rsidR="00DC4448" w:rsidRDefault="00DC4448" w:rsidP="00E939AD">
            <w:pPr>
              <w:rPr>
                <w:b/>
              </w:rPr>
            </w:pPr>
            <w:r w:rsidRPr="00B000CE">
              <w:rPr>
                <w:i/>
                <w:sz w:val="16"/>
                <w:szCs w:val="16"/>
              </w:rPr>
              <w:t>Quality Teaching</w:t>
            </w:r>
            <w:r w:rsidRPr="007D4015">
              <w:rPr>
                <w:sz w:val="16"/>
                <w:szCs w:val="16"/>
              </w:rPr>
              <w:t xml:space="preserve"> </w:t>
            </w:r>
            <w:r>
              <w:rPr>
                <w:sz w:val="16"/>
                <w:szCs w:val="16"/>
              </w:rPr>
              <w:t xml:space="preserve">e.g. </w:t>
            </w:r>
            <w:r w:rsidRPr="00757E6C">
              <w:rPr>
                <w:sz w:val="18"/>
                <w:szCs w:val="18"/>
              </w:rPr>
              <w:t>Professional Learning sessions for school leadership teams and staff covering understanding of the AITSL Teaching Standards and effective pedagogical practices</w:t>
            </w:r>
          </w:p>
        </w:tc>
        <w:tc>
          <w:tcPr>
            <w:tcW w:w="1575" w:type="dxa"/>
          </w:tcPr>
          <w:p w14:paraId="7295DDC0" w14:textId="3B83AA85" w:rsidR="00DC4448" w:rsidRDefault="0064309F" w:rsidP="002C6ABD">
            <w:pPr>
              <w:ind w:right="-37"/>
              <w:rPr>
                <w:b/>
              </w:rPr>
            </w:pPr>
            <w:r w:rsidRPr="0064309F">
              <w:rPr>
                <w:sz w:val="16"/>
                <w:szCs w:val="16"/>
              </w:rPr>
              <w:t>N/A</w:t>
            </w:r>
          </w:p>
        </w:tc>
        <w:tc>
          <w:tcPr>
            <w:tcW w:w="1575" w:type="dxa"/>
            <w:shd w:val="clear" w:color="auto" w:fill="EEECE1" w:themeFill="background2"/>
          </w:tcPr>
          <w:p w14:paraId="2A55C510" w14:textId="0D337EE8" w:rsidR="00DC4448" w:rsidRDefault="00DC4448" w:rsidP="00E939AD">
            <w:pPr>
              <w:rPr>
                <w:b/>
              </w:rPr>
            </w:pPr>
            <w:r w:rsidRPr="006245CA">
              <w:rPr>
                <w:i/>
                <w:sz w:val="16"/>
                <w:szCs w:val="16"/>
              </w:rPr>
              <w:t>Quality teaching</w:t>
            </w:r>
            <w:r>
              <w:rPr>
                <w:sz w:val="16"/>
                <w:szCs w:val="16"/>
              </w:rPr>
              <w:t xml:space="preserve"> </w:t>
            </w:r>
            <w:r w:rsidRPr="006245CA">
              <w:rPr>
                <w:sz w:val="16"/>
                <w:szCs w:val="16"/>
              </w:rPr>
              <w:t>e.g</w:t>
            </w:r>
            <w:r>
              <w:rPr>
                <w:sz w:val="16"/>
                <w:szCs w:val="16"/>
              </w:rPr>
              <w:t>. University to Classroom where professional learning enables compliance with the Teacher Quality Institute; and Current and Aspiring Leaders program with conference and tools.</w:t>
            </w:r>
          </w:p>
        </w:tc>
        <w:tc>
          <w:tcPr>
            <w:tcW w:w="1575" w:type="dxa"/>
            <w:shd w:val="clear" w:color="auto" w:fill="EEECE1" w:themeFill="background2"/>
          </w:tcPr>
          <w:p w14:paraId="3775C51D" w14:textId="48378D4D" w:rsidR="00DC4448" w:rsidRDefault="00DC4448" w:rsidP="002C6ABD">
            <w:pPr>
              <w:ind w:right="-37"/>
              <w:rPr>
                <w:b/>
              </w:rPr>
            </w:pPr>
            <w:r w:rsidRPr="00785B87">
              <w:rPr>
                <w:rFonts w:cstheme="minorHAnsi"/>
                <w:i/>
                <w:sz w:val="16"/>
                <w:szCs w:val="16"/>
              </w:rPr>
              <w:t>School Leadership</w:t>
            </w:r>
            <w:r>
              <w:rPr>
                <w:rFonts w:cstheme="minorHAnsi"/>
                <w:sz w:val="16"/>
                <w:szCs w:val="16"/>
              </w:rPr>
              <w:t xml:space="preserve"> </w:t>
            </w:r>
            <w:r w:rsidR="00C2634B">
              <w:rPr>
                <w:rFonts w:cstheme="minorHAnsi"/>
                <w:sz w:val="16"/>
                <w:szCs w:val="16"/>
              </w:rPr>
              <w:t>e.g.</w:t>
            </w:r>
            <w:r w:rsidRPr="00E8097A">
              <w:rPr>
                <w:rFonts w:cstheme="minorHAnsi"/>
                <w:sz w:val="16"/>
                <w:szCs w:val="16"/>
              </w:rPr>
              <w:t xml:space="preserve"> Professional learning to assist schools in aligning the teacher registration processes, probation and induction with the Australian Professional Standards for Teaching</w:t>
            </w:r>
          </w:p>
        </w:tc>
        <w:tc>
          <w:tcPr>
            <w:tcW w:w="1575" w:type="dxa"/>
          </w:tcPr>
          <w:p w14:paraId="3C17BC42" w14:textId="77777777" w:rsidR="00DC4448" w:rsidRPr="00785B87" w:rsidRDefault="00DC4448" w:rsidP="002C6ABD">
            <w:pPr>
              <w:rPr>
                <w:b/>
                <w:sz w:val="16"/>
                <w:szCs w:val="16"/>
              </w:rPr>
            </w:pPr>
            <w:r w:rsidRPr="00785B87">
              <w:rPr>
                <w:rFonts w:cstheme="minorHAnsi"/>
                <w:i/>
                <w:sz w:val="16"/>
                <w:szCs w:val="16"/>
              </w:rPr>
              <w:t>School Leadership</w:t>
            </w:r>
            <w:r>
              <w:rPr>
                <w:rFonts w:cstheme="minorHAnsi"/>
                <w:sz w:val="16"/>
                <w:szCs w:val="16"/>
              </w:rPr>
              <w:t xml:space="preserve"> e.g. </w:t>
            </w:r>
            <w:r w:rsidRPr="00785B87">
              <w:rPr>
                <w:rFonts w:cstheme="minorHAnsi"/>
                <w:sz w:val="16"/>
                <w:szCs w:val="16"/>
              </w:rPr>
              <w:t xml:space="preserve">A Principals professional development program </w:t>
            </w:r>
            <w:r>
              <w:rPr>
                <w:rFonts w:cstheme="minorHAnsi"/>
                <w:sz w:val="16"/>
                <w:szCs w:val="16"/>
              </w:rPr>
              <w:t>including</w:t>
            </w:r>
            <w:r w:rsidRPr="00785B87">
              <w:rPr>
                <w:rFonts w:cstheme="minorHAnsi"/>
                <w:sz w:val="16"/>
                <w:szCs w:val="16"/>
              </w:rPr>
              <w:t xml:space="preserve"> </w:t>
            </w:r>
            <w:r>
              <w:rPr>
                <w:rFonts w:cstheme="minorHAnsi"/>
                <w:sz w:val="16"/>
                <w:szCs w:val="16"/>
              </w:rPr>
              <w:t xml:space="preserve">support for </w:t>
            </w:r>
            <w:r w:rsidRPr="00785B87">
              <w:rPr>
                <w:rFonts w:cstheme="minorHAnsi"/>
                <w:sz w:val="16"/>
                <w:szCs w:val="16"/>
              </w:rPr>
              <w:t>new principals, termly network meetings and a structured professional learning program around pedagogy</w:t>
            </w:r>
          </w:p>
        </w:tc>
      </w:tr>
      <w:tr w:rsidR="00DC4448" w14:paraId="2CBE0A99" w14:textId="77777777" w:rsidTr="00E939AD">
        <w:tc>
          <w:tcPr>
            <w:tcW w:w="1574" w:type="dxa"/>
            <w:shd w:val="clear" w:color="auto" w:fill="F2F2F2" w:themeFill="background1" w:themeFillShade="F2"/>
          </w:tcPr>
          <w:p w14:paraId="483987A3" w14:textId="2437B58D" w:rsidR="00DC4448" w:rsidRPr="00995DD5" w:rsidRDefault="00E939AD" w:rsidP="002C6ABD">
            <w:pPr>
              <w:rPr>
                <w:rStyle w:val="Emphasis"/>
              </w:rPr>
            </w:pPr>
            <w:r>
              <w:rPr>
                <w:rStyle w:val="Emphasis"/>
              </w:rPr>
              <w:t>Consultancy advice for schools</w:t>
            </w:r>
          </w:p>
          <w:p w14:paraId="62154936" w14:textId="77777777" w:rsidR="00DC4448" w:rsidRPr="007D4015" w:rsidRDefault="00DC4448" w:rsidP="002C6ABD">
            <w:pPr>
              <w:rPr>
                <w:rStyle w:val="Emphasis"/>
                <w:sz w:val="18"/>
                <w:szCs w:val="18"/>
              </w:rPr>
            </w:pPr>
          </w:p>
        </w:tc>
        <w:tc>
          <w:tcPr>
            <w:tcW w:w="1575" w:type="dxa"/>
            <w:shd w:val="clear" w:color="auto" w:fill="EEECE1" w:themeFill="background2"/>
          </w:tcPr>
          <w:p w14:paraId="65A68404" w14:textId="77777777" w:rsidR="00DC4448" w:rsidRPr="00B527F8" w:rsidRDefault="00DC4448" w:rsidP="002C6ABD">
            <w:pPr>
              <w:rPr>
                <w:b/>
                <w:i/>
                <w:sz w:val="16"/>
                <w:szCs w:val="16"/>
              </w:rPr>
            </w:pPr>
            <w:r w:rsidRPr="00B527F8">
              <w:rPr>
                <w:i/>
                <w:sz w:val="16"/>
                <w:szCs w:val="16"/>
              </w:rPr>
              <w:t xml:space="preserve">Quality Learning </w:t>
            </w:r>
          </w:p>
          <w:p w14:paraId="402380C5" w14:textId="77777777" w:rsidR="00DC4448" w:rsidRPr="00B527F8" w:rsidRDefault="00DC4448" w:rsidP="002C6ABD">
            <w:pPr>
              <w:rPr>
                <w:b/>
                <w:sz w:val="16"/>
                <w:szCs w:val="16"/>
              </w:rPr>
            </w:pPr>
            <w:r w:rsidRPr="00B527F8">
              <w:rPr>
                <w:sz w:val="16"/>
                <w:szCs w:val="16"/>
              </w:rPr>
              <w:t>High volume</w:t>
            </w:r>
            <w:r>
              <w:rPr>
                <w:sz w:val="16"/>
                <w:szCs w:val="16"/>
              </w:rPr>
              <w:t xml:space="preserve"> of school visits for Aust.</w:t>
            </w:r>
            <w:r w:rsidRPr="00B527F8">
              <w:rPr>
                <w:sz w:val="16"/>
                <w:szCs w:val="16"/>
              </w:rPr>
              <w:t xml:space="preserve"> Curriculum</w:t>
            </w:r>
            <w:r>
              <w:rPr>
                <w:sz w:val="16"/>
                <w:szCs w:val="16"/>
              </w:rPr>
              <w:t xml:space="preserve">; high engagement of literacy and numeracy  consultants) </w:t>
            </w:r>
            <w:r w:rsidRPr="00B527F8">
              <w:rPr>
                <w:sz w:val="16"/>
                <w:szCs w:val="16"/>
              </w:rPr>
              <w:t xml:space="preserve"> </w:t>
            </w:r>
          </w:p>
        </w:tc>
        <w:tc>
          <w:tcPr>
            <w:tcW w:w="1575" w:type="dxa"/>
            <w:shd w:val="clear" w:color="auto" w:fill="EEECE1" w:themeFill="background2"/>
          </w:tcPr>
          <w:p w14:paraId="2D0FCDF3" w14:textId="77777777" w:rsidR="00DC4448" w:rsidRDefault="00DC4448" w:rsidP="00E939AD">
            <w:pPr>
              <w:spacing w:after="240"/>
              <w:rPr>
                <w:b/>
                <w:sz w:val="16"/>
                <w:szCs w:val="16"/>
              </w:rPr>
            </w:pPr>
            <w:r w:rsidRPr="00B000CE">
              <w:rPr>
                <w:i/>
                <w:sz w:val="16"/>
                <w:szCs w:val="16"/>
              </w:rPr>
              <w:t>Quality Teaching</w:t>
            </w:r>
            <w:r w:rsidRPr="007D4015">
              <w:rPr>
                <w:sz w:val="16"/>
                <w:szCs w:val="16"/>
              </w:rPr>
              <w:t xml:space="preserve"> </w:t>
            </w:r>
            <w:r>
              <w:rPr>
                <w:sz w:val="16"/>
                <w:szCs w:val="16"/>
              </w:rPr>
              <w:t>(</w:t>
            </w:r>
            <w:r w:rsidRPr="007D4015">
              <w:rPr>
                <w:sz w:val="16"/>
                <w:szCs w:val="16"/>
              </w:rPr>
              <w:t>e</w:t>
            </w:r>
            <w:r>
              <w:rPr>
                <w:sz w:val="16"/>
                <w:szCs w:val="16"/>
              </w:rPr>
              <w:t>.</w:t>
            </w:r>
            <w:r w:rsidRPr="007D4015">
              <w:rPr>
                <w:sz w:val="16"/>
                <w:szCs w:val="16"/>
              </w:rPr>
              <w:t>g. Impl</w:t>
            </w:r>
            <w:r>
              <w:rPr>
                <w:sz w:val="16"/>
                <w:szCs w:val="16"/>
              </w:rPr>
              <w:t>e</w:t>
            </w:r>
            <w:r w:rsidRPr="007D4015">
              <w:rPr>
                <w:sz w:val="16"/>
                <w:szCs w:val="16"/>
              </w:rPr>
              <w:t>mentation of Aust</w:t>
            </w:r>
            <w:r>
              <w:rPr>
                <w:sz w:val="16"/>
                <w:szCs w:val="16"/>
              </w:rPr>
              <w:t>. Prof Standards for T</w:t>
            </w:r>
            <w:r w:rsidRPr="007D4015">
              <w:rPr>
                <w:sz w:val="16"/>
                <w:szCs w:val="16"/>
              </w:rPr>
              <w:t>eachers)</w:t>
            </w:r>
          </w:p>
          <w:p w14:paraId="47BC5D01" w14:textId="77777777" w:rsidR="00DC4448" w:rsidRDefault="00DC4448" w:rsidP="00E939AD">
            <w:pPr>
              <w:spacing w:after="240"/>
              <w:rPr>
                <w:b/>
                <w:sz w:val="16"/>
                <w:szCs w:val="16"/>
              </w:rPr>
            </w:pPr>
            <w:r w:rsidRPr="00B000CE">
              <w:rPr>
                <w:i/>
                <w:sz w:val="16"/>
                <w:szCs w:val="16"/>
              </w:rPr>
              <w:t>Quality learning</w:t>
            </w:r>
            <w:r>
              <w:rPr>
                <w:sz w:val="16"/>
                <w:szCs w:val="16"/>
              </w:rPr>
              <w:t xml:space="preserve"> (e.g. Reading Recovery training; data analysis skills)</w:t>
            </w:r>
          </w:p>
          <w:p w14:paraId="25C885A1" w14:textId="77777777" w:rsidR="00DC4448" w:rsidRPr="007D4015" w:rsidRDefault="00DC4448" w:rsidP="00E939AD">
            <w:pPr>
              <w:spacing w:after="240"/>
              <w:rPr>
                <w:b/>
                <w:sz w:val="16"/>
                <w:szCs w:val="16"/>
              </w:rPr>
            </w:pPr>
            <w:r w:rsidRPr="00B000CE">
              <w:rPr>
                <w:i/>
                <w:sz w:val="16"/>
                <w:szCs w:val="16"/>
              </w:rPr>
              <w:t>Student Need</w:t>
            </w:r>
            <w:r>
              <w:rPr>
                <w:sz w:val="16"/>
                <w:szCs w:val="16"/>
              </w:rPr>
              <w:t xml:space="preserve"> ( e.g. support for Kimberly schools) </w:t>
            </w:r>
          </w:p>
        </w:tc>
        <w:tc>
          <w:tcPr>
            <w:tcW w:w="1575" w:type="dxa"/>
          </w:tcPr>
          <w:p w14:paraId="18BB4317" w14:textId="77777777" w:rsidR="00DC4448" w:rsidRPr="00B07467" w:rsidRDefault="00DC4448" w:rsidP="002C6ABD">
            <w:pPr>
              <w:ind w:right="-37"/>
              <w:rPr>
                <w:b/>
                <w:sz w:val="16"/>
                <w:szCs w:val="16"/>
              </w:rPr>
            </w:pPr>
            <w:r w:rsidRPr="00B07467">
              <w:rPr>
                <w:i/>
                <w:sz w:val="16"/>
                <w:szCs w:val="16"/>
              </w:rPr>
              <w:t>Student Need</w:t>
            </w:r>
            <w:r w:rsidRPr="00B07467">
              <w:rPr>
                <w:sz w:val="16"/>
                <w:szCs w:val="16"/>
              </w:rPr>
              <w:t xml:space="preserve"> e.g. Work on nationally consistent data for SWD where IST support was essential in schools being able to supply high quality assessments</w:t>
            </w:r>
          </w:p>
        </w:tc>
        <w:tc>
          <w:tcPr>
            <w:tcW w:w="1575" w:type="dxa"/>
          </w:tcPr>
          <w:p w14:paraId="3939A210" w14:textId="35E7DF23" w:rsidR="00DC4448" w:rsidRPr="00D6149A" w:rsidRDefault="00DC4448" w:rsidP="00E939AD">
            <w:pPr>
              <w:rPr>
                <w:b/>
                <w:sz w:val="16"/>
                <w:szCs w:val="16"/>
              </w:rPr>
            </w:pPr>
            <w:r w:rsidRPr="00D6149A">
              <w:rPr>
                <w:i/>
                <w:sz w:val="16"/>
                <w:szCs w:val="16"/>
              </w:rPr>
              <w:t>School Leadership</w:t>
            </w:r>
            <w:r>
              <w:rPr>
                <w:sz w:val="16"/>
                <w:szCs w:val="16"/>
              </w:rPr>
              <w:t xml:space="preserve"> e.g. </w:t>
            </w:r>
            <w:r w:rsidRPr="00D6149A">
              <w:rPr>
                <w:sz w:val="16"/>
                <w:szCs w:val="16"/>
              </w:rPr>
              <w:t>The TCEO has employed a data analyst, who regularly analyses NAPLAN and other CEO data as required. Data analysis is given to schools to inform annual planning and the Principal’s PDR conversations with Heads of School Services.</w:t>
            </w:r>
          </w:p>
        </w:tc>
        <w:tc>
          <w:tcPr>
            <w:tcW w:w="1575" w:type="dxa"/>
          </w:tcPr>
          <w:p w14:paraId="730B1275" w14:textId="6D2BCA00" w:rsidR="00DC4448" w:rsidRDefault="0064309F" w:rsidP="002C6ABD">
            <w:pPr>
              <w:ind w:right="-37"/>
              <w:rPr>
                <w:b/>
              </w:rPr>
            </w:pPr>
            <w:r w:rsidRPr="0064309F">
              <w:rPr>
                <w:sz w:val="16"/>
                <w:szCs w:val="16"/>
              </w:rPr>
              <w:t>N/A</w:t>
            </w:r>
          </w:p>
        </w:tc>
        <w:tc>
          <w:tcPr>
            <w:tcW w:w="1575" w:type="dxa"/>
          </w:tcPr>
          <w:p w14:paraId="0ACFF9C2" w14:textId="028F6085" w:rsidR="00DC4448" w:rsidRDefault="00DC4448" w:rsidP="002C6ABD">
            <w:pPr>
              <w:rPr>
                <w:b/>
              </w:rPr>
            </w:pPr>
            <w:r w:rsidRPr="006245CA">
              <w:rPr>
                <w:i/>
                <w:sz w:val="16"/>
                <w:szCs w:val="16"/>
              </w:rPr>
              <w:t xml:space="preserve">Quality </w:t>
            </w:r>
            <w:r>
              <w:rPr>
                <w:i/>
                <w:sz w:val="16"/>
                <w:szCs w:val="16"/>
              </w:rPr>
              <w:t xml:space="preserve">Learning </w:t>
            </w:r>
            <w:r w:rsidRPr="006245CA">
              <w:rPr>
                <w:sz w:val="16"/>
                <w:szCs w:val="16"/>
              </w:rPr>
              <w:t>e.g</w:t>
            </w:r>
            <w:r>
              <w:rPr>
                <w:sz w:val="16"/>
                <w:szCs w:val="16"/>
              </w:rPr>
              <w:t>. early years literacy and numeracy with Collaboration in Student Achieveme</w:t>
            </w:r>
            <w:r w:rsidR="00E939AD">
              <w:rPr>
                <w:sz w:val="16"/>
                <w:szCs w:val="16"/>
              </w:rPr>
              <w:t xml:space="preserve">nt (COSA) officer  and project </w:t>
            </w:r>
          </w:p>
        </w:tc>
        <w:tc>
          <w:tcPr>
            <w:tcW w:w="1575" w:type="dxa"/>
          </w:tcPr>
          <w:p w14:paraId="7D762065" w14:textId="4233B271" w:rsidR="00DC4448" w:rsidRPr="00E8097A" w:rsidRDefault="00DC4448" w:rsidP="00E939AD">
            <w:pPr>
              <w:ind w:left="-87" w:right="-37"/>
              <w:rPr>
                <w:b/>
                <w:sz w:val="16"/>
                <w:szCs w:val="16"/>
              </w:rPr>
            </w:pPr>
            <w:r w:rsidRPr="006245CA">
              <w:rPr>
                <w:i/>
                <w:sz w:val="16"/>
                <w:szCs w:val="16"/>
              </w:rPr>
              <w:t xml:space="preserve">Quality </w:t>
            </w:r>
            <w:r>
              <w:rPr>
                <w:i/>
                <w:sz w:val="16"/>
                <w:szCs w:val="16"/>
              </w:rPr>
              <w:t xml:space="preserve">Learning </w:t>
            </w:r>
            <w:r w:rsidRPr="006245CA">
              <w:rPr>
                <w:sz w:val="16"/>
                <w:szCs w:val="16"/>
              </w:rPr>
              <w:t>e.g</w:t>
            </w:r>
            <w:r>
              <w:rPr>
                <w:sz w:val="16"/>
                <w:szCs w:val="16"/>
              </w:rPr>
              <w:t xml:space="preserve">. </w:t>
            </w:r>
            <w:r w:rsidRPr="00E8097A">
              <w:rPr>
                <w:sz w:val="16"/>
                <w:szCs w:val="16"/>
              </w:rPr>
              <w:t>Provide consultancy to NT independent schools regarding the implementation of the Australian Curriculum into specific school contexts</w:t>
            </w:r>
          </w:p>
        </w:tc>
        <w:tc>
          <w:tcPr>
            <w:tcW w:w="1575" w:type="dxa"/>
          </w:tcPr>
          <w:p w14:paraId="37C5AD9D" w14:textId="77777777" w:rsidR="00DC4448" w:rsidRDefault="00DC4448" w:rsidP="002C6ABD">
            <w:pPr>
              <w:ind w:left="-87"/>
              <w:rPr>
                <w:b/>
                <w:i/>
                <w:sz w:val="16"/>
                <w:szCs w:val="16"/>
              </w:rPr>
            </w:pPr>
            <w:r>
              <w:rPr>
                <w:i/>
                <w:sz w:val="16"/>
                <w:szCs w:val="16"/>
              </w:rPr>
              <w:t>School Leadership</w:t>
            </w:r>
          </w:p>
          <w:p w14:paraId="35A241AB" w14:textId="77777777" w:rsidR="00DC4448" w:rsidRPr="00B07467" w:rsidRDefault="00DC4448" w:rsidP="002C6ABD">
            <w:pPr>
              <w:ind w:left="-87"/>
              <w:rPr>
                <w:b/>
                <w:sz w:val="16"/>
                <w:szCs w:val="16"/>
              </w:rPr>
            </w:pPr>
            <w:r>
              <w:rPr>
                <w:sz w:val="16"/>
                <w:szCs w:val="16"/>
              </w:rPr>
              <w:t xml:space="preserve">e.g. </w:t>
            </w:r>
            <w:r w:rsidRPr="00B07467">
              <w:rPr>
                <w:sz w:val="16"/>
                <w:szCs w:val="16"/>
              </w:rPr>
              <w:t>Principal Consultant and External Consultants  supported schools in monitoring school performance, refining Strategic and Annual Plans, and 2014/2016 School Annual Reports</w:t>
            </w:r>
          </w:p>
        </w:tc>
      </w:tr>
      <w:tr w:rsidR="00DC4448" w14:paraId="689E8149" w14:textId="77777777" w:rsidTr="00E939AD">
        <w:tc>
          <w:tcPr>
            <w:tcW w:w="1574" w:type="dxa"/>
            <w:shd w:val="clear" w:color="auto" w:fill="F2F2F2" w:themeFill="background1" w:themeFillShade="F2"/>
          </w:tcPr>
          <w:p w14:paraId="11A96262" w14:textId="77777777" w:rsidR="00DC4448" w:rsidRPr="00995DD5" w:rsidRDefault="00DC4448" w:rsidP="00E939AD">
            <w:pPr>
              <w:keepNext/>
              <w:keepLines/>
              <w:rPr>
                <w:rStyle w:val="Emphasis"/>
              </w:rPr>
            </w:pPr>
            <w:r w:rsidRPr="00995DD5">
              <w:rPr>
                <w:rStyle w:val="Emphasis"/>
              </w:rPr>
              <w:t xml:space="preserve">Coaching and mentoring Services </w:t>
            </w:r>
          </w:p>
          <w:p w14:paraId="2A2FF211" w14:textId="77777777" w:rsidR="00DC4448" w:rsidRPr="007D4015" w:rsidRDefault="00DC4448" w:rsidP="00E939AD">
            <w:pPr>
              <w:keepNext/>
              <w:keepLines/>
              <w:rPr>
                <w:rStyle w:val="Emphasis"/>
                <w:sz w:val="18"/>
                <w:szCs w:val="18"/>
              </w:rPr>
            </w:pPr>
          </w:p>
        </w:tc>
        <w:tc>
          <w:tcPr>
            <w:tcW w:w="1575" w:type="dxa"/>
          </w:tcPr>
          <w:p w14:paraId="0C662CF4" w14:textId="69909FCF" w:rsidR="00DC4448" w:rsidRPr="007D4015" w:rsidRDefault="0064309F" w:rsidP="00E939AD">
            <w:pPr>
              <w:keepNext/>
              <w:keepLines/>
              <w:rPr>
                <w:b/>
                <w:sz w:val="18"/>
                <w:szCs w:val="18"/>
              </w:rPr>
            </w:pPr>
            <w:r w:rsidRPr="0064309F">
              <w:rPr>
                <w:sz w:val="16"/>
                <w:szCs w:val="16"/>
              </w:rPr>
              <w:t>N/A</w:t>
            </w:r>
          </w:p>
        </w:tc>
        <w:tc>
          <w:tcPr>
            <w:tcW w:w="1575" w:type="dxa"/>
            <w:shd w:val="clear" w:color="auto" w:fill="EEECE1" w:themeFill="background2"/>
          </w:tcPr>
          <w:p w14:paraId="46D737A6" w14:textId="77777777" w:rsidR="00DC4448" w:rsidRPr="00B000CE" w:rsidRDefault="00DC4448" w:rsidP="00E939AD">
            <w:pPr>
              <w:keepNext/>
              <w:keepLines/>
              <w:rPr>
                <w:b/>
                <w:i/>
                <w:sz w:val="16"/>
                <w:szCs w:val="16"/>
              </w:rPr>
            </w:pPr>
            <w:r w:rsidRPr="00B000CE">
              <w:rPr>
                <w:i/>
                <w:sz w:val="16"/>
                <w:szCs w:val="16"/>
              </w:rPr>
              <w:t xml:space="preserve">Quality Teaching </w:t>
            </w:r>
          </w:p>
          <w:p w14:paraId="497EBF2F" w14:textId="77777777" w:rsidR="00DC4448" w:rsidRDefault="00DC4448" w:rsidP="00E939AD">
            <w:pPr>
              <w:keepNext/>
              <w:keepLines/>
              <w:rPr>
                <w:b/>
                <w:sz w:val="16"/>
                <w:szCs w:val="16"/>
              </w:rPr>
            </w:pPr>
            <w:r>
              <w:rPr>
                <w:sz w:val="16"/>
                <w:szCs w:val="16"/>
              </w:rPr>
              <w:t>(e.g. support for new graduates; use of principal advisors)</w:t>
            </w:r>
          </w:p>
          <w:p w14:paraId="1E794CC9" w14:textId="77777777" w:rsidR="00DC4448" w:rsidRPr="00B000CE" w:rsidRDefault="00DC4448" w:rsidP="00E939AD">
            <w:pPr>
              <w:keepNext/>
              <w:keepLines/>
              <w:rPr>
                <w:b/>
                <w:i/>
                <w:sz w:val="16"/>
                <w:szCs w:val="16"/>
              </w:rPr>
            </w:pPr>
            <w:r w:rsidRPr="00B000CE">
              <w:rPr>
                <w:i/>
                <w:sz w:val="16"/>
                <w:szCs w:val="16"/>
              </w:rPr>
              <w:t xml:space="preserve">Student Need </w:t>
            </w:r>
            <w:r>
              <w:rPr>
                <w:i/>
                <w:sz w:val="16"/>
                <w:szCs w:val="16"/>
              </w:rPr>
              <w:t>(e.g.</w:t>
            </w:r>
            <w:r w:rsidRPr="00B000CE">
              <w:rPr>
                <w:i/>
                <w:sz w:val="16"/>
                <w:szCs w:val="16"/>
              </w:rPr>
              <w:t xml:space="preserve"> </w:t>
            </w:r>
            <w:r>
              <w:rPr>
                <w:i/>
                <w:sz w:val="16"/>
                <w:szCs w:val="16"/>
              </w:rPr>
              <w:t>training for CARE Schools)</w:t>
            </w:r>
          </w:p>
        </w:tc>
        <w:tc>
          <w:tcPr>
            <w:tcW w:w="1575" w:type="dxa"/>
          </w:tcPr>
          <w:p w14:paraId="42F8D05A" w14:textId="7D08849A" w:rsidR="00DC4448" w:rsidRPr="00C524F3" w:rsidRDefault="00DC4448" w:rsidP="00E939AD">
            <w:pPr>
              <w:keepNext/>
              <w:keepLines/>
              <w:ind w:right="-37"/>
              <w:rPr>
                <w:b/>
                <w:sz w:val="16"/>
                <w:szCs w:val="16"/>
              </w:rPr>
            </w:pPr>
            <w:r w:rsidRPr="00C524F3">
              <w:rPr>
                <w:i/>
                <w:sz w:val="16"/>
                <w:szCs w:val="16"/>
              </w:rPr>
              <w:t>Quality Teaching</w:t>
            </w:r>
            <w:r>
              <w:rPr>
                <w:sz w:val="16"/>
                <w:szCs w:val="16"/>
              </w:rPr>
              <w:t xml:space="preserve"> e.g. </w:t>
            </w:r>
            <w:r w:rsidRPr="00C524F3">
              <w:rPr>
                <w:sz w:val="16"/>
                <w:szCs w:val="16"/>
              </w:rPr>
              <w:t>Worked with a cluster of 5 small schools on curriculum development – monthly session with key people from each school whom then work back within that school.</w:t>
            </w:r>
          </w:p>
        </w:tc>
        <w:tc>
          <w:tcPr>
            <w:tcW w:w="1575" w:type="dxa"/>
          </w:tcPr>
          <w:p w14:paraId="51765D8E" w14:textId="10AF3CEC" w:rsidR="00DC4448" w:rsidRDefault="00DC4448" w:rsidP="00E939AD">
            <w:pPr>
              <w:keepNext/>
              <w:keepLines/>
              <w:rPr>
                <w:b/>
              </w:rPr>
            </w:pPr>
            <w:r w:rsidRPr="00F67CEF">
              <w:rPr>
                <w:i/>
                <w:sz w:val="16"/>
                <w:szCs w:val="16"/>
              </w:rPr>
              <w:t>School Leadership</w:t>
            </w:r>
            <w:r>
              <w:rPr>
                <w:sz w:val="16"/>
                <w:szCs w:val="16"/>
              </w:rPr>
              <w:t xml:space="preserve"> e.g. </w:t>
            </w:r>
            <w:r w:rsidRPr="00F67CEF">
              <w:rPr>
                <w:sz w:val="16"/>
                <w:szCs w:val="16"/>
              </w:rPr>
              <w:t>Principal Induction and Mentor programs to support Principals in their first</w:t>
            </w:r>
            <w:r w:rsidR="00E939AD">
              <w:rPr>
                <w:sz w:val="16"/>
                <w:szCs w:val="16"/>
              </w:rPr>
              <w:t xml:space="preserve"> three years of Principal-ship.</w:t>
            </w:r>
          </w:p>
        </w:tc>
        <w:tc>
          <w:tcPr>
            <w:tcW w:w="1575" w:type="dxa"/>
          </w:tcPr>
          <w:p w14:paraId="44EFF823" w14:textId="20468482" w:rsidR="00DC4448" w:rsidRDefault="0064309F" w:rsidP="0064309F">
            <w:pPr>
              <w:keepNext/>
              <w:keepLines/>
              <w:rPr>
                <w:b/>
              </w:rPr>
            </w:pPr>
            <w:r w:rsidRPr="0064309F">
              <w:rPr>
                <w:i/>
                <w:sz w:val="16"/>
                <w:szCs w:val="16"/>
              </w:rPr>
              <w:t>N/A</w:t>
            </w:r>
          </w:p>
        </w:tc>
        <w:tc>
          <w:tcPr>
            <w:tcW w:w="1575" w:type="dxa"/>
          </w:tcPr>
          <w:p w14:paraId="450F319A" w14:textId="3DA707E0" w:rsidR="00DC4448" w:rsidRPr="006245CA" w:rsidRDefault="0064309F" w:rsidP="002C6ABD">
            <w:pPr>
              <w:rPr>
                <w:b/>
                <w:sz w:val="16"/>
                <w:szCs w:val="16"/>
              </w:rPr>
            </w:pPr>
            <w:r w:rsidRPr="0064309F">
              <w:rPr>
                <w:i/>
                <w:sz w:val="16"/>
                <w:szCs w:val="16"/>
              </w:rPr>
              <w:t>N/A</w:t>
            </w:r>
          </w:p>
        </w:tc>
        <w:tc>
          <w:tcPr>
            <w:tcW w:w="1575" w:type="dxa"/>
          </w:tcPr>
          <w:p w14:paraId="72EEC772" w14:textId="07918AC6" w:rsidR="00DC4448" w:rsidRDefault="0064309F" w:rsidP="002C6ABD">
            <w:pPr>
              <w:ind w:right="-37"/>
              <w:rPr>
                <w:b/>
              </w:rPr>
            </w:pPr>
            <w:r w:rsidRPr="0064309F">
              <w:rPr>
                <w:i/>
                <w:sz w:val="16"/>
                <w:szCs w:val="16"/>
              </w:rPr>
              <w:t>N/A</w:t>
            </w:r>
          </w:p>
        </w:tc>
        <w:tc>
          <w:tcPr>
            <w:tcW w:w="1575" w:type="dxa"/>
          </w:tcPr>
          <w:p w14:paraId="4D664CD6" w14:textId="6AEFC402" w:rsidR="00DC4448" w:rsidRDefault="0064309F" w:rsidP="002C6ABD">
            <w:pPr>
              <w:rPr>
                <w:b/>
              </w:rPr>
            </w:pPr>
            <w:r w:rsidRPr="0064309F">
              <w:rPr>
                <w:i/>
                <w:sz w:val="16"/>
                <w:szCs w:val="16"/>
              </w:rPr>
              <w:t>N/A</w:t>
            </w:r>
          </w:p>
        </w:tc>
      </w:tr>
      <w:tr w:rsidR="00DC4448" w14:paraId="2E2A9E1E" w14:textId="77777777" w:rsidTr="00E939AD">
        <w:tc>
          <w:tcPr>
            <w:tcW w:w="1574" w:type="dxa"/>
            <w:shd w:val="clear" w:color="auto" w:fill="F2F2F2" w:themeFill="background1" w:themeFillShade="F2"/>
          </w:tcPr>
          <w:p w14:paraId="23D2BBAB" w14:textId="77777777" w:rsidR="00DC4448" w:rsidRPr="00995DD5" w:rsidRDefault="00DC4448" w:rsidP="002C6ABD">
            <w:pPr>
              <w:rPr>
                <w:rStyle w:val="Emphasis"/>
              </w:rPr>
            </w:pPr>
            <w:r w:rsidRPr="00995DD5">
              <w:rPr>
                <w:rStyle w:val="Emphasis"/>
              </w:rPr>
              <w:t xml:space="preserve">On-line Tools </w:t>
            </w:r>
          </w:p>
          <w:p w14:paraId="6676430B" w14:textId="77777777" w:rsidR="00DC4448" w:rsidRPr="00995DD5" w:rsidRDefault="00DC4448" w:rsidP="002C6ABD">
            <w:pPr>
              <w:rPr>
                <w:rStyle w:val="Emphasis"/>
              </w:rPr>
            </w:pPr>
          </w:p>
        </w:tc>
        <w:tc>
          <w:tcPr>
            <w:tcW w:w="1575" w:type="dxa"/>
          </w:tcPr>
          <w:p w14:paraId="61F6F87A" w14:textId="2AD3B94C" w:rsidR="00DC4448" w:rsidRDefault="0064309F" w:rsidP="002C6ABD">
            <w:pPr>
              <w:rPr>
                <w:b/>
              </w:rPr>
            </w:pPr>
            <w:r w:rsidRPr="0064309F">
              <w:rPr>
                <w:sz w:val="16"/>
                <w:szCs w:val="16"/>
              </w:rPr>
              <w:t>N/A</w:t>
            </w:r>
          </w:p>
        </w:tc>
        <w:tc>
          <w:tcPr>
            <w:tcW w:w="1575" w:type="dxa"/>
          </w:tcPr>
          <w:p w14:paraId="5E68F1CE" w14:textId="5FD2FB95" w:rsidR="00DC4448" w:rsidRPr="00C30CAB" w:rsidRDefault="00DC4448" w:rsidP="00E939AD">
            <w:pPr>
              <w:rPr>
                <w:b/>
                <w:sz w:val="16"/>
                <w:szCs w:val="16"/>
              </w:rPr>
            </w:pPr>
            <w:r w:rsidRPr="00B000CE">
              <w:rPr>
                <w:i/>
                <w:sz w:val="16"/>
                <w:szCs w:val="16"/>
              </w:rPr>
              <w:t>Quality teaching</w:t>
            </w:r>
            <w:r w:rsidRPr="00C30CAB">
              <w:rPr>
                <w:sz w:val="16"/>
                <w:szCs w:val="16"/>
              </w:rPr>
              <w:t xml:space="preserve"> </w:t>
            </w:r>
            <w:r>
              <w:rPr>
                <w:sz w:val="16"/>
                <w:szCs w:val="16"/>
              </w:rPr>
              <w:t xml:space="preserve">(e.g. embed Standards in development and appraisal) </w:t>
            </w:r>
          </w:p>
        </w:tc>
        <w:tc>
          <w:tcPr>
            <w:tcW w:w="1575" w:type="dxa"/>
          </w:tcPr>
          <w:p w14:paraId="7B1148D2" w14:textId="58E97907" w:rsidR="00DC4448" w:rsidRPr="003D1962" w:rsidRDefault="0064309F" w:rsidP="002C6ABD">
            <w:pPr>
              <w:ind w:right="-37"/>
              <w:rPr>
                <w:b/>
                <w:sz w:val="16"/>
                <w:szCs w:val="16"/>
              </w:rPr>
            </w:pPr>
            <w:r w:rsidRPr="0064309F">
              <w:rPr>
                <w:i/>
                <w:sz w:val="16"/>
                <w:szCs w:val="16"/>
              </w:rPr>
              <w:t>N/A</w:t>
            </w:r>
          </w:p>
        </w:tc>
        <w:tc>
          <w:tcPr>
            <w:tcW w:w="1575" w:type="dxa"/>
          </w:tcPr>
          <w:p w14:paraId="61238A16" w14:textId="7AEEF7C4" w:rsidR="00DC4448" w:rsidRDefault="0064309F" w:rsidP="002C6ABD">
            <w:pPr>
              <w:rPr>
                <w:b/>
              </w:rPr>
            </w:pPr>
            <w:r w:rsidRPr="0064309F">
              <w:rPr>
                <w:i/>
                <w:sz w:val="16"/>
                <w:szCs w:val="16"/>
              </w:rPr>
              <w:t>N/A</w:t>
            </w:r>
          </w:p>
        </w:tc>
        <w:tc>
          <w:tcPr>
            <w:tcW w:w="1575" w:type="dxa"/>
          </w:tcPr>
          <w:p w14:paraId="2B755A1E" w14:textId="6F85062F" w:rsidR="00DC4448" w:rsidRDefault="0064309F" w:rsidP="002C6ABD">
            <w:pPr>
              <w:ind w:right="-37"/>
              <w:rPr>
                <w:b/>
              </w:rPr>
            </w:pPr>
            <w:r w:rsidRPr="0064309F">
              <w:rPr>
                <w:i/>
                <w:sz w:val="16"/>
                <w:szCs w:val="16"/>
              </w:rPr>
              <w:t>N/A</w:t>
            </w:r>
          </w:p>
        </w:tc>
        <w:tc>
          <w:tcPr>
            <w:tcW w:w="1575" w:type="dxa"/>
          </w:tcPr>
          <w:p w14:paraId="500EE87F" w14:textId="77777777" w:rsidR="00DC4448" w:rsidRDefault="00DC4448" w:rsidP="002C6ABD">
            <w:pPr>
              <w:rPr>
                <w:b/>
              </w:rPr>
            </w:pPr>
            <w:r w:rsidRPr="003D1962">
              <w:rPr>
                <w:i/>
                <w:sz w:val="16"/>
                <w:szCs w:val="16"/>
              </w:rPr>
              <w:t>Quality Teaching</w:t>
            </w:r>
            <w:r>
              <w:rPr>
                <w:sz w:val="16"/>
                <w:szCs w:val="16"/>
              </w:rPr>
              <w:t xml:space="preserve"> (e.g. tool for Performance and Development. framework )</w:t>
            </w:r>
          </w:p>
        </w:tc>
        <w:tc>
          <w:tcPr>
            <w:tcW w:w="1575" w:type="dxa"/>
          </w:tcPr>
          <w:p w14:paraId="22EDA65F" w14:textId="5E445D34" w:rsidR="00DC4448" w:rsidRDefault="00DC4448" w:rsidP="00E939AD">
            <w:pPr>
              <w:ind w:right="-37"/>
              <w:rPr>
                <w:b/>
              </w:rPr>
            </w:pPr>
            <w:r w:rsidRPr="007734AB">
              <w:rPr>
                <w:i/>
                <w:sz w:val="16"/>
                <w:szCs w:val="16"/>
              </w:rPr>
              <w:t>Quality Teaching</w:t>
            </w:r>
            <w:r>
              <w:rPr>
                <w:sz w:val="16"/>
                <w:szCs w:val="16"/>
              </w:rPr>
              <w:t xml:space="preserve"> e.g. </w:t>
            </w:r>
            <w:r w:rsidRPr="007734AB">
              <w:rPr>
                <w:sz w:val="16"/>
                <w:szCs w:val="16"/>
              </w:rPr>
              <w:t>Further enhance the website to improve its functionality and targeted content</w:t>
            </w:r>
          </w:p>
        </w:tc>
        <w:tc>
          <w:tcPr>
            <w:tcW w:w="1575" w:type="dxa"/>
          </w:tcPr>
          <w:p w14:paraId="121441BD" w14:textId="796437BB" w:rsidR="00DC4448" w:rsidRDefault="0064309F" w:rsidP="002C6ABD">
            <w:pPr>
              <w:rPr>
                <w:b/>
              </w:rPr>
            </w:pPr>
            <w:r w:rsidRPr="0064309F">
              <w:rPr>
                <w:i/>
                <w:sz w:val="16"/>
                <w:szCs w:val="16"/>
              </w:rPr>
              <w:t>N/A</w:t>
            </w:r>
          </w:p>
        </w:tc>
      </w:tr>
      <w:tr w:rsidR="00DC4448" w14:paraId="2C9DB302" w14:textId="77777777" w:rsidTr="00E939AD">
        <w:tc>
          <w:tcPr>
            <w:tcW w:w="1574" w:type="dxa"/>
            <w:shd w:val="clear" w:color="auto" w:fill="F2F2F2" w:themeFill="background1" w:themeFillShade="F2"/>
          </w:tcPr>
          <w:p w14:paraId="3400B00D" w14:textId="77777777" w:rsidR="00DC4448" w:rsidRPr="00995DD5" w:rsidRDefault="00DC4448" w:rsidP="002C6ABD">
            <w:pPr>
              <w:rPr>
                <w:rStyle w:val="Emphasis"/>
              </w:rPr>
            </w:pPr>
            <w:r w:rsidRPr="00995DD5">
              <w:rPr>
                <w:rStyle w:val="Emphasis"/>
              </w:rPr>
              <w:t xml:space="preserve">Resource provision </w:t>
            </w:r>
          </w:p>
          <w:p w14:paraId="196EC3AF" w14:textId="77777777" w:rsidR="00DC4448" w:rsidRPr="00995DD5" w:rsidRDefault="00DC4448" w:rsidP="002C6ABD">
            <w:pPr>
              <w:rPr>
                <w:rStyle w:val="Emphasis"/>
              </w:rPr>
            </w:pPr>
          </w:p>
        </w:tc>
        <w:tc>
          <w:tcPr>
            <w:tcW w:w="1575" w:type="dxa"/>
          </w:tcPr>
          <w:p w14:paraId="4955C5B3" w14:textId="3276871A" w:rsidR="00DC4448" w:rsidRDefault="0064309F" w:rsidP="002C6ABD">
            <w:pPr>
              <w:rPr>
                <w:b/>
              </w:rPr>
            </w:pPr>
            <w:r w:rsidRPr="0064309F">
              <w:rPr>
                <w:i/>
                <w:sz w:val="16"/>
                <w:szCs w:val="16"/>
              </w:rPr>
              <w:t>N/A</w:t>
            </w:r>
          </w:p>
        </w:tc>
        <w:tc>
          <w:tcPr>
            <w:tcW w:w="1575" w:type="dxa"/>
          </w:tcPr>
          <w:p w14:paraId="7A8E358C" w14:textId="77777777" w:rsidR="00DC4448" w:rsidRDefault="00DC4448" w:rsidP="002C6ABD">
            <w:pPr>
              <w:rPr>
                <w:b/>
                <w:sz w:val="16"/>
                <w:szCs w:val="16"/>
              </w:rPr>
            </w:pPr>
            <w:r w:rsidRPr="00B000CE">
              <w:rPr>
                <w:i/>
                <w:sz w:val="16"/>
                <w:szCs w:val="16"/>
              </w:rPr>
              <w:t>School Leadership</w:t>
            </w:r>
            <w:r w:rsidRPr="005F25A0">
              <w:rPr>
                <w:sz w:val="16"/>
                <w:szCs w:val="16"/>
              </w:rPr>
              <w:t xml:space="preserve"> </w:t>
            </w:r>
            <w:r>
              <w:rPr>
                <w:sz w:val="16"/>
                <w:szCs w:val="16"/>
              </w:rPr>
              <w:t xml:space="preserve"> (e.g. refine leadership programs)</w:t>
            </w:r>
          </w:p>
          <w:p w14:paraId="3CA92DAD" w14:textId="77777777" w:rsidR="00DC4448" w:rsidRDefault="00DC4448" w:rsidP="002C6ABD">
            <w:pPr>
              <w:rPr>
                <w:b/>
                <w:sz w:val="16"/>
                <w:szCs w:val="16"/>
              </w:rPr>
            </w:pPr>
          </w:p>
          <w:p w14:paraId="414A1C64" w14:textId="610618FE" w:rsidR="00DC4448" w:rsidRPr="005F25A0" w:rsidRDefault="00DC4448" w:rsidP="002C6ABD">
            <w:pPr>
              <w:rPr>
                <w:b/>
                <w:sz w:val="16"/>
                <w:szCs w:val="16"/>
              </w:rPr>
            </w:pPr>
            <w:r w:rsidRPr="00B000CE">
              <w:rPr>
                <w:i/>
                <w:sz w:val="16"/>
                <w:szCs w:val="16"/>
              </w:rPr>
              <w:t>Transparency/Accountability</w:t>
            </w:r>
            <w:r>
              <w:rPr>
                <w:sz w:val="16"/>
                <w:szCs w:val="16"/>
              </w:rPr>
              <w:t xml:space="preserve"> (e.g. senior secondary</w:t>
            </w:r>
            <w:r w:rsidR="00E939AD">
              <w:rPr>
                <w:sz w:val="16"/>
                <w:szCs w:val="16"/>
              </w:rPr>
              <w:t xml:space="preserve"> data analysis and benchmarks) </w:t>
            </w:r>
          </w:p>
        </w:tc>
        <w:tc>
          <w:tcPr>
            <w:tcW w:w="1575" w:type="dxa"/>
            <w:shd w:val="clear" w:color="auto" w:fill="EEECE1" w:themeFill="background2"/>
          </w:tcPr>
          <w:p w14:paraId="72A22ADF" w14:textId="70B35DCE" w:rsidR="00DC4448" w:rsidRDefault="00DC4448" w:rsidP="00E939AD">
            <w:pPr>
              <w:ind w:right="-37"/>
              <w:rPr>
                <w:b/>
              </w:rPr>
            </w:pPr>
            <w:r w:rsidRPr="001C355A">
              <w:rPr>
                <w:i/>
                <w:sz w:val="16"/>
                <w:szCs w:val="16"/>
              </w:rPr>
              <w:t>Quality Teaching</w:t>
            </w:r>
            <w:r>
              <w:rPr>
                <w:sz w:val="16"/>
                <w:szCs w:val="16"/>
              </w:rPr>
              <w:t xml:space="preserve"> e.g. </w:t>
            </w:r>
            <w:r w:rsidRPr="001C355A">
              <w:rPr>
                <w:sz w:val="16"/>
                <w:szCs w:val="16"/>
              </w:rPr>
              <w:t>Provision of resources and assistance with the implementation of the National Teacher Performance and Development Framework</w:t>
            </w:r>
          </w:p>
        </w:tc>
        <w:tc>
          <w:tcPr>
            <w:tcW w:w="1575" w:type="dxa"/>
          </w:tcPr>
          <w:p w14:paraId="5253911D" w14:textId="77777777" w:rsidR="00DC4448" w:rsidRPr="00757E6C" w:rsidRDefault="00DC4448" w:rsidP="002C6ABD">
            <w:pPr>
              <w:rPr>
                <w:b/>
                <w:sz w:val="16"/>
                <w:szCs w:val="16"/>
              </w:rPr>
            </w:pPr>
            <w:r w:rsidRPr="001C355A">
              <w:rPr>
                <w:i/>
                <w:sz w:val="16"/>
                <w:szCs w:val="16"/>
              </w:rPr>
              <w:t>Quality Teaching</w:t>
            </w:r>
            <w:r>
              <w:rPr>
                <w:sz w:val="16"/>
                <w:szCs w:val="16"/>
              </w:rPr>
              <w:t xml:space="preserve"> e.g. </w:t>
            </w:r>
            <w:r w:rsidRPr="00757E6C">
              <w:rPr>
                <w:sz w:val="16"/>
                <w:szCs w:val="16"/>
              </w:rPr>
              <w:t>School effectiveness tools e.g. a tool tracking teacher ‘self ‘ assessment of pedagogical effectiveness</w:t>
            </w:r>
          </w:p>
        </w:tc>
        <w:tc>
          <w:tcPr>
            <w:tcW w:w="1575" w:type="dxa"/>
          </w:tcPr>
          <w:p w14:paraId="6AF2F926" w14:textId="3F74731C" w:rsidR="00DC4448" w:rsidRDefault="0064309F" w:rsidP="002C6ABD">
            <w:pPr>
              <w:ind w:right="-37"/>
              <w:rPr>
                <w:b/>
              </w:rPr>
            </w:pPr>
            <w:r w:rsidRPr="0064309F">
              <w:rPr>
                <w:i/>
                <w:sz w:val="16"/>
                <w:szCs w:val="16"/>
              </w:rPr>
              <w:t>N/A</w:t>
            </w:r>
          </w:p>
        </w:tc>
        <w:tc>
          <w:tcPr>
            <w:tcW w:w="1575" w:type="dxa"/>
            <w:shd w:val="clear" w:color="auto" w:fill="EEECE1" w:themeFill="background2"/>
          </w:tcPr>
          <w:p w14:paraId="064D0B10" w14:textId="77777777" w:rsidR="00DC4448" w:rsidRPr="006245CA" w:rsidRDefault="00DC4448" w:rsidP="002C6ABD">
            <w:pPr>
              <w:rPr>
                <w:b/>
                <w:sz w:val="16"/>
                <w:szCs w:val="16"/>
              </w:rPr>
            </w:pPr>
            <w:r w:rsidRPr="006245CA">
              <w:rPr>
                <w:i/>
                <w:sz w:val="16"/>
                <w:szCs w:val="16"/>
              </w:rPr>
              <w:t xml:space="preserve">Quality </w:t>
            </w:r>
            <w:r>
              <w:rPr>
                <w:i/>
                <w:sz w:val="16"/>
                <w:szCs w:val="16"/>
              </w:rPr>
              <w:t xml:space="preserve">Learning </w:t>
            </w:r>
            <w:r w:rsidRPr="006245CA">
              <w:rPr>
                <w:sz w:val="16"/>
                <w:szCs w:val="16"/>
              </w:rPr>
              <w:t>e.g</w:t>
            </w:r>
            <w:r>
              <w:rPr>
                <w:sz w:val="16"/>
                <w:szCs w:val="16"/>
              </w:rPr>
              <w:t>. Australian Curriculum</w:t>
            </w:r>
            <w:r w:rsidRPr="006245CA">
              <w:rPr>
                <w:sz w:val="16"/>
                <w:szCs w:val="16"/>
              </w:rPr>
              <w:t xml:space="preserve"> implementation</w:t>
            </w:r>
            <w:r>
              <w:rPr>
                <w:sz w:val="16"/>
                <w:szCs w:val="16"/>
              </w:rPr>
              <w:t xml:space="preserve"> through a cross sectoral group producing guidelines and advice </w:t>
            </w:r>
          </w:p>
        </w:tc>
        <w:tc>
          <w:tcPr>
            <w:tcW w:w="1575" w:type="dxa"/>
          </w:tcPr>
          <w:p w14:paraId="54AE19A3" w14:textId="1E40B551" w:rsidR="00DC4448" w:rsidRDefault="0064309F" w:rsidP="002C6ABD">
            <w:pPr>
              <w:ind w:right="-37"/>
              <w:rPr>
                <w:b/>
              </w:rPr>
            </w:pPr>
            <w:r w:rsidRPr="0064309F">
              <w:rPr>
                <w:i/>
                <w:sz w:val="16"/>
                <w:szCs w:val="16"/>
              </w:rPr>
              <w:t>N/A</w:t>
            </w:r>
          </w:p>
        </w:tc>
        <w:tc>
          <w:tcPr>
            <w:tcW w:w="1575" w:type="dxa"/>
          </w:tcPr>
          <w:p w14:paraId="361A5E3A" w14:textId="12602CCC" w:rsidR="00DC4448" w:rsidRDefault="0064309F" w:rsidP="002C6ABD">
            <w:pPr>
              <w:rPr>
                <w:b/>
              </w:rPr>
            </w:pPr>
            <w:r w:rsidRPr="0064309F">
              <w:rPr>
                <w:i/>
                <w:sz w:val="16"/>
                <w:szCs w:val="16"/>
              </w:rPr>
              <w:t>N/A</w:t>
            </w:r>
          </w:p>
        </w:tc>
      </w:tr>
      <w:tr w:rsidR="00DC4448" w14:paraId="46ADA4EF" w14:textId="77777777" w:rsidTr="00E939AD">
        <w:tc>
          <w:tcPr>
            <w:tcW w:w="1574" w:type="dxa"/>
            <w:shd w:val="clear" w:color="auto" w:fill="F2F2F2" w:themeFill="background1" w:themeFillShade="F2"/>
          </w:tcPr>
          <w:p w14:paraId="38E928B2" w14:textId="77777777" w:rsidR="00DC4448" w:rsidRPr="00995DD5" w:rsidRDefault="00DC4448" w:rsidP="002C6ABD">
            <w:pPr>
              <w:rPr>
                <w:rStyle w:val="Emphasis"/>
              </w:rPr>
            </w:pPr>
            <w:r w:rsidRPr="00995DD5">
              <w:rPr>
                <w:rStyle w:val="Emphasis"/>
              </w:rPr>
              <w:t>Research practitioner</w:t>
            </w:r>
          </w:p>
          <w:p w14:paraId="63CB0DC0" w14:textId="77777777" w:rsidR="00DC4448" w:rsidRPr="00995DD5" w:rsidRDefault="00DC4448" w:rsidP="002C6ABD">
            <w:pPr>
              <w:rPr>
                <w:rStyle w:val="Emphasis"/>
                <w:i w:val="0"/>
                <w:iCs w:val="0"/>
              </w:rPr>
            </w:pPr>
          </w:p>
        </w:tc>
        <w:tc>
          <w:tcPr>
            <w:tcW w:w="1575" w:type="dxa"/>
          </w:tcPr>
          <w:p w14:paraId="7FDB7DD3" w14:textId="3F6D1717" w:rsidR="00DC4448" w:rsidRDefault="0064309F" w:rsidP="002C6ABD">
            <w:pPr>
              <w:rPr>
                <w:b/>
              </w:rPr>
            </w:pPr>
            <w:r w:rsidRPr="0064309F">
              <w:rPr>
                <w:i/>
                <w:sz w:val="16"/>
                <w:szCs w:val="16"/>
              </w:rPr>
              <w:t>N/A</w:t>
            </w:r>
          </w:p>
        </w:tc>
        <w:tc>
          <w:tcPr>
            <w:tcW w:w="1575" w:type="dxa"/>
          </w:tcPr>
          <w:p w14:paraId="22770A41" w14:textId="75F432CA" w:rsidR="00DC4448" w:rsidRDefault="0064309F" w:rsidP="002C6ABD">
            <w:pPr>
              <w:rPr>
                <w:b/>
              </w:rPr>
            </w:pPr>
            <w:r w:rsidRPr="0064309F">
              <w:rPr>
                <w:i/>
                <w:sz w:val="16"/>
                <w:szCs w:val="16"/>
              </w:rPr>
              <w:t>N/A</w:t>
            </w:r>
          </w:p>
        </w:tc>
        <w:tc>
          <w:tcPr>
            <w:tcW w:w="1575" w:type="dxa"/>
          </w:tcPr>
          <w:p w14:paraId="4BD12A2B" w14:textId="31BC800F" w:rsidR="00DC4448" w:rsidRDefault="0064309F" w:rsidP="002C6ABD">
            <w:pPr>
              <w:ind w:right="-37"/>
              <w:rPr>
                <w:b/>
              </w:rPr>
            </w:pPr>
            <w:r w:rsidRPr="0064309F">
              <w:rPr>
                <w:i/>
                <w:sz w:val="16"/>
                <w:szCs w:val="16"/>
              </w:rPr>
              <w:t>N/A</w:t>
            </w:r>
          </w:p>
        </w:tc>
        <w:tc>
          <w:tcPr>
            <w:tcW w:w="1575" w:type="dxa"/>
          </w:tcPr>
          <w:p w14:paraId="324B8332" w14:textId="306382B2" w:rsidR="00DC4448" w:rsidRDefault="0064309F" w:rsidP="002C6ABD">
            <w:pPr>
              <w:rPr>
                <w:b/>
              </w:rPr>
            </w:pPr>
            <w:r w:rsidRPr="0064309F">
              <w:rPr>
                <w:i/>
                <w:sz w:val="16"/>
                <w:szCs w:val="16"/>
              </w:rPr>
              <w:t>N/A</w:t>
            </w:r>
          </w:p>
        </w:tc>
        <w:tc>
          <w:tcPr>
            <w:tcW w:w="1575" w:type="dxa"/>
          </w:tcPr>
          <w:p w14:paraId="15F4EB42" w14:textId="64E9ECD7" w:rsidR="00DC4448" w:rsidRDefault="0064309F" w:rsidP="002C6ABD">
            <w:pPr>
              <w:ind w:right="-37"/>
              <w:rPr>
                <w:b/>
              </w:rPr>
            </w:pPr>
            <w:r w:rsidRPr="0064309F">
              <w:rPr>
                <w:i/>
                <w:sz w:val="16"/>
                <w:szCs w:val="16"/>
              </w:rPr>
              <w:t>N/A</w:t>
            </w:r>
          </w:p>
        </w:tc>
        <w:tc>
          <w:tcPr>
            <w:tcW w:w="1575" w:type="dxa"/>
          </w:tcPr>
          <w:p w14:paraId="6FF21180" w14:textId="68F3DE43" w:rsidR="00DC4448" w:rsidRDefault="0064309F" w:rsidP="002C6ABD">
            <w:pPr>
              <w:rPr>
                <w:b/>
              </w:rPr>
            </w:pPr>
            <w:r w:rsidRPr="0064309F">
              <w:rPr>
                <w:i/>
                <w:sz w:val="16"/>
                <w:szCs w:val="16"/>
              </w:rPr>
              <w:t>N/A</w:t>
            </w:r>
          </w:p>
        </w:tc>
        <w:tc>
          <w:tcPr>
            <w:tcW w:w="1575" w:type="dxa"/>
          </w:tcPr>
          <w:p w14:paraId="34964320" w14:textId="6A55B489" w:rsidR="00DC4448" w:rsidRDefault="0064309F" w:rsidP="002C6ABD">
            <w:pPr>
              <w:ind w:right="-37"/>
              <w:rPr>
                <w:b/>
              </w:rPr>
            </w:pPr>
            <w:r w:rsidRPr="0064309F">
              <w:rPr>
                <w:i/>
                <w:sz w:val="16"/>
                <w:szCs w:val="16"/>
              </w:rPr>
              <w:t>N/A</w:t>
            </w:r>
          </w:p>
        </w:tc>
        <w:tc>
          <w:tcPr>
            <w:tcW w:w="1575" w:type="dxa"/>
          </w:tcPr>
          <w:p w14:paraId="039A048F" w14:textId="0C47E3D8" w:rsidR="00DC4448" w:rsidRDefault="0064309F" w:rsidP="002C6ABD">
            <w:pPr>
              <w:rPr>
                <w:b/>
              </w:rPr>
            </w:pPr>
            <w:r w:rsidRPr="0064309F">
              <w:rPr>
                <w:i/>
                <w:sz w:val="16"/>
                <w:szCs w:val="16"/>
              </w:rPr>
              <w:t>N/A</w:t>
            </w:r>
          </w:p>
        </w:tc>
      </w:tr>
      <w:tr w:rsidR="00DC4448" w14:paraId="27CE9553" w14:textId="77777777" w:rsidTr="00E939AD">
        <w:tc>
          <w:tcPr>
            <w:tcW w:w="1574" w:type="dxa"/>
            <w:shd w:val="clear" w:color="auto" w:fill="F2F2F2" w:themeFill="background1" w:themeFillShade="F2"/>
          </w:tcPr>
          <w:p w14:paraId="0E9D4D81" w14:textId="77777777" w:rsidR="00DC4448" w:rsidRPr="00995DD5" w:rsidRDefault="00DC4448" w:rsidP="0064309F">
            <w:pPr>
              <w:keepNext/>
              <w:keepLines/>
              <w:rPr>
                <w:rStyle w:val="Emphasis"/>
              </w:rPr>
            </w:pPr>
            <w:r w:rsidRPr="00995DD5">
              <w:rPr>
                <w:rStyle w:val="Emphasis"/>
              </w:rPr>
              <w:t xml:space="preserve">Support and advice </w:t>
            </w:r>
          </w:p>
          <w:p w14:paraId="43B2F7D3" w14:textId="77777777" w:rsidR="00DC4448" w:rsidRPr="00995DD5" w:rsidRDefault="00DC4448" w:rsidP="0064309F">
            <w:pPr>
              <w:keepNext/>
              <w:keepLines/>
              <w:rPr>
                <w:rStyle w:val="Emphasis"/>
              </w:rPr>
            </w:pPr>
          </w:p>
        </w:tc>
        <w:tc>
          <w:tcPr>
            <w:tcW w:w="1575" w:type="dxa"/>
          </w:tcPr>
          <w:p w14:paraId="43DA28B4" w14:textId="691940C1" w:rsidR="00DC4448" w:rsidRDefault="0064309F" w:rsidP="0064309F">
            <w:pPr>
              <w:keepNext/>
              <w:keepLines/>
              <w:rPr>
                <w:b/>
              </w:rPr>
            </w:pPr>
            <w:r w:rsidRPr="0064309F">
              <w:rPr>
                <w:i/>
                <w:sz w:val="16"/>
                <w:szCs w:val="16"/>
              </w:rPr>
              <w:t>N/A</w:t>
            </w:r>
          </w:p>
        </w:tc>
        <w:tc>
          <w:tcPr>
            <w:tcW w:w="1575" w:type="dxa"/>
          </w:tcPr>
          <w:p w14:paraId="23584D12" w14:textId="411094A7" w:rsidR="00DC4448" w:rsidRDefault="0064309F" w:rsidP="0064309F">
            <w:pPr>
              <w:keepNext/>
              <w:keepLines/>
              <w:rPr>
                <w:b/>
              </w:rPr>
            </w:pPr>
            <w:r w:rsidRPr="0064309F">
              <w:rPr>
                <w:i/>
                <w:sz w:val="16"/>
                <w:szCs w:val="16"/>
              </w:rPr>
              <w:t>N/A</w:t>
            </w:r>
          </w:p>
        </w:tc>
        <w:tc>
          <w:tcPr>
            <w:tcW w:w="1575" w:type="dxa"/>
            <w:shd w:val="clear" w:color="auto" w:fill="EEECE1" w:themeFill="background2"/>
          </w:tcPr>
          <w:p w14:paraId="1F978FDD" w14:textId="63BCFB59" w:rsidR="00DC4448" w:rsidRDefault="00DC4448" w:rsidP="0064309F">
            <w:pPr>
              <w:keepNext/>
              <w:keepLines/>
              <w:ind w:left="-46" w:right="-37"/>
              <w:rPr>
                <w:b/>
              </w:rPr>
            </w:pPr>
            <w:r w:rsidRPr="007141FA">
              <w:rPr>
                <w:i/>
                <w:sz w:val="16"/>
                <w:szCs w:val="16"/>
              </w:rPr>
              <w:t>School Leadership</w:t>
            </w:r>
            <w:r>
              <w:rPr>
                <w:sz w:val="16"/>
                <w:szCs w:val="16"/>
              </w:rPr>
              <w:t xml:space="preserve"> </w:t>
            </w:r>
            <w:r w:rsidRPr="007141FA">
              <w:rPr>
                <w:sz w:val="16"/>
                <w:szCs w:val="16"/>
              </w:rPr>
              <w:t>e.g</w:t>
            </w:r>
            <w:r>
              <w:rPr>
                <w:sz w:val="16"/>
                <w:szCs w:val="16"/>
              </w:rPr>
              <w:t>.</w:t>
            </w:r>
            <w:r w:rsidRPr="007141FA">
              <w:rPr>
                <w:sz w:val="16"/>
                <w:szCs w:val="16"/>
              </w:rPr>
              <w:t xml:space="preserve"> </w:t>
            </w:r>
            <w:r w:rsidRPr="001C355A">
              <w:rPr>
                <w:sz w:val="16"/>
                <w:szCs w:val="16"/>
              </w:rPr>
              <w:t>Provision of resources and assistance with development of annual school improvement plan</w:t>
            </w:r>
            <w:r>
              <w:rPr>
                <w:sz w:val="16"/>
                <w:szCs w:val="16"/>
              </w:rPr>
              <w:t>s</w:t>
            </w:r>
          </w:p>
        </w:tc>
        <w:tc>
          <w:tcPr>
            <w:tcW w:w="1575" w:type="dxa"/>
            <w:shd w:val="clear" w:color="auto" w:fill="EEECE1" w:themeFill="background2"/>
          </w:tcPr>
          <w:p w14:paraId="1476E56F" w14:textId="576F946D" w:rsidR="00DC4448" w:rsidRPr="00B07467" w:rsidRDefault="00DC4448" w:rsidP="0064309F">
            <w:pPr>
              <w:keepNext/>
              <w:keepLines/>
              <w:spacing w:before="120"/>
              <w:rPr>
                <w:b/>
                <w:sz w:val="16"/>
                <w:szCs w:val="16"/>
              </w:rPr>
            </w:pPr>
            <w:r w:rsidRPr="00B07467">
              <w:rPr>
                <w:i/>
                <w:sz w:val="16"/>
                <w:szCs w:val="16"/>
              </w:rPr>
              <w:t>Quality Learning</w:t>
            </w:r>
            <w:r>
              <w:rPr>
                <w:sz w:val="16"/>
                <w:szCs w:val="16"/>
              </w:rPr>
              <w:t xml:space="preserve"> e.g. </w:t>
            </w:r>
            <w:r w:rsidRPr="00B07467">
              <w:rPr>
                <w:sz w:val="16"/>
                <w:szCs w:val="16"/>
              </w:rPr>
              <w:t>Following an in-depth data analysis of Systemic English Literacy results, a Literacy Initiative was developed in 2014. A Literacy Project Officer was employed to research and develop a Literacy project. The CEO partnered with ACU to ensure that information and processes that were developed are best practice and research based.</w:t>
            </w:r>
          </w:p>
          <w:p w14:paraId="304C8620" w14:textId="77777777" w:rsidR="00DC4448" w:rsidRDefault="00DC4448" w:rsidP="0064309F">
            <w:pPr>
              <w:keepNext/>
              <w:keepLines/>
              <w:rPr>
                <w:b/>
              </w:rPr>
            </w:pPr>
          </w:p>
        </w:tc>
        <w:tc>
          <w:tcPr>
            <w:tcW w:w="1575" w:type="dxa"/>
          </w:tcPr>
          <w:p w14:paraId="74E903D0" w14:textId="387989E1" w:rsidR="00DC4448" w:rsidRDefault="00DC4448" w:rsidP="0064309F">
            <w:pPr>
              <w:keepNext/>
              <w:keepLines/>
              <w:spacing w:before="120"/>
              <w:ind w:right="-37"/>
              <w:rPr>
                <w:b/>
              </w:rPr>
            </w:pPr>
            <w:r w:rsidRPr="006B73F9">
              <w:rPr>
                <w:i/>
                <w:sz w:val="16"/>
                <w:szCs w:val="16"/>
              </w:rPr>
              <w:t>Quality Learning</w:t>
            </w:r>
            <w:r>
              <w:rPr>
                <w:sz w:val="16"/>
                <w:szCs w:val="16"/>
              </w:rPr>
              <w:t xml:space="preserve"> e.g. </w:t>
            </w:r>
            <w:r w:rsidRPr="006B73F9">
              <w:rPr>
                <w:sz w:val="16"/>
                <w:szCs w:val="16"/>
              </w:rPr>
              <w:t>support for key teachers and individual teachers in digital literacies as identified by schools.</w:t>
            </w:r>
          </w:p>
        </w:tc>
        <w:tc>
          <w:tcPr>
            <w:tcW w:w="1575" w:type="dxa"/>
          </w:tcPr>
          <w:p w14:paraId="2A4433C8" w14:textId="77777777" w:rsidR="00DC4448" w:rsidRPr="007141FA" w:rsidRDefault="00DC4448" w:rsidP="0064309F">
            <w:pPr>
              <w:keepNext/>
              <w:keepLines/>
              <w:rPr>
                <w:b/>
                <w:sz w:val="16"/>
                <w:szCs w:val="16"/>
              </w:rPr>
            </w:pPr>
            <w:r w:rsidRPr="007141FA">
              <w:rPr>
                <w:i/>
                <w:sz w:val="16"/>
                <w:szCs w:val="16"/>
              </w:rPr>
              <w:t>School Leadership</w:t>
            </w:r>
            <w:r>
              <w:rPr>
                <w:sz w:val="16"/>
                <w:szCs w:val="16"/>
              </w:rPr>
              <w:t xml:space="preserve"> </w:t>
            </w:r>
            <w:r w:rsidRPr="007141FA">
              <w:rPr>
                <w:sz w:val="16"/>
                <w:szCs w:val="16"/>
              </w:rPr>
              <w:t>e.g</w:t>
            </w:r>
            <w:r>
              <w:rPr>
                <w:sz w:val="16"/>
                <w:szCs w:val="16"/>
              </w:rPr>
              <w:t>.</w:t>
            </w:r>
            <w:r w:rsidRPr="007141FA">
              <w:rPr>
                <w:sz w:val="16"/>
                <w:szCs w:val="16"/>
              </w:rPr>
              <w:t xml:space="preserve"> </w:t>
            </w:r>
            <w:r>
              <w:rPr>
                <w:sz w:val="16"/>
                <w:szCs w:val="16"/>
              </w:rPr>
              <w:t>Archdiocesan Catholic School Parent B</w:t>
            </w:r>
            <w:r w:rsidRPr="007141FA">
              <w:rPr>
                <w:sz w:val="16"/>
                <w:szCs w:val="16"/>
              </w:rPr>
              <w:t xml:space="preserve">ody to engage parents in strategic  planning </w:t>
            </w:r>
          </w:p>
        </w:tc>
        <w:tc>
          <w:tcPr>
            <w:tcW w:w="1575" w:type="dxa"/>
          </w:tcPr>
          <w:p w14:paraId="15835BBF" w14:textId="77777777" w:rsidR="00DC4448" w:rsidRPr="008115DB" w:rsidRDefault="00DC4448" w:rsidP="0064309F">
            <w:pPr>
              <w:keepNext/>
              <w:keepLines/>
              <w:ind w:left="55" w:right="-37"/>
              <w:rPr>
                <w:b/>
                <w:sz w:val="16"/>
                <w:szCs w:val="16"/>
              </w:rPr>
            </w:pPr>
            <w:r w:rsidRPr="008115DB">
              <w:rPr>
                <w:i/>
                <w:sz w:val="16"/>
                <w:szCs w:val="16"/>
              </w:rPr>
              <w:t>Student Need</w:t>
            </w:r>
            <w:r>
              <w:rPr>
                <w:sz w:val="16"/>
                <w:szCs w:val="16"/>
              </w:rPr>
              <w:t xml:space="preserve"> e.g. </w:t>
            </w:r>
            <w:r w:rsidRPr="008115DB">
              <w:rPr>
                <w:sz w:val="16"/>
                <w:szCs w:val="16"/>
              </w:rPr>
              <w:t>Provide ongoing support for the development of individualised personal learning plans for Aboriginal and Torres Strait Islander students</w:t>
            </w:r>
          </w:p>
          <w:p w14:paraId="6B636AED" w14:textId="77777777" w:rsidR="00DC4448" w:rsidRDefault="00DC4448" w:rsidP="0064309F">
            <w:pPr>
              <w:keepNext/>
              <w:keepLines/>
              <w:ind w:right="-37"/>
              <w:rPr>
                <w:b/>
              </w:rPr>
            </w:pPr>
          </w:p>
        </w:tc>
        <w:tc>
          <w:tcPr>
            <w:tcW w:w="1575" w:type="dxa"/>
            <w:shd w:val="clear" w:color="auto" w:fill="EEECE1" w:themeFill="background2"/>
          </w:tcPr>
          <w:p w14:paraId="6009FD4F" w14:textId="0C54BAFE" w:rsidR="00DC4448" w:rsidRPr="00D11FD2" w:rsidRDefault="00DC4448" w:rsidP="0064309F">
            <w:pPr>
              <w:keepNext/>
              <w:keepLines/>
              <w:ind w:left="17"/>
              <w:rPr>
                <w:b/>
                <w:sz w:val="16"/>
                <w:szCs w:val="16"/>
              </w:rPr>
            </w:pPr>
            <w:r w:rsidRPr="007141FA">
              <w:rPr>
                <w:i/>
                <w:sz w:val="16"/>
                <w:szCs w:val="16"/>
              </w:rPr>
              <w:t>School Leadership</w:t>
            </w:r>
            <w:r>
              <w:rPr>
                <w:sz w:val="16"/>
                <w:szCs w:val="16"/>
              </w:rPr>
              <w:t xml:space="preserve"> </w:t>
            </w:r>
            <w:r w:rsidR="00C2634B" w:rsidRPr="007141FA">
              <w:rPr>
                <w:sz w:val="16"/>
                <w:szCs w:val="16"/>
              </w:rPr>
              <w:t>e.g.</w:t>
            </w:r>
            <w:r w:rsidRPr="00D11FD2">
              <w:rPr>
                <w:sz w:val="16"/>
                <w:szCs w:val="16"/>
              </w:rPr>
              <w:t xml:space="preserve"> Enhance community engagement through initiatives such as the Catholic Indigenous Leadership Team (CILT) and school-based initiatives. CILT is a collective of 5 schools in the most remote areas in the country.</w:t>
            </w:r>
          </w:p>
          <w:p w14:paraId="7A47993C" w14:textId="77777777" w:rsidR="00DC4448" w:rsidRDefault="00DC4448" w:rsidP="0064309F">
            <w:pPr>
              <w:keepNext/>
              <w:keepLines/>
              <w:rPr>
                <w:b/>
              </w:rPr>
            </w:pPr>
          </w:p>
        </w:tc>
      </w:tr>
    </w:tbl>
    <w:p w14:paraId="0F4BD0E4" w14:textId="77777777" w:rsidR="00DC4448" w:rsidRDefault="00DC4448" w:rsidP="00DC4448">
      <w:pPr>
        <w:pStyle w:val="ListParagraph"/>
        <w:spacing w:after="200" w:line="276" w:lineRule="auto"/>
        <w:ind w:right="-340"/>
        <w:jc w:val="both"/>
        <w:rPr>
          <w:rFonts w:ascii="Century Gothic" w:eastAsiaTheme="minorHAnsi" w:hAnsi="Century Gothic"/>
          <w:sz w:val="20"/>
          <w:szCs w:val="20"/>
          <w:lang w:val="en-AU"/>
        </w:rPr>
      </w:pPr>
    </w:p>
    <w:p w14:paraId="6A996622" w14:textId="77777777" w:rsidR="00DC4448" w:rsidRDefault="00DC4448" w:rsidP="00DC4448">
      <w:pPr>
        <w:pStyle w:val="ListParagraph"/>
        <w:spacing w:after="200" w:line="276" w:lineRule="auto"/>
        <w:ind w:right="-340"/>
        <w:jc w:val="both"/>
        <w:rPr>
          <w:rFonts w:ascii="Century Gothic" w:eastAsiaTheme="minorHAnsi" w:hAnsi="Century Gothic"/>
          <w:sz w:val="20"/>
          <w:szCs w:val="20"/>
          <w:lang w:val="en-AU"/>
        </w:rPr>
        <w:sectPr w:rsidR="00DC4448" w:rsidSect="00897735">
          <w:pgSz w:w="16820" w:h="11900" w:orient="landscape"/>
          <w:pgMar w:top="1800" w:right="1460" w:bottom="1800" w:left="1440" w:header="708" w:footer="708" w:gutter="0"/>
          <w:cols w:space="708"/>
          <w:titlePg/>
          <w:docGrid w:linePitch="326"/>
        </w:sectPr>
      </w:pPr>
    </w:p>
    <w:p w14:paraId="19F0261B" w14:textId="237E3B29" w:rsidR="00DC4448" w:rsidRDefault="00DC4448" w:rsidP="00DC4448">
      <w:pPr>
        <w:pStyle w:val="Heading2"/>
        <w:spacing w:before="120"/>
        <w:ind w:right="-340"/>
      </w:pPr>
      <w:bookmarkStart w:id="541" w:name="_Toc472263094"/>
      <w:bookmarkStart w:id="542" w:name="_Toc346124078"/>
      <w:bookmarkStart w:id="543" w:name="_Toc495587327"/>
      <w:r>
        <w:t>2.</w:t>
      </w:r>
      <w:r w:rsidRPr="000D47FF">
        <w:t>3</w:t>
      </w:r>
      <w:r>
        <w:t xml:space="preserve"> </w:t>
      </w:r>
      <w:r>
        <w:tab/>
        <w:t>SFSF Documents provided to PTR</w:t>
      </w:r>
      <w:bookmarkEnd w:id="541"/>
      <w:bookmarkEnd w:id="542"/>
      <w:bookmarkEnd w:id="543"/>
      <w:r>
        <w:t xml:space="preserve"> </w:t>
      </w:r>
    </w:p>
    <w:p w14:paraId="2CF2A809" w14:textId="34EA28FC" w:rsidR="00DC4448" w:rsidRDefault="00DC4448" w:rsidP="00DC4448">
      <w:pPr>
        <w:ind w:right="-340"/>
        <w:rPr>
          <w:rFonts w:ascii="Century Gothic" w:hAnsi="Century Gothic"/>
          <w:sz w:val="20"/>
          <w:szCs w:val="20"/>
        </w:rPr>
      </w:pPr>
      <w:r w:rsidRPr="007A541F">
        <w:rPr>
          <w:rFonts w:ascii="Century Gothic" w:hAnsi="Century Gothic"/>
          <w:sz w:val="20"/>
          <w:szCs w:val="20"/>
        </w:rPr>
        <w:t>The following documents are the foundation o</w:t>
      </w:r>
      <w:r w:rsidR="00E939AD">
        <w:rPr>
          <w:rFonts w:ascii="Century Gothic" w:hAnsi="Century Gothic"/>
          <w:sz w:val="20"/>
          <w:szCs w:val="20"/>
        </w:rPr>
        <w:t>f the review</w:t>
      </w:r>
    </w:p>
    <w:p w14:paraId="74252D05" w14:textId="7671D2C8" w:rsidR="00DC4448" w:rsidRPr="007A541F" w:rsidRDefault="00DC4448" w:rsidP="00DC4448">
      <w:pPr>
        <w:ind w:right="-340"/>
        <w:rPr>
          <w:rFonts w:ascii="Century Gothic" w:hAnsi="Century Gothic"/>
          <w:sz w:val="20"/>
          <w:szCs w:val="20"/>
        </w:rPr>
      </w:pPr>
      <w:r>
        <w:rPr>
          <w:rFonts w:ascii="Century Gothic" w:hAnsi="Century Gothic"/>
          <w:sz w:val="20"/>
          <w:szCs w:val="20"/>
        </w:rPr>
        <w:t>Format of reports vary; budget details vary, evaluation reports are</w:t>
      </w:r>
      <w:r w:rsidR="00E939AD">
        <w:rPr>
          <w:rFonts w:ascii="Century Gothic" w:hAnsi="Century Gothic"/>
          <w:sz w:val="20"/>
          <w:szCs w:val="20"/>
        </w:rPr>
        <w:t xml:space="preserve"> included for some initiatives.</w:t>
      </w:r>
    </w:p>
    <w:p w14:paraId="513D0B28" w14:textId="77777777" w:rsidR="00DC4448" w:rsidRDefault="00DC4448" w:rsidP="00DC4448">
      <w:pPr>
        <w:ind w:right="-340"/>
        <w:rPr>
          <w:b/>
          <w:i/>
        </w:rPr>
      </w:pPr>
    </w:p>
    <w:p w14:paraId="2DE1DE6A" w14:textId="77777777" w:rsidR="00DC4448" w:rsidRPr="00560D2C" w:rsidRDefault="00DC4448" w:rsidP="00DC4448">
      <w:pPr>
        <w:ind w:right="-340"/>
        <w:rPr>
          <w:b/>
          <w:i/>
        </w:rPr>
      </w:pPr>
      <w:r>
        <w:rPr>
          <w:b/>
          <w:i/>
        </w:rPr>
        <w:t xml:space="preserve">AISs </w:t>
      </w:r>
    </w:p>
    <w:p w14:paraId="4D1E5D07" w14:textId="77777777" w:rsidR="00DC4448" w:rsidRDefault="00DC4448" w:rsidP="00DC4448">
      <w:pPr>
        <w:ind w:right="-340"/>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ISs"/>
        <w:tblDescription w:val="This table outlines the documents provided by AISs to PTR Consulting, which form the foundation of this review."/>
      </w:tblPr>
      <w:tblGrid>
        <w:gridCol w:w="1384"/>
        <w:gridCol w:w="2552"/>
        <w:gridCol w:w="4819"/>
      </w:tblGrid>
      <w:tr w:rsidR="00DC4448" w:rsidRPr="008B6DC4" w14:paraId="48B8AD29" w14:textId="77777777" w:rsidTr="002C6ABD">
        <w:tc>
          <w:tcPr>
            <w:tcW w:w="1384" w:type="dxa"/>
            <w:vAlign w:val="center"/>
          </w:tcPr>
          <w:p w14:paraId="20E3AB30" w14:textId="77777777" w:rsidR="00DC4448" w:rsidRPr="008B6DC4" w:rsidRDefault="00DC4448" w:rsidP="002C6ABD">
            <w:pPr>
              <w:ind w:right="-340"/>
              <w:rPr>
                <w:rFonts w:ascii="Century Gothic" w:hAnsi="Century Gothic"/>
                <w:b/>
                <w:sz w:val="20"/>
                <w:szCs w:val="20"/>
              </w:rPr>
            </w:pPr>
          </w:p>
        </w:tc>
        <w:tc>
          <w:tcPr>
            <w:tcW w:w="2552" w:type="dxa"/>
          </w:tcPr>
          <w:p w14:paraId="592B1B84" w14:textId="77777777" w:rsidR="00DC4448" w:rsidRPr="008B6DC4" w:rsidRDefault="00DC4448" w:rsidP="002C6ABD">
            <w:pPr>
              <w:ind w:right="-340"/>
              <w:jc w:val="center"/>
              <w:rPr>
                <w:rFonts w:ascii="Century Gothic" w:hAnsi="Century Gothic"/>
                <w:b/>
                <w:sz w:val="20"/>
                <w:szCs w:val="20"/>
              </w:rPr>
            </w:pPr>
            <w:r w:rsidRPr="008B6DC4">
              <w:rPr>
                <w:rFonts w:ascii="Century Gothic" w:hAnsi="Century Gothic"/>
                <w:b/>
                <w:sz w:val="20"/>
                <w:szCs w:val="20"/>
              </w:rPr>
              <w:t>Documents</w:t>
            </w:r>
          </w:p>
        </w:tc>
        <w:tc>
          <w:tcPr>
            <w:tcW w:w="4819" w:type="dxa"/>
          </w:tcPr>
          <w:p w14:paraId="65CB70F1" w14:textId="77777777" w:rsidR="00DC4448" w:rsidRPr="008B6DC4" w:rsidRDefault="00DC4448" w:rsidP="002C6ABD">
            <w:pPr>
              <w:ind w:right="-340"/>
              <w:jc w:val="center"/>
              <w:rPr>
                <w:rFonts w:ascii="Century Gothic" w:hAnsi="Century Gothic"/>
                <w:b/>
                <w:sz w:val="20"/>
                <w:szCs w:val="20"/>
              </w:rPr>
            </w:pPr>
            <w:r>
              <w:rPr>
                <w:rFonts w:ascii="Century Gothic" w:hAnsi="Century Gothic"/>
                <w:b/>
                <w:sz w:val="20"/>
                <w:szCs w:val="20"/>
              </w:rPr>
              <w:t xml:space="preserve">Content </w:t>
            </w:r>
          </w:p>
        </w:tc>
      </w:tr>
      <w:tr w:rsidR="00DC4448" w:rsidRPr="008B6DC4" w14:paraId="1674C7B1" w14:textId="77777777" w:rsidTr="002C6ABD">
        <w:tc>
          <w:tcPr>
            <w:tcW w:w="1384" w:type="dxa"/>
            <w:vAlign w:val="center"/>
          </w:tcPr>
          <w:p w14:paraId="6FD7CF0A"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NSW</w:t>
            </w:r>
          </w:p>
        </w:tc>
        <w:tc>
          <w:tcPr>
            <w:tcW w:w="2552" w:type="dxa"/>
          </w:tcPr>
          <w:p w14:paraId="452EA7F8"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29EEC02B"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Pr>
          <w:p w14:paraId="474EFAC0" w14:textId="5A9CF229"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Reports are on AIS</w:t>
            </w:r>
            <w:r>
              <w:rPr>
                <w:rFonts w:ascii="Century Gothic" w:hAnsi="Century Gothic"/>
                <w:sz w:val="20"/>
                <w:szCs w:val="20"/>
              </w:rPr>
              <w:t xml:space="preserve"> </w:t>
            </w:r>
            <w:r w:rsidRPr="008B6DC4">
              <w:rPr>
                <w:rFonts w:ascii="Century Gothic" w:hAnsi="Century Gothic"/>
                <w:sz w:val="20"/>
                <w:szCs w:val="20"/>
              </w:rPr>
              <w:t xml:space="preserve">NSW Partnerships in Education not </w:t>
            </w:r>
            <w:r>
              <w:rPr>
                <w:rFonts w:ascii="Century Gothic" w:hAnsi="Century Gothic"/>
                <w:sz w:val="20"/>
                <w:szCs w:val="20"/>
              </w:rPr>
              <w:t xml:space="preserve">only </w:t>
            </w:r>
            <w:r w:rsidRPr="008B6DC4">
              <w:rPr>
                <w:rFonts w:ascii="Century Gothic" w:hAnsi="Century Gothic"/>
                <w:sz w:val="20"/>
                <w:szCs w:val="20"/>
              </w:rPr>
              <w:t>SFSF</w:t>
            </w:r>
          </w:p>
          <w:p w14:paraId="3BF67C61" w14:textId="77777777" w:rsidR="00DC4448" w:rsidRDefault="00DC4448" w:rsidP="002C6ABD">
            <w:pPr>
              <w:ind w:right="-340"/>
              <w:rPr>
                <w:rFonts w:ascii="Century Gothic" w:hAnsi="Century Gothic"/>
                <w:sz w:val="20"/>
                <w:szCs w:val="20"/>
              </w:rPr>
            </w:pPr>
            <w:r w:rsidRPr="008B6DC4">
              <w:rPr>
                <w:rFonts w:ascii="Century Gothic" w:hAnsi="Century Gothic"/>
                <w:sz w:val="20"/>
                <w:szCs w:val="20"/>
              </w:rPr>
              <w:t>Report includes expenditure by project from SFSF but notes projects supported by other funds.</w:t>
            </w:r>
            <w:r>
              <w:rPr>
                <w:rFonts w:ascii="Century Gothic" w:hAnsi="Century Gothic"/>
                <w:sz w:val="20"/>
                <w:szCs w:val="20"/>
              </w:rPr>
              <w:t xml:space="preserve"> </w:t>
            </w:r>
          </w:p>
          <w:p w14:paraId="7A0E6CE7" w14:textId="77777777" w:rsidR="00DC4448" w:rsidRPr="008B6DC4" w:rsidRDefault="00DC4448" w:rsidP="002C6ABD">
            <w:pPr>
              <w:ind w:right="-340"/>
              <w:rPr>
                <w:rFonts w:ascii="Century Gothic" w:hAnsi="Century Gothic"/>
                <w:sz w:val="20"/>
                <w:szCs w:val="20"/>
              </w:rPr>
            </w:pPr>
            <w:r>
              <w:rPr>
                <w:rFonts w:ascii="Century Gothic" w:hAnsi="Century Gothic"/>
                <w:sz w:val="20"/>
                <w:szCs w:val="20"/>
              </w:rPr>
              <w:t xml:space="preserve">Provides detailed evaluation reports </w:t>
            </w:r>
          </w:p>
        </w:tc>
      </w:tr>
      <w:tr w:rsidR="00DC4448" w:rsidRPr="008B6DC4" w14:paraId="5706222F" w14:textId="77777777" w:rsidTr="002C6ABD">
        <w:tc>
          <w:tcPr>
            <w:tcW w:w="1384" w:type="dxa"/>
            <w:vAlign w:val="center"/>
          </w:tcPr>
          <w:p w14:paraId="191D88D3"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VIC</w:t>
            </w:r>
          </w:p>
        </w:tc>
        <w:tc>
          <w:tcPr>
            <w:tcW w:w="2552" w:type="dxa"/>
          </w:tcPr>
          <w:p w14:paraId="1D16D0FC"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0F5C0E38"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599A366F"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Pr>
          <w:p w14:paraId="0C273418" w14:textId="77777777" w:rsidR="00DC4448" w:rsidRPr="008B6DC4" w:rsidRDefault="00DC4448" w:rsidP="002C6ABD">
            <w:pPr>
              <w:ind w:right="-340"/>
              <w:rPr>
                <w:rFonts w:ascii="Century Gothic" w:hAnsi="Century Gothic"/>
                <w:sz w:val="20"/>
                <w:szCs w:val="20"/>
              </w:rPr>
            </w:pPr>
            <w:r>
              <w:rPr>
                <w:rFonts w:ascii="Century Gothic" w:hAnsi="Century Gothic"/>
                <w:sz w:val="20"/>
                <w:szCs w:val="20"/>
              </w:rPr>
              <w:t>R</w:t>
            </w:r>
            <w:r w:rsidRPr="008B6DC4">
              <w:rPr>
                <w:rFonts w:ascii="Century Gothic" w:hAnsi="Century Gothic"/>
                <w:sz w:val="20"/>
                <w:szCs w:val="20"/>
              </w:rPr>
              <w:t xml:space="preserve">eports </w:t>
            </w:r>
            <w:r>
              <w:rPr>
                <w:rFonts w:ascii="Century Gothic" w:hAnsi="Century Gothic"/>
                <w:sz w:val="20"/>
                <w:szCs w:val="20"/>
              </w:rPr>
              <w:t xml:space="preserve">organised </w:t>
            </w:r>
            <w:r w:rsidRPr="008B6DC4">
              <w:rPr>
                <w:rFonts w:ascii="Century Gothic" w:hAnsi="Century Gothic"/>
                <w:sz w:val="20"/>
                <w:szCs w:val="20"/>
              </w:rPr>
              <w:t xml:space="preserve">under </w:t>
            </w:r>
            <w:r w:rsidRPr="008B6DC4">
              <w:rPr>
                <w:rFonts w:ascii="Century Gothic" w:hAnsi="Century Gothic"/>
                <w:i/>
                <w:sz w:val="20"/>
                <w:szCs w:val="20"/>
              </w:rPr>
              <w:t>General Support</w:t>
            </w:r>
            <w:r w:rsidRPr="008B6DC4">
              <w:rPr>
                <w:rFonts w:ascii="Century Gothic" w:hAnsi="Century Gothic"/>
                <w:sz w:val="20"/>
                <w:szCs w:val="20"/>
              </w:rPr>
              <w:t xml:space="preserve"> and </w:t>
            </w:r>
            <w:r>
              <w:rPr>
                <w:rFonts w:ascii="Century Gothic" w:hAnsi="Century Gothic"/>
                <w:i/>
                <w:sz w:val="20"/>
                <w:szCs w:val="20"/>
              </w:rPr>
              <w:t xml:space="preserve">Customised school </w:t>
            </w:r>
            <w:r w:rsidRPr="008B6DC4">
              <w:rPr>
                <w:rFonts w:ascii="Century Gothic" w:hAnsi="Century Gothic"/>
                <w:i/>
                <w:sz w:val="20"/>
                <w:szCs w:val="20"/>
              </w:rPr>
              <w:t>support</w:t>
            </w:r>
            <w:r w:rsidRPr="008B6DC4">
              <w:rPr>
                <w:rFonts w:ascii="Century Gothic" w:hAnsi="Century Gothic"/>
                <w:sz w:val="20"/>
                <w:szCs w:val="20"/>
              </w:rPr>
              <w:t xml:space="preserve"> within each reform area.  Indicative budget provided </w:t>
            </w:r>
          </w:p>
        </w:tc>
      </w:tr>
      <w:tr w:rsidR="00DC4448" w:rsidRPr="008B6DC4" w14:paraId="2CDE3EE3" w14:textId="77777777" w:rsidTr="002C6ABD">
        <w:tc>
          <w:tcPr>
            <w:tcW w:w="1384" w:type="dxa"/>
            <w:vAlign w:val="center"/>
          </w:tcPr>
          <w:p w14:paraId="215A3806"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QLD</w:t>
            </w:r>
          </w:p>
        </w:tc>
        <w:tc>
          <w:tcPr>
            <w:tcW w:w="2552" w:type="dxa"/>
          </w:tcPr>
          <w:p w14:paraId="1D23F495"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0AC46BCB" w14:textId="20EB5650" w:rsidR="00DC4448" w:rsidRPr="00E939AD"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tc>
        <w:tc>
          <w:tcPr>
            <w:tcW w:w="4819" w:type="dxa"/>
          </w:tcPr>
          <w:p w14:paraId="2C68003F"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 xml:space="preserve">Budget information detailed against each project including SFSF and other funds </w:t>
            </w:r>
          </w:p>
        </w:tc>
      </w:tr>
      <w:tr w:rsidR="00DC4448" w:rsidRPr="008B6DC4" w14:paraId="13C8E90B" w14:textId="77777777" w:rsidTr="002C6ABD">
        <w:tc>
          <w:tcPr>
            <w:tcW w:w="1384" w:type="dxa"/>
            <w:vAlign w:val="center"/>
          </w:tcPr>
          <w:p w14:paraId="651F67AC"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WA</w:t>
            </w:r>
          </w:p>
        </w:tc>
        <w:tc>
          <w:tcPr>
            <w:tcW w:w="2552" w:type="dxa"/>
          </w:tcPr>
          <w:p w14:paraId="00D93031"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271A8133"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3EDB3A40"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Pr>
          <w:p w14:paraId="7B567B7B"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Indicative budget in work plan but not reports</w:t>
            </w:r>
          </w:p>
          <w:p w14:paraId="3FCC1831" w14:textId="77777777" w:rsidR="00DC4448" w:rsidRPr="008B6DC4" w:rsidRDefault="00DC4448" w:rsidP="002C6ABD">
            <w:pPr>
              <w:ind w:right="-340"/>
              <w:rPr>
                <w:rFonts w:ascii="Century Gothic" w:hAnsi="Century Gothic"/>
                <w:sz w:val="20"/>
                <w:szCs w:val="20"/>
              </w:rPr>
            </w:pPr>
          </w:p>
        </w:tc>
      </w:tr>
      <w:tr w:rsidR="00DC4448" w:rsidRPr="008B6DC4" w14:paraId="37A4E62F" w14:textId="77777777" w:rsidTr="002C6ABD">
        <w:tc>
          <w:tcPr>
            <w:tcW w:w="1384" w:type="dxa"/>
            <w:vAlign w:val="center"/>
          </w:tcPr>
          <w:p w14:paraId="1DA10B49"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SA</w:t>
            </w:r>
          </w:p>
        </w:tc>
        <w:tc>
          <w:tcPr>
            <w:tcW w:w="2552" w:type="dxa"/>
          </w:tcPr>
          <w:p w14:paraId="463AC384"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576B6A2E"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4ED54EA3"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Pr>
          <w:p w14:paraId="68369A94" w14:textId="77777777" w:rsidR="00DC4448" w:rsidRDefault="00DC4448" w:rsidP="002C6ABD">
            <w:pPr>
              <w:ind w:right="-340"/>
              <w:rPr>
                <w:rFonts w:ascii="Century Gothic" w:hAnsi="Century Gothic"/>
                <w:sz w:val="20"/>
                <w:szCs w:val="20"/>
              </w:rPr>
            </w:pPr>
            <w:r>
              <w:rPr>
                <w:rFonts w:ascii="Century Gothic" w:hAnsi="Century Gothic"/>
                <w:sz w:val="20"/>
                <w:szCs w:val="20"/>
              </w:rPr>
              <w:t xml:space="preserve">Budget statement acknowledges </w:t>
            </w:r>
            <w:r w:rsidRPr="008B6DC4">
              <w:rPr>
                <w:rFonts w:ascii="Century Gothic" w:hAnsi="Century Gothic"/>
                <w:sz w:val="20"/>
                <w:szCs w:val="20"/>
              </w:rPr>
              <w:t>it is not feasible to alloc</w:t>
            </w:r>
            <w:r>
              <w:rPr>
                <w:rFonts w:ascii="Century Gothic" w:hAnsi="Century Gothic"/>
                <w:sz w:val="20"/>
                <w:szCs w:val="20"/>
              </w:rPr>
              <w:t>ate a budget for each activity.</w:t>
            </w:r>
          </w:p>
          <w:p w14:paraId="37078C7A" w14:textId="28C416C6" w:rsidR="00DC4448" w:rsidRPr="008B6DC4" w:rsidRDefault="00DC4448" w:rsidP="00E939AD">
            <w:pPr>
              <w:ind w:right="-340"/>
              <w:rPr>
                <w:rFonts w:ascii="Century Gothic" w:hAnsi="Century Gothic"/>
                <w:sz w:val="20"/>
                <w:szCs w:val="20"/>
              </w:rPr>
            </w:pPr>
            <w:r>
              <w:rPr>
                <w:rFonts w:ascii="Century Gothic" w:hAnsi="Century Gothic"/>
                <w:sz w:val="20"/>
                <w:szCs w:val="20"/>
              </w:rPr>
              <w:t xml:space="preserve">Mixed account of activities </w:t>
            </w:r>
          </w:p>
        </w:tc>
      </w:tr>
      <w:tr w:rsidR="00DC4448" w:rsidRPr="008B6DC4" w14:paraId="06CDF8D4" w14:textId="77777777" w:rsidTr="002C6ABD">
        <w:tc>
          <w:tcPr>
            <w:tcW w:w="1384" w:type="dxa"/>
            <w:vAlign w:val="center"/>
          </w:tcPr>
          <w:p w14:paraId="4C1F65F3"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TAS</w:t>
            </w:r>
          </w:p>
        </w:tc>
        <w:tc>
          <w:tcPr>
            <w:tcW w:w="2552" w:type="dxa"/>
          </w:tcPr>
          <w:p w14:paraId="6B97030D"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1B5CF985"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58DD1717"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Pr>
          <w:p w14:paraId="34CBBAE7"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Plan inc</w:t>
            </w:r>
            <w:r>
              <w:rPr>
                <w:rFonts w:ascii="Century Gothic" w:hAnsi="Century Gothic"/>
                <w:sz w:val="20"/>
                <w:szCs w:val="20"/>
              </w:rPr>
              <w:t>l</w:t>
            </w:r>
            <w:r w:rsidRPr="008B6DC4">
              <w:rPr>
                <w:rFonts w:ascii="Century Gothic" w:hAnsi="Century Gothic"/>
                <w:sz w:val="20"/>
                <w:szCs w:val="20"/>
              </w:rPr>
              <w:t>udes detailed descriptions of professional learning opportunities under each reform area.  SFSF budget rolled into a global budget including other sources to fund full program</w:t>
            </w:r>
          </w:p>
        </w:tc>
      </w:tr>
      <w:tr w:rsidR="00DC4448" w:rsidRPr="008B6DC4" w14:paraId="6B742C21" w14:textId="77777777" w:rsidTr="002C6ABD">
        <w:tc>
          <w:tcPr>
            <w:tcW w:w="1384" w:type="dxa"/>
            <w:vAlign w:val="center"/>
          </w:tcPr>
          <w:p w14:paraId="26CF8661"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ACT</w:t>
            </w:r>
          </w:p>
        </w:tc>
        <w:tc>
          <w:tcPr>
            <w:tcW w:w="2552" w:type="dxa"/>
          </w:tcPr>
          <w:p w14:paraId="0262F4E9"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295A2E91"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03B932B2"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Pr>
          <w:p w14:paraId="72DA7BC0"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Budget provided</w:t>
            </w:r>
          </w:p>
          <w:p w14:paraId="42CA7195"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Provides additional information – member satisfaction survey results, professional learning feedback</w:t>
            </w:r>
          </w:p>
        </w:tc>
      </w:tr>
      <w:tr w:rsidR="00DC4448" w:rsidRPr="008B6DC4" w14:paraId="478FAEA0" w14:textId="77777777" w:rsidTr="002C6ABD">
        <w:tc>
          <w:tcPr>
            <w:tcW w:w="1384" w:type="dxa"/>
            <w:vAlign w:val="center"/>
          </w:tcPr>
          <w:p w14:paraId="62CDE75F"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NT</w:t>
            </w:r>
          </w:p>
        </w:tc>
        <w:tc>
          <w:tcPr>
            <w:tcW w:w="2552" w:type="dxa"/>
          </w:tcPr>
          <w:p w14:paraId="10320B3F"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6AE61A4B"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Work Plan</w:t>
            </w:r>
          </w:p>
          <w:p w14:paraId="188BA81C"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p w14:paraId="40BCED33"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2016 Work Plan</w:t>
            </w:r>
          </w:p>
        </w:tc>
        <w:tc>
          <w:tcPr>
            <w:tcW w:w="4819" w:type="dxa"/>
          </w:tcPr>
          <w:p w14:paraId="2AE48BC1"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Plans include high level budget breakdown across reform areas</w:t>
            </w:r>
          </w:p>
          <w:p w14:paraId="1CD236DE"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Report has budget report including funds carried forward</w:t>
            </w:r>
          </w:p>
        </w:tc>
      </w:tr>
    </w:tbl>
    <w:p w14:paraId="05384E40" w14:textId="7D2426F0" w:rsidR="00DC4448" w:rsidRPr="008B6DC4" w:rsidRDefault="00DC4448" w:rsidP="00E939AD">
      <w:pPr>
        <w:spacing w:before="480"/>
        <w:ind w:right="-340"/>
        <w:rPr>
          <w:rFonts w:ascii="Century Gothic" w:hAnsi="Century Gothic"/>
          <w:b/>
          <w:sz w:val="20"/>
          <w:szCs w:val="20"/>
        </w:rPr>
      </w:pPr>
      <w:r w:rsidRPr="008B6DC4">
        <w:rPr>
          <w:rFonts w:ascii="Century Gothic" w:hAnsi="Century Gothic"/>
          <w:b/>
          <w:sz w:val="20"/>
          <w:szCs w:val="20"/>
        </w:rPr>
        <w:t>C</w:t>
      </w:r>
      <w:r>
        <w:rPr>
          <w:rFonts w:ascii="Century Gothic" w:hAnsi="Century Gothic"/>
          <w:b/>
          <w:sz w:val="20"/>
          <w:szCs w:val="20"/>
        </w:rPr>
        <w:t xml:space="preserve">EC/CEOs </w:t>
      </w:r>
    </w:p>
    <w:tbl>
      <w:tblPr>
        <w:tblW w:w="8755" w:type="dxa"/>
        <w:tblLook w:val="04A0" w:firstRow="1" w:lastRow="0" w:firstColumn="1" w:lastColumn="0" w:noHBand="0" w:noVBand="1"/>
        <w:tblCaption w:val="CEC/CEOs"/>
        <w:tblDescription w:val="This table outlines the documents provided by CEC/CEOs to PTR Consulting, which form the foundation of this review."/>
      </w:tblPr>
      <w:tblGrid>
        <w:gridCol w:w="1384"/>
        <w:gridCol w:w="2552"/>
        <w:gridCol w:w="4819"/>
      </w:tblGrid>
      <w:tr w:rsidR="00DC4448" w:rsidRPr="008B6DC4" w14:paraId="19113FE3" w14:textId="77777777" w:rsidTr="002C6ABD">
        <w:tc>
          <w:tcPr>
            <w:tcW w:w="1384" w:type="dxa"/>
            <w:tcBorders>
              <w:bottom w:val="single" w:sz="4" w:space="0" w:color="auto"/>
            </w:tcBorders>
            <w:vAlign w:val="center"/>
          </w:tcPr>
          <w:p w14:paraId="1D67D87D" w14:textId="77777777" w:rsidR="00DC4448" w:rsidRPr="008B6DC4" w:rsidRDefault="00DC4448" w:rsidP="002C6ABD">
            <w:pPr>
              <w:ind w:right="-340"/>
              <w:rPr>
                <w:rFonts w:ascii="Century Gothic" w:hAnsi="Century Gothic"/>
                <w:b/>
                <w:sz w:val="20"/>
                <w:szCs w:val="20"/>
              </w:rPr>
            </w:pPr>
          </w:p>
        </w:tc>
        <w:tc>
          <w:tcPr>
            <w:tcW w:w="2552" w:type="dxa"/>
            <w:tcBorders>
              <w:bottom w:val="single" w:sz="4" w:space="0" w:color="auto"/>
            </w:tcBorders>
          </w:tcPr>
          <w:p w14:paraId="33E8E709" w14:textId="77777777" w:rsidR="00DC4448" w:rsidRPr="008B6DC4" w:rsidRDefault="00DC4448" w:rsidP="002C6ABD">
            <w:pPr>
              <w:ind w:right="-340"/>
              <w:jc w:val="center"/>
              <w:rPr>
                <w:rFonts w:ascii="Century Gothic" w:hAnsi="Century Gothic"/>
                <w:b/>
                <w:sz w:val="20"/>
                <w:szCs w:val="20"/>
              </w:rPr>
            </w:pPr>
            <w:r w:rsidRPr="008B6DC4">
              <w:rPr>
                <w:rFonts w:ascii="Century Gothic" w:hAnsi="Century Gothic"/>
                <w:b/>
                <w:sz w:val="20"/>
                <w:szCs w:val="20"/>
              </w:rPr>
              <w:t>Documents</w:t>
            </w:r>
          </w:p>
        </w:tc>
        <w:tc>
          <w:tcPr>
            <w:tcW w:w="4819" w:type="dxa"/>
            <w:tcBorders>
              <w:bottom w:val="single" w:sz="4" w:space="0" w:color="auto"/>
            </w:tcBorders>
          </w:tcPr>
          <w:p w14:paraId="08F423E2" w14:textId="77777777" w:rsidR="00DC4448" w:rsidRPr="008B6DC4" w:rsidRDefault="00DC4448" w:rsidP="002C6ABD">
            <w:pPr>
              <w:ind w:right="-340"/>
              <w:jc w:val="center"/>
              <w:rPr>
                <w:rFonts w:ascii="Century Gothic" w:hAnsi="Century Gothic"/>
                <w:b/>
                <w:sz w:val="20"/>
                <w:szCs w:val="20"/>
              </w:rPr>
            </w:pPr>
            <w:r>
              <w:rPr>
                <w:rFonts w:ascii="Century Gothic" w:hAnsi="Century Gothic"/>
                <w:b/>
                <w:sz w:val="20"/>
                <w:szCs w:val="20"/>
              </w:rPr>
              <w:t>Content</w:t>
            </w:r>
          </w:p>
        </w:tc>
      </w:tr>
      <w:tr w:rsidR="00DC4448" w:rsidRPr="008B6DC4" w14:paraId="38A67278"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45CCB670"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NSW</w:t>
            </w:r>
          </w:p>
        </w:tc>
        <w:tc>
          <w:tcPr>
            <w:tcW w:w="2552" w:type="dxa"/>
            <w:tcBorders>
              <w:top w:val="single" w:sz="4" w:space="0" w:color="auto"/>
              <w:left w:val="single" w:sz="4" w:space="0" w:color="auto"/>
              <w:bottom w:val="single" w:sz="4" w:space="0" w:color="auto"/>
              <w:right w:val="single" w:sz="4" w:space="0" w:color="auto"/>
            </w:tcBorders>
          </w:tcPr>
          <w:p w14:paraId="597FD1C2"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179EEEF9"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474284B9" w14:textId="27F3C70C"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No</w:t>
            </w:r>
            <w:r>
              <w:rPr>
                <w:rFonts w:ascii="Century Gothic" w:hAnsi="Century Gothic"/>
                <w:sz w:val="20"/>
                <w:szCs w:val="20"/>
              </w:rPr>
              <w:t xml:space="preserve">t detailed with respect to SFSF- more an account of delivery of national priorities </w:t>
            </w:r>
          </w:p>
          <w:p w14:paraId="5DEA84DF" w14:textId="3B734147" w:rsidR="00DC4448" w:rsidRPr="008B6DC4" w:rsidRDefault="00DC4448" w:rsidP="002C6ABD">
            <w:pPr>
              <w:ind w:right="-340"/>
              <w:rPr>
                <w:rFonts w:ascii="Century Gothic" w:hAnsi="Century Gothic"/>
                <w:sz w:val="20"/>
                <w:szCs w:val="20"/>
              </w:rPr>
            </w:pPr>
            <w:r>
              <w:rPr>
                <w:rFonts w:ascii="Century Gothic" w:hAnsi="Century Gothic"/>
                <w:sz w:val="20"/>
                <w:szCs w:val="20"/>
              </w:rPr>
              <w:t>Budget i</w:t>
            </w:r>
            <w:r w:rsidR="00E939AD">
              <w:rPr>
                <w:rFonts w:ascii="Century Gothic" w:hAnsi="Century Gothic"/>
                <w:sz w:val="20"/>
                <w:szCs w:val="20"/>
              </w:rPr>
              <w:t>nformation given as percentages</w:t>
            </w:r>
          </w:p>
          <w:p w14:paraId="08F84CC9" w14:textId="77777777" w:rsidR="00DC4448" w:rsidRPr="008B6DC4" w:rsidRDefault="00DC4448" w:rsidP="002C6ABD">
            <w:pPr>
              <w:ind w:right="-340"/>
              <w:rPr>
                <w:rFonts w:ascii="Century Gothic" w:hAnsi="Century Gothic"/>
                <w:sz w:val="20"/>
                <w:szCs w:val="20"/>
              </w:rPr>
            </w:pPr>
          </w:p>
        </w:tc>
      </w:tr>
      <w:tr w:rsidR="00DC4448" w:rsidRPr="008B6DC4" w14:paraId="7FBB8BF3"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648228F4"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VIC</w:t>
            </w:r>
          </w:p>
        </w:tc>
        <w:tc>
          <w:tcPr>
            <w:tcW w:w="2552" w:type="dxa"/>
            <w:tcBorders>
              <w:top w:val="single" w:sz="4" w:space="0" w:color="auto"/>
              <w:left w:val="single" w:sz="4" w:space="0" w:color="auto"/>
              <w:bottom w:val="single" w:sz="4" w:space="0" w:color="auto"/>
              <w:right w:val="single" w:sz="4" w:space="0" w:color="auto"/>
            </w:tcBorders>
          </w:tcPr>
          <w:p w14:paraId="7069FDCB"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2D3A36D4"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2D563404"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5F163E7D" w14:textId="77777777" w:rsidR="00DC4448" w:rsidRPr="008B6DC4" w:rsidRDefault="00DC4448" w:rsidP="002C6ABD">
            <w:pPr>
              <w:ind w:right="-340"/>
              <w:rPr>
                <w:rFonts w:ascii="Century Gothic" w:hAnsi="Century Gothic"/>
                <w:sz w:val="20"/>
                <w:szCs w:val="20"/>
              </w:rPr>
            </w:pPr>
            <w:r>
              <w:rPr>
                <w:rFonts w:ascii="Century Gothic" w:hAnsi="Century Gothic"/>
                <w:sz w:val="20"/>
                <w:szCs w:val="20"/>
              </w:rPr>
              <w:t xml:space="preserve">Very clear priorities. </w:t>
            </w:r>
            <w:r w:rsidRPr="008B6DC4">
              <w:rPr>
                <w:rFonts w:ascii="Century Gothic" w:hAnsi="Century Gothic"/>
                <w:sz w:val="20"/>
                <w:szCs w:val="20"/>
              </w:rPr>
              <w:t>Plan consists of two projects – Leading Languages and Auspiced Training and Industry Partnership</w:t>
            </w:r>
          </w:p>
          <w:p w14:paraId="736834B9"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Budget provided including CECV contribution</w:t>
            </w:r>
          </w:p>
        </w:tc>
      </w:tr>
      <w:tr w:rsidR="00DC4448" w:rsidRPr="008B6DC4" w14:paraId="0955AAE2"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58F4D4F3"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QLD</w:t>
            </w:r>
          </w:p>
        </w:tc>
        <w:tc>
          <w:tcPr>
            <w:tcW w:w="2552" w:type="dxa"/>
            <w:tcBorders>
              <w:top w:val="single" w:sz="4" w:space="0" w:color="auto"/>
              <w:left w:val="single" w:sz="4" w:space="0" w:color="auto"/>
              <w:bottom w:val="single" w:sz="4" w:space="0" w:color="auto"/>
              <w:right w:val="single" w:sz="4" w:space="0" w:color="auto"/>
            </w:tcBorders>
          </w:tcPr>
          <w:p w14:paraId="439A48DE"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10EA3748"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04577557"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2A3D3637" w14:textId="77777777" w:rsidR="00DC4448" w:rsidRPr="008B6DC4" w:rsidRDefault="00DC4448" w:rsidP="002C6ABD">
            <w:pPr>
              <w:ind w:right="-340"/>
              <w:rPr>
                <w:rFonts w:ascii="Century Gothic" w:hAnsi="Century Gothic"/>
                <w:sz w:val="20"/>
                <w:szCs w:val="20"/>
              </w:rPr>
            </w:pPr>
            <w:r>
              <w:rPr>
                <w:rFonts w:ascii="Century Gothic" w:hAnsi="Century Gothic"/>
                <w:sz w:val="20"/>
                <w:szCs w:val="20"/>
              </w:rPr>
              <w:t xml:space="preserve">Budget detail varies. </w:t>
            </w:r>
            <w:r w:rsidRPr="008B6DC4">
              <w:rPr>
                <w:rFonts w:ascii="Century Gothic" w:hAnsi="Century Gothic"/>
                <w:sz w:val="20"/>
                <w:szCs w:val="20"/>
              </w:rPr>
              <w:t xml:space="preserve">QCEC is an umbrella organisation and the local </w:t>
            </w:r>
            <w:r>
              <w:rPr>
                <w:rFonts w:ascii="Century Gothic" w:hAnsi="Century Gothic"/>
                <w:sz w:val="20"/>
                <w:szCs w:val="20"/>
              </w:rPr>
              <w:t>Dioceses</w:t>
            </w:r>
            <w:r w:rsidRPr="008B6DC4">
              <w:rPr>
                <w:rFonts w:ascii="Century Gothic" w:hAnsi="Century Gothic"/>
                <w:sz w:val="20"/>
                <w:szCs w:val="20"/>
              </w:rPr>
              <w:t xml:space="preserve"> will choose </w:t>
            </w:r>
            <w:r>
              <w:rPr>
                <w:rFonts w:ascii="Century Gothic" w:hAnsi="Century Gothic"/>
                <w:sz w:val="20"/>
                <w:szCs w:val="20"/>
              </w:rPr>
              <w:t xml:space="preserve">what comprises </w:t>
            </w:r>
            <w:r w:rsidRPr="008B6DC4">
              <w:rPr>
                <w:rFonts w:ascii="Century Gothic" w:hAnsi="Century Gothic"/>
                <w:sz w:val="20"/>
                <w:szCs w:val="20"/>
              </w:rPr>
              <w:t xml:space="preserve">their local plans </w:t>
            </w:r>
          </w:p>
        </w:tc>
      </w:tr>
      <w:tr w:rsidR="00DC4448" w:rsidRPr="008B6DC4" w14:paraId="5530D334"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36895DD8"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WA</w:t>
            </w:r>
          </w:p>
        </w:tc>
        <w:tc>
          <w:tcPr>
            <w:tcW w:w="2552" w:type="dxa"/>
            <w:tcBorders>
              <w:top w:val="single" w:sz="4" w:space="0" w:color="auto"/>
              <w:left w:val="single" w:sz="4" w:space="0" w:color="auto"/>
              <w:bottom w:val="single" w:sz="4" w:space="0" w:color="auto"/>
              <w:right w:val="single" w:sz="4" w:space="0" w:color="auto"/>
            </w:tcBorders>
          </w:tcPr>
          <w:p w14:paraId="4EE1F4B8"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4D761B19"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46FA6945"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0FA55815"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 xml:space="preserve">Notional budget plan </w:t>
            </w:r>
            <w:r>
              <w:rPr>
                <w:rFonts w:ascii="Century Gothic" w:hAnsi="Century Gothic"/>
                <w:sz w:val="20"/>
                <w:szCs w:val="20"/>
              </w:rPr>
              <w:t xml:space="preserve">and details </w:t>
            </w:r>
            <w:r w:rsidRPr="008B6DC4">
              <w:rPr>
                <w:rFonts w:ascii="Century Gothic" w:hAnsi="Century Gothic"/>
                <w:sz w:val="20"/>
                <w:szCs w:val="20"/>
              </w:rPr>
              <w:t>across 5 reform areas provided in reports</w:t>
            </w:r>
          </w:p>
        </w:tc>
      </w:tr>
      <w:tr w:rsidR="00DC4448" w:rsidRPr="008B6DC4" w14:paraId="44C96835"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4D2346DC" w14:textId="77777777" w:rsidR="00DC4448" w:rsidRPr="008B6DC4" w:rsidRDefault="00DC4448" w:rsidP="00E939AD">
            <w:pPr>
              <w:keepNext/>
              <w:keepLines/>
              <w:ind w:right="-340"/>
              <w:rPr>
                <w:rFonts w:ascii="Century Gothic" w:hAnsi="Century Gothic"/>
                <w:sz w:val="20"/>
                <w:szCs w:val="20"/>
              </w:rPr>
            </w:pPr>
            <w:r w:rsidRPr="008B6DC4">
              <w:rPr>
                <w:rFonts w:ascii="Century Gothic" w:hAnsi="Century Gothic"/>
                <w:sz w:val="20"/>
                <w:szCs w:val="20"/>
              </w:rPr>
              <w:t>SA</w:t>
            </w:r>
          </w:p>
        </w:tc>
        <w:tc>
          <w:tcPr>
            <w:tcW w:w="2552" w:type="dxa"/>
            <w:tcBorders>
              <w:top w:val="single" w:sz="4" w:space="0" w:color="auto"/>
              <w:left w:val="single" w:sz="4" w:space="0" w:color="auto"/>
              <w:bottom w:val="single" w:sz="4" w:space="0" w:color="auto"/>
              <w:right w:val="single" w:sz="4" w:space="0" w:color="auto"/>
            </w:tcBorders>
          </w:tcPr>
          <w:p w14:paraId="5D623F03" w14:textId="77777777" w:rsidR="00DC4448" w:rsidRPr="008B6DC4" w:rsidRDefault="00DC4448" w:rsidP="00E939AD">
            <w:pPr>
              <w:pStyle w:val="ListParagraph"/>
              <w:keepNext/>
              <w:keepLines/>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1D182ECF" w14:textId="77777777" w:rsidR="00DC4448" w:rsidRPr="008B6DC4" w:rsidRDefault="00DC4448" w:rsidP="00E939AD">
            <w:pPr>
              <w:pStyle w:val="ListParagraph"/>
              <w:keepNext/>
              <w:keepLines/>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43C87113" w14:textId="77777777" w:rsidR="00DC4448" w:rsidRPr="008B6DC4" w:rsidRDefault="00DC4448" w:rsidP="00E939AD">
            <w:pPr>
              <w:pStyle w:val="ListParagraph"/>
              <w:keepNext/>
              <w:keepLines/>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7BA6B061"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 xml:space="preserve">Includes budget information and 2015 report </w:t>
            </w:r>
          </w:p>
        </w:tc>
      </w:tr>
      <w:tr w:rsidR="00DC4448" w:rsidRPr="008B6DC4" w14:paraId="6DA253A9"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7DAF938A"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TAS</w:t>
            </w:r>
          </w:p>
        </w:tc>
        <w:tc>
          <w:tcPr>
            <w:tcW w:w="2552" w:type="dxa"/>
            <w:tcBorders>
              <w:top w:val="single" w:sz="4" w:space="0" w:color="auto"/>
              <w:left w:val="single" w:sz="4" w:space="0" w:color="auto"/>
              <w:bottom w:val="single" w:sz="4" w:space="0" w:color="auto"/>
              <w:right w:val="single" w:sz="4" w:space="0" w:color="auto"/>
            </w:tcBorders>
          </w:tcPr>
          <w:p w14:paraId="53BC109D"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70D63E0F"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6617BC49"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379F1982"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Includes budget information</w:t>
            </w:r>
            <w:r>
              <w:rPr>
                <w:rFonts w:ascii="Century Gothic" w:hAnsi="Century Gothic"/>
                <w:sz w:val="20"/>
                <w:szCs w:val="20"/>
              </w:rPr>
              <w:t xml:space="preserve">; priorities and projects included </w:t>
            </w:r>
          </w:p>
        </w:tc>
      </w:tr>
      <w:tr w:rsidR="00DC4448" w:rsidRPr="008B6DC4" w14:paraId="43169D18"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07706685"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ACT</w:t>
            </w:r>
          </w:p>
        </w:tc>
        <w:tc>
          <w:tcPr>
            <w:tcW w:w="2552" w:type="dxa"/>
            <w:tcBorders>
              <w:top w:val="single" w:sz="4" w:space="0" w:color="auto"/>
              <w:left w:val="single" w:sz="4" w:space="0" w:color="auto"/>
              <w:bottom w:val="single" w:sz="4" w:space="0" w:color="auto"/>
              <w:right w:val="single" w:sz="4" w:space="0" w:color="auto"/>
            </w:tcBorders>
          </w:tcPr>
          <w:p w14:paraId="7E19B3FC"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3B1AC92D"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0DA49C24"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7F06CDEB"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Budget information included</w:t>
            </w:r>
            <w:r>
              <w:rPr>
                <w:rFonts w:ascii="Century Gothic" w:hAnsi="Century Gothic"/>
                <w:sz w:val="20"/>
                <w:szCs w:val="20"/>
              </w:rPr>
              <w:t>; priorities and projects included</w:t>
            </w:r>
            <w:r w:rsidRPr="008B6DC4">
              <w:rPr>
                <w:rFonts w:ascii="Century Gothic" w:hAnsi="Century Gothic"/>
                <w:sz w:val="20"/>
                <w:szCs w:val="20"/>
              </w:rPr>
              <w:t xml:space="preserve"> </w:t>
            </w:r>
          </w:p>
        </w:tc>
      </w:tr>
      <w:tr w:rsidR="00DC4448" w:rsidRPr="008B6DC4" w14:paraId="5033D16C" w14:textId="77777777" w:rsidTr="002C6ABD">
        <w:tc>
          <w:tcPr>
            <w:tcW w:w="1384" w:type="dxa"/>
            <w:tcBorders>
              <w:top w:val="single" w:sz="4" w:space="0" w:color="auto"/>
              <w:left w:val="single" w:sz="4" w:space="0" w:color="auto"/>
              <w:bottom w:val="single" w:sz="4" w:space="0" w:color="auto"/>
              <w:right w:val="single" w:sz="4" w:space="0" w:color="auto"/>
            </w:tcBorders>
            <w:vAlign w:val="center"/>
          </w:tcPr>
          <w:p w14:paraId="55956AC6"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NT</w:t>
            </w:r>
          </w:p>
        </w:tc>
        <w:tc>
          <w:tcPr>
            <w:tcW w:w="2552" w:type="dxa"/>
            <w:tcBorders>
              <w:top w:val="single" w:sz="4" w:space="0" w:color="auto"/>
              <w:left w:val="single" w:sz="4" w:space="0" w:color="auto"/>
              <w:bottom w:val="single" w:sz="4" w:space="0" w:color="auto"/>
              <w:right w:val="single" w:sz="4" w:space="0" w:color="auto"/>
            </w:tcBorders>
          </w:tcPr>
          <w:p w14:paraId="602E0B97"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Work Plan</w:t>
            </w:r>
          </w:p>
          <w:p w14:paraId="617F7BA4"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2014 Report</w:t>
            </w:r>
          </w:p>
          <w:p w14:paraId="72B72FF8" w14:textId="77777777" w:rsidR="00DC4448" w:rsidRPr="008B6DC4" w:rsidRDefault="00DC4448" w:rsidP="002C6ABD">
            <w:pPr>
              <w:pStyle w:val="ListParagraph"/>
              <w:numPr>
                <w:ilvl w:val="0"/>
                <w:numId w:val="1"/>
              </w:numPr>
              <w:ind w:left="317" w:right="-340"/>
              <w:rPr>
                <w:rFonts w:ascii="Century Gothic" w:hAnsi="Century Gothic"/>
                <w:sz w:val="20"/>
                <w:szCs w:val="20"/>
              </w:rPr>
            </w:pPr>
            <w:r w:rsidRPr="008B6DC4">
              <w:rPr>
                <w:rFonts w:ascii="Century Gothic" w:hAnsi="Century Gothic"/>
                <w:sz w:val="20"/>
                <w:szCs w:val="20"/>
              </w:rPr>
              <w:t>2015 Report</w:t>
            </w:r>
          </w:p>
        </w:tc>
        <w:tc>
          <w:tcPr>
            <w:tcW w:w="4819" w:type="dxa"/>
            <w:tcBorders>
              <w:top w:val="single" w:sz="4" w:space="0" w:color="auto"/>
              <w:left w:val="single" w:sz="4" w:space="0" w:color="auto"/>
              <w:bottom w:val="single" w:sz="4" w:space="0" w:color="auto"/>
              <w:right w:val="single" w:sz="4" w:space="0" w:color="auto"/>
            </w:tcBorders>
          </w:tcPr>
          <w:p w14:paraId="78B844C9" w14:textId="77777777" w:rsidR="00DC4448" w:rsidRPr="008B6DC4" w:rsidRDefault="00DC4448" w:rsidP="002C6ABD">
            <w:pPr>
              <w:ind w:right="-340"/>
              <w:rPr>
                <w:rFonts w:ascii="Century Gothic" w:hAnsi="Century Gothic"/>
                <w:sz w:val="20"/>
                <w:szCs w:val="20"/>
              </w:rPr>
            </w:pPr>
            <w:r w:rsidRPr="008B6DC4">
              <w:rPr>
                <w:rFonts w:ascii="Century Gothic" w:hAnsi="Century Gothic"/>
                <w:sz w:val="20"/>
                <w:szCs w:val="20"/>
              </w:rPr>
              <w:t>Budget information including “in kind” support</w:t>
            </w:r>
            <w:r>
              <w:rPr>
                <w:rFonts w:ascii="Century Gothic" w:hAnsi="Century Gothic"/>
                <w:sz w:val="20"/>
                <w:szCs w:val="20"/>
              </w:rPr>
              <w:t xml:space="preserve"> priorities and projects included</w:t>
            </w:r>
          </w:p>
        </w:tc>
      </w:tr>
    </w:tbl>
    <w:p w14:paraId="474EC8BD" w14:textId="68FF3DD7" w:rsidR="00DC4448" w:rsidRPr="008E3357" w:rsidRDefault="00DC4448" w:rsidP="00DC4448">
      <w:pPr>
        <w:ind w:right="-340"/>
        <w:rPr>
          <w:rFonts w:ascii="Century Gothic" w:hAnsi="Century Gothic"/>
          <w:sz w:val="20"/>
          <w:szCs w:val="20"/>
        </w:rPr>
      </w:pPr>
    </w:p>
    <w:p w14:paraId="3477CEA8" w14:textId="77777777" w:rsidR="00DC4448" w:rsidRDefault="00DC4448" w:rsidP="00DC4448">
      <w:pPr>
        <w:rPr>
          <w:rFonts w:ascii="Century Gothic" w:hAnsi="Century Gothic"/>
          <w:sz w:val="20"/>
          <w:szCs w:val="20"/>
        </w:rPr>
        <w:sectPr w:rsidR="00DC4448" w:rsidSect="00897735">
          <w:pgSz w:w="11900" w:h="16820"/>
          <w:pgMar w:top="1440" w:right="1460" w:bottom="1440" w:left="1800" w:header="708" w:footer="708" w:gutter="0"/>
          <w:cols w:space="708"/>
          <w:titlePg/>
          <w:docGrid w:linePitch="326"/>
        </w:sectPr>
      </w:pPr>
    </w:p>
    <w:p w14:paraId="733FCE42" w14:textId="0114CD00" w:rsidR="00DC4448" w:rsidRPr="005352F1" w:rsidRDefault="00DC4448" w:rsidP="00DC4448">
      <w:pPr>
        <w:pStyle w:val="Heading2"/>
        <w:spacing w:before="120"/>
        <w:ind w:right="-340"/>
      </w:pPr>
      <w:bookmarkStart w:id="544" w:name="_Toc495587328"/>
      <w:r>
        <w:t xml:space="preserve">2.4 </w:t>
      </w:r>
      <w:r>
        <w:tab/>
      </w:r>
      <w:r w:rsidRPr="005352F1">
        <w:t>Interviews with principals</w:t>
      </w:r>
      <w:bookmarkEnd w:id="544"/>
    </w:p>
    <w:p w14:paraId="71D8A1E6" w14:textId="6DD4F491" w:rsidR="00DC4448" w:rsidRPr="005352F1" w:rsidRDefault="00DC4448" w:rsidP="00DC4448">
      <w:pPr>
        <w:spacing w:before="100" w:beforeAutospacing="1" w:after="100" w:afterAutospacing="1"/>
        <w:rPr>
          <w:rFonts w:ascii="Century Gothic" w:eastAsia="Times New Roman" w:hAnsi="Century Gothic" w:cs="Calibri"/>
          <w:sz w:val="20"/>
          <w:szCs w:val="20"/>
        </w:rPr>
      </w:pPr>
      <w:r w:rsidRPr="005352F1">
        <w:rPr>
          <w:rFonts w:ascii="Century Gothic" w:eastAsia="Times New Roman" w:hAnsi="Century Gothic" w:cs="Calibri"/>
          <w:sz w:val="20"/>
          <w:szCs w:val="20"/>
        </w:rPr>
        <w:t xml:space="preserve">December 2016 and January 2017. </w:t>
      </w:r>
      <w:r w:rsidR="00E62900">
        <w:rPr>
          <w:rFonts w:ascii="Century Gothic" w:eastAsia="Times New Roman" w:hAnsi="Century Gothic" w:cs="Calibri"/>
          <w:sz w:val="20"/>
          <w:szCs w:val="20"/>
        </w:rPr>
        <w:t xml:space="preserve"> Thir</w:t>
      </w:r>
      <w:r w:rsidR="00821ADB">
        <w:rPr>
          <w:rFonts w:ascii="Century Gothic" w:eastAsia="Times New Roman" w:hAnsi="Century Gothic" w:cs="Calibri"/>
          <w:sz w:val="20"/>
          <w:szCs w:val="20"/>
        </w:rPr>
        <w:t>ty principals were contacted; 19</w:t>
      </w:r>
      <w:r w:rsidR="00E62900">
        <w:rPr>
          <w:rFonts w:ascii="Century Gothic" w:eastAsia="Times New Roman" w:hAnsi="Century Gothic" w:cs="Calibri"/>
          <w:sz w:val="20"/>
          <w:szCs w:val="20"/>
        </w:rPr>
        <w:t xml:space="preserve"> agreed to respond to these questions. They received the questions by email and contact was by phone- with</w:t>
      </w:r>
      <w:r w:rsidR="00821ADB">
        <w:rPr>
          <w:rFonts w:ascii="Century Gothic" w:eastAsia="Times New Roman" w:hAnsi="Century Gothic" w:cs="Calibri"/>
          <w:sz w:val="20"/>
          <w:szCs w:val="20"/>
        </w:rPr>
        <w:t xml:space="preserve"> four</w:t>
      </w:r>
      <w:r w:rsidR="00E62900">
        <w:rPr>
          <w:rFonts w:ascii="Century Gothic" w:eastAsia="Times New Roman" w:hAnsi="Century Gothic" w:cs="Calibri"/>
          <w:sz w:val="20"/>
          <w:szCs w:val="20"/>
        </w:rPr>
        <w:t xml:space="preserve"> by email.</w:t>
      </w:r>
    </w:p>
    <w:tbl>
      <w:tblPr>
        <w:tblStyle w:val="TableGrid"/>
        <w:tblW w:w="0" w:type="auto"/>
        <w:tblInd w:w="360" w:type="dxa"/>
        <w:tblLook w:val="04A0" w:firstRow="1" w:lastRow="0" w:firstColumn="1" w:lastColumn="0" w:noHBand="0" w:noVBand="1"/>
        <w:tblCaption w:val="Interviews with principals"/>
        <w:tblDescription w:val="This table contains questions asked and a summary of the reponses to each question."/>
      </w:tblPr>
      <w:tblGrid>
        <w:gridCol w:w="13796"/>
      </w:tblGrid>
      <w:tr w:rsidR="00DC4448" w14:paraId="77A98C5C" w14:textId="77777777" w:rsidTr="00301150">
        <w:trPr>
          <w:trHeight w:val="422"/>
          <w:tblHeader/>
        </w:trPr>
        <w:tc>
          <w:tcPr>
            <w:tcW w:w="13796" w:type="dxa"/>
            <w:shd w:val="clear" w:color="auto" w:fill="F2F2F2" w:themeFill="background1" w:themeFillShade="F2"/>
          </w:tcPr>
          <w:p w14:paraId="1EC7F25D"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Are you aware of Australian government priorities such as the Nationally Consistent Collection of Data on Schools Students with a Disability?</w:t>
            </w:r>
          </w:p>
        </w:tc>
      </w:tr>
      <w:tr w:rsidR="00DC4448" w14:paraId="4ACFCD28" w14:textId="77777777" w:rsidTr="00301150">
        <w:tc>
          <w:tcPr>
            <w:tcW w:w="13796" w:type="dxa"/>
          </w:tcPr>
          <w:p w14:paraId="3E7A9690" w14:textId="2CF88416"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No difference evident a</w:t>
            </w:r>
            <w:r w:rsidR="00E939AD">
              <w:rPr>
                <w:rFonts w:ascii="Century Gothic" w:eastAsia="Times New Roman" w:hAnsi="Century Gothic"/>
                <w:sz w:val="20"/>
                <w:szCs w:val="20"/>
              </w:rPr>
              <w:t>mong size of sector or location</w:t>
            </w:r>
          </w:p>
          <w:p w14:paraId="7FEEF6CA" w14:textId="4D411D80"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Not </w:t>
            </w:r>
            <w:r w:rsidR="00E939AD">
              <w:rPr>
                <w:rFonts w:ascii="Century Gothic" w:eastAsia="Times New Roman" w:hAnsi="Century Gothic"/>
                <w:sz w:val="20"/>
                <w:szCs w:val="20"/>
              </w:rPr>
              <w:t>a strong pattern of recognition</w:t>
            </w:r>
          </w:p>
          <w:p w14:paraId="0D7E937B" w14:textId="2A105D6E" w:rsidR="00DC4448" w:rsidRPr="005352F1" w:rsidRDefault="00DC4448" w:rsidP="006A1D2B">
            <w:pPr>
              <w:pStyle w:val="ListParagraph"/>
              <w:numPr>
                <w:ilvl w:val="0"/>
                <w:numId w:val="33"/>
              </w:numPr>
              <w:spacing w:after="120"/>
              <w:rPr>
                <w:rFonts w:ascii="Century Gothic" w:eastAsia="Times New Roman" w:hAnsi="Century Gothic"/>
                <w:i/>
                <w:sz w:val="20"/>
                <w:szCs w:val="20"/>
              </w:rPr>
            </w:pPr>
            <w:r w:rsidRPr="005352F1">
              <w:rPr>
                <w:rFonts w:ascii="Century Gothic" w:eastAsia="Times New Roman" w:hAnsi="Century Gothic"/>
                <w:sz w:val="20"/>
                <w:szCs w:val="20"/>
              </w:rPr>
              <w:t>Most commonly mentioned NAPLAN Aust. Curriculum, Melbourne Declaration, Students with a disabili</w:t>
            </w:r>
            <w:r w:rsidR="00E939AD">
              <w:rPr>
                <w:rFonts w:ascii="Century Gothic" w:eastAsia="Times New Roman" w:hAnsi="Century Gothic"/>
                <w:sz w:val="20"/>
                <w:szCs w:val="20"/>
              </w:rPr>
              <w:t>ty and school improvement plans</w:t>
            </w:r>
          </w:p>
          <w:p w14:paraId="4BEC7EF8" w14:textId="77777777" w:rsidR="00DC4448" w:rsidRPr="005352F1" w:rsidRDefault="00DC4448" w:rsidP="006A1D2B">
            <w:pPr>
              <w:pStyle w:val="ListParagraph"/>
              <w:numPr>
                <w:ilvl w:val="0"/>
                <w:numId w:val="33"/>
              </w:numPr>
              <w:spacing w:after="120"/>
              <w:rPr>
                <w:rFonts w:ascii="Century Gothic" w:eastAsia="Times New Roman" w:hAnsi="Century Gothic"/>
                <w:i/>
                <w:sz w:val="20"/>
                <w:szCs w:val="20"/>
              </w:rPr>
            </w:pPr>
            <w:r w:rsidRPr="005352F1">
              <w:rPr>
                <w:rFonts w:ascii="Century Gothic" w:eastAsia="Times New Roman" w:hAnsi="Century Gothic"/>
                <w:sz w:val="20"/>
                <w:szCs w:val="20"/>
              </w:rPr>
              <w:t xml:space="preserve">Typical answers: </w:t>
            </w:r>
            <w:r w:rsidRPr="005352F1">
              <w:rPr>
                <w:rFonts w:ascii="Century Gothic" w:eastAsia="Times New Roman" w:hAnsi="Century Gothic"/>
                <w:i/>
                <w:sz w:val="20"/>
                <w:szCs w:val="20"/>
              </w:rPr>
              <w:t>Yes- but not specifically aware – we are more driven by where our needs are which is currently accessing the right services for our students individually and collectively; the national priorities are very distant thread to what we think about</w:t>
            </w:r>
            <w:r w:rsidRPr="005352F1">
              <w:rPr>
                <w:rFonts w:ascii="Century Gothic" w:eastAsia="Times New Roman" w:hAnsi="Century Gothic"/>
                <w:sz w:val="20"/>
                <w:szCs w:val="20"/>
              </w:rPr>
              <w:t xml:space="preserve">; </w:t>
            </w:r>
            <w:r w:rsidRPr="005352F1">
              <w:rPr>
                <w:rFonts w:ascii="Century Gothic" w:eastAsia="Times New Roman" w:hAnsi="Century Gothic"/>
                <w:i/>
                <w:sz w:val="20"/>
                <w:szCs w:val="20"/>
              </w:rPr>
              <w:t xml:space="preserve">Yes , but mainly through legislative requirements </w:t>
            </w:r>
          </w:p>
        </w:tc>
      </w:tr>
      <w:tr w:rsidR="00DC4448" w14:paraId="53CD5DFC" w14:textId="77777777" w:rsidTr="00301150">
        <w:tc>
          <w:tcPr>
            <w:tcW w:w="13796" w:type="dxa"/>
            <w:shd w:val="clear" w:color="auto" w:fill="F2F2F2" w:themeFill="background1" w:themeFillShade="F2"/>
          </w:tcPr>
          <w:p w14:paraId="20FE41F0"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Are you aware the NGRB is funded to represent non-government schools and assist them in the implementation of national education policy and priorities?</w:t>
            </w:r>
          </w:p>
          <w:p w14:paraId="553455D3"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Are you aware of the services or programs they supply?</w:t>
            </w:r>
          </w:p>
        </w:tc>
      </w:tr>
      <w:tr w:rsidR="00DC4448" w14:paraId="35BF4BAC" w14:textId="77777777" w:rsidTr="00301150">
        <w:tc>
          <w:tcPr>
            <w:tcW w:w="13796" w:type="dxa"/>
          </w:tcPr>
          <w:p w14:paraId="089B80B0" w14:textId="71D55295"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For those engaged with their NGRB, yes, they very aware because the role of an NGRB, particularly an AIS, is the main interface with governments. For others the awareness of the NGRB services are very much in rela</w:t>
            </w:r>
            <w:r w:rsidR="00E939AD">
              <w:rPr>
                <w:rFonts w:ascii="Century Gothic" w:eastAsia="Times New Roman" w:hAnsi="Century Gothic"/>
                <w:sz w:val="20"/>
                <w:szCs w:val="20"/>
              </w:rPr>
              <w:t>tion to the needs of the school</w:t>
            </w:r>
          </w:p>
          <w:p w14:paraId="50A4A83E" w14:textId="3551601E" w:rsidR="00DC4448" w:rsidRPr="005352F1" w:rsidRDefault="00DC4448" w:rsidP="002C6ABD">
            <w:pPr>
              <w:spacing w:after="120"/>
              <w:rPr>
                <w:rFonts w:ascii="Century Gothic" w:eastAsia="Times New Roman" w:hAnsi="Century Gothic"/>
                <w:i/>
                <w:color w:val="FF0000"/>
                <w:sz w:val="20"/>
                <w:szCs w:val="20"/>
              </w:rPr>
            </w:pPr>
            <w:r w:rsidRPr="005352F1">
              <w:rPr>
                <w:rFonts w:ascii="Century Gothic" w:eastAsia="Times New Roman" w:hAnsi="Century Gothic"/>
                <w:sz w:val="20"/>
                <w:szCs w:val="20"/>
              </w:rPr>
              <w:t>Some typica</w:t>
            </w:r>
            <w:r w:rsidR="00E939AD">
              <w:rPr>
                <w:rFonts w:ascii="Century Gothic" w:eastAsia="Times New Roman" w:hAnsi="Century Gothic"/>
                <w:sz w:val="20"/>
                <w:szCs w:val="20"/>
              </w:rPr>
              <w:t>l responses in metro locations:</w:t>
            </w:r>
          </w:p>
          <w:p w14:paraId="57D7373A" w14:textId="71513D6C" w:rsidR="00DC4448" w:rsidRPr="005352F1" w:rsidRDefault="00DC4448" w:rsidP="006A1D2B">
            <w:pPr>
              <w:pStyle w:val="ListParagraph"/>
              <w:numPr>
                <w:ilvl w:val="0"/>
                <w:numId w:val="29"/>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 their</w:t>
            </w:r>
            <w:r w:rsidR="006D62C6">
              <w:rPr>
                <w:rFonts w:ascii="Century Gothic" w:eastAsia="Times New Roman" w:hAnsi="Century Gothic"/>
                <w:i/>
                <w:sz w:val="20"/>
                <w:szCs w:val="20"/>
              </w:rPr>
              <w:t xml:space="preserve"> role is ‘absolutely invaluable’</w:t>
            </w:r>
            <w:r w:rsidRPr="005352F1">
              <w:rPr>
                <w:rFonts w:ascii="Century Gothic" w:eastAsia="Times New Roman" w:hAnsi="Century Gothic"/>
                <w:i/>
                <w:sz w:val="20"/>
                <w:szCs w:val="20"/>
              </w:rPr>
              <w:t xml:space="preserve"> in progre</w:t>
            </w:r>
            <w:r w:rsidR="00E939AD">
              <w:rPr>
                <w:rFonts w:ascii="Century Gothic" w:eastAsia="Times New Roman" w:hAnsi="Century Gothic"/>
                <w:i/>
                <w:sz w:val="20"/>
                <w:szCs w:val="20"/>
              </w:rPr>
              <w:t>ssing the government priorities</w:t>
            </w:r>
          </w:p>
          <w:p w14:paraId="766E8AB4" w14:textId="01316505" w:rsidR="00DC4448" w:rsidRPr="005352F1" w:rsidRDefault="00DC4448" w:rsidP="006A1D2B">
            <w:pPr>
              <w:pStyle w:val="ListParagraph"/>
              <w:numPr>
                <w:ilvl w:val="0"/>
                <w:numId w:val="29"/>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Schools are too busy at the coal face to be on top of the ‘technical’ issues e.g. disability; translation of AITSL standards to suit the state requirements </w:t>
            </w:r>
            <w:r w:rsidR="00E939AD">
              <w:rPr>
                <w:rFonts w:ascii="Century Gothic" w:eastAsia="Times New Roman" w:hAnsi="Century Gothic"/>
                <w:i/>
                <w:sz w:val="20"/>
                <w:szCs w:val="20"/>
              </w:rPr>
              <w:t>so I depend on them to alert us</w:t>
            </w:r>
          </w:p>
          <w:p w14:paraId="09CC050B" w14:textId="0CCF44F0" w:rsidR="00DC4448" w:rsidRPr="005352F1" w:rsidRDefault="00DC4448" w:rsidP="006A1D2B">
            <w:pPr>
              <w:pStyle w:val="ListParagraph"/>
              <w:numPr>
                <w:ilvl w:val="0"/>
                <w:numId w:val="29"/>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closely engaged, AIS is exceptionally helpful – we also have another head office however they target different things – there</w:t>
            </w:r>
            <w:r w:rsidR="00E939AD">
              <w:rPr>
                <w:rFonts w:ascii="Century Gothic" w:eastAsia="Times New Roman" w:hAnsi="Century Gothic"/>
                <w:i/>
                <w:sz w:val="20"/>
                <w:szCs w:val="20"/>
              </w:rPr>
              <w:t>fore we get the benefit of both</w:t>
            </w:r>
          </w:p>
          <w:p w14:paraId="72EA2ED1" w14:textId="268346EB" w:rsidR="00DC4448" w:rsidRPr="005352F1" w:rsidRDefault="00E939AD" w:rsidP="002C6ABD">
            <w:pPr>
              <w:spacing w:after="120"/>
              <w:rPr>
                <w:rFonts w:ascii="Century Gothic" w:eastAsia="Times New Roman" w:hAnsi="Century Gothic"/>
                <w:sz w:val="20"/>
                <w:szCs w:val="20"/>
              </w:rPr>
            </w:pPr>
            <w:r>
              <w:rPr>
                <w:rFonts w:ascii="Century Gothic" w:eastAsia="Times New Roman" w:hAnsi="Century Gothic"/>
                <w:sz w:val="20"/>
                <w:szCs w:val="20"/>
              </w:rPr>
              <w:t>Typical in regional or rural:</w:t>
            </w:r>
          </w:p>
          <w:p w14:paraId="1D12EE21" w14:textId="77777777" w:rsidR="00DC4448" w:rsidRPr="005352F1" w:rsidRDefault="00DC4448" w:rsidP="006A1D2B">
            <w:pPr>
              <w:pStyle w:val="ListParagraph"/>
              <w:numPr>
                <w:ilvl w:val="0"/>
                <w:numId w:val="32"/>
              </w:numPr>
              <w:spacing w:after="120"/>
              <w:rPr>
                <w:rFonts w:ascii="Century Gothic" w:eastAsia="Times New Roman" w:hAnsi="Century Gothic"/>
                <w:i/>
                <w:sz w:val="20"/>
                <w:szCs w:val="20"/>
              </w:rPr>
            </w:pPr>
            <w:r w:rsidRPr="005352F1">
              <w:rPr>
                <w:rFonts w:ascii="Century Gothic" w:eastAsia="Times New Roman" w:hAnsi="Century Gothic"/>
                <w:i/>
                <w:sz w:val="20"/>
                <w:szCs w:val="20"/>
              </w:rPr>
              <w:t>CEC/CEO mainly offers information and advice on government requirements- IR/EB negotiations; VET rules; tertiary entrance changes; disabilities. They have been very helpful in assisting prepare for registration</w:t>
            </w:r>
          </w:p>
          <w:p w14:paraId="7A463888" w14:textId="77777777" w:rsidR="00DC4448" w:rsidRPr="005352F1" w:rsidRDefault="00DC4448" w:rsidP="006A1D2B">
            <w:pPr>
              <w:pStyle w:val="ListParagraph"/>
              <w:numPr>
                <w:ilvl w:val="0"/>
                <w:numId w:val="32"/>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I’m aware but we don’t really distinguish among sources of funds</w:t>
            </w:r>
          </w:p>
          <w:p w14:paraId="72F3C3B9" w14:textId="0B8F4A1F" w:rsidR="00DC4448" w:rsidRPr="005352F1" w:rsidRDefault="00DC4448" w:rsidP="006A1D2B">
            <w:pPr>
              <w:pStyle w:val="ListParagraph"/>
              <w:numPr>
                <w:ilvl w:val="0"/>
                <w:numId w:val="32"/>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Not really- </w:t>
            </w:r>
            <w:r w:rsidR="002C6ABD">
              <w:rPr>
                <w:rFonts w:ascii="Century Gothic" w:eastAsia="Times New Roman" w:hAnsi="Century Gothic"/>
                <w:i/>
                <w:sz w:val="20"/>
                <w:szCs w:val="20"/>
              </w:rPr>
              <w:t xml:space="preserve">my contact is </w:t>
            </w:r>
            <w:r w:rsidRPr="005352F1">
              <w:rPr>
                <w:rFonts w:ascii="Century Gothic" w:eastAsia="Times New Roman" w:hAnsi="Century Gothic"/>
                <w:i/>
                <w:sz w:val="20"/>
                <w:szCs w:val="20"/>
              </w:rPr>
              <w:t>more in connection wit</w:t>
            </w:r>
            <w:r w:rsidR="00E939AD">
              <w:rPr>
                <w:rFonts w:ascii="Century Gothic" w:eastAsia="Times New Roman" w:hAnsi="Century Gothic"/>
                <w:i/>
                <w:sz w:val="20"/>
                <w:szCs w:val="20"/>
              </w:rPr>
              <w:t>h my area of specific interest.</w:t>
            </w:r>
          </w:p>
          <w:p w14:paraId="0CA875E3" w14:textId="77777777" w:rsidR="00DC4448" w:rsidRPr="005352F1" w:rsidRDefault="00DC4448" w:rsidP="006A1D2B">
            <w:pPr>
              <w:pStyle w:val="ListParagraph"/>
              <w:numPr>
                <w:ilvl w:val="0"/>
                <w:numId w:val="32"/>
              </w:numPr>
              <w:spacing w:after="120"/>
              <w:rPr>
                <w:rFonts w:ascii="Century Gothic" w:eastAsia="Times New Roman" w:hAnsi="Century Gothic"/>
                <w:i/>
                <w:sz w:val="20"/>
                <w:szCs w:val="20"/>
              </w:rPr>
            </w:pPr>
            <w:r w:rsidRPr="005352F1">
              <w:rPr>
                <w:rFonts w:ascii="Century Gothic" w:eastAsia="Times New Roman" w:hAnsi="Century Gothic" w:cs="Arial"/>
                <w:i/>
                <w:sz w:val="20"/>
                <w:szCs w:val="20"/>
              </w:rPr>
              <w:t>The AIS has been extremely helpful in its advice, guidance, and provision of quality programs that have assisted the College.</w:t>
            </w:r>
          </w:p>
        </w:tc>
      </w:tr>
      <w:tr w:rsidR="00DC4448" w14:paraId="190D14B4" w14:textId="77777777" w:rsidTr="00301150">
        <w:tc>
          <w:tcPr>
            <w:tcW w:w="13796" w:type="dxa"/>
            <w:shd w:val="clear" w:color="auto" w:fill="F2F2F2" w:themeFill="background1" w:themeFillShade="F2"/>
          </w:tcPr>
          <w:p w14:paraId="06C6E6E5" w14:textId="7C3CC590"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Have you accessed any</w:t>
            </w:r>
            <w:r w:rsidR="00E939AD">
              <w:rPr>
                <w:rFonts w:ascii="Century Gothic" w:eastAsia="Times New Roman" w:hAnsi="Century Gothic" w:cs="Calibri"/>
                <w:sz w:val="22"/>
                <w:szCs w:val="22"/>
              </w:rPr>
              <w:t xml:space="preserve"> of these services or programs?</w:t>
            </w:r>
          </w:p>
          <w:p w14:paraId="179497C4" w14:textId="1D598391"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What is the nature</w:t>
            </w:r>
            <w:r w:rsidR="00E939AD">
              <w:rPr>
                <w:rFonts w:ascii="Century Gothic" w:eastAsia="Times New Roman" w:hAnsi="Century Gothic" w:cs="Calibri"/>
                <w:sz w:val="22"/>
                <w:szCs w:val="22"/>
              </w:rPr>
              <w:t xml:space="preserve"> of these services or programs?</w:t>
            </w:r>
          </w:p>
          <w:p w14:paraId="3A8EF300"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Does your school pay for these services or programs?</w:t>
            </w:r>
          </w:p>
        </w:tc>
      </w:tr>
      <w:tr w:rsidR="00DC4448" w14:paraId="7E8837FF" w14:textId="77777777" w:rsidTr="00301150">
        <w:tc>
          <w:tcPr>
            <w:tcW w:w="13796" w:type="dxa"/>
          </w:tcPr>
          <w:p w14:paraId="25DFFEBB" w14:textId="3D149BFF"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Interviewees generally indicated there is a high take-up of services and that the nature of them is traditionally advice on system requirements but that has now extended to more school </w:t>
            </w:r>
            <w:r w:rsidR="00E939AD">
              <w:rPr>
                <w:rFonts w:ascii="Century Gothic" w:eastAsia="Times New Roman" w:hAnsi="Century Gothic"/>
                <w:sz w:val="20"/>
                <w:szCs w:val="20"/>
              </w:rPr>
              <w:t>improvement oriented activities</w:t>
            </w:r>
          </w:p>
          <w:p w14:paraId="1D3C0E66" w14:textId="1C35ABC7"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There was a slight difference betw</w:t>
            </w:r>
            <w:r w:rsidR="00E939AD">
              <w:rPr>
                <w:rFonts w:ascii="Century Gothic" w:eastAsia="Times New Roman" w:hAnsi="Century Gothic"/>
                <w:sz w:val="20"/>
                <w:szCs w:val="20"/>
              </w:rPr>
              <w:t>een jurisdiction/ sector sizes.</w:t>
            </w:r>
          </w:p>
          <w:p w14:paraId="240116F4" w14:textId="355394B7"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Smaller – typical comments included </w:t>
            </w:r>
            <w:r w:rsidR="002C6ABD">
              <w:rPr>
                <w:rFonts w:ascii="Century Gothic" w:eastAsia="Times New Roman" w:hAnsi="Century Gothic"/>
                <w:sz w:val="20"/>
                <w:szCs w:val="20"/>
              </w:rPr>
              <w:t>the value and use</w:t>
            </w:r>
            <w:r w:rsidRPr="005352F1">
              <w:rPr>
                <w:rFonts w:ascii="Century Gothic" w:eastAsia="Times New Roman" w:hAnsi="Century Gothic"/>
                <w:sz w:val="20"/>
                <w:szCs w:val="20"/>
              </w:rPr>
              <w:t xml:space="preserve"> </w:t>
            </w:r>
            <w:r w:rsidR="002C6ABD">
              <w:rPr>
                <w:rFonts w:ascii="Century Gothic" w:eastAsia="Times New Roman" w:hAnsi="Century Gothic"/>
                <w:sz w:val="20"/>
                <w:szCs w:val="20"/>
              </w:rPr>
              <w:t xml:space="preserve">of </w:t>
            </w:r>
            <w:r w:rsidR="00E939AD">
              <w:rPr>
                <w:rFonts w:ascii="Century Gothic" w:eastAsia="Times New Roman" w:hAnsi="Century Gothic"/>
                <w:sz w:val="20"/>
                <w:szCs w:val="20"/>
              </w:rPr>
              <w:t>a wide range of services:</w:t>
            </w:r>
          </w:p>
          <w:p w14:paraId="58DA5572" w14:textId="1473352B"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As a principal  I particularly value the networking events; we generally pay; some are a mix of </w:t>
            </w:r>
            <w:r w:rsidR="00E939AD">
              <w:rPr>
                <w:rFonts w:ascii="Century Gothic" w:eastAsia="Times New Roman" w:hAnsi="Century Gothic"/>
                <w:i/>
                <w:sz w:val="20"/>
                <w:szCs w:val="20"/>
              </w:rPr>
              <w:t>user pay and subsidised events</w:t>
            </w:r>
          </w:p>
          <w:p w14:paraId="4B0CE934" w14:textId="17C395E5"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The ones we have engaged in more recently are where more than on teacher is sponsored to be part of a professional development program – such as inclusion support o</w:t>
            </w:r>
            <w:r w:rsidR="00E939AD">
              <w:rPr>
                <w:rFonts w:ascii="Century Gothic" w:eastAsia="Times New Roman" w:hAnsi="Century Gothic"/>
                <w:i/>
                <w:sz w:val="20"/>
                <w:szCs w:val="20"/>
              </w:rPr>
              <w:t>r middle management development</w:t>
            </w:r>
          </w:p>
          <w:p w14:paraId="495B5438" w14:textId="340E0828"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The CEO Services are directive in some ways – they set out what is needed and provide advice on how to develop </w:t>
            </w:r>
            <w:r w:rsidR="002C6ABD">
              <w:rPr>
                <w:rFonts w:ascii="Century Gothic" w:eastAsia="Times New Roman" w:hAnsi="Century Gothic"/>
                <w:i/>
                <w:sz w:val="20"/>
                <w:szCs w:val="20"/>
              </w:rPr>
              <w:t>key ideas and proceed</w:t>
            </w:r>
            <w:r w:rsidRPr="005352F1">
              <w:rPr>
                <w:rFonts w:ascii="Century Gothic" w:eastAsia="Times New Roman" w:hAnsi="Century Gothic"/>
                <w:i/>
                <w:sz w:val="20"/>
                <w:szCs w:val="20"/>
              </w:rPr>
              <w:t xml:space="preserve"> </w:t>
            </w:r>
          </w:p>
          <w:p w14:paraId="4FBACA80" w14:textId="2F1412FA"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 I have regular access to the advisory services provided by AIS c</w:t>
            </w:r>
            <w:r w:rsidR="00E939AD">
              <w:rPr>
                <w:rFonts w:ascii="Century Gothic" w:eastAsia="Times New Roman" w:hAnsi="Century Gothic"/>
                <w:i/>
                <w:sz w:val="20"/>
                <w:szCs w:val="20"/>
              </w:rPr>
              <w:t>onsultants – no cost to schools</w:t>
            </w:r>
          </w:p>
          <w:p w14:paraId="4BF76864" w14:textId="46A4B22A"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Responsive and expert – consultants</w:t>
            </w:r>
            <w:r w:rsidR="00E939AD">
              <w:rPr>
                <w:rFonts w:ascii="Century Gothic" w:eastAsia="Times New Roman" w:hAnsi="Century Gothic"/>
                <w:i/>
                <w:sz w:val="20"/>
                <w:szCs w:val="20"/>
              </w:rPr>
              <w:t xml:space="preserve"> at best are ‘critical friends’</w:t>
            </w:r>
          </w:p>
          <w:p w14:paraId="6D6CA0A3" w14:textId="72CE0ECB" w:rsidR="00DC4448" w:rsidRPr="005352F1" w:rsidRDefault="002C6ABD" w:rsidP="006A1D2B">
            <w:pPr>
              <w:pStyle w:val="ListParagraph"/>
              <w:numPr>
                <w:ilvl w:val="0"/>
                <w:numId w:val="30"/>
              </w:numPr>
              <w:spacing w:after="120"/>
              <w:rPr>
                <w:rFonts w:ascii="Century Gothic" w:eastAsia="Times New Roman" w:hAnsi="Century Gothic"/>
                <w:i/>
                <w:sz w:val="20"/>
                <w:szCs w:val="20"/>
              </w:rPr>
            </w:pPr>
            <w:r>
              <w:rPr>
                <w:rFonts w:ascii="Century Gothic" w:eastAsia="Times New Roman" w:hAnsi="Century Gothic"/>
                <w:i/>
                <w:sz w:val="20"/>
                <w:szCs w:val="20"/>
              </w:rPr>
              <w:t>A leader</w:t>
            </w:r>
            <w:r w:rsidR="00DC4448" w:rsidRPr="005352F1">
              <w:rPr>
                <w:rFonts w:ascii="Century Gothic" w:eastAsia="Times New Roman" w:hAnsi="Century Gothic"/>
                <w:i/>
                <w:sz w:val="20"/>
                <w:szCs w:val="20"/>
              </w:rPr>
              <w:t xml:space="preserve"> these days cannot be across everything so the services are critical for me</w:t>
            </w:r>
            <w:r>
              <w:rPr>
                <w:rFonts w:ascii="Century Gothic" w:eastAsia="Times New Roman" w:hAnsi="Century Gothic"/>
                <w:i/>
                <w:sz w:val="20"/>
                <w:szCs w:val="20"/>
              </w:rPr>
              <w:t>.</w:t>
            </w:r>
          </w:p>
          <w:p w14:paraId="7B5B8506" w14:textId="39E6BA51"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Larger - typical comments implied that there was selective attendance, on the basis that large schools can service their own development n</w:t>
            </w:r>
            <w:r w:rsidR="00E939AD">
              <w:rPr>
                <w:rFonts w:ascii="Century Gothic" w:eastAsia="Times New Roman" w:hAnsi="Century Gothic"/>
                <w:sz w:val="20"/>
                <w:szCs w:val="20"/>
              </w:rPr>
              <w:t>eeds, Typical comments included</w:t>
            </w:r>
          </w:p>
          <w:p w14:paraId="010B221B" w14:textId="5D04C0FF" w:rsidR="00DC4448" w:rsidRPr="005352F1" w:rsidRDefault="00DC4448" w:rsidP="006A1D2B">
            <w:pPr>
              <w:pStyle w:val="ListParagraph"/>
              <w:numPr>
                <w:ilvl w:val="0"/>
                <w:numId w:val="36"/>
              </w:numPr>
              <w:spacing w:after="120"/>
              <w:rPr>
                <w:rFonts w:ascii="Century Gothic" w:eastAsia="Times New Roman" w:hAnsi="Century Gothic"/>
                <w:i/>
                <w:sz w:val="20"/>
                <w:szCs w:val="20"/>
              </w:rPr>
            </w:pPr>
            <w:r w:rsidRPr="005352F1">
              <w:rPr>
                <w:rFonts w:ascii="Century Gothic" w:eastAsia="Times New Roman" w:hAnsi="Century Gothic"/>
                <w:i/>
                <w:sz w:val="20"/>
                <w:szCs w:val="20"/>
              </w:rPr>
              <w:t>They particularly assist with industrial relations, governance and executive issues, cluster meetings with school executive, announcements; they are our voi</w:t>
            </w:r>
            <w:r w:rsidR="00E939AD">
              <w:rPr>
                <w:rFonts w:ascii="Century Gothic" w:eastAsia="Times New Roman" w:hAnsi="Century Gothic"/>
                <w:i/>
                <w:sz w:val="20"/>
                <w:szCs w:val="20"/>
              </w:rPr>
              <w:t>ce for feed -back to government</w:t>
            </w:r>
          </w:p>
          <w:p w14:paraId="23282114" w14:textId="77777777" w:rsidR="00DC4448" w:rsidRPr="005352F1" w:rsidRDefault="00DC4448" w:rsidP="006A1D2B">
            <w:pPr>
              <w:pStyle w:val="ListParagraph"/>
              <w:numPr>
                <w:ilvl w:val="0"/>
                <w:numId w:val="36"/>
              </w:numPr>
              <w:spacing w:after="120"/>
              <w:rPr>
                <w:rFonts w:ascii="Century Gothic" w:eastAsia="Times New Roman" w:hAnsi="Century Gothic"/>
                <w:i/>
                <w:sz w:val="20"/>
                <w:szCs w:val="20"/>
              </w:rPr>
            </w:pPr>
            <w:r w:rsidRPr="005352F1">
              <w:rPr>
                <w:rFonts w:ascii="Century Gothic" w:eastAsia="Times New Roman" w:hAnsi="Century Gothic"/>
                <w:i/>
                <w:sz w:val="20"/>
                <w:szCs w:val="20"/>
              </w:rPr>
              <w:t>Payment for services is a mix of our member fee and costs of teacher relief and AIS pays for materials, some transport cost, and venues</w:t>
            </w:r>
          </w:p>
          <w:p w14:paraId="5589C9BE" w14:textId="77777777" w:rsidR="00DC4448" w:rsidRPr="005352F1" w:rsidRDefault="00DC4448" w:rsidP="006A1D2B">
            <w:pPr>
              <w:pStyle w:val="ListParagraph"/>
              <w:numPr>
                <w:ilvl w:val="0"/>
                <w:numId w:val="36"/>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we access the service; we do not pay but our CEC/CEO mandates attendance so there is a cost for us</w:t>
            </w:r>
          </w:p>
          <w:p w14:paraId="220D5C53" w14:textId="11AFEB5B"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My involvement is more about compliance issues e.g. weekly phone calls on IR; other practices like accessing </w:t>
            </w:r>
            <w:r w:rsidR="002C6ABD">
              <w:rPr>
                <w:rFonts w:ascii="Century Gothic" w:eastAsia="Times New Roman" w:hAnsi="Century Gothic"/>
                <w:i/>
                <w:sz w:val="20"/>
                <w:szCs w:val="20"/>
              </w:rPr>
              <w:t>templates for employment offers</w:t>
            </w:r>
          </w:p>
          <w:p w14:paraId="7BA713CF" w14:textId="6FAE53EC" w:rsidR="005638F6" w:rsidRPr="00E939AD" w:rsidRDefault="00DC4448" w:rsidP="00736123">
            <w:pPr>
              <w:pStyle w:val="ListParagraph"/>
              <w:numPr>
                <w:ilvl w:val="0"/>
                <w:numId w:val="30"/>
              </w:numPr>
              <w:spacing w:after="120"/>
              <w:rPr>
                <w:rFonts w:ascii="Century Gothic" w:eastAsia="Times New Roman" w:hAnsi="Century Gothic"/>
                <w:i/>
                <w:sz w:val="20"/>
                <w:szCs w:val="20"/>
              </w:rPr>
            </w:pPr>
            <w:r w:rsidRPr="00E939AD">
              <w:rPr>
                <w:rFonts w:ascii="Century Gothic" w:eastAsia="Times New Roman" w:hAnsi="Century Gothic" w:cs="Arial"/>
                <w:i/>
                <w:color w:val="222222"/>
                <w:sz w:val="20"/>
                <w:szCs w:val="20"/>
              </w:rPr>
              <w:t>Yes, we are aware. There is frequent correspondence and their website is checked regularly by our staff.</w:t>
            </w:r>
          </w:p>
          <w:p w14:paraId="6C6EBED2" w14:textId="2F9C8F4B"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cs="Arial"/>
                <w:i/>
                <w:color w:val="222222"/>
                <w:sz w:val="20"/>
                <w:szCs w:val="20"/>
              </w:rPr>
              <w:t>The most recent program was fully funded, with grants delivered to schools. We applied, and received a grant that had a positive impact on delivery of education</w:t>
            </w:r>
          </w:p>
          <w:p w14:paraId="6F9B7400" w14:textId="52A3D8BA"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Their regular PD is very well planned and authentic </w:t>
            </w:r>
            <w:r w:rsidR="00C2634B" w:rsidRPr="005352F1">
              <w:rPr>
                <w:rFonts w:ascii="Century Gothic" w:eastAsia="Times New Roman" w:hAnsi="Century Gothic"/>
                <w:i/>
                <w:sz w:val="20"/>
                <w:szCs w:val="20"/>
              </w:rPr>
              <w:t>e.g.</w:t>
            </w:r>
            <w:r w:rsidRPr="005352F1">
              <w:rPr>
                <w:rFonts w:ascii="Century Gothic" w:eastAsia="Times New Roman" w:hAnsi="Century Gothic"/>
                <w:i/>
                <w:sz w:val="20"/>
                <w:szCs w:val="20"/>
              </w:rPr>
              <w:t xml:space="preserve"> principal preparation</w:t>
            </w:r>
            <w:r w:rsidR="00E939AD">
              <w:rPr>
                <w:rFonts w:ascii="Century Gothic" w:eastAsia="Times New Roman" w:hAnsi="Century Gothic"/>
                <w:i/>
                <w:sz w:val="20"/>
                <w:szCs w:val="20"/>
              </w:rPr>
              <w:t xml:space="preserve">; teaching indigenous children </w:t>
            </w:r>
          </w:p>
          <w:p w14:paraId="39BE0BA0" w14:textId="358F32EC"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Also engage in the committees they facilitate </w:t>
            </w:r>
            <w:r w:rsidR="00C2634B" w:rsidRPr="005352F1">
              <w:rPr>
                <w:rFonts w:ascii="Century Gothic" w:eastAsia="Times New Roman" w:hAnsi="Century Gothic"/>
                <w:i/>
                <w:sz w:val="20"/>
                <w:szCs w:val="20"/>
              </w:rPr>
              <w:t>e.g.</w:t>
            </w:r>
            <w:r w:rsidRPr="005352F1">
              <w:rPr>
                <w:rFonts w:ascii="Century Gothic" w:eastAsia="Times New Roman" w:hAnsi="Century Gothic"/>
                <w:i/>
                <w:sz w:val="20"/>
                <w:szCs w:val="20"/>
              </w:rPr>
              <w:t xml:space="preserve"> learning support, marketing, IR – individuals attend and they o</w:t>
            </w:r>
            <w:r w:rsidR="00E939AD">
              <w:rPr>
                <w:rFonts w:ascii="Century Gothic" w:eastAsia="Times New Roman" w:hAnsi="Century Gothic"/>
                <w:i/>
                <w:sz w:val="20"/>
                <w:szCs w:val="20"/>
              </w:rPr>
              <w:t>perate as professional networks</w:t>
            </w:r>
          </w:p>
          <w:p w14:paraId="4970916F" w14:textId="7F6680D6" w:rsidR="00DC4448" w:rsidRPr="005638F6" w:rsidRDefault="00DC4448" w:rsidP="006A1D2B">
            <w:pPr>
              <w:pStyle w:val="ListParagraph"/>
              <w:numPr>
                <w:ilvl w:val="0"/>
                <w:numId w:val="30"/>
              </w:numPr>
              <w:spacing w:after="120"/>
              <w:rPr>
                <w:rFonts w:ascii="Century Gothic" w:eastAsia="Times New Roman" w:hAnsi="Century Gothic"/>
                <w:sz w:val="20"/>
                <w:szCs w:val="20"/>
              </w:rPr>
            </w:pPr>
            <w:r w:rsidRPr="005352F1">
              <w:rPr>
                <w:rFonts w:ascii="Century Gothic" w:eastAsia="Times New Roman" w:hAnsi="Century Gothic"/>
                <w:i/>
                <w:sz w:val="20"/>
                <w:szCs w:val="20"/>
              </w:rPr>
              <w:t>The services are mainly those concerned with compliance- an enormous task to understand requirements and to repor</w:t>
            </w:r>
            <w:r w:rsidR="002C6ABD">
              <w:rPr>
                <w:rFonts w:ascii="Century Gothic" w:eastAsia="Times New Roman" w:hAnsi="Century Gothic"/>
                <w:i/>
                <w:sz w:val="20"/>
                <w:szCs w:val="20"/>
              </w:rPr>
              <w:t>t</w:t>
            </w:r>
            <w:r w:rsidR="005638F6">
              <w:rPr>
                <w:rFonts w:ascii="Century Gothic" w:eastAsia="Times New Roman" w:hAnsi="Century Gothic"/>
                <w:i/>
                <w:sz w:val="20"/>
                <w:szCs w:val="20"/>
              </w:rPr>
              <w:t xml:space="preserve"> </w:t>
            </w:r>
            <w:r w:rsidR="002C6ABD">
              <w:rPr>
                <w:rFonts w:ascii="Century Gothic" w:eastAsia="Times New Roman" w:hAnsi="Century Gothic"/>
                <w:i/>
                <w:sz w:val="20"/>
                <w:szCs w:val="20"/>
              </w:rPr>
              <w:t>accordingly.</w:t>
            </w:r>
          </w:p>
        </w:tc>
      </w:tr>
      <w:tr w:rsidR="00DC4448" w14:paraId="07ECC735" w14:textId="77777777" w:rsidTr="00301150">
        <w:tc>
          <w:tcPr>
            <w:tcW w:w="13796" w:type="dxa"/>
            <w:shd w:val="clear" w:color="auto" w:fill="F2F2F2" w:themeFill="background1" w:themeFillShade="F2"/>
          </w:tcPr>
          <w:p w14:paraId="4AD92853"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How do you receive information about Australian government priorities, policies and reforms- through the NGRB or others sources?</w:t>
            </w:r>
          </w:p>
        </w:tc>
      </w:tr>
      <w:tr w:rsidR="00DC4448" w14:paraId="2348A85D" w14:textId="77777777" w:rsidTr="00301150">
        <w:tc>
          <w:tcPr>
            <w:tcW w:w="13796" w:type="dxa"/>
          </w:tcPr>
          <w:p w14:paraId="21A2E192" w14:textId="3D1F928B"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The above questions indicate that schools access new information through principal meetings; regular bulleti</w:t>
            </w:r>
            <w:r w:rsidR="00E939AD">
              <w:rPr>
                <w:rFonts w:ascii="Century Gothic" w:eastAsia="Times New Roman" w:hAnsi="Century Gothic"/>
                <w:sz w:val="20"/>
                <w:szCs w:val="20"/>
              </w:rPr>
              <w:t>ns and, increasingly web sites.</w:t>
            </w:r>
          </w:p>
          <w:p w14:paraId="00B4630D" w14:textId="311D2131" w:rsidR="00DC4448" w:rsidRPr="005352F1" w:rsidRDefault="00DC4448" w:rsidP="002C6ABD">
            <w:pPr>
              <w:spacing w:after="120"/>
              <w:rPr>
                <w:rFonts w:ascii="Century Gothic" w:hAnsi="Century Gothic"/>
              </w:rPr>
            </w:pPr>
            <w:r w:rsidRPr="005352F1">
              <w:rPr>
                <w:rFonts w:ascii="Century Gothic" w:eastAsia="Times New Roman" w:hAnsi="Century Gothic"/>
                <w:sz w:val="20"/>
                <w:szCs w:val="20"/>
              </w:rPr>
              <w:t xml:space="preserve">Delivery of information from governments to schools is a </w:t>
            </w:r>
            <w:r w:rsidR="00E939AD">
              <w:rPr>
                <w:rFonts w:ascii="Century Gothic" w:eastAsia="Times New Roman" w:hAnsi="Century Gothic"/>
                <w:sz w:val="20"/>
                <w:szCs w:val="20"/>
              </w:rPr>
              <w:t xml:space="preserve">fundamental function of NGRBs. </w:t>
            </w:r>
          </w:p>
        </w:tc>
      </w:tr>
      <w:tr w:rsidR="00DC4448" w14:paraId="28937278" w14:textId="77777777" w:rsidTr="00301150">
        <w:tc>
          <w:tcPr>
            <w:tcW w:w="13796" w:type="dxa"/>
            <w:shd w:val="clear" w:color="auto" w:fill="F2F2F2" w:themeFill="background1" w:themeFillShade="F2"/>
          </w:tcPr>
          <w:p w14:paraId="356FCBEF"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 xml:space="preserve">Q. Are you aware of the Students First Support Fund? </w:t>
            </w:r>
          </w:p>
          <w:p w14:paraId="1CEF4E21"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 xml:space="preserve">Q. Are you aware of the programs and/or services provided by the NGRB under the Student First Support Fund? </w:t>
            </w:r>
          </w:p>
          <w:p w14:paraId="23950FFF"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Are you aware of the role the NGRB (name) plays in the administration and delivery of that fund?</w:t>
            </w:r>
          </w:p>
        </w:tc>
      </w:tr>
      <w:tr w:rsidR="00DC4448" w14:paraId="794E9396" w14:textId="77777777" w:rsidTr="00301150">
        <w:tc>
          <w:tcPr>
            <w:tcW w:w="13796" w:type="dxa"/>
          </w:tcPr>
          <w:p w14:paraId="3B9B2E5A" w14:textId="022E14F0"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There were mixed responses- not so much dependent on size or location- more probably an attitude by the principal. However, large Catholic systems are already active in this space and do not distinguish the so</w:t>
            </w:r>
            <w:r w:rsidR="00E939AD">
              <w:rPr>
                <w:rFonts w:ascii="Century Gothic" w:eastAsia="Times New Roman" w:hAnsi="Century Gothic"/>
                <w:sz w:val="20"/>
                <w:szCs w:val="20"/>
              </w:rPr>
              <w:t>urce of funds.</w:t>
            </w:r>
          </w:p>
          <w:p w14:paraId="4B4DF47B" w14:textId="4BF2D840" w:rsidR="00DC4448" w:rsidRPr="005638F6"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Some </w:t>
            </w:r>
            <w:r w:rsidR="00E939AD">
              <w:rPr>
                <w:rFonts w:ascii="Century Gothic" w:eastAsia="Times New Roman" w:hAnsi="Century Gothic"/>
                <w:sz w:val="20"/>
                <w:szCs w:val="20"/>
              </w:rPr>
              <w:t>typical comments:</w:t>
            </w:r>
          </w:p>
          <w:p w14:paraId="08A8FEF5" w14:textId="04588234" w:rsidR="00DC4448" w:rsidRPr="005352F1" w:rsidRDefault="00E939AD" w:rsidP="002C6ABD">
            <w:pPr>
              <w:spacing w:after="120"/>
              <w:rPr>
                <w:rFonts w:ascii="Century Gothic" w:eastAsia="Times New Roman" w:hAnsi="Century Gothic"/>
                <w:sz w:val="20"/>
                <w:szCs w:val="20"/>
              </w:rPr>
            </w:pPr>
            <w:r>
              <w:rPr>
                <w:rFonts w:ascii="Century Gothic" w:eastAsia="Times New Roman" w:hAnsi="Century Gothic"/>
                <w:sz w:val="20"/>
                <w:szCs w:val="20"/>
              </w:rPr>
              <w:t>Positive and knowledgeable</w:t>
            </w:r>
          </w:p>
          <w:p w14:paraId="5649C289" w14:textId="2C68A43D"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very aware; greater access to many programs e.g. literacy a</w:t>
            </w:r>
            <w:r w:rsidR="002C6ABD">
              <w:rPr>
                <w:rFonts w:ascii="Century Gothic" w:eastAsia="Times New Roman" w:hAnsi="Century Gothic"/>
                <w:i/>
                <w:sz w:val="20"/>
                <w:szCs w:val="20"/>
              </w:rPr>
              <w:t>nd numeracy and learning styles</w:t>
            </w:r>
          </w:p>
          <w:p w14:paraId="66B8F130" w14:textId="618F7C74"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and we have been significant recipients since 2014 in th</w:t>
            </w:r>
            <w:r w:rsidR="006D62C6">
              <w:rPr>
                <w:rFonts w:ascii="Century Gothic" w:eastAsia="Times New Roman" w:hAnsi="Century Gothic"/>
                <w:i/>
                <w:sz w:val="20"/>
                <w:szCs w:val="20"/>
              </w:rPr>
              <w:t>e school improvement initiative</w:t>
            </w:r>
            <w:r w:rsidRPr="005352F1">
              <w:rPr>
                <w:rFonts w:ascii="Century Gothic" w:eastAsia="Times New Roman" w:hAnsi="Century Gothic"/>
                <w:i/>
                <w:sz w:val="20"/>
                <w:szCs w:val="20"/>
              </w:rPr>
              <w:t xml:space="preserve"> and 3 other programs for mentoring and languages</w:t>
            </w:r>
          </w:p>
          <w:p w14:paraId="197C8719" w14:textId="7FD25A6D" w:rsidR="002C6ABD"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The main programs that have been hugely s</w:t>
            </w:r>
            <w:r w:rsidR="002C6ABD">
              <w:rPr>
                <w:rFonts w:ascii="Century Gothic" w:eastAsia="Times New Roman" w:hAnsi="Century Gothic"/>
                <w:i/>
                <w:sz w:val="20"/>
                <w:szCs w:val="20"/>
              </w:rPr>
              <w:t>uccessful for us have been the train the trainer model (</w:t>
            </w:r>
            <w:r w:rsidRPr="005352F1">
              <w:rPr>
                <w:rFonts w:ascii="Century Gothic" w:eastAsia="Times New Roman" w:hAnsi="Century Gothic"/>
                <w:i/>
                <w:sz w:val="20"/>
                <w:szCs w:val="20"/>
              </w:rPr>
              <w:t xml:space="preserve">as in literacy and numeracy coaching) - key </w:t>
            </w:r>
            <w:r w:rsidR="002C6ABD">
              <w:rPr>
                <w:rFonts w:ascii="Century Gothic" w:eastAsia="Times New Roman" w:hAnsi="Century Gothic"/>
                <w:i/>
                <w:sz w:val="20"/>
                <w:szCs w:val="20"/>
              </w:rPr>
              <w:t xml:space="preserve">staff </w:t>
            </w:r>
            <w:r w:rsidRPr="005352F1">
              <w:rPr>
                <w:rFonts w:ascii="Century Gothic" w:eastAsia="Times New Roman" w:hAnsi="Century Gothic"/>
                <w:i/>
                <w:sz w:val="20"/>
                <w:szCs w:val="20"/>
              </w:rPr>
              <w:t>attend and then coach and mentor o</w:t>
            </w:r>
            <w:r w:rsidR="006D62C6">
              <w:rPr>
                <w:rFonts w:ascii="Century Gothic" w:eastAsia="Times New Roman" w:hAnsi="Century Gothic"/>
                <w:i/>
                <w:sz w:val="20"/>
                <w:szCs w:val="20"/>
              </w:rPr>
              <w:t xml:space="preserve">thers – this has been a unique </w:t>
            </w:r>
            <w:r w:rsidRPr="005352F1">
              <w:rPr>
                <w:rFonts w:ascii="Century Gothic" w:eastAsia="Times New Roman" w:hAnsi="Century Gothic"/>
                <w:i/>
                <w:sz w:val="20"/>
                <w:szCs w:val="20"/>
              </w:rPr>
              <w:t>opportuni</w:t>
            </w:r>
            <w:r w:rsidR="002C6ABD">
              <w:rPr>
                <w:rFonts w:ascii="Century Gothic" w:eastAsia="Times New Roman" w:hAnsi="Century Gothic"/>
                <w:i/>
                <w:sz w:val="20"/>
                <w:szCs w:val="20"/>
              </w:rPr>
              <w:t>ty This has really snowballed</w:t>
            </w:r>
          </w:p>
          <w:p w14:paraId="60099C19" w14:textId="3D3707C3" w:rsidR="00DC4448" w:rsidRPr="005352F1" w:rsidRDefault="002C6ABD" w:rsidP="006A1D2B">
            <w:pPr>
              <w:pStyle w:val="ListParagraph"/>
              <w:numPr>
                <w:ilvl w:val="0"/>
                <w:numId w:val="30"/>
              </w:numPr>
              <w:spacing w:after="120"/>
              <w:rPr>
                <w:rFonts w:ascii="Century Gothic" w:eastAsia="Times New Roman" w:hAnsi="Century Gothic"/>
                <w:i/>
                <w:sz w:val="20"/>
                <w:szCs w:val="20"/>
              </w:rPr>
            </w:pPr>
            <w:r>
              <w:rPr>
                <w:rFonts w:ascii="Century Gothic" w:eastAsia="Times New Roman" w:hAnsi="Century Gothic"/>
                <w:i/>
                <w:sz w:val="20"/>
                <w:szCs w:val="20"/>
              </w:rPr>
              <w:t>T</w:t>
            </w:r>
            <w:r w:rsidR="00DC4448" w:rsidRPr="005352F1">
              <w:rPr>
                <w:rFonts w:ascii="Century Gothic" w:eastAsia="Times New Roman" w:hAnsi="Century Gothic"/>
                <w:i/>
                <w:sz w:val="20"/>
                <w:szCs w:val="20"/>
              </w:rPr>
              <w:t xml:space="preserve">eachers working with other teachers </w:t>
            </w:r>
            <w:r>
              <w:rPr>
                <w:rFonts w:ascii="Century Gothic" w:eastAsia="Times New Roman" w:hAnsi="Century Gothic"/>
                <w:i/>
                <w:sz w:val="20"/>
                <w:szCs w:val="20"/>
              </w:rPr>
              <w:t xml:space="preserve">is vital </w:t>
            </w:r>
            <w:r w:rsidR="00DC4448" w:rsidRPr="005352F1">
              <w:rPr>
                <w:rFonts w:ascii="Century Gothic" w:eastAsia="Times New Roman" w:hAnsi="Century Gothic"/>
                <w:i/>
                <w:sz w:val="20"/>
                <w:szCs w:val="20"/>
              </w:rPr>
              <w:t>and this continue</w:t>
            </w:r>
            <w:r>
              <w:rPr>
                <w:rFonts w:ascii="Century Gothic" w:eastAsia="Times New Roman" w:hAnsi="Century Gothic"/>
                <w:i/>
                <w:sz w:val="20"/>
                <w:szCs w:val="20"/>
              </w:rPr>
              <w:t>s to develop and have an impact</w:t>
            </w:r>
          </w:p>
          <w:p w14:paraId="6BB646DE" w14:textId="396F3ABF"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Online learning programs have been important - big thing for our teachers really valuing and using </w:t>
            </w:r>
            <w:r w:rsidR="002C6ABD">
              <w:rPr>
                <w:rFonts w:ascii="Century Gothic" w:eastAsia="Times New Roman" w:hAnsi="Century Gothic"/>
                <w:i/>
                <w:sz w:val="20"/>
                <w:szCs w:val="20"/>
              </w:rPr>
              <w:t>the ‘connect and learn modules’</w:t>
            </w:r>
          </w:p>
          <w:p w14:paraId="4AC9A00B" w14:textId="121D99E7" w:rsidR="00DC4448" w:rsidRPr="005352F1" w:rsidRDefault="00DC4448" w:rsidP="006A1D2B">
            <w:pPr>
              <w:pStyle w:val="ListParagraph"/>
              <w:numPr>
                <w:ilvl w:val="0"/>
                <w:numId w:val="30"/>
              </w:numPr>
              <w:spacing w:after="120"/>
              <w:rPr>
                <w:rFonts w:ascii="Century Gothic" w:eastAsia="Times New Roman" w:hAnsi="Century Gothic"/>
                <w:i/>
                <w:szCs w:val="22"/>
              </w:rPr>
            </w:pPr>
            <w:r w:rsidRPr="005352F1">
              <w:rPr>
                <w:rFonts w:ascii="Century Gothic" w:eastAsia="Times New Roman" w:hAnsi="Century Gothic"/>
                <w:i/>
                <w:sz w:val="20"/>
                <w:szCs w:val="20"/>
              </w:rPr>
              <w:t>Yes, we are aware mainly because we receive around $20,000 from the fund for our teacher quali</w:t>
            </w:r>
            <w:r w:rsidR="00E939AD">
              <w:rPr>
                <w:rFonts w:ascii="Century Gothic" w:eastAsia="Times New Roman" w:hAnsi="Century Gothic"/>
                <w:i/>
                <w:sz w:val="20"/>
                <w:szCs w:val="20"/>
              </w:rPr>
              <w:t>ty/ peer reflection initiatives</w:t>
            </w:r>
          </w:p>
          <w:p w14:paraId="340DA754" w14:textId="7850E377" w:rsidR="00DC4448" w:rsidRPr="005352F1" w:rsidRDefault="00E939AD" w:rsidP="002C6ABD">
            <w:pPr>
              <w:spacing w:after="120"/>
              <w:rPr>
                <w:rFonts w:ascii="Century Gothic" w:eastAsia="Times New Roman" w:hAnsi="Century Gothic"/>
                <w:sz w:val="20"/>
                <w:szCs w:val="20"/>
              </w:rPr>
            </w:pPr>
            <w:r>
              <w:rPr>
                <w:rFonts w:ascii="Century Gothic" w:eastAsia="Times New Roman" w:hAnsi="Century Gothic"/>
                <w:sz w:val="20"/>
                <w:szCs w:val="20"/>
              </w:rPr>
              <w:t>Not aware</w:t>
            </w:r>
          </w:p>
          <w:p w14:paraId="0AD9197C" w14:textId="3C2AE3E8" w:rsidR="00DC4448" w:rsidRPr="005352F1" w:rsidRDefault="00DC4448" w:rsidP="006A1D2B">
            <w:pPr>
              <w:pStyle w:val="ListParagraph"/>
              <w:numPr>
                <w:ilvl w:val="0"/>
                <w:numId w:val="30"/>
              </w:numPr>
              <w:spacing w:after="120"/>
              <w:rPr>
                <w:rFonts w:ascii="Century Gothic" w:eastAsia="Times New Roman" w:hAnsi="Century Gothic"/>
                <w:sz w:val="20"/>
                <w:szCs w:val="20"/>
              </w:rPr>
            </w:pPr>
            <w:r w:rsidRPr="005352F1">
              <w:rPr>
                <w:rFonts w:ascii="Century Gothic" w:eastAsia="Times New Roman" w:hAnsi="Century Gothic"/>
                <w:i/>
                <w:sz w:val="20"/>
                <w:szCs w:val="20"/>
              </w:rPr>
              <w:t>Not especially; School improvement is not a service I use; we are a mature school</w:t>
            </w:r>
            <w:r w:rsidR="006D62C6">
              <w:rPr>
                <w:rFonts w:ascii="Century Gothic" w:eastAsia="Times New Roman" w:hAnsi="Century Gothic"/>
                <w:i/>
                <w:sz w:val="20"/>
                <w:szCs w:val="20"/>
              </w:rPr>
              <w:t>s and an experienced principal (</w:t>
            </w:r>
            <w:r w:rsidRPr="005352F1">
              <w:rPr>
                <w:rFonts w:ascii="Century Gothic" w:eastAsia="Times New Roman" w:hAnsi="Century Gothic"/>
                <w:i/>
                <w:sz w:val="20"/>
                <w:szCs w:val="20"/>
              </w:rPr>
              <w:t>should) have no need of generalised advice</w:t>
            </w:r>
          </w:p>
          <w:p w14:paraId="45B366F7" w14:textId="77777777"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cs="Arial"/>
                <w:i/>
                <w:sz w:val="20"/>
                <w:szCs w:val="20"/>
              </w:rPr>
              <w:t>The Students First Support Fund is not a familiar term, but it is our understanding that this fund was the basis for programs we have accessed</w:t>
            </w:r>
          </w:p>
          <w:p w14:paraId="50C038C4" w14:textId="696A53C0" w:rsidR="00DC4448" w:rsidRPr="002C6ABD"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cs="Arial"/>
                <w:i/>
                <w:sz w:val="20"/>
                <w:szCs w:val="20"/>
              </w:rPr>
              <w:t xml:space="preserve">Not by name – I don’t look for where the funding originates  </w:t>
            </w:r>
          </w:p>
        </w:tc>
      </w:tr>
      <w:tr w:rsidR="00DC4448" w14:paraId="5610C039" w14:textId="77777777" w:rsidTr="00301150">
        <w:tc>
          <w:tcPr>
            <w:tcW w:w="13796" w:type="dxa"/>
            <w:shd w:val="clear" w:color="auto" w:fill="F2F2F2" w:themeFill="background1" w:themeFillShade="F2"/>
          </w:tcPr>
          <w:p w14:paraId="5680E045" w14:textId="5C97C73C"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If you have accessed any services pr</w:t>
            </w:r>
            <w:r w:rsidR="002C6ABD">
              <w:rPr>
                <w:rFonts w:ascii="Century Gothic" w:eastAsia="Times New Roman" w:hAnsi="Century Gothic" w:cs="Calibri"/>
                <w:sz w:val="22"/>
                <w:szCs w:val="22"/>
              </w:rPr>
              <w:t>ovided or auspiced by the NGRB</w:t>
            </w:r>
            <w:r w:rsidRPr="005352F1">
              <w:rPr>
                <w:rFonts w:ascii="Century Gothic" w:eastAsia="Times New Roman" w:hAnsi="Century Gothic" w:cs="Calibri"/>
                <w:sz w:val="22"/>
                <w:szCs w:val="22"/>
              </w:rPr>
              <w:t>; what has been most valuable for you?  Why?  What has been least valuable for you? Why?</w:t>
            </w:r>
          </w:p>
          <w:p w14:paraId="29289DCB"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Were those services supported or funded through the SFSF to your knowledge? Have these programs and/or services been identified as funded by the Commonwealth under the Student First Support Fund?</w:t>
            </w:r>
          </w:p>
          <w:p w14:paraId="163A4FB6" w14:textId="0729DD5B" w:rsidR="00DC4448" w:rsidRPr="005352F1" w:rsidRDefault="005638F6" w:rsidP="002C6ABD">
            <w:pPr>
              <w:spacing w:before="100" w:beforeAutospacing="1" w:after="100" w:afterAutospacing="1"/>
              <w:ind w:left="360"/>
              <w:rPr>
                <w:rFonts w:ascii="Century Gothic" w:eastAsia="Times New Roman" w:hAnsi="Century Gothic" w:cs="Calibri"/>
                <w:sz w:val="22"/>
                <w:szCs w:val="22"/>
              </w:rPr>
            </w:pPr>
            <w:r>
              <w:rPr>
                <w:rFonts w:ascii="Century Gothic" w:eastAsia="Times New Roman" w:hAnsi="Century Gothic" w:cs="Calibri"/>
                <w:sz w:val="22"/>
                <w:szCs w:val="22"/>
              </w:rPr>
              <w:t xml:space="preserve">Q. </w:t>
            </w:r>
            <w:r w:rsidR="00DC4448" w:rsidRPr="005352F1">
              <w:rPr>
                <w:rFonts w:ascii="Century Gothic" w:eastAsia="Times New Roman" w:hAnsi="Century Gothic" w:cs="Calibri"/>
                <w:sz w:val="22"/>
                <w:szCs w:val="22"/>
              </w:rPr>
              <w:t xml:space="preserve"> If you do not access these services why not?</w:t>
            </w:r>
          </w:p>
        </w:tc>
      </w:tr>
      <w:tr w:rsidR="00DC4448" w14:paraId="774D0E63" w14:textId="77777777" w:rsidTr="00301150">
        <w:tc>
          <w:tcPr>
            <w:tcW w:w="13796" w:type="dxa"/>
          </w:tcPr>
          <w:p w14:paraId="5BAB3301" w14:textId="75BF0A1C"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Principals are very articulate about what they see as the most valuable support – and it is a consistent story about school centeredness and being r</w:t>
            </w:r>
            <w:r w:rsidR="00E939AD">
              <w:rPr>
                <w:rFonts w:ascii="Century Gothic" w:eastAsia="Times New Roman" w:hAnsi="Century Gothic"/>
                <w:sz w:val="20"/>
                <w:szCs w:val="20"/>
              </w:rPr>
              <w:t>esponsive to particular needs.</w:t>
            </w:r>
          </w:p>
          <w:p w14:paraId="51D0A792" w14:textId="625BADD0"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Typical comm</w:t>
            </w:r>
            <w:r w:rsidR="00E939AD">
              <w:rPr>
                <w:rFonts w:ascii="Century Gothic" w:eastAsia="Times New Roman" w:hAnsi="Century Gothic"/>
                <w:sz w:val="20"/>
                <w:szCs w:val="20"/>
              </w:rPr>
              <w:t>ents in as small system/ sector</w:t>
            </w:r>
          </w:p>
          <w:p w14:paraId="4CB96FB1" w14:textId="22EE0592" w:rsidR="00DC4448" w:rsidRPr="005352F1" w:rsidRDefault="00DC4448" w:rsidP="006A1D2B">
            <w:pPr>
              <w:pStyle w:val="ListParagraph"/>
              <w:numPr>
                <w:ilvl w:val="0"/>
                <w:numId w:val="28"/>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the SFSF has made a real difference in enabling ease of access to support; in the past it was too complex; now there are prior</w:t>
            </w:r>
            <w:r w:rsidR="00E939AD">
              <w:rPr>
                <w:rFonts w:ascii="Century Gothic" w:eastAsia="Times New Roman" w:hAnsi="Century Gothic"/>
                <w:i/>
                <w:sz w:val="20"/>
                <w:szCs w:val="20"/>
              </w:rPr>
              <w:t>ities and programs to tap into</w:t>
            </w:r>
          </w:p>
          <w:p w14:paraId="00FEC979" w14:textId="77777777" w:rsidR="00DC4448" w:rsidRPr="005352F1" w:rsidRDefault="00DC4448" w:rsidP="006A1D2B">
            <w:pPr>
              <w:pStyle w:val="ListParagraph"/>
              <w:numPr>
                <w:ilvl w:val="0"/>
                <w:numId w:val="28"/>
              </w:numPr>
              <w:spacing w:after="120"/>
              <w:rPr>
                <w:rFonts w:ascii="Century Gothic" w:eastAsia="Times New Roman" w:hAnsi="Century Gothic"/>
                <w:i/>
                <w:sz w:val="20"/>
                <w:szCs w:val="20"/>
              </w:rPr>
            </w:pPr>
            <w:r w:rsidRPr="005352F1">
              <w:rPr>
                <w:rFonts w:ascii="Century Gothic" w:hAnsi="Century Gothic" w:cs="Calibri"/>
                <w:i/>
                <w:iCs/>
                <w:sz w:val="20"/>
                <w:szCs w:val="20"/>
              </w:rPr>
              <w:t>Consultation and support around compliance – in the form of curriculum and policy in particular have been extremely valuable.</w:t>
            </w:r>
          </w:p>
          <w:p w14:paraId="4983D736" w14:textId="77777777" w:rsidR="00DC4448" w:rsidRPr="005352F1" w:rsidRDefault="00DC4448" w:rsidP="006A1D2B">
            <w:pPr>
              <w:pStyle w:val="ListParagraph"/>
              <w:numPr>
                <w:ilvl w:val="0"/>
                <w:numId w:val="28"/>
              </w:numPr>
              <w:spacing w:after="120"/>
              <w:rPr>
                <w:rFonts w:ascii="Century Gothic" w:eastAsia="Times New Roman" w:hAnsi="Century Gothic"/>
                <w:i/>
                <w:sz w:val="20"/>
                <w:szCs w:val="20"/>
              </w:rPr>
            </w:pPr>
            <w:r w:rsidRPr="005352F1">
              <w:rPr>
                <w:rFonts w:ascii="Century Gothic" w:hAnsi="Century Gothic" w:cs="Calibri"/>
                <w:i/>
                <w:iCs/>
                <w:sz w:val="20"/>
                <w:szCs w:val="20"/>
              </w:rPr>
              <w:t>The most valuable services provided are by AIS consultants who understand our needs and context.</w:t>
            </w:r>
          </w:p>
          <w:p w14:paraId="61E40B8E" w14:textId="77777777" w:rsidR="00DC4448" w:rsidRPr="005352F1" w:rsidRDefault="00DC4448" w:rsidP="006A1D2B">
            <w:pPr>
              <w:pStyle w:val="ListParagraph"/>
              <w:numPr>
                <w:ilvl w:val="0"/>
                <w:numId w:val="28"/>
              </w:numPr>
              <w:spacing w:after="120"/>
              <w:rPr>
                <w:rFonts w:ascii="Century Gothic" w:eastAsia="Times New Roman" w:hAnsi="Century Gothic"/>
                <w:i/>
                <w:sz w:val="20"/>
                <w:szCs w:val="20"/>
              </w:rPr>
            </w:pPr>
            <w:r w:rsidRPr="005352F1">
              <w:rPr>
                <w:rFonts w:ascii="Century Gothic" w:hAnsi="Century Gothic" w:cs="Calibri"/>
                <w:i/>
                <w:iCs/>
                <w:sz w:val="20"/>
                <w:szCs w:val="20"/>
              </w:rPr>
              <w:t>We find in general that workshops aimed at larger groups and a variety of schools are less valuable as every school is on a different path and at a different stage.</w:t>
            </w:r>
          </w:p>
          <w:p w14:paraId="049C4332" w14:textId="6C61DE5F" w:rsidR="00DC4448" w:rsidRPr="005352F1" w:rsidRDefault="002C6ABD" w:rsidP="006A1D2B">
            <w:pPr>
              <w:pStyle w:val="ListParagraph"/>
              <w:numPr>
                <w:ilvl w:val="0"/>
                <w:numId w:val="28"/>
              </w:numPr>
              <w:spacing w:after="120"/>
              <w:rPr>
                <w:rFonts w:ascii="Century Gothic" w:eastAsia="Times New Roman" w:hAnsi="Century Gothic"/>
                <w:i/>
                <w:sz w:val="20"/>
                <w:szCs w:val="20"/>
              </w:rPr>
            </w:pPr>
            <w:r>
              <w:rPr>
                <w:rFonts w:ascii="Century Gothic" w:eastAsia="Times New Roman" w:hAnsi="Century Gothic"/>
                <w:i/>
                <w:sz w:val="20"/>
                <w:szCs w:val="20"/>
              </w:rPr>
              <w:t>T</w:t>
            </w:r>
            <w:r w:rsidR="00DC4448" w:rsidRPr="005352F1">
              <w:rPr>
                <w:rFonts w:ascii="Century Gothic" w:eastAsia="Times New Roman" w:hAnsi="Century Gothic"/>
                <w:i/>
                <w:sz w:val="20"/>
                <w:szCs w:val="20"/>
              </w:rPr>
              <w:t>he most valuable are on what the school sees as priorities</w:t>
            </w:r>
          </w:p>
          <w:p w14:paraId="79CA8B42" w14:textId="66D6B569" w:rsidR="00DC4448" w:rsidRPr="005352F1" w:rsidRDefault="00E939AD" w:rsidP="002C6ABD">
            <w:pPr>
              <w:spacing w:after="120"/>
              <w:rPr>
                <w:rFonts w:ascii="Century Gothic" w:eastAsia="Times New Roman" w:hAnsi="Century Gothic"/>
                <w:sz w:val="20"/>
                <w:szCs w:val="20"/>
              </w:rPr>
            </w:pPr>
            <w:r>
              <w:rPr>
                <w:rFonts w:ascii="Century Gothic" w:eastAsia="Times New Roman" w:hAnsi="Century Gothic"/>
                <w:sz w:val="20"/>
                <w:szCs w:val="20"/>
              </w:rPr>
              <w:t>Larger system comments</w:t>
            </w:r>
          </w:p>
          <w:p w14:paraId="7C0D65E8" w14:textId="10FF326D" w:rsidR="002C6ABD" w:rsidRDefault="00DC4448" w:rsidP="006A1D2B">
            <w:pPr>
              <w:pStyle w:val="ListParagraph"/>
              <w:numPr>
                <w:ilvl w:val="0"/>
                <w:numId w:val="34"/>
              </w:numPr>
              <w:spacing w:after="120"/>
              <w:rPr>
                <w:rFonts w:ascii="Century Gothic" w:eastAsia="Times New Roman" w:hAnsi="Century Gothic"/>
                <w:i/>
                <w:sz w:val="20"/>
                <w:szCs w:val="20"/>
              </w:rPr>
            </w:pPr>
            <w:r w:rsidRPr="005352F1">
              <w:rPr>
                <w:rFonts w:ascii="Century Gothic" w:eastAsia="Times New Roman" w:hAnsi="Century Gothic"/>
                <w:i/>
                <w:sz w:val="20"/>
                <w:szCs w:val="20"/>
              </w:rPr>
              <w:t>AIS targets very well – they continuously look for feedback, ask if something is missing – not just pr</w:t>
            </w:r>
            <w:r w:rsidR="002C6ABD">
              <w:rPr>
                <w:rFonts w:ascii="Century Gothic" w:eastAsia="Times New Roman" w:hAnsi="Century Gothic"/>
                <w:i/>
                <w:sz w:val="20"/>
                <w:szCs w:val="20"/>
              </w:rPr>
              <w:t>esent what they think we need</w:t>
            </w:r>
          </w:p>
          <w:p w14:paraId="6A4D68B9" w14:textId="290B7E2D" w:rsidR="00DC4448" w:rsidRPr="005352F1" w:rsidRDefault="00DC4448" w:rsidP="006A1D2B">
            <w:pPr>
              <w:pStyle w:val="ListParagraph"/>
              <w:numPr>
                <w:ilvl w:val="0"/>
                <w:numId w:val="34"/>
              </w:numPr>
              <w:spacing w:after="120"/>
              <w:rPr>
                <w:rFonts w:ascii="Century Gothic" w:eastAsia="Times New Roman" w:hAnsi="Century Gothic"/>
                <w:i/>
                <w:sz w:val="20"/>
                <w:szCs w:val="20"/>
              </w:rPr>
            </w:pPr>
            <w:r w:rsidRPr="005352F1">
              <w:rPr>
                <w:rFonts w:ascii="Century Gothic" w:eastAsia="Times New Roman" w:hAnsi="Century Gothic"/>
                <w:i/>
                <w:sz w:val="20"/>
                <w:szCs w:val="20"/>
              </w:rPr>
              <w:t>Very consultative and responsive; nothing has been of no value</w:t>
            </w:r>
          </w:p>
          <w:p w14:paraId="36B763E3" w14:textId="7E548160" w:rsidR="00DC4448" w:rsidRPr="005352F1" w:rsidRDefault="00DC4448" w:rsidP="006A1D2B">
            <w:pPr>
              <w:pStyle w:val="ListParagraph"/>
              <w:numPr>
                <w:ilvl w:val="0"/>
                <w:numId w:val="34"/>
              </w:numPr>
              <w:spacing w:after="120"/>
              <w:rPr>
                <w:rFonts w:ascii="Century Gothic" w:eastAsia="Times New Roman" w:hAnsi="Century Gothic"/>
                <w:i/>
                <w:sz w:val="20"/>
                <w:szCs w:val="20"/>
              </w:rPr>
            </w:pPr>
            <w:r w:rsidRPr="005352F1">
              <w:rPr>
                <w:rFonts w:ascii="Century Gothic" w:eastAsia="Times New Roman" w:hAnsi="Century Gothic"/>
                <w:i/>
                <w:sz w:val="20"/>
                <w:szCs w:val="20"/>
              </w:rPr>
              <w:t>Some of the reforms they have assisted with are –revaluating school structures, differentiation in mathematics teaching; consistency</w:t>
            </w:r>
            <w:r w:rsidR="002C6ABD">
              <w:rPr>
                <w:rFonts w:ascii="Century Gothic" w:eastAsia="Times New Roman" w:hAnsi="Century Gothic"/>
                <w:i/>
                <w:sz w:val="20"/>
                <w:szCs w:val="20"/>
              </w:rPr>
              <w:t xml:space="preserve"> in teaching across the school</w:t>
            </w:r>
          </w:p>
          <w:p w14:paraId="347FDDC6" w14:textId="55C4FDCE" w:rsidR="00DC4448" w:rsidRPr="005352F1" w:rsidRDefault="00DC4448" w:rsidP="006A1D2B">
            <w:pPr>
              <w:pStyle w:val="ListParagraph"/>
              <w:numPr>
                <w:ilvl w:val="0"/>
                <w:numId w:val="34"/>
              </w:numPr>
              <w:spacing w:after="120"/>
              <w:rPr>
                <w:rFonts w:ascii="Century Gothic" w:eastAsia="Times New Roman" w:hAnsi="Century Gothic"/>
                <w:sz w:val="20"/>
                <w:szCs w:val="20"/>
              </w:rPr>
            </w:pPr>
            <w:r w:rsidRPr="005352F1">
              <w:rPr>
                <w:rFonts w:ascii="Century Gothic" w:eastAsia="Times New Roman" w:hAnsi="Century Gothic"/>
                <w:i/>
                <w:sz w:val="20"/>
                <w:szCs w:val="20"/>
              </w:rPr>
              <w:t>Without this funding we would have struggled to move our mindsets into more engaging and collaborative</w:t>
            </w:r>
            <w:r>
              <w:rPr>
                <w:rFonts w:ascii="Century Gothic" w:eastAsia="Times New Roman" w:hAnsi="Century Gothic"/>
                <w:i/>
                <w:sz w:val="20"/>
                <w:szCs w:val="20"/>
              </w:rPr>
              <w:t xml:space="preserve"> ways of teaching and learning </w:t>
            </w:r>
            <w:r w:rsidRPr="005352F1">
              <w:rPr>
                <w:rFonts w:ascii="Century Gothic" w:eastAsia="Times New Roman" w:hAnsi="Century Gothic"/>
                <w:i/>
                <w:sz w:val="20"/>
                <w:szCs w:val="20"/>
              </w:rPr>
              <w:t xml:space="preserve">and deeply reflecting on what we </w:t>
            </w:r>
            <w:r w:rsidR="002C6ABD">
              <w:rPr>
                <w:rFonts w:ascii="Century Gothic" w:eastAsia="Times New Roman" w:hAnsi="Century Gothic"/>
                <w:i/>
                <w:sz w:val="20"/>
                <w:szCs w:val="20"/>
              </w:rPr>
              <w:t>offer and why based 21 C skills</w:t>
            </w:r>
          </w:p>
          <w:p w14:paraId="286BB465" w14:textId="77777777" w:rsidR="00DC4448" w:rsidRPr="005352F1" w:rsidRDefault="00DC4448" w:rsidP="006A1D2B">
            <w:pPr>
              <w:pStyle w:val="ListParagraph"/>
              <w:numPr>
                <w:ilvl w:val="0"/>
                <w:numId w:val="34"/>
              </w:num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 </w:t>
            </w:r>
            <w:r w:rsidRPr="005352F1">
              <w:rPr>
                <w:rFonts w:ascii="Century Gothic" w:eastAsia="Times New Roman" w:hAnsi="Century Gothic"/>
                <w:i/>
                <w:sz w:val="20"/>
                <w:szCs w:val="20"/>
              </w:rPr>
              <w:t>A fantastic stimulus impacting on professional growth and delivery of differentiated programs for students.</w:t>
            </w:r>
          </w:p>
          <w:p w14:paraId="46F45AC3" w14:textId="77777777" w:rsidR="00DC4448" w:rsidRPr="005352F1" w:rsidRDefault="00DC4448" w:rsidP="006A1D2B">
            <w:pPr>
              <w:pStyle w:val="ListParagraph"/>
              <w:numPr>
                <w:ilvl w:val="0"/>
                <w:numId w:val="34"/>
              </w:numPr>
              <w:spacing w:after="120"/>
              <w:rPr>
                <w:rFonts w:ascii="Century Gothic" w:eastAsia="Times New Roman" w:hAnsi="Century Gothic"/>
                <w:i/>
                <w:sz w:val="20"/>
                <w:szCs w:val="20"/>
              </w:rPr>
            </w:pPr>
            <w:r w:rsidRPr="005352F1">
              <w:rPr>
                <w:rFonts w:ascii="Century Gothic" w:eastAsia="Times New Roman" w:hAnsi="Century Gothic"/>
                <w:i/>
                <w:sz w:val="20"/>
                <w:szCs w:val="20"/>
              </w:rPr>
              <w:t>Yes we access numerous programs; even for a large school it is hard to plan a comprehensive program for professional learning so we use the NGRB to help us advance planning for our 1000 staff</w:t>
            </w:r>
          </w:p>
          <w:p w14:paraId="6F08EFB4" w14:textId="04B074E3" w:rsidR="00E62900" w:rsidRDefault="00E62900" w:rsidP="006A1D2B">
            <w:pPr>
              <w:numPr>
                <w:ilvl w:val="0"/>
                <w:numId w:val="28"/>
              </w:numPr>
              <w:spacing w:after="120"/>
              <w:rPr>
                <w:rFonts w:ascii="Century Gothic" w:eastAsia="Times New Roman" w:hAnsi="Century Gothic"/>
                <w:i/>
                <w:sz w:val="20"/>
                <w:szCs w:val="20"/>
              </w:rPr>
            </w:pPr>
            <w:r>
              <w:rPr>
                <w:rFonts w:ascii="Century Gothic" w:eastAsia="Times New Roman" w:hAnsi="Century Gothic" w:cs="Arial"/>
                <w:i/>
                <w:sz w:val="20"/>
                <w:szCs w:val="20"/>
              </w:rPr>
              <w:t xml:space="preserve">This program </w:t>
            </w:r>
            <w:r w:rsidR="00DC4448" w:rsidRPr="005352F1">
              <w:rPr>
                <w:rFonts w:ascii="Century Gothic" w:eastAsia="Times New Roman" w:hAnsi="Century Gothic" w:cs="Arial"/>
                <w:i/>
                <w:sz w:val="20"/>
                <w:szCs w:val="20"/>
              </w:rPr>
              <w:t xml:space="preserve">has been very valuable as it let us fund a program specifically targeting the improvement of our HSC teaching practices. But it did it highlight the need for ongoing funding in the areas of Professional Development for teachers. In simple terms, more funding </w:t>
            </w:r>
            <w:r>
              <w:rPr>
                <w:rFonts w:ascii="Century Gothic" w:eastAsia="Times New Roman" w:hAnsi="Century Gothic" w:cs="Arial"/>
                <w:i/>
                <w:sz w:val="20"/>
                <w:szCs w:val="20"/>
              </w:rPr>
              <w:t>would have been extremely useful</w:t>
            </w:r>
          </w:p>
          <w:p w14:paraId="7942E612" w14:textId="5EB82DA1" w:rsidR="00DC4448" w:rsidRPr="00E62900" w:rsidRDefault="00DC4448" w:rsidP="006A1D2B">
            <w:pPr>
              <w:numPr>
                <w:ilvl w:val="0"/>
                <w:numId w:val="28"/>
              </w:numPr>
              <w:spacing w:after="120"/>
              <w:rPr>
                <w:rFonts w:ascii="Century Gothic" w:eastAsia="Times New Roman" w:hAnsi="Century Gothic"/>
                <w:i/>
                <w:sz w:val="20"/>
                <w:szCs w:val="20"/>
              </w:rPr>
            </w:pPr>
            <w:r w:rsidRPr="00E62900">
              <w:rPr>
                <w:rFonts w:ascii="Century Gothic" w:eastAsia="Times New Roman" w:hAnsi="Century Gothic"/>
                <w:i/>
                <w:sz w:val="20"/>
                <w:szCs w:val="20"/>
              </w:rPr>
              <w:t>The main one is literacy and numeracy coaching – highly valuable phase. Valuable because it is r</w:t>
            </w:r>
            <w:r w:rsidR="00E939AD">
              <w:rPr>
                <w:rFonts w:ascii="Century Gothic" w:eastAsia="Times New Roman" w:hAnsi="Century Gothic"/>
                <w:i/>
                <w:sz w:val="20"/>
                <w:szCs w:val="20"/>
              </w:rPr>
              <w:t>elevant and the process is easy</w:t>
            </w:r>
          </w:p>
          <w:p w14:paraId="16813EA5" w14:textId="7D726000" w:rsidR="00DC4448" w:rsidRPr="005352F1" w:rsidRDefault="00DC4448" w:rsidP="006A1D2B">
            <w:pPr>
              <w:pStyle w:val="ListParagraph"/>
              <w:numPr>
                <w:ilvl w:val="0"/>
                <w:numId w:val="28"/>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Their contribution is highly valued because they respond quickly to what schools need to know </w:t>
            </w:r>
            <w:r w:rsidR="00C2634B" w:rsidRPr="005352F1">
              <w:rPr>
                <w:rFonts w:ascii="Century Gothic" w:eastAsia="Times New Roman" w:hAnsi="Century Gothic"/>
                <w:i/>
                <w:sz w:val="20"/>
                <w:szCs w:val="20"/>
              </w:rPr>
              <w:t>about e.g</w:t>
            </w:r>
            <w:r w:rsidRPr="005352F1">
              <w:rPr>
                <w:rFonts w:ascii="Century Gothic" w:eastAsia="Times New Roman" w:hAnsi="Century Gothic"/>
                <w:i/>
                <w:sz w:val="20"/>
                <w:szCs w:val="20"/>
              </w:rPr>
              <w:t>. student data use</w:t>
            </w:r>
            <w:r w:rsidR="00E62900">
              <w:rPr>
                <w:rFonts w:ascii="Century Gothic" w:eastAsia="Times New Roman" w:hAnsi="Century Gothic"/>
                <w:i/>
                <w:sz w:val="20"/>
                <w:szCs w:val="20"/>
              </w:rPr>
              <w:t>.</w:t>
            </w:r>
          </w:p>
        </w:tc>
      </w:tr>
      <w:tr w:rsidR="00DC4448" w14:paraId="17CF9387" w14:textId="77777777" w:rsidTr="00301150">
        <w:trPr>
          <w:trHeight w:val="395"/>
        </w:trPr>
        <w:tc>
          <w:tcPr>
            <w:tcW w:w="13796" w:type="dxa"/>
            <w:shd w:val="clear" w:color="auto" w:fill="F2F2F2" w:themeFill="background1" w:themeFillShade="F2"/>
          </w:tcPr>
          <w:p w14:paraId="622DF2FC"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Are you aware of any evaluation of the programs and/or services provided by your NGRB under the SFSF?</w:t>
            </w:r>
          </w:p>
        </w:tc>
      </w:tr>
      <w:tr w:rsidR="00DC4448" w14:paraId="7925F2E3" w14:textId="77777777" w:rsidTr="00301150">
        <w:tc>
          <w:tcPr>
            <w:tcW w:w="13796" w:type="dxa"/>
          </w:tcPr>
          <w:p w14:paraId="115B5DB0" w14:textId="77777777"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No one was able to mention  and evaluation </w:t>
            </w:r>
          </w:p>
        </w:tc>
      </w:tr>
      <w:tr w:rsidR="00DC4448" w14:paraId="27E2F54D" w14:textId="77777777" w:rsidTr="00301150">
        <w:tc>
          <w:tcPr>
            <w:tcW w:w="13796" w:type="dxa"/>
            <w:shd w:val="clear" w:color="auto" w:fill="F2F2F2" w:themeFill="background1" w:themeFillShade="F2"/>
          </w:tcPr>
          <w:p w14:paraId="3FE3F962" w14:textId="77777777" w:rsidR="00DC4448" w:rsidRPr="005352F1" w:rsidRDefault="00DC4448" w:rsidP="002C6ABD">
            <w:pPr>
              <w:spacing w:before="100" w:beforeAutospacing="1" w:after="100" w:afterAutospacing="1"/>
              <w:ind w:left="360"/>
              <w:rPr>
                <w:rFonts w:ascii="Century Gothic" w:eastAsia="Times New Roman" w:hAnsi="Century Gothic" w:cs="Calibri"/>
                <w:sz w:val="22"/>
                <w:szCs w:val="22"/>
              </w:rPr>
            </w:pPr>
            <w:r w:rsidRPr="005352F1">
              <w:rPr>
                <w:rFonts w:ascii="Century Gothic" w:eastAsia="Times New Roman" w:hAnsi="Century Gothic" w:cs="Calibri"/>
                <w:sz w:val="22"/>
                <w:szCs w:val="22"/>
              </w:rPr>
              <w:t>Q. What sort of services would be most valuable for you to access in the future? What role do you see for your AIS/CEC in delivering/auspicing those services?</w:t>
            </w:r>
          </w:p>
        </w:tc>
      </w:tr>
      <w:tr w:rsidR="00DC4448" w14:paraId="6E5BBA17" w14:textId="77777777" w:rsidTr="00301150">
        <w:tc>
          <w:tcPr>
            <w:tcW w:w="13796" w:type="dxa"/>
          </w:tcPr>
          <w:p w14:paraId="48E95680" w14:textId="21C58CFB"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The strongest</w:t>
            </w:r>
            <w:r w:rsidR="00E939AD">
              <w:rPr>
                <w:rFonts w:ascii="Century Gothic" w:eastAsia="Times New Roman" w:hAnsi="Century Gothic"/>
                <w:sz w:val="20"/>
                <w:szCs w:val="20"/>
              </w:rPr>
              <w:t xml:space="preserve"> and most typical response was:</w:t>
            </w:r>
          </w:p>
          <w:p w14:paraId="3AA849F0" w14:textId="77777777" w:rsidR="00DC4448" w:rsidRPr="005352F1" w:rsidRDefault="00DC4448" w:rsidP="002C6ABD">
            <w:pPr>
              <w:spacing w:after="120"/>
              <w:rPr>
                <w:rFonts w:ascii="Century Gothic" w:hAnsi="Century Gothic" w:cs="Calibri"/>
                <w:i/>
                <w:iCs/>
                <w:sz w:val="20"/>
                <w:szCs w:val="20"/>
              </w:rPr>
            </w:pPr>
            <w:r w:rsidRPr="005352F1">
              <w:rPr>
                <w:rFonts w:ascii="Century Gothic" w:hAnsi="Century Gothic" w:cs="Calibri"/>
                <w:i/>
                <w:iCs/>
                <w:sz w:val="20"/>
                <w:szCs w:val="20"/>
              </w:rPr>
              <w:t>We find in general that workshops aimed at larger groups and a variety of schools are less valuable as every school is on a different path and at a different stage.</w:t>
            </w:r>
          </w:p>
          <w:p w14:paraId="65294311" w14:textId="197ACC06" w:rsidR="00DC4448" w:rsidRPr="005352F1" w:rsidRDefault="00DC4448" w:rsidP="002C6ABD">
            <w:pPr>
              <w:spacing w:after="120"/>
              <w:rPr>
                <w:rFonts w:ascii="Century Gothic" w:eastAsia="Times New Roman" w:hAnsi="Century Gothic"/>
                <w:sz w:val="20"/>
                <w:szCs w:val="20"/>
              </w:rPr>
            </w:pPr>
            <w:r w:rsidRPr="005352F1">
              <w:rPr>
                <w:rFonts w:ascii="Century Gothic" w:hAnsi="Century Gothic" w:cs="Calibri"/>
                <w:iCs/>
                <w:sz w:val="20"/>
                <w:szCs w:val="20"/>
              </w:rPr>
              <w:t>Similar comments in metro location</w:t>
            </w:r>
            <w:r w:rsidR="00E62900">
              <w:rPr>
                <w:rFonts w:ascii="Century Gothic" w:hAnsi="Century Gothic" w:cs="Calibri"/>
                <w:iCs/>
                <w:sz w:val="20"/>
                <w:szCs w:val="20"/>
              </w:rPr>
              <w:t>s</w:t>
            </w:r>
            <w:r w:rsidR="00E939AD">
              <w:rPr>
                <w:rFonts w:ascii="Century Gothic" w:hAnsi="Century Gothic" w:cs="Calibri"/>
                <w:iCs/>
                <w:sz w:val="20"/>
                <w:szCs w:val="20"/>
              </w:rPr>
              <w:t xml:space="preserve"> were:</w:t>
            </w:r>
          </w:p>
          <w:p w14:paraId="7AFEDCEE" w14:textId="413EDA67"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We must be able to access the best exp</w:t>
            </w:r>
            <w:r w:rsidR="00E939AD">
              <w:rPr>
                <w:rFonts w:ascii="Century Gothic" w:eastAsia="Times New Roman" w:hAnsi="Century Gothic"/>
                <w:i/>
                <w:sz w:val="20"/>
                <w:szCs w:val="20"/>
              </w:rPr>
              <w:t>erts- I expect that of the NGRB</w:t>
            </w:r>
          </w:p>
          <w:p w14:paraId="1E6E9D09" w14:textId="77777777"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The more recent flexible initiatives are the best we have had- we need more of these.</w:t>
            </w:r>
          </w:p>
          <w:p w14:paraId="148B1E71" w14:textId="02D56810" w:rsidR="00DC4448" w:rsidRPr="005352F1" w:rsidRDefault="00DC4448" w:rsidP="002C6ABD">
            <w:pPr>
              <w:pStyle w:val="ListParagraph"/>
              <w:spacing w:after="120"/>
              <w:ind w:left="780"/>
              <w:rPr>
                <w:rFonts w:ascii="Century Gothic" w:eastAsia="Times New Roman" w:hAnsi="Century Gothic"/>
                <w:i/>
                <w:sz w:val="20"/>
                <w:szCs w:val="20"/>
              </w:rPr>
            </w:pPr>
            <w:r w:rsidRPr="005352F1">
              <w:rPr>
                <w:rFonts w:ascii="Century Gothic" w:eastAsia="Times New Roman" w:hAnsi="Century Gothic"/>
                <w:i/>
                <w:sz w:val="20"/>
                <w:szCs w:val="20"/>
              </w:rPr>
              <w:t>The same combination of a resource that can be applied at the school level and supplemented by the sc</w:t>
            </w:r>
            <w:r w:rsidR="00E939AD">
              <w:rPr>
                <w:rFonts w:ascii="Century Gothic" w:eastAsia="Times New Roman" w:hAnsi="Century Gothic"/>
                <w:i/>
                <w:sz w:val="20"/>
                <w:szCs w:val="20"/>
              </w:rPr>
              <w:t>hool – makes a relevant impact.</w:t>
            </w:r>
          </w:p>
          <w:p w14:paraId="381B830F" w14:textId="2B0A1EA6"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i/>
                <w:sz w:val="20"/>
                <w:szCs w:val="20"/>
              </w:rPr>
              <w:t>Support must be strateg</w:t>
            </w:r>
            <w:r w:rsidR="00E939AD">
              <w:rPr>
                <w:rFonts w:ascii="Century Gothic" w:eastAsia="Times New Roman" w:hAnsi="Century Gothic"/>
                <w:i/>
                <w:sz w:val="20"/>
                <w:szCs w:val="20"/>
              </w:rPr>
              <w:t>ically targeted to your school</w:t>
            </w:r>
          </w:p>
          <w:p w14:paraId="127F9E29" w14:textId="4C4A3CBE" w:rsidR="00DC4448" w:rsidRPr="005352F1" w:rsidRDefault="00DC4448" w:rsidP="006A1D2B">
            <w:pPr>
              <w:pStyle w:val="ListParagraph"/>
              <w:numPr>
                <w:ilvl w:val="0"/>
                <w:numId w:val="30"/>
              </w:numPr>
              <w:spacing w:after="120"/>
              <w:rPr>
                <w:rFonts w:ascii="Century Gothic" w:eastAsia="Times New Roman" w:hAnsi="Century Gothic"/>
                <w:i/>
                <w:sz w:val="20"/>
                <w:szCs w:val="20"/>
              </w:rPr>
            </w:pPr>
            <w:r w:rsidRPr="005352F1">
              <w:rPr>
                <w:rFonts w:ascii="Century Gothic" w:eastAsia="Times New Roman" w:hAnsi="Century Gothic"/>
                <w:sz w:val="20"/>
                <w:szCs w:val="20"/>
              </w:rPr>
              <w:t>Long term research based projects aimed at</w:t>
            </w:r>
            <w:r w:rsidR="006D62C6">
              <w:rPr>
                <w:rFonts w:ascii="Century Gothic" w:eastAsia="Times New Roman" w:hAnsi="Century Gothic"/>
                <w:sz w:val="20"/>
                <w:szCs w:val="20"/>
              </w:rPr>
              <w:t xml:space="preserve"> really seeing </w:t>
            </w:r>
            <w:r w:rsidRPr="005352F1">
              <w:rPr>
                <w:rFonts w:ascii="Century Gothic" w:eastAsia="Times New Roman" w:hAnsi="Century Gothic"/>
                <w:sz w:val="20"/>
                <w:szCs w:val="20"/>
              </w:rPr>
              <w:t>change</w:t>
            </w:r>
          </w:p>
          <w:p w14:paraId="44E337DA" w14:textId="23AEE3FE" w:rsidR="00DC4448" w:rsidRPr="005352F1" w:rsidRDefault="00E939AD" w:rsidP="002C6ABD">
            <w:pPr>
              <w:spacing w:after="120"/>
              <w:rPr>
                <w:rFonts w:ascii="Century Gothic" w:eastAsia="Times New Roman" w:hAnsi="Century Gothic"/>
                <w:i/>
                <w:sz w:val="20"/>
                <w:szCs w:val="20"/>
              </w:rPr>
            </w:pPr>
            <w:r>
              <w:rPr>
                <w:rFonts w:ascii="Century Gothic" w:eastAsia="Times New Roman" w:hAnsi="Century Gothic"/>
                <w:i/>
                <w:sz w:val="20"/>
                <w:szCs w:val="20"/>
              </w:rPr>
              <w:t>Regional or rural comments:</w:t>
            </w:r>
          </w:p>
          <w:p w14:paraId="5BE27F6F" w14:textId="77777777" w:rsidR="00DC4448" w:rsidRPr="005352F1" w:rsidRDefault="00DC4448" w:rsidP="006A1D2B">
            <w:pPr>
              <w:pStyle w:val="ListParagraph"/>
              <w:numPr>
                <w:ilvl w:val="0"/>
                <w:numId w:val="31"/>
              </w:numPr>
              <w:spacing w:after="120"/>
              <w:rPr>
                <w:rFonts w:ascii="Century Gothic" w:eastAsia="Times New Roman" w:hAnsi="Century Gothic"/>
                <w:i/>
                <w:sz w:val="20"/>
                <w:szCs w:val="20"/>
              </w:rPr>
            </w:pPr>
            <w:r w:rsidRPr="005352F1">
              <w:rPr>
                <w:rFonts w:ascii="Century Gothic" w:eastAsia="Times New Roman" w:hAnsi="Century Gothic"/>
                <w:i/>
                <w:sz w:val="20"/>
                <w:szCs w:val="20"/>
              </w:rPr>
              <w:t>Their role is a plus; I’d like to see an enhanced professional learning focus on teacher quality, capability building in an ongoing way.</w:t>
            </w:r>
          </w:p>
          <w:p w14:paraId="1B3FABFB" w14:textId="11FD0A82" w:rsidR="00DC4448" w:rsidRPr="005352F1" w:rsidRDefault="00DC4448" w:rsidP="006A1D2B">
            <w:pPr>
              <w:pStyle w:val="ListParagraph"/>
              <w:numPr>
                <w:ilvl w:val="0"/>
                <w:numId w:val="31"/>
              </w:numPr>
              <w:spacing w:after="120"/>
              <w:rPr>
                <w:rFonts w:ascii="Century Gothic" w:eastAsia="Times New Roman" w:hAnsi="Century Gothic"/>
                <w:i/>
                <w:sz w:val="20"/>
                <w:szCs w:val="20"/>
              </w:rPr>
            </w:pPr>
            <w:r w:rsidRPr="005352F1">
              <w:rPr>
                <w:rFonts w:ascii="Century Gothic" w:eastAsia="Times New Roman" w:hAnsi="Century Gothic"/>
                <w:i/>
                <w:sz w:val="20"/>
                <w:szCs w:val="20"/>
              </w:rPr>
              <w:t>What is most successful is intensive support at the outset, followed by sustained school driven change. We want a comprehensive approach to any change – principals</w:t>
            </w:r>
            <w:r w:rsidR="00E62900">
              <w:rPr>
                <w:rFonts w:ascii="Century Gothic" w:eastAsia="Times New Roman" w:hAnsi="Century Gothic"/>
                <w:i/>
                <w:sz w:val="20"/>
                <w:szCs w:val="20"/>
              </w:rPr>
              <w:t>’</w:t>
            </w:r>
            <w:r w:rsidR="005638F6">
              <w:rPr>
                <w:rFonts w:ascii="Century Gothic" w:eastAsia="Times New Roman" w:hAnsi="Century Gothic"/>
                <w:i/>
                <w:sz w:val="20"/>
                <w:szCs w:val="20"/>
              </w:rPr>
              <w:t xml:space="preserve"> </w:t>
            </w:r>
            <w:r w:rsidRPr="005352F1">
              <w:rPr>
                <w:rFonts w:ascii="Century Gothic" w:eastAsia="Times New Roman" w:hAnsi="Century Gothic"/>
                <w:i/>
                <w:sz w:val="20"/>
                <w:szCs w:val="20"/>
              </w:rPr>
              <w:t>involvement, re</w:t>
            </w:r>
            <w:r w:rsidR="00E939AD">
              <w:rPr>
                <w:rFonts w:ascii="Century Gothic" w:eastAsia="Times New Roman" w:hAnsi="Century Gothic"/>
                <w:i/>
                <w:sz w:val="20"/>
                <w:szCs w:val="20"/>
              </w:rPr>
              <w:t>sources, PD and staff networks.</w:t>
            </w:r>
          </w:p>
          <w:p w14:paraId="74B569D0" w14:textId="55AEA4F9" w:rsidR="00DC4448" w:rsidRPr="005352F1" w:rsidRDefault="00DC4448" w:rsidP="006A1D2B">
            <w:pPr>
              <w:pStyle w:val="ListParagraph"/>
              <w:numPr>
                <w:ilvl w:val="0"/>
                <w:numId w:val="31"/>
              </w:numPr>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The main need I have is for concrete and immediate experience in running a </w:t>
            </w:r>
            <w:r w:rsidR="00E939AD">
              <w:rPr>
                <w:rFonts w:ascii="Century Gothic" w:eastAsia="Times New Roman" w:hAnsi="Century Gothic"/>
                <w:i/>
                <w:sz w:val="20"/>
                <w:szCs w:val="20"/>
              </w:rPr>
              <w:t>new school in a remote location</w:t>
            </w:r>
          </w:p>
          <w:p w14:paraId="44E61A51" w14:textId="3A68688E" w:rsidR="005638F6" w:rsidRDefault="00E62900" w:rsidP="006A1D2B">
            <w:pPr>
              <w:pStyle w:val="ListParagraph"/>
              <w:numPr>
                <w:ilvl w:val="0"/>
                <w:numId w:val="31"/>
              </w:numPr>
              <w:spacing w:after="120"/>
              <w:rPr>
                <w:rFonts w:ascii="Century Gothic" w:eastAsia="Times New Roman" w:hAnsi="Century Gothic"/>
                <w:i/>
                <w:sz w:val="20"/>
                <w:szCs w:val="20"/>
              </w:rPr>
            </w:pPr>
            <w:r>
              <w:rPr>
                <w:rFonts w:ascii="Century Gothic" w:eastAsia="Times New Roman" w:hAnsi="Century Gothic"/>
                <w:i/>
                <w:sz w:val="20"/>
                <w:szCs w:val="20"/>
              </w:rPr>
              <w:t xml:space="preserve">We really need to </w:t>
            </w:r>
            <w:r w:rsidR="00DC4448" w:rsidRPr="005352F1">
              <w:rPr>
                <w:rFonts w:ascii="Century Gothic" w:eastAsia="Times New Roman" w:hAnsi="Century Gothic"/>
                <w:i/>
                <w:sz w:val="20"/>
                <w:szCs w:val="20"/>
              </w:rPr>
              <w:t xml:space="preserve">push through online and connectivity regional/remote </w:t>
            </w:r>
            <w:r w:rsidR="00C2634B" w:rsidRPr="005352F1">
              <w:rPr>
                <w:rFonts w:ascii="Century Gothic" w:eastAsia="Times New Roman" w:hAnsi="Century Gothic"/>
                <w:i/>
                <w:sz w:val="20"/>
                <w:szCs w:val="20"/>
              </w:rPr>
              <w:t>schools feel</w:t>
            </w:r>
            <w:r w:rsidR="00DC4448" w:rsidRPr="005352F1">
              <w:rPr>
                <w:rFonts w:ascii="Century Gothic" w:eastAsia="Times New Roman" w:hAnsi="Century Gothic"/>
                <w:i/>
                <w:sz w:val="20"/>
                <w:szCs w:val="20"/>
              </w:rPr>
              <w:t xml:space="preserve"> a part o</w:t>
            </w:r>
            <w:r w:rsidR="00E939AD">
              <w:rPr>
                <w:rFonts w:ascii="Century Gothic" w:eastAsia="Times New Roman" w:hAnsi="Century Gothic"/>
                <w:i/>
                <w:sz w:val="20"/>
                <w:szCs w:val="20"/>
              </w:rPr>
              <w:t>f everything that is going on.</w:t>
            </w:r>
          </w:p>
          <w:p w14:paraId="6EA94227" w14:textId="4A8C67C6" w:rsidR="00DC4448" w:rsidRPr="005352F1" w:rsidRDefault="00DC4448" w:rsidP="005638F6">
            <w:pPr>
              <w:pStyle w:val="ListParagraph"/>
              <w:spacing w:after="120"/>
              <w:rPr>
                <w:rFonts w:ascii="Century Gothic" w:eastAsia="Times New Roman" w:hAnsi="Century Gothic"/>
                <w:i/>
                <w:sz w:val="20"/>
                <w:szCs w:val="20"/>
              </w:rPr>
            </w:pPr>
            <w:r w:rsidRPr="005352F1">
              <w:rPr>
                <w:rFonts w:ascii="Century Gothic" w:eastAsia="Times New Roman" w:hAnsi="Century Gothic"/>
                <w:i/>
                <w:sz w:val="20"/>
                <w:szCs w:val="20"/>
              </w:rPr>
              <w:t xml:space="preserve"> </w:t>
            </w:r>
          </w:p>
        </w:tc>
      </w:tr>
      <w:tr w:rsidR="00DC4448" w14:paraId="0502B7D7" w14:textId="77777777" w:rsidTr="00301150">
        <w:tc>
          <w:tcPr>
            <w:tcW w:w="13796" w:type="dxa"/>
            <w:shd w:val="clear" w:color="auto" w:fill="F2F2F2" w:themeFill="background1" w:themeFillShade="F2"/>
          </w:tcPr>
          <w:p w14:paraId="4FFF0229" w14:textId="77777777" w:rsidR="00DC4448" w:rsidRPr="005352F1" w:rsidRDefault="00DC4448" w:rsidP="002C6ABD">
            <w:pPr>
              <w:spacing w:before="100" w:beforeAutospacing="1" w:after="100" w:afterAutospacing="1"/>
              <w:ind w:left="360"/>
              <w:rPr>
                <w:rFonts w:ascii="Century Gothic" w:hAnsi="Century Gothic" w:cs="Calibri"/>
                <w:szCs w:val="22"/>
              </w:rPr>
            </w:pPr>
            <w:r w:rsidRPr="005352F1">
              <w:rPr>
                <w:rFonts w:ascii="Century Gothic" w:eastAsia="Times New Roman" w:hAnsi="Century Gothic" w:cs="Calibri"/>
                <w:sz w:val="22"/>
                <w:szCs w:val="22"/>
              </w:rPr>
              <w:t>Q. Has your AIS/CEC changed the focus or range of services provided since 2014, when they became a NGRB? If so, in what ways?</w:t>
            </w:r>
          </w:p>
        </w:tc>
      </w:tr>
      <w:tr w:rsidR="00DC4448" w14:paraId="6787E83F" w14:textId="77777777" w:rsidTr="00301150">
        <w:tc>
          <w:tcPr>
            <w:tcW w:w="13796" w:type="dxa"/>
          </w:tcPr>
          <w:p w14:paraId="54535785" w14:textId="5EBA72F1"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Many of the comments above were o</w:t>
            </w:r>
            <w:r w:rsidR="00E62900">
              <w:rPr>
                <w:rFonts w:ascii="Century Gothic" w:eastAsia="Times New Roman" w:hAnsi="Century Gothic"/>
                <w:sz w:val="20"/>
                <w:szCs w:val="20"/>
              </w:rPr>
              <w:t>ffered again for this question and changes have been apparent in recent years.</w:t>
            </w:r>
          </w:p>
          <w:p w14:paraId="1C516DCC" w14:textId="2113AA0A" w:rsidR="00DC4448" w:rsidRPr="005352F1" w:rsidRDefault="00E939AD" w:rsidP="002C6ABD">
            <w:pPr>
              <w:spacing w:after="120"/>
              <w:rPr>
                <w:rFonts w:ascii="Century Gothic" w:eastAsia="Times New Roman" w:hAnsi="Century Gothic"/>
                <w:sz w:val="20"/>
                <w:szCs w:val="20"/>
              </w:rPr>
            </w:pPr>
            <w:r>
              <w:rPr>
                <w:rFonts w:ascii="Century Gothic" w:eastAsia="Times New Roman" w:hAnsi="Century Gothic"/>
                <w:sz w:val="20"/>
                <w:szCs w:val="20"/>
              </w:rPr>
              <w:t>A few strong observations</w:t>
            </w:r>
          </w:p>
          <w:p w14:paraId="7AEDF4D6" w14:textId="56DB8064" w:rsidR="00DC4448" w:rsidRPr="005352F1" w:rsidRDefault="00DC4448" w:rsidP="006A1D2B">
            <w:pPr>
              <w:pStyle w:val="ListParagraph"/>
              <w:numPr>
                <w:ilvl w:val="0"/>
                <w:numId w:val="37"/>
              </w:numPr>
              <w:spacing w:after="120" w:line="260" w:lineRule="atLeast"/>
              <w:rPr>
                <w:rFonts w:ascii="Century Gothic" w:hAnsi="Century Gothic"/>
                <w:i/>
                <w:sz w:val="20"/>
                <w:szCs w:val="20"/>
              </w:rPr>
            </w:pPr>
            <w:r w:rsidRPr="005352F1">
              <w:rPr>
                <w:rFonts w:ascii="Century Gothic" w:hAnsi="Century Gothic"/>
                <w:i/>
                <w:sz w:val="20"/>
                <w:szCs w:val="20"/>
              </w:rPr>
              <w:t>Much more collaborative, consistent informed teacher engagement an</w:t>
            </w:r>
            <w:r w:rsidR="00E939AD">
              <w:rPr>
                <w:rFonts w:ascii="Century Gothic" w:hAnsi="Century Gothic"/>
                <w:i/>
                <w:sz w:val="20"/>
                <w:szCs w:val="20"/>
              </w:rPr>
              <w:t>d enhanced pedagogical practice</w:t>
            </w:r>
          </w:p>
          <w:p w14:paraId="10FE29CE" w14:textId="77777777" w:rsidR="00DC4448" w:rsidRDefault="00DC4448" w:rsidP="006A1D2B">
            <w:pPr>
              <w:pStyle w:val="ListParagraph"/>
              <w:numPr>
                <w:ilvl w:val="0"/>
                <w:numId w:val="37"/>
              </w:numPr>
              <w:spacing w:after="120" w:line="260" w:lineRule="atLeast"/>
              <w:rPr>
                <w:rFonts w:ascii="Century Gothic" w:hAnsi="Century Gothic"/>
                <w:i/>
                <w:sz w:val="20"/>
                <w:szCs w:val="20"/>
              </w:rPr>
            </w:pPr>
            <w:r w:rsidRPr="005352F1">
              <w:rPr>
                <w:rFonts w:ascii="Century Gothic" w:hAnsi="Century Gothic"/>
                <w:i/>
                <w:sz w:val="20"/>
                <w:szCs w:val="20"/>
              </w:rPr>
              <w:t>Real emphasis in discussion around QT and QL and how this is impacting culturally</w:t>
            </w:r>
            <w:r w:rsidR="00E62900">
              <w:rPr>
                <w:rFonts w:ascii="Century Gothic" w:hAnsi="Century Gothic"/>
                <w:i/>
                <w:sz w:val="20"/>
                <w:szCs w:val="20"/>
              </w:rPr>
              <w:t xml:space="preserve"> on practice for sustainability</w:t>
            </w:r>
          </w:p>
          <w:p w14:paraId="15D6ABC2" w14:textId="2A3EE522" w:rsidR="00E62900" w:rsidRPr="005352F1" w:rsidRDefault="00E62900" w:rsidP="006A1D2B">
            <w:pPr>
              <w:pStyle w:val="ListParagraph"/>
              <w:numPr>
                <w:ilvl w:val="0"/>
                <w:numId w:val="37"/>
              </w:numPr>
              <w:spacing w:after="120" w:line="260" w:lineRule="atLeast"/>
              <w:rPr>
                <w:rFonts w:ascii="Century Gothic" w:hAnsi="Century Gothic"/>
                <w:i/>
                <w:sz w:val="20"/>
                <w:szCs w:val="20"/>
              </w:rPr>
            </w:pPr>
            <w:r>
              <w:rPr>
                <w:rFonts w:ascii="Century Gothic" w:hAnsi="Century Gothic"/>
                <w:i/>
                <w:sz w:val="20"/>
                <w:szCs w:val="20"/>
              </w:rPr>
              <w:t>The availability of consultants to work directly with my school is fantastic.</w:t>
            </w:r>
          </w:p>
        </w:tc>
      </w:tr>
      <w:tr w:rsidR="00DC4448" w14:paraId="7DB5A7A3" w14:textId="77777777" w:rsidTr="00301150">
        <w:tc>
          <w:tcPr>
            <w:tcW w:w="13796" w:type="dxa"/>
            <w:shd w:val="clear" w:color="auto" w:fill="F2F2F2" w:themeFill="background1" w:themeFillShade="F2"/>
          </w:tcPr>
          <w:p w14:paraId="63E5B09F" w14:textId="77777777" w:rsidR="00DC4448" w:rsidRPr="005352F1" w:rsidRDefault="00DC4448" w:rsidP="002C6ABD">
            <w:pPr>
              <w:pStyle w:val="ListParagraph"/>
              <w:tabs>
                <w:tab w:val="left" w:pos="12150"/>
              </w:tabs>
              <w:spacing w:after="200" w:line="276" w:lineRule="auto"/>
              <w:ind w:left="360"/>
              <w:rPr>
                <w:rFonts w:ascii="Century Gothic" w:hAnsi="Century Gothic"/>
              </w:rPr>
            </w:pPr>
            <w:r w:rsidRPr="005352F1">
              <w:rPr>
                <w:rFonts w:ascii="Century Gothic" w:hAnsi="Century Gothic"/>
              </w:rPr>
              <w:t>Q. If so, are new services complementary to those provided as an AIS/CEC (i.e. basic information services, provision of training)?</w:t>
            </w:r>
            <w:r w:rsidRPr="005352F1">
              <w:rPr>
                <w:rFonts w:ascii="Century Gothic" w:hAnsi="Century Gothic"/>
              </w:rPr>
              <w:tab/>
            </w:r>
          </w:p>
        </w:tc>
      </w:tr>
      <w:tr w:rsidR="00DC4448" w14:paraId="6F896A22" w14:textId="77777777" w:rsidTr="00301150">
        <w:tc>
          <w:tcPr>
            <w:tcW w:w="13796" w:type="dxa"/>
          </w:tcPr>
          <w:p w14:paraId="3CED1D4A" w14:textId="77777777" w:rsidR="00DC4448" w:rsidRPr="005352F1" w:rsidRDefault="00DC4448" w:rsidP="002C6ABD">
            <w:pPr>
              <w:spacing w:after="120"/>
              <w:rPr>
                <w:rFonts w:ascii="Century Gothic" w:eastAsia="Times New Roman" w:hAnsi="Century Gothic"/>
                <w:sz w:val="20"/>
                <w:szCs w:val="20"/>
              </w:rPr>
            </w:pPr>
            <w:r w:rsidRPr="005352F1">
              <w:rPr>
                <w:rFonts w:ascii="Century Gothic" w:eastAsia="Times New Roman" w:hAnsi="Century Gothic"/>
                <w:sz w:val="20"/>
                <w:szCs w:val="20"/>
              </w:rPr>
              <w:t xml:space="preserve">Nothing in particular was mentioned. </w:t>
            </w:r>
          </w:p>
        </w:tc>
      </w:tr>
      <w:tr w:rsidR="00DC4448" w14:paraId="3C73AADF" w14:textId="77777777" w:rsidTr="00301150">
        <w:tc>
          <w:tcPr>
            <w:tcW w:w="13796" w:type="dxa"/>
            <w:shd w:val="clear" w:color="auto" w:fill="F2F2F2" w:themeFill="background1" w:themeFillShade="F2"/>
          </w:tcPr>
          <w:p w14:paraId="05B99AC8" w14:textId="77777777" w:rsidR="00DC4448" w:rsidRPr="005352F1" w:rsidRDefault="00DC4448" w:rsidP="002C6ABD">
            <w:pPr>
              <w:pStyle w:val="ListParagraph"/>
              <w:spacing w:after="200" w:line="276" w:lineRule="auto"/>
              <w:ind w:left="360"/>
              <w:rPr>
                <w:rFonts w:ascii="Century Gothic" w:hAnsi="Century Gothic"/>
              </w:rPr>
            </w:pPr>
            <w:r w:rsidRPr="005352F1">
              <w:rPr>
                <w:rFonts w:ascii="Century Gothic" w:hAnsi="Century Gothic"/>
              </w:rPr>
              <w:t>Q. How has the AIS/CEC assisted you to implement national reforms (such as the Australian Curriculum or the Australian Professional Standard for Teachers)?</w:t>
            </w:r>
          </w:p>
        </w:tc>
      </w:tr>
      <w:tr w:rsidR="00DC4448" w14:paraId="1798F56F" w14:textId="77777777" w:rsidTr="00301150">
        <w:tc>
          <w:tcPr>
            <w:tcW w:w="13796" w:type="dxa"/>
          </w:tcPr>
          <w:p w14:paraId="3C6EFA0A" w14:textId="5AE8664D" w:rsidR="00DC4448" w:rsidRPr="005352F1" w:rsidRDefault="00DC4448" w:rsidP="002C6ABD">
            <w:pPr>
              <w:spacing w:after="120" w:line="276" w:lineRule="auto"/>
              <w:rPr>
                <w:rFonts w:ascii="Century Gothic" w:hAnsi="Century Gothic" w:cs="Calibri"/>
                <w:iCs/>
              </w:rPr>
            </w:pPr>
            <w:r w:rsidRPr="005352F1">
              <w:rPr>
                <w:rFonts w:ascii="Century Gothic" w:eastAsia="Times New Roman" w:hAnsi="Century Gothic"/>
                <w:sz w:val="20"/>
                <w:szCs w:val="20"/>
              </w:rPr>
              <w:t>All mentioned a similar parcel of activity – this has been a strong area of activity across the spectrum from information services to more complex prof</w:t>
            </w:r>
            <w:r w:rsidR="00E939AD">
              <w:rPr>
                <w:rFonts w:ascii="Century Gothic" w:eastAsia="Times New Roman" w:hAnsi="Century Gothic"/>
                <w:sz w:val="20"/>
                <w:szCs w:val="20"/>
              </w:rPr>
              <w:t>essional learning opportunities</w:t>
            </w:r>
          </w:p>
          <w:p w14:paraId="087B20FC" w14:textId="0CD556B7" w:rsidR="00DC4448" w:rsidRPr="005352F1" w:rsidRDefault="00DC4448" w:rsidP="006A1D2B">
            <w:pPr>
              <w:pStyle w:val="ListParagraph"/>
              <w:numPr>
                <w:ilvl w:val="0"/>
                <w:numId w:val="35"/>
              </w:numPr>
              <w:spacing w:after="120" w:line="276" w:lineRule="auto"/>
              <w:rPr>
                <w:rFonts w:ascii="Century Gothic" w:hAnsi="Century Gothic" w:cs="Calibri"/>
                <w:i/>
                <w:iCs/>
                <w:sz w:val="20"/>
                <w:szCs w:val="20"/>
              </w:rPr>
            </w:pPr>
            <w:r w:rsidRPr="005352F1">
              <w:rPr>
                <w:rFonts w:ascii="Century Gothic" w:hAnsi="Century Gothic" w:cs="Calibri"/>
                <w:i/>
                <w:iCs/>
                <w:sz w:val="20"/>
                <w:szCs w:val="20"/>
              </w:rPr>
              <w:t>Professional support through consultancy and training through the developmen</w:t>
            </w:r>
            <w:r w:rsidR="00E939AD">
              <w:rPr>
                <w:rFonts w:ascii="Century Gothic" w:hAnsi="Century Gothic" w:cs="Calibri"/>
                <w:i/>
                <w:iCs/>
                <w:sz w:val="20"/>
                <w:szCs w:val="20"/>
              </w:rPr>
              <w:t>t of our pedagogical framework.</w:t>
            </w:r>
          </w:p>
          <w:p w14:paraId="76AD24BB" w14:textId="77777777" w:rsidR="00DC4448" w:rsidRPr="005352F1" w:rsidRDefault="00DC4448" w:rsidP="006A1D2B">
            <w:pPr>
              <w:pStyle w:val="ListParagraph"/>
              <w:numPr>
                <w:ilvl w:val="0"/>
                <w:numId w:val="35"/>
              </w:numPr>
              <w:spacing w:after="120" w:line="276" w:lineRule="auto"/>
              <w:rPr>
                <w:rFonts w:ascii="Century Gothic" w:hAnsi="Century Gothic" w:cs="Calibri"/>
                <w:i/>
                <w:iCs/>
                <w:sz w:val="20"/>
                <w:szCs w:val="20"/>
              </w:rPr>
            </w:pPr>
            <w:r w:rsidRPr="005352F1">
              <w:rPr>
                <w:rFonts w:ascii="Century Gothic" w:hAnsi="Century Gothic" w:cs="Calibri"/>
                <w:i/>
                <w:iCs/>
                <w:sz w:val="20"/>
                <w:szCs w:val="20"/>
              </w:rPr>
              <w:t>Assistance in working through updates to the Australian Curriculum, most recently mathematics and technologies. The assistance we have received has been specific to our context and ongoing, meaning that we can best capitalise upon the time offered.</w:t>
            </w:r>
          </w:p>
          <w:p w14:paraId="6B671B2F" w14:textId="1561FCC7" w:rsidR="00DC4448" w:rsidRPr="005352F1" w:rsidRDefault="00DC4448" w:rsidP="006A1D2B">
            <w:pPr>
              <w:pStyle w:val="ListParagraph"/>
              <w:numPr>
                <w:ilvl w:val="0"/>
                <w:numId w:val="35"/>
              </w:numPr>
              <w:spacing w:after="120" w:line="276" w:lineRule="auto"/>
              <w:rPr>
                <w:rFonts w:ascii="Century Gothic" w:hAnsi="Century Gothic" w:cs="Calibri"/>
                <w:i/>
                <w:iCs/>
                <w:sz w:val="20"/>
                <w:szCs w:val="20"/>
              </w:rPr>
            </w:pPr>
            <w:r w:rsidRPr="005352F1">
              <w:rPr>
                <w:rFonts w:ascii="Century Gothic" w:hAnsi="Century Gothic"/>
                <w:i/>
                <w:sz w:val="20"/>
                <w:szCs w:val="20"/>
              </w:rPr>
              <w:t>On line PD availab</w:t>
            </w:r>
            <w:r w:rsidR="00E939AD">
              <w:rPr>
                <w:rFonts w:ascii="Century Gothic" w:hAnsi="Century Gothic"/>
                <w:i/>
                <w:sz w:val="20"/>
                <w:szCs w:val="20"/>
              </w:rPr>
              <w:t>le for a number of requirements</w:t>
            </w:r>
          </w:p>
          <w:p w14:paraId="6D8AC0A6" w14:textId="77777777" w:rsidR="00DC4448" w:rsidRPr="005352F1" w:rsidRDefault="00DC4448" w:rsidP="006A1D2B">
            <w:pPr>
              <w:pStyle w:val="ListParagraph"/>
              <w:numPr>
                <w:ilvl w:val="0"/>
                <w:numId w:val="35"/>
              </w:numPr>
              <w:spacing w:after="120" w:line="276" w:lineRule="auto"/>
              <w:rPr>
                <w:rFonts w:ascii="Century Gothic" w:hAnsi="Century Gothic" w:cs="Calibri"/>
                <w:i/>
                <w:iCs/>
                <w:sz w:val="20"/>
                <w:szCs w:val="20"/>
              </w:rPr>
            </w:pPr>
            <w:r w:rsidRPr="005352F1">
              <w:rPr>
                <w:rFonts w:ascii="Century Gothic" w:hAnsi="Century Gothic"/>
                <w:i/>
                <w:sz w:val="20"/>
                <w:szCs w:val="20"/>
              </w:rPr>
              <w:t>Being brought up to date with government requirements</w:t>
            </w:r>
          </w:p>
          <w:p w14:paraId="7F0D93C4" w14:textId="5B9E52E9" w:rsidR="00DC4448" w:rsidRPr="00E62900" w:rsidRDefault="00DC4448" w:rsidP="006A1D2B">
            <w:pPr>
              <w:pStyle w:val="ListParagraph"/>
              <w:numPr>
                <w:ilvl w:val="0"/>
                <w:numId w:val="35"/>
              </w:numPr>
              <w:spacing w:after="120"/>
              <w:rPr>
                <w:rFonts w:ascii="Century Gothic" w:eastAsia="Times New Roman" w:hAnsi="Century Gothic"/>
                <w:i/>
                <w:sz w:val="20"/>
                <w:szCs w:val="20"/>
              </w:rPr>
            </w:pPr>
            <w:r w:rsidRPr="00E62900">
              <w:rPr>
                <w:rFonts w:ascii="Century Gothic" w:eastAsia="Times New Roman" w:hAnsi="Century Gothic"/>
                <w:i/>
                <w:sz w:val="20"/>
                <w:szCs w:val="20"/>
              </w:rPr>
              <w:t>Early career mentoring, specialist programs in relation teacher evaluation and appraisal, did a si</w:t>
            </w:r>
            <w:r w:rsidR="00E939AD">
              <w:rPr>
                <w:rFonts w:ascii="Century Gothic" w:eastAsia="Times New Roman" w:hAnsi="Century Gothic"/>
                <w:i/>
                <w:sz w:val="20"/>
                <w:szCs w:val="20"/>
              </w:rPr>
              <w:t>gnificant project in our sector</w:t>
            </w:r>
          </w:p>
          <w:p w14:paraId="46EAC2F5" w14:textId="78B1CFE3" w:rsidR="00DC4448" w:rsidRPr="00E62900" w:rsidRDefault="00DC4448" w:rsidP="006A1D2B">
            <w:pPr>
              <w:pStyle w:val="ListParagraph"/>
              <w:numPr>
                <w:ilvl w:val="0"/>
                <w:numId w:val="35"/>
              </w:numPr>
              <w:spacing w:after="120"/>
              <w:rPr>
                <w:rFonts w:ascii="Century Gothic" w:eastAsia="Times New Roman" w:hAnsi="Century Gothic"/>
                <w:i/>
                <w:sz w:val="20"/>
                <w:szCs w:val="20"/>
              </w:rPr>
            </w:pPr>
            <w:r w:rsidRPr="00E62900">
              <w:rPr>
                <w:rFonts w:ascii="Century Gothic" w:eastAsia="Times New Roman" w:hAnsi="Century Gothic"/>
                <w:i/>
                <w:sz w:val="20"/>
                <w:szCs w:val="20"/>
              </w:rPr>
              <w:t>AIS consultant has been superb, at the end of the phone, accessibility to key peo</w:t>
            </w:r>
            <w:r w:rsidR="00E62900">
              <w:rPr>
                <w:rFonts w:ascii="Century Gothic" w:eastAsia="Times New Roman" w:hAnsi="Century Gothic"/>
                <w:i/>
                <w:sz w:val="20"/>
                <w:szCs w:val="20"/>
              </w:rPr>
              <w:t>ple who are keeping you updated</w:t>
            </w:r>
          </w:p>
          <w:p w14:paraId="37461B7A" w14:textId="588125E8" w:rsidR="00DC4448" w:rsidRPr="005352F1" w:rsidRDefault="00DC4448" w:rsidP="006A1D2B">
            <w:pPr>
              <w:pStyle w:val="ListParagraph"/>
              <w:numPr>
                <w:ilvl w:val="0"/>
                <w:numId w:val="35"/>
              </w:numPr>
              <w:spacing w:after="120"/>
              <w:rPr>
                <w:rFonts w:ascii="Century Gothic" w:eastAsia="Times New Roman" w:hAnsi="Century Gothic"/>
                <w:i/>
                <w:szCs w:val="22"/>
              </w:rPr>
            </w:pPr>
            <w:r w:rsidRPr="00E62900">
              <w:rPr>
                <w:rFonts w:ascii="Century Gothic" w:eastAsia="Times New Roman" w:hAnsi="Century Gothic"/>
                <w:i/>
                <w:sz w:val="20"/>
                <w:szCs w:val="20"/>
              </w:rPr>
              <w:t>Curriculum change – getting middle managers really comfortable – encourage, cajole</w:t>
            </w:r>
            <w:r w:rsidR="00E62900">
              <w:rPr>
                <w:rFonts w:ascii="Century Gothic" w:eastAsia="Times New Roman" w:hAnsi="Century Gothic"/>
                <w:i/>
                <w:sz w:val="20"/>
                <w:szCs w:val="20"/>
              </w:rPr>
              <w:t>.</w:t>
            </w:r>
          </w:p>
        </w:tc>
      </w:tr>
    </w:tbl>
    <w:p w14:paraId="18199C7A" w14:textId="7CE4BDAB" w:rsidR="00DC4448" w:rsidRPr="008B6DC4" w:rsidRDefault="00DC4448" w:rsidP="00E939AD"/>
    <w:sectPr w:rsidR="00DC4448" w:rsidRPr="008B6DC4" w:rsidSect="00DC4448">
      <w:pgSz w:w="16840" w:h="11900" w:orient="landscape"/>
      <w:pgMar w:top="1460" w:right="1440" w:bottom="180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6E89E" w14:textId="77777777" w:rsidR="00C511CC" w:rsidRDefault="00C511CC" w:rsidP="0025049C">
      <w:r>
        <w:separator/>
      </w:r>
    </w:p>
  </w:endnote>
  <w:endnote w:type="continuationSeparator" w:id="0">
    <w:p w14:paraId="5E5BCCA3" w14:textId="77777777" w:rsidR="00C511CC" w:rsidRDefault="00C511CC" w:rsidP="0025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FranklinGothic-Book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030D" w14:textId="77777777" w:rsidR="00C511CC" w:rsidRDefault="00C511CC" w:rsidP="00113B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755A8" w14:textId="77777777" w:rsidR="00C511CC" w:rsidRDefault="00C511CC" w:rsidP="00B63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7F83" w14:textId="3EED92B7" w:rsidR="00C511CC" w:rsidRDefault="00C511CC" w:rsidP="00AA0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809">
      <w:rPr>
        <w:rStyle w:val="PageNumber"/>
        <w:noProof/>
      </w:rPr>
      <w:t>3</w:t>
    </w:r>
    <w:r>
      <w:rPr>
        <w:rStyle w:val="PageNumber"/>
      </w:rPr>
      <w:fldChar w:fldCharType="end"/>
    </w:r>
  </w:p>
  <w:p w14:paraId="5F94E80F" w14:textId="66DDA9FA" w:rsidR="00C511CC" w:rsidRDefault="00C511CC" w:rsidP="00B63E33">
    <w:pPr>
      <w:pStyle w:val="Footer"/>
      <w:ind w:right="360"/>
      <w:jc w:val="right"/>
    </w:pPr>
  </w:p>
  <w:p w14:paraId="5EF557EC" w14:textId="77777777" w:rsidR="00C511CC" w:rsidRDefault="00C51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18A5" w14:textId="77777777" w:rsidR="00C511CC" w:rsidRDefault="00C511CC" w:rsidP="00113B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A7E82" w14:textId="77777777" w:rsidR="00C511CC" w:rsidRDefault="00C511CC" w:rsidP="00B63E3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ABCE2" w14:textId="1B9FC115" w:rsidR="00C511CC" w:rsidRDefault="00C511CC" w:rsidP="00AA0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809">
      <w:rPr>
        <w:rStyle w:val="PageNumber"/>
        <w:noProof/>
      </w:rPr>
      <w:t>43</w:t>
    </w:r>
    <w:r>
      <w:rPr>
        <w:rStyle w:val="PageNumber"/>
      </w:rPr>
      <w:fldChar w:fldCharType="end"/>
    </w:r>
  </w:p>
  <w:p w14:paraId="757D0FC7" w14:textId="77777777" w:rsidR="00C511CC" w:rsidRDefault="00C511CC" w:rsidP="00B63E33">
    <w:pPr>
      <w:pStyle w:val="Footer"/>
      <w:ind w:right="360"/>
      <w:jc w:val="right"/>
    </w:pPr>
  </w:p>
  <w:p w14:paraId="59D331CA" w14:textId="77777777" w:rsidR="00C511CC" w:rsidRDefault="00C5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ED63" w14:textId="77777777" w:rsidR="00C511CC" w:rsidRDefault="00C511CC" w:rsidP="0025049C">
      <w:r>
        <w:separator/>
      </w:r>
    </w:p>
  </w:footnote>
  <w:footnote w:type="continuationSeparator" w:id="0">
    <w:p w14:paraId="5389A214" w14:textId="77777777" w:rsidR="00C511CC" w:rsidRDefault="00C511CC" w:rsidP="0025049C">
      <w:r>
        <w:continuationSeparator/>
      </w:r>
    </w:p>
  </w:footnote>
  <w:footnote w:id="1">
    <w:p w14:paraId="1AC60509" w14:textId="77777777" w:rsidR="00C511CC" w:rsidRPr="00936605" w:rsidRDefault="00C511CC" w:rsidP="00936605">
      <w:pPr>
        <w:pStyle w:val="FootnoteText"/>
        <w:rPr>
          <w:rFonts w:ascii="Century Gothic" w:hAnsi="Century Gothic"/>
          <w:b/>
          <w:sz w:val="16"/>
          <w:szCs w:val="16"/>
        </w:rPr>
      </w:pPr>
      <w:r>
        <w:rPr>
          <w:rStyle w:val="FootnoteReference"/>
        </w:rPr>
        <w:footnoteRef/>
      </w:r>
      <w:r>
        <w:t xml:space="preserve"> </w:t>
      </w:r>
      <w:r w:rsidRPr="00936605">
        <w:rPr>
          <w:rFonts w:ascii="Century Gothic" w:hAnsi="Century Gothic"/>
          <w:sz w:val="16"/>
          <w:szCs w:val="16"/>
        </w:rPr>
        <w:t xml:space="preserve">‘System’ in the context of this review refers to the way </w:t>
      </w:r>
      <w:r w:rsidRPr="00936605">
        <w:rPr>
          <w:rFonts w:ascii="Century Gothic" w:hAnsi="Century Gothic" w:cs="Arial"/>
          <w:sz w:val="16"/>
          <w:szCs w:val="16"/>
          <w:lang w:val="en"/>
        </w:rPr>
        <w:t xml:space="preserve">structures, components and activities in an NGRB interrelate in providing a service to schools; in a systems approach  the impact of the sum of the parts is greater than the contribution of the individual parts.  </w:t>
      </w:r>
    </w:p>
  </w:footnote>
  <w:footnote w:id="2">
    <w:p w14:paraId="31A42BAF" w14:textId="128FCE34" w:rsidR="00C511CC" w:rsidRPr="00F52A4A" w:rsidRDefault="00C511CC" w:rsidP="00CC7398">
      <w:pPr>
        <w:pStyle w:val="FootnoteText"/>
        <w:rPr>
          <w:lang w:val="en-AU"/>
        </w:rPr>
      </w:pPr>
      <w:r>
        <w:rPr>
          <w:rStyle w:val="FootnoteReference"/>
        </w:rPr>
        <w:footnoteRef/>
      </w:r>
      <w:r>
        <w:t xml:space="preserve"> </w:t>
      </w:r>
      <w:r w:rsidRPr="00CD648A">
        <w:rPr>
          <w:rFonts w:ascii="Century Gothic" w:hAnsi="Century Gothic"/>
          <w:sz w:val="16"/>
          <w:szCs w:val="16"/>
        </w:rPr>
        <w:t xml:space="preserve">Derived from OECD (2013) </w:t>
      </w:r>
      <w:r w:rsidRPr="00CD648A">
        <w:rPr>
          <w:rFonts w:ascii="Century Gothic" w:hAnsi="Century Gothic"/>
          <w:i/>
          <w:sz w:val="16"/>
          <w:szCs w:val="16"/>
        </w:rPr>
        <w:t>Synergies for Better Learning: An international Perspective on Evaluation and Assessment,</w:t>
      </w:r>
      <w:r w:rsidRPr="00CD648A">
        <w:rPr>
          <w:rFonts w:ascii="Century Gothic" w:hAnsi="Century Gothic"/>
          <w:sz w:val="16"/>
          <w:szCs w:val="16"/>
        </w:rPr>
        <w:t xml:space="preserve"> OECD Reviews of Evaluation and Assessment in Educ</w:t>
      </w:r>
      <w:r>
        <w:rPr>
          <w:rFonts w:ascii="Century Gothic" w:hAnsi="Century Gothic"/>
          <w:sz w:val="16"/>
          <w:szCs w:val="16"/>
        </w:rPr>
        <w:t>ation, OECD Publishing, Paris.</w:t>
      </w:r>
    </w:p>
  </w:footnote>
  <w:footnote w:id="3">
    <w:p w14:paraId="09547935" w14:textId="0043D6A5" w:rsidR="00C511CC" w:rsidRPr="002F2D2D" w:rsidRDefault="00C511CC">
      <w:pPr>
        <w:pStyle w:val="FootnoteText"/>
        <w:rPr>
          <w:rFonts w:ascii="Century Gothic" w:hAnsi="Century Gothic"/>
          <w:sz w:val="18"/>
          <w:szCs w:val="18"/>
        </w:rPr>
      </w:pPr>
      <w:r>
        <w:rPr>
          <w:rStyle w:val="FootnoteReference"/>
        </w:rPr>
        <w:footnoteRef/>
      </w:r>
      <w:r>
        <w:t xml:space="preserve"> </w:t>
      </w:r>
      <w:r w:rsidRPr="002F2D2D">
        <w:rPr>
          <w:rFonts w:ascii="Century Gothic" w:hAnsi="Century Gothic"/>
          <w:sz w:val="18"/>
          <w:szCs w:val="18"/>
        </w:rPr>
        <w:t>The SFSF fund also includes a $10m allocation to the ACT which is out of scope for this review</w:t>
      </w:r>
    </w:p>
  </w:footnote>
  <w:footnote w:id="4">
    <w:p w14:paraId="22453EC8" w14:textId="77777777" w:rsidR="00C73301" w:rsidRPr="00BA05B7" w:rsidRDefault="00C73301" w:rsidP="00C73301">
      <w:pPr>
        <w:pStyle w:val="FootnoteText"/>
        <w:rPr>
          <w:rFonts w:ascii="Century Gothic" w:hAnsi="Century Gothic"/>
          <w:sz w:val="16"/>
          <w:szCs w:val="16"/>
        </w:rPr>
      </w:pPr>
      <w:r>
        <w:rPr>
          <w:rStyle w:val="FootnoteReference"/>
        </w:rPr>
        <w:footnoteRef/>
      </w:r>
      <w:r>
        <w:t xml:space="preserve"> </w:t>
      </w:r>
      <w:r>
        <w:rPr>
          <w:rFonts w:ascii="Century Gothic" w:hAnsi="Century Gothic"/>
          <w:sz w:val="16"/>
          <w:szCs w:val="16"/>
        </w:rPr>
        <w:t>A note on language:</w:t>
      </w:r>
      <w:r w:rsidRPr="00BA05B7">
        <w:rPr>
          <w:rFonts w:ascii="Century Gothic" w:hAnsi="Century Gothic"/>
          <w:sz w:val="16"/>
          <w:szCs w:val="16"/>
        </w:rPr>
        <w:t xml:space="preserve">  As seen above the language used in the MoUs and program guidelines is one of support for “national reforms…” and the five areas identified above are used by most but not all NGRBs in their planning and reporting documents.  The terms of this review asks whether the SFSF has been used to “…support the implementation of government policy priorities.”  For the purposes of this review the reform areas and policy priorities are taken to be identical.</w:t>
      </w:r>
    </w:p>
  </w:footnote>
  <w:footnote w:id="5">
    <w:p w14:paraId="6375467A" w14:textId="7C0D3C10" w:rsidR="00C511CC" w:rsidRPr="00C3372D" w:rsidRDefault="00C511CC">
      <w:pPr>
        <w:pStyle w:val="FootnoteText"/>
        <w:rPr>
          <w:lang w:val="en-AU"/>
        </w:rPr>
      </w:pPr>
      <w:r>
        <w:rPr>
          <w:rStyle w:val="FootnoteReference"/>
        </w:rPr>
        <w:footnoteRef/>
      </w:r>
      <w:r>
        <w:t xml:space="preserve"> </w:t>
      </w:r>
      <w:r w:rsidRPr="00C3372D">
        <w:rPr>
          <w:rFonts w:ascii="Century Gothic" w:hAnsi="Century Gothic"/>
          <w:sz w:val="16"/>
          <w:szCs w:val="16"/>
          <w:lang w:val="en"/>
        </w:rPr>
        <w:t>Burns,</w:t>
      </w:r>
      <w:r>
        <w:rPr>
          <w:rFonts w:ascii="Century Gothic" w:hAnsi="Century Gothic"/>
          <w:sz w:val="16"/>
          <w:szCs w:val="16"/>
          <w:lang w:val="en"/>
        </w:rPr>
        <w:t xml:space="preserve"> T., and Köster, F. (eds.) (2016)</w:t>
      </w:r>
      <w:r w:rsidRPr="00C3372D">
        <w:rPr>
          <w:rFonts w:ascii="Century Gothic" w:hAnsi="Century Gothic"/>
          <w:sz w:val="16"/>
          <w:szCs w:val="16"/>
          <w:lang w:val="en"/>
        </w:rPr>
        <w:t> </w:t>
      </w:r>
      <w:r w:rsidRPr="00C3372D">
        <w:rPr>
          <w:rStyle w:val="Emphasis"/>
          <w:rFonts w:ascii="Century Gothic" w:hAnsi="Century Gothic"/>
          <w:sz w:val="16"/>
          <w:szCs w:val="16"/>
          <w:lang w:val="en"/>
        </w:rPr>
        <w:t>Governing Education in a Complex World</w:t>
      </w:r>
      <w:r>
        <w:rPr>
          <w:rFonts w:ascii="Century Gothic" w:hAnsi="Century Gothic"/>
          <w:sz w:val="16"/>
          <w:szCs w:val="16"/>
          <w:lang w:val="en"/>
        </w:rPr>
        <w:t>, OECD Publishing, Paris.</w:t>
      </w:r>
    </w:p>
  </w:footnote>
  <w:footnote w:id="6">
    <w:p w14:paraId="6A167ADC" w14:textId="6DBDF8A1" w:rsidR="00C511CC" w:rsidRPr="00F52A4A" w:rsidRDefault="00C511CC">
      <w:pPr>
        <w:pStyle w:val="FootnoteText"/>
        <w:rPr>
          <w:lang w:val="en-AU"/>
        </w:rPr>
      </w:pPr>
      <w:r>
        <w:rPr>
          <w:rStyle w:val="FootnoteReference"/>
        </w:rPr>
        <w:footnoteRef/>
      </w:r>
      <w:r>
        <w:t xml:space="preserve"> </w:t>
      </w:r>
      <w:r w:rsidRPr="00CD648A">
        <w:rPr>
          <w:rFonts w:ascii="Century Gothic" w:hAnsi="Century Gothic"/>
          <w:sz w:val="16"/>
          <w:szCs w:val="16"/>
        </w:rPr>
        <w:t xml:space="preserve">Derived from OECD (2013) </w:t>
      </w:r>
      <w:r w:rsidRPr="00CD648A">
        <w:rPr>
          <w:rFonts w:ascii="Century Gothic" w:hAnsi="Century Gothic"/>
          <w:i/>
          <w:sz w:val="16"/>
          <w:szCs w:val="16"/>
        </w:rPr>
        <w:t>Synergies for Better Learning: An international Perspective on Evaluation and Assessment,</w:t>
      </w:r>
      <w:r w:rsidRPr="00CD648A">
        <w:rPr>
          <w:rFonts w:ascii="Century Gothic" w:hAnsi="Century Gothic"/>
          <w:sz w:val="16"/>
          <w:szCs w:val="16"/>
        </w:rPr>
        <w:t xml:space="preserve"> OECD Reviews of Evaluation and Assessment in Education, OECD Publishing, Paris.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84A5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53EA9"/>
    <w:multiLevelType w:val="hybridMultilevel"/>
    <w:tmpl w:val="3F6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31AEA"/>
    <w:multiLevelType w:val="hybridMultilevel"/>
    <w:tmpl w:val="6B228C18"/>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057D3301"/>
    <w:multiLevelType w:val="hybridMultilevel"/>
    <w:tmpl w:val="60529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10C6B"/>
    <w:multiLevelType w:val="hybridMultilevel"/>
    <w:tmpl w:val="2B42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13815"/>
    <w:multiLevelType w:val="hybridMultilevel"/>
    <w:tmpl w:val="54FE0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D3949"/>
    <w:multiLevelType w:val="hybridMultilevel"/>
    <w:tmpl w:val="B1B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1071A"/>
    <w:multiLevelType w:val="hybridMultilevel"/>
    <w:tmpl w:val="276EF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27417"/>
    <w:multiLevelType w:val="hybridMultilevel"/>
    <w:tmpl w:val="B13E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900FA"/>
    <w:multiLevelType w:val="hybridMultilevel"/>
    <w:tmpl w:val="324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15244"/>
    <w:multiLevelType w:val="hybridMultilevel"/>
    <w:tmpl w:val="97A4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671410"/>
    <w:multiLevelType w:val="hybridMultilevel"/>
    <w:tmpl w:val="A176993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24A99"/>
    <w:multiLevelType w:val="hybridMultilevel"/>
    <w:tmpl w:val="392EE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03080"/>
    <w:multiLevelType w:val="hybridMultilevel"/>
    <w:tmpl w:val="93662FF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5223A44"/>
    <w:multiLevelType w:val="hybridMultilevel"/>
    <w:tmpl w:val="1C78A924"/>
    <w:lvl w:ilvl="0" w:tplc="556C8A1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CF145A"/>
    <w:multiLevelType w:val="hybridMultilevel"/>
    <w:tmpl w:val="712C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D40C8"/>
    <w:multiLevelType w:val="hybridMultilevel"/>
    <w:tmpl w:val="E392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F2AD2"/>
    <w:multiLevelType w:val="hybridMultilevel"/>
    <w:tmpl w:val="D02A9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4A09F3"/>
    <w:multiLevelType w:val="hybridMultilevel"/>
    <w:tmpl w:val="B9905AB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3781070A"/>
    <w:multiLevelType w:val="hybridMultilevel"/>
    <w:tmpl w:val="05DAD19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267C2"/>
    <w:multiLevelType w:val="hybridMultilevel"/>
    <w:tmpl w:val="EA8CA4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3DD27119"/>
    <w:multiLevelType w:val="hybridMultilevel"/>
    <w:tmpl w:val="542ED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B2675"/>
    <w:multiLevelType w:val="hybridMultilevel"/>
    <w:tmpl w:val="0144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80F02"/>
    <w:multiLevelType w:val="hybridMultilevel"/>
    <w:tmpl w:val="9EE44126"/>
    <w:lvl w:ilvl="0" w:tplc="BF20B7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1A1AF2"/>
    <w:multiLevelType w:val="hybridMultilevel"/>
    <w:tmpl w:val="B18CE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9579E1"/>
    <w:multiLevelType w:val="hybridMultilevel"/>
    <w:tmpl w:val="EE24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DC6EB2"/>
    <w:multiLevelType w:val="hybridMultilevel"/>
    <w:tmpl w:val="E6AC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E16D04"/>
    <w:multiLevelType w:val="hybridMultilevel"/>
    <w:tmpl w:val="102CE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BD18E8"/>
    <w:multiLevelType w:val="hybridMultilevel"/>
    <w:tmpl w:val="5A0E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E96C60"/>
    <w:multiLevelType w:val="hybridMultilevel"/>
    <w:tmpl w:val="A9606E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04B5D60"/>
    <w:multiLevelType w:val="multilevel"/>
    <w:tmpl w:val="797AD07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B14C1B"/>
    <w:multiLevelType w:val="hybridMultilevel"/>
    <w:tmpl w:val="9A1817E4"/>
    <w:lvl w:ilvl="0" w:tplc="F84867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EA160A"/>
    <w:multiLevelType w:val="hybridMultilevel"/>
    <w:tmpl w:val="6A78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503EC1"/>
    <w:multiLevelType w:val="hybridMultilevel"/>
    <w:tmpl w:val="2C5E8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89623C"/>
    <w:multiLevelType w:val="multilevel"/>
    <w:tmpl w:val="A850B9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AED559A"/>
    <w:multiLevelType w:val="hybridMultilevel"/>
    <w:tmpl w:val="87288C8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6" w15:restartNumberingAfterBreak="0">
    <w:nsid w:val="6F6541F9"/>
    <w:multiLevelType w:val="hybridMultilevel"/>
    <w:tmpl w:val="729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97569"/>
    <w:multiLevelType w:val="hybridMultilevel"/>
    <w:tmpl w:val="20C6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A5637"/>
    <w:multiLevelType w:val="hybridMultilevel"/>
    <w:tmpl w:val="2DCEB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007D83"/>
    <w:multiLevelType w:val="hybridMultilevel"/>
    <w:tmpl w:val="B8566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872D09"/>
    <w:multiLevelType w:val="hybridMultilevel"/>
    <w:tmpl w:val="AD24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102E2"/>
    <w:multiLevelType w:val="hybridMultilevel"/>
    <w:tmpl w:val="EE04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4"/>
  </w:num>
  <w:num w:numId="4">
    <w:abstractNumId w:val="35"/>
  </w:num>
  <w:num w:numId="5">
    <w:abstractNumId w:val="0"/>
  </w:num>
  <w:num w:numId="6">
    <w:abstractNumId w:val="24"/>
  </w:num>
  <w:num w:numId="7">
    <w:abstractNumId w:val="19"/>
  </w:num>
  <w:num w:numId="8">
    <w:abstractNumId w:val="1"/>
  </w:num>
  <w:num w:numId="9">
    <w:abstractNumId w:val="8"/>
  </w:num>
  <w:num w:numId="10">
    <w:abstractNumId w:val="26"/>
  </w:num>
  <w:num w:numId="11">
    <w:abstractNumId w:val="12"/>
  </w:num>
  <w:num w:numId="12">
    <w:abstractNumId w:val="18"/>
  </w:num>
  <w:num w:numId="13">
    <w:abstractNumId w:val="41"/>
  </w:num>
  <w:num w:numId="14">
    <w:abstractNumId w:val="11"/>
  </w:num>
  <w:num w:numId="15">
    <w:abstractNumId w:val="5"/>
  </w:num>
  <w:num w:numId="16">
    <w:abstractNumId w:val="38"/>
  </w:num>
  <w:num w:numId="17">
    <w:abstractNumId w:val="23"/>
  </w:num>
  <w:num w:numId="18">
    <w:abstractNumId w:val="31"/>
  </w:num>
  <w:num w:numId="19">
    <w:abstractNumId w:val="25"/>
  </w:num>
  <w:num w:numId="20">
    <w:abstractNumId w:val="32"/>
  </w:num>
  <w:num w:numId="21">
    <w:abstractNumId w:val="9"/>
  </w:num>
  <w:num w:numId="22">
    <w:abstractNumId w:val="33"/>
  </w:num>
  <w:num w:numId="23">
    <w:abstractNumId w:val="28"/>
  </w:num>
  <w:num w:numId="24">
    <w:abstractNumId w:val="7"/>
  </w:num>
  <w:num w:numId="25">
    <w:abstractNumId w:val="21"/>
  </w:num>
  <w:num w:numId="26">
    <w:abstractNumId w:val="22"/>
  </w:num>
  <w:num w:numId="27">
    <w:abstractNumId w:val="13"/>
  </w:num>
  <w:num w:numId="28">
    <w:abstractNumId w:val="30"/>
  </w:num>
  <w:num w:numId="29">
    <w:abstractNumId w:val="29"/>
  </w:num>
  <w:num w:numId="30">
    <w:abstractNumId w:val="20"/>
  </w:num>
  <w:num w:numId="31">
    <w:abstractNumId w:val="27"/>
  </w:num>
  <w:num w:numId="32">
    <w:abstractNumId w:val="10"/>
  </w:num>
  <w:num w:numId="33">
    <w:abstractNumId w:val="3"/>
  </w:num>
  <w:num w:numId="34">
    <w:abstractNumId w:val="6"/>
  </w:num>
  <w:num w:numId="35">
    <w:abstractNumId w:val="15"/>
  </w:num>
  <w:num w:numId="36">
    <w:abstractNumId w:val="39"/>
  </w:num>
  <w:num w:numId="37">
    <w:abstractNumId w:val="37"/>
  </w:num>
  <w:num w:numId="38">
    <w:abstractNumId w:val="16"/>
  </w:num>
  <w:num w:numId="39">
    <w:abstractNumId w:val="36"/>
  </w:num>
  <w:num w:numId="40">
    <w:abstractNumId w:val="34"/>
  </w:num>
  <w:num w:numId="41">
    <w:abstractNumId w:val="17"/>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AD"/>
    <w:rsid w:val="00001F86"/>
    <w:rsid w:val="00001FB7"/>
    <w:rsid w:val="000024B6"/>
    <w:rsid w:val="0000474E"/>
    <w:rsid w:val="000144CE"/>
    <w:rsid w:val="00017103"/>
    <w:rsid w:val="00020AED"/>
    <w:rsid w:val="0002792A"/>
    <w:rsid w:val="00030D20"/>
    <w:rsid w:val="00031490"/>
    <w:rsid w:val="000334BA"/>
    <w:rsid w:val="00041C36"/>
    <w:rsid w:val="00043A76"/>
    <w:rsid w:val="00054378"/>
    <w:rsid w:val="00055EDC"/>
    <w:rsid w:val="00057D87"/>
    <w:rsid w:val="00057F9F"/>
    <w:rsid w:val="0006599D"/>
    <w:rsid w:val="0007157D"/>
    <w:rsid w:val="000737A5"/>
    <w:rsid w:val="00073B79"/>
    <w:rsid w:val="000942C0"/>
    <w:rsid w:val="00094310"/>
    <w:rsid w:val="000A0D25"/>
    <w:rsid w:val="000A10EF"/>
    <w:rsid w:val="000A691F"/>
    <w:rsid w:val="000B1CAA"/>
    <w:rsid w:val="000B434A"/>
    <w:rsid w:val="000B4732"/>
    <w:rsid w:val="000B7377"/>
    <w:rsid w:val="000B7CEB"/>
    <w:rsid w:val="000C47A6"/>
    <w:rsid w:val="000C4E99"/>
    <w:rsid w:val="000C52CC"/>
    <w:rsid w:val="000C704B"/>
    <w:rsid w:val="000C7723"/>
    <w:rsid w:val="000D1B9F"/>
    <w:rsid w:val="000D3667"/>
    <w:rsid w:val="000D47FF"/>
    <w:rsid w:val="000D6113"/>
    <w:rsid w:val="000E13F0"/>
    <w:rsid w:val="00106E27"/>
    <w:rsid w:val="00113BC4"/>
    <w:rsid w:val="00117482"/>
    <w:rsid w:val="001177CC"/>
    <w:rsid w:val="001218E8"/>
    <w:rsid w:val="00122D12"/>
    <w:rsid w:val="0012614E"/>
    <w:rsid w:val="00126CAD"/>
    <w:rsid w:val="001434D7"/>
    <w:rsid w:val="00144496"/>
    <w:rsid w:val="00160F3B"/>
    <w:rsid w:val="00162377"/>
    <w:rsid w:val="00163D3A"/>
    <w:rsid w:val="00164C0B"/>
    <w:rsid w:val="00171DB4"/>
    <w:rsid w:val="00180684"/>
    <w:rsid w:val="001842E5"/>
    <w:rsid w:val="001900A1"/>
    <w:rsid w:val="001904A2"/>
    <w:rsid w:val="00196701"/>
    <w:rsid w:val="00197C85"/>
    <w:rsid w:val="001A045F"/>
    <w:rsid w:val="001A0555"/>
    <w:rsid w:val="001B6467"/>
    <w:rsid w:val="001C4EF9"/>
    <w:rsid w:val="001C71D4"/>
    <w:rsid w:val="001D2941"/>
    <w:rsid w:val="001D3E6F"/>
    <w:rsid w:val="001E04AA"/>
    <w:rsid w:val="001E3110"/>
    <w:rsid w:val="001E3A3B"/>
    <w:rsid w:val="001E3A8C"/>
    <w:rsid w:val="001E5A47"/>
    <w:rsid w:val="001F55BF"/>
    <w:rsid w:val="00200002"/>
    <w:rsid w:val="00205FD1"/>
    <w:rsid w:val="002121E9"/>
    <w:rsid w:val="002246B5"/>
    <w:rsid w:val="002273DE"/>
    <w:rsid w:val="00227EAA"/>
    <w:rsid w:val="00235AD7"/>
    <w:rsid w:val="00250463"/>
    <w:rsid w:val="0025049C"/>
    <w:rsid w:val="00251457"/>
    <w:rsid w:val="00262495"/>
    <w:rsid w:val="002657C8"/>
    <w:rsid w:val="00285159"/>
    <w:rsid w:val="00291CD4"/>
    <w:rsid w:val="002A15AF"/>
    <w:rsid w:val="002A2C8B"/>
    <w:rsid w:val="002B51EC"/>
    <w:rsid w:val="002C6ABD"/>
    <w:rsid w:val="002E37A1"/>
    <w:rsid w:val="002E72D5"/>
    <w:rsid w:val="002E7B28"/>
    <w:rsid w:val="002F2D2D"/>
    <w:rsid w:val="00301150"/>
    <w:rsid w:val="003014DA"/>
    <w:rsid w:val="003017BE"/>
    <w:rsid w:val="00307F60"/>
    <w:rsid w:val="0031307A"/>
    <w:rsid w:val="00324460"/>
    <w:rsid w:val="00325F30"/>
    <w:rsid w:val="00326BB4"/>
    <w:rsid w:val="0033288A"/>
    <w:rsid w:val="003334F3"/>
    <w:rsid w:val="00336487"/>
    <w:rsid w:val="00345CA2"/>
    <w:rsid w:val="00345D4D"/>
    <w:rsid w:val="00347BAE"/>
    <w:rsid w:val="003607B4"/>
    <w:rsid w:val="00361753"/>
    <w:rsid w:val="003647FF"/>
    <w:rsid w:val="00366EBE"/>
    <w:rsid w:val="00372633"/>
    <w:rsid w:val="00374AF3"/>
    <w:rsid w:val="00380B6A"/>
    <w:rsid w:val="00384095"/>
    <w:rsid w:val="003843C9"/>
    <w:rsid w:val="00384CF5"/>
    <w:rsid w:val="0039069F"/>
    <w:rsid w:val="00397430"/>
    <w:rsid w:val="003A141D"/>
    <w:rsid w:val="003A22E5"/>
    <w:rsid w:val="003A3CAE"/>
    <w:rsid w:val="003A5D8A"/>
    <w:rsid w:val="003A73BA"/>
    <w:rsid w:val="003B15C7"/>
    <w:rsid w:val="003B766F"/>
    <w:rsid w:val="003C63BF"/>
    <w:rsid w:val="003E155D"/>
    <w:rsid w:val="003E4DD0"/>
    <w:rsid w:val="003E5526"/>
    <w:rsid w:val="003E582E"/>
    <w:rsid w:val="003F23F7"/>
    <w:rsid w:val="003F333A"/>
    <w:rsid w:val="003F3AAA"/>
    <w:rsid w:val="003F575B"/>
    <w:rsid w:val="0040182E"/>
    <w:rsid w:val="004025B3"/>
    <w:rsid w:val="004079FB"/>
    <w:rsid w:val="00411D6C"/>
    <w:rsid w:val="00425BFD"/>
    <w:rsid w:val="00432291"/>
    <w:rsid w:val="00434F9F"/>
    <w:rsid w:val="00435CD4"/>
    <w:rsid w:val="0044117E"/>
    <w:rsid w:val="004513B9"/>
    <w:rsid w:val="004515FA"/>
    <w:rsid w:val="00455622"/>
    <w:rsid w:val="0046119A"/>
    <w:rsid w:val="00464AE0"/>
    <w:rsid w:val="00464F37"/>
    <w:rsid w:val="00467A4D"/>
    <w:rsid w:val="00475A8E"/>
    <w:rsid w:val="00476557"/>
    <w:rsid w:val="00484955"/>
    <w:rsid w:val="00493F6B"/>
    <w:rsid w:val="004A6DB7"/>
    <w:rsid w:val="004B1B81"/>
    <w:rsid w:val="004B2D8A"/>
    <w:rsid w:val="004B7DEC"/>
    <w:rsid w:val="004D30A2"/>
    <w:rsid w:val="004D7971"/>
    <w:rsid w:val="004E3609"/>
    <w:rsid w:val="004E7033"/>
    <w:rsid w:val="00505205"/>
    <w:rsid w:val="00505E45"/>
    <w:rsid w:val="00507F0F"/>
    <w:rsid w:val="005110DD"/>
    <w:rsid w:val="0051386C"/>
    <w:rsid w:val="005178D0"/>
    <w:rsid w:val="005218B8"/>
    <w:rsid w:val="00521E1F"/>
    <w:rsid w:val="00532CEC"/>
    <w:rsid w:val="005425D6"/>
    <w:rsid w:val="00544E1E"/>
    <w:rsid w:val="00546419"/>
    <w:rsid w:val="005467D3"/>
    <w:rsid w:val="00560D2C"/>
    <w:rsid w:val="00560DAE"/>
    <w:rsid w:val="005621A8"/>
    <w:rsid w:val="005638F6"/>
    <w:rsid w:val="00564320"/>
    <w:rsid w:val="00566D11"/>
    <w:rsid w:val="00572246"/>
    <w:rsid w:val="005731FF"/>
    <w:rsid w:val="00582C99"/>
    <w:rsid w:val="00584B3C"/>
    <w:rsid w:val="00597635"/>
    <w:rsid w:val="005A2D7B"/>
    <w:rsid w:val="005A7829"/>
    <w:rsid w:val="005B53FF"/>
    <w:rsid w:val="005C0963"/>
    <w:rsid w:val="005C4169"/>
    <w:rsid w:val="005C4B07"/>
    <w:rsid w:val="005D40DE"/>
    <w:rsid w:val="005D42A5"/>
    <w:rsid w:val="005D5B7D"/>
    <w:rsid w:val="005D5CD2"/>
    <w:rsid w:val="005E08A0"/>
    <w:rsid w:val="005E6369"/>
    <w:rsid w:val="005F38E8"/>
    <w:rsid w:val="005F6D1D"/>
    <w:rsid w:val="006050BD"/>
    <w:rsid w:val="006073E7"/>
    <w:rsid w:val="006074D0"/>
    <w:rsid w:val="00622919"/>
    <w:rsid w:val="00623693"/>
    <w:rsid w:val="00626506"/>
    <w:rsid w:val="00627419"/>
    <w:rsid w:val="00633CE5"/>
    <w:rsid w:val="00642AA2"/>
    <w:rsid w:val="0064309F"/>
    <w:rsid w:val="006568FF"/>
    <w:rsid w:val="00656DFD"/>
    <w:rsid w:val="00657683"/>
    <w:rsid w:val="00661A42"/>
    <w:rsid w:val="00670DF0"/>
    <w:rsid w:val="006804E7"/>
    <w:rsid w:val="006910D0"/>
    <w:rsid w:val="006969A1"/>
    <w:rsid w:val="006A008B"/>
    <w:rsid w:val="006A1D2B"/>
    <w:rsid w:val="006A33C1"/>
    <w:rsid w:val="006A4F15"/>
    <w:rsid w:val="006A55DE"/>
    <w:rsid w:val="006A6D1A"/>
    <w:rsid w:val="006B0682"/>
    <w:rsid w:val="006B2E57"/>
    <w:rsid w:val="006B4CB2"/>
    <w:rsid w:val="006B62C4"/>
    <w:rsid w:val="006C4135"/>
    <w:rsid w:val="006C7EB4"/>
    <w:rsid w:val="006D62C6"/>
    <w:rsid w:val="006D6B32"/>
    <w:rsid w:val="006E2942"/>
    <w:rsid w:val="006E5FD6"/>
    <w:rsid w:val="006F37F8"/>
    <w:rsid w:val="00710F76"/>
    <w:rsid w:val="00713DD2"/>
    <w:rsid w:val="00720F42"/>
    <w:rsid w:val="007239F5"/>
    <w:rsid w:val="007274AD"/>
    <w:rsid w:val="00735741"/>
    <w:rsid w:val="00736123"/>
    <w:rsid w:val="00736B3B"/>
    <w:rsid w:val="00741B98"/>
    <w:rsid w:val="00745BB1"/>
    <w:rsid w:val="00751344"/>
    <w:rsid w:val="007513E7"/>
    <w:rsid w:val="00752BB6"/>
    <w:rsid w:val="0075647F"/>
    <w:rsid w:val="00760440"/>
    <w:rsid w:val="00763F37"/>
    <w:rsid w:val="00764BF1"/>
    <w:rsid w:val="00765F2A"/>
    <w:rsid w:val="00767CA5"/>
    <w:rsid w:val="007708EE"/>
    <w:rsid w:val="00784437"/>
    <w:rsid w:val="00784555"/>
    <w:rsid w:val="007868B8"/>
    <w:rsid w:val="007879CD"/>
    <w:rsid w:val="00794B26"/>
    <w:rsid w:val="007A23C4"/>
    <w:rsid w:val="007A541F"/>
    <w:rsid w:val="007A6ABE"/>
    <w:rsid w:val="007A7B36"/>
    <w:rsid w:val="007B7111"/>
    <w:rsid w:val="007C7FAF"/>
    <w:rsid w:val="007F296C"/>
    <w:rsid w:val="00801C49"/>
    <w:rsid w:val="00803995"/>
    <w:rsid w:val="00813606"/>
    <w:rsid w:val="00820769"/>
    <w:rsid w:val="00821ADB"/>
    <w:rsid w:val="00832627"/>
    <w:rsid w:val="008362AF"/>
    <w:rsid w:val="00837619"/>
    <w:rsid w:val="00837879"/>
    <w:rsid w:val="00837C9A"/>
    <w:rsid w:val="008400EA"/>
    <w:rsid w:val="00843E60"/>
    <w:rsid w:val="00846B8A"/>
    <w:rsid w:val="008530B2"/>
    <w:rsid w:val="00853F64"/>
    <w:rsid w:val="008561FB"/>
    <w:rsid w:val="00856E81"/>
    <w:rsid w:val="0085758B"/>
    <w:rsid w:val="00862AE1"/>
    <w:rsid w:val="00863B89"/>
    <w:rsid w:val="00865D49"/>
    <w:rsid w:val="00870294"/>
    <w:rsid w:val="008724D0"/>
    <w:rsid w:val="008738F6"/>
    <w:rsid w:val="00874A50"/>
    <w:rsid w:val="008812DD"/>
    <w:rsid w:val="00884E75"/>
    <w:rsid w:val="00891273"/>
    <w:rsid w:val="00894714"/>
    <w:rsid w:val="00897735"/>
    <w:rsid w:val="008A2464"/>
    <w:rsid w:val="008B3000"/>
    <w:rsid w:val="008B6DC4"/>
    <w:rsid w:val="008B7E4D"/>
    <w:rsid w:val="008C0B21"/>
    <w:rsid w:val="008C171A"/>
    <w:rsid w:val="008C2FDB"/>
    <w:rsid w:val="008C33F8"/>
    <w:rsid w:val="008C53C1"/>
    <w:rsid w:val="008D0173"/>
    <w:rsid w:val="008D2C1C"/>
    <w:rsid w:val="008D32F8"/>
    <w:rsid w:val="008D6672"/>
    <w:rsid w:val="008E0A6C"/>
    <w:rsid w:val="008E557E"/>
    <w:rsid w:val="008E560A"/>
    <w:rsid w:val="008E645F"/>
    <w:rsid w:val="008E7F49"/>
    <w:rsid w:val="00903E72"/>
    <w:rsid w:val="00904F18"/>
    <w:rsid w:val="009101DA"/>
    <w:rsid w:val="00912464"/>
    <w:rsid w:val="009134FF"/>
    <w:rsid w:val="009152BC"/>
    <w:rsid w:val="00924C3C"/>
    <w:rsid w:val="00926C4F"/>
    <w:rsid w:val="00935D6A"/>
    <w:rsid w:val="00936605"/>
    <w:rsid w:val="009376B0"/>
    <w:rsid w:val="0094423F"/>
    <w:rsid w:val="00952BD5"/>
    <w:rsid w:val="00956B4B"/>
    <w:rsid w:val="00961128"/>
    <w:rsid w:val="009617E9"/>
    <w:rsid w:val="00962313"/>
    <w:rsid w:val="00965842"/>
    <w:rsid w:val="00965DED"/>
    <w:rsid w:val="00972C34"/>
    <w:rsid w:val="0097427B"/>
    <w:rsid w:val="009838C7"/>
    <w:rsid w:val="00993BC8"/>
    <w:rsid w:val="00995DD5"/>
    <w:rsid w:val="009C2528"/>
    <w:rsid w:val="009C4470"/>
    <w:rsid w:val="009C456F"/>
    <w:rsid w:val="009D199A"/>
    <w:rsid w:val="009D3190"/>
    <w:rsid w:val="009D6133"/>
    <w:rsid w:val="009D72FF"/>
    <w:rsid w:val="009D7B01"/>
    <w:rsid w:val="009E0A97"/>
    <w:rsid w:val="009E2F2A"/>
    <w:rsid w:val="009F37F3"/>
    <w:rsid w:val="00A01677"/>
    <w:rsid w:val="00A10FF4"/>
    <w:rsid w:val="00A14DF9"/>
    <w:rsid w:val="00A33D23"/>
    <w:rsid w:val="00A33D87"/>
    <w:rsid w:val="00A3437D"/>
    <w:rsid w:val="00A37806"/>
    <w:rsid w:val="00A55453"/>
    <w:rsid w:val="00A647CE"/>
    <w:rsid w:val="00A72C21"/>
    <w:rsid w:val="00A74F69"/>
    <w:rsid w:val="00A80C51"/>
    <w:rsid w:val="00A8115E"/>
    <w:rsid w:val="00A81702"/>
    <w:rsid w:val="00A837CE"/>
    <w:rsid w:val="00AA07C4"/>
    <w:rsid w:val="00AA16BA"/>
    <w:rsid w:val="00AA1B5D"/>
    <w:rsid w:val="00AA2A3B"/>
    <w:rsid w:val="00AC101D"/>
    <w:rsid w:val="00AC4028"/>
    <w:rsid w:val="00AD5837"/>
    <w:rsid w:val="00AD6321"/>
    <w:rsid w:val="00AE4902"/>
    <w:rsid w:val="00AF3DFD"/>
    <w:rsid w:val="00AF4D94"/>
    <w:rsid w:val="00B007CC"/>
    <w:rsid w:val="00B01B03"/>
    <w:rsid w:val="00B01F36"/>
    <w:rsid w:val="00B111B4"/>
    <w:rsid w:val="00B12F51"/>
    <w:rsid w:val="00B14050"/>
    <w:rsid w:val="00B20555"/>
    <w:rsid w:val="00B22936"/>
    <w:rsid w:val="00B23112"/>
    <w:rsid w:val="00B325E1"/>
    <w:rsid w:val="00B437EF"/>
    <w:rsid w:val="00B43D4F"/>
    <w:rsid w:val="00B43EF1"/>
    <w:rsid w:val="00B47B7F"/>
    <w:rsid w:val="00B52D7A"/>
    <w:rsid w:val="00B561A6"/>
    <w:rsid w:val="00B614E1"/>
    <w:rsid w:val="00B61B0E"/>
    <w:rsid w:val="00B63E33"/>
    <w:rsid w:val="00B6594C"/>
    <w:rsid w:val="00B65985"/>
    <w:rsid w:val="00B65B5D"/>
    <w:rsid w:val="00B6601B"/>
    <w:rsid w:val="00B666CC"/>
    <w:rsid w:val="00B66990"/>
    <w:rsid w:val="00B677D9"/>
    <w:rsid w:val="00B7030B"/>
    <w:rsid w:val="00B748A1"/>
    <w:rsid w:val="00B76A47"/>
    <w:rsid w:val="00B81BCA"/>
    <w:rsid w:val="00B852E5"/>
    <w:rsid w:val="00B977E4"/>
    <w:rsid w:val="00BA05B7"/>
    <w:rsid w:val="00BA46C3"/>
    <w:rsid w:val="00BB77EE"/>
    <w:rsid w:val="00BC0A6B"/>
    <w:rsid w:val="00BC0B25"/>
    <w:rsid w:val="00BD44A0"/>
    <w:rsid w:val="00BD6300"/>
    <w:rsid w:val="00BE35BC"/>
    <w:rsid w:val="00BF361D"/>
    <w:rsid w:val="00BF4157"/>
    <w:rsid w:val="00C00616"/>
    <w:rsid w:val="00C008B2"/>
    <w:rsid w:val="00C13508"/>
    <w:rsid w:val="00C1398B"/>
    <w:rsid w:val="00C141EE"/>
    <w:rsid w:val="00C15F9A"/>
    <w:rsid w:val="00C227AF"/>
    <w:rsid w:val="00C2634B"/>
    <w:rsid w:val="00C3002F"/>
    <w:rsid w:val="00C31922"/>
    <w:rsid w:val="00C33375"/>
    <w:rsid w:val="00C3372D"/>
    <w:rsid w:val="00C366C6"/>
    <w:rsid w:val="00C453CD"/>
    <w:rsid w:val="00C511CC"/>
    <w:rsid w:val="00C52468"/>
    <w:rsid w:val="00C54D48"/>
    <w:rsid w:val="00C6123F"/>
    <w:rsid w:val="00C73301"/>
    <w:rsid w:val="00C84B46"/>
    <w:rsid w:val="00C95A6C"/>
    <w:rsid w:val="00C97557"/>
    <w:rsid w:val="00CA4247"/>
    <w:rsid w:val="00CA48C7"/>
    <w:rsid w:val="00CA4C45"/>
    <w:rsid w:val="00CA4F0A"/>
    <w:rsid w:val="00CB03F2"/>
    <w:rsid w:val="00CB26E5"/>
    <w:rsid w:val="00CB38D4"/>
    <w:rsid w:val="00CC7398"/>
    <w:rsid w:val="00CD02E8"/>
    <w:rsid w:val="00CD0931"/>
    <w:rsid w:val="00CD1809"/>
    <w:rsid w:val="00CD356D"/>
    <w:rsid w:val="00CD4DDE"/>
    <w:rsid w:val="00CD648A"/>
    <w:rsid w:val="00CE2347"/>
    <w:rsid w:val="00CF3134"/>
    <w:rsid w:val="00D05D61"/>
    <w:rsid w:val="00D0640D"/>
    <w:rsid w:val="00D118C2"/>
    <w:rsid w:val="00D11B63"/>
    <w:rsid w:val="00D14545"/>
    <w:rsid w:val="00D16E5F"/>
    <w:rsid w:val="00D31D94"/>
    <w:rsid w:val="00D32CC3"/>
    <w:rsid w:val="00D4170D"/>
    <w:rsid w:val="00D462AD"/>
    <w:rsid w:val="00D46F6A"/>
    <w:rsid w:val="00D53409"/>
    <w:rsid w:val="00D53A5D"/>
    <w:rsid w:val="00D60239"/>
    <w:rsid w:val="00D62295"/>
    <w:rsid w:val="00D6448F"/>
    <w:rsid w:val="00D66C62"/>
    <w:rsid w:val="00D73C13"/>
    <w:rsid w:val="00D763BE"/>
    <w:rsid w:val="00D837E4"/>
    <w:rsid w:val="00D90158"/>
    <w:rsid w:val="00D9084D"/>
    <w:rsid w:val="00D94293"/>
    <w:rsid w:val="00D964B1"/>
    <w:rsid w:val="00DA5B9A"/>
    <w:rsid w:val="00DA6B7C"/>
    <w:rsid w:val="00DA7759"/>
    <w:rsid w:val="00DA7ADA"/>
    <w:rsid w:val="00DB0E47"/>
    <w:rsid w:val="00DB39DA"/>
    <w:rsid w:val="00DB5910"/>
    <w:rsid w:val="00DC4448"/>
    <w:rsid w:val="00DC76AC"/>
    <w:rsid w:val="00DC7CC8"/>
    <w:rsid w:val="00DD2A48"/>
    <w:rsid w:val="00DE0251"/>
    <w:rsid w:val="00DE0C66"/>
    <w:rsid w:val="00DE6BC4"/>
    <w:rsid w:val="00DE7162"/>
    <w:rsid w:val="00DF2417"/>
    <w:rsid w:val="00DF4BD7"/>
    <w:rsid w:val="00E051E8"/>
    <w:rsid w:val="00E220D7"/>
    <w:rsid w:val="00E27129"/>
    <w:rsid w:val="00E374AE"/>
    <w:rsid w:val="00E40D2B"/>
    <w:rsid w:val="00E437B1"/>
    <w:rsid w:val="00E457DB"/>
    <w:rsid w:val="00E53E97"/>
    <w:rsid w:val="00E62900"/>
    <w:rsid w:val="00E63B15"/>
    <w:rsid w:val="00E662B2"/>
    <w:rsid w:val="00E7378F"/>
    <w:rsid w:val="00E74298"/>
    <w:rsid w:val="00E81E4C"/>
    <w:rsid w:val="00E917C0"/>
    <w:rsid w:val="00E9208E"/>
    <w:rsid w:val="00E9352A"/>
    <w:rsid w:val="00E939AD"/>
    <w:rsid w:val="00EA19E3"/>
    <w:rsid w:val="00EA6295"/>
    <w:rsid w:val="00EA64C2"/>
    <w:rsid w:val="00EA77BD"/>
    <w:rsid w:val="00EC076C"/>
    <w:rsid w:val="00EC153A"/>
    <w:rsid w:val="00EC23C6"/>
    <w:rsid w:val="00EC27B8"/>
    <w:rsid w:val="00EC2B8B"/>
    <w:rsid w:val="00EC7309"/>
    <w:rsid w:val="00ED06AB"/>
    <w:rsid w:val="00ED661F"/>
    <w:rsid w:val="00EE187B"/>
    <w:rsid w:val="00EE465D"/>
    <w:rsid w:val="00EE780E"/>
    <w:rsid w:val="00EF304E"/>
    <w:rsid w:val="00EF56C2"/>
    <w:rsid w:val="00F10694"/>
    <w:rsid w:val="00F21EA2"/>
    <w:rsid w:val="00F251AB"/>
    <w:rsid w:val="00F263E9"/>
    <w:rsid w:val="00F277DF"/>
    <w:rsid w:val="00F318C8"/>
    <w:rsid w:val="00F3737F"/>
    <w:rsid w:val="00F40AF3"/>
    <w:rsid w:val="00F43816"/>
    <w:rsid w:val="00F43973"/>
    <w:rsid w:val="00F43C71"/>
    <w:rsid w:val="00F453A9"/>
    <w:rsid w:val="00F45FF6"/>
    <w:rsid w:val="00F47833"/>
    <w:rsid w:val="00F52A4A"/>
    <w:rsid w:val="00F534C7"/>
    <w:rsid w:val="00F53A44"/>
    <w:rsid w:val="00F54F69"/>
    <w:rsid w:val="00F62A87"/>
    <w:rsid w:val="00F66DD5"/>
    <w:rsid w:val="00F71AD9"/>
    <w:rsid w:val="00F77FF2"/>
    <w:rsid w:val="00F90FE5"/>
    <w:rsid w:val="00F96B81"/>
    <w:rsid w:val="00FA02C4"/>
    <w:rsid w:val="00FA090E"/>
    <w:rsid w:val="00FB32C2"/>
    <w:rsid w:val="00FB74BF"/>
    <w:rsid w:val="00FC2F43"/>
    <w:rsid w:val="00FC4E2D"/>
    <w:rsid w:val="00FC566A"/>
    <w:rsid w:val="00FD3900"/>
    <w:rsid w:val="00FF5FD9"/>
    <w:rsid w:val="00FF6931"/>
    <w:rsid w:val="00FF7C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33FC2"/>
  <w15:docId w15:val="{F5B066EC-5EF5-4218-AEA0-876E74E6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4437"/>
    <w:pPr>
      <w:keepNext/>
      <w:keepLines/>
      <w:spacing w:before="200" w:after="120"/>
      <w:outlineLvl w:val="0"/>
    </w:pPr>
    <w:rPr>
      <w:rFonts w:ascii="Century Gothic" w:eastAsiaTheme="majorEastAsia" w:hAnsi="Century Gothic" w:cstheme="majorBidi"/>
      <w:b/>
      <w:bCs/>
      <w:color w:val="365F91" w:themeColor="accent1" w:themeShade="BF"/>
      <w:sz w:val="26"/>
      <w:szCs w:val="26"/>
      <w:u w:val="single"/>
      <w:lang w:val="en-AU"/>
    </w:rPr>
  </w:style>
  <w:style w:type="paragraph" w:styleId="Heading2">
    <w:name w:val="heading 2"/>
    <w:basedOn w:val="Normal"/>
    <w:next w:val="Normal"/>
    <w:link w:val="Heading2Char"/>
    <w:uiPriority w:val="9"/>
    <w:unhideWhenUsed/>
    <w:qFormat/>
    <w:rsid w:val="00484955"/>
    <w:pPr>
      <w:keepNext/>
      <w:keepLines/>
      <w:spacing w:before="200" w:after="120"/>
      <w:outlineLvl w:val="1"/>
    </w:pPr>
    <w:rPr>
      <w:rFonts w:ascii="Century Gothic" w:eastAsiaTheme="majorEastAsia" w:hAnsi="Century Gothic" w:cstheme="majorBidi"/>
      <w:b/>
      <w:bCs/>
      <w:color w:val="0070C0"/>
      <w:sz w:val="26"/>
      <w:szCs w:val="26"/>
    </w:rPr>
  </w:style>
  <w:style w:type="paragraph" w:styleId="Heading3">
    <w:name w:val="heading 3"/>
    <w:basedOn w:val="Normal"/>
    <w:next w:val="Normal"/>
    <w:link w:val="Heading3Char"/>
    <w:uiPriority w:val="9"/>
    <w:unhideWhenUsed/>
    <w:qFormat/>
    <w:rsid w:val="00F439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3C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37"/>
    <w:rPr>
      <w:rFonts w:ascii="Century Gothic" w:eastAsiaTheme="majorEastAsia" w:hAnsi="Century Gothic" w:cstheme="majorBidi"/>
      <w:b/>
      <w:bCs/>
      <w:color w:val="365F91" w:themeColor="accent1" w:themeShade="BF"/>
      <w:sz w:val="26"/>
      <w:szCs w:val="26"/>
      <w:u w:val="single"/>
      <w:lang w:val="en-AU"/>
    </w:rPr>
  </w:style>
  <w:style w:type="character" w:customStyle="1" w:styleId="Heading2Char">
    <w:name w:val="Heading 2 Char"/>
    <w:basedOn w:val="DefaultParagraphFont"/>
    <w:link w:val="Heading2"/>
    <w:uiPriority w:val="9"/>
    <w:rsid w:val="00484955"/>
    <w:rPr>
      <w:rFonts w:ascii="Century Gothic" w:eastAsiaTheme="majorEastAsia" w:hAnsi="Century Gothic" w:cstheme="majorBidi"/>
      <w:b/>
      <w:bCs/>
      <w:color w:val="0070C0"/>
      <w:sz w:val="26"/>
      <w:szCs w:val="26"/>
    </w:rPr>
  </w:style>
  <w:style w:type="character" w:customStyle="1" w:styleId="Heading3Char">
    <w:name w:val="Heading 3 Char"/>
    <w:basedOn w:val="DefaultParagraphFont"/>
    <w:link w:val="Heading3"/>
    <w:uiPriority w:val="9"/>
    <w:rsid w:val="00F43973"/>
    <w:rPr>
      <w:rFonts w:asciiTheme="majorHAnsi" w:eastAsiaTheme="majorEastAsia" w:hAnsiTheme="majorHAnsi" w:cstheme="majorBidi"/>
      <w:b/>
      <w:bCs/>
      <w:color w:val="4F81BD" w:themeColor="accent1"/>
    </w:rPr>
  </w:style>
  <w:style w:type="paragraph" w:customStyle="1" w:styleId="Preferred">
    <w:name w:val="Preferred"/>
    <w:basedOn w:val="Normal"/>
    <w:qFormat/>
    <w:rsid w:val="00B325E1"/>
    <w:pPr>
      <w:spacing w:after="120"/>
    </w:pPr>
  </w:style>
  <w:style w:type="table" w:styleId="TableGrid">
    <w:name w:val="Table Grid"/>
    <w:basedOn w:val="TableNormal"/>
    <w:uiPriority w:val="59"/>
    <w:rsid w:val="0072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74AD"/>
    <w:pPr>
      <w:ind w:left="720"/>
      <w:contextualSpacing/>
    </w:pPr>
  </w:style>
  <w:style w:type="character" w:customStyle="1" w:styleId="ListParagraphChar">
    <w:name w:val="List Paragraph Char"/>
    <w:basedOn w:val="DefaultParagraphFont"/>
    <w:link w:val="ListParagraph"/>
    <w:uiPriority w:val="34"/>
    <w:locked/>
    <w:rsid w:val="00E917C0"/>
  </w:style>
  <w:style w:type="paragraph" w:styleId="NoSpacing">
    <w:name w:val="No Spacing"/>
    <w:link w:val="NoSpacingChar"/>
    <w:uiPriority w:val="1"/>
    <w:qFormat/>
    <w:rsid w:val="008B6DC4"/>
    <w:rPr>
      <w:sz w:val="22"/>
      <w:szCs w:val="22"/>
      <w:lang w:eastAsia="ja-JP"/>
    </w:rPr>
  </w:style>
  <w:style w:type="character" w:customStyle="1" w:styleId="NoSpacingChar">
    <w:name w:val="No Spacing Char"/>
    <w:basedOn w:val="DefaultParagraphFont"/>
    <w:link w:val="NoSpacing"/>
    <w:uiPriority w:val="1"/>
    <w:rsid w:val="008B6DC4"/>
    <w:rPr>
      <w:sz w:val="22"/>
      <w:szCs w:val="22"/>
      <w:lang w:eastAsia="ja-JP"/>
    </w:rPr>
  </w:style>
  <w:style w:type="paragraph" w:styleId="BalloonText">
    <w:name w:val="Balloon Text"/>
    <w:basedOn w:val="Normal"/>
    <w:link w:val="BalloonTextChar"/>
    <w:uiPriority w:val="99"/>
    <w:semiHidden/>
    <w:unhideWhenUsed/>
    <w:rsid w:val="008B6DC4"/>
    <w:rPr>
      <w:rFonts w:ascii="Tahoma" w:hAnsi="Tahoma" w:cs="Tahoma"/>
      <w:sz w:val="16"/>
      <w:szCs w:val="16"/>
    </w:rPr>
  </w:style>
  <w:style w:type="character" w:customStyle="1" w:styleId="BalloonTextChar">
    <w:name w:val="Balloon Text Char"/>
    <w:basedOn w:val="DefaultParagraphFont"/>
    <w:link w:val="BalloonText"/>
    <w:uiPriority w:val="99"/>
    <w:semiHidden/>
    <w:rsid w:val="008B6DC4"/>
    <w:rPr>
      <w:rFonts w:ascii="Tahoma" w:hAnsi="Tahoma" w:cs="Tahoma"/>
      <w:sz w:val="16"/>
      <w:szCs w:val="16"/>
    </w:rPr>
  </w:style>
  <w:style w:type="character" w:styleId="IntenseEmphasis">
    <w:name w:val="Intense Emphasis"/>
    <w:basedOn w:val="DefaultParagraphFont"/>
    <w:uiPriority w:val="21"/>
    <w:qFormat/>
    <w:rsid w:val="007A541F"/>
    <w:rPr>
      <w:b/>
      <w:bCs/>
      <w:i/>
      <w:iCs/>
      <w:color w:val="4F81BD" w:themeColor="accent1"/>
    </w:rPr>
  </w:style>
  <w:style w:type="paragraph" w:styleId="Header">
    <w:name w:val="header"/>
    <w:basedOn w:val="Normal"/>
    <w:link w:val="HeaderChar"/>
    <w:uiPriority w:val="99"/>
    <w:unhideWhenUsed/>
    <w:rsid w:val="0025049C"/>
    <w:pPr>
      <w:tabs>
        <w:tab w:val="center" w:pos="4513"/>
        <w:tab w:val="right" w:pos="9026"/>
      </w:tabs>
    </w:pPr>
  </w:style>
  <w:style w:type="character" w:customStyle="1" w:styleId="HeaderChar">
    <w:name w:val="Header Char"/>
    <w:basedOn w:val="DefaultParagraphFont"/>
    <w:link w:val="Header"/>
    <w:uiPriority w:val="99"/>
    <w:rsid w:val="0025049C"/>
  </w:style>
  <w:style w:type="paragraph" w:styleId="Footer">
    <w:name w:val="footer"/>
    <w:basedOn w:val="Normal"/>
    <w:link w:val="FooterChar"/>
    <w:uiPriority w:val="99"/>
    <w:unhideWhenUsed/>
    <w:rsid w:val="0025049C"/>
    <w:pPr>
      <w:tabs>
        <w:tab w:val="center" w:pos="4513"/>
        <w:tab w:val="right" w:pos="9026"/>
      </w:tabs>
    </w:pPr>
  </w:style>
  <w:style w:type="character" w:customStyle="1" w:styleId="FooterChar">
    <w:name w:val="Footer Char"/>
    <w:basedOn w:val="DefaultParagraphFont"/>
    <w:link w:val="Footer"/>
    <w:uiPriority w:val="99"/>
    <w:rsid w:val="0025049C"/>
  </w:style>
  <w:style w:type="paragraph" w:styleId="ListBullet">
    <w:name w:val="List Bullet"/>
    <w:basedOn w:val="Normal"/>
    <w:uiPriority w:val="99"/>
    <w:unhideWhenUsed/>
    <w:rsid w:val="00397430"/>
    <w:pPr>
      <w:numPr>
        <w:numId w:val="5"/>
      </w:numPr>
      <w:contextualSpacing/>
    </w:pPr>
  </w:style>
  <w:style w:type="character" w:customStyle="1" w:styleId="apple-converted-space">
    <w:name w:val="apple-converted-space"/>
    <w:basedOn w:val="DefaultParagraphFont"/>
    <w:rsid w:val="002B51EC"/>
  </w:style>
  <w:style w:type="character" w:customStyle="1" w:styleId="apple-tab-span">
    <w:name w:val="apple-tab-span"/>
    <w:basedOn w:val="DefaultParagraphFont"/>
    <w:rsid w:val="002B51EC"/>
  </w:style>
  <w:style w:type="character" w:styleId="IntenseReference">
    <w:name w:val="Intense Reference"/>
    <w:basedOn w:val="DefaultParagraphFont"/>
    <w:uiPriority w:val="32"/>
    <w:qFormat/>
    <w:rsid w:val="00F77FF2"/>
    <w:rPr>
      <w:b/>
      <w:bCs/>
      <w:smallCaps/>
      <w:color w:val="C0504D" w:themeColor="accent2"/>
      <w:spacing w:val="5"/>
      <w:u w:val="single"/>
    </w:rPr>
  </w:style>
  <w:style w:type="table" w:styleId="LightList-Accent1">
    <w:name w:val="Light List Accent 1"/>
    <w:basedOn w:val="TableNormal"/>
    <w:uiPriority w:val="61"/>
    <w:rsid w:val="006C7E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unhideWhenUsed/>
    <w:rsid w:val="006C7EB4"/>
  </w:style>
  <w:style w:type="character" w:customStyle="1" w:styleId="FootnoteTextChar">
    <w:name w:val="Footnote Text Char"/>
    <w:basedOn w:val="DefaultParagraphFont"/>
    <w:link w:val="FootnoteText"/>
    <w:uiPriority w:val="99"/>
    <w:rsid w:val="006C7EB4"/>
  </w:style>
  <w:style w:type="character" w:styleId="FootnoteReference">
    <w:name w:val="footnote reference"/>
    <w:basedOn w:val="DefaultParagraphFont"/>
    <w:uiPriority w:val="99"/>
    <w:unhideWhenUsed/>
    <w:rsid w:val="006C7EB4"/>
    <w:rPr>
      <w:vertAlign w:val="superscript"/>
    </w:rPr>
  </w:style>
  <w:style w:type="character" w:styleId="Emphasis">
    <w:name w:val="Emphasis"/>
    <w:basedOn w:val="DefaultParagraphFont"/>
    <w:uiPriority w:val="20"/>
    <w:qFormat/>
    <w:rsid w:val="00B63E33"/>
    <w:rPr>
      <w:i/>
      <w:iCs/>
    </w:rPr>
  </w:style>
  <w:style w:type="character" w:styleId="PageNumber">
    <w:name w:val="page number"/>
    <w:basedOn w:val="DefaultParagraphFont"/>
    <w:uiPriority w:val="99"/>
    <w:semiHidden/>
    <w:unhideWhenUsed/>
    <w:rsid w:val="00B63E33"/>
  </w:style>
  <w:style w:type="paragraph" w:styleId="TOCHeading">
    <w:name w:val="TOC Heading"/>
    <w:basedOn w:val="Heading1"/>
    <w:next w:val="Normal"/>
    <w:uiPriority w:val="39"/>
    <w:semiHidden/>
    <w:unhideWhenUsed/>
    <w:qFormat/>
    <w:rsid w:val="004B2D8A"/>
    <w:pPr>
      <w:spacing w:before="480" w:after="0" w:line="276" w:lineRule="auto"/>
      <w:outlineLvl w:val="9"/>
    </w:pPr>
    <w:rPr>
      <w:rFonts w:asciiTheme="majorHAnsi" w:hAnsiTheme="majorHAnsi"/>
      <w:sz w:val="28"/>
      <w:szCs w:val="28"/>
      <w:u w:val="none"/>
      <w:lang w:val="en-US" w:eastAsia="ja-JP"/>
    </w:rPr>
  </w:style>
  <w:style w:type="paragraph" w:styleId="TOC1">
    <w:name w:val="toc 1"/>
    <w:basedOn w:val="Normal"/>
    <w:next w:val="Normal"/>
    <w:autoRedefine/>
    <w:uiPriority w:val="39"/>
    <w:unhideWhenUsed/>
    <w:rsid w:val="00507F0F"/>
    <w:pPr>
      <w:tabs>
        <w:tab w:val="left" w:pos="480"/>
        <w:tab w:val="right" w:leader="dot" w:pos="8630"/>
      </w:tabs>
      <w:spacing w:after="100"/>
    </w:pPr>
    <w:rPr>
      <w:b/>
      <w:noProof/>
    </w:rPr>
  </w:style>
  <w:style w:type="paragraph" w:styleId="TOC2">
    <w:name w:val="toc 2"/>
    <w:basedOn w:val="Normal"/>
    <w:next w:val="Normal"/>
    <w:autoRedefine/>
    <w:uiPriority w:val="39"/>
    <w:unhideWhenUsed/>
    <w:rsid w:val="004B2D8A"/>
    <w:pPr>
      <w:spacing w:after="100"/>
      <w:ind w:left="240"/>
    </w:pPr>
  </w:style>
  <w:style w:type="paragraph" w:styleId="TOC3">
    <w:name w:val="toc 3"/>
    <w:basedOn w:val="Normal"/>
    <w:next w:val="Normal"/>
    <w:autoRedefine/>
    <w:uiPriority w:val="39"/>
    <w:unhideWhenUsed/>
    <w:rsid w:val="004B2D8A"/>
    <w:pPr>
      <w:spacing w:after="100"/>
      <w:ind w:left="480"/>
    </w:pPr>
  </w:style>
  <w:style w:type="character" w:styleId="Hyperlink">
    <w:name w:val="Hyperlink"/>
    <w:basedOn w:val="DefaultParagraphFont"/>
    <w:uiPriority w:val="99"/>
    <w:unhideWhenUsed/>
    <w:rsid w:val="004B2D8A"/>
    <w:rPr>
      <w:color w:val="0000FF" w:themeColor="hyperlink"/>
      <w:u w:val="single"/>
    </w:rPr>
  </w:style>
  <w:style w:type="character" w:styleId="CommentReference">
    <w:name w:val="annotation reference"/>
    <w:basedOn w:val="DefaultParagraphFont"/>
    <w:uiPriority w:val="99"/>
    <w:semiHidden/>
    <w:unhideWhenUsed/>
    <w:rsid w:val="00D90158"/>
    <w:rPr>
      <w:sz w:val="18"/>
      <w:szCs w:val="18"/>
    </w:rPr>
  </w:style>
  <w:style w:type="paragraph" w:styleId="CommentText">
    <w:name w:val="annotation text"/>
    <w:basedOn w:val="Normal"/>
    <w:link w:val="CommentTextChar"/>
    <w:uiPriority w:val="99"/>
    <w:semiHidden/>
    <w:unhideWhenUsed/>
    <w:rsid w:val="00D90158"/>
  </w:style>
  <w:style w:type="character" w:customStyle="1" w:styleId="CommentTextChar">
    <w:name w:val="Comment Text Char"/>
    <w:basedOn w:val="DefaultParagraphFont"/>
    <w:link w:val="CommentText"/>
    <w:uiPriority w:val="99"/>
    <w:semiHidden/>
    <w:rsid w:val="00D90158"/>
  </w:style>
  <w:style w:type="paragraph" w:styleId="CommentSubject">
    <w:name w:val="annotation subject"/>
    <w:basedOn w:val="CommentText"/>
    <w:next w:val="CommentText"/>
    <w:link w:val="CommentSubjectChar"/>
    <w:uiPriority w:val="99"/>
    <w:semiHidden/>
    <w:unhideWhenUsed/>
    <w:rsid w:val="00D90158"/>
    <w:rPr>
      <w:b/>
      <w:bCs/>
      <w:sz w:val="20"/>
      <w:szCs w:val="20"/>
    </w:rPr>
  </w:style>
  <w:style w:type="character" w:customStyle="1" w:styleId="CommentSubjectChar">
    <w:name w:val="Comment Subject Char"/>
    <w:basedOn w:val="CommentTextChar"/>
    <w:link w:val="CommentSubject"/>
    <w:uiPriority w:val="99"/>
    <w:semiHidden/>
    <w:rsid w:val="00D90158"/>
    <w:rPr>
      <w:b/>
      <w:bCs/>
      <w:sz w:val="20"/>
      <w:szCs w:val="20"/>
    </w:rPr>
  </w:style>
  <w:style w:type="paragraph" w:customStyle="1" w:styleId="Normal1">
    <w:name w:val="Normal1"/>
    <w:rsid w:val="00B01F36"/>
    <w:pPr>
      <w:widowControl w:val="0"/>
    </w:pPr>
    <w:rPr>
      <w:rFonts w:ascii="Cambria" w:eastAsia="Cambria" w:hAnsi="Cambria" w:cs="Cambria"/>
      <w:color w:val="000000"/>
      <w:lang w:val="en-AU"/>
    </w:rPr>
  </w:style>
  <w:style w:type="character" w:customStyle="1" w:styleId="Heading4Char">
    <w:name w:val="Heading 4 Char"/>
    <w:basedOn w:val="DefaultParagraphFont"/>
    <w:link w:val="Heading4"/>
    <w:uiPriority w:val="9"/>
    <w:rsid w:val="003A3CA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80">
      <w:bodyDiv w:val="1"/>
      <w:marLeft w:val="0"/>
      <w:marRight w:val="0"/>
      <w:marTop w:val="0"/>
      <w:marBottom w:val="0"/>
      <w:divBdr>
        <w:top w:val="none" w:sz="0" w:space="0" w:color="auto"/>
        <w:left w:val="none" w:sz="0" w:space="0" w:color="auto"/>
        <w:bottom w:val="none" w:sz="0" w:space="0" w:color="auto"/>
        <w:right w:val="none" w:sz="0" w:space="0" w:color="auto"/>
      </w:divBdr>
    </w:div>
    <w:div w:id="275717389">
      <w:bodyDiv w:val="1"/>
      <w:marLeft w:val="0"/>
      <w:marRight w:val="0"/>
      <w:marTop w:val="0"/>
      <w:marBottom w:val="0"/>
      <w:divBdr>
        <w:top w:val="none" w:sz="0" w:space="0" w:color="auto"/>
        <w:left w:val="none" w:sz="0" w:space="0" w:color="auto"/>
        <w:bottom w:val="none" w:sz="0" w:space="0" w:color="auto"/>
        <w:right w:val="none" w:sz="0" w:space="0" w:color="auto"/>
      </w:divBdr>
    </w:div>
    <w:div w:id="1342660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2.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diagramLayout" Target="diagrams/layout2.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microsoft.com/office/2007/relationships/diagramDrawing" Target="diagrams/drawing2.xml"/><Relationship Id="rId28" Type="http://schemas.openxmlformats.org/officeDocument/2006/relationships/chart" Target="charts/chart5.xml"/><Relationship Id="rId10" Type="http://schemas.openxmlformats.org/officeDocument/2006/relationships/diagramLayout" Target="diagrams/layout1.xml"/><Relationship Id="rId19" Type="http://schemas.openxmlformats.org/officeDocument/2006/relationships/diagramData" Target="diagrams/data2.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diagramColors" Target="diagrams/colors2.xml"/><Relationship Id="rId27" Type="http://schemas.openxmlformats.org/officeDocument/2006/relationships/footer" Target="footer4.xml"/><Relationship Id="rId30"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John's%20work:SFSF:SFSF%20Fun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Annual</a:t>
            </a:r>
            <a:r>
              <a:rPr lang="en-US" sz="1400" baseline="0"/>
              <a:t> SFSF Allocation by State and Sector </a:t>
            </a:r>
            <a:endParaRPr lang="en-US" sz="1400"/>
          </a:p>
        </c:rich>
      </c:tx>
      <c:layout/>
      <c:overlay val="0"/>
    </c:title>
    <c:autoTitleDeleted val="0"/>
    <c:plotArea>
      <c:layout/>
      <c:barChart>
        <c:barDir val="col"/>
        <c:grouping val="clustered"/>
        <c:varyColors val="0"/>
        <c:ser>
          <c:idx val="0"/>
          <c:order val="0"/>
          <c:tx>
            <c:strRef>
              <c:f>Sheet4!$C$3</c:f>
              <c:strCache>
                <c:ptCount val="1"/>
                <c:pt idx="0">
                  <c:v>Indep</c:v>
                </c:pt>
              </c:strCache>
            </c:strRef>
          </c:tx>
          <c:invertIfNegative val="0"/>
          <c:cat>
            <c:strRef>
              <c:f>Sheet4!$B$4:$B$11</c:f>
              <c:strCache>
                <c:ptCount val="8"/>
                <c:pt idx="0">
                  <c:v>NSW </c:v>
                </c:pt>
                <c:pt idx="1">
                  <c:v>Vic</c:v>
                </c:pt>
                <c:pt idx="2">
                  <c:v>Qld</c:v>
                </c:pt>
                <c:pt idx="3">
                  <c:v>WA</c:v>
                </c:pt>
                <c:pt idx="4">
                  <c:v>SA</c:v>
                </c:pt>
                <c:pt idx="5">
                  <c:v>TAS</c:v>
                </c:pt>
                <c:pt idx="6">
                  <c:v>ACT</c:v>
                </c:pt>
                <c:pt idx="7">
                  <c:v>NT</c:v>
                </c:pt>
              </c:strCache>
            </c:strRef>
          </c:cat>
          <c:val>
            <c:numRef>
              <c:f>Sheet4!$C$4:$C$11</c:f>
              <c:numCache>
                <c:formatCode>"$"#,##0</c:formatCode>
                <c:ptCount val="8"/>
                <c:pt idx="0">
                  <c:v>7485668</c:v>
                </c:pt>
                <c:pt idx="1">
                  <c:v>5444491</c:v>
                </c:pt>
                <c:pt idx="2">
                  <c:v>4833513</c:v>
                </c:pt>
                <c:pt idx="3">
                  <c:v>3207197</c:v>
                </c:pt>
                <c:pt idx="4">
                  <c:v>2093598</c:v>
                </c:pt>
                <c:pt idx="5">
                  <c:v>640380</c:v>
                </c:pt>
                <c:pt idx="6">
                  <c:v>784219</c:v>
                </c:pt>
                <c:pt idx="7">
                  <c:v>510933</c:v>
                </c:pt>
              </c:numCache>
            </c:numRef>
          </c:val>
          <c:extLst>
            <c:ext xmlns:c16="http://schemas.microsoft.com/office/drawing/2014/chart" uri="{C3380CC4-5D6E-409C-BE32-E72D297353CC}">
              <c16:uniqueId val="{00000000-4D81-4946-9369-821035ACA347}"/>
            </c:ext>
          </c:extLst>
        </c:ser>
        <c:ser>
          <c:idx val="1"/>
          <c:order val="1"/>
          <c:tx>
            <c:strRef>
              <c:f>Sheet4!$D$3</c:f>
              <c:strCache>
                <c:ptCount val="1"/>
                <c:pt idx="0">
                  <c:v>Catholic</c:v>
                </c:pt>
              </c:strCache>
            </c:strRef>
          </c:tx>
          <c:invertIfNegative val="0"/>
          <c:cat>
            <c:strRef>
              <c:f>Sheet4!$B$4:$B$11</c:f>
              <c:strCache>
                <c:ptCount val="8"/>
                <c:pt idx="0">
                  <c:v>NSW </c:v>
                </c:pt>
                <c:pt idx="1">
                  <c:v>Vic</c:v>
                </c:pt>
                <c:pt idx="2">
                  <c:v>Qld</c:v>
                </c:pt>
                <c:pt idx="3">
                  <c:v>WA</c:v>
                </c:pt>
                <c:pt idx="4">
                  <c:v>SA</c:v>
                </c:pt>
                <c:pt idx="5">
                  <c:v>TAS</c:v>
                </c:pt>
                <c:pt idx="6">
                  <c:v>ACT</c:v>
                </c:pt>
                <c:pt idx="7">
                  <c:v>NT</c:v>
                </c:pt>
              </c:strCache>
            </c:strRef>
          </c:cat>
          <c:val>
            <c:numRef>
              <c:f>Sheet4!$D$4:$D$11</c:f>
              <c:numCache>
                <c:formatCode>"$"#,##0</c:formatCode>
                <c:ptCount val="8"/>
                <c:pt idx="0">
                  <c:v>4594418</c:v>
                </c:pt>
                <c:pt idx="1">
                  <c:v>3670155</c:v>
                </c:pt>
                <c:pt idx="2">
                  <c:v>2567447</c:v>
                </c:pt>
                <c:pt idx="3">
                  <c:v>1252891</c:v>
                </c:pt>
                <c:pt idx="4">
                  <c:v>898993</c:v>
                </c:pt>
                <c:pt idx="5">
                  <c:v>271789</c:v>
                </c:pt>
                <c:pt idx="6">
                  <c:v>324938</c:v>
                </c:pt>
                <c:pt idx="7">
                  <c:v>86032</c:v>
                </c:pt>
              </c:numCache>
            </c:numRef>
          </c:val>
          <c:extLst>
            <c:ext xmlns:c16="http://schemas.microsoft.com/office/drawing/2014/chart" uri="{C3380CC4-5D6E-409C-BE32-E72D297353CC}">
              <c16:uniqueId val="{00000001-4D81-4946-9369-821035ACA347}"/>
            </c:ext>
          </c:extLst>
        </c:ser>
        <c:dLbls>
          <c:showLegendKey val="0"/>
          <c:showVal val="0"/>
          <c:showCatName val="0"/>
          <c:showSerName val="0"/>
          <c:showPercent val="0"/>
          <c:showBubbleSize val="0"/>
        </c:dLbls>
        <c:gapWidth val="150"/>
        <c:axId val="309556352"/>
        <c:axId val="309557888"/>
      </c:barChart>
      <c:catAx>
        <c:axId val="309556352"/>
        <c:scaling>
          <c:orientation val="minMax"/>
        </c:scaling>
        <c:delete val="0"/>
        <c:axPos val="b"/>
        <c:numFmt formatCode="General" sourceLinked="0"/>
        <c:majorTickMark val="out"/>
        <c:minorTickMark val="none"/>
        <c:tickLblPos val="nextTo"/>
        <c:crossAx val="309557888"/>
        <c:crosses val="autoZero"/>
        <c:auto val="1"/>
        <c:lblAlgn val="ctr"/>
        <c:lblOffset val="100"/>
        <c:noMultiLvlLbl val="0"/>
      </c:catAx>
      <c:valAx>
        <c:axId val="309557888"/>
        <c:scaling>
          <c:orientation val="minMax"/>
        </c:scaling>
        <c:delete val="0"/>
        <c:axPos val="l"/>
        <c:majorGridlines/>
        <c:numFmt formatCode="&quot;$&quot;#,##0" sourceLinked="1"/>
        <c:majorTickMark val="out"/>
        <c:minorTickMark val="none"/>
        <c:tickLblPos val="nextTo"/>
        <c:crossAx val="3095563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300" b="1" i="0" baseline="0">
                <a:effectLst/>
                <a:latin typeface="Century Gothic"/>
                <a:cs typeface="Century Gothic"/>
              </a:rPr>
              <a:t>No of Schools in each NGRB</a:t>
            </a:r>
            <a:endParaRPr lang="en-US" sz="1300">
              <a:effectLst/>
              <a:latin typeface="Century Gothic"/>
              <a:cs typeface="Century Gothic"/>
            </a:endParaRPr>
          </a:p>
        </c:rich>
      </c:tx>
      <c:layout>
        <c:manualLayout>
          <c:xMode val="edge"/>
          <c:yMode val="edge"/>
          <c:x val="0.30031474444578699"/>
          <c:y val="3.23799244468429E-2"/>
        </c:manualLayout>
      </c:layout>
      <c:overlay val="0"/>
    </c:title>
    <c:autoTitleDeleted val="0"/>
    <c:plotArea>
      <c:layout>
        <c:manualLayout>
          <c:layoutTarget val="inner"/>
          <c:xMode val="edge"/>
          <c:yMode val="edge"/>
          <c:x val="6.6723371254526403E-2"/>
          <c:y val="0.117525773195876"/>
          <c:w val="0.92215669228796804"/>
          <c:h val="0.84896907216494799"/>
        </c:manualLayout>
      </c:layout>
      <c:scatterChart>
        <c:scatterStyle val="lineMarker"/>
        <c:varyColors val="0"/>
        <c:ser>
          <c:idx val="0"/>
          <c:order val="0"/>
          <c:tx>
            <c:strRef>
              <c:f>'Sector data'!$E$22</c:f>
              <c:strCache>
                <c:ptCount val="1"/>
                <c:pt idx="0">
                  <c:v>Catholic</c:v>
                </c:pt>
              </c:strCache>
            </c:strRef>
          </c:tx>
          <c:spPr>
            <a:ln w="47625">
              <a:noFill/>
            </a:ln>
          </c:spPr>
          <c:yVal>
            <c:numRef>
              <c:f>'Sector data'!$F$4:$F$11</c:f>
              <c:numCache>
                <c:formatCode>_(* #,##0_);_(* \(#,##0\);_(* "-"??_);_(@_)</c:formatCode>
                <c:ptCount val="8"/>
                <c:pt idx="0">
                  <c:v>566</c:v>
                </c:pt>
                <c:pt idx="1">
                  <c:v>494</c:v>
                </c:pt>
                <c:pt idx="2">
                  <c:v>299</c:v>
                </c:pt>
                <c:pt idx="3">
                  <c:v>103</c:v>
                </c:pt>
                <c:pt idx="4">
                  <c:v>165</c:v>
                </c:pt>
                <c:pt idx="5">
                  <c:v>37</c:v>
                </c:pt>
                <c:pt idx="6">
                  <c:v>17</c:v>
                </c:pt>
                <c:pt idx="7">
                  <c:v>56</c:v>
                </c:pt>
              </c:numCache>
            </c:numRef>
          </c:yVal>
          <c:smooth val="0"/>
          <c:extLst>
            <c:ext xmlns:c16="http://schemas.microsoft.com/office/drawing/2014/chart" uri="{C3380CC4-5D6E-409C-BE32-E72D297353CC}">
              <c16:uniqueId val="{00000000-6C63-4E34-A7B6-9C1FCEE121C2}"/>
            </c:ext>
          </c:extLst>
        </c:ser>
        <c:ser>
          <c:idx val="1"/>
          <c:order val="1"/>
          <c:tx>
            <c:strRef>
              <c:f>'Sector data'!$E$23</c:f>
              <c:strCache>
                <c:ptCount val="1"/>
                <c:pt idx="0">
                  <c:v>Independent</c:v>
                </c:pt>
              </c:strCache>
            </c:strRef>
          </c:tx>
          <c:spPr>
            <a:ln w="47625">
              <a:noFill/>
            </a:ln>
          </c:spPr>
          <c:yVal>
            <c:numRef>
              <c:f>'Sector data'!$F$12:$F$19</c:f>
              <c:numCache>
                <c:formatCode>_(* #,##0_);_(* \(#,##0\);_(* "-"??_);_(@_)</c:formatCode>
                <c:ptCount val="8"/>
                <c:pt idx="0">
                  <c:v>336</c:v>
                </c:pt>
                <c:pt idx="1">
                  <c:v>203</c:v>
                </c:pt>
                <c:pt idx="2">
                  <c:v>192</c:v>
                </c:pt>
                <c:pt idx="3">
                  <c:v>94</c:v>
                </c:pt>
                <c:pt idx="4">
                  <c:v>141</c:v>
                </c:pt>
                <c:pt idx="5">
                  <c:v>27</c:v>
                </c:pt>
                <c:pt idx="6">
                  <c:v>20</c:v>
                </c:pt>
                <c:pt idx="7">
                  <c:v>15</c:v>
                </c:pt>
              </c:numCache>
            </c:numRef>
          </c:yVal>
          <c:smooth val="0"/>
          <c:extLst>
            <c:ext xmlns:c16="http://schemas.microsoft.com/office/drawing/2014/chart" uri="{C3380CC4-5D6E-409C-BE32-E72D297353CC}">
              <c16:uniqueId val="{00000001-6C63-4E34-A7B6-9C1FCEE121C2}"/>
            </c:ext>
          </c:extLst>
        </c:ser>
        <c:dLbls>
          <c:showLegendKey val="0"/>
          <c:showVal val="0"/>
          <c:showCatName val="0"/>
          <c:showSerName val="0"/>
          <c:showPercent val="0"/>
          <c:showBubbleSize val="0"/>
        </c:dLbls>
        <c:axId val="309574656"/>
        <c:axId val="309580544"/>
      </c:scatterChart>
      <c:valAx>
        <c:axId val="309574656"/>
        <c:scaling>
          <c:orientation val="minMax"/>
        </c:scaling>
        <c:delete val="1"/>
        <c:axPos val="b"/>
        <c:majorTickMark val="out"/>
        <c:minorTickMark val="none"/>
        <c:tickLblPos val="nextTo"/>
        <c:crossAx val="309580544"/>
        <c:crosses val="autoZero"/>
        <c:crossBetween val="midCat"/>
      </c:valAx>
      <c:valAx>
        <c:axId val="309580544"/>
        <c:scaling>
          <c:orientation val="minMax"/>
        </c:scaling>
        <c:delete val="0"/>
        <c:axPos val="l"/>
        <c:majorGridlines/>
        <c:numFmt formatCode="_(* #,##0_);_(* \(#,##0\);_(* &quot;-&quot;??_);_(@_)" sourceLinked="1"/>
        <c:majorTickMark val="out"/>
        <c:minorTickMark val="none"/>
        <c:tickLblPos val="nextTo"/>
        <c:crossAx val="309574656"/>
        <c:crosses val="autoZero"/>
        <c:crossBetween val="midCat"/>
      </c:valAx>
    </c:plotArea>
    <c:legend>
      <c:legendPos val="r"/>
      <c:legendEntry>
        <c:idx val="0"/>
        <c:txPr>
          <a:bodyPr/>
          <a:lstStyle/>
          <a:p>
            <a:pPr>
              <a:defRPr sz="900">
                <a:latin typeface="Century Gothic"/>
                <a:cs typeface="Century Gothic"/>
              </a:defRPr>
            </a:pPr>
            <a:endParaRPr lang="en-US"/>
          </a:p>
        </c:txPr>
      </c:legendEntry>
      <c:legendEntry>
        <c:idx val="1"/>
        <c:txPr>
          <a:bodyPr/>
          <a:lstStyle/>
          <a:p>
            <a:pPr>
              <a:defRPr sz="900">
                <a:latin typeface="Century Gothic"/>
                <a:cs typeface="Century Gothic"/>
              </a:defRPr>
            </a:pPr>
            <a:endParaRPr lang="en-US"/>
          </a:p>
        </c:txPr>
      </c:legendEntry>
      <c:layout>
        <c:manualLayout>
          <c:xMode val="edge"/>
          <c:yMode val="edge"/>
          <c:x val="0.64993848570059098"/>
          <c:y val="0.26602341910869398"/>
          <c:w val="0.21217547382698701"/>
          <c:h val="0.24812009208293201"/>
        </c:manualLayout>
      </c:layout>
      <c:overlay val="1"/>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Expenditure by Reform Area (where available)</a:t>
            </a:r>
          </a:p>
        </c:rich>
      </c:tx>
      <c:layout/>
      <c:overlay val="0"/>
    </c:title>
    <c:autoTitleDeleted val="0"/>
    <c:plotArea>
      <c:layout/>
      <c:barChart>
        <c:barDir val="bar"/>
        <c:grouping val="stacked"/>
        <c:varyColors val="0"/>
        <c:ser>
          <c:idx val="0"/>
          <c:order val="0"/>
          <c:tx>
            <c:strRef>
              <c:f>Summary!$C$22</c:f>
              <c:strCache>
                <c:ptCount val="1"/>
                <c:pt idx="0">
                  <c:v>Quality Teaching</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Summary!$C$23:$C$34</c:f>
              <c:numCache>
                <c:formatCode>0.0%</c:formatCode>
                <c:ptCount val="12"/>
                <c:pt idx="0">
                  <c:v>0.17041396973523301</c:v>
                </c:pt>
                <c:pt idx="1">
                  <c:v>0.25</c:v>
                </c:pt>
                <c:pt idx="2">
                  <c:v>0.48499999999999999</c:v>
                </c:pt>
                <c:pt idx="3">
                  <c:v>0.171296296296296</c:v>
                </c:pt>
                <c:pt idx="4">
                  <c:v>0.63862928348909598</c:v>
                </c:pt>
                <c:pt idx="5">
                  <c:v>0.11363636363636399</c:v>
                </c:pt>
                <c:pt idx="6">
                  <c:v>0.33522469233157498</c:v>
                </c:pt>
                <c:pt idx="7">
                  <c:v>0.27808892838987598</c:v>
                </c:pt>
                <c:pt idx="8">
                  <c:v>0.34926470588235298</c:v>
                </c:pt>
                <c:pt idx="9">
                  <c:v>0.15384615384615399</c:v>
                </c:pt>
                <c:pt idx="10">
                  <c:v>0.11457155394544299</c:v>
                </c:pt>
                <c:pt idx="11">
                  <c:v>0.46500000000000002</c:v>
                </c:pt>
              </c:numCache>
            </c:numRef>
          </c:val>
          <c:extLst>
            <c:ext xmlns:c16="http://schemas.microsoft.com/office/drawing/2014/chart" uri="{C3380CC4-5D6E-409C-BE32-E72D297353CC}">
              <c16:uniqueId val="{00000000-D272-4B6E-9DE1-375DEA17FFAD}"/>
            </c:ext>
          </c:extLst>
        </c:ser>
        <c:ser>
          <c:idx val="1"/>
          <c:order val="1"/>
          <c:tx>
            <c:strRef>
              <c:f>Summary!$D$22</c:f>
              <c:strCache>
                <c:ptCount val="1"/>
                <c:pt idx="0">
                  <c:v>Quality Learning</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Summary!$D$23:$D$34</c:f>
              <c:numCache>
                <c:formatCode>0.0%</c:formatCode>
                <c:ptCount val="12"/>
                <c:pt idx="0">
                  <c:v>0.16809781037577401</c:v>
                </c:pt>
                <c:pt idx="1">
                  <c:v>0.15</c:v>
                </c:pt>
                <c:pt idx="2">
                  <c:v>0.46500000000000002</c:v>
                </c:pt>
                <c:pt idx="3">
                  <c:v>0.27777777777777801</c:v>
                </c:pt>
                <c:pt idx="4">
                  <c:v>9.34579439252336E-2</c:v>
                </c:pt>
                <c:pt idx="5">
                  <c:v>0.52556818181818199</c:v>
                </c:pt>
                <c:pt idx="6">
                  <c:v>0.15963080587217901</c:v>
                </c:pt>
                <c:pt idx="7">
                  <c:v>0.33370671406785102</c:v>
                </c:pt>
                <c:pt idx="8">
                  <c:v>0.50367647058823495</c:v>
                </c:pt>
                <c:pt idx="9">
                  <c:v>0.33846153846153798</c:v>
                </c:pt>
                <c:pt idx="10">
                  <c:v>0.14894302012907601</c:v>
                </c:pt>
                <c:pt idx="11">
                  <c:v>0</c:v>
                </c:pt>
              </c:numCache>
            </c:numRef>
          </c:val>
          <c:extLst>
            <c:ext xmlns:c16="http://schemas.microsoft.com/office/drawing/2014/chart" uri="{C3380CC4-5D6E-409C-BE32-E72D297353CC}">
              <c16:uniqueId val="{00000001-D272-4B6E-9DE1-375DEA17FFAD}"/>
            </c:ext>
          </c:extLst>
        </c:ser>
        <c:ser>
          <c:idx val="2"/>
          <c:order val="2"/>
          <c:tx>
            <c:strRef>
              <c:f>Summary!$E$22</c:f>
              <c:strCache>
                <c:ptCount val="1"/>
                <c:pt idx="0">
                  <c:v>Empowered School Leadership</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Summary!$E$23:$E$34</c:f>
              <c:numCache>
                <c:formatCode>0.0%</c:formatCode>
                <c:ptCount val="12"/>
                <c:pt idx="0">
                  <c:v>0.163720779494896</c:v>
                </c:pt>
                <c:pt idx="1">
                  <c:v>0.2</c:v>
                </c:pt>
                <c:pt idx="2">
                  <c:v>0.05</c:v>
                </c:pt>
                <c:pt idx="3">
                  <c:v>0.31018518518518501</c:v>
                </c:pt>
                <c:pt idx="4">
                  <c:v>6.8146417445482804E-2</c:v>
                </c:pt>
                <c:pt idx="5">
                  <c:v>7.1022727272727307E-2</c:v>
                </c:pt>
                <c:pt idx="6">
                  <c:v>0.15164926557857</c:v>
                </c:pt>
                <c:pt idx="7">
                  <c:v>8.89884570847604E-2</c:v>
                </c:pt>
                <c:pt idx="8">
                  <c:v>9.9264705882352894E-2</c:v>
                </c:pt>
                <c:pt idx="9">
                  <c:v>0.28923076923076901</c:v>
                </c:pt>
                <c:pt idx="10">
                  <c:v>0.41429990479103901</c:v>
                </c:pt>
                <c:pt idx="11">
                  <c:v>0.23200000000000001</c:v>
                </c:pt>
              </c:numCache>
            </c:numRef>
          </c:val>
          <c:extLst>
            <c:ext xmlns:c16="http://schemas.microsoft.com/office/drawing/2014/chart" uri="{C3380CC4-5D6E-409C-BE32-E72D297353CC}">
              <c16:uniqueId val="{00000002-D272-4B6E-9DE1-375DEA17FFAD}"/>
            </c:ext>
          </c:extLst>
        </c:ser>
        <c:ser>
          <c:idx val="3"/>
          <c:order val="3"/>
          <c:tx>
            <c:strRef>
              <c:f>Summary!$F$22</c:f>
              <c:strCache>
                <c:ptCount val="1"/>
                <c:pt idx="0">
                  <c:v>Transparency and Accountability</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Summary!$F$23:$F$34</c:f>
              <c:numCache>
                <c:formatCode>0.0%</c:formatCode>
                <c:ptCount val="12"/>
                <c:pt idx="0">
                  <c:v>0.16865714589533001</c:v>
                </c:pt>
                <c:pt idx="1">
                  <c:v>0.15</c:v>
                </c:pt>
                <c:pt idx="2">
                  <c:v>0</c:v>
                </c:pt>
                <c:pt idx="3">
                  <c:v>9.7222222222222196E-2</c:v>
                </c:pt>
                <c:pt idx="4">
                  <c:v>0.161</c:v>
                </c:pt>
                <c:pt idx="5">
                  <c:v>2.8000000000000001E-2</c:v>
                </c:pt>
                <c:pt idx="6">
                  <c:v>0.16155696704661501</c:v>
                </c:pt>
                <c:pt idx="7">
                  <c:v>0.10100000000000001</c:v>
                </c:pt>
                <c:pt idx="8">
                  <c:v>4.7794117647058799E-2</c:v>
                </c:pt>
                <c:pt idx="9">
                  <c:v>9.5000000000000001E-2</c:v>
                </c:pt>
                <c:pt idx="10">
                  <c:v>9.2999999999999999E-2</c:v>
                </c:pt>
                <c:pt idx="11">
                  <c:v>0</c:v>
                </c:pt>
              </c:numCache>
            </c:numRef>
          </c:val>
          <c:extLst>
            <c:ext xmlns:c16="http://schemas.microsoft.com/office/drawing/2014/chart" uri="{C3380CC4-5D6E-409C-BE32-E72D297353CC}">
              <c16:uniqueId val="{00000003-D272-4B6E-9DE1-375DEA17FFAD}"/>
            </c:ext>
          </c:extLst>
        </c:ser>
        <c:ser>
          <c:idx val="4"/>
          <c:order val="4"/>
          <c:tx>
            <c:strRef>
              <c:f>Summary!$G$22</c:f>
              <c:strCache>
                <c:ptCount val="1"/>
                <c:pt idx="0">
                  <c:v>Meeting Student Needs</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Summary!$G$23:$G$34</c:f>
              <c:numCache>
                <c:formatCode>0.0%</c:formatCode>
                <c:ptCount val="12"/>
                <c:pt idx="0">
                  <c:v>0.329110294498767</c:v>
                </c:pt>
                <c:pt idx="1">
                  <c:v>0.25</c:v>
                </c:pt>
                <c:pt idx="2">
                  <c:v>0</c:v>
                </c:pt>
                <c:pt idx="3">
                  <c:v>0.14351851851851899</c:v>
                </c:pt>
                <c:pt idx="4">
                  <c:v>3.9E-2</c:v>
                </c:pt>
                <c:pt idx="5">
                  <c:v>0.26100000000000001</c:v>
                </c:pt>
                <c:pt idx="6">
                  <c:v>0.19193826917106099</c:v>
                </c:pt>
                <c:pt idx="7">
                  <c:v>0.19800000000000001</c:v>
                </c:pt>
                <c:pt idx="8">
                  <c:v>0</c:v>
                </c:pt>
                <c:pt idx="9">
                  <c:v>0.123</c:v>
                </c:pt>
                <c:pt idx="10">
                  <c:v>0.22900000000000001</c:v>
                </c:pt>
                <c:pt idx="11">
                  <c:v>0</c:v>
                </c:pt>
              </c:numCache>
            </c:numRef>
          </c:val>
          <c:extLst>
            <c:ext xmlns:c16="http://schemas.microsoft.com/office/drawing/2014/chart" uri="{C3380CC4-5D6E-409C-BE32-E72D297353CC}">
              <c16:uniqueId val="{00000004-D272-4B6E-9DE1-375DEA17FFAD}"/>
            </c:ext>
          </c:extLst>
        </c:ser>
        <c:dLbls>
          <c:showLegendKey val="0"/>
          <c:showVal val="0"/>
          <c:showCatName val="0"/>
          <c:showSerName val="0"/>
          <c:showPercent val="0"/>
          <c:showBubbleSize val="0"/>
        </c:dLbls>
        <c:gapWidth val="150"/>
        <c:overlap val="100"/>
        <c:axId val="311399168"/>
        <c:axId val="311400704"/>
      </c:barChart>
      <c:catAx>
        <c:axId val="311399168"/>
        <c:scaling>
          <c:orientation val="minMax"/>
        </c:scaling>
        <c:delete val="0"/>
        <c:axPos val="l"/>
        <c:numFmt formatCode="General" sourceLinked="0"/>
        <c:majorTickMark val="out"/>
        <c:minorTickMark val="none"/>
        <c:tickLblPos val="nextTo"/>
        <c:crossAx val="311400704"/>
        <c:crosses val="autoZero"/>
        <c:auto val="1"/>
        <c:lblAlgn val="ctr"/>
        <c:lblOffset val="100"/>
        <c:noMultiLvlLbl val="0"/>
      </c:catAx>
      <c:valAx>
        <c:axId val="311400704"/>
        <c:scaling>
          <c:orientation val="minMax"/>
          <c:max val="1"/>
        </c:scaling>
        <c:delete val="0"/>
        <c:axPos val="b"/>
        <c:majorGridlines/>
        <c:numFmt formatCode="0.0%" sourceLinked="1"/>
        <c:majorTickMark val="out"/>
        <c:minorTickMark val="none"/>
        <c:tickLblPos val="nextTo"/>
        <c:crossAx val="311399168"/>
        <c:crosses val="autoZero"/>
        <c:crossBetween val="between"/>
      </c:valAx>
    </c:plotArea>
    <c:legend>
      <c:legendPos val="b"/>
      <c:layout>
        <c:manualLayout>
          <c:xMode val="edge"/>
          <c:yMode val="edge"/>
          <c:x val="7.3934040512470905E-2"/>
          <c:y val="0.79154701995476695"/>
          <c:w val="0.88629423617339798"/>
          <c:h val="0.18272123350293701"/>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Expenditure by Reform Area</a:t>
            </a:r>
          </a:p>
        </c:rich>
      </c:tx>
      <c:layout/>
      <c:overlay val="0"/>
    </c:title>
    <c:autoTitleDeleted val="0"/>
    <c:plotArea>
      <c:layout/>
      <c:barChart>
        <c:barDir val="col"/>
        <c:grouping val="stacked"/>
        <c:varyColors val="0"/>
        <c:ser>
          <c:idx val="0"/>
          <c:order val="0"/>
          <c:tx>
            <c:strRef>
              <c:f>Summary!$C$55</c:f>
              <c:strCache>
                <c:ptCount val="1"/>
                <c:pt idx="0">
                  <c:v>Quality Teaching</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Summary!$C$56:$C$67</c:f>
              <c:numCache>
                <c:formatCode>"$"#,##0_);[Red]\("$"#,##0\)</c:formatCode>
                <c:ptCount val="12"/>
                <c:pt idx="0">
                  <c:v>1275662.3999999999</c:v>
                </c:pt>
                <c:pt idx="1">
                  <c:v>782953.01000300841</c:v>
                </c:pt>
                <c:pt idx="2">
                  <c:v>1780208.75</c:v>
                </c:pt>
                <c:pt idx="3">
                  <c:v>925000</c:v>
                </c:pt>
                <c:pt idx="4" formatCode="&quot;$&quot;#,##0">
                  <c:v>1640000</c:v>
                </c:pt>
                <c:pt idx="5" formatCode="&quot;$&quot;#,##0">
                  <c:v>400000</c:v>
                </c:pt>
                <c:pt idx="6" formatCode="&quot;$&quot;#,##0">
                  <c:v>420000</c:v>
                </c:pt>
                <c:pt idx="7" formatCode="&quot;$&quot;#,##0">
                  <c:v>250000</c:v>
                </c:pt>
                <c:pt idx="8" formatCode="&quot;$&quot;#,##0">
                  <c:v>95000</c:v>
                </c:pt>
                <c:pt idx="9" formatCode="&quot;$&quot;#,##0">
                  <c:v>50000</c:v>
                </c:pt>
                <c:pt idx="10" formatCode="&quot;$&quot;#,##0">
                  <c:v>100000</c:v>
                </c:pt>
                <c:pt idx="11">
                  <c:v>40000</c:v>
                </c:pt>
              </c:numCache>
            </c:numRef>
          </c:val>
          <c:extLst>
            <c:ext xmlns:c16="http://schemas.microsoft.com/office/drawing/2014/chart" uri="{C3380CC4-5D6E-409C-BE32-E72D297353CC}">
              <c16:uniqueId val="{00000000-2E45-492B-B974-8DC314E6A810}"/>
            </c:ext>
          </c:extLst>
        </c:ser>
        <c:ser>
          <c:idx val="1"/>
          <c:order val="1"/>
          <c:tx>
            <c:strRef>
              <c:f>Summary!$D$55</c:f>
              <c:strCache>
                <c:ptCount val="1"/>
                <c:pt idx="0">
                  <c:v>Quality Learning</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Summary!$D$56:$D$67</c:f>
              <c:numCache>
                <c:formatCode>"$"#,##0_);[Red]\("$"#,##0\)</c:formatCode>
                <c:ptCount val="12"/>
                <c:pt idx="0">
                  <c:v>1258324.3999999999</c:v>
                </c:pt>
                <c:pt idx="1">
                  <c:v>772311.60575104307</c:v>
                </c:pt>
                <c:pt idx="2">
                  <c:v>1706438.5</c:v>
                </c:pt>
                <c:pt idx="3">
                  <c:v>1500000</c:v>
                </c:pt>
                <c:pt idx="4" formatCode="&quot;$&quot;#,##0">
                  <c:v>240000</c:v>
                </c:pt>
                <c:pt idx="5" formatCode="&quot;$&quot;#,##0">
                  <c:v>1850000</c:v>
                </c:pt>
                <c:pt idx="6" formatCode="&quot;$&quot;#,##0">
                  <c:v>200000</c:v>
                </c:pt>
                <c:pt idx="7" formatCode="&quot;$&quot;#,##0">
                  <c:v>300000</c:v>
                </c:pt>
                <c:pt idx="8" formatCode="&quot;$&quot;#,##0">
                  <c:v>137000</c:v>
                </c:pt>
                <c:pt idx="9" formatCode="&quot;$&quot;#,##0">
                  <c:v>110000</c:v>
                </c:pt>
                <c:pt idx="10" formatCode="&quot;$&quot;#,##0">
                  <c:v>130000</c:v>
                </c:pt>
              </c:numCache>
            </c:numRef>
          </c:val>
          <c:extLst>
            <c:ext xmlns:c16="http://schemas.microsoft.com/office/drawing/2014/chart" uri="{C3380CC4-5D6E-409C-BE32-E72D297353CC}">
              <c16:uniqueId val="{00000001-2E45-492B-B974-8DC314E6A810}"/>
            </c:ext>
          </c:extLst>
        </c:ser>
        <c:ser>
          <c:idx val="2"/>
          <c:order val="2"/>
          <c:tx>
            <c:strRef>
              <c:f>Summary!$E$55</c:f>
              <c:strCache>
                <c:ptCount val="1"/>
                <c:pt idx="0">
                  <c:v>Empowered School Leadership</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Summary!$E$56:$E$67</c:f>
              <c:numCache>
                <c:formatCode>"$"#,##0_);[Red]\("$"#,##0\)</c:formatCode>
                <c:ptCount val="12"/>
                <c:pt idx="0">
                  <c:v>1225559.3999999999</c:v>
                </c:pt>
                <c:pt idx="1">
                  <c:v>752201.69628538145</c:v>
                </c:pt>
                <c:pt idx="2">
                  <c:v>183507.75</c:v>
                </c:pt>
                <c:pt idx="3">
                  <c:v>1675000</c:v>
                </c:pt>
                <c:pt idx="4" formatCode="&quot;$&quot;#,##0">
                  <c:v>175000</c:v>
                </c:pt>
                <c:pt idx="5" formatCode="&quot;$&quot;#,##0">
                  <c:v>250000</c:v>
                </c:pt>
                <c:pt idx="6" formatCode="&quot;$&quot;#,##0">
                  <c:v>190000</c:v>
                </c:pt>
                <c:pt idx="7" formatCode="&quot;$&quot;#,##0">
                  <c:v>80000</c:v>
                </c:pt>
                <c:pt idx="8" formatCode="&quot;$&quot;#,##0">
                  <c:v>27000</c:v>
                </c:pt>
                <c:pt idx="9" formatCode="&quot;$&quot;#,##0">
                  <c:v>94000</c:v>
                </c:pt>
                <c:pt idx="10" formatCode="&quot;$&quot;#,##0">
                  <c:v>361608</c:v>
                </c:pt>
                <c:pt idx="11">
                  <c:v>20000</c:v>
                </c:pt>
              </c:numCache>
            </c:numRef>
          </c:val>
          <c:extLst>
            <c:ext xmlns:c16="http://schemas.microsoft.com/office/drawing/2014/chart" uri="{C3380CC4-5D6E-409C-BE32-E72D297353CC}">
              <c16:uniqueId val="{00000002-2E45-492B-B974-8DC314E6A810}"/>
            </c:ext>
          </c:extLst>
        </c:ser>
        <c:ser>
          <c:idx val="3"/>
          <c:order val="3"/>
          <c:tx>
            <c:strRef>
              <c:f>Summary!$F$55</c:f>
              <c:strCache>
                <c:ptCount val="1"/>
                <c:pt idx="0">
                  <c:v>Transparency and Accountability</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Summary!$F$56:$F$67</c:f>
              <c:numCache>
                <c:formatCode>"$"#,##0_);[Red]\("$"#,##0\)</c:formatCode>
                <c:ptCount val="12"/>
                <c:pt idx="0">
                  <c:v>1262511.3999999999</c:v>
                </c:pt>
                <c:pt idx="1">
                  <c:v>774881.42693012848</c:v>
                </c:pt>
                <c:pt idx="2">
                  <c:v>0</c:v>
                </c:pt>
                <c:pt idx="3">
                  <c:v>525000</c:v>
                </c:pt>
                <c:pt idx="4" formatCode="&quot;$&quot;#,##0">
                  <c:v>413000</c:v>
                </c:pt>
                <c:pt idx="5" formatCode="&quot;$&quot;#,##0">
                  <c:v>100000</c:v>
                </c:pt>
                <c:pt idx="6" formatCode="&quot;$&quot;#,##0">
                  <c:v>240000</c:v>
                </c:pt>
                <c:pt idx="7" formatCode="&quot;$&quot;#,##0">
                  <c:v>90993</c:v>
                </c:pt>
                <c:pt idx="8" formatCode="&quot;$&quot;#,##0">
                  <c:v>13000</c:v>
                </c:pt>
                <c:pt idx="9" formatCode="&quot;$&quot;#,##0">
                  <c:v>31000</c:v>
                </c:pt>
                <c:pt idx="10" formatCode="&quot;$&quot;#,##0">
                  <c:v>81209</c:v>
                </c:pt>
              </c:numCache>
            </c:numRef>
          </c:val>
          <c:extLst>
            <c:ext xmlns:c16="http://schemas.microsoft.com/office/drawing/2014/chart" uri="{C3380CC4-5D6E-409C-BE32-E72D297353CC}">
              <c16:uniqueId val="{00000003-2E45-492B-B974-8DC314E6A810}"/>
            </c:ext>
          </c:extLst>
        </c:ser>
        <c:ser>
          <c:idx val="4"/>
          <c:order val="4"/>
          <c:tx>
            <c:strRef>
              <c:f>Summary!$G$55</c:f>
              <c:strCache>
                <c:ptCount val="1"/>
                <c:pt idx="0">
                  <c:v>Meeting Student Needs</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Summary!$G$56:$G$67</c:f>
              <c:numCache>
                <c:formatCode>"$"#,##0_);[Red]\("$"#,##0\)</c:formatCode>
                <c:ptCount val="12"/>
                <c:pt idx="0">
                  <c:v>2463610.4</c:v>
                </c:pt>
                <c:pt idx="1">
                  <c:v>1512070.26103044</c:v>
                </c:pt>
                <c:pt idx="2">
                  <c:v>0</c:v>
                </c:pt>
                <c:pt idx="3">
                  <c:v>775000</c:v>
                </c:pt>
                <c:pt idx="4" formatCode="&quot;$&quot;#,##0">
                  <c:v>100000</c:v>
                </c:pt>
                <c:pt idx="5" formatCode="&quot;$&quot;#,##0">
                  <c:v>920000</c:v>
                </c:pt>
                <c:pt idx="6" formatCode="&quot;$&quot;#,##0">
                  <c:v>202891</c:v>
                </c:pt>
                <c:pt idx="7" formatCode="&quot;$&quot;#,##0">
                  <c:v>178000</c:v>
                </c:pt>
                <c:pt idx="8" formatCode="&quot;$&quot;#,##0">
                  <c:v>0</c:v>
                </c:pt>
                <c:pt idx="9" formatCode="&quot;$&quot;#,##0">
                  <c:v>40000</c:v>
                </c:pt>
                <c:pt idx="10" formatCode="&quot;$&quot;#,##0">
                  <c:v>200000</c:v>
                </c:pt>
              </c:numCache>
            </c:numRef>
          </c:val>
          <c:extLst>
            <c:ext xmlns:c16="http://schemas.microsoft.com/office/drawing/2014/chart" uri="{C3380CC4-5D6E-409C-BE32-E72D297353CC}">
              <c16:uniqueId val="{00000004-2E45-492B-B974-8DC314E6A810}"/>
            </c:ext>
          </c:extLst>
        </c:ser>
        <c:dLbls>
          <c:showLegendKey val="0"/>
          <c:showVal val="0"/>
          <c:showCatName val="0"/>
          <c:showSerName val="0"/>
          <c:showPercent val="0"/>
          <c:showBubbleSize val="0"/>
        </c:dLbls>
        <c:gapWidth val="150"/>
        <c:overlap val="100"/>
        <c:axId val="311424512"/>
        <c:axId val="311426048"/>
      </c:barChart>
      <c:catAx>
        <c:axId val="311424512"/>
        <c:scaling>
          <c:orientation val="minMax"/>
        </c:scaling>
        <c:delete val="0"/>
        <c:axPos val="b"/>
        <c:numFmt formatCode="General" sourceLinked="0"/>
        <c:majorTickMark val="out"/>
        <c:minorTickMark val="none"/>
        <c:tickLblPos val="nextTo"/>
        <c:crossAx val="311426048"/>
        <c:crosses val="autoZero"/>
        <c:auto val="1"/>
        <c:lblAlgn val="ctr"/>
        <c:lblOffset val="100"/>
        <c:noMultiLvlLbl val="0"/>
      </c:catAx>
      <c:valAx>
        <c:axId val="311426048"/>
        <c:scaling>
          <c:orientation val="minMax"/>
        </c:scaling>
        <c:delete val="0"/>
        <c:axPos val="l"/>
        <c:numFmt formatCode="&quot;$&quot;#,##0_);[Red]\(&quot;$&quot;#,##0\)" sourceLinked="1"/>
        <c:majorTickMark val="out"/>
        <c:minorTickMark val="none"/>
        <c:tickLblPos val="nextTo"/>
        <c:crossAx val="311424512"/>
        <c:crosses val="autoZero"/>
        <c:crossBetween val="between"/>
      </c:valAx>
    </c:plotArea>
    <c:legend>
      <c:legendPos val="r"/>
      <c:layout>
        <c:manualLayout>
          <c:xMode val="edge"/>
          <c:yMode val="edge"/>
          <c:x val="0.64160180878190898"/>
          <c:y val="0.149923783657438"/>
          <c:w val="0.33615619833552801"/>
          <c:h val="0.56830002423435899"/>
        </c:manualLayout>
      </c:layout>
      <c:overlay val="1"/>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Annual</a:t>
            </a:r>
            <a:r>
              <a:rPr lang="en-US" sz="1400" baseline="0"/>
              <a:t> SFSF Allocation by State and Sector </a:t>
            </a:r>
            <a:endParaRPr lang="en-US" sz="1400"/>
          </a:p>
        </c:rich>
      </c:tx>
      <c:layout/>
      <c:overlay val="0"/>
    </c:title>
    <c:autoTitleDeleted val="0"/>
    <c:plotArea>
      <c:layout/>
      <c:barChart>
        <c:barDir val="col"/>
        <c:grouping val="clustered"/>
        <c:varyColors val="0"/>
        <c:ser>
          <c:idx val="0"/>
          <c:order val="0"/>
          <c:tx>
            <c:strRef>
              <c:f>Sheet4!$C$3</c:f>
              <c:strCache>
                <c:ptCount val="1"/>
                <c:pt idx="0">
                  <c:v>Indep</c:v>
                </c:pt>
              </c:strCache>
            </c:strRef>
          </c:tx>
          <c:invertIfNegative val="0"/>
          <c:cat>
            <c:strRef>
              <c:f>Sheet4!$B$4:$B$11</c:f>
              <c:strCache>
                <c:ptCount val="8"/>
                <c:pt idx="0">
                  <c:v>NSW </c:v>
                </c:pt>
                <c:pt idx="1">
                  <c:v>Vic</c:v>
                </c:pt>
                <c:pt idx="2">
                  <c:v>Qld</c:v>
                </c:pt>
                <c:pt idx="3">
                  <c:v>WA</c:v>
                </c:pt>
                <c:pt idx="4">
                  <c:v>SA</c:v>
                </c:pt>
                <c:pt idx="5">
                  <c:v>TAS</c:v>
                </c:pt>
                <c:pt idx="6">
                  <c:v>ACT</c:v>
                </c:pt>
                <c:pt idx="7">
                  <c:v>NT</c:v>
                </c:pt>
              </c:strCache>
            </c:strRef>
          </c:cat>
          <c:val>
            <c:numRef>
              <c:f>Sheet4!$C$4:$C$11</c:f>
              <c:numCache>
                <c:formatCode>"$"#,##0</c:formatCode>
                <c:ptCount val="8"/>
                <c:pt idx="0">
                  <c:v>7485668</c:v>
                </c:pt>
                <c:pt idx="1">
                  <c:v>5444491</c:v>
                </c:pt>
                <c:pt idx="2">
                  <c:v>4833513</c:v>
                </c:pt>
                <c:pt idx="3">
                  <c:v>3207197</c:v>
                </c:pt>
                <c:pt idx="4">
                  <c:v>2093598</c:v>
                </c:pt>
                <c:pt idx="5">
                  <c:v>640380</c:v>
                </c:pt>
                <c:pt idx="6">
                  <c:v>784219</c:v>
                </c:pt>
                <c:pt idx="7">
                  <c:v>510933</c:v>
                </c:pt>
              </c:numCache>
            </c:numRef>
          </c:val>
          <c:extLst>
            <c:ext xmlns:c16="http://schemas.microsoft.com/office/drawing/2014/chart" uri="{C3380CC4-5D6E-409C-BE32-E72D297353CC}">
              <c16:uniqueId val="{00000000-CAFE-46F3-9FF5-2980354B037B}"/>
            </c:ext>
          </c:extLst>
        </c:ser>
        <c:ser>
          <c:idx val="1"/>
          <c:order val="1"/>
          <c:tx>
            <c:strRef>
              <c:f>Sheet4!$D$3</c:f>
              <c:strCache>
                <c:ptCount val="1"/>
                <c:pt idx="0">
                  <c:v>Catholic</c:v>
                </c:pt>
              </c:strCache>
            </c:strRef>
          </c:tx>
          <c:invertIfNegative val="0"/>
          <c:cat>
            <c:strRef>
              <c:f>Sheet4!$B$4:$B$11</c:f>
              <c:strCache>
                <c:ptCount val="8"/>
                <c:pt idx="0">
                  <c:v>NSW </c:v>
                </c:pt>
                <c:pt idx="1">
                  <c:v>Vic</c:v>
                </c:pt>
                <c:pt idx="2">
                  <c:v>Qld</c:v>
                </c:pt>
                <c:pt idx="3">
                  <c:v>WA</c:v>
                </c:pt>
                <c:pt idx="4">
                  <c:v>SA</c:v>
                </c:pt>
                <c:pt idx="5">
                  <c:v>TAS</c:v>
                </c:pt>
                <c:pt idx="6">
                  <c:v>ACT</c:v>
                </c:pt>
                <c:pt idx="7">
                  <c:v>NT</c:v>
                </c:pt>
              </c:strCache>
            </c:strRef>
          </c:cat>
          <c:val>
            <c:numRef>
              <c:f>Sheet4!$D$4:$D$11</c:f>
              <c:numCache>
                <c:formatCode>"$"#,##0</c:formatCode>
                <c:ptCount val="8"/>
                <c:pt idx="0">
                  <c:v>4594418</c:v>
                </c:pt>
                <c:pt idx="1">
                  <c:v>3670155</c:v>
                </c:pt>
                <c:pt idx="2">
                  <c:v>2567447</c:v>
                </c:pt>
                <c:pt idx="3">
                  <c:v>1252891</c:v>
                </c:pt>
                <c:pt idx="4">
                  <c:v>898993</c:v>
                </c:pt>
                <c:pt idx="5">
                  <c:v>271789</c:v>
                </c:pt>
                <c:pt idx="6">
                  <c:v>324938</c:v>
                </c:pt>
                <c:pt idx="7">
                  <c:v>86032</c:v>
                </c:pt>
              </c:numCache>
            </c:numRef>
          </c:val>
          <c:extLst>
            <c:ext xmlns:c16="http://schemas.microsoft.com/office/drawing/2014/chart" uri="{C3380CC4-5D6E-409C-BE32-E72D297353CC}">
              <c16:uniqueId val="{00000001-CAFE-46F3-9FF5-2980354B037B}"/>
            </c:ext>
          </c:extLst>
        </c:ser>
        <c:dLbls>
          <c:showLegendKey val="0"/>
          <c:showVal val="0"/>
          <c:showCatName val="0"/>
          <c:showSerName val="0"/>
          <c:showPercent val="0"/>
          <c:showBubbleSize val="0"/>
        </c:dLbls>
        <c:gapWidth val="150"/>
        <c:axId val="319723776"/>
        <c:axId val="319737856"/>
      </c:barChart>
      <c:catAx>
        <c:axId val="319723776"/>
        <c:scaling>
          <c:orientation val="minMax"/>
        </c:scaling>
        <c:delete val="0"/>
        <c:axPos val="b"/>
        <c:numFmt formatCode="General" sourceLinked="0"/>
        <c:majorTickMark val="out"/>
        <c:minorTickMark val="none"/>
        <c:tickLblPos val="nextTo"/>
        <c:crossAx val="319737856"/>
        <c:crosses val="autoZero"/>
        <c:auto val="1"/>
        <c:lblAlgn val="ctr"/>
        <c:lblOffset val="100"/>
        <c:noMultiLvlLbl val="0"/>
      </c:catAx>
      <c:valAx>
        <c:axId val="319737856"/>
        <c:scaling>
          <c:orientation val="minMax"/>
        </c:scaling>
        <c:delete val="0"/>
        <c:axPos val="l"/>
        <c:majorGridlines/>
        <c:numFmt formatCode="&quot;$&quot;#,##0" sourceLinked="1"/>
        <c:majorTickMark val="out"/>
        <c:minorTickMark val="none"/>
        <c:tickLblPos val="nextTo"/>
        <c:crossAx val="3197237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Percentage of SFSF Funding by State and Sector</a:t>
            </a:r>
          </a:p>
        </c:rich>
      </c:tx>
      <c:layout/>
      <c:overlay val="0"/>
    </c:title>
    <c:autoTitleDeleted val="0"/>
    <c:plotArea>
      <c:layout/>
      <c:barChart>
        <c:barDir val="col"/>
        <c:grouping val="percentStacked"/>
        <c:varyColors val="0"/>
        <c:ser>
          <c:idx val="0"/>
          <c:order val="0"/>
          <c:tx>
            <c:strRef>
              <c:f>Sheet4!$B$14</c:f>
              <c:strCache>
                <c:ptCount val="1"/>
                <c:pt idx="0">
                  <c:v>NSW </c:v>
                </c:pt>
              </c:strCache>
            </c:strRef>
          </c:tx>
          <c:invertIfNegative val="0"/>
          <c:cat>
            <c:strRef>
              <c:f>Sheet4!$C$13:$D$13</c:f>
              <c:strCache>
                <c:ptCount val="2"/>
                <c:pt idx="0">
                  <c:v>Indep</c:v>
                </c:pt>
                <c:pt idx="1">
                  <c:v>Catholic</c:v>
                </c:pt>
              </c:strCache>
            </c:strRef>
          </c:cat>
          <c:val>
            <c:numRef>
              <c:f>Sheet4!$C$14:$D$14</c:f>
              <c:numCache>
                <c:formatCode>0.0%</c:formatCode>
                <c:ptCount val="2"/>
                <c:pt idx="0">
                  <c:v>0.29942673197706898</c:v>
                </c:pt>
                <c:pt idx="1">
                  <c:v>0.33617701702310199</c:v>
                </c:pt>
              </c:numCache>
            </c:numRef>
          </c:val>
          <c:extLst>
            <c:ext xmlns:c16="http://schemas.microsoft.com/office/drawing/2014/chart" uri="{C3380CC4-5D6E-409C-BE32-E72D297353CC}">
              <c16:uniqueId val="{00000000-F44F-4FA9-8B46-6F7D6035E3A1}"/>
            </c:ext>
          </c:extLst>
        </c:ser>
        <c:ser>
          <c:idx val="1"/>
          <c:order val="1"/>
          <c:tx>
            <c:strRef>
              <c:f>Sheet4!$B$15</c:f>
              <c:strCache>
                <c:ptCount val="1"/>
                <c:pt idx="0">
                  <c:v>Vic</c:v>
                </c:pt>
              </c:strCache>
            </c:strRef>
          </c:tx>
          <c:invertIfNegative val="0"/>
          <c:cat>
            <c:strRef>
              <c:f>Sheet4!$C$13:$D$13</c:f>
              <c:strCache>
                <c:ptCount val="2"/>
                <c:pt idx="0">
                  <c:v>Indep</c:v>
                </c:pt>
                <c:pt idx="1">
                  <c:v>Catholic</c:v>
                </c:pt>
              </c:strCache>
            </c:strRef>
          </c:cat>
          <c:val>
            <c:numRef>
              <c:f>Sheet4!$C$15:$D$15</c:f>
              <c:numCache>
                <c:formatCode>0.0%</c:formatCode>
                <c:ptCount val="2"/>
                <c:pt idx="0">
                  <c:v>0.21777964871118599</c:v>
                </c:pt>
                <c:pt idx="1">
                  <c:v>0.26854799887873099</c:v>
                </c:pt>
              </c:numCache>
            </c:numRef>
          </c:val>
          <c:extLst>
            <c:ext xmlns:c16="http://schemas.microsoft.com/office/drawing/2014/chart" uri="{C3380CC4-5D6E-409C-BE32-E72D297353CC}">
              <c16:uniqueId val="{00000001-F44F-4FA9-8B46-6F7D6035E3A1}"/>
            </c:ext>
          </c:extLst>
        </c:ser>
        <c:ser>
          <c:idx val="2"/>
          <c:order val="2"/>
          <c:tx>
            <c:strRef>
              <c:f>Sheet4!$B$16</c:f>
              <c:strCache>
                <c:ptCount val="1"/>
                <c:pt idx="0">
                  <c:v>Qld</c:v>
                </c:pt>
              </c:strCache>
            </c:strRef>
          </c:tx>
          <c:invertIfNegative val="0"/>
          <c:cat>
            <c:strRef>
              <c:f>Sheet4!$C$13:$D$13</c:f>
              <c:strCache>
                <c:ptCount val="2"/>
                <c:pt idx="0">
                  <c:v>Indep</c:v>
                </c:pt>
                <c:pt idx="1">
                  <c:v>Catholic</c:v>
                </c:pt>
              </c:strCache>
            </c:strRef>
          </c:cat>
          <c:val>
            <c:numRef>
              <c:f>Sheet4!$C$16:$D$16</c:f>
              <c:numCache>
                <c:formatCode>0.0%</c:formatCode>
                <c:ptCount val="2"/>
                <c:pt idx="0">
                  <c:v>0.19334052773362101</c:v>
                </c:pt>
                <c:pt idx="1">
                  <c:v>0.18786202601176299</c:v>
                </c:pt>
              </c:numCache>
            </c:numRef>
          </c:val>
          <c:extLst>
            <c:ext xmlns:c16="http://schemas.microsoft.com/office/drawing/2014/chart" uri="{C3380CC4-5D6E-409C-BE32-E72D297353CC}">
              <c16:uniqueId val="{00000002-F44F-4FA9-8B46-6F7D6035E3A1}"/>
            </c:ext>
          </c:extLst>
        </c:ser>
        <c:ser>
          <c:idx val="3"/>
          <c:order val="3"/>
          <c:tx>
            <c:strRef>
              <c:f>Sheet4!$B$17</c:f>
              <c:strCache>
                <c:ptCount val="1"/>
                <c:pt idx="0">
                  <c:v>WA</c:v>
                </c:pt>
              </c:strCache>
            </c:strRef>
          </c:tx>
          <c:invertIfNegative val="0"/>
          <c:cat>
            <c:strRef>
              <c:f>Sheet4!$C$13:$D$13</c:f>
              <c:strCache>
                <c:ptCount val="2"/>
                <c:pt idx="0">
                  <c:v>Indep</c:v>
                </c:pt>
                <c:pt idx="1">
                  <c:v>Catholic</c:v>
                </c:pt>
              </c:strCache>
            </c:strRef>
          </c:cat>
          <c:val>
            <c:numRef>
              <c:f>Sheet4!$C$17:$D$17</c:f>
              <c:numCache>
                <c:formatCode>0.0%</c:formatCode>
                <c:ptCount val="2"/>
                <c:pt idx="0">
                  <c:v>0.12828788513151501</c:v>
                </c:pt>
                <c:pt idx="1">
                  <c:v>9.1674975815237397E-2</c:v>
                </c:pt>
              </c:numCache>
            </c:numRef>
          </c:val>
          <c:extLst>
            <c:ext xmlns:c16="http://schemas.microsoft.com/office/drawing/2014/chart" uri="{C3380CC4-5D6E-409C-BE32-E72D297353CC}">
              <c16:uniqueId val="{00000003-F44F-4FA9-8B46-6F7D6035E3A1}"/>
            </c:ext>
          </c:extLst>
        </c:ser>
        <c:ser>
          <c:idx val="4"/>
          <c:order val="4"/>
          <c:tx>
            <c:strRef>
              <c:f>Sheet4!$B$18</c:f>
              <c:strCache>
                <c:ptCount val="1"/>
                <c:pt idx="0">
                  <c:v>SA</c:v>
                </c:pt>
              </c:strCache>
            </c:strRef>
          </c:tx>
          <c:invertIfNegative val="0"/>
          <c:cat>
            <c:strRef>
              <c:f>Sheet4!$C$13:$D$13</c:f>
              <c:strCache>
                <c:ptCount val="2"/>
                <c:pt idx="0">
                  <c:v>Indep</c:v>
                </c:pt>
                <c:pt idx="1">
                  <c:v>Catholic</c:v>
                </c:pt>
              </c:strCache>
            </c:strRef>
          </c:cat>
          <c:val>
            <c:numRef>
              <c:f>Sheet4!$C$18:$D$18</c:f>
              <c:numCache>
                <c:formatCode>0.0%</c:formatCode>
                <c:ptCount val="2"/>
                <c:pt idx="0">
                  <c:v>8.3743923349756902E-2</c:v>
                </c:pt>
                <c:pt idx="1">
                  <c:v>6.5779993258046995E-2</c:v>
                </c:pt>
              </c:numCache>
            </c:numRef>
          </c:val>
          <c:extLst>
            <c:ext xmlns:c16="http://schemas.microsoft.com/office/drawing/2014/chart" uri="{C3380CC4-5D6E-409C-BE32-E72D297353CC}">
              <c16:uniqueId val="{00000004-F44F-4FA9-8B46-6F7D6035E3A1}"/>
            </c:ext>
          </c:extLst>
        </c:ser>
        <c:ser>
          <c:idx val="5"/>
          <c:order val="5"/>
          <c:tx>
            <c:strRef>
              <c:f>Sheet4!$B$19</c:f>
              <c:strCache>
                <c:ptCount val="1"/>
                <c:pt idx="0">
                  <c:v>TAS</c:v>
                </c:pt>
              </c:strCache>
            </c:strRef>
          </c:tx>
          <c:invertIfNegative val="0"/>
          <c:cat>
            <c:strRef>
              <c:f>Sheet4!$C$13:$D$13</c:f>
              <c:strCache>
                <c:ptCount val="2"/>
                <c:pt idx="0">
                  <c:v>Indep</c:v>
                </c:pt>
                <c:pt idx="1">
                  <c:v>Catholic</c:v>
                </c:pt>
              </c:strCache>
            </c:strRef>
          </c:cat>
          <c:val>
            <c:numRef>
              <c:f>Sheet4!$C$19:$D$19</c:f>
              <c:numCache>
                <c:formatCode>0.0%</c:formatCode>
                <c:ptCount val="2"/>
                <c:pt idx="0">
                  <c:v>2.5615201024608E-2</c:v>
                </c:pt>
                <c:pt idx="1">
                  <c:v>1.9887005335537999E-2</c:v>
                </c:pt>
              </c:numCache>
            </c:numRef>
          </c:val>
          <c:extLst>
            <c:ext xmlns:c16="http://schemas.microsoft.com/office/drawing/2014/chart" uri="{C3380CC4-5D6E-409C-BE32-E72D297353CC}">
              <c16:uniqueId val="{00000005-F44F-4FA9-8B46-6F7D6035E3A1}"/>
            </c:ext>
          </c:extLst>
        </c:ser>
        <c:ser>
          <c:idx val="6"/>
          <c:order val="6"/>
          <c:tx>
            <c:strRef>
              <c:f>Sheet4!$B$20</c:f>
              <c:strCache>
                <c:ptCount val="1"/>
                <c:pt idx="0">
                  <c:v>ACT</c:v>
                </c:pt>
              </c:strCache>
            </c:strRef>
          </c:tx>
          <c:invertIfNegative val="0"/>
          <c:cat>
            <c:strRef>
              <c:f>Sheet4!$C$13:$D$13</c:f>
              <c:strCache>
                <c:ptCount val="2"/>
                <c:pt idx="0">
                  <c:v>Indep</c:v>
                </c:pt>
                <c:pt idx="1">
                  <c:v>Catholic</c:v>
                </c:pt>
              </c:strCache>
            </c:strRef>
          </c:cat>
          <c:val>
            <c:numRef>
              <c:f>Sheet4!$C$20:$D$20</c:f>
              <c:numCache>
                <c:formatCode>0.0%</c:formatCode>
                <c:ptCount val="2"/>
                <c:pt idx="0">
                  <c:v>3.1368761254750403E-2</c:v>
                </c:pt>
                <c:pt idx="1">
                  <c:v>2.3775957598427599E-2</c:v>
                </c:pt>
              </c:numCache>
            </c:numRef>
          </c:val>
          <c:extLst>
            <c:ext xmlns:c16="http://schemas.microsoft.com/office/drawing/2014/chart" uri="{C3380CC4-5D6E-409C-BE32-E72D297353CC}">
              <c16:uniqueId val="{00000006-F44F-4FA9-8B46-6F7D6035E3A1}"/>
            </c:ext>
          </c:extLst>
        </c:ser>
        <c:ser>
          <c:idx val="7"/>
          <c:order val="7"/>
          <c:tx>
            <c:strRef>
              <c:f>Sheet4!$B$21</c:f>
              <c:strCache>
                <c:ptCount val="1"/>
                <c:pt idx="0">
                  <c:v>NT</c:v>
                </c:pt>
              </c:strCache>
            </c:strRef>
          </c:tx>
          <c:invertIfNegative val="0"/>
          <c:cat>
            <c:strRef>
              <c:f>Sheet4!$C$13:$D$13</c:f>
              <c:strCache>
                <c:ptCount val="2"/>
                <c:pt idx="0">
                  <c:v>Indep</c:v>
                </c:pt>
                <c:pt idx="1">
                  <c:v>Catholic</c:v>
                </c:pt>
              </c:strCache>
            </c:strRef>
          </c:cat>
          <c:val>
            <c:numRef>
              <c:f>Sheet4!$C$21:$D$21</c:f>
              <c:numCache>
                <c:formatCode>0.0%</c:formatCode>
                <c:ptCount val="2"/>
                <c:pt idx="0">
                  <c:v>2.0437320817492801E-2</c:v>
                </c:pt>
                <c:pt idx="1">
                  <c:v>6.2950260791533397E-3</c:v>
                </c:pt>
              </c:numCache>
            </c:numRef>
          </c:val>
          <c:extLst>
            <c:ext xmlns:c16="http://schemas.microsoft.com/office/drawing/2014/chart" uri="{C3380CC4-5D6E-409C-BE32-E72D297353CC}">
              <c16:uniqueId val="{00000007-F44F-4FA9-8B46-6F7D6035E3A1}"/>
            </c:ext>
          </c:extLst>
        </c:ser>
        <c:dLbls>
          <c:showLegendKey val="0"/>
          <c:showVal val="0"/>
          <c:showCatName val="0"/>
          <c:showSerName val="0"/>
          <c:showPercent val="0"/>
          <c:showBubbleSize val="0"/>
        </c:dLbls>
        <c:gapWidth val="150"/>
        <c:overlap val="100"/>
        <c:axId val="321160704"/>
        <c:axId val="321162240"/>
      </c:barChart>
      <c:catAx>
        <c:axId val="321160704"/>
        <c:scaling>
          <c:orientation val="minMax"/>
        </c:scaling>
        <c:delete val="0"/>
        <c:axPos val="b"/>
        <c:numFmt formatCode="General" sourceLinked="0"/>
        <c:majorTickMark val="out"/>
        <c:minorTickMark val="none"/>
        <c:tickLblPos val="nextTo"/>
        <c:crossAx val="321162240"/>
        <c:crosses val="autoZero"/>
        <c:auto val="1"/>
        <c:lblAlgn val="ctr"/>
        <c:lblOffset val="100"/>
        <c:noMultiLvlLbl val="0"/>
      </c:catAx>
      <c:valAx>
        <c:axId val="321162240"/>
        <c:scaling>
          <c:orientation val="minMax"/>
        </c:scaling>
        <c:delete val="0"/>
        <c:axPos val="l"/>
        <c:majorGridlines/>
        <c:numFmt formatCode="0%" sourceLinked="1"/>
        <c:majorTickMark val="out"/>
        <c:minorTickMark val="none"/>
        <c:tickLblPos val="nextTo"/>
        <c:crossAx val="3211607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Expenditure by Reform Area (where available)</a:t>
            </a:r>
          </a:p>
        </c:rich>
      </c:tx>
      <c:layout/>
      <c:overlay val="0"/>
    </c:title>
    <c:autoTitleDeleted val="0"/>
    <c:plotArea>
      <c:layout/>
      <c:barChart>
        <c:barDir val="bar"/>
        <c:grouping val="stacked"/>
        <c:varyColors val="0"/>
        <c:ser>
          <c:idx val="0"/>
          <c:order val="0"/>
          <c:tx>
            <c:strRef>
              <c:f>Summary!$C$22</c:f>
              <c:strCache>
                <c:ptCount val="1"/>
                <c:pt idx="0">
                  <c:v>Quality Teaching</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Summary!$C$23:$C$34</c:f>
              <c:numCache>
                <c:formatCode>0.0%</c:formatCode>
                <c:ptCount val="12"/>
                <c:pt idx="0">
                  <c:v>0.17041396973523301</c:v>
                </c:pt>
                <c:pt idx="1">
                  <c:v>0.25</c:v>
                </c:pt>
                <c:pt idx="2">
                  <c:v>0.48499999999999999</c:v>
                </c:pt>
                <c:pt idx="3">
                  <c:v>0.171296296296296</c:v>
                </c:pt>
                <c:pt idx="4">
                  <c:v>0.63862928348909598</c:v>
                </c:pt>
                <c:pt idx="5">
                  <c:v>0.11363636363636399</c:v>
                </c:pt>
                <c:pt idx="6">
                  <c:v>0.33522469233157498</c:v>
                </c:pt>
                <c:pt idx="7">
                  <c:v>0.27808892838987598</c:v>
                </c:pt>
                <c:pt idx="8">
                  <c:v>0.34926470588235298</c:v>
                </c:pt>
                <c:pt idx="9">
                  <c:v>0.15384615384615399</c:v>
                </c:pt>
                <c:pt idx="10">
                  <c:v>0.11457155394544299</c:v>
                </c:pt>
                <c:pt idx="11">
                  <c:v>0.46500000000000002</c:v>
                </c:pt>
              </c:numCache>
            </c:numRef>
          </c:val>
          <c:extLst>
            <c:ext xmlns:c16="http://schemas.microsoft.com/office/drawing/2014/chart" uri="{C3380CC4-5D6E-409C-BE32-E72D297353CC}">
              <c16:uniqueId val="{00000000-E91D-48BB-B253-5225E0074A37}"/>
            </c:ext>
          </c:extLst>
        </c:ser>
        <c:ser>
          <c:idx val="1"/>
          <c:order val="1"/>
          <c:tx>
            <c:strRef>
              <c:f>Summary!$D$22</c:f>
              <c:strCache>
                <c:ptCount val="1"/>
                <c:pt idx="0">
                  <c:v>Quality Learning</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Summary!$D$23:$D$34</c:f>
              <c:numCache>
                <c:formatCode>0.0%</c:formatCode>
                <c:ptCount val="12"/>
                <c:pt idx="0">
                  <c:v>0.16809781037577401</c:v>
                </c:pt>
                <c:pt idx="1">
                  <c:v>0.15</c:v>
                </c:pt>
                <c:pt idx="2">
                  <c:v>0.46500000000000002</c:v>
                </c:pt>
                <c:pt idx="3">
                  <c:v>0.27777777777777801</c:v>
                </c:pt>
                <c:pt idx="4">
                  <c:v>9.34579439252336E-2</c:v>
                </c:pt>
                <c:pt idx="5">
                  <c:v>0.52556818181818199</c:v>
                </c:pt>
                <c:pt idx="6">
                  <c:v>0.15963080587217901</c:v>
                </c:pt>
                <c:pt idx="7">
                  <c:v>0.33370671406785102</c:v>
                </c:pt>
                <c:pt idx="8">
                  <c:v>0.50367647058823495</c:v>
                </c:pt>
                <c:pt idx="9">
                  <c:v>0.33846153846153798</c:v>
                </c:pt>
                <c:pt idx="10">
                  <c:v>0.14894302012907601</c:v>
                </c:pt>
                <c:pt idx="11">
                  <c:v>0</c:v>
                </c:pt>
              </c:numCache>
            </c:numRef>
          </c:val>
          <c:extLst>
            <c:ext xmlns:c16="http://schemas.microsoft.com/office/drawing/2014/chart" uri="{C3380CC4-5D6E-409C-BE32-E72D297353CC}">
              <c16:uniqueId val="{00000001-E91D-48BB-B253-5225E0074A37}"/>
            </c:ext>
          </c:extLst>
        </c:ser>
        <c:ser>
          <c:idx val="2"/>
          <c:order val="2"/>
          <c:tx>
            <c:strRef>
              <c:f>Summary!$E$22</c:f>
              <c:strCache>
                <c:ptCount val="1"/>
                <c:pt idx="0">
                  <c:v>Empowered School Leadership</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Summary!$E$23:$E$34</c:f>
              <c:numCache>
                <c:formatCode>0.0%</c:formatCode>
                <c:ptCount val="12"/>
                <c:pt idx="0">
                  <c:v>0.163720779494896</c:v>
                </c:pt>
                <c:pt idx="1">
                  <c:v>0.2</c:v>
                </c:pt>
                <c:pt idx="2">
                  <c:v>0.05</c:v>
                </c:pt>
                <c:pt idx="3">
                  <c:v>0.31018518518518501</c:v>
                </c:pt>
                <c:pt idx="4">
                  <c:v>6.8146417445482804E-2</c:v>
                </c:pt>
                <c:pt idx="5">
                  <c:v>7.1022727272727307E-2</c:v>
                </c:pt>
                <c:pt idx="6">
                  <c:v>0.15164926557857</c:v>
                </c:pt>
                <c:pt idx="7">
                  <c:v>8.89884570847604E-2</c:v>
                </c:pt>
                <c:pt idx="8">
                  <c:v>9.9264705882352894E-2</c:v>
                </c:pt>
                <c:pt idx="9">
                  <c:v>0.28923076923076901</c:v>
                </c:pt>
                <c:pt idx="10">
                  <c:v>0.41429990479103901</c:v>
                </c:pt>
                <c:pt idx="11">
                  <c:v>0.23200000000000001</c:v>
                </c:pt>
              </c:numCache>
            </c:numRef>
          </c:val>
          <c:extLst>
            <c:ext xmlns:c16="http://schemas.microsoft.com/office/drawing/2014/chart" uri="{C3380CC4-5D6E-409C-BE32-E72D297353CC}">
              <c16:uniqueId val="{00000002-E91D-48BB-B253-5225E0074A37}"/>
            </c:ext>
          </c:extLst>
        </c:ser>
        <c:ser>
          <c:idx val="3"/>
          <c:order val="3"/>
          <c:tx>
            <c:strRef>
              <c:f>Summary!$F$22</c:f>
              <c:strCache>
                <c:ptCount val="1"/>
                <c:pt idx="0">
                  <c:v>Transparency and Accountability</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Summary!$F$23:$F$34</c:f>
              <c:numCache>
                <c:formatCode>0.0%</c:formatCode>
                <c:ptCount val="12"/>
                <c:pt idx="0">
                  <c:v>0.16865714589533001</c:v>
                </c:pt>
                <c:pt idx="1">
                  <c:v>0.15</c:v>
                </c:pt>
                <c:pt idx="2">
                  <c:v>0</c:v>
                </c:pt>
                <c:pt idx="3">
                  <c:v>9.7222222222222196E-2</c:v>
                </c:pt>
                <c:pt idx="4">
                  <c:v>0.161</c:v>
                </c:pt>
                <c:pt idx="5">
                  <c:v>2.8000000000000001E-2</c:v>
                </c:pt>
                <c:pt idx="6">
                  <c:v>0.16155696704661501</c:v>
                </c:pt>
                <c:pt idx="7">
                  <c:v>0.10100000000000001</c:v>
                </c:pt>
                <c:pt idx="8">
                  <c:v>4.7794117647058799E-2</c:v>
                </c:pt>
                <c:pt idx="9">
                  <c:v>9.5000000000000001E-2</c:v>
                </c:pt>
                <c:pt idx="10">
                  <c:v>9.2999999999999999E-2</c:v>
                </c:pt>
                <c:pt idx="11">
                  <c:v>0</c:v>
                </c:pt>
              </c:numCache>
            </c:numRef>
          </c:val>
          <c:extLst>
            <c:ext xmlns:c16="http://schemas.microsoft.com/office/drawing/2014/chart" uri="{C3380CC4-5D6E-409C-BE32-E72D297353CC}">
              <c16:uniqueId val="{00000003-E91D-48BB-B253-5225E0074A37}"/>
            </c:ext>
          </c:extLst>
        </c:ser>
        <c:ser>
          <c:idx val="4"/>
          <c:order val="4"/>
          <c:tx>
            <c:strRef>
              <c:f>Summary!$G$22</c:f>
              <c:strCache>
                <c:ptCount val="1"/>
                <c:pt idx="0">
                  <c:v>Meeting Student Needs</c:v>
                </c:pt>
              </c:strCache>
            </c:strRef>
          </c:tx>
          <c:invertIfNegative val="0"/>
          <c:cat>
            <c:strRef>
              <c:f>Summary!$B$23:$B$34</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Summary!$G$23:$G$34</c:f>
              <c:numCache>
                <c:formatCode>0.0%</c:formatCode>
                <c:ptCount val="12"/>
                <c:pt idx="0">
                  <c:v>0.329110294498767</c:v>
                </c:pt>
                <c:pt idx="1">
                  <c:v>0.25</c:v>
                </c:pt>
                <c:pt idx="2">
                  <c:v>0</c:v>
                </c:pt>
                <c:pt idx="3">
                  <c:v>0.14351851851851899</c:v>
                </c:pt>
                <c:pt idx="4">
                  <c:v>3.9E-2</c:v>
                </c:pt>
                <c:pt idx="5">
                  <c:v>0.26100000000000001</c:v>
                </c:pt>
                <c:pt idx="6">
                  <c:v>0.19193826917106099</c:v>
                </c:pt>
                <c:pt idx="7">
                  <c:v>0.19800000000000001</c:v>
                </c:pt>
                <c:pt idx="8">
                  <c:v>0</c:v>
                </c:pt>
                <c:pt idx="9">
                  <c:v>0.123</c:v>
                </c:pt>
                <c:pt idx="10">
                  <c:v>0.22900000000000001</c:v>
                </c:pt>
                <c:pt idx="11">
                  <c:v>0</c:v>
                </c:pt>
              </c:numCache>
            </c:numRef>
          </c:val>
          <c:extLst>
            <c:ext xmlns:c16="http://schemas.microsoft.com/office/drawing/2014/chart" uri="{C3380CC4-5D6E-409C-BE32-E72D297353CC}">
              <c16:uniqueId val="{00000004-E91D-48BB-B253-5225E0074A37}"/>
            </c:ext>
          </c:extLst>
        </c:ser>
        <c:dLbls>
          <c:showLegendKey val="0"/>
          <c:showVal val="0"/>
          <c:showCatName val="0"/>
          <c:showSerName val="0"/>
          <c:showPercent val="0"/>
          <c:showBubbleSize val="0"/>
        </c:dLbls>
        <c:gapWidth val="150"/>
        <c:overlap val="100"/>
        <c:axId val="323606784"/>
        <c:axId val="325545984"/>
      </c:barChart>
      <c:catAx>
        <c:axId val="323606784"/>
        <c:scaling>
          <c:orientation val="minMax"/>
        </c:scaling>
        <c:delete val="0"/>
        <c:axPos val="l"/>
        <c:numFmt formatCode="General" sourceLinked="0"/>
        <c:majorTickMark val="out"/>
        <c:minorTickMark val="none"/>
        <c:tickLblPos val="nextTo"/>
        <c:crossAx val="325545984"/>
        <c:crosses val="autoZero"/>
        <c:auto val="1"/>
        <c:lblAlgn val="ctr"/>
        <c:lblOffset val="100"/>
        <c:noMultiLvlLbl val="0"/>
      </c:catAx>
      <c:valAx>
        <c:axId val="325545984"/>
        <c:scaling>
          <c:orientation val="minMax"/>
          <c:max val="1"/>
        </c:scaling>
        <c:delete val="0"/>
        <c:axPos val="b"/>
        <c:majorGridlines/>
        <c:numFmt formatCode="0.0%" sourceLinked="1"/>
        <c:majorTickMark val="out"/>
        <c:minorTickMark val="none"/>
        <c:tickLblPos val="nextTo"/>
        <c:crossAx val="323606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Expenditure by Reform Area</a:t>
            </a:r>
          </a:p>
        </c:rich>
      </c:tx>
      <c:layout/>
      <c:overlay val="0"/>
    </c:title>
    <c:autoTitleDeleted val="0"/>
    <c:plotArea>
      <c:layout/>
      <c:barChart>
        <c:barDir val="col"/>
        <c:grouping val="stacked"/>
        <c:varyColors val="0"/>
        <c:ser>
          <c:idx val="0"/>
          <c:order val="0"/>
          <c:tx>
            <c:strRef>
              <c:f>Summary!$C$55</c:f>
              <c:strCache>
                <c:ptCount val="1"/>
                <c:pt idx="0">
                  <c:v>Quality Teaching</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Summary!$C$56:$C$67</c:f>
              <c:numCache>
                <c:formatCode>"$"#,##0_);[Red]\("$"#,##0\)</c:formatCode>
                <c:ptCount val="12"/>
                <c:pt idx="0">
                  <c:v>1275662.3999999999</c:v>
                </c:pt>
                <c:pt idx="1">
                  <c:v>782953.01000300841</c:v>
                </c:pt>
                <c:pt idx="2">
                  <c:v>1780208.75</c:v>
                </c:pt>
                <c:pt idx="3">
                  <c:v>925000</c:v>
                </c:pt>
                <c:pt idx="4" formatCode="&quot;$&quot;#,##0">
                  <c:v>1640000</c:v>
                </c:pt>
                <c:pt idx="5" formatCode="&quot;$&quot;#,##0">
                  <c:v>400000</c:v>
                </c:pt>
                <c:pt idx="6" formatCode="&quot;$&quot;#,##0">
                  <c:v>420000</c:v>
                </c:pt>
                <c:pt idx="7" formatCode="&quot;$&quot;#,##0">
                  <c:v>250000</c:v>
                </c:pt>
                <c:pt idx="8" formatCode="&quot;$&quot;#,##0">
                  <c:v>95000</c:v>
                </c:pt>
                <c:pt idx="9" formatCode="&quot;$&quot;#,##0">
                  <c:v>50000</c:v>
                </c:pt>
                <c:pt idx="10" formatCode="&quot;$&quot;#,##0">
                  <c:v>100000</c:v>
                </c:pt>
                <c:pt idx="11">
                  <c:v>40000</c:v>
                </c:pt>
              </c:numCache>
            </c:numRef>
          </c:val>
          <c:extLst>
            <c:ext xmlns:c16="http://schemas.microsoft.com/office/drawing/2014/chart" uri="{C3380CC4-5D6E-409C-BE32-E72D297353CC}">
              <c16:uniqueId val="{00000000-AE83-4567-A9E9-002B5CD516F1}"/>
            </c:ext>
          </c:extLst>
        </c:ser>
        <c:ser>
          <c:idx val="1"/>
          <c:order val="1"/>
          <c:tx>
            <c:strRef>
              <c:f>Summary!$D$55</c:f>
              <c:strCache>
                <c:ptCount val="1"/>
                <c:pt idx="0">
                  <c:v>Quality Learning</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Summary!$D$56:$D$67</c:f>
              <c:numCache>
                <c:formatCode>"$"#,##0_);[Red]\("$"#,##0\)</c:formatCode>
                <c:ptCount val="12"/>
                <c:pt idx="0">
                  <c:v>1258324.3999999999</c:v>
                </c:pt>
                <c:pt idx="1">
                  <c:v>772311.60575104307</c:v>
                </c:pt>
                <c:pt idx="2">
                  <c:v>1706438.5</c:v>
                </c:pt>
                <c:pt idx="3">
                  <c:v>1500000</c:v>
                </c:pt>
                <c:pt idx="4" formatCode="&quot;$&quot;#,##0">
                  <c:v>240000</c:v>
                </c:pt>
                <c:pt idx="5" formatCode="&quot;$&quot;#,##0">
                  <c:v>1850000</c:v>
                </c:pt>
                <c:pt idx="6" formatCode="&quot;$&quot;#,##0">
                  <c:v>200000</c:v>
                </c:pt>
                <c:pt idx="7" formatCode="&quot;$&quot;#,##0">
                  <c:v>300000</c:v>
                </c:pt>
                <c:pt idx="8" formatCode="&quot;$&quot;#,##0">
                  <c:v>137000</c:v>
                </c:pt>
                <c:pt idx="9" formatCode="&quot;$&quot;#,##0">
                  <c:v>110000</c:v>
                </c:pt>
                <c:pt idx="10" formatCode="&quot;$&quot;#,##0">
                  <c:v>130000</c:v>
                </c:pt>
              </c:numCache>
            </c:numRef>
          </c:val>
          <c:extLst>
            <c:ext xmlns:c16="http://schemas.microsoft.com/office/drawing/2014/chart" uri="{C3380CC4-5D6E-409C-BE32-E72D297353CC}">
              <c16:uniqueId val="{00000001-AE83-4567-A9E9-002B5CD516F1}"/>
            </c:ext>
          </c:extLst>
        </c:ser>
        <c:ser>
          <c:idx val="2"/>
          <c:order val="2"/>
          <c:tx>
            <c:strRef>
              <c:f>Summary!$E$55</c:f>
              <c:strCache>
                <c:ptCount val="1"/>
                <c:pt idx="0">
                  <c:v>Empowered School Leadership</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Summary!$E$56:$E$67</c:f>
              <c:numCache>
                <c:formatCode>"$"#,##0_);[Red]\("$"#,##0\)</c:formatCode>
                <c:ptCount val="12"/>
                <c:pt idx="0">
                  <c:v>1225559.3999999999</c:v>
                </c:pt>
                <c:pt idx="1">
                  <c:v>752201.69628538145</c:v>
                </c:pt>
                <c:pt idx="2">
                  <c:v>183507.75</c:v>
                </c:pt>
                <c:pt idx="3">
                  <c:v>1675000</c:v>
                </c:pt>
                <c:pt idx="4" formatCode="&quot;$&quot;#,##0">
                  <c:v>175000</c:v>
                </c:pt>
                <c:pt idx="5" formatCode="&quot;$&quot;#,##0">
                  <c:v>250000</c:v>
                </c:pt>
                <c:pt idx="6" formatCode="&quot;$&quot;#,##0">
                  <c:v>190000</c:v>
                </c:pt>
                <c:pt idx="7" formatCode="&quot;$&quot;#,##0">
                  <c:v>80000</c:v>
                </c:pt>
                <c:pt idx="8" formatCode="&quot;$&quot;#,##0">
                  <c:v>27000</c:v>
                </c:pt>
                <c:pt idx="9" formatCode="&quot;$&quot;#,##0">
                  <c:v>94000</c:v>
                </c:pt>
                <c:pt idx="10" formatCode="&quot;$&quot;#,##0">
                  <c:v>361608</c:v>
                </c:pt>
                <c:pt idx="11">
                  <c:v>20000</c:v>
                </c:pt>
              </c:numCache>
            </c:numRef>
          </c:val>
          <c:extLst>
            <c:ext xmlns:c16="http://schemas.microsoft.com/office/drawing/2014/chart" uri="{C3380CC4-5D6E-409C-BE32-E72D297353CC}">
              <c16:uniqueId val="{00000002-AE83-4567-A9E9-002B5CD516F1}"/>
            </c:ext>
          </c:extLst>
        </c:ser>
        <c:ser>
          <c:idx val="3"/>
          <c:order val="3"/>
          <c:tx>
            <c:strRef>
              <c:f>Summary!$F$55</c:f>
              <c:strCache>
                <c:ptCount val="1"/>
                <c:pt idx="0">
                  <c:v>Transparency and Accountability</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Summary!$F$56:$F$67</c:f>
              <c:numCache>
                <c:formatCode>"$"#,##0_);[Red]\("$"#,##0\)</c:formatCode>
                <c:ptCount val="12"/>
                <c:pt idx="0">
                  <c:v>1262511.3999999999</c:v>
                </c:pt>
                <c:pt idx="1">
                  <c:v>774881.42693012848</c:v>
                </c:pt>
                <c:pt idx="2">
                  <c:v>0</c:v>
                </c:pt>
                <c:pt idx="3">
                  <c:v>525000</c:v>
                </c:pt>
                <c:pt idx="4" formatCode="&quot;$&quot;#,##0">
                  <c:v>413000</c:v>
                </c:pt>
                <c:pt idx="5" formatCode="&quot;$&quot;#,##0">
                  <c:v>100000</c:v>
                </c:pt>
                <c:pt idx="6" formatCode="&quot;$&quot;#,##0">
                  <c:v>240000</c:v>
                </c:pt>
                <c:pt idx="7" formatCode="&quot;$&quot;#,##0">
                  <c:v>90993</c:v>
                </c:pt>
                <c:pt idx="8" formatCode="&quot;$&quot;#,##0">
                  <c:v>13000</c:v>
                </c:pt>
                <c:pt idx="9" formatCode="&quot;$&quot;#,##0">
                  <c:v>31000</c:v>
                </c:pt>
                <c:pt idx="10" formatCode="&quot;$&quot;#,##0">
                  <c:v>81209</c:v>
                </c:pt>
              </c:numCache>
            </c:numRef>
          </c:val>
          <c:extLst>
            <c:ext xmlns:c16="http://schemas.microsoft.com/office/drawing/2014/chart" uri="{C3380CC4-5D6E-409C-BE32-E72D297353CC}">
              <c16:uniqueId val="{00000003-AE83-4567-A9E9-002B5CD516F1}"/>
            </c:ext>
          </c:extLst>
        </c:ser>
        <c:ser>
          <c:idx val="4"/>
          <c:order val="4"/>
          <c:tx>
            <c:strRef>
              <c:f>Summary!$G$55</c:f>
              <c:strCache>
                <c:ptCount val="1"/>
                <c:pt idx="0">
                  <c:v>Meeting Student Needs</c:v>
                </c:pt>
              </c:strCache>
            </c:strRef>
          </c:tx>
          <c:invertIfNegative val="0"/>
          <c:cat>
            <c:strRef>
              <c:f>Summary!$B$56:$B$67</c:f>
              <c:strCache>
                <c:ptCount val="12"/>
                <c:pt idx="0">
                  <c:v>NSW Indep</c:v>
                </c:pt>
                <c:pt idx="1">
                  <c:v>NSW Cath</c:v>
                </c:pt>
                <c:pt idx="2">
                  <c:v>Vic Cath</c:v>
                </c:pt>
                <c:pt idx="3">
                  <c:v>Vic Indep</c:v>
                </c:pt>
                <c:pt idx="4">
                  <c:v>Qld Cath</c:v>
                </c:pt>
                <c:pt idx="5">
                  <c:v>WA Indep</c:v>
                </c:pt>
                <c:pt idx="6">
                  <c:v>WA Cath</c:v>
                </c:pt>
                <c:pt idx="7">
                  <c:v>SA Cath</c:v>
                </c:pt>
                <c:pt idx="8">
                  <c:v>Tas Cath</c:v>
                </c:pt>
                <c:pt idx="9">
                  <c:v>ACT Cath</c:v>
                </c:pt>
                <c:pt idx="10">
                  <c:v>NT Indep</c:v>
                </c:pt>
                <c:pt idx="11">
                  <c:v>NT Cath</c:v>
                </c:pt>
              </c:strCache>
            </c:strRef>
          </c:cat>
          <c:val>
            <c:numRef>
              <c:f>Summary!$G$56:$G$67</c:f>
              <c:numCache>
                <c:formatCode>"$"#,##0_);[Red]\("$"#,##0\)</c:formatCode>
                <c:ptCount val="12"/>
                <c:pt idx="0">
                  <c:v>2463610.4</c:v>
                </c:pt>
                <c:pt idx="1">
                  <c:v>1512070.26103044</c:v>
                </c:pt>
                <c:pt idx="2">
                  <c:v>0</c:v>
                </c:pt>
                <c:pt idx="3">
                  <c:v>775000</c:v>
                </c:pt>
                <c:pt idx="4" formatCode="&quot;$&quot;#,##0">
                  <c:v>100000</c:v>
                </c:pt>
                <c:pt idx="5" formatCode="&quot;$&quot;#,##0">
                  <c:v>920000</c:v>
                </c:pt>
                <c:pt idx="6" formatCode="&quot;$&quot;#,##0">
                  <c:v>202891</c:v>
                </c:pt>
                <c:pt idx="7" formatCode="&quot;$&quot;#,##0">
                  <c:v>178000</c:v>
                </c:pt>
                <c:pt idx="8" formatCode="&quot;$&quot;#,##0">
                  <c:v>0</c:v>
                </c:pt>
                <c:pt idx="9" formatCode="&quot;$&quot;#,##0">
                  <c:v>40000</c:v>
                </c:pt>
                <c:pt idx="10" formatCode="&quot;$&quot;#,##0">
                  <c:v>200000</c:v>
                </c:pt>
              </c:numCache>
            </c:numRef>
          </c:val>
          <c:extLst>
            <c:ext xmlns:c16="http://schemas.microsoft.com/office/drawing/2014/chart" uri="{C3380CC4-5D6E-409C-BE32-E72D297353CC}">
              <c16:uniqueId val="{00000004-AE83-4567-A9E9-002B5CD516F1}"/>
            </c:ext>
          </c:extLst>
        </c:ser>
        <c:dLbls>
          <c:showLegendKey val="0"/>
          <c:showVal val="0"/>
          <c:showCatName val="0"/>
          <c:showSerName val="0"/>
          <c:showPercent val="0"/>
          <c:showBubbleSize val="0"/>
        </c:dLbls>
        <c:gapWidth val="150"/>
        <c:overlap val="100"/>
        <c:axId val="339950976"/>
        <c:axId val="339960960"/>
      </c:barChart>
      <c:catAx>
        <c:axId val="339950976"/>
        <c:scaling>
          <c:orientation val="minMax"/>
        </c:scaling>
        <c:delete val="0"/>
        <c:axPos val="b"/>
        <c:numFmt formatCode="General" sourceLinked="0"/>
        <c:majorTickMark val="out"/>
        <c:minorTickMark val="none"/>
        <c:tickLblPos val="nextTo"/>
        <c:crossAx val="339960960"/>
        <c:crosses val="autoZero"/>
        <c:auto val="1"/>
        <c:lblAlgn val="ctr"/>
        <c:lblOffset val="100"/>
        <c:noMultiLvlLbl val="0"/>
      </c:catAx>
      <c:valAx>
        <c:axId val="339960960"/>
        <c:scaling>
          <c:orientation val="minMax"/>
        </c:scaling>
        <c:delete val="0"/>
        <c:axPos val="l"/>
        <c:majorGridlines/>
        <c:numFmt formatCode="&quot;$&quot;#,##0_);[Red]\(&quot;$&quot;#,##0\)" sourceLinked="1"/>
        <c:majorTickMark val="out"/>
        <c:minorTickMark val="none"/>
        <c:tickLblPos val="nextTo"/>
        <c:crossAx val="339950976"/>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70741-15BD-46E8-BE8B-6FD06858E1C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AU"/>
        </a:p>
      </dgm:t>
    </dgm:pt>
    <dgm:pt modelId="{7D20312E-62B5-4931-AF54-B043AACD1FEE}">
      <dgm:prSet phldrT="[Text]" custT="1"/>
      <dgm:spPr/>
      <dgm:t>
        <a:bodyPr/>
        <a:lstStyle/>
        <a:p>
          <a:r>
            <a:rPr lang="en-AU" sz="1050"/>
            <a:t>Implementation </a:t>
          </a:r>
        </a:p>
      </dgm:t>
    </dgm:pt>
    <dgm:pt modelId="{270E0083-98FE-405E-9C49-4C472BAA6FF9}" type="parTrans" cxnId="{091C6309-EEBA-49B1-83F1-0BF74244D723}">
      <dgm:prSet/>
      <dgm:spPr/>
      <dgm:t>
        <a:bodyPr/>
        <a:lstStyle/>
        <a:p>
          <a:endParaRPr lang="en-AU"/>
        </a:p>
      </dgm:t>
    </dgm:pt>
    <dgm:pt modelId="{B71A9A48-E5EF-4B4E-8854-0DE45E56822C}" type="sibTrans" cxnId="{091C6309-EEBA-49B1-83F1-0BF74244D723}">
      <dgm:prSet/>
      <dgm:spPr/>
      <dgm:t>
        <a:bodyPr/>
        <a:lstStyle/>
        <a:p>
          <a:endParaRPr lang="en-AU"/>
        </a:p>
      </dgm:t>
    </dgm:pt>
    <dgm:pt modelId="{ACAD935E-7C0A-4A9A-A261-FB90A59DD499}">
      <dgm:prSet phldrT="[Text]" custT="1"/>
      <dgm:spPr/>
      <dgm:t>
        <a:bodyPr/>
        <a:lstStyle/>
        <a:p>
          <a:r>
            <a:rPr lang="en-AU" sz="900" b="1"/>
            <a:t>Capacity </a:t>
          </a:r>
        </a:p>
      </dgm:t>
    </dgm:pt>
    <dgm:pt modelId="{EB70B0E3-DAC5-4E98-BF21-D94F073CBA4B}" type="parTrans" cxnId="{45A8CE1C-A4DB-4AF5-AE5A-F76045D83876}">
      <dgm:prSet/>
      <dgm:spPr/>
      <dgm:t>
        <a:bodyPr/>
        <a:lstStyle/>
        <a:p>
          <a:endParaRPr lang="en-AU"/>
        </a:p>
      </dgm:t>
    </dgm:pt>
    <dgm:pt modelId="{BC45E2D2-4EC3-4F38-90F1-7CECB9F7B8A6}" type="sibTrans" cxnId="{45A8CE1C-A4DB-4AF5-AE5A-F76045D83876}">
      <dgm:prSet/>
      <dgm:spPr/>
      <dgm:t>
        <a:bodyPr/>
        <a:lstStyle/>
        <a:p>
          <a:endParaRPr lang="en-AU"/>
        </a:p>
      </dgm:t>
    </dgm:pt>
    <dgm:pt modelId="{4513A7DD-C772-4110-83A1-55931F7E0B49}">
      <dgm:prSet phldrT="[Text]" custT="1"/>
      <dgm:spPr/>
      <dgm:t>
        <a:bodyPr/>
        <a:lstStyle/>
        <a:p>
          <a:pPr>
            <a:spcAft>
              <a:spcPts val="1800"/>
            </a:spcAft>
          </a:pPr>
          <a:r>
            <a:rPr lang="en-AU" sz="900" b="1"/>
            <a:t>Collaboration</a:t>
          </a:r>
        </a:p>
      </dgm:t>
    </dgm:pt>
    <dgm:pt modelId="{9EE2AEAF-BBD6-4DFA-988B-38347D525CF0}" type="parTrans" cxnId="{A2DC7FF7-91CD-4FC3-BA58-5C7066C3855E}">
      <dgm:prSet/>
      <dgm:spPr/>
      <dgm:t>
        <a:bodyPr/>
        <a:lstStyle/>
        <a:p>
          <a:endParaRPr lang="en-AU"/>
        </a:p>
      </dgm:t>
    </dgm:pt>
    <dgm:pt modelId="{328C0BA5-294B-40E4-8DD2-0726387218C5}" type="sibTrans" cxnId="{A2DC7FF7-91CD-4FC3-BA58-5C7066C3855E}">
      <dgm:prSet/>
      <dgm:spPr/>
      <dgm:t>
        <a:bodyPr/>
        <a:lstStyle/>
        <a:p>
          <a:endParaRPr lang="en-AU"/>
        </a:p>
      </dgm:t>
    </dgm:pt>
    <dgm:pt modelId="{0C013D1C-B39C-48A9-AE15-E8CC1E86C24A}">
      <dgm:prSet phldrT="[Text]" custT="1"/>
      <dgm:spPr/>
      <dgm:t>
        <a:bodyPr/>
        <a:lstStyle/>
        <a:p>
          <a:r>
            <a:rPr lang="en-AU" sz="900" b="1"/>
            <a:t>Procedures </a:t>
          </a:r>
        </a:p>
      </dgm:t>
    </dgm:pt>
    <dgm:pt modelId="{DB4232DB-3E88-4D23-B9FC-277FB22C1530}" type="parTrans" cxnId="{453E79CE-2B14-4E1E-82E9-0963AA12BE17}">
      <dgm:prSet/>
      <dgm:spPr/>
      <dgm:t>
        <a:bodyPr/>
        <a:lstStyle/>
        <a:p>
          <a:endParaRPr lang="en-AU"/>
        </a:p>
      </dgm:t>
    </dgm:pt>
    <dgm:pt modelId="{E0353198-7CFC-4D76-B9F3-FA8BC70CBBCA}" type="sibTrans" cxnId="{453E79CE-2B14-4E1E-82E9-0963AA12BE17}">
      <dgm:prSet/>
      <dgm:spPr/>
      <dgm:t>
        <a:bodyPr/>
        <a:lstStyle/>
        <a:p>
          <a:endParaRPr lang="en-AU"/>
        </a:p>
      </dgm:t>
    </dgm:pt>
    <dgm:pt modelId="{EF874695-FBB1-494F-862C-5E3C093CA571}">
      <dgm:prSet phldrT="[Text]" custT="1"/>
      <dgm:spPr/>
      <dgm:t>
        <a:bodyPr/>
        <a:lstStyle/>
        <a:p>
          <a:r>
            <a:rPr lang="en-AU" sz="900" b="1"/>
            <a:t>Strategy and governance </a:t>
          </a:r>
        </a:p>
      </dgm:t>
    </dgm:pt>
    <dgm:pt modelId="{0C201AD3-244C-4734-8FFE-EB11626469F7}" type="sibTrans" cxnId="{95007AB0-CC2C-447D-89AC-C7E5FE9D0F56}">
      <dgm:prSet/>
      <dgm:spPr/>
      <dgm:t>
        <a:bodyPr/>
        <a:lstStyle/>
        <a:p>
          <a:endParaRPr lang="en-AU"/>
        </a:p>
      </dgm:t>
    </dgm:pt>
    <dgm:pt modelId="{01603D35-41B6-448F-9C79-68F84058C47A}" type="parTrans" cxnId="{95007AB0-CC2C-447D-89AC-C7E5FE9D0F56}">
      <dgm:prSet/>
      <dgm:spPr/>
      <dgm:t>
        <a:bodyPr/>
        <a:lstStyle/>
        <a:p>
          <a:endParaRPr lang="en-AU"/>
        </a:p>
      </dgm:t>
    </dgm:pt>
    <dgm:pt modelId="{206AF72A-F42D-4405-9BC6-770EB7DD94A4}" type="pres">
      <dgm:prSet presAssocID="{E3670741-15BD-46E8-BE8B-6FD06858E1C6}" presName="Name0" presStyleCnt="0">
        <dgm:presLayoutVars>
          <dgm:chMax val="1"/>
          <dgm:dir/>
          <dgm:animLvl val="ctr"/>
          <dgm:resizeHandles val="exact"/>
        </dgm:presLayoutVars>
      </dgm:prSet>
      <dgm:spPr/>
      <dgm:t>
        <a:bodyPr/>
        <a:lstStyle/>
        <a:p>
          <a:endParaRPr lang="en-AU"/>
        </a:p>
      </dgm:t>
    </dgm:pt>
    <dgm:pt modelId="{E0E26958-F6B7-4C03-AAA7-7140C25838D2}" type="pres">
      <dgm:prSet presAssocID="{7D20312E-62B5-4931-AF54-B043AACD1FEE}" presName="centerShape" presStyleLbl="node0" presStyleIdx="0" presStyleCnt="1" custScaleX="128542"/>
      <dgm:spPr/>
      <dgm:t>
        <a:bodyPr/>
        <a:lstStyle/>
        <a:p>
          <a:endParaRPr lang="en-AU"/>
        </a:p>
      </dgm:t>
    </dgm:pt>
    <dgm:pt modelId="{6E569ABB-0DB3-4419-900A-61997C7DCF25}" type="pres">
      <dgm:prSet presAssocID="{EF874695-FBB1-494F-862C-5E3C093CA571}" presName="node" presStyleLbl="node1" presStyleIdx="0" presStyleCnt="4" custScaleX="136891">
        <dgm:presLayoutVars>
          <dgm:bulletEnabled val="1"/>
        </dgm:presLayoutVars>
      </dgm:prSet>
      <dgm:spPr/>
      <dgm:t>
        <a:bodyPr/>
        <a:lstStyle/>
        <a:p>
          <a:endParaRPr lang="en-AU"/>
        </a:p>
      </dgm:t>
    </dgm:pt>
    <dgm:pt modelId="{A4D3AE72-9D8F-4EE2-837B-4E6B2DEE438E}" type="pres">
      <dgm:prSet presAssocID="{EF874695-FBB1-494F-862C-5E3C093CA571}" presName="dummy" presStyleCnt="0"/>
      <dgm:spPr/>
    </dgm:pt>
    <dgm:pt modelId="{2592E301-C33D-4E00-967E-FEA62D3BBAC6}" type="pres">
      <dgm:prSet presAssocID="{0C201AD3-244C-4734-8FFE-EB11626469F7}" presName="sibTrans" presStyleLbl="sibTrans2D1" presStyleIdx="0" presStyleCnt="4"/>
      <dgm:spPr/>
      <dgm:t>
        <a:bodyPr/>
        <a:lstStyle/>
        <a:p>
          <a:endParaRPr lang="en-AU"/>
        </a:p>
      </dgm:t>
    </dgm:pt>
    <dgm:pt modelId="{7B99CB77-B44F-4C48-94FE-31B84CCA359B}" type="pres">
      <dgm:prSet presAssocID="{ACAD935E-7C0A-4A9A-A261-FB90A59DD499}" presName="node" presStyleLbl="node1" presStyleIdx="1" presStyleCnt="4" custScaleX="156549" custRadScaleRad="110033" custRadScaleInc="916">
        <dgm:presLayoutVars>
          <dgm:bulletEnabled val="1"/>
        </dgm:presLayoutVars>
      </dgm:prSet>
      <dgm:spPr/>
      <dgm:t>
        <a:bodyPr/>
        <a:lstStyle/>
        <a:p>
          <a:endParaRPr lang="en-AU"/>
        </a:p>
      </dgm:t>
    </dgm:pt>
    <dgm:pt modelId="{20683F2B-0744-4175-8047-553ACF234C88}" type="pres">
      <dgm:prSet presAssocID="{ACAD935E-7C0A-4A9A-A261-FB90A59DD499}" presName="dummy" presStyleCnt="0"/>
      <dgm:spPr/>
    </dgm:pt>
    <dgm:pt modelId="{D6A62DA3-A83D-4831-8A6A-DD6AFE9C9876}" type="pres">
      <dgm:prSet presAssocID="{BC45E2D2-4EC3-4F38-90F1-7CECB9F7B8A6}" presName="sibTrans" presStyleLbl="sibTrans2D1" presStyleIdx="1" presStyleCnt="4"/>
      <dgm:spPr/>
      <dgm:t>
        <a:bodyPr/>
        <a:lstStyle/>
        <a:p>
          <a:endParaRPr lang="en-AU"/>
        </a:p>
      </dgm:t>
    </dgm:pt>
    <dgm:pt modelId="{E8D9E421-134C-422B-8475-730F0125F27F}" type="pres">
      <dgm:prSet presAssocID="{4513A7DD-C772-4110-83A1-55931F7E0B49}" presName="node" presStyleLbl="node1" presStyleIdx="2" presStyleCnt="4" custScaleX="144641">
        <dgm:presLayoutVars>
          <dgm:bulletEnabled val="1"/>
        </dgm:presLayoutVars>
      </dgm:prSet>
      <dgm:spPr/>
      <dgm:t>
        <a:bodyPr/>
        <a:lstStyle/>
        <a:p>
          <a:endParaRPr lang="en-AU"/>
        </a:p>
      </dgm:t>
    </dgm:pt>
    <dgm:pt modelId="{B2D7604B-37B4-439A-8BB0-719E0FCBFB47}" type="pres">
      <dgm:prSet presAssocID="{4513A7DD-C772-4110-83A1-55931F7E0B49}" presName="dummy" presStyleCnt="0"/>
      <dgm:spPr/>
    </dgm:pt>
    <dgm:pt modelId="{F8191330-4E09-43AD-A45C-6D223E62C443}" type="pres">
      <dgm:prSet presAssocID="{328C0BA5-294B-40E4-8DD2-0726387218C5}" presName="sibTrans" presStyleLbl="sibTrans2D1" presStyleIdx="2" presStyleCnt="4"/>
      <dgm:spPr/>
      <dgm:t>
        <a:bodyPr/>
        <a:lstStyle/>
        <a:p>
          <a:endParaRPr lang="en-AU"/>
        </a:p>
      </dgm:t>
    </dgm:pt>
    <dgm:pt modelId="{7E91CFC4-6941-46E9-9405-9792BBD210EB}" type="pres">
      <dgm:prSet presAssocID="{0C013D1C-B39C-48A9-AE15-E8CC1E86C24A}" presName="node" presStyleLbl="node1" presStyleIdx="3" presStyleCnt="4" custScaleX="155459" custRadScaleRad="109505" custRadScaleInc="921">
        <dgm:presLayoutVars>
          <dgm:bulletEnabled val="1"/>
        </dgm:presLayoutVars>
      </dgm:prSet>
      <dgm:spPr/>
      <dgm:t>
        <a:bodyPr/>
        <a:lstStyle/>
        <a:p>
          <a:endParaRPr lang="en-AU"/>
        </a:p>
      </dgm:t>
    </dgm:pt>
    <dgm:pt modelId="{9A750486-215F-45AD-B415-66BA2E0591E5}" type="pres">
      <dgm:prSet presAssocID="{0C013D1C-B39C-48A9-AE15-E8CC1E86C24A}" presName="dummy" presStyleCnt="0"/>
      <dgm:spPr/>
    </dgm:pt>
    <dgm:pt modelId="{EC20A748-675E-437D-AD86-90E22629180E}" type="pres">
      <dgm:prSet presAssocID="{E0353198-7CFC-4D76-B9F3-FA8BC70CBBCA}" presName="sibTrans" presStyleLbl="sibTrans2D1" presStyleIdx="3" presStyleCnt="4"/>
      <dgm:spPr/>
      <dgm:t>
        <a:bodyPr/>
        <a:lstStyle/>
        <a:p>
          <a:endParaRPr lang="en-AU"/>
        </a:p>
      </dgm:t>
    </dgm:pt>
  </dgm:ptLst>
  <dgm:cxnLst>
    <dgm:cxn modelId="{453E79CE-2B14-4E1E-82E9-0963AA12BE17}" srcId="{7D20312E-62B5-4931-AF54-B043AACD1FEE}" destId="{0C013D1C-B39C-48A9-AE15-E8CC1E86C24A}" srcOrd="3" destOrd="0" parTransId="{DB4232DB-3E88-4D23-B9FC-277FB22C1530}" sibTransId="{E0353198-7CFC-4D76-B9F3-FA8BC70CBBCA}"/>
    <dgm:cxn modelId="{E65A6DBE-F611-403F-9BC8-B5013C95CAF1}" type="presOf" srcId="{E3670741-15BD-46E8-BE8B-6FD06858E1C6}" destId="{206AF72A-F42D-4405-9BC6-770EB7DD94A4}" srcOrd="0" destOrd="0" presId="urn:microsoft.com/office/officeart/2005/8/layout/radial6"/>
    <dgm:cxn modelId="{A2DC7FF7-91CD-4FC3-BA58-5C7066C3855E}" srcId="{7D20312E-62B5-4931-AF54-B043AACD1FEE}" destId="{4513A7DD-C772-4110-83A1-55931F7E0B49}" srcOrd="2" destOrd="0" parTransId="{9EE2AEAF-BBD6-4DFA-988B-38347D525CF0}" sibTransId="{328C0BA5-294B-40E4-8DD2-0726387218C5}"/>
    <dgm:cxn modelId="{8C0529D8-A69A-4E7A-A2A8-C4D91D350168}" type="presOf" srcId="{328C0BA5-294B-40E4-8DD2-0726387218C5}" destId="{F8191330-4E09-43AD-A45C-6D223E62C443}" srcOrd="0" destOrd="0" presId="urn:microsoft.com/office/officeart/2005/8/layout/radial6"/>
    <dgm:cxn modelId="{946EE58B-D40D-4F59-AE78-87127E40876A}" type="presOf" srcId="{7D20312E-62B5-4931-AF54-B043AACD1FEE}" destId="{E0E26958-F6B7-4C03-AAA7-7140C25838D2}" srcOrd="0" destOrd="0" presId="urn:microsoft.com/office/officeart/2005/8/layout/radial6"/>
    <dgm:cxn modelId="{95007AB0-CC2C-447D-89AC-C7E5FE9D0F56}" srcId="{7D20312E-62B5-4931-AF54-B043AACD1FEE}" destId="{EF874695-FBB1-494F-862C-5E3C093CA571}" srcOrd="0" destOrd="0" parTransId="{01603D35-41B6-448F-9C79-68F84058C47A}" sibTransId="{0C201AD3-244C-4734-8FFE-EB11626469F7}"/>
    <dgm:cxn modelId="{45A8CE1C-A4DB-4AF5-AE5A-F76045D83876}" srcId="{7D20312E-62B5-4931-AF54-B043AACD1FEE}" destId="{ACAD935E-7C0A-4A9A-A261-FB90A59DD499}" srcOrd="1" destOrd="0" parTransId="{EB70B0E3-DAC5-4E98-BF21-D94F073CBA4B}" sibTransId="{BC45E2D2-4EC3-4F38-90F1-7CECB9F7B8A6}"/>
    <dgm:cxn modelId="{091C6309-EEBA-49B1-83F1-0BF74244D723}" srcId="{E3670741-15BD-46E8-BE8B-6FD06858E1C6}" destId="{7D20312E-62B5-4931-AF54-B043AACD1FEE}" srcOrd="0" destOrd="0" parTransId="{270E0083-98FE-405E-9C49-4C472BAA6FF9}" sibTransId="{B71A9A48-E5EF-4B4E-8854-0DE45E56822C}"/>
    <dgm:cxn modelId="{0A893FE8-D2DA-4038-A749-9F6B5769E066}" type="presOf" srcId="{BC45E2D2-4EC3-4F38-90F1-7CECB9F7B8A6}" destId="{D6A62DA3-A83D-4831-8A6A-DD6AFE9C9876}" srcOrd="0" destOrd="0" presId="urn:microsoft.com/office/officeart/2005/8/layout/radial6"/>
    <dgm:cxn modelId="{0AD424DF-10B3-465C-AFD6-2D96CE7C386E}" type="presOf" srcId="{0C013D1C-B39C-48A9-AE15-E8CC1E86C24A}" destId="{7E91CFC4-6941-46E9-9405-9792BBD210EB}" srcOrd="0" destOrd="0" presId="urn:microsoft.com/office/officeart/2005/8/layout/radial6"/>
    <dgm:cxn modelId="{696F1F4D-C70C-4A79-B671-355343FD73E7}" type="presOf" srcId="{EF874695-FBB1-494F-862C-5E3C093CA571}" destId="{6E569ABB-0DB3-4419-900A-61997C7DCF25}" srcOrd="0" destOrd="0" presId="urn:microsoft.com/office/officeart/2005/8/layout/radial6"/>
    <dgm:cxn modelId="{C69B58A6-D27A-4AF5-A809-C367E78B0A22}" type="presOf" srcId="{E0353198-7CFC-4D76-B9F3-FA8BC70CBBCA}" destId="{EC20A748-675E-437D-AD86-90E22629180E}" srcOrd="0" destOrd="0" presId="urn:microsoft.com/office/officeart/2005/8/layout/radial6"/>
    <dgm:cxn modelId="{8C6BAB63-9022-4145-B2A4-11DA14F7D260}" type="presOf" srcId="{0C201AD3-244C-4734-8FFE-EB11626469F7}" destId="{2592E301-C33D-4E00-967E-FEA62D3BBAC6}" srcOrd="0" destOrd="0" presId="urn:microsoft.com/office/officeart/2005/8/layout/radial6"/>
    <dgm:cxn modelId="{FC71385C-886A-40B3-BD3C-C98787ADB8CE}" type="presOf" srcId="{ACAD935E-7C0A-4A9A-A261-FB90A59DD499}" destId="{7B99CB77-B44F-4C48-94FE-31B84CCA359B}" srcOrd="0" destOrd="0" presId="urn:microsoft.com/office/officeart/2005/8/layout/radial6"/>
    <dgm:cxn modelId="{BE2A44FB-5A0C-4222-AAD6-4C450D0A87B7}" type="presOf" srcId="{4513A7DD-C772-4110-83A1-55931F7E0B49}" destId="{E8D9E421-134C-422B-8475-730F0125F27F}" srcOrd="0" destOrd="0" presId="urn:microsoft.com/office/officeart/2005/8/layout/radial6"/>
    <dgm:cxn modelId="{47CE124A-3C9C-4C87-A9DB-15CE6D66E1F6}" type="presParOf" srcId="{206AF72A-F42D-4405-9BC6-770EB7DD94A4}" destId="{E0E26958-F6B7-4C03-AAA7-7140C25838D2}" srcOrd="0" destOrd="0" presId="urn:microsoft.com/office/officeart/2005/8/layout/radial6"/>
    <dgm:cxn modelId="{051D6DEF-1113-46AA-B652-B9B12D9CC3EE}" type="presParOf" srcId="{206AF72A-F42D-4405-9BC6-770EB7DD94A4}" destId="{6E569ABB-0DB3-4419-900A-61997C7DCF25}" srcOrd="1" destOrd="0" presId="urn:microsoft.com/office/officeart/2005/8/layout/radial6"/>
    <dgm:cxn modelId="{61ED70DE-D8A8-4D5C-ACA4-E068F26B7D98}" type="presParOf" srcId="{206AF72A-F42D-4405-9BC6-770EB7DD94A4}" destId="{A4D3AE72-9D8F-4EE2-837B-4E6B2DEE438E}" srcOrd="2" destOrd="0" presId="urn:microsoft.com/office/officeart/2005/8/layout/radial6"/>
    <dgm:cxn modelId="{6875BCEE-E47F-40A6-9B45-BDF01B40D22B}" type="presParOf" srcId="{206AF72A-F42D-4405-9BC6-770EB7DD94A4}" destId="{2592E301-C33D-4E00-967E-FEA62D3BBAC6}" srcOrd="3" destOrd="0" presId="urn:microsoft.com/office/officeart/2005/8/layout/radial6"/>
    <dgm:cxn modelId="{3333492F-6F8B-447D-9AC5-BD349C4FDD59}" type="presParOf" srcId="{206AF72A-F42D-4405-9BC6-770EB7DD94A4}" destId="{7B99CB77-B44F-4C48-94FE-31B84CCA359B}" srcOrd="4" destOrd="0" presId="urn:microsoft.com/office/officeart/2005/8/layout/radial6"/>
    <dgm:cxn modelId="{FE23333E-8084-4CD8-9842-D192EB810641}" type="presParOf" srcId="{206AF72A-F42D-4405-9BC6-770EB7DD94A4}" destId="{20683F2B-0744-4175-8047-553ACF234C88}" srcOrd="5" destOrd="0" presId="urn:microsoft.com/office/officeart/2005/8/layout/radial6"/>
    <dgm:cxn modelId="{64789E33-B235-42C0-B9B2-6F1BC6A5C5E1}" type="presParOf" srcId="{206AF72A-F42D-4405-9BC6-770EB7DD94A4}" destId="{D6A62DA3-A83D-4831-8A6A-DD6AFE9C9876}" srcOrd="6" destOrd="0" presId="urn:microsoft.com/office/officeart/2005/8/layout/radial6"/>
    <dgm:cxn modelId="{3AA973E7-E226-4EED-85B0-037ECA19923E}" type="presParOf" srcId="{206AF72A-F42D-4405-9BC6-770EB7DD94A4}" destId="{E8D9E421-134C-422B-8475-730F0125F27F}" srcOrd="7" destOrd="0" presId="urn:microsoft.com/office/officeart/2005/8/layout/radial6"/>
    <dgm:cxn modelId="{F4B9E20D-6CCB-471D-8052-7DC40025FF56}" type="presParOf" srcId="{206AF72A-F42D-4405-9BC6-770EB7DD94A4}" destId="{B2D7604B-37B4-439A-8BB0-719E0FCBFB47}" srcOrd="8" destOrd="0" presId="urn:microsoft.com/office/officeart/2005/8/layout/radial6"/>
    <dgm:cxn modelId="{D00DB3A0-1926-4BEE-AAA2-6371768B9734}" type="presParOf" srcId="{206AF72A-F42D-4405-9BC6-770EB7DD94A4}" destId="{F8191330-4E09-43AD-A45C-6D223E62C443}" srcOrd="9" destOrd="0" presId="urn:microsoft.com/office/officeart/2005/8/layout/radial6"/>
    <dgm:cxn modelId="{748338C8-45AE-4EFD-984D-6E7B8057A68E}" type="presParOf" srcId="{206AF72A-F42D-4405-9BC6-770EB7DD94A4}" destId="{7E91CFC4-6941-46E9-9405-9792BBD210EB}" srcOrd="10" destOrd="0" presId="urn:microsoft.com/office/officeart/2005/8/layout/radial6"/>
    <dgm:cxn modelId="{A1C80D85-F971-4943-B175-E03F0B42DCDE}" type="presParOf" srcId="{206AF72A-F42D-4405-9BC6-770EB7DD94A4}" destId="{9A750486-215F-45AD-B415-66BA2E0591E5}" srcOrd="11" destOrd="0" presId="urn:microsoft.com/office/officeart/2005/8/layout/radial6"/>
    <dgm:cxn modelId="{2BF2E9B7-C79F-46DE-99F2-CA0AE8422B58}" type="presParOf" srcId="{206AF72A-F42D-4405-9BC6-770EB7DD94A4}" destId="{EC20A748-675E-437D-AD86-90E22629180E}"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670741-15BD-46E8-BE8B-6FD06858E1C6}"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AU"/>
        </a:p>
      </dgm:t>
    </dgm:pt>
    <dgm:pt modelId="{7D20312E-62B5-4931-AF54-B043AACD1FEE}">
      <dgm:prSet phldrT="[Text]" custT="1"/>
      <dgm:spPr/>
      <dgm:t>
        <a:bodyPr/>
        <a:lstStyle/>
        <a:p>
          <a:r>
            <a:rPr lang="en-AU" sz="900" b="0"/>
            <a:t>Implementation</a:t>
          </a:r>
        </a:p>
      </dgm:t>
    </dgm:pt>
    <dgm:pt modelId="{270E0083-98FE-405E-9C49-4C472BAA6FF9}" type="parTrans" cxnId="{091C6309-EEBA-49B1-83F1-0BF74244D723}">
      <dgm:prSet/>
      <dgm:spPr/>
      <dgm:t>
        <a:bodyPr/>
        <a:lstStyle/>
        <a:p>
          <a:endParaRPr lang="en-AU"/>
        </a:p>
      </dgm:t>
    </dgm:pt>
    <dgm:pt modelId="{B71A9A48-E5EF-4B4E-8854-0DE45E56822C}" type="sibTrans" cxnId="{091C6309-EEBA-49B1-83F1-0BF74244D723}">
      <dgm:prSet/>
      <dgm:spPr/>
      <dgm:t>
        <a:bodyPr/>
        <a:lstStyle/>
        <a:p>
          <a:endParaRPr lang="en-AU"/>
        </a:p>
      </dgm:t>
    </dgm:pt>
    <dgm:pt modelId="{EF874695-FBB1-494F-862C-5E3C093CA571}">
      <dgm:prSet phldrT="[Text]" custT="1"/>
      <dgm:spPr/>
      <dgm:t>
        <a:bodyPr/>
        <a:lstStyle/>
        <a:p>
          <a:r>
            <a:rPr lang="en-AU" sz="900" b="1"/>
            <a:t>Strategy and governance </a:t>
          </a:r>
        </a:p>
      </dgm:t>
    </dgm:pt>
    <dgm:pt modelId="{01603D35-41B6-448F-9C79-68F84058C47A}" type="parTrans" cxnId="{95007AB0-CC2C-447D-89AC-C7E5FE9D0F56}">
      <dgm:prSet/>
      <dgm:spPr/>
      <dgm:t>
        <a:bodyPr/>
        <a:lstStyle/>
        <a:p>
          <a:endParaRPr lang="en-AU"/>
        </a:p>
      </dgm:t>
    </dgm:pt>
    <dgm:pt modelId="{0C201AD3-244C-4734-8FFE-EB11626469F7}" type="sibTrans" cxnId="{95007AB0-CC2C-447D-89AC-C7E5FE9D0F56}">
      <dgm:prSet/>
      <dgm:spPr/>
      <dgm:t>
        <a:bodyPr/>
        <a:lstStyle/>
        <a:p>
          <a:endParaRPr lang="en-AU"/>
        </a:p>
      </dgm:t>
    </dgm:pt>
    <dgm:pt modelId="{ACAD935E-7C0A-4A9A-A261-FB90A59DD499}">
      <dgm:prSet phldrT="[Text]" custT="1"/>
      <dgm:spPr/>
      <dgm:t>
        <a:bodyPr/>
        <a:lstStyle/>
        <a:p>
          <a:r>
            <a:rPr lang="en-AU" sz="900" b="1"/>
            <a:t>Capacity </a:t>
          </a:r>
        </a:p>
      </dgm:t>
    </dgm:pt>
    <dgm:pt modelId="{EB70B0E3-DAC5-4E98-BF21-D94F073CBA4B}" type="parTrans" cxnId="{45A8CE1C-A4DB-4AF5-AE5A-F76045D83876}">
      <dgm:prSet/>
      <dgm:spPr/>
      <dgm:t>
        <a:bodyPr/>
        <a:lstStyle/>
        <a:p>
          <a:endParaRPr lang="en-AU"/>
        </a:p>
      </dgm:t>
    </dgm:pt>
    <dgm:pt modelId="{BC45E2D2-4EC3-4F38-90F1-7CECB9F7B8A6}" type="sibTrans" cxnId="{45A8CE1C-A4DB-4AF5-AE5A-F76045D83876}">
      <dgm:prSet/>
      <dgm:spPr/>
      <dgm:t>
        <a:bodyPr/>
        <a:lstStyle/>
        <a:p>
          <a:endParaRPr lang="en-AU"/>
        </a:p>
      </dgm:t>
    </dgm:pt>
    <dgm:pt modelId="{4513A7DD-C772-4110-83A1-55931F7E0B49}">
      <dgm:prSet phldrT="[Text]" custT="1"/>
      <dgm:spPr/>
      <dgm:t>
        <a:bodyPr/>
        <a:lstStyle/>
        <a:p>
          <a:r>
            <a:rPr lang="en-AU" sz="900" b="1"/>
            <a:t>Collaboration</a:t>
          </a:r>
        </a:p>
      </dgm:t>
    </dgm:pt>
    <dgm:pt modelId="{9EE2AEAF-BBD6-4DFA-988B-38347D525CF0}" type="parTrans" cxnId="{A2DC7FF7-91CD-4FC3-BA58-5C7066C3855E}">
      <dgm:prSet/>
      <dgm:spPr/>
      <dgm:t>
        <a:bodyPr/>
        <a:lstStyle/>
        <a:p>
          <a:endParaRPr lang="en-AU"/>
        </a:p>
      </dgm:t>
    </dgm:pt>
    <dgm:pt modelId="{328C0BA5-294B-40E4-8DD2-0726387218C5}" type="sibTrans" cxnId="{A2DC7FF7-91CD-4FC3-BA58-5C7066C3855E}">
      <dgm:prSet/>
      <dgm:spPr/>
      <dgm:t>
        <a:bodyPr/>
        <a:lstStyle/>
        <a:p>
          <a:endParaRPr lang="en-AU"/>
        </a:p>
      </dgm:t>
    </dgm:pt>
    <dgm:pt modelId="{0C013D1C-B39C-48A9-AE15-E8CC1E86C24A}">
      <dgm:prSet phldrT="[Text]" custT="1"/>
      <dgm:spPr/>
      <dgm:t>
        <a:bodyPr/>
        <a:lstStyle/>
        <a:p>
          <a:r>
            <a:rPr lang="en-AU" sz="900" b="1"/>
            <a:t>Procedures </a:t>
          </a:r>
        </a:p>
      </dgm:t>
    </dgm:pt>
    <dgm:pt modelId="{DB4232DB-3E88-4D23-B9FC-277FB22C1530}" type="parTrans" cxnId="{453E79CE-2B14-4E1E-82E9-0963AA12BE17}">
      <dgm:prSet/>
      <dgm:spPr/>
      <dgm:t>
        <a:bodyPr/>
        <a:lstStyle/>
        <a:p>
          <a:endParaRPr lang="en-AU"/>
        </a:p>
      </dgm:t>
    </dgm:pt>
    <dgm:pt modelId="{E0353198-7CFC-4D76-B9F3-FA8BC70CBBCA}" type="sibTrans" cxnId="{453E79CE-2B14-4E1E-82E9-0963AA12BE17}">
      <dgm:prSet/>
      <dgm:spPr/>
      <dgm:t>
        <a:bodyPr/>
        <a:lstStyle/>
        <a:p>
          <a:endParaRPr lang="en-AU"/>
        </a:p>
      </dgm:t>
    </dgm:pt>
    <dgm:pt modelId="{206AF72A-F42D-4405-9BC6-770EB7DD94A4}" type="pres">
      <dgm:prSet presAssocID="{E3670741-15BD-46E8-BE8B-6FD06858E1C6}" presName="Name0" presStyleCnt="0">
        <dgm:presLayoutVars>
          <dgm:chMax val="1"/>
          <dgm:dir/>
          <dgm:animLvl val="ctr"/>
          <dgm:resizeHandles val="exact"/>
        </dgm:presLayoutVars>
      </dgm:prSet>
      <dgm:spPr/>
      <dgm:t>
        <a:bodyPr/>
        <a:lstStyle/>
        <a:p>
          <a:endParaRPr lang="en-AU"/>
        </a:p>
      </dgm:t>
    </dgm:pt>
    <dgm:pt modelId="{E0E26958-F6B7-4C03-AAA7-7140C25838D2}" type="pres">
      <dgm:prSet presAssocID="{7D20312E-62B5-4931-AF54-B043AACD1FEE}" presName="centerShape" presStyleLbl="node0" presStyleIdx="0" presStyleCnt="1" custScaleX="120932"/>
      <dgm:spPr/>
      <dgm:t>
        <a:bodyPr/>
        <a:lstStyle/>
        <a:p>
          <a:endParaRPr lang="en-AU"/>
        </a:p>
      </dgm:t>
    </dgm:pt>
    <dgm:pt modelId="{6E569ABB-0DB3-4419-900A-61997C7DCF25}" type="pres">
      <dgm:prSet presAssocID="{EF874695-FBB1-494F-862C-5E3C093CA571}" presName="node" presStyleLbl="node1" presStyleIdx="0" presStyleCnt="4" custScaleX="136891">
        <dgm:presLayoutVars>
          <dgm:bulletEnabled val="1"/>
        </dgm:presLayoutVars>
      </dgm:prSet>
      <dgm:spPr/>
      <dgm:t>
        <a:bodyPr/>
        <a:lstStyle/>
        <a:p>
          <a:endParaRPr lang="en-AU"/>
        </a:p>
      </dgm:t>
    </dgm:pt>
    <dgm:pt modelId="{A4D3AE72-9D8F-4EE2-837B-4E6B2DEE438E}" type="pres">
      <dgm:prSet presAssocID="{EF874695-FBB1-494F-862C-5E3C093CA571}" presName="dummy" presStyleCnt="0"/>
      <dgm:spPr/>
    </dgm:pt>
    <dgm:pt modelId="{2592E301-C33D-4E00-967E-FEA62D3BBAC6}" type="pres">
      <dgm:prSet presAssocID="{0C201AD3-244C-4734-8FFE-EB11626469F7}" presName="sibTrans" presStyleLbl="sibTrans2D1" presStyleIdx="0" presStyleCnt="4"/>
      <dgm:spPr/>
      <dgm:t>
        <a:bodyPr/>
        <a:lstStyle/>
        <a:p>
          <a:endParaRPr lang="en-AU"/>
        </a:p>
      </dgm:t>
    </dgm:pt>
    <dgm:pt modelId="{7B99CB77-B44F-4C48-94FE-31B84CCA359B}" type="pres">
      <dgm:prSet presAssocID="{ACAD935E-7C0A-4A9A-A261-FB90A59DD499}" presName="node" presStyleLbl="node1" presStyleIdx="1" presStyleCnt="4" custScaleX="156549" custRadScaleRad="109021">
        <dgm:presLayoutVars>
          <dgm:bulletEnabled val="1"/>
        </dgm:presLayoutVars>
      </dgm:prSet>
      <dgm:spPr/>
      <dgm:t>
        <a:bodyPr/>
        <a:lstStyle/>
        <a:p>
          <a:endParaRPr lang="en-AU"/>
        </a:p>
      </dgm:t>
    </dgm:pt>
    <dgm:pt modelId="{20683F2B-0744-4175-8047-553ACF234C88}" type="pres">
      <dgm:prSet presAssocID="{ACAD935E-7C0A-4A9A-A261-FB90A59DD499}" presName="dummy" presStyleCnt="0"/>
      <dgm:spPr/>
    </dgm:pt>
    <dgm:pt modelId="{D6A62DA3-A83D-4831-8A6A-DD6AFE9C9876}" type="pres">
      <dgm:prSet presAssocID="{BC45E2D2-4EC3-4F38-90F1-7CECB9F7B8A6}" presName="sibTrans" presStyleLbl="sibTrans2D1" presStyleIdx="1" presStyleCnt="4"/>
      <dgm:spPr/>
      <dgm:t>
        <a:bodyPr/>
        <a:lstStyle/>
        <a:p>
          <a:endParaRPr lang="en-AU"/>
        </a:p>
      </dgm:t>
    </dgm:pt>
    <dgm:pt modelId="{E8D9E421-134C-422B-8475-730F0125F27F}" type="pres">
      <dgm:prSet presAssocID="{4513A7DD-C772-4110-83A1-55931F7E0B49}" presName="node" presStyleLbl="node1" presStyleIdx="2" presStyleCnt="4" custScaleX="164837">
        <dgm:presLayoutVars>
          <dgm:bulletEnabled val="1"/>
        </dgm:presLayoutVars>
      </dgm:prSet>
      <dgm:spPr/>
      <dgm:t>
        <a:bodyPr/>
        <a:lstStyle/>
        <a:p>
          <a:endParaRPr lang="en-AU"/>
        </a:p>
      </dgm:t>
    </dgm:pt>
    <dgm:pt modelId="{B2D7604B-37B4-439A-8BB0-719E0FCBFB47}" type="pres">
      <dgm:prSet presAssocID="{4513A7DD-C772-4110-83A1-55931F7E0B49}" presName="dummy" presStyleCnt="0"/>
      <dgm:spPr/>
    </dgm:pt>
    <dgm:pt modelId="{F8191330-4E09-43AD-A45C-6D223E62C443}" type="pres">
      <dgm:prSet presAssocID="{328C0BA5-294B-40E4-8DD2-0726387218C5}" presName="sibTrans" presStyleLbl="sibTrans2D1" presStyleIdx="2" presStyleCnt="4"/>
      <dgm:spPr/>
      <dgm:t>
        <a:bodyPr/>
        <a:lstStyle/>
        <a:p>
          <a:endParaRPr lang="en-AU"/>
        </a:p>
      </dgm:t>
    </dgm:pt>
    <dgm:pt modelId="{7E91CFC4-6941-46E9-9405-9792BBD210EB}" type="pres">
      <dgm:prSet presAssocID="{0C013D1C-B39C-48A9-AE15-E8CC1E86C24A}" presName="node" presStyleLbl="node1" presStyleIdx="3" presStyleCnt="4" custScaleX="155459" custRadScaleRad="117442" custRadScaleInc="-978">
        <dgm:presLayoutVars>
          <dgm:bulletEnabled val="1"/>
        </dgm:presLayoutVars>
      </dgm:prSet>
      <dgm:spPr/>
      <dgm:t>
        <a:bodyPr/>
        <a:lstStyle/>
        <a:p>
          <a:endParaRPr lang="en-AU"/>
        </a:p>
      </dgm:t>
    </dgm:pt>
    <dgm:pt modelId="{9A750486-215F-45AD-B415-66BA2E0591E5}" type="pres">
      <dgm:prSet presAssocID="{0C013D1C-B39C-48A9-AE15-E8CC1E86C24A}" presName="dummy" presStyleCnt="0"/>
      <dgm:spPr/>
    </dgm:pt>
    <dgm:pt modelId="{EC20A748-675E-437D-AD86-90E22629180E}" type="pres">
      <dgm:prSet presAssocID="{E0353198-7CFC-4D76-B9F3-FA8BC70CBBCA}" presName="sibTrans" presStyleLbl="sibTrans2D1" presStyleIdx="3" presStyleCnt="4"/>
      <dgm:spPr/>
      <dgm:t>
        <a:bodyPr/>
        <a:lstStyle/>
        <a:p>
          <a:endParaRPr lang="en-AU"/>
        </a:p>
      </dgm:t>
    </dgm:pt>
  </dgm:ptLst>
  <dgm:cxnLst>
    <dgm:cxn modelId="{453E79CE-2B14-4E1E-82E9-0963AA12BE17}" srcId="{7D20312E-62B5-4931-AF54-B043AACD1FEE}" destId="{0C013D1C-B39C-48A9-AE15-E8CC1E86C24A}" srcOrd="3" destOrd="0" parTransId="{DB4232DB-3E88-4D23-B9FC-277FB22C1530}" sibTransId="{E0353198-7CFC-4D76-B9F3-FA8BC70CBBCA}"/>
    <dgm:cxn modelId="{90341F84-B4CC-4E9B-BB66-C87EA00DD07E}" type="presOf" srcId="{E3670741-15BD-46E8-BE8B-6FD06858E1C6}" destId="{206AF72A-F42D-4405-9BC6-770EB7DD94A4}" srcOrd="0" destOrd="0" presId="urn:microsoft.com/office/officeart/2005/8/layout/radial6"/>
    <dgm:cxn modelId="{A2DC7FF7-91CD-4FC3-BA58-5C7066C3855E}" srcId="{7D20312E-62B5-4931-AF54-B043AACD1FEE}" destId="{4513A7DD-C772-4110-83A1-55931F7E0B49}" srcOrd="2" destOrd="0" parTransId="{9EE2AEAF-BBD6-4DFA-988B-38347D525CF0}" sibTransId="{328C0BA5-294B-40E4-8DD2-0726387218C5}"/>
    <dgm:cxn modelId="{95007AB0-CC2C-447D-89AC-C7E5FE9D0F56}" srcId="{7D20312E-62B5-4931-AF54-B043AACD1FEE}" destId="{EF874695-FBB1-494F-862C-5E3C093CA571}" srcOrd="0" destOrd="0" parTransId="{01603D35-41B6-448F-9C79-68F84058C47A}" sibTransId="{0C201AD3-244C-4734-8FFE-EB11626469F7}"/>
    <dgm:cxn modelId="{45A8CE1C-A4DB-4AF5-AE5A-F76045D83876}" srcId="{7D20312E-62B5-4931-AF54-B043AACD1FEE}" destId="{ACAD935E-7C0A-4A9A-A261-FB90A59DD499}" srcOrd="1" destOrd="0" parTransId="{EB70B0E3-DAC5-4E98-BF21-D94F073CBA4B}" sibTransId="{BC45E2D2-4EC3-4F38-90F1-7CECB9F7B8A6}"/>
    <dgm:cxn modelId="{4F138265-C3CF-4692-8EF1-976375467783}" type="presOf" srcId="{0C201AD3-244C-4734-8FFE-EB11626469F7}" destId="{2592E301-C33D-4E00-967E-FEA62D3BBAC6}" srcOrd="0" destOrd="0" presId="urn:microsoft.com/office/officeart/2005/8/layout/radial6"/>
    <dgm:cxn modelId="{C7D6354A-AD47-4D1F-B5D1-9F6531E49F72}" type="presOf" srcId="{328C0BA5-294B-40E4-8DD2-0726387218C5}" destId="{F8191330-4E09-43AD-A45C-6D223E62C443}" srcOrd="0" destOrd="0" presId="urn:microsoft.com/office/officeart/2005/8/layout/radial6"/>
    <dgm:cxn modelId="{B944AEBB-2276-4323-B284-E0D728A477D6}" type="presOf" srcId="{EF874695-FBB1-494F-862C-5E3C093CA571}" destId="{6E569ABB-0DB3-4419-900A-61997C7DCF25}" srcOrd="0" destOrd="0" presId="urn:microsoft.com/office/officeart/2005/8/layout/radial6"/>
    <dgm:cxn modelId="{532F795A-89BC-478B-B0C4-E70BF0DFCC25}" type="presOf" srcId="{0C013D1C-B39C-48A9-AE15-E8CC1E86C24A}" destId="{7E91CFC4-6941-46E9-9405-9792BBD210EB}" srcOrd="0" destOrd="0" presId="urn:microsoft.com/office/officeart/2005/8/layout/radial6"/>
    <dgm:cxn modelId="{091C6309-EEBA-49B1-83F1-0BF74244D723}" srcId="{E3670741-15BD-46E8-BE8B-6FD06858E1C6}" destId="{7D20312E-62B5-4931-AF54-B043AACD1FEE}" srcOrd="0" destOrd="0" parTransId="{270E0083-98FE-405E-9C49-4C472BAA6FF9}" sibTransId="{B71A9A48-E5EF-4B4E-8854-0DE45E56822C}"/>
    <dgm:cxn modelId="{FB66996C-C3B9-4B78-9E3C-A5C51A6C1C8A}" type="presOf" srcId="{7D20312E-62B5-4931-AF54-B043AACD1FEE}" destId="{E0E26958-F6B7-4C03-AAA7-7140C25838D2}" srcOrd="0" destOrd="0" presId="urn:microsoft.com/office/officeart/2005/8/layout/radial6"/>
    <dgm:cxn modelId="{068B889D-A5B1-4F5E-A046-436D96AFAAB5}" type="presOf" srcId="{E0353198-7CFC-4D76-B9F3-FA8BC70CBBCA}" destId="{EC20A748-675E-437D-AD86-90E22629180E}" srcOrd="0" destOrd="0" presId="urn:microsoft.com/office/officeart/2005/8/layout/radial6"/>
    <dgm:cxn modelId="{844A74A1-232B-4182-89B5-B0F2F59976BF}" type="presOf" srcId="{4513A7DD-C772-4110-83A1-55931F7E0B49}" destId="{E8D9E421-134C-422B-8475-730F0125F27F}" srcOrd="0" destOrd="0" presId="urn:microsoft.com/office/officeart/2005/8/layout/radial6"/>
    <dgm:cxn modelId="{F4D3B1F1-73E2-4DAF-BC2F-DDE3710359D3}" type="presOf" srcId="{BC45E2D2-4EC3-4F38-90F1-7CECB9F7B8A6}" destId="{D6A62DA3-A83D-4831-8A6A-DD6AFE9C9876}" srcOrd="0" destOrd="0" presId="urn:microsoft.com/office/officeart/2005/8/layout/radial6"/>
    <dgm:cxn modelId="{12518CED-EBC9-45E3-A8D8-5ECB01376199}" type="presOf" srcId="{ACAD935E-7C0A-4A9A-A261-FB90A59DD499}" destId="{7B99CB77-B44F-4C48-94FE-31B84CCA359B}" srcOrd="0" destOrd="0" presId="urn:microsoft.com/office/officeart/2005/8/layout/radial6"/>
    <dgm:cxn modelId="{B73A5466-0043-4472-8421-89C90358DCAB}" type="presParOf" srcId="{206AF72A-F42D-4405-9BC6-770EB7DD94A4}" destId="{E0E26958-F6B7-4C03-AAA7-7140C25838D2}" srcOrd="0" destOrd="0" presId="urn:microsoft.com/office/officeart/2005/8/layout/radial6"/>
    <dgm:cxn modelId="{60717E07-D2C4-4049-A17A-10D930304C28}" type="presParOf" srcId="{206AF72A-F42D-4405-9BC6-770EB7DD94A4}" destId="{6E569ABB-0DB3-4419-900A-61997C7DCF25}" srcOrd="1" destOrd="0" presId="urn:microsoft.com/office/officeart/2005/8/layout/radial6"/>
    <dgm:cxn modelId="{A4F23B3C-A809-46AA-B52E-EC7AEEF54ADD}" type="presParOf" srcId="{206AF72A-F42D-4405-9BC6-770EB7DD94A4}" destId="{A4D3AE72-9D8F-4EE2-837B-4E6B2DEE438E}" srcOrd="2" destOrd="0" presId="urn:microsoft.com/office/officeart/2005/8/layout/radial6"/>
    <dgm:cxn modelId="{98489D7A-1021-4876-A90E-1217EE21852E}" type="presParOf" srcId="{206AF72A-F42D-4405-9BC6-770EB7DD94A4}" destId="{2592E301-C33D-4E00-967E-FEA62D3BBAC6}" srcOrd="3" destOrd="0" presId="urn:microsoft.com/office/officeart/2005/8/layout/radial6"/>
    <dgm:cxn modelId="{54F0374B-F385-4871-95AD-709820123577}" type="presParOf" srcId="{206AF72A-F42D-4405-9BC6-770EB7DD94A4}" destId="{7B99CB77-B44F-4C48-94FE-31B84CCA359B}" srcOrd="4" destOrd="0" presId="urn:microsoft.com/office/officeart/2005/8/layout/radial6"/>
    <dgm:cxn modelId="{6794079A-172A-482F-96C3-B38F99165DAF}" type="presParOf" srcId="{206AF72A-F42D-4405-9BC6-770EB7DD94A4}" destId="{20683F2B-0744-4175-8047-553ACF234C88}" srcOrd="5" destOrd="0" presId="urn:microsoft.com/office/officeart/2005/8/layout/radial6"/>
    <dgm:cxn modelId="{F6898451-CA88-4A22-89BE-AF748F6E00A8}" type="presParOf" srcId="{206AF72A-F42D-4405-9BC6-770EB7DD94A4}" destId="{D6A62DA3-A83D-4831-8A6A-DD6AFE9C9876}" srcOrd="6" destOrd="0" presId="urn:microsoft.com/office/officeart/2005/8/layout/radial6"/>
    <dgm:cxn modelId="{5ECCD5D1-576B-4582-99F2-2FD11CCBAA5F}" type="presParOf" srcId="{206AF72A-F42D-4405-9BC6-770EB7DD94A4}" destId="{E8D9E421-134C-422B-8475-730F0125F27F}" srcOrd="7" destOrd="0" presId="urn:microsoft.com/office/officeart/2005/8/layout/radial6"/>
    <dgm:cxn modelId="{D8DBAF3D-B3B4-455C-B252-6EB95DB9218D}" type="presParOf" srcId="{206AF72A-F42D-4405-9BC6-770EB7DD94A4}" destId="{B2D7604B-37B4-439A-8BB0-719E0FCBFB47}" srcOrd="8" destOrd="0" presId="urn:microsoft.com/office/officeart/2005/8/layout/radial6"/>
    <dgm:cxn modelId="{FBEA3C93-71E4-467C-835A-CC6A9F29F46F}" type="presParOf" srcId="{206AF72A-F42D-4405-9BC6-770EB7DD94A4}" destId="{F8191330-4E09-43AD-A45C-6D223E62C443}" srcOrd="9" destOrd="0" presId="urn:microsoft.com/office/officeart/2005/8/layout/radial6"/>
    <dgm:cxn modelId="{48F6C2BB-E0D8-4BB9-887F-0361FABA8882}" type="presParOf" srcId="{206AF72A-F42D-4405-9BC6-770EB7DD94A4}" destId="{7E91CFC4-6941-46E9-9405-9792BBD210EB}" srcOrd="10" destOrd="0" presId="urn:microsoft.com/office/officeart/2005/8/layout/radial6"/>
    <dgm:cxn modelId="{CFA4F9B1-3EF8-4F98-A0C8-EEA2AE6FBC53}" type="presParOf" srcId="{206AF72A-F42D-4405-9BC6-770EB7DD94A4}" destId="{9A750486-215F-45AD-B415-66BA2E0591E5}" srcOrd="11" destOrd="0" presId="urn:microsoft.com/office/officeart/2005/8/layout/radial6"/>
    <dgm:cxn modelId="{15646C6A-7991-4CA7-A73A-7F6B393C9C84}" type="presParOf" srcId="{206AF72A-F42D-4405-9BC6-770EB7DD94A4}" destId="{EC20A748-675E-437D-AD86-90E22629180E}" srcOrd="12"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0A748-675E-437D-AD86-90E22629180E}">
      <dsp:nvSpPr>
        <dsp:cNvPr id="0" name=""/>
        <dsp:cNvSpPr/>
      </dsp:nvSpPr>
      <dsp:spPr>
        <a:xfrm>
          <a:off x="1470425" y="343371"/>
          <a:ext cx="2325575" cy="2325575"/>
        </a:xfrm>
        <a:prstGeom prst="blockArc">
          <a:avLst>
            <a:gd name="adj1" fmla="val 10802593"/>
            <a:gd name="adj2" fmla="val 16527209"/>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191330-4E09-43AD-A45C-6D223E62C443}">
      <dsp:nvSpPr>
        <dsp:cNvPr id="0" name=""/>
        <dsp:cNvSpPr/>
      </dsp:nvSpPr>
      <dsp:spPr>
        <a:xfrm>
          <a:off x="1470371" y="353658"/>
          <a:ext cx="2325575" cy="2325575"/>
        </a:xfrm>
        <a:prstGeom prst="blockArc">
          <a:avLst>
            <a:gd name="adj1" fmla="val 5072626"/>
            <a:gd name="adj2" fmla="val 1083373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A62DA3-A83D-4831-8A6A-DD6AFE9C9876}">
      <dsp:nvSpPr>
        <dsp:cNvPr id="0" name=""/>
        <dsp:cNvSpPr/>
      </dsp:nvSpPr>
      <dsp:spPr>
        <a:xfrm>
          <a:off x="1692313" y="354242"/>
          <a:ext cx="2325575" cy="2325575"/>
        </a:xfrm>
        <a:prstGeom prst="blockArc">
          <a:avLst>
            <a:gd name="adj1" fmla="val 800"/>
            <a:gd name="adj2" fmla="val 5745447"/>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92E301-C33D-4E00-967E-FEA62D3BBAC6}">
      <dsp:nvSpPr>
        <dsp:cNvPr id="0" name=""/>
        <dsp:cNvSpPr/>
      </dsp:nvSpPr>
      <dsp:spPr>
        <a:xfrm>
          <a:off x="1692373" y="342776"/>
          <a:ext cx="2325575" cy="2325575"/>
        </a:xfrm>
        <a:prstGeom prst="blockArc">
          <a:avLst>
            <a:gd name="adj1" fmla="val 15854369"/>
            <a:gd name="adj2" fmla="val 35503"/>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E26958-F6B7-4C03-AAA7-7140C25838D2}">
      <dsp:nvSpPr>
        <dsp:cNvPr id="0" name=""/>
        <dsp:cNvSpPr/>
      </dsp:nvSpPr>
      <dsp:spPr>
        <a:xfrm>
          <a:off x="2053315" y="976188"/>
          <a:ext cx="1375686" cy="10702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AU" sz="1050" kern="1200"/>
            <a:t>Implementation </a:t>
          </a:r>
        </a:p>
      </dsp:txBody>
      <dsp:txXfrm>
        <a:off x="2254780" y="1132919"/>
        <a:ext cx="972756" cy="756761"/>
      </dsp:txXfrm>
    </dsp:sp>
    <dsp:sp modelId="{6E569ABB-0DB3-4419-900A-61997C7DCF25}">
      <dsp:nvSpPr>
        <dsp:cNvPr id="0" name=""/>
        <dsp:cNvSpPr/>
      </dsp:nvSpPr>
      <dsp:spPr>
        <a:xfrm>
          <a:off x="2228394" y="903"/>
          <a:ext cx="1025527" cy="74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Strategy and governance </a:t>
          </a:r>
        </a:p>
      </dsp:txBody>
      <dsp:txXfrm>
        <a:off x="2378579" y="110614"/>
        <a:ext cx="725157" cy="529734"/>
      </dsp:txXfrm>
    </dsp:sp>
    <dsp:sp modelId="{7B99CB77-B44F-4C48-94FE-31B84CCA359B}">
      <dsp:nvSpPr>
        <dsp:cNvPr id="0" name=""/>
        <dsp:cNvSpPr/>
      </dsp:nvSpPr>
      <dsp:spPr>
        <a:xfrm>
          <a:off x="3404520" y="1142716"/>
          <a:ext cx="1172796" cy="74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Capacity </a:t>
          </a:r>
        </a:p>
      </dsp:txBody>
      <dsp:txXfrm>
        <a:off x="3576272" y="1252427"/>
        <a:ext cx="829292" cy="529734"/>
      </dsp:txXfrm>
    </dsp:sp>
    <dsp:sp modelId="{E8D9E421-134C-422B-8475-730F0125F27F}">
      <dsp:nvSpPr>
        <dsp:cNvPr id="0" name=""/>
        <dsp:cNvSpPr/>
      </dsp:nvSpPr>
      <dsp:spPr>
        <a:xfrm>
          <a:off x="2199365" y="2272539"/>
          <a:ext cx="1083586" cy="74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ts val="1800"/>
            </a:spcAft>
          </a:pPr>
          <a:r>
            <a:rPr lang="en-AU" sz="900" b="1" kern="1200"/>
            <a:t>Collaboration</a:t>
          </a:r>
        </a:p>
      </dsp:txBody>
      <dsp:txXfrm>
        <a:off x="2358052" y="2382250"/>
        <a:ext cx="766212" cy="529734"/>
      </dsp:txXfrm>
    </dsp:sp>
    <dsp:sp modelId="{7E91CFC4-6941-46E9-9405-9792BBD210EB}">
      <dsp:nvSpPr>
        <dsp:cNvPr id="0" name=""/>
        <dsp:cNvSpPr/>
      </dsp:nvSpPr>
      <dsp:spPr>
        <a:xfrm>
          <a:off x="915080" y="1130724"/>
          <a:ext cx="1164630" cy="7491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Procedures </a:t>
          </a:r>
        </a:p>
      </dsp:txBody>
      <dsp:txXfrm>
        <a:off x="1085636" y="1240435"/>
        <a:ext cx="823518" cy="5297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0A748-675E-437D-AD86-90E22629180E}">
      <dsp:nvSpPr>
        <dsp:cNvPr id="0" name=""/>
        <dsp:cNvSpPr/>
      </dsp:nvSpPr>
      <dsp:spPr>
        <a:xfrm>
          <a:off x="1475982" y="307102"/>
          <a:ext cx="2161859" cy="2161859"/>
        </a:xfrm>
        <a:prstGeom prst="blockArc">
          <a:avLst>
            <a:gd name="adj1" fmla="val 10726494"/>
            <a:gd name="adj2" fmla="val 16803439"/>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8191330-4E09-43AD-A45C-6D223E62C443}">
      <dsp:nvSpPr>
        <dsp:cNvPr id="0" name=""/>
        <dsp:cNvSpPr/>
      </dsp:nvSpPr>
      <dsp:spPr>
        <a:xfrm>
          <a:off x="1476177" y="339517"/>
          <a:ext cx="2161859" cy="2161859"/>
        </a:xfrm>
        <a:prstGeom prst="blockArc">
          <a:avLst>
            <a:gd name="adj1" fmla="val 4797208"/>
            <a:gd name="adj2" fmla="val 10832039"/>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A62DA3-A83D-4831-8A6A-DD6AFE9C9876}">
      <dsp:nvSpPr>
        <dsp:cNvPr id="0" name=""/>
        <dsp:cNvSpPr/>
      </dsp:nvSpPr>
      <dsp:spPr>
        <a:xfrm>
          <a:off x="1755634" y="327633"/>
          <a:ext cx="2161859" cy="2161859"/>
        </a:xfrm>
        <a:prstGeom prst="blockArc">
          <a:avLst>
            <a:gd name="adj1" fmla="val 21585981"/>
            <a:gd name="adj2" fmla="val 5710570"/>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92E301-C33D-4E00-967E-FEA62D3BBAC6}">
      <dsp:nvSpPr>
        <dsp:cNvPr id="0" name=""/>
        <dsp:cNvSpPr/>
      </dsp:nvSpPr>
      <dsp:spPr>
        <a:xfrm>
          <a:off x="1755634" y="319021"/>
          <a:ext cx="2161859" cy="2161859"/>
        </a:xfrm>
        <a:prstGeom prst="blockArc">
          <a:avLst>
            <a:gd name="adj1" fmla="val 15889430"/>
            <a:gd name="adj2" fmla="val 14019"/>
            <a:gd name="adj3" fmla="val 4634"/>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0E26958-F6B7-4C03-AAA7-7140C25838D2}">
      <dsp:nvSpPr>
        <dsp:cNvPr id="0" name=""/>
        <dsp:cNvSpPr/>
      </dsp:nvSpPr>
      <dsp:spPr>
        <a:xfrm>
          <a:off x="2140348" y="907319"/>
          <a:ext cx="1201911" cy="9938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0" kern="1200"/>
            <a:t>Implementation</a:t>
          </a:r>
        </a:p>
      </dsp:txBody>
      <dsp:txXfrm>
        <a:off x="2316364" y="1052868"/>
        <a:ext cx="849879" cy="702776"/>
      </dsp:txXfrm>
    </dsp:sp>
    <dsp:sp modelId="{6E569ABB-0DB3-4419-900A-61997C7DCF25}">
      <dsp:nvSpPr>
        <dsp:cNvPr id="0" name=""/>
        <dsp:cNvSpPr/>
      </dsp:nvSpPr>
      <dsp:spPr>
        <a:xfrm>
          <a:off x="2265120" y="517"/>
          <a:ext cx="952367" cy="6957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Strategy and governance </a:t>
          </a:r>
        </a:p>
      </dsp:txBody>
      <dsp:txXfrm>
        <a:off x="2404591" y="102402"/>
        <a:ext cx="673425" cy="491941"/>
      </dsp:txXfrm>
    </dsp:sp>
    <dsp:sp modelId="{7B99CB77-B44F-4C48-94FE-31B84CCA359B}">
      <dsp:nvSpPr>
        <dsp:cNvPr id="0" name=""/>
        <dsp:cNvSpPr/>
      </dsp:nvSpPr>
      <dsp:spPr>
        <a:xfrm>
          <a:off x="3347874" y="1056401"/>
          <a:ext cx="1089130" cy="6957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Capacity </a:t>
          </a:r>
        </a:p>
      </dsp:txBody>
      <dsp:txXfrm>
        <a:off x="3507373" y="1158286"/>
        <a:ext cx="770132" cy="491941"/>
      </dsp:txXfrm>
    </dsp:sp>
    <dsp:sp modelId="{E8D9E421-134C-422B-8475-730F0125F27F}">
      <dsp:nvSpPr>
        <dsp:cNvPr id="0" name=""/>
        <dsp:cNvSpPr/>
      </dsp:nvSpPr>
      <dsp:spPr>
        <a:xfrm>
          <a:off x="2167908" y="2112285"/>
          <a:ext cx="1146790" cy="6957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Collaboration</a:t>
          </a:r>
        </a:p>
      </dsp:txBody>
      <dsp:txXfrm>
        <a:off x="2335852" y="2214170"/>
        <a:ext cx="810902" cy="491941"/>
      </dsp:txXfrm>
    </dsp:sp>
    <dsp:sp modelId="{7E91CFC4-6941-46E9-9405-9792BBD210EB}">
      <dsp:nvSpPr>
        <dsp:cNvPr id="0" name=""/>
        <dsp:cNvSpPr/>
      </dsp:nvSpPr>
      <dsp:spPr>
        <a:xfrm>
          <a:off x="960495" y="1062751"/>
          <a:ext cx="1081546" cy="6957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AU" sz="900" b="1" kern="1200"/>
            <a:t>Procedures </a:t>
          </a:r>
        </a:p>
      </dsp:txBody>
      <dsp:txXfrm>
        <a:off x="1118884" y="1164636"/>
        <a:ext cx="764768" cy="4919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7D65-A105-4674-9186-3824F0EB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CEC56EFF.dotm</Template>
  <TotalTime>746</TotalTime>
  <Pages>85</Pages>
  <Words>24084</Words>
  <Characters>137279</Characters>
  <Application>Microsoft Office Word</Application>
  <DocSecurity>0</DocSecurity>
  <Lines>1143</Lines>
  <Paragraphs>322</Paragraphs>
  <ScaleCrop>false</ScaleCrop>
  <HeadingPairs>
    <vt:vector size="2" baseType="variant">
      <vt:variant>
        <vt:lpstr>Title</vt:lpstr>
      </vt:variant>
      <vt:variant>
        <vt:i4>1</vt:i4>
      </vt:variant>
    </vt:vector>
  </HeadingPairs>
  <TitlesOfParts>
    <vt:vector size="1" baseType="lpstr">
      <vt:lpstr>Indepedent Review Student First Support Fund</vt:lpstr>
    </vt:vector>
  </TitlesOfParts>
  <Company>DEECD</Company>
  <LinksUpToDate>false</LinksUpToDate>
  <CharactersWithSpaces>161041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Indepedent Review Student First Support Fund</dc:title>
  <dc:subject>Final Report 3rd March 2017</dc:subject>
  <dc:creator>John McCarthy</dc:creator>
  <cp:lastModifiedBy>VIE,Leroy</cp:lastModifiedBy>
  <cp:revision>31</cp:revision>
  <cp:lastPrinted>2017-02-12T22:58:00Z</cp:lastPrinted>
  <dcterms:created xsi:type="dcterms:W3CDTF">2017-03-02T00:38:00Z</dcterms:created>
  <dcterms:modified xsi:type="dcterms:W3CDTF">2017-10-13T02:28:00Z</dcterms:modified>
</cp:coreProperties>
</file>