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FC346D" w14:textId="77777777" w:rsidR="003045A8" w:rsidRDefault="00C62CF3" w:rsidP="00B06666">
      <w:pPr>
        <w:rPr>
          <w:rStyle w:val="Hyperlink"/>
          <w:color w:val="auto"/>
          <w:sz w:val="24"/>
          <w:szCs w:val="24"/>
          <w:u w:val="none"/>
        </w:rPr>
      </w:pPr>
      <w:bookmarkStart w:id="0" w:name="_GoBack"/>
      <w:bookmarkEnd w:id="0"/>
      <w:r w:rsidRPr="00EC0DA5">
        <w:rPr>
          <w:rFonts w:cs="Times New Roman"/>
          <w:noProof/>
          <w:lang w:eastAsia="en-AU"/>
        </w:rPr>
        <w:drawing>
          <wp:inline distT="0" distB="0" distL="0" distR="0" wp14:anchorId="58C07046" wp14:editId="69A01354">
            <wp:extent cx="2876550" cy="561975"/>
            <wp:effectExtent l="0" t="0" r="0" b="9525"/>
            <wp:docPr id="8" name="Picture 8" descr="Dept Education and Training_In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pt Education and Training_Inlin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740739" w14:textId="77777777" w:rsidR="00964B1A" w:rsidRPr="00C62CF3" w:rsidRDefault="00C62CF3" w:rsidP="003045A8">
      <w:pPr>
        <w:spacing w:after="0"/>
        <w:rPr>
          <w:b/>
          <w:sz w:val="28"/>
          <w:szCs w:val="28"/>
          <w:u w:val="single"/>
        </w:rPr>
      </w:pPr>
      <w:r w:rsidRPr="00C62CF3">
        <w:rPr>
          <w:b/>
          <w:sz w:val="28"/>
          <w:szCs w:val="28"/>
          <w:u w:val="single"/>
        </w:rPr>
        <w:t>For s</w:t>
      </w:r>
      <w:r w:rsidR="00964B1A" w:rsidRPr="00C62CF3">
        <w:rPr>
          <w:b/>
          <w:sz w:val="28"/>
          <w:szCs w:val="28"/>
          <w:u w:val="single"/>
        </w:rPr>
        <w:t xml:space="preserve">tudents </w:t>
      </w:r>
    </w:p>
    <w:p w14:paraId="1845F671" w14:textId="77777777" w:rsidR="00964B1A" w:rsidRDefault="00D462A5" w:rsidP="00B06666">
      <w:pPr>
        <w:rPr>
          <w:b/>
          <w:sz w:val="24"/>
          <w:szCs w:val="24"/>
        </w:rPr>
      </w:pPr>
      <w:r w:rsidRPr="00D462A5">
        <w:rPr>
          <w:b/>
          <w:sz w:val="24"/>
          <w:szCs w:val="24"/>
        </w:rPr>
        <w:t xml:space="preserve">Q: </w:t>
      </w:r>
      <w:r w:rsidR="00B758F3">
        <w:rPr>
          <w:b/>
          <w:sz w:val="24"/>
          <w:szCs w:val="24"/>
        </w:rPr>
        <w:t xml:space="preserve">What does this mean to me? </w:t>
      </w:r>
    </w:p>
    <w:p w14:paraId="4F0C13A2" w14:textId="77777777" w:rsidR="00435AFD" w:rsidRDefault="00D462A5" w:rsidP="00B06666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A: </w:t>
      </w:r>
      <w:r w:rsidR="00B758F3" w:rsidRPr="00B758F3">
        <w:rPr>
          <w:sz w:val="24"/>
          <w:szCs w:val="24"/>
        </w:rPr>
        <w:t xml:space="preserve">The changes relate to </w:t>
      </w:r>
      <w:r w:rsidR="003D4717">
        <w:rPr>
          <w:sz w:val="24"/>
          <w:szCs w:val="24"/>
        </w:rPr>
        <w:t xml:space="preserve">the current tuition assurance arrangements. </w:t>
      </w:r>
      <w:r w:rsidR="00435AFD">
        <w:rPr>
          <w:sz w:val="24"/>
          <w:szCs w:val="24"/>
        </w:rPr>
        <w:t xml:space="preserve">The 2018 interim arrangements will ensure your continued protection and support under tuition assurance. </w:t>
      </w:r>
    </w:p>
    <w:p w14:paraId="1D5A0BBD" w14:textId="77777777" w:rsidR="00435AFD" w:rsidRDefault="008D0BC6" w:rsidP="00B06666">
      <w:pPr>
        <w:rPr>
          <w:sz w:val="24"/>
          <w:szCs w:val="24"/>
        </w:rPr>
      </w:pPr>
      <w:r>
        <w:rPr>
          <w:sz w:val="24"/>
          <w:szCs w:val="24"/>
        </w:rPr>
        <w:t>I</w:t>
      </w:r>
      <w:r w:rsidR="00435AFD">
        <w:rPr>
          <w:sz w:val="24"/>
          <w:szCs w:val="24"/>
        </w:rPr>
        <w:t xml:space="preserve">f your provider ceases to deliver a course of study in 2018, </w:t>
      </w:r>
      <w:r w:rsidR="00241E49">
        <w:rPr>
          <w:sz w:val="24"/>
          <w:szCs w:val="24"/>
        </w:rPr>
        <w:t xml:space="preserve">the interim arrangements will ensure that </w:t>
      </w:r>
      <w:r w:rsidR="00435AFD">
        <w:rPr>
          <w:sz w:val="24"/>
          <w:szCs w:val="24"/>
        </w:rPr>
        <w:t>you will be supported to continue your study with another provider in a similar course. If a similar course is not available, you may be eligible for a re-credit for units of study commenced b</w:t>
      </w:r>
      <w:r w:rsidR="00256E0D">
        <w:rPr>
          <w:sz w:val="24"/>
          <w:szCs w:val="24"/>
        </w:rPr>
        <w:t>u</w:t>
      </w:r>
      <w:r w:rsidR="00435AFD">
        <w:rPr>
          <w:sz w:val="24"/>
          <w:szCs w:val="24"/>
        </w:rPr>
        <w:t>t not complete.</w:t>
      </w:r>
    </w:p>
    <w:p w14:paraId="22811BFE" w14:textId="77777777" w:rsidR="00BF4BE5" w:rsidRDefault="00BF4BE5" w:rsidP="00FE558C">
      <w:pPr>
        <w:spacing w:after="0"/>
        <w:rPr>
          <w:sz w:val="24"/>
          <w:szCs w:val="24"/>
        </w:rPr>
      </w:pPr>
      <w:r>
        <w:rPr>
          <w:sz w:val="24"/>
          <w:szCs w:val="24"/>
        </w:rPr>
        <w:t>If you are concerned about what this m</w:t>
      </w:r>
      <w:r w:rsidR="000F390F">
        <w:rPr>
          <w:sz w:val="24"/>
          <w:szCs w:val="24"/>
        </w:rPr>
        <w:t>a</w:t>
      </w:r>
      <w:r>
        <w:rPr>
          <w:sz w:val="24"/>
          <w:szCs w:val="24"/>
        </w:rPr>
        <w:t>y mean to you, please contact the department at:</w:t>
      </w:r>
    </w:p>
    <w:p w14:paraId="4E1B99F1" w14:textId="77777777" w:rsidR="00BF4BE5" w:rsidRPr="00D462A5" w:rsidRDefault="00BF4BE5" w:rsidP="00FE558C">
      <w:pPr>
        <w:spacing w:after="0"/>
        <w:rPr>
          <w:sz w:val="24"/>
          <w:szCs w:val="24"/>
        </w:rPr>
      </w:pPr>
      <w:r w:rsidRPr="00D462A5">
        <w:rPr>
          <w:sz w:val="24"/>
          <w:szCs w:val="24"/>
        </w:rPr>
        <w:t>FEE-HELP</w:t>
      </w:r>
      <w:r>
        <w:rPr>
          <w:sz w:val="24"/>
          <w:szCs w:val="24"/>
        </w:rPr>
        <w:t xml:space="preserve"> students</w:t>
      </w:r>
      <w:r w:rsidRPr="00D462A5">
        <w:rPr>
          <w:sz w:val="24"/>
          <w:szCs w:val="24"/>
        </w:rPr>
        <w:t>:</w:t>
      </w:r>
      <w:r w:rsidR="008F24E1" w:rsidRPr="008F24E1">
        <w:rPr>
          <w:sz w:val="24"/>
          <w:szCs w:val="24"/>
          <w:lang w:val="en-US"/>
        </w:rPr>
        <w:t xml:space="preserve"> </w:t>
      </w:r>
      <w:hyperlink r:id="rId13" w:history="1">
        <w:r w:rsidR="008F24E1" w:rsidRPr="00C95B66">
          <w:rPr>
            <w:rStyle w:val="Hyperlink"/>
            <w:sz w:val="24"/>
            <w:szCs w:val="24"/>
            <w:lang w:val="en-US"/>
          </w:rPr>
          <w:t>FEE-HELPTuitionAssurance@education.gov.au</w:t>
        </w:r>
      </w:hyperlink>
      <w:r w:rsidR="008F24E1" w:rsidRPr="00C95B66">
        <w:rPr>
          <w:sz w:val="24"/>
          <w:szCs w:val="24"/>
          <w:lang w:val="en-US"/>
        </w:rPr>
        <w:t> </w:t>
      </w:r>
      <w:r w:rsidR="003045A8">
        <w:rPr>
          <w:sz w:val="24"/>
          <w:szCs w:val="24"/>
          <w:lang w:val="en-US"/>
        </w:rPr>
        <w:t xml:space="preserve">or </w:t>
      </w:r>
    </w:p>
    <w:p w14:paraId="13ED9502" w14:textId="77777777" w:rsidR="00BF4BE5" w:rsidRPr="00D462A5" w:rsidRDefault="00BF4BE5" w:rsidP="00BF4BE5">
      <w:pPr>
        <w:rPr>
          <w:sz w:val="24"/>
          <w:szCs w:val="24"/>
        </w:rPr>
      </w:pPr>
      <w:r w:rsidRPr="00D462A5">
        <w:rPr>
          <w:sz w:val="24"/>
          <w:szCs w:val="24"/>
        </w:rPr>
        <w:t>VET FEE-HELP</w:t>
      </w:r>
      <w:r>
        <w:rPr>
          <w:sz w:val="24"/>
          <w:szCs w:val="24"/>
        </w:rPr>
        <w:t xml:space="preserve"> and VET Student Loans students</w:t>
      </w:r>
      <w:r w:rsidRPr="00D462A5">
        <w:rPr>
          <w:sz w:val="24"/>
          <w:szCs w:val="24"/>
        </w:rPr>
        <w:t xml:space="preserve">: </w:t>
      </w:r>
      <w:hyperlink r:id="rId14" w:history="1">
        <w:r w:rsidR="00C078EE" w:rsidRPr="004438B2">
          <w:rPr>
            <w:rStyle w:val="Hyperlink"/>
            <w:sz w:val="24"/>
            <w:szCs w:val="24"/>
          </w:rPr>
          <w:t>VETTuitionAssurance@education.gov.au</w:t>
        </w:r>
      </w:hyperlink>
      <w:r w:rsidR="00C078EE">
        <w:rPr>
          <w:rStyle w:val="Hyperlink"/>
          <w:sz w:val="24"/>
          <w:szCs w:val="24"/>
        </w:rPr>
        <w:t xml:space="preserve">. </w:t>
      </w:r>
    </w:p>
    <w:p w14:paraId="1C7A3B21" w14:textId="77777777" w:rsidR="00BF4BE5" w:rsidRDefault="00BF4BE5" w:rsidP="000F390F">
      <w:pPr>
        <w:ind w:right="-472"/>
        <w:rPr>
          <w:b/>
          <w:sz w:val="24"/>
          <w:szCs w:val="24"/>
        </w:rPr>
      </w:pPr>
      <w:r w:rsidRPr="00D462A5">
        <w:rPr>
          <w:b/>
          <w:sz w:val="24"/>
          <w:szCs w:val="24"/>
        </w:rPr>
        <w:t xml:space="preserve">Q: </w:t>
      </w:r>
      <w:r>
        <w:rPr>
          <w:b/>
          <w:sz w:val="24"/>
          <w:szCs w:val="24"/>
        </w:rPr>
        <w:t xml:space="preserve">My provider has closed – who do I contact to support me under tuition assurance? </w:t>
      </w:r>
    </w:p>
    <w:p w14:paraId="183B2CD2" w14:textId="77777777" w:rsidR="00B06666" w:rsidRDefault="00BF4BE5" w:rsidP="00B06666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A: </w:t>
      </w:r>
      <w:r>
        <w:rPr>
          <w:sz w:val="24"/>
          <w:szCs w:val="24"/>
        </w:rPr>
        <w:t>The current tuition assurance operators will continue to support students impacted by a closure</w:t>
      </w:r>
      <w:r w:rsidR="00406823">
        <w:rPr>
          <w:sz w:val="24"/>
          <w:szCs w:val="24"/>
        </w:rPr>
        <w:t xml:space="preserve"> in 2017 or earlier</w:t>
      </w:r>
      <w:r>
        <w:rPr>
          <w:sz w:val="24"/>
          <w:szCs w:val="24"/>
        </w:rPr>
        <w:t xml:space="preserve">. If your provider has ceased to deliver a course or has closed, you </w:t>
      </w:r>
      <w:r w:rsidR="00A402E3">
        <w:rPr>
          <w:sz w:val="24"/>
          <w:szCs w:val="24"/>
        </w:rPr>
        <w:t>should</w:t>
      </w:r>
      <w:r>
        <w:rPr>
          <w:sz w:val="24"/>
          <w:szCs w:val="24"/>
        </w:rPr>
        <w:t xml:space="preserve"> contact the tuition assurance operator</w:t>
      </w:r>
      <w:r w:rsidR="009A0AE3">
        <w:rPr>
          <w:sz w:val="24"/>
          <w:szCs w:val="24"/>
        </w:rPr>
        <w:t xml:space="preserve"> directly</w:t>
      </w:r>
      <w:r>
        <w:rPr>
          <w:sz w:val="24"/>
          <w:szCs w:val="24"/>
        </w:rPr>
        <w:t xml:space="preserve">. </w:t>
      </w:r>
    </w:p>
    <w:p w14:paraId="313320DF" w14:textId="77777777" w:rsidR="009A0AE3" w:rsidRPr="009A0AE3" w:rsidRDefault="009A0AE3" w:rsidP="009A0AE3">
      <w:pPr>
        <w:rPr>
          <w:sz w:val="24"/>
          <w:szCs w:val="24"/>
        </w:rPr>
      </w:pPr>
      <w:r w:rsidRPr="009A0AE3">
        <w:rPr>
          <w:sz w:val="24"/>
          <w:szCs w:val="24"/>
        </w:rPr>
        <w:t>The tuition assurance scheme is operated by either the Australian Council for Private Education and Training (ACPET) or T</w:t>
      </w:r>
      <w:r w:rsidR="003045A8">
        <w:rPr>
          <w:sz w:val="24"/>
          <w:szCs w:val="24"/>
        </w:rPr>
        <w:t xml:space="preserve">AFE Directors Australia (TDA). </w:t>
      </w:r>
      <w:r w:rsidRPr="009A0AE3">
        <w:rPr>
          <w:sz w:val="24"/>
          <w:szCs w:val="24"/>
        </w:rPr>
        <w:t xml:space="preserve">The contact details are below. </w:t>
      </w:r>
    </w:p>
    <w:p w14:paraId="1180E7C7" w14:textId="77777777" w:rsidR="009A0AE3" w:rsidRDefault="009A0AE3" w:rsidP="009A0AE3">
      <w:r w:rsidRPr="009A0AE3">
        <w:rPr>
          <w:sz w:val="24"/>
          <w:szCs w:val="24"/>
        </w:rPr>
        <w:t>ACPET:</w:t>
      </w:r>
      <w:r>
        <w:rPr>
          <w:lang w:val="en"/>
        </w:rPr>
        <w:t xml:space="preserve"> </w:t>
      </w:r>
      <w:hyperlink r:id="rId15" w:history="1">
        <w:r>
          <w:rPr>
            <w:rStyle w:val="Hyperlink"/>
            <w:lang w:val="en"/>
          </w:rPr>
          <w:t>acpet@acpet.edu.au</w:t>
        </w:r>
      </w:hyperlink>
      <w:r>
        <w:rPr>
          <w:lang w:val="en"/>
        </w:rPr>
        <w:t xml:space="preserve">, </w:t>
      </w:r>
      <w:r w:rsidRPr="009A0AE3">
        <w:rPr>
          <w:sz w:val="24"/>
          <w:szCs w:val="24"/>
        </w:rPr>
        <w:t>phone 03 9412 5900 or 1800 657 644 or</w:t>
      </w:r>
      <w:r>
        <w:rPr>
          <w:lang w:val="en"/>
        </w:rPr>
        <w:t xml:space="preserve"> </w:t>
      </w:r>
      <w:hyperlink r:id="rId16" w:tgtFrame="_blank" w:history="1">
        <w:r>
          <w:rPr>
            <w:rStyle w:val="Hyperlink"/>
            <w:lang w:val="en"/>
          </w:rPr>
          <w:t>www.acpet.edu.au</w:t>
        </w:r>
      </w:hyperlink>
      <w:r>
        <w:rPr>
          <w:lang w:val="en"/>
        </w:rPr>
        <w:t>.</w:t>
      </w:r>
      <w:r>
        <w:rPr>
          <w:lang w:val="en"/>
        </w:rPr>
        <w:br/>
      </w:r>
      <w:r w:rsidRPr="009A0AE3">
        <w:rPr>
          <w:sz w:val="24"/>
          <w:szCs w:val="24"/>
        </w:rPr>
        <w:t>TDA:</w:t>
      </w:r>
      <w:r>
        <w:rPr>
          <w:lang w:val="en"/>
        </w:rPr>
        <w:t xml:space="preserve"> </w:t>
      </w:r>
      <w:hyperlink r:id="rId17" w:history="1">
        <w:r>
          <w:rPr>
            <w:rStyle w:val="Hyperlink"/>
            <w:lang w:val="en"/>
          </w:rPr>
          <w:t>memberservices@tda.edu.au</w:t>
        </w:r>
      </w:hyperlink>
      <w:r>
        <w:rPr>
          <w:lang w:val="en"/>
        </w:rPr>
        <w:t xml:space="preserve">, </w:t>
      </w:r>
      <w:r w:rsidRPr="009A0AE3">
        <w:rPr>
          <w:sz w:val="24"/>
          <w:szCs w:val="24"/>
        </w:rPr>
        <w:t>phone 02 9217 3180, or</w:t>
      </w:r>
      <w:r>
        <w:rPr>
          <w:lang w:val="en"/>
        </w:rPr>
        <w:t xml:space="preserve"> </w:t>
      </w:r>
      <w:hyperlink r:id="rId18" w:tgtFrame="_blank" w:history="1">
        <w:r>
          <w:rPr>
            <w:rStyle w:val="Hyperlink"/>
            <w:lang w:val="en"/>
          </w:rPr>
          <w:t>www.tda.edu.au</w:t>
        </w:r>
      </w:hyperlink>
      <w:r>
        <w:rPr>
          <w:lang w:val="en"/>
        </w:rPr>
        <w:t>.</w:t>
      </w:r>
    </w:p>
    <w:p w14:paraId="19486BD3" w14:textId="77777777" w:rsidR="00C0070E" w:rsidRPr="00C62CF3" w:rsidRDefault="00C62CF3" w:rsidP="003045A8">
      <w:pPr>
        <w:spacing w:after="0"/>
        <w:rPr>
          <w:b/>
          <w:sz w:val="28"/>
          <w:szCs w:val="28"/>
          <w:u w:val="single"/>
        </w:rPr>
      </w:pPr>
      <w:r w:rsidRPr="00C62CF3">
        <w:rPr>
          <w:b/>
          <w:sz w:val="28"/>
          <w:szCs w:val="28"/>
          <w:u w:val="single"/>
        </w:rPr>
        <w:t>For p</w:t>
      </w:r>
      <w:r w:rsidR="00C0070E" w:rsidRPr="00C62CF3">
        <w:rPr>
          <w:b/>
          <w:sz w:val="28"/>
          <w:szCs w:val="28"/>
          <w:u w:val="single"/>
        </w:rPr>
        <w:t xml:space="preserve">roviders </w:t>
      </w:r>
    </w:p>
    <w:p w14:paraId="0A5D4FC7" w14:textId="77777777" w:rsidR="00DF3BC4" w:rsidRDefault="007B2F33" w:rsidP="00C0070E">
      <w:pPr>
        <w:spacing w:after="0" w:line="240" w:lineRule="auto"/>
        <w:ind w:left="113"/>
        <w:rPr>
          <w:b/>
          <w:sz w:val="24"/>
          <w:szCs w:val="24"/>
        </w:rPr>
      </w:pPr>
      <w:r w:rsidRPr="00911DE0">
        <w:rPr>
          <w:b/>
          <w:sz w:val="24"/>
          <w:szCs w:val="24"/>
        </w:rPr>
        <w:t xml:space="preserve">Q: </w:t>
      </w:r>
      <w:r w:rsidR="00C0070E">
        <w:rPr>
          <w:b/>
          <w:sz w:val="24"/>
          <w:szCs w:val="24"/>
        </w:rPr>
        <w:t>What does it mean to me?</w:t>
      </w:r>
    </w:p>
    <w:p w14:paraId="38CA3BC4" w14:textId="77777777" w:rsidR="00C0070E" w:rsidRPr="00911DE0" w:rsidRDefault="00C0070E" w:rsidP="00C0070E">
      <w:pPr>
        <w:spacing w:after="0" w:line="240" w:lineRule="auto"/>
        <w:ind w:left="113"/>
        <w:rPr>
          <w:b/>
          <w:sz w:val="24"/>
          <w:szCs w:val="24"/>
        </w:rPr>
      </w:pPr>
    </w:p>
    <w:p w14:paraId="4163AA11" w14:textId="77777777" w:rsidR="008E1B97" w:rsidRDefault="007B2F33" w:rsidP="008E1B97">
      <w:pPr>
        <w:ind w:left="113"/>
        <w:rPr>
          <w:sz w:val="24"/>
          <w:szCs w:val="24"/>
        </w:rPr>
      </w:pPr>
      <w:r w:rsidRPr="00C359D4">
        <w:rPr>
          <w:b/>
          <w:sz w:val="24"/>
          <w:szCs w:val="24"/>
        </w:rPr>
        <w:t>A</w:t>
      </w:r>
      <w:r w:rsidR="00B639F8">
        <w:rPr>
          <w:sz w:val="24"/>
          <w:szCs w:val="24"/>
        </w:rPr>
        <w:t xml:space="preserve">: </w:t>
      </w:r>
      <w:r w:rsidR="008E1B97">
        <w:rPr>
          <w:sz w:val="24"/>
          <w:szCs w:val="24"/>
        </w:rPr>
        <w:t>The department appreciates that providers may be feeling uncertain about their tuition assurance arrangement</w:t>
      </w:r>
      <w:r w:rsidR="00F208EB">
        <w:rPr>
          <w:sz w:val="24"/>
          <w:szCs w:val="24"/>
        </w:rPr>
        <w:t>s</w:t>
      </w:r>
      <w:r w:rsidR="008E1B97">
        <w:rPr>
          <w:sz w:val="24"/>
          <w:szCs w:val="24"/>
        </w:rPr>
        <w:t xml:space="preserve"> for 2018. </w:t>
      </w:r>
      <w:r w:rsidR="00452B9D">
        <w:rPr>
          <w:sz w:val="24"/>
          <w:szCs w:val="24"/>
        </w:rPr>
        <w:t xml:space="preserve">The department will ensure that </w:t>
      </w:r>
      <w:r w:rsidR="008D0BC6">
        <w:rPr>
          <w:sz w:val="24"/>
          <w:szCs w:val="24"/>
        </w:rPr>
        <w:t>there</w:t>
      </w:r>
      <w:r w:rsidR="00452B9D">
        <w:rPr>
          <w:sz w:val="24"/>
          <w:szCs w:val="24"/>
        </w:rPr>
        <w:t xml:space="preserve"> are interim </w:t>
      </w:r>
      <w:r w:rsidR="008D0BC6">
        <w:rPr>
          <w:sz w:val="24"/>
          <w:szCs w:val="24"/>
        </w:rPr>
        <w:t xml:space="preserve">tuition assurance </w:t>
      </w:r>
      <w:r w:rsidR="00452B9D">
        <w:rPr>
          <w:sz w:val="24"/>
          <w:szCs w:val="24"/>
        </w:rPr>
        <w:t>arrangement</w:t>
      </w:r>
      <w:r w:rsidR="008D0BC6">
        <w:rPr>
          <w:sz w:val="24"/>
          <w:szCs w:val="24"/>
        </w:rPr>
        <w:t>s in place</w:t>
      </w:r>
      <w:r w:rsidR="00452B9D">
        <w:rPr>
          <w:sz w:val="24"/>
          <w:szCs w:val="24"/>
        </w:rPr>
        <w:t xml:space="preserve"> while the Government considers tuition assurance for beyond 2018. </w:t>
      </w:r>
    </w:p>
    <w:p w14:paraId="27801C2E" w14:textId="77777777" w:rsidR="001751C8" w:rsidRDefault="001751C8" w:rsidP="00BF4BE5">
      <w:pPr>
        <w:ind w:left="113"/>
        <w:rPr>
          <w:sz w:val="24"/>
          <w:szCs w:val="24"/>
        </w:rPr>
      </w:pPr>
      <w:r w:rsidRPr="001751C8">
        <w:rPr>
          <w:sz w:val="24"/>
          <w:szCs w:val="24"/>
        </w:rPr>
        <w:t xml:space="preserve">In 2018, </w:t>
      </w:r>
      <w:r w:rsidR="00957386">
        <w:rPr>
          <w:sz w:val="24"/>
          <w:szCs w:val="24"/>
        </w:rPr>
        <w:t xml:space="preserve">it is intended to exempt providers from tuition assurance requirements, </w:t>
      </w:r>
      <w:r w:rsidRPr="001751C8">
        <w:rPr>
          <w:sz w:val="24"/>
          <w:szCs w:val="24"/>
        </w:rPr>
        <w:t xml:space="preserve">subject to certain conditions relating to course assurance and financial requirements to cover fee assurance.  </w:t>
      </w:r>
    </w:p>
    <w:p w14:paraId="78C5C78E" w14:textId="77777777" w:rsidR="00D462A5" w:rsidRDefault="007B2F33" w:rsidP="00BF4BE5">
      <w:pPr>
        <w:ind w:left="113"/>
        <w:rPr>
          <w:sz w:val="24"/>
          <w:szCs w:val="24"/>
        </w:rPr>
      </w:pPr>
      <w:r>
        <w:rPr>
          <w:sz w:val="24"/>
          <w:szCs w:val="24"/>
        </w:rPr>
        <w:t xml:space="preserve">The department </w:t>
      </w:r>
      <w:r w:rsidR="00DA4349">
        <w:rPr>
          <w:sz w:val="24"/>
          <w:szCs w:val="24"/>
        </w:rPr>
        <w:t>has written to providers about these changes and will write to providers again in late November providing detailed information about the requirements for the</w:t>
      </w:r>
      <w:r w:rsidR="009B7617">
        <w:rPr>
          <w:sz w:val="24"/>
          <w:szCs w:val="24"/>
        </w:rPr>
        <w:t xml:space="preserve"> </w:t>
      </w:r>
      <w:r w:rsidR="00DA4349">
        <w:rPr>
          <w:sz w:val="24"/>
          <w:szCs w:val="24"/>
        </w:rPr>
        <w:t>2018 interim arrangements.</w:t>
      </w:r>
    </w:p>
    <w:p w14:paraId="5685914A" w14:textId="77777777" w:rsidR="00C62CF3" w:rsidRDefault="00C62CF3" w:rsidP="00860156">
      <w:pPr>
        <w:ind w:left="113"/>
        <w:rPr>
          <w:b/>
          <w:sz w:val="24"/>
          <w:szCs w:val="24"/>
        </w:rPr>
      </w:pPr>
    </w:p>
    <w:p w14:paraId="5D23A3B7" w14:textId="77777777" w:rsidR="00C62CF3" w:rsidRDefault="00C62CF3" w:rsidP="00860156">
      <w:pPr>
        <w:ind w:left="113"/>
        <w:rPr>
          <w:b/>
          <w:sz w:val="24"/>
          <w:szCs w:val="24"/>
        </w:rPr>
      </w:pPr>
    </w:p>
    <w:p w14:paraId="3B4C8989" w14:textId="77777777" w:rsidR="00860156" w:rsidRPr="00860156" w:rsidRDefault="00860156" w:rsidP="00860156">
      <w:pPr>
        <w:ind w:left="113"/>
        <w:rPr>
          <w:b/>
          <w:sz w:val="24"/>
          <w:szCs w:val="24"/>
        </w:rPr>
      </w:pPr>
      <w:r>
        <w:rPr>
          <w:b/>
          <w:sz w:val="24"/>
          <w:szCs w:val="24"/>
        </w:rPr>
        <w:t>Q: What doe</w:t>
      </w:r>
      <w:r w:rsidR="0075675D">
        <w:rPr>
          <w:b/>
          <w:sz w:val="24"/>
          <w:szCs w:val="24"/>
        </w:rPr>
        <w:t xml:space="preserve">s this mean for the remainder of </w:t>
      </w:r>
      <w:r>
        <w:rPr>
          <w:b/>
          <w:sz w:val="24"/>
          <w:szCs w:val="24"/>
        </w:rPr>
        <w:t xml:space="preserve">2017? </w:t>
      </w:r>
    </w:p>
    <w:p w14:paraId="02450F63" w14:textId="77777777" w:rsidR="00BD1A55" w:rsidRDefault="005C72EE" w:rsidP="00D462A5">
      <w:pPr>
        <w:ind w:left="113"/>
        <w:rPr>
          <w:sz w:val="24"/>
          <w:szCs w:val="24"/>
        </w:rPr>
      </w:pPr>
      <w:r>
        <w:rPr>
          <w:sz w:val="24"/>
          <w:szCs w:val="24"/>
        </w:rPr>
        <w:t>P</w:t>
      </w:r>
      <w:r w:rsidRPr="005C72EE">
        <w:rPr>
          <w:sz w:val="24"/>
          <w:szCs w:val="24"/>
        </w:rPr>
        <w:t xml:space="preserve">roviders should </w:t>
      </w:r>
      <w:r w:rsidR="00860156">
        <w:rPr>
          <w:sz w:val="24"/>
          <w:szCs w:val="24"/>
        </w:rPr>
        <w:t xml:space="preserve">continue to rely on their current tuition assurance arrangements for the remainder of 2017. </w:t>
      </w:r>
    </w:p>
    <w:p w14:paraId="2E6BE870" w14:textId="77777777" w:rsidR="0043686D" w:rsidRDefault="0043686D" w:rsidP="00D462A5">
      <w:pPr>
        <w:ind w:left="113"/>
        <w:rPr>
          <w:b/>
          <w:sz w:val="24"/>
          <w:szCs w:val="24"/>
        </w:rPr>
      </w:pPr>
      <w:r>
        <w:rPr>
          <w:sz w:val="24"/>
          <w:szCs w:val="24"/>
        </w:rPr>
        <w:t>Any provider that is currently assisting student</w:t>
      </w:r>
      <w:r w:rsidR="00241E49">
        <w:rPr>
          <w:sz w:val="24"/>
          <w:szCs w:val="24"/>
        </w:rPr>
        <w:t>s</w:t>
      </w:r>
      <w:r>
        <w:rPr>
          <w:sz w:val="24"/>
          <w:szCs w:val="24"/>
        </w:rPr>
        <w:t xml:space="preserve"> as a second provider should continue to work with their current tuition assurance operator to support these students. </w:t>
      </w:r>
    </w:p>
    <w:p w14:paraId="7CC0CF40" w14:textId="77777777" w:rsidR="005F1491" w:rsidRPr="002C348E" w:rsidRDefault="005F1491" w:rsidP="005F1491">
      <w:pPr>
        <w:ind w:left="113"/>
        <w:rPr>
          <w:sz w:val="24"/>
          <w:szCs w:val="24"/>
        </w:rPr>
      </w:pPr>
      <w:r>
        <w:rPr>
          <w:b/>
          <w:sz w:val="24"/>
          <w:szCs w:val="24"/>
        </w:rPr>
        <w:t xml:space="preserve">Q: What happens for providers who have been given in principle approval to offer VET Student Loans? </w:t>
      </w:r>
    </w:p>
    <w:p w14:paraId="0BDBD4CC" w14:textId="77777777" w:rsidR="005F1491" w:rsidRPr="00BD1A55" w:rsidRDefault="005F1491" w:rsidP="005F1491">
      <w:pPr>
        <w:ind w:left="113"/>
        <w:rPr>
          <w:sz w:val="24"/>
          <w:szCs w:val="24"/>
        </w:rPr>
      </w:pPr>
      <w:r>
        <w:rPr>
          <w:b/>
          <w:sz w:val="24"/>
          <w:szCs w:val="24"/>
        </w:rPr>
        <w:t>A</w:t>
      </w:r>
      <w:r w:rsidRPr="00BD1A55">
        <w:rPr>
          <w:sz w:val="24"/>
          <w:szCs w:val="24"/>
        </w:rPr>
        <w:t xml:space="preserve">: Providers who </w:t>
      </w:r>
      <w:r>
        <w:rPr>
          <w:sz w:val="24"/>
          <w:szCs w:val="24"/>
        </w:rPr>
        <w:t>have been given in principle approval to offer VET Student Loans</w:t>
      </w:r>
      <w:r w:rsidRPr="00BD1A55">
        <w:rPr>
          <w:sz w:val="24"/>
          <w:szCs w:val="24"/>
        </w:rPr>
        <w:t xml:space="preserve"> will</w:t>
      </w:r>
      <w:r>
        <w:rPr>
          <w:sz w:val="24"/>
          <w:szCs w:val="24"/>
        </w:rPr>
        <w:t xml:space="preserve"> also </w:t>
      </w:r>
      <w:r w:rsidRPr="00BD1A55">
        <w:rPr>
          <w:sz w:val="24"/>
          <w:szCs w:val="24"/>
        </w:rPr>
        <w:t xml:space="preserve">be </w:t>
      </w:r>
      <w:r>
        <w:rPr>
          <w:sz w:val="24"/>
          <w:szCs w:val="24"/>
        </w:rPr>
        <w:t>considered under the</w:t>
      </w:r>
      <w:r w:rsidRPr="00BD1A55">
        <w:rPr>
          <w:sz w:val="24"/>
          <w:szCs w:val="24"/>
        </w:rPr>
        <w:t xml:space="preserve"> Government</w:t>
      </w:r>
      <w:r>
        <w:rPr>
          <w:sz w:val="24"/>
          <w:szCs w:val="24"/>
        </w:rPr>
        <w:t>’s</w:t>
      </w:r>
      <w:r w:rsidRPr="00BD1A55">
        <w:rPr>
          <w:sz w:val="24"/>
          <w:szCs w:val="24"/>
        </w:rPr>
        <w:t xml:space="preserve"> 2018 interim tuition assur</w:t>
      </w:r>
      <w:r w:rsidR="00241E49">
        <w:rPr>
          <w:sz w:val="24"/>
          <w:szCs w:val="24"/>
        </w:rPr>
        <w:t>ance arrangements.</w:t>
      </w:r>
    </w:p>
    <w:p w14:paraId="0B7F440B" w14:textId="77777777" w:rsidR="005F1491" w:rsidRPr="003160E5" w:rsidRDefault="005F1491" w:rsidP="003160E5">
      <w:pPr>
        <w:ind w:left="113"/>
        <w:rPr>
          <w:sz w:val="24"/>
          <w:szCs w:val="24"/>
        </w:rPr>
      </w:pPr>
      <w:r w:rsidRPr="00BD1A55">
        <w:rPr>
          <w:sz w:val="24"/>
          <w:szCs w:val="24"/>
        </w:rPr>
        <w:t>The department will communicate the details and requirements for the interim arrangement</w:t>
      </w:r>
      <w:r>
        <w:rPr>
          <w:sz w:val="24"/>
          <w:szCs w:val="24"/>
        </w:rPr>
        <w:t>s directly to all approved</w:t>
      </w:r>
      <w:r w:rsidRPr="00BD1A55">
        <w:rPr>
          <w:sz w:val="24"/>
          <w:szCs w:val="24"/>
        </w:rPr>
        <w:t xml:space="preserve"> providers </w:t>
      </w:r>
      <w:r>
        <w:rPr>
          <w:sz w:val="24"/>
          <w:szCs w:val="24"/>
        </w:rPr>
        <w:t xml:space="preserve">(including </w:t>
      </w:r>
      <w:r w:rsidR="0075675D">
        <w:rPr>
          <w:sz w:val="24"/>
          <w:szCs w:val="24"/>
        </w:rPr>
        <w:t>those with in principle approval</w:t>
      </w:r>
      <w:r>
        <w:rPr>
          <w:sz w:val="24"/>
          <w:szCs w:val="24"/>
        </w:rPr>
        <w:t>)</w:t>
      </w:r>
      <w:r w:rsidRPr="00BD1A55">
        <w:rPr>
          <w:sz w:val="24"/>
          <w:szCs w:val="24"/>
        </w:rPr>
        <w:t xml:space="preserve"> in the near future. </w:t>
      </w:r>
    </w:p>
    <w:sectPr w:rsidR="005F1491" w:rsidRPr="003160E5" w:rsidSect="00C62CF3">
      <w:headerReference w:type="default" r:id="rId19"/>
      <w:footerReference w:type="default" r:id="rId20"/>
      <w:pgSz w:w="11906" w:h="16838"/>
      <w:pgMar w:top="426" w:right="1133" w:bottom="426" w:left="1134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22AA25" w14:textId="77777777" w:rsidR="00193785" w:rsidRDefault="00193785" w:rsidP="007B2F33">
      <w:pPr>
        <w:spacing w:after="0" w:line="240" w:lineRule="auto"/>
      </w:pPr>
      <w:r>
        <w:separator/>
      </w:r>
    </w:p>
  </w:endnote>
  <w:endnote w:type="continuationSeparator" w:id="0">
    <w:p w14:paraId="21E62F00" w14:textId="77777777" w:rsidR="00193785" w:rsidRDefault="00193785" w:rsidP="007B2F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5973550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437A2EB9" w14:textId="77777777" w:rsidR="00C62CF3" w:rsidRDefault="00C62CF3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57395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415F37BD" w14:textId="77777777" w:rsidR="00C62CF3" w:rsidRDefault="00C62CF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EA20E7" w14:textId="77777777" w:rsidR="00193785" w:rsidRDefault="00193785" w:rsidP="007B2F33">
      <w:pPr>
        <w:spacing w:after="0" w:line="240" w:lineRule="auto"/>
      </w:pPr>
      <w:r>
        <w:separator/>
      </w:r>
    </w:p>
  </w:footnote>
  <w:footnote w:type="continuationSeparator" w:id="0">
    <w:p w14:paraId="3CFD368E" w14:textId="77777777" w:rsidR="00193785" w:rsidRDefault="00193785" w:rsidP="007B2F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A875BD" w14:textId="77777777" w:rsidR="00193785" w:rsidRDefault="00193785" w:rsidP="00C62CF3">
    <w:pPr>
      <w:pStyle w:val="Header"/>
      <w:tabs>
        <w:tab w:val="left" w:pos="4211"/>
        <w:tab w:val="right" w:pos="13958"/>
      </w:tabs>
      <w:ind w:left="1440" w:hanging="2291"/>
      <w:jc w:val="both"/>
      <w:rPr>
        <w:b/>
        <w:sz w:val="28"/>
        <w:szCs w:val="28"/>
      </w:rPr>
    </w:pPr>
    <w:r>
      <w:rPr>
        <w:b/>
        <w:noProof/>
        <w:sz w:val="28"/>
        <w:szCs w:val="28"/>
        <w:lang w:eastAsia="en-AU"/>
      </w:rPr>
      <mc:AlternateContent>
        <mc:Choice Requires="wps">
          <w:drawing>
            <wp:anchor distT="0" distB="0" distL="114300" distR="114300" simplePos="0" relativeHeight="251659264" behindDoc="0" locked="1" layoutInCell="0" allowOverlap="1" wp14:anchorId="5AC5F86C" wp14:editId="77D82D6F">
              <wp:simplePos x="0" y="0"/>
              <wp:positionH relativeFrom="margin">
                <wp:align>center</wp:align>
              </wp:positionH>
              <wp:positionV relativeFrom="page">
                <wp:posOffset>457200</wp:posOffset>
              </wp:positionV>
              <wp:extent cx="1126541" cy="453542"/>
              <wp:effectExtent l="0" t="0" r="0" b="3810"/>
              <wp:wrapNone/>
              <wp:docPr id="1" name="janusSEAL SC Head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26541" cy="453542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5F98C76" w14:textId="77777777" w:rsidR="00193785" w:rsidRPr="0065653D" w:rsidRDefault="00193785" w:rsidP="008D0BC6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janusSEAL SC Header" o:spid="_x0000_s1026" type="#_x0000_t202" style="position:absolute;left:0;text-align:left;margin-left:0;margin-top:36pt;width:88.7pt;height:35.7pt;z-index:251659264;visibility:visible;mso-wrap-style:none;mso-height-percent:0;mso-wrap-distance-left:9pt;mso-wrap-distance-top:0;mso-wrap-distance-right:9pt;mso-wrap-distance-bottom:0;mso-position-horizontal:center;mso-position-horizontal-relative:margin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7Tt8gIAAFkGAAAOAAAAZHJzL2Uyb0RvYy54bWysVVFv2jAQfp+0/2D5nSahgZaooaJ0bJNQ&#10;W41OfTaOXbw6tmUbCJv233d2AqXdHtZpL+F899357rvzcXHZ1BJtmHVCqxJnJylGTFFdCfVY4q/3&#10;s945Rs4TVRGpFSvxjjl8OX7/7mJrCtbXKy0rZhEEUa7YmhKvvDdFkji6YjVxJ9owBUaubU08HO1j&#10;Ulmyhei1TPppOky22lbGasqcA+11a8TjGJ9zRv0t5455JEsMufn4tfG7DN9kfEGKR0vMStAuDfIP&#10;WdREKLj0EOqaeILWVvwWqhbUaqe5P6G6TjTngrJYA1STpa+qWayIYbEWIMeZA03u/4WlN5s7i0QF&#10;vcNIkRpa9I2otVt8mMzRYoo+MQINCjRtjSsAvTCA982VboJLp3egDNU33NbhF+pCYAfCdweSWeMR&#10;DU5ZfzjI4TYKtnxwOsj7IUzy7G2s8x+ZrlEQSmyhiZFbspk730L3kHCZ0jMhJehJIRXalnh4Okij&#10;w8ECwaUKABZHog0Dp8aDGPWQXGzXj1HWz9Or/qg3G56f9fJZPuiNztLzXpqNrkbDNB/l17OfIXqW&#10;FytRVUzNhWL70cnyv2tNN8Rt0+PwvEjcaSmqUFXILdQ6lRZtCMzwUhL61PF1hEpephPphOr2v7HK&#10;JHSw7VSU/E6yEF+qL4zDCMSGBUV8fOxwJaGUKR97HXkEdEBxSO8tjh0+uLZdeIvzwSPerJU/ONdC&#10;aRu7/Srt6mmfMm/xQMZR3UH0zbLpJnipqx0MttUwcDC2ztCZAN7nxPk7YmElgBLWnL+FD5capkx3&#10;EkYrbb//SR/wMA5gxWgLK6bECnYgRvKzghc8yvI8bKR4yAdnfTjYY8vy2KLW9VRD/+HdQG5RDHgv&#10;9yK3un6AXTgJd4KJKAo3l9jvxalv1x7sUsomkwiCHWSIn6uFoSF0IDdM233zQKzpnp+HObrR+1VE&#10;ilevsMUGT6Una6+5iE800Nty2tEO+ytOY7drw4I8PkfU8z/C+BcAAAD//wMAUEsDBBQABgAIAAAA&#10;IQDHxebn4AAAAAcBAAAPAAAAZHJzL2Rvd25yZXYueG1sTI9PS8NAEMXvgt9hGcGLtBtraCRmU1RQ&#10;RPxDW5Eet9kxCc3Oht1Nm357pyc9zRve8N5visVoO7FHH1pHCq6nCQikypmWagVf66fJLYgQNRnd&#10;OUIFRwywKM/PCp0bd6Al7lexFhxCIdcKmhj7XMpQNWh1mLoeib0f562OvPpaGq8PHG47OUuSubS6&#10;JW5odI+PDVa71WAV7JrXq8/k+f3he/5y9B/rwW3820apy4vx/g5ExDH+HcMJn9GhZKatG8gE0Sng&#10;R6KCbMbz5GZZCmLLIr1JQZaF/M9f/gIAAP//AwBQSwECLQAUAAYACAAAACEAtoM4kv4AAADhAQAA&#10;EwAAAAAAAAAAAAAAAAAAAAAAW0NvbnRlbnRfVHlwZXNdLnhtbFBLAQItABQABgAIAAAAIQA4/SH/&#10;1gAAAJQBAAALAAAAAAAAAAAAAAAAAC8BAABfcmVscy8ucmVsc1BLAQItABQABgAIAAAAIQDpe7Tt&#10;8gIAAFkGAAAOAAAAAAAAAAAAAAAAAC4CAABkcnMvZTJvRG9jLnhtbFBLAQItABQABgAIAAAAIQDH&#10;xebn4AAAAAcBAAAPAAAAAAAAAAAAAAAAAEwFAABkcnMvZG93bnJldi54bWxQSwUGAAAAAAQABADz&#10;AAAAWQYAAAAA&#10;" o:allowincell="f" filled="f" stroked="f" strokeweight=".5pt">
              <v:textbox>
                <w:txbxContent>
                  <w:p w14:paraId="65F98C76" w14:textId="77777777" w:rsidR="00193785" w:rsidRPr="0065653D" w:rsidRDefault="00193785" w:rsidP="008D0BC6">
                    <w:pPr>
                      <w:jc w:val="center"/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>
      <w:rPr>
        <w:b/>
        <w:sz w:val="28"/>
        <w:szCs w:val="28"/>
      </w:rPr>
      <w:tab/>
    </w:r>
    <w:r>
      <w:rPr>
        <w:b/>
        <w:sz w:val="28"/>
        <w:szCs w:val="28"/>
      </w:rPr>
      <w:tab/>
    </w:r>
    <w:r>
      <w:rPr>
        <w:b/>
        <w:sz w:val="28"/>
        <w:szCs w:val="28"/>
      </w:rPr>
      <w:tab/>
    </w:r>
    <w:r>
      <w:rPr>
        <w:b/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B31AA4"/>
    <w:multiLevelType w:val="hybridMultilevel"/>
    <w:tmpl w:val="89642AD8"/>
    <w:lvl w:ilvl="0" w:tplc="0C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F33"/>
    <w:rsid w:val="00087878"/>
    <w:rsid w:val="000C5B06"/>
    <w:rsid w:val="000D47CF"/>
    <w:rsid w:val="000F390F"/>
    <w:rsid w:val="000F5F19"/>
    <w:rsid w:val="0013468D"/>
    <w:rsid w:val="001751C8"/>
    <w:rsid w:val="00193785"/>
    <w:rsid w:val="001A4596"/>
    <w:rsid w:val="001B615E"/>
    <w:rsid w:val="00241E49"/>
    <w:rsid w:val="00256E0D"/>
    <w:rsid w:val="00261B58"/>
    <w:rsid w:val="002B253D"/>
    <w:rsid w:val="002B4018"/>
    <w:rsid w:val="003045A8"/>
    <w:rsid w:val="003160E5"/>
    <w:rsid w:val="0037047A"/>
    <w:rsid w:val="003A0AB5"/>
    <w:rsid w:val="003D4717"/>
    <w:rsid w:val="003E7650"/>
    <w:rsid w:val="00406823"/>
    <w:rsid w:val="00411EB1"/>
    <w:rsid w:val="00435AFD"/>
    <w:rsid w:val="0043686D"/>
    <w:rsid w:val="0044084D"/>
    <w:rsid w:val="00452B9D"/>
    <w:rsid w:val="00490B49"/>
    <w:rsid w:val="005C72EE"/>
    <w:rsid w:val="005F1491"/>
    <w:rsid w:val="00646D60"/>
    <w:rsid w:val="0065653D"/>
    <w:rsid w:val="00682FC0"/>
    <w:rsid w:val="006D047D"/>
    <w:rsid w:val="007131A3"/>
    <w:rsid w:val="0075675D"/>
    <w:rsid w:val="00794178"/>
    <w:rsid w:val="007B2F33"/>
    <w:rsid w:val="007F1E94"/>
    <w:rsid w:val="00800BFF"/>
    <w:rsid w:val="0083287E"/>
    <w:rsid w:val="00860156"/>
    <w:rsid w:val="008867D6"/>
    <w:rsid w:val="008A6A07"/>
    <w:rsid w:val="008B3F88"/>
    <w:rsid w:val="008D0BC6"/>
    <w:rsid w:val="008E1B97"/>
    <w:rsid w:val="008F24E1"/>
    <w:rsid w:val="00957386"/>
    <w:rsid w:val="00964B1A"/>
    <w:rsid w:val="00987B18"/>
    <w:rsid w:val="009A0AE3"/>
    <w:rsid w:val="009B4162"/>
    <w:rsid w:val="009B7617"/>
    <w:rsid w:val="009E6DE1"/>
    <w:rsid w:val="00A04500"/>
    <w:rsid w:val="00A22D6C"/>
    <w:rsid w:val="00A402E3"/>
    <w:rsid w:val="00A57395"/>
    <w:rsid w:val="00B01B3B"/>
    <w:rsid w:val="00B06666"/>
    <w:rsid w:val="00B3176B"/>
    <w:rsid w:val="00B350DE"/>
    <w:rsid w:val="00B639F8"/>
    <w:rsid w:val="00B758F3"/>
    <w:rsid w:val="00BD1A55"/>
    <w:rsid w:val="00BF4BE5"/>
    <w:rsid w:val="00C0070E"/>
    <w:rsid w:val="00C03583"/>
    <w:rsid w:val="00C078EE"/>
    <w:rsid w:val="00C15321"/>
    <w:rsid w:val="00C44098"/>
    <w:rsid w:val="00C62CF3"/>
    <w:rsid w:val="00CC14DD"/>
    <w:rsid w:val="00D462A5"/>
    <w:rsid w:val="00DA4349"/>
    <w:rsid w:val="00DF1906"/>
    <w:rsid w:val="00DF3BAF"/>
    <w:rsid w:val="00DF3BC4"/>
    <w:rsid w:val="00E7615C"/>
    <w:rsid w:val="00E77031"/>
    <w:rsid w:val="00E84107"/>
    <w:rsid w:val="00EF5FBC"/>
    <w:rsid w:val="00F152FE"/>
    <w:rsid w:val="00F208EB"/>
    <w:rsid w:val="00FE5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1A85C1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2F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2F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2F33"/>
  </w:style>
  <w:style w:type="paragraph" w:styleId="ListParagraph">
    <w:name w:val="List Paragraph"/>
    <w:basedOn w:val="Normal"/>
    <w:uiPriority w:val="34"/>
    <w:qFormat/>
    <w:rsid w:val="007B2F33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7B2F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2F33"/>
  </w:style>
  <w:style w:type="character" w:styleId="Hyperlink">
    <w:name w:val="Hyperlink"/>
    <w:basedOn w:val="DefaultParagraphFont"/>
    <w:uiPriority w:val="99"/>
    <w:unhideWhenUsed/>
    <w:rsid w:val="00261B5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E558C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45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5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2F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2F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2F33"/>
  </w:style>
  <w:style w:type="paragraph" w:styleId="ListParagraph">
    <w:name w:val="List Paragraph"/>
    <w:basedOn w:val="Normal"/>
    <w:uiPriority w:val="34"/>
    <w:qFormat/>
    <w:rsid w:val="007B2F33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7B2F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2F33"/>
  </w:style>
  <w:style w:type="character" w:styleId="Hyperlink">
    <w:name w:val="Hyperlink"/>
    <w:basedOn w:val="DefaultParagraphFont"/>
    <w:uiPriority w:val="99"/>
    <w:unhideWhenUsed/>
    <w:rsid w:val="00261B5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E558C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45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5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8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4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FEE-HELPTuitionAssurance@education.gov.au" TargetMode="External"/><Relationship Id="rId18" Type="http://schemas.openxmlformats.org/officeDocument/2006/relationships/hyperlink" Target="http://www.tda.edu.au/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microsoft.com/office/2007/relationships/stylesWithEffects" Target="stylesWithEffects.xml"/><Relationship Id="rId12" Type="http://schemas.openxmlformats.org/officeDocument/2006/relationships/image" Target="media/image1.jpeg"/><Relationship Id="rId17" Type="http://schemas.openxmlformats.org/officeDocument/2006/relationships/hyperlink" Target="mailto:memberservices@tda.edu.a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acpet.edu.au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yperlink" Target="mailto:acpet@acpet.edu.au" TargetMode="External"/><Relationship Id="rId10" Type="http://schemas.openxmlformats.org/officeDocument/2006/relationships/footnotes" Target="foot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VETTuitionAssurance@education.gov.a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8D7A3-2C5A-4D1B-89FA-2F5032CF0399}">
  <ds:schemaRefs>
    <ds:schemaRef ds:uri="http://purl.org/dc/terms/"/>
    <ds:schemaRef ds:uri="http://purl.org/dc/elements/1.1/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D3236D2-736A-4E9A-A5FE-B2C0BC47B3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B02F17E-1767-4468-B786-69ACD371712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203ADD3-12BC-450A-9D00-CA3117957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137115F5.dotm</Template>
  <TotalTime>0</TotalTime>
  <Pages>2</Pages>
  <Words>488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3267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DORMAN,Theresa</dc:creator>
  <cp:keywords>[SEC=UNCLASSIFIED:For-Official-Use-Only]</cp:keywords>
  <cp:lastModifiedBy>Ryan Mannie</cp:lastModifiedBy>
  <cp:revision>2</cp:revision>
  <cp:lastPrinted>2017-11-09T22:31:00Z</cp:lastPrinted>
  <dcterms:created xsi:type="dcterms:W3CDTF">2017-11-09T22:54:00Z</dcterms:created>
  <dcterms:modified xsi:type="dcterms:W3CDTF">2017-11-09T22:54:00Z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Caveats_Count">
    <vt:lpwstr>0</vt:lpwstr>
  </property>
  <property fmtid="{D5CDD505-2E9C-101B-9397-08002B2CF9AE}" pid="3" name="PM_Originator_Hash_SHA1">
    <vt:lpwstr>A6E65A424B1716CDFC0790742CD1FED95085E077</vt:lpwstr>
  </property>
  <property fmtid="{D5CDD505-2E9C-101B-9397-08002B2CF9AE}" pid="4" name="PM_SecurityClassification">
    <vt:lpwstr>UNCLASSIFIED</vt:lpwstr>
  </property>
  <property fmtid="{D5CDD505-2E9C-101B-9397-08002B2CF9AE}" pid="5" name="PM_DisplayValueSecClassificationWithQualifier">
    <vt:lpwstr>UNCLASSIFIED For Official Use Only</vt:lpwstr>
  </property>
  <property fmtid="{D5CDD505-2E9C-101B-9397-08002B2CF9AE}" pid="6" name="PM_Qualifier">
    <vt:lpwstr>For-Official-Use-Only</vt:lpwstr>
  </property>
  <property fmtid="{D5CDD505-2E9C-101B-9397-08002B2CF9AE}" pid="7" name="PM_InsertionValue">
    <vt:lpwstr>UNCLASSIFIED\r\nFor Official Use Only</vt:lpwstr>
  </property>
  <property fmtid="{D5CDD505-2E9C-101B-9397-08002B2CF9AE}" pid="8" name="PM_Hash_Salt">
    <vt:lpwstr>3F4F807CABF5E66A47244D1396B56A17</vt:lpwstr>
  </property>
  <property fmtid="{D5CDD505-2E9C-101B-9397-08002B2CF9AE}" pid="9" name="PM_Hash_Version">
    <vt:lpwstr>2014.2</vt:lpwstr>
  </property>
  <property fmtid="{D5CDD505-2E9C-101B-9397-08002B2CF9AE}" pid="10" name="PM_Hash_Salt_Prev">
    <vt:lpwstr>0B540033695734D695FF2B506F0535E5</vt:lpwstr>
  </property>
  <property fmtid="{D5CDD505-2E9C-101B-9397-08002B2CF9AE}" pid="11" name="PM_Hash_SHA1">
    <vt:lpwstr>A70F45D154E8D8FE6AC4460A5B4A8CC5A19D3319</vt:lpwstr>
  </property>
  <property fmtid="{D5CDD505-2E9C-101B-9397-08002B2CF9AE}" pid="12" name="PM_SecurityClassification_Prev">
    <vt:lpwstr>UNOFFICIAL</vt:lpwstr>
  </property>
  <property fmtid="{D5CDD505-2E9C-101B-9397-08002B2CF9AE}" pid="13" name="PM_Qualifier_Prev">
    <vt:lpwstr/>
  </property>
</Properties>
</file>