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8E" w:rsidRDefault="001D36E6" w:rsidP="00AA615C">
      <w:pPr>
        <w:spacing w:after="0"/>
        <w:rPr>
          <w:noProof w:val="0"/>
        </w:rPr>
        <w:sectPr w:rsidR="0019508E" w:rsidSect="00681479">
          <w:footerReference w:type="default" r:id="rId8"/>
          <w:footerReference w:type="first" r:id="rId9"/>
          <w:pgSz w:w="11907" w:h="16839" w:code="9"/>
          <w:pgMar w:top="0" w:right="1440" w:bottom="1440" w:left="0" w:header="0" w:footer="283" w:gutter="0"/>
          <w:cols w:space="708"/>
          <w:titlePg/>
          <w:docGrid w:linePitch="360"/>
        </w:sectPr>
      </w:pPr>
      <w:r>
        <w:rPr>
          <w:lang w:eastAsia="en-AU"/>
        </w:rPr>
        <w:drawing>
          <wp:inline distT="0" distB="0" distL="0" distR="0" wp14:anchorId="29104E05" wp14:editId="718DEF47">
            <wp:extent cx="7596000" cy="2193038"/>
            <wp:effectExtent l="0" t="0" r="5080" b="0"/>
            <wp:docPr id="3" name="Picture 3" descr="Australian Government. The Higher Education Reform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96000" cy="2193038"/>
                    </a:xfrm>
                    <a:prstGeom prst="rect">
                      <a:avLst/>
                    </a:prstGeom>
                    <a:noFill/>
                    <a:ln>
                      <a:noFill/>
                    </a:ln>
                  </pic:spPr>
                </pic:pic>
              </a:graphicData>
            </a:graphic>
          </wp:inline>
        </w:drawing>
      </w:r>
    </w:p>
    <w:p w:rsidR="00476D8B" w:rsidRPr="00B97D39" w:rsidRDefault="00476D8B" w:rsidP="00476D8B">
      <w:pPr>
        <w:pStyle w:val="Title"/>
        <w:rPr>
          <w:i/>
          <w:noProof w:val="0"/>
        </w:rPr>
      </w:pPr>
      <w:r w:rsidRPr="0055633C">
        <w:rPr>
          <w:i/>
          <w:noProof w:val="0"/>
        </w:rPr>
        <w:t xml:space="preserve">Sub-bachelor courses: </w:t>
      </w:r>
      <w:r w:rsidRPr="00B97D39">
        <w:rPr>
          <w:i/>
          <w:noProof w:val="0"/>
        </w:rPr>
        <w:t>consultation paper for feedback</w:t>
      </w:r>
    </w:p>
    <w:p w:rsidR="00476D8B" w:rsidRDefault="00476D8B" w:rsidP="00476D8B">
      <w:pPr>
        <w:pStyle w:val="Heading1"/>
        <w:rPr>
          <w:noProof w:val="0"/>
        </w:rPr>
      </w:pPr>
      <w:r>
        <w:rPr>
          <w:noProof w:val="0"/>
        </w:rPr>
        <w:t>Policy</w:t>
      </w:r>
    </w:p>
    <w:p w:rsidR="00476D8B" w:rsidRPr="00476D8B" w:rsidRDefault="00476D8B" w:rsidP="00476D8B">
      <w:pPr>
        <w:rPr>
          <w:noProof w:val="0"/>
        </w:rPr>
      </w:pPr>
      <w:r w:rsidRPr="00476D8B">
        <w:rPr>
          <w:noProof w:val="0"/>
        </w:rPr>
        <w:t xml:space="preserve">The demand driven funding system will be expanded to include Commonwealth supported places (CSPs) in approved sub-bachelor level diploma, advanced diploma and associate degree courses at Table A universities from 1 January 2018. </w:t>
      </w:r>
    </w:p>
    <w:p w:rsidR="00476D8B" w:rsidRDefault="00476D8B" w:rsidP="00476D8B">
      <w:pPr>
        <w:pStyle w:val="Heading1"/>
        <w:rPr>
          <w:noProof w:val="0"/>
        </w:rPr>
      </w:pPr>
      <w:r>
        <w:rPr>
          <w:noProof w:val="0"/>
        </w:rPr>
        <w:t>Purpose</w:t>
      </w:r>
    </w:p>
    <w:p w:rsidR="00476D8B" w:rsidRDefault="00476D8B" w:rsidP="00476D8B">
      <w:pPr>
        <w:rPr>
          <w:rFonts w:cstheme="minorHAnsi"/>
        </w:rPr>
      </w:pPr>
      <w:r>
        <w:rPr>
          <w:rFonts w:cstheme="minorHAnsi"/>
        </w:rPr>
        <w:t xml:space="preserve">This policy is intended to: </w:t>
      </w:r>
    </w:p>
    <w:p w:rsidR="00476D8B" w:rsidRDefault="00476D8B" w:rsidP="00476D8B">
      <w:pPr>
        <w:pStyle w:val="ListParagraph"/>
        <w:numPr>
          <w:ilvl w:val="0"/>
          <w:numId w:val="37"/>
        </w:numPr>
        <w:spacing w:after="200" w:line="276" w:lineRule="auto"/>
        <w:rPr>
          <w:rFonts w:cstheme="minorHAnsi"/>
          <w:color w:val="000000"/>
        </w:rPr>
      </w:pPr>
      <w:r>
        <w:rPr>
          <w:rFonts w:cstheme="minorHAnsi"/>
        </w:rPr>
        <w:t>correct inequitable central allocation of places to give students more choice and allow providers to respond to local demand</w:t>
      </w:r>
    </w:p>
    <w:p w:rsidR="00476D8B" w:rsidRDefault="00476D8B" w:rsidP="00476D8B">
      <w:pPr>
        <w:pStyle w:val="ListParagraph"/>
        <w:numPr>
          <w:ilvl w:val="0"/>
          <w:numId w:val="37"/>
        </w:numPr>
        <w:spacing w:after="200" w:line="276" w:lineRule="auto"/>
        <w:rPr>
          <w:rFonts w:cstheme="minorHAnsi"/>
          <w:color w:val="000000"/>
        </w:rPr>
      </w:pPr>
      <w:r>
        <w:rPr>
          <w:rFonts w:cstheme="minorHAnsi"/>
        </w:rPr>
        <w:t>focus public subsidy of sub-bachelor places</w:t>
      </w:r>
    </w:p>
    <w:p w:rsidR="00476D8B" w:rsidRDefault="00476D8B" w:rsidP="00476D8B">
      <w:pPr>
        <w:pStyle w:val="ListParagraph"/>
        <w:numPr>
          <w:ilvl w:val="0"/>
          <w:numId w:val="37"/>
        </w:numPr>
        <w:spacing w:after="200" w:line="276" w:lineRule="auto"/>
        <w:rPr>
          <w:rFonts w:cstheme="minorHAnsi"/>
          <w:color w:val="000000"/>
        </w:rPr>
      </w:pPr>
      <w:r>
        <w:rPr>
          <w:rFonts w:cstheme="minorHAnsi"/>
        </w:rPr>
        <w:t>improve undergraduate attrition rates over time, and</w:t>
      </w:r>
    </w:p>
    <w:p w:rsidR="00476D8B" w:rsidRDefault="00476D8B" w:rsidP="00476D8B">
      <w:pPr>
        <w:pStyle w:val="ListParagraph"/>
        <w:numPr>
          <w:ilvl w:val="0"/>
          <w:numId w:val="37"/>
        </w:numPr>
        <w:spacing w:after="200" w:line="276" w:lineRule="auto"/>
        <w:rPr>
          <w:rFonts w:cstheme="minorHAnsi"/>
          <w:color w:val="000000"/>
        </w:rPr>
      </w:pPr>
      <w:r>
        <w:rPr>
          <w:rFonts w:cstheme="minorHAnsi"/>
        </w:rPr>
        <w:t xml:space="preserve">improve job-readiness of graduates. </w:t>
      </w:r>
    </w:p>
    <w:p w:rsidR="00476D8B" w:rsidRDefault="00476D8B" w:rsidP="00476D8B">
      <w:pPr>
        <w:rPr>
          <w:rFonts w:cstheme="minorHAnsi"/>
        </w:rPr>
      </w:pPr>
      <w:r>
        <w:rPr>
          <w:rFonts w:cstheme="minorHAnsi"/>
        </w:rPr>
        <w:t xml:space="preserve">The Australian Government has announced that Commonwealth support will be aligned with courses that fully articulate into a related bachelor program, and have been developed with a focus on industry needs. </w:t>
      </w:r>
    </w:p>
    <w:p w:rsidR="00476D8B" w:rsidRDefault="00476D8B" w:rsidP="00476D8B">
      <w:pPr>
        <w:rPr>
          <w:rFonts w:cstheme="minorHAnsi"/>
        </w:rPr>
      </w:pPr>
      <w:r>
        <w:rPr>
          <w:rFonts w:cstheme="minorHAnsi"/>
        </w:rPr>
        <w:t>In addition Commonwealth support will be restricted to students who do not hold an existing higher education qualification.</w:t>
      </w:r>
    </w:p>
    <w:p w:rsidR="00476D8B" w:rsidRDefault="00476D8B" w:rsidP="00476D8B">
      <w:pPr>
        <w:spacing w:after="0"/>
        <w:rPr>
          <w:rFonts w:cstheme="minorHAnsi"/>
        </w:rPr>
      </w:pPr>
      <w:r>
        <w:rPr>
          <w:rFonts w:cstheme="minorHAnsi"/>
        </w:rPr>
        <w:t>This paper is intended to inform the development of legislative and administrative guidelines, and the design of an annual process for course approval.</w:t>
      </w:r>
    </w:p>
    <w:p w:rsidR="00476D8B" w:rsidRDefault="00476D8B" w:rsidP="00476D8B"/>
    <w:p w:rsidR="00476D8B" w:rsidRDefault="00476D8B" w:rsidP="00476D8B">
      <w:pPr>
        <w:pStyle w:val="Heading1"/>
        <w:rPr>
          <w:noProof w:val="0"/>
        </w:rPr>
      </w:pPr>
      <w:r>
        <w:rPr>
          <w:noProof w:val="0"/>
        </w:rPr>
        <w:t>Background</w:t>
      </w:r>
    </w:p>
    <w:p w:rsidR="00476D8B" w:rsidRPr="00476D8B" w:rsidRDefault="00476D8B" w:rsidP="00476D8B">
      <w:pPr>
        <w:spacing w:after="200" w:line="276" w:lineRule="auto"/>
        <w:rPr>
          <w:rFonts w:cstheme="minorHAnsi"/>
        </w:rPr>
      </w:pPr>
      <w:r w:rsidRPr="00476D8B">
        <w:rPr>
          <w:rFonts w:cstheme="minorHAnsi"/>
        </w:rPr>
        <w:t>Under current arrangements, the Government decides how many students can receive a subsidy to study a sub-bachelor course at each university. In 2016, although public universities estimated they required a total of 21,795 sub-bachelor places, only 19,046 sub</w:t>
      </w:r>
      <w:r w:rsidRPr="00476D8B">
        <w:rPr>
          <w:rFonts w:cstheme="minorHAnsi"/>
        </w:rPr>
        <w:noBreakHyphen/>
        <w:t>bachelor places (including enabling courses) were delivered. This is inefficient because some universities are significantly under</w:t>
      </w:r>
      <w:r w:rsidRPr="00476D8B">
        <w:rPr>
          <w:rFonts w:cstheme="minorHAnsi"/>
        </w:rPr>
        <w:noBreakHyphen/>
        <w:t>enrolled, while others are over-enrolled, and like students would be able to gain a CSP to study a sub-bachelor course at one institution but not at another.</w:t>
      </w:r>
    </w:p>
    <w:p w:rsidR="00476D8B" w:rsidRPr="00476D8B" w:rsidRDefault="00476D8B" w:rsidP="00476D8B">
      <w:pPr>
        <w:spacing w:after="200" w:line="276" w:lineRule="auto"/>
        <w:rPr>
          <w:rFonts w:cstheme="minorHAnsi"/>
        </w:rPr>
      </w:pPr>
      <w:r w:rsidRPr="00476D8B">
        <w:rPr>
          <w:rFonts w:cstheme="minorHAnsi"/>
        </w:rPr>
        <w:t xml:space="preserve">This also means that students have a financial incentive to enrol in a bachelor-level course, regardless of their workforce ambitions or level of academic preparedness. </w:t>
      </w:r>
    </w:p>
    <w:p w:rsidR="00476D8B" w:rsidRPr="00476D8B" w:rsidRDefault="00476D8B" w:rsidP="00476D8B">
      <w:pPr>
        <w:spacing w:after="200" w:line="276" w:lineRule="auto"/>
        <w:rPr>
          <w:rFonts w:cstheme="minorHAnsi"/>
        </w:rPr>
      </w:pPr>
      <w:r w:rsidRPr="00476D8B">
        <w:rPr>
          <w:rFonts w:cstheme="minorHAnsi"/>
        </w:rPr>
        <w:lastRenderedPageBreak/>
        <w:t>The enabling legislation introduces a new power for the Minister to make a legislative instrument listing Approved sub-bachelor courses and restricts access to CSPs to those courses. The Bill also provides for universities to enrol domestic students as full-fee paying students in non-approved sub</w:t>
      </w:r>
      <w:r w:rsidRPr="00476D8B">
        <w:rPr>
          <w:rFonts w:cstheme="minorHAnsi"/>
        </w:rPr>
        <w:noBreakHyphen/>
        <w:t>bachelor courses, and ineligible students in any sub-bachelor course as full-fee paying students.</w:t>
      </w:r>
    </w:p>
    <w:p w:rsidR="00476D8B" w:rsidRPr="00476D8B" w:rsidRDefault="00476D8B" w:rsidP="00476D8B">
      <w:pPr>
        <w:spacing w:after="200" w:line="276" w:lineRule="auto"/>
        <w:rPr>
          <w:rFonts w:cstheme="minorHAnsi"/>
        </w:rPr>
      </w:pPr>
      <w:r w:rsidRPr="00476D8B">
        <w:rPr>
          <w:rFonts w:cstheme="minorHAnsi"/>
        </w:rPr>
        <w:t>Students enrolled prior to 1 January 2018 will be able to continue to study in a CSP regardless of the course’s status or whether they have prior qualifications. Universities will be asked to notify the department of the number of grandfathered students.</w:t>
      </w:r>
    </w:p>
    <w:p w:rsidR="00476D8B" w:rsidRDefault="00476D8B" w:rsidP="00476D8B"/>
    <w:tbl>
      <w:tblPr>
        <w:tblStyle w:val="TableGrid"/>
        <w:tblW w:w="0" w:type="auto"/>
        <w:tblInd w:w="108" w:type="dxa"/>
        <w:tblLook w:val="04A0" w:firstRow="1" w:lastRow="0" w:firstColumn="1" w:lastColumn="0" w:noHBand="0" w:noVBand="1"/>
      </w:tblPr>
      <w:tblGrid>
        <w:gridCol w:w="9781"/>
      </w:tblGrid>
      <w:tr w:rsidR="00476D8B" w:rsidTr="00476D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81" w:type="dxa"/>
          </w:tcPr>
          <w:p w:rsidR="00476D8B" w:rsidRDefault="00476D8B" w:rsidP="00476D8B">
            <w:pPr>
              <w:pStyle w:val="Heading4"/>
              <w:outlineLvl w:val="3"/>
              <w:rPr>
                <w:noProof w:val="0"/>
              </w:rPr>
            </w:pPr>
            <w:r w:rsidRPr="00476D8B">
              <w:rPr>
                <w:noProof w:val="0"/>
                <w:color w:val="auto"/>
              </w:rPr>
              <w:t>Legislative basis for allowing full fee-paying domestic students in sub-bachelor courses</w:t>
            </w:r>
          </w:p>
        </w:tc>
      </w:tr>
      <w:tr w:rsidR="00476D8B" w:rsidTr="00476D8B">
        <w:trPr>
          <w:trHeight w:val="1318"/>
        </w:trPr>
        <w:tc>
          <w:tcPr>
            <w:cnfStyle w:val="001000000000" w:firstRow="0" w:lastRow="0" w:firstColumn="1" w:lastColumn="0" w:oddVBand="0" w:evenVBand="0" w:oddHBand="0" w:evenHBand="0" w:firstRowFirstColumn="0" w:firstRowLastColumn="0" w:lastRowFirstColumn="0" w:lastRowLastColumn="0"/>
            <w:tcW w:w="9781" w:type="dxa"/>
          </w:tcPr>
          <w:p w:rsidR="00476D8B" w:rsidRDefault="00476D8B" w:rsidP="00C60B98">
            <w:pPr>
              <w:rPr>
                <w:noProof w:val="0"/>
              </w:rPr>
            </w:pPr>
          </w:p>
          <w:p w:rsidR="00476D8B" w:rsidRDefault="00476D8B" w:rsidP="00476D8B">
            <w:pPr>
              <w:keepNext/>
              <w:rPr>
                <w:rFonts w:cstheme="minorHAnsi"/>
                <w:color w:val="000000"/>
              </w:rPr>
            </w:pPr>
            <w:r>
              <w:rPr>
                <w:rFonts w:cstheme="minorHAnsi"/>
                <w:color w:val="000000"/>
              </w:rPr>
              <w:t>Table A providers must, under Section 36-30 of HESA, enrol domestic students as Commonwealth supported students in undergraduate courses, unless they are prohibited under section 36-15 or 36</w:t>
            </w:r>
            <w:r>
              <w:rPr>
                <w:rFonts w:cstheme="minorHAnsi"/>
                <w:color w:val="000000"/>
              </w:rPr>
              <w:noBreakHyphen/>
              <w:t>10. The draft Bill sets out under section 36-15 that providers may not enrol students as Commonwealth supported students in sub-bachelor courses unless the course is approved, and under section 36-10 that they may not enrol students as Commonwealth supported students in sub</w:t>
            </w:r>
            <w:r>
              <w:rPr>
                <w:rFonts w:cstheme="minorHAnsi"/>
                <w:color w:val="000000"/>
              </w:rPr>
              <w:noBreakHyphen/>
              <w:t>bachelor courses if the student has obtained a prior higher education qualification.</w:t>
            </w:r>
          </w:p>
          <w:p w:rsidR="00476D8B" w:rsidRDefault="00476D8B" w:rsidP="00C60B98">
            <w:pPr>
              <w:rPr>
                <w:noProof w:val="0"/>
              </w:rPr>
            </w:pPr>
          </w:p>
        </w:tc>
      </w:tr>
    </w:tbl>
    <w:p w:rsidR="00476D8B" w:rsidRDefault="00476D8B" w:rsidP="00476D8B"/>
    <w:p w:rsidR="00476D8B" w:rsidRDefault="00476D8B" w:rsidP="00476D8B">
      <w:pPr>
        <w:pStyle w:val="Heading1"/>
      </w:pPr>
      <w:r>
        <w:rPr>
          <w:noProof w:val="0"/>
        </w:rPr>
        <w:t>Issues for feedback</w:t>
      </w:r>
      <w:r>
        <w:br/>
      </w:r>
    </w:p>
    <w:p w:rsidR="00476D8B" w:rsidRPr="00476D8B" w:rsidRDefault="00476D8B" w:rsidP="00476D8B">
      <w:pPr>
        <w:pStyle w:val="Heading2"/>
        <w:numPr>
          <w:ilvl w:val="0"/>
          <w:numId w:val="39"/>
        </w:numPr>
        <w:rPr>
          <w:noProof w:val="0"/>
        </w:rPr>
      </w:pPr>
      <w:r w:rsidRPr="00476D8B">
        <w:rPr>
          <w:noProof w:val="0"/>
        </w:rPr>
        <w:t>Criteria for course eligibility</w:t>
      </w:r>
    </w:p>
    <w:p w:rsidR="00476D8B" w:rsidRDefault="00476D8B" w:rsidP="00476D8B">
      <w:pPr>
        <w:rPr>
          <w:rFonts w:cstheme="minorHAnsi"/>
        </w:rPr>
      </w:pPr>
      <w:r>
        <w:rPr>
          <w:rFonts w:cstheme="minorHAnsi"/>
        </w:rPr>
        <w:t>Chapter 6 of the draft Commonwealth Grant Scheme Guidelines (CGS Guidelines) set out the criteria for eligible sub</w:t>
      </w:r>
      <w:r>
        <w:rPr>
          <w:rFonts w:cstheme="minorHAnsi"/>
        </w:rPr>
        <w:noBreakHyphen/>
        <w:t xml:space="preserve">bachelor courses. It is proposed that further detail and guidance, resulting from this consultation process, will be provided in the Administrative Information for Providers. Feedback is sought on the draft criteria and additional guidance below. </w:t>
      </w:r>
    </w:p>
    <w:p w:rsidR="00476D8B" w:rsidRPr="00476D8B" w:rsidRDefault="00476D8B" w:rsidP="00476D8B"/>
    <w:tbl>
      <w:tblPr>
        <w:tblStyle w:val="TableGrid"/>
        <w:tblW w:w="0" w:type="auto"/>
        <w:tblInd w:w="108" w:type="dxa"/>
        <w:tblLook w:val="04A0" w:firstRow="1" w:lastRow="0" w:firstColumn="1" w:lastColumn="0" w:noHBand="0" w:noVBand="1"/>
      </w:tblPr>
      <w:tblGrid>
        <w:gridCol w:w="9781"/>
      </w:tblGrid>
      <w:tr w:rsidR="00476D8B" w:rsidTr="00C60B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81" w:type="dxa"/>
          </w:tcPr>
          <w:p w:rsidR="00476D8B" w:rsidRDefault="00476D8B" w:rsidP="00476D8B">
            <w:pPr>
              <w:pStyle w:val="Heading4"/>
              <w:outlineLvl w:val="3"/>
              <w:rPr>
                <w:noProof w:val="0"/>
              </w:rPr>
            </w:pPr>
            <w:r w:rsidRPr="00476D8B">
              <w:rPr>
                <w:noProof w:val="0"/>
                <w:color w:val="auto"/>
              </w:rPr>
              <w:t>Proposed addition to CGS Guidelines:</w:t>
            </w:r>
          </w:p>
        </w:tc>
      </w:tr>
      <w:tr w:rsidR="00476D8B" w:rsidTr="00C60B98">
        <w:trPr>
          <w:trHeight w:val="1318"/>
        </w:trPr>
        <w:tc>
          <w:tcPr>
            <w:cnfStyle w:val="001000000000" w:firstRow="0" w:lastRow="0" w:firstColumn="1" w:lastColumn="0" w:oddVBand="0" w:evenVBand="0" w:oddHBand="0" w:evenHBand="0" w:firstRowFirstColumn="0" w:firstRowLastColumn="0" w:lastRowFirstColumn="0" w:lastRowLastColumn="0"/>
            <w:tcW w:w="9781" w:type="dxa"/>
          </w:tcPr>
          <w:p w:rsidR="00476D8B" w:rsidRDefault="00476D8B" w:rsidP="00C60B98">
            <w:pPr>
              <w:rPr>
                <w:noProof w:val="0"/>
              </w:rPr>
            </w:pPr>
          </w:p>
          <w:p w:rsidR="00476D8B" w:rsidRDefault="00476D8B" w:rsidP="00476D8B">
            <w:pPr>
              <w:shd w:val="clear" w:color="auto" w:fill="FFFFFF"/>
              <w:tabs>
                <w:tab w:val="left" w:pos="0"/>
              </w:tabs>
              <w:rPr>
                <w:rFonts w:eastAsia="Times New Roman"/>
                <w:color w:val="000000" w:themeColor="text1"/>
              </w:rPr>
            </w:pPr>
            <w:r>
              <w:rPr>
                <w:color w:val="000000" w:themeColor="text1"/>
              </w:rPr>
              <w:t>The Minister may approve a sub-bachelor course under clause 1 of Schedule 1 of the Act if a</w:t>
            </w:r>
            <w:r>
              <w:rPr>
                <w:i/>
                <w:color w:val="000000" w:themeColor="text1"/>
              </w:rPr>
              <w:t xml:space="preserve"> provider</w:t>
            </w:r>
            <w:r>
              <w:rPr>
                <w:color w:val="000000" w:themeColor="text1"/>
              </w:rPr>
              <w:t xml:space="preserve"> demonstrates, to the satisfaction of the Minister or his delegate, that a sub</w:t>
            </w:r>
            <w:r>
              <w:rPr>
                <w:color w:val="000000" w:themeColor="text1"/>
              </w:rPr>
              <w:noBreakHyphen/>
              <w:t>bachelor course meets all of the following requirements:</w:t>
            </w:r>
          </w:p>
          <w:p w:rsidR="00476D8B" w:rsidRDefault="00476D8B" w:rsidP="00476D8B">
            <w:pPr>
              <w:pStyle w:val="ListParagraph"/>
              <w:numPr>
                <w:ilvl w:val="0"/>
                <w:numId w:val="40"/>
              </w:numPr>
              <w:shd w:val="clear" w:color="auto" w:fill="FFFFFF"/>
              <w:spacing w:before="100" w:beforeAutospacing="1" w:after="100" w:afterAutospacing="1"/>
              <w:ind w:left="709" w:hanging="709"/>
              <w:rPr>
                <w:rFonts w:eastAsiaTheme="minorHAnsi"/>
                <w:color w:val="000000" w:themeColor="text1"/>
              </w:rPr>
            </w:pPr>
            <w:r>
              <w:rPr>
                <w:color w:val="000000" w:themeColor="text1"/>
              </w:rPr>
              <w:t xml:space="preserve">Fully articulates into a related bachelor degree program(s); </w:t>
            </w:r>
          </w:p>
          <w:p w:rsidR="00476D8B" w:rsidRDefault="00476D8B" w:rsidP="00476D8B">
            <w:pPr>
              <w:pStyle w:val="ListParagraph"/>
              <w:numPr>
                <w:ilvl w:val="0"/>
                <w:numId w:val="40"/>
              </w:numPr>
              <w:shd w:val="clear" w:color="auto" w:fill="FFFFFF"/>
              <w:spacing w:before="100" w:beforeAutospacing="1" w:after="100" w:afterAutospacing="1"/>
              <w:ind w:left="709" w:hanging="709"/>
            </w:pPr>
            <w:r>
              <w:rPr>
                <w:color w:val="000000" w:themeColor="text1"/>
              </w:rPr>
              <w:t>Meets current industry skills needs or identified future skills needs.</w:t>
            </w:r>
          </w:p>
          <w:p w:rsidR="00476D8B" w:rsidRDefault="00476D8B" w:rsidP="00476D8B">
            <w:pPr>
              <w:keepNext/>
              <w:rPr>
                <w:noProof w:val="0"/>
              </w:rPr>
            </w:pPr>
          </w:p>
        </w:tc>
      </w:tr>
    </w:tbl>
    <w:p w:rsidR="00476D8B" w:rsidRDefault="00476D8B" w:rsidP="00476D8B"/>
    <w:p w:rsidR="00476D8B" w:rsidRDefault="00476D8B" w:rsidP="00476D8B"/>
    <w:p w:rsidR="00476D8B" w:rsidRDefault="00476D8B" w:rsidP="00476D8B">
      <w:pPr>
        <w:rPr>
          <w:rFonts w:cstheme="minorHAnsi"/>
        </w:rPr>
      </w:pPr>
      <w:r>
        <w:rPr>
          <w:rFonts w:cstheme="minorHAnsi"/>
          <w:u w:val="single"/>
        </w:rPr>
        <w:lastRenderedPageBreak/>
        <w:t>Additional guidance</w:t>
      </w:r>
      <w:r>
        <w:rPr>
          <w:rFonts w:cstheme="minorHAnsi"/>
        </w:rPr>
        <w:t>:</w:t>
      </w:r>
    </w:p>
    <w:p w:rsidR="00476D8B" w:rsidRDefault="00476D8B" w:rsidP="00476D8B">
      <w:pPr>
        <w:rPr>
          <w:rFonts w:cstheme="minorHAnsi"/>
          <w:i/>
        </w:rPr>
      </w:pPr>
      <w:r>
        <w:rPr>
          <w:rFonts w:cstheme="minorHAnsi"/>
          <w:i/>
        </w:rPr>
        <w:t>Full articulation requirement:</w:t>
      </w:r>
    </w:p>
    <w:p w:rsidR="00476D8B" w:rsidRDefault="00476D8B" w:rsidP="00476D8B">
      <w:pPr>
        <w:pStyle w:val="ListParagraph"/>
        <w:numPr>
          <w:ilvl w:val="0"/>
          <w:numId w:val="37"/>
        </w:numPr>
        <w:spacing w:after="200" w:line="276" w:lineRule="auto"/>
        <w:ind w:left="426" w:hanging="426"/>
        <w:rPr>
          <w:rFonts w:cstheme="minorHAnsi"/>
        </w:rPr>
      </w:pPr>
      <w:r>
        <w:rPr>
          <w:rFonts w:cstheme="minorHAnsi"/>
        </w:rPr>
        <w:t>All credits achieved in the sub-bachelor course must be recognised in the related bachelor degree/s.</w:t>
      </w:r>
    </w:p>
    <w:p w:rsidR="00476D8B" w:rsidRDefault="00476D8B" w:rsidP="00476D8B">
      <w:pPr>
        <w:pStyle w:val="ListParagraph"/>
        <w:numPr>
          <w:ilvl w:val="0"/>
          <w:numId w:val="37"/>
        </w:numPr>
        <w:spacing w:after="200" w:line="276" w:lineRule="auto"/>
        <w:ind w:left="426" w:hanging="426"/>
        <w:rPr>
          <w:rFonts w:cstheme="minorHAnsi"/>
          <w:color w:val="000000"/>
        </w:rPr>
      </w:pPr>
      <w:r>
        <w:rPr>
          <w:rFonts w:cstheme="minorHAnsi"/>
        </w:rPr>
        <w:t>This means that a student completing a one-year diploma should be capable of entering the second year of the bachelor degree, and a student completing a two-year associate degree should be capable of entering the third year of the bachelor degree</w:t>
      </w:r>
      <w:r>
        <w:rPr>
          <w:rFonts w:cstheme="minorHAnsi"/>
          <w:color w:val="000000"/>
        </w:rPr>
        <w:t>.</w:t>
      </w:r>
    </w:p>
    <w:p w:rsidR="00476D8B" w:rsidRDefault="00476D8B" w:rsidP="00476D8B">
      <w:pPr>
        <w:keepNext/>
        <w:shd w:val="clear" w:color="auto" w:fill="FFFFFF"/>
        <w:spacing w:before="100" w:beforeAutospacing="1" w:after="100" w:afterAutospacing="1"/>
        <w:rPr>
          <w:rFonts w:cstheme="minorHAnsi"/>
        </w:rPr>
      </w:pPr>
      <w:r>
        <w:rPr>
          <w:rFonts w:cstheme="minorHAnsi"/>
          <w:i/>
        </w:rPr>
        <w:t>Industry skills needs requirement</w:t>
      </w:r>
      <w:r>
        <w:rPr>
          <w:rFonts w:cstheme="minorHAnsi"/>
        </w:rPr>
        <w:t>:</w:t>
      </w:r>
    </w:p>
    <w:p w:rsidR="00476D8B" w:rsidRDefault="00476D8B" w:rsidP="00476D8B">
      <w:pPr>
        <w:keepNext/>
        <w:shd w:val="clear" w:color="auto" w:fill="FFFFFF"/>
        <w:spacing w:before="100" w:beforeAutospacing="1" w:after="100" w:afterAutospacing="1"/>
        <w:rPr>
          <w:rFonts w:cstheme="minorHAnsi"/>
        </w:rPr>
      </w:pPr>
      <w:r>
        <w:rPr>
          <w:rFonts w:cstheme="minorHAnsi"/>
        </w:rPr>
        <w:t xml:space="preserve">This requirement may be demonstrated by, but not limited to: </w:t>
      </w:r>
    </w:p>
    <w:p w:rsidR="00476D8B" w:rsidRDefault="00476D8B" w:rsidP="00476D8B">
      <w:pPr>
        <w:pStyle w:val="ListParagraph"/>
        <w:numPr>
          <w:ilvl w:val="0"/>
          <w:numId w:val="41"/>
        </w:numPr>
        <w:spacing w:after="200" w:line="276" w:lineRule="auto"/>
        <w:ind w:left="426" w:hanging="426"/>
        <w:rPr>
          <w:rFonts w:cstheme="minorHAnsi"/>
          <w:color w:val="000000"/>
        </w:rPr>
      </w:pPr>
      <w:r>
        <w:rPr>
          <w:rFonts w:cstheme="minorHAnsi"/>
          <w:color w:val="000000"/>
        </w:rPr>
        <w:t>for a professional course, the sub-bachelor course (or the related bachelor course/s into which it articulates) is accredited by the appropriate professional body or association; or</w:t>
      </w:r>
    </w:p>
    <w:p w:rsidR="00476D8B" w:rsidRDefault="00476D8B" w:rsidP="00476D8B">
      <w:pPr>
        <w:pStyle w:val="ListParagraph"/>
        <w:numPr>
          <w:ilvl w:val="0"/>
          <w:numId w:val="41"/>
        </w:numPr>
        <w:spacing w:after="200" w:line="276" w:lineRule="auto"/>
        <w:ind w:left="426" w:hanging="426"/>
        <w:rPr>
          <w:rFonts w:cstheme="minorHAnsi"/>
          <w:color w:val="000000"/>
        </w:rPr>
      </w:pPr>
      <w:r>
        <w:rPr>
          <w:rFonts w:cstheme="minorHAnsi"/>
          <w:color w:val="000000"/>
        </w:rPr>
        <w:t>the course was developed in consultation with industry or employers, with documented evidence of employer support for the course; or</w:t>
      </w:r>
    </w:p>
    <w:p w:rsidR="00476D8B" w:rsidRDefault="00476D8B" w:rsidP="00476D8B">
      <w:pPr>
        <w:pStyle w:val="ListParagraph"/>
        <w:numPr>
          <w:ilvl w:val="0"/>
          <w:numId w:val="41"/>
        </w:numPr>
        <w:spacing w:after="200" w:line="276" w:lineRule="auto"/>
        <w:ind w:left="426" w:hanging="426"/>
        <w:rPr>
          <w:rFonts w:cstheme="minorHAnsi"/>
          <w:color w:val="000000"/>
        </w:rPr>
      </w:pPr>
      <w:r>
        <w:rPr>
          <w:rFonts w:cstheme="minorHAnsi"/>
          <w:color w:val="000000"/>
        </w:rPr>
        <w:t>the course includes substantive work-integrated learning or work experience in industry components; or</w:t>
      </w:r>
    </w:p>
    <w:p w:rsidR="00476D8B" w:rsidRDefault="00476D8B" w:rsidP="00476D8B">
      <w:pPr>
        <w:pStyle w:val="ListParagraph"/>
        <w:numPr>
          <w:ilvl w:val="0"/>
          <w:numId w:val="41"/>
        </w:numPr>
        <w:spacing w:after="200" w:line="276" w:lineRule="auto"/>
        <w:ind w:left="426" w:hanging="426"/>
        <w:rPr>
          <w:rFonts w:cstheme="minorHAnsi"/>
          <w:color w:val="000000"/>
        </w:rPr>
      </w:pPr>
      <w:r>
        <w:rPr>
          <w:rFonts w:cstheme="minorHAnsi"/>
          <w:color w:val="000000"/>
        </w:rPr>
        <w:t>the course has demonstrated excellent employment outcomes for students over time; or</w:t>
      </w:r>
    </w:p>
    <w:p w:rsidR="00476D8B" w:rsidRDefault="00476D8B" w:rsidP="00476D8B">
      <w:pPr>
        <w:pStyle w:val="ListParagraph"/>
        <w:numPr>
          <w:ilvl w:val="0"/>
          <w:numId w:val="41"/>
        </w:numPr>
        <w:spacing w:after="200" w:line="276" w:lineRule="auto"/>
        <w:ind w:left="426" w:hanging="426"/>
        <w:rPr>
          <w:rFonts w:cstheme="minorHAnsi"/>
          <w:color w:val="000000"/>
        </w:rPr>
      </w:pPr>
      <w:r>
        <w:rPr>
          <w:rFonts w:cstheme="minorHAnsi"/>
          <w:color w:val="000000"/>
        </w:rPr>
        <w:t>the course relates to emerging industries or occupations, where related industries are not yet mature but are strategically important for the economy. Initially this will include science, technology, engineering, and mathematics courses; or</w:t>
      </w:r>
    </w:p>
    <w:p w:rsidR="00476D8B" w:rsidRDefault="00476D8B" w:rsidP="00476D8B">
      <w:pPr>
        <w:pStyle w:val="ListParagraph"/>
        <w:numPr>
          <w:ilvl w:val="0"/>
          <w:numId w:val="41"/>
        </w:numPr>
        <w:spacing w:after="200" w:line="276" w:lineRule="auto"/>
        <w:ind w:left="426" w:hanging="426"/>
        <w:rPr>
          <w:rFonts w:cstheme="minorHAnsi"/>
          <w:color w:val="000000"/>
        </w:rPr>
      </w:pPr>
      <w:r>
        <w:rPr>
          <w:rFonts w:cstheme="minorHAnsi"/>
          <w:color w:val="000000"/>
        </w:rPr>
        <w:t>the course addresses local or regional skills shortages.</w:t>
      </w:r>
      <w:r>
        <w:rPr>
          <w:rFonts w:cstheme="minorHAnsi"/>
          <w:color w:val="000000"/>
        </w:rPr>
        <w:br/>
      </w:r>
    </w:p>
    <w:p w:rsidR="00476D8B" w:rsidRPr="00476D8B" w:rsidRDefault="00476D8B" w:rsidP="00476D8B">
      <w:pPr>
        <w:pStyle w:val="Heading2"/>
        <w:numPr>
          <w:ilvl w:val="0"/>
          <w:numId w:val="39"/>
        </w:numPr>
        <w:rPr>
          <w:noProof w:val="0"/>
        </w:rPr>
      </w:pPr>
      <w:r w:rsidRPr="00476D8B">
        <w:rPr>
          <w:noProof w:val="0"/>
        </w:rPr>
        <w:t>Student eligibility</w:t>
      </w:r>
    </w:p>
    <w:p w:rsidR="00476D8B" w:rsidRDefault="00476D8B" w:rsidP="00476D8B">
      <w:pPr>
        <w:rPr>
          <w:rFonts w:cstheme="minorHAnsi"/>
          <w:color w:val="000000"/>
        </w:rPr>
      </w:pPr>
      <w:r>
        <w:rPr>
          <w:rFonts w:cstheme="minorHAnsi"/>
          <w:color w:val="000000"/>
        </w:rPr>
        <w:t xml:space="preserve">Students with prior higher education completions (except enabling courses) will not be eligible for Commonwealth supported places in sub-bachelor courses. </w:t>
      </w:r>
    </w:p>
    <w:p w:rsidR="00476D8B" w:rsidRDefault="00476D8B" w:rsidP="00476D8B">
      <w:pPr>
        <w:pStyle w:val="ListParagraph"/>
        <w:numPr>
          <w:ilvl w:val="0"/>
          <w:numId w:val="41"/>
        </w:numPr>
        <w:spacing w:after="200" w:line="276" w:lineRule="auto"/>
        <w:ind w:left="426"/>
        <w:rPr>
          <w:rFonts w:cstheme="minorHAnsi"/>
          <w:color w:val="000000"/>
        </w:rPr>
      </w:pPr>
      <w:r>
        <w:rPr>
          <w:rFonts w:cstheme="minorHAnsi"/>
          <w:color w:val="000000"/>
        </w:rPr>
        <w:t>The department will assist universities to determine student eligibility. Universities will be able to send a list of prospective student CHESSNs to the department where a script will be run and a report returned to the university.</w:t>
      </w:r>
    </w:p>
    <w:p w:rsidR="00476D8B" w:rsidRPr="00476D8B" w:rsidRDefault="00476D8B" w:rsidP="00476D8B">
      <w:pPr>
        <w:pStyle w:val="ListParagraph"/>
        <w:numPr>
          <w:ilvl w:val="0"/>
          <w:numId w:val="41"/>
        </w:numPr>
        <w:spacing w:after="200" w:line="276" w:lineRule="auto"/>
        <w:ind w:left="426"/>
        <w:rPr>
          <w:rFonts w:cstheme="minorHAnsi"/>
          <w:color w:val="000000"/>
        </w:rPr>
      </w:pPr>
      <w:r w:rsidRPr="00476D8B">
        <w:rPr>
          <w:rFonts w:cstheme="minorHAnsi"/>
          <w:color w:val="000000"/>
        </w:rPr>
        <w:t>Warning messages will prompt on data entry to HEIMS if an incoming student record has any prior completions.</w:t>
      </w:r>
    </w:p>
    <w:p w:rsidR="00476D8B" w:rsidRDefault="00476D8B" w:rsidP="00476D8B">
      <w:pPr>
        <w:pStyle w:val="ListParagraph"/>
        <w:spacing w:after="200" w:line="276" w:lineRule="auto"/>
        <w:rPr>
          <w:rFonts w:cstheme="minorHAnsi"/>
          <w:color w:val="000000"/>
        </w:rPr>
      </w:pPr>
    </w:p>
    <w:p w:rsidR="00476D8B" w:rsidRPr="00476D8B" w:rsidRDefault="00476D8B" w:rsidP="00476D8B">
      <w:pPr>
        <w:pStyle w:val="Heading2"/>
        <w:numPr>
          <w:ilvl w:val="0"/>
          <w:numId w:val="39"/>
        </w:numPr>
        <w:rPr>
          <w:noProof w:val="0"/>
        </w:rPr>
      </w:pPr>
      <w:r w:rsidRPr="00476D8B">
        <w:rPr>
          <w:noProof w:val="0"/>
        </w:rPr>
        <w:t>Process for course approval</w:t>
      </w:r>
    </w:p>
    <w:p w:rsidR="00476D8B" w:rsidRDefault="00476D8B" w:rsidP="00476D8B">
      <w:pPr>
        <w:rPr>
          <w:rFonts w:cstheme="minorHAnsi"/>
        </w:rPr>
      </w:pPr>
      <w:r>
        <w:rPr>
          <w:rFonts w:cstheme="minorHAnsi"/>
        </w:rPr>
        <w:t>Feedback is sought on the annual process for approval of sub-bachelor courses. An outline of the draft process is provided below.</w:t>
      </w:r>
    </w:p>
    <w:p w:rsidR="00476D8B" w:rsidRDefault="00476D8B" w:rsidP="00476D8B">
      <w:pPr>
        <w:pStyle w:val="ListParagraph"/>
        <w:numPr>
          <w:ilvl w:val="0"/>
          <w:numId w:val="41"/>
        </w:numPr>
        <w:spacing w:after="200" w:line="276" w:lineRule="auto"/>
        <w:ind w:left="426" w:hanging="426"/>
        <w:rPr>
          <w:rFonts w:cstheme="minorHAnsi"/>
          <w:color w:val="000000"/>
        </w:rPr>
      </w:pPr>
      <w:r>
        <w:rPr>
          <w:rFonts w:cstheme="minorHAnsi"/>
          <w:color w:val="000000"/>
        </w:rPr>
        <w:t>Once the requirements are finalised, the Minister or his delegate will write to providers requesting a list of courses (including Course Code) that meet the eligibility requirements and which institutions wish to have approved. Institutions will also be asked to provide estimates of student load for each course in the list.</w:t>
      </w:r>
    </w:p>
    <w:p w:rsidR="00476D8B" w:rsidRDefault="00476D8B" w:rsidP="00476D8B">
      <w:pPr>
        <w:pStyle w:val="ListParagraph"/>
        <w:numPr>
          <w:ilvl w:val="0"/>
          <w:numId w:val="41"/>
        </w:numPr>
        <w:spacing w:after="200" w:line="276" w:lineRule="auto"/>
        <w:ind w:left="426" w:hanging="426"/>
        <w:rPr>
          <w:rFonts w:cstheme="minorHAnsi"/>
          <w:color w:val="000000"/>
        </w:rPr>
      </w:pPr>
      <w:r>
        <w:rPr>
          <w:rFonts w:cstheme="minorHAnsi"/>
          <w:color w:val="000000"/>
        </w:rPr>
        <w:t>The request will include a standard template (see proposed template attached) for providing information on course eligibility and guidance on the level of detail required to establish eligibility.</w:t>
      </w:r>
    </w:p>
    <w:p w:rsidR="00476D8B" w:rsidRDefault="00476D8B" w:rsidP="00476D8B">
      <w:pPr>
        <w:pStyle w:val="ListParagraph"/>
        <w:numPr>
          <w:ilvl w:val="0"/>
          <w:numId w:val="41"/>
        </w:numPr>
        <w:spacing w:after="200" w:line="276" w:lineRule="auto"/>
        <w:ind w:left="426" w:hanging="426"/>
        <w:rPr>
          <w:rFonts w:cstheme="minorHAnsi"/>
          <w:color w:val="000000"/>
        </w:rPr>
      </w:pPr>
      <w:r>
        <w:rPr>
          <w:rFonts w:cstheme="minorHAnsi"/>
          <w:color w:val="000000"/>
        </w:rPr>
        <w:t>The department will assess submissions against the requirements and request further information where required, before advising the Minister of the outcomes of the assessment.</w:t>
      </w:r>
    </w:p>
    <w:p w:rsidR="00476D8B" w:rsidRDefault="00476D8B" w:rsidP="00476D8B">
      <w:r>
        <w:rPr>
          <w:rFonts w:cstheme="minorHAnsi"/>
          <w:color w:val="000000"/>
        </w:rPr>
        <w:lastRenderedPageBreak/>
        <w:t xml:space="preserve">Once the Minister or his delegate makes a decision on which courses are eligible, a list would be published and a legislative instrument would be made setting out the eligible courses at each university. The Bill before the Parliament provides for the Minister to make such an instrument under the definition of </w:t>
      </w:r>
      <w:r>
        <w:rPr>
          <w:rFonts w:cstheme="minorHAnsi"/>
          <w:i/>
          <w:color w:val="000000"/>
        </w:rPr>
        <w:t>Approved Sub-Bachelor Course</w:t>
      </w:r>
      <w:r>
        <w:rPr>
          <w:rFonts w:cstheme="minorHAnsi"/>
          <w:color w:val="000000"/>
        </w:rPr>
        <w:t xml:space="preserve"> in Schedule 1.</w:t>
      </w:r>
    </w:p>
    <w:p w:rsidR="00476D8B" w:rsidRPr="00B97D39" w:rsidRDefault="00476D8B" w:rsidP="00B97D39">
      <w:pPr>
        <w:pStyle w:val="ListParagraph"/>
        <w:spacing w:after="200" w:line="276" w:lineRule="auto"/>
        <w:rPr>
          <w:rFonts w:cstheme="minorHAnsi"/>
          <w:color w:val="000000"/>
        </w:rPr>
      </w:pPr>
    </w:p>
    <w:p w:rsidR="00B97D39" w:rsidRPr="00B97D39" w:rsidRDefault="00476D8B" w:rsidP="00B97D39">
      <w:pPr>
        <w:pStyle w:val="Heading2"/>
        <w:numPr>
          <w:ilvl w:val="0"/>
          <w:numId w:val="39"/>
        </w:numPr>
        <w:rPr>
          <w:noProof w:val="0"/>
        </w:rPr>
      </w:pPr>
      <w:r w:rsidRPr="00B97D39">
        <w:rPr>
          <w:noProof w:val="0"/>
        </w:rPr>
        <w:t>Timing</w:t>
      </w:r>
    </w:p>
    <w:p w:rsidR="00476D8B" w:rsidRPr="00B97D39" w:rsidRDefault="00476D8B" w:rsidP="00B97D39">
      <w:pPr>
        <w:pStyle w:val="ListParagraph"/>
        <w:numPr>
          <w:ilvl w:val="0"/>
          <w:numId w:val="46"/>
        </w:numPr>
        <w:spacing w:after="200" w:line="276" w:lineRule="auto"/>
        <w:rPr>
          <w:rFonts w:cstheme="minorHAnsi"/>
          <w:color w:val="000000"/>
        </w:rPr>
      </w:pPr>
      <w:r w:rsidRPr="00B97D39">
        <w:rPr>
          <w:rFonts w:cstheme="minorHAnsi"/>
          <w:color w:val="000000"/>
        </w:rPr>
        <w:t xml:space="preserve">For 2018 it is proposed that </w:t>
      </w:r>
      <w:r w:rsidR="00707575">
        <w:rPr>
          <w:rFonts w:cstheme="minorHAnsi"/>
          <w:color w:val="000000"/>
        </w:rPr>
        <w:t xml:space="preserve">course approval be finalised in </w:t>
      </w:r>
      <w:r w:rsidRPr="00B97D39">
        <w:rPr>
          <w:rFonts w:cstheme="minorHAnsi"/>
          <w:color w:val="000000"/>
        </w:rPr>
        <w:t>November so as to allow institutions to reflect enrolment estimates in load estimates provided to the department.</w:t>
      </w:r>
    </w:p>
    <w:p w:rsidR="00476D8B" w:rsidRDefault="00476D8B" w:rsidP="00B97D39">
      <w:pPr>
        <w:pStyle w:val="ListParagraph"/>
        <w:keepNext/>
        <w:numPr>
          <w:ilvl w:val="0"/>
          <w:numId w:val="41"/>
        </w:numPr>
        <w:spacing w:after="200" w:line="276" w:lineRule="auto"/>
        <w:ind w:left="426" w:hanging="426"/>
        <w:rPr>
          <w:rFonts w:cstheme="minorHAnsi"/>
          <w:color w:val="000000"/>
        </w:rPr>
      </w:pPr>
      <w:r>
        <w:rPr>
          <w:rFonts w:cstheme="minorHAnsi"/>
          <w:color w:val="000000"/>
        </w:rPr>
        <w:t>To allow for universities to reflect changes in estimate updates in April and October each year, it is then proposed that institutions are invited to apply for further course approvals in the following periods of each year:</w:t>
      </w:r>
    </w:p>
    <w:p w:rsidR="00476D8B" w:rsidRDefault="00476D8B" w:rsidP="00B97D39">
      <w:pPr>
        <w:pStyle w:val="ListParagraph"/>
        <w:keepNext/>
        <w:numPr>
          <w:ilvl w:val="1"/>
          <w:numId w:val="41"/>
        </w:numPr>
        <w:spacing w:after="200" w:line="276" w:lineRule="auto"/>
        <w:rPr>
          <w:rFonts w:cstheme="minorHAnsi"/>
          <w:color w:val="000000"/>
        </w:rPr>
      </w:pPr>
      <w:r>
        <w:rPr>
          <w:rFonts w:cstheme="minorHAnsi"/>
          <w:color w:val="000000"/>
        </w:rPr>
        <w:t>1 February to 15 March, and</w:t>
      </w:r>
    </w:p>
    <w:p w:rsidR="00476D8B" w:rsidRDefault="00476D8B" w:rsidP="00B97D39">
      <w:pPr>
        <w:pStyle w:val="ListParagraph"/>
        <w:numPr>
          <w:ilvl w:val="1"/>
          <w:numId w:val="41"/>
        </w:numPr>
        <w:spacing w:after="200" w:line="276" w:lineRule="auto"/>
        <w:rPr>
          <w:rFonts w:cstheme="minorHAnsi"/>
          <w:color w:val="000000"/>
        </w:rPr>
      </w:pPr>
      <w:r>
        <w:rPr>
          <w:rFonts w:cstheme="minorHAnsi"/>
          <w:color w:val="000000"/>
        </w:rPr>
        <w:t>1 August to 15 September.</w:t>
      </w:r>
      <w:r>
        <w:rPr>
          <w:rFonts w:cstheme="minorHAnsi"/>
          <w:color w:val="000000"/>
        </w:rPr>
        <w:br/>
      </w:r>
    </w:p>
    <w:p w:rsidR="00476D8B" w:rsidRPr="00B97D39" w:rsidRDefault="00476D8B" w:rsidP="00B97D39">
      <w:pPr>
        <w:pStyle w:val="Heading2"/>
        <w:numPr>
          <w:ilvl w:val="0"/>
          <w:numId w:val="39"/>
        </w:numPr>
        <w:rPr>
          <w:noProof w:val="0"/>
        </w:rPr>
      </w:pPr>
      <w:r w:rsidRPr="00B97D39">
        <w:rPr>
          <w:noProof w:val="0"/>
        </w:rPr>
        <w:t>Post-implementation monitoring arrangements</w:t>
      </w:r>
    </w:p>
    <w:p w:rsidR="00476D8B" w:rsidRDefault="00476D8B" w:rsidP="00476D8B">
      <w:pPr>
        <w:rPr>
          <w:rFonts w:cstheme="minorHAnsi"/>
          <w:color w:val="000000"/>
        </w:rPr>
      </w:pPr>
      <w:r>
        <w:rPr>
          <w:rFonts w:cstheme="minorHAnsi"/>
          <w:color w:val="000000"/>
        </w:rPr>
        <w:t xml:space="preserve">Funding agreements will include an indicative number of EFTSL in sub-bachelor courses at each university, based on estimates provided as part of the approval process for each course outlined above. Estimates of load for each year will act as a reference point for monitoring the policy in operation. </w:t>
      </w:r>
    </w:p>
    <w:p w:rsidR="00476D8B" w:rsidRDefault="00476D8B" w:rsidP="00476D8B">
      <w:pPr>
        <w:rPr>
          <w:rFonts w:cstheme="minorHAnsi"/>
          <w:color w:val="000000"/>
        </w:rPr>
      </w:pPr>
      <w:r>
        <w:rPr>
          <w:rFonts w:cstheme="minorHAnsi"/>
          <w:color w:val="000000"/>
        </w:rPr>
        <w:t xml:space="preserve">If actual enrolments in a course materially exceed the notional load cap the department would undertake further investigation. In addition, if there are significant shifts in projected aggregate load estimates, the department may request these estimates broken down by each approved course to determine the reason for such shifts. </w:t>
      </w:r>
    </w:p>
    <w:p w:rsidR="00476D8B" w:rsidRDefault="00476D8B" w:rsidP="00476D8B">
      <w:pPr>
        <w:rPr>
          <w:rFonts w:cstheme="minorHAnsi"/>
          <w:color w:val="000000"/>
        </w:rPr>
      </w:pPr>
      <w:r>
        <w:rPr>
          <w:rFonts w:cstheme="minorHAnsi"/>
          <w:color w:val="000000"/>
        </w:rPr>
        <w:t>In addition, the Government will monitor articulation rates. It is expected that a substantial proportion of students undertaking approved sub-bachelor courses would articulate through the nominated pathways.</w:t>
      </w:r>
    </w:p>
    <w:p w:rsidR="00476D8B" w:rsidRDefault="00476D8B" w:rsidP="00476D8B">
      <w:pPr>
        <w:rPr>
          <w:rFonts w:cstheme="minorHAnsi"/>
          <w:color w:val="000000"/>
        </w:rPr>
      </w:pPr>
      <w:r>
        <w:rPr>
          <w:rFonts w:cstheme="minorHAnsi"/>
          <w:color w:val="000000"/>
        </w:rPr>
        <w:t>If it is found that the operation of the policy is not consistent with the policy intent, there may be changes to policy or compliance action. For example, if courses are</w:t>
      </w:r>
      <w:r w:rsidR="00B97D39">
        <w:rPr>
          <w:rFonts w:cstheme="minorHAnsi"/>
          <w:color w:val="000000"/>
        </w:rPr>
        <w:t>:</w:t>
      </w:r>
    </w:p>
    <w:p w:rsidR="00476D8B" w:rsidRDefault="00476D8B" w:rsidP="00476D8B">
      <w:pPr>
        <w:pStyle w:val="ListParagraph"/>
        <w:numPr>
          <w:ilvl w:val="0"/>
          <w:numId w:val="42"/>
        </w:numPr>
        <w:spacing w:after="200" w:line="276" w:lineRule="auto"/>
        <w:rPr>
          <w:rFonts w:cstheme="minorHAnsi"/>
          <w:color w:val="000000"/>
        </w:rPr>
      </w:pPr>
      <w:r>
        <w:rPr>
          <w:rFonts w:cstheme="minorHAnsi"/>
          <w:color w:val="000000"/>
        </w:rPr>
        <w:t>substantially replacing courses offered by vocational education and training providers, or</w:t>
      </w:r>
    </w:p>
    <w:p w:rsidR="00476D8B" w:rsidRDefault="00476D8B" w:rsidP="00476D8B">
      <w:pPr>
        <w:pStyle w:val="ListParagraph"/>
        <w:numPr>
          <w:ilvl w:val="0"/>
          <w:numId w:val="42"/>
        </w:numPr>
        <w:spacing w:after="200" w:line="276" w:lineRule="auto"/>
        <w:rPr>
          <w:rFonts w:cstheme="minorHAnsi"/>
          <w:color w:val="000000"/>
        </w:rPr>
      </w:pPr>
      <w:r>
        <w:rPr>
          <w:rFonts w:cstheme="minorHAnsi"/>
          <w:color w:val="000000"/>
        </w:rPr>
        <w:t>not supporting articulation for students who continue studying at bachelor level</w:t>
      </w:r>
    </w:p>
    <w:p w:rsidR="00476D8B" w:rsidRDefault="00476D8B" w:rsidP="00476D8B">
      <w:pPr>
        <w:rPr>
          <w:rFonts w:cstheme="minorHAnsi"/>
          <w:color w:val="000000"/>
        </w:rPr>
      </w:pPr>
      <w:r>
        <w:rPr>
          <w:rFonts w:cstheme="minorHAnsi"/>
          <w:color w:val="000000"/>
        </w:rPr>
        <w:t xml:space="preserve">Then the Minister may withdraw approval and/or seek to amend the guidelines. </w:t>
      </w:r>
    </w:p>
    <w:p w:rsidR="00B97D39" w:rsidRDefault="00B97D39" w:rsidP="00B97D39">
      <w:pPr>
        <w:pStyle w:val="Heading3"/>
      </w:pPr>
    </w:p>
    <w:p w:rsidR="00B97D39" w:rsidRDefault="00B97D39" w:rsidP="00B97D39">
      <w:pPr>
        <w:pStyle w:val="Heading1"/>
        <w:rPr>
          <w:noProof w:val="0"/>
        </w:rPr>
      </w:pPr>
      <w:r>
        <w:rPr>
          <w:noProof w:val="0"/>
        </w:rPr>
        <w:t>Next steps</w:t>
      </w:r>
    </w:p>
    <w:p w:rsidR="00B97D39" w:rsidRDefault="00B97D39" w:rsidP="00B97D39">
      <w:pPr>
        <w:rPr>
          <w:rFonts w:cstheme="minorHAnsi"/>
        </w:rPr>
      </w:pPr>
      <w:r>
        <w:rPr>
          <w:rFonts w:cstheme="minorHAnsi"/>
        </w:rPr>
        <w:t xml:space="preserve">The department would appreciate your feedback on the issues above by </w:t>
      </w:r>
      <w:r w:rsidR="00707575">
        <w:rPr>
          <w:rFonts w:cstheme="minorHAnsi"/>
        </w:rPr>
        <w:t>COB</w:t>
      </w:r>
      <w:r>
        <w:rPr>
          <w:rFonts w:cstheme="minorHAnsi"/>
        </w:rPr>
        <w:t xml:space="preserve"> </w:t>
      </w:r>
      <w:r w:rsidR="00707575">
        <w:rPr>
          <w:rFonts w:cstheme="minorHAnsi"/>
        </w:rPr>
        <w:t>1</w:t>
      </w:r>
      <w:bookmarkStart w:id="0" w:name="_GoBack"/>
      <w:bookmarkEnd w:id="0"/>
      <w:r>
        <w:rPr>
          <w:rFonts w:cstheme="minorHAnsi"/>
        </w:rPr>
        <w:t xml:space="preserve">3 October 2017. Please send feedback to </w:t>
      </w:r>
      <w:hyperlink r:id="rId11" w:history="1">
        <w:r>
          <w:rPr>
            <w:rStyle w:val="Hyperlink"/>
            <w:rFonts w:cstheme="minorHAnsi"/>
          </w:rPr>
          <w:t>HEReform@education.gov.au</w:t>
        </w:r>
      </w:hyperlink>
      <w:r>
        <w:rPr>
          <w:rFonts w:cstheme="minorHAnsi"/>
        </w:rPr>
        <w:t xml:space="preserve">. </w:t>
      </w:r>
    </w:p>
    <w:p w:rsidR="00476D8B" w:rsidRDefault="00476D8B" w:rsidP="00476D8B"/>
    <w:p w:rsidR="00476D8B" w:rsidRDefault="00476D8B" w:rsidP="00476D8B"/>
    <w:p w:rsidR="00476D8B" w:rsidRDefault="00476D8B" w:rsidP="00476D8B"/>
    <w:p w:rsidR="00476D8B" w:rsidRDefault="00476D8B" w:rsidP="00476D8B"/>
    <w:p w:rsidR="00476D8B" w:rsidRPr="00476D8B" w:rsidRDefault="00476D8B" w:rsidP="00476D8B"/>
    <w:p w:rsidR="00B97D39" w:rsidRPr="00B97D39" w:rsidRDefault="00B97D39" w:rsidP="00B97D39">
      <w:pPr>
        <w:pStyle w:val="Heading1"/>
        <w:jc w:val="right"/>
        <w:rPr>
          <w:noProof w:val="0"/>
          <w:sz w:val="28"/>
          <w:szCs w:val="26"/>
        </w:rPr>
      </w:pPr>
      <w:r w:rsidRPr="00B97D39">
        <w:rPr>
          <w:noProof w:val="0"/>
          <w:sz w:val="28"/>
          <w:szCs w:val="26"/>
        </w:rPr>
        <w:lastRenderedPageBreak/>
        <w:t>Attachment: Proposed course information template</w:t>
      </w:r>
    </w:p>
    <w:p w:rsidR="00B97D39" w:rsidRDefault="00B97D39" w:rsidP="00B97D39">
      <w:pPr>
        <w:shd w:val="clear" w:color="auto" w:fill="CFC1D5"/>
        <w:spacing w:before="240"/>
        <w:jc w:val="center"/>
        <w:rPr>
          <w:rFonts w:ascii="Arial" w:hAnsi="Arial" w:cs="Arial"/>
          <w:b/>
          <w:bCs/>
        </w:rPr>
      </w:pPr>
      <w:r>
        <w:rPr>
          <w:rFonts w:ascii="Arial" w:hAnsi="Arial" w:cs="Arial"/>
          <w:b/>
          <w:bCs/>
        </w:rPr>
        <w:t xml:space="preserve">APPLICATION FOR </w:t>
      </w:r>
      <w:r>
        <w:rPr>
          <w:rFonts w:ascii="Arial" w:hAnsi="Arial" w:cs="Arial"/>
          <w:b/>
          <w:bCs/>
          <w:caps/>
        </w:rPr>
        <w:t>demand driven sub-bachelor courses from 2018</w:t>
      </w:r>
    </w:p>
    <w:p w:rsidR="00B97D39" w:rsidRDefault="00B97D39" w:rsidP="00B97D39">
      <w:pPr>
        <w:spacing w:before="60"/>
        <w:ind w:left="454"/>
        <w:rPr>
          <w:rFonts w:ascii="Arial" w:hAnsi="Arial" w:cs="Arial"/>
          <w:i/>
          <w:sz w:val="20"/>
          <w:szCs w:val="20"/>
        </w:rPr>
      </w:pPr>
      <w:r>
        <w:rPr>
          <w:rFonts w:ascii="Arial" w:hAnsi="Arial" w:cs="Arial"/>
          <w:i/>
          <w:sz w:val="20"/>
          <w:szCs w:val="20"/>
        </w:rPr>
        <w:t xml:space="preserve">This form must be completed for each sub-bachelor course in which the institution wishes to offer demand driven Commonwealth supported places. The application should be completed and certified by an appropriately authorised person. </w:t>
      </w:r>
    </w:p>
    <w:p w:rsidR="00B97D39" w:rsidRDefault="00B97D39" w:rsidP="00B97D39">
      <w:pPr>
        <w:spacing w:before="60"/>
        <w:ind w:left="454"/>
        <w:rPr>
          <w:rFonts w:ascii="Arial" w:hAnsi="Arial" w:cs="Arial"/>
          <w:i/>
          <w:sz w:val="20"/>
          <w:szCs w:val="20"/>
        </w:rPr>
      </w:pPr>
      <w:r>
        <w:rPr>
          <w:rFonts w:ascii="Arial" w:hAnsi="Arial" w:cs="Arial"/>
          <w:i/>
          <w:sz w:val="20"/>
          <w:szCs w:val="20"/>
        </w:rPr>
        <w:t>Please return completed form to [</w:t>
      </w:r>
      <w:r>
        <w:rPr>
          <w:rFonts w:ascii="Arial" w:hAnsi="Arial" w:cs="Arial"/>
          <w:i/>
          <w:sz w:val="20"/>
          <w:szCs w:val="20"/>
          <w:highlight w:val="yellow"/>
        </w:rPr>
        <w:t>email address</w:t>
      </w:r>
      <w:r>
        <w:rPr>
          <w:rFonts w:ascii="Arial" w:hAnsi="Arial" w:cs="Arial"/>
          <w:i/>
          <w:sz w:val="20"/>
          <w:szCs w:val="20"/>
        </w:rPr>
        <w:t>] by [</w:t>
      </w:r>
      <w:r>
        <w:rPr>
          <w:rFonts w:ascii="Arial" w:hAnsi="Arial" w:cs="Arial"/>
          <w:i/>
          <w:sz w:val="20"/>
          <w:szCs w:val="20"/>
          <w:highlight w:val="yellow"/>
        </w:rPr>
        <w:t>date</w:t>
      </w:r>
      <w:r>
        <w:rPr>
          <w:rFonts w:ascii="Arial" w:hAnsi="Arial" w:cs="Arial"/>
          <w:i/>
          <w:sz w:val="20"/>
          <w:szCs w:val="20"/>
        </w:rPr>
        <w:t>].</w:t>
      </w:r>
    </w:p>
    <w:p w:rsidR="00B97D39" w:rsidRDefault="00B97D39" w:rsidP="00B97D39">
      <w:pPr>
        <w:shd w:val="clear" w:color="auto" w:fill="CFC1D5"/>
        <w:spacing w:before="240"/>
        <w:rPr>
          <w:rFonts w:ascii="Arial" w:hAnsi="Arial" w:cs="Arial"/>
          <w:b/>
        </w:rPr>
      </w:pPr>
      <w:r>
        <w:rPr>
          <w:rFonts w:ascii="Arial" w:hAnsi="Arial" w:cs="Arial"/>
          <w:b/>
        </w:rPr>
        <w:t xml:space="preserve">Course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5E5" w:themeFill="background1" w:themeFillTint="33"/>
        <w:tblLook w:val="01E0" w:firstRow="1" w:lastRow="1" w:firstColumn="1" w:lastColumn="1" w:noHBand="0" w:noVBand="0"/>
      </w:tblPr>
      <w:tblGrid>
        <w:gridCol w:w="2235"/>
        <w:gridCol w:w="1815"/>
        <w:gridCol w:w="1198"/>
        <w:gridCol w:w="916"/>
        <w:gridCol w:w="3697"/>
      </w:tblGrid>
      <w:tr w:rsidR="00B97D39" w:rsidTr="00B97D39">
        <w:tc>
          <w:tcPr>
            <w:tcW w:w="2268"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rsidR="00B97D39" w:rsidRDefault="00B97D39">
            <w:pPr>
              <w:spacing w:before="120" w:line="276" w:lineRule="auto"/>
              <w:rPr>
                <w:rFonts w:ascii="Arial" w:hAnsi="Arial" w:cs="Arial"/>
                <w:b/>
                <w:bCs/>
                <w:sz w:val="20"/>
                <w:szCs w:val="20"/>
              </w:rPr>
            </w:pPr>
            <w:r>
              <w:rPr>
                <w:rFonts w:ascii="Arial" w:hAnsi="Arial" w:cs="Arial"/>
                <w:b/>
                <w:bCs/>
                <w:sz w:val="20"/>
                <w:szCs w:val="20"/>
              </w:rPr>
              <w:t>University name:</w:t>
            </w:r>
          </w:p>
        </w:tc>
        <w:tc>
          <w:tcPr>
            <w:tcW w:w="7797" w:type="dxa"/>
            <w:gridSpan w:val="4"/>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rsidR="00B97D39" w:rsidRDefault="00B97D39">
            <w:pPr>
              <w:spacing w:before="120" w:line="276" w:lineRule="auto"/>
              <w:rPr>
                <w:rFonts w:ascii="Arial" w:hAnsi="Arial" w:cs="Arial"/>
                <w:b/>
                <w:bCs/>
                <w:sz w:val="20"/>
                <w:szCs w:val="20"/>
              </w:rPr>
            </w:pPr>
            <w:r>
              <w:rPr>
                <w:rFonts w:ascii="Arial" w:hAnsi="Arial" w:cs="Arial"/>
                <w:sz w:val="20"/>
                <w:szCs w:val="20"/>
                <w:shd w:val="clear" w:color="auto" w:fill="E6E6E6"/>
              </w:rPr>
              <w:fldChar w:fldCharType="begin">
                <w:ffData>
                  <w:name w:val=""/>
                  <w:enabled/>
                  <w:calcOnExit w:val="0"/>
                  <w:textInput>
                    <w:default w:val="                                                                                                    "/>
                    <w:format w:val="TITLE CASE"/>
                  </w:textInput>
                </w:ffData>
              </w:fldChar>
            </w:r>
            <w:r>
              <w:rPr>
                <w:rFonts w:ascii="Arial" w:hAnsi="Arial" w:cs="Arial"/>
                <w:sz w:val="20"/>
                <w:szCs w:val="20"/>
                <w:shd w:val="clear" w:color="auto" w:fill="E6E6E6"/>
              </w:rPr>
              <w:instrText xml:space="preserve"> FORMTEXT </w:instrText>
            </w:r>
            <w:r>
              <w:rPr>
                <w:rFonts w:ascii="Arial" w:hAnsi="Arial" w:cs="Arial"/>
                <w:sz w:val="20"/>
                <w:szCs w:val="20"/>
                <w:shd w:val="clear" w:color="auto" w:fill="E6E6E6"/>
              </w:rPr>
            </w:r>
            <w:r>
              <w:rPr>
                <w:rFonts w:ascii="Arial" w:hAnsi="Arial" w:cs="Arial"/>
                <w:sz w:val="20"/>
                <w:szCs w:val="20"/>
                <w:shd w:val="clear" w:color="auto" w:fill="E6E6E6"/>
              </w:rPr>
              <w:fldChar w:fldCharType="separate"/>
            </w:r>
            <w:r>
              <w:rPr>
                <w:rFonts w:ascii="Arial" w:hAnsi="Arial" w:cs="Arial"/>
                <w:sz w:val="20"/>
                <w:szCs w:val="20"/>
                <w:shd w:val="clear" w:color="auto" w:fill="E6E6E6"/>
              </w:rPr>
              <w:t xml:space="preserve">                                                                                                    </w:t>
            </w:r>
            <w:r>
              <w:rPr>
                <w:rFonts w:ascii="Arial" w:hAnsi="Arial" w:cs="Arial"/>
                <w:sz w:val="20"/>
                <w:szCs w:val="20"/>
                <w:shd w:val="clear" w:color="auto" w:fill="E6E6E6"/>
              </w:rPr>
              <w:fldChar w:fldCharType="end"/>
            </w:r>
          </w:p>
        </w:tc>
      </w:tr>
      <w:tr w:rsidR="00B97D39" w:rsidTr="00B97D39">
        <w:tc>
          <w:tcPr>
            <w:tcW w:w="2268"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rsidR="00B97D39" w:rsidRDefault="00B97D39">
            <w:pPr>
              <w:spacing w:before="120" w:line="276" w:lineRule="auto"/>
              <w:rPr>
                <w:rFonts w:ascii="Arial" w:hAnsi="Arial" w:cs="Arial"/>
                <w:b/>
                <w:bCs/>
                <w:sz w:val="20"/>
                <w:szCs w:val="20"/>
              </w:rPr>
            </w:pPr>
            <w:r>
              <w:rPr>
                <w:rFonts w:ascii="Arial" w:hAnsi="Arial" w:cs="Arial"/>
                <w:b/>
                <w:sz w:val="20"/>
                <w:szCs w:val="20"/>
              </w:rPr>
              <w:t>Course name:</w:t>
            </w:r>
          </w:p>
        </w:tc>
        <w:tc>
          <w:tcPr>
            <w:tcW w:w="7797" w:type="dxa"/>
            <w:gridSpan w:val="4"/>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rsidR="00B97D39" w:rsidRDefault="00B97D39">
            <w:pPr>
              <w:spacing w:before="120" w:line="276" w:lineRule="auto"/>
              <w:rPr>
                <w:rFonts w:ascii="Arial" w:hAnsi="Arial" w:cs="Arial"/>
                <w:b/>
                <w:bCs/>
                <w:sz w:val="20"/>
                <w:szCs w:val="20"/>
              </w:rPr>
            </w:pPr>
            <w:r>
              <w:rPr>
                <w:rFonts w:ascii="Arial" w:hAnsi="Arial" w:cs="Arial"/>
                <w:sz w:val="20"/>
                <w:szCs w:val="20"/>
              </w:rPr>
              <w:fldChar w:fldCharType="begin">
                <w:ffData>
                  <w:name w:val=""/>
                  <w:enabled/>
                  <w:calcOnExit w:val="0"/>
                  <w:textInput>
                    <w:default w:val="                                                                                                    "/>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r w:rsidR="00B97D39" w:rsidTr="00B97D39">
        <w:tc>
          <w:tcPr>
            <w:tcW w:w="2268"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rsidR="00B97D39" w:rsidRDefault="00B97D39">
            <w:pPr>
              <w:spacing w:before="120"/>
              <w:rPr>
                <w:rFonts w:ascii="Arial" w:hAnsi="Arial" w:cs="Arial"/>
                <w:b/>
                <w:sz w:val="20"/>
                <w:szCs w:val="20"/>
              </w:rPr>
            </w:pPr>
            <w:r>
              <w:rPr>
                <w:rFonts w:ascii="Arial" w:hAnsi="Arial" w:cs="Arial"/>
                <w:b/>
                <w:sz w:val="20"/>
                <w:szCs w:val="20"/>
              </w:rPr>
              <w:t xml:space="preserve">Course Code: </w:t>
            </w:r>
          </w:p>
          <w:p w:rsidR="00B97D39" w:rsidRDefault="00B97D39">
            <w:pPr>
              <w:spacing w:line="276" w:lineRule="auto"/>
              <w:rPr>
                <w:rFonts w:ascii="Arial" w:hAnsi="Arial" w:cs="Arial"/>
                <w:b/>
                <w:sz w:val="20"/>
                <w:szCs w:val="20"/>
              </w:rPr>
            </w:pPr>
            <w:r>
              <w:rPr>
                <w:rFonts w:ascii="Arial" w:hAnsi="Arial" w:cs="Arial"/>
                <w:sz w:val="18"/>
                <w:szCs w:val="18"/>
              </w:rPr>
              <w:t>(HEIMS item E307)</w:t>
            </w:r>
          </w:p>
        </w:tc>
        <w:tc>
          <w:tcPr>
            <w:tcW w:w="1860"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rsidR="00B97D39" w:rsidRDefault="00B97D39">
            <w:pPr>
              <w:spacing w:before="120" w:line="276" w:lineRule="auto"/>
              <w:rPr>
                <w:rFonts w:ascii="Arial" w:hAnsi="Arial" w:cs="Arial"/>
                <w:sz w:val="20"/>
                <w:szCs w:val="20"/>
              </w:rPr>
            </w:pPr>
            <w:r>
              <w:rPr>
                <w:rFonts w:ascii="Arial" w:hAnsi="Arial" w:cs="Arial"/>
                <w:sz w:val="20"/>
                <w:szCs w:val="20"/>
              </w:rPr>
              <w:fldChar w:fldCharType="begin">
                <w:ffData>
                  <w:name w:val=""/>
                  <w:enabled/>
                  <w:calcOnExit w:val="0"/>
                  <w:textInput>
                    <w:default w:val="                                                                                                    "/>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c>
          <w:tcPr>
            <w:tcW w:w="2143" w:type="dxa"/>
            <w:gridSpan w:val="2"/>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rsidR="00B97D39" w:rsidRDefault="00B97D39">
            <w:pPr>
              <w:spacing w:before="120"/>
              <w:rPr>
                <w:rFonts w:ascii="Arial" w:hAnsi="Arial" w:cs="Arial"/>
                <w:b/>
                <w:sz w:val="20"/>
                <w:szCs w:val="20"/>
              </w:rPr>
            </w:pPr>
            <w:r>
              <w:rPr>
                <w:rFonts w:ascii="Arial" w:hAnsi="Arial" w:cs="Arial"/>
                <w:b/>
                <w:sz w:val="20"/>
                <w:szCs w:val="20"/>
              </w:rPr>
              <w:t>Course of Study Type Code 310:</w:t>
            </w:r>
          </w:p>
          <w:p w:rsidR="00B97D39" w:rsidRDefault="00B97D39">
            <w:pPr>
              <w:spacing w:line="276" w:lineRule="auto"/>
              <w:rPr>
                <w:rFonts w:ascii="Arial" w:hAnsi="Arial" w:cs="Arial"/>
                <w:b/>
                <w:sz w:val="18"/>
                <w:szCs w:val="18"/>
              </w:rPr>
            </w:pPr>
            <w:r>
              <w:rPr>
                <w:rFonts w:ascii="Arial" w:hAnsi="Arial" w:cs="Arial"/>
                <w:b/>
                <w:sz w:val="18"/>
                <w:szCs w:val="18"/>
              </w:rPr>
              <w:t>(</w:t>
            </w:r>
            <w:r>
              <w:rPr>
                <w:rFonts w:ascii="Arial" w:hAnsi="Arial" w:cs="Arial"/>
                <w:sz w:val="18"/>
                <w:szCs w:val="18"/>
              </w:rPr>
              <w:t>HEIMS item</w:t>
            </w:r>
            <w:r>
              <w:rPr>
                <w:rFonts w:ascii="Arial" w:hAnsi="Arial" w:cs="Arial"/>
                <w:b/>
                <w:sz w:val="18"/>
                <w:szCs w:val="18"/>
              </w:rPr>
              <w:t xml:space="preserve"> </w:t>
            </w:r>
            <w:r>
              <w:rPr>
                <w:rFonts w:ascii="Arial" w:hAnsi="Arial" w:cs="Arial"/>
                <w:sz w:val="18"/>
                <w:szCs w:val="18"/>
              </w:rPr>
              <w:t>310)</w:t>
            </w:r>
          </w:p>
        </w:tc>
        <w:tc>
          <w:tcPr>
            <w:tcW w:w="3794"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rsidR="00B97D39" w:rsidRDefault="00B97D39">
            <w:pPr>
              <w:spacing w:before="120" w:line="276" w:lineRule="auto"/>
              <w:rPr>
                <w:rFonts w:ascii="Arial" w:hAnsi="Arial" w:cs="Arial"/>
                <w:sz w:val="20"/>
                <w:szCs w:val="20"/>
              </w:rPr>
            </w:pPr>
            <w:r>
              <w:rPr>
                <w:rFonts w:ascii="Arial" w:hAnsi="Arial" w:cs="Arial"/>
                <w:sz w:val="20"/>
                <w:szCs w:val="20"/>
              </w:rPr>
              <w:fldChar w:fldCharType="begin">
                <w:ffData>
                  <w:name w:val=""/>
                  <w:enabled/>
                  <w:calcOnExit w:val="0"/>
                  <w:textInput>
                    <w:default w:val="                                                                                                    "/>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r w:rsidR="00B97D39" w:rsidTr="00B97D39">
        <w:tc>
          <w:tcPr>
            <w:tcW w:w="2268"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rsidR="00B97D39" w:rsidRDefault="00B97D39">
            <w:pPr>
              <w:spacing w:before="120" w:after="200" w:line="276" w:lineRule="auto"/>
              <w:rPr>
                <w:rFonts w:ascii="Arial" w:hAnsi="Arial" w:cs="Arial"/>
                <w:b/>
                <w:sz w:val="20"/>
                <w:szCs w:val="20"/>
              </w:rPr>
            </w:pPr>
            <w:r>
              <w:rPr>
                <w:rFonts w:ascii="Arial" w:hAnsi="Arial" w:cs="Arial"/>
                <w:b/>
                <w:sz w:val="20"/>
                <w:szCs w:val="20"/>
              </w:rPr>
              <w:t>Course type:</w:t>
            </w:r>
          </w:p>
        </w:tc>
        <w:tc>
          <w:tcPr>
            <w:tcW w:w="3073" w:type="dxa"/>
            <w:gridSpan w:val="2"/>
            <w:tcBorders>
              <w:top w:val="single" w:sz="4" w:space="0" w:color="auto"/>
              <w:left w:val="single" w:sz="4" w:space="0" w:color="auto"/>
              <w:bottom w:val="single" w:sz="4" w:space="0" w:color="auto"/>
              <w:right w:val="nil"/>
            </w:tcBorders>
            <w:shd w:val="clear" w:color="auto" w:fill="E5E5E5" w:themeFill="background1" w:themeFillTint="33"/>
            <w:hideMark/>
          </w:tcPr>
          <w:p w:rsidR="00B97D39" w:rsidRDefault="00B97D39">
            <w:pPr>
              <w:tabs>
                <w:tab w:val="left" w:pos="965"/>
              </w:tabs>
              <w:spacing w:before="12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Diploma</w:t>
            </w:r>
          </w:p>
          <w:p w:rsidR="00B97D39" w:rsidRDefault="00B97D39">
            <w:pPr>
              <w:tabs>
                <w:tab w:val="left" w:pos="965"/>
              </w:tabs>
              <w:spacing w:before="120" w:line="276" w:lineRule="auto"/>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Advanced Diploma</w:t>
            </w:r>
          </w:p>
        </w:tc>
        <w:tc>
          <w:tcPr>
            <w:tcW w:w="4724" w:type="dxa"/>
            <w:gridSpan w:val="2"/>
            <w:tcBorders>
              <w:top w:val="single" w:sz="4" w:space="0" w:color="auto"/>
              <w:left w:val="nil"/>
              <w:bottom w:val="single" w:sz="4" w:space="0" w:color="auto"/>
              <w:right w:val="single" w:sz="4" w:space="0" w:color="auto"/>
            </w:tcBorders>
            <w:shd w:val="clear" w:color="auto" w:fill="E5E5E5" w:themeFill="background1" w:themeFillTint="33"/>
            <w:hideMark/>
          </w:tcPr>
          <w:p w:rsidR="00B97D39" w:rsidRDefault="00B97D39">
            <w:pPr>
              <w:tabs>
                <w:tab w:val="left" w:pos="965"/>
              </w:tabs>
              <w:spacing w:before="120" w:line="276" w:lineRule="auto"/>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Associate Degree</w:t>
            </w:r>
          </w:p>
        </w:tc>
      </w:tr>
    </w:tbl>
    <w:p w:rsidR="00B97D39" w:rsidRDefault="00B97D39" w:rsidP="00B97D39">
      <w:pPr>
        <w:shd w:val="clear" w:color="auto" w:fill="CFC1D5"/>
        <w:spacing w:before="240"/>
        <w:rPr>
          <w:rFonts w:ascii="Arial" w:hAnsi="Arial" w:cs="Arial"/>
          <w:b/>
        </w:rPr>
      </w:pPr>
      <w:r>
        <w:rPr>
          <w:rFonts w:ascii="Arial" w:hAnsi="Arial" w:cs="Arial"/>
          <w:b/>
        </w:rPr>
        <w:t>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5E5" w:themeFill="background1" w:themeFillTint="33"/>
        <w:tblLook w:val="01E0" w:firstRow="1" w:lastRow="1" w:firstColumn="1" w:lastColumn="1" w:noHBand="0" w:noVBand="0"/>
      </w:tblPr>
      <w:tblGrid>
        <w:gridCol w:w="1966"/>
        <w:gridCol w:w="1768"/>
        <w:gridCol w:w="1315"/>
        <w:gridCol w:w="4812"/>
      </w:tblGrid>
      <w:tr w:rsidR="00B97D39" w:rsidTr="00B97D39">
        <w:tc>
          <w:tcPr>
            <w:tcW w:w="1985" w:type="dxa"/>
            <w:shd w:val="clear" w:color="auto" w:fill="E5E5E5" w:themeFill="background1" w:themeFillTint="33"/>
            <w:hideMark/>
          </w:tcPr>
          <w:p w:rsidR="00B97D39" w:rsidRDefault="00B97D39">
            <w:pPr>
              <w:spacing w:before="120" w:line="276" w:lineRule="auto"/>
              <w:rPr>
                <w:rFonts w:ascii="Arial" w:hAnsi="Arial" w:cs="Arial"/>
                <w:b/>
                <w:sz w:val="20"/>
                <w:szCs w:val="20"/>
              </w:rPr>
            </w:pPr>
            <w:r>
              <w:rPr>
                <w:rFonts w:ascii="Arial" w:hAnsi="Arial" w:cs="Arial"/>
                <w:b/>
                <w:sz w:val="20"/>
                <w:szCs w:val="20"/>
              </w:rPr>
              <w:t>Contact for this application:</w:t>
            </w:r>
          </w:p>
        </w:tc>
        <w:tc>
          <w:tcPr>
            <w:tcW w:w="8080" w:type="dxa"/>
            <w:gridSpan w:val="3"/>
            <w:shd w:val="clear" w:color="auto" w:fill="E5E5E5" w:themeFill="background1" w:themeFillTint="33"/>
            <w:hideMark/>
          </w:tcPr>
          <w:p w:rsidR="00B97D39" w:rsidRDefault="00B97D39">
            <w:pPr>
              <w:spacing w:before="120" w:line="276" w:lineRule="auto"/>
              <w:rPr>
                <w:rFonts w:ascii="Arial" w:hAnsi="Arial" w:cs="Arial"/>
                <w:sz w:val="20"/>
                <w:szCs w:val="20"/>
              </w:rPr>
            </w:pPr>
            <w:r>
              <w:rPr>
                <w:rFonts w:ascii="Arial" w:hAnsi="Arial" w:cs="Arial"/>
                <w:sz w:val="20"/>
                <w:szCs w:val="20"/>
              </w:rPr>
              <w:fldChar w:fldCharType="begin">
                <w:ffData>
                  <w:name w:val=""/>
                  <w:enabled/>
                  <w:calcOnExit w:val="0"/>
                  <w:textInput>
                    <w:default w:val="                                                                                                    "/>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r w:rsidR="00B97D39" w:rsidTr="00B97D39">
        <w:tc>
          <w:tcPr>
            <w:tcW w:w="1985" w:type="dxa"/>
            <w:shd w:val="clear" w:color="auto" w:fill="E5E5E5" w:themeFill="background1" w:themeFillTint="33"/>
            <w:hideMark/>
          </w:tcPr>
          <w:p w:rsidR="00B97D39" w:rsidRDefault="00B97D39">
            <w:pPr>
              <w:spacing w:before="120" w:line="276" w:lineRule="auto"/>
              <w:rPr>
                <w:rFonts w:ascii="Arial" w:hAnsi="Arial" w:cs="Arial"/>
                <w:b/>
                <w:sz w:val="20"/>
                <w:szCs w:val="20"/>
              </w:rPr>
            </w:pPr>
            <w:r>
              <w:rPr>
                <w:rFonts w:ascii="Arial" w:hAnsi="Arial" w:cs="Arial"/>
                <w:b/>
                <w:sz w:val="20"/>
                <w:szCs w:val="20"/>
              </w:rPr>
              <w:t>Position:</w:t>
            </w:r>
          </w:p>
        </w:tc>
        <w:tc>
          <w:tcPr>
            <w:tcW w:w="8080" w:type="dxa"/>
            <w:gridSpan w:val="3"/>
            <w:shd w:val="clear" w:color="auto" w:fill="E5E5E5" w:themeFill="background1" w:themeFillTint="33"/>
            <w:hideMark/>
          </w:tcPr>
          <w:p w:rsidR="00B97D39" w:rsidRDefault="00B97D39">
            <w:pPr>
              <w:spacing w:before="120" w:line="276" w:lineRule="auto"/>
              <w:rPr>
                <w:rFonts w:ascii="Arial" w:hAnsi="Arial" w:cs="Arial"/>
                <w:sz w:val="20"/>
                <w:szCs w:val="20"/>
              </w:rPr>
            </w:pPr>
            <w:r>
              <w:rPr>
                <w:rFonts w:ascii="Arial" w:hAnsi="Arial" w:cs="Arial"/>
                <w:sz w:val="20"/>
                <w:szCs w:val="20"/>
              </w:rPr>
              <w:fldChar w:fldCharType="begin">
                <w:ffData>
                  <w:name w:val=""/>
                  <w:enabled/>
                  <w:calcOnExit w:val="0"/>
                  <w:textInput>
                    <w:default w:val="                                                                                                    "/>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r w:rsidR="00B97D39" w:rsidTr="00B97D39">
        <w:tc>
          <w:tcPr>
            <w:tcW w:w="1985" w:type="dxa"/>
            <w:shd w:val="clear" w:color="auto" w:fill="E5E5E5" w:themeFill="background1" w:themeFillTint="33"/>
            <w:hideMark/>
          </w:tcPr>
          <w:p w:rsidR="00B97D39" w:rsidRDefault="00B97D39">
            <w:pPr>
              <w:spacing w:before="120" w:line="276" w:lineRule="auto"/>
              <w:rPr>
                <w:rFonts w:ascii="Arial" w:hAnsi="Arial" w:cs="Arial"/>
                <w:b/>
                <w:sz w:val="20"/>
                <w:szCs w:val="20"/>
              </w:rPr>
            </w:pPr>
            <w:r>
              <w:rPr>
                <w:rFonts w:ascii="Arial" w:hAnsi="Arial" w:cs="Arial"/>
                <w:b/>
                <w:sz w:val="20"/>
                <w:szCs w:val="20"/>
              </w:rPr>
              <w:t>Phone:</w:t>
            </w:r>
          </w:p>
        </w:tc>
        <w:tc>
          <w:tcPr>
            <w:tcW w:w="1798" w:type="dxa"/>
            <w:shd w:val="clear" w:color="auto" w:fill="E5E5E5" w:themeFill="background1" w:themeFillTint="33"/>
            <w:hideMark/>
          </w:tcPr>
          <w:p w:rsidR="00B97D39" w:rsidRDefault="00B97D39">
            <w:pPr>
              <w:spacing w:before="120" w:line="276" w:lineRule="auto"/>
              <w:rPr>
                <w:rFonts w:ascii="Arial" w:hAnsi="Arial" w:cs="Arial"/>
                <w:sz w:val="20"/>
                <w:szCs w:val="20"/>
              </w:rPr>
            </w:pPr>
            <w:r>
              <w:rPr>
                <w:rFonts w:ascii="Arial" w:hAnsi="Arial" w:cs="Arial"/>
                <w:sz w:val="20"/>
                <w:szCs w:val="20"/>
              </w:rPr>
              <w:fldChar w:fldCharType="begin">
                <w:ffData>
                  <w:name w:val="Text16"/>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330" w:type="dxa"/>
            <w:shd w:val="clear" w:color="auto" w:fill="E5E5E5" w:themeFill="background1" w:themeFillTint="33"/>
            <w:hideMark/>
          </w:tcPr>
          <w:p w:rsidR="00B97D39" w:rsidRDefault="00B97D39">
            <w:pPr>
              <w:spacing w:before="120" w:line="276" w:lineRule="auto"/>
              <w:rPr>
                <w:rFonts w:ascii="Arial" w:hAnsi="Arial" w:cs="Arial"/>
                <w:sz w:val="20"/>
                <w:szCs w:val="20"/>
              </w:rPr>
            </w:pPr>
            <w:r>
              <w:rPr>
                <w:rFonts w:ascii="Arial" w:hAnsi="Arial" w:cs="Arial"/>
                <w:b/>
                <w:sz w:val="20"/>
                <w:szCs w:val="20"/>
              </w:rPr>
              <w:t>Email:</w:t>
            </w:r>
          </w:p>
        </w:tc>
        <w:tc>
          <w:tcPr>
            <w:tcW w:w="4952" w:type="dxa"/>
            <w:shd w:val="clear" w:color="auto" w:fill="E5E5E5" w:themeFill="background1" w:themeFillTint="33"/>
            <w:hideMark/>
          </w:tcPr>
          <w:p w:rsidR="00B97D39" w:rsidRDefault="00B97D39">
            <w:pPr>
              <w:spacing w:before="120" w:line="276" w:lineRule="auto"/>
              <w:rPr>
                <w:rFonts w:ascii="Arial" w:hAnsi="Arial" w:cs="Arial"/>
                <w:sz w:val="20"/>
                <w:szCs w:val="20"/>
              </w:rPr>
            </w:pPr>
            <w:r>
              <w:rPr>
                <w:rFonts w:ascii="Arial" w:hAnsi="Arial" w:cs="Arial"/>
                <w:sz w:val="20"/>
                <w:szCs w:val="20"/>
              </w:rPr>
              <w:fldChar w:fldCharType="begin">
                <w:ffData>
                  <w:name w:val=""/>
                  <w:enabled/>
                  <w:calcOnExit w:val="0"/>
                  <w:textInput>
                    <w:default w:val="                                              "/>
                    <w:format w:val="LOW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bl>
    <w:p w:rsidR="00B97D39" w:rsidRDefault="00B97D39" w:rsidP="00B97D39">
      <w:pPr>
        <w:spacing w:before="60"/>
        <w:ind w:left="454"/>
        <w:rPr>
          <w:rFonts w:ascii="Arial" w:hAnsi="Arial" w:cs="Arial"/>
          <w:i/>
          <w:sz w:val="20"/>
          <w:szCs w:val="20"/>
        </w:rPr>
      </w:pPr>
      <w:r>
        <w:rPr>
          <w:rFonts w:ascii="Arial" w:hAnsi="Arial" w:cs="Arial"/>
          <w:i/>
          <w:sz w:val="20"/>
          <w:szCs w:val="20"/>
        </w:rPr>
        <w:t>Please nominate a contact person to provide further information if required about the course during the assessment period.</w:t>
      </w:r>
    </w:p>
    <w:p w:rsidR="00B97D39" w:rsidRDefault="00B97D39" w:rsidP="00B97D39">
      <w:pPr>
        <w:shd w:val="clear" w:color="auto" w:fill="CFC1D5"/>
        <w:spacing w:before="240"/>
        <w:rPr>
          <w:rFonts w:ascii="Arial" w:hAnsi="Arial" w:cs="Arial"/>
          <w:b/>
        </w:rPr>
      </w:pPr>
      <w:r>
        <w:rPr>
          <w:rFonts w:ascii="Arial" w:hAnsi="Arial" w:cs="Arial"/>
          <w:b/>
        </w:rPr>
        <w:t>Course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5E5" w:themeFill="background1" w:themeFillTint="33"/>
        <w:tblLook w:val="01E0" w:firstRow="1" w:lastRow="1" w:firstColumn="1" w:lastColumn="1" w:noHBand="0" w:noVBand="0"/>
      </w:tblPr>
      <w:tblGrid>
        <w:gridCol w:w="1929"/>
        <w:gridCol w:w="7932"/>
      </w:tblGrid>
      <w:tr w:rsidR="00B97D39" w:rsidTr="00B97D39">
        <w:tc>
          <w:tcPr>
            <w:tcW w:w="1954" w:type="dxa"/>
            <w:shd w:val="clear" w:color="auto" w:fill="E5E5E5" w:themeFill="background1" w:themeFillTint="33"/>
            <w:hideMark/>
          </w:tcPr>
          <w:p w:rsidR="00B97D39" w:rsidRDefault="00B97D39">
            <w:pPr>
              <w:spacing w:before="120" w:line="276" w:lineRule="auto"/>
              <w:rPr>
                <w:rFonts w:ascii="Arial" w:hAnsi="Arial" w:cs="Arial"/>
                <w:b/>
                <w:bCs/>
                <w:sz w:val="20"/>
                <w:szCs w:val="20"/>
              </w:rPr>
            </w:pPr>
            <w:r>
              <w:rPr>
                <w:rFonts w:ascii="Arial" w:hAnsi="Arial" w:cs="Arial"/>
                <w:b/>
                <w:sz w:val="20"/>
                <w:szCs w:val="20"/>
              </w:rPr>
              <w:t>Length of course:</w:t>
            </w:r>
          </w:p>
        </w:tc>
        <w:bookmarkStart w:id="1" w:name="Text5"/>
        <w:tc>
          <w:tcPr>
            <w:tcW w:w="8111" w:type="dxa"/>
            <w:shd w:val="clear" w:color="auto" w:fill="E5E5E5" w:themeFill="background1" w:themeFillTint="33"/>
            <w:hideMark/>
          </w:tcPr>
          <w:p w:rsidR="00B97D39" w:rsidRDefault="00B97D39">
            <w:pPr>
              <w:spacing w:before="120" w:line="276" w:lineRule="auto"/>
              <w:rPr>
                <w:rFonts w:ascii="Arial" w:hAnsi="Arial" w:cs="Arial"/>
                <w:b/>
                <w:bCs/>
                <w:sz w:val="20"/>
                <w:szCs w:val="20"/>
              </w:rPr>
            </w:pPr>
            <w:r>
              <w:fldChar w:fldCharType="begin">
                <w:ffData>
                  <w:name w:val="Text5"/>
                  <w:enabled/>
                  <w:calcOnExit w:val="0"/>
                  <w:textInput>
                    <w:default w:val="     "/>
                  </w:textInput>
                </w:ffData>
              </w:fldChar>
            </w:r>
            <w:r>
              <w:rPr>
                <w:rFonts w:ascii="Arial" w:hAnsi="Arial" w:cs="Arial"/>
                <w:sz w:val="20"/>
                <w:szCs w:val="20"/>
              </w:rPr>
              <w:instrText xml:space="preserve"> FORMTEXT </w:instrText>
            </w:r>
            <w:r>
              <w:fldChar w:fldCharType="separate"/>
            </w:r>
            <w:r>
              <w:rPr>
                <w:rFonts w:ascii="Arial" w:hAnsi="Arial" w:cs="Arial"/>
                <w:sz w:val="20"/>
                <w:szCs w:val="20"/>
              </w:rPr>
              <w:t xml:space="preserve">     </w:t>
            </w:r>
            <w:r>
              <w:fldChar w:fldCharType="end"/>
            </w:r>
            <w:bookmarkEnd w:id="1"/>
            <w:r>
              <w:rPr>
                <w:rFonts w:ascii="Arial" w:hAnsi="Arial" w:cs="Arial"/>
                <w:sz w:val="20"/>
                <w:szCs w:val="20"/>
              </w:rPr>
              <w:t xml:space="preserve"> EFTSL</w:t>
            </w:r>
          </w:p>
        </w:tc>
      </w:tr>
      <w:tr w:rsidR="00B97D39" w:rsidTr="00B97D39">
        <w:tc>
          <w:tcPr>
            <w:tcW w:w="10065" w:type="dxa"/>
            <w:gridSpan w:val="2"/>
            <w:shd w:val="clear" w:color="auto" w:fill="E5E5E5" w:themeFill="background1" w:themeFillTint="33"/>
            <w:hideMark/>
          </w:tcPr>
          <w:p w:rsidR="00B97D39" w:rsidRDefault="00B97D39">
            <w:pPr>
              <w:spacing w:before="60" w:line="276" w:lineRule="auto"/>
              <w:ind w:left="454"/>
              <w:rPr>
                <w:rFonts w:ascii="Arial" w:hAnsi="Arial" w:cs="Arial"/>
                <w:i/>
                <w:sz w:val="20"/>
                <w:szCs w:val="20"/>
              </w:rPr>
            </w:pPr>
            <w:r>
              <w:rPr>
                <w:rFonts w:ascii="Arial" w:hAnsi="Arial" w:cs="Arial"/>
                <w:b/>
                <w:sz w:val="20"/>
                <w:szCs w:val="20"/>
              </w:rPr>
              <w:t xml:space="preserve">Description of the course: </w:t>
            </w:r>
            <w:r>
              <w:rPr>
                <w:rFonts w:ascii="Arial" w:hAnsi="Arial" w:cs="Arial"/>
                <w:i/>
                <w:sz w:val="20"/>
                <w:szCs w:val="20"/>
              </w:rPr>
              <w:t xml:space="preserve">Please summarise any educational prerequisites for entry to the course, the basic aims of the course and the broad areas the student must gain competency in to complete the course </w:t>
            </w:r>
          </w:p>
        </w:tc>
      </w:tr>
      <w:tr w:rsidR="00B97D39" w:rsidTr="00B97D39">
        <w:tc>
          <w:tcPr>
            <w:tcW w:w="10065" w:type="dxa"/>
            <w:gridSpan w:val="2"/>
            <w:shd w:val="clear" w:color="auto" w:fill="E5E5E5" w:themeFill="background1" w:themeFillTint="33"/>
            <w:hideMark/>
          </w:tcPr>
          <w:p w:rsidR="00B97D39" w:rsidRDefault="00B97D39">
            <w:pPr>
              <w:spacing w:before="120" w:line="276" w:lineRule="auto"/>
              <w:rPr>
                <w:rFonts w:ascii="Arial" w:hAnsi="Arial" w:cs="Arial"/>
                <w:b/>
                <w:bCs/>
                <w:sz w:val="20"/>
                <w:szCs w:val="20"/>
              </w:rPr>
            </w:pPr>
            <w:r>
              <w:rPr>
                <w:rFonts w:ascii="Arial" w:hAnsi="Arial" w:cs="Arial"/>
                <w:sz w:val="20"/>
                <w:szCs w:val="20"/>
              </w:rPr>
              <w:fldChar w:fldCharType="begin">
                <w:ffData>
                  <w:name w:val=""/>
                  <w:enabled/>
                  <w:calcOnExit w:val="0"/>
                  <w:textInput>
                    <w:default w:val="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bl>
    <w:tbl>
      <w:tblPr>
        <w:tblpPr w:leftFromText="180" w:rightFromText="180" w:bottomFromText="200" w:vertAnchor="text" w:horzAnchor="margin" w:tblpX="108"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97D39" w:rsidTr="00B97D39">
        <w:tc>
          <w:tcPr>
            <w:tcW w:w="10031"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rPr>
                <w:rFonts w:ascii="Arial" w:hAnsi="Arial" w:cs="Arial"/>
                <w:b/>
                <w:sz w:val="20"/>
                <w:szCs w:val="20"/>
              </w:rPr>
            </w:pPr>
            <w:r>
              <w:rPr>
                <w:rFonts w:ascii="Arial" w:hAnsi="Arial" w:cs="Arial"/>
                <w:b/>
                <w:sz w:val="20"/>
                <w:szCs w:val="20"/>
              </w:rPr>
              <w:t>Confirm that you have documented that the course meets the following criteria and that you can produce the documentation if requested:</w:t>
            </w:r>
          </w:p>
        </w:tc>
      </w:tr>
      <w:tr w:rsidR="00B97D39" w:rsidTr="00B97D39">
        <w:tc>
          <w:tcPr>
            <w:tcW w:w="10031"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The course fully articulates into related bachelor course/s</w:t>
            </w:r>
          </w:p>
        </w:tc>
      </w:tr>
      <w:tr w:rsidR="00B97D39" w:rsidTr="00B97D39">
        <w:tc>
          <w:tcPr>
            <w:tcW w:w="10031"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ind w:left="743" w:hanging="743"/>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The course </w:t>
            </w:r>
            <w:r>
              <w:t xml:space="preserve"> </w:t>
            </w:r>
            <w:r>
              <w:rPr>
                <w:rFonts w:ascii="Arial" w:hAnsi="Arial" w:cs="Arial"/>
                <w:sz w:val="20"/>
                <w:szCs w:val="20"/>
              </w:rPr>
              <w:t>meets current industry skills needs or identified future skills needs</w:t>
            </w:r>
          </w:p>
        </w:tc>
      </w:tr>
    </w:tbl>
    <w:p w:rsidR="00B97D39" w:rsidRDefault="00B97D39" w:rsidP="00B97D39">
      <w:pPr>
        <w:rPr>
          <w:rFonts w:ascii="Arial" w:hAnsi="Arial" w:cs="Arial"/>
          <w:i/>
          <w:sz w:val="20"/>
          <w:szCs w:val="20"/>
        </w:rPr>
      </w:pPr>
    </w:p>
    <w:p w:rsidR="00B97D39" w:rsidRDefault="00B97D39" w:rsidP="00B97D39">
      <w:pPr>
        <w:shd w:val="clear" w:color="auto" w:fill="CFC1D5"/>
        <w:spacing w:before="240"/>
        <w:rPr>
          <w:rFonts w:ascii="Arial" w:hAnsi="Arial" w:cs="Arial"/>
          <w:i/>
          <w:sz w:val="20"/>
          <w:szCs w:val="20"/>
        </w:rPr>
      </w:pPr>
    </w:p>
    <w:p w:rsidR="00B97D39" w:rsidRDefault="00B97D39" w:rsidP="00B97D39">
      <w:pPr>
        <w:shd w:val="clear" w:color="auto" w:fill="CFC1D5"/>
        <w:spacing w:before="240"/>
        <w:rPr>
          <w:rFonts w:ascii="Arial" w:hAnsi="Arial" w:cs="Arial"/>
          <w:b/>
        </w:rPr>
      </w:pPr>
      <w:r>
        <w:rPr>
          <w:rFonts w:ascii="Arial" w:hAnsi="Arial" w:cs="Arial"/>
          <w:i/>
          <w:sz w:val="20"/>
          <w:szCs w:val="20"/>
        </w:rPr>
        <w:br w:type="page"/>
      </w:r>
      <w:r>
        <w:rPr>
          <w:rFonts w:ascii="Arial" w:hAnsi="Arial" w:cs="Arial"/>
          <w:b/>
        </w:rPr>
        <w:t>Estimated full time student load (EFTSL) for the course</w:t>
      </w:r>
    </w:p>
    <w:tbl>
      <w:tblPr>
        <w:tblStyle w:val="TableGrid"/>
        <w:tblW w:w="0" w:type="auto"/>
        <w:tblLook w:val="04A0" w:firstRow="1" w:lastRow="0" w:firstColumn="1" w:lastColumn="0" w:noHBand="0" w:noVBand="1"/>
      </w:tblPr>
      <w:tblGrid>
        <w:gridCol w:w="1621"/>
        <w:gridCol w:w="1965"/>
        <w:gridCol w:w="2219"/>
        <w:gridCol w:w="2219"/>
        <w:gridCol w:w="1945"/>
      </w:tblGrid>
      <w:tr w:rsidR="00B97D39" w:rsidTr="00B97D39">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46" w:type="dxa"/>
            <w:tcBorders>
              <w:top w:val="single" w:sz="4" w:space="0" w:color="auto"/>
              <w:left w:val="single" w:sz="4" w:space="0" w:color="auto"/>
              <w:bottom w:val="single" w:sz="4" w:space="0" w:color="auto"/>
              <w:right w:val="single" w:sz="4" w:space="0" w:color="auto"/>
            </w:tcBorders>
            <w:hideMark/>
          </w:tcPr>
          <w:p w:rsidR="00B97D39" w:rsidRDefault="00B97D39">
            <w:pPr>
              <w:spacing w:after="0"/>
              <w:rPr>
                <w:rFonts w:ascii="Arial" w:hAnsi="Arial" w:cs="Arial"/>
                <w:sz w:val="20"/>
                <w:szCs w:val="20"/>
                <w:lang w:eastAsia="en-AU"/>
              </w:rPr>
            </w:pPr>
            <w:r>
              <w:rPr>
                <w:rFonts w:ascii="Arial" w:hAnsi="Arial" w:cs="Arial"/>
                <w:b w:val="0"/>
                <w:sz w:val="20"/>
                <w:szCs w:val="20"/>
                <w:lang w:eastAsia="en-AU"/>
              </w:rPr>
              <w:t>Year/s</w:t>
            </w:r>
          </w:p>
        </w:tc>
        <w:tc>
          <w:tcPr>
            <w:tcW w:w="2006" w:type="dxa"/>
            <w:tcBorders>
              <w:top w:val="single" w:sz="4" w:space="0" w:color="auto"/>
              <w:left w:val="single" w:sz="4" w:space="0" w:color="auto"/>
              <w:bottom w:val="single" w:sz="4" w:space="0" w:color="auto"/>
              <w:right w:val="single" w:sz="4" w:space="0" w:color="auto"/>
            </w:tcBorders>
            <w:hideMark/>
          </w:tcPr>
          <w:p w:rsidR="00B97D39" w:rsidRDefault="00B97D39">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AU"/>
              </w:rPr>
            </w:pPr>
            <w:r>
              <w:rPr>
                <w:rFonts w:ascii="Arial" w:hAnsi="Arial" w:cs="Arial"/>
                <w:b w:val="0"/>
                <w:sz w:val="20"/>
                <w:szCs w:val="20"/>
                <w:lang w:eastAsia="en-AU"/>
              </w:rPr>
              <w:t>2018</w:t>
            </w:r>
          </w:p>
        </w:tc>
        <w:tc>
          <w:tcPr>
            <w:tcW w:w="2268" w:type="dxa"/>
            <w:tcBorders>
              <w:top w:val="single" w:sz="4" w:space="0" w:color="auto"/>
              <w:left w:val="single" w:sz="4" w:space="0" w:color="auto"/>
              <w:bottom w:val="single" w:sz="4" w:space="0" w:color="auto"/>
              <w:right w:val="single" w:sz="4" w:space="0" w:color="auto"/>
            </w:tcBorders>
            <w:hideMark/>
          </w:tcPr>
          <w:p w:rsidR="00B97D39" w:rsidRDefault="00B97D39">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AU"/>
              </w:rPr>
            </w:pPr>
            <w:r>
              <w:rPr>
                <w:rFonts w:ascii="Arial" w:hAnsi="Arial" w:cs="Arial"/>
                <w:b w:val="0"/>
                <w:sz w:val="20"/>
                <w:szCs w:val="20"/>
                <w:lang w:eastAsia="en-AU"/>
              </w:rPr>
              <w:t>2019</w:t>
            </w:r>
          </w:p>
        </w:tc>
        <w:tc>
          <w:tcPr>
            <w:tcW w:w="2268" w:type="dxa"/>
            <w:tcBorders>
              <w:top w:val="single" w:sz="4" w:space="0" w:color="auto"/>
              <w:left w:val="single" w:sz="4" w:space="0" w:color="auto"/>
              <w:bottom w:val="single" w:sz="4" w:space="0" w:color="auto"/>
              <w:right w:val="single" w:sz="4" w:space="0" w:color="auto"/>
            </w:tcBorders>
            <w:hideMark/>
          </w:tcPr>
          <w:p w:rsidR="00B97D39" w:rsidRDefault="00B97D39">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AU"/>
              </w:rPr>
            </w:pPr>
            <w:r>
              <w:rPr>
                <w:rFonts w:ascii="Arial" w:hAnsi="Arial" w:cs="Arial"/>
                <w:b w:val="0"/>
                <w:sz w:val="20"/>
                <w:szCs w:val="20"/>
                <w:lang w:eastAsia="en-AU"/>
              </w:rPr>
              <w:t>2020</w:t>
            </w:r>
          </w:p>
        </w:tc>
        <w:tc>
          <w:tcPr>
            <w:tcW w:w="1985" w:type="dxa"/>
            <w:tcBorders>
              <w:top w:val="single" w:sz="4" w:space="0" w:color="auto"/>
              <w:left w:val="single" w:sz="4" w:space="0" w:color="auto"/>
              <w:bottom w:val="single" w:sz="4" w:space="0" w:color="auto"/>
              <w:right w:val="single" w:sz="4" w:space="0" w:color="auto"/>
            </w:tcBorders>
            <w:hideMark/>
          </w:tcPr>
          <w:p w:rsidR="00B97D39" w:rsidRDefault="00B97D39">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AU"/>
              </w:rPr>
            </w:pPr>
            <w:r>
              <w:rPr>
                <w:rFonts w:ascii="Arial" w:hAnsi="Arial" w:cs="Arial"/>
                <w:b w:val="0"/>
                <w:sz w:val="20"/>
                <w:szCs w:val="20"/>
                <w:lang w:eastAsia="en-AU"/>
              </w:rPr>
              <w:t>2021</w:t>
            </w:r>
          </w:p>
        </w:tc>
      </w:tr>
      <w:tr w:rsidR="00B97D39" w:rsidTr="00B97D39">
        <w:trPr>
          <w:trHeight w:val="401"/>
        </w:trPr>
        <w:tc>
          <w:tcPr>
            <w:cnfStyle w:val="001000000000" w:firstRow="0" w:lastRow="0" w:firstColumn="1" w:lastColumn="0" w:oddVBand="0" w:evenVBand="0" w:oddHBand="0" w:evenHBand="0" w:firstRowFirstColumn="0" w:firstRowLastColumn="0" w:lastRowFirstColumn="0" w:lastRowLastColumn="0"/>
            <w:tcW w:w="1646" w:type="dxa"/>
            <w:tcBorders>
              <w:top w:val="single" w:sz="4" w:space="0" w:color="auto"/>
              <w:left w:val="single" w:sz="4" w:space="0" w:color="auto"/>
              <w:bottom w:val="single" w:sz="4" w:space="0" w:color="auto"/>
              <w:right w:val="single" w:sz="4" w:space="0" w:color="auto"/>
            </w:tcBorders>
            <w:hideMark/>
          </w:tcPr>
          <w:p w:rsidR="00B97D39" w:rsidRDefault="00B97D39">
            <w:pPr>
              <w:spacing w:after="0"/>
              <w:rPr>
                <w:rFonts w:ascii="Arial" w:hAnsi="Arial" w:cs="Arial"/>
                <w:b/>
                <w:sz w:val="20"/>
                <w:szCs w:val="20"/>
                <w:lang w:eastAsia="en-AU"/>
              </w:rPr>
            </w:pPr>
            <w:r>
              <w:rPr>
                <w:rFonts w:ascii="Arial" w:hAnsi="Arial" w:cs="Arial"/>
                <w:b/>
                <w:sz w:val="20"/>
                <w:szCs w:val="20"/>
                <w:lang w:eastAsia="en-AU"/>
              </w:rPr>
              <w:t>EFTSL</w:t>
            </w:r>
          </w:p>
        </w:tc>
        <w:tc>
          <w:tcPr>
            <w:tcW w:w="2006" w:type="dxa"/>
            <w:tcBorders>
              <w:top w:val="single" w:sz="4" w:space="0" w:color="auto"/>
              <w:left w:val="single" w:sz="4" w:space="0" w:color="auto"/>
              <w:bottom w:val="single" w:sz="4" w:space="0" w:color="auto"/>
              <w:right w:val="single" w:sz="4" w:space="0" w:color="auto"/>
            </w:tcBorders>
          </w:tcPr>
          <w:p w:rsidR="00B97D39" w:rsidRDefault="00B97D39">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rsidR="00B97D39" w:rsidRDefault="00B97D39">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rsidR="00B97D39" w:rsidRDefault="00B97D39">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p>
        </w:tc>
        <w:tc>
          <w:tcPr>
            <w:tcW w:w="1985" w:type="dxa"/>
            <w:tcBorders>
              <w:top w:val="single" w:sz="4" w:space="0" w:color="auto"/>
              <w:left w:val="single" w:sz="4" w:space="0" w:color="auto"/>
              <w:bottom w:val="single" w:sz="4" w:space="0" w:color="auto"/>
              <w:right w:val="single" w:sz="4" w:space="0" w:color="auto"/>
            </w:tcBorders>
          </w:tcPr>
          <w:p w:rsidR="00B97D39" w:rsidRDefault="00B97D39">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p>
        </w:tc>
      </w:tr>
    </w:tbl>
    <w:p w:rsidR="00B97D39" w:rsidRDefault="00B97D39" w:rsidP="00B97D39">
      <w:pPr>
        <w:spacing w:before="60"/>
        <w:jc w:val="center"/>
        <w:rPr>
          <w:rFonts w:ascii="Arial" w:hAnsi="Arial" w:cs="Arial"/>
        </w:rPr>
      </w:pPr>
    </w:p>
    <w:p w:rsidR="00B97D39" w:rsidRDefault="00B97D39" w:rsidP="00B97D39">
      <w:pPr>
        <w:pBdr>
          <w:top w:val="single" w:sz="4" w:space="1" w:color="auto"/>
          <w:left w:val="single" w:sz="4" w:space="1" w:color="auto"/>
          <w:bottom w:val="single" w:sz="4" w:space="1" w:color="auto"/>
          <w:right w:val="single" w:sz="4" w:space="4" w:color="auto"/>
        </w:pBdr>
        <w:shd w:val="clear" w:color="auto" w:fill="D7D9B7" w:themeFill="accent4" w:themeFillTint="66"/>
        <w:spacing w:before="60"/>
        <w:ind w:left="2160" w:hanging="2160"/>
        <w:rPr>
          <w:rFonts w:ascii="Arial" w:hAnsi="Arial" w:cs="Arial"/>
          <w:i/>
          <w:sz w:val="20"/>
          <w:szCs w:val="20"/>
        </w:rPr>
      </w:pPr>
      <w:r>
        <w:rPr>
          <w:rFonts w:ascii="Arial" w:hAnsi="Arial" w:cs="Arial"/>
          <w:b/>
          <w:bCs/>
        </w:rPr>
        <w:t>CRITERION 1:</w:t>
      </w:r>
      <w:r>
        <w:rPr>
          <w:rFonts w:ascii="Arial" w:hAnsi="Arial" w:cs="Arial"/>
          <w:b/>
          <w:bCs/>
        </w:rPr>
        <w:tab/>
        <w:t>The course fully articulates into a related bachelor degree program(s)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3"/>
      </w:tblGrid>
      <w:tr w:rsidR="00B97D39" w:rsidTr="00B97D39">
        <w:tc>
          <w:tcPr>
            <w:tcW w:w="10207"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rPr>
                <w:rFonts w:ascii="Arial" w:hAnsi="Arial" w:cs="Arial"/>
                <w:b/>
                <w:sz w:val="20"/>
                <w:szCs w:val="20"/>
              </w:rPr>
            </w:pPr>
            <w:r>
              <w:rPr>
                <w:rFonts w:ascii="Arial" w:hAnsi="Arial" w:cs="Arial"/>
                <w:b/>
                <w:sz w:val="20"/>
                <w:szCs w:val="20"/>
              </w:rPr>
              <w:t>Into which bachelor course/s does the course articulate?</w:t>
            </w:r>
          </w:p>
        </w:tc>
      </w:tr>
      <w:tr w:rsidR="00B97D39" w:rsidTr="00B97D39">
        <w:tc>
          <w:tcPr>
            <w:tcW w:w="10207" w:type="dxa"/>
            <w:tcBorders>
              <w:top w:val="single" w:sz="4" w:space="0" w:color="auto"/>
              <w:left w:val="single" w:sz="4" w:space="0" w:color="auto"/>
              <w:bottom w:val="single" w:sz="4" w:space="0" w:color="auto"/>
              <w:right w:val="single" w:sz="4" w:space="0" w:color="auto"/>
            </w:tcBorders>
            <w:hideMark/>
          </w:tcPr>
          <w:p w:rsidR="00B97D39" w:rsidRDefault="00B97D39">
            <w:pPr>
              <w:spacing w:before="120" w:line="276" w:lineRule="auto"/>
              <w:rPr>
                <w:rFonts w:ascii="Arial" w:hAnsi="Arial" w:cs="Arial"/>
                <w:b/>
                <w:bCs/>
                <w:sz w:val="20"/>
                <w:szCs w:val="20"/>
              </w:rPr>
            </w:pPr>
            <w:r>
              <w:rPr>
                <w:rFonts w:ascii="Arial" w:hAnsi="Arial" w:cs="Arial"/>
                <w:sz w:val="20"/>
                <w:szCs w:val="20"/>
              </w:rPr>
              <w:fldChar w:fldCharType="begin">
                <w:ffData>
                  <w:name w:val=""/>
                  <w:enabled/>
                  <w:calcOnExit w:val="0"/>
                  <w:textInput>
                    <w:default w:val="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bl>
    <w:p w:rsidR="00B97D39" w:rsidRDefault="00B97D39" w:rsidP="00B97D39">
      <w:pPr>
        <w:pBdr>
          <w:top w:val="single" w:sz="4" w:space="1" w:color="auto"/>
          <w:left w:val="single" w:sz="4" w:space="4" w:color="auto"/>
          <w:bottom w:val="single" w:sz="4" w:space="1" w:color="auto"/>
          <w:right w:val="single" w:sz="4" w:space="4" w:color="auto"/>
        </w:pBdr>
        <w:shd w:val="clear" w:color="auto" w:fill="D7D9B7" w:themeFill="accent4" w:themeFillTint="66"/>
        <w:spacing w:before="60"/>
        <w:ind w:left="2160" w:hanging="2160"/>
        <w:rPr>
          <w:rFonts w:ascii="Arial" w:hAnsi="Arial" w:cs="Arial"/>
          <w:i/>
          <w:sz w:val="20"/>
          <w:szCs w:val="20"/>
        </w:rPr>
      </w:pPr>
      <w:r>
        <w:rPr>
          <w:rFonts w:ascii="Arial" w:hAnsi="Arial" w:cs="Arial"/>
          <w:b/>
          <w:bCs/>
        </w:rPr>
        <w:t>CRITERION 2:</w:t>
      </w:r>
      <w:r>
        <w:rPr>
          <w:rFonts w:ascii="Arial" w:hAnsi="Arial" w:cs="Arial"/>
          <w:b/>
          <w:bCs/>
        </w:rPr>
        <w:tab/>
        <w:t>The course meets current industry skills needs or identified future skills needs</w:t>
      </w:r>
    </w:p>
    <w:p w:rsidR="00B97D39" w:rsidRDefault="00B97D39" w:rsidP="00B97D39">
      <w:pPr>
        <w:ind w:left="454"/>
        <w:rPr>
          <w:rFonts w:ascii="Arial" w:hAnsi="Arial" w:cs="Arial"/>
          <w:i/>
          <w:sz w:val="20"/>
          <w:szCs w:val="20"/>
        </w:rPr>
      </w:pPr>
      <w:r>
        <w:rPr>
          <w:rFonts w:ascii="Arial" w:hAnsi="Arial" w:cs="Arial"/>
          <w:i/>
          <w:sz w:val="20"/>
          <w:szCs w:val="20"/>
        </w:rPr>
        <w:t>Please select relevant options and provide more detail if requested.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3"/>
      </w:tblGrid>
      <w:tr w:rsidR="00B97D39" w:rsidTr="00B97D39">
        <w:tc>
          <w:tcPr>
            <w:tcW w:w="10207"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 xml:space="preserve">The course addresses a skill shortage or future skill need </w:t>
            </w:r>
            <w:r>
              <w:rPr>
                <w:rFonts w:ascii="Arial" w:hAnsi="Arial" w:cs="Arial"/>
                <w:i/>
                <w:sz w:val="20"/>
                <w:szCs w:val="20"/>
              </w:rPr>
              <w:t>(for example</w:t>
            </w:r>
            <w:r>
              <w:rPr>
                <w:rFonts w:ascii="Arial" w:hAnsi="Arial" w:cs="Arial"/>
                <w:b/>
                <w:sz w:val="20"/>
                <w:szCs w:val="20"/>
              </w:rPr>
              <w:t xml:space="preserve"> </w:t>
            </w:r>
            <w:r>
              <w:rPr>
                <w:rFonts w:ascii="Arial" w:hAnsi="Arial" w:cs="Arial"/>
                <w:i/>
                <w:sz w:val="20"/>
                <w:szCs w:val="20"/>
              </w:rPr>
              <w:t>consultation or collaboration with industry partners)</w:t>
            </w:r>
            <w:r>
              <w:rPr>
                <w:rFonts w:ascii="Arial" w:hAnsi="Arial" w:cs="Arial"/>
                <w:b/>
                <w:sz w:val="20"/>
                <w:szCs w:val="20"/>
              </w:rPr>
              <w:t xml:space="preserve"> </w:t>
            </w:r>
          </w:p>
        </w:tc>
      </w:tr>
      <w:tr w:rsidR="00B97D39" w:rsidTr="00B97D39">
        <w:tc>
          <w:tcPr>
            <w:tcW w:w="10207"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The course is delivered with engagement from industry (</w:t>
            </w:r>
            <w:r>
              <w:rPr>
                <w:rFonts w:ascii="Arial" w:hAnsi="Arial" w:cs="Arial"/>
                <w:i/>
                <w:sz w:val="20"/>
                <w:szCs w:val="20"/>
              </w:rPr>
              <w:t>for example through work-integrated learning or work experience in industry units)</w:t>
            </w:r>
          </w:p>
        </w:tc>
      </w:tr>
      <w:tr w:rsidR="00B97D39" w:rsidTr="00B97D39">
        <w:tc>
          <w:tcPr>
            <w:tcW w:w="10207"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 xml:space="preserve">     The course was developed with engagement with industry</w:t>
            </w:r>
          </w:p>
        </w:tc>
      </w:tr>
      <w:tr w:rsidR="00B97D39" w:rsidTr="00B97D39">
        <w:tc>
          <w:tcPr>
            <w:tcW w:w="10207"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 xml:space="preserve">     The course has been accredited by a professional body</w:t>
            </w:r>
          </w:p>
        </w:tc>
      </w:tr>
      <w:tr w:rsidR="00B97D39" w:rsidTr="00B97D39">
        <w:tc>
          <w:tcPr>
            <w:tcW w:w="10207"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707575">
              <w:rPr>
                <w:rFonts w:ascii="Arial" w:hAnsi="Arial" w:cs="Arial"/>
                <w:sz w:val="20"/>
                <w:szCs w:val="20"/>
              </w:rPr>
            </w:r>
            <w:r w:rsidR="0070757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 xml:space="preserve">     The course of study is in a science, technology, engineering or mathematics field of education</w:t>
            </w:r>
          </w:p>
        </w:tc>
      </w:tr>
      <w:tr w:rsidR="00B97D39" w:rsidTr="00B97D39">
        <w:tc>
          <w:tcPr>
            <w:tcW w:w="10207" w:type="dxa"/>
            <w:tcBorders>
              <w:top w:val="single" w:sz="4" w:space="0" w:color="auto"/>
              <w:left w:val="single" w:sz="4" w:space="0" w:color="auto"/>
              <w:bottom w:val="single" w:sz="4" w:space="0" w:color="auto"/>
              <w:right w:val="single" w:sz="4" w:space="0" w:color="auto"/>
            </w:tcBorders>
            <w:hideMark/>
          </w:tcPr>
          <w:p w:rsidR="00B97D39" w:rsidRDefault="00B97D39">
            <w:pPr>
              <w:spacing w:before="60" w:line="276" w:lineRule="auto"/>
              <w:rPr>
                <w:rFonts w:ascii="Arial" w:hAnsi="Arial" w:cs="Arial"/>
                <w:i/>
                <w:sz w:val="20"/>
                <w:szCs w:val="20"/>
              </w:rPr>
            </w:pPr>
            <w:r>
              <w:rPr>
                <w:rFonts w:ascii="Arial" w:hAnsi="Arial" w:cs="Arial"/>
                <w:i/>
                <w:sz w:val="20"/>
                <w:szCs w:val="20"/>
              </w:rPr>
              <w:t>Please provide any additional information below if requested</w:t>
            </w:r>
          </w:p>
        </w:tc>
      </w:tr>
      <w:tr w:rsidR="00B97D39" w:rsidTr="00B97D39">
        <w:tc>
          <w:tcPr>
            <w:tcW w:w="10207" w:type="dxa"/>
            <w:tcBorders>
              <w:top w:val="single" w:sz="4" w:space="0" w:color="auto"/>
              <w:left w:val="single" w:sz="4" w:space="0" w:color="auto"/>
              <w:bottom w:val="single" w:sz="4" w:space="0" w:color="auto"/>
              <w:right w:val="single" w:sz="4" w:space="0" w:color="auto"/>
            </w:tcBorders>
            <w:hideMark/>
          </w:tcPr>
          <w:p w:rsidR="00B97D39" w:rsidRDefault="00B97D39">
            <w:pPr>
              <w:spacing w:before="120" w:line="276" w:lineRule="auto"/>
              <w:rPr>
                <w:rFonts w:ascii="Arial" w:hAnsi="Arial" w:cs="Arial"/>
                <w:b/>
                <w:bCs/>
                <w:sz w:val="20"/>
                <w:szCs w:val="20"/>
              </w:rPr>
            </w:pPr>
            <w:r>
              <w:rPr>
                <w:rFonts w:ascii="Arial" w:hAnsi="Arial" w:cs="Arial"/>
                <w:sz w:val="20"/>
                <w:szCs w:val="20"/>
              </w:rPr>
              <w:fldChar w:fldCharType="begin">
                <w:ffData>
                  <w:name w:val=""/>
                  <w:enabled/>
                  <w:calcOnExit w:val="0"/>
                  <w:textInput>
                    <w:default w:val="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bl>
    <w:p w:rsidR="00B97D39" w:rsidRDefault="00B97D39" w:rsidP="00B97D39">
      <w:pPr>
        <w:shd w:val="clear" w:color="auto" w:fill="CFC1D5"/>
        <w:spacing w:before="240"/>
        <w:rPr>
          <w:rFonts w:ascii="Arial" w:hAnsi="Arial" w:cs="Arial"/>
          <w:b/>
        </w:rPr>
      </w:pPr>
      <w:r>
        <w:rPr>
          <w:rFonts w:ascii="Arial" w:hAnsi="Arial" w:cs="Arial"/>
          <w:b/>
        </w:rPr>
        <w:t>Certification by an authorised person</w:t>
      </w:r>
    </w:p>
    <w:tbl>
      <w:tblPr>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tblBorders>
        <w:tblLayout w:type="fixed"/>
        <w:tblLook w:val="01E0" w:firstRow="1" w:lastRow="1" w:firstColumn="1" w:lastColumn="1" w:noHBand="0" w:noVBand="0"/>
      </w:tblPr>
      <w:tblGrid>
        <w:gridCol w:w="1419"/>
        <w:gridCol w:w="8646"/>
      </w:tblGrid>
      <w:tr w:rsidR="00B97D39" w:rsidTr="00B97D39">
        <w:trPr>
          <w:trHeight w:val="280"/>
        </w:trPr>
        <w:tc>
          <w:tcPr>
            <w:tcW w:w="10065" w:type="dxa"/>
            <w:gridSpan w:val="2"/>
            <w:tcBorders>
              <w:top w:val="single" w:sz="4" w:space="0" w:color="auto"/>
              <w:left w:val="single" w:sz="4" w:space="0" w:color="auto"/>
              <w:bottom w:val="single" w:sz="4" w:space="0" w:color="auto"/>
              <w:right w:val="single" w:sz="4" w:space="0" w:color="auto"/>
            </w:tcBorders>
            <w:hideMark/>
          </w:tcPr>
          <w:p w:rsidR="00B97D39" w:rsidRDefault="00B97D39">
            <w:pPr>
              <w:spacing w:before="120" w:line="276" w:lineRule="auto"/>
              <w:rPr>
                <w:rFonts w:ascii="Arial" w:hAnsi="Arial" w:cs="Arial"/>
                <w:sz w:val="20"/>
                <w:szCs w:val="20"/>
              </w:rPr>
            </w:pPr>
            <w:r>
              <w:rPr>
                <w:rFonts w:ascii="Arial" w:hAnsi="Arial" w:cs="Arial"/>
                <w:sz w:val="20"/>
                <w:szCs w:val="20"/>
              </w:rPr>
              <w:t>I verify that all of the information contained within this application is true and correct.</w:t>
            </w:r>
          </w:p>
        </w:tc>
      </w:tr>
      <w:tr w:rsidR="00B97D39" w:rsidTr="00B97D39">
        <w:trPr>
          <w:trHeight w:val="202"/>
        </w:trPr>
        <w:tc>
          <w:tcPr>
            <w:tcW w:w="1419" w:type="dxa"/>
            <w:tcBorders>
              <w:top w:val="single" w:sz="4" w:space="0" w:color="auto"/>
              <w:left w:val="single" w:sz="4" w:space="0" w:color="auto"/>
              <w:bottom w:val="single" w:sz="4" w:space="0" w:color="auto"/>
              <w:right w:val="single" w:sz="4" w:space="0" w:color="auto"/>
            </w:tcBorders>
            <w:vAlign w:val="bottom"/>
            <w:hideMark/>
          </w:tcPr>
          <w:p w:rsidR="00B97D39" w:rsidRDefault="00B97D39">
            <w:pPr>
              <w:spacing w:before="120" w:line="276" w:lineRule="auto"/>
              <w:rPr>
                <w:rFonts w:ascii="Arial" w:hAnsi="Arial" w:cs="Arial"/>
                <w:b/>
                <w:sz w:val="20"/>
                <w:szCs w:val="20"/>
              </w:rPr>
            </w:pPr>
            <w:r>
              <w:rPr>
                <w:rFonts w:ascii="Arial" w:hAnsi="Arial" w:cs="Arial"/>
                <w:b/>
                <w:sz w:val="20"/>
                <w:szCs w:val="20"/>
              </w:rPr>
              <w:t>Name</w:t>
            </w:r>
          </w:p>
        </w:tc>
        <w:tc>
          <w:tcPr>
            <w:tcW w:w="8646" w:type="dxa"/>
            <w:tcBorders>
              <w:top w:val="single" w:sz="4" w:space="0" w:color="auto"/>
              <w:left w:val="single" w:sz="4" w:space="0" w:color="auto"/>
              <w:bottom w:val="single" w:sz="4" w:space="0" w:color="auto"/>
              <w:right w:val="single" w:sz="4" w:space="0" w:color="auto"/>
            </w:tcBorders>
            <w:vAlign w:val="bottom"/>
            <w:hideMark/>
          </w:tcPr>
          <w:p w:rsidR="00B97D39" w:rsidRDefault="00B97D39">
            <w:pPr>
              <w:spacing w:before="120" w:line="276" w:lineRule="auto"/>
              <w:rPr>
                <w:rFonts w:ascii="Arial" w:hAnsi="Arial" w:cs="Arial"/>
                <w:b/>
                <w:sz w:val="20"/>
                <w:szCs w:val="20"/>
              </w:rPr>
            </w:pPr>
          </w:p>
        </w:tc>
      </w:tr>
      <w:tr w:rsidR="00B97D39" w:rsidTr="00B97D39">
        <w:tc>
          <w:tcPr>
            <w:tcW w:w="1419" w:type="dxa"/>
            <w:tcBorders>
              <w:top w:val="single" w:sz="4" w:space="0" w:color="auto"/>
              <w:left w:val="single" w:sz="4" w:space="0" w:color="auto"/>
              <w:bottom w:val="single" w:sz="4" w:space="0" w:color="auto"/>
              <w:right w:val="single" w:sz="4" w:space="0" w:color="auto"/>
            </w:tcBorders>
            <w:vAlign w:val="bottom"/>
            <w:hideMark/>
          </w:tcPr>
          <w:p w:rsidR="00B97D39" w:rsidRDefault="00B97D39">
            <w:pPr>
              <w:spacing w:before="120" w:line="276" w:lineRule="auto"/>
              <w:rPr>
                <w:rFonts w:ascii="Arial" w:hAnsi="Arial" w:cs="Arial"/>
                <w:b/>
                <w:sz w:val="20"/>
                <w:szCs w:val="20"/>
              </w:rPr>
            </w:pPr>
            <w:r>
              <w:rPr>
                <w:rFonts w:ascii="Arial" w:hAnsi="Arial" w:cs="Arial"/>
                <w:b/>
                <w:sz w:val="20"/>
                <w:szCs w:val="20"/>
              </w:rPr>
              <w:t>Position</w:t>
            </w:r>
          </w:p>
        </w:tc>
        <w:tc>
          <w:tcPr>
            <w:tcW w:w="8646" w:type="dxa"/>
            <w:tcBorders>
              <w:top w:val="single" w:sz="4" w:space="0" w:color="auto"/>
              <w:left w:val="single" w:sz="4" w:space="0" w:color="auto"/>
              <w:bottom w:val="single" w:sz="4" w:space="0" w:color="auto"/>
              <w:right w:val="single" w:sz="4" w:space="0" w:color="auto"/>
            </w:tcBorders>
            <w:vAlign w:val="bottom"/>
            <w:hideMark/>
          </w:tcPr>
          <w:p w:rsidR="00B97D39" w:rsidRDefault="00B97D39">
            <w:pPr>
              <w:spacing w:before="120" w:line="276" w:lineRule="auto"/>
              <w:rPr>
                <w:rFonts w:ascii="Arial" w:hAnsi="Arial" w:cs="Arial"/>
                <w:b/>
                <w:sz w:val="20"/>
                <w:szCs w:val="20"/>
              </w:rPr>
            </w:pPr>
          </w:p>
        </w:tc>
      </w:tr>
      <w:tr w:rsidR="00B97D39" w:rsidTr="00B97D39">
        <w:tc>
          <w:tcPr>
            <w:tcW w:w="1419" w:type="dxa"/>
            <w:tcBorders>
              <w:top w:val="single" w:sz="4" w:space="0" w:color="auto"/>
              <w:left w:val="single" w:sz="4" w:space="0" w:color="auto"/>
              <w:bottom w:val="single" w:sz="4" w:space="0" w:color="auto"/>
              <w:right w:val="single" w:sz="4" w:space="0" w:color="auto"/>
            </w:tcBorders>
            <w:shd w:val="clear" w:color="auto" w:fill="E5E5E5" w:themeFill="background1" w:themeFillTint="33"/>
            <w:vAlign w:val="bottom"/>
            <w:hideMark/>
          </w:tcPr>
          <w:p w:rsidR="00B97D39" w:rsidRDefault="00B97D39">
            <w:pPr>
              <w:spacing w:before="120" w:line="276" w:lineRule="auto"/>
              <w:rPr>
                <w:rFonts w:ascii="Arial" w:hAnsi="Arial" w:cs="Arial"/>
                <w:b/>
                <w:sz w:val="20"/>
                <w:szCs w:val="20"/>
              </w:rPr>
            </w:pPr>
            <w:r>
              <w:rPr>
                <w:rFonts w:ascii="Arial" w:hAnsi="Arial" w:cs="Arial"/>
                <w:b/>
                <w:sz w:val="20"/>
                <w:szCs w:val="20"/>
              </w:rPr>
              <w:t>Signature</w:t>
            </w:r>
          </w:p>
        </w:tc>
        <w:tc>
          <w:tcPr>
            <w:tcW w:w="8646" w:type="dxa"/>
            <w:tcBorders>
              <w:top w:val="single" w:sz="4" w:space="0" w:color="auto"/>
              <w:left w:val="single" w:sz="4" w:space="0" w:color="auto"/>
              <w:bottom w:val="single" w:sz="4" w:space="0" w:color="auto"/>
              <w:right w:val="single" w:sz="4" w:space="0" w:color="auto"/>
            </w:tcBorders>
            <w:shd w:val="clear" w:color="auto" w:fill="E5E5E5" w:themeFill="background1" w:themeFillTint="33"/>
            <w:vAlign w:val="bottom"/>
            <w:hideMark/>
          </w:tcPr>
          <w:p w:rsidR="00B97D39" w:rsidRDefault="00B97D39">
            <w:pPr>
              <w:spacing w:before="120" w:line="276" w:lineRule="auto"/>
              <w:rPr>
                <w:rFonts w:ascii="Arial" w:hAnsi="Arial" w:cs="Arial"/>
                <w:b/>
                <w:sz w:val="20"/>
                <w:szCs w:val="20"/>
              </w:rPr>
            </w:pPr>
            <w:r>
              <w:rPr>
                <w:rFonts w:ascii="Arial" w:hAnsi="Arial" w:cs="Arial"/>
                <w:sz w:val="20"/>
                <w:szCs w:val="20"/>
              </w:rPr>
              <w:fldChar w:fldCharType="begin">
                <w:ffData>
                  <w:name w:val=""/>
                  <w:enabled/>
                  <w:calcOnExit w:val="0"/>
                  <w:textInput>
                    <w:default w:val="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r w:rsidR="00B97D39" w:rsidTr="00B97D39">
        <w:tc>
          <w:tcPr>
            <w:tcW w:w="1419" w:type="dxa"/>
            <w:tcBorders>
              <w:top w:val="single" w:sz="4" w:space="0" w:color="auto"/>
              <w:left w:val="single" w:sz="4" w:space="0" w:color="auto"/>
              <w:bottom w:val="single" w:sz="4" w:space="0" w:color="auto"/>
              <w:right w:val="single" w:sz="4" w:space="0" w:color="auto"/>
            </w:tcBorders>
            <w:shd w:val="clear" w:color="auto" w:fill="E5E5E5" w:themeFill="background1" w:themeFillTint="33"/>
            <w:vAlign w:val="bottom"/>
            <w:hideMark/>
          </w:tcPr>
          <w:p w:rsidR="00B97D39" w:rsidRDefault="00B97D39">
            <w:pPr>
              <w:spacing w:before="120" w:line="276" w:lineRule="auto"/>
              <w:rPr>
                <w:rFonts w:ascii="Arial" w:hAnsi="Arial" w:cs="Arial"/>
                <w:b/>
                <w:sz w:val="20"/>
                <w:szCs w:val="20"/>
              </w:rPr>
            </w:pPr>
            <w:r>
              <w:rPr>
                <w:rFonts w:ascii="Arial" w:hAnsi="Arial" w:cs="Arial"/>
                <w:b/>
                <w:sz w:val="20"/>
                <w:szCs w:val="20"/>
              </w:rPr>
              <w:t>Date</w:t>
            </w:r>
          </w:p>
        </w:tc>
        <w:tc>
          <w:tcPr>
            <w:tcW w:w="8646" w:type="dxa"/>
            <w:tcBorders>
              <w:top w:val="single" w:sz="4" w:space="0" w:color="auto"/>
              <w:left w:val="single" w:sz="4" w:space="0" w:color="auto"/>
              <w:bottom w:val="single" w:sz="4" w:space="0" w:color="auto"/>
              <w:right w:val="single" w:sz="4" w:space="0" w:color="auto"/>
            </w:tcBorders>
            <w:shd w:val="clear" w:color="auto" w:fill="E5E5E5" w:themeFill="background1" w:themeFillTint="33"/>
            <w:vAlign w:val="bottom"/>
            <w:hideMark/>
          </w:tcPr>
          <w:p w:rsidR="00B97D39" w:rsidRDefault="00B97D39">
            <w:pPr>
              <w:spacing w:before="120" w:line="276" w:lineRule="auto"/>
              <w:rPr>
                <w:rFonts w:ascii="Arial" w:hAnsi="Arial" w:cs="Arial"/>
                <w:b/>
                <w:sz w:val="20"/>
                <w:szCs w:val="20"/>
              </w:rPr>
            </w:pPr>
            <w:r>
              <w:rPr>
                <w:rFonts w:ascii="Arial" w:hAnsi="Arial" w:cs="Arial"/>
                <w:sz w:val="20"/>
                <w:szCs w:val="20"/>
              </w:rPr>
              <w:fldChar w:fldCharType="begin">
                <w:ffData>
                  <w:name w:val=""/>
                  <w:enabled/>
                  <w:calcOnExit w:val="0"/>
                  <w:textInput>
                    <w:default w:val="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r>
    </w:tbl>
    <w:p w:rsidR="00B97D39" w:rsidRDefault="00B97D39" w:rsidP="00B97D39">
      <w:pPr>
        <w:rPr>
          <w:rFonts w:asciiTheme="minorHAnsi" w:hAnsiTheme="minorHAnsi" w:cstheme="minorHAnsi"/>
        </w:rPr>
      </w:pPr>
    </w:p>
    <w:p w:rsidR="00B97D39" w:rsidRPr="00B97D39" w:rsidRDefault="00B97D39" w:rsidP="008C1641">
      <w:pPr>
        <w:pStyle w:val="Heading4"/>
        <w:rPr>
          <w:i w:val="0"/>
          <w:noProof w:val="0"/>
        </w:rPr>
      </w:pPr>
    </w:p>
    <w:p w:rsidR="00B97D39" w:rsidRDefault="00B97D39" w:rsidP="008C1641">
      <w:pPr>
        <w:pStyle w:val="Heading4"/>
        <w:rPr>
          <w:noProof w:val="0"/>
        </w:rPr>
      </w:pPr>
    </w:p>
    <w:p w:rsidR="00B97D39" w:rsidRDefault="00B97D39" w:rsidP="008C1641">
      <w:pPr>
        <w:pStyle w:val="Heading4"/>
        <w:rPr>
          <w:noProof w:val="0"/>
        </w:rPr>
      </w:pPr>
    </w:p>
    <w:sectPr w:rsidR="00B97D39" w:rsidSect="00B97D39">
      <w:type w:val="continuous"/>
      <w:pgSz w:w="11907" w:h="16839" w:code="9"/>
      <w:pgMar w:top="1440" w:right="964" w:bottom="1440" w:left="96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23" w:rsidRDefault="00130923" w:rsidP="00A04F7E">
      <w:r>
        <w:separator/>
      </w:r>
    </w:p>
    <w:p w:rsidR="00254238" w:rsidRDefault="00254238"/>
  </w:endnote>
  <w:endnote w:type="continuationSeparator" w:id="0">
    <w:p w:rsidR="00130923" w:rsidRDefault="00130923" w:rsidP="00A04F7E">
      <w:r>
        <w:continuationSeparator/>
      </w:r>
    </w:p>
    <w:p w:rsidR="00254238" w:rsidRDefault="00254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41" w:rsidRPr="00681479" w:rsidRDefault="00B97D39" w:rsidP="00681479">
    <w:pPr>
      <w:pStyle w:val="Footer"/>
    </w:pPr>
    <w:r>
      <w:rPr>
        <w:rFonts w:cstheme="minorHAnsi"/>
        <w:sz w:val="18"/>
      </w:rPr>
      <w:t>ISBN 978-1-76051-180-7 (DOCX)</w:t>
    </w:r>
    <w:r w:rsidR="00681479" w:rsidRPr="00681479">
      <w:rPr>
        <w:lang w:eastAsia="en-AU"/>
      </w:rPr>
      <w:drawing>
        <wp:anchor distT="0" distB="0" distL="114300" distR="114300" simplePos="0" relativeHeight="251662336" behindDoc="1" locked="0" layoutInCell="1" allowOverlap="1" wp14:anchorId="52363C61" wp14:editId="05B72C9C">
          <wp:simplePos x="0" y="0"/>
          <wp:positionH relativeFrom="column">
            <wp:posOffset>-624497</wp:posOffset>
          </wp:positionH>
          <wp:positionV relativeFrom="page">
            <wp:posOffset>10236200</wp:posOffset>
          </wp:positionV>
          <wp:extent cx="7668000" cy="44640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46400"/>
                  </a:xfrm>
                  <a:prstGeom prst="rect">
                    <a:avLst/>
                  </a:prstGeom>
                </pic:spPr>
              </pic:pic>
            </a:graphicData>
          </a:graphic>
          <wp14:sizeRelH relativeFrom="page">
            <wp14:pctWidth>0</wp14:pctWidth>
          </wp14:sizeRelH>
          <wp14:sizeRelV relativeFrom="page">
            <wp14:pctHeight>0</wp14:pctHeight>
          </wp14:sizeRelV>
        </wp:anchor>
      </w:drawing>
    </w:r>
    <w:r w:rsidR="00681479" w:rsidRPr="0068147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D4" w:rsidRPr="00681479" w:rsidRDefault="003805D4" w:rsidP="00681479">
    <w:pPr>
      <w:pStyle w:val="Footer"/>
      <w:ind w:left="964"/>
    </w:pPr>
    <w:r w:rsidRPr="00681479">
      <w:rPr>
        <w:lang w:eastAsia="en-AU"/>
      </w:rPr>
      <w:drawing>
        <wp:anchor distT="0" distB="0" distL="114300" distR="114300" simplePos="0" relativeHeight="251660288" behindDoc="1" locked="0" layoutInCell="1" allowOverlap="1" wp14:anchorId="5F370834" wp14:editId="5D42A12F">
          <wp:simplePos x="0" y="0"/>
          <wp:positionH relativeFrom="column">
            <wp:posOffset>0</wp:posOffset>
          </wp:positionH>
          <wp:positionV relativeFrom="page">
            <wp:posOffset>10246995</wp:posOffset>
          </wp:positionV>
          <wp:extent cx="7668000" cy="44640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46400"/>
                  </a:xfrm>
                  <a:prstGeom prst="rect">
                    <a:avLst/>
                  </a:prstGeom>
                </pic:spPr>
              </pic:pic>
            </a:graphicData>
          </a:graphic>
          <wp14:sizeRelH relativeFrom="page">
            <wp14:pctWidth>0</wp14:pctWidth>
          </wp14:sizeRelH>
          <wp14:sizeRelV relativeFrom="page">
            <wp14:pctHeight>0</wp14:pctHeight>
          </wp14:sizeRelV>
        </wp:anchor>
      </w:drawing>
    </w:r>
    <w:r w:rsidRPr="0068147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23" w:rsidRDefault="00130923" w:rsidP="00A04F7E">
      <w:r>
        <w:separator/>
      </w:r>
    </w:p>
    <w:p w:rsidR="00254238" w:rsidRDefault="00254238"/>
  </w:footnote>
  <w:footnote w:type="continuationSeparator" w:id="0">
    <w:p w:rsidR="00130923" w:rsidRDefault="00130923" w:rsidP="00A04F7E">
      <w:r>
        <w:continuationSeparator/>
      </w:r>
    </w:p>
    <w:p w:rsidR="00254238" w:rsidRDefault="002542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0C64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2785C17"/>
    <w:multiLevelType w:val="hybridMultilevel"/>
    <w:tmpl w:val="3146B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784D04"/>
    <w:multiLevelType w:val="hybridMultilevel"/>
    <w:tmpl w:val="AB1E254E"/>
    <w:lvl w:ilvl="0" w:tplc="78CCB112">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F04FC5"/>
    <w:multiLevelType w:val="hybridMultilevel"/>
    <w:tmpl w:val="4092A1FC"/>
    <w:lvl w:ilvl="0" w:tplc="58CC0F1C">
      <w:start w:val="1"/>
      <w:numFmt w:val="bullet"/>
      <w:lvlText w:val=""/>
      <w:lvlJc w:val="left"/>
      <w:pPr>
        <w:ind w:left="720" w:hanging="360"/>
      </w:pPr>
      <w:rPr>
        <w:rFonts w:ascii="Symbol" w:hAnsi="Symbol" w:hint="default"/>
        <w:color w:val="005D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515A43"/>
    <w:multiLevelType w:val="multilevel"/>
    <w:tmpl w:val="E1FAB08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F12913"/>
    <w:multiLevelType w:val="hybridMultilevel"/>
    <w:tmpl w:val="E9980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E573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2497D24"/>
    <w:multiLevelType w:val="hybridMultilevel"/>
    <w:tmpl w:val="DB2CE69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25CD7273"/>
    <w:multiLevelType w:val="hybridMultilevel"/>
    <w:tmpl w:val="F1EA55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26414EFD"/>
    <w:multiLevelType w:val="multilevel"/>
    <w:tmpl w:val="8A7C6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DC76EB2"/>
    <w:multiLevelType w:val="hybridMultilevel"/>
    <w:tmpl w:val="E1669EE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79455A"/>
    <w:multiLevelType w:val="multilevel"/>
    <w:tmpl w:val="240AE6FC"/>
    <w:lvl w:ilvl="0">
      <w:start w:val="1"/>
      <w:numFmt w:val="decimal"/>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8" w15:restartNumberingAfterBreak="0">
    <w:nsid w:val="4F302CCD"/>
    <w:multiLevelType w:val="multilevel"/>
    <w:tmpl w:val="1BA01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0011AD"/>
    <w:multiLevelType w:val="hybridMultilevel"/>
    <w:tmpl w:val="7A709174"/>
    <w:lvl w:ilvl="0" w:tplc="A1C8E0DC">
      <w:start w:val="1"/>
      <w:numFmt w:val="lowerLetter"/>
      <w:lvlText w:val="(%1)"/>
      <w:lvlJc w:val="left"/>
      <w:pPr>
        <w:ind w:left="1495" w:hanging="360"/>
      </w:pPr>
    </w:lvl>
    <w:lvl w:ilvl="1" w:tplc="0C090003">
      <w:start w:val="1"/>
      <w:numFmt w:val="bullet"/>
      <w:lvlText w:val="o"/>
      <w:lvlJc w:val="left"/>
      <w:pPr>
        <w:ind w:left="2215" w:hanging="360"/>
      </w:pPr>
      <w:rPr>
        <w:rFonts w:ascii="Courier New" w:hAnsi="Courier New" w:cs="Courier New" w:hint="default"/>
      </w:rPr>
    </w:lvl>
    <w:lvl w:ilvl="2" w:tplc="0C090005">
      <w:start w:val="1"/>
      <w:numFmt w:val="bullet"/>
      <w:lvlText w:val=""/>
      <w:lvlJc w:val="left"/>
      <w:pPr>
        <w:ind w:left="2935" w:hanging="360"/>
      </w:pPr>
      <w:rPr>
        <w:rFonts w:ascii="Wingdings" w:hAnsi="Wingdings" w:hint="default"/>
      </w:rPr>
    </w:lvl>
    <w:lvl w:ilvl="3" w:tplc="0C090001">
      <w:start w:val="1"/>
      <w:numFmt w:val="bullet"/>
      <w:lvlText w:val=""/>
      <w:lvlJc w:val="left"/>
      <w:pPr>
        <w:ind w:left="3655" w:hanging="360"/>
      </w:pPr>
      <w:rPr>
        <w:rFonts w:ascii="Symbol" w:hAnsi="Symbol" w:hint="default"/>
      </w:rPr>
    </w:lvl>
    <w:lvl w:ilvl="4" w:tplc="0C090003">
      <w:start w:val="1"/>
      <w:numFmt w:val="bullet"/>
      <w:lvlText w:val="o"/>
      <w:lvlJc w:val="left"/>
      <w:pPr>
        <w:ind w:left="4375" w:hanging="360"/>
      </w:pPr>
      <w:rPr>
        <w:rFonts w:ascii="Courier New" w:hAnsi="Courier New" w:cs="Courier New" w:hint="default"/>
      </w:rPr>
    </w:lvl>
    <w:lvl w:ilvl="5" w:tplc="0C090005">
      <w:start w:val="1"/>
      <w:numFmt w:val="bullet"/>
      <w:lvlText w:val=""/>
      <w:lvlJc w:val="left"/>
      <w:pPr>
        <w:ind w:left="5095" w:hanging="360"/>
      </w:pPr>
      <w:rPr>
        <w:rFonts w:ascii="Wingdings" w:hAnsi="Wingdings" w:hint="default"/>
      </w:rPr>
    </w:lvl>
    <w:lvl w:ilvl="6" w:tplc="0C090001">
      <w:start w:val="1"/>
      <w:numFmt w:val="bullet"/>
      <w:lvlText w:val=""/>
      <w:lvlJc w:val="left"/>
      <w:pPr>
        <w:ind w:left="5815" w:hanging="360"/>
      </w:pPr>
      <w:rPr>
        <w:rFonts w:ascii="Symbol" w:hAnsi="Symbol" w:hint="default"/>
      </w:rPr>
    </w:lvl>
    <w:lvl w:ilvl="7" w:tplc="0C090003">
      <w:start w:val="1"/>
      <w:numFmt w:val="bullet"/>
      <w:lvlText w:val="o"/>
      <w:lvlJc w:val="left"/>
      <w:pPr>
        <w:ind w:left="6535" w:hanging="360"/>
      </w:pPr>
      <w:rPr>
        <w:rFonts w:ascii="Courier New" w:hAnsi="Courier New" w:cs="Courier New" w:hint="default"/>
      </w:rPr>
    </w:lvl>
    <w:lvl w:ilvl="8" w:tplc="0C090005">
      <w:start w:val="1"/>
      <w:numFmt w:val="bullet"/>
      <w:lvlText w:val=""/>
      <w:lvlJc w:val="left"/>
      <w:pPr>
        <w:ind w:left="7255" w:hanging="360"/>
      </w:pPr>
      <w:rPr>
        <w:rFonts w:ascii="Wingdings" w:hAnsi="Wingdings" w:hint="default"/>
      </w:rPr>
    </w:lvl>
  </w:abstractNum>
  <w:abstractNum w:abstractNumId="31" w15:restartNumberingAfterBreak="0">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D213E1"/>
    <w:multiLevelType w:val="hybridMultilevel"/>
    <w:tmpl w:val="BB2C1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65708A2"/>
    <w:multiLevelType w:val="hybridMultilevel"/>
    <w:tmpl w:val="B0C4E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735C66"/>
    <w:multiLevelType w:val="hybridMultilevel"/>
    <w:tmpl w:val="D55E23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9" w15:restartNumberingAfterBreak="0">
    <w:nsid w:val="7FAA6E70"/>
    <w:multiLevelType w:val="hybridMultilevel"/>
    <w:tmpl w:val="6CD48978"/>
    <w:lvl w:ilvl="0" w:tplc="5C965486">
      <w:start w:val="1"/>
      <w:numFmt w:val="bullet"/>
      <w:lvlText w:val=""/>
      <w:lvlJc w:val="left"/>
      <w:pPr>
        <w:ind w:left="360" w:hanging="360"/>
      </w:pPr>
      <w:rPr>
        <w:rFonts w:ascii="Symbol" w:hAnsi="Symbol" w:hint="default"/>
        <w:color w:val="0A59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7"/>
  </w:num>
  <w:num w:numId="15">
    <w:abstractNumId w:val="18"/>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5"/>
  </w:num>
  <w:num w:numId="21">
    <w:abstractNumId w:val="11"/>
  </w:num>
  <w:num w:numId="22">
    <w:abstractNumId w:val="38"/>
  </w:num>
  <w:num w:numId="23">
    <w:abstractNumId w:val="26"/>
  </w:num>
  <w:num w:numId="24">
    <w:abstractNumId w:val="31"/>
  </w:num>
  <w:num w:numId="25">
    <w:abstractNumId w:val="10"/>
  </w:num>
  <w:num w:numId="26">
    <w:abstractNumId w:val="27"/>
  </w:num>
  <w:num w:numId="27">
    <w:abstractNumId w:val="13"/>
  </w:num>
  <w:num w:numId="28">
    <w:abstractNumId w:val="14"/>
  </w:num>
  <w:num w:numId="29">
    <w:abstractNumId w:val="39"/>
  </w:num>
  <w:num w:numId="30">
    <w:abstractNumId w:val="28"/>
  </w:num>
  <w:num w:numId="31">
    <w:abstractNumId w:val="20"/>
  </w:num>
  <w:num w:numId="32">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7"/>
  </w:num>
  <w:num w:numId="35">
    <w:abstractNumId w:val="24"/>
  </w:num>
  <w:num w:numId="36">
    <w:abstractNumId w:val="15"/>
  </w:num>
  <w:num w:numId="37">
    <w:abstractNumId w:val="2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0"/>
    <w:lvlOverride w:ilvl="0">
      <w:startOverride w:val="1"/>
    </w:lvlOverride>
    <w:lvlOverride w:ilvl="1"/>
    <w:lvlOverride w:ilvl="2"/>
    <w:lvlOverride w:ilvl="3"/>
    <w:lvlOverride w:ilvl="4"/>
    <w:lvlOverride w:ilvl="5"/>
    <w:lvlOverride w:ilvl="6"/>
    <w:lvlOverride w:ilvl="7"/>
    <w:lvlOverride w:ilvl="8"/>
  </w:num>
  <w:num w:numId="41">
    <w:abstractNumId w:val="3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9"/>
  </w:num>
  <w:num w:numId="45">
    <w:abstractNumId w:val="3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2721"/>
    <w:rsid w:val="000036D9"/>
    <w:rsid w:val="00003FCE"/>
    <w:rsid w:val="000133DB"/>
    <w:rsid w:val="00024E24"/>
    <w:rsid w:val="0002670E"/>
    <w:rsid w:val="00034EAA"/>
    <w:rsid w:val="000429E4"/>
    <w:rsid w:val="00062F97"/>
    <w:rsid w:val="0006500D"/>
    <w:rsid w:val="000769B1"/>
    <w:rsid w:val="0008191F"/>
    <w:rsid w:val="000861A6"/>
    <w:rsid w:val="000905A4"/>
    <w:rsid w:val="00095D52"/>
    <w:rsid w:val="000C13AD"/>
    <w:rsid w:val="000D016D"/>
    <w:rsid w:val="000E50D0"/>
    <w:rsid w:val="000E7E7B"/>
    <w:rsid w:val="000F3BA2"/>
    <w:rsid w:val="000F4DC6"/>
    <w:rsid w:val="000F6AD5"/>
    <w:rsid w:val="00101D6A"/>
    <w:rsid w:val="00115635"/>
    <w:rsid w:val="001175BF"/>
    <w:rsid w:val="00130923"/>
    <w:rsid w:val="001414F3"/>
    <w:rsid w:val="00143FCD"/>
    <w:rsid w:val="00191C3B"/>
    <w:rsid w:val="0019508E"/>
    <w:rsid w:val="001A3DAF"/>
    <w:rsid w:val="001B6467"/>
    <w:rsid w:val="001D36E6"/>
    <w:rsid w:val="001D3ADE"/>
    <w:rsid w:val="001F44D0"/>
    <w:rsid w:val="00217A60"/>
    <w:rsid w:val="00223EB1"/>
    <w:rsid w:val="00233015"/>
    <w:rsid w:val="00236917"/>
    <w:rsid w:val="00243D6B"/>
    <w:rsid w:val="00245FA4"/>
    <w:rsid w:val="00254238"/>
    <w:rsid w:val="002804AE"/>
    <w:rsid w:val="002A25E6"/>
    <w:rsid w:val="002A3B7A"/>
    <w:rsid w:val="002B06E6"/>
    <w:rsid w:val="002D271F"/>
    <w:rsid w:val="002D2EBE"/>
    <w:rsid w:val="002D6386"/>
    <w:rsid w:val="002E0B06"/>
    <w:rsid w:val="00305B35"/>
    <w:rsid w:val="00306AE1"/>
    <w:rsid w:val="003166C5"/>
    <w:rsid w:val="003242B9"/>
    <w:rsid w:val="003307EF"/>
    <w:rsid w:val="003362A4"/>
    <w:rsid w:val="00345441"/>
    <w:rsid w:val="00370FDF"/>
    <w:rsid w:val="003711F8"/>
    <w:rsid w:val="003805D4"/>
    <w:rsid w:val="003A2DB7"/>
    <w:rsid w:val="003A35B6"/>
    <w:rsid w:val="003A43F0"/>
    <w:rsid w:val="003B1A48"/>
    <w:rsid w:val="003C4BD0"/>
    <w:rsid w:val="003C6FE2"/>
    <w:rsid w:val="003D67FC"/>
    <w:rsid w:val="00403F54"/>
    <w:rsid w:val="00406894"/>
    <w:rsid w:val="00406E5A"/>
    <w:rsid w:val="004412D9"/>
    <w:rsid w:val="004459F7"/>
    <w:rsid w:val="004540B5"/>
    <w:rsid w:val="00454576"/>
    <w:rsid w:val="00455B34"/>
    <w:rsid w:val="00462B2A"/>
    <w:rsid w:val="00472ECB"/>
    <w:rsid w:val="00472F88"/>
    <w:rsid w:val="00475A95"/>
    <w:rsid w:val="00476D8B"/>
    <w:rsid w:val="0048762C"/>
    <w:rsid w:val="00490500"/>
    <w:rsid w:val="00490F19"/>
    <w:rsid w:val="004A45F8"/>
    <w:rsid w:val="004B256F"/>
    <w:rsid w:val="004C2B41"/>
    <w:rsid w:val="004E1989"/>
    <w:rsid w:val="00501DB7"/>
    <w:rsid w:val="005113B6"/>
    <w:rsid w:val="00515897"/>
    <w:rsid w:val="0052661F"/>
    <w:rsid w:val="00531817"/>
    <w:rsid w:val="00550011"/>
    <w:rsid w:val="0055633C"/>
    <w:rsid w:val="00560CA0"/>
    <w:rsid w:val="005624F3"/>
    <w:rsid w:val="005811EF"/>
    <w:rsid w:val="005818AE"/>
    <w:rsid w:val="005B0878"/>
    <w:rsid w:val="005B62F0"/>
    <w:rsid w:val="005C15C0"/>
    <w:rsid w:val="005C402E"/>
    <w:rsid w:val="00610654"/>
    <w:rsid w:val="006318B9"/>
    <w:rsid w:val="0063729C"/>
    <w:rsid w:val="006645C6"/>
    <w:rsid w:val="00664716"/>
    <w:rsid w:val="0067026C"/>
    <w:rsid w:val="00673CAD"/>
    <w:rsid w:val="00681479"/>
    <w:rsid w:val="006D3733"/>
    <w:rsid w:val="006E10EC"/>
    <w:rsid w:val="006E2D49"/>
    <w:rsid w:val="006E68AF"/>
    <w:rsid w:val="00705F06"/>
    <w:rsid w:val="00707575"/>
    <w:rsid w:val="0072124E"/>
    <w:rsid w:val="00746247"/>
    <w:rsid w:val="007468FC"/>
    <w:rsid w:val="0076037B"/>
    <w:rsid w:val="00762D18"/>
    <w:rsid w:val="007658A7"/>
    <w:rsid w:val="00792CA3"/>
    <w:rsid w:val="007B2FDD"/>
    <w:rsid w:val="007B6902"/>
    <w:rsid w:val="007C57B8"/>
    <w:rsid w:val="007D58FB"/>
    <w:rsid w:val="007F18DA"/>
    <w:rsid w:val="007F20DD"/>
    <w:rsid w:val="00806D54"/>
    <w:rsid w:val="00820EC0"/>
    <w:rsid w:val="00831423"/>
    <w:rsid w:val="0083468A"/>
    <w:rsid w:val="00842D43"/>
    <w:rsid w:val="00856D1C"/>
    <w:rsid w:val="00865601"/>
    <w:rsid w:val="00876AC0"/>
    <w:rsid w:val="00882C4B"/>
    <w:rsid w:val="00894410"/>
    <w:rsid w:val="008C1641"/>
    <w:rsid w:val="008D187E"/>
    <w:rsid w:val="008E1771"/>
    <w:rsid w:val="00903408"/>
    <w:rsid w:val="009116EA"/>
    <w:rsid w:val="009146EC"/>
    <w:rsid w:val="009301CA"/>
    <w:rsid w:val="00933671"/>
    <w:rsid w:val="009468D4"/>
    <w:rsid w:val="009470F1"/>
    <w:rsid w:val="009472A2"/>
    <w:rsid w:val="0095644C"/>
    <w:rsid w:val="00972BF7"/>
    <w:rsid w:val="00972DD5"/>
    <w:rsid w:val="00984879"/>
    <w:rsid w:val="00985632"/>
    <w:rsid w:val="00991B63"/>
    <w:rsid w:val="009A3CD8"/>
    <w:rsid w:val="009B2428"/>
    <w:rsid w:val="009B5CB7"/>
    <w:rsid w:val="00A04F7E"/>
    <w:rsid w:val="00A076BA"/>
    <w:rsid w:val="00A12A12"/>
    <w:rsid w:val="00A31242"/>
    <w:rsid w:val="00A52530"/>
    <w:rsid w:val="00A551BF"/>
    <w:rsid w:val="00A70524"/>
    <w:rsid w:val="00A73406"/>
    <w:rsid w:val="00AA1B6B"/>
    <w:rsid w:val="00AA615C"/>
    <w:rsid w:val="00AB6ED4"/>
    <w:rsid w:val="00AC65DA"/>
    <w:rsid w:val="00AD6A7A"/>
    <w:rsid w:val="00AE70B6"/>
    <w:rsid w:val="00B2722A"/>
    <w:rsid w:val="00B41745"/>
    <w:rsid w:val="00B57D88"/>
    <w:rsid w:val="00B618BA"/>
    <w:rsid w:val="00B635E1"/>
    <w:rsid w:val="00B6431A"/>
    <w:rsid w:val="00B904AC"/>
    <w:rsid w:val="00B90820"/>
    <w:rsid w:val="00B97D39"/>
    <w:rsid w:val="00BA08D5"/>
    <w:rsid w:val="00BA282D"/>
    <w:rsid w:val="00BB6260"/>
    <w:rsid w:val="00BB68B0"/>
    <w:rsid w:val="00BD7E83"/>
    <w:rsid w:val="00BF5643"/>
    <w:rsid w:val="00C00191"/>
    <w:rsid w:val="00C05E74"/>
    <w:rsid w:val="00C10C19"/>
    <w:rsid w:val="00C143B8"/>
    <w:rsid w:val="00C17D02"/>
    <w:rsid w:val="00C27DD4"/>
    <w:rsid w:val="00C30726"/>
    <w:rsid w:val="00C55DF8"/>
    <w:rsid w:val="00C5649C"/>
    <w:rsid w:val="00C56F37"/>
    <w:rsid w:val="00C67FC9"/>
    <w:rsid w:val="00C75486"/>
    <w:rsid w:val="00C8202C"/>
    <w:rsid w:val="00C92A5B"/>
    <w:rsid w:val="00CA46EC"/>
    <w:rsid w:val="00CB09EC"/>
    <w:rsid w:val="00CB32EE"/>
    <w:rsid w:val="00CC4402"/>
    <w:rsid w:val="00CC6F03"/>
    <w:rsid w:val="00CF32FE"/>
    <w:rsid w:val="00D05B29"/>
    <w:rsid w:val="00D0654A"/>
    <w:rsid w:val="00D1394D"/>
    <w:rsid w:val="00D26E18"/>
    <w:rsid w:val="00D471A9"/>
    <w:rsid w:val="00D47740"/>
    <w:rsid w:val="00D65524"/>
    <w:rsid w:val="00D704ED"/>
    <w:rsid w:val="00D742DE"/>
    <w:rsid w:val="00D77EC2"/>
    <w:rsid w:val="00D812B9"/>
    <w:rsid w:val="00D903FD"/>
    <w:rsid w:val="00D94BC5"/>
    <w:rsid w:val="00D96C08"/>
    <w:rsid w:val="00DC3052"/>
    <w:rsid w:val="00DC4963"/>
    <w:rsid w:val="00DE01B9"/>
    <w:rsid w:val="00DF46C4"/>
    <w:rsid w:val="00E00F65"/>
    <w:rsid w:val="00E41483"/>
    <w:rsid w:val="00E84B90"/>
    <w:rsid w:val="00E865D6"/>
    <w:rsid w:val="00EA6133"/>
    <w:rsid w:val="00EB6028"/>
    <w:rsid w:val="00EC1BB7"/>
    <w:rsid w:val="00EC78E7"/>
    <w:rsid w:val="00ED2C73"/>
    <w:rsid w:val="00ED43D2"/>
    <w:rsid w:val="00EE3B8C"/>
    <w:rsid w:val="00EE3D2F"/>
    <w:rsid w:val="00EE4BE7"/>
    <w:rsid w:val="00EE7F1D"/>
    <w:rsid w:val="00EF4A38"/>
    <w:rsid w:val="00F064E4"/>
    <w:rsid w:val="00F11B8F"/>
    <w:rsid w:val="00F1540B"/>
    <w:rsid w:val="00F170E0"/>
    <w:rsid w:val="00F31372"/>
    <w:rsid w:val="00F4110B"/>
    <w:rsid w:val="00F41A5C"/>
    <w:rsid w:val="00F523AC"/>
    <w:rsid w:val="00F56AC7"/>
    <w:rsid w:val="00F74011"/>
    <w:rsid w:val="00F91E82"/>
    <w:rsid w:val="00F92479"/>
    <w:rsid w:val="00FB0C0B"/>
    <w:rsid w:val="00FB10CB"/>
    <w:rsid w:val="00FC6AB3"/>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BBDB990"/>
  <w15:docId w15:val="{FFC10646-E626-40E5-AB73-76781B1A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641"/>
    <w:pPr>
      <w:spacing w:after="120" w:line="240" w:lineRule="auto"/>
    </w:pPr>
    <w:rPr>
      <w:rFonts w:ascii="Calibri" w:hAnsi="Calibri"/>
      <w:noProof/>
    </w:rPr>
  </w:style>
  <w:style w:type="paragraph" w:styleId="Heading1">
    <w:name w:val="heading 1"/>
    <w:basedOn w:val="Normal"/>
    <w:next w:val="Normal"/>
    <w:link w:val="Heading1Char"/>
    <w:uiPriority w:val="9"/>
    <w:rsid w:val="0076037B"/>
    <w:pPr>
      <w:spacing w:before="180"/>
      <w:outlineLvl w:val="0"/>
    </w:pPr>
    <w:rPr>
      <w:rFonts w:eastAsiaTheme="majorEastAsia" w:cstheme="majorBidi"/>
      <w:b/>
      <w:bCs/>
      <w:color w:val="32375D"/>
      <w:sz w:val="36"/>
      <w:szCs w:val="28"/>
    </w:rPr>
  </w:style>
  <w:style w:type="paragraph" w:styleId="Heading2">
    <w:name w:val="heading 2"/>
    <w:basedOn w:val="Normal"/>
    <w:next w:val="Normal"/>
    <w:link w:val="Heading2Char"/>
    <w:uiPriority w:val="9"/>
    <w:qFormat/>
    <w:rsid w:val="0076037B"/>
    <w:pPr>
      <w:outlineLvl w:val="1"/>
    </w:pPr>
    <w:rPr>
      <w:rFonts w:eastAsiaTheme="majorEastAsia" w:cstheme="majorBidi"/>
      <w:b/>
      <w:bCs/>
      <w:color w:val="32375D"/>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76037B"/>
    <w:rPr>
      <w:rFonts w:ascii="Calibri" w:eastAsiaTheme="majorEastAsia" w:hAnsi="Calibri" w:cstheme="majorBidi"/>
      <w:b/>
      <w:bCs/>
      <w:noProof/>
      <w:color w:val="32375D"/>
      <w:sz w:val="36"/>
      <w:szCs w:val="28"/>
    </w:rPr>
  </w:style>
  <w:style w:type="character" w:customStyle="1" w:styleId="Heading2Char">
    <w:name w:val="Heading 2 Char"/>
    <w:basedOn w:val="DefaultParagraphFont"/>
    <w:link w:val="Heading2"/>
    <w:uiPriority w:val="9"/>
    <w:rsid w:val="0076037B"/>
    <w:rPr>
      <w:rFonts w:ascii="Calibri" w:eastAsiaTheme="majorEastAsia" w:hAnsi="Calibri" w:cstheme="majorBidi"/>
      <w:b/>
      <w:bCs/>
      <w:noProof/>
      <w:color w:val="32375D"/>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next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List Paragraph1,List Paragraph11,Recommendation,bullet point list,Bullet point,List Paragraph Number,Bullet Point,List Bullet 1,Body Bullets 1,Bulleted Para,NFP GP Bulleted List,Bullet points,Content descriptions,List Paragraph2,0Bulle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76037B"/>
    <w:pPr>
      <w:spacing w:before="360" w:after="180"/>
      <w:contextualSpacing/>
    </w:pPr>
    <w:rPr>
      <w:rFonts w:eastAsiaTheme="majorEastAsia" w:cstheme="majorBidi"/>
      <w:color w:val="32375D"/>
      <w:spacing w:val="5"/>
      <w:kern w:val="28"/>
      <w:sz w:val="58"/>
      <w:szCs w:val="52"/>
    </w:rPr>
  </w:style>
  <w:style w:type="character" w:customStyle="1" w:styleId="TitleChar">
    <w:name w:val="Title Char"/>
    <w:basedOn w:val="DefaultParagraphFont"/>
    <w:link w:val="Title"/>
    <w:uiPriority w:val="10"/>
    <w:rsid w:val="0076037B"/>
    <w:rPr>
      <w:rFonts w:ascii="Calibri" w:eastAsiaTheme="majorEastAsia" w:hAnsi="Calibri" w:cstheme="majorBidi"/>
      <w:noProof/>
      <w:color w:val="32375D"/>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 Char,List Paragraph1 Char,List Paragraph11 Char,Recommendation Char,bullet point list Char,Bullet point Char,List Paragraph Number Char,Bullet Point Char,List Bullet 1 Char,Body Bullets 1 Char,Bulleted Para Char,Bullet points Char"/>
    <w:basedOn w:val="DefaultParagraphFont"/>
    <w:link w:val="ListParagraph"/>
    <w:uiPriority w:val="34"/>
    <w:qFormat/>
    <w:locked/>
    <w:rsid w:val="00476D8B"/>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0852">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41645767">
      <w:bodyDiv w:val="1"/>
      <w:marLeft w:val="0"/>
      <w:marRight w:val="0"/>
      <w:marTop w:val="0"/>
      <w:marBottom w:val="0"/>
      <w:divBdr>
        <w:top w:val="none" w:sz="0" w:space="0" w:color="auto"/>
        <w:left w:val="none" w:sz="0" w:space="0" w:color="auto"/>
        <w:bottom w:val="none" w:sz="0" w:space="0" w:color="auto"/>
        <w:right w:val="none" w:sz="0" w:space="0" w:color="auto"/>
      </w:divBdr>
    </w:div>
    <w:div w:id="243228482">
      <w:bodyDiv w:val="1"/>
      <w:marLeft w:val="0"/>
      <w:marRight w:val="0"/>
      <w:marTop w:val="0"/>
      <w:marBottom w:val="0"/>
      <w:divBdr>
        <w:top w:val="none" w:sz="0" w:space="0" w:color="auto"/>
        <w:left w:val="none" w:sz="0" w:space="0" w:color="auto"/>
        <w:bottom w:val="none" w:sz="0" w:space="0" w:color="auto"/>
        <w:right w:val="none" w:sz="0" w:space="0" w:color="auto"/>
      </w:divBdr>
    </w:div>
    <w:div w:id="355276292">
      <w:bodyDiv w:val="1"/>
      <w:marLeft w:val="0"/>
      <w:marRight w:val="0"/>
      <w:marTop w:val="0"/>
      <w:marBottom w:val="0"/>
      <w:divBdr>
        <w:top w:val="none" w:sz="0" w:space="0" w:color="auto"/>
        <w:left w:val="none" w:sz="0" w:space="0" w:color="auto"/>
        <w:bottom w:val="none" w:sz="0" w:space="0" w:color="auto"/>
        <w:right w:val="none" w:sz="0" w:space="0" w:color="auto"/>
      </w:divBdr>
    </w:div>
    <w:div w:id="680087283">
      <w:bodyDiv w:val="1"/>
      <w:marLeft w:val="0"/>
      <w:marRight w:val="0"/>
      <w:marTop w:val="0"/>
      <w:marBottom w:val="0"/>
      <w:divBdr>
        <w:top w:val="none" w:sz="0" w:space="0" w:color="auto"/>
        <w:left w:val="none" w:sz="0" w:space="0" w:color="auto"/>
        <w:bottom w:val="none" w:sz="0" w:space="0" w:color="auto"/>
        <w:right w:val="none" w:sz="0" w:space="0" w:color="auto"/>
      </w:divBdr>
    </w:div>
    <w:div w:id="703946606">
      <w:bodyDiv w:val="1"/>
      <w:marLeft w:val="0"/>
      <w:marRight w:val="0"/>
      <w:marTop w:val="0"/>
      <w:marBottom w:val="0"/>
      <w:divBdr>
        <w:top w:val="none" w:sz="0" w:space="0" w:color="auto"/>
        <w:left w:val="none" w:sz="0" w:space="0" w:color="auto"/>
        <w:bottom w:val="none" w:sz="0" w:space="0" w:color="auto"/>
        <w:right w:val="none" w:sz="0" w:space="0" w:color="auto"/>
      </w:divBdr>
    </w:div>
    <w:div w:id="1146899967">
      <w:bodyDiv w:val="1"/>
      <w:marLeft w:val="0"/>
      <w:marRight w:val="0"/>
      <w:marTop w:val="0"/>
      <w:marBottom w:val="0"/>
      <w:divBdr>
        <w:top w:val="none" w:sz="0" w:space="0" w:color="auto"/>
        <w:left w:val="none" w:sz="0" w:space="0" w:color="auto"/>
        <w:bottom w:val="none" w:sz="0" w:space="0" w:color="auto"/>
        <w:right w:val="none" w:sz="0" w:space="0" w:color="auto"/>
      </w:divBdr>
    </w:div>
    <w:div w:id="1237862275">
      <w:bodyDiv w:val="1"/>
      <w:marLeft w:val="0"/>
      <w:marRight w:val="0"/>
      <w:marTop w:val="0"/>
      <w:marBottom w:val="0"/>
      <w:divBdr>
        <w:top w:val="none" w:sz="0" w:space="0" w:color="auto"/>
        <w:left w:val="none" w:sz="0" w:space="0" w:color="auto"/>
        <w:bottom w:val="none" w:sz="0" w:space="0" w:color="auto"/>
        <w:right w:val="none" w:sz="0" w:space="0" w:color="auto"/>
      </w:divBdr>
    </w:div>
    <w:div w:id="1294289680">
      <w:bodyDiv w:val="1"/>
      <w:marLeft w:val="0"/>
      <w:marRight w:val="0"/>
      <w:marTop w:val="0"/>
      <w:marBottom w:val="0"/>
      <w:divBdr>
        <w:top w:val="none" w:sz="0" w:space="0" w:color="auto"/>
        <w:left w:val="none" w:sz="0" w:space="0" w:color="auto"/>
        <w:bottom w:val="none" w:sz="0" w:space="0" w:color="auto"/>
        <w:right w:val="none" w:sz="0" w:space="0" w:color="auto"/>
      </w:divBdr>
    </w:div>
    <w:div w:id="1445271136">
      <w:bodyDiv w:val="1"/>
      <w:marLeft w:val="0"/>
      <w:marRight w:val="0"/>
      <w:marTop w:val="0"/>
      <w:marBottom w:val="0"/>
      <w:divBdr>
        <w:top w:val="none" w:sz="0" w:space="0" w:color="auto"/>
        <w:left w:val="none" w:sz="0" w:space="0" w:color="auto"/>
        <w:bottom w:val="none" w:sz="0" w:space="0" w:color="auto"/>
        <w:right w:val="none" w:sz="0" w:space="0" w:color="auto"/>
      </w:divBdr>
    </w:div>
    <w:div w:id="1518427167">
      <w:bodyDiv w:val="1"/>
      <w:marLeft w:val="0"/>
      <w:marRight w:val="0"/>
      <w:marTop w:val="0"/>
      <w:marBottom w:val="0"/>
      <w:divBdr>
        <w:top w:val="none" w:sz="0" w:space="0" w:color="auto"/>
        <w:left w:val="none" w:sz="0" w:space="0" w:color="auto"/>
        <w:bottom w:val="none" w:sz="0" w:space="0" w:color="auto"/>
        <w:right w:val="none" w:sz="0" w:space="0" w:color="auto"/>
      </w:divBdr>
    </w:div>
    <w:div w:id="1550414918">
      <w:bodyDiv w:val="1"/>
      <w:marLeft w:val="0"/>
      <w:marRight w:val="0"/>
      <w:marTop w:val="0"/>
      <w:marBottom w:val="0"/>
      <w:divBdr>
        <w:top w:val="none" w:sz="0" w:space="0" w:color="auto"/>
        <w:left w:val="none" w:sz="0" w:space="0" w:color="auto"/>
        <w:bottom w:val="none" w:sz="0" w:space="0" w:color="auto"/>
        <w:right w:val="none" w:sz="0" w:space="0" w:color="auto"/>
      </w:divBdr>
    </w:div>
    <w:div w:id="1608806127">
      <w:bodyDiv w:val="1"/>
      <w:marLeft w:val="0"/>
      <w:marRight w:val="0"/>
      <w:marTop w:val="0"/>
      <w:marBottom w:val="0"/>
      <w:divBdr>
        <w:top w:val="none" w:sz="0" w:space="0" w:color="auto"/>
        <w:left w:val="none" w:sz="0" w:space="0" w:color="auto"/>
        <w:bottom w:val="none" w:sz="0" w:space="0" w:color="auto"/>
        <w:right w:val="none" w:sz="0" w:space="0" w:color="auto"/>
      </w:divBdr>
    </w:div>
    <w:div w:id="1617982859">
      <w:bodyDiv w:val="1"/>
      <w:marLeft w:val="0"/>
      <w:marRight w:val="0"/>
      <w:marTop w:val="0"/>
      <w:marBottom w:val="0"/>
      <w:divBdr>
        <w:top w:val="none" w:sz="0" w:space="0" w:color="auto"/>
        <w:left w:val="none" w:sz="0" w:space="0" w:color="auto"/>
        <w:bottom w:val="none" w:sz="0" w:space="0" w:color="auto"/>
        <w:right w:val="none" w:sz="0" w:space="0" w:color="auto"/>
      </w:divBdr>
    </w:div>
    <w:div w:id="1639645464">
      <w:bodyDiv w:val="1"/>
      <w:marLeft w:val="0"/>
      <w:marRight w:val="0"/>
      <w:marTop w:val="0"/>
      <w:marBottom w:val="0"/>
      <w:divBdr>
        <w:top w:val="none" w:sz="0" w:space="0" w:color="auto"/>
        <w:left w:val="none" w:sz="0" w:space="0" w:color="auto"/>
        <w:bottom w:val="none" w:sz="0" w:space="0" w:color="auto"/>
        <w:right w:val="none" w:sz="0" w:space="0" w:color="auto"/>
      </w:divBdr>
    </w:div>
    <w:div w:id="1682387375">
      <w:bodyDiv w:val="1"/>
      <w:marLeft w:val="0"/>
      <w:marRight w:val="0"/>
      <w:marTop w:val="0"/>
      <w:marBottom w:val="0"/>
      <w:divBdr>
        <w:top w:val="none" w:sz="0" w:space="0" w:color="auto"/>
        <w:left w:val="none" w:sz="0" w:space="0" w:color="auto"/>
        <w:bottom w:val="none" w:sz="0" w:space="0" w:color="auto"/>
        <w:right w:val="none" w:sz="0" w:space="0" w:color="auto"/>
      </w:divBdr>
    </w:div>
    <w:div w:id="1733768833">
      <w:bodyDiv w:val="1"/>
      <w:marLeft w:val="0"/>
      <w:marRight w:val="0"/>
      <w:marTop w:val="0"/>
      <w:marBottom w:val="0"/>
      <w:divBdr>
        <w:top w:val="none" w:sz="0" w:space="0" w:color="auto"/>
        <w:left w:val="none" w:sz="0" w:space="0" w:color="auto"/>
        <w:bottom w:val="none" w:sz="0" w:space="0" w:color="auto"/>
        <w:right w:val="none" w:sz="0" w:space="0" w:color="auto"/>
      </w:divBdr>
    </w:div>
    <w:div w:id="1793791509">
      <w:bodyDiv w:val="1"/>
      <w:marLeft w:val="0"/>
      <w:marRight w:val="0"/>
      <w:marTop w:val="0"/>
      <w:marBottom w:val="0"/>
      <w:divBdr>
        <w:top w:val="none" w:sz="0" w:space="0" w:color="auto"/>
        <w:left w:val="none" w:sz="0" w:space="0" w:color="auto"/>
        <w:bottom w:val="none" w:sz="0" w:space="0" w:color="auto"/>
        <w:right w:val="none" w:sz="0" w:space="0" w:color="auto"/>
      </w:divBdr>
    </w:div>
    <w:div w:id="1884978016">
      <w:bodyDiv w:val="1"/>
      <w:marLeft w:val="0"/>
      <w:marRight w:val="0"/>
      <w:marTop w:val="0"/>
      <w:marBottom w:val="0"/>
      <w:divBdr>
        <w:top w:val="none" w:sz="0" w:space="0" w:color="auto"/>
        <w:left w:val="none" w:sz="0" w:space="0" w:color="auto"/>
        <w:bottom w:val="none" w:sz="0" w:space="0" w:color="auto"/>
        <w:right w:val="none" w:sz="0" w:space="0" w:color="auto"/>
      </w:divBdr>
    </w:div>
    <w:div w:id="1911891231">
      <w:bodyDiv w:val="1"/>
      <w:marLeft w:val="0"/>
      <w:marRight w:val="0"/>
      <w:marTop w:val="0"/>
      <w:marBottom w:val="0"/>
      <w:divBdr>
        <w:top w:val="none" w:sz="0" w:space="0" w:color="auto"/>
        <w:left w:val="none" w:sz="0" w:space="0" w:color="auto"/>
        <w:bottom w:val="none" w:sz="0" w:space="0" w:color="auto"/>
        <w:right w:val="none" w:sz="0" w:space="0" w:color="auto"/>
      </w:divBdr>
    </w:div>
    <w:div w:id="20257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eform@education.gov.a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8AFD2-45BC-4142-8709-C2B5878B8F70}"/>
</file>

<file path=customXml/itemProps2.xml><?xml version="1.0" encoding="utf-8"?>
<ds:datastoreItem xmlns:ds="http://schemas.openxmlformats.org/officeDocument/2006/customXml" ds:itemID="{FF57C553-C660-49C1-9491-F1B3CB7B01B1}"/>
</file>

<file path=customXml/itemProps3.xml><?xml version="1.0" encoding="utf-8"?>
<ds:datastoreItem xmlns:ds="http://schemas.openxmlformats.org/officeDocument/2006/customXml" ds:itemID="{D2354AB1-1B07-402A-815D-7A4694317119}"/>
</file>

<file path=customXml/itemProps4.xml><?xml version="1.0" encoding="utf-8"?>
<ds:datastoreItem xmlns:ds="http://schemas.openxmlformats.org/officeDocument/2006/customXml" ds:itemID="{587F8EBC-F3AB-4FD5-B005-5223E4240C01}"/>
</file>

<file path=docProps/app.xml><?xml version="1.0" encoding="utf-8"?>
<Properties xmlns="http://schemas.openxmlformats.org/officeDocument/2006/extended-properties" xmlns:vt="http://schemas.openxmlformats.org/officeDocument/2006/docPropsVTypes">
  <Template>A17FD3F7.dotm</Template>
  <TotalTime>2</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lastModifiedBy>HARDERS,Paul</cp:lastModifiedBy>
  <cp:revision>3</cp:revision>
  <cp:lastPrinted>2013-01-17T00:36:00Z</cp:lastPrinted>
  <dcterms:created xsi:type="dcterms:W3CDTF">2017-10-09T22:23:00Z</dcterms:created>
  <dcterms:modified xsi:type="dcterms:W3CDTF">2017-10-09T22:24:00Z</dcterms:modified>
</cp:coreProperties>
</file>