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CEBFC" w14:textId="39100761" w:rsidR="001414F3" w:rsidRPr="00F07543" w:rsidRDefault="00243D6B" w:rsidP="00F07543">
      <w:r>
        <w:rPr>
          <w:noProof/>
          <w:lang w:eastAsia="en-AU"/>
        </w:rPr>
        <w:drawing>
          <wp:anchor distT="0" distB="0" distL="114300" distR="114300" simplePos="0" relativeHeight="251659264" behindDoc="0" locked="0" layoutInCell="1" allowOverlap="1" wp14:anchorId="77499748" wp14:editId="4486B129">
            <wp:simplePos x="0" y="0"/>
            <wp:positionH relativeFrom="column">
              <wp:align>left</wp:align>
            </wp:positionH>
            <wp:positionV relativeFrom="paragraph">
              <wp:align>top</wp:align>
            </wp:positionV>
            <wp:extent cx="2252345" cy="403860"/>
            <wp:effectExtent l="0" t="0" r="0" b="0"/>
            <wp:wrapSquare wrapText="bothSides"/>
            <wp:docPr id="1" name="Picture 1" descr="Australian Government Department of Education and Training"/>
            <wp:cNvGraphicFramePr/>
            <a:graphic xmlns:a="http://schemas.openxmlformats.org/drawingml/2006/main">
              <a:graphicData uri="http://schemas.openxmlformats.org/drawingml/2006/picture">
                <pic:pic xmlns:pic="http://schemas.openxmlformats.org/drawingml/2006/picture">
                  <pic:nvPicPr>
                    <pic:cNvPr id="1" name="Picture 1" descr="Department of Educat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2345" cy="403860"/>
                    </a:xfrm>
                    <a:prstGeom prst="rect">
                      <a:avLst/>
                    </a:prstGeom>
                  </pic:spPr>
                </pic:pic>
              </a:graphicData>
            </a:graphic>
          </wp:anchor>
        </w:drawing>
      </w:r>
      <w:r w:rsidR="00AB139E">
        <w:br w:type="textWrapping" w:clear="all"/>
      </w:r>
    </w:p>
    <w:sdt>
      <w:sdtPr>
        <w:alias w:val="Title"/>
        <w:tag w:val=""/>
        <w:id w:val="-19171197"/>
        <w:placeholder>
          <w:docPart w:val="655179CBEE4245B3A81E2C8017F483AD"/>
        </w:placeholder>
        <w:dataBinding w:prefixMappings="xmlns:ns0='http://purl.org/dc/elements/1.1/' xmlns:ns1='http://schemas.openxmlformats.org/package/2006/metadata/core-properties' " w:xpath="/ns1:coreProperties[1]/ns0:title[1]" w:storeItemID="{6C3C8BC8-F283-45AE-878A-BAB7291924A1}"/>
        <w:text/>
      </w:sdtPr>
      <w:sdtEndPr/>
      <w:sdtContent>
        <w:p w14:paraId="205CEBFE" w14:textId="4B740596" w:rsidR="00BA282D" w:rsidRDefault="005D328A" w:rsidP="00F07543">
          <w:pPr>
            <w:pStyle w:val="Title"/>
            <w:spacing w:before="2280"/>
            <w:ind w:left="1276" w:right="-23"/>
          </w:pPr>
          <w:r>
            <w:t>2016</w:t>
          </w:r>
          <w:r w:rsidR="000B79D3">
            <w:t xml:space="preserve"> VET FEE</w:t>
          </w:r>
          <w:r w:rsidR="000B79D3">
            <w:noBreakHyphen/>
            <w:t>HELP Statistical Report</w:t>
          </w:r>
        </w:p>
      </w:sdtContent>
    </w:sdt>
    <w:p w14:paraId="205CEC01" w14:textId="6B3FF2B2" w:rsidR="00130923" w:rsidRDefault="00F47193" w:rsidP="00F07543">
      <w:pPr>
        <w:spacing w:before="8760"/>
      </w:pPr>
      <w:r>
        <w:rPr>
          <w:noProof/>
          <w:lang w:eastAsia="en-AU"/>
        </w:rPr>
        <w:drawing>
          <wp:anchor distT="0" distB="0" distL="114300" distR="114300" simplePos="0" relativeHeight="251658240" behindDoc="1" locked="0" layoutInCell="1" allowOverlap="1" wp14:anchorId="205CEC44" wp14:editId="205CEC45">
            <wp:simplePos x="0" y="0"/>
            <wp:positionH relativeFrom="page">
              <wp:posOffset>0</wp:posOffset>
            </wp:positionH>
            <wp:positionV relativeFrom="page">
              <wp:align>bottom</wp:align>
            </wp:positionV>
            <wp:extent cx="7653020" cy="5392420"/>
            <wp:effectExtent l="0" t="0" r="5080"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report cover_01.jpg"/>
                    <pic:cNvPicPr/>
                  </pic:nvPicPr>
                  <pic:blipFill>
                    <a:blip r:embed="rId12">
                      <a:extLst>
                        <a:ext uri="{28A0092B-C50C-407E-A947-70E740481C1C}">
                          <a14:useLocalDpi xmlns:a14="http://schemas.microsoft.com/office/drawing/2010/main" val="0"/>
                        </a:ext>
                      </a:extLst>
                    </a:blip>
                    <a:stretch>
                      <a:fillRect/>
                    </a:stretch>
                  </pic:blipFill>
                  <pic:spPr>
                    <a:xfrm>
                      <a:off x="0" y="0"/>
                      <a:ext cx="7653600" cy="5392800"/>
                    </a:xfrm>
                    <a:prstGeom prst="rect">
                      <a:avLst/>
                    </a:prstGeom>
                  </pic:spPr>
                </pic:pic>
              </a:graphicData>
            </a:graphic>
            <wp14:sizeRelH relativeFrom="page">
              <wp14:pctWidth>0</wp14:pctWidth>
            </wp14:sizeRelH>
            <wp14:sizeRelV relativeFrom="page">
              <wp14:pctHeight>0</wp14:pctHeight>
            </wp14:sizeRelV>
          </wp:anchor>
        </w:drawing>
      </w:r>
      <w:r w:rsidRPr="00A475CB">
        <w:rPr>
          <w:rStyle w:val="Emphasis"/>
          <w:color w:val="FFFFFF" w:themeColor="background2"/>
        </w:rPr>
        <w:t>Opportunity through learning</w:t>
      </w:r>
      <w:r w:rsidR="00130923">
        <w:br w:type="page"/>
      </w:r>
    </w:p>
    <w:p w14:paraId="205CEC02" w14:textId="77777777" w:rsidR="00130923" w:rsidRDefault="00130923" w:rsidP="00130923">
      <w:pPr>
        <w:pStyle w:val="BodyText"/>
        <w:sectPr w:rsidR="00130923" w:rsidSect="00AD09E4">
          <w:footerReference w:type="default" r:id="rId13"/>
          <w:footerReference w:type="first" r:id="rId14"/>
          <w:pgSz w:w="11906" w:h="16838"/>
          <w:pgMar w:top="1418" w:right="1558" w:bottom="567" w:left="1440" w:header="708" w:footer="283" w:gutter="0"/>
          <w:cols w:space="708"/>
          <w:docGrid w:linePitch="360"/>
        </w:sectPr>
      </w:pPr>
    </w:p>
    <w:p w14:paraId="205CEC03" w14:textId="77777777" w:rsidR="00130923" w:rsidRPr="008E4DA0" w:rsidRDefault="00130923" w:rsidP="007D58FB">
      <w:r w:rsidRPr="008E4DA0">
        <w:lastRenderedPageBreak/>
        <w:t>ISBN</w:t>
      </w:r>
    </w:p>
    <w:p w14:paraId="205CEC04" w14:textId="1F1C5AE4" w:rsidR="00130923" w:rsidRPr="007D58FB" w:rsidRDefault="006A71F3" w:rsidP="007D58FB">
      <w:pPr>
        <w:rPr>
          <w:szCs w:val="20"/>
        </w:rPr>
      </w:pPr>
      <w:r w:rsidRPr="006A71F3">
        <w:rPr>
          <w:rFonts w:ascii="Arial" w:hAnsi="Arial" w:cs="Arial"/>
          <w:sz w:val="20"/>
          <w:szCs w:val="20"/>
        </w:rPr>
        <w:t>978-1-76051-097-8</w:t>
      </w:r>
      <w:r w:rsidRPr="006A71F3">
        <w:rPr>
          <w:szCs w:val="20"/>
        </w:rPr>
        <w:t xml:space="preserve"> </w:t>
      </w:r>
      <w:r w:rsidR="00130923" w:rsidRPr="006A71F3">
        <w:rPr>
          <w:szCs w:val="20"/>
        </w:rPr>
        <w:t>[PDF]</w:t>
      </w:r>
      <w:r w:rsidR="00130923" w:rsidRPr="006A71F3">
        <w:rPr>
          <w:szCs w:val="20"/>
        </w:rPr>
        <w:br/>
      </w:r>
      <w:r w:rsidRPr="006A71F3">
        <w:rPr>
          <w:rFonts w:ascii="Arial" w:hAnsi="Arial" w:cs="Arial"/>
          <w:sz w:val="20"/>
          <w:szCs w:val="20"/>
        </w:rPr>
        <w:t>978-1-76051-098-5</w:t>
      </w:r>
      <w:r w:rsidR="0035389A" w:rsidRPr="006A71F3">
        <w:rPr>
          <w:szCs w:val="20"/>
        </w:rPr>
        <w:t xml:space="preserve"> </w:t>
      </w:r>
      <w:r w:rsidR="00130923" w:rsidRPr="006A71F3">
        <w:rPr>
          <w:szCs w:val="20"/>
        </w:rPr>
        <w:t>[DOCX]</w:t>
      </w:r>
    </w:p>
    <w:p w14:paraId="205CEC05" w14:textId="77777777" w:rsidR="00130923" w:rsidRDefault="00130923" w:rsidP="00130923">
      <w:pPr>
        <w:pStyle w:val="numberedpara"/>
        <w:numPr>
          <w:ilvl w:val="0"/>
          <w:numId w:val="0"/>
        </w:numPr>
        <w:tabs>
          <w:tab w:val="left" w:pos="720"/>
        </w:tabs>
        <w:rPr>
          <w:sz w:val="20"/>
          <w:szCs w:val="20"/>
        </w:rPr>
      </w:pPr>
      <w:r>
        <w:rPr>
          <w:noProof/>
          <w:sz w:val="20"/>
          <w:szCs w:val="20"/>
        </w:rPr>
        <w:drawing>
          <wp:inline distT="0" distB="0" distL="0" distR="0" wp14:anchorId="205CEC46" wp14:editId="205CEC47">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5" r:link="rId16"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205CEC06" w14:textId="277C01A0" w:rsidR="00130923" w:rsidRPr="000462F1" w:rsidRDefault="00130923" w:rsidP="007D58FB">
      <w:r w:rsidRPr="000462F1">
        <w:t xml:space="preserve">With the exception of the Commonwealth Coat of Arms, the Department’s logo, any material protected by a trade mark and where otherwise noted all material presented in this document is provided under a </w:t>
      </w:r>
      <w:hyperlink r:id="rId17" w:history="1">
        <w:r w:rsidR="00C84E0C" w:rsidRPr="004164A2">
          <w:rPr>
            <w:rStyle w:val="Hyperlink"/>
          </w:rPr>
          <w:t>Creative Commons Attribution 4.0 International</w:t>
        </w:r>
      </w:hyperlink>
      <w:r w:rsidR="007D58FB">
        <w:t xml:space="preserve"> </w:t>
      </w:r>
      <w:r w:rsidRPr="000462F1">
        <w:t>(</w:t>
      </w:r>
      <w:r w:rsidRPr="00EC78E7">
        <w:t>http://c</w:t>
      </w:r>
      <w:r w:rsidR="00F469D2">
        <w:t>reativecommons.org/licenses/by/4</w:t>
      </w:r>
      <w:r w:rsidRPr="00EC78E7">
        <w:t>.0/au/</w:t>
      </w:r>
      <w:r w:rsidRPr="000462F1">
        <w:t>) licence.</w:t>
      </w:r>
    </w:p>
    <w:p w14:paraId="205CEC07" w14:textId="07437E0C" w:rsidR="00130923" w:rsidRPr="000462F1" w:rsidRDefault="00130923" w:rsidP="007D58FB">
      <w:r w:rsidRPr="000462F1">
        <w:t xml:space="preserve">The details of the relevant licence conditions are available on the Creative Commons website (accessible using the links provided) as is the full legal code for the </w:t>
      </w:r>
      <w:hyperlink r:id="rId18" w:history="1">
        <w:r w:rsidR="00C84E0C" w:rsidRPr="004164A2">
          <w:rPr>
            <w:rStyle w:val="Hyperlink"/>
          </w:rPr>
          <w:t>CC BY 4.0 International</w:t>
        </w:r>
      </w:hyperlink>
      <w:r w:rsidRPr="000462F1">
        <w:t xml:space="preserve"> (</w:t>
      </w:r>
      <w:r w:rsidRPr="00EC78E7">
        <w:t>http://creativecommons.org/licenses/by/</w:t>
      </w:r>
      <w:r w:rsidR="00C84E0C">
        <w:t>4</w:t>
      </w:r>
      <w:r w:rsidRPr="00EC78E7">
        <w:t>.0</w:t>
      </w:r>
      <w:r w:rsidR="00C84E0C">
        <w:t>/</w:t>
      </w:r>
      <w:r w:rsidRPr="00EC78E7">
        <w:t>legalcode</w:t>
      </w:r>
      <w:r w:rsidRPr="000462F1">
        <w:t>).</w:t>
      </w:r>
    </w:p>
    <w:p w14:paraId="205CEC08" w14:textId="0A3746E4" w:rsidR="00130923" w:rsidRDefault="00130923" w:rsidP="007D58FB">
      <w:r w:rsidRPr="000462F1">
        <w:t>The document must be attributed as the</w:t>
      </w:r>
      <w:r w:rsidR="00AB661C">
        <w:t xml:space="preserve"> 201</w:t>
      </w:r>
      <w:r w:rsidR="005D328A">
        <w:t>6</w:t>
      </w:r>
      <w:r w:rsidR="00AB661C">
        <w:t xml:space="preserve"> VET FEE</w:t>
      </w:r>
      <w:r w:rsidR="00AB661C">
        <w:noBreakHyphen/>
        <w:t>HELP Statistical Report</w:t>
      </w:r>
      <w:r>
        <w:t>.</w:t>
      </w:r>
    </w:p>
    <w:p w14:paraId="205CEC09" w14:textId="77777777" w:rsidR="00130923" w:rsidRDefault="00130923" w:rsidP="00130923">
      <w:pPr>
        <w:pStyle w:val="numberedpara"/>
        <w:numPr>
          <w:ilvl w:val="0"/>
          <w:numId w:val="0"/>
        </w:numPr>
        <w:tabs>
          <w:tab w:val="left" w:pos="720"/>
        </w:tabs>
        <w:spacing w:before="120" w:after="120"/>
        <w:rPr>
          <w:sz w:val="20"/>
          <w:szCs w:val="20"/>
        </w:rPr>
        <w:sectPr w:rsidR="00130923" w:rsidSect="007D58FB">
          <w:type w:val="continuous"/>
          <w:pgSz w:w="11906" w:h="16838"/>
          <w:pgMar w:top="10348" w:right="1440" w:bottom="1440" w:left="1440" w:header="708" w:footer="708" w:gutter="0"/>
          <w:cols w:space="708"/>
          <w:docGrid w:linePitch="360"/>
        </w:sectPr>
      </w:pPr>
    </w:p>
    <w:sdt>
      <w:sdtPr>
        <w:rPr>
          <w:rFonts w:asciiTheme="minorHAnsi" w:eastAsiaTheme="minorEastAsia" w:hAnsiTheme="minorHAnsi" w:cstheme="minorBidi"/>
          <w:b w:val="0"/>
          <w:bCs w:val="0"/>
          <w:color w:val="auto"/>
          <w:sz w:val="22"/>
          <w:szCs w:val="22"/>
          <w:lang w:bidi="ar-SA"/>
        </w:rPr>
        <w:id w:val="-139263470"/>
        <w:docPartObj>
          <w:docPartGallery w:val="Table of Contents"/>
          <w:docPartUnique/>
        </w:docPartObj>
      </w:sdtPr>
      <w:sdtEndPr>
        <w:rPr>
          <w:noProof/>
        </w:rPr>
      </w:sdtEndPr>
      <w:sdtContent>
        <w:p w14:paraId="205CEC0A" w14:textId="77777777" w:rsidR="00EF4A38" w:rsidRPr="00945BA9" w:rsidRDefault="00EF4A38">
          <w:pPr>
            <w:pStyle w:val="TOCHeading"/>
            <w:rPr>
              <w:rStyle w:val="Heading1Char"/>
              <w:b/>
            </w:rPr>
          </w:pPr>
          <w:r w:rsidRPr="00945BA9">
            <w:rPr>
              <w:rStyle w:val="Heading1Char"/>
              <w:b/>
            </w:rPr>
            <w:t>Contents</w:t>
          </w:r>
          <w:bookmarkStart w:id="0" w:name="_GoBack"/>
          <w:bookmarkEnd w:id="0"/>
        </w:p>
        <w:p w14:paraId="6A043CF4" w14:textId="2B284340" w:rsidR="004328FC" w:rsidRDefault="00FE1215">
          <w:pPr>
            <w:pStyle w:val="TOC1"/>
            <w:tabs>
              <w:tab w:val="right" w:pos="9016"/>
            </w:tabs>
            <w:rPr>
              <w:noProof/>
              <w:lang w:eastAsia="en-AU"/>
            </w:rPr>
          </w:pPr>
          <w:r>
            <w:fldChar w:fldCharType="begin"/>
          </w:r>
          <w:r>
            <w:instrText xml:space="preserve"> TOC \o "1-3" \u </w:instrText>
          </w:r>
          <w:r>
            <w:fldChar w:fldCharType="separate"/>
          </w:r>
          <w:r w:rsidR="004328FC">
            <w:rPr>
              <w:noProof/>
            </w:rPr>
            <w:t>Overview</w:t>
          </w:r>
          <w:r w:rsidR="004328FC">
            <w:rPr>
              <w:noProof/>
            </w:rPr>
            <w:tab/>
          </w:r>
          <w:r w:rsidR="004328FC">
            <w:rPr>
              <w:noProof/>
            </w:rPr>
            <w:fldChar w:fldCharType="begin"/>
          </w:r>
          <w:r w:rsidR="004328FC">
            <w:rPr>
              <w:noProof/>
            </w:rPr>
            <w:instrText xml:space="preserve"> PAGEREF _Toc490468904 \h </w:instrText>
          </w:r>
          <w:r w:rsidR="004328FC">
            <w:rPr>
              <w:noProof/>
            </w:rPr>
          </w:r>
          <w:r w:rsidR="004328FC">
            <w:rPr>
              <w:noProof/>
            </w:rPr>
            <w:fldChar w:fldCharType="separate"/>
          </w:r>
          <w:r w:rsidR="003B13A2">
            <w:rPr>
              <w:noProof/>
            </w:rPr>
            <w:t>3</w:t>
          </w:r>
          <w:r w:rsidR="004328FC">
            <w:rPr>
              <w:noProof/>
            </w:rPr>
            <w:fldChar w:fldCharType="end"/>
          </w:r>
        </w:p>
        <w:p w14:paraId="3FA33D73" w14:textId="5FCBEF21" w:rsidR="004328FC" w:rsidRDefault="004328FC">
          <w:pPr>
            <w:pStyle w:val="TOC2"/>
            <w:tabs>
              <w:tab w:val="right" w:pos="9016"/>
            </w:tabs>
            <w:rPr>
              <w:noProof/>
              <w:lang w:eastAsia="en-AU"/>
            </w:rPr>
          </w:pPr>
          <w:r>
            <w:rPr>
              <w:noProof/>
            </w:rPr>
            <w:t>Student numbers</w:t>
          </w:r>
          <w:r>
            <w:rPr>
              <w:noProof/>
            </w:rPr>
            <w:tab/>
          </w:r>
          <w:r>
            <w:rPr>
              <w:noProof/>
            </w:rPr>
            <w:fldChar w:fldCharType="begin"/>
          </w:r>
          <w:r>
            <w:rPr>
              <w:noProof/>
            </w:rPr>
            <w:instrText xml:space="preserve"> PAGEREF _Toc490468905 \h </w:instrText>
          </w:r>
          <w:r>
            <w:rPr>
              <w:noProof/>
            </w:rPr>
          </w:r>
          <w:r>
            <w:rPr>
              <w:noProof/>
            </w:rPr>
            <w:fldChar w:fldCharType="separate"/>
          </w:r>
          <w:r w:rsidR="003B13A2">
            <w:rPr>
              <w:noProof/>
            </w:rPr>
            <w:t>4</w:t>
          </w:r>
          <w:r>
            <w:rPr>
              <w:noProof/>
            </w:rPr>
            <w:fldChar w:fldCharType="end"/>
          </w:r>
        </w:p>
        <w:p w14:paraId="74793253" w14:textId="2F98972F" w:rsidR="004328FC" w:rsidRDefault="004328FC">
          <w:pPr>
            <w:pStyle w:val="TOC2"/>
            <w:tabs>
              <w:tab w:val="right" w:pos="9016"/>
            </w:tabs>
            <w:rPr>
              <w:noProof/>
              <w:lang w:eastAsia="en-AU"/>
            </w:rPr>
          </w:pPr>
          <w:r>
            <w:rPr>
              <w:noProof/>
            </w:rPr>
            <w:t>Student characteristics</w:t>
          </w:r>
          <w:r>
            <w:rPr>
              <w:noProof/>
            </w:rPr>
            <w:tab/>
          </w:r>
          <w:r>
            <w:rPr>
              <w:noProof/>
            </w:rPr>
            <w:fldChar w:fldCharType="begin"/>
          </w:r>
          <w:r>
            <w:rPr>
              <w:noProof/>
            </w:rPr>
            <w:instrText xml:space="preserve"> PAGEREF _Toc490468906 \h </w:instrText>
          </w:r>
          <w:r>
            <w:rPr>
              <w:noProof/>
            </w:rPr>
          </w:r>
          <w:r>
            <w:rPr>
              <w:noProof/>
            </w:rPr>
            <w:fldChar w:fldCharType="separate"/>
          </w:r>
          <w:r w:rsidR="003B13A2">
            <w:rPr>
              <w:noProof/>
            </w:rPr>
            <w:t>4</w:t>
          </w:r>
          <w:r>
            <w:rPr>
              <w:noProof/>
            </w:rPr>
            <w:fldChar w:fldCharType="end"/>
          </w:r>
        </w:p>
        <w:p w14:paraId="688C9A47" w14:textId="1399D08C" w:rsidR="004328FC" w:rsidRDefault="004328FC">
          <w:pPr>
            <w:pStyle w:val="TOC2"/>
            <w:tabs>
              <w:tab w:val="right" w:pos="9016"/>
            </w:tabs>
            <w:rPr>
              <w:noProof/>
              <w:lang w:eastAsia="en-AU"/>
            </w:rPr>
          </w:pPr>
          <w:r>
            <w:rPr>
              <w:noProof/>
            </w:rPr>
            <w:t>Field of education</w:t>
          </w:r>
          <w:r>
            <w:rPr>
              <w:noProof/>
            </w:rPr>
            <w:tab/>
          </w:r>
          <w:r>
            <w:rPr>
              <w:noProof/>
            </w:rPr>
            <w:fldChar w:fldCharType="begin"/>
          </w:r>
          <w:r>
            <w:rPr>
              <w:noProof/>
            </w:rPr>
            <w:instrText xml:space="preserve"> PAGEREF _Toc490468907 \h </w:instrText>
          </w:r>
          <w:r>
            <w:rPr>
              <w:noProof/>
            </w:rPr>
          </w:r>
          <w:r>
            <w:rPr>
              <w:noProof/>
            </w:rPr>
            <w:fldChar w:fldCharType="separate"/>
          </w:r>
          <w:r w:rsidR="003B13A2">
            <w:rPr>
              <w:noProof/>
            </w:rPr>
            <w:t>5</w:t>
          </w:r>
          <w:r>
            <w:rPr>
              <w:noProof/>
            </w:rPr>
            <w:fldChar w:fldCharType="end"/>
          </w:r>
        </w:p>
        <w:p w14:paraId="75078702" w14:textId="188F7A24" w:rsidR="004328FC" w:rsidRDefault="004328FC">
          <w:pPr>
            <w:pStyle w:val="TOC2"/>
            <w:tabs>
              <w:tab w:val="right" w:pos="9016"/>
            </w:tabs>
            <w:rPr>
              <w:noProof/>
              <w:lang w:eastAsia="en-AU"/>
            </w:rPr>
          </w:pPr>
          <w:r>
            <w:rPr>
              <w:noProof/>
            </w:rPr>
            <w:t>Completions</w:t>
          </w:r>
          <w:r>
            <w:rPr>
              <w:noProof/>
            </w:rPr>
            <w:tab/>
          </w:r>
          <w:r>
            <w:rPr>
              <w:noProof/>
            </w:rPr>
            <w:fldChar w:fldCharType="begin"/>
          </w:r>
          <w:r>
            <w:rPr>
              <w:noProof/>
            </w:rPr>
            <w:instrText xml:space="preserve"> PAGEREF _Toc490468908 \h </w:instrText>
          </w:r>
          <w:r>
            <w:rPr>
              <w:noProof/>
            </w:rPr>
          </w:r>
          <w:r>
            <w:rPr>
              <w:noProof/>
            </w:rPr>
            <w:fldChar w:fldCharType="separate"/>
          </w:r>
          <w:r w:rsidR="003B13A2">
            <w:rPr>
              <w:noProof/>
            </w:rPr>
            <w:t>5</w:t>
          </w:r>
          <w:r>
            <w:rPr>
              <w:noProof/>
            </w:rPr>
            <w:fldChar w:fldCharType="end"/>
          </w:r>
        </w:p>
        <w:p w14:paraId="3CD3432D" w14:textId="5DF7847F" w:rsidR="004328FC" w:rsidRDefault="004328FC">
          <w:pPr>
            <w:pStyle w:val="TOC2"/>
            <w:tabs>
              <w:tab w:val="right" w:pos="9016"/>
            </w:tabs>
            <w:rPr>
              <w:noProof/>
              <w:lang w:eastAsia="en-AU"/>
            </w:rPr>
          </w:pPr>
          <w:r>
            <w:rPr>
              <w:noProof/>
            </w:rPr>
            <w:t>VET FEE-HELP loans</w:t>
          </w:r>
          <w:r>
            <w:rPr>
              <w:noProof/>
            </w:rPr>
            <w:tab/>
          </w:r>
          <w:r>
            <w:rPr>
              <w:noProof/>
            </w:rPr>
            <w:fldChar w:fldCharType="begin"/>
          </w:r>
          <w:r>
            <w:rPr>
              <w:noProof/>
            </w:rPr>
            <w:instrText xml:space="preserve"> PAGEREF _Toc490468909 \h </w:instrText>
          </w:r>
          <w:r>
            <w:rPr>
              <w:noProof/>
            </w:rPr>
          </w:r>
          <w:r>
            <w:rPr>
              <w:noProof/>
            </w:rPr>
            <w:fldChar w:fldCharType="separate"/>
          </w:r>
          <w:r w:rsidR="003B13A2">
            <w:rPr>
              <w:noProof/>
            </w:rPr>
            <w:t>6</w:t>
          </w:r>
          <w:r>
            <w:rPr>
              <w:noProof/>
            </w:rPr>
            <w:fldChar w:fldCharType="end"/>
          </w:r>
        </w:p>
        <w:p w14:paraId="0FC4DB1C" w14:textId="31706410" w:rsidR="004328FC" w:rsidRDefault="004328FC">
          <w:pPr>
            <w:pStyle w:val="TOC2"/>
            <w:tabs>
              <w:tab w:val="right" w:pos="9016"/>
            </w:tabs>
            <w:rPr>
              <w:noProof/>
              <w:lang w:eastAsia="en-AU"/>
            </w:rPr>
          </w:pPr>
          <w:r>
            <w:rPr>
              <w:noProof/>
            </w:rPr>
            <w:t>Providers</w:t>
          </w:r>
          <w:r>
            <w:rPr>
              <w:noProof/>
            </w:rPr>
            <w:tab/>
          </w:r>
          <w:r>
            <w:rPr>
              <w:noProof/>
            </w:rPr>
            <w:fldChar w:fldCharType="begin"/>
          </w:r>
          <w:r>
            <w:rPr>
              <w:noProof/>
            </w:rPr>
            <w:instrText xml:space="preserve"> PAGEREF _Toc490468910 \h </w:instrText>
          </w:r>
          <w:r>
            <w:rPr>
              <w:noProof/>
            </w:rPr>
          </w:r>
          <w:r>
            <w:rPr>
              <w:noProof/>
            </w:rPr>
            <w:fldChar w:fldCharType="separate"/>
          </w:r>
          <w:r w:rsidR="003B13A2">
            <w:rPr>
              <w:noProof/>
            </w:rPr>
            <w:t>6</w:t>
          </w:r>
          <w:r>
            <w:rPr>
              <w:noProof/>
            </w:rPr>
            <w:fldChar w:fldCharType="end"/>
          </w:r>
        </w:p>
        <w:p w14:paraId="0E1678C6" w14:textId="1719E201" w:rsidR="004328FC" w:rsidRDefault="004328FC">
          <w:pPr>
            <w:pStyle w:val="TOC2"/>
            <w:tabs>
              <w:tab w:val="right" w:pos="9016"/>
            </w:tabs>
            <w:rPr>
              <w:noProof/>
              <w:lang w:eastAsia="en-AU"/>
            </w:rPr>
          </w:pPr>
          <w:r>
            <w:rPr>
              <w:noProof/>
            </w:rPr>
            <w:t>Appendix: Statistical Table Contents</w:t>
          </w:r>
          <w:r>
            <w:rPr>
              <w:noProof/>
            </w:rPr>
            <w:tab/>
          </w:r>
          <w:r>
            <w:rPr>
              <w:noProof/>
            </w:rPr>
            <w:fldChar w:fldCharType="begin"/>
          </w:r>
          <w:r>
            <w:rPr>
              <w:noProof/>
            </w:rPr>
            <w:instrText xml:space="preserve"> PAGEREF _Toc490468911 \h </w:instrText>
          </w:r>
          <w:r>
            <w:rPr>
              <w:noProof/>
            </w:rPr>
          </w:r>
          <w:r>
            <w:rPr>
              <w:noProof/>
            </w:rPr>
            <w:fldChar w:fldCharType="separate"/>
          </w:r>
          <w:r w:rsidR="003B13A2">
            <w:rPr>
              <w:noProof/>
            </w:rPr>
            <w:t>7</w:t>
          </w:r>
          <w:r>
            <w:rPr>
              <w:noProof/>
            </w:rPr>
            <w:fldChar w:fldCharType="end"/>
          </w:r>
        </w:p>
        <w:p w14:paraId="205CEC0E" w14:textId="65E70052" w:rsidR="00EF4A38" w:rsidRDefault="00FE1215">
          <w:r>
            <w:fldChar w:fldCharType="end"/>
          </w:r>
        </w:p>
      </w:sdtContent>
    </w:sdt>
    <w:p w14:paraId="205CEC0F" w14:textId="77777777" w:rsidR="00EF4A38" w:rsidRDefault="00EF4A38" w:rsidP="00EF4A38">
      <w:pPr>
        <w:pStyle w:val="numberedpara"/>
        <w:numPr>
          <w:ilvl w:val="0"/>
          <w:numId w:val="0"/>
        </w:numPr>
        <w:tabs>
          <w:tab w:val="left" w:pos="720"/>
        </w:tabs>
        <w:spacing w:before="120" w:after="120"/>
        <w:rPr>
          <w:sz w:val="20"/>
          <w:szCs w:val="20"/>
        </w:rPr>
        <w:sectPr w:rsidR="00EF4A38" w:rsidSect="00EF4A38">
          <w:type w:val="continuous"/>
          <w:pgSz w:w="11906" w:h="16838"/>
          <w:pgMar w:top="3544" w:right="1440" w:bottom="1440" w:left="1440" w:header="708" w:footer="708" w:gutter="0"/>
          <w:cols w:space="708"/>
          <w:docGrid w:linePitch="360"/>
        </w:sectPr>
      </w:pPr>
    </w:p>
    <w:p w14:paraId="205CEC14" w14:textId="35EEFAF4" w:rsidR="00C10C19" w:rsidRDefault="005D328A" w:rsidP="00AC65DA">
      <w:pPr>
        <w:pStyle w:val="Heading1"/>
      </w:pPr>
      <w:bookmarkStart w:id="1" w:name="_Toc490468904"/>
      <w:r>
        <w:t>Overview</w:t>
      </w:r>
      <w:bookmarkEnd w:id="1"/>
    </w:p>
    <w:p w14:paraId="2289E001" w14:textId="479F262B" w:rsidR="005D328A" w:rsidRDefault="003A6B44" w:rsidP="005D328A">
      <w:r>
        <w:t xml:space="preserve">This section </w:t>
      </w:r>
      <w:r w:rsidR="00FD15ED">
        <w:t>provides a summary of</w:t>
      </w:r>
      <w:r>
        <w:t xml:space="preserve"> </w:t>
      </w:r>
      <w:r w:rsidR="00FD15ED">
        <w:t xml:space="preserve">key </w:t>
      </w:r>
      <w:r>
        <w:t>VET FEE</w:t>
      </w:r>
      <w:r>
        <w:noBreakHyphen/>
        <w:t xml:space="preserve">HELP (VFH) </w:t>
      </w:r>
      <w:r w:rsidR="005D328A">
        <w:t>statistics. Each point is accompanied by a reference to a table number for easy reference. A summary of the 2016 VET FEE-HELP Statistical Report tables is provided in the Appendix.</w:t>
      </w:r>
      <w:r w:rsidR="008001CD">
        <w:t xml:space="preserve"> </w:t>
      </w:r>
    </w:p>
    <w:p w14:paraId="1E63454E" w14:textId="156B5E15" w:rsidR="005D328A" w:rsidRDefault="005D328A" w:rsidP="005D328A">
      <w:r>
        <w:t xml:space="preserve">Note that throughout this summary, and the statistical tables, we use the term “eligible student” to refer to any student who was </w:t>
      </w:r>
      <w:r w:rsidR="003A6B44">
        <w:t xml:space="preserve">eligible to access VFH, and who was </w:t>
      </w:r>
      <w:r>
        <w:t xml:space="preserve">studying in a </w:t>
      </w:r>
      <w:r w:rsidR="00722DE2">
        <w:t xml:space="preserve">VFH </w:t>
      </w:r>
      <w:r>
        <w:t>eligible course in 2016 at a VFH provider, regardless of whether they accessed a VFH loan in 2016, or at any other time. We use the term “assisted student” to refer to any student who accessed a VFH loan for their studies during 2016. Further explanation is provided in the notes to each of the 2016 VFH Statistical Report tables.</w:t>
      </w:r>
    </w:p>
    <w:p w14:paraId="303B578E" w14:textId="6EEDB9A0" w:rsidR="00722DE2" w:rsidRDefault="00722DE2" w:rsidP="00722DE2">
      <w:r>
        <w:t xml:space="preserve">In 2015 the Australian Government introduced a number of reforms </w:t>
      </w:r>
      <w:r w:rsidR="00006642">
        <w:t>to</w:t>
      </w:r>
      <w:r w:rsidR="00FE06DB">
        <w:t xml:space="preserve"> </w:t>
      </w:r>
      <w:r w:rsidR="00006642">
        <w:t>the VFH scheme. The</w:t>
      </w:r>
      <w:r>
        <w:t xml:space="preserve"> reforms were designed to </w:t>
      </w:r>
      <w:r w:rsidR="003311B3">
        <w:t xml:space="preserve">curb unsustainable growth, </w:t>
      </w:r>
      <w:r>
        <w:t>address unscrupulous behaviour</w:t>
      </w:r>
      <w:r w:rsidR="003311B3">
        <w:t>,</w:t>
      </w:r>
      <w:r>
        <w:t xml:space="preserve"> and to protect a</w:t>
      </w:r>
      <w:r w:rsidR="00006642">
        <w:t>nd b</w:t>
      </w:r>
      <w:r w:rsidR="003311B3">
        <w:t xml:space="preserve">etter inform </w:t>
      </w:r>
      <w:r w:rsidR="00006642">
        <w:t>students</w:t>
      </w:r>
      <w:r w:rsidR="00A31C4F">
        <w:t xml:space="preserve"> ahead of a redesigned program</w:t>
      </w:r>
      <w:r w:rsidR="00006642">
        <w:t xml:space="preserve">. </w:t>
      </w:r>
      <w:r w:rsidR="00A31C4F">
        <w:t>Taking</w:t>
      </w:r>
      <w:r>
        <w:t xml:space="preserve"> effect in </w:t>
      </w:r>
      <w:r w:rsidR="00A31C4F">
        <w:t>2015</w:t>
      </w:r>
      <w:r w:rsidR="00F1675D">
        <w:t xml:space="preserve"> and 20</w:t>
      </w:r>
      <w:r w:rsidR="00A31C4F">
        <w:t xml:space="preserve">16, </w:t>
      </w:r>
      <w:r w:rsidR="00DB1CD3">
        <w:t>the data in this</w:t>
      </w:r>
      <w:r w:rsidR="00A31C4F">
        <w:t xml:space="preserve"> report is evidence</w:t>
      </w:r>
      <w:r w:rsidR="00DB1CD3">
        <w:t xml:space="preserve"> </w:t>
      </w:r>
      <w:r w:rsidR="00A31C4F">
        <w:t xml:space="preserve">of the impact </w:t>
      </w:r>
      <w:r w:rsidR="00DB1CD3">
        <w:t>of</w:t>
      </w:r>
      <w:r w:rsidR="00A31C4F">
        <w:t xml:space="preserve"> these reforms. </w:t>
      </w:r>
      <w:r>
        <w:t xml:space="preserve"> </w:t>
      </w:r>
    </w:p>
    <w:p w14:paraId="6F9ABB60" w14:textId="4330AE9B" w:rsidR="00722DE2" w:rsidRDefault="00006642" w:rsidP="00722DE2">
      <w:pPr>
        <w:pStyle w:val="ListParagraph"/>
        <w:numPr>
          <w:ilvl w:val="0"/>
          <w:numId w:val="24"/>
        </w:numPr>
      </w:pPr>
      <w:r>
        <w:t>From a whole-of-</w:t>
      </w:r>
      <w:r w:rsidR="00DB1CD3">
        <w:t>scheme</w:t>
      </w:r>
      <w:r>
        <w:t xml:space="preserve"> perspective, the total amount of</w:t>
      </w:r>
      <w:r w:rsidR="008001CD">
        <w:t xml:space="preserve"> loans </w:t>
      </w:r>
      <w:r>
        <w:t>for</w:t>
      </w:r>
      <w:r w:rsidR="00FC4434">
        <w:t xml:space="preserve"> 2016 </w:t>
      </w:r>
      <w:r w:rsidR="00A31C4F">
        <w:t>was</w:t>
      </w:r>
      <w:r w:rsidR="00FC4434">
        <w:t xml:space="preserve"> almost halved</w:t>
      </w:r>
      <w:r w:rsidR="0064710C">
        <w:t xml:space="preserve">, </w:t>
      </w:r>
      <w:r w:rsidR="00AE6015">
        <w:t xml:space="preserve">decreasing </w:t>
      </w:r>
      <w:r w:rsidR="00081B33">
        <w:t xml:space="preserve">by more than </w:t>
      </w:r>
      <w:r w:rsidR="00A31C4F">
        <w:t xml:space="preserve">$1.4 billion </w:t>
      </w:r>
      <w:r w:rsidR="00FC4434">
        <w:t>compared to 2015</w:t>
      </w:r>
      <w:r w:rsidR="00FD15ED">
        <w:t>, from $2.92 billion to $1.47 billion</w:t>
      </w:r>
      <w:r w:rsidR="00A31C4F">
        <w:t>.</w:t>
      </w:r>
    </w:p>
    <w:p w14:paraId="5C86CB22" w14:textId="555DEB9F" w:rsidR="003A5597" w:rsidRDefault="003A5597" w:rsidP="00722DE2">
      <w:pPr>
        <w:pStyle w:val="ListParagraph"/>
        <w:numPr>
          <w:ilvl w:val="0"/>
          <w:numId w:val="24"/>
        </w:numPr>
      </w:pPr>
      <w:r>
        <w:t>S</w:t>
      </w:r>
      <w:r w:rsidR="00A31C4F">
        <w:t xml:space="preserve">tudent numbers </w:t>
      </w:r>
      <w:r>
        <w:t>also d</w:t>
      </w:r>
      <w:r w:rsidR="000B2AB5">
        <w:t>ecreased</w:t>
      </w:r>
      <w:r>
        <w:t xml:space="preserve">, in terms of </w:t>
      </w:r>
      <w:r w:rsidR="00817B6E">
        <w:t xml:space="preserve">both </w:t>
      </w:r>
      <w:r w:rsidR="00F10926">
        <w:t xml:space="preserve">number of individual </w:t>
      </w:r>
      <w:r>
        <w:t>students accessing a VFH loan and the number of</w:t>
      </w:r>
      <w:r w:rsidR="00F10926">
        <w:t xml:space="preserve"> course</w:t>
      </w:r>
      <w:r>
        <w:t xml:space="preserve"> enrolments</w:t>
      </w:r>
      <w:r w:rsidR="00F10926">
        <w:t xml:space="preserve"> utilising</w:t>
      </w:r>
      <w:r>
        <w:t xml:space="preserve"> VFH</w:t>
      </w:r>
      <w:r w:rsidR="00F10926">
        <w:t>.</w:t>
      </w:r>
      <w:r>
        <w:t xml:space="preserve"> </w:t>
      </w:r>
    </w:p>
    <w:p w14:paraId="5AD62770" w14:textId="77777777" w:rsidR="00B25563" w:rsidRDefault="00B25563" w:rsidP="00B25563">
      <w:pPr>
        <w:pStyle w:val="ListParagraph"/>
        <w:numPr>
          <w:ilvl w:val="0"/>
          <w:numId w:val="24"/>
        </w:numPr>
      </w:pPr>
      <w:r>
        <w:t xml:space="preserve">The proportion of course completions in 2016 of total student enrolments has increased compared to 2015. </w:t>
      </w:r>
    </w:p>
    <w:p w14:paraId="3DCD8800" w14:textId="1ACBC858" w:rsidR="00E0119F" w:rsidRDefault="00817B6E" w:rsidP="00722DE2">
      <w:pPr>
        <w:pStyle w:val="ListParagraph"/>
        <w:numPr>
          <w:ilvl w:val="0"/>
          <w:numId w:val="24"/>
        </w:numPr>
      </w:pPr>
      <w:r>
        <w:lastRenderedPageBreak/>
        <w:t>The</w:t>
      </w:r>
      <w:r w:rsidR="00F10926">
        <w:t xml:space="preserve"> proportion</w:t>
      </w:r>
      <w:r w:rsidR="000B2AB5">
        <w:t xml:space="preserve"> of female students </w:t>
      </w:r>
      <w:r w:rsidR="00DB1CD3">
        <w:t xml:space="preserve">with VFH assistance </w:t>
      </w:r>
      <w:r w:rsidR="000B2AB5">
        <w:t xml:space="preserve">marginally increased </w:t>
      </w:r>
      <w:r w:rsidR="00DB1CD3">
        <w:t>compared</w:t>
      </w:r>
      <w:r w:rsidR="000B2AB5">
        <w:t xml:space="preserve"> </w:t>
      </w:r>
      <w:r w:rsidR="00035CB3">
        <w:t>to 2015</w:t>
      </w:r>
      <w:r w:rsidR="000B2AB5">
        <w:t>.</w:t>
      </w:r>
    </w:p>
    <w:p w14:paraId="1E133515" w14:textId="4BEB937F" w:rsidR="00722DE2" w:rsidRDefault="00006642" w:rsidP="00722DE2">
      <w:pPr>
        <w:pStyle w:val="ListParagraph"/>
        <w:numPr>
          <w:ilvl w:val="0"/>
          <w:numId w:val="24"/>
        </w:numPr>
      </w:pPr>
      <w:r>
        <w:t>2016 saw</w:t>
      </w:r>
      <w:r w:rsidR="008001CD">
        <w:t xml:space="preserve"> a reduction</w:t>
      </w:r>
      <w:r w:rsidR="00722DE2">
        <w:t xml:space="preserve"> in the </w:t>
      </w:r>
      <w:r w:rsidR="00AF4A92">
        <w:t>proportion</w:t>
      </w:r>
      <w:r w:rsidR="00722DE2">
        <w:t xml:space="preserve"> of VFH assisted students</w:t>
      </w:r>
      <w:r w:rsidR="008001CD">
        <w:t xml:space="preserve"> at private providers</w:t>
      </w:r>
      <w:r w:rsidR="00722DE2">
        <w:t>.</w:t>
      </w:r>
    </w:p>
    <w:p w14:paraId="61E82CFC" w14:textId="2786508C" w:rsidR="00722DE2" w:rsidRDefault="00722DE2" w:rsidP="00722DE2">
      <w:pPr>
        <w:pStyle w:val="ListParagraph"/>
        <w:numPr>
          <w:ilvl w:val="0"/>
          <w:numId w:val="24"/>
        </w:numPr>
      </w:pPr>
      <w:r>
        <w:t xml:space="preserve">The proportion of VFH assisted students who identify as Indigenous or </w:t>
      </w:r>
      <w:r w:rsidR="008001CD">
        <w:t xml:space="preserve">with </w:t>
      </w:r>
      <w:r>
        <w:t>low-socioeconomic status has decreased since 2015, as</w:t>
      </w:r>
      <w:r w:rsidR="00AF4A92">
        <w:t xml:space="preserve"> has</w:t>
      </w:r>
      <w:r>
        <w:t xml:space="preserve"> the proportion of VFH assisted students who reported having a disability. </w:t>
      </w:r>
    </w:p>
    <w:p w14:paraId="5E726A2C" w14:textId="2CA88926" w:rsidR="0023182A" w:rsidRDefault="00DB1CD3" w:rsidP="00722DE2">
      <w:pPr>
        <w:pStyle w:val="ListParagraph"/>
        <w:numPr>
          <w:ilvl w:val="0"/>
          <w:numId w:val="24"/>
        </w:numPr>
      </w:pPr>
      <w:r>
        <w:t>There were significantly</w:t>
      </w:r>
      <w:r w:rsidR="00AF4A92">
        <w:t xml:space="preserve"> fewer</w:t>
      </w:r>
      <w:r>
        <w:t xml:space="preserve"> VFH assisted</w:t>
      </w:r>
      <w:r w:rsidR="00AF4A92">
        <w:t xml:space="preserve"> students </w:t>
      </w:r>
      <w:r>
        <w:t>in 2016</w:t>
      </w:r>
      <w:r w:rsidR="00AF4A92">
        <w:t xml:space="preserve"> who were</w:t>
      </w:r>
      <w:r>
        <w:t xml:space="preserve"> living in </w:t>
      </w:r>
      <w:r w:rsidR="00AF4A92">
        <w:t xml:space="preserve">regional and remote </w:t>
      </w:r>
      <w:r>
        <w:t>areas.</w:t>
      </w:r>
    </w:p>
    <w:p w14:paraId="2312AEE4" w14:textId="63FA12C3" w:rsidR="00722DE2" w:rsidRDefault="00722DE2" w:rsidP="00722DE2">
      <w:pPr>
        <w:pStyle w:val="ListParagraph"/>
        <w:numPr>
          <w:ilvl w:val="0"/>
          <w:numId w:val="24"/>
        </w:numPr>
      </w:pPr>
      <w:r>
        <w:t>While still the most popular field of education,</w:t>
      </w:r>
      <w:r w:rsidR="00B54CDF">
        <w:t xml:space="preserve"> </w:t>
      </w:r>
      <w:r>
        <w:t xml:space="preserve">Management and Commerce </w:t>
      </w:r>
      <w:r w:rsidR="00AF4A92">
        <w:t xml:space="preserve">courses </w:t>
      </w:r>
      <w:r>
        <w:t xml:space="preserve">saw a significant decrease in the proportion of VFH assisted students </w:t>
      </w:r>
      <w:r w:rsidR="00AF4A92">
        <w:t>compared with 2015.</w:t>
      </w:r>
    </w:p>
    <w:p w14:paraId="34C75D15" w14:textId="77777777" w:rsidR="005D328A" w:rsidRPr="00945BA9" w:rsidRDefault="005D328A" w:rsidP="00FE1215">
      <w:pPr>
        <w:pStyle w:val="Heading2"/>
      </w:pPr>
      <w:bookmarkStart w:id="2" w:name="_Toc490468905"/>
      <w:r w:rsidRPr="00945BA9">
        <w:t>Student numbers</w:t>
      </w:r>
      <w:bookmarkEnd w:id="2"/>
    </w:p>
    <w:p w14:paraId="5F4ACD69" w14:textId="77777777" w:rsidR="005D328A" w:rsidRDefault="005D328A" w:rsidP="005D328A">
      <w:pPr>
        <w:pStyle w:val="ListParagraph"/>
        <w:numPr>
          <w:ilvl w:val="0"/>
          <w:numId w:val="23"/>
        </w:numPr>
        <w:spacing w:after="160" w:line="259" w:lineRule="auto"/>
      </w:pPr>
      <w:r>
        <w:t>In 2016, 235,236 VFH eligible students were enrolled in a VFH eligible course, a decrease of 24.1 per cent from 2015.  Of these students, 193,868 accessed a VFH loan in 2016, a decrease of 28.7 per cent from 2015. (Table 1.1)</w:t>
      </w:r>
    </w:p>
    <w:p w14:paraId="53B72CBB" w14:textId="77777777" w:rsidR="005D328A" w:rsidRDefault="005D328A" w:rsidP="005D328A">
      <w:pPr>
        <w:pStyle w:val="ListParagraph"/>
        <w:numPr>
          <w:ilvl w:val="0"/>
          <w:numId w:val="23"/>
        </w:numPr>
        <w:spacing w:after="160" w:line="259" w:lineRule="auto"/>
      </w:pPr>
      <w:r>
        <w:t>Eligible students undertook study with an Equivalent Full-Time Student Load (EFTSL) of 140,351, down 35.4 per cent from 2015.  EFTSL associated with VFH assisted students decreased by 41.3 per cent in 2016, compared with 2015, to 115,068. (Table 1.1)</w:t>
      </w:r>
    </w:p>
    <w:p w14:paraId="353BD7E1" w14:textId="77777777" w:rsidR="005D328A" w:rsidRDefault="005D328A" w:rsidP="005D328A">
      <w:pPr>
        <w:pStyle w:val="ListParagraph"/>
        <w:numPr>
          <w:ilvl w:val="0"/>
          <w:numId w:val="23"/>
        </w:numPr>
        <w:spacing w:after="160" w:line="259" w:lineRule="auto"/>
      </w:pPr>
      <w:r>
        <w:t>Around two thirds of both eligible and assisted students in 2016 were female (66.1 and 67.7 per cent respectively). (Table 1.1)</w:t>
      </w:r>
    </w:p>
    <w:p w14:paraId="53D59353" w14:textId="45FCA287" w:rsidR="005D328A" w:rsidRDefault="005D328A" w:rsidP="005D328A">
      <w:pPr>
        <w:pStyle w:val="ListParagraph"/>
        <w:numPr>
          <w:ilvl w:val="0"/>
          <w:numId w:val="23"/>
        </w:numPr>
        <w:spacing w:after="160" w:line="259" w:lineRule="auto"/>
      </w:pPr>
      <w:r>
        <w:t>Almost 70 per cent (</w:t>
      </w:r>
      <w:r w:rsidRPr="0061085D">
        <w:t>69.9 per cent</w:t>
      </w:r>
      <w:r>
        <w:t>) of eligible students studied full-time, compared with 76.1 per cent of assisted students.  (Table 2.2)</w:t>
      </w:r>
    </w:p>
    <w:p w14:paraId="4381C705" w14:textId="77777777" w:rsidR="005D328A" w:rsidRDefault="005D328A" w:rsidP="005D328A">
      <w:pPr>
        <w:pStyle w:val="ListParagraph"/>
        <w:numPr>
          <w:ilvl w:val="0"/>
          <w:numId w:val="23"/>
        </w:numPr>
        <w:spacing w:after="160" w:line="259" w:lineRule="auto"/>
      </w:pPr>
      <w:r>
        <w:t>More than half of all eligible students (59.3 per cent) studied at a private provider, 35.0 per cent studied at a TAFE, and 6.3 per cent at an ‘other public’ provider</w:t>
      </w:r>
      <w:r>
        <w:rPr>
          <w:rStyle w:val="FootnoteReference"/>
        </w:rPr>
        <w:footnoteReference w:id="1"/>
      </w:r>
      <w:r>
        <w:t>.  This compares to 66.4, 28.7 and 5.5 per cent of assisted students who studied at private providers, TAFEs and ‘other public’ providers, respectively. (Table 3.1)</w:t>
      </w:r>
    </w:p>
    <w:p w14:paraId="64BCEBEC" w14:textId="77777777" w:rsidR="005D328A" w:rsidRDefault="005D328A" w:rsidP="005D328A">
      <w:pPr>
        <w:pStyle w:val="ListParagraph"/>
        <w:numPr>
          <w:ilvl w:val="0"/>
          <w:numId w:val="23"/>
        </w:numPr>
        <w:spacing w:after="160" w:line="259" w:lineRule="auto"/>
      </w:pPr>
      <w:r>
        <w:t>In 2016, VFH eligible students were enrolled in 264,418 courses, a decrease of 27.0 per cent from 2015.  Students received VFH assistance for 218,619 of those course enrolments, a decrease of 31.8 per cent from 2015. (Table 3.4)</w:t>
      </w:r>
    </w:p>
    <w:p w14:paraId="3EB3A629" w14:textId="77777777" w:rsidR="005D328A" w:rsidRPr="005D328A" w:rsidRDefault="005D328A" w:rsidP="005D328A">
      <w:pPr>
        <w:pStyle w:val="Heading2"/>
      </w:pPr>
      <w:bookmarkStart w:id="3" w:name="_Toc490468906"/>
      <w:r>
        <w:t>Student characteristics</w:t>
      </w:r>
      <w:bookmarkEnd w:id="3"/>
    </w:p>
    <w:p w14:paraId="0CFA3C2E" w14:textId="77777777" w:rsidR="005D328A" w:rsidRPr="00587BD7" w:rsidRDefault="005D328A" w:rsidP="005D328A">
      <w:pPr>
        <w:pStyle w:val="ListParagraph"/>
        <w:numPr>
          <w:ilvl w:val="0"/>
          <w:numId w:val="23"/>
        </w:numPr>
        <w:spacing w:after="160" w:line="259" w:lineRule="auto"/>
      </w:pPr>
      <w:r>
        <w:t>Eligible s</w:t>
      </w:r>
      <w:r w:rsidRPr="00587BD7">
        <w:t xml:space="preserve">tudents who self-identified as Aboriginal or Torres Strait </w:t>
      </w:r>
      <w:r>
        <w:t xml:space="preserve">Islander comprised 6.3 per cent </w:t>
      </w:r>
      <w:r w:rsidRPr="00587BD7">
        <w:t xml:space="preserve">of all </w:t>
      </w:r>
      <w:r>
        <w:t xml:space="preserve">VFH </w:t>
      </w:r>
      <w:r w:rsidRPr="00587BD7">
        <w:t xml:space="preserve">eligible students, down from 8.6 per cent in 2015.  Of </w:t>
      </w:r>
      <w:r>
        <w:t>VFH</w:t>
      </w:r>
      <w:r w:rsidRPr="00587BD7">
        <w:t xml:space="preserve"> assisted students, 6.5 per cent self-identified as Aboriginal or Torres Strait Islander compared with 9.4</w:t>
      </w:r>
      <w:r>
        <w:t> </w:t>
      </w:r>
      <w:r w:rsidRPr="00587BD7">
        <w:t xml:space="preserve">per cent in 2015. </w:t>
      </w:r>
      <w:r>
        <w:t>(Table 1.2)</w:t>
      </w:r>
    </w:p>
    <w:p w14:paraId="76E3568C" w14:textId="77777777" w:rsidR="005D328A" w:rsidRDefault="005D328A" w:rsidP="005D328A">
      <w:pPr>
        <w:pStyle w:val="ListParagraph"/>
        <w:numPr>
          <w:ilvl w:val="0"/>
          <w:numId w:val="23"/>
        </w:numPr>
        <w:spacing w:after="160" w:line="259" w:lineRule="auto"/>
      </w:pPr>
      <w:r>
        <w:t>The proportion of eligible students from outside of major cities decreased from 30.4 per cent in 2015 to 28.4% in 2016.  The proportion of assisted students from outside major cities also decreased, from 30.7 per cent in 2015 to 28.4% in 2016. (Table 1.2)</w:t>
      </w:r>
    </w:p>
    <w:p w14:paraId="0A7C2EA6" w14:textId="77777777" w:rsidR="005D328A" w:rsidRDefault="005D328A" w:rsidP="005D328A">
      <w:pPr>
        <w:pStyle w:val="ListParagraph"/>
        <w:numPr>
          <w:ilvl w:val="0"/>
          <w:numId w:val="23"/>
        </w:numPr>
        <w:spacing w:after="160" w:line="259" w:lineRule="auto"/>
      </w:pPr>
      <w:r>
        <w:t>In 2016, 7.0 per cent of eligible students and 6.9 per cent of assisted students reported having a disability.  This compares with 7.6 per cent of eligible students and 7.8 per cent of assisted students in 2015. (Table 1.2)</w:t>
      </w:r>
    </w:p>
    <w:p w14:paraId="59165E76" w14:textId="77777777" w:rsidR="005D328A" w:rsidRDefault="005D328A" w:rsidP="005D328A">
      <w:pPr>
        <w:pStyle w:val="ListParagraph"/>
        <w:numPr>
          <w:ilvl w:val="0"/>
          <w:numId w:val="23"/>
        </w:numPr>
        <w:spacing w:after="160" w:line="259" w:lineRule="auto"/>
      </w:pPr>
      <w:r>
        <w:lastRenderedPageBreak/>
        <w:t>In 2016, 22.4 per cent of eligible students and 23.4 per cent of assisted students were from a Low Socioeconomic (SES) background</w:t>
      </w:r>
      <w:r>
        <w:rPr>
          <w:rStyle w:val="FootnoteReference"/>
        </w:rPr>
        <w:footnoteReference w:id="2"/>
      </w:r>
      <w:r>
        <w:t>. These proportions decreased from 26.1 per cent and 27.2 per cent respectively in 2015. (Table 1.2)</w:t>
      </w:r>
    </w:p>
    <w:p w14:paraId="4A32ABA2" w14:textId="77777777" w:rsidR="005D328A" w:rsidRDefault="005D328A" w:rsidP="005D328A">
      <w:pPr>
        <w:pStyle w:val="ListParagraph"/>
        <w:numPr>
          <w:ilvl w:val="0"/>
          <w:numId w:val="23"/>
        </w:numPr>
        <w:spacing w:after="160" w:line="259" w:lineRule="auto"/>
      </w:pPr>
      <w:r>
        <w:t>The proportion of students, both eligible and assisted, from non-English speaking backgrounds decreased marginally in 2016 to 9.9 per cent, from 10.3 per cent in 2015. (Table 1.2)</w:t>
      </w:r>
    </w:p>
    <w:p w14:paraId="14EF4CBB" w14:textId="77777777" w:rsidR="005D328A" w:rsidRPr="005D328A" w:rsidRDefault="005D328A" w:rsidP="005D328A">
      <w:pPr>
        <w:pStyle w:val="Heading2"/>
      </w:pPr>
      <w:bookmarkStart w:id="4" w:name="_Toc490468907"/>
      <w:r>
        <w:t>Field of education</w:t>
      </w:r>
      <w:bookmarkEnd w:id="4"/>
    </w:p>
    <w:p w14:paraId="3B5F6478" w14:textId="77777777" w:rsidR="005D328A" w:rsidRDefault="005D328A" w:rsidP="005D328A">
      <w:pPr>
        <w:pStyle w:val="ListParagraph"/>
        <w:numPr>
          <w:ilvl w:val="0"/>
          <w:numId w:val="23"/>
        </w:numPr>
        <w:spacing w:after="160" w:line="259" w:lineRule="auto"/>
      </w:pPr>
      <w:r>
        <w:t>Management and Commerce was the most popular field of education in 2016, accounting for 30.3 per cent of VFH eligible students and 30.0 per cent of VFH assisted students.  However, while it was the most popular field of education in 2016, the overall proportion of Management and Commerce students had dropped significantly from 2015 where the proportion was 40.9 per cent for eligible students and 42.5 per cent for assisted students. (Table 2.2)</w:t>
      </w:r>
    </w:p>
    <w:p w14:paraId="559E34D2" w14:textId="77777777" w:rsidR="005D328A" w:rsidRDefault="005D328A" w:rsidP="005D328A">
      <w:pPr>
        <w:pStyle w:val="ListParagraph"/>
        <w:numPr>
          <w:ilvl w:val="0"/>
          <w:numId w:val="23"/>
        </w:numPr>
        <w:spacing w:after="160" w:line="259" w:lineRule="auto"/>
      </w:pPr>
      <w:r>
        <w:t>The next most popular field of education in 2016 was Society and Culture with 21.3 per cent of eligible students and 23.1 per cent of assisted students.  This was followed by Health with 14.5 per cent of both eligible and assisted students. (Table 2.2)</w:t>
      </w:r>
    </w:p>
    <w:p w14:paraId="315D4557" w14:textId="77777777" w:rsidR="005D328A" w:rsidRPr="005D328A" w:rsidRDefault="005D328A" w:rsidP="005D328A">
      <w:pPr>
        <w:pStyle w:val="Heading2"/>
      </w:pPr>
      <w:bookmarkStart w:id="5" w:name="_Toc490468908"/>
      <w:r>
        <w:t>Completions</w:t>
      </w:r>
      <w:bookmarkEnd w:id="5"/>
    </w:p>
    <w:p w14:paraId="6239E768" w14:textId="77777777" w:rsidR="005D328A" w:rsidRPr="00626125" w:rsidRDefault="005D328A" w:rsidP="005D328A">
      <w:pPr>
        <w:pStyle w:val="ListParagraph"/>
        <w:numPr>
          <w:ilvl w:val="0"/>
          <w:numId w:val="23"/>
        </w:numPr>
        <w:spacing w:after="160" w:line="259" w:lineRule="auto"/>
      </w:pPr>
      <w:r>
        <w:t>In 2016, VFH eligible students achieved 41,797 course completions</w:t>
      </w:r>
      <w:r w:rsidRPr="00626125">
        <w:t xml:space="preserve">.  </w:t>
      </w:r>
      <w:r>
        <w:t>S</w:t>
      </w:r>
      <w:r w:rsidRPr="00626125">
        <w:t xml:space="preserve">tudents who received </w:t>
      </w:r>
      <w:r>
        <w:t>VFH</w:t>
      </w:r>
      <w:r w:rsidRPr="00626125">
        <w:t xml:space="preserve"> assistance in 2016 completed 31,612</w:t>
      </w:r>
      <w:r>
        <w:t xml:space="preserve"> of those courses</w:t>
      </w:r>
      <w:r w:rsidRPr="00626125">
        <w:t>.</w:t>
      </w:r>
      <w:r>
        <w:t xml:space="preserve"> (Tables 1.13a and 1.13b)</w:t>
      </w:r>
    </w:p>
    <w:p w14:paraId="626F6196" w14:textId="77777777" w:rsidR="005D328A" w:rsidRDefault="005D328A" w:rsidP="005D328A">
      <w:pPr>
        <w:pStyle w:val="ListParagraph"/>
        <w:numPr>
          <w:ilvl w:val="0"/>
          <w:numId w:val="23"/>
        </w:numPr>
        <w:spacing w:after="160" w:line="259" w:lineRule="auto"/>
      </w:pPr>
      <w:r>
        <w:t>Unit of Study Completions Rates</w:t>
      </w:r>
      <w:r>
        <w:rPr>
          <w:rStyle w:val="FootnoteReference"/>
        </w:rPr>
        <w:footnoteReference w:id="3"/>
      </w:r>
      <w:r>
        <w:t xml:space="preserve"> for eligible and assisted students were 68.1 per cent and 65.3 per cent respectively in 2016.</w:t>
      </w:r>
    </w:p>
    <w:p w14:paraId="65FFAB67" w14:textId="77777777" w:rsidR="005D328A" w:rsidRDefault="005D328A" w:rsidP="005D328A">
      <w:pPr>
        <w:pStyle w:val="ListParagraph"/>
        <w:numPr>
          <w:ilvl w:val="0"/>
          <w:numId w:val="23"/>
        </w:numPr>
        <w:spacing w:after="160" w:line="259" w:lineRule="auto"/>
      </w:pPr>
      <w:r>
        <w:t>The 4 Year Cohort Completion Rates</w:t>
      </w:r>
      <w:r>
        <w:rPr>
          <w:rStyle w:val="FootnoteReference"/>
        </w:rPr>
        <w:footnoteReference w:id="4"/>
      </w:r>
      <w:r>
        <w:t xml:space="preserve"> for eligible students fell from 36.0 per cent for the 2011 commencing cohort to 33.4 per cent for the 2012 cohort and 31.9 per cent for the 2013 cohort. The proportion of eligible students still enrolled at the end of each four year period was 5.0 per cent for the 2011 cohort, 5.8 per cent for the 2012 cohort and 5.9 per cent for the 2013 cohort. (Table 1.14a)</w:t>
      </w:r>
    </w:p>
    <w:p w14:paraId="1C5F8E8C" w14:textId="77777777" w:rsidR="005D328A" w:rsidRDefault="005D328A" w:rsidP="005D328A">
      <w:pPr>
        <w:pStyle w:val="ListParagraph"/>
        <w:numPr>
          <w:ilvl w:val="0"/>
          <w:numId w:val="23"/>
        </w:numPr>
        <w:spacing w:after="160" w:line="259" w:lineRule="auto"/>
      </w:pPr>
      <w:r>
        <w:t>The 4 Year Cohort Completion Rate for assisted students fell from 32.4 per cent for the 2011 commencing cohort to 30.7 per cent for the 2012 cohort and 30.1 per cent for the 2013 cohort. The proportion of assisted students still enrolled at the end of each four year period was 6.9 per cent for the 2011 cohort, 8.0 per cent for the 2012 cohort and 6.1 per cent for the 2013 cohort. The 4 Year Cohort Completion Rates for assisted students are slightly lower than those for eligible students. (Table 1.14b)</w:t>
      </w:r>
    </w:p>
    <w:p w14:paraId="18EC5B91" w14:textId="77777777" w:rsidR="005D328A" w:rsidRDefault="005D328A" w:rsidP="005D328A">
      <w:pPr>
        <w:pStyle w:val="ListParagraph"/>
        <w:numPr>
          <w:ilvl w:val="0"/>
          <w:numId w:val="23"/>
        </w:numPr>
        <w:spacing w:after="160" w:line="259" w:lineRule="auto"/>
      </w:pPr>
      <w:r>
        <w:t>For the</w:t>
      </w:r>
      <w:r w:rsidRPr="00843F95">
        <w:t xml:space="preserve"> 2011 </w:t>
      </w:r>
      <w:r>
        <w:t>commencing cohort, t</w:t>
      </w:r>
      <w:r w:rsidRPr="00843F95">
        <w:t>he 6 Year Cohort Completion rate</w:t>
      </w:r>
      <w:r w:rsidRPr="00843F95">
        <w:rPr>
          <w:rStyle w:val="FootnoteReference"/>
        </w:rPr>
        <w:footnoteReference w:id="5"/>
      </w:r>
      <w:r w:rsidRPr="00843F95">
        <w:t xml:space="preserve"> </w:t>
      </w:r>
      <w:r>
        <w:t>is</w:t>
      </w:r>
      <w:r w:rsidRPr="00843F95">
        <w:t xml:space="preserve"> 37.7 pe</w:t>
      </w:r>
      <w:r>
        <w:t xml:space="preserve">r cent </w:t>
      </w:r>
      <w:r w:rsidRPr="00843F95">
        <w:t xml:space="preserve">for eligible students </w:t>
      </w:r>
      <w:r>
        <w:t>(1.7 percentage points above the 4 Year Cohort Completion Rate for this cohort) and 34.7 per cent for assisted students (2.3 percentage points above the 4 Year Cohort Completion Rate for this cohort). (Tables 1.14e and 1.14f)</w:t>
      </w:r>
    </w:p>
    <w:p w14:paraId="2199A1F2" w14:textId="77777777" w:rsidR="00FE1215" w:rsidRDefault="00FE1215">
      <w:pPr>
        <w:rPr>
          <w:rFonts w:ascii="Calibri" w:eastAsiaTheme="majorEastAsia" w:hAnsi="Calibri" w:cstheme="majorBidi"/>
          <w:b/>
          <w:bCs/>
          <w:sz w:val="28"/>
          <w:szCs w:val="26"/>
        </w:rPr>
      </w:pPr>
      <w:r>
        <w:br w:type="page"/>
      </w:r>
    </w:p>
    <w:p w14:paraId="3E8180D3" w14:textId="0687C4E8" w:rsidR="005D328A" w:rsidRPr="005D328A" w:rsidRDefault="005D328A" w:rsidP="005D328A">
      <w:pPr>
        <w:pStyle w:val="Heading2"/>
      </w:pPr>
      <w:bookmarkStart w:id="6" w:name="_Toc490468909"/>
      <w:r>
        <w:lastRenderedPageBreak/>
        <w:t>VET FEE-HELP loans</w:t>
      </w:r>
      <w:bookmarkEnd w:id="6"/>
    </w:p>
    <w:p w14:paraId="0937EC82" w14:textId="64C037B7" w:rsidR="005D328A" w:rsidRDefault="005D328A" w:rsidP="005D328A">
      <w:pPr>
        <w:pStyle w:val="ListParagraph"/>
        <w:numPr>
          <w:ilvl w:val="0"/>
          <w:numId w:val="23"/>
        </w:numPr>
        <w:spacing w:after="160" w:line="259" w:lineRule="auto"/>
      </w:pPr>
      <w:r>
        <w:t xml:space="preserve">In 2016, VFH assisted students took </w:t>
      </w:r>
      <w:r w:rsidR="00C21FDB">
        <w:t>out $1.470 billion in VFH loans</w:t>
      </w:r>
      <w:r>
        <w:t>.  Of this, $1.298 billion was for full-fee courses and $0.172 billion was for state-subsidised courses. (Tables 1.10 and 1.11b)</w:t>
      </w:r>
    </w:p>
    <w:p w14:paraId="4178E023" w14:textId="77777777" w:rsidR="005D328A" w:rsidRDefault="005D328A" w:rsidP="005D328A">
      <w:pPr>
        <w:pStyle w:val="ListParagraph"/>
        <w:numPr>
          <w:ilvl w:val="0"/>
          <w:numId w:val="23"/>
        </w:numPr>
        <w:spacing w:after="160" w:line="259" w:lineRule="auto"/>
      </w:pPr>
      <w:r>
        <w:t>The amount of VFH Loans in 2016 ($1.470 billion) was $1.445 billion or 49.6 per cent less than the $2.915 billion borrowed by students in 2015. (Table 1.10)</w:t>
      </w:r>
    </w:p>
    <w:p w14:paraId="553B7F4C" w14:textId="77777777" w:rsidR="005D328A" w:rsidRDefault="005D328A" w:rsidP="005D328A">
      <w:pPr>
        <w:pStyle w:val="Heading2"/>
      </w:pPr>
      <w:bookmarkStart w:id="7" w:name="_Toc490468910"/>
      <w:r>
        <w:t>Providers</w:t>
      </w:r>
      <w:bookmarkEnd w:id="7"/>
    </w:p>
    <w:p w14:paraId="668F659E" w14:textId="77777777" w:rsidR="005D328A" w:rsidRDefault="005D328A" w:rsidP="005D328A">
      <w:pPr>
        <w:pStyle w:val="ListParagraph"/>
        <w:numPr>
          <w:ilvl w:val="0"/>
          <w:numId w:val="23"/>
        </w:numPr>
        <w:spacing w:after="160" w:line="259" w:lineRule="auto"/>
      </w:pPr>
      <w:r>
        <w:t>There were 271 providers offering courses to VFH students in 2016. (Table 4.1)</w:t>
      </w:r>
    </w:p>
    <w:p w14:paraId="263A4487" w14:textId="77777777" w:rsidR="005D328A" w:rsidRDefault="005D328A" w:rsidP="005D328A">
      <w:pPr>
        <w:pStyle w:val="ListParagraph"/>
        <w:numPr>
          <w:ilvl w:val="0"/>
          <w:numId w:val="23"/>
        </w:numPr>
        <w:spacing w:after="160" w:line="259" w:lineRule="auto"/>
      </w:pPr>
      <w:r>
        <w:t>Of these providers, 39 were TAFEs, 12 were ‘Other Public’, and 220 were Private. (Table 4.1)</w:t>
      </w:r>
    </w:p>
    <w:p w14:paraId="269C9DCC" w14:textId="14FB33F2" w:rsidR="005D328A" w:rsidRDefault="005D328A" w:rsidP="005D328A">
      <w:pPr>
        <w:sectPr w:rsidR="005D328A" w:rsidSect="005D328A">
          <w:type w:val="continuous"/>
          <w:pgSz w:w="11906" w:h="16838"/>
          <w:pgMar w:top="1276" w:right="1440" w:bottom="1276" w:left="1440" w:header="708" w:footer="708" w:gutter="0"/>
          <w:cols w:space="708"/>
          <w:docGrid w:linePitch="360"/>
        </w:sectPr>
      </w:pPr>
    </w:p>
    <w:p w14:paraId="749967AD" w14:textId="77777777" w:rsidR="00797550" w:rsidRPr="008714F3" w:rsidRDefault="00797550" w:rsidP="00797550">
      <w:pPr>
        <w:pStyle w:val="Heading2"/>
      </w:pPr>
      <w:bookmarkStart w:id="8" w:name="_Toc490468911"/>
      <w:r w:rsidRPr="008714F3">
        <w:lastRenderedPageBreak/>
        <w:t>Appendix</w:t>
      </w:r>
      <w:r>
        <w:t>: Statistical Table Contents</w:t>
      </w:r>
      <w:bookmarkEnd w:id="8"/>
    </w:p>
    <w:p w14:paraId="3C2B5641" w14:textId="77777777" w:rsidR="00797550" w:rsidRDefault="00797550" w:rsidP="00797550">
      <w:pPr>
        <w:spacing w:after="480"/>
        <w:ind w:left="17280"/>
      </w:pPr>
      <w:r>
        <w:t>2016 VET FEE-HELP Statistical Report</w:t>
      </w:r>
    </w:p>
    <w:p w14:paraId="14D34F58" w14:textId="77777777" w:rsidR="004F6A51" w:rsidRDefault="004F6A51" w:rsidP="004F6A51">
      <w:pPr>
        <w:rPr>
          <w:rFonts w:ascii="Cambria" w:eastAsia="Times New Roman" w:hAnsi="Cambria" w:cs="Calibri"/>
          <w:b/>
          <w:bCs/>
          <w:color w:val="0070C0"/>
          <w:sz w:val="32"/>
          <w:szCs w:val="32"/>
          <w:lang w:eastAsia="en-AU"/>
        </w:rPr>
      </w:pPr>
      <w:r w:rsidRPr="00BA3844">
        <w:rPr>
          <w:rFonts w:ascii="Cambria" w:eastAsia="Times New Roman" w:hAnsi="Cambria" w:cs="Calibri"/>
          <w:b/>
          <w:bCs/>
          <w:color w:val="0070C0"/>
          <w:sz w:val="32"/>
          <w:szCs w:val="32"/>
          <w:lang w:eastAsia="en-AU"/>
        </w:rPr>
        <w:t>Summary of Statistical Tables</w:t>
      </w:r>
    </w:p>
    <w:p w14:paraId="0997AD60" w14:textId="77777777" w:rsidR="004F6A51" w:rsidRDefault="004F6A51" w:rsidP="004F6A51">
      <w:pPr>
        <w:rPr>
          <w:rFonts w:ascii="Calibri" w:eastAsia="Times New Roman" w:hAnsi="Calibri" w:cs="Calibri"/>
          <w:b/>
          <w:bCs/>
          <w:color w:val="522761"/>
          <w:sz w:val="36"/>
          <w:szCs w:val="36"/>
          <w:lang w:eastAsia="en-AU"/>
        </w:rPr>
      </w:pPr>
      <w:r w:rsidRPr="00BA3844">
        <w:rPr>
          <w:rFonts w:ascii="Calibri" w:eastAsia="Times New Roman" w:hAnsi="Calibri" w:cs="Calibri"/>
          <w:color w:val="000000"/>
          <w:sz w:val="24"/>
          <w:szCs w:val="24"/>
          <w:lang w:eastAsia="en-AU"/>
        </w:rPr>
        <w:t>(Numbers in the body of the table indicate table number for the corresponding section.)</w:t>
      </w:r>
    </w:p>
    <w:tbl>
      <w:tblPr>
        <w:tblW w:w="224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4680"/>
        <w:gridCol w:w="619"/>
        <w:gridCol w:w="467"/>
        <w:gridCol w:w="619"/>
        <w:gridCol w:w="619"/>
        <w:gridCol w:w="619"/>
        <w:gridCol w:w="619"/>
        <w:gridCol w:w="619"/>
        <w:gridCol w:w="619"/>
        <w:gridCol w:w="619"/>
        <w:gridCol w:w="637"/>
        <w:gridCol w:w="748"/>
        <w:gridCol w:w="748"/>
        <w:gridCol w:w="753"/>
        <w:gridCol w:w="637"/>
        <w:gridCol w:w="748"/>
        <w:gridCol w:w="753"/>
        <w:gridCol w:w="748"/>
        <w:gridCol w:w="753"/>
        <w:gridCol w:w="742"/>
        <w:gridCol w:w="753"/>
        <w:gridCol w:w="750"/>
        <w:gridCol w:w="730"/>
        <w:gridCol w:w="747"/>
        <w:gridCol w:w="753"/>
      </w:tblGrid>
      <w:tr w:rsidR="004F6A51" w:rsidRPr="00BA3844" w14:paraId="03EA61AF" w14:textId="77777777" w:rsidTr="00AE254B">
        <w:trPr>
          <w:cantSplit/>
          <w:trHeight w:val="4422"/>
        </w:trPr>
        <w:tc>
          <w:tcPr>
            <w:tcW w:w="1369" w:type="dxa"/>
            <w:shd w:val="clear" w:color="000000" w:fill="FFFFFF"/>
            <w:textDirection w:val="btLr"/>
            <w:vAlign w:val="center"/>
            <w:hideMark/>
          </w:tcPr>
          <w:p w14:paraId="1AE2FD84" w14:textId="25C9E0E3" w:rsidR="004F6A51" w:rsidRPr="00B30643" w:rsidRDefault="00AE254B" w:rsidP="00AE254B">
            <w:pPr>
              <w:spacing w:after="0" w:line="240" w:lineRule="auto"/>
              <w:ind w:left="113" w:right="113"/>
              <w:jc w:val="center"/>
              <w:rPr>
                <w:rFonts w:ascii="Calibri" w:eastAsia="Times New Roman" w:hAnsi="Calibri" w:cs="Calibri"/>
                <w:b/>
                <w:bCs/>
                <w:sz w:val="32"/>
                <w:szCs w:val="32"/>
                <w:lang w:eastAsia="en-AU"/>
              </w:rPr>
            </w:pPr>
            <w:r w:rsidRPr="00B30643">
              <w:rPr>
                <w:rFonts w:ascii="Calibri" w:eastAsia="Times New Roman" w:hAnsi="Calibri" w:cs="Calibri"/>
                <w:b/>
                <w:bCs/>
                <w:sz w:val="32"/>
                <w:szCs w:val="32"/>
                <w:lang w:eastAsia="en-AU"/>
              </w:rPr>
              <w:t>Table categories</w:t>
            </w:r>
          </w:p>
        </w:tc>
        <w:tc>
          <w:tcPr>
            <w:tcW w:w="4680" w:type="dxa"/>
            <w:shd w:val="clear" w:color="000000" w:fill="FFFFFF"/>
            <w:textDirection w:val="btLr"/>
            <w:vAlign w:val="center"/>
          </w:tcPr>
          <w:p w14:paraId="112468EE" w14:textId="365602B5" w:rsidR="004F6A51" w:rsidRPr="00B30643" w:rsidRDefault="00B30643" w:rsidP="00AE254B">
            <w:pPr>
              <w:spacing w:after="0" w:line="240" w:lineRule="auto"/>
              <w:ind w:left="113" w:right="113"/>
              <w:jc w:val="center"/>
              <w:rPr>
                <w:rFonts w:ascii="Calibri" w:eastAsia="Times New Roman" w:hAnsi="Calibri" w:cs="Calibri"/>
                <w:b/>
                <w:bCs/>
                <w:sz w:val="32"/>
                <w:szCs w:val="32"/>
                <w:lang w:eastAsia="en-AU"/>
              </w:rPr>
            </w:pPr>
            <w:r>
              <w:rPr>
                <w:rFonts w:ascii="Calibri" w:eastAsia="Times New Roman" w:hAnsi="Calibri" w:cs="Calibri"/>
                <w:b/>
                <w:bCs/>
                <w:sz w:val="32"/>
                <w:szCs w:val="32"/>
                <w:lang w:eastAsia="en-AU"/>
              </w:rPr>
              <w:t>Table c</w:t>
            </w:r>
            <w:r w:rsidR="00AE254B" w:rsidRPr="00B30643">
              <w:rPr>
                <w:rFonts w:ascii="Calibri" w:eastAsia="Times New Roman" w:hAnsi="Calibri" w:cs="Calibri"/>
                <w:b/>
                <w:bCs/>
                <w:sz w:val="32"/>
                <w:szCs w:val="32"/>
                <w:lang w:eastAsia="en-AU"/>
              </w:rPr>
              <w:t>haracteristics</w:t>
            </w:r>
          </w:p>
        </w:tc>
        <w:tc>
          <w:tcPr>
            <w:tcW w:w="619" w:type="dxa"/>
            <w:shd w:val="clear" w:color="000000" w:fill="C2DFF5"/>
            <w:textDirection w:val="btLr"/>
            <w:vAlign w:val="bottom"/>
            <w:hideMark/>
          </w:tcPr>
          <w:p w14:paraId="3CDA19E0" w14:textId="77777777" w:rsidR="004F6A51" w:rsidRPr="00BA3844" w:rsidRDefault="004F6A51" w:rsidP="00B51452">
            <w:pPr>
              <w:spacing w:after="0" w:line="240" w:lineRule="auto"/>
              <w:jc w:val="center"/>
              <w:rPr>
                <w:rFonts w:ascii="Calibri" w:eastAsia="Times New Roman" w:hAnsi="Calibri" w:cs="Calibri"/>
                <w:color w:val="000000"/>
                <w:sz w:val="20"/>
                <w:szCs w:val="20"/>
                <w:lang w:eastAsia="en-AU"/>
              </w:rPr>
            </w:pPr>
            <w:r w:rsidRPr="00BA3844">
              <w:rPr>
                <w:rFonts w:ascii="Calibri" w:eastAsia="Times New Roman" w:hAnsi="Calibri" w:cs="Calibri"/>
                <w:color w:val="000000"/>
                <w:sz w:val="20"/>
                <w:szCs w:val="20"/>
                <w:lang w:eastAsia="en-AU"/>
              </w:rPr>
              <w:t>Student counts: # Students, Enrolments, EFTSL</w:t>
            </w:r>
          </w:p>
        </w:tc>
        <w:tc>
          <w:tcPr>
            <w:tcW w:w="467" w:type="dxa"/>
            <w:shd w:val="clear" w:color="000000" w:fill="C2DFF5"/>
            <w:noWrap/>
            <w:textDirection w:val="btLr"/>
            <w:vAlign w:val="bottom"/>
            <w:hideMark/>
          </w:tcPr>
          <w:p w14:paraId="161F6EAF" w14:textId="77777777" w:rsidR="004F6A51" w:rsidRPr="00BA3844" w:rsidRDefault="004F6A51" w:rsidP="00B51452">
            <w:pPr>
              <w:spacing w:after="0" w:line="240" w:lineRule="auto"/>
              <w:jc w:val="center"/>
              <w:rPr>
                <w:rFonts w:ascii="Calibri" w:eastAsia="Times New Roman" w:hAnsi="Calibri" w:cs="Calibri"/>
                <w:color w:val="000000"/>
                <w:sz w:val="20"/>
                <w:szCs w:val="20"/>
                <w:lang w:eastAsia="en-AU"/>
              </w:rPr>
            </w:pPr>
            <w:r w:rsidRPr="00BA3844">
              <w:rPr>
                <w:rFonts w:ascii="Calibri" w:eastAsia="Times New Roman" w:hAnsi="Calibri" w:cs="Calibri"/>
                <w:color w:val="000000"/>
                <w:sz w:val="20"/>
                <w:szCs w:val="20"/>
                <w:lang w:eastAsia="en-AU"/>
              </w:rPr>
              <w:t>Student counts: - time series 2009-2016</w:t>
            </w:r>
          </w:p>
        </w:tc>
        <w:tc>
          <w:tcPr>
            <w:tcW w:w="619" w:type="dxa"/>
            <w:shd w:val="clear" w:color="000000" w:fill="C2DFF5"/>
            <w:textDirection w:val="btLr"/>
            <w:vAlign w:val="bottom"/>
            <w:hideMark/>
          </w:tcPr>
          <w:p w14:paraId="4EE5EDEA" w14:textId="77777777" w:rsidR="004F6A51" w:rsidRPr="00BA3844" w:rsidRDefault="004F6A51" w:rsidP="00B51452">
            <w:pPr>
              <w:spacing w:after="0" w:line="240" w:lineRule="auto"/>
              <w:jc w:val="center"/>
              <w:rPr>
                <w:rFonts w:ascii="Calibri" w:eastAsia="Times New Roman" w:hAnsi="Calibri" w:cs="Calibri"/>
                <w:color w:val="000000"/>
                <w:sz w:val="20"/>
                <w:szCs w:val="20"/>
                <w:lang w:eastAsia="en-AU"/>
              </w:rPr>
            </w:pPr>
            <w:r w:rsidRPr="00BA3844">
              <w:rPr>
                <w:rFonts w:ascii="Calibri" w:eastAsia="Times New Roman" w:hAnsi="Calibri" w:cs="Calibri"/>
                <w:color w:val="000000"/>
                <w:sz w:val="20"/>
                <w:szCs w:val="20"/>
                <w:lang w:eastAsia="en-AU"/>
              </w:rPr>
              <w:t>EFTSL - time series 2009-2016</w:t>
            </w:r>
          </w:p>
        </w:tc>
        <w:tc>
          <w:tcPr>
            <w:tcW w:w="619" w:type="dxa"/>
            <w:shd w:val="clear" w:color="000000" w:fill="C2DFF5"/>
            <w:textDirection w:val="btLr"/>
            <w:vAlign w:val="bottom"/>
            <w:hideMark/>
          </w:tcPr>
          <w:p w14:paraId="65E508A4" w14:textId="77777777" w:rsidR="004F6A51" w:rsidRPr="00BA3844" w:rsidRDefault="004F6A51" w:rsidP="00B51452">
            <w:pPr>
              <w:spacing w:after="0" w:line="240" w:lineRule="auto"/>
              <w:jc w:val="center"/>
              <w:rPr>
                <w:rFonts w:ascii="Calibri" w:eastAsia="Times New Roman" w:hAnsi="Calibri" w:cs="Calibri"/>
                <w:color w:val="000000"/>
                <w:sz w:val="20"/>
                <w:szCs w:val="20"/>
                <w:lang w:eastAsia="en-AU"/>
              </w:rPr>
            </w:pPr>
            <w:r w:rsidRPr="00BA3844">
              <w:rPr>
                <w:rFonts w:ascii="Calibri" w:eastAsia="Times New Roman" w:hAnsi="Calibri" w:cs="Calibri"/>
                <w:color w:val="000000"/>
                <w:sz w:val="20"/>
                <w:szCs w:val="20"/>
                <w:lang w:eastAsia="en-AU"/>
              </w:rPr>
              <w:t>Enrolments - time series 2009-2016</w:t>
            </w:r>
          </w:p>
        </w:tc>
        <w:tc>
          <w:tcPr>
            <w:tcW w:w="619" w:type="dxa"/>
            <w:shd w:val="clear" w:color="000000" w:fill="FFFFFF"/>
            <w:textDirection w:val="btLr"/>
            <w:vAlign w:val="bottom"/>
            <w:hideMark/>
          </w:tcPr>
          <w:p w14:paraId="1E89653B" w14:textId="77777777" w:rsidR="004F6A51" w:rsidRPr="00BA3844" w:rsidRDefault="004F6A51" w:rsidP="00B51452">
            <w:pPr>
              <w:spacing w:after="0" w:line="240" w:lineRule="auto"/>
              <w:jc w:val="center"/>
              <w:rPr>
                <w:rFonts w:ascii="Calibri" w:eastAsia="Times New Roman" w:hAnsi="Calibri" w:cs="Calibri"/>
                <w:color w:val="000000"/>
                <w:sz w:val="20"/>
                <w:szCs w:val="20"/>
                <w:lang w:eastAsia="en-AU"/>
              </w:rPr>
            </w:pPr>
            <w:r w:rsidRPr="00BA3844">
              <w:rPr>
                <w:rFonts w:ascii="Calibri" w:eastAsia="Times New Roman" w:hAnsi="Calibri" w:cs="Calibri"/>
                <w:color w:val="000000"/>
                <w:sz w:val="20"/>
                <w:szCs w:val="20"/>
                <w:lang w:eastAsia="en-AU"/>
              </w:rPr>
              <w:t>Qualification level enrolments</w:t>
            </w:r>
          </w:p>
        </w:tc>
        <w:tc>
          <w:tcPr>
            <w:tcW w:w="619" w:type="dxa"/>
            <w:shd w:val="clear" w:color="000000" w:fill="FFFFFF"/>
            <w:textDirection w:val="btLr"/>
            <w:vAlign w:val="bottom"/>
            <w:hideMark/>
          </w:tcPr>
          <w:p w14:paraId="17FD4042" w14:textId="77777777" w:rsidR="004F6A51" w:rsidRPr="00BA3844" w:rsidRDefault="004F6A51" w:rsidP="00B51452">
            <w:pPr>
              <w:spacing w:after="0" w:line="240" w:lineRule="auto"/>
              <w:jc w:val="center"/>
              <w:rPr>
                <w:rFonts w:ascii="Calibri" w:eastAsia="Times New Roman" w:hAnsi="Calibri" w:cs="Calibri"/>
                <w:color w:val="000000"/>
                <w:sz w:val="20"/>
                <w:szCs w:val="20"/>
                <w:lang w:eastAsia="en-AU"/>
              </w:rPr>
            </w:pPr>
            <w:r w:rsidRPr="00BA3844">
              <w:rPr>
                <w:rFonts w:ascii="Calibri" w:eastAsia="Times New Roman" w:hAnsi="Calibri" w:cs="Calibri"/>
                <w:color w:val="000000"/>
                <w:sz w:val="20"/>
                <w:szCs w:val="20"/>
                <w:lang w:eastAsia="en-AU"/>
              </w:rPr>
              <w:t>Prior Education Attainment enrolments</w:t>
            </w:r>
          </w:p>
        </w:tc>
        <w:tc>
          <w:tcPr>
            <w:tcW w:w="619" w:type="dxa"/>
            <w:shd w:val="clear" w:color="000000" w:fill="FFFFFF"/>
            <w:textDirection w:val="btLr"/>
            <w:vAlign w:val="bottom"/>
            <w:hideMark/>
          </w:tcPr>
          <w:p w14:paraId="6996E3D0" w14:textId="77777777" w:rsidR="004F6A51" w:rsidRPr="00BA3844" w:rsidRDefault="004F6A51" w:rsidP="00B51452">
            <w:pPr>
              <w:spacing w:after="0" w:line="240" w:lineRule="auto"/>
              <w:jc w:val="center"/>
              <w:rPr>
                <w:rFonts w:ascii="Calibri" w:eastAsia="Times New Roman" w:hAnsi="Calibri" w:cs="Calibri"/>
                <w:color w:val="000000"/>
                <w:sz w:val="20"/>
                <w:szCs w:val="20"/>
                <w:lang w:eastAsia="en-AU"/>
              </w:rPr>
            </w:pPr>
            <w:r w:rsidRPr="00BA3844">
              <w:rPr>
                <w:rFonts w:ascii="Calibri" w:eastAsia="Times New Roman" w:hAnsi="Calibri" w:cs="Calibri"/>
                <w:color w:val="000000"/>
                <w:sz w:val="20"/>
                <w:szCs w:val="20"/>
                <w:lang w:eastAsia="en-AU"/>
              </w:rPr>
              <w:t>Field of Education enrolments</w:t>
            </w:r>
          </w:p>
        </w:tc>
        <w:tc>
          <w:tcPr>
            <w:tcW w:w="619" w:type="dxa"/>
            <w:shd w:val="clear" w:color="000000" w:fill="FFFFFF"/>
            <w:textDirection w:val="btLr"/>
            <w:vAlign w:val="bottom"/>
            <w:hideMark/>
          </w:tcPr>
          <w:p w14:paraId="5CAE9979" w14:textId="77777777" w:rsidR="004F6A51" w:rsidRPr="00BA3844" w:rsidRDefault="004F6A51" w:rsidP="00B51452">
            <w:pPr>
              <w:spacing w:after="0" w:line="240" w:lineRule="auto"/>
              <w:jc w:val="center"/>
              <w:rPr>
                <w:rFonts w:ascii="Calibri" w:eastAsia="Times New Roman" w:hAnsi="Calibri" w:cs="Calibri"/>
                <w:color w:val="000000"/>
                <w:sz w:val="20"/>
                <w:szCs w:val="20"/>
                <w:lang w:eastAsia="en-AU"/>
              </w:rPr>
            </w:pPr>
            <w:r w:rsidRPr="00BA3844">
              <w:rPr>
                <w:rFonts w:ascii="Calibri" w:eastAsia="Times New Roman" w:hAnsi="Calibri" w:cs="Calibri"/>
                <w:color w:val="000000"/>
                <w:sz w:val="20"/>
                <w:szCs w:val="20"/>
                <w:lang w:eastAsia="en-AU"/>
              </w:rPr>
              <w:t>Mode of Attendance enrolments</w:t>
            </w:r>
          </w:p>
        </w:tc>
        <w:tc>
          <w:tcPr>
            <w:tcW w:w="619" w:type="dxa"/>
            <w:shd w:val="clear" w:color="000000" w:fill="FFFFFF"/>
            <w:textDirection w:val="btLr"/>
            <w:vAlign w:val="bottom"/>
            <w:hideMark/>
          </w:tcPr>
          <w:p w14:paraId="31429AEA" w14:textId="77777777" w:rsidR="004F6A51" w:rsidRPr="00BA3844" w:rsidRDefault="004F6A51" w:rsidP="00B51452">
            <w:pPr>
              <w:spacing w:after="0" w:line="240" w:lineRule="auto"/>
              <w:jc w:val="center"/>
              <w:rPr>
                <w:rFonts w:ascii="Calibri" w:eastAsia="Times New Roman" w:hAnsi="Calibri" w:cs="Calibri"/>
                <w:color w:val="000000"/>
                <w:sz w:val="20"/>
                <w:szCs w:val="20"/>
                <w:lang w:eastAsia="en-AU"/>
              </w:rPr>
            </w:pPr>
            <w:r w:rsidRPr="00BA3844">
              <w:rPr>
                <w:rFonts w:ascii="Calibri" w:eastAsia="Times New Roman" w:hAnsi="Calibri" w:cs="Calibri"/>
                <w:color w:val="000000"/>
                <w:sz w:val="20"/>
                <w:szCs w:val="20"/>
                <w:lang w:eastAsia="en-AU"/>
              </w:rPr>
              <w:t>Student Home State enrolments</w:t>
            </w:r>
          </w:p>
        </w:tc>
        <w:tc>
          <w:tcPr>
            <w:tcW w:w="637" w:type="dxa"/>
            <w:shd w:val="clear" w:color="000000" w:fill="FFFFFF"/>
            <w:textDirection w:val="btLr"/>
            <w:vAlign w:val="bottom"/>
            <w:hideMark/>
          </w:tcPr>
          <w:p w14:paraId="633DC252" w14:textId="77777777" w:rsidR="004F6A51" w:rsidRPr="00BA3844" w:rsidRDefault="004F6A51" w:rsidP="00B51452">
            <w:pPr>
              <w:spacing w:after="0" w:line="240" w:lineRule="auto"/>
              <w:jc w:val="center"/>
              <w:rPr>
                <w:rFonts w:ascii="Calibri" w:eastAsia="Times New Roman" w:hAnsi="Calibri" w:cs="Calibri"/>
                <w:sz w:val="20"/>
                <w:szCs w:val="20"/>
                <w:lang w:eastAsia="en-AU"/>
              </w:rPr>
            </w:pPr>
            <w:r w:rsidRPr="00BA3844">
              <w:rPr>
                <w:rFonts w:ascii="Calibri" w:eastAsia="Times New Roman" w:hAnsi="Calibri" w:cs="Calibri"/>
                <w:sz w:val="20"/>
                <w:szCs w:val="20"/>
                <w:lang w:eastAsia="en-AU"/>
              </w:rPr>
              <w:t>Top 20 courses enrolments</w:t>
            </w:r>
          </w:p>
        </w:tc>
        <w:tc>
          <w:tcPr>
            <w:tcW w:w="748" w:type="dxa"/>
            <w:shd w:val="clear" w:color="000000" w:fill="C2DFF5"/>
            <w:textDirection w:val="btLr"/>
            <w:vAlign w:val="bottom"/>
            <w:hideMark/>
          </w:tcPr>
          <w:p w14:paraId="5354B049" w14:textId="77777777" w:rsidR="004F6A51" w:rsidRPr="00BA3844" w:rsidRDefault="004F6A51" w:rsidP="00B51452">
            <w:pPr>
              <w:spacing w:after="0" w:line="240" w:lineRule="auto"/>
              <w:jc w:val="center"/>
              <w:rPr>
                <w:rFonts w:ascii="Calibri" w:eastAsia="Times New Roman" w:hAnsi="Calibri" w:cs="Calibri"/>
                <w:color w:val="000000"/>
                <w:sz w:val="20"/>
                <w:szCs w:val="20"/>
                <w:lang w:eastAsia="en-AU"/>
              </w:rPr>
            </w:pPr>
            <w:r w:rsidRPr="00BA3844">
              <w:rPr>
                <w:rFonts w:ascii="Calibri" w:eastAsia="Times New Roman" w:hAnsi="Calibri" w:cs="Calibri"/>
                <w:color w:val="000000"/>
                <w:sz w:val="20"/>
                <w:szCs w:val="20"/>
                <w:lang w:eastAsia="en-AU"/>
              </w:rPr>
              <w:t>EFTSL, Fees, Payments and Loans</w:t>
            </w:r>
          </w:p>
        </w:tc>
        <w:tc>
          <w:tcPr>
            <w:tcW w:w="748" w:type="dxa"/>
            <w:shd w:val="clear" w:color="000000" w:fill="C2DFF5"/>
            <w:textDirection w:val="btLr"/>
            <w:vAlign w:val="bottom"/>
            <w:hideMark/>
          </w:tcPr>
          <w:p w14:paraId="72FBBAF5" w14:textId="77777777" w:rsidR="004F6A51" w:rsidRPr="00BA3844" w:rsidRDefault="004F6A51" w:rsidP="00B51452">
            <w:pPr>
              <w:spacing w:after="0" w:line="240" w:lineRule="auto"/>
              <w:jc w:val="center"/>
              <w:rPr>
                <w:rFonts w:ascii="Calibri" w:eastAsia="Times New Roman" w:hAnsi="Calibri" w:cs="Calibri"/>
                <w:color w:val="000000"/>
                <w:sz w:val="20"/>
                <w:szCs w:val="20"/>
                <w:lang w:eastAsia="en-AU"/>
              </w:rPr>
            </w:pPr>
            <w:r w:rsidRPr="00BA3844">
              <w:rPr>
                <w:rFonts w:ascii="Calibri" w:eastAsia="Times New Roman" w:hAnsi="Calibri" w:cs="Calibri"/>
                <w:color w:val="000000"/>
                <w:sz w:val="20"/>
                <w:szCs w:val="20"/>
                <w:lang w:eastAsia="en-AU"/>
              </w:rPr>
              <w:t>EFTSL, Fees, Payments and Loans for Full-fee and State-subsidised (eligible students)</w:t>
            </w:r>
          </w:p>
        </w:tc>
        <w:tc>
          <w:tcPr>
            <w:tcW w:w="753" w:type="dxa"/>
            <w:shd w:val="clear" w:color="000000" w:fill="C2DFF5"/>
            <w:textDirection w:val="btLr"/>
            <w:vAlign w:val="bottom"/>
            <w:hideMark/>
          </w:tcPr>
          <w:p w14:paraId="3E402C0F" w14:textId="77777777" w:rsidR="004F6A51" w:rsidRPr="00BA3844" w:rsidRDefault="004F6A51" w:rsidP="00B51452">
            <w:pPr>
              <w:spacing w:after="0" w:line="240" w:lineRule="auto"/>
              <w:jc w:val="center"/>
              <w:rPr>
                <w:rFonts w:ascii="Calibri" w:eastAsia="Times New Roman" w:hAnsi="Calibri" w:cs="Calibri"/>
                <w:color w:val="000000"/>
                <w:sz w:val="20"/>
                <w:szCs w:val="20"/>
                <w:lang w:eastAsia="en-AU"/>
              </w:rPr>
            </w:pPr>
            <w:r w:rsidRPr="00BA3844">
              <w:rPr>
                <w:rFonts w:ascii="Calibri" w:eastAsia="Times New Roman" w:hAnsi="Calibri" w:cs="Calibri"/>
                <w:color w:val="000000"/>
                <w:sz w:val="20"/>
                <w:szCs w:val="20"/>
                <w:lang w:eastAsia="en-AU"/>
              </w:rPr>
              <w:t>EFTSL, Fees, Payments and Loans for Full-fee and State-subsidised (assisted students)</w:t>
            </w:r>
          </w:p>
        </w:tc>
        <w:tc>
          <w:tcPr>
            <w:tcW w:w="637" w:type="dxa"/>
            <w:shd w:val="clear" w:color="000000" w:fill="C2DFF5"/>
            <w:textDirection w:val="btLr"/>
            <w:vAlign w:val="bottom"/>
            <w:hideMark/>
          </w:tcPr>
          <w:p w14:paraId="3EE71A62" w14:textId="77777777" w:rsidR="004F6A51" w:rsidRPr="00BA3844" w:rsidRDefault="004F6A51" w:rsidP="00B51452">
            <w:pPr>
              <w:spacing w:after="0" w:line="240" w:lineRule="auto"/>
              <w:jc w:val="center"/>
              <w:rPr>
                <w:rFonts w:ascii="Calibri" w:eastAsia="Times New Roman" w:hAnsi="Calibri" w:cs="Calibri"/>
                <w:color w:val="000000"/>
                <w:sz w:val="20"/>
                <w:szCs w:val="20"/>
                <w:lang w:eastAsia="en-AU"/>
              </w:rPr>
            </w:pPr>
            <w:r w:rsidRPr="00BA3844">
              <w:rPr>
                <w:rFonts w:ascii="Calibri" w:eastAsia="Times New Roman" w:hAnsi="Calibri" w:cs="Calibri"/>
                <w:color w:val="000000"/>
                <w:sz w:val="20"/>
                <w:szCs w:val="20"/>
                <w:lang w:eastAsia="en-AU"/>
              </w:rPr>
              <w:t>Loans - time series 2009-2016</w:t>
            </w:r>
          </w:p>
        </w:tc>
        <w:tc>
          <w:tcPr>
            <w:tcW w:w="748" w:type="dxa"/>
            <w:shd w:val="clear" w:color="000000" w:fill="FFFFFF"/>
            <w:textDirection w:val="btLr"/>
            <w:vAlign w:val="bottom"/>
            <w:hideMark/>
          </w:tcPr>
          <w:p w14:paraId="42EC00C3" w14:textId="77777777" w:rsidR="004F6A51" w:rsidRPr="00BA3844" w:rsidRDefault="004F6A51" w:rsidP="00B51452">
            <w:pPr>
              <w:spacing w:after="0" w:line="240" w:lineRule="auto"/>
              <w:jc w:val="center"/>
              <w:rPr>
                <w:rFonts w:ascii="Calibri" w:eastAsia="Times New Roman" w:hAnsi="Calibri" w:cs="Calibri"/>
                <w:color w:val="000000"/>
                <w:sz w:val="20"/>
                <w:szCs w:val="20"/>
                <w:lang w:eastAsia="en-AU"/>
              </w:rPr>
            </w:pPr>
            <w:r w:rsidRPr="00BA3844">
              <w:rPr>
                <w:rFonts w:ascii="Calibri" w:eastAsia="Times New Roman" w:hAnsi="Calibri" w:cs="Calibri"/>
                <w:color w:val="000000"/>
                <w:sz w:val="20"/>
                <w:szCs w:val="20"/>
                <w:lang w:eastAsia="en-AU"/>
              </w:rPr>
              <w:t>Unit and course completions (eligible students)</w:t>
            </w:r>
          </w:p>
        </w:tc>
        <w:tc>
          <w:tcPr>
            <w:tcW w:w="753" w:type="dxa"/>
            <w:shd w:val="clear" w:color="000000" w:fill="FFFFFF"/>
            <w:textDirection w:val="btLr"/>
            <w:vAlign w:val="bottom"/>
            <w:hideMark/>
          </w:tcPr>
          <w:p w14:paraId="72E6068A" w14:textId="77777777" w:rsidR="004F6A51" w:rsidRPr="00BA3844" w:rsidRDefault="004F6A51" w:rsidP="00B51452">
            <w:pPr>
              <w:spacing w:after="0" w:line="240" w:lineRule="auto"/>
              <w:jc w:val="center"/>
              <w:rPr>
                <w:rFonts w:ascii="Calibri" w:eastAsia="Times New Roman" w:hAnsi="Calibri" w:cs="Calibri"/>
                <w:color w:val="000000"/>
                <w:sz w:val="20"/>
                <w:szCs w:val="20"/>
                <w:lang w:eastAsia="en-AU"/>
              </w:rPr>
            </w:pPr>
            <w:r w:rsidRPr="00BA3844">
              <w:rPr>
                <w:rFonts w:ascii="Calibri" w:eastAsia="Times New Roman" w:hAnsi="Calibri" w:cs="Calibri"/>
                <w:color w:val="000000"/>
                <w:sz w:val="20"/>
                <w:szCs w:val="20"/>
                <w:lang w:eastAsia="en-AU"/>
              </w:rPr>
              <w:t>Unit and course completions (assisted students)</w:t>
            </w:r>
          </w:p>
        </w:tc>
        <w:tc>
          <w:tcPr>
            <w:tcW w:w="748" w:type="dxa"/>
            <w:shd w:val="clear" w:color="000000" w:fill="FFFFFF"/>
            <w:textDirection w:val="btLr"/>
            <w:vAlign w:val="bottom"/>
            <w:hideMark/>
          </w:tcPr>
          <w:p w14:paraId="7D95C3D5" w14:textId="77777777" w:rsidR="004F6A51" w:rsidRPr="00BA3844" w:rsidRDefault="004F6A51" w:rsidP="00B51452">
            <w:pPr>
              <w:spacing w:after="0" w:line="240" w:lineRule="auto"/>
              <w:jc w:val="center"/>
              <w:rPr>
                <w:rFonts w:ascii="Calibri" w:eastAsia="Times New Roman" w:hAnsi="Calibri" w:cs="Calibri"/>
                <w:color w:val="000000"/>
                <w:sz w:val="20"/>
                <w:szCs w:val="20"/>
                <w:lang w:eastAsia="en-AU"/>
              </w:rPr>
            </w:pPr>
            <w:r w:rsidRPr="00BA3844">
              <w:rPr>
                <w:rFonts w:ascii="Calibri" w:eastAsia="Times New Roman" w:hAnsi="Calibri" w:cs="Calibri"/>
                <w:color w:val="000000"/>
                <w:sz w:val="20"/>
                <w:szCs w:val="20"/>
                <w:lang w:eastAsia="en-AU"/>
              </w:rPr>
              <w:t>4-year cohort course completion rates 2011, 2012, 2013 (eligible students)</w:t>
            </w:r>
          </w:p>
        </w:tc>
        <w:tc>
          <w:tcPr>
            <w:tcW w:w="753" w:type="dxa"/>
            <w:shd w:val="clear" w:color="000000" w:fill="FFFFFF"/>
            <w:textDirection w:val="btLr"/>
            <w:vAlign w:val="bottom"/>
            <w:hideMark/>
          </w:tcPr>
          <w:p w14:paraId="7586AB33" w14:textId="77777777" w:rsidR="004F6A51" w:rsidRPr="00BA3844" w:rsidRDefault="004F6A51" w:rsidP="00B51452">
            <w:pPr>
              <w:spacing w:after="0" w:line="240" w:lineRule="auto"/>
              <w:jc w:val="center"/>
              <w:rPr>
                <w:rFonts w:ascii="Calibri" w:eastAsia="Times New Roman" w:hAnsi="Calibri" w:cs="Calibri"/>
                <w:color w:val="000000"/>
                <w:sz w:val="20"/>
                <w:szCs w:val="20"/>
                <w:lang w:eastAsia="en-AU"/>
              </w:rPr>
            </w:pPr>
            <w:r w:rsidRPr="00BA3844">
              <w:rPr>
                <w:rFonts w:ascii="Calibri" w:eastAsia="Times New Roman" w:hAnsi="Calibri" w:cs="Calibri"/>
                <w:color w:val="000000"/>
                <w:sz w:val="20"/>
                <w:szCs w:val="20"/>
                <w:lang w:eastAsia="en-AU"/>
              </w:rPr>
              <w:t>4-year cohort course completion rates 2011, 2012, 2013 (assisted students)</w:t>
            </w:r>
          </w:p>
        </w:tc>
        <w:tc>
          <w:tcPr>
            <w:tcW w:w="742" w:type="dxa"/>
            <w:shd w:val="clear" w:color="000000" w:fill="FFFFFF"/>
            <w:textDirection w:val="btLr"/>
            <w:vAlign w:val="bottom"/>
            <w:hideMark/>
          </w:tcPr>
          <w:p w14:paraId="4A62C83A" w14:textId="77777777" w:rsidR="004F6A51" w:rsidRPr="00BA3844" w:rsidRDefault="004F6A51" w:rsidP="00B51452">
            <w:pPr>
              <w:spacing w:after="0" w:line="240" w:lineRule="auto"/>
              <w:jc w:val="center"/>
              <w:rPr>
                <w:rFonts w:ascii="Calibri" w:eastAsia="Times New Roman" w:hAnsi="Calibri" w:cs="Calibri"/>
                <w:color w:val="000000"/>
                <w:sz w:val="20"/>
                <w:szCs w:val="20"/>
                <w:lang w:eastAsia="en-AU"/>
              </w:rPr>
            </w:pPr>
            <w:r w:rsidRPr="00BA3844">
              <w:rPr>
                <w:rFonts w:ascii="Calibri" w:eastAsia="Times New Roman" w:hAnsi="Calibri" w:cs="Calibri"/>
                <w:color w:val="000000"/>
                <w:sz w:val="20"/>
                <w:szCs w:val="20"/>
                <w:lang w:eastAsia="en-AU"/>
              </w:rPr>
              <w:t>5-year cohort course completion rates 2011, 2012 (eligible students)</w:t>
            </w:r>
          </w:p>
        </w:tc>
        <w:tc>
          <w:tcPr>
            <w:tcW w:w="753" w:type="dxa"/>
            <w:shd w:val="clear" w:color="000000" w:fill="FFFFFF"/>
            <w:textDirection w:val="btLr"/>
            <w:vAlign w:val="bottom"/>
            <w:hideMark/>
          </w:tcPr>
          <w:p w14:paraId="4AA826EC" w14:textId="77777777" w:rsidR="004F6A51" w:rsidRPr="00BA3844" w:rsidRDefault="004F6A51" w:rsidP="00B51452">
            <w:pPr>
              <w:spacing w:after="0" w:line="240" w:lineRule="auto"/>
              <w:jc w:val="center"/>
              <w:rPr>
                <w:rFonts w:ascii="Calibri" w:eastAsia="Times New Roman" w:hAnsi="Calibri" w:cs="Calibri"/>
                <w:color w:val="000000"/>
                <w:sz w:val="20"/>
                <w:szCs w:val="20"/>
                <w:lang w:eastAsia="en-AU"/>
              </w:rPr>
            </w:pPr>
            <w:r w:rsidRPr="00BA3844">
              <w:rPr>
                <w:rFonts w:ascii="Calibri" w:eastAsia="Times New Roman" w:hAnsi="Calibri" w:cs="Calibri"/>
                <w:color w:val="000000"/>
                <w:sz w:val="20"/>
                <w:szCs w:val="20"/>
                <w:lang w:eastAsia="en-AU"/>
              </w:rPr>
              <w:t>5-year cohort course completion rates 2011, 2012 (assisted students)</w:t>
            </w:r>
          </w:p>
        </w:tc>
        <w:tc>
          <w:tcPr>
            <w:tcW w:w="750" w:type="dxa"/>
            <w:shd w:val="clear" w:color="000000" w:fill="FFFFFF"/>
            <w:textDirection w:val="btLr"/>
            <w:vAlign w:val="bottom"/>
            <w:hideMark/>
          </w:tcPr>
          <w:p w14:paraId="2FE9FB03" w14:textId="77777777" w:rsidR="004F6A51" w:rsidRPr="00BA3844" w:rsidRDefault="004F6A51" w:rsidP="00B51452">
            <w:pPr>
              <w:spacing w:after="0" w:line="240" w:lineRule="auto"/>
              <w:jc w:val="center"/>
              <w:rPr>
                <w:rFonts w:ascii="Calibri" w:eastAsia="Times New Roman" w:hAnsi="Calibri" w:cs="Calibri"/>
                <w:color w:val="000000"/>
                <w:sz w:val="20"/>
                <w:szCs w:val="20"/>
                <w:lang w:eastAsia="en-AU"/>
              </w:rPr>
            </w:pPr>
            <w:r w:rsidRPr="00BA3844">
              <w:rPr>
                <w:rFonts w:ascii="Calibri" w:eastAsia="Times New Roman" w:hAnsi="Calibri" w:cs="Calibri"/>
                <w:color w:val="000000"/>
                <w:sz w:val="20"/>
                <w:szCs w:val="20"/>
                <w:lang w:eastAsia="en-AU"/>
              </w:rPr>
              <w:t>6-year cohort course completion rates 2011 (eligible students)</w:t>
            </w:r>
          </w:p>
        </w:tc>
        <w:tc>
          <w:tcPr>
            <w:tcW w:w="730" w:type="dxa"/>
            <w:shd w:val="clear" w:color="000000" w:fill="FFFFFF"/>
            <w:textDirection w:val="btLr"/>
            <w:vAlign w:val="bottom"/>
            <w:hideMark/>
          </w:tcPr>
          <w:p w14:paraId="3E4F5C4F" w14:textId="77777777" w:rsidR="004F6A51" w:rsidRPr="00BA3844" w:rsidRDefault="004F6A51" w:rsidP="00B51452">
            <w:pPr>
              <w:spacing w:after="0" w:line="240" w:lineRule="auto"/>
              <w:jc w:val="center"/>
              <w:rPr>
                <w:rFonts w:ascii="Calibri" w:eastAsia="Times New Roman" w:hAnsi="Calibri" w:cs="Calibri"/>
                <w:color w:val="000000"/>
                <w:sz w:val="20"/>
                <w:szCs w:val="20"/>
                <w:lang w:eastAsia="en-AU"/>
              </w:rPr>
            </w:pPr>
            <w:r w:rsidRPr="00BA3844">
              <w:rPr>
                <w:rFonts w:ascii="Calibri" w:eastAsia="Times New Roman" w:hAnsi="Calibri" w:cs="Calibri"/>
                <w:color w:val="000000"/>
                <w:sz w:val="20"/>
                <w:szCs w:val="20"/>
                <w:lang w:eastAsia="en-AU"/>
              </w:rPr>
              <w:t>6-year cohort course completion rates 2011 (assisted students)</w:t>
            </w:r>
          </w:p>
        </w:tc>
        <w:tc>
          <w:tcPr>
            <w:tcW w:w="747" w:type="dxa"/>
            <w:shd w:val="clear" w:color="000000" w:fill="FFFFFF"/>
            <w:textDirection w:val="btLr"/>
            <w:vAlign w:val="bottom"/>
            <w:hideMark/>
          </w:tcPr>
          <w:p w14:paraId="059521B6" w14:textId="77777777" w:rsidR="004F6A51" w:rsidRPr="00BA3844" w:rsidRDefault="004F6A51" w:rsidP="00B51452">
            <w:pPr>
              <w:spacing w:after="0" w:line="240" w:lineRule="auto"/>
              <w:jc w:val="center"/>
              <w:rPr>
                <w:rFonts w:ascii="Calibri" w:eastAsia="Times New Roman" w:hAnsi="Calibri" w:cs="Calibri"/>
                <w:color w:val="000000"/>
                <w:sz w:val="20"/>
                <w:szCs w:val="20"/>
                <w:lang w:eastAsia="en-AU"/>
              </w:rPr>
            </w:pPr>
            <w:r w:rsidRPr="00BA3844">
              <w:rPr>
                <w:rFonts w:ascii="Calibri" w:eastAsia="Times New Roman" w:hAnsi="Calibri" w:cs="Calibri"/>
                <w:color w:val="000000"/>
                <w:sz w:val="20"/>
                <w:szCs w:val="20"/>
                <w:lang w:eastAsia="en-AU"/>
              </w:rPr>
              <w:t>3-year cohort course completion rates 2011, 2012, 2013, 2014 (eligible students)</w:t>
            </w:r>
          </w:p>
        </w:tc>
        <w:tc>
          <w:tcPr>
            <w:tcW w:w="753" w:type="dxa"/>
            <w:shd w:val="clear" w:color="000000" w:fill="FFFFFF"/>
            <w:textDirection w:val="btLr"/>
            <w:vAlign w:val="bottom"/>
            <w:hideMark/>
          </w:tcPr>
          <w:p w14:paraId="453B02E2" w14:textId="77777777" w:rsidR="004F6A51" w:rsidRPr="00BA3844" w:rsidRDefault="004F6A51" w:rsidP="00B51452">
            <w:pPr>
              <w:spacing w:after="0" w:line="240" w:lineRule="auto"/>
              <w:jc w:val="center"/>
              <w:rPr>
                <w:rFonts w:ascii="Calibri" w:eastAsia="Times New Roman" w:hAnsi="Calibri" w:cs="Calibri"/>
                <w:color w:val="000000"/>
                <w:sz w:val="20"/>
                <w:szCs w:val="20"/>
                <w:lang w:eastAsia="en-AU"/>
              </w:rPr>
            </w:pPr>
            <w:r w:rsidRPr="00BA3844">
              <w:rPr>
                <w:rFonts w:ascii="Calibri" w:eastAsia="Times New Roman" w:hAnsi="Calibri" w:cs="Calibri"/>
                <w:color w:val="000000"/>
                <w:sz w:val="20"/>
                <w:szCs w:val="20"/>
                <w:lang w:eastAsia="en-AU"/>
              </w:rPr>
              <w:t>3-year cohort course completion rates 2011, 2012, 2013, 2014 (assisted students)</w:t>
            </w:r>
          </w:p>
        </w:tc>
      </w:tr>
      <w:tr w:rsidR="004F6A51" w:rsidRPr="00BA3844" w14:paraId="4F610B74" w14:textId="77777777" w:rsidTr="00B51452">
        <w:trPr>
          <w:trHeight w:val="300"/>
        </w:trPr>
        <w:tc>
          <w:tcPr>
            <w:tcW w:w="1369" w:type="dxa"/>
            <w:shd w:val="clear" w:color="000000" w:fill="96EAAC"/>
            <w:hideMark/>
          </w:tcPr>
          <w:p w14:paraId="51B23849" w14:textId="77777777" w:rsidR="004F6A51" w:rsidRPr="00BA3844" w:rsidRDefault="004F6A51" w:rsidP="00B51452">
            <w:pPr>
              <w:spacing w:after="0" w:line="240" w:lineRule="auto"/>
              <w:rPr>
                <w:rFonts w:ascii="Calibri" w:eastAsia="Times New Roman" w:hAnsi="Calibri" w:cs="Calibri"/>
                <w:b/>
                <w:bCs/>
                <w:color w:val="000000"/>
                <w:sz w:val="28"/>
                <w:szCs w:val="28"/>
                <w:lang w:eastAsia="en-AU"/>
              </w:rPr>
            </w:pPr>
            <w:r w:rsidRPr="00BA3844">
              <w:rPr>
                <w:rFonts w:ascii="Calibri" w:eastAsia="Times New Roman" w:hAnsi="Calibri" w:cs="Calibri"/>
                <w:b/>
                <w:bCs/>
                <w:color w:val="000000"/>
                <w:sz w:val="28"/>
                <w:szCs w:val="28"/>
                <w:lang w:eastAsia="en-AU"/>
              </w:rPr>
              <w:t>Student Tables</w:t>
            </w:r>
          </w:p>
        </w:tc>
        <w:tc>
          <w:tcPr>
            <w:tcW w:w="4680" w:type="dxa"/>
            <w:shd w:val="clear" w:color="000000" w:fill="96EAAC"/>
            <w:vAlign w:val="bottom"/>
            <w:hideMark/>
          </w:tcPr>
          <w:p w14:paraId="3D262DD3" w14:textId="77777777" w:rsidR="004F6A51" w:rsidRPr="00BA3844" w:rsidRDefault="004F6A51" w:rsidP="00B51452">
            <w:pPr>
              <w:spacing w:after="0" w:line="240" w:lineRule="auto"/>
              <w:rPr>
                <w:rFonts w:ascii="Calibri" w:eastAsia="Times New Roman" w:hAnsi="Calibri" w:cs="Calibri"/>
                <w:b/>
                <w:bCs/>
                <w:color w:val="000000"/>
                <w:sz w:val="20"/>
                <w:szCs w:val="20"/>
                <w:lang w:eastAsia="en-AU"/>
              </w:rPr>
            </w:pPr>
            <w:r w:rsidRPr="00BA3844">
              <w:rPr>
                <w:rFonts w:ascii="Calibri" w:eastAsia="Times New Roman" w:hAnsi="Calibri" w:cs="Calibri"/>
                <w:b/>
                <w:bCs/>
                <w:color w:val="000000"/>
                <w:sz w:val="20"/>
                <w:szCs w:val="20"/>
                <w:lang w:eastAsia="en-AU"/>
              </w:rPr>
              <w:t>Student Characteristics</w:t>
            </w:r>
            <w:r>
              <w:rPr>
                <w:rFonts w:ascii="Calibri" w:eastAsia="Times New Roman" w:hAnsi="Calibri" w:cs="Calibri"/>
                <w:b/>
                <w:bCs/>
                <w:color w:val="000000"/>
                <w:sz w:val="20"/>
                <w:szCs w:val="20"/>
                <w:lang w:eastAsia="en-AU"/>
              </w:rPr>
              <w:t xml:space="preserve">: </w:t>
            </w:r>
            <w:r w:rsidRPr="00BA3844">
              <w:rPr>
                <w:rFonts w:ascii="Calibri" w:eastAsia="Times New Roman" w:hAnsi="Calibri" w:cs="Calibri"/>
                <w:color w:val="000000"/>
                <w:sz w:val="16"/>
                <w:szCs w:val="16"/>
                <w:lang w:eastAsia="en-AU"/>
              </w:rPr>
              <w:t>Gender, Age, Citizenship, Indigenous Status, Disability Status, Remoteness, Socioeconomic Status, Employment Status, Main Language Spoken at Home, Prior Educational Attainment</w:t>
            </w:r>
          </w:p>
        </w:tc>
        <w:tc>
          <w:tcPr>
            <w:tcW w:w="619" w:type="dxa"/>
            <w:shd w:val="clear" w:color="000000" w:fill="C2DFF5"/>
            <w:noWrap/>
            <w:vAlign w:val="center"/>
            <w:hideMark/>
          </w:tcPr>
          <w:p w14:paraId="7CB8C14E"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1.1</w:t>
            </w:r>
          </w:p>
        </w:tc>
        <w:tc>
          <w:tcPr>
            <w:tcW w:w="467" w:type="dxa"/>
            <w:shd w:val="clear" w:color="000000" w:fill="C2DFF5"/>
            <w:noWrap/>
            <w:vAlign w:val="center"/>
            <w:hideMark/>
          </w:tcPr>
          <w:p w14:paraId="56DCBC61"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1.2</w:t>
            </w:r>
          </w:p>
        </w:tc>
        <w:tc>
          <w:tcPr>
            <w:tcW w:w="619" w:type="dxa"/>
            <w:shd w:val="clear" w:color="000000" w:fill="C2DFF5"/>
            <w:noWrap/>
            <w:vAlign w:val="center"/>
            <w:hideMark/>
          </w:tcPr>
          <w:p w14:paraId="6D33B691"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1.3</w:t>
            </w:r>
          </w:p>
        </w:tc>
        <w:tc>
          <w:tcPr>
            <w:tcW w:w="619" w:type="dxa"/>
            <w:shd w:val="clear" w:color="000000" w:fill="C2DFF5"/>
            <w:noWrap/>
            <w:vAlign w:val="center"/>
            <w:hideMark/>
          </w:tcPr>
          <w:p w14:paraId="73EFD701"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1.4</w:t>
            </w:r>
          </w:p>
        </w:tc>
        <w:tc>
          <w:tcPr>
            <w:tcW w:w="619" w:type="dxa"/>
            <w:shd w:val="clear" w:color="000000" w:fill="96EAAC"/>
            <w:noWrap/>
            <w:vAlign w:val="center"/>
            <w:hideMark/>
          </w:tcPr>
          <w:p w14:paraId="531824CB"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1.5</w:t>
            </w:r>
          </w:p>
        </w:tc>
        <w:tc>
          <w:tcPr>
            <w:tcW w:w="619" w:type="dxa"/>
            <w:shd w:val="clear" w:color="000000" w:fill="96EAAC"/>
            <w:noWrap/>
            <w:vAlign w:val="center"/>
            <w:hideMark/>
          </w:tcPr>
          <w:p w14:paraId="60485B15"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1.6</w:t>
            </w:r>
          </w:p>
        </w:tc>
        <w:tc>
          <w:tcPr>
            <w:tcW w:w="619" w:type="dxa"/>
            <w:shd w:val="clear" w:color="000000" w:fill="96EAAC"/>
            <w:noWrap/>
            <w:vAlign w:val="center"/>
            <w:hideMark/>
          </w:tcPr>
          <w:p w14:paraId="52DB1E94"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1.7</w:t>
            </w:r>
          </w:p>
        </w:tc>
        <w:tc>
          <w:tcPr>
            <w:tcW w:w="619" w:type="dxa"/>
            <w:shd w:val="clear" w:color="000000" w:fill="96EAAC"/>
            <w:noWrap/>
            <w:vAlign w:val="center"/>
            <w:hideMark/>
          </w:tcPr>
          <w:p w14:paraId="3B30E776"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1.8</w:t>
            </w:r>
          </w:p>
        </w:tc>
        <w:tc>
          <w:tcPr>
            <w:tcW w:w="619" w:type="dxa"/>
            <w:shd w:val="clear" w:color="000000" w:fill="96EAAC"/>
            <w:noWrap/>
            <w:vAlign w:val="center"/>
            <w:hideMark/>
          </w:tcPr>
          <w:p w14:paraId="5E2C6F95"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1.9</w:t>
            </w:r>
          </w:p>
        </w:tc>
        <w:tc>
          <w:tcPr>
            <w:tcW w:w="637" w:type="dxa"/>
            <w:shd w:val="clear" w:color="000000" w:fill="96EAAC"/>
            <w:noWrap/>
            <w:vAlign w:val="center"/>
            <w:hideMark/>
          </w:tcPr>
          <w:p w14:paraId="69C19F89"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48" w:type="dxa"/>
            <w:shd w:val="clear" w:color="000000" w:fill="C2DFF5"/>
            <w:noWrap/>
            <w:vAlign w:val="center"/>
            <w:hideMark/>
          </w:tcPr>
          <w:p w14:paraId="44124700"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1.10</w:t>
            </w:r>
          </w:p>
        </w:tc>
        <w:tc>
          <w:tcPr>
            <w:tcW w:w="748" w:type="dxa"/>
            <w:shd w:val="clear" w:color="000000" w:fill="C2DFF5"/>
            <w:noWrap/>
            <w:vAlign w:val="center"/>
            <w:hideMark/>
          </w:tcPr>
          <w:p w14:paraId="0C3AAAFD"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1.11(a)</w:t>
            </w:r>
          </w:p>
        </w:tc>
        <w:tc>
          <w:tcPr>
            <w:tcW w:w="753" w:type="dxa"/>
            <w:shd w:val="clear" w:color="000000" w:fill="C2DFF5"/>
            <w:noWrap/>
            <w:vAlign w:val="center"/>
            <w:hideMark/>
          </w:tcPr>
          <w:p w14:paraId="41BE532C"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1.11(b)</w:t>
            </w:r>
          </w:p>
        </w:tc>
        <w:tc>
          <w:tcPr>
            <w:tcW w:w="637" w:type="dxa"/>
            <w:shd w:val="clear" w:color="000000" w:fill="C2DFF5"/>
            <w:noWrap/>
            <w:vAlign w:val="center"/>
            <w:hideMark/>
          </w:tcPr>
          <w:p w14:paraId="3D899FB8"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1.12</w:t>
            </w:r>
          </w:p>
        </w:tc>
        <w:tc>
          <w:tcPr>
            <w:tcW w:w="748" w:type="dxa"/>
            <w:shd w:val="clear" w:color="000000" w:fill="96EAAC"/>
            <w:noWrap/>
            <w:vAlign w:val="center"/>
            <w:hideMark/>
          </w:tcPr>
          <w:p w14:paraId="63C11C6D"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1.13(a)</w:t>
            </w:r>
          </w:p>
        </w:tc>
        <w:tc>
          <w:tcPr>
            <w:tcW w:w="753" w:type="dxa"/>
            <w:shd w:val="clear" w:color="000000" w:fill="96EAAC"/>
            <w:noWrap/>
            <w:vAlign w:val="center"/>
            <w:hideMark/>
          </w:tcPr>
          <w:p w14:paraId="026C5F7D"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1.13(b)</w:t>
            </w:r>
          </w:p>
        </w:tc>
        <w:tc>
          <w:tcPr>
            <w:tcW w:w="748" w:type="dxa"/>
            <w:shd w:val="clear" w:color="000000" w:fill="96EAAC"/>
            <w:noWrap/>
            <w:vAlign w:val="center"/>
            <w:hideMark/>
          </w:tcPr>
          <w:p w14:paraId="1297E261"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1.14(a)</w:t>
            </w:r>
          </w:p>
        </w:tc>
        <w:tc>
          <w:tcPr>
            <w:tcW w:w="753" w:type="dxa"/>
            <w:shd w:val="clear" w:color="000000" w:fill="96EAAC"/>
            <w:noWrap/>
            <w:vAlign w:val="center"/>
            <w:hideMark/>
          </w:tcPr>
          <w:p w14:paraId="67D45DE8"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1.14(b)</w:t>
            </w:r>
          </w:p>
        </w:tc>
        <w:tc>
          <w:tcPr>
            <w:tcW w:w="742" w:type="dxa"/>
            <w:shd w:val="clear" w:color="000000" w:fill="96EAAC"/>
            <w:noWrap/>
            <w:vAlign w:val="center"/>
            <w:hideMark/>
          </w:tcPr>
          <w:p w14:paraId="592386BD"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1.14(c)</w:t>
            </w:r>
          </w:p>
        </w:tc>
        <w:tc>
          <w:tcPr>
            <w:tcW w:w="753" w:type="dxa"/>
            <w:shd w:val="clear" w:color="000000" w:fill="96EAAC"/>
            <w:noWrap/>
            <w:vAlign w:val="center"/>
            <w:hideMark/>
          </w:tcPr>
          <w:p w14:paraId="42F4EB5C"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1.14(d)</w:t>
            </w:r>
          </w:p>
        </w:tc>
        <w:tc>
          <w:tcPr>
            <w:tcW w:w="750" w:type="dxa"/>
            <w:shd w:val="clear" w:color="000000" w:fill="96EAAC"/>
            <w:noWrap/>
            <w:vAlign w:val="center"/>
            <w:hideMark/>
          </w:tcPr>
          <w:p w14:paraId="48F5F513"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1.14(e)</w:t>
            </w:r>
          </w:p>
        </w:tc>
        <w:tc>
          <w:tcPr>
            <w:tcW w:w="730" w:type="dxa"/>
            <w:shd w:val="clear" w:color="000000" w:fill="96EAAC"/>
            <w:noWrap/>
            <w:vAlign w:val="center"/>
            <w:hideMark/>
          </w:tcPr>
          <w:p w14:paraId="1EC7ACC6"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1.14(f)</w:t>
            </w:r>
          </w:p>
        </w:tc>
        <w:tc>
          <w:tcPr>
            <w:tcW w:w="747" w:type="dxa"/>
            <w:shd w:val="clear" w:color="000000" w:fill="96EAAC"/>
            <w:noWrap/>
            <w:vAlign w:val="center"/>
            <w:hideMark/>
          </w:tcPr>
          <w:p w14:paraId="6D3BFDB8"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1.14(g)</w:t>
            </w:r>
          </w:p>
        </w:tc>
        <w:tc>
          <w:tcPr>
            <w:tcW w:w="753" w:type="dxa"/>
            <w:shd w:val="clear" w:color="000000" w:fill="96EAAC"/>
            <w:noWrap/>
            <w:vAlign w:val="center"/>
            <w:hideMark/>
          </w:tcPr>
          <w:p w14:paraId="31817B39"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1.14(h)</w:t>
            </w:r>
          </w:p>
        </w:tc>
      </w:tr>
      <w:tr w:rsidR="004F6A51" w:rsidRPr="00BA3844" w14:paraId="4844CB12" w14:textId="77777777" w:rsidTr="00B51452">
        <w:trPr>
          <w:trHeight w:val="300"/>
        </w:trPr>
        <w:tc>
          <w:tcPr>
            <w:tcW w:w="1369" w:type="dxa"/>
            <w:vMerge w:val="restart"/>
            <w:shd w:val="clear" w:color="000000" w:fill="FFFFFF"/>
            <w:hideMark/>
          </w:tcPr>
          <w:p w14:paraId="5901417F" w14:textId="77777777" w:rsidR="004F6A51" w:rsidRPr="00BA3844" w:rsidRDefault="004F6A51" w:rsidP="00B51452">
            <w:pPr>
              <w:spacing w:after="0" w:line="240" w:lineRule="auto"/>
              <w:rPr>
                <w:rFonts w:ascii="Calibri" w:eastAsia="Times New Roman" w:hAnsi="Calibri" w:cs="Calibri"/>
                <w:b/>
                <w:bCs/>
                <w:color w:val="000000"/>
                <w:sz w:val="28"/>
                <w:szCs w:val="28"/>
                <w:lang w:eastAsia="en-AU"/>
              </w:rPr>
            </w:pPr>
            <w:r w:rsidRPr="00BA3844">
              <w:rPr>
                <w:rFonts w:ascii="Calibri" w:eastAsia="Times New Roman" w:hAnsi="Calibri" w:cs="Calibri"/>
                <w:b/>
                <w:bCs/>
                <w:color w:val="000000"/>
                <w:sz w:val="28"/>
                <w:szCs w:val="28"/>
                <w:lang w:eastAsia="en-AU"/>
              </w:rPr>
              <w:t>Study Tables</w:t>
            </w:r>
          </w:p>
        </w:tc>
        <w:tc>
          <w:tcPr>
            <w:tcW w:w="4680" w:type="dxa"/>
            <w:shd w:val="clear" w:color="000000" w:fill="FFFFFF"/>
            <w:vAlign w:val="bottom"/>
            <w:hideMark/>
          </w:tcPr>
          <w:p w14:paraId="203A959B" w14:textId="77777777" w:rsidR="004F6A51" w:rsidRPr="00BA3844" w:rsidRDefault="004F6A51" w:rsidP="00B51452">
            <w:pPr>
              <w:spacing w:after="0" w:line="240" w:lineRule="auto"/>
              <w:rPr>
                <w:rFonts w:ascii="Calibri" w:eastAsia="Times New Roman" w:hAnsi="Calibri" w:cs="Calibri"/>
                <w:b/>
                <w:bCs/>
                <w:color w:val="000000"/>
                <w:sz w:val="20"/>
                <w:szCs w:val="20"/>
                <w:lang w:eastAsia="en-AU"/>
              </w:rPr>
            </w:pPr>
            <w:r w:rsidRPr="00BA3844">
              <w:rPr>
                <w:rFonts w:ascii="Calibri" w:eastAsia="Times New Roman" w:hAnsi="Calibri" w:cs="Calibri"/>
                <w:b/>
                <w:bCs/>
                <w:color w:val="000000"/>
                <w:sz w:val="20"/>
                <w:szCs w:val="20"/>
                <w:lang w:eastAsia="en-AU"/>
              </w:rPr>
              <w:t>Study Characteristics</w:t>
            </w:r>
            <w:r>
              <w:rPr>
                <w:rFonts w:ascii="Calibri" w:eastAsia="Times New Roman" w:hAnsi="Calibri" w:cs="Calibri"/>
                <w:b/>
                <w:bCs/>
                <w:color w:val="000000"/>
                <w:sz w:val="20"/>
                <w:szCs w:val="20"/>
                <w:lang w:eastAsia="en-AU"/>
              </w:rPr>
              <w:t xml:space="preserve">: </w:t>
            </w:r>
            <w:r>
              <w:rPr>
                <w:rFonts w:ascii="Calibri" w:eastAsia="Times New Roman" w:hAnsi="Calibri" w:cs="Calibri"/>
                <w:color w:val="000000"/>
                <w:sz w:val="16"/>
                <w:szCs w:val="16"/>
                <w:lang w:eastAsia="en-AU"/>
              </w:rPr>
              <w:t>Qualification level, Broa</w:t>
            </w:r>
            <w:r w:rsidRPr="00BA3844">
              <w:rPr>
                <w:rFonts w:ascii="Calibri" w:eastAsia="Times New Roman" w:hAnsi="Calibri" w:cs="Calibri"/>
                <w:color w:val="000000"/>
                <w:sz w:val="16"/>
                <w:szCs w:val="16"/>
                <w:lang w:eastAsia="en-AU"/>
              </w:rPr>
              <w:t>d Field of Education, Campus State, Reasons for Studying, Mode of Attendance, Type of Attendance</w:t>
            </w:r>
          </w:p>
        </w:tc>
        <w:tc>
          <w:tcPr>
            <w:tcW w:w="619" w:type="dxa"/>
            <w:shd w:val="clear" w:color="000000" w:fill="C2DFF5"/>
            <w:noWrap/>
            <w:vAlign w:val="center"/>
            <w:hideMark/>
          </w:tcPr>
          <w:p w14:paraId="028A2771"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2.1</w:t>
            </w:r>
          </w:p>
        </w:tc>
        <w:tc>
          <w:tcPr>
            <w:tcW w:w="467" w:type="dxa"/>
            <w:shd w:val="clear" w:color="000000" w:fill="C2DFF5"/>
            <w:noWrap/>
            <w:vAlign w:val="center"/>
            <w:hideMark/>
          </w:tcPr>
          <w:p w14:paraId="0917BC26"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2.2</w:t>
            </w:r>
          </w:p>
        </w:tc>
        <w:tc>
          <w:tcPr>
            <w:tcW w:w="619" w:type="dxa"/>
            <w:shd w:val="clear" w:color="000000" w:fill="C2DFF5"/>
            <w:noWrap/>
            <w:vAlign w:val="center"/>
            <w:hideMark/>
          </w:tcPr>
          <w:p w14:paraId="6E99A3B8"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2.3</w:t>
            </w:r>
          </w:p>
        </w:tc>
        <w:tc>
          <w:tcPr>
            <w:tcW w:w="619" w:type="dxa"/>
            <w:shd w:val="clear" w:color="000000" w:fill="C2DFF5"/>
            <w:noWrap/>
            <w:vAlign w:val="center"/>
            <w:hideMark/>
          </w:tcPr>
          <w:p w14:paraId="172AB73C"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2.4</w:t>
            </w:r>
          </w:p>
        </w:tc>
        <w:tc>
          <w:tcPr>
            <w:tcW w:w="619" w:type="dxa"/>
            <w:shd w:val="clear" w:color="000000" w:fill="FFFFFF"/>
            <w:noWrap/>
            <w:vAlign w:val="center"/>
            <w:hideMark/>
          </w:tcPr>
          <w:p w14:paraId="5CC424A1"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2.5</w:t>
            </w:r>
          </w:p>
        </w:tc>
        <w:tc>
          <w:tcPr>
            <w:tcW w:w="619" w:type="dxa"/>
            <w:shd w:val="clear" w:color="000000" w:fill="FFFFFF"/>
            <w:noWrap/>
            <w:vAlign w:val="center"/>
            <w:hideMark/>
          </w:tcPr>
          <w:p w14:paraId="6BBE184A"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2.6</w:t>
            </w:r>
          </w:p>
        </w:tc>
        <w:tc>
          <w:tcPr>
            <w:tcW w:w="619" w:type="dxa"/>
            <w:shd w:val="clear" w:color="000000" w:fill="FFFFFF"/>
            <w:noWrap/>
            <w:vAlign w:val="center"/>
            <w:hideMark/>
          </w:tcPr>
          <w:p w14:paraId="76B6CCFC"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2.7</w:t>
            </w:r>
          </w:p>
        </w:tc>
        <w:tc>
          <w:tcPr>
            <w:tcW w:w="619" w:type="dxa"/>
            <w:shd w:val="clear" w:color="000000" w:fill="FFFFFF"/>
            <w:noWrap/>
            <w:vAlign w:val="center"/>
            <w:hideMark/>
          </w:tcPr>
          <w:p w14:paraId="5DE2D45C"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2.8</w:t>
            </w:r>
          </w:p>
        </w:tc>
        <w:tc>
          <w:tcPr>
            <w:tcW w:w="619" w:type="dxa"/>
            <w:shd w:val="clear" w:color="000000" w:fill="FFFFFF"/>
            <w:noWrap/>
            <w:vAlign w:val="center"/>
            <w:hideMark/>
          </w:tcPr>
          <w:p w14:paraId="61F9AE27"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2.9</w:t>
            </w:r>
          </w:p>
        </w:tc>
        <w:tc>
          <w:tcPr>
            <w:tcW w:w="637" w:type="dxa"/>
            <w:shd w:val="clear" w:color="000000" w:fill="FFFFFF"/>
            <w:noWrap/>
            <w:vAlign w:val="center"/>
            <w:hideMark/>
          </w:tcPr>
          <w:p w14:paraId="429AFB1D"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48" w:type="dxa"/>
            <w:shd w:val="clear" w:color="000000" w:fill="C2DFF5"/>
            <w:noWrap/>
            <w:vAlign w:val="center"/>
            <w:hideMark/>
          </w:tcPr>
          <w:p w14:paraId="4EA0656B"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2.11</w:t>
            </w:r>
          </w:p>
        </w:tc>
        <w:tc>
          <w:tcPr>
            <w:tcW w:w="748" w:type="dxa"/>
            <w:shd w:val="clear" w:color="000000" w:fill="C2DFF5"/>
            <w:noWrap/>
            <w:vAlign w:val="center"/>
            <w:hideMark/>
          </w:tcPr>
          <w:p w14:paraId="7A5FAA8F"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2.12(a)</w:t>
            </w:r>
          </w:p>
        </w:tc>
        <w:tc>
          <w:tcPr>
            <w:tcW w:w="753" w:type="dxa"/>
            <w:shd w:val="clear" w:color="000000" w:fill="C2DFF5"/>
            <w:noWrap/>
            <w:vAlign w:val="center"/>
            <w:hideMark/>
          </w:tcPr>
          <w:p w14:paraId="431F3758"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2.12(b)</w:t>
            </w:r>
          </w:p>
        </w:tc>
        <w:tc>
          <w:tcPr>
            <w:tcW w:w="637" w:type="dxa"/>
            <w:shd w:val="clear" w:color="000000" w:fill="C2DFF5"/>
            <w:noWrap/>
            <w:vAlign w:val="center"/>
            <w:hideMark/>
          </w:tcPr>
          <w:p w14:paraId="1F9B0D80"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2.13</w:t>
            </w:r>
          </w:p>
        </w:tc>
        <w:tc>
          <w:tcPr>
            <w:tcW w:w="748" w:type="dxa"/>
            <w:shd w:val="clear" w:color="000000" w:fill="FFFFFF"/>
            <w:noWrap/>
            <w:vAlign w:val="center"/>
            <w:hideMark/>
          </w:tcPr>
          <w:p w14:paraId="1A61BBDF"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2.14(a)</w:t>
            </w:r>
          </w:p>
        </w:tc>
        <w:tc>
          <w:tcPr>
            <w:tcW w:w="753" w:type="dxa"/>
            <w:shd w:val="clear" w:color="000000" w:fill="FFFFFF"/>
            <w:noWrap/>
            <w:vAlign w:val="center"/>
            <w:hideMark/>
          </w:tcPr>
          <w:p w14:paraId="327121B8"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2.14(b)</w:t>
            </w:r>
          </w:p>
        </w:tc>
        <w:tc>
          <w:tcPr>
            <w:tcW w:w="748" w:type="dxa"/>
            <w:shd w:val="clear" w:color="000000" w:fill="FFFFFF"/>
            <w:noWrap/>
            <w:vAlign w:val="center"/>
            <w:hideMark/>
          </w:tcPr>
          <w:p w14:paraId="3927632A"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2.15(a)</w:t>
            </w:r>
          </w:p>
        </w:tc>
        <w:tc>
          <w:tcPr>
            <w:tcW w:w="753" w:type="dxa"/>
            <w:shd w:val="clear" w:color="000000" w:fill="FFFFFF"/>
            <w:noWrap/>
            <w:vAlign w:val="center"/>
            <w:hideMark/>
          </w:tcPr>
          <w:p w14:paraId="37141B80"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2.15(b)</w:t>
            </w:r>
          </w:p>
        </w:tc>
        <w:tc>
          <w:tcPr>
            <w:tcW w:w="742" w:type="dxa"/>
            <w:shd w:val="clear" w:color="000000" w:fill="FFFFFF"/>
            <w:noWrap/>
            <w:vAlign w:val="center"/>
            <w:hideMark/>
          </w:tcPr>
          <w:p w14:paraId="196FBDCB"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2.15(c)</w:t>
            </w:r>
          </w:p>
        </w:tc>
        <w:tc>
          <w:tcPr>
            <w:tcW w:w="753" w:type="dxa"/>
            <w:shd w:val="clear" w:color="000000" w:fill="FFFFFF"/>
            <w:noWrap/>
            <w:vAlign w:val="center"/>
            <w:hideMark/>
          </w:tcPr>
          <w:p w14:paraId="6ED0C260"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2.15(d)</w:t>
            </w:r>
          </w:p>
        </w:tc>
        <w:tc>
          <w:tcPr>
            <w:tcW w:w="750" w:type="dxa"/>
            <w:shd w:val="clear" w:color="000000" w:fill="FFFFFF"/>
            <w:noWrap/>
            <w:vAlign w:val="center"/>
            <w:hideMark/>
          </w:tcPr>
          <w:p w14:paraId="59BDCE77"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2.15(e)</w:t>
            </w:r>
          </w:p>
        </w:tc>
        <w:tc>
          <w:tcPr>
            <w:tcW w:w="730" w:type="dxa"/>
            <w:shd w:val="clear" w:color="000000" w:fill="FFFFFF"/>
            <w:noWrap/>
            <w:vAlign w:val="center"/>
            <w:hideMark/>
          </w:tcPr>
          <w:p w14:paraId="61A69327"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2.15(f)</w:t>
            </w:r>
          </w:p>
        </w:tc>
        <w:tc>
          <w:tcPr>
            <w:tcW w:w="747" w:type="dxa"/>
            <w:shd w:val="clear" w:color="000000" w:fill="FFFFFF"/>
            <w:noWrap/>
            <w:vAlign w:val="center"/>
            <w:hideMark/>
          </w:tcPr>
          <w:p w14:paraId="4E683CE6"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2.15(g)</w:t>
            </w:r>
          </w:p>
        </w:tc>
        <w:tc>
          <w:tcPr>
            <w:tcW w:w="753" w:type="dxa"/>
            <w:shd w:val="clear" w:color="000000" w:fill="FFFFFF"/>
            <w:noWrap/>
            <w:vAlign w:val="center"/>
            <w:hideMark/>
          </w:tcPr>
          <w:p w14:paraId="0FF51574"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2.15(h)</w:t>
            </w:r>
          </w:p>
        </w:tc>
      </w:tr>
      <w:tr w:rsidR="004F6A51" w:rsidRPr="00BA3844" w14:paraId="7E524632" w14:textId="77777777" w:rsidTr="00B51452">
        <w:trPr>
          <w:trHeight w:val="300"/>
        </w:trPr>
        <w:tc>
          <w:tcPr>
            <w:tcW w:w="1369" w:type="dxa"/>
            <w:vMerge/>
            <w:vAlign w:val="center"/>
            <w:hideMark/>
          </w:tcPr>
          <w:p w14:paraId="122F59C4" w14:textId="77777777" w:rsidR="004F6A51" w:rsidRPr="00BA3844" w:rsidRDefault="004F6A51" w:rsidP="00B51452">
            <w:pPr>
              <w:spacing w:after="0" w:line="240" w:lineRule="auto"/>
              <w:rPr>
                <w:rFonts w:ascii="Calibri" w:eastAsia="Times New Roman" w:hAnsi="Calibri" w:cs="Calibri"/>
                <w:b/>
                <w:bCs/>
                <w:color w:val="000000"/>
                <w:sz w:val="28"/>
                <w:szCs w:val="28"/>
                <w:lang w:eastAsia="en-AU"/>
              </w:rPr>
            </w:pPr>
          </w:p>
        </w:tc>
        <w:tc>
          <w:tcPr>
            <w:tcW w:w="4680" w:type="dxa"/>
            <w:shd w:val="clear" w:color="000000" w:fill="FFFFFF"/>
            <w:noWrap/>
            <w:vAlign w:val="bottom"/>
            <w:hideMark/>
          </w:tcPr>
          <w:p w14:paraId="3D938114" w14:textId="6D14C06F" w:rsidR="004F6A51" w:rsidRPr="00BA3844" w:rsidRDefault="004F6A51" w:rsidP="00B51452">
            <w:pPr>
              <w:spacing w:after="0" w:line="240" w:lineRule="auto"/>
              <w:rPr>
                <w:rFonts w:ascii="Calibri" w:eastAsia="Times New Roman" w:hAnsi="Calibri" w:cs="Calibri"/>
                <w:b/>
                <w:bCs/>
                <w:color w:val="000000"/>
                <w:sz w:val="20"/>
                <w:szCs w:val="20"/>
                <w:lang w:eastAsia="en-AU"/>
              </w:rPr>
            </w:pPr>
            <w:r w:rsidRPr="00BA3844">
              <w:rPr>
                <w:rFonts w:ascii="Calibri" w:eastAsia="Times New Roman" w:hAnsi="Calibri" w:cs="Calibri"/>
                <w:b/>
                <w:bCs/>
                <w:color w:val="000000"/>
                <w:sz w:val="20"/>
                <w:szCs w:val="20"/>
                <w:lang w:eastAsia="en-AU"/>
              </w:rPr>
              <w:t>Top 20 courses (Australia-wide)</w:t>
            </w:r>
            <w:r w:rsidR="00AE254B">
              <w:rPr>
                <w:rFonts w:ascii="Calibri" w:eastAsia="Times New Roman" w:hAnsi="Calibri" w:cs="Calibri"/>
                <w:b/>
                <w:bCs/>
                <w:color w:val="000000"/>
                <w:sz w:val="20"/>
                <w:szCs w:val="20"/>
                <w:lang w:eastAsia="en-AU"/>
              </w:rPr>
              <w:t>:</w:t>
            </w:r>
            <w:r>
              <w:rPr>
                <w:rFonts w:ascii="Calibri" w:eastAsia="Times New Roman" w:hAnsi="Calibri" w:cs="Calibri"/>
                <w:b/>
                <w:bCs/>
                <w:color w:val="000000"/>
                <w:sz w:val="20"/>
                <w:szCs w:val="20"/>
                <w:lang w:eastAsia="en-AU"/>
              </w:rPr>
              <w:t xml:space="preserve"> </w:t>
            </w:r>
            <w:r w:rsidRPr="00AE254B">
              <w:rPr>
                <w:rFonts w:ascii="Calibri" w:eastAsia="Times New Roman" w:hAnsi="Calibri" w:cs="Calibri"/>
                <w:bCs/>
                <w:color w:val="000000"/>
                <w:sz w:val="16"/>
                <w:szCs w:val="16"/>
                <w:lang w:eastAsia="en-AU"/>
              </w:rPr>
              <w:t>enrolments by</w:t>
            </w:r>
            <w:r>
              <w:rPr>
                <w:rFonts w:ascii="Calibri" w:eastAsia="Times New Roman" w:hAnsi="Calibri" w:cs="Calibri"/>
                <w:b/>
                <w:bCs/>
                <w:color w:val="000000"/>
                <w:sz w:val="20"/>
                <w:szCs w:val="20"/>
                <w:lang w:eastAsia="en-AU"/>
              </w:rPr>
              <w:t xml:space="preserve"> </w:t>
            </w:r>
            <w:r w:rsidRPr="00BA3844">
              <w:rPr>
                <w:rFonts w:ascii="Calibri" w:eastAsia="Times New Roman" w:hAnsi="Calibri" w:cs="Calibri"/>
                <w:color w:val="000000"/>
                <w:sz w:val="16"/>
                <w:szCs w:val="16"/>
                <w:lang w:eastAsia="en-AU"/>
              </w:rPr>
              <w:t>Gender, Age, Mode of Attendance</w:t>
            </w:r>
          </w:p>
        </w:tc>
        <w:tc>
          <w:tcPr>
            <w:tcW w:w="619" w:type="dxa"/>
            <w:shd w:val="clear" w:color="000000" w:fill="C2DFF5"/>
            <w:noWrap/>
            <w:vAlign w:val="center"/>
            <w:hideMark/>
          </w:tcPr>
          <w:p w14:paraId="5ECBC40A"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467" w:type="dxa"/>
            <w:shd w:val="clear" w:color="000000" w:fill="C2DFF5"/>
            <w:noWrap/>
            <w:vAlign w:val="center"/>
            <w:hideMark/>
          </w:tcPr>
          <w:p w14:paraId="4A2CA36D"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619" w:type="dxa"/>
            <w:shd w:val="clear" w:color="000000" w:fill="C2DFF5"/>
            <w:noWrap/>
            <w:vAlign w:val="center"/>
            <w:hideMark/>
          </w:tcPr>
          <w:p w14:paraId="2D8666BD"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619" w:type="dxa"/>
            <w:shd w:val="clear" w:color="000000" w:fill="C2DFF5"/>
            <w:noWrap/>
            <w:vAlign w:val="center"/>
            <w:hideMark/>
          </w:tcPr>
          <w:p w14:paraId="182027D8"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619" w:type="dxa"/>
            <w:shd w:val="clear" w:color="000000" w:fill="FFFFFF"/>
            <w:noWrap/>
            <w:vAlign w:val="center"/>
            <w:hideMark/>
          </w:tcPr>
          <w:p w14:paraId="24A55260"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619" w:type="dxa"/>
            <w:shd w:val="clear" w:color="000000" w:fill="FFFFFF"/>
            <w:noWrap/>
            <w:vAlign w:val="center"/>
            <w:hideMark/>
          </w:tcPr>
          <w:p w14:paraId="7555FC99"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619" w:type="dxa"/>
            <w:shd w:val="clear" w:color="000000" w:fill="FFFFFF"/>
            <w:noWrap/>
            <w:vAlign w:val="center"/>
            <w:hideMark/>
          </w:tcPr>
          <w:p w14:paraId="7EC85D9C"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619" w:type="dxa"/>
            <w:shd w:val="clear" w:color="000000" w:fill="FFFFFF"/>
            <w:noWrap/>
            <w:vAlign w:val="center"/>
            <w:hideMark/>
          </w:tcPr>
          <w:p w14:paraId="67BC1664"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619" w:type="dxa"/>
            <w:shd w:val="clear" w:color="000000" w:fill="FFFFFF"/>
            <w:noWrap/>
            <w:vAlign w:val="center"/>
            <w:hideMark/>
          </w:tcPr>
          <w:p w14:paraId="35B3E9BF"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637" w:type="dxa"/>
            <w:shd w:val="clear" w:color="000000" w:fill="FFFFFF"/>
            <w:noWrap/>
            <w:vAlign w:val="center"/>
            <w:hideMark/>
          </w:tcPr>
          <w:p w14:paraId="521B220C"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2.10</w:t>
            </w:r>
          </w:p>
        </w:tc>
        <w:tc>
          <w:tcPr>
            <w:tcW w:w="748" w:type="dxa"/>
            <w:shd w:val="clear" w:color="000000" w:fill="C2DFF5"/>
            <w:noWrap/>
            <w:vAlign w:val="center"/>
            <w:hideMark/>
          </w:tcPr>
          <w:p w14:paraId="75F60225"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48" w:type="dxa"/>
            <w:shd w:val="clear" w:color="000000" w:fill="C2DFF5"/>
            <w:noWrap/>
            <w:vAlign w:val="center"/>
            <w:hideMark/>
          </w:tcPr>
          <w:p w14:paraId="79BD32D5"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53" w:type="dxa"/>
            <w:shd w:val="clear" w:color="000000" w:fill="C2DFF5"/>
            <w:noWrap/>
            <w:vAlign w:val="center"/>
            <w:hideMark/>
          </w:tcPr>
          <w:p w14:paraId="6A541D12"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637" w:type="dxa"/>
            <w:shd w:val="clear" w:color="000000" w:fill="C2DFF5"/>
            <w:noWrap/>
            <w:vAlign w:val="center"/>
            <w:hideMark/>
          </w:tcPr>
          <w:p w14:paraId="37EC39F2"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48" w:type="dxa"/>
            <w:shd w:val="clear" w:color="000000" w:fill="FFFFFF"/>
            <w:noWrap/>
            <w:vAlign w:val="center"/>
            <w:hideMark/>
          </w:tcPr>
          <w:p w14:paraId="7C77BCCC"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53" w:type="dxa"/>
            <w:shd w:val="clear" w:color="000000" w:fill="FFFFFF"/>
            <w:noWrap/>
            <w:vAlign w:val="center"/>
            <w:hideMark/>
          </w:tcPr>
          <w:p w14:paraId="1892CDAE"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48" w:type="dxa"/>
            <w:shd w:val="clear" w:color="000000" w:fill="FFFFFF"/>
            <w:noWrap/>
            <w:vAlign w:val="center"/>
            <w:hideMark/>
          </w:tcPr>
          <w:p w14:paraId="52E95185"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53" w:type="dxa"/>
            <w:shd w:val="clear" w:color="000000" w:fill="FFFFFF"/>
            <w:noWrap/>
            <w:vAlign w:val="center"/>
            <w:hideMark/>
          </w:tcPr>
          <w:p w14:paraId="5BE935D4"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42" w:type="dxa"/>
            <w:shd w:val="clear" w:color="000000" w:fill="FFFFFF"/>
            <w:noWrap/>
            <w:vAlign w:val="center"/>
            <w:hideMark/>
          </w:tcPr>
          <w:p w14:paraId="1CC2F00B"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53" w:type="dxa"/>
            <w:shd w:val="clear" w:color="000000" w:fill="FFFFFF"/>
            <w:noWrap/>
            <w:vAlign w:val="center"/>
            <w:hideMark/>
          </w:tcPr>
          <w:p w14:paraId="7D7F8A4B"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50" w:type="dxa"/>
            <w:shd w:val="clear" w:color="000000" w:fill="FFFFFF"/>
            <w:noWrap/>
            <w:vAlign w:val="center"/>
            <w:hideMark/>
          </w:tcPr>
          <w:p w14:paraId="20E95735"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30" w:type="dxa"/>
            <w:shd w:val="clear" w:color="000000" w:fill="FFFFFF"/>
            <w:noWrap/>
            <w:vAlign w:val="center"/>
            <w:hideMark/>
          </w:tcPr>
          <w:p w14:paraId="32C35EC0"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47" w:type="dxa"/>
            <w:shd w:val="clear" w:color="000000" w:fill="FFFFFF"/>
            <w:noWrap/>
            <w:vAlign w:val="center"/>
            <w:hideMark/>
          </w:tcPr>
          <w:p w14:paraId="0C16C511"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53" w:type="dxa"/>
            <w:shd w:val="clear" w:color="000000" w:fill="FFFFFF"/>
            <w:noWrap/>
            <w:vAlign w:val="center"/>
            <w:hideMark/>
          </w:tcPr>
          <w:p w14:paraId="6092E46E"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r>
      <w:tr w:rsidR="004F6A51" w:rsidRPr="00BA3844" w14:paraId="71D15002" w14:textId="77777777" w:rsidTr="00B51452">
        <w:trPr>
          <w:trHeight w:val="360"/>
        </w:trPr>
        <w:tc>
          <w:tcPr>
            <w:tcW w:w="1369" w:type="dxa"/>
            <w:vMerge/>
            <w:vAlign w:val="center"/>
            <w:hideMark/>
          </w:tcPr>
          <w:p w14:paraId="355BDE22" w14:textId="77777777" w:rsidR="004F6A51" w:rsidRPr="00BA3844" w:rsidRDefault="004F6A51" w:rsidP="00B51452">
            <w:pPr>
              <w:spacing w:after="0" w:line="240" w:lineRule="auto"/>
              <w:rPr>
                <w:rFonts w:ascii="Calibri" w:eastAsia="Times New Roman" w:hAnsi="Calibri" w:cs="Calibri"/>
                <w:b/>
                <w:bCs/>
                <w:color w:val="000000"/>
                <w:sz w:val="28"/>
                <w:szCs w:val="28"/>
                <w:lang w:eastAsia="en-AU"/>
              </w:rPr>
            </w:pPr>
          </w:p>
        </w:tc>
        <w:tc>
          <w:tcPr>
            <w:tcW w:w="4680" w:type="dxa"/>
            <w:shd w:val="clear" w:color="000000" w:fill="FFFFFF"/>
            <w:noWrap/>
            <w:vAlign w:val="center"/>
            <w:hideMark/>
          </w:tcPr>
          <w:p w14:paraId="20657C78" w14:textId="77777777" w:rsidR="004F6A51" w:rsidRPr="00BA3844" w:rsidRDefault="004F6A51" w:rsidP="00B51452">
            <w:pPr>
              <w:spacing w:after="0" w:line="240" w:lineRule="auto"/>
              <w:rPr>
                <w:rFonts w:ascii="Calibri" w:eastAsia="Times New Roman" w:hAnsi="Calibri" w:cs="Calibri"/>
                <w:b/>
                <w:bCs/>
                <w:color w:val="000000"/>
                <w:sz w:val="20"/>
                <w:szCs w:val="20"/>
                <w:lang w:eastAsia="en-AU"/>
              </w:rPr>
            </w:pPr>
            <w:r w:rsidRPr="00BA3844">
              <w:rPr>
                <w:rFonts w:ascii="Calibri" w:eastAsia="Times New Roman" w:hAnsi="Calibri" w:cs="Calibri"/>
                <w:b/>
                <w:bCs/>
                <w:color w:val="000000"/>
                <w:sz w:val="20"/>
                <w:szCs w:val="20"/>
                <w:lang w:eastAsia="en-AU"/>
              </w:rPr>
              <w:t>Time Series 2009-2016</w:t>
            </w:r>
          </w:p>
          <w:p w14:paraId="7064D152" w14:textId="77777777" w:rsidR="004F6A51" w:rsidRPr="006728D9" w:rsidRDefault="004F6A51" w:rsidP="00B51452">
            <w:pPr>
              <w:spacing w:after="0" w:line="240" w:lineRule="auto"/>
              <w:rPr>
                <w:rFonts w:ascii="Calibri" w:eastAsia="Times New Roman" w:hAnsi="Calibri" w:cs="Calibri"/>
                <w:color w:val="000000"/>
                <w:sz w:val="2"/>
                <w:szCs w:val="2"/>
                <w:lang w:eastAsia="en-AU"/>
              </w:rPr>
            </w:pPr>
            <w:r w:rsidRPr="006728D9">
              <w:rPr>
                <w:rFonts w:ascii="Calibri" w:eastAsia="Times New Roman" w:hAnsi="Calibri" w:cs="Calibri"/>
                <w:color w:val="FFFFFF" w:themeColor="background2"/>
                <w:sz w:val="2"/>
                <w:szCs w:val="2"/>
                <w:lang w:eastAsia="en-AU"/>
              </w:rPr>
              <w:t>blank</w:t>
            </w:r>
          </w:p>
        </w:tc>
        <w:tc>
          <w:tcPr>
            <w:tcW w:w="619" w:type="dxa"/>
            <w:shd w:val="clear" w:color="000000" w:fill="C2DFF5"/>
            <w:noWrap/>
            <w:vAlign w:val="center"/>
            <w:hideMark/>
          </w:tcPr>
          <w:p w14:paraId="66BF2CCD"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467" w:type="dxa"/>
            <w:shd w:val="clear" w:color="000000" w:fill="C2DFF5"/>
            <w:noWrap/>
            <w:vAlign w:val="center"/>
            <w:hideMark/>
          </w:tcPr>
          <w:p w14:paraId="4F26919C"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619" w:type="dxa"/>
            <w:shd w:val="clear" w:color="000000" w:fill="C2DFF5"/>
            <w:noWrap/>
            <w:vAlign w:val="center"/>
            <w:hideMark/>
          </w:tcPr>
          <w:p w14:paraId="15ACDF0C"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619" w:type="dxa"/>
            <w:shd w:val="clear" w:color="000000" w:fill="C2DFF5"/>
            <w:noWrap/>
            <w:vAlign w:val="center"/>
            <w:hideMark/>
          </w:tcPr>
          <w:p w14:paraId="23F58CE1"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619" w:type="dxa"/>
            <w:shd w:val="clear" w:color="000000" w:fill="FFFFFF"/>
            <w:noWrap/>
            <w:vAlign w:val="center"/>
            <w:hideMark/>
          </w:tcPr>
          <w:p w14:paraId="1E2A4C16"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619" w:type="dxa"/>
            <w:shd w:val="clear" w:color="000000" w:fill="FFFFFF"/>
            <w:noWrap/>
            <w:vAlign w:val="center"/>
            <w:hideMark/>
          </w:tcPr>
          <w:p w14:paraId="57B5B23F"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619" w:type="dxa"/>
            <w:shd w:val="clear" w:color="000000" w:fill="FFFFFF"/>
            <w:noWrap/>
            <w:vAlign w:val="center"/>
            <w:hideMark/>
          </w:tcPr>
          <w:p w14:paraId="7083F4F3"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619" w:type="dxa"/>
            <w:shd w:val="clear" w:color="000000" w:fill="FFFFFF"/>
            <w:noWrap/>
            <w:vAlign w:val="center"/>
            <w:hideMark/>
          </w:tcPr>
          <w:p w14:paraId="1158F4DB"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619" w:type="dxa"/>
            <w:shd w:val="clear" w:color="000000" w:fill="FFFFFF"/>
            <w:noWrap/>
            <w:vAlign w:val="center"/>
            <w:hideMark/>
          </w:tcPr>
          <w:p w14:paraId="1CB642AA"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637" w:type="dxa"/>
            <w:shd w:val="clear" w:color="000000" w:fill="FFFFFF"/>
            <w:noWrap/>
            <w:vAlign w:val="center"/>
            <w:hideMark/>
          </w:tcPr>
          <w:p w14:paraId="172823B7"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48" w:type="dxa"/>
            <w:shd w:val="clear" w:color="000000" w:fill="C2DFF5"/>
            <w:noWrap/>
            <w:vAlign w:val="center"/>
            <w:hideMark/>
          </w:tcPr>
          <w:p w14:paraId="79EEE08B"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2.11(a)</w:t>
            </w:r>
          </w:p>
        </w:tc>
        <w:tc>
          <w:tcPr>
            <w:tcW w:w="748" w:type="dxa"/>
            <w:shd w:val="clear" w:color="000000" w:fill="C2DFF5"/>
            <w:noWrap/>
            <w:vAlign w:val="center"/>
            <w:hideMark/>
          </w:tcPr>
          <w:p w14:paraId="5C29361F"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2.12(c)</w:t>
            </w:r>
          </w:p>
        </w:tc>
        <w:tc>
          <w:tcPr>
            <w:tcW w:w="753" w:type="dxa"/>
            <w:shd w:val="clear" w:color="000000" w:fill="C2DFF5"/>
            <w:noWrap/>
            <w:vAlign w:val="center"/>
            <w:hideMark/>
          </w:tcPr>
          <w:p w14:paraId="340E2665"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2.12(d)</w:t>
            </w:r>
          </w:p>
        </w:tc>
        <w:tc>
          <w:tcPr>
            <w:tcW w:w="637" w:type="dxa"/>
            <w:shd w:val="clear" w:color="000000" w:fill="C2DFF5"/>
            <w:noWrap/>
            <w:vAlign w:val="center"/>
            <w:hideMark/>
          </w:tcPr>
          <w:p w14:paraId="1DE3B015"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48" w:type="dxa"/>
            <w:shd w:val="clear" w:color="000000" w:fill="FFFFFF"/>
            <w:noWrap/>
            <w:vAlign w:val="center"/>
            <w:hideMark/>
          </w:tcPr>
          <w:p w14:paraId="42E6E2BB"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53" w:type="dxa"/>
            <w:shd w:val="clear" w:color="000000" w:fill="FFFFFF"/>
            <w:noWrap/>
            <w:vAlign w:val="center"/>
            <w:hideMark/>
          </w:tcPr>
          <w:p w14:paraId="2E94F641"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48" w:type="dxa"/>
            <w:shd w:val="clear" w:color="000000" w:fill="FFFFFF"/>
            <w:noWrap/>
            <w:vAlign w:val="center"/>
            <w:hideMark/>
          </w:tcPr>
          <w:p w14:paraId="23B7D8AF"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53" w:type="dxa"/>
            <w:shd w:val="clear" w:color="000000" w:fill="FFFFFF"/>
            <w:noWrap/>
            <w:vAlign w:val="center"/>
            <w:hideMark/>
          </w:tcPr>
          <w:p w14:paraId="5F006679"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42" w:type="dxa"/>
            <w:shd w:val="clear" w:color="000000" w:fill="FFFFFF"/>
            <w:noWrap/>
            <w:vAlign w:val="center"/>
            <w:hideMark/>
          </w:tcPr>
          <w:p w14:paraId="2D6812F0"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53" w:type="dxa"/>
            <w:shd w:val="clear" w:color="000000" w:fill="FFFFFF"/>
            <w:noWrap/>
            <w:vAlign w:val="center"/>
            <w:hideMark/>
          </w:tcPr>
          <w:p w14:paraId="0CAB5902"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50" w:type="dxa"/>
            <w:shd w:val="clear" w:color="000000" w:fill="FFFFFF"/>
            <w:noWrap/>
            <w:vAlign w:val="center"/>
            <w:hideMark/>
          </w:tcPr>
          <w:p w14:paraId="248250B5"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30" w:type="dxa"/>
            <w:shd w:val="clear" w:color="000000" w:fill="FFFFFF"/>
            <w:noWrap/>
            <w:vAlign w:val="center"/>
            <w:hideMark/>
          </w:tcPr>
          <w:p w14:paraId="365F0553"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47" w:type="dxa"/>
            <w:shd w:val="clear" w:color="000000" w:fill="FFFFFF"/>
            <w:noWrap/>
            <w:vAlign w:val="center"/>
            <w:hideMark/>
          </w:tcPr>
          <w:p w14:paraId="765C0542"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53" w:type="dxa"/>
            <w:shd w:val="clear" w:color="000000" w:fill="FFFFFF"/>
            <w:noWrap/>
            <w:vAlign w:val="center"/>
            <w:hideMark/>
          </w:tcPr>
          <w:p w14:paraId="4342B973"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r>
      <w:tr w:rsidR="004F6A51" w:rsidRPr="00BA3844" w14:paraId="0773018D" w14:textId="77777777" w:rsidTr="00AE254B">
        <w:trPr>
          <w:trHeight w:val="300"/>
        </w:trPr>
        <w:tc>
          <w:tcPr>
            <w:tcW w:w="1369" w:type="dxa"/>
            <w:shd w:val="clear" w:color="000000" w:fill="96EAAC"/>
            <w:hideMark/>
          </w:tcPr>
          <w:p w14:paraId="05F757C3" w14:textId="77777777" w:rsidR="004F6A51" w:rsidRPr="00BA3844" w:rsidRDefault="004F6A51" w:rsidP="00B51452">
            <w:pPr>
              <w:spacing w:after="0" w:line="240" w:lineRule="auto"/>
              <w:rPr>
                <w:rFonts w:ascii="Calibri" w:eastAsia="Times New Roman" w:hAnsi="Calibri" w:cs="Calibri"/>
                <w:b/>
                <w:bCs/>
                <w:color w:val="000000"/>
                <w:sz w:val="28"/>
                <w:szCs w:val="28"/>
                <w:lang w:eastAsia="en-AU"/>
              </w:rPr>
            </w:pPr>
            <w:r w:rsidRPr="00BA3844">
              <w:rPr>
                <w:rFonts w:ascii="Calibri" w:eastAsia="Times New Roman" w:hAnsi="Calibri" w:cs="Calibri"/>
                <w:b/>
                <w:bCs/>
                <w:color w:val="000000"/>
                <w:sz w:val="28"/>
                <w:szCs w:val="28"/>
                <w:lang w:eastAsia="en-AU"/>
              </w:rPr>
              <w:t>Provider Type Tables</w:t>
            </w:r>
          </w:p>
        </w:tc>
        <w:tc>
          <w:tcPr>
            <w:tcW w:w="4680" w:type="dxa"/>
            <w:shd w:val="clear" w:color="000000" w:fill="96EAAC"/>
            <w:vAlign w:val="center"/>
            <w:hideMark/>
          </w:tcPr>
          <w:p w14:paraId="7CEE9134" w14:textId="77777777" w:rsidR="004F6A51" w:rsidRPr="00BA3844" w:rsidRDefault="004F6A51" w:rsidP="00AE254B">
            <w:pPr>
              <w:spacing w:after="0" w:line="240" w:lineRule="auto"/>
              <w:rPr>
                <w:rFonts w:ascii="Calibri" w:eastAsia="Times New Roman" w:hAnsi="Calibri" w:cs="Calibri"/>
                <w:b/>
                <w:bCs/>
                <w:color w:val="000000"/>
                <w:sz w:val="20"/>
                <w:szCs w:val="20"/>
                <w:lang w:eastAsia="en-AU"/>
              </w:rPr>
            </w:pPr>
            <w:r w:rsidRPr="00BA3844">
              <w:rPr>
                <w:rFonts w:ascii="Calibri" w:eastAsia="Times New Roman" w:hAnsi="Calibri" w:cs="Calibri"/>
                <w:b/>
                <w:bCs/>
                <w:color w:val="000000"/>
                <w:sz w:val="20"/>
                <w:szCs w:val="20"/>
                <w:lang w:eastAsia="en-AU"/>
              </w:rPr>
              <w:t>Provider Characteristics</w:t>
            </w:r>
            <w:r>
              <w:rPr>
                <w:rFonts w:ascii="Calibri" w:eastAsia="Times New Roman" w:hAnsi="Calibri" w:cs="Calibri"/>
                <w:b/>
                <w:bCs/>
                <w:color w:val="000000"/>
                <w:sz w:val="20"/>
                <w:szCs w:val="20"/>
                <w:lang w:eastAsia="en-AU"/>
              </w:rPr>
              <w:t xml:space="preserve">: </w:t>
            </w:r>
            <w:r w:rsidRPr="00BA3844">
              <w:rPr>
                <w:rFonts w:ascii="Calibri" w:eastAsia="Times New Roman" w:hAnsi="Calibri" w:cs="Calibri"/>
                <w:color w:val="000000"/>
                <w:sz w:val="16"/>
                <w:szCs w:val="16"/>
                <w:lang w:eastAsia="en-AU"/>
              </w:rPr>
              <w:t>HQ State, Provider Type (TAFE, Other Public, Private), Tuition Type (Full-Fee Paying, State Subsidised)</w:t>
            </w:r>
          </w:p>
        </w:tc>
        <w:tc>
          <w:tcPr>
            <w:tcW w:w="619" w:type="dxa"/>
            <w:shd w:val="clear" w:color="000000" w:fill="C2DFF5"/>
            <w:noWrap/>
            <w:vAlign w:val="center"/>
            <w:hideMark/>
          </w:tcPr>
          <w:p w14:paraId="67456F06"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3.1</w:t>
            </w:r>
          </w:p>
        </w:tc>
        <w:tc>
          <w:tcPr>
            <w:tcW w:w="467" w:type="dxa"/>
            <w:shd w:val="clear" w:color="000000" w:fill="C2DFF5"/>
            <w:noWrap/>
            <w:vAlign w:val="center"/>
            <w:hideMark/>
          </w:tcPr>
          <w:p w14:paraId="6DC13230"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3.2</w:t>
            </w:r>
          </w:p>
        </w:tc>
        <w:tc>
          <w:tcPr>
            <w:tcW w:w="619" w:type="dxa"/>
            <w:shd w:val="clear" w:color="000000" w:fill="C2DFF5"/>
            <w:noWrap/>
            <w:vAlign w:val="center"/>
            <w:hideMark/>
          </w:tcPr>
          <w:p w14:paraId="27AF42B1"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3.3</w:t>
            </w:r>
          </w:p>
        </w:tc>
        <w:tc>
          <w:tcPr>
            <w:tcW w:w="619" w:type="dxa"/>
            <w:shd w:val="clear" w:color="000000" w:fill="C2DFF5"/>
            <w:noWrap/>
            <w:vAlign w:val="center"/>
            <w:hideMark/>
          </w:tcPr>
          <w:p w14:paraId="099E3F78"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3.4</w:t>
            </w:r>
          </w:p>
        </w:tc>
        <w:tc>
          <w:tcPr>
            <w:tcW w:w="619" w:type="dxa"/>
            <w:shd w:val="clear" w:color="000000" w:fill="96EAAC"/>
            <w:noWrap/>
            <w:vAlign w:val="center"/>
            <w:hideMark/>
          </w:tcPr>
          <w:p w14:paraId="16F596CB"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3.5</w:t>
            </w:r>
          </w:p>
        </w:tc>
        <w:tc>
          <w:tcPr>
            <w:tcW w:w="619" w:type="dxa"/>
            <w:shd w:val="clear" w:color="000000" w:fill="96EAAC"/>
            <w:noWrap/>
            <w:vAlign w:val="center"/>
            <w:hideMark/>
          </w:tcPr>
          <w:p w14:paraId="66A6A610"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3.6</w:t>
            </w:r>
          </w:p>
        </w:tc>
        <w:tc>
          <w:tcPr>
            <w:tcW w:w="619" w:type="dxa"/>
            <w:shd w:val="clear" w:color="000000" w:fill="96EAAC"/>
            <w:noWrap/>
            <w:vAlign w:val="center"/>
            <w:hideMark/>
          </w:tcPr>
          <w:p w14:paraId="223D961F"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3.7</w:t>
            </w:r>
          </w:p>
        </w:tc>
        <w:tc>
          <w:tcPr>
            <w:tcW w:w="619" w:type="dxa"/>
            <w:shd w:val="clear" w:color="000000" w:fill="96EAAC"/>
            <w:noWrap/>
            <w:vAlign w:val="center"/>
            <w:hideMark/>
          </w:tcPr>
          <w:p w14:paraId="2FB4E2BA"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3.8</w:t>
            </w:r>
          </w:p>
        </w:tc>
        <w:tc>
          <w:tcPr>
            <w:tcW w:w="619" w:type="dxa"/>
            <w:shd w:val="clear" w:color="000000" w:fill="96EAAC"/>
            <w:noWrap/>
            <w:vAlign w:val="center"/>
            <w:hideMark/>
          </w:tcPr>
          <w:p w14:paraId="496ACDA4"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3.9</w:t>
            </w:r>
          </w:p>
        </w:tc>
        <w:tc>
          <w:tcPr>
            <w:tcW w:w="637" w:type="dxa"/>
            <w:shd w:val="clear" w:color="000000" w:fill="96EAAC"/>
            <w:noWrap/>
            <w:vAlign w:val="center"/>
            <w:hideMark/>
          </w:tcPr>
          <w:p w14:paraId="215FDEC7"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48" w:type="dxa"/>
            <w:shd w:val="clear" w:color="000000" w:fill="C2DFF5"/>
            <w:noWrap/>
            <w:vAlign w:val="center"/>
            <w:hideMark/>
          </w:tcPr>
          <w:p w14:paraId="75F235BB"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3.10</w:t>
            </w:r>
          </w:p>
        </w:tc>
        <w:tc>
          <w:tcPr>
            <w:tcW w:w="748" w:type="dxa"/>
            <w:shd w:val="clear" w:color="000000" w:fill="C2DFF5"/>
            <w:noWrap/>
            <w:vAlign w:val="center"/>
            <w:hideMark/>
          </w:tcPr>
          <w:p w14:paraId="68044509"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53" w:type="dxa"/>
            <w:shd w:val="clear" w:color="000000" w:fill="C2DFF5"/>
            <w:noWrap/>
            <w:vAlign w:val="center"/>
            <w:hideMark/>
          </w:tcPr>
          <w:p w14:paraId="06D95F16"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637" w:type="dxa"/>
            <w:shd w:val="clear" w:color="000000" w:fill="C2DFF5"/>
            <w:noWrap/>
            <w:vAlign w:val="center"/>
            <w:hideMark/>
          </w:tcPr>
          <w:p w14:paraId="5C218949"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3.11</w:t>
            </w:r>
          </w:p>
        </w:tc>
        <w:tc>
          <w:tcPr>
            <w:tcW w:w="748" w:type="dxa"/>
            <w:shd w:val="clear" w:color="000000" w:fill="96EAAC"/>
            <w:noWrap/>
            <w:vAlign w:val="center"/>
            <w:hideMark/>
          </w:tcPr>
          <w:p w14:paraId="0D9C9B80"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3.12(a)</w:t>
            </w:r>
          </w:p>
        </w:tc>
        <w:tc>
          <w:tcPr>
            <w:tcW w:w="753" w:type="dxa"/>
            <w:shd w:val="clear" w:color="000000" w:fill="96EAAC"/>
            <w:noWrap/>
            <w:vAlign w:val="center"/>
            <w:hideMark/>
          </w:tcPr>
          <w:p w14:paraId="4C063924"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3.12(b)</w:t>
            </w:r>
          </w:p>
        </w:tc>
        <w:tc>
          <w:tcPr>
            <w:tcW w:w="748" w:type="dxa"/>
            <w:shd w:val="clear" w:color="000000" w:fill="96EAAC"/>
            <w:noWrap/>
            <w:vAlign w:val="center"/>
            <w:hideMark/>
          </w:tcPr>
          <w:p w14:paraId="25CB0A66"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3.13(a)</w:t>
            </w:r>
          </w:p>
        </w:tc>
        <w:tc>
          <w:tcPr>
            <w:tcW w:w="753" w:type="dxa"/>
            <w:shd w:val="clear" w:color="000000" w:fill="96EAAC"/>
            <w:noWrap/>
            <w:vAlign w:val="center"/>
            <w:hideMark/>
          </w:tcPr>
          <w:p w14:paraId="795AA93E"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3.13(b)</w:t>
            </w:r>
          </w:p>
        </w:tc>
        <w:tc>
          <w:tcPr>
            <w:tcW w:w="742" w:type="dxa"/>
            <w:shd w:val="clear" w:color="000000" w:fill="96EAAC"/>
            <w:noWrap/>
            <w:vAlign w:val="center"/>
            <w:hideMark/>
          </w:tcPr>
          <w:p w14:paraId="261BA696"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3.13(c)</w:t>
            </w:r>
          </w:p>
        </w:tc>
        <w:tc>
          <w:tcPr>
            <w:tcW w:w="753" w:type="dxa"/>
            <w:shd w:val="clear" w:color="000000" w:fill="96EAAC"/>
            <w:noWrap/>
            <w:vAlign w:val="center"/>
            <w:hideMark/>
          </w:tcPr>
          <w:p w14:paraId="0DD29419"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3.13(d)</w:t>
            </w:r>
          </w:p>
        </w:tc>
        <w:tc>
          <w:tcPr>
            <w:tcW w:w="750" w:type="dxa"/>
            <w:shd w:val="clear" w:color="000000" w:fill="96EAAC"/>
            <w:noWrap/>
            <w:vAlign w:val="center"/>
            <w:hideMark/>
          </w:tcPr>
          <w:p w14:paraId="6288411F"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3.13(e)</w:t>
            </w:r>
          </w:p>
        </w:tc>
        <w:tc>
          <w:tcPr>
            <w:tcW w:w="730" w:type="dxa"/>
            <w:shd w:val="clear" w:color="000000" w:fill="96EAAC"/>
            <w:noWrap/>
            <w:vAlign w:val="center"/>
            <w:hideMark/>
          </w:tcPr>
          <w:p w14:paraId="20372B63"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3.13(f)</w:t>
            </w:r>
          </w:p>
        </w:tc>
        <w:tc>
          <w:tcPr>
            <w:tcW w:w="747" w:type="dxa"/>
            <w:shd w:val="clear" w:color="000000" w:fill="96EAAC"/>
            <w:noWrap/>
            <w:vAlign w:val="center"/>
            <w:hideMark/>
          </w:tcPr>
          <w:p w14:paraId="7F8848BB"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3.13(g)</w:t>
            </w:r>
          </w:p>
        </w:tc>
        <w:tc>
          <w:tcPr>
            <w:tcW w:w="753" w:type="dxa"/>
            <w:shd w:val="clear" w:color="000000" w:fill="96EAAC"/>
            <w:noWrap/>
            <w:vAlign w:val="center"/>
            <w:hideMark/>
          </w:tcPr>
          <w:p w14:paraId="2A5B30FC"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3.13(h)</w:t>
            </w:r>
          </w:p>
        </w:tc>
      </w:tr>
      <w:tr w:rsidR="004F6A51" w:rsidRPr="00BA3844" w14:paraId="17229C60" w14:textId="77777777" w:rsidTr="00AE254B">
        <w:trPr>
          <w:trHeight w:val="300"/>
        </w:trPr>
        <w:tc>
          <w:tcPr>
            <w:tcW w:w="1369" w:type="dxa"/>
            <w:shd w:val="clear" w:color="000000" w:fill="FFFFFF"/>
            <w:hideMark/>
          </w:tcPr>
          <w:p w14:paraId="620F3512" w14:textId="77777777" w:rsidR="004F6A51" w:rsidRPr="00BA3844" w:rsidRDefault="004F6A51" w:rsidP="00B51452">
            <w:pPr>
              <w:spacing w:after="0" w:line="240" w:lineRule="auto"/>
              <w:rPr>
                <w:rFonts w:ascii="Calibri" w:eastAsia="Times New Roman" w:hAnsi="Calibri" w:cs="Calibri"/>
                <w:b/>
                <w:bCs/>
                <w:color w:val="000000"/>
                <w:sz w:val="28"/>
                <w:szCs w:val="28"/>
                <w:lang w:eastAsia="en-AU"/>
              </w:rPr>
            </w:pPr>
            <w:r w:rsidRPr="00BA3844">
              <w:rPr>
                <w:rFonts w:ascii="Calibri" w:eastAsia="Times New Roman" w:hAnsi="Calibri" w:cs="Calibri"/>
                <w:b/>
                <w:bCs/>
                <w:color w:val="000000"/>
                <w:sz w:val="28"/>
                <w:szCs w:val="28"/>
                <w:lang w:eastAsia="en-AU"/>
              </w:rPr>
              <w:t>Individual Provider Tables</w:t>
            </w:r>
          </w:p>
        </w:tc>
        <w:tc>
          <w:tcPr>
            <w:tcW w:w="4680" w:type="dxa"/>
            <w:shd w:val="clear" w:color="000000" w:fill="FFFFFF"/>
            <w:vAlign w:val="center"/>
            <w:hideMark/>
          </w:tcPr>
          <w:p w14:paraId="7C73CBE0" w14:textId="77777777" w:rsidR="004F6A51" w:rsidRPr="00BA3844" w:rsidRDefault="004F6A51" w:rsidP="00AE254B">
            <w:pPr>
              <w:spacing w:after="0" w:line="240" w:lineRule="auto"/>
              <w:rPr>
                <w:rFonts w:ascii="Calibri" w:eastAsia="Times New Roman" w:hAnsi="Calibri" w:cs="Calibri"/>
                <w:b/>
                <w:bCs/>
                <w:color w:val="000000"/>
                <w:sz w:val="20"/>
                <w:szCs w:val="20"/>
                <w:lang w:eastAsia="en-AU"/>
              </w:rPr>
            </w:pPr>
            <w:r w:rsidRPr="00BA3844">
              <w:rPr>
                <w:rFonts w:ascii="Calibri" w:eastAsia="Times New Roman" w:hAnsi="Calibri" w:cs="Calibri"/>
                <w:b/>
                <w:bCs/>
                <w:color w:val="000000"/>
                <w:sz w:val="20"/>
                <w:szCs w:val="20"/>
                <w:lang w:eastAsia="en-AU"/>
              </w:rPr>
              <w:t>Individual Providers</w:t>
            </w:r>
            <w:r>
              <w:rPr>
                <w:rFonts w:ascii="Calibri" w:eastAsia="Times New Roman" w:hAnsi="Calibri" w:cs="Calibri"/>
                <w:b/>
                <w:bCs/>
                <w:color w:val="000000"/>
                <w:sz w:val="20"/>
                <w:szCs w:val="20"/>
                <w:lang w:eastAsia="en-AU"/>
              </w:rPr>
              <w:t xml:space="preserve">: </w:t>
            </w:r>
            <w:r w:rsidRPr="00BA3844">
              <w:rPr>
                <w:rFonts w:ascii="Calibri" w:eastAsia="Times New Roman" w:hAnsi="Calibri" w:cs="Calibri"/>
                <w:color w:val="000000"/>
                <w:sz w:val="16"/>
                <w:szCs w:val="16"/>
                <w:lang w:eastAsia="en-AU"/>
              </w:rPr>
              <w:t>Name, ID, Type, HQ State</w:t>
            </w:r>
          </w:p>
        </w:tc>
        <w:tc>
          <w:tcPr>
            <w:tcW w:w="619" w:type="dxa"/>
            <w:shd w:val="clear" w:color="000000" w:fill="C2DFF5"/>
            <w:noWrap/>
            <w:vAlign w:val="center"/>
            <w:hideMark/>
          </w:tcPr>
          <w:p w14:paraId="01615680"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4.1</w:t>
            </w:r>
          </w:p>
        </w:tc>
        <w:tc>
          <w:tcPr>
            <w:tcW w:w="467" w:type="dxa"/>
            <w:shd w:val="clear" w:color="000000" w:fill="C2DFF5"/>
            <w:noWrap/>
            <w:vAlign w:val="center"/>
            <w:hideMark/>
          </w:tcPr>
          <w:p w14:paraId="0E402560"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4.2</w:t>
            </w:r>
          </w:p>
        </w:tc>
        <w:tc>
          <w:tcPr>
            <w:tcW w:w="619" w:type="dxa"/>
            <w:shd w:val="clear" w:color="000000" w:fill="C2DFF5"/>
            <w:noWrap/>
            <w:vAlign w:val="center"/>
            <w:hideMark/>
          </w:tcPr>
          <w:p w14:paraId="4DE6822E"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4.3</w:t>
            </w:r>
          </w:p>
        </w:tc>
        <w:tc>
          <w:tcPr>
            <w:tcW w:w="619" w:type="dxa"/>
            <w:shd w:val="clear" w:color="000000" w:fill="C2DFF5"/>
            <w:noWrap/>
            <w:vAlign w:val="center"/>
            <w:hideMark/>
          </w:tcPr>
          <w:p w14:paraId="1F1D0DCB"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4.4</w:t>
            </w:r>
          </w:p>
        </w:tc>
        <w:tc>
          <w:tcPr>
            <w:tcW w:w="619" w:type="dxa"/>
            <w:shd w:val="clear" w:color="000000" w:fill="FFFFFF"/>
            <w:noWrap/>
            <w:vAlign w:val="center"/>
            <w:hideMark/>
          </w:tcPr>
          <w:p w14:paraId="38A6F645"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4.5</w:t>
            </w:r>
          </w:p>
        </w:tc>
        <w:tc>
          <w:tcPr>
            <w:tcW w:w="619" w:type="dxa"/>
            <w:shd w:val="clear" w:color="000000" w:fill="FFFFFF"/>
            <w:noWrap/>
            <w:vAlign w:val="center"/>
            <w:hideMark/>
          </w:tcPr>
          <w:p w14:paraId="78428084"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4.6</w:t>
            </w:r>
          </w:p>
        </w:tc>
        <w:tc>
          <w:tcPr>
            <w:tcW w:w="619" w:type="dxa"/>
            <w:shd w:val="clear" w:color="000000" w:fill="FFFFFF"/>
            <w:noWrap/>
            <w:vAlign w:val="center"/>
            <w:hideMark/>
          </w:tcPr>
          <w:p w14:paraId="2A4944C9"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4.7</w:t>
            </w:r>
          </w:p>
        </w:tc>
        <w:tc>
          <w:tcPr>
            <w:tcW w:w="619" w:type="dxa"/>
            <w:shd w:val="clear" w:color="000000" w:fill="FFFFFF"/>
            <w:noWrap/>
            <w:vAlign w:val="center"/>
            <w:hideMark/>
          </w:tcPr>
          <w:p w14:paraId="57E09E2C"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4.8</w:t>
            </w:r>
          </w:p>
        </w:tc>
        <w:tc>
          <w:tcPr>
            <w:tcW w:w="619" w:type="dxa"/>
            <w:shd w:val="clear" w:color="000000" w:fill="FFFFFF"/>
            <w:noWrap/>
            <w:vAlign w:val="center"/>
            <w:hideMark/>
          </w:tcPr>
          <w:p w14:paraId="5F20DEF1"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4.9</w:t>
            </w:r>
          </w:p>
        </w:tc>
        <w:tc>
          <w:tcPr>
            <w:tcW w:w="637" w:type="dxa"/>
            <w:shd w:val="clear" w:color="000000" w:fill="FFFFFF"/>
            <w:noWrap/>
            <w:vAlign w:val="center"/>
            <w:hideMark/>
          </w:tcPr>
          <w:p w14:paraId="0B159F0B" w14:textId="77777777" w:rsidR="004F6A51" w:rsidRPr="006728D9" w:rsidRDefault="004F6A51" w:rsidP="00B51452">
            <w:pPr>
              <w:spacing w:after="0" w:line="240" w:lineRule="auto"/>
              <w:jc w:val="center"/>
              <w:rPr>
                <w:rFonts w:ascii="Calibri" w:eastAsia="Times New Roman" w:hAnsi="Calibri" w:cs="Calibri"/>
                <w:color w:val="FFFFFF" w:themeColor="background2"/>
                <w:sz w:val="2"/>
                <w:szCs w:val="2"/>
                <w:lang w:eastAsia="en-AU"/>
              </w:rPr>
            </w:pPr>
            <w:r w:rsidRPr="006728D9">
              <w:rPr>
                <w:rFonts w:ascii="Calibri" w:eastAsia="Times New Roman" w:hAnsi="Calibri" w:cs="Calibri"/>
                <w:color w:val="FFFFFF" w:themeColor="background2"/>
                <w:sz w:val="2"/>
                <w:szCs w:val="2"/>
                <w:lang w:eastAsia="en-AU"/>
              </w:rPr>
              <w:t>blank</w:t>
            </w:r>
          </w:p>
        </w:tc>
        <w:tc>
          <w:tcPr>
            <w:tcW w:w="748" w:type="dxa"/>
            <w:shd w:val="clear" w:color="000000" w:fill="C2DFF5"/>
            <w:noWrap/>
            <w:vAlign w:val="center"/>
            <w:hideMark/>
          </w:tcPr>
          <w:p w14:paraId="57831427"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4.10</w:t>
            </w:r>
          </w:p>
        </w:tc>
        <w:tc>
          <w:tcPr>
            <w:tcW w:w="748" w:type="dxa"/>
            <w:shd w:val="clear" w:color="000000" w:fill="C2DFF5"/>
            <w:noWrap/>
            <w:vAlign w:val="center"/>
            <w:hideMark/>
          </w:tcPr>
          <w:p w14:paraId="5AA90DFC"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4.11(a)</w:t>
            </w:r>
          </w:p>
        </w:tc>
        <w:tc>
          <w:tcPr>
            <w:tcW w:w="753" w:type="dxa"/>
            <w:shd w:val="clear" w:color="000000" w:fill="C2DFF5"/>
            <w:noWrap/>
            <w:vAlign w:val="center"/>
            <w:hideMark/>
          </w:tcPr>
          <w:p w14:paraId="228A5304"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4.11(b)</w:t>
            </w:r>
          </w:p>
        </w:tc>
        <w:tc>
          <w:tcPr>
            <w:tcW w:w="637" w:type="dxa"/>
            <w:shd w:val="clear" w:color="000000" w:fill="C2DFF5"/>
            <w:noWrap/>
            <w:vAlign w:val="center"/>
            <w:hideMark/>
          </w:tcPr>
          <w:p w14:paraId="2F9F8B75"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4.12</w:t>
            </w:r>
          </w:p>
        </w:tc>
        <w:tc>
          <w:tcPr>
            <w:tcW w:w="748" w:type="dxa"/>
            <w:shd w:val="clear" w:color="000000" w:fill="FFFFFF"/>
            <w:noWrap/>
            <w:vAlign w:val="center"/>
            <w:hideMark/>
          </w:tcPr>
          <w:p w14:paraId="16B5DA87"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4.13(a)</w:t>
            </w:r>
          </w:p>
        </w:tc>
        <w:tc>
          <w:tcPr>
            <w:tcW w:w="753" w:type="dxa"/>
            <w:shd w:val="clear" w:color="000000" w:fill="FFFFFF"/>
            <w:noWrap/>
            <w:vAlign w:val="center"/>
            <w:hideMark/>
          </w:tcPr>
          <w:p w14:paraId="598D2A68"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4.13(b)</w:t>
            </w:r>
          </w:p>
        </w:tc>
        <w:tc>
          <w:tcPr>
            <w:tcW w:w="748" w:type="dxa"/>
            <w:shd w:val="clear" w:color="000000" w:fill="FFFFFF"/>
            <w:noWrap/>
            <w:vAlign w:val="center"/>
            <w:hideMark/>
          </w:tcPr>
          <w:p w14:paraId="17A0CEEC"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4.14(a)</w:t>
            </w:r>
          </w:p>
        </w:tc>
        <w:tc>
          <w:tcPr>
            <w:tcW w:w="753" w:type="dxa"/>
            <w:shd w:val="clear" w:color="000000" w:fill="FFFFFF"/>
            <w:noWrap/>
            <w:vAlign w:val="center"/>
            <w:hideMark/>
          </w:tcPr>
          <w:p w14:paraId="0F2EDFDF"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4.14(b)</w:t>
            </w:r>
          </w:p>
        </w:tc>
        <w:tc>
          <w:tcPr>
            <w:tcW w:w="742" w:type="dxa"/>
            <w:shd w:val="clear" w:color="000000" w:fill="FFFFFF"/>
            <w:noWrap/>
            <w:vAlign w:val="center"/>
            <w:hideMark/>
          </w:tcPr>
          <w:p w14:paraId="144F20F7"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4.14(c)</w:t>
            </w:r>
          </w:p>
        </w:tc>
        <w:tc>
          <w:tcPr>
            <w:tcW w:w="753" w:type="dxa"/>
            <w:shd w:val="clear" w:color="000000" w:fill="FFFFFF"/>
            <w:noWrap/>
            <w:vAlign w:val="center"/>
            <w:hideMark/>
          </w:tcPr>
          <w:p w14:paraId="3AB06AFD"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4.14(d)</w:t>
            </w:r>
          </w:p>
        </w:tc>
        <w:tc>
          <w:tcPr>
            <w:tcW w:w="750" w:type="dxa"/>
            <w:shd w:val="clear" w:color="000000" w:fill="FFFFFF"/>
            <w:noWrap/>
            <w:vAlign w:val="center"/>
            <w:hideMark/>
          </w:tcPr>
          <w:p w14:paraId="1D053BC9"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4.14(e)</w:t>
            </w:r>
          </w:p>
        </w:tc>
        <w:tc>
          <w:tcPr>
            <w:tcW w:w="730" w:type="dxa"/>
            <w:shd w:val="clear" w:color="000000" w:fill="FFFFFF"/>
            <w:noWrap/>
            <w:vAlign w:val="center"/>
            <w:hideMark/>
          </w:tcPr>
          <w:p w14:paraId="6CD3599F"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4.14(f)</w:t>
            </w:r>
          </w:p>
        </w:tc>
        <w:tc>
          <w:tcPr>
            <w:tcW w:w="747" w:type="dxa"/>
            <w:shd w:val="clear" w:color="000000" w:fill="FFFFFF"/>
            <w:noWrap/>
            <w:vAlign w:val="center"/>
            <w:hideMark/>
          </w:tcPr>
          <w:p w14:paraId="03220D2B"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4.14(g)</w:t>
            </w:r>
          </w:p>
        </w:tc>
        <w:tc>
          <w:tcPr>
            <w:tcW w:w="753" w:type="dxa"/>
            <w:shd w:val="clear" w:color="000000" w:fill="FFFFFF"/>
            <w:noWrap/>
            <w:vAlign w:val="center"/>
            <w:hideMark/>
          </w:tcPr>
          <w:p w14:paraId="4C5FED62" w14:textId="77777777" w:rsidR="004F6A51" w:rsidRPr="00BA3844" w:rsidRDefault="004F6A51" w:rsidP="00B51452">
            <w:pPr>
              <w:spacing w:after="0" w:line="240" w:lineRule="auto"/>
              <w:jc w:val="center"/>
              <w:rPr>
                <w:rFonts w:ascii="Calibri" w:eastAsia="Times New Roman" w:hAnsi="Calibri" w:cs="Calibri"/>
                <w:color w:val="000000"/>
                <w:sz w:val="16"/>
                <w:szCs w:val="16"/>
                <w:lang w:eastAsia="en-AU"/>
              </w:rPr>
            </w:pPr>
            <w:r w:rsidRPr="00BA3844">
              <w:rPr>
                <w:rFonts w:ascii="Calibri" w:eastAsia="Times New Roman" w:hAnsi="Calibri" w:cs="Calibri"/>
                <w:color w:val="000000"/>
                <w:sz w:val="16"/>
                <w:szCs w:val="16"/>
                <w:lang w:eastAsia="en-AU"/>
              </w:rPr>
              <w:t>4.14(h)</w:t>
            </w:r>
          </w:p>
        </w:tc>
      </w:tr>
    </w:tbl>
    <w:p w14:paraId="72BD700C" w14:textId="77777777" w:rsidR="004F6A51" w:rsidRDefault="004F6A51" w:rsidP="00AE254B"/>
    <w:sectPr w:rsidR="004F6A51" w:rsidSect="00F77641">
      <w:pgSz w:w="23814" w:h="16840" w:orient="landscape" w:code="8"/>
      <w:pgMar w:top="1440" w:right="1276" w:bottom="144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CEC4A" w14:textId="77777777" w:rsidR="008A0EF3" w:rsidRDefault="008A0EF3" w:rsidP="00130923">
      <w:pPr>
        <w:spacing w:after="0" w:line="240" w:lineRule="auto"/>
      </w:pPr>
      <w:r>
        <w:separator/>
      </w:r>
    </w:p>
  </w:endnote>
  <w:endnote w:type="continuationSeparator" w:id="0">
    <w:p w14:paraId="205CEC4B" w14:textId="77777777" w:rsidR="008A0EF3" w:rsidRDefault="008A0EF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427164"/>
      <w:docPartObj>
        <w:docPartGallery w:val="Page Numbers (Bottom of Page)"/>
        <w:docPartUnique/>
      </w:docPartObj>
    </w:sdtPr>
    <w:sdtEndPr>
      <w:rPr>
        <w:noProof/>
      </w:rPr>
    </w:sdtEndPr>
    <w:sdtContent>
      <w:p w14:paraId="6ECEE2B4" w14:textId="1D8E2D4B" w:rsidR="00101BD8" w:rsidRDefault="00101BD8">
        <w:pPr>
          <w:pStyle w:val="Footer"/>
          <w:jc w:val="center"/>
        </w:pPr>
        <w:r>
          <w:fldChar w:fldCharType="begin"/>
        </w:r>
        <w:r>
          <w:instrText xml:space="preserve"> PAGE   \* MERGEFORMAT </w:instrText>
        </w:r>
        <w:r>
          <w:fldChar w:fldCharType="separate"/>
        </w:r>
        <w:r w:rsidR="003B13A2">
          <w:rPr>
            <w:noProof/>
          </w:rPr>
          <w:t>4</w:t>
        </w:r>
        <w:r>
          <w:rPr>
            <w:noProof/>
          </w:rPr>
          <w:fldChar w:fldCharType="end"/>
        </w:r>
      </w:p>
    </w:sdtContent>
  </w:sdt>
  <w:p w14:paraId="205CEC4D" w14:textId="77777777" w:rsidR="008A0EF3" w:rsidRDefault="008A0EF3" w:rsidP="003242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79120"/>
      <w:docPartObj>
        <w:docPartGallery w:val="Page Numbers (Bottom of Page)"/>
        <w:docPartUnique/>
      </w:docPartObj>
    </w:sdtPr>
    <w:sdtEndPr>
      <w:rPr>
        <w:noProof/>
      </w:rPr>
    </w:sdtEndPr>
    <w:sdtContent>
      <w:p w14:paraId="232D0033" w14:textId="6383784C" w:rsidR="00101BD8" w:rsidRDefault="00101BD8">
        <w:pPr>
          <w:pStyle w:val="Footer"/>
          <w:jc w:val="center"/>
        </w:pPr>
        <w:r>
          <w:fldChar w:fldCharType="begin"/>
        </w:r>
        <w:r>
          <w:instrText xml:space="preserve"> PAGE   \* MERGEFORMAT </w:instrText>
        </w:r>
        <w:r>
          <w:fldChar w:fldCharType="separate"/>
        </w:r>
        <w:r w:rsidR="003B13A2">
          <w:rPr>
            <w:noProof/>
          </w:rPr>
          <w:t>7</w:t>
        </w:r>
        <w:r>
          <w:rPr>
            <w:noProof/>
          </w:rPr>
          <w:fldChar w:fldCharType="end"/>
        </w:r>
      </w:p>
    </w:sdtContent>
  </w:sdt>
  <w:p w14:paraId="4B3DF6AC" w14:textId="77777777" w:rsidR="00101BD8" w:rsidRDefault="00101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CEC48" w14:textId="77777777" w:rsidR="008A0EF3" w:rsidRDefault="008A0EF3" w:rsidP="00130923">
      <w:pPr>
        <w:spacing w:after="0" w:line="240" w:lineRule="auto"/>
      </w:pPr>
      <w:r>
        <w:separator/>
      </w:r>
    </w:p>
  </w:footnote>
  <w:footnote w:type="continuationSeparator" w:id="0">
    <w:p w14:paraId="205CEC49" w14:textId="77777777" w:rsidR="008A0EF3" w:rsidRDefault="008A0EF3" w:rsidP="00130923">
      <w:pPr>
        <w:spacing w:after="0" w:line="240" w:lineRule="auto"/>
      </w:pPr>
      <w:r>
        <w:continuationSeparator/>
      </w:r>
    </w:p>
  </w:footnote>
  <w:footnote w:id="1">
    <w:p w14:paraId="20AE93D7" w14:textId="77777777" w:rsidR="005D328A" w:rsidRDefault="005D328A" w:rsidP="005D328A">
      <w:pPr>
        <w:pStyle w:val="FootnoteText"/>
      </w:pPr>
      <w:r>
        <w:rPr>
          <w:rStyle w:val="FootnoteReference"/>
        </w:rPr>
        <w:footnoteRef/>
      </w:r>
      <w:r>
        <w:t xml:space="preserve"> </w:t>
      </w:r>
      <w:r w:rsidRPr="00F67989">
        <w:t xml:space="preserve">Students are counted once </w:t>
      </w:r>
      <w:r>
        <w:t>for</w:t>
      </w:r>
      <w:r w:rsidRPr="00F67989">
        <w:t xml:space="preserve"> each provider type cate</w:t>
      </w:r>
      <w:r>
        <w:t>gory in which they are enrolled</w:t>
      </w:r>
      <w:r w:rsidRPr="00F67989">
        <w:t xml:space="preserve">. This means students may be counted more than once if they are enrolled in </w:t>
      </w:r>
      <w:r>
        <w:t xml:space="preserve">more than one </w:t>
      </w:r>
      <w:r w:rsidRPr="00F67989">
        <w:t xml:space="preserve">course </w:t>
      </w:r>
      <w:r>
        <w:t xml:space="preserve">and enrolled at providers in </w:t>
      </w:r>
      <w:r w:rsidRPr="00F67989">
        <w:t>different provider type</w:t>
      </w:r>
      <w:r>
        <w:t xml:space="preserve"> categories. For this reason the sum of the provider type proportions exceed 100 per cent.</w:t>
      </w:r>
    </w:p>
  </w:footnote>
  <w:footnote w:id="2">
    <w:p w14:paraId="646A5E0B" w14:textId="77777777" w:rsidR="005D328A" w:rsidRDefault="005D328A" w:rsidP="005D328A">
      <w:pPr>
        <w:pStyle w:val="FootnoteText"/>
      </w:pPr>
      <w:r w:rsidRPr="00203889">
        <w:rPr>
          <w:rStyle w:val="FootnoteReference"/>
        </w:rPr>
        <w:footnoteRef/>
      </w:r>
      <w:r w:rsidRPr="00203889">
        <w:t xml:space="preserve"> The Low SES measure is based on students’ postcodes, with the SES value derived from the 2011 SEIFA Index of Economic Resources for postal areas, where postal areas in the bottom 20 per cent of the population </w:t>
      </w:r>
      <w:r>
        <w:br/>
      </w:r>
      <w:r w:rsidRPr="00203889">
        <w:t>aged 15-64 being classified as Low SES.</w:t>
      </w:r>
    </w:p>
  </w:footnote>
  <w:footnote w:id="3">
    <w:p w14:paraId="5FA6BC03" w14:textId="060B4E83" w:rsidR="005D328A" w:rsidRDefault="005D328A" w:rsidP="005D328A">
      <w:pPr>
        <w:pStyle w:val="FootnoteText"/>
      </w:pPr>
      <w:r>
        <w:rPr>
          <w:rStyle w:val="FootnoteReference"/>
        </w:rPr>
        <w:footnoteRef/>
      </w:r>
      <w:r>
        <w:t xml:space="preserve"> </w:t>
      </w:r>
      <w:r w:rsidRPr="002C1D66">
        <w:t>Unit of Study Completion Rate is the</w:t>
      </w:r>
      <w:r>
        <w:t xml:space="preserve"> </w:t>
      </w:r>
      <w:r w:rsidRPr="00982DA4">
        <w:rPr>
          <w:i/>
        </w:rPr>
        <w:t>Units of Study Passed</w:t>
      </w:r>
      <w:r w:rsidRPr="002C1D66">
        <w:t xml:space="preserve"> as a </w:t>
      </w:r>
      <w:r>
        <w:t>proportion</w:t>
      </w:r>
      <w:r w:rsidRPr="002C1D66">
        <w:t xml:space="preserve"> of </w:t>
      </w:r>
      <w:r>
        <w:t xml:space="preserve">the </w:t>
      </w:r>
      <w:r w:rsidRPr="005146EE">
        <w:t>Units of Study Undertaken</w:t>
      </w:r>
      <w:r w:rsidR="00FD15ED">
        <w:t>, measured in</w:t>
      </w:r>
      <w:r w:rsidR="00FD15ED" w:rsidRPr="00FD15ED">
        <w:t xml:space="preserve"> </w:t>
      </w:r>
      <w:r w:rsidR="00FD15ED">
        <w:t>Equivalent Full-Time Student Load (EFTSL)</w:t>
      </w:r>
      <w:r>
        <w:t xml:space="preserve">.  </w:t>
      </w:r>
      <w:r w:rsidRPr="005146EE">
        <w:t>Units of Study Undertaken</w:t>
      </w:r>
      <w:r w:rsidR="00F062FE">
        <w:t xml:space="preserve"> includes</w:t>
      </w:r>
      <w:r>
        <w:t xml:space="preserve"> </w:t>
      </w:r>
      <w:r w:rsidRPr="00982DA4">
        <w:rPr>
          <w:i/>
        </w:rPr>
        <w:t>Units of Study Withdrawn Without Penalty</w:t>
      </w:r>
      <w:r>
        <w:t xml:space="preserve">, </w:t>
      </w:r>
      <w:r w:rsidRPr="00982DA4">
        <w:rPr>
          <w:i/>
        </w:rPr>
        <w:t>Units of Study Failed</w:t>
      </w:r>
      <w:r w:rsidRPr="002C1D66">
        <w:t xml:space="preserve">, </w:t>
      </w:r>
      <w:r w:rsidRPr="00982DA4">
        <w:rPr>
          <w:i/>
        </w:rPr>
        <w:t>Units of Study Passed</w:t>
      </w:r>
      <w:r w:rsidRPr="002C1D66">
        <w:t xml:space="preserve"> and</w:t>
      </w:r>
      <w:r>
        <w:t xml:space="preserve"> </w:t>
      </w:r>
      <w:r w:rsidRPr="00982DA4">
        <w:rPr>
          <w:i/>
        </w:rPr>
        <w:t>Completion Status Not Reported</w:t>
      </w:r>
      <w:r>
        <w:t>.</w:t>
      </w:r>
    </w:p>
  </w:footnote>
  <w:footnote w:id="4">
    <w:p w14:paraId="1A87AE23" w14:textId="77777777" w:rsidR="005D328A" w:rsidRDefault="005D328A" w:rsidP="005D328A">
      <w:pPr>
        <w:pStyle w:val="FootnoteText"/>
      </w:pPr>
      <w:r>
        <w:rPr>
          <w:rStyle w:val="FootnoteReference"/>
        </w:rPr>
        <w:footnoteRef/>
      </w:r>
      <w:r>
        <w:t xml:space="preserve"> </w:t>
      </w:r>
      <w:r w:rsidRPr="00291DF9">
        <w:t xml:space="preserve">The </w:t>
      </w:r>
      <w:r>
        <w:t>4 Year</w:t>
      </w:r>
      <w:r w:rsidRPr="00291DF9">
        <w:t xml:space="preserve"> </w:t>
      </w:r>
      <w:r>
        <w:t>C</w:t>
      </w:r>
      <w:r w:rsidRPr="00291DF9">
        <w:t>ohort Completion Rate is the proportion of students who commenced a course in the 'cohort year' that successfully completed a course within a four year period</w:t>
      </w:r>
      <w:r>
        <w:t>.</w:t>
      </w:r>
    </w:p>
  </w:footnote>
  <w:footnote w:id="5">
    <w:p w14:paraId="62302F88" w14:textId="77777777" w:rsidR="005D328A" w:rsidRDefault="005D328A" w:rsidP="005D328A">
      <w:pPr>
        <w:pStyle w:val="FootnoteText"/>
      </w:pPr>
      <w:r>
        <w:rPr>
          <w:rStyle w:val="FootnoteReference"/>
        </w:rPr>
        <w:footnoteRef/>
      </w:r>
      <w:r>
        <w:t xml:space="preserve"> </w:t>
      </w:r>
      <w:r w:rsidRPr="00291DF9">
        <w:t xml:space="preserve">The </w:t>
      </w:r>
      <w:r>
        <w:t>6 Year</w:t>
      </w:r>
      <w:r w:rsidRPr="00291DF9">
        <w:t xml:space="preserve"> </w:t>
      </w:r>
      <w:r>
        <w:t>C</w:t>
      </w:r>
      <w:r w:rsidRPr="00291DF9">
        <w:t xml:space="preserve">ohort Completion Rate is the proportion of students who commenced a course in the 'cohort year' that successfully completed a course within a </w:t>
      </w:r>
      <w:r>
        <w:t>six</w:t>
      </w:r>
      <w:r w:rsidRPr="00291DF9">
        <w:t xml:space="preserve"> year period</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2818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4E09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1EF65CA"/>
    <w:multiLevelType w:val="hybridMultilevel"/>
    <w:tmpl w:val="A1944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40503BE"/>
    <w:multiLevelType w:val="hybridMultilevel"/>
    <w:tmpl w:val="8FCC0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5DA42B4E"/>
    <w:multiLevelType w:val="hybridMultilevel"/>
    <w:tmpl w:val="227C58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F92CB7"/>
    <w:multiLevelType w:val="hybridMultilevel"/>
    <w:tmpl w:val="E9FE7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E72384C"/>
    <w:multiLevelType w:val="hybridMultilevel"/>
    <w:tmpl w:val="0D84EA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10"/>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7"/>
  </w:num>
  <w:num w:numId="21">
    <w:abstractNumId w:val="13"/>
  </w:num>
  <w:num w:numId="22">
    <w:abstractNumId w:val="18"/>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33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c892c8fd-5a46-45c1-9481-0a7c5ae2cfdb"/>
    <w:docVar w:name="_AMO_XmlVersion" w:val="Empty"/>
  </w:docVars>
  <w:rsids>
    <w:rsidRoot w:val="007C49AB"/>
    <w:rsid w:val="00002721"/>
    <w:rsid w:val="00006642"/>
    <w:rsid w:val="00007E0C"/>
    <w:rsid w:val="00020D9A"/>
    <w:rsid w:val="00021A53"/>
    <w:rsid w:val="00022390"/>
    <w:rsid w:val="0002499B"/>
    <w:rsid w:val="00024E24"/>
    <w:rsid w:val="00033D1E"/>
    <w:rsid w:val="0003476C"/>
    <w:rsid w:val="00034EAA"/>
    <w:rsid w:val="00035CB3"/>
    <w:rsid w:val="0004541B"/>
    <w:rsid w:val="00056941"/>
    <w:rsid w:val="00056D0C"/>
    <w:rsid w:val="00057B24"/>
    <w:rsid w:val="000649DA"/>
    <w:rsid w:val="00066FD1"/>
    <w:rsid w:val="00067961"/>
    <w:rsid w:val="00081B33"/>
    <w:rsid w:val="000861A6"/>
    <w:rsid w:val="000877F2"/>
    <w:rsid w:val="00095FFD"/>
    <w:rsid w:val="000974E9"/>
    <w:rsid w:val="000A28EB"/>
    <w:rsid w:val="000B2AB5"/>
    <w:rsid w:val="000B3C55"/>
    <w:rsid w:val="000B7754"/>
    <w:rsid w:val="000B79D3"/>
    <w:rsid w:val="000D7FD3"/>
    <w:rsid w:val="000E147F"/>
    <w:rsid w:val="000E7E7B"/>
    <w:rsid w:val="000F3BA2"/>
    <w:rsid w:val="000F3E99"/>
    <w:rsid w:val="000F6520"/>
    <w:rsid w:val="00101BD8"/>
    <w:rsid w:val="0010260D"/>
    <w:rsid w:val="001132D2"/>
    <w:rsid w:val="00115B63"/>
    <w:rsid w:val="001175BF"/>
    <w:rsid w:val="00120D53"/>
    <w:rsid w:val="00130923"/>
    <w:rsid w:val="001313F4"/>
    <w:rsid w:val="0013527E"/>
    <w:rsid w:val="001359BD"/>
    <w:rsid w:val="00135DB0"/>
    <w:rsid w:val="001414F3"/>
    <w:rsid w:val="00143FCD"/>
    <w:rsid w:val="00150E38"/>
    <w:rsid w:val="00152EE3"/>
    <w:rsid w:val="00172229"/>
    <w:rsid w:val="001742F9"/>
    <w:rsid w:val="00190256"/>
    <w:rsid w:val="001938A8"/>
    <w:rsid w:val="001A28E4"/>
    <w:rsid w:val="001B6467"/>
    <w:rsid w:val="00201F37"/>
    <w:rsid w:val="002035F7"/>
    <w:rsid w:val="00204E31"/>
    <w:rsid w:val="00205DD6"/>
    <w:rsid w:val="0020623E"/>
    <w:rsid w:val="00211CD4"/>
    <w:rsid w:val="00217DBC"/>
    <w:rsid w:val="00223176"/>
    <w:rsid w:val="00223EB1"/>
    <w:rsid w:val="00231624"/>
    <w:rsid w:val="0023182A"/>
    <w:rsid w:val="002348C1"/>
    <w:rsid w:val="00236917"/>
    <w:rsid w:val="0024210B"/>
    <w:rsid w:val="00243D6B"/>
    <w:rsid w:val="00257D91"/>
    <w:rsid w:val="00264B45"/>
    <w:rsid w:val="0029469C"/>
    <w:rsid w:val="002A2993"/>
    <w:rsid w:val="002A4619"/>
    <w:rsid w:val="002A7BD3"/>
    <w:rsid w:val="002B06E6"/>
    <w:rsid w:val="002B584A"/>
    <w:rsid w:val="002C0740"/>
    <w:rsid w:val="002C3AA1"/>
    <w:rsid w:val="002D271F"/>
    <w:rsid w:val="002D6386"/>
    <w:rsid w:val="002E3556"/>
    <w:rsid w:val="002E3DA3"/>
    <w:rsid w:val="002E4CC5"/>
    <w:rsid w:val="002F1999"/>
    <w:rsid w:val="00302756"/>
    <w:rsid w:val="00303DBA"/>
    <w:rsid w:val="00305B35"/>
    <w:rsid w:val="00306EC0"/>
    <w:rsid w:val="0031123D"/>
    <w:rsid w:val="003155A7"/>
    <w:rsid w:val="003166C5"/>
    <w:rsid w:val="003242B9"/>
    <w:rsid w:val="003311B3"/>
    <w:rsid w:val="00333E50"/>
    <w:rsid w:val="00334539"/>
    <w:rsid w:val="0035389A"/>
    <w:rsid w:val="00362AE9"/>
    <w:rsid w:val="00365F70"/>
    <w:rsid w:val="00377640"/>
    <w:rsid w:val="0037785B"/>
    <w:rsid w:val="00380FA9"/>
    <w:rsid w:val="003827DF"/>
    <w:rsid w:val="00383B4C"/>
    <w:rsid w:val="00385278"/>
    <w:rsid w:val="00395633"/>
    <w:rsid w:val="003956CF"/>
    <w:rsid w:val="003979FC"/>
    <w:rsid w:val="003A3EFF"/>
    <w:rsid w:val="003A5597"/>
    <w:rsid w:val="003A6B44"/>
    <w:rsid w:val="003B13A2"/>
    <w:rsid w:val="003C56E7"/>
    <w:rsid w:val="003D5F53"/>
    <w:rsid w:val="003D67FC"/>
    <w:rsid w:val="003E64DA"/>
    <w:rsid w:val="003F6CD0"/>
    <w:rsid w:val="003F7436"/>
    <w:rsid w:val="004061B1"/>
    <w:rsid w:val="00406E5A"/>
    <w:rsid w:val="00406FA3"/>
    <w:rsid w:val="00407462"/>
    <w:rsid w:val="00407AAA"/>
    <w:rsid w:val="00413BFA"/>
    <w:rsid w:val="00424016"/>
    <w:rsid w:val="004328FC"/>
    <w:rsid w:val="00433F2C"/>
    <w:rsid w:val="00440772"/>
    <w:rsid w:val="00443309"/>
    <w:rsid w:val="004555FB"/>
    <w:rsid w:val="00455B34"/>
    <w:rsid w:val="00477FFB"/>
    <w:rsid w:val="00481F02"/>
    <w:rsid w:val="0048406A"/>
    <w:rsid w:val="0048762C"/>
    <w:rsid w:val="00496860"/>
    <w:rsid w:val="004B222A"/>
    <w:rsid w:val="004B256F"/>
    <w:rsid w:val="004B4340"/>
    <w:rsid w:val="004C01A7"/>
    <w:rsid w:val="004C6F8A"/>
    <w:rsid w:val="004D181F"/>
    <w:rsid w:val="004D2086"/>
    <w:rsid w:val="004D33E0"/>
    <w:rsid w:val="004D39B2"/>
    <w:rsid w:val="004D519C"/>
    <w:rsid w:val="004D5C29"/>
    <w:rsid w:val="004D681A"/>
    <w:rsid w:val="004E747B"/>
    <w:rsid w:val="004F4A77"/>
    <w:rsid w:val="004F6A51"/>
    <w:rsid w:val="00501815"/>
    <w:rsid w:val="00504A7E"/>
    <w:rsid w:val="00506855"/>
    <w:rsid w:val="005113B6"/>
    <w:rsid w:val="00521E6F"/>
    <w:rsid w:val="00530777"/>
    <w:rsid w:val="00531817"/>
    <w:rsid w:val="00542D46"/>
    <w:rsid w:val="0054640B"/>
    <w:rsid w:val="00560CA0"/>
    <w:rsid w:val="005624F3"/>
    <w:rsid w:val="005811EF"/>
    <w:rsid w:val="00592EBB"/>
    <w:rsid w:val="00592F90"/>
    <w:rsid w:val="0059559C"/>
    <w:rsid w:val="005A796A"/>
    <w:rsid w:val="005B0878"/>
    <w:rsid w:val="005B09C7"/>
    <w:rsid w:val="005B7E29"/>
    <w:rsid w:val="005C0B03"/>
    <w:rsid w:val="005C15C0"/>
    <w:rsid w:val="005C1B76"/>
    <w:rsid w:val="005D0B8E"/>
    <w:rsid w:val="005D1266"/>
    <w:rsid w:val="005D1467"/>
    <w:rsid w:val="005D328A"/>
    <w:rsid w:val="005E4D4F"/>
    <w:rsid w:val="0060125D"/>
    <w:rsid w:val="00605441"/>
    <w:rsid w:val="00610654"/>
    <w:rsid w:val="006238A2"/>
    <w:rsid w:val="006318B9"/>
    <w:rsid w:val="00634696"/>
    <w:rsid w:val="00636E3C"/>
    <w:rsid w:val="006402E6"/>
    <w:rsid w:val="00640BA4"/>
    <w:rsid w:val="00646EA0"/>
    <w:rsid w:val="0064710C"/>
    <w:rsid w:val="00656154"/>
    <w:rsid w:val="0066066F"/>
    <w:rsid w:val="0067007F"/>
    <w:rsid w:val="0067026C"/>
    <w:rsid w:val="006728D9"/>
    <w:rsid w:val="00673FB7"/>
    <w:rsid w:val="00674107"/>
    <w:rsid w:val="00677C02"/>
    <w:rsid w:val="00683705"/>
    <w:rsid w:val="00686416"/>
    <w:rsid w:val="006957ED"/>
    <w:rsid w:val="006A71F3"/>
    <w:rsid w:val="006B081B"/>
    <w:rsid w:val="006B14A8"/>
    <w:rsid w:val="006C049D"/>
    <w:rsid w:val="006C1FE1"/>
    <w:rsid w:val="006D2C4A"/>
    <w:rsid w:val="006D3357"/>
    <w:rsid w:val="006E257F"/>
    <w:rsid w:val="006E2D49"/>
    <w:rsid w:val="006E5A3E"/>
    <w:rsid w:val="006F583F"/>
    <w:rsid w:val="006F605A"/>
    <w:rsid w:val="00705650"/>
    <w:rsid w:val="00711325"/>
    <w:rsid w:val="00722DE2"/>
    <w:rsid w:val="0072650C"/>
    <w:rsid w:val="00732DFE"/>
    <w:rsid w:val="007335A1"/>
    <w:rsid w:val="007352DF"/>
    <w:rsid w:val="00736FF1"/>
    <w:rsid w:val="007468D0"/>
    <w:rsid w:val="007468FC"/>
    <w:rsid w:val="0075411C"/>
    <w:rsid w:val="00760A84"/>
    <w:rsid w:val="00771021"/>
    <w:rsid w:val="00776940"/>
    <w:rsid w:val="00782CBE"/>
    <w:rsid w:val="00783FA1"/>
    <w:rsid w:val="0078571B"/>
    <w:rsid w:val="00792CA3"/>
    <w:rsid w:val="00797550"/>
    <w:rsid w:val="00797ED8"/>
    <w:rsid w:val="007A0F1C"/>
    <w:rsid w:val="007A44D9"/>
    <w:rsid w:val="007B2FDD"/>
    <w:rsid w:val="007C0B5F"/>
    <w:rsid w:val="007C3989"/>
    <w:rsid w:val="007C49AB"/>
    <w:rsid w:val="007C588B"/>
    <w:rsid w:val="007D2A03"/>
    <w:rsid w:val="007D58FB"/>
    <w:rsid w:val="007D7403"/>
    <w:rsid w:val="007F4D15"/>
    <w:rsid w:val="008001CD"/>
    <w:rsid w:val="0080148A"/>
    <w:rsid w:val="00802081"/>
    <w:rsid w:val="00802B9B"/>
    <w:rsid w:val="00817B6E"/>
    <w:rsid w:val="00826A44"/>
    <w:rsid w:val="0083267D"/>
    <w:rsid w:val="0083468A"/>
    <w:rsid w:val="0084097A"/>
    <w:rsid w:val="00842D43"/>
    <w:rsid w:val="00845F01"/>
    <w:rsid w:val="00845F56"/>
    <w:rsid w:val="008500FD"/>
    <w:rsid w:val="00856D1C"/>
    <w:rsid w:val="008714F3"/>
    <w:rsid w:val="0087533F"/>
    <w:rsid w:val="0087631C"/>
    <w:rsid w:val="00876AC0"/>
    <w:rsid w:val="008844EA"/>
    <w:rsid w:val="0088477C"/>
    <w:rsid w:val="008854C0"/>
    <w:rsid w:val="008920D5"/>
    <w:rsid w:val="00893F64"/>
    <w:rsid w:val="00894C23"/>
    <w:rsid w:val="008A0EF3"/>
    <w:rsid w:val="008A472A"/>
    <w:rsid w:val="008A5393"/>
    <w:rsid w:val="008B4906"/>
    <w:rsid w:val="008C5AB0"/>
    <w:rsid w:val="008E54FE"/>
    <w:rsid w:val="008F413B"/>
    <w:rsid w:val="008F438A"/>
    <w:rsid w:val="008F6729"/>
    <w:rsid w:val="00902864"/>
    <w:rsid w:val="00903408"/>
    <w:rsid w:val="00907890"/>
    <w:rsid w:val="009108C7"/>
    <w:rsid w:val="009116EA"/>
    <w:rsid w:val="00922023"/>
    <w:rsid w:val="00922FCD"/>
    <w:rsid w:val="00925D9F"/>
    <w:rsid w:val="009316E2"/>
    <w:rsid w:val="00933671"/>
    <w:rsid w:val="0094223E"/>
    <w:rsid w:val="00945BA9"/>
    <w:rsid w:val="0095168C"/>
    <w:rsid w:val="00957420"/>
    <w:rsid w:val="00972BF7"/>
    <w:rsid w:val="00972DD5"/>
    <w:rsid w:val="00972F2C"/>
    <w:rsid w:val="00982866"/>
    <w:rsid w:val="00984879"/>
    <w:rsid w:val="00985632"/>
    <w:rsid w:val="00990382"/>
    <w:rsid w:val="00991B63"/>
    <w:rsid w:val="009B0B0F"/>
    <w:rsid w:val="009B2428"/>
    <w:rsid w:val="009B3D04"/>
    <w:rsid w:val="009B5CB7"/>
    <w:rsid w:val="009D059D"/>
    <w:rsid w:val="009D2FA7"/>
    <w:rsid w:val="009D5741"/>
    <w:rsid w:val="009E4B1C"/>
    <w:rsid w:val="009F52CA"/>
    <w:rsid w:val="009F6255"/>
    <w:rsid w:val="00A00E26"/>
    <w:rsid w:val="00A04741"/>
    <w:rsid w:val="00A06FB4"/>
    <w:rsid w:val="00A135B6"/>
    <w:rsid w:val="00A2219A"/>
    <w:rsid w:val="00A22CFA"/>
    <w:rsid w:val="00A23C37"/>
    <w:rsid w:val="00A31242"/>
    <w:rsid w:val="00A31C4F"/>
    <w:rsid w:val="00A4076F"/>
    <w:rsid w:val="00A42751"/>
    <w:rsid w:val="00A475CB"/>
    <w:rsid w:val="00A52530"/>
    <w:rsid w:val="00A53FC1"/>
    <w:rsid w:val="00A551BF"/>
    <w:rsid w:val="00A70524"/>
    <w:rsid w:val="00A73406"/>
    <w:rsid w:val="00A76400"/>
    <w:rsid w:val="00A95376"/>
    <w:rsid w:val="00AB139E"/>
    <w:rsid w:val="00AB661C"/>
    <w:rsid w:val="00AB7851"/>
    <w:rsid w:val="00AB7F2A"/>
    <w:rsid w:val="00AC0E44"/>
    <w:rsid w:val="00AC2A20"/>
    <w:rsid w:val="00AC5AAC"/>
    <w:rsid w:val="00AC65DA"/>
    <w:rsid w:val="00AD09E4"/>
    <w:rsid w:val="00AE115B"/>
    <w:rsid w:val="00AE254B"/>
    <w:rsid w:val="00AE6015"/>
    <w:rsid w:val="00AE6CC7"/>
    <w:rsid w:val="00AF1737"/>
    <w:rsid w:val="00AF4A92"/>
    <w:rsid w:val="00AF5AD7"/>
    <w:rsid w:val="00AF6C5C"/>
    <w:rsid w:val="00B0188E"/>
    <w:rsid w:val="00B02CB4"/>
    <w:rsid w:val="00B072A8"/>
    <w:rsid w:val="00B13D8D"/>
    <w:rsid w:val="00B165EB"/>
    <w:rsid w:val="00B20A30"/>
    <w:rsid w:val="00B25563"/>
    <w:rsid w:val="00B2722A"/>
    <w:rsid w:val="00B30643"/>
    <w:rsid w:val="00B32DC9"/>
    <w:rsid w:val="00B3767B"/>
    <w:rsid w:val="00B470D2"/>
    <w:rsid w:val="00B5358F"/>
    <w:rsid w:val="00B54CDF"/>
    <w:rsid w:val="00B564AC"/>
    <w:rsid w:val="00B6095F"/>
    <w:rsid w:val="00B618BA"/>
    <w:rsid w:val="00B63D1B"/>
    <w:rsid w:val="00B719AF"/>
    <w:rsid w:val="00B72C5B"/>
    <w:rsid w:val="00B86E48"/>
    <w:rsid w:val="00B97C7D"/>
    <w:rsid w:val="00BA05AD"/>
    <w:rsid w:val="00BA282D"/>
    <w:rsid w:val="00BA4D57"/>
    <w:rsid w:val="00BB50CC"/>
    <w:rsid w:val="00BB6260"/>
    <w:rsid w:val="00BD1824"/>
    <w:rsid w:val="00BD51BE"/>
    <w:rsid w:val="00BD72CA"/>
    <w:rsid w:val="00BE31F2"/>
    <w:rsid w:val="00BE5D9C"/>
    <w:rsid w:val="00BE6F11"/>
    <w:rsid w:val="00BF065C"/>
    <w:rsid w:val="00C03BC5"/>
    <w:rsid w:val="00C05E74"/>
    <w:rsid w:val="00C0680D"/>
    <w:rsid w:val="00C0720C"/>
    <w:rsid w:val="00C10C19"/>
    <w:rsid w:val="00C11997"/>
    <w:rsid w:val="00C12185"/>
    <w:rsid w:val="00C12DCF"/>
    <w:rsid w:val="00C143B8"/>
    <w:rsid w:val="00C17A5F"/>
    <w:rsid w:val="00C17D02"/>
    <w:rsid w:val="00C213C7"/>
    <w:rsid w:val="00C21FDB"/>
    <w:rsid w:val="00C23944"/>
    <w:rsid w:val="00C268CB"/>
    <w:rsid w:val="00C3074B"/>
    <w:rsid w:val="00C33C1C"/>
    <w:rsid w:val="00C33C5F"/>
    <w:rsid w:val="00C5649C"/>
    <w:rsid w:val="00C7437B"/>
    <w:rsid w:val="00C75486"/>
    <w:rsid w:val="00C7629E"/>
    <w:rsid w:val="00C8202C"/>
    <w:rsid w:val="00C837A6"/>
    <w:rsid w:val="00C84E0C"/>
    <w:rsid w:val="00C92A5B"/>
    <w:rsid w:val="00CA46EC"/>
    <w:rsid w:val="00CA68F2"/>
    <w:rsid w:val="00CB65F2"/>
    <w:rsid w:val="00CB7DD6"/>
    <w:rsid w:val="00CC2F82"/>
    <w:rsid w:val="00CC753C"/>
    <w:rsid w:val="00CD0471"/>
    <w:rsid w:val="00CD6177"/>
    <w:rsid w:val="00CE0373"/>
    <w:rsid w:val="00CE47C8"/>
    <w:rsid w:val="00CF1077"/>
    <w:rsid w:val="00CF3838"/>
    <w:rsid w:val="00CF5526"/>
    <w:rsid w:val="00D05B29"/>
    <w:rsid w:val="00D1394D"/>
    <w:rsid w:val="00D23B21"/>
    <w:rsid w:val="00D2645B"/>
    <w:rsid w:val="00D33422"/>
    <w:rsid w:val="00D34D72"/>
    <w:rsid w:val="00D47740"/>
    <w:rsid w:val="00D50B18"/>
    <w:rsid w:val="00D54693"/>
    <w:rsid w:val="00D54E96"/>
    <w:rsid w:val="00D62A0A"/>
    <w:rsid w:val="00D653C3"/>
    <w:rsid w:val="00D65E54"/>
    <w:rsid w:val="00D71431"/>
    <w:rsid w:val="00D75606"/>
    <w:rsid w:val="00D775ED"/>
    <w:rsid w:val="00D812B9"/>
    <w:rsid w:val="00D82517"/>
    <w:rsid w:val="00D903FD"/>
    <w:rsid w:val="00D91F6B"/>
    <w:rsid w:val="00D9323C"/>
    <w:rsid w:val="00D94BC5"/>
    <w:rsid w:val="00D96C08"/>
    <w:rsid w:val="00DA38DB"/>
    <w:rsid w:val="00DB1CD3"/>
    <w:rsid w:val="00DC07E9"/>
    <w:rsid w:val="00DC202B"/>
    <w:rsid w:val="00DC3052"/>
    <w:rsid w:val="00DC7C90"/>
    <w:rsid w:val="00DD24A1"/>
    <w:rsid w:val="00DD533B"/>
    <w:rsid w:val="00DD6295"/>
    <w:rsid w:val="00DE027E"/>
    <w:rsid w:val="00DF213B"/>
    <w:rsid w:val="00DF46C4"/>
    <w:rsid w:val="00DF4CA3"/>
    <w:rsid w:val="00E00759"/>
    <w:rsid w:val="00E0119F"/>
    <w:rsid w:val="00E021A5"/>
    <w:rsid w:val="00E22466"/>
    <w:rsid w:val="00E306EF"/>
    <w:rsid w:val="00E30AC0"/>
    <w:rsid w:val="00E43EC9"/>
    <w:rsid w:val="00E5004F"/>
    <w:rsid w:val="00E518B0"/>
    <w:rsid w:val="00E716D9"/>
    <w:rsid w:val="00E751DC"/>
    <w:rsid w:val="00EB0975"/>
    <w:rsid w:val="00EC2885"/>
    <w:rsid w:val="00EC353B"/>
    <w:rsid w:val="00EC78E7"/>
    <w:rsid w:val="00ED2C9D"/>
    <w:rsid w:val="00ED43D2"/>
    <w:rsid w:val="00EE0C10"/>
    <w:rsid w:val="00EE3B8C"/>
    <w:rsid w:val="00EF3E2B"/>
    <w:rsid w:val="00EF47CB"/>
    <w:rsid w:val="00EF4A38"/>
    <w:rsid w:val="00EF5845"/>
    <w:rsid w:val="00F062FE"/>
    <w:rsid w:val="00F07543"/>
    <w:rsid w:val="00F07D31"/>
    <w:rsid w:val="00F10926"/>
    <w:rsid w:val="00F11B8F"/>
    <w:rsid w:val="00F1675D"/>
    <w:rsid w:val="00F1784D"/>
    <w:rsid w:val="00F33E8E"/>
    <w:rsid w:val="00F469D2"/>
    <w:rsid w:val="00F46E8E"/>
    <w:rsid w:val="00F47193"/>
    <w:rsid w:val="00F50961"/>
    <w:rsid w:val="00F5332A"/>
    <w:rsid w:val="00F54120"/>
    <w:rsid w:val="00F55EB7"/>
    <w:rsid w:val="00F702A8"/>
    <w:rsid w:val="00F74011"/>
    <w:rsid w:val="00F77641"/>
    <w:rsid w:val="00F80CFC"/>
    <w:rsid w:val="00F8702C"/>
    <w:rsid w:val="00F8732A"/>
    <w:rsid w:val="00F91642"/>
    <w:rsid w:val="00FA18A8"/>
    <w:rsid w:val="00FB10CB"/>
    <w:rsid w:val="00FB5FB4"/>
    <w:rsid w:val="00FC24A3"/>
    <w:rsid w:val="00FC4434"/>
    <w:rsid w:val="00FD15ED"/>
    <w:rsid w:val="00FE06DB"/>
    <w:rsid w:val="00FE1215"/>
    <w:rsid w:val="00FE69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205CEBFC"/>
  <w15:docId w15:val="{35617A83-9AD2-46A2-A92C-5815535F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styleId="FootnoteText">
    <w:name w:val="footnote text"/>
    <w:basedOn w:val="Normal"/>
    <w:link w:val="FootnoteTextChar"/>
    <w:uiPriority w:val="99"/>
    <w:semiHidden/>
    <w:unhideWhenUsed/>
    <w:rsid w:val="00433F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F2C"/>
    <w:rPr>
      <w:sz w:val="20"/>
      <w:szCs w:val="20"/>
    </w:rPr>
  </w:style>
  <w:style w:type="character" w:styleId="FootnoteReference">
    <w:name w:val="footnote reference"/>
    <w:basedOn w:val="DefaultParagraphFont"/>
    <w:uiPriority w:val="99"/>
    <w:semiHidden/>
    <w:unhideWhenUsed/>
    <w:rsid w:val="00433F2C"/>
    <w:rPr>
      <w:vertAlign w:val="superscript"/>
    </w:rPr>
  </w:style>
  <w:style w:type="character" w:styleId="CommentReference">
    <w:name w:val="annotation reference"/>
    <w:basedOn w:val="DefaultParagraphFont"/>
    <w:uiPriority w:val="99"/>
    <w:semiHidden/>
    <w:unhideWhenUsed/>
    <w:rsid w:val="00AE6CC7"/>
    <w:rPr>
      <w:sz w:val="16"/>
      <w:szCs w:val="16"/>
    </w:rPr>
  </w:style>
  <w:style w:type="paragraph" w:styleId="CommentText">
    <w:name w:val="annotation text"/>
    <w:basedOn w:val="Normal"/>
    <w:link w:val="CommentTextChar"/>
    <w:uiPriority w:val="99"/>
    <w:semiHidden/>
    <w:unhideWhenUsed/>
    <w:rsid w:val="00AE6CC7"/>
    <w:pPr>
      <w:spacing w:line="240" w:lineRule="auto"/>
    </w:pPr>
    <w:rPr>
      <w:sz w:val="20"/>
      <w:szCs w:val="20"/>
    </w:rPr>
  </w:style>
  <w:style w:type="character" w:customStyle="1" w:styleId="CommentTextChar">
    <w:name w:val="Comment Text Char"/>
    <w:basedOn w:val="DefaultParagraphFont"/>
    <w:link w:val="CommentText"/>
    <w:uiPriority w:val="99"/>
    <w:semiHidden/>
    <w:rsid w:val="00AE6CC7"/>
    <w:rPr>
      <w:sz w:val="20"/>
      <w:szCs w:val="20"/>
    </w:rPr>
  </w:style>
  <w:style w:type="paragraph" w:styleId="CommentSubject">
    <w:name w:val="annotation subject"/>
    <w:basedOn w:val="CommentText"/>
    <w:next w:val="CommentText"/>
    <w:link w:val="CommentSubjectChar"/>
    <w:uiPriority w:val="99"/>
    <w:semiHidden/>
    <w:unhideWhenUsed/>
    <w:rsid w:val="00AE6CC7"/>
    <w:rPr>
      <w:b/>
      <w:bCs/>
    </w:rPr>
  </w:style>
  <w:style w:type="character" w:customStyle="1" w:styleId="CommentSubjectChar">
    <w:name w:val="Comment Subject Char"/>
    <w:basedOn w:val="CommentTextChar"/>
    <w:link w:val="CommentSubject"/>
    <w:uiPriority w:val="99"/>
    <w:semiHidden/>
    <w:rsid w:val="00AE6CC7"/>
    <w:rPr>
      <w:b/>
      <w:bCs/>
      <w:sz w:val="20"/>
      <w:szCs w:val="20"/>
    </w:rPr>
  </w:style>
  <w:style w:type="character" w:styleId="FollowedHyperlink">
    <w:name w:val="FollowedHyperlink"/>
    <w:basedOn w:val="DefaultParagraphFont"/>
    <w:uiPriority w:val="99"/>
    <w:semiHidden/>
    <w:unhideWhenUsed/>
    <w:rsid w:val="002035F7"/>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348332575">
      <w:bodyDiv w:val="1"/>
      <w:marLeft w:val="0"/>
      <w:marRight w:val="0"/>
      <w:marTop w:val="0"/>
      <w:marBottom w:val="0"/>
      <w:divBdr>
        <w:top w:val="none" w:sz="0" w:space="0" w:color="auto"/>
        <w:left w:val="none" w:sz="0" w:space="0" w:color="auto"/>
        <w:bottom w:val="none" w:sz="0" w:space="0" w:color="auto"/>
        <w:right w:val="none" w:sz="0" w:space="0" w:color="auto"/>
      </w:divBdr>
    </w:div>
    <w:div w:id="974681929">
      <w:bodyDiv w:val="1"/>
      <w:marLeft w:val="0"/>
      <w:marRight w:val="0"/>
      <w:marTop w:val="0"/>
      <w:marBottom w:val="0"/>
      <w:divBdr>
        <w:top w:val="none" w:sz="0" w:space="0" w:color="auto"/>
        <w:left w:val="none" w:sz="0" w:space="0" w:color="auto"/>
        <w:bottom w:val="none" w:sz="0" w:space="0" w:color="auto"/>
        <w:right w:val="none" w:sz="0" w:space="0" w:color="auto"/>
      </w:divBdr>
    </w:div>
    <w:div w:id="1217669891">
      <w:bodyDiv w:val="1"/>
      <w:marLeft w:val="0"/>
      <w:marRight w:val="0"/>
      <w:marTop w:val="0"/>
      <w:marBottom w:val="0"/>
      <w:divBdr>
        <w:top w:val="none" w:sz="0" w:space="0" w:color="auto"/>
        <w:left w:val="none" w:sz="0" w:space="0" w:color="auto"/>
        <w:bottom w:val="none" w:sz="0" w:space="0" w:color="auto"/>
        <w:right w:val="none" w:sz="0" w:space="0" w:color="auto"/>
      </w:divBdr>
    </w:div>
    <w:div w:id="1866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dnet.hosts.network/education/Resources/Documents/CC%20BY%204.0%20Internationa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dnet.hosts.network/education/Resources/Documents/Creative%20Commons%20Attribution%204.0%20International" TargetMode="External"/><Relationship Id="rId2" Type="http://schemas.openxmlformats.org/officeDocument/2006/relationships/customXml" Target="../customXml/item2.xml"/><Relationship Id="rId16" Type="http://schemas.openxmlformats.org/officeDocument/2006/relationships/image" Target="cid:image001.png@01CC5B5E.C6C84990"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5179CBEE4245B3A81E2C8017F483AD"/>
        <w:category>
          <w:name w:val="General"/>
          <w:gallery w:val="placeholder"/>
        </w:category>
        <w:types>
          <w:type w:val="bbPlcHdr"/>
        </w:types>
        <w:behaviors>
          <w:behavior w:val="content"/>
        </w:behaviors>
        <w:guid w:val="{3FB8DFB5-3725-4F10-B7CE-399C99BD90C4}"/>
      </w:docPartPr>
      <w:docPartBody>
        <w:p w:rsidR="00EE279D" w:rsidRDefault="00EE279D">
          <w:pPr>
            <w:pStyle w:val="655179CBEE4245B3A81E2C8017F483AD"/>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9D"/>
    <w:rsid w:val="00000419"/>
    <w:rsid w:val="000349B1"/>
    <w:rsid w:val="00050E2F"/>
    <w:rsid w:val="00166EFF"/>
    <w:rsid w:val="00195BFA"/>
    <w:rsid w:val="001F42EA"/>
    <w:rsid w:val="003C3FF9"/>
    <w:rsid w:val="003E2F4A"/>
    <w:rsid w:val="004D24D3"/>
    <w:rsid w:val="005F3541"/>
    <w:rsid w:val="00615D11"/>
    <w:rsid w:val="00701E63"/>
    <w:rsid w:val="00790704"/>
    <w:rsid w:val="00902A9F"/>
    <w:rsid w:val="00A44C36"/>
    <w:rsid w:val="00C5178D"/>
    <w:rsid w:val="00C66051"/>
    <w:rsid w:val="00E50B30"/>
    <w:rsid w:val="00E53040"/>
    <w:rsid w:val="00EB5595"/>
    <w:rsid w:val="00EE279D"/>
    <w:rsid w:val="00EF27CA"/>
    <w:rsid w:val="00F13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55179CBEE4245B3A81E2C8017F483AD">
    <w:name w:val="655179CBEE4245B3A81E2C8017F483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SecurityClassification xmlns="FFD23CFF-C584-4C5F-B007-553A142FD490" xsi:nil="true"/>
    <pdms_Reason xmlns="FFD23CFF-C584-4C5F-B007-553A142FD490" xsi:nil="true"/>
    <SecurityClassification xmlns="FFD23CFF-C584-4C5F-B007-553A142FD490" xsi:nil="true"/>
    <pdms_DocumentType xmlns="FFD23CFF-C584-4C5F-B007-553A142FD490" xsi:nil="true"/>
    <pdms_AttachedBy xmlns="FFD23CFF-C584-4C5F-B007-553A142FD4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79ED313CF01B8F4EB5904CC7AD70898F" ma:contentTypeVersion="" ma:contentTypeDescription="PDMS Documentation Content Type" ma:contentTypeScope="" ma:versionID="611eb5d1c737d590784a2ff3ccf664f1">
  <xsd:schema xmlns:xsd="http://www.w3.org/2001/XMLSchema" xmlns:xs="http://www.w3.org/2001/XMLSchema" xmlns:p="http://schemas.microsoft.com/office/2006/metadata/properties" xmlns:ns2="FFD23CFF-C584-4C5F-B007-553A142FD490" targetNamespace="http://schemas.microsoft.com/office/2006/metadata/properties" ma:root="true" ma:fieldsID="26d584ec1f1eaae4a06cee4a4bffcb75" ns2:_="">
    <xsd:import namespace="FFD23CFF-C584-4C5F-B007-553A142FD49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23CFF-C584-4C5F-B007-553A142FD49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C4778-8A03-447A-8533-249876760670}">
  <ds:schemaRefs>
    <ds:schemaRef ds:uri="http://schemas.microsoft.com/sharepoint/v3/contenttype/forms"/>
  </ds:schemaRefs>
</ds:datastoreItem>
</file>

<file path=customXml/itemProps2.xml><?xml version="1.0" encoding="utf-8"?>
<ds:datastoreItem xmlns:ds="http://schemas.openxmlformats.org/officeDocument/2006/customXml" ds:itemID="{1EE91290-59F4-40AF-8B9D-C577B353F77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FD23CFF-C584-4C5F-B007-553A142FD490"/>
    <ds:schemaRef ds:uri="http://www.w3.org/XML/1998/namespace"/>
    <ds:schemaRef ds:uri="http://purl.org/dc/dcmitype/"/>
  </ds:schemaRefs>
</ds:datastoreItem>
</file>

<file path=customXml/itemProps3.xml><?xml version="1.0" encoding="utf-8"?>
<ds:datastoreItem xmlns:ds="http://schemas.openxmlformats.org/officeDocument/2006/customXml" ds:itemID="{96509ADF-0A7C-4887-9671-4EC4F1011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23CFF-C584-4C5F-B007-553A142FD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1B3322-9507-417A-B516-2693CB036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597103C3.dotm</Template>
  <TotalTime>320</TotalTime>
  <Pages>7</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2016 VET FEE-HELP Statistical Report</vt:lpstr>
    </vt:vector>
  </TitlesOfParts>
  <Company>Australian Government</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VET FEE-HELP Statistical Report</dc:title>
  <dc:creator>BLACKMAN,Grace</dc:creator>
  <cp:lastModifiedBy>WENCK,Adam</cp:lastModifiedBy>
  <cp:revision>30</cp:revision>
  <cp:lastPrinted>2017-08-14T00:13:00Z</cp:lastPrinted>
  <dcterms:created xsi:type="dcterms:W3CDTF">2017-07-17T06:37:00Z</dcterms:created>
  <dcterms:modified xsi:type="dcterms:W3CDTF">2017-08-14T00:19:00Z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0x010100266966F133664895A6EE3632470D45F5010079ED313CF01B8F4EB5904CC7AD70898F</vt:lpwstr>
  </property>
</Properties>
</file>