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FBA" w:rsidRDefault="00617FBA" w:rsidP="00617FBA">
      <w:pPr>
        <w:sectPr w:rsidR="00617FBA" w:rsidSect="00F63F54">
          <w:headerReference w:type="even" r:id="rId9"/>
          <w:footerReference w:type="even" r:id="rId10"/>
          <w:pgSz w:w="11906" w:h="16838"/>
          <w:pgMar w:top="0" w:right="1440" w:bottom="1440" w:left="0" w:header="709" w:footer="340" w:gutter="0"/>
          <w:cols w:space="708"/>
          <w:docGrid w:linePitch="360"/>
        </w:sectPr>
      </w:pPr>
      <w:r>
        <w:rPr>
          <w:noProof/>
          <w:lang w:eastAsia="en-AU"/>
        </w:rPr>
        <w:drawing>
          <wp:inline distT="0" distB="0" distL="0" distR="0" wp14:anchorId="62D0CA79" wp14:editId="7EF468BB">
            <wp:extent cx="7596000" cy="2059200"/>
            <wp:effectExtent l="0" t="0" r="0" b="0"/>
            <wp:docPr id="24" name="Picture 24"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Design Team\Work in Progress\_Education\ED16-0006 Higher Education Reform Consultation Paper\links\ED16-0006 Higher Education Reform Consultation Paper_option1 Crest_01.jpg"/>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7596000" cy="2059200"/>
                    </a:xfrm>
                    <a:prstGeom prst="rect">
                      <a:avLst/>
                    </a:prstGeom>
                    <a:noFill/>
                    <a:ln>
                      <a:noFill/>
                    </a:ln>
                  </pic:spPr>
                </pic:pic>
              </a:graphicData>
            </a:graphic>
          </wp:inline>
        </w:drawing>
      </w:r>
    </w:p>
    <w:p w:rsidR="000442F3" w:rsidRDefault="000442F3" w:rsidP="000442F3">
      <w:pPr>
        <w:pStyle w:val="BasicParagraph"/>
        <w:suppressAutoHyphens/>
        <w:spacing w:after="113" w:line="240" w:lineRule="auto"/>
        <w:rPr>
          <w:rFonts w:ascii="Calibri" w:hAnsi="Calibri" w:cs="Calibri"/>
          <w:b/>
          <w:bCs/>
          <w:sz w:val="70"/>
          <w:szCs w:val="70"/>
        </w:rPr>
      </w:pPr>
    </w:p>
    <w:p w:rsidR="000442F3" w:rsidRDefault="000442F3" w:rsidP="000442F3">
      <w:pPr>
        <w:pStyle w:val="BasicParagraph"/>
        <w:suppressAutoHyphens/>
        <w:spacing w:after="113" w:line="240" w:lineRule="auto"/>
        <w:rPr>
          <w:rFonts w:ascii="DilleniaUPC" w:hAnsi="DilleniaUPC" w:cs="DilleniaUPC"/>
          <w:b/>
          <w:bCs/>
          <w:sz w:val="96"/>
          <w:szCs w:val="96"/>
          <w:lang w:bidi="th-TH"/>
        </w:rPr>
      </w:pPr>
      <w:r>
        <w:rPr>
          <w:rFonts w:ascii="Calibri" w:hAnsi="Calibri" w:cs="Calibri"/>
          <w:b/>
          <w:bCs/>
          <w:sz w:val="70"/>
          <w:szCs w:val="70"/>
        </w:rPr>
        <w:t xml:space="preserve">Improving </w:t>
      </w:r>
      <w:r w:rsidRPr="0041269F">
        <w:rPr>
          <w:rFonts w:ascii="Calibri" w:hAnsi="Calibri" w:cs="Calibri"/>
          <w:b/>
          <w:bCs/>
          <w:sz w:val="70"/>
          <w:szCs w:val="70"/>
        </w:rPr>
        <w:t xml:space="preserve">the </w:t>
      </w:r>
      <w:r w:rsidRPr="0041269F">
        <w:rPr>
          <w:rFonts w:ascii="Calibri" w:hAnsi="Calibri" w:cs="Calibri"/>
          <w:b/>
          <w:bCs/>
          <w:sz w:val="70"/>
          <w:szCs w:val="70"/>
        </w:rPr>
        <w:br/>
        <w:t>transparency of</w:t>
      </w:r>
      <w:r>
        <w:rPr>
          <w:rFonts w:ascii="Calibri" w:hAnsi="Calibri" w:cs="Calibri"/>
          <w:b/>
          <w:bCs/>
          <w:sz w:val="70"/>
          <w:szCs w:val="70"/>
        </w:rPr>
        <w:t xml:space="preserve"> higher education admissions:</w:t>
      </w:r>
    </w:p>
    <w:p w:rsidR="00A92E76" w:rsidRDefault="000442F3" w:rsidP="000442F3">
      <w:pPr>
        <w:pStyle w:val="BasicParagraph"/>
        <w:suppressAutoHyphens/>
        <w:spacing w:line="240" w:lineRule="auto"/>
        <w:rPr>
          <w:rFonts w:ascii="Calibri" w:hAnsi="Calibri" w:cs="Calibri"/>
          <w:sz w:val="46"/>
          <w:szCs w:val="46"/>
        </w:rPr>
      </w:pPr>
      <w:r>
        <w:rPr>
          <w:noProof/>
          <w:lang w:val="en-AU" w:eastAsia="en-AU"/>
        </w:rPr>
        <w:drawing>
          <wp:anchor distT="0" distB="0" distL="114300" distR="114300" simplePos="0" relativeHeight="251658240" behindDoc="1" locked="0" layoutInCell="1" allowOverlap="1" wp14:anchorId="0162D9E7" wp14:editId="484E3215">
            <wp:simplePos x="0" y="0"/>
            <wp:positionH relativeFrom="column">
              <wp:posOffset>-1083945</wp:posOffset>
            </wp:positionH>
            <wp:positionV relativeFrom="paragraph">
              <wp:posOffset>1828528</wp:posOffset>
            </wp:positionV>
            <wp:extent cx="7772400" cy="4663440"/>
            <wp:effectExtent l="0" t="0" r="0" b="3810"/>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_Education\ED16-0006 Higher Education Reform Consultation Paper\links\ED16-0006 Higher Education Reform Consultation Paper_Cover BG.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772400" cy="4663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sz w:val="46"/>
          <w:szCs w:val="46"/>
        </w:rPr>
        <w:t xml:space="preserve">Joint higher education sector </w:t>
      </w:r>
      <w:r>
        <w:rPr>
          <w:rFonts w:ascii="Calibri" w:hAnsi="Calibri" w:cs="Calibri"/>
          <w:sz w:val="46"/>
          <w:szCs w:val="46"/>
        </w:rPr>
        <w:br/>
        <w:t xml:space="preserve">and Australian Government </w:t>
      </w:r>
      <w:r>
        <w:rPr>
          <w:rFonts w:ascii="Calibri" w:hAnsi="Calibri" w:cs="Calibri"/>
          <w:sz w:val="46"/>
          <w:szCs w:val="46"/>
        </w:rPr>
        <w:br/>
        <w:t>implementation plan</w:t>
      </w:r>
    </w:p>
    <w:p w:rsidR="00A92E76" w:rsidRDefault="00A92E76" w:rsidP="000442F3">
      <w:pPr>
        <w:pStyle w:val="BasicParagraph"/>
        <w:suppressAutoHyphens/>
        <w:spacing w:line="240" w:lineRule="auto"/>
        <w:rPr>
          <w:rFonts w:ascii="Calibri" w:hAnsi="Calibri" w:cs="Calibri"/>
          <w:sz w:val="46"/>
          <w:szCs w:val="46"/>
        </w:rPr>
      </w:pPr>
    </w:p>
    <w:p w:rsidR="00A92E76" w:rsidRDefault="00A60E26" w:rsidP="000442F3">
      <w:pPr>
        <w:pStyle w:val="BasicParagraph"/>
        <w:suppressAutoHyphens/>
        <w:spacing w:line="240" w:lineRule="auto"/>
        <w:rPr>
          <w:rFonts w:ascii="Calibri" w:hAnsi="Calibri" w:cs="Calibri"/>
          <w:sz w:val="46"/>
          <w:szCs w:val="46"/>
        </w:rPr>
      </w:pPr>
      <w:r>
        <w:rPr>
          <w:rFonts w:ascii="Calibri" w:hAnsi="Calibri" w:cs="Calibri"/>
          <w:sz w:val="46"/>
          <w:szCs w:val="46"/>
        </w:rPr>
        <w:t>June 2017</w:t>
      </w:r>
    </w:p>
    <w:p w:rsidR="00A92E76" w:rsidRDefault="00A92E76" w:rsidP="000442F3">
      <w:pPr>
        <w:pStyle w:val="BasicParagraph"/>
        <w:suppressAutoHyphens/>
        <w:spacing w:line="240" w:lineRule="auto"/>
        <w:rPr>
          <w:rFonts w:ascii="Calibri" w:hAnsi="Calibri" w:cs="Calibri"/>
          <w:sz w:val="46"/>
          <w:szCs w:val="46"/>
        </w:rPr>
      </w:pPr>
    </w:p>
    <w:p w:rsidR="00A92E76" w:rsidRDefault="00A92E76" w:rsidP="000442F3">
      <w:pPr>
        <w:pStyle w:val="BasicParagraph"/>
        <w:suppressAutoHyphens/>
        <w:spacing w:line="240" w:lineRule="auto"/>
        <w:rPr>
          <w:rFonts w:ascii="Calibri" w:hAnsi="Calibri" w:cs="Calibri"/>
          <w:sz w:val="46"/>
          <w:szCs w:val="46"/>
        </w:rPr>
      </w:pPr>
    </w:p>
    <w:p w:rsidR="00A92E76" w:rsidRDefault="00A92E76" w:rsidP="000442F3">
      <w:pPr>
        <w:pStyle w:val="BasicParagraph"/>
        <w:suppressAutoHyphens/>
        <w:spacing w:line="240" w:lineRule="auto"/>
        <w:rPr>
          <w:rFonts w:ascii="Calibri" w:hAnsi="Calibri" w:cs="Calibri"/>
          <w:sz w:val="46"/>
          <w:szCs w:val="46"/>
        </w:rPr>
      </w:pPr>
    </w:p>
    <w:p w:rsidR="006F778D" w:rsidRPr="00A92E76" w:rsidRDefault="004C2B41" w:rsidP="000442F3">
      <w:pPr>
        <w:pStyle w:val="BasicParagraph"/>
        <w:suppressAutoHyphens/>
        <w:spacing w:line="240" w:lineRule="auto"/>
        <w:rPr>
          <w:rFonts w:ascii="Calibri" w:hAnsi="Calibri" w:cs="Calibri"/>
          <w:sz w:val="44"/>
          <w:szCs w:val="44"/>
        </w:rPr>
        <w:sectPr w:rsidR="006F778D" w:rsidRPr="00A92E76" w:rsidSect="006F778D">
          <w:headerReference w:type="even" r:id="rId13"/>
          <w:headerReference w:type="default" r:id="rId14"/>
          <w:footerReference w:type="default" r:id="rId15"/>
          <w:headerReference w:type="first" r:id="rId16"/>
          <w:type w:val="continuous"/>
          <w:pgSz w:w="11906" w:h="16838"/>
          <w:pgMar w:top="1372" w:right="1106" w:bottom="1440" w:left="1701" w:header="709" w:footer="1361" w:gutter="0"/>
          <w:cols w:space="708"/>
          <w:titlePg/>
          <w:docGrid w:linePitch="360"/>
        </w:sectPr>
      </w:pPr>
      <w:r w:rsidRPr="00A92E76">
        <w:rPr>
          <w:sz w:val="44"/>
          <w:szCs w:val="44"/>
        </w:rPr>
        <w:br w:type="page"/>
      </w:r>
    </w:p>
    <w:p w:rsidR="00C11F95" w:rsidRDefault="00C11F95" w:rsidP="00C11F95">
      <w:pPr>
        <w:pStyle w:val="HERNormal"/>
      </w:pPr>
      <w:r w:rsidRPr="00C11F95">
        <w:t xml:space="preserve">ISBN </w:t>
      </w:r>
      <w:r w:rsidR="006F7508" w:rsidRPr="006F7508">
        <w:t>978-1-76051-099-2</w:t>
      </w:r>
      <w:r w:rsidR="006F7508" w:rsidRPr="006F7508" w:rsidDel="006F7508">
        <w:t xml:space="preserve"> </w:t>
      </w:r>
      <w:r w:rsidRPr="00C11F95">
        <w:t>[PDF]</w:t>
      </w:r>
      <w:r w:rsidRPr="00C11F95">
        <w:br/>
        <w:t xml:space="preserve">ISBN </w:t>
      </w:r>
      <w:r w:rsidR="006F7508" w:rsidRPr="006F7508">
        <w:t>978-1-76051-100-5</w:t>
      </w:r>
      <w:r w:rsidR="006F7508" w:rsidRPr="006F7508" w:rsidDel="006F7508">
        <w:t xml:space="preserve"> </w:t>
      </w:r>
      <w:r w:rsidRPr="008E4DA0">
        <w:t>[DOCX</w:t>
      </w:r>
      <w:r w:rsidR="006F7508">
        <w:t>]</w:t>
      </w:r>
    </w:p>
    <w:p w:rsidR="00C11F95" w:rsidRDefault="00C11F95" w:rsidP="00C11F95">
      <w:pPr>
        <w:pStyle w:val="HERNormal"/>
      </w:pPr>
      <w:r>
        <w:rPr>
          <w:lang w:eastAsia="en-AU"/>
        </w:rPr>
        <w:drawing>
          <wp:inline distT="0" distB="0" distL="0" distR="0" wp14:anchorId="4E77F57A" wp14:editId="6B1127CD">
            <wp:extent cx="847725" cy="285750"/>
            <wp:effectExtent l="0" t="0" r="9525" b="0"/>
            <wp:docPr id="4" name="Picture 4"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7" r:link="rId18"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rsidR="00C11F95" w:rsidRPr="000462F1" w:rsidRDefault="00C11F95" w:rsidP="00C11F95">
      <w:pPr>
        <w:pStyle w:val="HERNormal"/>
      </w:pPr>
      <w:r w:rsidRPr="000462F1">
        <w:t>With the exception of the Commonwealth Coat of Arms, the Department’s logo, any material protected by a trade mark and where otherwise noted all material presented in this document is provided under a Creative Commons Attribution 3.0 Australia (</w:t>
      </w:r>
      <w:hyperlink r:id="rId19" w:history="1">
        <w:r w:rsidRPr="000462F1">
          <w:rPr>
            <w:rStyle w:val="Hyperlink"/>
          </w:rPr>
          <w:t>http://creativecommons.org/licenses/by/3.0/au/</w:t>
        </w:r>
      </w:hyperlink>
      <w:r w:rsidRPr="000462F1">
        <w:t xml:space="preserve">) licence. </w:t>
      </w:r>
    </w:p>
    <w:p w:rsidR="00C11F95" w:rsidRPr="000462F1" w:rsidRDefault="00C11F95" w:rsidP="00C11F95">
      <w:pPr>
        <w:pStyle w:val="HERNormal"/>
      </w:pPr>
      <w:r w:rsidRPr="000462F1">
        <w:t>The details of the relevant licence conditions are available on the Creative Commons website (accessible using the links provided) as is the full legal code for the CC BY 3.0 AU licence (</w:t>
      </w:r>
      <w:hyperlink r:id="rId20" w:history="1">
        <w:r w:rsidRPr="000462F1">
          <w:rPr>
            <w:rStyle w:val="Hyperlink"/>
          </w:rPr>
          <w:t>http://creativecommons.org/licenses/by/3.0/au/legalcode</w:t>
        </w:r>
      </w:hyperlink>
      <w:r w:rsidRPr="000462F1">
        <w:t xml:space="preserve">). </w:t>
      </w:r>
    </w:p>
    <w:p w:rsidR="00C11F95" w:rsidRDefault="00C11F95" w:rsidP="0003587A">
      <w:pPr>
        <w:pStyle w:val="BasicParagraph"/>
        <w:suppressAutoHyphens/>
        <w:spacing w:after="113" w:line="240" w:lineRule="auto"/>
        <w:sectPr w:rsidR="00C11F95" w:rsidSect="00040136">
          <w:headerReference w:type="even" r:id="rId21"/>
          <w:headerReference w:type="default" r:id="rId22"/>
          <w:headerReference w:type="first" r:id="rId23"/>
          <w:footerReference w:type="first" r:id="rId24"/>
          <w:type w:val="continuous"/>
          <w:pgSz w:w="11906" w:h="16838"/>
          <w:pgMar w:top="11057" w:right="1106" w:bottom="1440" w:left="1440" w:header="709" w:footer="737" w:gutter="0"/>
          <w:cols w:space="708"/>
          <w:titlePg/>
          <w:docGrid w:linePitch="360"/>
        </w:sectPr>
      </w:pPr>
      <w:r w:rsidRPr="0003587A">
        <w:rPr>
          <w:rFonts w:asciiTheme="minorHAnsi" w:hAnsiTheme="minorHAnsi"/>
          <w:color w:val="auto"/>
          <w:sz w:val="22"/>
          <w:lang w:val="en-AU"/>
        </w:rPr>
        <w:t xml:space="preserve">The document must be attributed as the </w:t>
      </w:r>
      <w:r w:rsidR="000377F2" w:rsidRPr="00A84335">
        <w:rPr>
          <w:rFonts w:asciiTheme="minorHAnsi" w:hAnsiTheme="minorHAnsi" w:cstheme="minorBidi"/>
          <w:i/>
          <w:noProof/>
          <w:color w:val="auto"/>
          <w:sz w:val="22"/>
          <w:szCs w:val="22"/>
          <w:lang w:val="en-AU"/>
        </w:rPr>
        <w:t>Improving the transparency</w:t>
      </w:r>
      <w:r w:rsidR="000377F2" w:rsidRPr="0003587A">
        <w:rPr>
          <w:rFonts w:asciiTheme="minorHAnsi" w:hAnsiTheme="minorHAnsi"/>
          <w:i/>
          <w:color w:val="auto"/>
          <w:sz w:val="22"/>
          <w:lang w:val="en-AU"/>
        </w:rPr>
        <w:t xml:space="preserve"> of </w:t>
      </w:r>
      <w:r w:rsidR="000377F2" w:rsidRPr="00A84335">
        <w:rPr>
          <w:rFonts w:asciiTheme="minorHAnsi" w:hAnsiTheme="minorHAnsi" w:cstheme="minorBidi"/>
          <w:i/>
          <w:noProof/>
          <w:color w:val="auto"/>
          <w:sz w:val="22"/>
          <w:szCs w:val="22"/>
          <w:lang w:val="en-AU"/>
        </w:rPr>
        <w:t xml:space="preserve">higher education admissions: </w:t>
      </w:r>
      <w:r w:rsidR="000377F2" w:rsidRPr="00A84335">
        <w:rPr>
          <w:i/>
          <w:noProof/>
          <w:lang w:val="en-AU" w:eastAsia="en-AU"/>
        </w:rPr>
        <w:drawing>
          <wp:anchor distT="0" distB="0" distL="114300" distR="114300" simplePos="0" relativeHeight="251684864" behindDoc="1" locked="0" layoutInCell="1" allowOverlap="1" wp14:anchorId="0C30E58D" wp14:editId="4AE31249">
            <wp:simplePos x="0" y="0"/>
            <wp:positionH relativeFrom="column">
              <wp:posOffset>-1083945</wp:posOffset>
            </wp:positionH>
            <wp:positionV relativeFrom="paragraph">
              <wp:posOffset>1828528</wp:posOffset>
            </wp:positionV>
            <wp:extent cx="7772400" cy="4663440"/>
            <wp:effectExtent l="0" t="0" r="0" b="3810"/>
            <wp:wrapNone/>
            <wp:docPr id="6"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_Education\ED16-0006 Higher Education Reform Consultation Paper\links\ED16-0006 Higher Education Reform Consultation Paper_Cover BG.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772400" cy="466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0377F2" w:rsidRPr="00A84335">
        <w:rPr>
          <w:rFonts w:asciiTheme="minorHAnsi" w:hAnsiTheme="minorHAnsi" w:cstheme="minorBidi"/>
          <w:i/>
          <w:sz w:val="22"/>
          <w:szCs w:val="22"/>
        </w:rPr>
        <w:t>Joint higher education sector and Australian Government implementation plan</w:t>
      </w:r>
      <w:r w:rsidRPr="000462F1">
        <w:t>.</w:t>
      </w:r>
      <w:r>
        <w:br w:type="page"/>
      </w:r>
    </w:p>
    <w:sdt>
      <w:sdtPr>
        <w:rPr>
          <w:rFonts w:asciiTheme="minorHAnsi" w:eastAsiaTheme="minorEastAsia" w:hAnsiTheme="minorHAnsi" w:cstheme="minorBidi"/>
          <w:b w:val="0"/>
          <w:bCs w:val="0"/>
          <w:color w:val="auto"/>
          <w:sz w:val="22"/>
          <w:szCs w:val="22"/>
        </w:rPr>
        <w:id w:val="-1485468184"/>
        <w:docPartObj>
          <w:docPartGallery w:val="Table of Contents"/>
          <w:docPartUnique/>
        </w:docPartObj>
      </w:sdtPr>
      <w:sdtEndPr>
        <w:rPr>
          <w:noProof/>
        </w:rPr>
      </w:sdtEndPr>
      <w:sdtContent>
        <w:p w:rsidR="001366B1" w:rsidRDefault="001366B1" w:rsidP="00F548C2">
          <w:pPr>
            <w:pStyle w:val="HERHeading1"/>
          </w:pPr>
          <w:r>
            <w:t>Contents</w:t>
          </w:r>
        </w:p>
        <w:p w:rsidR="005C09A6" w:rsidRDefault="001366B1">
          <w:pPr>
            <w:pStyle w:val="TOC1"/>
            <w:tabs>
              <w:tab w:val="right" w:leader="dot" w:pos="9350"/>
            </w:tabs>
            <w:rPr>
              <w:noProof/>
              <w:lang w:eastAsia="en-AU"/>
            </w:rPr>
          </w:pPr>
          <w:r>
            <w:fldChar w:fldCharType="begin"/>
          </w:r>
          <w:r>
            <w:instrText xml:space="preserve"> TOC \o "1-3" \h \z \u </w:instrText>
          </w:r>
          <w:r>
            <w:fldChar w:fldCharType="separate"/>
          </w:r>
          <w:hyperlink w:anchor="_Toc484093483" w:history="1">
            <w:r w:rsidR="005C09A6" w:rsidRPr="00AF23B6">
              <w:rPr>
                <w:rStyle w:val="Hyperlink"/>
                <w:noProof/>
              </w:rPr>
              <w:t>Commitment</w:t>
            </w:r>
            <w:r w:rsidR="005C09A6">
              <w:rPr>
                <w:noProof/>
                <w:webHidden/>
              </w:rPr>
              <w:tab/>
            </w:r>
            <w:r w:rsidR="005C09A6">
              <w:rPr>
                <w:noProof/>
                <w:webHidden/>
              </w:rPr>
              <w:fldChar w:fldCharType="begin"/>
            </w:r>
            <w:r w:rsidR="005C09A6">
              <w:rPr>
                <w:noProof/>
                <w:webHidden/>
              </w:rPr>
              <w:instrText xml:space="preserve"> PAGEREF _Toc484093483 \h </w:instrText>
            </w:r>
            <w:r w:rsidR="005C09A6">
              <w:rPr>
                <w:noProof/>
                <w:webHidden/>
              </w:rPr>
            </w:r>
            <w:r w:rsidR="005C09A6">
              <w:rPr>
                <w:noProof/>
                <w:webHidden/>
              </w:rPr>
              <w:fldChar w:fldCharType="separate"/>
            </w:r>
            <w:r w:rsidR="00A60E26">
              <w:rPr>
                <w:noProof/>
                <w:webHidden/>
              </w:rPr>
              <w:t>4</w:t>
            </w:r>
            <w:r w:rsidR="005C09A6">
              <w:rPr>
                <w:noProof/>
                <w:webHidden/>
              </w:rPr>
              <w:fldChar w:fldCharType="end"/>
            </w:r>
          </w:hyperlink>
        </w:p>
        <w:p w:rsidR="005C09A6" w:rsidRDefault="00A20DA9">
          <w:pPr>
            <w:pStyle w:val="TOC1"/>
            <w:tabs>
              <w:tab w:val="right" w:leader="dot" w:pos="9350"/>
            </w:tabs>
            <w:rPr>
              <w:noProof/>
              <w:lang w:eastAsia="en-AU"/>
            </w:rPr>
          </w:pPr>
          <w:hyperlink w:anchor="_Toc484093484" w:history="1">
            <w:r w:rsidR="005C09A6" w:rsidRPr="00AF23B6">
              <w:rPr>
                <w:rStyle w:val="Hyperlink"/>
                <w:noProof/>
              </w:rPr>
              <w:t>Introduction</w:t>
            </w:r>
            <w:r w:rsidR="005C09A6">
              <w:rPr>
                <w:noProof/>
                <w:webHidden/>
              </w:rPr>
              <w:tab/>
            </w:r>
            <w:r w:rsidR="005C09A6">
              <w:rPr>
                <w:noProof/>
                <w:webHidden/>
              </w:rPr>
              <w:fldChar w:fldCharType="begin"/>
            </w:r>
            <w:r w:rsidR="005C09A6">
              <w:rPr>
                <w:noProof/>
                <w:webHidden/>
              </w:rPr>
              <w:instrText xml:space="preserve"> PAGEREF _Toc484093484 \h </w:instrText>
            </w:r>
            <w:r w:rsidR="005C09A6">
              <w:rPr>
                <w:noProof/>
                <w:webHidden/>
              </w:rPr>
            </w:r>
            <w:r w:rsidR="005C09A6">
              <w:rPr>
                <w:noProof/>
                <w:webHidden/>
              </w:rPr>
              <w:fldChar w:fldCharType="separate"/>
            </w:r>
            <w:r w:rsidR="00A60E26">
              <w:rPr>
                <w:noProof/>
                <w:webHidden/>
              </w:rPr>
              <w:t>5</w:t>
            </w:r>
            <w:r w:rsidR="005C09A6">
              <w:rPr>
                <w:noProof/>
                <w:webHidden/>
              </w:rPr>
              <w:fldChar w:fldCharType="end"/>
            </w:r>
          </w:hyperlink>
        </w:p>
        <w:p w:rsidR="005C09A6" w:rsidRDefault="00A20DA9">
          <w:pPr>
            <w:pStyle w:val="TOC1"/>
            <w:tabs>
              <w:tab w:val="right" w:leader="dot" w:pos="9350"/>
            </w:tabs>
            <w:rPr>
              <w:noProof/>
              <w:lang w:eastAsia="en-AU"/>
            </w:rPr>
          </w:pPr>
          <w:hyperlink w:anchor="_Toc484093485" w:history="1">
            <w:r w:rsidR="005C09A6" w:rsidRPr="00AF23B6">
              <w:rPr>
                <w:rStyle w:val="Hyperlink"/>
                <w:noProof/>
              </w:rPr>
              <w:t>Purpose and principles</w:t>
            </w:r>
            <w:r w:rsidR="005C09A6">
              <w:rPr>
                <w:noProof/>
                <w:webHidden/>
              </w:rPr>
              <w:tab/>
            </w:r>
            <w:r w:rsidR="005C09A6">
              <w:rPr>
                <w:noProof/>
                <w:webHidden/>
              </w:rPr>
              <w:fldChar w:fldCharType="begin"/>
            </w:r>
            <w:r w:rsidR="005C09A6">
              <w:rPr>
                <w:noProof/>
                <w:webHidden/>
              </w:rPr>
              <w:instrText xml:space="preserve"> PAGEREF _Toc484093485 \h </w:instrText>
            </w:r>
            <w:r w:rsidR="005C09A6">
              <w:rPr>
                <w:noProof/>
                <w:webHidden/>
              </w:rPr>
            </w:r>
            <w:r w:rsidR="005C09A6">
              <w:rPr>
                <w:noProof/>
                <w:webHidden/>
              </w:rPr>
              <w:fldChar w:fldCharType="separate"/>
            </w:r>
            <w:r w:rsidR="00A60E26">
              <w:rPr>
                <w:noProof/>
                <w:webHidden/>
              </w:rPr>
              <w:t>7</w:t>
            </w:r>
            <w:r w:rsidR="005C09A6">
              <w:rPr>
                <w:noProof/>
                <w:webHidden/>
              </w:rPr>
              <w:fldChar w:fldCharType="end"/>
            </w:r>
          </w:hyperlink>
        </w:p>
        <w:p w:rsidR="005C09A6" w:rsidRDefault="00A20DA9">
          <w:pPr>
            <w:pStyle w:val="TOC1"/>
            <w:tabs>
              <w:tab w:val="right" w:leader="dot" w:pos="9350"/>
            </w:tabs>
            <w:rPr>
              <w:noProof/>
              <w:lang w:eastAsia="en-AU"/>
            </w:rPr>
          </w:pPr>
          <w:hyperlink w:anchor="_Toc484093486" w:history="1">
            <w:r w:rsidR="005C09A6" w:rsidRPr="00AF23B6">
              <w:rPr>
                <w:rStyle w:val="Hyperlink"/>
                <w:noProof/>
              </w:rPr>
              <w:t>Implementation objectives</w:t>
            </w:r>
            <w:r w:rsidR="005C09A6">
              <w:rPr>
                <w:noProof/>
                <w:webHidden/>
              </w:rPr>
              <w:tab/>
            </w:r>
            <w:r w:rsidR="005C09A6">
              <w:rPr>
                <w:noProof/>
                <w:webHidden/>
              </w:rPr>
              <w:fldChar w:fldCharType="begin"/>
            </w:r>
            <w:r w:rsidR="005C09A6">
              <w:rPr>
                <w:noProof/>
                <w:webHidden/>
              </w:rPr>
              <w:instrText xml:space="preserve"> PAGEREF _Toc484093486 \h </w:instrText>
            </w:r>
            <w:r w:rsidR="005C09A6">
              <w:rPr>
                <w:noProof/>
                <w:webHidden/>
              </w:rPr>
            </w:r>
            <w:r w:rsidR="005C09A6">
              <w:rPr>
                <w:noProof/>
                <w:webHidden/>
              </w:rPr>
              <w:fldChar w:fldCharType="separate"/>
            </w:r>
            <w:r w:rsidR="00A60E26">
              <w:rPr>
                <w:noProof/>
                <w:webHidden/>
              </w:rPr>
              <w:t>8</w:t>
            </w:r>
            <w:r w:rsidR="005C09A6">
              <w:rPr>
                <w:noProof/>
                <w:webHidden/>
              </w:rPr>
              <w:fldChar w:fldCharType="end"/>
            </w:r>
          </w:hyperlink>
        </w:p>
        <w:p w:rsidR="005C09A6" w:rsidRDefault="00A20DA9">
          <w:pPr>
            <w:pStyle w:val="TOC2"/>
            <w:tabs>
              <w:tab w:val="right" w:leader="dot" w:pos="9350"/>
            </w:tabs>
            <w:rPr>
              <w:noProof/>
              <w:lang w:eastAsia="en-AU"/>
            </w:rPr>
          </w:pPr>
          <w:hyperlink w:anchor="_Toc484093487" w:history="1">
            <w:r w:rsidR="005C09A6" w:rsidRPr="00AF23B6">
              <w:rPr>
                <w:rStyle w:val="Hyperlink"/>
                <w:noProof/>
              </w:rPr>
              <w:t>Higher Education Sector-led Initiatives</w:t>
            </w:r>
            <w:r w:rsidR="005C09A6">
              <w:rPr>
                <w:noProof/>
                <w:webHidden/>
              </w:rPr>
              <w:tab/>
            </w:r>
            <w:r w:rsidR="005C09A6">
              <w:rPr>
                <w:noProof/>
                <w:webHidden/>
              </w:rPr>
              <w:fldChar w:fldCharType="begin"/>
            </w:r>
            <w:r w:rsidR="005C09A6">
              <w:rPr>
                <w:noProof/>
                <w:webHidden/>
              </w:rPr>
              <w:instrText xml:space="preserve"> PAGEREF _Toc484093487 \h </w:instrText>
            </w:r>
            <w:r w:rsidR="005C09A6">
              <w:rPr>
                <w:noProof/>
                <w:webHidden/>
              </w:rPr>
            </w:r>
            <w:r w:rsidR="005C09A6">
              <w:rPr>
                <w:noProof/>
                <w:webHidden/>
              </w:rPr>
              <w:fldChar w:fldCharType="separate"/>
            </w:r>
            <w:r w:rsidR="00A60E26">
              <w:rPr>
                <w:noProof/>
                <w:webHidden/>
              </w:rPr>
              <w:t>8</w:t>
            </w:r>
            <w:r w:rsidR="005C09A6">
              <w:rPr>
                <w:noProof/>
                <w:webHidden/>
              </w:rPr>
              <w:fldChar w:fldCharType="end"/>
            </w:r>
          </w:hyperlink>
        </w:p>
        <w:p w:rsidR="005C09A6" w:rsidRDefault="00A20DA9">
          <w:pPr>
            <w:pStyle w:val="TOC3"/>
            <w:tabs>
              <w:tab w:val="left" w:pos="880"/>
              <w:tab w:val="right" w:leader="dot" w:pos="9350"/>
            </w:tabs>
            <w:rPr>
              <w:noProof/>
              <w:lang w:eastAsia="en-AU"/>
            </w:rPr>
          </w:pPr>
          <w:hyperlink w:anchor="_Toc484093488" w:history="1">
            <w:r w:rsidR="005C09A6" w:rsidRPr="00AF23B6">
              <w:rPr>
                <w:rStyle w:val="Hyperlink"/>
                <w:noProof/>
              </w:rPr>
              <w:t>1.</w:t>
            </w:r>
            <w:r w:rsidR="005C09A6">
              <w:rPr>
                <w:noProof/>
                <w:lang w:eastAsia="en-AU"/>
              </w:rPr>
              <w:tab/>
            </w:r>
            <w:r w:rsidR="005C09A6" w:rsidRPr="00AF23B6">
              <w:rPr>
                <w:rStyle w:val="Hyperlink"/>
                <w:noProof/>
              </w:rPr>
              <w:t>Consistent presentation of admissions information</w:t>
            </w:r>
            <w:r w:rsidR="005C09A6">
              <w:rPr>
                <w:noProof/>
                <w:webHidden/>
              </w:rPr>
              <w:tab/>
            </w:r>
            <w:r w:rsidR="005C09A6">
              <w:rPr>
                <w:noProof/>
                <w:webHidden/>
              </w:rPr>
              <w:fldChar w:fldCharType="begin"/>
            </w:r>
            <w:r w:rsidR="005C09A6">
              <w:rPr>
                <w:noProof/>
                <w:webHidden/>
              </w:rPr>
              <w:instrText xml:space="preserve"> PAGEREF _Toc484093488 \h </w:instrText>
            </w:r>
            <w:r w:rsidR="005C09A6">
              <w:rPr>
                <w:noProof/>
                <w:webHidden/>
              </w:rPr>
            </w:r>
            <w:r w:rsidR="005C09A6">
              <w:rPr>
                <w:noProof/>
                <w:webHidden/>
              </w:rPr>
              <w:fldChar w:fldCharType="separate"/>
            </w:r>
            <w:r w:rsidR="00A60E26">
              <w:rPr>
                <w:noProof/>
                <w:webHidden/>
              </w:rPr>
              <w:t>8</w:t>
            </w:r>
            <w:r w:rsidR="005C09A6">
              <w:rPr>
                <w:noProof/>
                <w:webHidden/>
              </w:rPr>
              <w:fldChar w:fldCharType="end"/>
            </w:r>
          </w:hyperlink>
        </w:p>
        <w:p w:rsidR="005C09A6" w:rsidRDefault="00A20DA9">
          <w:pPr>
            <w:pStyle w:val="TOC3"/>
            <w:tabs>
              <w:tab w:val="left" w:pos="880"/>
              <w:tab w:val="right" w:leader="dot" w:pos="9350"/>
            </w:tabs>
            <w:rPr>
              <w:noProof/>
              <w:lang w:eastAsia="en-AU"/>
            </w:rPr>
          </w:pPr>
          <w:hyperlink w:anchor="_Toc484093489" w:history="1">
            <w:r w:rsidR="005C09A6" w:rsidRPr="00AF23B6">
              <w:rPr>
                <w:rStyle w:val="Hyperlink"/>
                <w:noProof/>
              </w:rPr>
              <w:t>2.</w:t>
            </w:r>
            <w:r w:rsidR="005C09A6">
              <w:rPr>
                <w:noProof/>
                <w:lang w:eastAsia="en-AU"/>
              </w:rPr>
              <w:tab/>
            </w:r>
            <w:r w:rsidR="005C09A6" w:rsidRPr="00AF23B6">
              <w:rPr>
                <w:rStyle w:val="Hyperlink"/>
                <w:noProof/>
              </w:rPr>
              <w:t>Adoption of common admissions terminology</w:t>
            </w:r>
            <w:r w:rsidR="005C09A6">
              <w:rPr>
                <w:noProof/>
                <w:webHidden/>
              </w:rPr>
              <w:tab/>
            </w:r>
            <w:r w:rsidR="005C09A6">
              <w:rPr>
                <w:noProof/>
                <w:webHidden/>
              </w:rPr>
              <w:fldChar w:fldCharType="begin"/>
            </w:r>
            <w:r w:rsidR="005C09A6">
              <w:rPr>
                <w:noProof/>
                <w:webHidden/>
              </w:rPr>
              <w:instrText xml:space="preserve"> PAGEREF _Toc484093489 \h </w:instrText>
            </w:r>
            <w:r w:rsidR="005C09A6">
              <w:rPr>
                <w:noProof/>
                <w:webHidden/>
              </w:rPr>
            </w:r>
            <w:r w:rsidR="005C09A6">
              <w:rPr>
                <w:noProof/>
                <w:webHidden/>
              </w:rPr>
              <w:fldChar w:fldCharType="separate"/>
            </w:r>
            <w:r w:rsidR="00A60E26">
              <w:rPr>
                <w:noProof/>
                <w:webHidden/>
              </w:rPr>
              <w:t>11</w:t>
            </w:r>
            <w:r w:rsidR="005C09A6">
              <w:rPr>
                <w:noProof/>
                <w:webHidden/>
              </w:rPr>
              <w:fldChar w:fldCharType="end"/>
            </w:r>
          </w:hyperlink>
        </w:p>
        <w:p w:rsidR="005C09A6" w:rsidRDefault="00A20DA9">
          <w:pPr>
            <w:pStyle w:val="TOC3"/>
            <w:tabs>
              <w:tab w:val="left" w:pos="880"/>
              <w:tab w:val="right" w:leader="dot" w:pos="9350"/>
            </w:tabs>
            <w:rPr>
              <w:noProof/>
              <w:lang w:eastAsia="en-AU"/>
            </w:rPr>
          </w:pPr>
          <w:hyperlink w:anchor="_Toc484093490" w:history="1">
            <w:r w:rsidR="005C09A6" w:rsidRPr="00AF23B6">
              <w:rPr>
                <w:rStyle w:val="Hyperlink"/>
                <w:noProof/>
              </w:rPr>
              <w:t>3.</w:t>
            </w:r>
            <w:r w:rsidR="005C09A6">
              <w:rPr>
                <w:noProof/>
                <w:lang w:eastAsia="en-AU"/>
              </w:rPr>
              <w:tab/>
            </w:r>
            <w:r w:rsidR="005C09A6" w:rsidRPr="00AF23B6">
              <w:rPr>
                <w:rStyle w:val="Hyperlink"/>
                <w:noProof/>
              </w:rPr>
              <w:t>Revised ATAR-related thresholds and definitions</w:t>
            </w:r>
            <w:r w:rsidR="005C09A6">
              <w:rPr>
                <w:noProof/>
                <w:webHidden/>
              </w:rPr>
              <w:tab/>
            </w:r>
            <w:r w:rsidR="005C09A6">
              <w:rPr>
                <w:noProof/>
                <w:webHidden/>
              </w:rPr>
              <w:fldChar w:fldCharType="begin"/>
            </w:r>
            <w:r w:rsidR="005C09A6">
              <w:rPr>
                <w:noProof/>
                <w:webHidden/>
              </w:rPr>
              <w:instrText xml:space="preserve"> PAGEREF _Toc484093490 \h </w:instrText>
            </w:r>
            <w:r w:rsidR="005C09A6">
              <w:rPr>
                <w:noProof/>
                <w:webHidden/>
              </w:rPr>
            </w:r>
            <w:r w:rsidR="005C09A6">
              <w:rPr>
                <w:noProof/>
                <w:webHidden/>
              </w:rPr>
              <w:fldChar w:fldCharType="separate"/>
            </w:r>
            <w:r w:rsidR="00A60E26">
              <w:rPr>
                <w:noProof/>
                <w:webHidden/>
              </w:rPr>
              <w:t>12</w:t>
            </w:r>
            <w:r w:rsidR="005C09A6">
              <w:rPr>
                <w:noProof/>
                <w:webHidden/>
              </w:rPr>
              <w:fldChar w:fldCharType="end"/>
            </w:r>
          </w:hyperlink>
        </w:p>
        <w:p w:rsidR="005C09A6" w:rsidRDefault="00A20DA9">
          <w:pPr>
            <w:pStyle w:val="TOC3"/>
            <w:tabs>
              <w:tab w:val="left" w:pos="880"/>
              <w:tab w:val="right" w:leader="dot" w:pos="9350"/>
            </w:tabs>
            <w:rPr>
              <w:noProof/>
              <w:lang w:eastAsia="en-AU"/>
            </w:rPr>
          </w:pPr>
          <w:hyperlink w:anchor="_Toc484093491" w:history="1">
            <w:r w:rsidR="005C09A6" w:rsidRPr="00AF23B6">
              <w:rPr>
                <w:rStyle w:val="Hyperlink"/>
                <w:noProof/>
              </w:rPr>
              <w:t>4.</w:t>
            </w:r>
            <w:r w:rsidR="005C09A6">
              <w:rPr>
                <w:noProof/>
                <w:lang w:eastAsia="en-AU"/>
              </w:rPr>
              <w:tab/>
            </w:r>
            <w:r w:rsidR="005C09A6" w:rsidRPr="00AF23B6">
              <w:rPr>
                <w:rStyle w:val="Hyperlink"/>
                <w:noProof/>
              </w:rPr>
              <w:t xml:space="preserve">Tertiary admission centres to adopt more consistent approaches </w:t>
            </w:r>
            <w:r w:rsidR="00F50A22">
              <w:rPr>
                <w:rStyle w:val="Hyperlink"/>
                <w:noProof/>
              </w:rPr>
              <w:br/>
              <w:t xml:space="preserve"> </w:t>
            </w:r>
            <w:r w:rsidR="00F50A22">
              <w:rPr>
                <w:rStyle w:val="Hyperlink"/>
                <w:noProof/>
              </w:rPr>
              <w:tab/>
            </w:r>
            <w:r w:rsidR="005C09A6" w:rsidRPr="00AF23B6">
              <w:rPr>
                <w:rStyle w:val="Hyperlink"/>
                <w:noProof/>
              </w:rPr>
              <w:t>and reporting and streamline interstate application processes</w:t>
            </w:r>
            <w:r w:rsidR="005C09A6">
              <w:rPr>
                <w:noProof/>
                <w:webHidden/>
              </w:rPr>
              <w:tab/>
            </w:r>
            <w:r w:rsidR="005C09A6">
              <w:rPr>
                <w:noProof/>
                <w:webHidden/>
              </w:rPr>
              <w:fldChar w:fldCharType="begin"/>
            </w:r>
            <w:r w:rsidR="005C09A6">
              <w:rPr>
                <w:noProof/>
                <w:webHidden/>
              </w:rPr>
              <w:instrText xml:space="preserve"> PAGEREF _Toc484093491 \h </w:instrText>
            </w:r>
            <w:r w:rsidR="005C09A6">
              <w:rPr>
                <w:noProof/>
                <w:webHidden/>
              </w:rPr>
            </w:r>
            <w:r w:rsidR="005C09A6">
              <w:rPr>
                <w:noProof/>
                <w:webHidden/>
              </w:rPr>
              <w:fldChar w:fldCharType="separate"/>
            </w:r>
            <w:r w:rsidR="00A60E26">
              <w:rPr>
                <w:noProof/>
                <w:webHidden/>
              </w:rPr>
              <w:t>13</w:t>
            </w:r>
            <w:r w:rsidR="005C09A6">
              <w:rPr>
                <w:noProof/>
                <w:webHidden/>
              </w:rPr>
              <w:fldChar w:fldCharType="end"/>
            </w:r>
          </w:hyperlink>
        </w:p>
        <w:p w:rsidR="005C09A6" w:rsidRDefault="00A20DA9">
          <w:pPr>
            <w:pStyle w:val="TOC2"/>
            <w:tabs>
              <w:tab w:val="right" w:leader="dot" w:pos="9350"/>
            </w:tabs>
            <w:rPr>
              <w:noProof/>
              <w:lang w:eastAsia="en-AU"/>
            </w:rPr>
          </w:pPr>
          <w:hyperlink w:anchor="_Toc484093492" w:history="1">
            <w:r w:rsidR="005C09A6" w:rsidRPr="00AF23B6">
              <w:rPr>
                <w:rStyle w:val="Hyperlink"/>
                <w:noProof/>
              </w:rPr>
              <w:t>Australian Government-led Initiatives</w:t>
            </w:r>
            <w:r w:rsidR="005C09A6">
              <w:rPr>
                <w:noProof/>
                <w:webHidden/>
              </w:rPr>
              <w:tab/>
            </w:r>
            <w:r w:rsidR="005C09A6">
              <w:rPr>
                <w:noProof/>
                <w:webHidden/>
              </w:rPr>
              <w:fldChar w:fldCharType="begin"/>
            </w:r>
            <w:r w:rsidR="005C09A6">
              <w:rPr>
                <w:noProof/>
                <w:webHidden/>
              </w:rPr>
              <w:instrText xml:space="preserve"> PAGEREF _Toc484093492 \h </w:instrText>
            </w:r>
            <w:r w:rsidR="005C09A6">
              <w:rPr>
                <w:noProof/>
                <w:webHidden/>
              </w:rPr>
            </w:r>
            <w:r w:rsidR="005C09A6">
              <w:rPr>
                <w:noProof/>
                <w:webHidden/>
              </w:rPr>
              <w:fldChar w:fldCharType="separate"/>
            </w:r>
            <w:r w:rsidR="00A60E26">
              <w:rPr>
                <w:noProof/>
                <w:webHidden/>
              </w:rPr>
              <w:t>14</w:t>
            </w:r>
            <w:r w:rsidR="005C09A6">
              <w:rPr>
                <w:noProof/>
                <w:webHidden/>
              </w:rPr>
              <w:fldChar w:fldCharType="end"/>
            </w:r>
          </w:hyperlink>
        </w:p>
        <w:p w:rsidR="005C09A6" w:rsidRDefault="00A20DA9">
          <w:pPr>
            <w:pStyle w:val="TOC3"/>
            <w:tabs>
              <w:tab w:val="left" w:pos="880"/>
              <w:tab w:val="right" w:leader="dot" w:pos="9350"/>
            </w:tabs>
            <w:rPr>
              <w:noProof/>
              <w:lang w:eastAsia="en-AU"/>
            </w:rPr>
          </w:pPr>
          <w:hyperlink w:anchor="_Toc484093493" w:history="1">
            <w:r w:rsidR="005C09A6" w:rsidRPr="00AF23B6">
              <w:rPr>
                <w:rStyle w:val="Hyperlink"/>
                <w:noProof/>
              </w:rPr>
              <w:t>5.</w:t>
            </w:r>
            <w:r w:rsidR="005C09A6">
              <w:rPr>
                <w:noProof/>
                <w:lang w:eastAsia="en-AU"/>
              </w:rPr>
              <w:tab/>
            </w:r>
            <w:r w:rsidR="005C09A6" w:rsidRPr="00AF23B6">
              <w:rPr>
                <w:rStyle w:val="Hyperlink"/>
                <w:noProof/>
              </w:rPr>
              <w:t>TEQSA monitoring and guidance on improved admissions transparency</w:t>
            </w:r>
            <w:r w:rsidR="005C09A6">
              <w:rPr>
                <w:noProof/>
                <w:webHidden/>
              </w:rPr>
              <w:tab/>
            </w:r>
            <w:r w:rsidR="005C09A6">
              <w:rPr>
                <w:noProof/>
                <w:webHidden/>
              </w:rPr>
              <w:fldChar w:fldCharType="begin"/>
            </w:r>
            <w:r w:rsidR="005C09A6">
              <w:rPr>
                <w:noProof/>
                <w:webHidden/>
              </w:rPr>
              <w:instrText xml:space="preserve"> PAGEREF _Toc484093493 \h </w:instrText>
            </w:r>
            <w:r w:rsidR="005C09A6">
              <w:rPr>
                <w:noProof/>
                <w:webHidden/>
              </w:rPr>
            </w:r>
            <w:r w:rsidR="005C09A6">
              <w:rPr>
                <w:noProof/>
                <w:webHidden/>
              </w:rPr>
              <w:fldChar w:fldCharType="separate"/>
            </w:r>
            <w:r w:rsidR="00A60E26">
              <w:rPr>
                <w:noProof/>
                <w:webHidden/>
              </w:rPr>
              <w:t>14</w:t>
            </w:r>
            <w:r w:rsidR="005C09A6">
              <w:rPr>
                <w:noProof/>
                <w:webHidden/>
              </w:rPr>
              <w:fldChar w:fldCharType="end"/>
            </w:r>
          </w:hyperlink>
        </w:p>
        <w:p w:rsidR="005C09A6" w:rsidRDefault="00A20DA9">
          <w:pPr>
            <w:pStyle w:val="TOC3"/>
            <w:tabs>
              <w:tab w:val="left" w:pos="880"/>
              <w:tab w:val="right" w:leader="dot" w:pos="9350"/>
            </w:tabs>
            <w:rPr>
              <w:noProof/>
              <w:lang w:eastAsia="en-AU"/>
            </w:rPr>
          </w:pPr>
          <w:hyperlink w:anchor="_Toc484093494" w:history="1">
            <w:r w:rsidR="005C09A6" w:rsidRPr="00AF23B6">
              <w:rPr>
                <w:rStyle w:val="Hyperlink"/>
                <w:noProof/>
              </w:rPr>
              <w:t>6.</w:t>
            </w:r>
            <w:r w:rsidR="005C09A6">
              <w:rPr>
                <w:noProof/>
                <w:lang w:eastAsia="en-AU"/>
              </w:rPr>
              <w:tab/>
            </w:r>
            <w:r w:rsidR="005C09A6" w:rsidRPr="00AF23B6">
              <w:rPr>
                <w:rStyle w:val="Hyperlink"/>
                <w:noProof/>
              </w:rPr>
              <w:t>A new national admissions information platform</w:t>
            </w:r>
            <w:r w:rsidR="005C09A6">
              <w:rPr>
                <w:noProof/>
                <w:webHidden/>
              </w:rPr>
              <w:tab/>
            </w:r>
            <w:r w:rsidR="005C09A6">
              <w:rPr>
                <w:noProof/>
                <w:webHidden/>
              </w:rPr>
              <w:fldChar w:fldCharType="begin"/>
            </w:r>
            <w:r w:rsidR="005C09A6">
              <w:rPr>
                <w:noProof/>
                <w:webHidden/>
              </w:rPr>
              <w:instrText xml:space="preserve"> PAGEREF _Toc484093494 \h </w:instrText>
            </w:r>
            <w:r w:rsidR="005C09A6">
              <w:rPr>
                <w:noProof/>
                <w:webHidden/>
              </w:rPr>
            </w:r>
            <w:r w:rsidR="005C09A6">
              <w:rPr>
                <w:noProof/>
                <w:webHidden/>
              </w:rPr>
              <w:fldChar w:fldCharType="separate"/>
            </w:r>
            <w:r w:rsidR="00A60E26">
              <w:rPr>
                <w:noProof/>
                <w:webHidden/>
              </w:rPr>
              <w:t>15</w:t>
            </w:r>
            <w:r w:rsidR="005C09A6">
              <w:rPr>
                <w:noProof/>
                <w:webHidden/>
              </w:rPr>
              <w:fldChar w:fldCharType="end"/>
            </w:r>
          </w:hyperlink>
        </w:p>
        <w:p w:rsidR="005C09A6" w:rsidRDefault="00A20DA9">
          <w:pPr>
            <w:pStyle w:val="TOC1"/>
            <w:tabs>
              <w:tab w:val="right" w:leader="dot" w:pos="9350"/>
            </w:tabs>
            <w:rPr>
              <w:noProof/>
              <w:lang w:eastAsia="en-AU"/>
            </w:rPr>
          </w:pPr>
          <w:hyperlink w:anchor="_Toc484093495" w:history="1">
            <w:r w:rsidR="005C09A6" w:rsidRPr="00AF23B6">
              <w:rPr>
                <w:rStyle w:val="Hyperlink"/>
                <w:noProof/>
              </w:rPr>
              <w:t>Implementation overview and timeline</w:t>
            </w:r>
            <w:r w:rsidR="005C09A6">
              <w:rPr>
                <w:noProof/>
                <w:webHidden/>
              </w:rPr>
              <w:tab/>
            </w:r>
            <w:r w:rsidR="005C09A6">
              <w:rPr>
                <w:noProof/>
                <w:webHidden/>
              </w:rPr>
              <w:fldChar w:fldCharType="begin"/>
            </w:r>
            <w:r w:rsidR="005C09A6">
              <w:rPr>
                <w:noProof/>
                <w:webHidden/>
              </w:rPr>
              <w:instrText xml:space="preserve"> PAGEREF _Toc484093495 \h </w:instrText>
            </w:r>
            <w:r w:rsidR="005C09A6">
              <w:rPr>
                <w:noProof/>
                <w:webHidden/>
              </w:rPr>
            </w:r>
            <w:r w:rsidR="005C09A6">
              <w:rPr>
                <w:noProof/>
                <w:webHidden/>
              </w:rPr>
              <w:fldChar w:fldCharType="separate"/>
            </w:r>
            <w:r w:rsidR="00A60E26">
              <w:rPr>
                <w:noProof/>
                <w:webHidden/>
              </w:rPr>
              <w:t>17</w:t>
            </w:r>
            <w:r w:rsidR="005C09A6">
              <w:rPr>
                <w:noProof/>
                <w:webHidden/>
              </w:rPr>
              <w:fldChar w:fldCharType="end"/>
            </w:r>
          </w:hyperlink>
        </w:p>
        <w:p w:rsidR="005C09A6" w:rsidRDefault="00A20DA9">
          <w:pPr>
            <w:pStyle w:val="TOC1"/>
            <w:tabs>
              <w:tab w:val="right" w:leader="dot" w:pos="9350"/>
            </w:tabs>
            <w:rPr>
              <w:noProof/>
              <w:lang w:eastAsia="en-AU"/>
            </w:rPr>
          </w:pPr>
          <w:hyperlink w:anchor="_Toc484093496" w:history="1">
            <w:r w:rsidR="005C09A6" w:rsidRPr="00AF23B6">
              <w:rPr>
                <w:rStyle w:val="Hyperlink"/>
                <w:noProof/>
              </w:rPr>
              <w:t>Provider timetable at a glance: what providers need to do by when</w:t>
            </w:r>
            <w:r w:rsidR="005C09A6">
              <w:rPr>
                <w:noProof/>
                <w:webHidden/>
              </w:rPr>
              <w:tab/>
            </w:r>
            <w:r w:rsidR="005C09A6">
              <w:rPr>
                <w:noProof/>
                <w:webHidden/>
              </w:rPr>
              <w:fldChar w:fldCharType="begin"/>
            </w:r>
            <w:r w:rsidR="005C09A6">
              <w:rPr>
                <w:noProof/>
                <w:webHidden/>
              </w:rPr>
              <w:instrText xml:space="preserve"> PAGEREF _Toc484093496 \h </w:instrText>
            </w:r>
            <w:r w:rsidR="005C09A6">
              <w:rPr>
                <w:noProof/>
                <w:webHidden/>
              </w:rPr>
            </w:r>
            <w:r w:rsidR="005C09A6">
              <w:rPr>
                <w:noProof/>
                <w:webHidden/>
              </w:rPr>
              <w:fldChar w:fldCharType="separate"/>
            </w:r>
            <w:r w:rsidR="00A60E26">
              <w:rPr>
                <w:noProof/>
                <w:webHidden/>
              </w:rPr>
              <w:t>21</w:t>
            </w:r>
            <w:r w:rsidR="005C09A6">
              <w:rPr>
                <w:noProof/>
                <w:webHidden/>
              </w:rPr>
              <w:fldChar w:fldCharType="end"/>
            </w:r>
          </w:hyperlink>
        </w:p>
        <w:p w:rsidR="005C09A6" w:rsidRDefault="00A20DA9">
          <w:pPr>
            <w:pStyle w:val="TOC1"/>
            <w:tabs>
              <w:tab w:val="right" w:leader="dot" w:pos="9350"/>
            </w:tabs>
            <w:rPr>
              <w:noProof/>
              <w:lang w:eastAsia="en-AU"/>
            </w:rPr>
          </w:pPr>
          <w:hyperlink w:anchor="_Toc484093497" w:history="1">
            <w:r w:rsidR="005C09A6" w:rsidRPr="00AF23B6">
              <w:rPr>
                <w:rStyle w:val="Hyperlink"/>
                <w:noProof/>
              </w:rPr>
              <w:t>Appendix A: Admissions Transparency Implementation Working Group Terms of Reference</w:t>
            </w:r>
            <w:r w:rsidR="005C09A6">
              <w:rPr>
                <w:noProof/>
                <w:webHidden/>
              </w:rPr>
              <w:tab/>
            </w:r>
            <w:r w:rsidR="005C09A6">
              <w:rPr>
                <w:noProof/>
                <w:webHidden/>
              </w:rPr>
              <w:fldChar w:fldCharType="begin"/>
            </w:r>
            <w:r w:rsidR="005C09A6">
              <w:rPr>
                <w:noProof/>
                <w:webHidden/>
              </w:rPr>
              <w:instrText xml:space="preserve"> PAGEREF _Toc484093497 \h </w:instrText>
            </w:r>
            <w:r w:rsidR="005C09A6">
              <w:rPr>
                <w:noProof/>
                <w:webHidden/>
              </w:rPr>
            </w:r>
            <w:r w:rsidR="005C09A6">
              <w:rPr>
                <w:noProof/>
                <w:webHidden/>
              </w:rPr>
              <w:fldChar w:fldCharType="separate"/>
            </w:r>
            <w:r w:rsidR="00A60E26">
              <w:rPr>
                <w:noProof/>
                <w:webHidden/>
              </w:rPr>
              <w:t>23</w:t>
            </w:r>
            <w:r w:rsidR="005C09A6">
              <w:rPr>
                <w:noProof/>
                <w:webHidden/>
              </w:rPr>
              <w:fldChar w:fldCharType="end"/>
            </w:r>
          </w:hyperlink>
        </w:p>
        <w:p w:rsidR="005C09A6" w:rsidRDefault="00A20DA9">
          <w:pPr>
            <w:pStyle w:val="TOC1"/>
            <w:tabs>
              <w:tab w:val="right" w:leader="dot" w:pos="9350"/>
            </w:tabs>
            <w:rPr>
              <w:noProof/>
              <w:lang w:eastAsia="en-AU"/>
            </w:rPr>
          </w:pPr>
          <w:hyperlink w:anchor="_Toc484093498" w:history="1">
            <w:r w:rsidR="005C09A6" w:rsidRPr="00AF23B6">
              <w:rPr>
                <w:rStyle w:val="Hyperlink"/>
                <w:noProof/>
              </w:rPr>
              <w:t>Appendix B: Common terminology and data definitions</w:t>
            </w:r>
            <w:r w:rsidR="005C09A6">
              <w:rPr>
                <w:noProof/>
                <w:webHidden/>
              </w:rPr>
              <w:tab/>
            </w:r>
            <w:r w:rsidR="005C09A6">
              <w:rPr>
                <w:noProof/>
                <w:webHidden/>
              </w:rPr>
              <w:fldChar w:fldCharType="begin"/>
            </w:r>
            <w:r w:rsidR="005C09A6">
              <w:rPr>
                <w:noProof/>
                <w:webHidden/>
              </w:rPr>
              <w:instrText xml:space="preserve"> PAGEREF _Toc484093498 \h </w:instrText>
            </w:r>
            <w:r w:rsidR="005C09A6">
              <w:rPr>
                <w:noProof/>
                <w:webHidden/>
              </w:rPr>
            </w:r>
            <w:r w:rsidR="005C09A6">
              <w:rPr>
                <w:noProof/>
                <w:webHidden/>
              </w:rPr>
              <w:fldChar w:fldCharType="separate"/>
            </w:r>
            <w:r w:rsidR="00A60E26">
              <w:rPr>
                <w:noProof/>
                <w:webHidden/>
              </w:rPr>
              <w:t>26</w:t>
            </w:r>
            <w:r w:rsidR="005C09A6">
              <w:rPr>
                <w:noProof/>
                <w:webHidden/>
              </w:rPr>
              <w:fldChar w:fldCharType="end"/>
            </w:r>
          </w:hyperlink>
        </w:p>
        <w:p w:rsidR="005C09A6" w:rsidRDefault="00A20DA9">
          <w:pPr>
            <w:pStyle w:val="TOC1"/>
            <w:tabs>
              <w:tab w:val="right" w:leader="dot" w:pos="9350"/>
            </w:tabs>
            <w:rPr>
              <w:noProof/>
              <w:lang w:eastAsia="en-AU"/>
            </w:rPr>
          </w:pPr>
          <w:hyperlink w:anchor="_Toc484093503" w:history="1">
            <w:r w:rsidR="005C09A6" w:rsidRPr="00AF23B6">
              <w:rPr>
                <w:rStyle w:val="Hyperlink"/>
                <w:noProof/>
              </w:rPr>
              <w:t>Appendix C: Whole-of-institution admission information set</w:t>
            </w:r>
            <w:r w:rsidR="005C09A6">
              <w:rPr>
                <w:noProof/>
                <w:webHidden/>
              </w:rPr>
              <w:tab/>
            </w:r>
            <w:r w:rsidR="005C09A6">
              <w:rPr>
                <w:noProof/>
                <w:webHidden/>
              </w:rPr>
              <w:fldChar w:fldCharType="begin"/>
            </w:r>
            <w:r w:rsidR="005C09A6">
              <w:rPr>
                <w:noProof/>
                <w:webHidden/>
              </w:rPr>
              <w:instrText xml:space="preserve"> PAGEREF _Toc484093503 \h </w:instrText>
            </w:r>
            <w:r w:rsidR="005C09A6">
              <w:rPr>
                <w:noProof/>
                <w:webHidden/>
              </w:rPr>
            </w:r>
            <w:r w:rsidR="005C09A6">
              <w:rPr>
                <w:noProof/>
                <w:webHidden/>
              </w:rPr>
              <w:fldChar w:fldCharType="separate"/>
            </w:r>
            <w:r w:rsidR="00A60E26">
              <w:rPr>
                <w:noProof/>
                <w:webHidden/>
              </w:rPr>
              <w:t>32</w:t>
            </w:r>
            <w:r w:rsidR="005C09A6">
              <w:rPr>
                <w:noProof/>
                <w:webHidden/>
              </w:rPr>
              <w:fldChar w:fldCharType="end"/>
            </w:r>
          </w:hyperlink>
        </w:p>
        <w:p w:rsidR="005C09A6" w:rsidRDefault="00A20DA9" w:rsidP="005C09A6">
          <w:pPr>
            <w:pStyle w:val="TOC1"/>
            <w:tabs>
              <w:tab w:val="right" w:leader="dot" w:pos="9350"/>
            </w:tabs>
            <w:rPr>
              <w:noProof/>
              <w:lang w:eastAsia="en-AU"/>
            </w:rPr>
          </w:pPr>
          <w:hyperlink w:anchor="_Toc484093518" w:history="1">
            <w:r w:rsidR="005C09A6" w:rsidRPr="00AF23B6">
              <w:rPr>
                <w:rStyle w:val="Hyperlink"/>
                <w:noProof/>
              </w:rPr>
              <w:t>Appendix D: Program/course admission information set</w:t>
            </w:r>
            <w:r w:rsidR="005C09A6">
              <w:rPr>
                <w:noProof/>
                <w:webHidden/>
              </w:rPr>
              <w:tab/>
            </w:r>
            <w:r w:rsidR="005C09A6">
              <w:rPr>
                <w:noProof/>
                <w:webHidden/>
              </w:rPr>
              <w:fldChar w:fldCharType="begin"/>
            </w:r>
            <w:r w:rsidR="005C09A6">
              <w:rPr>
                <w:noProof/>
                <w:webHidden/>
              </w:rPr>
              <w:instrText xml:space="preserve"> PAGEREF _Toc484093518 \h </w:instrText>
            </w:r>
            <w:r w:rsidR="005C09A6">
              <w:rPr>
                <w:noProof/>
                <w:webHidden/>
              </w:rPr>
            </w:r>
            <w:r w:rsidR="005C09A6">
              <w:rPr>
                <w:noProof/>
                <w:webHidden/>
              </w:rPr>
              <w:fldChar w:fldCharType="separate"/>
            </w:r>
            <w:r w:rsidR="00A60E26">
              <w:rPr>
                <w:noProof/>
                <w:webHidden/>
              </w:rPr>
              <w:t>37</w:t>
            </w:r>
            <w:r w:rsidR="005C09A6">
              <w:rPr>
                <w:noProof/>
                <w:webHidden/>
              </w:rPr>
              <w:fldChar w:fldCharType="end"/>
            </w:r>
          </w:hyperlink>
          <w:r w:rsidR="005C09A6">
            <w:rPr>
              <w:noProof/>
              <w:lang w:eastAsia="en-AU"/>
            </w:rPr>
            <w:tab/>
          </w:r>
        </w:p>
        <w:p w:rsidR="00DD0701" w:rsidRDefault="001366B1">
          <w:pPr>
            <w:rPr>
              <w:noProof/>
            </w:rPr>
            <w:sectPr w:rsidR="00DD0701" w:rsidSect="00DD0701">
              <w:headerReference w:type="even" r:id="rId25"/>
              <w:headerReference w:type="default" r:id="rId26"/>
              <w:headerReference w:type="first" r:id="rId27"/>
              <w:footerReference w:type="first" r:id="rId28"/>
              <w:type w:val="continuous"/>
              <w:pgSz w:w="11906" w:h="16838"/>
              <w:pgMar w:top="1372" w:right="1106" w:bottom="1440" w:left="1440" w:header="709" w:footer="510" w:gutter="0"/>
              <w:cols w:space="567"/>
              <w:titlePg/>
              <w:docGrid w:linePitch="360"/>
            </w:sectPr>
          </w:pPr>
          <w:r>
            <w:rPr>
              <w:b/>
              <w:bCs/>
              <w:noProof/>
            </w:rPr>
            <w:fldChar w:fldCharType="end"/>
          </w:r>
        </w:p>
      </w:sdtContent>
    </w:sdt>
    <w:p w:rsidR="00B04C2F" w:rsidRPr="00A85944" w:rsidRDefault="00B04C2F" w:rsidP="00B04C2F">
      <w:pPr>
        <w:pStyle w:val="HERHeading1"/>
        <w:sectPr w:rsidR="00B04C2F" w:rsidRPr="00A85944" w:rsidSect="00B04C2F">
          <w:headerReference w:type="even" r:id="rId29"/>
          <w:headerReference w:type="default" r:id="rId30"/>
          <w:headerReference w:type="first" r:id="rId31"/>
          <w:footerReference w:type="first" r:id="rId32"/>
          <w:type w:val="continuous"/>
          <w:pgSz w:w="11906" w:h="16838" w:code="9"/>
          <w:pgMar w:top="1372" w:right="1106" w:bottom="1440" w:left="1440" w:header="709" w:footer="510" w:gutter="0"/>
          <w:cols w:space="567"/>
          <w:docGrid w:linePitch="360"/>
        </w:sectPr>
      </w:pPr>
    </w:p>
    <w:p w:rsidR="00B04C2F" w:rsidRPr="00A85944" w:rsidRDefault="005C09A6" w:rsidP="00B04C2F">
      <w:pPr>
        <w:pStyle w:val="HERHeading1"/>
        <w:pageBreakBefore/>
      </w:pPr>
      <w:bookmarkStart w:id="0" w:name="_Toc484093483"/>
      <w:bookmarkStart w:id="1" w:name="_Toc479782307"/>
      <w:bookmarkStart w:id="2" w:name="_Toc478552076"/>
      <w:bookmarkStart w:id="3" w:name="_Toc480754868"/>
      <w:bookmarkStart w:id="4" w:name="_Toc482805043"/>
      <w:bookmarkStart w:id="5" w:name="_Toc483350196"/>
      <w:r>
        <w:t>Commitment</w:t>
      </w:r>
      <w:bookmarkEnd w:id="0"/>
      <w:bookmarkEnd w:id="1"/>
      <w:bookmarkEnd w:id="2"/>
      <w:bookmarkEnd w:id="3"/>
      <w:bookmarkEnd w:id="4"/>
      <w:bookmarkEnd w:id="5"/>
    </w:p>
    <w:p w:rsidR="005C09A6" w:rsidRDefault="005C09A6" w:rsidP="005C09A6">
      <w:pPr>
        <w:pStyle w:val="HERNormal"/>
        <w:rPr>
          <w:noProof w:val="0"/>
        </w:rPr>
      </w:pPr>
      <w:r>
        <w:rPr>
          <w:noProof w:val="0"/>
        </w:rPr>
        <w:t xml:space="preserve">The following organisations affirm their commitment to: </w:t>
      </w:r>
    </w:p>
    <w:p w:rsidR="005C09A6" w:rsidRDefault="005C09A6" w:rsidP="005C09A6">
      <w:pPr>
        <w:pStyle w:val="HERListBullet"/>
        <w:numPr>
          <w:ilvl w:val="0"/>
          <w:numId w:val="30"/>
        </w:numPr>
      </w:pPr>
      <w:r>
        <w:t>the principles and objectives outlined in this implementation plan for the higher education sector and Australian Government; and</w:t>
      </w:r>
    </w:p>
    <w:p w:rsidR="005C09A6" w:rsidRDefault="005C09A6" w:rsidP="005C09A6">
      <w:pPr>
        <w:pStyle w:val="HERListBullet"/>
        <w:numPr>
          <w:ilvl w:val="0"/>
          <w:numId w:val="30"/>
        </w:numPr>
      </w:pPr>
      <w:r>
        <w:t xml:space="preserve">working with and supporting institutions </w:t>
      </w:r>
      <w:r w:rsidR="004D1B1A">
        <w:t xml:space="preserve">to </w:t>
      </w:r>
      <w:r>
        <w:t>implement the actions outlined in the plan.</w:t>
      </w:r>
    </w:p>
    <w:p w:rsidR="007E2E20" w:rsidRPr="00A85944" w:rsidRDefault="007E2E20" w:rsidP="00FA13CC">
      <w:pPr>
        <w:pStyle w:val="HERNormal"/>
        <w:tabs>
          <w:tab w:val="right" w:pos="9072"/>
        </w:tabs>
        <w:rPr>
          <w:noProof w:val="0"/>
        </w:rPr>
      </w:pPr>
      <w:r w:rsidRPr="00A85944">
        <w:rPr>
          <w:b/>
          <w:noProof w:val="0"/>
        </w:rPr>
        <w:t>Universities Australia</w:t>
      </w:r>
      <w:r w:rsidRPr="00A85944">
        <w:rPr>
          <w:noProof w:val="0"/>
        </w:rPr>
        <w:t xml:space="preserve"> </w:t>
      </w:r>
      <w:r w:rsidRPr="00A85944">
        <w:rPr>
          <w:noProof w:val="0"/>
        </w:rPr>
        <w:tab/>
      </w:r>
      <w:r w:rsidR="00152CBB">
        <w:rPr>
          <w:lang w:eastAsia="en-AU"/>
        </w:rPr>
        <w:drawing>
          <wp:inline distT="0" distB="0" distL="0" distR="0" wp14:anchorId="3715ACAF" wp14:editId="558E763D">
            <wp:extent cx="2133600" cy="6370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_Logo_Blue.png"/>
                    <pic:cNvPicPr/>
                  </pic:nvPicPr>
                  <pic:blipFill>
                    <a:blip r:embed="rId33">
                      <a:extLst>
                        <a:ext uri="{28A0092B-C50C-407E-A947-70E740481C1C}">
                          <a14:useLocalDpi xmlns:a14="http://schemas.microsoft.com/office/drawing/2010/main" val="0"/>
                        </a:ext>
                      </a:extLst>
                    </a:blip>
                    <a:stretch>
                      <a:fillRect/>
                    </a:stretch>
                  </pic:blipFill>
                  <pic:spPr>
                    <a:xfrm>
                      <a:off x="0" y="0"/>
                      <a:ext cx="2132655" cy="636772"/>
                    </a:xfrm>
                    <a:prstGeom prst="rect">
                      <a:avLst/>
                    </a:prstGeom>
                  </pic:spPr>
                </pic:pic>
              </a:graphicData>
            </a:graphic>
          </wp:inline>
        </w:drawing>
      </w:r>
    </w:p>
    <w:p w:rsidR="007E2E20" w:rsidRPr="00A85944" w:rsidRDefault="007E2E20" w:rsidP="00FA13CC">
      <w:pPr>
        <w:pStyle w:val="HERNormal"/>
        <w:tabs>
          <w:tab w:val="right" w:pos="9072"/>
        </w:tabs>
        <w:spacing w:line="1100" w:lineRule="exact"/>
        <w:rPr>
          <w:noProof w:val="0"/>
        </w:rPr>
      </w:pPr>
      <w:r w:rsidRPr="00A85944">
        <w:rPr>
          <w:b/>
          <w:noProof w:val="0"/>
        </w:rPr>
        <w:t>Australian Council for Private Education and Training</w:t>
      </w:r>
      <w:r w:rsidRPr="00A85944">
        <w:rPr>
          <w:b/>
          <w:noProof w:val="0"/>
        </w:rPr>
        <w:tab/>
      </w:r>
      <w:r w:rsidRPr="00A85944">
        <w:rPr>
          <w:rFonts w:cs="Arial"/>
          <w:color w:val="F68E20"/>
          <w:lang w:eastAsia="en-AU"/>
        </w:rPr>
        <w:drawing>
          <wp:inline distT="0" distB="0" distL="0" distR="0" wp14:anchorId="555AD2A2" wp14:editId="184F6DD7">
            <wp:extent cx="1991158" cy="559219"/>
            <wp:effectExtent l="0" t="0" r="0" b="0"/>
            <wp:docPr id="16" name="Picture 16" descr="ACPE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PET">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91158" cy="559219"/>
                    </a:xfrm>
                    <a:prstGeom prst="rect">
                      <a:avLst/>
                    </a:prstGeom>
                    <a:noFill/>
                    <a:ln>
                      <a:noFill/>
                    </a:ln>
                  </pic:spPr>
                </pic:pic>
              </a:graphicData>
            </a:graphic>
          </wp:inline>
        </w:drawing>
      </w:r>
    </w:p>
    <w:p w:rsidR="007E2E20" w:rsidRPr="00AB1849" w:rsidRDefault="007E2E20" w:rsidP="00FA13CC">
      <w:pPr>
        <w:pStyle w:val="HERNormal"/>
        <w:tabs>
          <w:tab w:val="right" w:pos="9072"/>
        </w:tabs>
        <w:spacing w:line="1100" w:lineRule="exact"/>
        <w:rPr>
          <w:b/>
          <w:noProof w:val="0"/>
        </w:rPr>
      </w:pPr>
      <w:r w:rsidRPr="00A85944">
        <w:rPr>
          <w:b/>
          <w:noProof w:val="0"/>
        </w:rPr>
        <w:t>Council Of Private Higher Education</w:t>
      </w:r>
      <w:r w:rsidRPr="00AB1849">
        <w:rPr>
          <w:b/>
          <w:noProof w:val="0"/>
        </w:rPr>
        <w:t xml:space="preserve"> </w:t>
      </w:r>
      <w:r w:rsidRPr="00AB1849">
        <w:rPr>
          <w:b/>
          <w:noProof w:val="0"/>
        </w:rPr>
        <w:tab/>
      </w:r>
      <w:r w:rsidRPr="00AB1849">
        <w:rPr>
          <w:b/>
          <w:lang w:eastAsia="en-AU"/>
        </w:rPr>
        <w:drawing>
          <wp:inline distT="0" distB="0" distL="0" distR="0" wp14:anchorId="3A35948B" wp14:editId="34905E41">
            <wp:extent cx="2051104" cy="666750"/>
            <wp:effectExtent l="0" t="0" r="6350" b="0"/>
            <wp:docPr id="17" name="Picture 17" descr="http://cophe.edu.au/logo.png">
              <a:hlinkClick xmlns:a="http://schemas.openxmlformats.org/drawingml/2006/main" r:id="rId36"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phe.edu.au/logo.png">
                      <a:hlinkClick r:id="rId36" tooltip="&quot;Home&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51104" cy="666750"/>
                    </a:xfrm>
                    <a:prstGeom prst="rect">
                      <a:avLst/>
                    </a:prstGeom>
                    <a:noFill/>
                    <a:ln>
                      <a:noFill/>
                    </a:ln>
                  </pic:spPr>
                </pic:pic>
              </a:graphicData>
            </a:graphic>
          </wp:inline>
        </w:drawing>
      </w:r>
    </w:p>
    <w:p w:rsidR="007E2E20" w:rsidRPr="00AB1849" w:rsidRDefault="007E2E20" w:rsidP="00FA13CC">
      <w:pPr>
        <w:pStyle w:val="HERNormal"/>
        <w:tabs>
          <w:tab w:val="right" w:pos="9072"/>
        </w:tabs>
        <w:spacing w:line="1100" w:lineRule="exact"/>
        <w:rPr>
          <w:b/>
          <w:noProof w:val="0"/>
        </w:rPr>
      </w:pPr>
      <w:r w:rsidRPr="00A85944">
        <w:rPr>
          <w:b/>
          <w:noProof w:val="0"/>
        </w:rPr>
        <w:t>TAFE Directors Australia</w:t>
      </w:r>
      <w:r w:rsidRPr="00AB1849">
        <w:rPr>
          <w:b/>
          <w:noProof w:val="0"/>
        </w:rPr>
        <w:t xml:space="preserve"> </w:t>
      </w:r>
      <w:r w:rsidR="00FA13CC">
        <w:rPr>
          <w:b/>
          <w:noProof w:val="0"/>
        </w:rPr>
        <w:tab/>
      </w:r>
      <w:r w:rsidRPr="00AB1849">
        <w:rPr>
          <w:b/>
          <w:lang w:eastAsia="en-AU"/>
        </w:rPr>
        <w:drawing>
          <wp:inline distT="0" distB="0" distL="0" distR="0" wp14:anchorId="217CC193" wp14:editId="4A1AF5B3">
            <wp:extent cx="2057400" cy="538317"/>
            <wp:effectExtent l="0" t="0" r="0" b="0"/>
            <wp:docPr id="22" name="Picture 22" descr="http://www.tda.edu.au/images/logo.png">
              <a:hlinkClick xmlns:a="http://schemas.openxmlformats.org/drawingml/2006/main" r:id="rId38" tooltip="&quot;TAFE Directors Austral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da.edu.au/images/logo.png">
                      <a:hlinkClick r:id="rId38" tooltip="&quot;TAFE Directors Australia&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57400" cy="538317"/>
                    </a:xfrm>
                    <a:prstGeom prst="rect">
                      <a:avLst/>
                    </a:prstGeom>
                    <a:noFill/>
                    <a:ln>
                      <a:noFill/>
                    </a:ln>
                  </pic:spPr>
                </pic:pic>
              </a:graphicData>
            </a:graphic>
          </wp:inline>
        </w:drawing>
      </w:r>
    </w:p>
    <w:p w:rsidR="00BA740C" w:rsidRPr="00AB1849" w:rsidRDefault="007E2E20" w:rsidP="00FA13CC">
      <w:pPr>
        <w:pStyle w:val="HERNormal"/>
        <w:tabs>
          <w:tab w:val="right" w:pos="9072"/>
        </w:tabs>
        <w:spacing w:line="1100" w:lineRule="exact"/>
        <w:rPr>
          <w:b/>
          <w:noProof w:val="0"/>
        </w:rPr>
      </w:pPr>
      <w:r w:rsidRPr="00AB1849">
        <w:rPr>
          <w:b/>
          <w:noProof w:val="0"/>
        </w:rPr>
        <w:t xml:space="preserve">Australasian Conference of Tertiary Admission Centres </w:t>
      </w:r>
      <w:r w:rsidRPr="00AB1849">
        <w:rPr>
          <w:b/>
          <w:noProof w:val="0"/>
        </w:rPr>
        <w:tab/>
      </w:r>
      <w:r w:rsidR="001E5D42">
        <w:rPr>
          <w:lang w:eastAsia="en-AU"/>
        </w:rPr>
        <w:drawing>
          <wp:inline distT="0" distB="0" distL="0" distR="0" wp14:anchorId="5B880735" wp14:editId="0C896D2B">
            <wp:extent cx="2247900" cy="392746"/>
            <wp:effectExtent l="0" t="0" r="0" b="7620"/>
            <wp:docPr id="14" name="Picture 14" descr="C:\Users\Qaz\AppData\Local\Microsoft\Windows\INetCache\Content.Word\ACTA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az\AppData\Local\Microsoft\Windows\INetCache\Content.Word\ACTAC-logo.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97300" cy="401377"/>
                    </a:xfrm>
                    <a:prstGeom prst="rect">
                      <a:avLst/>
                    </a:prstGeom>
                    <a:noFill/>
                    <a:ln>
                      <a:noFill/>
                    </a:ln>
                  </pic:spPr>
                </pic:pic>
              </a:graphicData>
            </a:graphic>
          </wp:inline>
        </w:drawing>
      </w:r>
    </w:p>
    <w:p w:rsidR="007E2E20" w:rsidRPr="00A85944" w:rsidRDefault="007E2E20" w:rsidP="00327673">
      <w:pPr>
        <w:pStyle w:val="HERNormal"/>
        <w:tabs>
          <w:tab w:val="right" w:pos="9072"/>
        </w:tabs>
        <w:spacing w:before="100" w:beforeAutospacing="1" w:line="240" w:lineRule="auto"/>
        <w:rPr>
          <w:noProof w:val="0"/>
        </w:rPr>
      </w:pPr>
      <w:r w:rsidRPr="00A85944">
        <w:rPr>
          <w:rFonts w:cstheme="minorHAnsi"/>
          <w:b/>
          <w:noProof w:val="0"/>
        </w:rPr>
        <w:t>Austral</w:t>
      </w:r>
      <w:r w:rsidR="001910BA">
        <w:rPr>
          <w:rFonts w:cstheme="minorHAnsi"/>
          <w:b/>
          <w:noProof w:val="0"/>
        </w:rPr>
        <w:t>as</w:t>
      </w:r>
      <w:r w:rsidRPr="00A85944">
        <w:rPr>
          <w:rFonts w:cstheme="minorHAnsi"/>
          <w:b/>
          <w:noProof w:val="0"/>
        </w:rPr>
        <w:t xml:space="preserve">ian Curriculum, Assessment and Certification Authorities </w:t>
      </w:r>
      <w:r w:rsidR="00FA13CC">
        <w:rPr>
          <w:rFonts w:cstheme="minorHAnsi"/>
          <w:b/>
          <w:noProof w:val="0"/>
        </w:rPr>
        <w:tab/>
      </w:r>
      <w:r w:rsidR="00037C50">
        <w:rPr>
          <w:lang w:eastAsia="en-AU"/>
        </w:rPr>
        <w:drawing>
          <wp:inline distT="0" distB="0" distL="0" distR="0" wp14:anchorId="5C72EBB2" wp14:editId="3FC8E940">
            <wp:extent cx="990600" cy="933719"/>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CA.png"/>
                    <pic:cNvPicPr/>
                  </pic:nvPicPr>
                  <pic:blipFill rotWithShape="1">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r="36345"/>
                    <a:stretch/>
                  </pic:blipFill>
                  <pic:spPr bwMode="auto">
                    <a:xfrm>
                      <a:off x="0" y="0"/>
                      <a:ext cx="990600" cy="933719"/>
                    </a:xfrm>
                    <a:prstGeom prst="rect">
                      <a:avLst/>
                    </a:prstGeom>
                    <a:ln>
                      <a:noFill/>
                    </a:ln>
                    <a:extLst>
                      <a:ext uri="{53640926-AAD7-44D8-BBD7-CCE9431645EC}">
                        <a14:shadowObscured xmlns:a14="http://schemas.microsoft.com/office/drawing/2010/main"/>
                      </a:ext>
                    </a:extLst>
                  </pic:spPr>
                </pic:pic>
              </a:graphicData>
            </a:graphic>
          </wp:inline>
        </w:drawing>
      </w:r>
      <w:r w:rsidR="00B4246A">
        <w:rPr>
          <w:rFonts w:cstheme="minorHAnsi"/>
          <w:b/>
          <w:noProof w:val="0"/>
        </w:rPr>
        <w:br/>
      </w:r>
    </w:p>
    <w:p w:rsidR="007E2E20" w:rsidRPr="00AB1849" w:rsidRDefault="007E2E20" w:rsidP="00FA13CC">
      <w:pPr>
        <w:pStyle w:val="HERNormal"/>
        <w:tabs>
          <w:tab w:val="right" w:pos="9072"/>
        </w:tabs>
        <w:spacing w:line="1100" w:lineRule="exact"/>
        <w:rPr>
          <w:b/>
          <w:noProof w:val="0"/>
        </w:rPr>
      </w:pPr>
      <w:r w:rsidRPr="00A85944">
        <w:rPr>
          <w:b/>
          <w:noProof w:val="0"/>
        </w:rPr>
        <w:t>Tertiary Education Quality and Standards Agency</w:t>
      </w:r>
      <w:r w:rsidRPr="00AB1849">
        <w:rPr>
          <w:b/>
          <w:noProof w:val="0"/>
        </w:rPr>
        <w:t xml:space="preserve"> </w:t>
      </w:r>
      <w:r w:rsidRPr="00AB1849">
        <w:rPr>
          <w:b/>
          <w:noProof w:val="0"/>
        </w:rPr>
        <w:tab/>
      </w:r>
      <w:r w:rsidRPr="00AB1849">
        <w:rPr>
          <w:b/>
          <w:lang w:eastAsia="en-AU"/>
        </w:rPr>
        <w:drawing>
          <wp:inline distT="0" distB="0" distL="0" distR="0" wp14:anchorId="016C9100" wp14:editId="3D035709">
            <wp:extent cx="2739600" cy="442800"/>
            <wp:effectExtent l="0" t="0" r="3810" b="0"/>
            <wp:docPr id="26" name="Picture 26" descr="Tertiary Education Quality Standards Agency">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rtiary Education Quality Standards Agency">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39600" cy="442800"/>
                    </a:xfrm>
                    <a:prstGeom prst="rect">
                      <a:avLst/>
                    </a:prstGeom>
                    <a:noFill/>
                    <a:ln>
                      <a:noFill/>
                    </a:ln>
                  </pic:spPr>
                </pic:pic>
              </a:graphicData>
            </a:graphic>
          </wp:inline>
        </w:drawing>
      </w:r>
    </w:p>
    <w:p w:rsidR="007E2E20" w:rsidRPr="00AB1849" w:rsidRDefault="007E2E20" w:rsidP="00FA13CC">
      <w:pPr>
        <w:pStyle w:val="HERNormal"/>
        <w:tabs>
          <w:tab w:val="right" w:pos="9072"/>
        </w:tabs>
        <w:spacing w:line="1100" w:lineRule="exact"/>
        <w:rPr>
          <w:b/>
          <w:noProof w:val="0"/>
        </w:rPr>
      </w:pPr>
      <w:r w:rsidRPr="00A85944">
        <w:rPr>
          <w:b/>
          <w:noProof w:val="0"/>
        </w:rPr>
        <w:t>Department of Education and Training</w:t>
      </w:r>
      <w:r w:rsidRPr="00AB1849">
        <w:rPr>
          <w:b/>
          <w:noProof w:val="0"/>
        </w:rPr>
        <w:t xml:space="preserve"> </w:t>
      </w:r>
      <w:r w:rsidR="00FA13CC">
        <w:rPr>
          <w:b/>
          <w:noProof w:val="0"/>
        </w:rPr>
        <w:tab/>
      </w:r>
      <w:r w:rsidRPr="00AB1849">
        <w:rPr>
          <w:b/>
          <w:lang w:eastAsia="en-AU"/>
        </w:rPr>
        <w:drawing>
          <wp:inline distT="0" distB="0" distL="0" distR="0" wp14:anchorId="442ECA4A" wp14:editId="52134BE7">
            <wp:extent cx="2228400" cy="432000"/>
            <wp:effectExtent l="0" t="0" r="635" b="6350"/>
            <wp:docPr id="27" name="Picture 27" descr="Australian Government Department of Education an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Education and Training_Inlin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28400" cy="432000"/>
                    </a:xfrm>
                    <a:prstGeom prst="rect">
                      <a:avLst/>
                    </a:prstGeom>
                  </pic:spPr>
                </pic:pic>
              </a:graphicData>
            </a:graphic>
          </wp:inline>
        </w:drawing>
      </w:r>
    </w:p>
    <w:p w:rsidR="00B04C2F" w:rsidRDefault="00B04C2F" w:rsidP="00B04C2F">
      <w:pPr>
        <w:pStyle w:val="HERHeading1"/>
        <w:pageBreakBefore/>
      </w:pPr>
      <w:bookmarkStart w:id="6" w:name="_Toc479782308"/>
      <w:bookmarkStart w:id="7" w:name="_Toc478552077"/>
      <w:bookmarkStart w:id="8" w:name="_Toc480754869"/>
      <w:bookmarkStart w:id="9" w:name="_Toc482805044"/>
      <w:bookmarkStart w:id="10" w:name="_Toc483350197"/>
      <w:bookmarkStart w:id="11" w:name="_Toc484093484"/>
      <w:r w:rsidRPr="00A85944">
        <w:t>Introduction</w:t>
      </w:r>
      <w:bookmarkEnd w:id="6"/>
      <w:bookmarkEnd w:id="7"/>
      <w:bookmarkEnd w:id="8"/>
      <w:bookmarkEnd w:id="9"/>
      <w:bookmarkEnd w:id="10"/>
      <w:bookmarkEnd w:id="11"/>
    </w:p>
    <w:p w:rsidR="00B04C2F" w:rsidRPr="00A85944" w:rsidRDefault="0055793A" w:rsidP="001B1D58">
      <w:pPr>
        <w:pStyle w:val="HERNormal"/>
        <w:rPr>
          <w:noProof w:val="0"/>
        </w:rPr>
      </w:pPr>
      <w:r>
        <w:rPr>
          <w:noProof w:val="0"/>
        </w:rPr>
        <w:t>I</w:t>
      </w:r>
      <w:r w:rsidR="00034578">
        <w:rPr>
          <w:noProof w:val="0"/>
        </w:rPr>
        <w:t>n October 2016</w:t>
      </w:r>
      <w:r>
        <w:rPr>
          <w:noProof w:val="0"/>
        </w:rPr>
        <w:t xml:space="preserve">, following extensive consultation with higher education and secondary education stakeholders, </w:t>
      </w:r>
      <w:r w:rsidRPr="00A85944">
        <w:rPr>
          <w:noProof w:val="0"/>
        </w:rPr>
        <w:t xml:space="preserve">the Higher Education Standards Panel (HESP) </w:t>
      </w:r>
      <w:r>
        <w:rPr>
          <w:noProof w:val="0"/>
        </w:rPr>
        <w:t>release</w:t>
      </w:r>
      <w:r w:rsidR="00896D71">
        <w:rPr>
          <w:noProof w:val="0"/>
        </w:rPr>
        <w:t>d</w:t>
      </w:r>
      <w:r>
        <w:rPr>
          <w:noProof w:val="0"/>
        </w:rPr>
        <w:t xml:space="preserve"> its </w:t>
      </w:r>
      <w:r w:rsidR="00034578">
        <w:rPr>
          <w:noProof w:val="0"/>
        </w:rPr>
        <w:t xml:space="preserve">report </w:t>
      </w:r>
      <w:r w:rsidR="00B04C2F" w:rsidRPr="00A85944">
        <w:rPr>
          <w:i/>
          <w:noProof w:val="0"/>
        </w:rPr>
        <w:t xml:space="preserve">Improving the Transparency of Higher Education </w:t>
      </w:r>
      <w:r w:rsidR="00B04C2F" w:rsidRPr="00F101FB">
        <w:rPr>
          <w:i/>
          <w:noProof w:val="0"/>
        </w:rPr>
        <w:t>Admissions</w:t>
      </w:r>
      <w:r w:rsidR="00B04C2F" w:rsidRPr="00A85944">
        <w:rPr>
          <w:noProof w:val="0"/>
        </w:rPr>
        <w:t>.</w:t>
      </w:r>
      <w:r>
        <w:rPr>
          <w:noProof w:val="0"/>
        </w:rPr>
        <w:t xml:space="preserve"> T</w:t>
      </w:r>
      <w:r w:rsidR="00B04C2F" w:rsidRPr="00A85944">
        <w:rPr>
          <w:noProof w:val="0"/>
        </w:rPr>
        <w:t>he HESP made 14 recommendations intended to:</w:t>
      </w:r>
    </w:p>
    <w:p w:rsidR="00B04C2F" w:rsidRPr="00A85944" w:rsidRDefault="00B04C2F" w:rsidP="00AE0665">
      <w:pPr>
        <w:pStyle w:val="HERListBullet"/>
        <w:numPr>
          <w:ilvl w:val="0"/>
          <w:numId w:val="30"/>
        </w:numPr>
      </w:pPr>
      <w:r w:rsidRPr="00A85944">
        <w:t>achieve greater transparency through the use of common language about admissions processes and the publication of consistent information</w:t>
      </w:r>
    </w:p>
    <w:p w:rsidR="00B04C2F" w:rsidRPr="00A85944" w:rsidRDefault="00B04C2F" w:rsidP="00AE0665">
      <w:pPr>
        <w:pStyle w:val="HERListBullet"/>
        <w:numPr>
          <w:ilvl w:val="0"/>
          <w:numId w:val="30"/>
        </w:numPr>
      </w:pPr>
      <w:r w:rsidRPr="00A85944">
        <w:t>widen the accessibility of information to prospective students</w:t>
      </w:r>
    </w:p>
    <w:p w:rsidR="00B04C2F" w:rsidRPr="00A85944" w:rsidRDefault="00B04C2F" w:rsidP="00AE0665">
      <w:pPr>
        <w:pStyle w:val="HERListBullet"/>
        <w:numPr>
          <w:ilvl w:val="0"/>
          <w:numId w:val="30"/>
        </w:numPr>
      </w:pPr>
      <w:r w:rsidRPr="00A85944">
        <w:t xml:space="preserve">improve the comparability of information available from providers about their admissions processes and entry </w:t>
      </w:r>
      <w:r w:rsidR="00AB3E40">
        <w:t>criteria</w:t>
      </w:r>
    </w:p>
    <w:p w:rsidR="00B04C2F" w:rsidRPr="00A85944" w:rsidRDefault="00B04C2F" w:rsidP="00AE0665">
      <w:pPr>
        <w:pStyle w:val="HERListBullet"/>
        <w:numPr>
          <w:ilvl w:val="0"/>
          <w:numId w:val="30"/>
        </w:numPr>
      </w:pPr>
      <w:r w:rsidRPr="00A85944">
        <w:t>enhance the accountability of higher education providers for the information they publish about their admissions policies</w:t>
      </w:r>
    </w:p>
    <w:p w:rsidR="00B04C2F" w:rsidRPr="00A85944" w:rsidRDefault="00B04C2F" w:rsidP="00AE0665">
      <w:pPr>
        <w:pStyle w:val="HERListBullet"/>
        <w:numPr>
          <w:ilvl w:val="0"/>
          <w:numId w:val="30"/>
        </w:numPr>
      </w:pPr>
      <w:r w:rsidRPr="00A85944">
        <w:t>ensure all higher education providers are subject to the same reporting requirements</w:t>
      </w:r>
    </w:p>
    <w:p w:rsidR="00B04C2F" w:rsidRPr="00A85944" w:rsidRDefault="00B04C2F" w:rsidP="00AE0665">
      <w:pPr>
        <w:pStyle w:val="HERListBullet"/>
        <w:numPr>
          <w:ilvl w:val="0"/>
          <w:numId w:val="30"/>
        </w:numPr>
      </w:pPr>
      <w:r w:rsidRPr="00A85944">
        <w:t xml:space="preserve">give students, parents, teachers and career advisors the knowledge and capacity to more easily navigate higher education admissions policies and processes. </w:t>
      </w:r>
    </w:p>
    <w:p w:rsidR="00B04C2F" w:rsidRPr="00A85944" w:rsidRDefault="00B04C2F" w:rsidP="00B04C2F">
      <w:pPr>
        <w:pStyle w:val="HERNormal"/>
        <w:rPr>
          <w:noProof w:val="0"/>
        </w:rPr>
      </w:pPr>
      <w:r w:rsidRPr="00A85944">
        <w:rPr>
          <w:noProof w:val="0"/>
        </w:rPr>
        <w:t xml:space="preserve">The recommendations include changes to the way </w:t>
      </w:r>
      <w:r w:rsidR="00C26831">
        <w:rPr>
          <w:noProof w:val="0"/>
        </w:rPr>
        <w:t>the Australian Tertiary Admission Rank (</w:t>
      </w:r>
      <w:r w:rsidRPr="00A85944">
        <w:rPr>
          <w:noProof w:val="0"/>
        </w:rPr>
        <w:t>ATAR</w:t>
      </w:r>
      <w:r w:rsidR="00C26831">
        <w:rPr>
          <w:noProof w:val="0"/>
        </w:rPr>
        <w:t>)</w:t>
      </w:r>
      <w:r w:rsidRPr="00A85944">
        <w:rPr>
          <w:noProof w:val="0"/>
        </w:rPr>
        <w:t xml:space="preserve"> and other academic requirements are presented</w:t>
      </w:r>
      <w:r w:rsidR="000377F2">
        <w:rPr>
          <w:noProof w:val="0"/>
        </w:rPr>
        <w:t>; as well as the need for</w:t>
      </w:r>
      <w:r w:rsidRPr="00A85944">
        <w:rPr>
          <w:noProof w:val="0"/>
        </w:rPr>
        <w:t xml:space="preserve"> clearer, easier to understand information about the wide range of different application and assessment pathways into higher education for school leavers, mature age students and others </w:t>
      </w:r>
      <w:r w:rsidR="000377F2">
        <w:rPr>
          <w:noProof w:val="0"/>
        </w:rPr>
        <w:t>seeking entry</w:t>
      </w:r>
      <w:r w:rsidRPr="00A85944">
        <w:rPr>
          <w:noProof w:val="0"/>
        </w:rPr>
        <w:t>.</w:t>
      </w:r>
    </w:p>
    <w:p w:rsidR="0055793A" w:rsidRDefault="0055793A" w:rsidP="0055793A">
      <w:pPr>
        <w:pStyle w:val="HERNormal"/>
        <w:rPr>
          <w:noProof w:val="0"/>
        </w:rPr>
      </w:pPr>
      <w:r>
        <w:rPr>
          <w:noProof w:val="0"/>
        </w:rPr>
        <w:t>This plan sets out the objectives and timeframe</w:t>
      </w:r>
      <w:r w:rsidR="000377F2">
        <w:rPr>
          <w:noProof w:val="0"/>
        </w:rPr>
        <w:t>s</w:t>
      </w:r>
      <w:r>
        <w:rPr>
          <w:noProof w:val="0"/>
        </w:rPr>
        <w:t xml:space="preserve"> agreed to by key </w:t>
      </w:r>
      <w:r w:rsidRPr="00A85944">
        <w:rPr>
          <w:noProof w:val="0"/>
        </w:rPr>
        <w:t xml:space="preserve">stakeholders </w:t>
      </w:r>
      <w:r>
        <w:rPr>
          <w:noProof w:val="0"/>
        </w:rPr>
        <w:t>in the Australian higher education sector to implement the HESP’s recommendations.</w:t>
      </w:r>
    </w:p>
    <w:p w:rsidR="00B04C2F" w:rsidRPr="00A85944" w:rsidRDefault="00B04C2F" w:rsidP="00B04C2F">
      <w:pPr>
        <w:pStyle w:val="HERNormal"/>
        <w:rPr>
          <w:noProof w:val="0"/>
        </w:rPr>
      </w:pPr>
      <w:r w:rsidRPr="00A85944">
        <w:rPr>
          <w:noProof w:val="0"/>
        </w:rPr>
        <w:t xml:space="preserve">A sector-led working group was established, with support from the Department of Education and Training, to develop a practical response to the HESP’s report – a joint higher education sector and Australian Government plan to implement the </w:t>
      </w:r>
      <w:r w:rsidR="00C2338E">
        <w:rPr>
          <w:noProof w:val="0"/>
        </w:rPr>
        <w:t>HESP</w:t>
      </w:r>
      <w:r w:rsidRPr="00A85944">
        <w:rPr>
          <w:noProof w:val="0"/>
        </w:rPr>
        <w:t>’s recommendations</w:t>
      </w:r>
      <w:r w:rsidR="008E2997">
        <w:rPr>
          <w:noProof w:val="0"/>
        </w:rPr>
        <w:t xml:space="preserve"> (terms of reference at Appendix A)</w:t>
      </w:r>
      <w:r w:rsidRPr="00A85944">
        <w:rPr>
          <w:noProof w:val="0"/>
        </w:rPr>
        <w:t>. The working group consulted with relevant stakeholders to ensure their engagement with and commitment to the terms of the implementation plan.</w:t>
      </w:r>
    </w:p>
    <w:p w:rsidR="00B04C2F" w:rsidRPr="00A85944" w:rsidRDefault="00B04C2F" w:rsidP="00B04C2F">
      <w:pPr>
        <w:pStyle w:val="HERNormal"/>
        <w:spacing w:after="120"/>
        <w:rPr>
          <w:noProof w:val="0"/>
        </w:rPr>
      </w:pPr>
      <w:r w:rsidRPr="00A85944">
        <w:rPr>
          <w:noProof w:val="0"/>
        </w:rPr>
        <w:t xml:space="preserve">The </w:t>
      </w:r>
      <w:r w:rsidR="00C26831">
        <w:rPr>
          <w:noProof w:val="0"/>
        </w:rPr>
        <w:t>Implementation W</w:t>
      </w:r>
      <w:r w:rsidRPr="00A85944">
        <w:rPr>
          <w:noProof w:val="0"/>
        </w:rPr>
        <w:t xml:space="preserve">orking </w:t>
      </w:r>
      <w:r w:rsidR="00C26831">
        <w:rPr>
          <w:noProof w:val="0"/>
        </w:rPr>
        <w:t>G</w:t>
      </w:r>
      <w:r w:rsidRPr="00A85944">
        <w:rPr>
          <w:noProof w:val="0"/>
        </w:rPr>
        <w:t xml:space="preserve">roup </w:t>
      </w:r>
      <w:r w:rsidR="00C26831">
        <w:rPr>
          <w:noProof w:val="0"/>
        </w:rPr>
        <w:t xml:space="preserve">(IWG) </w:t>
      </w:r>
      <w:r w:rsidRPr="00A85944">
        <w:rPr>
          <w:noProof w:val="0"/>
        </w:rPr>
        <w:t>comprised:</w:t>
      </w:r>
    </w:p>
    <w:p w:rsidR="00B04C2F" w:rsidRPr="00A85944" w:rsidRDefault="00B04C2F" w:rsidP="00B04C2F">
      <w:pPr>
        <w:pStyle w:val="HERNormal"/>
        <w:ind w:left="426" w:right="-46"/>
        <w:rPr>
          <w:noProof w:val="0"/>
        </w:rPr>
      </w:pPr>
      <w:r w:rsidRPr="00A85944">
        <w:rPr>
          <w:b/>
          <w:bCs/>
          <w:noProof w:val="0"/>
        </w:rPr>
        <w:t>Professor Kerri-Lee Krause</w:t>
      </w:r>
      <w:r w:rsidRPr="00A85944">
        <w:rPr>
          <w:noProof w:val="0"/>
        </w:rPr>
        <w:t>, Deputy Vice-Chancellor and Provost, Victoria University (Chair)</w:t>
      </w:r>
      <w:r w:rsidRPr="00A85944">
        <w:rPr>
          <w:noProof w:val="0"/>
        </w:rPr>
        <w:br/>
      </w:r>
      <w:r w:rsidRPr="00A85944">
        <w:rPr>
          <w:b/>
          <w:bCs/>
          <w:noProof w:val="0"/>
        </w:rPr>
        <w:t>Professor Marnie Hughes-Warrington</w:t>
      </w:r>
      <w:r w:rsidRPr="00A85944">
        <w:rPr>
          <w:noProof w:val="0"/>
        </w:rPr>
        <w:t>, Deputy Vice-Chancellor (Academic), Australian National University</w:t>
      </w:r>
      <w:r w:rsidRPr="00A85944">
        <w:rPr>
          <w:noProof w:val="0"/>
        </w:rPr>
        <w:br/>
      </w:r>
      <w:r w:rsidRPr="00A85944">
        <w:rPr>
          <w:b/>
          <w:bCs/>
          <w:noProof w:val="0"/>
        </w:rPr>
        <w:t>Professor Allan Evans</w:t>
      </w:r>
      <w:r w:rsidRPr="00A85944">
        <w:rPr>
          <w:noProof w:val="0"/>
        </w:rPr>
        <w:t>, Provost and Chief Academic Officer, University of South Australia</w:t>
      </w:r>
      <w:r w:rsidRPr="00A85944">
        <w:rPr>
          <w:noProof w:val="0"/>
        </w:rPr>
        <w:br/>
      </w:r>
      <w:r w:rsidRPr="00A85944">
        <w:rPr>
          <w:b/>
          <w:bCs/>
          <w:noProof w:val="0"/>
        </w:rPr>
        <w:t>Emeritus Professor Sue Willis</w:t>
      </w:r>
      <w:r w:rsidRPr="00A85944">
        <w:rPr>
          <w:noProof w:val="0"/>
        </w:rPr>
        <w:t>, Former Vice-Provost (Education Programs), Monash University</w:t>
      </w:r>
      <w:r w:rsidRPr="00A85944">
        <w:rPr>
          <w:noProof w:val="0"/>
        </w:rPr>
        <w:br/>
      </w:r>
      <w:r w:rsidRPr="00A85944">
        <w:rPr>
          <w:b/>
          <w:bCs/>
          <w:noProof w:val="0"/>
        </w:rPr>
        <w:t>Ms Helen Zimmerman</w:t>
      </w:r>
      <w:r w:rsidRPr="00A85944">
        <w:rPr>
          <w:noProof w:val="0"/>
        </w:rPr>
        <w:t>, Head of Corporate Affairs, Navitas</w:t>
      </w:r>
      <w:r w:rsidRPr="00A85944">
        <w:rPr>
          <w:noProof w:val="0"/>
        </w:rPr>
        <w:br/>
      </w:r>
      <w:r w:rsidRPr="00A85944">
        <w:rPr>
          <w:b/>
          <w:bCs/>
          <w:noProof w:val="0"/>
        </w:rPr>
        <w:t>Ms Sarah Lye</w:t>
      </w:r>
      <w:r w:rsidRPr="00A85944">
        <w:rPr>
          <w:noProof w:val="0"/>
        </w:rPr>
        <w:t>, Student Senator, Australian Catholic University</w:t>
      </w:r>
      <w:r w:rsidRPr="00A85944">
        <w:rPr>
          <w:noProof w:val="0"/>
        </w:rPr>
        <w:br/>
      </w:r>
      <w:r w:rsidRPr="00A85944">
        <w:rPr>
          <w:b/>
          <w:bCs/>
          <w:noProof w:val="0"/>
        </w:rPr>
        <w:t>Ms Belinda Robinson</w:t>
      </w:r>
      <w:r w:rsidRPr="00A85944">
        <w:rPr>
          <w:noProof w:val="0"/>
        </w:rPr>
        <w:t>, Chief Executive, Universities Australia</w:t>
      </w:r>
      <w:r w:rsidRPr="00A85944">
        <w:rPr>
          <w:noProof w:val="0"/>
        </w:rPr>
        <w:br/>
      </w:r>
      <w:r w:rsidRPr="00A85944">
        <w:rPr>
          <w:b/>
          <w:bCs/>
          <w:noProof w:val="0"/>
        </w:rPr>
        <w:t>Mr Conor King</w:t>
      </w:r>
      <w:r w:rsidRPr="00A85944">
        <w:rPr>
          <w:noProof w:val="0"/>
        </w:rPr>
        <w:t>, Executive Director, Innovative Research Universities</w:t>
      </w:r>
      <w:r w:rsidRPr="00A85944">
        <w:rPr>
          <w:noProof w:val="0"/>
        </w:rPr>
        <w:br/>
      </w:r>
      <w:r w:rsidRPr="00A85944">
        <w:rPr>
          <w:b/>
          <w:bCs/>
          <w:noProof w:val="0"/>
        </w:rPr>
        <w:t>Dr David Christie</w:t>
      </w:r>
      <w:r w:rsidRPr="00A85944">
        <w:rPr>
          <w:noProof w:val="0"/>
        </w:rPr>
        <w:t>, Managing Director, Universities Admissions Centre (NSW &amp; ACT) and Chair, Australasian Conference of Tertiary Admission Centres</w:t>
      </w:r>
      <w:r w:rsidRPr="00A85944">
        <w:rPr>
          <w:noProof w:val="0"/>
        </w:rPr>
        <w:br/>
      </w:r>
      <w:r w:rsidRPr="00A85944">
        <w:rPr>
          <w:b/>
          <w:bCs/>
          <w:noProof w:val="0"/>
        </w:rPr>
        <w:t>Mr Anthony McClaran</w:t>
      </w:r>
      <w:r w:rsidRPr="00A85944">
        <w:rPr>
          <w:noProof w:val="0"/>
        </w:rPr>
        <w:t>, Chief Executive Officer, Tertiary Education Quality and Standards Agency</w:t>
      </w:r>
      <w:r w:rsidR="006F7508">
        <w:rPr>
          <w:noProof w:val="0"/>
        </w:rPr>
        <w:t xml:space="preserve"> (TEQSA)</w:t>
      </w:r>
    </w:p>
    <w:p w:rsidR="00D5516D" w:rsidRDefault="00D5516D" w:rsidP="005A565D">
      <w:pPr>
        <w:pStyle w:val="HERHeading4FigureHeading"/>
        <w:keepNext/>
      </w:pPr>
      <w:bookmarkStart w:id="12" w:name="_Toc479782309"/>
      <w:bookmarkStart w:id="13" w:name="_Toc478552078"/>
      <w:bookmarkStart w:id="14" w:name="_Toc480754870"/>
      <w:r>
        <w:t>Benefits</w:t>
      </w:r>
      <w:r w:rsidR="002C5034">
        <w:t xml:space="preserve"> of greater transparency</w:t>
      </w:r>
    </w:p>
    <w:p w:rsidR="00E71C2B" w:rsidRDefault="00E71C2B" w:rsidP="00E71C2B">
      <w:pPr>
        <w:pStyle w:val="HERNormal"/>
        <w:rPr>
          <w:noProof w:val="0"/>
        </w:rPr>
      </w:pPr>
      <w:r>
        <w:rPr>
          <w:noProof w:val="0"/>
        </w:rPr>
        <w:t xml:space="preserve">Through this implementation plan and </w:t>
      </w:r>
      <w:r w:rsidR="00115467">
        <w:rPr>
          <w:noProof w:val="0"/>
        </w:rPr>
        <w:t xml:space="preserve">the commitment to its objectives </w:t>
      </w:r>
      <w:r>
        <w:rPr>
          <w:noProof w:val="0"/>
        </w:rPr>
        <w:t>by the key representative organisations relevant to higher education admissions, the higher education sector is collectively committing to implement positive change.</w:t>
      </w:r>
    </w:p>
    <w:p w:rsidR="00E71C2B" w:rsidRDefault="00E71C2B" w:rsidP="00E71C2B">
      <w:pPr>
        <w:pStyle w:val="HERNormal"/>
        <w:rPr>
          <w:noProof w:val="0"/>
        </w:rPr>
      </w:pPr>
      <w:r>
        <w:rPr>
          <w:noProof w:val="0"/>
        </w:rPr>
        <w:t xml:space="preserve">The </w:t>
      </w:r>
      <w:r w:rsidR="00F84D5B">
        <w:rPr>
          <w:noProof w:val="0"/>
        </w:rPr>
        <w:t xml:space="preserve">intended </w:t>
      </w:r>
      <w:r>
        <w:rPr>
          <w:noProof w:val="0"/>
        </w:rPr>
        <w:t>main beneficiaries of these changes are prospective higher education students, their families, schools and other influencers.</w:t>
      </w:r>
      <w:r w:rsidR="0041269F">
        <w:rPr>
          <w:noProof w:val="0"/>
        </w:rPr>
        <w:t xml:space="preserve"> H</w:t>
      </w:r>
      <w:r>
        <w:rPr>
          <w:noProof w:val="0"/>
        </w:rPr>
        <w:t xml:space="preserve">igher education providers, employers, the community at large and both Commonwealth and state and territory governments </w:t>
      </w:r>
      <w:r w:rsidR="00A032D7">
        <w:rPr>
          <w:noProof w:val="0"/>
        </w:rPr>
        <w:t>will</w:t>
      </w:r>
      <w:r>
        <w:rPr>
          <w:noProof w:val="0"/>
        </w:rPr>
        <w:t xml:space="preserve"> al</w:t>
      </w:r>
      <w:r w:rsidR="00A032D7">
        <w:rPr>
          <w:noProof w:val="0"/>
        </w:rPr>
        <w:t>so</w:t>
      </w:r>
      <w:r>
        <w:rPr>
          <w:noProof w:val="0"/>
        </w:rPr>
        <w:t xml:space="preserve"> derive benefits if the transparency and effectiveness of higher education admissions policies and processes </w:t>
      </w:r>
      <w:r w:rsidR="00A032D7">
        <w:rPr>
          <w:noProof w:val="0"/>
        </w:rPr>
        <w:t>are</w:t>
      </w:r>
      <w:r>
        <w:rPr>
          <w:noProof w:val="0"/>
        </w:rPr>
        <w:t xml:space="preserve"> enhanced.</w:t>
      </w:r>
    </w:p>
    <w:p w:rsidR="00E71C2B" w:rsidRDefault="00E71C2B" w:rsidP="00E71C2B">
      <w:pPr>
        <w:pStyle w:val="HERNormal"/>
        <w:rPr>
          <w:noProof w:val="0"/>
        </w:rPr>
      </w:pPr>
      <w:r>
        <w:rPr>
          <w:noProof w:val="0"/>
        </w:rPr>
        <w:t>Prospective students should be able to more readily identify the courses that will lead them to the career opportunities they seek</w:t>
      </w:r>
      <w:r w:rsidRPr="00215836">
        <w:rPr>
          <w:noProof w:val="0"/>
        </w:rPr>
        <w:t xml:space="preserve"> </w:t>
      </w:r>
      <w:r>
        <w:rPr>
          <w:noProof w:val="0"/>
        </w:rPr>
        <w:t xml:space="preserve">and </w:t>
      </w:r>
      <w:r w:rsidR="008E2997">
        <w:rPr>
          <w:noProof w:val="0"/>
        </w:rPr>
        <w:t xml:space="preserve">to </w:t>
      </w:r>
      <w:r>
        <w:rPr>
          <w:noProof w:val="0"/>
        </w:rPr>
        <w:t xml:space="preserve">apply </w:t>
      </w:r>
      <w:r w:rsidR="00F84D5B">
        <w:rPr>
          <w:noProof w:val="0"/>
        </w:rPr>
        <w:t xml:space="preserve">for admission to those courses </w:t>
      </w:r>
      <w:r>
        <w:rPr>
          <w:noProof w:val="0"/>
        </w:rPr>
        <w:t>in a more informed way.</w:t>
      </w:r>
      <w:r w:rsidR="00A032D7">
        <w:rPr>
          <w:noProof w:val="0"/>
        </w:rPr>
        <w:t xml:space="preserve"> </w:t>
      </w:r>
      <w:r>
        <w:rPr>
          <w:noProof w:val="0"/>
        </w:rPr>
        <w:t>They will be able to identify the full range of entry criteria, prerequisites, additional assessments and tests needed to be accepted into each course. It will be easier for them to find out about the range of academic and non-academic supports available to them at each institution, together with the financial and other relevant information needed to make their choices.</w:t>
      </w:r>
    </w:p>
    <w:p w:rsidR="00E71C2B" w:rsidRDefault="00E71C2B" w:rsidP="00E71C2B">
      <w:pPr>
        <w:pStyle w:val="HERNormal"/>
        <w:rPr>
          <w:noProof w:val="0"/>
        </w:rPr>
      </w:pPr>
      <w:r>
        <w:rPr>
          <w:noProof w:val="0"/>
        </w:rPr>
        <w:t>Students’ families, schools, career advisers and other influencers should be able to more readily find useful information about the full range of study, career and application options, including specific options for students facing disadvantage or with special needs.</w:t>
      </w:r>
    </w:p>
    <w:p w:rsidR="00E71C2B" w:rsidRDefault="00E71C2B" w:rsidP="00E71C2B">
      <w:pPr>
        <w:pStyle w:val="HERNormal"/>
        <w:rPr>
          <w:noProof w:val="0"/>
        </w:rPr>
      </w:pPr>
      <w:r>
        <w:rPr>
          <w:noProof w:val="0"/>
        </w:rPr>
        <w:t>It is recognised that more consistent and transparent admissions information is not a “quick fix” for improving student retention and completion rates in higher education. Many students will continue to need support and advice in making course and study choices. Nevertheless, if students can make better informed decisions about the most appropriate course and institution for their needs, capabilities and career aspirations, they will be more likely to navigate their way successfully through the higher education system. This, in turn, is expected to complement existing institutional strategies for reducing the rate of student attrition.</w:t>
      </w:r>
    </w:p>
    <w:p w:rsidR="00E71C2B" w:rsidRDefault="00E71C2B" w:rsidP="00E71C2B">
      <w:pPr>
        <w:pStyle w:val="HERNormal"/>
        <w:rPr>
          <w:noProof w:val="0"/>
        </w:rPr>
      </w:pPr>
      <w:r>
        <w:rPr>
          <w:noProof w:val="0"/>
        </w:rPr>
        <w:t>Institutions will benefit if students are making better, more informed decisions about which course to enter, and should be able to more readily tailor their academic and support offerings to students’ needs and circumstances.</w:t>
      </w:r>
    </w:p>
    <w:p w:rsidR="00E71C2B" w:rsidRDefault="00E71C2B" w:rsidP="00E71C2B">
      <w:pPr>
        <w:pStyle w:val="HERNormal"/>
        <w:rPr>
          <w:noProof w:val="0"/>
        </w:rPr>
      </w:pPr>
      <w:r>
        <w:rPr>
          <w:noProof w:val="0"/>
        </w:rPr>
        <w:t>Government – and through it the community and economy – will benefit through a more efficient targeting of precious taxpayer resources if it can be assured that students being accepted by institutions into subsidised higher education courses have the ambitions, the attributes and the necessary information and support to succeed at their studies and complete their qualification.</w:t>
      </w:r>
    </w:p>
    <w:p w:rsidR="00E71C2B" w:rsidRDefault="00E71C2B" w:rsidP="00E71C2B">
      <w:pPr>
        <w:pStyle w:val="HERNormal"/>
        <w:rPr>
          <w:noProof w:val="0"/>
        </w:rPr>
      </w:pPr>
      <w:r>
        <w:rPr>
          <w:noProof w:val="0"/>
        </w:rPr>
        <w:t>To ensure the achievement of all these benefits, the Government will consider whether it is necessary to require specific actions in response to the commitments embodied in this implementation plan, along with possible mechanisms for ensuring delivery of those actions.</w:t>
      </w:r>
      <w:r w:rsidR="00A032D7">
        <w:rPr>
          <w:noProof w:val="0"/>
        </w:rPr>
        <w:t xml:space="preserve"> </w:t>
      </w:r>
      <w:r>
        <w:rPr>
          <w:noProof w:val="0"/>
        </w:rPr>
        <w:t>TEQSA will be asked to report periodically on the sector’s progress in responding to the HESP’s recommendations and complying with the commitments in this implementation plan. Other responses may be considered as needed, depending on the take-up of the committed actions.</w:t>
      </w:r>
    </w:p>
    <w:p w:rsidR="00E71C2B" w:rsidRPr="000C2FC2" w:rsidRDefault="00E71C2B" w:rsidP="000C2FC2">
      <w:pPr>
        <w:pStyle w:val="HERNormal"/>
        <w:rPr>
          <w:noProof w:val="0"/>
        </w:rPr>
      </w:pPr>
      <w:r w:rsidRPr="000C2FC2">
        <w:rPr>
          <w:noProof w:val="0"/>
        </w:rPr>
        <w:t>The Government is committed to working closely with the sector and to investing in achievement of these goals, both through the development of this joint higher education sector and Australian Government implementation plan and development of a national admissions information platform</w:t>
      </w:r>
      <w:r w:rsidR="00A032D7">
        <w:rPr>
          <w:noProof w:val="0"/>
        </w:rPr>
        <w:t>.</w:t>
      </w:r>
    </w:p>
    <w:p w:rsidR="00B04C2F" w:rsidRPr="00A85944" w:rsidRDefault="00264BBA" w:rsidP="00E71C2B">
      <w:pPr>
        <w:pStyle w:val="HERHeading1"/>
        <w:pageBreakBefore/>
      </w:pPr>
      <w:bookmarkStart w:id="15" w:name="_Toc482805045"/>
      <w:bookmarkStart w:id="16" w:name="_Toc483350198"/>
      <w:bookmarkStart w:id="17" w:name="_Toc484093485"/>
      <w:r w:rsidRPr="00A85944">
        <w:t>P</w:t>
      </w:r>
      <w:r>
        <w:t>urpose and p</w:t>
      </w:r>
      <w:r w:rsidR="00B04C2F" w:rsidRPr="00A85944">
        <w:t>rinciples</w:t>
      </w:r>
      <w:bookmarkEnd w:id="12"/>
      <w:bookmarkEnd w:id="13"/>
      <w:bookmarkEnd w:id="14"/>
      <w:bookmarkEnd w:id="15"/>
      <w:bookmarkEnd w:id="16"/>
      <w:bookmarkEnd w:id="17"/>
    </w:p>
    <w:p w:rsidR="00236E9E" w:rsidRDefault="00ED2BD0" w:rsidP="00236E9E">
      <w:pPr>
        <w:pStyle w:val="HERNormal"/>
        <w:rPr>
          <w:noProof w:val="0"/>
        </w:rPr>
      </w:pPr>
      <w:r>
        <w:rPr>
          <w:noProof w:val="0"/>
        </w:rPr>
        <w:t>T</w:t>
      </w:r>
      <w:r w:rsidR="00236E9E" w:rsidRPr="00A85944">
        <w:rPr>
          <w:noProof w:val="0"/>
        </w:rPr>
        <w:t xml:space="preserve">he </w:t>
      </w:r>
      <w:r w:rsidR="00236E9E">
        <w:rPr>
          <w:noProof w:val="0"/>
        </w:rPr>
        <w:t xml:space="preserve">key aim of </w:t>
      </w:r>
      <w:r>
        <w:rPr>
          <w:noProof w:val="0"/>
        </w:rPr>
        <w:t xml:space="preserve">the HESP </w:t>
      </w:r>
      <w:r w:rsidR="00236E9E">
        <w:rPr>
          <w:noProof w:val="0"/>
        </w:rPr>
        <w:t xml:space="preserve">recommendations </w:t>
      </w:r>
      <w:r>
        <w:rPr>
          <w:noProof w:val="0"/>
        </w:rPr>
        <w:t xml:space="preserve">is </w:t>
      </w:r>
      <w:r w:rsidR="00236E9E">
        <w:rPr>
          <w:noProof w:val="0"/>
        </w:rPr>
        <w:t xml:space="preserve">to </w:t>
      </w:r>
      <w:r w:rsidR="004730A2">
        <w:rPr>
          <w:noProof w:val="0"/>
        </w:rPr>
        <w:t xml:space="preserve">drive consistency in </w:t>
      </w:r>
      <w:r w:rsidR="00236E9E" w:rsidRPr="00A85944">
        <w:rPr>
          <w:noProof w:val="0"/>
        </w:rPr>
        <w:t xml:space="preserve">the </w:t>
      </w:r>
      <w:r w:rsidR="004730A2">
        <w:rPr>
          <w:noProof w:val="0"/>
        </w:rPr>
        <w:t xml:space="preserve">ways </w:t>
      </w:r>
      <w:r w:rsidR="00236E9E" w:rsidRPr="00A85944">
        <w:rPr>
          <w:noProof w:val="0"/>
        </w:rPr>
        <w:t>higher education providers present information about their admission</w:t>
      </w:r>
      <w:r w:rsidR="00236E9E">
        <w:rPr>
          <w:noProof w:val="0"/>
        </w:rPr>
        <w:t xml:space="preserve"> </w:t>
      </w:r>
      <w:r w:rsidR="00AB3E40">
        <w:rPr>
          <w:noProof w:val="0"/>
        </w:rPr>
        <w:t>criteria</w:t>
      </w:r>
      <w:r w:rsidR="00236E9E">
        <w:rPr>
          <w:noProof w:val="0"/>
        </w:rPr>
        <w:t xml:space="preserve"> and</w:t>
      </w:r>
      <w:r w:rsidR="00236E9E" w:rsidRPr="00A85944">
        <w:rPr>
          <w:noProof w:val="0"/>
        </w:rPr>
        <w:t xml:space="preserve"> processes</w:t>
      </w:r>
      <w:r w:rsidR="004730A2">
        <w:rPr>
          <w:noProof w:val="0"/>
        </w:rPr>
        <w:t>, guided by agreed principles</w:t>
      </w:r>
      <w:r w:rsidR="00236E9E">
        <w:rPr>
          <w:noProof w:val="0"/>
        </w:rPr>
        <w:t>.</w:t>
      </w:r>
      <w:r w:rsidR="00236E9E" w:rsidRPr="00A85944">
        <w:rPr>
          <w:noProof w:val="0"/>
        </w:rPr>
        <w:t xml:space="preserve"> </w:t>
      </w:r>
      <w:r w:rsidR="00236E9E">
        <w:rPr>
          <w:noProof w:val="0"/>
        </w:rPr>
        <w:t xml:space="preserve">The </w:t>
      </w:r>
      <w:r w:rsidR="00C2338E">
        <w:rPr>
          <w:noProof w:val="0"/>
        </w:rPr>
        <w:t>HESP</w:t>
      </w:r>
      <w:r w:rsidR="00236E9E">
        <w:rPr>
          <w:noProof w:val="0"/>
        </w:rPr>
        <w:t xml:space="preserve"> identified what it considered the minimum range of information necessary to support informed choice by prospective students. </w:t>
      </w:r>
      <w:r w:rsidR="004730A2">
        <w:rPr>
          <w:noProof w:val="0"/>
        </w:rPr>
        <w:t>It</w:t>
      </w:r>
      <w:r w:rsidR="00236E9E">
        <w:rPr>
          <w:noProof w:val="0"/>
        </w:rPr>
        <w:t xml:space="preserve"> proposed that </w:t>
      </w:r>
      <w:r w:rsidR="004730A2">
        <w:rPr>
          <w:noProof w:val="0"/>
        </w:rPr>
        <w:t xml:space="preserve">each higher education provider make </w:t>
      </w:r>
      <w:r w:rsidR="00236E9E">
        <w:rPr>
          <w:noProof w:val="0"/>
        </w:rPr>
        <w:t xml:space="preserve">a </w:t>
      </w:r>
      <w:r w:rsidR="00C518EE">
        <w:rPr>
          <w:noProof w:val="0"/>
        </w:rPr>
        <w:t xml:space="preserve">comparable </w:t>
      </w:r>
      <w:r w:rsidR="00236E9E">
        <w:rPr>
          <w:noProof w:val="0"/>
        </w:rPr>
        <w:t xml:space="preserve">range of information available </w:t>
      </w:r>
      <w:r w:rsidR="004730A2">
        <w:rPr>
          <w:noProof w:val="0"/>
        </w:rPr>
        <w:t xml:space="preserve">about its admission policies and course entry </w:t>
      </w:r>
      <w:r w:rsidR="00AB3E40">
        <w:rPr>
          <w:noProof w:val="0"/>
        </w:rPr>
        <w:t>criteria</w:t>
      </w:r>
      <w:r w:rsidR="004730A2">
        <w:rPr>
          <w:noProof w:val="0"/>
        </w:rPr>
        <w:t xml:space="preserve">. </w:t>
      </w:r>
      <w:r w:rsidR="00E71C2B">
        <w:rPr>
          <w:noProof w:val="0"/>
        </w:rPr>
        <w:t xml:space="preserve">The information </w:t>
      </w:r>
      <w:r w:rsidR="004730A2">
        <w:rPr>
          <w:noProof w:val="0"/>
        </w:rPr>
        <w:t xml:space="preserve">should be </w:t>
      </w:r>
      <w:r w:rsidR="00236E9E">
        <w:rPr>
          <w:noProof w:val="0"/>
        </w:rPr>
        <w:t xml:space="preserve">easy to find </w:t>
      </w:r>
      <w:r w:rsidR="00D8058D">
        <w:rPr>
          <w:noProof w:val="0"/>
        </w:rPr>
        <w:t xml:space="preserve">and </w:t>
      </w:r>
      <w:r w:rsidR="006C2E40">
        <w:rPr>
          <w:noProof w:val="0"/>
        </w:rPr>
        <w:t>help prospective students</w:t>
      </w:r>
      <w:r w:rsidR="002C5034">
        <w:rPr>
          <w:noProof w:val="0"/>
        </w:rPr>
        <w:t>, their families and others</w:t>
      </w:r>
      <w:r w:rsidR="006C2E40">
        <w:rPr>
          <w:noProof w:val="0"/>
        </w:rPr>
        <w:t xml:space="preserve"> </w:t>
      </w:r>
      <w:r w:rsidR="00D8058D">
        <w:rPr>
          <w:noProof w:val="0"/>
        </w:rPr>
        <w:t xml:space="preserve">effectively compare </w:t>
      </w:r>
      <w:r>
        <w:rPr>
          <w:noProof w:val="0"/>
        </w:rPr>
        <w:t xml:space="preserve">available </w:t>
      </w:r>
      <w:r w:rsidR="00236E9E">
        <w:rPr>
          <w:noProof w:val="0"/>
        </w:rPr>
        <w:t xml:space="preserve">courses and providers. The </w:t>
      </w:r>
      <w:r w:rsidR="00C2338E">
        <w:rPr>
          <w:noProof w:val="0"/>
        </w:rPr>
        <w:t>HESP</w:t>
      </w:r>
      <w:r w:rsidR="00236E9E">
        <w:rPr>
          <w:noProof w:val="0"/>
        </w:rPr>
        <w:t xml:space="preserve"> proposed that in at least one location</w:t>
      </w:r>
      <w:r w:rsidR="00264BBA">
        <w:rPr>
          <w:noProof w:val="0"/>
        </w:rPr>
        <w:t xml:space="preserve"> – which it described as a “national admissions information platform” –</w:t>
      </w:r>
      <w:r w:rsidR="00116691">
        <w:rPr>
          <w:noProof w:val="0"/>
        </w:rPr>
        <w:t xml:space="preserve"> </w:t>
      </w:r>
      <w:r w:rsidR="00264BBA">
        <w:rPr>
          <w:noProof w:val="0"/>
        </w:rPr>
        <w:t xml:space="preserve">information should be able to be lined up to enable direct comparison of admission </w:t>
      </w:r>
      <w:r w:rsidR="00AB3E40">
        <w:rPr>
          <w:noProof w:val="0"/>
        </w:rPr>
        <w:t>criteria</w:t>
      </w:r>
      <w:r w:rsidR="00264BBA">
        <w:rPr>
          <w:noProof w:val="0"/>
        </w:rPr>
        <w:t xml:space="preserve"> and </w:t>
      </w:r>
      <w:r w:rsidR="00206E64">
        <w:rPr>
          <w:noProof w:val="0"/>
        </w:rPr>
        <w:t>application processes</w:t>
      </w:r>
      <w:r w:rsidRPr="00ED2BD0">
        <w:rPr>
          <w:noProof w:val="0"/>
        </w:rPr>
        <w:t xml:space="preserve"> </w:t>
      </w:r>
      <w:r>
        <w:rPr>
          <w:noProof w:val="0"/>
        </w:rPr>
        <w:t>across different courses and providers</w:t>
      </w:r>
      <w:r w:rsidR="00264BBA">
        <w:rPr>
          <w:noProof w:val="0"/>
        </w:rPr>
        <w:t>.</w:t>
      </w:r>
    </w:p>
    <w:p w:rsidR="00236E9E" w:rsidRPr="00A85944" w:rsidRDefault="00D8058D" w:rsidP="00236E9E">
      <w:pPr>
        <w:pStyle w:val="HERNormal"/>
        <w:rPr>
          <w:noProof w:val="0"/>
        </w:rPr>
      </w:pPr>
      <w:r>
        <w:rPr>
          <w:noProof w:val="0"/>
        </w:rPr>
        <w:t>As proposed by the HESP, t</w:t>
      </w:r>
      <w:r w:rsidR="00264BBA">
        <w:rPr>
          <w:noProof w:val="0"/>
        </w:rPr>
        <w:t xml:space="preserve">he </w:t>
      </w:r>
      <w:r w:rsidR="008E2997">
        <w:rPr>
          <w:noProof w:val="0"/>
        </w:rPr>
        <w:t>IWG</w:t>
      </w:r>
      <w:r w:rsidR="00264BBA">
        <w:rPr>
          <w:noProof w:val="0"/>
        </w:rPr>
        <w:t xml:space="preserve"> agree</w:t>
      </w:r>
      <w:r>
        <w:rPr>
          <w:noProof w:val="0"/>
        </w:rPr>
        <w:t>s</w:t>
      </w:r>
      <w:r w:rsidR="00264BBA">
        <w:rPr>
          <w:noProof w:val="0"/>
        </w:rPr>
        <w:t xml:space="preserve"> that t</w:t>
      </w:r>
      <w:r w:rsidR="00236E9E">
        <w:rPr>
          <w:noProof w:val="0"/>
        </w:rPr>
        <w:t xml:space="preserve">he purpose of this </w:t>
      </w:r>
      <w:r w:rsidR="004730A2">
        <w:rPr>
          <w:noProof w:val="0"/>
        </w:rPr>
        <w:t xml:space="preserve">consistency </w:t>
      </w:r>
      <w:r w:rsidR="00236E9E" w:rsidRPr="00A85944">
        <w:rPr>
          <w:noProof w:val="0"/>
        </w:rPr>
        <w:t>is to:</w:t>
      </w:r>
    </w:p>
    <w:p w:rsidR="00236E9E" w:rsidRPr="00A85944" w:rsidRDefault="00C52DCC" w:rsidP="00AE0665">
      <w:pPr>
        <w:pStyle w:val="HERListBullet"/>
        <w:numPr>
          <w:ilvl w:val="0"/>
          <w:numId w:val="30"/>
        </w:numPr>
      </w:pPr>
      <w:r>
        <w:t>m</w:t>
      </w:r>
      <w:r w:rsidRPr="00A85944">
        <w:t xml:space="preserve">ake </w:t>
      </w:r>
      <w:r w:rsidR="00236E9E" w:rsidRPr="00A85944">
        <w:t xml:space="preserve">information on admissions policies available in a comparable </w:t>
      </w:r>
      <w:r w:rsidR="00D2617F">
        <w:t>way</w:t>
      </w:r>
      <w:r w:rsidR="00D2617F" w:rsidRPr="00A85944">
        <w:t xml:space="preserve"> </w:t>
      </w:r>
      <w:r w:rsidR="00236E9E" w:rsidRPr="00A85944">
        <w:t>so that individuals can make better informed choices about providers and courses of study</w:t>
      </w:r>
    </w:p>
    <w:p w:rsidR="00236E9E" w:rsidRPr="00A85944" w:rsidRDefault="00C52DCC" w:rsidP="00AE0665">
      <w:pPr>
        <w:pStyle w:val="HERListBullet"/>
        <w:numPr>
          <w:ilvl w:val="0"/>
          <w:numId w:val="30"/>
        </w:numPr>
      </w:pPr>
      <w:r>
        <w:t>c</w:t>
      </w:r>
      <w:r w:rsidRPr="00A85944">
        <w:t xml:space="preserve">larify </w:t>
      </w:r>
      <w:r w:rsidR="00236E9E" w:rsidRPr="00A85944">
        <w:t xml:space="preserve">the requirements of the Higher Education Standards Framework with respect to transparency of admissions policies, and ensure that higher education providers know what they must do to fully </w:t>
      </w:r>
      <w:r w:rsidR="004730A2" w:rsidRPr="00A85944">
        <w:t xml:space="preserve">meet </w:t>
      </w:r>
      <w:r w:rsidR="00236E9E" w:rsidRPr="00A85944">
        <w:t>those requirements</w:t>
      </w:r>
    </w:p>
    <w:p w:rsidR="00236E9E" w:rsidRPr="00A85944" w:rsidRDefault="00C52DCC" w:rsidP="00AE0665">
      <w:pPr>
        <w:pStyle w:val="HERListBullet"/>
        <w:numPr>
          <w:ilvl w:val="0"/>
          <w:numId w:val="30"/>
        </w:numPr>
      </w:pPr>
      <w:r>
        <w:t>r</w:t>
      </w:r>
      <w:r w:rsidRPr="00A85944">
        <w:t xml:space="preserve">educe </w:t>
      </w:r>
      <w:r w:rsidR="00236E9E" w:rsidRPr="00A85944">
        <w:t>uncertainty among students and their teachers about what is required in order to be admitted to higher education, especially where admission is on the basis of the ATAR achieved</w:t>
      </w:r>
    </w:p>
    <w:p w:rsidR="00236E9E" w:rsidRPr="00A85944" w:rsidRDefault="00C52DCC" w:rsidP="00AE0665">
      <w:pPr>
        <w:pStyle w:val="HERListBullet"/>
        <w:numPr>
          <w:ilvl w:val="0"/>
          <w:numId w:val="30"/>
        </w:numPr>
      </w:pPr>
      <w:r>
        <w:t>g</w:t>
      </w:r>
      <w:r w:rsidRPr="00A85944">
        <w:t xml:space="preserve">ive </w:t>
      </w:r>
      <w:r w:rsidR="00236E9E" w:rsidRPr="00A85944">
        <w:t>each higher education provider the capacity to promote a strong sense of its educational ethos and how admissions policies seek to contribute to that mission</w:t>
      </w:r>
    </w:p>
    <w:p w:rsidR="00236E9E" w:rsidRPr="00A85944" w:rsidRDefault="00C52DCC" w:rsidP="00AE0665">
      <w:pPr>
        <w:pStyle w:val="HERListBullet"/>
        <w:numPr>
          <w:ilvl w:val="0"/>
          <w:numId w:val="30"/>
        </w:numPr>
      </w:pPr>
      <w:r>
        <w:t>e</w:t>
      </w:r>
      <w:r w:rsidRPr="00A85944">
        <w:t xml:space="preserve">nsure </w:t>
      </w:r>
      <w:r w:rsidR="00236E9E" w:rsidRPr="00A85944">
        <w:t>higher education providers can be held accountable for the information they publish on their admissions policies.</w:t>
      </w:r>
    </w:p>
    <w:p w:rsidR="00B04C2F" w:rsidRPr="00A85944" w:rsidRDefault="00264BBA" w:rsidP="00B04C2F">
      <w:pPr>
        <w:pStyle w:val="HERNormal"/>
        <w:rPr>
          <w:noProof w:val="0"/>
        </w:rPr>
      </w:pPr>
      <w:r>
        <w:rPr>
          <w:noProof w:val="0"/>
        </w:rPr>
        <w:t>I</w:t>
      </w:r>
      <w:r w:rsidR="00B04C2F" w:rsidRPr="00A85944">
        <w:rPr>
          <w:noProof w:val="0"/>
        </w:rPr>
        <w:t xml:space="preserve">t is </w:t>
      </w:r>
      <w:r>
        <w:rPr>
          <w:noProof w:val="0"/>
        </w:rPr>
        <w:t xml:space="preserve">also </w:t>
      </w:r>
      <w:r w:rsidR="00B04C2F" w:rsidRPr="00A85944">
        <w:rPr>
          <w:noProof w:val="0"/>
        </w:rPr>
        <w:t>agreed that the following principles</w:t>
      </w:r>
      <w:r>
        <w:rPr>
          <w:noProof w:val="0"/>
        </w:rPr>
        <w:t xml:space="preserve"> </w:t>
      </w:r>
      <w:r w:rsidR="00B04C2F" w:rsidRPr="00A85944">
        <w:rPr>
          <w:noProof w:val="0"/>
        </w:rPr>
        <w:t>will guide the development and implementation of greater transparency in higher education admissions policies, processes and information</w:t>
      </w:r>
      <w:r w:rsidR="004730A2">
        <w:rPr>
          <w:noProof w:val="0"/>
        </w:rPr>
        <w:t>:</w:t>
      </w:r>
    </w:p>
    <w:p w:rsidR="00B04C2F" w:rsidRPr="00A85944" w:rsidRDefault="004E235F" w:rsidP="00AE0665">
      <w:pPr>
        <w:pStyle w:val="HERListBullet"/>
        <w:numPr>
          <w:ilvl w:val="0"/>
          <w:numId w:val="30"/>
        </w:numPr>
      </w:pPr>
      <w:r>
        <w:t>a</w:t>
      </w:r>
      <w:r w:rsidRPr="00A85944">
        <w:t xml:space="preserve"> </w:t>
      </w:r>
      <w:r w:rsidR="00B04C2F" w:rsidRPr="00A85944">
        <w:t>student-centred approach to the provision of information about admissions</w:t>
      </w:r>
    </w:p>
    <w:p w:rsidR="00B04C2F" w:rsidRPr="00A85944" w:rsidRDefault="004E235F" w:rsidP="00AE0665">
      <w:pPr>
        <w:pStyle w:val="HERListBullet"/>
        <w:numPr>
          <w:ilvl w:val="0"/>
          <w:numId w:val="30"/>
        </w:numPr>
      </w:pPr>
      <w:r>
        <w:t>h</w:t>
      </w:r>
      <w:r w:rsidR="00B04C2F" w:rsidRPr="00A85944">
        <w:t>igher education providers have autonomy over their admissions policies, consistent with the requirements set out in the Higher Education Standards Framework</w:t>
      </w:r>
    </w:p>
    <w:p w:rsidR="00B04C2F" w:rsidRPr="00A85944" w:rsidRDefault="004E235F" w:rsidP="00AE0665">
      <w:pPr>
        <w:pStyle w:val="HERListBullet"/>
        <w:numPr>
          <w:ilvl w:val="0"/>
          <w:numId w:val="30"/>
        </w:numPr>
      </w:pPr>
      <w:r>
        <w:t>a</w:t>
      </w:r>
      <w:r w:rsidR="00B04C2F" w:rsidRPr="00A85944">
        <w:t xml:space="preserve">ccess to clear information relating to admissions </w:t>
      </w:r>
      <w:r w:rsidR="00AB3E40">
        <w:t>criteria</w:t>
      </w:r>
      <w:r w:rsidR="00B04C2F" w:rsidRPr="00A85944">
        <w:t xml:space="preserve"> and various entry pathways </w:t>
      </w:r>
      <w:r w:rsidR="00C52DCC">
        <w:t>is</w:t>
      </w:r>
      <w:r w:rsidR="00C52DCC" w:rsidRPr="00A85944">
        <w:t xml:space="preserve"> </w:t>
      </w:r>
      <w:r w:rsidR="00B04C2F" w:rsidRPr="00A85944">
        <w:t>to be made available to all applicants equally</w:t>
      </w:r>
    </w:p>
    <w:p w:rsidR="00B04C2F" w:rsidRPr="00A85944" w:rsidRDefault="004E235F" w:rsidP="00AE0665">
      <w:pPr>
        <w:pStyle w:val="HERListBullet"/>
        <w:numPr>
          <w:ilvl w:val="0"/>
          <w:numId w:val="30"/>
        </w:numPr>
      </w:pPr>
      <w:r>
        <w:t>t</w:t>
      </w:r>
      <w:r w:rsidR="00B04C2F" w:rsidRPr="00A85944">
        <w:t>he arrangements set out in this implementation plan apply equally to all higher education providers, universities and non-university higher education providers alike</w:t>
      </w:r>
    </w:p>
    <w:p w:rsidR="00B04C2F" w:rsidRPr="00A85944" w:rsidRDefault="004E235F" w:rsidP="00AE0665">
      <w:pPr>
        <w:pStyle w:val="HERListBullet"/>
        <w:numPr>
          <w:ilvl w:val="0"/>
          <w:numId w:val="30"/>
        </w:numPr>
      </w:pPr>
      <w:r>
        <w:t>h</w:t>
      </w:r>
      <w:r w:rsidR="00B04C2F" w:rsidRPr="00A85944">
        <w:t>igher education providers are accountable for public claims against their stated admission policies</w:t>
      </w:r>
    </w:p>
    <w:p w:rsidR="00D96D72" w:rsidRPr="00A85944" w:rsidRDefault="004E235F" w:rsidP="00AE0665">
      <w:pPr>
        <w:pStyle w:val="HERListBullet"/>
        <w:numPr>
          <w:ilvl w:val="0"/>
          <w:numId w:val="30"/>
        </w:numPr>
      </w:pPr>
      <w:r>
        <w:t>i</w:t>
      </w:r>
      <w:r w:rsidR="00B04C2F" w:rsidRPr="00A85944">
        <w:t>mproved transparency of higher education admissions policies and compliance with the terms of this implementation plan are not intended to add regulatory red-tape over and above what is necessary to comply with the Higher Education Standards Framework.</w:t>
      </w:r>
    </w:p>
    <w:p w:rsidR="00B04C2F" w:rsidRPr="00A85944" w:rsidRDefault="00D96D72" w:rsidP="006A4667">
      <w:pPr>
        <w:pStyle w:val="HERNormal"/>
        <w:rPr>
          <w:noProof w:val="0"/>
        </w:rPr>
      </w:pPr>
      <w:r>
        <w:rPr>
          <w:noProof w:val="0"/>
        </w:rPr>
        <w:t xml:space="preserve">The initial focus </w:t>
      </w:r>
      <w:r w:rsidR="00384226">
        <w:rPr>
          <w:noProof w:val="0"/>
        </w:rPr>
        <w:t>is</w:t>
      </w:r>
      <w:r>
        <w:rPr>
          <w:noProof w:val="0"/>
        </w:rPr>
        <w:t xml:space="preserve"> to support </w:t>
      </w:r>
      <w:r w:rsidR="00384226">
        <w:rPr>
          <w:noProof w:val="0"/>
        </w:rPr>
        <w:t xml:space="preserve">the choices of </w:t>
      </w:r>
      <w:r>
        <w:rPr>
          <w:noProof w:val="0"/>
        </w:rPr>
        <w:t>prospective domestic undergraduate student</w:t>
      </w:r>
      <w:r w:rsidR="00384226">
        <w:rPr>
          <w:noProof w:val="0"/>
        </w:rPr>
        <w:t>s, including applicants for diploma, advanced diploma, associate degree and bachelor degree courses</w:t>
      </w:r>
      <w:r>
        <w:rPr>
          <w:noProof w:val="0"/>
        </w:rPr>
        <w:t>.</w:t>
      </w:r>
    </w:p>
    <w:p w:rsidR="00B04C2F" w:rsidRPr="00A85944" w:rsidRDefault="00B04C2F" w:rsidP="00B04C2F">
      <w:pPr>
        <w:pStyle w:val="HERHeading1"/>
        <w:pageBreakBefore/>
      </w:pPr>
      <w:bookmarkStart w:id="18" w:name="_Toc479782310"/>
      <w:bookmarkStart w:id="19" w:name="_Toc478552079"/>
      <w:bookmarkStart w:id="20" w:name="_Toc480754871"/>
      <w:bookmarkStart w:id="21" w:name="_Toc482805046"/>
      <w:bookmarkStart w:id="22" w:name="_Toc483350199"/>
      <w:bookmarkStart w:id="23" w:name="_Toc484093486"/>
      <w:r>
        <w:t>Implementation o</w:t>
      </w:r>
      <w:r w:rsidRPr="00A85944">
        <w:t>bjectives</w:t>
      </w:r>
      <w:bookmarkEnd w:id="18"/>
      <w:bookmarkEnd w:id="19"/>
      <w:bookmarkEnd w:id="20"/>
      <w:bookmarkEnd w:id="21"/>
      <w:bookmarkEnd w:id="22"/>
      <w:bookmarkEnd w:id="23"/>
    </w:p>
    <w:p w:rsidR="00B04C2F" w:rsidRDefault="00B04C2F" w:rsidP="00B04C2F">
      <w:pPr>
        <w:pStyle w:val="HERNormal"/>
        <w:rPr>
          <w:noProof w:val="0"/>
        </w:rPr>
      </w:pPr>
      <w:r w:rsidRPr="00A85944">
        <w:rPr>
          <w:noProof w:val="0"/>
        </w:rPr>
        <w:t xml:space="preserve">The actions committed to in this implementation plan will deliver easier access to comprehensive and readily comparable information about the full range of study options, entry </w:t>
      </w:r>
      <w:r w:rsidR="00AB3E40">
        <w:rPr>
          <w:noProof w:val="0"/>
        </w:rPr>
        <w:t>criteria</w:t>
      </w:r>
      <w:r w:rsidRPr="00A85944">
        <w:rPr>
          <w:noProof w:val="0"/>
        </w:rPr>
        <w:t xml:space="preserve"> and application p</w:t>
      </w:r>
      <w:r w:rsidR="00206E64">
        <w:rPr>
          <w:noProof w:val="0"/>
        </w:rPr>
        <w:t>rocesse</w:t>
      </w:r>
      <w:r w:rsidRPr="00A85944">
        <w:rPr>
          <w:noProof w:val="0"/>
        </w:rPr>
        <w:t>s at all registered Australian higher education providers.</w:t>
      </w:r>
    </w:p>
    <w:p w:rsidR="00B04C2F" w:rsidRDefault="00F84D5B" w:rsidP="00B04C2F">
      <w:pPr>
        <w:pStyle w:val="HERNormal"/>
        <w:rPr>
          <w:noProof w:val="0"/>
        </w:rPr>
      </w:pPr>
      <w:r>
        <w:rPr>
          <w:noProof w:val="0"/>
        </w:rPr>
        <w:t xml:space="preserve">Over the course of 2017 and 2018, </w:t>
      </w:r>
      <w:r w:rsidR="00B04C2F">
        <w:rPr>
          <w:noProof w:val="0"/>
        </w:rPr>
        <w:t>six agreed objectives will be delivered</w:t>
      </w:r>
      <w:r w:rsidRPr="00F84D5B">
        <w:rPr>
          <w:noProof w:val="0"/>
        </w:rPr>
        <w:t xml:space="preserve"> </w:t>
      </w:r>
      <w:r>
        <w:rPr>
          <w:noProof w:val="0"/>
        </w:rPr>
        <w:t>through the actions set out in this plan</w:t>
      </w:r>
      <w:r w:rsidR="00B04C2F">
        <w:rPr>
          <w:noProof w:val="0"/>
        </w:rPr>
        <w:t>:</w:t>
      </w:r>
    </w:p>
    <w:p w:rsidR="00B04C2F" w:rsidRDefault="000F7D2E" w:rsidP="00B04C2F">
      <w:pPr>
        <w:pStyle w:val="HERListNumber"/>
        <w:numPr>
          <w:ilvl w:val="0"/>
          <w:numId w:val="10"/>
        </w:numPr>
      </w:pPr>
      <w:r>
        <w:t xml:space="preserve">Consistent </w:t>
      </w:r>
      <w:r w:rsidR="00B04C2F">
        <w:t>presentation of admissions information</w:t>
      </w:r>
    </w:p>
    <w:p w:rsidR="00B04C2F" w:rsidRDefault="00B04C2F" w:rsidP="00B04C2F">
      <w:pPr>
        <w:pStyle w:val="HERListNumber"/>
        <w:numPr>
          <w:ilvl w:val="0"/>
          <w:numId w:val="10"/>
        </w:numPr>
      </w:pPr>
      <w:r>
        <w:t>Adoption of common admissions terminology</w:t>
      </w:r>
    </w:p>
    <w:p w:rsidR="00B04C2F" w:rsidRDefault="00B04C2F" w:rsidP="00B04C2F">
      <w:pPr>
        <w:pStyle w:val="HERListNumber"/>
        <w:numPr>
          <w:ilvl w:val="0"/>
          <w:numId w:val="10"/>
        </w:numPr>
      </w:pPr>
      <w:r>
        <w:t>Revised ATAR-related thresholds and definitions</w:t>
      </w:r>
    </w:p>
    <w:p w:rsidR="00B04C2F" w:rsidRDefault="00B04C2F" w:rsidP="00B04C2F">
      <w:pPr>
        <w:pStyle w:val="HERListNumber"/>
        <w:numPr>
          <w:ilvl w:val="0"/>
          <w:numId w:val="10"/>
        </w:numPr>
      </w:pPr>
      <w:r>
        <w:t xml:space="preserve">Tertiary admission centres </w:t>
      </w:r>
      <w:r w:rsidR="008E2997">
        <w:t xml:space="preserve">(TACs) </w:t>
      </w:r>
      <w:r w:rsidRPr="00EF3D65">
        <w:t>to adopt more consistent approaches and reporting and streamline interstate application processes</w:t>
      </w:r>
    </w:p>
    <w:p w:rsidR="00B04C2F" w:rsidRDefault="00B04C2F" w:rsidP="00B04C2F">
      <w:pPr>
        <w:pStyle w:val="HERListNumber"/>
        <w:numPr>
          <w:ilvl w:val="0"/>
          <w:numId w:val="10"/>
        </w:numPr>
      </w:pPr>
      <w:r>
        <w:t>TEQSA monitoring and guidance on improved admissions transparency</w:t>
      </w:r>
    </w:p>
    <w:p w:rsidR="00B04C2F" w:rsidRDefault="00F84D5B" w:rsidP="00B04C2F">
      <w:pPr>
        <w:pStyle w:val="HERListNumber"/>
        <w:numPr>
          <w:ilvl w:val="0"/>
          <w:numId w:val="10"/>
        </w:numPr>
      </w:pPr>
      <w:r>
        <w:t>A n</w:t>
      </w:r>
      <w:r w:rsidR="00B04C2F">
        <w:t>ew national admissions information platform</w:t>
      </w:r>
    </w:p>
    <w:p w:rsidR="00705ACF" w:rsidRDefault="00B04C2F" w:rsidP="00B04C2F">
      <w:pPr>
        <w:pStyle w:val="HERNormal"/>
        <w:rPr>
          <w:noProof w:val="0"/>
        </w:rPr>
      </w:pPr>
      <w:r>
        <w:rPr>
          <w:noProof w:val="0"/>
        </w:rPr>
        <w:t xml:space="preserve">The first four of these will be delivered largely by the higher education sector itself. Delivery of the last two will be the responsibility of the Australian Government. </w:t>
      </w:r>
    </w:p>
    <w:p w:rsidR="00B04C2F" w:rsidRPr="00A85944" w:rsidRDefault="00705ACF" w:rsidP="00B04C2F">
      <w:pPr>
        <w:pStyle w:val="HERNormal"/>
        <w:rPr>
          <w:noProof w:val="0"/>
        </w:rPr>
      </w:pPr>
      <w:r>
        <w:rPr>
          <w:noProof w:val="0"/>
        </w:rPr>
        <w:t xml:space="preserve">A staged approach has been adopted to ensure implementation and adjustment to the new arrangements is manageable for providers, and </w:t>
      </w:r>
      <w:r w:rsidR="0091676E">
        <w:rPr>
          <w:noProof w:val="0"/>
        </w:rPr>
        <w:t>prospective students</w:t>
      </w:r>
      <w:r>
        <w:rPr>
          <w:noProof w:val="0"/>
        </w:rPr>
        <w:t>.</w:t>
      </w:r>
      <w:r w:rsidR="00CF5BD1">
        <w:rPr>
          <w:noProof w:val="0"/>
        </w:rPr>
        <w:t xml:space="preserve"> </w:t>
      </w:r>
      <w:r w:rsidR="0091676E">
        <w:rPr>
          <w:noProof w:val="0"/>
        </w:rPr>
        <w:t>The achievement of e</w:t>
      </w:r>
      <w:r w:rsidR="00B04C2F">
        <w:rPr>
          <w:noProof w:val="0"/>
        </w:rPr>
        <w:t xml:space="preserve">ach of these commitments will </w:t>
      </w:r>
      <w:r>
        <w:rPr>
          <w:noProof w:val="0"/>
        </w:rPr>
        <w:t xml:space="preserve">commence </w:t>
      </w:r>
      <w:r w:rsidR="0091676E">
        <w:rPr>
          <w:noProof w:val="0"/>
        </w:rPr>
        <w:t xml:space="preserve">in </w:t>
      </w:r>
      <w:r>
        <w:rPr>
          <w:noProof w:val="0"/>
        </w:rPr>
        <w:t xml:space="preserve">2017 with some elements </w:t>
      </w:r>
      <w:r w:rsidR="00B04C2F">
        <w:rPr>
          <w:noProof w:val="0"/>
        </w:rPr>
        <w:t xml:space="preserve">in place to assist students </w:t>
      </w:r>
      <w:r>
        <w:rPr>
          <w:noProof w:val="0"/>
        </w:rPr>
        <w:t xml:space="preserve">applying </w:t>
      </w:r>
      <w:r w:rsidR="00B04C2F">
        <w:rPr>
          <w:noProof w:val="0"/>
        </w:rPr>
        <w:t>to enter higher education in 2018. Full implementation of all commitments will take longer but should be in place, at the latest, to assist students seeking to enter higher education in 2019.</w:t>
      </w:r>
      <w:r w:rsidR="00CF5BD1" w:rsidRPr="00CF5BD1">
        <w:rPr>
          <w:noProof w:val="0"/>
        </w:rPr>
        <w:t xml:space="preserve"> </w:t>
      </w:r>
      <w:r w:rsidR="00A84335">
        <w:rPr>
          <w:noProof w:val="0"/>
        </w:rPr>
        <w:t>I</w:t>
      </w:r>
      <w:r w:rsidR="0091676E">
        <w:rPr>
          <w:noProof w:val="0"/>
        </w:rPr>
        <w:t>t will take t</w:t>
      </w:r>
      <w:r w:rsidR="00CF5BD1">
        <w:rPr>
          <w:noProof w:val="0"/>
        </w:rPr>
        <w:t xml:space="preserve">ime to fully reconfigure information technology systems and make changes to </w:t>
      </w:r>
      <w:r w:rsidR="0091676E">
        <w:rPr>
          <w:noProof w:val="0"/>
        </w:rPr>
        <w:t xml:space="preserve">the </w:t>
      </w:r>
      <w:r w:rsidR="00CF5BD1">
        <w:rPr>
          <w:noProof w:val="0"/>
        </w:rPr>
        <w:t xml:space="preserve">content </w:t>
      </w:r>
      <w:r w:rsidR="0091676E">
        <w:rPr>
          <w:noProof w:val="0"/>
        </w:rPr>
        <w:t xml:space="preserve">of printed publications </w:t>
      </w:r>
      <w:r w:rsidR="00CF5BD1">
        <w:rPr>
          <w:noProof w:val="0"/>
        </w:rPr>
        <w:t>and websites. A staged approach will provide the opportunity to undertake user testing with intended audiences and draw on the experience of implementing stage one in 2017 in order to refine approaches in 2018 and beyond.</w:t>
      </w:r>
    </w:p>
    <w:p w:rsidR="00B04C2F" w:rsidRDefault="00B04C2F" w:rsidP="00B04C2F">
      <w:pPr>
        <w:pStyle w:val="HERNormal"/>
        <w:rPr>
          <w:noProof w:val="0"/>
        </w:rPr>
      </w:pPr>
      <w:r>
        <w:rPr>
          <w:noProof w:val="0"/>
        </w:rPr>
        <w:t xml:space="preserve">The scope and detail of each of the six objectives is outlined below, along with target timeframes </w:t>
      </w:r>
      <w:r w:rsidR="0003780A">
        <w:rPr>
          <w:noProof w:val="0"/>
        </w:rPr>
        <w:t>for delivering</w:t>
      </w:r>
      <w:r>
        <w:rPr>
          <w:noProof w:val="0"/>
        </w:rPr>
        <w:t xml:space="preserve"> specific elements. A summary of the actions required to implement each of the objectives is outlined in </w:t>
      </w:r>
      <w:r w:rsidR="00CF428B">
        <w:rPr>
          <w:noProof w:val="0"/>
        </w:rPr>
        <w:t xml:space="preserve">the </w:t>
      </w:r>
      <w:r>
        <w:rPr>
          <w:noProof w:val="0"/>
        </w:rPr>
        <w:t>following section.</w:t>
      </w:r>
    </w:p>
    <w:p w:rsidR="00B04C2F" w:rsidRDefault="00B04C2F" w:rsidP="00B04C2F">
      <w:pPr>
        <w:pStyle w:val="HERHeading2"/>
      </w:pPr>
      <w:bookmarkStart w:id="24" w:name="_Toc479782311"/>
      <w:bookmarkStart w:id="25" w:name="_Toc480754872"/>
      <w:bookmarkStart w:id="26" w:name="_Toc482805047"/>
      <w:bookmarkStart w:id="27" w:name="_Toc483350200"/>
      <w:bookmarkStart w:id="28" w:name="_Toc484093487"/>
      <w:r>
        <w:t>Higher Education Sector-led Initiatives</w:t>
      </w:r>
      <w:bookmarkEnd w:id="24"/>
      <w:bookmarkEnd w:id="25"/>
      <w:bookmarkEnd w:id="26"/>
      <w:bookmarkEnd w:id="27"/>
      <w:bookmarkEnd w:id="28"/>
    </w:p>
    <w:p w:rsidR="00B04C2F" w:rsidRDefault="000F7D2E" w:rsidP="00B04C2F">
      <w:pPr>
        <w:pStyle w:val="HERHeading3"/>
        <w:keepNext/>
        <w:numPr>
          <w:ilvl w:val="0"/>
          <w:numId w:val="9"/>
        </w:numPr>
      </w:pPr>
      <w:bookmarkStart w:id="29" w:name="_Toc479782312"/>
      <w:bookmarkStart w:id="30" w:name="_Toc478552080"/>
      <w:bookmarkStart w:id="31" w:name="_Toc480754873"/>
      <w:bookmarkStart w:id="32" w:name="_Toc482805048"/>
      <w:bookmarkStart w:id="33" w:name="_Toc483350201"/>
      <w:bookmarkStart w:id="34" w:name="_Toc484093488"/>
      <w:r>
        <w:t>Consistent</w:t>
      </w:r>
      <w:r w:rsidR="00B04C2F">
        <w:t xml:space="preserve"> presentation of admissions information</w:t>
      </w:r>
      <w:bookmarkEnd w:id="29"/>
      <w:bookmarkEnd w:id="30"/>
      <w:bookmarkEnd w:id="31"/>
      <w:bookmarkEnd w:id="32"/>
      <w:bookmarkEnd w:id="33"/>
      <w:bookmarkEnd w:id="34"/>
    </w:p>
    <w:p w:rsidR="00B04C2F" w:rsidRDefault="00B04C2F" w:rsidP="00B04C2F">
      <w:pPr>
        <w:pStyle w:val="HERNormal"/>
        <w:rPr>
          <w:noProof w:val="0"/>
        </w:rPr>
      </w:pPr>
      <w:r>
        <w:rPr>
          <w:noProof w:val="0"/>
        </w:rPr>
        <w:t>All higher education providers – universities and non-universities alike – will adopt a common approach to the provision of information about:</w:t>
      </w:r>
    </w:p>
    <w:p w:rsidR="00B04C2F" w:rsidRDefault="00B04C2F" w:rsidP="00AE0665">
      <w:pPr>
        <w:pStyle w:val="HERListBullet"/>
        <w:numPr>
          <w:ilvl w:val="0"/>
          <w:numId w:val="30"/>
        </w:numPr>
      </w:pPr>
      <w:r>
        <w:t xml:space="preserve">course and institutional entry </w:t>
      </w:r>
      <w:r w:rsidR="00AB3E40">
        <w:t>criteria</w:t>
      </w:r>
      <w:r>
        <w:t>, including institution-wide policies and any course-specific academic or non-academic requirements or prerequisites</w:t>
      </w:r>
    </w:p>
    <w:p w:rsidR="00B04C2F" w:rsidRDefault="00B04C2F" w:rsidP="00AE0665">
      <w:pPr>
        <w:pStyle w:val="HERListBullet"/>
        <w:numPr>
          <w:ilvl w:val="0"/>
          <w:numId w:val="30"/>
        </w:numPr>
      </w:pPr>
      <w:r>
        <w:t xml:space="preserve">available application or entry </w:t>
      </w:r>
      <w:r w:rsidR="003E7E58">
        <w:t>option</w:t>
      </w:r>
      <w:r>
        <w:t xml:space="preserve">s for all domestic students – both school leavers and </w:t>
      </w:r>
      <w:r w:rsidR="00DD2A36">
        <w:t>others</w:t>
      </w:r>
      <w:r>
        <w:t xml:space="preserve"> – including </w:t>
      </w:r>
      <w:r w:rsidRPr="00E53896">
        <w:t xml:space="preserve">any special or </w:t>
      </w:r>
      <w:r w:rsidR="00206E64">
        <w:t>at</w:t>
      </w:r>
      <w:r w:rsidR="009E3EA2">
        <w:t>-</w:t>
      </w:r>
      <w:r w:rsidR="00206E64">
        <w:t>school offer</w:t>
      </w:r>
      <w:r>
        <w:t xml:space="preserve"> schemes for particular target groups; plus information on the proportion of students entering by each </w:t>
      </w:r>
      <w:r w:rsidR="00CF5BD1">
        <w:t>applicant grouping</w:t>
      </w:r>
    </w:p>
    <w:p w:rsidR="00B04C2F" w:rsidRDefault="00B04C2F" w:rsidP="00AE0665">
      <w:pPr>
        <w:pStyle w:val="HERListBullet"/>
        <w:numPr>
          <w:ilvl w:val="0"/>
          <w:numId w:val="30"/>
        </w:numPr>
      </w:pPr>
      <w:r>
        <w:t>the methods and policies used to assess applications including how any academic rank, auditions, portfolio assessments or other specified tests are used</w:t>
      </w:r>
    </w:p>
    <w:p w:rsidR="00B04C2F" w:rsidRDefault="00B04C2F" w:rsidP="00AE0665">
      <w:pPr>
        <w:pStyle w:val="HERListBullet"/>
        <w:numPr>
          <w:ilvl w:val="0"/>
          <w:numId w:val="30"/>
        </w:numPr>
      </w:pPr>
      <w:r>
        <w:t xml:space="preserve">where ATAR is an element of the application assessment, </w:t>
      </w:r>
      <w:r w:rsidR="00CF4EF0">
        <w:t>details of any ATAR or selection rank criteria or thresholds that may apply</w:t>
      </w:r>
      <w:r>
        <w:t xml:space="preserve">, and how any available </w:t>
      </w:r>
      <w:r w:rsidR="00206E64">
        <w:t>ATAR-related adjustment</w:t>
      </w:r>
      <w:r w:rsidR="00297583">
        <w:t>s</w:t>
      </w:r>
      <w:r>
        <w:t xml:space="preserve"> </w:t>
      </w:r>
      <w:r w:rsidR="00D96D72">
        <w:t xml:space="preserve">(e.g. </w:t>
      </w:r>
      <w:r w:rsidR="00CF4EF0">
        <w:t>equity or subject</w:t>
      </w:r>
      <w:r w:rsidR="0035384E">
        <w:t xml:space="preserve"> ‘bonus points’ </w:t>
      </w:r>
      <w:r w:rsidR="00D96D72">
        <w:t>or reduced thresholds)</w:t>
      </w:r>
      <w:r>
        <w:t xml:space="preserve"> operate</w:t>
      </w:r>
    </w:p>
    <w:p w:rsidR="005306CE" w:rsidRDefault="005306CE" w:rsidP="005306CE">
      <w:pPr>
        <w:pStyle w:val="HERListBullet"/>
        <w:numPr>
          <w:ilvl w:val="0"/>
          <w:numId w:val="30"/>
        </w:numPr>
      </w:pPr>
      <w:r>
        <w:t>academic and non-academic supports</w:t>
      </w:r>
      <w:r w:rsidRPr="003B1726">
        <w:t xml:space="preserve"> </w:t>
      </w:r>
      <w:r>
        <w:t>available within or by referral from the institution, including</w:t>
      </w:r>
      <w:r w:rsidRPr="00C84251">
        <w:t xml:space="preserve"> </w:t>
      </w:r>
      <w:r>
        <w:t>access to career advice</w:t>
      </w:r>
    </w:p>
    <w:p w:rsidR="00B04C2F" w:rsidRDefault="00B04C2F" w:rsidP="00AE0665">
      <w:pPr>
        <w:pStyle w:val="HERListBullet"/>
        <w:numPr>
          <w:ilvl w:val="0"/>
          <w:numId w:val="30"/>
        </w:numPr>
      </w:pPr>
      <w:r>
        <w:t>the cost of study</w:t>
      </w:r>
    </w:p>
    <w:p w:rsidR="00B04C2F" w:rsidRDefault="00B04C2F" w:rsidP="00AE0665">
      <w:pPr>
        <w:pStyle w:val="HERListBullet"/>
        <w:numPr>
          <w:ilvl w:val="0"/>
          <w:numId w:val="30"/>
        </w:numPr>
      </w:pPr>
      <w:r>
        <w:t>financial support available including scholarships, student loans and fee discount schemes</w:t>
      </w:r>
    </w:p>
    <w:p w:rsidR="00B04C2F" w:rsidRDefault="00B04C2F" w:rsidP="00AE0665">
      <w:pPr>
        <w:pStyle w:val="HERListBullet"/>
        <w:numPr>
          <w:ilvl w:val="0"/>
          <w:numId w:val="30"/>
        </w:numPr>
      </w:pPr>
      <w:r>
        <w:t>campus facilities, student life, social and sporting facilities, transport and accommodation options</w:t>
      </w:r>
      <w:r w:rsidRPr="00BE45F3">
        <w:t xml:space="preserve"> </w:t>
      </w:r>
      <w:r>
        <w:t>and student employment opportunities</w:t>
      </w:r>
      <w:r w:rsidR="009E3EA2">
        <w:t>.</w:t>
      </w:r>
    </w:p>
    <w:p w:rsidR="00297583" w:rsidRDefault="002D1AB4" w:rsidP="00B04C2F">
      <w:pPr>
        <w:pStyle w:val="HERNormal"/>
        <w:rPr>
          <w:noProof w:val="0"/>
        </w:rPr>
      </w:pPr>
      <w:r>
        <w:rPr>
          <w:noProof w:val="0"/>
        </w:rPr>
        <w:t xml:space="preserve">The need for increased </w:t>
      </w:r>
      <w:r w:rsidR="005A4472">
        <w:rPr>
          <w:noProof w:val="0"/>
        </w:rPr>
        <w:t xml:space="preserve">consistency and comparability </w:t>
      </w:r>
      <w:r>
        <w:rPr>
          <w:noProof w:val="0"/>
        </w:rPr>
        <w:t xml:space="preserve">in </w:t>
      </w:r>
      <w:r w:rsidR="005A4472">
        <w:rPr>
          <w:noProof w:val="0"/>
        </w:rPr>
        <w:t xml:space="preserve">the types of </w:t>
      </w:r>
      <w:r>
        <w:rPr>
          <w:noProof w:val="0"/>
        </w:rPr>
        <w:t xml:space="preserve">admission </w:t>
      </w:r>
      <w:r w:rsidR="005A4472">
        <w:rPr>
          <w:noProof w:val="0"/>
        </w:rPr>
        <w:t xml:space="preserve">information available </w:t>
      </w:r>
      <w:r>
        <w:rPr>
          <w:noProof w:val="0"/>
        </w:rPr>
        <w:t>is no</w:t>
      </w:r>
      <w:r w:rsidR="005A4472">
        <w:rPr>
          <w:noProof w:val="0"/>
        </w:rPr>
        <w:t>t</w:t>
      </w:r>
      <w:r>
        <w:rPr>
          <w:noProof w:val="0"/>
        </w:rPr>
        <w:t xml:space="preserve"> intended to </w:t>
      </w:r>
      <w:r w:rsidR="005A4472">
        <w:rPr>
          <w:noProof w:val="0"/>
        </w:rPr>
        <w:t xml:space="preserve">drive standardisation in </w:t>
      </w:r>
      <w:r>
        <w:rPr>
          <w:noProof w:val="0"/>
        </w:rPr>
        <w:t xml:space="preserve">admissions </w:t>
      </w:r>
      <w:r w:rsidR="005A4472">
        <w:rPr>
          <w:noProof w:val="0"/>
        </w:rPr>
        <w:t>policies</w:t>
      </w:r>
      <w:r>
        <w:rPr>
          <w:noProof w:val="0"/>
        </w:rPr>
        <w:t>. Instead, the aim is to ensure that, whatever those policies and criteria are, clear</w:t>
      </w:r>
      <w:r w:rsidR="005A4472">
        <w:rPr>
          <w:noProof w:val="0"/>
        </w:rPr>
        <w:t xml:space="preserve"> </w:t>
      </w:r>
      <w:r>
        <w:rPr>
          <w:noProof w:val="0"/>
        </w:rPr>
        <w:t>explan</w:t>
      </w:r>
      <w:r w:rsidR="005A4472">
        <w:rPr>
          <w:noProof w:val="0"/>
        </w:rPr>
        <w:t>ation</w:t>
      </w:r>
      <w:r>
        <w:rPr>
          <w:noProof w:val="0"/>
        </w:rPr>
        <w:t xml:space="preserve">s </w:t>
      </w:r>
      <w:r w:rsidR="005A4472">
        <w:rPr>
          <w:noProof w:val="0"/>
        </w:rPr>
        <w:t xml:space="preserve">of </w:t>
      </w:r>
      <w:r>
        <w:rPr>
          <w:noProof w:val="0"/>
        </w:rPr>
        <w:t xml:space="preserve">the full range of admission and application options and how eligibility </w:t>
      </w:r>
      <w:r w:rsidR="00116691">
        <w:rPr>
          <w:noProof w:val="0"/>
        </w:rPr>
        <w:t xml:space="preserve">for each </w:t>
      </w:r>
      <w:r>
        <w:rPr>
          <w:noProof w:val="0"/>
        </w:rPr>
        <w:t>is assessed</w:t>
      </w:r>
      <w:r w:rsidR="00116691" w:rsidRPr="00116691">
        <w:rPr>
          <w:noProof w:val="0"/>
        </w:rPr>
        <w:t xml:space="preserve"> </w:t>
      </w:r>
      <w:r w:rsidR="00116691">
        <w:rPr>
          <w:noProof w:val="0"/>
        </w:rPr>
        <w:t>are available to prospective students</w:t>
      </w:r>
      <w:r>
        <w:rPr>
          <w:noProof w:val="0"/>
        </w:rPr>
        <w:t>. The autonomy of institutions to set their own admission criteria and processes, consistent with the requirements of the Higher Education Standards Framework, is recognised and encouraged.</w:t>
      </w:r>
    </w:p>
    <w:p w:rsidR="00B04C2F" w:rsidRDefault="00B04C2F" w:rsidP="00B04C2F">
      <w:pPr>
        <w:pStyle w:val="HERNormal"/>
        <w:rPr>
          <w:noProof w:val="0"/>
        </w:rPr>
      </w:pPr>
      <w:r>
        <w:rPr>
          <w:noProof w:val="0"/>
        </w:rPr>
        <w:t xml:space="preserve">The primary mechanism to achieve </w:t>
      </w:r>
      <w:r w:rsidR="00297583">
        <w:rPr>
          <w:noProof w:val="0"/>
        </w:rPr>
        <w:t xml:space="preserve">consistency </w:t>
      </w:r>
      <w:r>
        <w:rPr>
          <w:noProof w:val="0"/>
        </w:rPr>
        <w:t xml:space="preserve">is the adoption by institutions of common </w:t>
      </w:r>
      <w:r w:rsidR="008E2997">
        <w:rPr>
          <w:noProof w:val="0"/>
        </w:rPr>
        <w:t>‘information sets’</w:t>
      </w:r>
      <w:r>
        <w:rPr>
          <w:noProof w:val="0"/>
        </w:rPr>
        <w:t xml:space="preserve"> for the provision of course and institutional admissions information. </w:t>
      </w:r>
      <w:r w:rsidR="007E7193">
        <w:rPr>
          <w:noProof w:val="0"/>
        </w:rPr>
        <w:t>These will</w:t>
      </w:r>
      <w:r>
        <w:rPr>
          <w:noProof w:val="0"/>
        </w:rPr>
        <w:t xml:space="preserve"> </w:t>
      </w:r>
      <w:r w:rsidR="00297583">
        <w:rPr>
          <w:noProof w:val="0"/>
        </w:rPr>
        <w:t xml:space="preserve">set out </w:t>
      </w:r>
      <w:r>
        <w:rPr>
          <w:noProof w:val="0"/>
        </w:rPr>
        <w:t xml:space="preserve">the types of information </w:t>
      </w:r>
      <w:r w:rsidR="009416E3">
        <w:rPr>
          <w:noProof w:val="0"/>
        </w:rPr>
        <w:t>that</w:t>
      </w:r>
      <w:r>
        <w:rPr>
          <w:noProof w:val="0"/>
        </w:rPr>
        <w:t xml:space="preserve"> all higher education providers </w:t>
      </w:r>
      <w:r w:rsidR="008B2543">
        <w:rPr>
          <w:noProof w:val="0"/>
        </w:rPr>
        <w:t xml:space="preserve">are expected to </w:t>
      </w:r>
      <w:r>
        <w:rPr>
          <w:noProof w:val="0"/>
        </w:rPr>
        <w:t xml:space="preserve">make available through publications and online presence – either through their own website or that of the relevant </w:t>
      </w:r>
      <w:r w:rsidR="00FC7661">
        <w:rPr>
          <w:noProof w:val="0"/>
        </w:rPr>
        <w:t>TAC</w:t>
      </w:r>
      <w:r>
        <w:rPr>
          <w:noProof w:val="0"/>
        </w:rPr>
        <w:t xml:space="preserve">. Where a specified type of information is not relevant </w:t>
      </w:r>
      <w:r w:rsidR="00297583">
        <w:rPr>
          <w:noProof w:val="0"/>
        </w:rPr>
        <w:t xml:space="preserve">to the institution or course </w:t>
      </w:r>
      <w:r>
        <w:rPr>
          <w:noProof w:val="0"/>
        </w:rPr>
        <w:t xml:space="preserve">or not available, this </w:t>
      </w:r>
      <w:r w:rsidR="00297583">
        <w:rPr>
          <w:noProof w:val="0"/>
        </w:rPr>
        <w:t xml:space="preserve">should </w:t>
      </w:r>
      <w:r>
        <w:rPr>
          <w:noProof w:val="0"/>
        </w:rPr>
        <w:t>be indicated for clarity.</w:t>
      </w:r>
    </w:p>
    <w:p w:rsidR="002775F3" w:rsidRDefault="00297583" w:rsidP="00B04C2F">
      <w:pPr>
        <w:pStyle w:val="HERNormal"/>
        <w:rPr>
          <w:noProof w:val="0"/>
        </w:rPr>
      </w:pPr>
      <w:r>
        <w:rPr>
          <w:noProof w:val="0"/>
        </w:rPr>
        <w:t xml:space="preserve">The </w:t>
      </w:r>
      <w:r w:rsidR="008E2997">
        <w:rPr>
          <w:noProof w:val="0"/>
        </w:rPr>
        <w:t>‘information sets’</w:t>
      </w:r>
      <w:r w:rsidR="00B04C2F">
        <w:rPr>
          <w:noProof w:val="0"/>
        </w:rPr>
        <w:t xml:space="preserve"> </w:t>
      </w:r>
      <w:r>
        <w:rPr>
          <w:noProof w:val="0"/>
        </w:rPr>
        <w:t xml:space="preserve">agreed for implementation in 2017 </w:t>
      </w:r>
      <w:r w:rsidR="002924FB">
        <w:rPr>
          <w:noProof w:val="0"/>
        </w:rPr>
        <w:t>to convey whole</w:t>
      </w:r>
      <w:r w:rsidR="001C3215">
        <w:rPr>
          <w:noProof w:val="0"/>
        </w:rPr>
        <w:t>-</w:t>
      </w:r>
      <w:r w:rsidR="002924FB">
        <w:rPr>
          <w:noProof w:val="0"/>
        </w:rPr>
        <w:t>of</w:t>
      </w:r>
      <w:r w:rsidR="001C3215">
        <w:rPr>
          <w:noProof w:val="0"/>
        </w:rPr>
        <w:t>-</w:t>
      </w:r>
      <w:r w:rsidR="002924FB">
        <w:rPr>
          <w:noProof w:val="0"/>
        </w:rPr>
        <w:t xml:space="preserve">institution admission policies (Appendix </w:t>
      </w:r>
      <w:r w:rsidR="00FA3473">
        <w:rPr>
          <w:noProof w:val="0"/>
        </w:rPr>
        <w:t>C</w:t>
      </w:r>
      <w:r w:rsidR="002924FB">
        <w:rPr>
          <w:noProof w:val="0"/>
        </w:rPr>
        <w:t xml:space="preserve">) and course-specific admission </w:t>
      </w:r>
      <w:r w:rsidR="00AB3E40">
        <w:rPr>
          <w:noProof w:val="0"/>
        </w:rPr>
        <w:t>criteria</w:t>
      </w:r>
      <w:r w:rsidR="002924FB">
        <w:rPr>
          <w:noProof w:val="0"/>
        </w:rPr>
        <w:t xml:space="preserve"> (Appendix</w:t>
      </w:r>
      <w:r w:rsidR="00935D0D">
        <w:rPr>
          <w:noProof w:val="0"/>
        </w:rPr>
        <w:t> </w:t>
      </w:r>
      <w:r w:rsidR="002B1208">
        <w:rPr>
          <w:noProof w:val="0"/>
        </w:rPr>
        <w:t>D</w:t>
      </w:r>
      <w:r w:rsidR="002924FB">
        <w:rPr>
          <w:noProof w:val="0"/>
        </w:rPr>
        <w:t xml:space="preserve">) are presented in this plan. </w:t>
      </w:r>
      <w:r w:rsidR="00705ACF">
        <w:rPr>
          <w:noProof w:val="0"/>
        </w:rPr>
        <w:t>T</w:t>
      </w:r>
      <w:r w:rsidR="00B04C2F">
        <w:rPr>
          <w:noProof w:val="0"/>
        </w:rPr>
        <w:t xml:space="preserve">he </w:t>
      </w:r>
      <w:r w:rsidR="00460E0C">
        <w:rPr>
          <w:noProof w:val="0"/>
        </w:rPr>
        <w:t>IWG</w:t>
      </w:r>
      <w:r w:rsidR="00B04C2F">
        <w:rPr>
          <w:noProof w:val="0"/>
        </w:rPr>
        <w:t xml:space="preserve"> will </w:t>
      </w:r>
      <w:r w:rsidR="00705ACF">
        <w:rPr>
          <w:noProof w:val="0"/>
        </w:rPr>
        <w:t xml:space="preserve">continue to </w:t>
      </w:r>
      <w:r w:rsidR="00B04C2F">
        <w:rPr>
          <w:noProof w:val="0"/>
        </w:rPr>
        <w:t xml:space="preserve">refine </w:t>
      </w:r>
      <w:r w:rsidR="00705ACF">
        <w:rPr>
          <w:noProof w:val="0"/>
        </w:rPr>
        <w:t xml:space="preserve">the detail of the </w:t>
      </w:r>
      <w:r w:rsidR="008E2997">
        <w:rPr>
          <w:noProof w:val="0"/>
        </w:rPr>
        <w:t>‘information sets’</w:t>
      </w:r>
      <w:r w:rsidR="00705ACF">
        <w:rPr>
          <w:noProof w:val="0"/>
        </w:rPr>
        <w:t xml:space="preserve"> through feedback from providers on their early experience</w:t>
      </w:r>
      <w:r w:rsidR="001C7B7F">
        <w:rPr>
          <w:noProof w:val="0"/>
        </w:rPr>
        <w:t>s</w:t>
      </w:r>
      <w:r w:rsidR="00705ACF">
        <w:rPr>
          <w:noProof w:val="0"/>
        </w:rPr>
        <w:t>, testing with intended audiences and other means. In early 2018, the IWG will endorse f</w:t>
      </w:r>
      <w:r w:rsidR="002924FB">
        <w:rPr>
          <w:noProof w:val="0"/>
        </w:rPr>
        <w:t xml:space="preserve">inal </w:t>
      </w:r>
      <w:r w:rsidR="00705ACF">
        <w:rPr>
          <w:noProof w:val="0"/>
        </w:rPr>
        <w:t xml:space="preserve">formats for the </w:t>
      </w:r>
      <w:r w:rsidR="008E2997">
        <w:rPr>
          <w:noProof w:val="0"/>
        </w:rPr>
        <w:t>‘information sets’</w:t>
      </w:r>
      <w:r w:rsidR="00705ACF">
        <w:rPr>
          <w:noProof w:val="0"/>
        </w:rPr>
        <w:t xml:space="preserve"> </w:t>
      </w:r>
      <w:r w:rsidR="00B04C2F">
        <w:rPr>
          <w:noProof w:val="0"/>
        </w:rPr>
        <w:t xml:space="preserve">that the higher education sector </w:t>
      </w:r>
      <w:r w:rsidR="002924FB">
        <w:rPr>
          <w:noProof w:val="0"/>
        </w:rPr>
        <w:t xml:space="preserve">can </w:t>
      </w:r>
      <w:r w:rsidR="00722553">
        <w:rPr>
          <w:noProof w:val="0"/>
        </w:rPr>
        <w:t xml:space="preserve">commit </w:t>
      </w:r>
      <w:r w:rsidR="00B04C2F">
        <w:rPr>
          <w:noProof w:val="0"/>
        </w:rPr>
        <w:t>to adopting</w:t>
      </w:r>
      <w:r w:rsidR="00705ACF">
        <w:rPr>
          <w:noProof w:val="0"/>
        </w:rPr>
        <w:t xml:space="preserve"> to inform students applying to enter higher education in the 2019 academic year</w:t>
      </w:r>
      <w:r w:rsidR="00B04C2F">
        <w:rPr>
          <w:noProof w:val="0"/>
        </w:rPr>
        <w:t>.</w:t>
      </w:r>
    </w:p>
    <w:p w:rsidR="001C7B7F" w:rsidRDefault="005A4472" w:rsidP="00B04C2F">
      <w:pPr>
        <w:pStyle w:val="HERNormal"/>
        <w:rPr>
          <w:noProof w:val="0"/>
        </w:rPr>
      </w:pPr>
      <w:r>
        <w:rPr>
          <w:noProof w:val="0"/>
        </w:rPr>
        <w:t xml:space="preserve">Over time, all admission-related information will migrate to the new approach. </w:t>
      </w:r>
      <w:r w:rsidR="00935D0D">
        <w:rPr>
          <w:noProof w:val="0"/>
        </w:rPr>
        <w:t xml:space="preserve">From 2018 </w:t>
      </w:r>
      <w:r w:rsidR="00601171">
        <w:rPr>
          <w:noProof w:val="0"/>
        </w:rPr>
        <w:t xml:space="preserve">(to support applications for the 2019 academic year and beyond) </w:t>
      </w:r>
      <w:r w:rsidR="001C7B7F">
        <w:rPr>
          <w:noProof w:val="0"/>
        </w:rPr>
        <w:t>i</w:t>
      </w:r>
      <w:r w:rsidR="002775F3">
        <w:rPr>
          <w:noProof w:val="0"/>
        </w:rPr>
        <w:t xml:space="preserve">t is expected that the agreed </w:t>
      </w:r>
      <w:r w:rsidR="008E2997">
        <w:rPr>
          <w:noProof w:val="0"/>
        </w:rPr>
        <w:t>‘information sets’</w:t>
      </w:r>
      <w:r w:rsidR="002775F3">
        <w:rPr>
          <w:noProof w:val="0"/>
        </w:rPr>
        <w:t xml:space="preserve"> will be </w:t>
      </w:r>
      <w:r>
        <w:rPr>
          <w:noProof w:val="0"/>
        </w:rPr>
        <w:t xml:space="preserve">adopted for all </w:t>
      </w:r>
      <w:r w:rsidR="002775F3">
        <w:rPr>
          <w:noProof w:val="0"/>
        </w:rPr>
        <w:t>provider and TAC admission information</w:t>
      </w:r>
      <w:r w:rsidR="00CE2822">
        <w:rPr>
          <w:noProof w:val="0"/>
        </w:rPr>
        <w:t xml:space="preserve">. </w:t>
      </w:r>
      <w:r w:rsidR="003E7A68">
        <w:rPr>
          <w:noProof w:val="0"/>
        </w:rPr>
        <w:t xml:space="preserve">While the full </w:t>
      </w:r>
      <w:r w:rsidR="007E7193">
        <w:rPr>
          <w:noProof w:val="0"/>
        </w:rPr>
        <w:t xml:space="preserve">‘information set’ </w:t>
      </w:r>
      <w:r w:rsidR="003E7A68">
        <w:rPr>
          <w:noProof w:val="0"/>
        </w:rPr>
        <w:t xml:space="preserve">should be available in at least one online location, it is not necessary to publish the full set in all locations. However, if a more limited selection of information is published in </w:t>
      </w:r>
      <w:r>
        <w:rPr>
          <w:noProof w:val="0"/>
        </w:rPr>
        <w:t xml:space="preserve">some </w:t>
      </w:r>
      <w:r w:rsidR="003E7A68">
        <w:rPr>
          <w:noProof w:val="0"/>
        </w:rPr>
        <w:t xml:space="preserve">locations – e.g. in a </w:t>
      </w:r>
      <w:r w:rsidR="00FC7661">
        <w:rPr>
          <w:noProof w:val="0"/>
        </w:rPr>
        <w:t>TAC</w:t>
      </w:r>
      <w:r w:rsidR="003E7A68">
        <w:rPr>
          <w:noProof w:val="0"/>
        </w:rPr>
        <w:t xml:space="preserve"> handbook – </w:t>
      </w:r>
      <w:r>
        <w:rPr>
          <w:noProof w:val="0"/>
        </w:rPr>
        <w:t xml:space="preserve">the content </w:t>
      </w:r>
      <w:r w:rsidR="003E7A68">
        <w:rPr>
          <w:noProof w:val="0"/>
        </w:rPr>
        <w:t xml:space="preserve">should be consistent with the </w:t>
      </w:r>
      <w:r w:rsidR="00601171">
        <w:rPr>
          <w:noProof w:val="0"/>
        </w:rPr>
        <w:t xml:space="preserve">content </w:t>
      </w:r>
      <w:r w:rsidR="003E7A68">
        <w:rPr>
          <w:noProof w:val="0"/>
        </w:rPr>
        <w:t xml:space="preserve">in the full set – e.g. on the provider or </w:t>
      </w:r>
      <w:r w:rsidR="00FC7661">
        <w:rPr>
          <w:noProof w:val="0"/>
        </w:rPr>
        <w:t>TAC</w:t>
      </w:r>
      <w:r w:rsidR="003E7A68">
        <w:rPr>
          <w:noProof w:val="0"/>
        </w:rPr>
        <w:t xml:space="preserve"> website.</w:t>
      </w:r>
    </w:p>
    <w:p w:rsidR="003E7A68" w:rsidRDefault="003E7A68" w:rsidP="00B04C2F">
      <w:pPr>
        <w:pStyle w:val="HERNormal"/>
        <w:rPr>
          <w:noProof w:val="0"/>
        </w:rPr>
      </w:pPr>
      <w:r>
        <w:rPr>
          <w:noProof w:val="0"/>
        </w:rPr>
        <w:t xml:space="preserve">If the full </w:t>
      </w:r>
      <w:r w:rsidR="008E2997">
        <w:rPr>
          <w:noProof w:val="0"/>
        </w:rPr>
        <w:t>‘information sets’</w:t>
      </w:r>
      <w:r>
        <w:rPr>
          <w:noProof w:val="0"/>
        </w:rPr>
        <w:t xml:space="preserve"> </w:t>
      </w:r>
      <w:r w:rsidR="00AF27A6">
        <w:rPr>
          <w:noProof w:val="0"/>
        </w:rPr>
        <w:t>are</w:t>
      </w:r>
      <w:r>
        <w:rPr>
          <w:noProof w:val="0"/>
        </w:rPr>
        <w:t xml:space="preserve"> not hosted on the provider’s own website, links to the full institution and/or course set as relevant should be prominently located on the provider’s site and easily found by prospective students looking for information.</w:t>
      </w:r>
    </w:p>
    <w:p w:rsidR="00B04C2F" w:rsidRDefault="001C7B7F" w:rsidP="00B04C2F">
      <w:pPr>
        <w:pStyle w:val="HERNormal"/>
        <w:rPr>
          <w:noProof w:val="0"/>
        </w:rPr>
      </w:pPr>
      <w:r>
        <w:rPr>
          <w:noProof w:val="0"/>
        </w:rPr>
        <w:t>I</w:t>
      </w:r>
      <w:r w:rsidR="002775F3">
        <w:rPr>
          <w:noProof w:val="0"/>
        </w:rPr>
        <w:t>t is recognised</w:t>
      </w:r>
      <w:r w:rsidR="003E7A68">
        <w:rPr>
          <w:noProof w:val="0"/>
        </w:rPr>
        <w:t xml:space="preserve"> </w:t>
      </w:r>
      <w:r w:rsidR="002775F3">
        <w:rPr>
          <w:noProof w:val="0"/>
        </w:rPr>
        <w:t>that</w:t>
      </w:r>
      <w:r w:rsidR="00CE2822">
        <w:rPr>
          <w:noProof w:val="0"/>
        </w:rPr>
        <w:t xml:space="preserve"> </w:t>
      </w:r>
      <w:r w:rsidR="004919EA">
        <w:rPr>
          <w:noProof w:val="0"/>
        </w:rPr>
        <w:t xml:space="preserve">it </w:t>
      </w:r>
      <w:r w:rsidR="002775F3">
        <w:rPr>
          <w:noProof w:val="0"/>
        </w:rPr>
        <w:t xml:space="preserve">may take time to </w:t>
      </w:r>
      <w:r w:rsidR="00C26425">
        <w:rPr>
          <w:noProof w:val="0"/>
        </w:rPr>
        <w:t xml:space="preserve">reach </w:t>
      </w:r>
      <w:r w:rsidR="002775F3">
        <w:rPr>
          <w:noProof w:val="0"/>
        </w:rPr>
        <w:t xml:space="preserve">the level of sophistication </w:t>
      </w:r>
      <w:r w:rsidR="007C46FB">
        <w:rPr>
          <w:noProof w:val="0"/>
        </w:rPr>
        <w:t xml:space="preserve">to which </w:t>
      </w:r>
      <w:r>
        <w:rPr>
          <w:noProof w:val="0"/>
        </w:rPr>
        <w:t xml:space="preserve">both </w:t>
      </w:r>
      <w:r w:rsidR="002775F3">
        <w:rPr>
          <w:noProof w:val="0"/>
        </w:rPr>
        <w:t xml:space="preserve">institutions </w:t>
      </w:r>
      <w:r>
        <w:rPr>
          <w:noProof w:val="0"/>
        </w:rPr>
        <w:t xml:space="preserve">and the guiding principles </w:t>
      </w:r>
      <w:r w:rsidR="002775F3">
        <w:rPr>
          <w:noProof w:val="0"/>
        </w:rPr>
        <w:t xml:space="preserve">aspire. In </w:t>
      </w:r>
      <w:r w:rsidR="005402B6">
        <w:rPr>
          <w:noProof w:val="0"/>
        </w:rPr>
        <w:t>2017</w:t>
      </w:r>
      <w:r w:rsidR="002775F3">
        <w:rPr>
          <w:noProof w:val="0"/>
        </w:rPr>
        <w:t>, a ‘best endeavours’ approach will be sufficient to ensure that the information is available in the agreed formats</w:t>
      </w:r>
      <w:r w:rsidR="00531709">
        <w:rPr>
          <w:noProof w:val="0"/>
        </w:rPr>
        <w:t>,</w:t>
      </w:r>
      <w:r w:rsidR="002775F3">
        <w:rPr>
          <w:noProof w:val="0"/>
        </w:rPr>
        <w:t xml:space="preserve"> even if this is as a separate document or series of documents, in addition to existing approaches on institution websites.</w:t>
      </w:r>
    </w:p>
    <w:p w:rsidR="00B04C2F" w:rsidRDefault="00B04C2F" w:rsidP="00B04C2F">
      <w:pPr>
        <w:pStyle w:val="HERHeading4FigureHeading"/>
        <w:keepNext/>
      </w:pPr>
      <w:r>
        <w:t>When:</w:t>
      </w:r>
      <w:r w:rsidR="005402B6">
        <w:t xml:space="preserve"> </w:t>
      </w:r>
      <w:r w:rsidR="005402B6">
        <w:br/>
      </w:r>
      <w:r w:rsidR="005402B6" w:rsidRPr="00080C24">
        <w:rPr>
          <w:b w:val="0"/>
        </w:rPr>
        <w:t>(</w:t>
      </w:r>
      <w:r w:rsidR="005402B6">
        <w:rPr>
          <w:b w:val="0"/>
        </w:rPr>
        <w:t xml:space="preserve">for achievement, at the latest, by the </w:t>
      </w:r>
      <w:r w:rsidR="005402B6" w:rsidRPr="00080C24">
        <w:rPr>
          <w:b w:val="0"/>
        </w:rPr>
        <w:t>end of the month indicated)</w:t>
      </w:r>
    </w:p>
    <w:p w:rsidR="00E549FB" w:rsidRPr="000B1DCA" w:rsidRDefault="00E549FB" w:rsidP="00E549FB">
      <w:pPr>
        <w:pStyle w:val="HERNormal"/>
        <w:rPr>
          <w:noProof w:val="0"/>
        </w:rPr>
      </w:pPr>
      <w:r w:rsidRPr="000B1DCA">
        <w:rPr>
          <w:noProof w:val="0"/>
          <w:u w:val="single"/>
        </w:rPr>
        <w:t xml:space="preserve">By </w:t>
      </w:r>
      <w:r>
        <w:rPr>
          <w:noProof w:val="0"/>
          <w:u w:val="single"/>
        </w:rPr>
        <w:t>June 2017</w:t>
      </w:r>
      <w:r w:rsidRPr="000B1DCA">
        <w:rPr>
          <w:noProof w:val="0"/>
        </w:rPr>
        <w:t xml:space="preserve">: </w:t>
      </w:r>
      <w:r>
        <w:rPr>
          <w:noProof w:val="0"/>
        </w:rPr>
        <w:t xml:space="preserve">detail of </w:t>
      </w:r>
      <w:r w:rsidR="001C7B7F">
        <w:rPr>
          <w:noProof w:val="0"/>
        </w:rPr>
        <w:t xml:space="preserve">provisional </w:t>
      </w:r>
      <w:r w:rsidR="008E3E86">
        <w:rPr>
          <w:noProof w:val="0"/>
        </w:rPr>
        <w:t>‘</w:t>
      </w:r>
      <w:r>
        <w:rPr>
          <w:noProof w:val="0"/>
        </w:rPr>
        <w:t>information sets</w:t>
      </w:r>
      <w:r w:rsidR="008E3E86">
        <w:rPr>
          <w:noProof w:val="0"/>
        </w:rPr>
        <w:t>’</w:t>
      </w:r>
      <w:r>
        <w:rPr>
          <w:noProof w:val="0"/>
        </w:rPr>
        <w:t xml:space="preserve"> </w:t>
      </w:r>
      <w:r w:rsidR="008E3E86">
        <w:rPr>
          <w:noProof w:val="0"/>
        </w:rPr>
        <w:t xml:space="preserve">that set out the types of information and minimum information requirements that providers and, where appropriate, </w:t>
      </w:r>
      <w:r w:rsidR="00FC7661">
        <w:rPr>
          <w:noProof w:val="0"/>
        </w:rPr>
        <w:t>TAC</w:t>
      </w:r>
      <w:r w:rsidR="008E3E86">
        <w:rPr>
          <w:noProof w:val="0"/>
        </w:rPr>
        <w:t xml:space="preserve">s will convey </w:t>
      </w:r>
      <w:r w:rsidRPr="000B1DCA">
        <w:rPr>
          <w:noProof w:val="0"/>
        </w:rPr>
        <w:t xml:space="preserve">about institution-wide and course-specific admission </w:t>
      </w:r>
      <w:r>
        <w:rPr>
          <w:noProof w:val="0"/>
        </w:rPr>
        <w:t>options</w:t>
      </w:r>
      <w:r w:rsidRPr="000B1DCA">
        <w:rPr>
          <w:noProof w:val="0"/>
        </w:rPr>
        <w:t xml:space="preserve"> and entry </w:t>
      </w:r>
      <w:r w:rsidR="00AB3E40">
        <w:rPr>
          <w:noProof w:val="0"/>
        </w:rPr>
        <w:t>criteria</w:t>
      </w:r>
      <w:r w:rsidRPr="000B1DCA">
        <w:rPr>
          <w:noProof w:val="0"/>
        </w:rPr>
        <w:t xml:space="preserve"> </w:t>
      </w:r>
      <w:r w:rsidR="008E3E86">
        <w:rPr>
          <w:noProof w:val="0"/>
        </w:rPr>
        <w:t xml:space="preserve">will be </w:t>
      </w:r>
      <w:r>
        <w:rPr>
          <w:noProof w:val="0"/>
        </w:rPr>
        <w:t>agreed</w:t>
      </w:r>
      <w:r w:rsidR="00115467">
        <w:rPr>
          <w:noProof w:val="0"/>
        </w:rPr>
        <w:t xml:space="preserve"> and committed to</w:t>
      </w:r>
      <w:r>
        <w:rPr>
          <w:noProof w:val="0"/>
        </w:rPr>
        <w:t xml:space="preserve"> by the sector</w:t>
      </w:r>
      <w:r w:rsidR="001C7B7F">
        <w:rPr>
          <w:noProof w:val="0"/>
        </w:rPr>
        <w:t xml:space="preserve"> </w:t>
      </w:r>
      <w:r w:rsidR="004F2E72">
        <w:rPr>
          <w:noProof w:val="0"/>
        </w:rPr>
        <w:t xml:space="preserve">– as set out </w:t>
      </w:r>
      <w:r w:rsidR="001C7B7F">
        <w:rPr>
          <w:noProof w:val="0"/>
        </w:rPr>
        <w:t>in this plan</w:t>
      </w:r>
      <w:r w:rsidRPr="000B1DCA">
        <w:rPr>
          <w:noProof w:val="0"/>
        </w:rPr>
        <w:t>.</w:t>
      </w:r>
    </w:p>
    <w:p w:rsidR="007F3A47" w:rsidRDefault="00B04C2F" w:rsidP="00B04C2F">
      <w:pPr>
        <w:pStyle w:val="HERNormal"/>
        <w:rPr>
          <w:noProof w:val="0"/>
        </w:rPr>
      </w:pPr>
      <w:r w:rsidRPr="003503CF">
        <w:rPr>
          <w:noProof w:val="0"/>
          <w:u w:val="single"/>
        </w:rPr>
        <w:t>By August 2017</w:t>
      </w:r>
      <w:r>
        <w:rPr>
          <w:noProof w:val="0"/>
        </w:rPr>
        <w:t xml:space="preserve">: </w:t>
      </w:r>
      <w:r w:rsidR="007F3A47">
        <w:rPr>
          <w:noProof w:val="0"/>
        </w:rPr>
        <w:t xml:space="preserve">all higher education providers will </w:t>
      </w:r>
      <w:r w:rsidR="00D97C8A">
        <w:rPr>
          <w:noProof w:val="0"/>
        </w:rPr>
        <w:t xml:space="preserve">publish on their </w:t>
      </w:r>
      <w:r w:rsidR="007F3A47">
        <w:rPr>
          <w:noProof w:val="0"/>
        </w:rPr>
        <w:t>websites</w:t>
      </w:r>
      <w:r w:rsidR="00D97C8A">
        <w:rPr>
          <w:noProof w:val="0"/>
        </w:rPr>
        <w:t>, or otherwise make readily available</w:t>
      </w:r>
      <w:r w:rsidR="007F3A47">
        <w:rPr>
          <w:noProof w:val="0"/>
        </w:rPr>
        <w:t>:</w:t>
      </w:r>
    </w:p>
    <w:p w:rsidR="007F3A47" w:rsidRDefault="00AB0686" w:rsidP="006A4667">
      <w:pPr>
        <w:pStyle w:val="HERListBullet"/>
        <w:numPr>
          <w:ilvl w:val="0"/>
          <w:numId w:val="30"/>
        </w:numPr>
      </w:pPr>
      <w:r>
        <w:t>i</w:t>
      </w:r>
      <w:r w:rsidR="007F3A47">
        <w:t xml:space="preserve">nformation about their institutional admissions policies, consistent with the whole-of-institution </w:t>
      </w:r>
      <w:r w:rsidR="007E7193">
        <w:t xml:space="preserve">‘information set’ </w:t>
      </w:r>
      <w:r w:rsidR="007F3A47">
        <w:t>outlined at Appendix C.</w:t>
      </w:r>
    </w:p>
    <w:p w:rsidR="007F3A47" w:rsidRDefault="00AB0686" w:rsidP="006A4667">
      <w:pPr>
        <w:pStyle w:val="HERListBullet"/>
        <w:numPr>
          <w:ilvl w:val="0"/>
          <w:numId w:val="30"/>
        </w:numPr>
      </w:pPr>
      <w:r>
        <w:t xml:space="preserve">information </w:t>
      </w:r>
      <w:r w:rsidR="007F3A47">
        <w:t xml:space="preserve">about the admission </w:t>
      </w:r>
      <w:r w:rsidR="00AB3E40">
        <w:t>criteria</w:t>
      </w:r>
      <w:r w:rsidR="007F3A47">
        <w:t xml:space="preserve"> of each </w:t>
      </w:r>
      <w:r w:rsidR="008E27DE">
        <w:t>program/</w:t>
      </w:r>
      <w:r w:rsidR="007F3A47">
        <w:t xml:space="preserve">course or appropriate cluster of related courses offered by the institution, consistent with the course </w:t>
      </w:r>
      <w:r w:rsidR="007E7193">
        <w:t xml:space="preserve">‘information set’ </w:t>
      </w:r>
      <w:r w:rsidR="007F3A47">
        <w:t>outlined at Appendix D.</w:t>
      </w:r>
    </w:p>
    <w:p w:rsidR="00E36EFE" w:rsidRDefault="00E36EFE" w:rsidP="006A4667">
      <w:pPr>
        <w:pStyle w:val="HERNormal"/>
        <w:rPr>
          <w:noProof w:val="0"/>
        </w:rPr>
      </w:pPr>
      <w:r>
        <w:rPr>
          <w:noProof w:val="0"/>
        </w:rPr>
        <w:t xml:space="preserve">Language used in the </w:t>
      </w:r>
      <w:r w:rsidR="008E2997">
        <w:rPr>
          <w:noProof w:val="0"/>
        </w:rPr>
        <w:t>‘information sets’</w:t>
      </w:r>
      <w:r>
        <w:rPr>
          <w:noProof w:val="0"/>
        </w:rPr>
        <w:t xml:space="preserve"> will be consistent with the agreed common terminology and</w:t>
      </w:r>
      <w:r w:rsidR="001C7B7F">
        <w:rPr>
          <w:noProof w:val="0"/>
        </w:rPr>
        <w:t>, where relevant,</w:t>
      </w:r>
      <w:r>
        <w:rPr>
          <w:noProof w:val="0"/>
        </w:rPr>
        <w:t xml:space="preserve"> ATAR-related thresholds and definitions</w:t>
      </w:r>
      <w:r w:rsidR="001C7B7F">
        <w:rPr>
          <w:noProof w:val="0"/>
        </w:rPr>
        <w:t xml:space="preserve"> at Appendix B</w:t>
      </w:r>
      <w:r>
        <w:rPr>
          <w:noProof w:val="0"/>
        </w:rPr>
        <w:t>.</w:t>
      </w:r>
    </w:p>
    <w:p w:rsidR="005F504B" w:rsidRDefault="00E549FB" w:rsidP="006A4667">
      <w:pPr>
        <w:pStyle w:val="HERNormal"/>
        <w:rPr>
          <w:noProof w:val="0"/>
        </w:rPr>
      </w:pPr>
      <w:r>
        <w:rPr>
          <w:noProof w:val="0"/>
        </w:rPr>
        <w:t xml:space="preserve">As an initial step in 2017, a ‘best endeavours’ approach will be </w:t>
      </w:r>
      <w:r w:rsidR="00350D5E">
        <w:rPr>
          <w:noProof w:val="0"/>
        </w:rPr>
        <w:t>adopted</w:t>
      </w:r>
      <w:r>
        <w:rPr>
          <w:noProof w:val="0"/>
        </w:rPr>
        <w:t xml:space="preserve">. If it is not possible to </w:t>
      </w:r>
      <w:r w:rsidR="00350D5E">
        <w:rPr>
          <w:noProof w:val="0"/>
        </w:rPr>
        <w:t>implement</w:t>
      </w:r>
      <w:r w:rsidR="00350D5E" w:rsidDel="00350D5E">
        <w:rPr>
          <w:noProof w:val="0"/>
        </w:rPr>
        <w:t xml:space="preserve"> </w:t>
      </w:r>
      <w:r>
        <w:rPr>
          <w:noProof w:val="0"/>
        </w:rPr>
        <w:t xml:space="preserve">the </w:t>
      </w:r>
      <w:r w:rsidR="001C1F68">
        <w:rPr>
          <w:noProof w:val="0"/>
        </w:rPr>
        <w:t xml:space="preserve">agreed </w:t>
      </w:r>
      <w:r>
        <w:rPr>
          <w:noProof w:val="0"/>
        </w:rPr>
        <w:t xml:space="preserve">presentation </w:t>
      </w:r>
      <w:r w:rsidR="001C1F68">
        <w:rPr>
          <w:noProof w:val="0"/>
        </w:rPr>
        <w:t xml:space="preserve">of information </w:t>
      </w:r>
      <w:r>
        <w:rPr>
          <w:noProof w:val="0"/>
        </w:rPr>
        <w:t>throughout the institution’s website</w:t>
      </w:r>
      <w:r w:rsidR="006D7C3A">
        <w:rPr>
          <w:noProof w:val="0"/>
        </w:rPr>
        <w:t xml:space="preserve"> during the </w:t>
      </w:r>
      <w:r w:rsidR="005057D3">
        <w:rPr>
          <w:noProof w:val="0"/>
        </w:rPr>
        <w:t>stage</w:t>
      </w:r>
      <w:r w:rsidR="001C1F68">
        <w:rPr>
          <w:noProof w:val="0"/>
        </w:rPr>
        <w:t> </w:t>
      </w:r>
      <w:r w:rsidR="005057D3">
        <w:rPr>
          <w:noProof w:val="0"/>
        </w:rPr>
        <w:t xml:space="preserve">1 </w:t>
      </w:r>
      <w:r w:rsidR="006D7C3A">
        <w:rPr>
          <w:noProof w:val="0"/>
        </w:rPr>
        <w:t xml:space="preserve">transition </w:t>
      </w:r>
      <w:r w:rsidR="005057D3">
        <w:rPr>
          <w:noProof w:val="0"/>
        </w:rPr>
        <w:t>period</w:t>
      </w:r>
      <w:r>
        <w:rPr>
          <w:noProof w:val="0"/>
        </w:rPr>
        <w:t xml:space="preserve">, at the very least a </w:t>
      </w:r>
      <w:r w:rsidR="001C7B7F">
        <w:rPr>
          <w:noProof w:val="0"/>
        </w:rPr>
        <w:t>separate</w:t>
      </w:r>
      <w:r>
        <w:rPr>
          <w:noProof w:val="0"/>
        </w:rPr>
        <w:t xml:space="preserve"> document should be made available </w:t>
      </w:r>
      <w:r w:rsidR="008E3E86">
        <w:rPr>
          <w:noProof w:val="0"/>
        </w:rPr>
        <w:t xml:space="preserve">in a prominent location on the provider website </w:t>
      </w:r>
      <w:r>
        <w:rPr>
          <w:noProof w:val="0"/>
        </w:rPr>
        <w:t xml:space="preserve">that presents the </w:t>
      </w:r>
      <w:r w:rsidR="00FB489F">
        <w:rPr>
          <w:noProof w:val="0"/>
        </w:rPr>
        <w:t xml:space="preserve">requisite </w:t>
      </w:r>
      <w:r>
        <w:rPr>
          <w:noProof w:val="0"/>
        </w:rPr>
        <w:t>information</w:t>
      </w:r>
      <w:r w:rsidR="001C7B7F">
        <w:rPr>
          <w:noProof w:val="0"/>
        </w:rPr>
        <w:t xml:space="preserve"> agreed</w:t>
      </w:r>
      <w:r w:rsidR="003507B6">
        <w:rPr>
          <w:noProof w:val="0"/>
        </w:rPr>
        <w:t xml:space="preserve"> as required in 2017</w:t>
      </w:r>
      <w:r>
        <w:rPr>
          <w:noProof w:val="0"/>
        </w:rPr>
        <w:t>.</w:t>
      </w:r>
      <w:r w:rsidR="008E27DE">
        <w:rPr>
          <w:noProof w:val="0"/>
        </w:rPr>
        <w:t xml:space="preserve"> </w:t>
      </w:r>
      <w:r w:rsidR="003C1B99">
        <w:rPr>
          <w:noProof w:val="0"/>
        </w:rPr>
        <w:t>However</w:t>
      </w:r>
      <w:r w:rsidR="003507B6">
        <w:rPr>
          <w:noProof w:val="0"/>
        </w:rPr>
        <w:t>, providers are encouraged to go beyond the minimum requirement</w:t>
      </w:r>
      <w:r w:rsidR="003C1B99" w:rsidRPr="003C1B99">
        <w:rPr>
          <w:noProof w:val="0"/>
        </w:rPr>
        <w:t xml:space="preserve"> </w:t>
      </w:r>
      <w:r w:rsidR="003C1B99">
        <w:rPr>
          <w:noProof w:val="0"/>
        </w:rPr>
        <w:t>where possible</w:t>
      </w:r>
      <w:r w:rsidR="003507B6">
        <w:rPr>
          <w:noProof w:val="0"/>
        </w:rPr>
        <w:t>.</w:t>
      </w:r>
    </w:p>
    <w:p w:rsidR="00B04C2F" w:rsidRDefault="00E549FB" w:rsidP="006A4667">
      <w:pPr>
        <w:pStyle w:val="HERNormal"/>
        <w:rPr>
          <w:noProof w:val="0"/>
        </w:rPr>
      </w:pPr>
      <w:r>
        <w:rPr>
          <w:noProof w:val="0"/>
        </w:rPr>
        <w:t xml:space="preserve">Trialling use of the </w:t>
      </w:r>
      <w:r w:rsidR="008E2997">
        <w:rPr>
          <w:noProof w:val="0"/>
        </w:rPr>
        <w:t>‘information sets’</w:t>
      </w:r>
      <w:r>
        <w:rPr>
          <w:noProof w:val="0"/>
        </w:rPr>
        <w:t xml:space="preserve"> in this way in 2017 will help to identify any operational issues and to enable the</w:t>
      </w:r>
      <w:r w:rsidR="003507B6">
        <w:rPr>
          <w:noProof w:val="0"/>
        </w:rPr>
        <w:t xml:space="preserve">m to </w:t>
      </w:r>
      <w:r>
        <w:rPr>
          <w:noProof w:val="0"/>
        </w:rPr>
        <w:t xml:space="preserve">be refined </w:t>
      </w:r>
      <w:r w:rsidR="003507B6">
        <w:rPr>
          <w:noProof w:val="0"/>
        </w:rPr>
        <w:t xml:space="preserve">for use </w:t>
      </w:r>
      <w:r>
        <w:rPr>
          <w:noProof w:val="0"/>
        </w:rPr>
        <w:t>in subsequent years.</w:t>
      </w:r>
    </w:p>
    <w:p w:rsidR="00350D5E" w:rsidRDefault="00350D5E" w:rsidP="006A4667">
      <w:pPr>
        <w:pStyle w:val="HERNormal"/>
      </w:pPr>
      <w:r w:rsidRPr="006F1138">
        <w:rPr>
          <w:noProof w:val="0"/>
          <w:u w:val="single"/>
        </w:rPr>
        <w:t>By December 2017</w:t>
      </w:r>
      <w:r>
        <w:rPr>
          <w:noProof w:val="0"/>
        </w:rPr>
        <w:t xml:space="preserve">: the IWG will review </w:t>
      </w:r>
      <w:r w:rsidR="00935D0D">
        <w:rPr>
          <w:noProof w:val="0"/>
        </w:rPr>
        <w:t xml:space="preserve">and agree </w:t>
      </w:r>
      <w:r>
        <w:rPr>
          <w:noProof w:val="0"/>
        </w:rPr>
        <w:t xml:space="preserve">the structure and content of the </w:t>
      </w:r>
      <w:r w:rsidR="008E2997">
        <w:rPr>
          <w:noProof w:val="0"/>
        </w:rPr>
        <w:t>‘information sets’</w:t>
      </w:r>
      <w:r>
        <w:rPr>
          <w:noProof w:val="0"/>
        </w:rPr>
        <w:t xml:space="preserve"> </w:t>
      </w:r>
      <w:r w:rsidR="00935D0D">
        <w:rPr>
          <w:noProof w:val="0"/>
        </w:rPr>
        <w:t xml:space="preserve">for use in 2018 and beyond, </w:t>
      </w:r>
      <w:r>
        <w:rPr>
          <w:noProof w:val="0"/>
        </w:rPr>
        <w:t>in light of providers</w:t>
      </w:r>
      <w:r w:rsidR="00D6454F">
        <w:rPr>
          <w:noProof w:val="0"/>
        </w:rPr>
        <w:t>’</w:t>
      </w:r>
      <w:r>
        <w:rPr>
          <w:noProof w:val="0"/>
        </w:rPr>
        <w:t xml:space="preserve"> </w:t>
      </w:r>
      <w:r w:rsidR="00D6454F">
        <w:rPr>
          <w:noProof w:val="0"/>
        </w:rPr>
        <w:t xml:space="preserve">experience </w:t>
      </w:r>
      <w:r>
        <w:rPr>
          <w:noProof w:val="0"/>
        </w:rPr>
        <w:t>in 2017</w:t>
      </w:r>
      <w:r w:rsidR="00BE0F6A">
        <w:rPr>
          <w:noProof w:val="0"/>
        </w:rPr>
        <w:t xml:space="preserve"> and the findings of TEQSA’s initial work on a formative evaluation of sector responses to the HESP’s recommendations. This review will </w:t>
      </w:r>
      <w:r w:rsidR="00A517D4">
        <w:rPr>
          <w:noProof w:val="0"/>
        </w:rPr>
        <w:t>draw on user feedback</w:t>
      </w:r>
      <w:r w:rsidR="00BE0F6A">
        <w:rPr>
          <w:noProof w:val="0"/>
        </w:rPr>
        <w:t xml:space="preserve"> to fine</w:t>
      </w:r>
      <w:r w:rsidR="00C328F2">
        <w:rPr>
          <w:noProof w:val="0"/>
        </w:rPr>
        <w:t>-</w:t>
      </w:r>
      <w:r w:rsidR="00BE0F6A">
        <w:rPr>
          <w:noProof w:val="0"/>
        </w:rPr>
        <w:t xml:space="preserve">tune the elements of the </w:t>
      </w:r>
      <w:r w:rsidR="008E2997">
        <w:rPr>
          <w:noProof w:val="0"/>
        </w:rPr>
        <w:t>‘information sets’</w:t>
      </w:r>
      <w:r w:rsidR="00BE0F6A">
        <w:rPr>
          <w:noProof w:val="0"/>
        </w:rPr>
        <w:t xml:space="preserve"> and address any problem</w:t>
      </w:r>
      <w:r w:rsidR="00D6454F">
        <w:rPr>
          <w:noProof w:val="0"/>
        </w:rPr>
        <w:t>s</w:t>
      </w:r>
      <w:r w:rsidR="00BE0F6A">
        <w:rPr>
          <w:noProof w:val="0"/>
        </w:rPr>
        <w:t xml:space="preserve"> identified.</w:t>
      </w:r>
    </w:p>
    <w:p w:rsidR="0007044C" w:rsidRPr="003E3E25" w:rsidRDefault="00B04C2F" w:rsidP="00B04C2F">
      <w:pPr>
        <w:pStyle w:val="HERNormal"/>
        <w:rPr>
          <w:noProof w:val="0"/>
        </w:rPr>
      </w:pPr>
      <w:r>
        <w:rPr>
          <w:noProof w:val="0"/>
          <w:u w:val="single"/>
        </w:rPr>
        <w:t xml:space="preserve">By </w:t>
      </w:r>
      <w:r w:rsidR="00382F89">
        <w:rPr>
          <w:noProof w:val="0"/>
          <w:u w:val="single"/>
        </w:rPr>
        <w:t xml:space="preserve">May </w:t>
      </w:r>
      <w:r>
        <w:rPr>
          <w:noProof w:val="0"/>
          <w:u w:val="single"/>
        </w:rPr>
        <w:t>2018</w:t>
      </w:r>
      <w:r>
        <w:rPr>
          <w:noProof w:val="0"/>
        </w:rPr>
        <w:t>:</w:t>
      </w:r>
      <w:r w:rsidRPr="003E3E25">
        <w:rPr>
          <w:noProof w:val="0"/>
        </w:rPr>
        <w:t xml:space="preserve"> all </w:t>
      </w:r>
      <w:r w:rsidR="00FC7661">
        <w:rPr>
          <w:noProof w:val="0"/>
        </w:rPr>
        <w:t>TAC</w:t>
      </w:r>
      <w:r w:rsidR="003E7E58" w:rsidRPr="003E3E25">
        <w:rPr>
          <w:noProof w:val="0"/>
        </w:rPr>
        <w:t xml:space="preserve">s </w:t>
      </w:r>
      <w:r w:rsidR="003E7E58">
        <w:rPr>
          <w:noProof w:val="0"/>
        </w:rPr>
        <w:t xml:space="preserve">as well as </w:t>
      </w:r>
      <w:r w:rsidRPr="003E3E25">
        <w:rPr>
          <w:noProof w:val="0"/>
        </w:rPr>
        <w:t xml:space="preserve">higher education providers will adopt the agreed </w:t>
      </w:r>
      <w:r w:rsidR="003507B6">
        <w:rPr>
          <w:noProof w:val="0"/>
        </w:rPr>
        <w:t xml:space="preserve">full </w:t>
      </w:r>
      <w:r w:rsidR="008E2997">
        <w:rPr>
          <w:noProof w:val="0"/>
        </w:rPr>
        <w:t>‘information sets’</w:t>
      </w:r>
      <w:r w:rsidR="00E71C2B">
        <w:rPr>
          <w:noProof w:val="0"/>
        </w:rPr>
        <w:t>.</w:t>
      </w:r>
      <w:r w:rsidR="00441F5C">
        <w:rPr>
          <w:noProof w:val="0"/>
        </w:rPr>
        <w:t xml:space="preserve"> </w:t>
      </w:r>
      <w:r w:rsidR="00B53B1D">
        <w:rPr>
          <w:noProof w:val="0"/>
        </w:rPr>
        <w:t xml:space="preserve">Online </w:t>
      </w:r>
      <w:r w:rsidRPr="003E3E25">
        <w:rPr>
          <w:noProof w:val="0"/>
        </w:rPr>
        <w:t xml:space="preserve">information </w:t>
      </w:r>
      <w:r w:rsidR="00B53B1D">
        <w:rPr>
          <w:noProof w:val="0"/>
        </w:rPr>
        <w:t xml:space="preserve">will be available </w:t>
      </w:r>
      <w:r w:rsidRPr="003E3E25">
        <w:rPr>
          <w:noProof w:val="0"/>
        </w:rPr>
        <w:t xml:space="preserve">about institution-wide and </w:t>
      </w:r>
      <w:r w:rsidR="005F504B">
        <w:rPr>
          <w:noProof w:val="0"/>
        </w:rPr>
        <w:t>program/</w:t>
      </w:r>
      <w:r w:rsidRPr="003E3E25">
        <w:rPr>
          <w:noProof w:val="0"/>
        </w:rPr>
        <w:t xml:space="preserve">course-specific admission </w:t>
      </w:r>
      <w:r w:rsidR="003E7E58">
        <w:rPr>
          <w:noProof w:val="0"/>
        </w:rPr>
        <w:t xml:space="preserve">options </w:t>
      </w:r>
      <w:r w:rsidRPr="003E3E25">
        <w:rPr>
          <w:noProof w:val="0"/>
        </w:rPr>
        <w:t xml:space="preserve">and entry </w:t>
      </w:r>
      <w:r w:rsidR="00AB3E40">
        <w:rPr>
          <w:noProof w:val="0"/>
        </w:rPr>
        <w:t>criteria</w:t>
      </w:r>
      <w:r w:rsidRPr="003E3E25">
        <w:rPr>
          <w:noProof w:val="0"/>
        </w:rPr>
        <w:t xml:space="preserve"> applicable to prospective students for the 2019 academic year</w:t>
      </w:r>
      <w:r w:rsidR="00B53B1D">
        <w:rPr>
          <w:noProof w:val="0"/>
        </w:rPr>
        <w:t>.</w:t>
      </w:r>
      <w:r w:rsidRPr="003E3E25">
        <w:rPr>
          <w:noProof w:val="0"/>
        </w:rPr>
        <w:t xml:space="preserve"> </w:t>
      </w:r>
      <w:r w:rsidR="00B53B1D">
        <w:rPr>
          <w:noProof w:val="0"/>
        </w:rPr>
        <w:t>I</w:t>
      </w:r>
      <w:r w:rsidR="00E16B4B">
        <w:rPr>
          <w:noProof w:val="0"/>
        </w:rPr>
        <w:t>nformation</w:t>
      </w:r>
      <w:r w:rsidR="00FC2EAA">
        <w:rPr>
          <w:noProof w:val="0"/>
        </w:rPr>
        <w:t xml:space="preserve"> </w:t>
      </w:r>
      <w:r w:rsidR="00B53B1D">
        <w:rPr>
          <w:noProof w:val="0"/>
        </w:rPr>
        <w:t xml:space="preserve">will also be </w:t>
      </w:r>
      <w:r w:rsidR="00E16B4B">
        <w:rPr>
          <w:noProof w:val="0"/>
        </w:rPr>
        <w:t xml:space="preserve">available for inclusion </w:t>
      </w:r>
      <w:r w:rsidR="00FC2EAA">
        <w:rPr>
          <w:noProof w:val="0"/>
        </w:rPr>
        <w:t xml:space="preserve">in </w:t>
      </w:r>
      <w:r w:rsidR="00E16B4B">
        <w:rPr>
          <w:noProof w:val="0"/>
        </w:rPr>
        <w:t>a national admissions information platform</w:t>
      </w:r>
      <w:r w:rsidRPr="003E3E25">
        <w:rPr>
          <w:noProof w:val="0"/>
        </w:rPr>
        <w:t>.</w:t>
      </w:r>
      <w:r w:rsidR="002C4BBA">
        <w:rPr>
          <w:noProof w:val="0"/>
        </w:rPr>
        <w:t xml:space="preserve"> </w:t>
      </w:r>
      <w:r w:rsidR="0007044C">
        <w:rPr>
          <w:noProof w:val="0"/>
        </w:rPr>
        <w:t xml:space="preserve">Institutions should engage as needed with their publication partners to determine their own </w:t>
      </w:r>
      <w:r w:rsidR="002C4BBA">
        <w:rPr>
          <w:noProof w:val="0"/>
        </w:rPr>
        <w:t>required timelines</w:t>
      </w:r>
      <w:r w:rsidR="0007044C">
        <w:rPr>
          <w:noProof w:val="0"/>
        </w:rPr>
        <w:t>.</w:t>
      </w:r>
    </w:p>
    <w:p w:rsidR="00B04C2F" w:rsidRPr="003E3E25" w:rsidRDefault="00B04C2F" w:rsidP="00B04C2F">
      <w:pPr>
        <w:pStyle w:val="HERNormal"/>
        <w:rPr>
          <w:noProof w:val="0"/>
        </w:rPr>
      </w:pPr>
      <w:r w:rsidRPr="003E3E25">
        <w:rPr>
          <w:noProof w:val="0"/>
          <w:u w:val="single"/>
        </w:rPr>
        <w:t xml:space="preserve">By </w:t>
      </w:r>
      <w:r>
        <w:rPr>
          <w:noProof w:val="0"/>
          <w:u w:val="single"/>
        </w:rPr>
        <w:t>July</w:t>
      </w:r>
      <w:r w:rsidRPr="003E3E25">
        <w:rPr>
          <w:noProof w:val="0"/>
          <w:u w:val="single"/>
        </w:rPr>
        <w:t xml:space="preserve"> 2019</w:t>
      </w:r>
      <w:r>
        <w:rPr>
          <w:noProof w:val="0"/>
        </w:rPr>
        <w:t>:</w:t>
      </w:r>
      <w:r w:rsidRPr="003E3E25">
        <w:rPr>
          <w:noProof w:val="0"/>
        </w:rPr>
        <w:t xml:space="preserve"> the Department of Education and Training will implement any necessary changes to data collection through the Higher Education Information Management System (HEIMS) or other related information technology systems, to </w:t>
      </w:r>
      <w:r w:rsidR="003507B6" w:rsidRPr="003E3E25">
        <w:rPr>
          <w:noProof w:val="0"/>
        </w:rPr>
        <w:t>full</w:t>
      </w:r>
      <w:r w:rsidR="003507B6">
        <w:rPr>
          <w:noProof w:val="0"/>
        </w:rPr>
        <w:t>y</w:t>
      </w:r>
      <w:r w:rsidR="003507B6" w:rsidRPr="003E3E25">
        <w:rPr>
          <w:noProof w:val="0"/>
        </w:rPr>
        <w:t xml:space="preserve"> </w:t>
      </w:r>
      <w:r w:rsidRPr="003E3E25">
        <w:rPr>
          <w:noProof w:val="0"/>
        </w:rPr>
        <w:t xml:space="preserve">support the collection and reporting of data required to verify and </w:t>
      </w:r>
      <w:r w:rsidR="004C375B">
        <w:rPr>
          <w:noProof w:val="0"/>
        </w:rPr>
        <w:t>deliver</w:t>
      </w:r>
      <w:r w:rsidRPr="003E3E25">
        <w:rPr>
          <w:noProof w:val="0"/>
        </w:rPr>
        <w:t xml:space="preserve"> the </w:t>
      </w:r>
      <w:r w:rsidR="008E2997">
        <w:rPr>
          <w:noProof w:val="0"/>
        </w:rPr>
        <w:t>‘information sets’</w:t>
      </w:r>
      <w:r w:rsidRPr="003E3E25">
        <w:rPr>
          <w:noProof w:val="0"/>
        </w:rPr>
        <w:t>.</w:t>
      </w:r>
    </w:p>
    <w:p w:rsidR="00B04C2F" w:rsidRDefault="00B04C2F" w:rsidP="00B04C2F">
      <w:pPr>
        <w:pStyle w:val="HERHeading3"/>
        <w:keepNext/>
        <w:numPr>
          <w:ilvl w:val="0"/>
          <w:numId w:val="9"/>
        </w:numPr>
      </w:pPr>
      <w:bookmarkStart w:id="35" w:name="_Toc479782313"/>
      <w:bookmarkStart w:id="36" w:name="_Toc478552081"/>
      <w:bookmarkStart w:id="37" w:name="_Toc480754874"/>
      <w:bookmarkStart w:id="38" w:name="_Toc482805049"/>
      <w:bookmarkStart w:id="39" w:name="_Toc483350202"/>
      <w:bookmarkStart w:id="40" w:name="_Toc484093489"/>
      <w:r>
        <w:t>Adoption of common admissions terminology</w:t>
      </w:r>
      <w:bookmarkEnd w:id="35"/>
      <w:bookmarkEnd w:id="36"/>
      <w:bookmarkEnd w:id="37"/>
      <w:bookmarkEnd w:id="38"/>
      <w:bookmarkEnd w:id="39"/>
      <w:bookmarkEnd w:id="40"/>
    </w:p>
    <w:p w:rsidR="00B04C2F" w:rsidRDefault="00B04C2F" w:rsidP="00B04C2F">
      <w:pPr>
        <w:pStyle w:val="HERNormal"/>
        <w:rPr>
          <w:noProof w:val="0"/>
        </w:rPr>
      </w:pPr>
      <w:r>
        <w:rPr>
          <w:noProof w:val="0"/>
        </w:rPr>
        <w:t xml:space="preserve">To enhance the ability of prospective students to compare course offerings across institutions, the sector will adopt consistent usage of </w:t>
      </w:r>
      <w:r w:rsidR="00845ED3">
        <w:rPr>
          <w:noProof w:val="0"/>
        </w:rPr>
        <w:t xml:space="preserve">agreed </w:t>
      </w:r>
      <w:r>
        <w:rPr>
          <w:noProof w:val="0"/>
        </w:rPr>
        <w:t>terms and phrases to describe common admission-related concepts and actions. This will help to reduce confusion and remove questions of difference arising where none exists.</w:t>
      </w:r>
    </w:p>
    <w:p w:rsidR="00B04C2F" w:rsidRDefault="00B04C2F" w:rsidP="00B04C2F">
      <w:pPr>
        <w:pStyle w:val="HERNormal"/>
        <w:rPr>
          <w:noProof w:val="0"/>
        </w:rPr>
      </w:pPr>
      <w:r>
        <w:rPr>
          <w:noProof w:val="0"/>
        </w:rPr>
        <w:t xml:space="preserve">This is particularly relevant to issues relating to special entry </w:t>
      </w:r>
      <w:r w:rsidR="00AB3E40">
        <w:rPr>
          <w:noProof w:val="0"/>
        </w:rPr>
        <w:t>criteria</w:t>
      </w:r>
      <w:r>
        <w:rPr>
          <w:noProof w:val="0"/>
        </w:rPr>
        <w:t xml:space="preserve"> and equity-related application </w:t>
      </w:r>
      <w:r w:rsidR="003E7E58">
        <w:rPr>
          <w:noProof w:val="0"/>
        </w:rPr>
        <w:t>option</w:t>
      </w:r>
      <w:r>
        <w:rPr>
          <w:noProof w:val="0"/>
        </w:rPr>
        <w:t>s</w:t>
      </w:r>
      <w:r w:rsidR="004F2E72">
        <w:rPr>
          <w:noProof w:val="0"/>
        </w:rPr>
        <w:t>. S</w:t>
      </w:r>
      <w:r>
        <w:rPr>
          <w:noProof w:val="0"/>
        </w:rPr>
        <w:t>tudents seeking access through these schemes</w:t>
      </w:r>
      <w:r w:rsidR="00D97C8A">
        <w:rPr>
          <w:noProof w:val="0"/>
        </w:rPr>
        <w:t xml:space="preserve">, or eligible to do so, </w:t>
      </w:r>
      <w:r>
        <w:rPr>
          <w:noProof w:val="0"/>
        </w:rPr>
        <w:t xml:space="preserve">may have difficulty discerning whether </w:t>
      </w:r>
      <w:r w:rsidR="00D6454F">
        <w:rPr>
          <w:noProof w:val="0"/>
        </w:rPr>
        <w:t xml:space="preserve">or not </w:t>
      </w:r>
      <w:r>
        <w:rPr>
          <w:noProof w:val="0"/>
        </w:rPr>
        <w:t>different language implies different requirements.</w:t>
      </w:r>
    </w:p>
    <w:p w:rsidR="004F2E72" w:rsidRDefault="004F2E72" w:rsidP="00B04C2F">
      <w:pPr>
        <w:pStyle w:val="HERNormal"/>
        <w:rPr>
          <w:noProof w:val="0"/>
        </w:rPr>
      </w:pPr>
      <w:r>
        <w:rPr>
          <w:noProof w:val="0"/>
        </w:rPr>
        <w:t xml:space="preserve">Appendix B sets out the common terms and ATAR-related definitions to be adopted in the </w:t>
      </w:r>
      <w:r w:rsidR="00DB12E9">
        <w:rPr>
          <w:noProof w:val="0"/>
        </w:rPr>
        <w:t>initial</w:t>
      </w:r>
      <w:r>
        <w:rPr>
          <w:noProof w:val="0"/>
        </w:rPr>
        <w:t xml:space="preserve"> stages of implementation. These are terms and concepts needed to support adoption of the </w:t>
      </w:r>
      <w:r w:rsidR="008E2997">
        <w:rPr>
          <w:noProof w:val="0"/>
        </w:rPr>
        <w:t>‘information sets’</w:t>
      </w:r>
      <w:r>
        <w:rPr>
          <w:noProof w:val="0"/>
        </w:rPr>
        <w:t xml:space="preserve"> </w:t>
      </w:r>
      <w:r w:rsidR="00475C78">
        <w:rPr>
          <w:noProof w:val="0"/>
        </w:rPr>
        <w:t xml:space="preserve">at Appendices C and D </w:t>
      </w:r>
      <w:r>
        <w:rPr>
          <w:noProof w:val="0"/>
        </w:rPr>
        <w:t xml:space="preserve">in 2017. This </w:t>
      </w:r>
      <w:r w:rsidR="00914507">
        <w:rPr>
          <w:noProof w:val="0"/>
        </w:rPr>
        <w:t>include</w:t>
      </w:r>
      <w:r>
        <w:rPr>
          <w:noProof w:val="0"/>
        </w:rPr>
        <w:t>s</w:t>
      </w:r>
      <w:r w:rsidR="00914507">
        <w:rPr>
          <w:noProof w:val="0"/>
        </w:rPr>
        <w:t xml:space="preserve"> </w:t>
      </w:r>
      <w:r w:rsidR="00C62274">
        <w:rPr>
          <w:noProof w:val="0"/>
        </w:rPr>
        <w:t xml:space="preserve">terminology relating to </w:t>
      </w:r>
      <w:r w:rsidR="00B04C2F">
        <w:rPr>
          <w:noProof w:val="0"/>
        </w:rPr>
        <w:t xml:space="preserve">the main </w:t>
      </w:r>
      <w:r w:rsidR="004E5C0C">
        <w:rPr>
          <w:noProof w:val="0"/>
        </w:rPr>
        <w:t>applicant</w:t>
      </w:r>
      <w:r w:rsidR="00B04C2F">
        <w:rPr>
          <w:noProof w:val="0"/>
        </w:rPr>
        <w:t xml:space="preserve"> </w:t>
      </w:r>
      <w:r w:rsidR="00475C78">
        <w:rPr>
          <w:noProof w:val="0"/>
        </w:rPr>
        <w:t xml:space="preserve">pathways into higher education </w:t>
      </w:r>
      <w:r w:rsidR="00B04C2F">
        <w:rPr>
          <w:noProof w:val="0"/>
        </w:rPr>
        <w:t xml:space="preserve">and various types of </w:t>
      </w:r>
      <w:r w:rsidR="00702252">
        <w:rPr>
          <w:noProof w:val="0"/>
        </w:rPr>
        <w:t>ATAR-related adjustment factor</w:t>
      </w:r>
      <w:r w:rsidR="00B04C2F">
        <w:rPr>
          <w:noProof w:val="0"/>
        </w:rPr>
        <w:t>s that may be available depending on students’ circumstances</w:t>
      </w:r>
      <w:r>
        <w:rPr>
          <w:noProof w:val="0"/>
        </w:rPr>
        <w:t>.</w:t>
      </w:r>
    </w:p>
    <w:p w:rsidR="004F2E72" w:rsidRDefault="004F2E72" w:rsidP="00B04C2F">
      <w:pPr>
        <w:pStyle w:val="HERNormal"/>
        <w:rPr>
          <w:noProof w:val="0"/>
        </w:rPr>
      </w:pPr>
      <w:r>
        <w:rPr>
          <w:noProof w:val="0"/>
        </w:rPr>
        <w:t>It also outlines new expressions for ATAR-related reporting</w:t>
      </w:r>
      <w:r w:rsidR="00475C78">
        <w:rPr>
          <w:noProof w:val="0"/>
        </w:rPr>
        <w:t>. I</w:t>
      </w:r>
      <w:r>
        <w:rPr>
          <w:noProof w:val="0"/>
        </w:rPr>
        <w:t xml:space="preserve">n 2017 </w:t>
      </w:r>
      <w:r w:rsidR="00475C78">
        <w:rPr>
          <w:noProof w:val="0"/>
        </w:rPr>
        <w:t xml:space="preserve">these </w:t>
      </w:r>
      <w:r>
        <w:rPr>
          <w:noProof w:val="0"/>
        </w:rPr>
        <w:t xml:space="preserve">may be used </w:t>
      </w:r>
      <w:r w:rsidR="00475C78">
        <w:rPr>
          <w:noProof w:val="0"/>
        </w:rPr>
        <w:t xml:space="preserve">alongside </w:t>
      </w:r>
      <w:r>
        <w:rPr>
          <w:noProof w:val="0"/>
        </w:rPr>
        <w:t>current reporting of ATAR “cut-off” and “clearly-in” rankings</w:t>
      </w:r>
      <w:r w:rsidR="00B04C2F">
        <w:rPr>
          <w:noProof w:val="0"/>
        </w:rPr>
        <w:t xml:space="preserve">. </w:t>
      </w:r>
      <w:r>
        <w:rPr>
          <w:noProof w:val="0"/>
        </w:rPr>
        <w:t xml:space="preserve">From </w:t>
      </w:r>
      <w:r w:rsidR="00475C78">
        <w:rPr>
          <w:noProof w:val="0"/>
        </w:rPr>
        <w:t xml:space="preserve">information supporting </w:t>
      </w:r>
      <w:r>
        <w:rPr>
          <w:noProof w:val="0"/>
        </w:rPr>
        <w:t>201</w:t>
      </w:r>
      <w:r w:rsidR="00ED2F5F">
        <w:rPr>
          <w:noProof w:val="0"/>
        </w:rPr>
        <w:t>9</w:t>
      </w:r>
      <w:r>
        <w:rPr>
          <w:noProof w:val="0"/>
        </w:rPr>
        <w:t xml:space="preserve"> </w:t>
      </w:r>
      <w:r w:rsidR="00ED2F5F">
        <w:rPr>
          <w:noProof w:val="0"/>
        </w:rPr>
        <w:t xml:space="preserve">admissions </w:t>
      </w:r>
      <w:r>
        <w:rPr>
          <w:noProof w:val="0"/>
        </w:rPr>
        <w:t>onwards, us</w:t>
      </w:r>
      <w:r w:rsidR="00ED2F5F">
        <w:rPr>
          <w:noProof w:val="0"/>
        </w:rPr>
        <w:t>e</w:t>
      </w:r>
      <w:r>
        <w:rPr>
          <w:noProof w:val="0"/>
        </w:rPr>
        <w:t xml:space="preserve"> of those legacy terms should be discontinued by all stakeholders and </w:t>
      </w:r>
      <w:r w:rsidRPr="00475C78">
        <w:rPr>
          <w:noProof w:val="0"/>
        </w:rPr>
        <w:t>replaced</w:t>
      </w:r>
      <w:r>
        <w:rPr>
          <w:noProof w:val="0"/>
        </w:rPr>
        <w:t xml:space="preserve"> by the new terms. </w:t>
      </w:r>
    </w:p>
    <w:p w:rsidR="00B04C2F" w:rsidRDefault="004F2E72" w:rsidP="00B04C2F">
      <w:pPr>
        <w:pStyle w:val="HERNormal"/>
        <w:rPr>
          <w:noProof w:val="0"/>
        </w:rPr>
      </w:pPr>
      <w:r>
        <w:rPr>
          <w:noProof w:val="0"/>
        </w:rPr>
        <w:t>Over the rest of 2017, t</w:t>
      </w:r>
      <w:r w:rsidR="00B04C2F">
        <w:rPr>
          <w:noProof w:val="0"/>
        </w:rPr>
        <w:t xml:space="preserve">he </w:t>
      </w:r>
      <w:r w:rsidR="00B243D3">
        <w:rPr>
          <w:noProof w:val="0"/>
        </w:rPr>
        <w:t>IWG</w:t>
      </w:r>
      <w:r w:rsidR="00B04C2F">
        <w:rPr>
          <w:noProof w:val="0"/>
        </w:rPr>
        <w:t xml:space="preserve"> </w:t>
      </w:r>
      <w:r w:rsidR="004C375B">
        <w:rPr>
          <w:noProof w:val="0"/>
        </w:rPr>
        <w:t xml:space="preserve">in consultation with stakeholders </w:t>
      </w:r>
      <w:r w:rsidR="00B04C2F">
        <w:rPr>
          <w:noProof w:val="0"/>
        </w:rPr>
        <w:t xml:space="preserve">will refine and agree </w:t>
      </w:r>
      <w:r>
        <w:rPr>
          <w:noProof w:val="0"/>
        </w:rPr>
        <w:t xml:space="preserve">a more comprehensive </w:t>
      </w:r>
      <w:r w:rsidR="00B04C2F">
        <w:rPr>
          <w:noProof w:val="0"/>
        </w:rPr>
        <w:t>list of common terms and definitions</w:t>
      </w:r>
      <w:r>
        <w:rPr>
          <w:noProof w:val="0"/>
        </w:rPr>
        <w:t xml:space="preserve"> </w:t>
      </w:r>
      <w:r w:rsidR="00B04C2F">
        <w:rPr>
          <w:noProof w:val="0"/>
        </w:rPr>
        <w:t>that the entire higher education sector can commit to adopting</w:t>
      </w:r>
      <w:r>
        <w:rPr>
          <w:noProof w:val="0"/>
        </w:rPr>
        <w:t xml:space="preserve"> for use in information for applicants to study in 2019</w:t>
      </w:r>
      <w:r w:rsidR="00B04C2F">
        <w:rPr>
          <w:noProof w:val="0"/>
        </w:rPr>
        <w:t>.</w:t>
      </w:r>
    </w:p>
    <w:p w:rsidR="00B04C2F" w:rsidRDefault="00B04C2F" w:rsidP="00B04C2F">
      <w:pPr>
        <w:pStyle w:val="HERHeading4FigureHeading"/>
        <w:keepNext/>
      </w:pPr>
      <w:r>
        <w:t>When:</w:t>
      </w:r>
    </w:p>
    <w:p w:rsidR="00B04C2F" w:rsidRDefault="00B04C2F" w:rsidP="00B04C2F">
      <w:pPr>
        <w:pStyle w:val="HERNormal"/>
        <w:rPr>
          <w:noProof w:val="0"/>
        </w:rPr>
      </w:pPr>
      <w:r w:rsidRPr="003503CF">
        <w:rPr>
          <w:noProof w:val="0"/>
          <w:u w:val="single"/>
        </w:rPr>
        <w:t xml:space="preserve">By </w:t>
      </w:r>
      <w:r w:rsidR="00455F52">
        <w:rPr>
          <w:noProof w:val="0"/>
          <w:u w:val="single"/>
        </w:rPr>
        <w:t>June</w:t>
      </w:r>
      <w:r w:rsidR="00455F52" w:rsidRPr="003503CF">
        <w:rPr>
          <w:noProof w:val="0"/>
          <w:u w:val="single"/>
        </w:rPr>
        <w:t xml:space="preserve"> </w:t>
      </w:r>
      <w:r w:rsidRPr="003503CF">
        <w:rPr>
          <w:noProof w:val="0"/>
          <w:u w:val="single"/>
        </w:rPr>
        <w:t>2017</w:t>
      </w:r>
      <w:r>
        <w:rPr>
          <w:noProof w:val="0"/>
        </w:rPr>
        <w:t xml:space="preserve">: </w:t>
      </w:r>
      <w:r w:rsidR="00455F52">
        <w:rPr>
          <w:noProof w:val="0"/>
        </w:rPr>
        <w:t xml:space="preserve">initial set of common </w:t>
      </w:r>
      <w:r>
        <w:rPr>
          <w:noProof w:val="0"/>
        </w:rPr>
        <w:t>terms</w:t>
      </w:r>
      <w:r w:rsidR="00455F52">
        <w:rPr>
          <w:noProof w:val="0"/>
        </w:rPr>
        <w:t xml:space="preserve">, admission-related </w:t>
      </w:r>
      <w:r>
        <w:rPr>
          <w:noProof w:val="0"/>
        </w:rPr>
        <w:t>concepts</w:t>
      </w:r>
      <w:r w:rsidR="00455F52">
        <w:rPr>
          <w:noProof w:val="0"/>
        </w:rPr>
        <w:t xml:space="preserve"> and definitions</w:t>
      </w:r>
      <w:r>
        <w:rPr>
          <w:noProof w:val="0"/>
        </w:rPr>
        <w:t xml:space="preserve"> </w:t>
      </w:r>
      <w:r w:rsidR="001F2249">
        <w:rPr>
          <w:noProof w:val="0"/>
        </w:rPr>
        <w:t xml:space="preserve">necessary to support implementation of the </w:t>
      </w:r>
      <w:r w:rsidR="00747103">
        <w:rPr>
          <w:noProof w:val="0"/>
        </w:rPr>
        <w:t xml:space="preserve">sector-wide </w:t>
      </w:r>
      <w:r w:rsidR="001F2249">
        <w:rPr>
          <w:noProof w:val="0"/>
        </w:rPr>
        <w:t xml:space="preserve">common </w:t>
      </w:r>
      <w:r w:rsidR="008E2997">
        <w:rPr>
          <w:noProof w:val="0"/>
        </w:rPr>
        <w:t>‘information sets’</w:t>
      </w:r>
      <w:r w:rsidR="001F2249">
        <w:rPr>
          <w:noProof w:val="0"/>
        </w:rPr>
        <w:t xml:space="preserve"> </w:t>
      </w:r>
      <w:r>
        <w:rPr>
          <w:noProof w:val="0"/>
        </w:rPr>
        <w:t>will be determined and common language agreed</w:t>
      </w:r>
      <w:r w:rsidR="004F2E72">
        <w:rPr>
          <w:noProof w:val="0"/>
        </w:rPr>
        <w:t xml:space="preserve"> –as </w:t>
      </w:r>
      <w:r w:rsidR="00A945F8">
        <w:rPr>
          <w:noProof w:val="0"/>
        </w:rPr>
        <w:t xml:space="preserve">set </w:t>
      </w:r>
      <w:r w:rsidR="004F2E72">
        <w:rPr>
          <w:noProof w:val="0"/>
        </w:rPr>
        <w:t>out in this plan</w:t>
      </w:r>
      <w:r>
        <w:rPr>
          <w:noProof w:val="0"/>
        </w:rPr>
        <w:t>.</w:t>
      </w:r>
    </w:p>
    <w:p w:rsidR="008E3E86" w:rsidRDefault="008E3E86" w:rsidP="008E3E86">
      <w:pPr>
        <w:pStyle w:val="HERNormal"/>
        <w:rPr>
          <w:noProof w:val="0"/>
        </w:rPr>
      </w:pPr>
      <w:r w:rsidRPr="002D0FBB">
        <w:rPr>
          <w:noProof w:val="0"/>
          <w:u w:val="single"/>
        </w:rPr>
        <w:t>By August 2017</w:t>
      </w:r>
      <w:r>
        <w:rPr>
          <w:noProof w:val="0"/>
        </w:rPr>
        <w:t xml:space="preserve">: information published </w:t>
      </w:r>
      <w:r w:rsidR="00C86524">
        <w:t xml:space="preserve">by providers </w:t>
      </w:r>
      <w:r>
        <w:rPr>
          <w:noProof w:val="0"/>
        </w:rPr>
        <w:t xml:space="preserve">in accordance with the </w:t>
      </w:r>
      <w:r>
        <w:t xml:space="preserve">whole-of-institution and </w:t>
      </w:r>
      <w:r w:rsidR="00F849A4">
        <w:t>program/</w:t>
      </w:r>
      <w:r>
        <w:t xml:space="preserve">course </w:t>
      </w:r>
      <w:r w:rsidR="008E2997">
        <w:rPr>
          <w:noProof w:val="0"/>
        </w:rPr>
        <w:t>‘information sets’</w:t>
      </w:r>
      <w:r>
        <w:rPr>
          <w:noProof w:val="0"/>
        </w:rPr>
        <w:t xml:space="preserve"> at Appendices C and D will utilise language consistent with the initial set of agreed common terms.</w:t>
      </w:r>
    </w:p>
    <w:p w:rsidR="0040478C" w:rsidRDefault="00ED2F5F" w:rsidP="00B04C2F">
      <w:pPr>
        <w:pStyle w:val="HERNormal"/>
        <w:rPr>
          <w:noProof w:val="0"/>
        </w:rPr>
      </w:pPr>
      <w:r>
        <w:rPr>
          <w:noProof w:val="0"/>
          <w:u w:val="single"/>
        </w:rPr>
        <w:t xml:space="preserve">By September </w:t>
      </w:r>
      <w:r w:rsidR="0040478C" w:rsidRPr="00417F6C">
        <w:rPr>
          <w:noProof w:val="0"/>
          <w:u w:val="single"/>
        </w:rPr>
        <w:t>201</w:t>
      </w:r>
      <w:r w:rsidR="00FF49AE">
        <w:rPr>
          <w:noProof w:val="0"/>
          <w:u w:val="single"/>
        </w:rPr>
        <w:t>7</w:t>
      </w:r>
      <w:r w:rsidR="0040478C">
        <w:rPr>
          <w:noProof w:val="0"/>
        </w:rPr>
        <w:t xml:space="preserve">: a final </w:t>
      </w:r>
      <w:r w:rsidR="0040478C">
        <w:t xml:space="preserve">proposal for </w:t>
      </w:r>
      <w:r w:rsidR="007C6461">
        <w:t xml:space="preserve">a comprehensive set of </w:t>
      </w:r>
      <w:r w:rsidR="0040478C">
        <w:rPr>
          <w:noProof w:val="0"/>
        </w:rPr>
        <w:t xml:space="preserve">common </w:t>
      </w:r>
      <w:r w:rsidR="0040478C">
        <w:t xml:space="preserve">admissions </w:t>
      </w:r>
      <w:r w:rsidR="0040478C">
        <w:rPr>
          <w:noProof w:val="0"/>
        </w:rPr>
        <w:t xml:space="preserve">terminology will be developed and agreed by the IWG for sector </w:t>
      </w:r>
      <w:r w:rsidR="005F75D2">
        <w:rPr>
          <w:noProof w:val="0"/>
        </w:rPr>
        <w:t xml:space="preserve">consultation, </w:t>
      </w:r>
      <w:r w:rsidR="0040478C">
        <w:rPr>
          <w:noProof w:val="0"/>
        </w:rPr>
        <w:t xml:space="preserve">agreement and </w:t>
      </w:r>
      <w:r w:rsidR="005F75D2">
        <w:rPr>
          <w:noProof w:val="0"/>
        </w:rPr>
        <w:t xml:space="preserve">then </w:t>
      </w:r>
      <w:r w:rsidR="00115467">
        <w:rPr>
          <w:noProof w:val="0"/>
        </w:rPr>
        <w:t>commitment by</w:t>
      </w:r>
      <w:r w:rsidR="0040478C">
        <w:rPr>
          <w:noProof w:val="0"/>
        </w:rPr>
        <w:t xml:space="preserve"> </w:t>
      </w:r>
      <w:r>
        <w:rPr>
          <w:noProof w:val="0"/>
        </w:rPr>
        <w:t>the end of November 2017</w:t>
      </w:r>
      <w:r w:rsidR="0040478C">
        <w:rPr>
          <w:noProof w:val="0"/>
        </w:rPr>
        <w:t>.</w:t>
      </w:r>
    </w:p>
    <w:p w:rsidR="00B822C5" w:rsidRDefault="00B822C5" w:rsidP="00B04C2F">
      <w:pPr>
        <w:pStyle w:val="HERNormal"/>
        <w:rPr>
          <w:noProof w:val="0"/>
        </w:rPr>
      </w:pPr>
      <w:r w:rsidRPr="00F80FA7">
        <w:rPr>
          <w:noProof w:val="0"/>
          <w:u w:val="single"/>
        </w:rPr>
        <w:t xml:space="preserve">By </w:t>
      </w:r>
      <w:r w:rsidR="00613A1F">
        <w:rPr>
          <w:noProof w:val="0"/>
          <w:u w:val="single"/>
        </w:rPr>
        <w:t>December</w:t>
      </w:r>
      <w:r w:rsidR="00613A1F" w:rsidRPr="00F80FA7">
        <w:rPr>
          <w:noProof w:val="0"/>
          <w:u w:val="single"/>
        </w:rPr>
        <w:t xml:space="preserve"> </w:t>
      </w:r>
      <w:r w:rsidRPr="00F80FA7">
        <w:rPr>
          <w:noProof w:val="0"/>
          <w:u w:val="single"/>
        </w:rPr>
        <w:t>201</w:t>
      </w:r>
      <w:r w:rsidR="00613A1F">
        <w:rPr>
          <w:noProof w:val="0"/>
          <w:u w:val="single"/>
        </w:rPr>
        <w:t>7</w:t>
      </w:r>
      <w:r>
        <w:rPr>
          <w:noProof w:val="0"/>
        </w:rPr>
        <w:t xml:space="preserve">: sector </w:t>
      </w:r>
      <w:r w:rsidR="00115467">
        <w:rPr>
          <w:noProof w:val="0"/>
        </w:rPr>
        <w:t>commitment to</w:t>
      </w:r>
      <w:r>
        <w:rPr>
          <w:noProof w:val="0"/>
        </w:rPr>
        <w:t xml:space="preserve"> final proposal for common admissions terminology.</w:t>
      </w:r>
    </w:p>
    <w:p w:rsidR="00B04C2F" w:rsidRDefault="00B04C2F" w:rsidP="00B04C2F">
      <w:pPr>
        <w:pStyle w:val="HERNormal"/>
        <w:rPr>
          <w:noProof w:val="0"/>
        </w:rPr>
      </w:pPr>
      <w:r>
        <w:rPr>
          <w:noProof w:val="0"/>
          <w:u w:val="single"/>
        </w:rPr>
        <w:t xml:space="preserve">By </w:t>
      </w:r>
      <w:r w:rsidR="00382F89">
        <w:rPr>
          <w:noProof w:val="0"/>
          <w:u w:val="single"/>
        </w:rPr>
        <w:t xml:space="preserve">May </w:t>
      </w:r>
      <w:r>
        <w:rPr>
          <w:noProof w:val="0"/>
          <w:u w:val="single"/>
        </w:rPr>
        <w:t>2018</w:t>
      </w:r>
      <w:r>
        <w:rPr>
          <w:noProof w:val="0"/>
        </w:rPr>
        <w:t xml:space="preserve">: all higher education providers, </w:t>
      </w:r>
      <w:r w:rsidR="00FC7661">
        <w:rPr>
          <w:noProof w:val="0"/>
        </w:rPr>
        <w:t>TAC</w:t>
      </w:r>
      <w:r>
        <w:rPr>
          <w:noProof w:val="0"/>
        </w:rPr>
        <w:t xml:space="preserve">s and the other organisations </w:t>
      </w:r>
      <w:r w:rsidR="00115467">
        <w:rPr>
          <w:noProof w:val="0"/>
        </w:rPr>
        <w:t xml:space="preserve">committing to </w:t>
      </w:r>
      <w:r>
        <w:rPr>
          <w:noProof w:val="0"/>
        </w:rPr>
        <w:t xml:space="preserve">this implementation plan will adopt usage of the agreed </w:t>
      </w:r>
      <w:r w:rsidR="005517B1">
        <w:rPr>
          <w:noProof w:val="0"/>
        </w:rPr>
        <w:t xml:space="preserve">set of </w:t>
      </w:r>
      <w:r>
        <w:rPr>
          <w:noProof w:val="0"/>
        </w:rPr>
        <w:t>common terms</w:t>
      </w:r>
      <w:r w:rsidR="005517B1">
        <w:rPr>
          <w:noProof w:val="0"/>
        </w:rPr>
        <w:t>, concepts</w:t>
      </w:r>
      <w:r>
        <w:rPr>
          <w:noProof w:val="0"/>
        </w:rPr>
        <w:t xml:space="preserve"> and </w:t>
      </w:r>
      <w:r w:rsidR="005517B1">
        <w:rPr>
          <w:noProof w:val="0"/>
        </w:rPr>
        <w:t xml:space="preserve">definitions </w:t>
      </w:r>
      <w:r>
        <w:rPr>
          <w:noProof w:val="0"/>
        </w:rPr>
        <w:t xml:space="preserve">in their admission-related </w:t>
      </w:r>
      <w:r w:rsidR="00231AFD">
        <w:rPr>
          <w:noProof w:val="0"/>
        </w:rPr>
        <w:t xml:space="preserve">printed </w:t>
      </w:r>
      <w:r>
        <w:rPr>
          <w:noProof w:val="0"/>
        </w:rPr>
        <w:t>publications and online information</w:t>
      </w:r>
      <w:r w:rsidR="00A93C18">
        <w:rPr>
          <w:noProof w:val="0"/>
        </w:rPr>
        <w:t xml:space="preserve"> to support applicants to study in 2019</w:t>
      </w:r>
      <w:r>
        <w:rPr>
          <w:noProof w:val="0"/>
        </w:rPr>
        <w:t>.</w:t>
      </w:r>
    </w:p>
    <w:p w:rsidR="00B04C2F" w:rsidRDefault="00B04C2F" w:rsidP="00B04C2F">
      <w:pPr>
        <w:pStyle w:val="HERHeading3"/>
        <w:keepNext/>
        <w:numPr>
          <w:ilvl w:val="0"/>
          <w:numId w:val="9"/>
        </w:numPr>
      </w:pPr>
      <w:bookmarkStart w:id="41" w:name="_Toc479782314"/>
      <w:bookmarkStart w:id="42" w:name="_Toc478552082"/>
      <w:bookmarkStart w:id="43" w:name="_Toc480754875"/>
      <w:bookmarkStart w:id="44" w:name="_Toc482805050"/>
      <w:bookmarkStart w:id="45" w:name="_Toc483350203"/>
      <w:bookmarkStart w:id="46" w:name="_Toc484093490"/>
      <w:r>
        <w:t>Revised ATAR-related thresholds and definitions</w:t>
      </w:r>
      <w:bookmarkEnd w:id="41"/>
      <w:bookmarkEnd w:id="42"/>
      <w:bookmarkEnd w:id="43"/>
      <w:bookmarkEnd w:id="44"/>
      <w:bookmarkEnd w:id="45"/>
      <w:bookmarkEnd w:id="46"/>
    </w:p>
    <w:p w:rsidR="00B04C2F" w:rsidRDefault="00B04C2F" w:rsidP="00B04C2F">
      <w:pPr>
        <w:pStyle w:val="HERNormal"/>
        <w:rPr>
          <w:noProof w:val="0"/>
        </w:rPr>
      </w:pPr>
      <w:r>
        <w:rPr>
          <w:noProof w:val="0"/>
        </w:rPr>
        <w:t xml:space="preserve">To ensure the clarity, usefulness and public credibility of published ATAR course entry thresholds and reporting on admissions in a previous year, the definitions of these figures will be amended to include the impact of all rounds of offers </w:t>
      </w:r>
      <w:r w:rsidR="00125DC7">
        <w:rPr>
          <w:noProof w:val="0"/>
        </w:rPr>
        <w:t xml:space="preserve">for </w:t>
      </w:r>
      <w:r>
        <w:rPr>
          <w:noProof w:val="0"/>
        </w:rPr>
        <w:t>places in higher education courses.</w:t>
      </w:r>
    </w:p>
    <w:p w:rsidR="00201252" w:rsidRDefault="00201252" w:rsidP="00B04C2F">
      <w:pPr>
        <w:pStyle w:val="HERNormal"/>
        <w:rPr>
          <w:noProof w:val="0"/>
        </w:rPr>
      </w:pPr>
      <w:r>
        <w:rPr>
          <w:noProof w:val="0"/>
        </w:rPr>
        <w:t xml:space="preserve">Four new ATAR-related threshold terms are set out in Appendix B. It is intended that from </w:t>
      </w:r>
      <w:r w:rsidR="002F6D85">
        <w:rPr>
          <w:noProof w:val="0"/>
        </w:rPr>
        <w:t>mid-2018, in all published information to support applications to study in 2019, t</w:t>
      </w:r>
      <w:r>
        <w:rPr>
          <w:noProof w:val="0"/>
        </w:rPr>
        <w:t xml:space="preserve">hese </w:t>
      </w:r>
      <w:r w:rsidR="002F6D85">
        <w:rPr>
          <w:noProof w:val="0"/>
        </w:rPr>
        <w:t xml:space="preserve">terms will replace the current usage of ATAR “cut-off”, “clearly-in” or </w:t>
      </w:r>
      <w:r w:rsidR="00845ED3">
        <w:rPr>
          <w:noProof w:val="0"/>
        </w:rPr>
        <w:t xml:space="preserve">any </w:t>
      </w:r>
      <w:r w:rsidR="002F6D85">
        <w:rPr>
          <w:noProof w:val="0"/>
        </w:rPr>
        <w:t xml:space="preserve">other </w:t>
      </w:r>
      <w:r w:rsidR="00845ED3">
        <w:rPr>
          <w:noProof w:val="0"/>
        </w:rPr>
        <w:t xml:space="preserve">ATAR-related </w:t>
      </w:r>
      <w:r w:rsidR="002F6D85">
        <w:rPr>
          <w:noProof w:val="0"/>
        </w:rPr>
        <w:t xml:space="preserve">figures </w:t>
      </w:r>
      <w:r w:rsidR="00845ED3">
        <w:rPr>
          <w:noProof w:val="0"/>
        </w:rPr>
        <w:t xml:space="preserve">that </w:t>
      </w:r>
      <w:r w:rsidR="002F6D85">
        <w:rPr>
          <w:noProof w:val="0"/>
        </w:rPr>
        <w:t xml:space="preserve">do not include the impact of all offer rounds. For 2017, these figures should at least be reflected in the ATAR profile in the course </w:t>
      </w:r>
      <w:r w:rsidR="007E7193">
        <w:rPr>
          <w:noProof w:val="0"/>
        </w:rPr>
        <w:t xml:space="preserve">‘information set’ </w:t>
      </w:r>
      <w:r w:rsidR="002F6D85">
        <w:rPr>
          <w:noProof w:val="0"/>
        </w:rPr>
        <w:t>for institutions that select students wholly or partly on the basis of ATAR.</w:t>
      </w:r>
    </w:p>
    <w:p w:rsidR="00B04C2F" w:rsidRDefault="00B04C2F" w:rsidP="00B04C2F">
      <w:pPr>
        <w:pStyle w:val="HERNormal"/>
        <w:rPr>
          <w:noProof w:val="0"/>
        </w:rPr>
      </w:pPr>
      <w:r>
        <w:rPr>
          <w:noProof w:val="0"/>
        </w:rPr>
        <w:t xml:space="preserve">Where ATAR-related thresholds or the outcomes of past admissions are published, it will be made clear whether the figures include the impact of any </w:t>
      </w:r>
      <w:r w:rsidR="004634F4">
        <w:rPr>
          <w:noProof w:val="0"/>
        </w:rPr>
        <w:t xml:space="preserve">ATAR-related adjustment </w:t>
      </w:r>
      <w:r>
        <w:rPr>
          <w:noProof w:val="0"/>
        </w:rPr>
        <w:t>schemes that student</w:t>
      </w:r>
      <w:r w:rsidR="008B2DF7">
        <w:rPr>
          <w:noProof w:val="0"/>
        </w:rPr>
        <w:t>s</w:t>
      </w:r>
      <w:r>
        <w:rPr>
          <w:noProof w:val="0"/>
        </w:rPr>
        <w:t xml:space="preserve"> may be eligible to access </w:t>
      </w:r>
      <w:r w:rsidR="004634F4">
        <w:rPr>
          <w:noProof w:val="0"/>
        </w:rPr>
        <w:t>(e.g. ‘bonus points</w:t>
      </w:r>
      <w:r w:rsidR="008B2DF7">
        <w:rPr>
          <w:noProof w:val="0"/>
        </w:rPr>
        <w:t>’</w:t>
      </w:r>
      <w:r w:rsidR="004634F4">
        <w:rPr>
          <w:noProof w:val="0"/>
        </w:rPr>
        <w:t xml:space="preserve"> or reduced thresholds) </w:t>
      </w:r>
      <w:r>
        <w:rPr>
          <w:noProof w:val="0"/>
        </w:rPr>
        <w:t xml:space="preserve">or whether they are exclusive of the effects of any </w:t>
      </w:r>
      <w:r w:rsidR="004634F4">
        <w:rPr>
          <w:noProof w:val="0"/>
        </w:rPr>
        <w:t>ATAR</w:t>
      </w:r>
      <w:r w:rsidR="00FA372F">
        <w:rPr>
          <w:noProof w:val="0"/>
        </w:rPr>
        <w:t>-related</w:t>
      </w:r>
      <w:r w:rsidR="004634F4">
        <w:rPr>
          <w:noProof w:val="0"/>
        </w:rPr>
        <w:t xml:space="preserve"> adjustments </w:t>
      </w:r>
      <w:r>
        <w:rPr>
          <w:noProof w:val="0"/>
        </w:rPr>
        <w:t xml:space="preserve">that may have been </w:t>
      </w:r>
      <w:r w:rsidR="004634F4">
        <w:rPr>
          <w:noProof w:val="0"/>
        </w:rPr>
        <w:t>applied</w:t>
      </w:r>
      <w:r>
        <w:rPr>
          <w:noProof w:val="0"/>
        </w:rPr>
        <w:t>.</w:t>
      </w:r>
    </w:p>
    <w:p w:rsidR="00B04C2F" w:rsidRDefault="00B04C2F" w:rsidP="00B04C2F">
      <w:pPr>
        <w:pStyle w:val="HERNormal"/>
        <w:rPr>
          <w:noProof w:val="0"/>
        </w:rPr>
      </w:pPr>
      <w:r>
        <w:rPr>
          <w:noProof w:val="0"/>
        </w:rPr>
        <w:t xml:space="preserve">For </w:t>
      </w:r>
      <w:r w:rsidRPr="00147394">
        <w:rPr>
          <w:i/>
          <w:noProof w:val="0"/>
        </w:rPr>
        <w:t>prospective</w:t>
      </w:r>
      <w:r>
        <w:rPr>
          <w:noProof w:val="0"/>
        </w:rPr>
        <w:t xml:space="preserve"> thresholds </w:t>
      </w:r>
      <w:r w:rsidR="00566CE9">
        <w:rPr>
          <w:noProof w:val="0"/>
        </w:rPr>
        <w:t xml:space="preserve">that </w:t>
      </w:r>
      <w:r>
        <w:rPr>
          <w:noProof w:val="0"/>
        </w:rPr>
        <w:t>indicat</w:t>
      </w:r>
      <w:r w:rsidR="00566CE9">
        <w:rPr>
          <w:noProof w:val="0"/>
        </w:rPr>
        <w:t>e</w:t>
      </w:r>
      <w:r>
        <w:rPr>
          <w:noProof w:val="0"/>
        </w:rPr>
        <w:t xml:space="preserve"> who may be admitted to a course on the basis of ATAR, institutions should indicate whether these relate solely to the student’s unadjusted </w:t>
      </w:r>
      <w:r w:rsidR="00566CE9">
        <w:rPr>
          <w:noProof w:val="0"/>
        </w:rPr>
        <w:t xml:space="preserve">(sometimes referred to as the ‘raw’ </w:t>
      </w:r>
      <w:r>
        <w:rPr>
          <w:noProof w:val="0"/>
        </w:rPr>
        <w:t>ATAR</w:t>
      </w:r>
      <w:r w:rsidR="00566CE9">
        <w:rPr>
          <w:noProof w:val="0"/>
        </w:rPr>
        <w:t>);</w:t>
      </w:r>
      <w:r>
        <w:rPr>
          <w:noProof w:val="0"/>
        </w:rPr>
        <w:t xml:space="preserve"> or </w:t>
      </w:r>
      <w:r w:rsidR="00566CE9">
        <w:rPr>
          <w:noProof w:val="0"/>
        </w:rPr>
        <w:t xml:space="preserve">alternatively </w:t>
      </w:r>
      <w:r w:rsidR="00201252">
        <w:rPr>
          <w:noProof w:val="0"/>
        </w:rPr>
        <w:t xml:space="preserve">to a selection rank that </w:t>
      </w:r>
      <w:r>
        <w:rPr>
          <w:noProof w:val="0"/>
        </w:rPr>
        <w:t xml:space="preserve">can be achieved through a combination of the ‘raw’ ATAR plus any </w:t>
      </w:r>
      <w:r w:rsidR="004634F4">
        <w:rPr>
          <w:noProof w:val="0"/>
        </w:rPr>
        <w:t>adjustment factors</w:t>
      </w:r>
      <w:r>
        <w:rPr>
          <w:noProof w:val="0"/>
        </w:rPr>
        <w:t xml:space="preserve"> for which they may be eligible (e.g. equity or subject-related </w:t>
      </w:r>
      <w:r w:rsidR="004634F4">
        <w:rPr>
          <w:noProof w:val="0"/>
        </w:rPr>
        <w:t>‘bonus</w:t>
      </w:r>
      <w:r w:rsidR="00201252">
        <w:rPr>
          <w:noProof w:val="0"/>
        </w:rPr>
        <w:t xml:space="preserve"> points</w:t>
      </w:r>
      <w:r w:rsidR="004634F4">
        <w:rPr>
          <w:noProof w:val="0"/>
        </w:rPr>
        <w:t>’</w:t>
      </w:r>
      <w:r w:rsidR="00201252">
        <w:rPr>
          <w:noProof w:val="0"/>
        </w:rPr>
        <w:t>, credit for other credentials such as completed</w:t>
      </w:r>
      <w:r w:rsidR="00E44061">
        <w:rPr>
          <w:noProof w:val="0"/>
        </w:rPr>
        <w:t xml:space="preserve"> vocational education and training (</w:t>
      </w:r>
      <w:r w:rsidR="00201252">
        <w:rPr>
          <w:noProof w:val="0"/>
        </w:rPr>
        <w:t>VET</w:t>
      </w:r>
      <w:r w:rsidR="00E44061">
        <w:rPr>
          <w:noProof w:val="0"/>
        </w:rPr>
        <w:t>)</w:t>
      </w:r>
      <w:r w:rsidR="00201252">
        <w:rPr>
          <w:noProof w:val="0"/>
        </w:rPr>
        <w:t xml:space="preserve"> certificates, work experience, etc.</w:t>
      </w:r>
      <w:r>
        <w:rPr>
          <w:noProof w:val="0"/>
        </w:rPr>
        <w:t>).</w:t>
      </w:r>
    </w:p>
    <w:p w:rsidR="00B04C2F" w:rsidRDefault="002F6D85" w:rsidP="00B04C2F">
      <w:pPr>
        <w:pStyle w:val="HERNormal"/>
        <w:rPr>
          <w:noProof w:val="0"/>
        </w:rPr>
      </w:pPr>
      <w:r>
        <w:rPr>
          <w:noProof w:val="0"/>
        </w:rPr>
        <w:t>W</w:t>
      </w:r>
      <w:r w:rsidR="00B04C2F">
        <w:rPr>
          <w:noProof w:val="0"/>
        </w:rPr>
        <w:t xml:space="preserve">hen reporting the </w:t>
      </w:r>
      <w:r w:rsidR="00FA372F">
        <w:rPr>
          <w:noProof w:val="0"/>
        </w:rPr>
        <w:t xml:space="preserve">ATAR profile </w:t>
      </w:r>
      <w:r w:rsidR="00B04C2F">
        <w:rPr>
          <w:noProof w:val="0"/>
        </w:rPr>
        <w:t xml:space="preserve">of </w:t>
      </w:r>
      <w:r w:rsidR="00B04C2F" w:rsidRPr="00147394">
        <w:rPr>
          <w:i/>
          <w:noProof w:val="0"/>
        </w:rPr>
        <w:t>past</w:t>
      </w:r>
      <w:r w:rsidR="00B04C2F">
        <w:rPr>
          <w:noProof w:val="0"/>
        </w:rPr>
        <w:t xml:space="preserve"> </w:t>
      </w:r>
      <w:r w:rsidR="00FA372F">
        <w:rPr>
          <w:noProof w:val="0"/>
        </w:rPr>
        <w:t xml:space="preserve">offers </w:t>
      </w:r>
      <w:r w:rsidR="00B04C2F">
        <w:rPr>
          <w:noProof w:val="0"/>
        </w:rPr>
        <w:t xml:space="preserve">where ATAR was a factor in the selection process, </w:t>
      </w:r>
      <w:r w:rsidR="00566CE9">
        <w:rPr>
          <w:noProof w:val="0"/>
        </w:rPr>
        <w:t xml:space="preserve">institutions will need to publish a profile </w:t>
      </w:r>
      <w:r w:rsidR="00B04C2F">
        <w:rPr>
          <w:noProof w:val="0"/>
        </w:rPr>
        <w:t xml:space="preserve">of the lowest, highest, </w:t>
      </w:r>
      <w:r w:rsidR="00566CE9">
        <w:rPr>
          <w:noProof w:val="0"/>
        </w:rPr>
        <w:t xml:space="preserve">median and </w:t>
      </w:r>
      <w:r w:rsidR="003C1B99">
        <w:rPr>
          <w:noProof w:val="0"/>
        </w:rPr>
        <w:t>quar</w:t>
      </w:r>
      <w:r w:rsidR="00B04C2F">
        <w:rPr>
          <w:noProof w:val="0"/>
        </w:rPr>
        <w:t>tile ATAR</w:t>
      </w:r>
      <w:r w:rsidR="003C1B99">
        <w:rPr>
          <w:noProof w:val="0"/>
        </w:rPr>
        <w:t>s</w:t>
      </w:r>
      <w:r w:rsidR="00B04C2F">
        <w:rPr>
          <w:noProof w:val="0"/>
        </w:rPr>
        <w:t xml:space="preserve"> </w:t>
      </w:r>
      <w:r w:rsidR="00B04C2F" w:rsidRPr="00147394">
        <w:rPr>
          <w:i/>
          <w:noProof w:val="0"/>
        </w:rPr>
        <w:t>exclusive</w:t>
      </w:r>
      <w:r w:rsidR="00B04C2F">
        <w:rPr>
          <w:noProof w:val="0"/>
        </w:rPr>
        <w:t xml:space="preserve"> of any </w:t>
      </w:r>
      <w:r w:rsidR="004634F4">
        <w:rPr>
          <w:noProof w:val="0"/>
        </w:rPr>
        <w:t>adjustment factor</w:t>
      </w:r>
      <w:r w:rsidR="00B04C2F">
        <w:rPr>
          <w:noProof w:val="0"/>
        </w:rPr>
        <w:t>s that may have applied</w:t>
      </w:r>
      <w:r w:rsidR="00FA372F">
        <w:rPr>
          <w:noProof w:val="0"/>
        </w:rPr>
        <w:t xml:space="preserve"> – </w:t>
      </w:r>
      <w:r w:rsidR="00566CE9">
        <w:rPr>
          <w:noProof w:val="0"/>
        </w:rPr>
        <w:t xml:space="preserve">i.e. </w:t>
      </w:r>
      <w:r w:rsidR="00FA372F">
        <w:rPr>
          <w:noProof w:val="0"/>
        </w:rPr>
        <w:t>the ‘raw’ ATAR</w:t>
      </w:r>
      <w:r w:rsidR="00B04C2F">
        <w:rPr>
          <w:noProof w:val="0"/>
        </w:rPr>
        <w:t>.</w:t>
      </w:r>
      <w:r>
        <w:rPr>
          <w:noProof w:val="0"/>
        </w:rPr>
        <w:t xml:space="preserve"> </w:t>
      </w:r>
      <w:r w:rsidR="00A84335">
        <w:rPr>
          <w:noProof w:val="0"/>
        </w:rPr>
        <w:t xml:space="preserve">A complementary profile of selection ranks that </w:t>
      </w:r>
      <w:r w:rsidR="00A84335" w:rsidRPr="00B97908">
        <w:rPr>
          <w:i/>
          <w:noProof w:val="0"/>
        </w:rPr>
        <w:t>include</w:t>
      </w:r>
      <w:r w:rsidR="00A84335">
        <w:rPr>
          <w:noProof w:val="0"/>
        </w:rPr>
        <w:t xml:space="preserve"> the impact of any adjustment factors </w:t>
      </w:r>
      <w:r w:rsidR="00A84335" w:rsidRPr="0003587A">
        <w:rPr>
          <w:u w:val="single"/>
        </w:rPr>
        <w:t>may also</w:t>
      </w:r>
      <w:r w:rsidR="00A84335">
        <w:rPr>
          <w:noProof w:val="0"/>
        </w:rPr>
        <w:t xml:space="preserve"> be provided, in order to convey the range of ranks offered places after the impacts of any ATAR-related adjustments such as equity or subject ‘bonus points’ of other factors were taken into account (see the table at Appendix D, item 3.C).</w:t>
      </w:r>
    </w:p>
    <w:p w:rsidR="00B04C2F" w:rsidRDefault="00B04C2F" w:rsidP="00B04C2F">
      <w:pPr>
        <w:pStyle w:val="HERHeading4FigureHeading"/>
        <w:keepNext/>
      </w:pPr>
      <w:r>
        <w:t>When:</w:t>
      </w:r>
    </w:p>
    <w:p w:rsidR="00B04C2F" w:rsidRDefault="00B04C2F" w:rsidP="00B04C2F">
      <w:pPr>
        <w:pStyle w:val="HERNormal"/>
        <w:rPr>
          <w:noProof w:val="0"/>
        </w:rPr>
      </w:pPr>
      <w:r w:rsidRPr="003503CF">
        <w:rPr>
          <w:noProof w:val="0"/>
          <w:u w:val="single"/>
        </w:rPr>
        <w:t xml:space="preserve">By </w:t>
      </w:r>
      <w:r w:rsidR="008E3E86">
        <w:rPr>
          <w:noProof w:val="0"/>
          <w:u w:val="single"/>
        </w:rPr>
        <w:t>June</w:t>
      </w:r>
      <w:r w:rsidR="008E3E86" w:rsidRPr="003503CF">
        <w:rPr>
          <w:noProof w:val="0"/>
          <w:u w:val="single"/>
        </w:rPr>
        <w:t xml:space="preserve"> </w:t>
      </w:r>
      <w:r w:rsidRPr="003503CF">
        <w:rPr>
          <w:noProof w:val="0"/>
          <w:u w:val="single"/>
        </w:rPr>
        <w:t>2017</w:t>
      </w:r>
      <w:r>
        <w:rPr>
          <w:noProof w:val="0"/>
        </w:rPr>
        <w:t xml:space="preserve">: </w:t>
      </w:r>
      <w:r w:rsidR="00AA32FA">
        <w:rPr>
          <w:noProof w:val="0"/>
        </w:rPr>
        <w:t xml:space="preserve">revised </w:t>
      </w:r>
      <w:r>
        <w:rPr>
          <w:noProof w:val="0"/>
        </w:rPr>
        <w:t>definitions and naming conventions for ATAR-related thresholds and reporting figures will be agreed</w:t>
      </w:r>
      <w:r w:rsidR="00201252">
        <w:rPr>
          <w:noProof w:val="0"/>
        </w:rPr>
        <w:t xml:space="preserve"> –as </w:t>
      </w:r>
      <w:r w:rsidR="00A945F8">
        <w:rPr>
          <w:noProof w:val="0"/>
        </w:rPr>
        <w:t xml:space="preserve">set </w:t>
      </w:r>
      <w:r w:rsidR="00201252">
        <w:rPr>
          <w:noProof w:val="0"/>
        </w:rPr>
        <w:t>out in this plan</w:t>
      </w:r>
      <w:r>
        <w:rPr>
          <w:noProof w:val="0"/>
        </w:rPr>
        <w:t>.</w:t>
      </w:r>
    </w:p>
    <w:p w:rsidR="00B04C2F" w:rsidRDefault="00B04C2F" w:rsidP="00B04C2F">
      <w:pPr>
        <w:pStyle w:val="HERNormal"/>
        <w:rPr>
          <w:noProof w:val="0"/>
        </w:rPr>
      </w:pPr>
      <w:r>
        <w:rPr>
          <w:noProof w:val="0"/>
          <w:u w:val="single"/>
        </w:rPr>
        <w:t xml:space="preserve">By </w:t>
      </w:r>
      <w:r w:rsidR="00494D20">
        <w:rPr>
          <w:noProof w:val="0"/>
          <w:u w:val="single"/>
        </w:rPr>
        <w:t xml:space="preserve">August </w:t>
      </w:r>
      <w:r>
        <w:rPr>
          <w:noProof w:val="0"/>
          <w:u w:val="single"/>
        </w:rPr>
        <w:t>201</w:t>
      </w:r>
      <w:r w:rsidR="00494D20">
        <w:rPr>
          <w:noProof w:val="0"/>
          <w:u w:val="single"/>
        </w:rPr>
        <w:t>7</w:t>
      </w:r>
      <w:r>
        <w:rPr>
          <w:noProof w:val="0"/>
        </w:rPr>
        <w:t>: all providers will adopt the revised definitions and naming conventions for the publication of ATAR-related thresholds and reporting of past year admissions</w:t>
      </w:r>
      <w:r w:rsidR="00201252">
        <w:rPr>
          <w:noProof w:val="0"/>
        </w:rPr>
        <w:t xml:space="preserve"> in </w:t>
      </w:r>
      <w:r w:rsidR="008E2997">
        <w:rPr>
          <w:noProof w:val="0"/>
        </w:rPr>
        <w:t>‘information sets’</w:t>
      </w:r>
      <w:r w:rsidR="00201252">
        <w:rPr>
          <w:noProof w:val="0"/>
        </w:rPr>
        <w:t xml:space="preserve"> </w:t>
      </w:r>
      <w:r>
        <w:rPr>
          <w:noProof w:val="0"/>
        </w:rPr>
        <w:t>to inform and support applications relating to the 201</w:t>
      </w:r>
      <w:r w:rsidR="00494D20">
        <w:rPr>
          <w:noProof w:val="0"/>
        </w:rPr>
        <w:t>8</w:t>
      </w:r>
      <w:r>
        <w:rPr>
          <w:noProof w:val="0"/>
        </w:rPr>
        <w:t xml:space="preserve"> academic year and beyond.</w:t>
      </w:r>
    </w:p>
    <w:p w:rsidR="00201252" w:rsidRDefault="00201252" w:rsidP="002F6D85">
      <w:pPr>
        <w:pStyle w:val="HERNormal"/>
        <w:rPr>
          <w:noProof w:val="0"/>
        </w:rPr>
      </w:pPr>
      <w:r w:rsidRPr="00F80FA7">
        <w:rPr>
          <w:noProof w:val="0"/>
          <w:u w:val="single"/>
        </w:rPr>
        <w:t>By May 2018</w:t>
      </w:r>
      <w:r>
        <w:rPr>
          <w:noProof w:val="0"/>
        </w:rPr>
        <w:t xml:space="preserve">: all providers and </w:t>
      </w:r>
      <w:r w:rsidR="00FC7661">
        <w:rPr>
          <w:noProof w:val="0"/>
        </w:rPr>
        <w:t>TAC</w:t>
      </w:r>
      <w:r>
        <w:rPr>
          <w:noProof w:val="0"/>
        </w:rPr>
        <w:t xml:space="preserve">s will </w:t>
      </w:r>
      <w:r w:rsidR="001C1F19">
        <w:rPr>
          <w:noProof w:val="0"/>
        </w:rPr>
        <w:t xml:space="preserve">continue to use the revised definitions and naming conventions for the publication of ATAR-related thresholds and reporting of past year admissions in </w:t>
      </w:r>
      <w:r w:rsidR="008E2997">
        <w:rPr>
          <w:noProof w:val="0"/>
        </w:rPr>
        <w:t>‘information sets’</w:t>
      </w:r>
      <w:r w:rsidR="001C1F19">
        <w:rPr>
          <w:noProof w:val="0"/>
        </w:rPr>
        <w:t xml:space="preserve"> and </w:t>
      </w:r>
      <w:r>
        <w:rPr>
          <w:noProof w:val="0"/>
        </w:rPr>
        <w:t xml:space="preserve">discontinue the publication of ATAR “cut-off”, “clearly-in” or other </w:t>
      </w:r>
      <w:r w:rsidR="00DE0247">
        <w:rPr>
          <w:noProof w:val="0"/>
        </w:rPr>
        <w:t xml:space="preserve">previously reported ATAR </w:t>
      </w:r>
      <w:r>
        <w:rPr>
          <w:noProof w:val="0"/>
        </w:rPr>
        <w:t xml:space="preserve">threshold figures that do not include the </w:t>
      </w:r>
      <w:r w:rsidR="00F253B3">
        <w:rPr>
          <w:noProof w:val="0"/>
        </w:rPr>
        <w:t xml:space="preserve">outcomes of </w:t>
      </w:r>
      <w:r>
        <w:rPr>
          <w:noProof w:val="0"/>
        </w:rPr>
        <w:t>all offer rounds</w:t>
      </w:r>
      <w:r w:rsidR="00F253B3">
        <w:rPr>
          <w:noProof w:val="0"/>
        </w:rPr>
        <w:t xml:space="preserve"> for the relevant period</w:t>
      </w:r>
      <w:r>
        <w:rPr>
          <w:noProof w:val="0"/>
        </w:rPr>
        <w:t>.</w:t>
      </w:r>
    </w:p>
    <w:p w:rsidR="00B04C2F" w:rsidRDefault="00B04C2F" w:rsidP="00B04C2F">
      <w:pPr>
        <w:pStyle w:val="HERHeading3"/>
        <w:keepNext/>
        <w:numPr>
          <w:ilvl w:val="0"/>
          <w:numId w:val="9"/>
        </w:numPr>
      </w:pPr>
      <w:bookmarkStart w:id="47" w:name="_Toc479782315"/>
      <w:bookmarkStart w:id="48" w:name="_Toc478552083"/>
      <w:bookmarkStart w:id="49" w:name="_Toc480754876"/>
      <w:bookmarkStart w:id="50" w:name="_Toc482805051"/>
      <w:bookmarkStart w:id="51" w:name="_Toc483350204"/>
      <w:bookmarkStart w:id="52" w:name="_Toc484093491"/>
      <w:r>
        <w:t xml:space="preserve">Tertiary admission centres </w:t>
      </w:r>
      <w:r w:rsidRPr="0054541D">
        <w:t>to adopt more consistent approaches and reporting and streamline interstate application processes</w:t>
      </w:r>
      <w:bookmarkEnd w:id="47"/>
      <w:bookmarkEnd w:id="48"/>
      <w:bookmarkEnd w:id="49"/>
      <w:bookmarkEnd w:id="50"/>
      <w:bookmarkEnd w:id="51"/>
      <w:bookmarkEnd w:id="52"/>
    </w:p>
    <w:p w:rsidR="00FC7661" w:rsidRDefault="00B04C2F" w:rsidP="00B04C2F">
      <w:pPr>
        <w:pStyle w:val="HERNormal"/>
        <w:rPr>
          <w:noProof w:val="0"/>
        </w:rPr>
      </w:pPr>
      <w:r>
        <w:rPr>
          <w:noProof w:val="0"/>
        </w:rPr>
        <w:t xml:space="preserve">Like other sector stakeholders, by </w:t>
      </w:r>
      <w:r w:rsidR="00D01542">
        <w:rPr>
          <w:noProof w:val="0"/>
        </w:rPr>
        <w:t xml:space="preserve">May </w:t>
      </w:r>
      <w:r>
        <w:rPr>
          <w:noProof w:val="0"/>
        </w:rPr>
        <w:t xml:space="preserve">2018, </w:t>
      </w:r>
      <w:r w:rsidR="00FC7661">
        <w:rPr>
          <w:noProof w:val="0"/>
        </w:rPr>
        <w:t xml:space="preserve">TACs </w:t>
      </w:r>
      <w:r>
        <w:rPr>
          <w:noProof w:val="0"/>
        </w:rPr>
        <w:t xml:space="preserve">will adopt the common terminology and language developed, together with agreed </w:t>
      </w:r>
      <w:r w:rsidR="008E2997">
        <w:rPr>
          <w:noProof w:val="0"/>
        </w:rPr>
        <w:t>‘information sets’</w:t>
      </w:r>
      <w:r>
        <w:rPr>
          <w:noProof w:val="0"/>
        </w:rPr>
        <w:t xml:space="preserve"> as the basis for presenting information to prospective students seeking to enter higher education in the 2019 academic year</w:t>
      </w:r>
      <w:r w:rsidR="00B53B1D">
        <w:rPr>
          <w:noProof w:val="0"/>
        </w:rPr>
        <w:t>.</w:t>
      </w:r>
      <w:r>
        <w:rPr>
          <w:noProof w:val="0"/>
        </w:rPr>
        <w:t xml:space="preserve"> </w:t>
      </w:r>
      <w:r w:rsidR="00FC7661">
        <w:rPr>
          <w:noProof w:val="0"/>
        </w:rPr>
        <w:t xml:space="preserve">It is </w:t>
      </w:r>
      <w:r w:rsidR="006F64A2">
        <w:rPr>
          <w:noProof w:val="0"/>
        </w:rPr>
        <w:t xml:space="preserve">recognised </w:t>
      </w:r>
      <w:r w:rsidR="00FC7661">
        <w:rPr>
          <w:noProof w:val="0"/>
        </w:rPr>
        <w:t xml:space="preserve">that the lead </w:t>
      </w:r>
      <w:r w:rsidR="006F64A2">
        <w:rPr>
          <w:noProof w:val="0"/>
        </w:rPr>
        <w:t xml:space="preserve">time </w:t>
      </w:r>
      <w:r w:rsidR="00FC7661">
        <w:rPr>
          <w:noProof w:val="0"/>
        </w:rPr>
        <w:t xml:space="preserve">for TAC publications to support secondary student </w:t>
      </w:r>
      <w:r w:rsidR="006F64A2">
        <w:rPr>
          <w:noProof w:val="0"/>
        </w:rPr>
        <w:t xml:space="preserve">course and institution </w:t>
      </w:r>
      <w:r w:rsidR="00FC7661">
        <w:rPr>
          <w:noProof w:val="0"/>
        </w:rPr>
        <w:t>choice</w:t>
      </w:r>
      <w:r w:rsidR="006F64A2">
        <w:rPr>
          <w:noProof w:val="0"/>
        </w:rPr>
        <w:t xml:space="preserve"> </w:t>
      </w:r>
      <w:r w:rsidR="00FC7661">
        <w:rPr>
          <w:noProof w:val="0"/>
        </w:rPr>
        <w:t>and application</w:t>
      </w:r>
      <w:r w:rsidR="006F64A2">
        <w:rPr>
          <w:noProof w:val="0"/>
        </w:rPr>
        <w:t xml:space="preserve"> processes</w:t>
      </w:r>
      <w:r w:rsidR="00FC7661">
        <w:rPr>
          <w:noProof w:val="0"/>
        </w:rPr>
        <w:t xml:space="preserve"> is significant. In most jurisdictions, preparation commences by February. Given this, the</w:t>
      </w:r>
      <w:r w:rsidR="006F64A2">
        <w:rPr>
          <w:noProof w:val="0"/>
        </w:rPr>
        <w:t>re is no expectation that TACs will deliver updated information products during 2017. The aim will be to provide information that is presented consistent with the new approach to support students seeking to enter higher education in 2019.</w:t>
      </w:r>
    </w:p>
    <w:p w:rsidR="00B04C2F" w:rsidRDefault="00B04C2F" w:rsidP="00B04C2F">
      <w:pPr>
        <w:pStyle w:val="HERNormal"/>
        <w:rPr>
          <w:noProof w:val="0"/>
        </w:rPr>
      </w:pPr>
      <w:r>
        <w:rPr>
          <w:noProof w:val="0"/>
        </w:rPr>
        <w:t xml:space="preserve">In addition to this, </w:t>
      </w:r>
      <w:r w:rsidR="00FC7661">
        <w:rPr>
          <w:noProof w:val="0"/>
        </w:rPr>
        <w:t>TAC</w:t>
      </w:r>
      <w:r>
        <w:rPr>
          <w:noProof w:val="0"/>
        </w:rPr>
        <w:t>s will develop improved reporting on the outcomes of higher education offers, acceptances and enrolments, such that there will be greater consistency in the availability, detail and format of published data and other information. This will enable a</w:t>
      </w:r>
      <w:r w:rsidR="000A20FA">
        <w:rPr>
          <w:noProof w:val="0"/>
        </w:rPr>
        <w:t xml:space="preserve">n enhanced </w:t>
      </w:r>
      <w:r>
        <w:rPr>
          <w:noProof w:val="0"/>
        </w:rPr>
        <w:t>level of comparability and consistency in the information reported in each jurisdiction about the operation of the higher education market.</w:t>
      </w:r>
    </w:p>
    <w:p w:rsidR="00B04C2F" w:rsidRDefault="00B04C2F" w:rsidP="00B04C2F">
      <w:pPr>
        <w:pStyle w:val="HERNormal"/>
        <w:rPr>
          <w:noProof w:val="0"/>
        </w:rPr>
      </w:pPr>
      <w:r>
        <w:rPr>
          <w:noProof w:val="0"/>
        </w:rPr>
        <w:t xml:space="preserve">Reporting products will be revised and improved progressively, with priority given to developing an agreed </w:t>
      </w:r>
      <w:r w:rsidR="00267197">
        <w:rPr>
          <w:noProof w:val="0"/>
        </w:rPr>
        <w:t xml:space="preserve">core </w:t>
      </w:r>
      <w:r>
        <w:rPr>
          <w:noProof w:val="0"/>
        </w:rPr>
        <w:t xml:space="preserve">suite of </w:t>
      </w:r>
      <w:r w:rsidR="00C34831">
        <w:rPr>
          <w:noProof w:val="0"/>
        </w:rPr>
        <w:t xml:space="preserve">standard </w:t>
      </w:r>
      <w:r>
        <w:rPr>
          <w:noProof w:val="0"/>
        </w:rPr>
        <w:t xml:space="preserve">reported data on admissions to study in the 2018 academic year and a more </w:t>
      </w:r>
      <w:r w:rsidR="00267197">
        <w:rPr>
          <w:noProof w:val="0"/>
        </w:rPr>
        <w:t xml:space="preserve">comprehensive </w:t>
      </w:r>
      <w:r>
        <w:rPr>
          <w:noProof w:val="0"/>
        </w:rPr>
        <w:t xml:space="preserve">suite of </w:t>
      </w:r>
      <w:r w:rsidR="00C34831">
        <w:rPr>
          <w:noProof w:val="0"/>
        </w:rPr>
        <w:t xml:space="preserve">standard </w:t>
      </w:r>
      <w:r>
        <w:rPr>
          <w:noProof w:val="0"/>
        </w:rPr>
        <w:t>report</w:t>
      </w:r>
      <w:r w:rsidR="00231AFD">
        <w:rPr>
          <w:noProof w:val="0"/>
        </w:rPr>
        <w:t>s</w:t>
      </w:r>
      <w:r>
        <w:rPr>
          <w:noProof w:val="0"/>
        </w:rPr>
        <w:t xml:space="preserve"> on admissions in the 2019</w:t>
      </w:r>
      <w:r w:rsidRPr="003E3E25">
        <w:rPr>
          <w:noProof w:val="0"/>
        </w:rPr>
        <w:t xml:space="preserve"> </w:t>
      </w:r>
      <w:r>
        <w:rPr>
          <w:noProof w:val="0"/>
        </w:rPr>
        <w:t>academic year.</w:t>
      </w:r>
    </w:p>
    <w:p w:rsidR="00B04C2F" w:rsidRDefault="00FC7661" w:rsidP="00B04C2F">
      <w:pPr>
        <w:pStyle w:val="HERNormal"/>
        <w:rPr>
          <w:noProof w:val="0"/>
        </w:rPr>
      </w:pPr>
      <w:r>
        <w:rPr>
          <w:noProof w:val="0"/>
        </w:rPr>
        <w:t>TAC</w:t>
      </w:r>
      <w:r w:rsidR="00B04C2F">
        <w:rPr>
          <w:noProof w:val="0"/>
        </w:rPr>
        <w:t xml:space="preserve">s will also develop and implement a more streamlined approach to accepting and managing applications for courses at institutions that have membership of another </w:t>
      </w:r>
      <w:r>
        <w:rPr>
          <w:noProof w:val="0"/>
        </w:rPr>
        <w:t>TAC</w:t>
      </w:r>
      <w:r w:rsidR="00B04C2F">
        <w:rPr>
          <w:noProof w:val="0"/>
        </w:rPr>
        <w:t xml:space="preserve"> in a different jurisdiction. This streamlined approach is expected to reduce </w:t>
      </w:r>
      <w:r w:rsidR="00BE1EA1">
        <w:rPr>
          <w:noProof w:val="0"/>
        </w:rPr>
        <w:t xml:space="preserve">the current </w:t>
      </w:r>
      <w:r w:rsidR="00B04C2F">
        <w:rPr>
          <w:noProof w:val="0"/>
        </w:rPr>
        <w:t xml:space="preserve">complexity and </w:t>
      </w:r>
      <w:r w:rsidR="00BE1EA1">
        <w:rPr>
          <w:noProof w:val="0"/>
        </w:rPr>
        <w:t xml:space="preserve">sometimes multiple additional application fees </w:t>
      </w:r>
      <w:r w:rsidR="00B04C2F">
        <w:rPr>
          <w:noProof w:val="0"/>
        </w:rPr>
        <w:t>for prospective students</w:t>
      </w:r>
      <w:r w:rsidR="00BE1EA1">
        <w:rPr>
          <w:noProof w:val="0"/>
        </w:rPr>
        <w:t>. I</w:t>
      </w:r>
      <w:r w:rsidR="00E35535">
        <w:rPr>
          <w:noProof w:val="0"/>
        </w:rPr>
        <w:t xml:space="preserve">t </w:t>
      </w:r>
      <w:r w:rsidR="00BE1EA1">
        <w:rPr>
          <w:noProof w:val="0"/>
        </w:rPr>
        <w:t xml:space="preserve">may be </w:t>
      </w:r>
      <w:r w:rsidR="00E35535">
        <w:rPr>
          <w:noProof w:val="0"/>
        </w:rPr>
        <w:t xml:space="preserve">that some additional </w:t>
      </w:r>
      <w:r w:rsidR="00BE1EA1">
        <w:rPr>
          <w:noProof w:val="0"/>
        </w:rPr>
        <w:t xml:space="preserve">fee </w:t>
      </w:r>
      <w:r w:rsidR="00E35535">
        <w:rPr>
          <w:noProof w:val="0"/>
        </w:rPr>
        <w:t>will remain for students making interstate applications</w:t>
      </w:r>
      <w:r w:rsidR="00BE1EA1">
        <w:rPr>
          <w:noProof w:val="0"/>
        </w:rPr>
        <w:t>, however</w:t>
      </w:r>
      <w:r w:rsidR="00B04C2F">
        <w:rPr>
          <w:noProof w:val="0"/>
        </w:rPr>
        <w:t>.</w:t>
      </w:r>
    </w:p>
    <w:p w:rsidR="00B04C2F" w:rsidRDefault="00E35535" w:rsidP="00B04C2F">
      <w:pPr>
        <w:pStyle w:val="HERNormal"/>
        <w:rPr>
          <w:noProof w:val="0"/>
        </w:rPr>
      </w:pPr>
      <w:r>
        <w:rPr>
          <w:noProof w:val="0"/>
        </w:rPr>
        <w:t>It is anticipated that s</w:t>
      </w:r>
      <w:r w:rsidR="00B04C2F">
        <w:rPr>
          <w:noProof w:val="0"/>
        </w:rPr>
        <w:t xml:space="preserve">tudents will be able to </w:t>
      </w:r>
      <w:r w:rsidR="004C193D">
        <w:rPr>
          <w:noProof w:val="0"/>
        </w:rPr>
        <w:t>apply</w:t>
      </w:r>
      <w:r w:rsidR="00B04C2F">
        <w:rPr>
          <w:noProof w:val="0"/>
        </w:rPr>
        <w:t xml:space="preserve"> through their local </w:t>
      </w:r>
      <w:r w:rsidR="00FC7661">
        <w:rPr>
          <w:noProof w:val="0"/>
        </w:rPr>
        <w:t>TAC</w:t>
      </w:r>
      <w:r w:rsidR="00B04C2F">
        <w:rPr>
          <w:noProof w:val="0"/>
        </w:rPr>
        <w:t xml:space="preserve"> to enter any Australian higher education course at any provider that uses the services of a </w:t>
      </w:r>
      <w:r w:rsidR="00FC7661">
        <w:rPr>
          <w:noProof w:val="0"/>
        </w:rPr>
        <w:t>TAC</w:t>
      </w:r>
      <w:r w:rsidR="00B04C2F">
        <w:rPr>
          <w:noProof w:val="0"/>
        </w:rPr>
        <w:t xml:space="preserve"> to manage applications for and offers of places.</w:t>
      </w:r>
      <w:r>
        <w:rPr>
          <w:noProof w:val="0"/>
        </w:rPr>
        <w:t xml:space="preserve"> </w:t>
      </w:r>
      <w:r w:rsidR="00B04C2F">
        <w:rPr>
          <w:noProof w:val="0"/>
        </w:rPr>
        <w:t xml:space="preserve">This </w:t>
      </w:r>
      <w:r w:rsidR="005F0670">
        <w:rPr>
          <w:noProof w:val="0"/>
        </w:rPr>
        <w:t xml:space="preserve">may be a separate process to the normal preference-based selection system within the jurisdiction but should </w:t>
      </w:r>
      <w:r w:rsidR="00B04C2F">
        <w:rPr>
          <w:noProof w:val="0"/>
        </w:rPr>
        <w:t>remove the current need</w:t>
      </w:r>
      <w:r w:rsidR="005F0670">
        <w:rPr>
          <w:noProof w:val="0"/>
        </w:rPr>
        <w:t xml:space="preserve"> </w:t>
      </w:r>
      <w:r w:rsidR="00B04C2F">
        <w:rPr>
          <w:noProof w:val="0"/>
        </w:rPr>
        <w:t xml:space="preserve">for students to lodge multiple applications through different </w:t>
      </w:r>
      <w:r w:rsidR="00FC7661">
        <w:rPr>
          <w:noProof w:val="0"/>
        </w:rPr>
        <w:t>TAC</w:t>
      </w:r>
      <w:r w:rsidR="00B04C2F">
        <w:rPr>
          <w:noProof w:val="0"/>
        </w:rPr>
        <w:t xml:space="preserve">s and to pay </w:t>
      </w:r>
      <w:r w:rsidR="00C84251">
        <w:rPr>
          <w:noProof w:val="0"/>
        </w:rPr>
        <w:t xml:space="preserve">multiple </w:t>
      </w:r>
      <w:r w:rsidR="00B04C2F">
        <w:rPr>
          <w:noProof w:val="0"/>
        </w:rPr>
        <w:t>separate fees for each application to be assessed.</w:t>
      </w:r>
    </w:p>
    <w:p w:rsidR="00B04C2F" w:rsidRPr="00F128C3" w:rsidRDefault="00B04C2F" w:rsidP="00B04C2F">
      <w:pPr>
        <w:pStyle w:val="HERNormal"/>
        <w:rPr>
          <w:i/>
          <w:noProof w:val="0"/>
        </w:rPr>
      </w:pPr>
      <w:r w:rsidRPr="00F128C3">
        <w:rPr>
          <w:i/>
          <w:noProof w:val="0"/>
        </w:rPr>
        <w:t xml:space="preserve">NB: this excludes situations where a </w:t>
      </w:r>
      <w:r w:rsidR="00FC7661">
        <w:rPr>
          <w:i/>
          <w:noProof w:val="0"/>
        </w:rPr>
        <w:t>TAC</w:t>
      </w:r>
      <w:r w:rsidRPr="00F128C3">
        <w:rPr>
          <w:i/>
          <w:noProof w:val="0"/>
        </w:rPr>
        <w:t xml:space="preserve"> may be managing direct applications to an institution on </w:t>
      </w:r>
      <w:r>
        <w:rPr>
          <w:i/>
          <w:noProof w:val="0"/>
        </w:rPr>
        <w:t>the institution’s</w:t>
      </w:r>
      <w:r w:rsidRPr="00F128C3">
        <w:rPr>
          <w:i/>
          <w:noProof w:val="0"/>
        </w:rPr>
        <w:t xml:space="preserve"> behalf</w:t>
      </w:r>
      <w:r>
        <w:rPr>
          <w:i/>
          <w:noProof w:val="0"/>
        </w:rPr>
        <w:t>. For the purposes of this initiative, “tertiary admission centre” includes the University of Tasmania, which accepts and manages applications in Tasmania.</w:t>
      </w:r>
    </w:p>
    <w:p w:rsidR="00B04C2F" w:rsidRDefault="00B04C2F" w:rsidP="00B04C2F">
      <w:pPr>
        <w:pStyle w:val="HERHeading4FigureHeading"/>
        <w:keepNext/>
      </w:pPr>
      <w:r>
        <w:t>When:</w:t>
      </w:r>
    </w:p>
    <w:p w:rsidR="00B04C2F" w:rsidRDefault="00B04C2F" w:rsidP="00B04C2F">
      <w:pPr>
        <w:pStyle w:val="HERNormal"/>
        <w:rPr>
          <w:noProof w:val="0"/>
        </w:rPr>
      </w:pPr>
      <w:r w:rsidRPr="005B5E6A">
        <w:rPr>
          <w:noProof w:val="0"/>
          <w:u w:val="single"/>
        </w:rPr>
        <w:t xml:space="preserve">By </w:t>
      </w:r>
      <w:r>
        <w:rPr>
          <w:noProof w:val="0"/>
          <w:u w:val="single"/>
        </w:rPr>
        <w:t>August</w:t>
      </w:r>
      <w:r w:rsidRPr="005B5E6A">
        <w:rPr>
          <w:noProof w:val="0"/>
          <w:u w:val="single"/>
        </w:rPr>
        <w:t xml:space="preserve"> 201</w:t>
      </w:r>
      <w:r>
        <w:rPr>
          <w:noProof w:val="0"/>
          <w:u w:val="single"/>
        </w:rPr>
        <w:t>7</w:t>
      </w:r>
      <w:r>
        <w:rPr>
          <w:noProof w:val="0"/>
        </w:rPr>
        <w:t xml:space="preserve">: </w:t>
      </w:r>
      <w:r w:rsidR="00FC7661">
        <w:rPr>
          <w:noProof w:val="0"/>
        </w:rPr>
        <w:t>TAC</w:t>
      </w:r>
      <w:r>
        <w:rPr>
          <w:noProof w:val="0"/>
        </w:rPr>
        <w:t>s will develop and</w:t>
      </w:r>
      <w:r w:rsidR="002C2D97">
        <w:rPr>
          <w:noProof w:val="0"/>
        </w:rPr>
        <w:t xml:space="preserve"> commence</w:t>
      </w:r>
      <w:r>
        <w:rPr>
          <w:noProof w:val="0"/>
        </w:rPr>
        <w:t xml:space="preserve"> </w:t>
      </w:r>
      <w:r w:rsidR="003C1B99">
        <w:rPr>
          <w:noProof w:val="0"/>
        </w:rPr>
        <w:t>transition to</w:t>
      </w:r>
      <w:r w:rsidR="00C827E6">
        <w:rPr>
          <w:noProof w:val="0"/>
        </w:rPr>
        <w:t xml:space="preserve"> </w:t>
      </w:r>
      <w:r>
        <w:rPr>
          <w:noProof w:val="0"/>
        </w:rPr>
        <w:t xml:space="preserve">a more streamlined approach to the acceptance and assessment of applications for courses at providers that are a member of a </w:t>
      </w:r>
      <w:r w:rsidR="00FC7661">
        <w:rPr>
          <w:noProof w:val="0"/>
        </w:rPr>
        <w:t>TAC</w:t>
      </w:r>
      <w:r>
        <w:rPr>
          <w:noProof w:val="0"/>
        </w:rPr>
        <w:t xml:space="preserve"> in another jurisdiction.</w:t>
      </w:r>
    </w:p>
    <w:p w:rsidR="00B04C2F" w:rsidRDefault="00B04C2F" w:rsidP="00B04C2F">
      <w:pPr>
        <w:pStyle w:val="HERNormal"/>
        <w:rPr>
          <w:noProof w:val="0"/>
        </w:rPr>
      </w:pPr>
      <w:r w:rsidRPr="003503CF">
        <w:rPr>
          <w:noProof w:val="0"/>
          <w:u w:val="single"/>
        </w:rPr>
        <w:t xml:space="preserve">By </w:t>
      </w:r>
      <w:r>
        <w:rPr>
          <w:noProof w:val="0"/>
          <w:u w:val="single"/>
        </w:rPr>
        <w:t>December 2017</w:t>
      </w:r>
      <w:r>
        <w:rPr>
          <w:noProof w:val="0"/>
        </w:rPr>
        <w:t>:</w:t>
      </w:r>
      <w:r w:rsidRPr="00CE24D4">
        <w:rPr>
          <w:noProof w:val="0"/>
        </w:rPr>
        <w:t xml:space="preserve"> </w:t>
      </w:r>
      <w:r w:rsidR="00FC7661">
        <w:rPr>
          <w:noProof w:val="0"/>
        </w:rPr>
        <w:t>TAC</w:t>
      </w:r>
      <w:r>
        <w:rPr>
          <w:noProof w:val="0"/>
        </w:rPr>
        <w:t xml:space="preserve">s </w:t>
      </w:r>
      <w:r w:rsidR="00A25429">
        <w:rPr>
          <w:noProof w:val="0"/>
        </w:rPr>
        <w:t xml:space="preserve">will </w:t>
      </w:r>
      <w:r>
        <w:rPr>
          <w:noProof w:val="0"/>
        </w:rPr>
        <w:t xml:space="preserve">agree a </w:t>
      </w:r>
      <w:r w:rsidR="00053432">
        <w:rPr>
          <w:noProof w:val="0"/>
        </w:rPr>
        <w:t xml:space="preserve">core </w:t>
      </w:r>
      <w:r>
        <w:rPr>
          <w:noProof w:val="0"/>
        </w:rPr>
        <w:t xml:space="preserve">suite of </w:t>
      </w:r>
      <w:r w:rsidR="00C34831">
        <w:rPr>
          <w:noProof w:val="0"/>
        </w:rPr>
        <w:t xml:space="preserve">standard </w:t>
      </w:r>
      <w:r>
        <w:rPr>
          <w:noProof w:val="0"/>
        </w:rPr>
        <w:t>reports to be produced with consistent content and presentation on admissions to higher education in the 2018 academic year.</w:t>
      </w:r>
    </w:p>
    <w:p w:rsidR="00B04C2F" w:rsidRDefault="00B04C2F" w:rsidP="00B04C2F">
      <w:pPr>
        <w:pStyle w:val="HERNormal"/>
        <w:rPr>
          <w:noProof w:val="0"/>
        </w:rPr>
      </w:pPr>
      <w:r w:rsidRPr="003E3E25">
        <w:rPr>
          <w:noProof w:val="0"/>
          <w:u w:val="single"/>
        </w:rPr>
        <w:t>Throughout 2018</w:t>
      </w:r>
      <w:r>
        <w:rPr>
          <w:noProof w:val="0"/>
        </w:rPr>
        <w:t xml:space="preserve">: </w:t>
      </w:r>
      <w:r w:rsidR="00FC7661">
        <w:rPr>
          <w:noProof w:val="0"/>
        </w:rPr>
        <w:t>TAC</w:t>
      </w:r>
      <w:r>
        <w:rPr>
          <w:noProof w:val="0"/>
        </w:rPr>
        <w:t xml:space="preserve">s </w:t>
      </w:r>
      <w:r w:rsidR="00A25429">
        <w:rPr>
          <w:noProof w:val="0"/>
        </w:rPr>
        <w:t xml:space="preserve">will </w:t>
      </w:r>
      <w:r>
        <w:rPr>
          <w:noProof w:val="0"/>
        </w:rPr>
        <w:t xml:space="preserve">produce the agreed </w:t>
      </w:r>
      <w:r w:rsidR="00053432">
        <w:rPr>
          <w:noProof w:val="0"/>
        </w:rPr>
        <w:t xml:space="preserve">core </w:t>
      </w:r>
      <w:r>
        <w:rPr>
          <w:noProof w:val="0"/>
        </w:rPr>
        <w:t xml:space="preserve">suite of </w:t>
      </w:r>
      <w:r w:rsidR="00C34831">
        <w:rPr>
          <w:noProof w:val="0"/>
        </w:rPr>
        <w:t xml:space="preserve">standard </w:t>
      </w:r>
      <w:r>
        <w:rPr>
          <w:noProof w:val="0"/>
        </w:rPr>
        <w:t>reports with consistent content and presentation on admissions to higher education in the 2018 academic year.</w:t>
      </w:r>
    </w:p>
    <w:p w:rsidR="00B04C2F" w:rsidRDefault="00B04C2F" w:rsidP="00B04C2F">
      <w:pPr>
        <w:pStyle w:val="HERNormal"/>
        <w:rPr>
          <w:noProof w:val="0"/>
        </w:rPr>
      </w:pPr>
      <w:r>
        <w:rPr>
          <w:noProof w:val="0"/>
          <w:u w:val="single"/>
        </w:rPr>
        <w:t xml:space="preserve">By </w:t>
      </w:r>
      <w:r w:rsidR="00C34831">
        <w:rPr>
          <w:noProof w:val="0"/>
          <w:u w:val="single"/>
        </w:rPr>
        <w:t xml:space="preserve">May </w:t>
      </w:r>
      <w:r>
        <w:rPr>
          <w:noProof w:val="0"/>
          <w:u w:val="single"/>
        </w:rPr>
        <w:t>2018</w:t>
      </w:r>
      <w:r>
        <w:rPr>
          <w:noProof w:val="0"/>
        </w:rPr>
        <w:t xml:space="preserve">: all </w:t>
      </w:r>
      <w:r w:rsidR="00FC7661">
        <w:rPr>
          <w:noProof w:val="0"/>
        </w:rPr>
        <w:t>TAC</w:t>
      </w:r>
      <w:r>
        <w:rPr>
          <w:noProof w:val="0"/>
        </w:rPr>
        <w:t xml:space="preserve">s will adopt the agreed </w:t>
      </w:r>
      <w:r w:rsidR="007E7193">
        <w:rPr>
          <w:noProof w:val="0"/>
        </w:rPr>
        <w:t>‘information sets’</w:t>
      </w:r>
      <w:r>
        <w:rPr>
          <w:noProof w:val="0"/>
        </w:rPr>
        <w:t xml:space="preserve"> for provision of information about institution-wide and course-specific admission </w:t>
      </w:r>
      <w:r w:rsidR="003E7E58">
        <w:rPr>
          <w:noProof w:val="0"/>
        </w:rPr>
        <w:t>option</w:t>
      </w:r>
      <w:r>
        <w:rPr>
          <w:noProof w:val="0"/>
        </w:rPr>
        <w:t xml:space="preserve">s and entry </w:t>
      </w:r>
      <w:r w:rsidR="00AB3E40">
        <w:rPr>
          <w:noProof w:val="0"/>
        </w:rPr>
        <w:t>criteria</w:t>
      </w:r>
      <w:r>
        <w:rPr>
          <w:noProof w:val="0"/>
        </w:rPr>
        <w:t xml:space="preserve"> applicable to prospective students for the 2019 academic year and beyond.</w:t>
      </w:r>
    </w:p>
    <w:p w:rsidR="00B04C2F" w:rsidRDefault="007F3A47" w:rsidP="00B04C2F">
      <w:pPr>
        <w:pStyle w:val="HERNormal"/>
        <w:rPr>
          <w:noProof w:val="0"/>
        </w:rPr>
      </w:pPr>
      <w:r>
        <w:rPr>
          <w:noProof w:val="0"/>
          <w:u w:val="single"/>
        </w:rPr>
        <w:t xml:space="preserve">By </w:t>
      </w:r>
      <w:r w:rsidR="00C34831">
        <w:rPr>
          <w:noProof w:val="0"/>
          <w:u w:val="single"/>
        </w:rPr>
        <w:t>May 2018</w:t>
      </w:r>
      <w:r>
        <w:rPr>
          <w:noProof w:val="0"/>
        </w:rPr>
        <w:t xml:space="preserve">: </w:t>
      </w:r>
      <w:r w:rsidR="00B04C2F">
        <w:rPr>
          <w:noProof w:val="0"/>
        </w:rPr>
        <w:t xml:space="preserve">all </w:t>
      </w:r>
      <w:r w:rsidR="00FC7661">
        <w:rPr>
          <w:noProof w:val="0"/>
        </w:rPr>
        <w:t>TAC</w:t>
      </w:r>
      <w:r w:rsidR="00B04C2F">
        <w:rPr>
          <w:noProof w:val="0"/>
        </w:rPr>
        <w:t xml:space="preserve">s will adopt usage of the agreed </w:t>
      </w:r>
      <w:r w:rsidR="00E34A21">
        <w:rPr>
          <w:noProof w:val="0"/>
        </w:rPr>
        <w:t xml:space="preserve">set of </w:t>
      </w:r>
      <w:r w:rsidR="00B04C2F">
        <w:rPr>
          <w:noProof w:val="0"/>
        </w:rPr>
        <w:t>common terms</w:t>
      </w:r>
      <w:r w:rsidR="00E34A21">
        <w:rPr>
          <w:noProof w:val="0"/>
        </w:rPr>
        <w:t>, concepts</w:t>
      </w:r>
      <w:r w:rsidR="00B04C2F">
        <w:rPr>
          <w:noProof w:val="0"/>
        </w:rPr>
        <w:t xml:space="preserve"> and </w:t>
      </w:r>
      <w:r w:rsidR="00E34A21">
        <w:rPr>
          <w:noProof w:val="0"/>
        </w:rPr>
        <w:t xml:space="preserve">definitions </w:t>
      </w:r>
      <w:r w:rsidR="00B04C2F">
        <w:rPr>
          <w:noProof w:val="0"/>
        </w:rPr>
        <w:t xml:space="preserve">in their admission-related </w:t>
      </w:r>
      <w:r w:rsidR="00231AFD">
        <w:rPr>
          <w:noProof w:val="0"/>
        </w:rPr>
        <w:t xml:space="preserve">printed </w:t>
      </w:r>
      <w:r w:rsidR="00B04C2F">
        <w:rPr>
          <w:noProof w:val="0"/>
        </w:rPr>
        <w:t>publications and online information.</w:t>
      </w:r>
    </w:p>
    <w:p w:rsidR="00B04C2F" w:rsidRDefault="00B04C2F" w:rsidP="00B04C2F">
      <w:pPr>
        <w:pStyle w:val="HERNormal"/>
        <w:rPr>
          <w:noProof w:val="0"/>
        </w:rPr>
      </w:pPr>
      <w:r w:rsidRPr="003E3E25">
        <w:rPr>
          <w:noProof w:val="0"/>
          <w:u w:val="single"/>
        </w:rPr>
        <w:t>By December 201</w:t>
      </w:r>
      <w:r>
        <w:rPr>
          <w:noProof w:val="0"/>
          <w:u w:val="single"/>
        </w:rPr>
        <w:t>8</w:t>
      </w:r>
      <w:r>
        <w:rPr>
          <w:noProof w:val="0"/>
        </w:rPr>
        <w:t xml:space="preserve">: </w:t>
      </w:r>
      <w:r w:rsidR="00FC7661">
        <w:rPr>
          <w:noProof w:val="0"/>
        </w:rPr>
        <w:t>TAC</w:t>
      </w:r>
      <w:r>
        <w:rPr>
          <w:noProof w:val="0"/>
        </w:rPr>
        <w:t xml:space="preserve">s </w:t>
      </w:r>
      <w:r w:rsidR="009C748F">
        <w:rPr>
          <w:noProof w:val="0"/>
        </w:rPr>
        <w:t xml:space="preserve">will </w:t>
      </w:r>
      <w:r>
        <w:rPr>
          <w:noProof w:val="0"/>
        </w:rPr>
        <w:t xml:space="preserve">agree a more </w:t>
      </w:r>
      <w:r w:rsidR="000D099C">
        <w:rPr>
          <w:noProof w:val="0"/>
        </w:rPr>
        <w:t xml:space="preserve">comprehensive core </w:t>
      </w:r>
      <w:r>
        <w:rPr>
          <w:noProof w:val="0"/>
        </w:rPr>
        <w:t xml:space="preserve">suite of </w:t>
      </w:r>
      <w:r w:rsidR="00C34831">
        <w:rPr>
          <w:noProof w:val="0"/>
        </w:rPr>
        <w:t xml:space="preserve">standard </w:t>
      </w:r>
      <w:r>
        <w:rPr>
          <w:noProof w:val="0"/>
        </w:rPr>
        <w:t>reports to be produced with consistent content and presentation on admissions to higher education in the 2019 academic year.</w:t>
      </w:r>
    </w:p>
    <w:p w:rsidR="00B04C2F" w:rsidRDefault="00B04C2F" w:rsidP="00B04C2F">
      <w:pPr>
        <w:pStyle w:val="HERNormal"/>
        <w:rPr>
          <w:noProof w:val="0"/>
        </w:rPr>
      </w:pPr>
      <w:r w:rsidRPr="003E3E25">
        <w:rPr>
          <w:noProof w:val="0"/>
          <w:u w:val="single"/>
        </w:rPr>
        <w:t>Throughout 2019</w:t>
      </w:r>
      <w:r>
        <w:rPr>
          <w:noProof w:val="0"/>
        </w:rPr>
        <w:t xml:space="preserve">: </w:t>
      </w:r>
      <w:r w:rsidR="00FC7661">
        <w:rPr>
          <w:noProof w:val="0"/>
        </w:rPr>
        <w:t>TAC</w:t>
      </w:r>
      <w:r>
        <w:rPr>
          <w:noProof w:val="0"/>
        </w:rPr>
        <w:t xml:space="preserve">s </w:t>
      </w:r>
      <w:r w:rsidR="00EC33A9">
        <w:rPr>
          <w:noProof w:val="0"/>
        </w:rPr>
        <w:t xml:space="preserve">will </w:t>
      </w:r>
      <w:r>
        <w:rPr>
          <w:noProof w:val="0"/>
        </w:rPr>
        <w:t>produce the agreed minimum suite of reports with consistent content and presentation on admissions to higher education in the 2019 academic year.</w:t>
      </w:r>
    </w:p>
    <w:p w:rsidR="00B04C2F" w:rsidRDefault="00B04C2F" w:rsidP="002D0FBB">
      <w:pPr>
        <w:pStyle w:val="HERHeading2"/>
        <w:keepNext/>
      </w:pPr>
      <w:bookmarkStart w:id="53" w:name="_Toc479782316"/>
      <w:bookmarkStart w:id="54" w:name="_Toc480754877"/>
      <w:bookmarkStart w:id="55" w:name="_Toc482805052"/>
      <w:bookmarkStart w:id="56" w:name="_Toc483350205"/>
      <w:bookmarkStart w:id="57" w:name="_Toc484093492"/>
      <w:r>
        <w:t>Australian Government-led Initiatives</w:t>
      </w:r>
      <w:bookmarkEnd w:id="53"/>
      <w:bookmarkEnd w:id="54"/>
      <w:bookmarkEnd w:id="55"/>
      <w:bookmarkEnd w:id="56"/>
      <w:bookmarkEnd w:id="57"/>
    </w:p>
    <w:p w:rsidR="00B04C2F" w:rsidRDefault="00B04C2F" w:rsidP="00B04C2F">
      <w:pPr>
        <w:pStyle w:val="HERHeading3"/>
        <w:keepNext/>
        <w:numPr>
          <w:ilvl w:val="0"/>
          <w:numId w:val="9"/>
        </w:numPr>
      </w:pPr>
      <w:bookmarkStart w:id="58" w:name="_Toc479782317"/>
      <w:bookmarkStart w:id="59" w:name="_Toc478552084"/>
      <w:bookmarkStart w:id="60" w:name="_Toc480754878"/>
      <w:bookmarkStart w:id="61" w:name="_Toc482805053"/>
      <w:bookmarkStart w:id="62" w:name="_Toc483350206"/>
      <w:bookmarkStart w:id="63" w:name="_Toc484093493"/>
      <w:r>
        <w:t>TEQSA monitoring and guidance on improved admissions transparency</w:t>
      </w:r>
      <w:bookmarkEnd w:id="58"/>
      <w:bookmarkEnd w:id="59"/>
      <w:bookmarkEnd w:id="60"/>
      <w:bookmarkEnd w:id="61"/>
      <w:bookmarkEnd w:id="62"/>
      <w:bookmarkEnd w:id="63"/>
    </w:p>
    <w:p w:rsidR="00B04C2F" w:rsidRDefault="00B04C2F" w:rsidP="00B04C2F">
      <w:r>
        <w:t xml:space="preserve">Once the details of common terminology and language and the adoption of </w:t>
      </w:r>
      <w:r w:rsidR="007E7193">
        <w:t>‘information sets’</w:t>
      </w:r>
      <w:r>
        <w:t xml:space="preserve"> have been agreed by the </w:t>
      </w:r>
      <w:r w:rsidRPr="0021308B">
        <w:t xml:space="preserve">sector </w:t>
      </w:r>
      <w:r>
        <w:t xml:space="preserve">through the arrangements set out in this plan, </w:t>
      </w:r>
      <w:r w:rsidRPr="00C21655">
        <w:t xml:space="preserve">TEQSA will develop written guidance on the types of evidence it </w:t>
      </w:r>
      <w:r>
        <w:t xml:space="preserve">would </w:t>
      </w:r>
      <w:r w:rsidRPr="00C21655">
        <w:t xml:space="preserve">expect to see to demonstrate compliance with </w:t>
      </w:r>
      <w:r>
        <w:t xml:space="preserve">those commitments in order to satisfy </w:t>
      </w:r>
      <w:r w:rsidRPr="00C21655">
        <w:t>the admission</w:t>
      </w:r>
      <w:r>
        <w:t>s</w:t>
      </w:r>
      <w:r w:rsidRPr="00C21655">
        <w:t xml:space="preserve"> transparency elements of the Higher Education Standards Framework.</w:t>
      </w:r>
    </w:p>
    <w:p w:rsidR="00B04C2F" w:rsidRDefault="00B04C2F" w:rsidP="00B04C2F">
      <w:r>
        <w:t xml:space="preserve">TEQSA’s </w:t>
      </w:r>
      <w:r w:rsidRPr="00C21655">
        <w:t xml:space="preserve">guidance will take account of </w:t>
      </w:r>
      <w:r>
        <w:t xml:space="preserve">this implementation plan and the detailed stakeholder engagement undertaken by the </w:t>
      </w:r>
      <w:r w:rsidR="00B243D3">
        <w:t>IWG</w:t>
      </w:r>
      <w:r>
        <w:t xml:space="preserve"> and its technical sub-working groups </w:t>
      </w:r>
      <w:r w:rsidRPr="00C21655">
        <w:t xml:space="preserve">to respond to the </w:t>
      </w:r>
      <w:r>
        <w:t xml:space="preserve">HESP’s </w:t>
      </w:r>
      <w:r w:rsidRPr="00C21655">
        <w:t>recommendations.</w:t>
      </w:r>
    </w:p>
    <w:p w:rsidR="00B04C2F" w:rsidRPr="00C21655" w:rsidRDefault="00B04C2F" w:rsidP="00B04C2F">
      <w:r>
        <w:t xml:space="preserve">The aim of the guidance will be to assist higher education providers of all types, scales and sophistication to engage proactively with the new sector-wide commitments and develop their own tailored responses to the need for greater transparency of admissions-related information for prospective students and the community at large. The guidance will recognise that there is no </w:t>
      </w:r>
      <w:r>
        <w:br/>
        <w:t>‘one-size-fits-all’ solution; that every provider has the scope to differentiate itself in the market and tailor the presentation of information to its needs and mission.</w:t>
      </w:r>
    </w:p>
    <w:p w:rsidR="00535272" w:rsidRDefault="009E76F7" w:rsidP="00B04C2F">
      <w:r>
        <w:t xml:space="preserve">In the 2017-18 Budget, </w:t>
      </w:r>
      <w:r w:rsidR="00513C7B">
        <w:t xml:space="preserve">the </w:t>
      </w:r>
      <w:r w:rsidR="00B04C2F" w:rsidRPr="008202C5">
        <w:t xml:space="preserve">Government </w:t>
      </w:r>
      <w:r>
        <w:t xml:space="preserve">provided additional ongoing funding to </w:t>
      </w:r>
      <w:r w:rsidR="00B04C2F" w:rsidRPr="008202C5">
        <w:t xml:space="preserve">TEQSA to </w:t>
      </w:r>
      <w:r>
        <w:t xml:space="preserve">enable it to </w:t>
      </w:r>
      <w:r w:rsidR="00B04C2F" w:rsidRPr="008202C5">
        <w:t xml:space="preserve">monitor </w:t>
      </w:r>
      <w:r>
        <w:t xml:space="preserve">and support </w:t>
      </w:r>
      <w:r w:rsidR="00B04C2F" w:rsidRPr="008202C5">
        <w:t xml:space="preserve">engagement by higher education providers with </w:t>
      </w:r>
      <w:r w:rsidR="00B04C2F" w:rsidRPr="0021308B">
        <w:t xml:space="preserve">the </w:t>
      </w:r>
      <w:r w:rsidR="00B04C2F">
        <w:t xml:space="preserve">HESP’s </w:t>
      </w:r>
      <w:r w:rsidR="00B04C2F" w:rsidRPr="0021308B">
        <w:t>recommendations</w:t>
      </w:r>
      <w:r>
        <w:t xml:space="preserve">. TEQSA </w:t>
      </w:r>
      <w:r w:rsidR="00B04C2F">
        <w:t xml:space="preserve">will </w:t>
      </w:r>
      <w:r>
        <w:t xml:space="preserve">commence </w:t>
      </w:r>
      <w:r w:rsidR="00615C40">
        <w:t xml:space="preserve">a formative evaluation </w:t>
      </w:r>
      <w:r w:rsidR="00B04C2F">
        <w:t xml:space="preserve">of sector compliance with the </w:t>
      </w:r>
      <w:r w:rsidR="00615C40">
        <w:t>enhanced admissions transparency commitments in this plan, including</w:t>
      </w:r>
      <w:r w:rsidR="00535272">
        <w:t>:</w:t>
      </w:r>
    </w:p>
    <w:p w:rsidR="00535272" w:rsidRDefault="00615C40" w:rsidP="00F80FA7">
      <w:pPr>
        <w:pStyle w:val="HERListBullet"/>
        <w:numPr>
          <w:ilvl w:val="0"/>
          <w:numId w:val="30"/>
        </w:numPr>
      </w:pPr>
      <w:r>
        <w:t>a desktop audit of initial responses to the implementation plan</w:t>
      </w:r>
    </w:p>
    <w:p w:rsidR="00535272" w:rsidRDefault="00615C40" w:rsidP="00537ABC">
      <w:pPr>
        <w:pStyle w:val="HERListBullet"/>
        <w:numPr>
          <w:ilvl w:val="0"/>
          <w:numId w:val="30"/>
        </w:numPr>
      </w:pPr>
      <w:r>
        <w:t xml:space="preserve">assessment of how this relates to the </w:t>
      </w:r>
      <w:r w:rsidR="00B04C2F">
        <w:t>admissions transparency requirements of the Higher Education Standards Framework</w:t>
      </w:r>
    </w:p>
    <w:p w:rsidR="004C12E4" w:rsidRDefault="00615C40" w:rsidP="00F80FA7">
      <w:pPr>
        <w:pStyle w:val="HERListBullet"/>
        <w:numPr>
          <w:ilvl w:val="0"/>
          <w:numId w:val="30"/>
        </w:numPr>
      </w:pPr>
      <w:r>
        <w:t xml:space="preserve">ongoing </w:t>
      </w:r>
      <w:r w:rsidR="00B04C2F">
        <w:t xml:space="preserve">monitoring </w:t>
      </w:r>
      <w:r w:rsidR="00AE047C">
        <w:t xml:space="preserve">and evaluation </w:t>
      </w:r>
      <w:r w:rsidR="00B04C2F">
        <w:t xml:space="preserve">of how the response to the </w:t>
      </w:r>
      <w:r w:rsidR="00C2338E">
        <w:t>HESP</w:t>
      </w:r>
      <w:r w:rsidR="00B04C2F">
        <w:t>’s recommendations takes effect</w:t>
      </w:r>
      <w:r>
        <w:t xml:space="preserve"> over time</w:t>
      </w:r>
      <w:r w:rsidR="00B04C2F">
        <w:t>.</w:t>
      </w:r>
    </w:p>
    <w:p w:rsidR="00535272" w:rsidRDefault="008D51C1" w:rsidP="00F80FA7">
      <w:pPr>
        <w:pStyle w:val="HERNormal"/>
      </w:pPr>
      <w:r>
        <w:rPr>
          <w:noProof w:val="0"/>
        </w:rPr>
        <w:t xml:space="preserve">In 2019-20 </w:t>
      </w:r>
      <w:r w:rsidR="00AE047C">
        <w:rPr>
          <w:noProof w:val="0"/>
        </w:rPr>
        <w:t xml:space="preserve">TEQSA will undertake a comprehensive review and complete an evaluation of sector responses to the HESP recommendations. The completed evaluation will inform recommendations about any actions needed to </w:t>
      </w:r>
      <w:r>
        <w:rPr>
          <w:noProof w:val="0"/>
        </w:rPr>
        <w:t xml:space="preserve">further refine the </w:t>
      </w:r>
      <w:r w:rsidR="004E0459">
        <w:rPr>
          <w:noProof w:val="0"/>
        </w:rPr>
        <w:t xml:space="preserve">transparency and accountability </w:t>
      </w:r>
      <w:r>
        <w:rPr>
          <w:noProof w:val="0"/>
        </w:rPr>
        <w:t xml:space="preserve">of </w:t>
      </w:r>
      <w:r w:rsidR="004E0459">
        <w:rPr>
          <w:noProof w:val="0"/>
        </w:rPr>
        <w:t>provider admission policies</w:t>
      </w:r>
      <w:r>
        <w:rPr>
          <w:noProof w:val="0"/>
        </w:rPr>
        <w:t>,</w:t>
      </w:r>
      <w:r w:rsidR="004E0459">
        <w:rPr>
          <w:noProof w:val="0"/>
        </w:rPr>
        <w:t xml:space="preserve"> processes</w:t>
      </w:r>
      <w:r>
        <w:rPr>
          <w:noProof w:val="0"/>
        </w:rPr>
        <w:t xml:space="preserve"> and information</w:t>
      </w:r>
      <w:r w:rsidR="004E0459">
        <w:rPr>
          <w:noProof w:val="0"/>
        </w:rPr>
        <w:t>.</w:t>
      </w:r>
      <w:r w:rsidR="004E7FEC">
        <w:rPr>
          <w:noProof w:val="0"/>
        </w:rPr>
        <w:t xml:space="preserve"> As far as possible, TEQSA will draw on publicly available information</w:t>
      </w:r>
      <w:r w:rsidR="004E7FEC" w:rsidRPr="004E7FEC">
        <w:rPr>
          <w:noProof w:val="0"/>
        </w:rPr>
        <w:t xml:space="preserve"> </w:t>
      </w:r>
      <w:r w:rsidR="004E7FEC">
        <w:rPr>
          <w:noProof w:val="0"/>
        </w:rPr>
        <w:t>to minimise any additional regulatory burden on providers</w:t>
      </w:r>
      <w:r w:rsidR="00FC2EAA">
        <w:rPr>
          <w:noProof w:val="0"/>
        </w:rPr>
        <w:t>.</w:t>
      </w:r>
    </w:p>
    <w:p w:rsidR="00B04C2F" w:rsidRDefault="00AE047C" w:rsidP="00535272">
      <w:pPr>
        <w:pStyle w:val="HERNormal"/>
        <w:rPr>
          <w:noProof w:val="0"/>
        </w:rPr>
      </w:pPr>
      <w:r>
        <w:rPr>
          <w:noProof w:val="0"/>
        </w:rPr>
        <w:t xml:space="preserve">If a provider chose not to publish admissions information that </w:t>
      </w:r>
      <w:r w:rsidR="004E7FEC">
        <w:rPr>
          <w:noProof w:val="0"/>
        </w:rPr>
        <w:t>wa</w:t>
      </w:r>
      <w:r>
        <w:rPr>
          <w:noProof w:val="0"/>
        </w:rPr>
        <w:t xml:space="preserve">s consistent with the </w:t>
      </w:r>
      <w:r w:rsidR="004E7FEC">
        <w:rPr>
          <w:noProof w:val="0"/>
        </w:rPr>
        <w:t xml:space="preserve">agreed </w:t>
      </w:r>
      <w:r w:rsidR="007E7193">
        <w:rPr>
          <w:noProof w:val="0"/>
        </w:rPr>
        <w:t>‘information sets’</w:t>
      </w:r>
      <w:r w:rsidR="004E7FEC">
        <w:rPr>
          <w:noProof w:val="0"/>
        </w:rPr>
        <w:t xml:space="preserve"> and the </w:t>
      </w:r>
      <w:r>
        <w:rPr>
          <w:noProof w:val="0"/>
        </w:rPr>
        <w:t xml:space="preserve">sector-wide commitments embodied in this plan, the onus would clearly be on that provider to demonstrate how their approach complies with the transparency requirements of the </w:t>
      </w:r>
      <w:r w:rsidR="004E7FEC">
        <w:t xml:space="preserve">Higher Education </w:t>
      </w:r>
      <w:r>
        <w:rPr>
          <w:noProof w:val="0"/>
        </w:rPr>
        <w:t>Standards.</w:t>
      </w:r>
    </w:p>
    <w:p w:rsidR="00B04C2F" w:rsidRDefault="00B04C2F" w:rsidP="00B04C2F">
      <w:pPr>
        <w:pStyle w:val="HERHeading4FigureHeading"/>
        <w:keepNext/>
      </w:pPr>
      <w:r>
        <w:t>When:</w:t>
      </w:r>
    </w:p>
    <w:p w:rsidR="007F6718" w:rsidRDefault="008D51C1" w:rsidP="007F6718">
      <w:pPr>
        <w:pStyle w:val="HERNormal"/>
        <w:rPr>
          <w:noProof w:val="0"/>
        </w:rPr>
      </w:pPr>
      <w:r>
        <w:rPr>
          <w:noProof w:val="0"/>
          <w:u w:val="single"/>
        </w:rPr>
        <w:t>By October</w:t>
      </w:r>
      <w:r w:rsidR="007F6718">
        <w:rPr>
          <w:noProof w:val="0"/>
          <w:u w:val="single"/>
        </w:rPr>
        <w:t xml:space="preserve"> 2017</w:t>
      </w:r>
      <w:r w:rsidR="007F6718">
        <w:rPr>
          <w:noProof w:val="0"/>
        </w:rPr>
        <w:t>: TEQSA will undertake initial work on a formative evaluation of sector responses to the HESP’s recommendations</w:t>
      </w:r>
      <w:r w:rsidR="00906D57">
        <w:rPr>
          <w:noProof w:val="0"/>
        </w:rPr>
        <w:t xml:space="preserve"> to </w:t>
      </w:r>
      <w:r w:rsidR="007F6718">
        <w:rPr>
          <w:noProof w:val="0"/>
        </w:rPr>
        <w:t>provide a progress snapshot of the sector in its move towards greater transparency of higher education admissions.</w:t>
      </w:r>
    </w:p>
    <w:p w:rsidR="007F6718" w:rsidRDefault="007F6718" w:rsidP="007F6718">
      <w:pPr>
        <w:pStyle w:val="HERNormal"/>
        <w:rPr>
          <w:noProof w:val="0"/>
        </w:rPr>
      </w:pPr>
      <w:r w:rsidRPr="005B5E6A">
        <w:rPr>
          <w:noProof w:val="0"/>
          <w:u w:val="single"/>
        </w:rPr>
        <w:t xml:space="preserve">By </w:t>
      </w:r>
      <w:r>
        <w:rPr>
          <w:noProof w:val="0"/>
          <w:u w:val="single"/>
        </w:rPr>
        <w:t xml:space="preserve">December </w:t>
      </w:r>
      <w:r w:rsidRPr="005B5E6A">
        <w:rPr>
          <w:noProof w:val="0"/>
          <w:u w:val="single"/>
        </w:rPr>
        <w:t>201</w:t>
      </w:r>
      <w:r>
        <w:rPr>
          <w:noProof w:val="0"/>
          <w:u w:val="single"/>
        </w:rPr>
        <w:t>7</w:t>
      </w:r>
      <w:r>
        <w:rPr>
          <w:noProof w:val="0"/>
        </w:rPr>
        <w:t>:</w:t>
      </w:r>
      <w:r w:rsidR="00906D57">
        <w:rPr>
          <w:noProof w:val="0"/>
        </w:rPr>
        <w:t xml:space="preserve"> </w:t>
      </w:r>
      <w:r>
        <w:rPr>
          <w:noProof w:val="0"/>
        </w:rPr>
        <w:t xml:space="preserve">TEQSA will release a draft guidance note </w:t>
      </w:r>
      <w:r w:rsidR="00906D57">
        <w:rPr>
          <w:noProof w:val="0"/>
        </w:rPr>
        <w:t xml:space="preserve">on </w:t>
      </w:r>
      <w:r>
        <w:rPr>
          <w:noProof w:val="0"/>
        </w:rPr>
        <w:t xml:space="preserve">admissions </w:t>
      </w:r>
      <w:r w:rsidR="00906D57">
        <w:rPr>
          <w:noProof w:val="0"/>
        </w:rPr>
        <w:t xml:space="preserve">transparency </w:t>
      </w:r>
      <w:r>
        <w:rPr>
          <w:noProof w:val="0"/>
        </w:rPr>
        <w:t>for stakeholder comment</w:t>
      </w:r>
      <w:r w:rsidR="00906D57">
        <w:rPr>
          <w:noProof w:val="0"/>
        </w:rPr>
        <w:t>,</w:t>
      </w:r>
      <w:r w:rsidR="00906D57" w:rsidRPr="00906D57">
        <w:rPr>
          <w:noProof w:val="0"/>
        </w:rPr>
        <w:t xml:space="preserve"> </w:t>
      </w:r>
      <w:r w:rsidR="00906D57">
        <w:rPr>
          <w:noProof w:val="0"/>
        </w:rPr>
        <w:t>informed by findings and evidence gathered in the formative evaluation</w:t>
      </w:r>
      <w:r>
        <w:rPr>
          <w:noProof w:val="0"/>
        </w:rPr>
        <w:t>.</w:t>
      </w:r>
    </w:p>
    <w:p w:rsidR="00B04C2F" w:rsidRDefault="00B04C2F" w:rsidP="00B04C2F">
      <w:pPr>
        <w:pStyle w:val="HERNormal"/>
        <w:rPr>
          <w:noProof w:val="0"/>
        </w:rPr>
      </w:pPr>
      <w:r w:rsidRPr="005B5E6A">
        <w:rPr>
          <w:noProof w:val="0"/>
          <w:u w:val="single"/>
        </w:rPr>
        <w:t xml:space="preserve">By </w:t>
      </w:r>
      <w:r>
        <w:rPr>
          <w:noProof w:val="0"/>
          <w:u w:val="single"/>
        </w:rPr>
        <w:t>February 2018</w:t>
      </w:r>
      <w:r>
        <w:rPr>
          <w:noProof w:val="0"/>
        </w:rPr>
        <w:t xml:space="preserve">: TEQSA will commence monitoring and reporting to government and the community on how higher education providers are responding to the HESP’s recommendations and commitments embodied in this implementation plan in order to transition to </w:t>
      </w:r>
      <w:r w:rsidR="008922C4">
        <w:rPr>
          <w:noProof w:val="0"/>
        </w:rPr>
        <w:t xml:space="preserve">an enhanced </w:t>
      </w:r>
      <w:r>
        <w:rPr>
          <w:noProof w:val="0"/>
        </w:rPr>
        <w:t>level of transparency in higher education admissions.</w:t>
      </w:r>
    </w:p>
    <w:p w:rsidR="004E0459" w:rsidRDefault="004E0459" w:rsidP="00B04C2F">
      <w:pPr>
        <w:pStyle w:val="HERNormal"/>
        <w:rPr>
          <w:noProof w:val="0"/>
        </w:rPr>
      </w:pPr>
      <w:r w:rsidRPr="00F80FA7">
        <w:rPr>
          <w:noProof w:val="0"/>
          <w:u w:val="single"/>
        </w:rPr>
        <w:t>By March 2020</w:t>
      </w:r>
      <w:r>
        <w:rPr>
          <w:noProof w:val="0"/>
        </w:rPr>
        <w:t xml:space="preserve">: TEQSA will undertake a review and complete an evaluation of sector responses to the HESP </w:t>
      </w:r>
      <w:r w:rsidR="004C193D">
        <w:rPr>
          <w:noProof w:val="0"/>
        </w:rPr>
        <w:t xml:space="preserve">report </w:t>
      </w:r>
      <w:r>
        <w:rPr>
          <w:noProof w:val="0"/>
        </w:rPr>
        <w:t>and make recommendations to government on the need for further reforms to embed greater transparency in provider admission policies and processes.</w:t>
      </w:r>
    </w:p>
    <w:p w:rsidR="00B04C2F" w:rsidRDefault="00F84D5B" w:rsidP="00B04C2F">
      <w:pPr>
        <w:pStyle w:val="HERHeading3"/>
        <w:keepNext/>
        <w:numPr>
          <w:ilvl w:val="0"/>
          <w:numId w:val="9"/>
        </w:numPr>
      </w:pPr>
      <w:bookmarkStart w:id="64" w:name="_Toc479782318"/>
      <w:bookmarkStart w:id="65" w:name="_Toc478552085"/>
      <w:bookmarkStart w:id="66" w:name="_Toc480754879"/>
      <w:bookmarkStart w:id="67" w:name="_Toc482805054"/>
      <w:bookmarkStart w:id="68" w:name="_Toc483350207"/>
      <w:bookmarkStart w:id="69" w:name="_Toc484093494"/>
      <w:r>
        <w:t>A n</w:t>
      </w:r>
      <w:r w:rsidR="00B04C2F">
        <w:t>ew national admissions information platform</w:t>
      </w:r>
      <w:bookmarkEnd w:id="64"/>
      <w:bookmarkEnd w:id="65"/>
      <w:bookmarkEnd w:id="66"/>
      <w:bookmarkEnd w:id="67"/>
      <w:bookmarkEnd w:id="68"/>
      <w:bookmarkEnd w:id="69"/>
    </w:p>
    <w:p w:rsidR="00B04C2F" w:rsidRPr="007F3A47" w:rsidRDefault="00B04C2F" w:rsidP="00B04C2F">
      <w:pPr>
        <w:pStyle w:val="HERNormal"/>
        <w:rPr>
          <w:noProof w:val="0"/>
        </w:rPr>
      </w:pPr>
      <w:r w:rsidRPr="00C21655">
        <w:rPr>
          <w:noProof w:val="0"/>
        </w:rPr>
        <w:t xml:space="preserve">The Department of Education and Training will </w:t>
      </w:r>
      <w:r w:rsidR="002752E9">
        <w:rPr>
          <w:noProof w:val="0"/>
        </w:rPr>
        <w:t xml:space="preserve">undertake a research discovery project to inform the development of the platform in line with the Digital Transformation Agency’s Digital Service Standard. The department will also </w:t>
      </w:r>
      <w:r w:rsidRPr="00C21655">
        <w:rPr>
          <w:noProof w:val="0"/>
        </w:rPr>
        <w:t>work with stakeholders</w:t>
      </w:r>
      <w:r>
        <w:rPr>
          <w:noProof w:val="0"/>
        </w:rPr>
        <w:t xml:space="preserve"> </w:t>
      </w:r>
      <w:r w:rsidR="007F6718">
        <w:rPr>
          <w:noProof w:val="0"/>
        </w:rPr>
        <w:t xml:space="preserve">and </w:t>
      </w:r>
      <w:r w:rsidRPr="00EC4FDC">
        <w:rPr>
          <w:noProof w:val="0"/>
        </w:rPr>
        <w:t>relevant partners</w:t>
      </w:r>
      <w:r w:rsidRPr="00C21655">
        <w:rPr>
          <w:noProof w:val="0"/>
        </w:rPr>
        <w:t xml:space="preserve"> in the higher education sector, including the </w:t>
      </w:r>
      <w:r w:rsidR="00FC7661">
        <w:rPr>
          <w:noProof w:val="0"/>
        </w:rPr>
        <w:t>TAC</w:t>
      </w:r>
      <w:r w:rsidRPr="00C21655">
        <w:rPr>
          <w:noProof w:val="0"/>
        </w:rPr>
        <w:t xml:space="preserve">s, </w:t>
      </w:r>
      <w:r w:rsidRPr="000E1617">
        <w:rPr>
          <w:noProof w:val="0"/>
        </w:rPr>
        <w:t xml:space="preserve">and </w:t>
      </w:r>
      <w:r w:rsidR="00F70BAA">
        <w:rPr>
          <w:noProof w:val="0"/>
        </w:rPr>
        <w:t>s</w:t>
      </w:r>
      <w:r>
        <w:rPr>
          <w:noProof w:val="0"/>
        </w:rPr>
        <w:t xml:space="preserve">tate and </w:t>
      </w:r>
      <w:r w:rsidR="00F70BAA">
        <w:rPr>
          <w:noProof w:val="0"/>
        </w:rPr>
        <w:t>t</w:t>
      </w:r>
      <w:r>
        <w:rPr>
          <w:noProof w:val="0"/>
        </w:rPr>
        <w:t xml:space="preserve">erritory </w:t>
      </w:r>
      <w:r w:rsidRPr="000E1617">
        <w:rPr>
          <w:noProof w:val="0"/>
        </w:rPr>
        <w:t>government</w:t>
      </w:r>
      <w:r>
        <w:rPr>
          <w:noProof w:val="0"/>
        </w:rPr>
        <w:t xml:space="preserve">s </w:t>
      </w:r>
      <w:r w:rsidRPr="00982232">
        <w:rPr>
          <w:noProof w:val="0"/>
        </w:rPr>
        <w:t xml:space="preserve">to develop a new </w:t>
      </w:r>
      <w:r w:rsidRPr="00EC4FDC">
        <w:rPr>
          <w:noProof w:val="0"/>
        </w:rPr>
        <w:t>online information source</w:t>
      </w:r>
      <w:r>
        <w:rPr>
          <w:noProof w:val="0"/>
        </w:rPr>
        <w:t xml:space="preserve"> </w:t>
      </w:r>
      <w:r w:rsidRPr="00982232">
        <w:rPr>
          <w:noProof w:val="0"/>
        </w:rPr>
        <w:t>that will provide a useful first point of contact for prospective students</w:t>
      </w:r>
      <w:r>
        <w:rPr>
          <w:noProof w:val="0"/>
        </w:rPr>
        <w:t xml:space="preserve"> seeking information</w:t>
      </w:r>
      <w:r w:rsidRPr="00982232">
        <w:rPr>
          <w:noProof w:val="0"/>
        </w:rPr>
        <w:t xml:space="preserve"> </w:t>
      </w:r>
      <w:r>
        <w:rPr>
          <w:noProof w:val="0"/>
        </w:rPr>
        <w:t xml:space="preserve">on </w:t>
      </w:r>
      <w:r w:rsidRPr="00982232">
        <w:rPr>
          <w:noProof w:val="0"/>
        </w:rPr>
        <w:t>higher education</w:t>
      </w:r>
      <w:r>
        <w:rPr>
          <w:noProof w:val="0"/>
        </w:rPr>
        <w:t xml:space="preserve"> courses and providers</w:t>
      </w:r>
      <w:r w:rsidR="007F3A47">
        <w:rPr>
          <w:noProof w:val="0"/>
        </w:rPr>
        <w:t>.</w:t>
      </w:r>
    </w:p>
    <w:p w:rsidR="00B04C2F" w:rsidRPr="00EC4FDC" w:rsidRDefault="002752E9" w:rsidP="00B04C2F">
      <w:pPr>
        <w:pStyle w:val="HERNormal"/>
        <w:rPr>
          <w:noProof w:val="0"/>
        </w:rPr>
      </w:pPr>
      <w:r w:rsidRPr="00EC4FDC">
        <w:rPr>
          <w:noProof w:val="0"/>
        </w:rPr>
        <w:t>The national admission</w:t>
      </w:r>
      <w:r>
        <w:rPr>
          <w:noProof w:val="0"/>
        </w:rPr>
        <w:t>s</w:t>
      </w:r>
      <w:r w:rsidRPr="00EC4FDC">
        <w:rPr>
          <w:noProof w:val="0"/>
        </w:rPr>
        <w:t xml:space="preserve"> information platform will</w:t>
      </w:r>
      <w:r>
        <w:rPr>
          <w:noProof w:val="0"/>
        </w:rPr>
        <w:t xml:space="preserve"> respond to the needs of students seeking information about institutions, courses, admission </w:t>
      </w:r>
      <w:r w:rsidR="00AB3E40">
        <w:rPr>
          <w:noProof w:val="0"/>
        </w:rPr>
        <w:t>criteria</w:t>
      </w:r>
      <w:r>
        <w:rPr>
          <w:noProof w:val="0"/>
        </w:rPr>
        <w:t xml:space="preserve"> and application pathways. It will be based on user research which examines how students use current services and identify what they think needs improvement.</w:t>
      </w:r>
    </w:p>
    <w:p w:rsidR="00B04C2F" w:rsidRPr="00C21655" w:rsidRDefault="00B04C2F" w:rsidP="00B04C2F">
      <w:pPr>
        <w:pStyle w:val="HERNormal"/>
        <w:rPr>
          <w:noProof w:val="0"/>
        </w:rPr>
      </w:pPr>
      <w:r w:rsidRPr="0021308B">
        <w:rPr>
          <w:noProof w:val="0"/>
        </w:rPr>
        <w:t>A user</w:t>
      </w:r>
      <w:r>
        <w:rPr>
          <w:noProof w:val="0"/>
        </w:rPr>
        <w:t>-</w:t>
      </w:r>
      <w:r w:rsidRPr="0021308B">
        <w:rPr>
          <w:noProof w:val="0"/>
        </w:rPr>
        <w:t xml:space="preserve">centric approach to design of the information to be presented will ensure it </w:t>
      </w:r>
      <w:r w:rsidR="00F70BAA">
        <w:rPr>
          <w:noProof w:val="0"/>
        </w:rPr>
        <w:t xml:space="preserve">is </w:t>
      </w:r>
      <w:r w:rsidRPr="0021308B">
        <w:rPr>
          <w:noProof w:val="0"/>
        </w:rPr>
        <w:t xml:space="preserve">easier for </w:t>
      </w:r>
      <w:r w:rsidRPr="00F574CF">
        <w:rPr>
          <w:noProof w:val="0"/>
        </w:rPr>
        <w:t xml:space="preserve">prospective students and their families to </w:t>
      </w:r>
      <w:r w:rsidRPr="00C21655">
        <w:rPr>
          <w:noProof w:val="0"/>
        </w:rPr>
        <w:t>access the information they need to help make decisions about courses and providers before considering making an application.</w:t>
      </w:r>
      <w:r>
        <w:rPr>
          <w:noProof w:val="0"/>
        </w:rPr>
        <w:t xml:space="preserve"> It is envisaged that initially the primary audience for the platform will be current and prospective domestic undergraduate students, with possible future expansion to include information relevant to admissions for international students.</w:t>
      </w:r>
    </w:p>
    <w:p w:rsidR="00B04C2F" w:rsidRPr="00C21655" w:rsidRDefault="00B04C2F" w:rsidP="00B04C2F">
      <w:r>
        <w:t xml:space="preserve">A key feature of the national admissions information platform will be the capacity to directly compare the admission policies, courses and admission </w:t>
      </w:r>
      <w:r w:rsidR="00AB3E40">
        <w:t>criteria</w:t>
      </w:r>
      <w:r>
        <w:t xml:space="preserve"> across different higher education providers. </w:t>
      </w:r>
      <w:r w:rsidRPr="00C21655">
        <w:t xml:space="preserve">The lack of </w:t>
      </w:r>
      <w:r>
        <w:t xml:space="preserve">ready </w:t>
      </w:r>
      <w:r w:rsidRPr="00C21655">
        <w:t xml:space="preserve">comparability in currently available information was a key concern that the </w:t>
      </w:r>
      <w:r>
        <w:t>HESP</w:t>
      </w:r>
      <w:r w:rsidRPr="00C21655">
        <w:t xml:space="preserve"> sought to address through its recommendations. Delivering this comparability will be critical to the success of the national admissions information platform</w:t>
      </w:r>
      <w:r>
        <w:t xml:space="preserve"> in empowering informed choice by prospective students</w:t>
      </w:r>
      <w:r w:rsidRPr="00C21655">
        <w:t>.</w:t>
      </w:r>
    </w:p>
    <w:p w:rsidR="00B04C2F" w:rsidRPr="00C21655" w:rsidRDefault="00B04C2F" w:rsidP="00B04C2F">
      <w:r w:rsidRPr="00C21655">
        <w:t>Adequate support to school students, their parents, schools, teachers and career advisers to use the new national admission</w:t>
      </w:r>
      <w:r>
        <w:t>s</w:t>
      </w:r>
      <w:r w:rsidRPr="00C21655">
        <w:t xml:space="preserve"> information platform will be critical to its success.</w:t>
      </w:r>
      <w:r>
        <w:t xml:space="preserve"> </w:t>
      </w:r>
      <w:r w:rsidRPr="00C21655">
        <w:t xml:space="preserve">As the national admissions information platform is developed, the Department of Education and Training, in consultation with stakeholders, will develop </w:t>
      </w:r>
      <w:r>
        <w:t xml:space="preserve">and promote </w:t>
      </w:r>
      <w:r w:rsidRPr="00C21655">
        <w:t xml:space="preserve">appropriate online supporting materials to </w:t>
      </w:r>
      <w:r>
        <w:t>help</w:t>
      </w:r>
      <w:r w:rsidRPr="00C21655">
        <w:t xml:space="preserve"> prospective students, their families, schools, teachers and career educators </w:t>
      </w:r>
      <w:r>
        <w:t xml:space="preserve">to </w:t>
      </w:r>
      <w:r w:rsidRPr="00C21655">
        <w:t>make the most of the new resources and functionality developed.</w:t>
      </w:r>
    </w:p>
    <w:p w:rsidR="00B04C2F" w:rsidRDefault="00B04C2F" w:rsidP="00B04C2F">
      <w:pPr>
        <w:pStyle w:val="HERHeading4FigureHeading"/>
        <w:keepNext/>
      </w:pPr>
      <w:r>
        <w:t>When:</w:t>
      </w:r>
    </w:p>
    <w:p w:rsidR="00B04C2F" w:rsidRDefault="00B04C2F" w:rsidP="00B04C2F">
      <w:pPr>
        <w:pStyle w:val="HERNormal"/>
        <w:rPr>
          <w:noProof w:val="0"/>
          <w:u w:val="single"/>
        </w:rPr>
      </w:pPr>
      <w:r w:rsidRPr="003503CF">
        <w:rPr>
          <w:noProof w:val="0"/>
          <w:u w:val="single"/>
        </w:rPr>
        <w:t xml:space="preserve">By </w:t>
      </w:r>
      <w:r w:rsidR="005402B6">
        <w:rPr>
          <w:noProof w:val="0"/>
          <w:u w:val="single"/>
        </w:rPr>
        <w:t>July</w:t>
      </w:r>
      <w:r w:rsidR="004C12E4">
        <w:rPr>
          <w:noProof w:val="0"/>
          <w:u w:val="single"/>
        </w:rPr>
        <w:t xml:space="preserve"> </w:t>
      </w:r>
      <w:r>
        <w:rPr>
          <w:noProof w:val="0"/>
          <w:u w:val="single"/>
        </w:rPr>
        <w:t>2017</w:t>
      </w:r>
      <w:r>
        <w:rPr>
          <w:noProof w:val="0"/>
        </w:rPr>
        <w:t>:</w:t>
      </w:r>
      <w:r w:rsidRPr="00CE24D4">
        <w:rPr>
          <w:noProof w:val="0"/>
        </w:rPr>
        <w:t xml:space="preserve"> </w:t>
      </w:r>
      <w:r>
        <w:rPr>
          <w:noProof w:val="0"/>
        </w:rPr>
        <w:t>the Department of Education</w:t>
      </w:r>
      <w:r w:rsidR="003C3540">
        <w:rPr>
          <w:noProof w:val="0"/>
        </w:rPr>
        <w:t xml:space="preserve"> and Training</w:t>
      </w:r>
      <w:r>
        <w:rPr>
          <w:noProof w:val="0"/>
        </w:rPr>
        <w:t xml:space="preserve"> will begin consultations with prospective partner agencies and other stakeholders on options to develop, deliver and sustain a new higher education national admissions information platform.</w:t>
      </w:r>
    </w:p>
    <w:p w:rsidR="00B04C2F" w:rsidRDefault="00B04C2F" w:rsidP="00B04C2F">
      <w:pPr>
        <w:pStyle w:val="HERNormal"/>
        <w:rPr>
          <w:noProof w:val="0"/>
        </w:rPr>
      </w:pPr>
      <w:r w:rsidRPr="003503CF">
        <w:rPr>
          <w:noProof w:val="0"/>
          <w:u w:val="single"/>
        </w:rPr>
        <w:t xml:space="preserve">By </w:t>
      </w:r>
      <w:r w:rsidR="004C12E4">
        <w:rPr>
          <w:noProof w:val="0"/>
          <w:u w:val="single"/>
        </w:rPr>
        <w:t>July</w:t>
      </w:r>
      <w:r w:rsidR="004C12E4" w:rsidRPr="003503CF">
        <w:rPr>
          <w:noProof w:val="0"/>
          <w:u w:val="single"/>
        </w:rPr>
        <w:t xml:space="preserve"> </w:t>
      </w:r>
      <w:r w:rsidRPr="003503CF">
        <w:rPr>
          <w:noProof w:val="0"/>
          <w:u w:val="single"/>
        </w:rPr>
        <w:t>201</w:t>
      </w:r>
      <w:r>
        <w:rPr>
          <w:noProof w:val="0"/>
          <w:u w:val="single"/>
        </w:rPr>
        <w:t>7</w:t>
      </w:r>
      <w:r>
        <w:rPr>
          <w:noProof w:val="0"/>
        </w:rPr>
        <w:t xml:space="preserve">: the Department of Education and Training, working in conjunction with the Digital Transformation Agency, will complete an initial scoping study to assess core user needs and design </w:t>
      </w:r>
      <w:r w:rsidR="00494D20">
        <w:rPr>
          <w:noProof w:val="0"/>
        </w:rPr>
        <w:t xml:space="preserve">and test </w:t>
      </w:r>
      <w:r>
        <w:rPr>
          <w:noProof w:val="0"/>
        </w:rPr>
        <w:t>options for a new higher education national admissions information platform.</w:t>
      </w:r>
    </w:p>
    <w:p w:rsidR="00B04C2F" w:rsidRDefault="00B04C2F" w:rsidP="00B04C2F">
      <w:pPr>
        <w:pStyle w:val="HERNormal"/>
        <w:rPr>
          <w:noProof w:val="0"/>
          <w:u w:val="single"/>
        </w:rPr>
      </w:pPr>
      <w:r>
        <w:rPr>
          <w:noProof w:val="0"/>
          <w:u w:val="single"/>
        </w:rPr>
        <w:t xml:space="preserve">By </w:t>
      </w:r>
      <w:r w:rsidR="002D0FBB">
        <w:rPr>
          <w:noProof w:val="0"/>
          <w:u w:val="single"/>
        </w:rPr>
        <w:t xml:space="preserve">October </w:t>
      </w:r>
      <w:r>
        <w:rPr>
          <w:noProof w:val="0"/>
          <w:u w:val="single"/>
        </w:rPr>
        <w:t>2017</w:t>
      </w:r>
      <w:r>
        <w:rPr>
          <w:noProof w:val="0"/>
        </w:rPr>
        <w:t xml:space="preserve">: the Department of Education and Training will enter into a development agreement with selected partner organisations to develop, deliver and </w:t>
      </w:r>
      <w:r w:rsidR="002752E9">
        <w:rPr>
          <w:noProof w:val="0"/>
        </w:rPr>
        <w:t>main</w:t>
      </w:r>
      <w:r>
        <w:rPr>
          <w:noProof w:val="0"/>
        </w:rPr>
        <w:t>tain a new higher education national admissions information platform.</w:t>
      </w:r>
    </w:p>
    <w:p w:rsidR="005C1652" w:rsidRDefault="00B04C2F" w:rsidP="002752E9">
      <w:pPr>
        <w:pStyle w:val="HERNormal"/>
        <w:rPr>
          <w:noProof w:val="0"/>
        </w:rPr>
      </w:pPr>
      <w:r>
        <w:rPr>
          <w:noProof w:val="0"/>
          <w:u w:val="single"/>
        </w:rPr>
        <w:t xml:space="preserve">By </w:t>
      </w:r>
      <w:r w:rsidR="002752E9">
        <w:rPr>
          <w:noProof w:val="0"/>
          <w:u w:val="single"/>
        </w:rPr>
        <w:t xml:space="preserve">December </w:t>
      </w:r>
      <w:r w:rsidR="00C34831">
        <w:rPr>
          <w:noProof w:val="0"/>
          <w:u w:val="single"/>
        </w:rPr>
        <w:t>201</w:t>
      </w:r>
      <w:r w:rsidR="002752E9">
        <w:rPr>
          <w:noProof w:val="0"/>
          <w:u w:val="single"/>
        </w:rPr>
        <w:t>7</w:t>
      </w:r>
      <w:r>
        <w:rPr>
          <w:noProof w:val="0"/>
        </w:rPr>
        <w:t xml:space="preserve">: </w:t>
      </w:r>
      <w:r w:rsidR="002752E9">
        <w:rPr>
          <w:noProof w:val="0"/>
        </w:rPr>
        <w:t xml:space="preserve">the national admissions information platform will begin a phased approach to delivery with an initial </w:t>
      </w:r>
      <w:r w:rsidR="00725E57">
        <w:rPr>
          <w:noProof w:val="0"/>
        </w:rPr>
        <w:t xml:space="preserve">proof of concept </w:t>
      </w:r>
      <w:r w:rsidR="002752E9">
        <w:rPr>
          <w:noProof w:val="0"/>
        </w:rPr>
        <w:t>release intended for December 2017</w:t>
      </w:r>
      <w:r w:rsidR="00665987">
        <w:rPr>
          <w:noProof w:val="0"/>
        </w:rPr>
        <w:t>.</w:t>
      </w:r>
    </w:p>
    <w:p w:rsidR="00B451D8" w:rsidRDefault="00B451D8" w:rsidP="002752E9">
      <w:pPr>
        <w:pStyle w:val="HERNormal"/>
        <w:rPr>
          <w:noProof w:val="0"/>
        </w:rPr>
      </w:pPr>
      <w:r w:rsidRPr="000C2FC2">
        <w:rPr>
          <w:noProof w:val="0"/>
          <w:u w:val="single"/>
        </w:rPr>
        <w:t>By August 2018</w:t>
      </w:r>
      <w:r>
        <w:rPr>
          <w:noProof w:val="0"/>
        </w:rPr>
        <w:t xml:space="preserve">: </w:t>
      </w:r>
      <w:r>
        <w:t>the national admissions information platform will be operational to support students seeking to enter higher education in the 2019 academic year.</w:t>
      </w:r>
    </w:p>
    <w:p w:rsidR="0041269F" w:rsidRDefault="0041269F" w:rsidP="00B04C2F">
      <w:pPr>
        <w:pStyle w:val="HERNormal"/>
        <w:rPr>
          <w:noProof w:val="0"/>
        </w:rPr>
      </w:pPr>
    </w:p>
    <w:p w:rsidR="0041269F" w:rsidDel="00E71C2B" w:rsidRDefault="0041269F" w:rsidP="00B04C2F">
      <w:pPr>
        <w:pStyle w:val="HERNormal"/>
        <w:rPr>
          <w:noProof w:val="0"/>
        </w:rPr>
        <w:sectPr w:rsidR="0041269F" w:rsidDel="00E71C2B" w:rsidSect="005A565D">
          <w:headerReference w:type="even" r:id="rId45"/>
          <w:headerReference w:type="default" r:id="rId46"/>
          <w:footerReference w:type="even" r:id="rId47"/>
          <w:footerReference w:type="default" r:id="rId48"/>
          <w:headerReference w:type="first" r:id="rId49"/>
          <w:pgSz w:w="11906" w:h="16838" w:code="9"/>
          <w:pgMar w:top="1372" w:right="1440" w:bottom="1440" w:left="1440" w:header="709" w:footer="510" w:gutter="0"/>
          <w:cols w:space="567"/>
          <w:docGrid w:linePitch="360"/>
        </w:sectPr>
      </w:pPr>
    </w:p>
    <w:p w:rsidR="00B04C2F" w:rsidRPr="00A85944" w:rsidRDefault="00B04C2F" w:rsidP="005A565D">
      <w:pPr>
        <w:pStyle w:val="HERHeading1"/>
      </w:pPr>
      <w:bookmarkStart w:id="70" w:name="_Toc479782321"/>
      <w:bookmarkStart w:id="71" w:name="_Toc478552088"/>
      <w:bookmarkStart w:id="72" w:name="_Toc480754882"/>
      <w:bookmarkStart w:id="73" w:name="_Toc482805057"/>
      <w:bookmarkStart w:id="74" w:name="_Toc483350208"/>
      <w:bookmarkStart w:id="75" w:name="_Toc484093495"/>
      <w:r w:rsidRPr="00A85944">
        <w:t>Implementation</w:t>
      </w:r>
      <w:r w:rsidR="00D72627">
        <w:t xml:space="preserve"> overview and</w:t>
      </w:r>
      <w:r w:rsidRPr="00A85944">
        <w:t xml:space="preserve"> timeline</w:t>
      </w:r>
      <w:bookmarkEnd w:id="70"/>
      <w:bookmarkEnd w:id="71"/>
      <w:bookmarkEnd w:id="72"/>
      <w:bookmarkEnd w:id="73"/>
      <w:bookmarkEnd w:id="74"/>
      <w:bookmarkEnd w:id="75"/>
    </w:p>
    <w:p w:rsidR="00B04C2F" w:rsidRDefault="005D570B" w:rsidP="00B04C2F">
      <w:pPr>
        <w:pStyle w:val="HERNormal"/>
        <w:rPr>
          <w:noProof w:val="0"/>
        </w:rPr>
      </w:pPr>
      <w:r>
        <w:rPr>
          <w:noProof w:val="0"/>
        </w:rPr>
        <w:t>This section</w:t>
      </w:r>
      <w:r w:rsidR="00DC2831">
        <w:rPr>
          <w:noProof w:val="0"/>
        </w:rPr>
        <w:t xml:space="preserve"> </w:t>
      </w:r>
      <w:r w:rsidR="00CD73DD">
        <w:rPr>
          <w:noProof w:val="0"/>
        </w:rPr>
        <w:t>summarises</w:t>
      </w:r>
      <w:r w:rsidR="00DC2831">
        <w:rPr>
          <w:noProof w:val="0"/>
        </w:rPr>
        <w:t xml:space="preserve"> the agreed objectives set out in this implementation plan in their order of proposed delivery</w:t>
      </w:r>
      <w:r w:rsidR="00BF18A8">
        <w:rPr>
          <w:noProof w:val="0"/>
        </w:rPr>
        <w:t xml:space="preserve"> as part of a three-stage process</w:t>
      </w:r>
      <w:r w:rsidR="00DC2831">
        <w:rPr>
          <w:noProof w:val="0"/>
        </w:rPr>
        <w:t>.</w:t>
      </w:r>
    </w:p>
    <w:tbl>
      <w:tblPr>
        <w:tblStyle w:val="TableGrid"/>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265"/>
        <w:gridCol w:w="1137"/>
        <w:gridCol w:w="9780"/>
      </w:tblGrid>
      <w:tr w:rsidR="001C1F19" w:rsidRPr="00DC2831" w:rsidTr="005A565D">
        <w:trPr>
          <w:cantSplit/>
          <w:tblHeader/>
        </w:trPr>
        <w:tc>
          <w:tcPr>
            <w:tcW w:w="1101" w:type="dxa"/>
            <w:tcBorders>
              <w:bottom w:val="single" w:sz="4" w:space="0" w:color="auto"/>
            </w:tcBorders>
          </w:tcPr>
          <w:p w:rsidR="001C1F19" w:rsidRPr="00DC2831" w:rsidRDefault="001C1F19" w:rsidP="00DC2831">
            <w:pPr>
              <w:pStyle w:val="HERNormal"/>
              <w:rPr>
                <w:b/>
                <w:noProof w:val="0"/>
              </w:rPr>
            </w:pPr>
            <w:r w:rsidRPr="00DC2831">
              <w:rPr>
                <w:b/>
                <w:noProof w:val="0"/>
              </w:rPr>
              <w:t>By when</w:t>
            </w:r>
          </w:p>
        </w:tc>
        <w:tc>
          <w:tcPr>
            <w:tcW w:w="2265" w:type="dxa"/>
            <w:tcBorders>
              <w:bottom w:val="single" w:sz="4" w:space="0" w:color="auto"/>
            </w:tcBorders>
          </w:tcPr>
          <w:p w:rsidR="001C1F19" w:rsidRPr="00DC2831" w:rsidRDefault="001C1F19" w:rsidP="00DC2831">
            <w:pPr>
              <w:pStyle w:val="HERNormal"/>
              <w:rPr>
                <w:b/>
                <w:noProof w:val="0"/>
              </w:rPr>
            </w:pPr>
            <w:r w:rsidRPr="00DC2831">
              <w:rPr>
                <w:b/>
                <w:noProof w:val="0"/>
              </w:rPr>
              <w:t>Category</w:t>
            </w:r>
          </w:p>
        </w:tc>
        <w:tc>
          <w:tcPr>
            <w:tcW w:w="1137" w:type="dxa"/>
            <w:tcBorders>
              <w:bottom w:val="single" w:sz="4" w:space="0" w:color="auto"/>
            </w:tcBorders>
          </w:tcPr>
          <w:p w:rsidR="001C1F19" w:rsidRPr="00DC2831" w:rsidRDefault="001C1F19" w:rsidP="00DC2831">
            <w:pPr>
              <w:pStyle w:val="HERNormal"/>
              <w:rPr>
                <w:b/>
                <w:noProof w:val="0"/>
              </w:rPr>
            </w:pPr>
            <w:r>
              <w:rPr>
                <w:b/>
                <w:noProof w:val="0"/>
              </w:rPr>
              <w:t>Who</w:t>
            </w:r>
          </w:p>
        </w:tc>
        <w:tc>
          <w:tcPr>
            <w:tcW w:w="9780" w:type="dxa"/>
            <w:tcBorders>
              <w:bottom w:val="single" w:sz="4" w:space="0" w:color="auto"/>
            </w:tcBorders>
          </w:tcPr>
          <w:p w:rsidR="001C1F19" w:rsidRPr="00DC2831" w:rsidRDefault="001C1F19" w:rsidP="00DC2831">
            <w:pPr>
              <w:pStyle w:val="HERNormal"/>
              <w:rPr>
                <w:b/>
                <w:noProof w:val="0"/>
              </w:rPr>
            </w:pPr>
            <w:r w:rsidRPr="00DC2831">
              <w:rPr>
                <w:b/>
                <w:noProof w:val="0"/>
              </w:rPr>
              <w:t>Objective</w:t>
            </w:r>
          </w:p>
        </w:tc>
      </w:tr>
      <w:tr w:rsidR="00B451D8" w:rsidTr="000C2FC2">
        <w:trPr>
          <w:cantSplit/>
        </w:trPr>
        <w:tc>
          <w:tcPr>
            <w:tcW w:w="14283" w:type="dxa"/>
            <w:gridSpan w:val="4"/>
            <w:tcBorders>
              <w:top w:val="single" w:sz="4" w:space="0" w:color="auto"/>
              <w:left w:val="single" w:sz="4" w:space="0" w:color="auto"/>
              <w:bottom w:val="single" w:sz="4" w:space="0" w:color="auto"/>
              <w:right w:val="single" w:sz="4" w:space="0" w:color="auto"/>
            </w:tcBorders>
            <w:shd w:val="clear" w:color="auto" w:fill="E5E5E5" w:themeFill="background1" w:themeFillTint="33"/>
          </w:tcPr>
          <w:p w:rsidR="00B451D8" w:rsidRDefault="00B451D8" w:rsidP="000C2FC2">
            <w:pPr>
              <w:jc w:val="center"/>
              <w:rPr>
                <w:rFonts w:ascii="Calibri" w:hAnsi="Calibri" w:cs="Calibri"/>
                <w:color w:val="000000"/>
              </w:rPr>
            </w:pPr>
            <w:r>
              <w:rPr>
                <w:rFonts w:ascii="Calibri" w:hAnsi="Calibri" w:cs="Calibri"/>
                <w:color w:val="000000"/>
              </w:rPr>
              <w:t>STAGE ONE</w:t>
            </w:r>
          </w:p>
        </w:tc>
      </w:tr>
      <w:tr w:rsidR="001C1F19" w:rsidTr="005A565D">
        <w:trPr>
          <w:cantSplit/>
        </w:trPr>
        <w:tc>
          <w:tcPr>
            <w:tcW w:w="1101" w:type="dxa"/>
            <w:tcBorders>
              <w:top w:val="single" w:sz="4" w:space="0" w:color="auto"/>
              <w:left w:val="single" w:sz="4" w:space="0" w:color="auto"/>
              <w:bottom w:val="nil"/>
              <w:right w:val="single" w:sz="4" w:space="0" w:color="auto"/>
            </w:tcBorders>
          </w:tcPr>
          <w:p w:rsidR="001C1F19" w:rsidRDefault="001C1F19" w:rsidP="00DC2831">
            <w:pPr>
              <w:rPr>
                <w:rFonts w:ascii="Calibri" w:hAnsi="Calibri" w:cs="Calibri"/>
                <w:color w:val="000000"/>
              </w:rPr>
            </w:pPr>
            <w:r>
              <w:rPr>
                <w:rFonts w:ascii="Calibri" w:hAnsi="Calibri" w:cs="Calibri"/>
                <w:color w:val="000000"/>
              </w:rPr>
              <w:t>Jun-17</w:t>
            </w:r>
          </w:p>
        </w:tc>
        <w:tc>
          <w:tcPr>
            <w:tcW w:w="2265" w:type="dxa"/>
            <w:tcBorders>
              <w:top w:val="single" w:sz="4" w:space="0" w:color="auto"/>
              <w:left w:val="single" w:sz="4" w:space="0" w:color="auto"/>
            </w:tcBorders>
          </w:tcPr>
          <w:p w:rsidR="001C1F19" w:rsidRDefault="001C1F19" w:rsidP="00DC2831">
            <w:pPr>
              <w:rPr>
                <w:rFonts w:ascii="Calibri" w:hAnsi="Calibri" w:cs="Calibri"/>
                <w:color w:val="000000"/>
              </w:rPr>
            </w:pPr>
            <w:r>
              <w:rPr>
                <w:rFonts w:ascii="Calibri" w:hAnsi="Calibri" w:cs="Calibri"/>
                <w:color w:val="000000"/>
              </w:rPr>
              <w:t>Terminology</w:t>
            </w:r>
          </w:p>
        </w:tc>
        <w:tc>
          <w:tcPr>
            <w:tcW w:w="1137" w:type="dxa"/>
            <w:tcBorders>
              <w:top w:val="single" w:sz="4" w:space="0" w:color="auto"/>
            </w:tcBorders>
          </w:tcPr>
          <w:p w:rsidR="001C1F19" w:rsidRDefault="001C1F19" w:rsidP="0058007C">
            <w:pPr>
              <w:rPr>
                <w:rFonts w:ascii="Calibri" w:hAnsi="Calibri" w:cs="Calibri"/>
                <w:color w:val="000000"/>
              </w:rPr>
            </w:pPr>
            <w:r>
              <w:rPr>
                <w:rFonts w:ascii="Calibri" w:hAnsi="Calibri" w:cs="Calibri"/>
                <w:color w:val="000000"/>
              </w:rPr>
              <w:t>IWG</w:t>
            </w:r>
          </w:p>
          <w:p w:rsidR="004E5C0C" w:rsidRDefault="004E5C0C" w:rsidP="0058007C">
            <w:pPr>
              <w:rPr>
                <w:rFonts w:ascii="Calibri" w:hAnsi="Calibri" w:cs="Calibri"/>
                <w:color w:val="000000"/>
              </w:rPr>
            </w:pPr>
            <w:r>
              <w:rPr>
                <w:rFonts w:ascii="Calibri" w:hAnsi="Calibri" w:cs="Calibri"/>
                <w:color w:val="000000"/>
              </w:rPr>
              <w:t>Peaks</w:t>
            </w:r>
          </w:p>
        </w:tc>
        <w:tc>
          <w:tcPr>
            <w:tcW w:w="9780" w:type="dxa"/>
            <w:tcBorders>
              <w:top w:val="single" w:sz="4" w:space="0" w:color="auto"/>
            </w:tcBorders>
          </w:tcPr>
          <w:p w:rsidR="001C1F19" w:rsidRDefault="001C1F19" w:rsidP="0058007C">
            <w:pPr>
              <w:rPr>
                <w:rFonts w:ascii="Calibri" w:hAnsi="Calibri" w:cs="Calibri"/>
                <w:color w:val="000000"/>
              </w:rPr>
            </w:pPr>
            <w:r>
              <w:rPr>
                <w:rFonts w:ascii="Calibri" w:hAnsi="Calibri" w:cs="Calibri"/>
                <w:color w:val="000000"/>
              </w:rPr>
              <w:t xml:space="preserve">Initial set of common </w:t>
            </w:r>
            <w:r>
              <w:t xml:space="preserve">terms, admission-related concepts and definitions necessary to support implementation of the sector-wide common </w:t>
            </w:r>
            <w:r w:rsidR="007E7193">
              <w:t>‘information sets’</w:t>
            </w:r>
            <w:r>
              <w:t xml:space="preserve"> will be determined and common language agreed –as set out in this plan.</w:t>
            </w:r>
          </w:p>
        </w:tc>
      </w:tr>
      <w:tr w:rsidR="001C1F19" w:rsidTr="005A565D">
        <w:trPr>
          <w:cantSplit/>
        </w:trPr>
        <w:tc>
          <w:tcPr>
            <w:tcW w:w="1101" w:type="dxa"/>
            <w:tcBorders>
              <w:top w:val="nil"/>
              <w:left w:val="single" w:sz="4" w:space="0" w:color="auto"/>
              <w:bottom w:val="nil"/>
              <w:right w:val="single" w:sz="4" w:space="0" w:color="auto"/>
            </w:tcBorders>
          </w:tcPr>
          <w:p w:rsidR="001C1F19" w:rsidRDefault="001C1F19" w:rsidP="00DC2831">
            <w:pPr>
              <w:rPr>
                <w:rFonts w:ascii="Calibri" w:hAnsi="Calibri" w:cs="Calibri"/>
                <w:color w:val="000000"/>
              </w:rPr>
            </w:pPr>
          </w:p>
        </w:tc>
        <w:tc>
          <w:tcPr>
            <w:tcW w:w="2265" w:type="dxa"/>
            <w:tcBorders>
              <w:left w:val="single" w:sz="4" w:space="0" w:color="auto"/>
            </w:tcBorders>
          </w:tcPr>
          <w:p w:rsidR="001C1F19" w:rsidRDefault="006D721E" w:rsidP="00DC2831">
            <w:pPr>
              <w:rPr>
                <w:rFonts w:ascii="Calibri" w:hAnsi="Calibri" w:cs="Calibri"/>
                <w:color w:val="000000"/>
              </w:rPr>
            </w:pPr>
            <w:r>
              <w:rPr>
                <w:rFonts w:ascii="Calibri" w:hAnsi="Calibri" w:cs="Calibri"/>
                <w:color w:val="000000"/>
              </w:rPr>
              <w:t>Consistent information</w:t>
            </w:r>
          </w:p>
        </w:tc>
        <w:tc>
          <w:tcPr>
            <w:tcW w:w="1137" w:type="dxa"/>
          </w:tcPr>
          <w:p w:rsidR="001C1F19" w:rsidRDefault="001C1F19" w:rsidP="008E3E86">
            <w:r>
              <w:t>IWG</w:t>
            </w:r>
          </w:p>
          <w:p w:rsidR="004E5C0C" w:rsidRDefault="004E5C0C" w:rsidP="008E3E86">
            <w:r>
              <w:t>Peaks</w:t>
            </w:r>
          </w:p>
        </w:tc>
        <w:tc>
          <w:tcPr>
            <w:tcW w:w="9780" w:type="dxa"/>
          </w:tcPr>
          <w:p w:rsidR="001C1F19" w:rsidRDefault="001C1F19" w:rsidP="00115467">
            <w:pPr>
              <w:rPr>
                <w:rFonts w:ascii="Calibri" w:hAnsi="Calibri" w:cs="Calibri"/>
                <w:color w:val="000000"/>
              </w:rPr>
            </w:pPr>
            <w:r>
              <w:t xml:space="preserve">Detail of provisional ‘information sets’ that set out the types of information and minimum information requirements that providers and, where appropriate, TACs will convey </w:t>
            </w:r>
            <w:r w:rsidRPr="000B1DCA">
              <w:t xml:space="preserve">about institution-wide and course-specific admission </w:t>
            </w:r>
            <w:r>
              <w:t>options</w:t>
            </w:r>
            <w:r w:rsidRPr="000B1DCA">
              <w:t xml:space="preserve"> and entry </w:t>
            </w:r>
            <w:r>
              <w:t>criteria</w:t>
            </w:r>
            <w:r w:rsidRPr="000B1DCA">
              <w:t xml:space="preserve"> </w:t>
            </w:r>
            <w:r>
              <w:t>will be agreed</w:t>
            </w:r>
            <w:r w:rsidR="00115467">
              <w:t xml:space="preserve"> and committed to</w:t>
            </w:r>
            <w:r>
              <w:t xml:space="preserve"> by the sector – as set out in this plan</w:t>
            </w:r>
            <w:r w:rsidRPr="000B1DCA">
              <w:t>.</w:t>
            </w:r>
          </w:p>
        </w:tc>
      </w:tr>
      <w:tr w:rsidR="001C1F19" w:rsidTr="005A565D">
        <w:trPr>
          <w:cantSplit/>
        </w:trPr>
        <w:tc>
          <w:tcPr>
            <w:tcW w:w="1101" w:type="dxa"/>
            <w:tcBorders>
              <w:top w:val="nil"/>
              <w:left w:val="single" w:sz="4" w:space="0" w:color="auto"/>
              <w:bottom w:val="nil"/>
              <w:right w:val="single" w:sz="4" w:space="0" w:color="auto"/>
            </w:tcBorders>
          </w:tcPr>
          <w:p w:rsidR="001C1F19" w:rsidRDefault="001C1F19" w:rsidP="00DC2831">
            <w:pPr>
              <w:rPr>
                <w:rFonts w:ascii="Calibri" w:hAnsi="Calibri" w:cs="Calibri"/>
                <w:color w:val="000000"/>
              </w:rPr>
            </w:pPr>
          </w:p>
        </w:tc>
        <w:tc>
          <w:tcPr>
            <w:tcW w:w="2265" w:type="dxa"/>
            <w:tcBorders>
              <w:left w:val="single" w:sz="4" w:space="0" w:color="auto"/>
            </w:tcBorders>
          </w:tcPr>
          <w:p w:rsidR="001C1F19" w:rsidRDefault="001C1F19" w:rsidP="00DC2831">
            <w:pPr>
              <w:rPr>
                <w:rFonts w:ascii="Calibri" w:hAnsi="Calibri" w:cs="Calibri"/>
                <w:color w:val="000000"/>
              </w:rPr>
            </w:pPr>
            <w:r>
              <w:rPr>
                <w:rFonts w:ascii="Calibri" w:hAnsi="Calibri" w:cs="Calibri"/>
                <w:color w:val="000000"/>
              </w:rPr>
              <w:t>ATAR-related</w:t>
            </w:r>
          </w:p>
        </w:tc>
        <w:tc>
          <w:tcPr>
            <w:tcW w:w="1137" w:type="dxa"/>
          </w:tcPr>
          <w:p w:rsidR="001C1F19" w:rsidRDefault="001C1F19" w:rsidP="008E3E86">
            <w:pPr>
              <w:rPr>
                <w:rFonts w:ascii="Calibri" w:hAnsi="Calibri" w:cs="Calibri"/>
                <w:color w:val="000000"/>
              </w:rPr>
            </w:pPr>
            <w:r>
              <w:rPr>
                <w:rFonts w:ascii="Calibri" w:hAnsi="Calibri" w:cs="Calibri"/>
                <w:color w:val="000000"/>
              </w:rPr>
              <w:t>IWG</w:t>
            </w:r>
          </w:p>
          <w:p w:rsidR="004E5C0C" w:rsidRDefault="004E5C0C" w:rsidP="008E3E86">
            <w:pPr>
              <w:rPr>
                <w:rFonts w:ascii="Calibri" w:hAnsi="Calibri" w:cs="Calibri"/>
                <w:color w:val="000000"/>
              </w:rPr>
            </w:pPr>
            <w:r>
              <w:rPr>
                <w:rFonts w:ascii="Calibri" w:hAnsi="Calibri" w:cs="Calibri"/>
                <w:color w:val="000000"/>
              </w:rPr>
              <w:t>Peaks</w:t>
            </w:r>
          </w:p>
        </w:tc>
        <w:tc>
          <w:tcPr>
            <w:tcW w:w="9780" w:type="dxa"/>
          </w:tcPr>
          <w:p w:rsidR="001C1F19" w:rsidRDefault="001C1F19" w:rsidP="008E3E86">
            <w:r>
              <w:rPr>
                <w:rFonts w:ascii="Calibri" w:hAnsi="Calibri" w:cs="Calibri"/>
                <w:color w:val="000000"/>
              </w:rPr>
              <w:t xml:space="preserve">Revised </w:t>
            </w:r>
            <w:r>
              <w:t>definitions and naming conventions for ATAR-related thresholds and reporting figures will be agreed –as set out in this plan.</w:t>
            </w:r>
          </w:p>
        </w:tc>
      </w:tr>
      <w:tr w:rsidR="001C1F19" w:rsidTr="005A565D">
        <w:trPr>
          <w:cantSplit/>
        </w:trPr>
        <w:tc>
          <w:tcPr>
            <w:tcW w:w="1101" w:type="dxa"/>
            <w:tcBorders>
              <w:top w:val="nil"/>
              <w:left w:val="single" w:sz="4" w:space="0" w:color="auto"/>
              <w:bottom w:val="single" w:sz="4" w:space="0" w:color="auto"/>
              <w:right w:val="single" w:sz="4" w:space="0" w:color="auto"/>
            </w:tcBorders>
          </w:tcPr>
          <w:p w:rsidR="001C1F19" w:rsidRDefault="001C1F19" w:rsidP="00DC2831">
            <w:pPr>
              <w:rPr>
                <w:rFonts w:ascii="Calibri" w:hAnsi="Calibri" w:cs="Calibri"/>
                <w:color w:val="000000"/>
              </w:rPr>
            </w:pPr>
          </w:p>
        </w:tc>
        <w:tc>
          <w:tcPr>
            <w:tcW w:w="2265" w:type="dxa"/>
            <w:tcBorders>
              <w:left w:val="single" w:sz="4" w:space="0" w:color="auto"/>
            </w:tcBorders>
          </w:tcPr>
          <w:p w:rsidR="001C1F19" w:rsidRDefault="001C1F19" w:rsidP="00DC2831">
            <w:pPr>
              <w:rPr>
                <w:rFonts w:ascii="Calibri" w:hAnsi="Calibri" w:cs="Calibri"/>
                <w:color w:val="000000"/>
              </w:rPr>
            </w:pPr>
            <w:r>
              <w:rPr>
                <w:rFonts w:ascii="Calibri" w:hAnsi="Calibri" w:cs="Calibri"/>
                <w:color w:val="000000"/>
              </w:rPr>
              <w:t>Information platform</w:t>
            </w:r>
          </w:p>
        </w:tc>
        <w:tc>
          <w:tcPr>
            <w:tcW w:w="1137" w:type="dxa"/>
          </w:tcPr>
          <w:p w:rsidR="001C1F19" w:rsidRDefault="001C1F19" w:rsidP="00F02A2F">
            <w:pPr>
              <w:rPr>
                <w:rFonts w:ascii="Calibri" w:hAnsi="Calibri" w:cs="Calibri"/>
                <w:color w:val="000000"/>
              </w:rPr>
            </w:pPr>
            <w:r>
              <w:rPr>
                <w:rFonts w:ascii="Calibri" w:hAnsi="Calibri" w:cs="Calibri"/>
                <w:color w:val="000000"/>
              </w:rPr>
              <w:t>DET</w:t>
            </w:r>
          </w:p>
        </w:tc>
        <w:tc>
          <w:tcPr>
            <w:tcW w:w="9780" w:type="dxa"/>
          </w:tcPr>
          <w:p w:rsidR="001C1F19" w:rsidRDefault="001C1F19" w:rsidP="00F02A2F">
            <w:pPr>
              <w:rPr>
                <w:rFonts w:ascii="Calibri" w:hAnsi="Calibri" w:cs="Calibri"/>
                <w:color w:val="000000"/>
              </w:rPr>
            </w:pPr>
            <w:r>
              <w:rPr>
                <w:rFonts w:ascii="Calibri" w:hAnsi="Calibri" w:cs="Calibri"/>
                <w:color w:val="000000"/>
              </w:rPr>
              <w:t>The Department of Education and Training will begin consultations with prospective partner agencies and other stakeholders on options to develop, deliver and sustain a new higher education national admissions information platform.</w:t>
            </w:r>
          </w:p>
        </w:tc>
      </w:tr>
      <w:tr w:rsidR="001C1F19" w:rsidTr="005A565D">
        <w:trPr>
          <w:cantSplit/>
        </w:trPr>
        <w:tc>
          <w:tcPr>
            <w:tcW w:w="1101" w:type="dxa"/>
            <w:tcBorders>
              <w:top w:val="single" w:sz="4" w:space="0" w:color="auto"/>
              <w:left w:val="single" w:sz="4" w:space="0" w:color="auto"/>
              <w:bottom w:val="single" w:sz="4" w:space="0" w:color="auto"/>
              <w:right w:val="single" w:sz="4" w:space="0" w:color="auto"/>
            </w:tcBorders>
          </w:tcPr>
          <w:p w:rsidR="001C1F19" w:rsidDel="00C6716A" w:rsidRDefault="001C1F19" w:rsidP="00DC2831">
            <w:pPr>
              <w:rPr>
                <w:rFonts w:ascii="Calibri" w:hAnsi="Calibri" w:cs="Calibri"/>
                <w:color w:val="000000"/>
              </w:rPr>
            </w:pPr>
            <w:r>
              <w:rPr>
                <w:rFonts w:ascii="Calibri" w:hAnsi="Calibri" w:cs="Calibri"/>
                <w:color w:val="000000"/>
              </w:rPr>
              <w:t>Jul-17</w:t>
            </w:r>
          </w:p>
        </w:tc>
        <w:tc>
          <w:tcPr>
            <w:tcW w:w="2265" w:type="dxa"/>
            <w:tcBorders>
              <w:left w:val="single" w:sz="4" w:space="0" w:color="auto"/>
            </w:tcBorders>
          </w:tcPr>
          <w:p w:rsidR="001C1F19" w:rsidRDefault="001C1F19" w:rsidP="00DC2831">
            <w:pPr>
              <w:rPr>
                <w:rFonts w:ascii="Calibri" w:hAnsi="Calibri" w:cs="Calibri"/>
                <w:color w:val="000000"/>
              </w:rPr>
            </w:pPr>
            <w:r>
              <w:rPr>
                <w:rFonts w:ascii="Calibri" w:hAnsi="Calibri" w:cs="Calibri"/>
                <w:color w:val="000000"/>
              </w:rPr>
              <w:t>Information platform</w:t>
            </w:r>
          </w:p>
        </w:tc>
        <w:tc>
          <w:tcPr>
            <w:tcW w:w="1137" w:type="dxa"/>
          </w:tcPr>
          <w:p w:rsidR="001C1F19" w:rsidRDefault="001C1F19" w:rsidP="00DC2831">
            <w:pPr>
              <w:rPr>
                <w:rFonts w:ascii="Calibri" w:hAnsi="Calibri" w:cs="Calibri"/>
                <w:color w:val="000000"/>
              </w:rPr>
            </w:pPr>
            <w:r>
              <w:rPr>
                <w:rFonts w:ascii="Calibri" w:hAnsi="Calibri" w:cs="Calibri"/>
                <w:color w:val="000000"/>
              </w:rPr>
              <w:t>DET</w:t>
            </w:r>
          </w:p>
        </w:tc>
        <w:tc>
          <w:tcPr>
            <w:tcW w:w="9780" w:type="dxa"/>
          </w:tcPr>
          <w:p w:rsidR="001C1F19" w:rsidRDefault="001C1F19" w:rsidP="00DC2831">
            <w:pPr>
              <w:rPr>
                <w:rFonts w:ascii="Calibri" w:hAnsi="Calibri" w:cs="Calibri"/>
                <w:color w:val="000000"/>
              </w:rPr>
            </w:pPr>
            <w:r>
              <w:rPr>
                <w:rFonts w:ascii="Calibri" w:hAnsi="Calibri" w:cs="Calibri"/>
                <w:color w:val="000000"/>
              </w:rPr>
              <w:t>The Department of Education and Training, working in conjunction with the Digital Transformation Agency, will complete an initial scoping study to assess core user needs and design options for a new higher education national admissions information platform.</w:t>
            </w:r>
          </w:p>
        </w:tc>
      </w:tr>
      <w:tr w:rsidR="001C1F19" w:rsidTr="005A565D">
        <w:tc>
          <w:tcPr>
            <w:tcW w:w="1101" w:type="dxa"/>
            <w:tcBorders>
              <w:top w:val="single" w:sz="4" w:space="0" w:color="auto"/>
              <w:left w:val="single" w:sz="4" w:space="0" w:color="auto"/>
              <w:bottom w:val="single" w:sz="4" w:space="0" w:color="auto"/>
              <w:right w:val="single" w:sz="4" w:space="0" w:color="auto"/>
            </w:tcBorders>
          </w:tcPr>
          <w:p w:rsidR="001C1F19" w:rsidRDefault="001C1F19" w:rsidP="00DC2831">
            <w:pPr>
              <w:rPr>
                <w:rFonts w:ascii="Calibri" w:hAnsi="Calibri" w:cs="Calibri"/>
                <w:color w:val="000000"/>
              </w:rPr>
            </w:pPr>
            <w:r>
              <w:rPr>
                <w:rFonts w:ascii="Calibri" w:hAnsi="Calibri" w:cs="Calibri"/>
                <w:color w:val="000000"/>
              </w:rPr>
              <w:t>Aug-17</w:t>
            </w:r>
          </w:p>
        </w:tc>
        <w:tc>
          <w:tcPr>
            <w:tcW w:w="2265" w:type="dxa"/>
            <w:tcBorders>
              <w:left w:val="single" w:sz="4" w:space="0" w:color="auto"/>
            </w:tcBorders>
          </w:tcPr>
          <w:p w:rsidR="001C1F19" w:rsidRDefault="006D721E" w:rsidP="00DC2831">
            <w:pPr>
              <w:rPr>
                <w:rFonts w:ascii="Calibri" w:hAnsi="Calibri" w:cs="Calibri"/>
                <w:color w:val="000000"/>
              </w:rPr>
            </w:pPr>
            <w:r>
              <w:rPr>
                <w:rFonts w:ascii="Calibri" w:hAnsi="Calibri" w:cs="Calibri"/>
                <w:color w:val="000000"/>
              </w:rPr>
              <w:t>Consistent information</w:t>
            </w:r>
          </w:p>
        </w:tc>
        <w:tc>
          <w:tcPr>
            <w:tcW w:w="1137" w:type="dxa"/>
          </w:tcPr>
          <w:p w:rsidR="001C1F19" w:rsidRDefault="001C1F19" w:rsidP="005F48A9">
            <w:pPr>
              <w:pStyle w:val="HERNormal"/>
              <w:rPr>
                <w:noProof w:val="0"/>
              </w:rPr>
            </w:pPr>
            <w:r>
              <w:rPr>
                <w:noProof w:val="0"/>
              </w:rPr>
              <w:t>Providers</w:t>
            </w:r>
          </w:p>
        </w:tc>
        <w:tc>
          <w:tcPr>
            <w:tcW w:w="9780" w:type="dxa"/>
          </w:tcPr>
          <w:p w:rsidR="001C1F19" w:rsidRDefault="001C1F19" w:rsidP="005F48A9">
            <w:pPr>
              <w:pStyle w:val="HERNormal"/>
              <w:rPr>
                <w:noProof w:val="0"/>
              </w:rPr>
            </w:pPr>
            <w:r>
              <w:rPr>
                <w:noProof w:val="0"/>
              </w:rPr>
              <w:t>All higher education providers will publish on their websites, or otherwise make readily available:</w:t>
            </w:r>
          </w:p>
          <w:p w:rsidR="001C1F19" w:rsidRDefault="001C1F19" w:rsidP="002D0FBB">
            <w:pPr>
              <w:pStyle w:val="HERListBullet"/>
              <w:numPr>
                <w:ilvl w:val="0"/>
                <w:numId w:val="30"/>
              </w:numPr>
              <w:spacing w:after="0"/>
            </w:pPr>
            <w:r>
              <w:t xml:space="preserve">information about their institutional admissions policies, consistent with the whole-of-institution </w:t>
            </w:r>
            <w:r w:rsidR="007E7193">
              <w:t xml:space="preserve">‘information set’ </w:t>
            </w:r>
            <w:r>
              <w:t>outlined at Appendix C.</w:t>
            </w:r>
          </w:p>
          <w:p w:rsidR="001C1F19" w:rsidRDefault="001C1F19" w:rsidP="002D0FBB">
            <w:pPr>
              <w:pStyle w:val="HERListBullet"/>
              <w:numPr>
                <w:ilvl w:val="0"/>
                <w:numId w:val="30"/>
              </w:numPr>
              <w:spacing w:after="120"/>
              <w:ind w:left="357" w:hanging="357"/>
            </w:pPr>
            <w:r>
              <w:t xml:space="preserve">information about the admission criteria of </w:t>
            </w:r>
            <w:r w:rsidR="008F109A">
              <w:t>each program/</w:t>
            </w:r>
            <w:r>
              <w:t xml:space="preserve">course or appropriate cluster of related courses offered by the institution, consistent with the course </w:t>
            </w:r>
            <w:r w:rsidR="007E7193">
              <w:t xml:space="preserve">‘information set’ </w:t>
            </w:r>
            <w:r>
              <w:t>outlined at Appendix D.</w:t>
            </w:r>
          </w:p>
          <w:p w:rsidR="001C1F19" w:rsidRDefault="001C1F19" w:rsidP="00F80FA7">
            <w:pPr>
              <w:pStyle w:val="HERNormal"/>
              <w:spacing w:after="120"/>
              <w:rPr>
                <w:noProof w:val="0"/>
              </w:rPr>
            </w:pPr>
            <w:r>
              <w:rPr>
                <w:noProof w:val="0"/>
              </w:rPr>
              <w:t xml:space="preserve">Language used in the </w:t>
            </w:r>
            <w:r w:rsidR="007E7193">
              <w:rPr>
                <w:noProof w:val="0"/>
              </w:rPr>
              <w:t>‘information sets’</w:t>
            </w:r>
            <w:r>
              <w:rPr>
                <w:noProof w:val="0"/>
              </w:rPr>
              <w:t xml:space="preserve"> will be consistent with the agreed common terminology and, where relevant, ATAR-related thresholds and definitions at Appendix B.</w:t>
            </w:r>
          </w:p>
          <w:p w:rsidR="001C1F19" w:rsidRDefault="008645EE" w:rsidP="00A05DAC">
            <w:pPr>
              <w:pStyle w:val="HERNormal"/>
              <w:rPr>
                <w:rFonts w:ascii="Calibri" w:hAnsi="Calibri" w:cs="Calibri"/>
                <w:color w:val="000000"/>
              </w:rPr>
            </w:pPr>
            <w:r>
              <w:rPr>
                <w:noProof w:val="0"/>
              </w:rPr>
              <w:t>As an initial step in 2017, a ‘best endeavours’ approach will be adopted. If it is not possible to implement</w:t>
            </w:r>
            <w:r w:rsidDel="00350D5E">
              <w:rPr>
                <w:noProof w:val="0"/>
              </w:rPr>
              <w:t xml:space="preserve"> </w:t>
            </w:r>
            <w:r>
              <w:rPr>
                <w:noProof w:val="0"/>
              </w:rPr>
              <w:t>the agreed presentation of information throughout the institution’s website during the stage 1 transition period, at the very least a separate document should be made available in a prominent location on the provider website that presents the requisite information agreed as required in 2017. Where possible, though, providers are encouraged to attempt to go beyond the minimum requirement.</w:t>
            </w:r>
          </w:p>
        </w:tc>
      </w:tr>
      <w:tr w:rsidR="001C1F19" w:rsidTr="005A565D">
        <w:trPr>
          <w:cantSplit/>
        </w:trPr>
        <w:tc>
          <w:tcPr>
            <w:tcW w:w="1101" w:type="dxa"/>
            <w:tcBorders>
              <w:top w:val="single" w:sz="4" w:space="0" w:color="auto"/>
              <w:left w:val="single" w:sz="4" w:space="0" w:color="auto"/>
              <w:bottom w:val="nil"/>
              <w:right w:val="single" w:sz="4" w:space="0" w:color="auto"/>
            </w:tcBorders>
          </w:tcPr>
          <w:p w:rsidR="001C1F19" w:rsidRDefault="001C1F19" w:rsidP="00DC2831">
            <w:pPr>
              <w:rPr>
                <w:rFonts w:ascii="Calibri" w:hAnsi="Calibri" w:cs="Calibri"/>
                <w:color w:val="000000"/>
              </w:rPr>
            </w:pPr>
            <w:r>
              <w:rPr>
                <w:rFonts w:ascii="Calibri" w:hAnsi="Calibri" w:cs="Calibri"/>
                <w:color w:val="000000"/>
              </w:rPr>
              <w:t>Aug-17</w:t>
            </w:r>
          </w:p>
        </w:tc>
        <w:tc>
          <w:tcPr>
            <w:tcW w:w="2265" w:type="dxa"/>
            <w:tcBorders>
              <w:left w:val="single" w:sz="4" w:space="0" w:color="auto"/>
            </w:tcBorders>
          </w:tcPr>
          <w:p w:rsidR="001C1F19" w:rsidRDefault="001C1F19" w:rsidP="00DC2831">
            <w:pPr>
              <w:rPr>
                <w:rFonts w:ascii="Calibri" w:hAnsi="Calibri" w:cs="Calibri"/>
                <w:color w:val="000000"/>
              </w:rPr>
            </w:pPr>
            <w:r>
              <w:rPr>
                <w:rFonts w:ascii="Calibri" w:hAnsi="Calibri" w:cs="Calibri"/>
                <w:color w:val="000000"/>
              </w:rPr>
              <w:t>Terminology</w:t>
            </w:r>
          </w:p>
        </w:tc>
        <w:tc>
          <w:tcPr>
            <w:tcW w:w="1137" w:type="dxa"/>
          </w:tcPr>
          <w:p w:rsidR="001C1F19" w:rsidRDefault="001C1F19" w:rsidP="00E36EFE">
            <w:pPr>
              <w:pStyle w:val="HERNormal"/>
              <w:rPr>
                <w:noProof w:val="0"/>
              </w:rPr>
            </w:pPr>
            <w:r>
              <w:rPr>
                <w:noProof w:val="0"/>
              </w:rPr>
              <w:t>Providers</w:t>
            </w:r>
          </w:p>
        </w:tc>
        <w:tc>
          <w:tcPr>
            <w:tcW w:w="9780" w:type="dxa"/>
          </w:tcPr>
          <w:p w:rsidR="001C1F19" w:rsidRDefault="001C1F19" w:rsidP="00FE529D">
            <w:pPr>
              <w:pStyle w:val="HERNormal"/>
              <w:rPr>
                <w:noProof w:val="0"/>
              </w:rPr>
            </w:pPr>
            <w:r>
              <w:rPr>
                <w:noProof w:val="0"/>
              </w:rPr>
              <w:t xml:space="preserve">Information published </w:t>
            </w:r>
            <w:r>
              <w:t xml:space="preserve">by providers </w:t>
            </w:r>
            <w:r>
              <w:rPr>
                <w:noProof w:val="0"/>
              </w:rPr>
              <w:t xml:space="preserve">in accordance with the </w:t>
            </w:r>
            <w:r>
              <w:t xml:space="preserve">whole-of-institution and course </w:t>
            </w:r>
            <w:r w:rsidR="007E7193">
              <w:rPr>
                <w:noProof w:val="0"/>
              </w:rPr>
              <w:t>‘information sets’</w:t>
            </w:r>
            <w:r>
              <w:rPr>
                <w:noProof w:val="0"/>
              </w:rPr>
              <w:t xml:space="preserve"> at Appendices C and D will utilise language consistent with the initial set of agreed common terms.</w:t>
            </w:r>
          </w:p>
        </w:tc>
      </w:tr>
      <w:tr w:rsidR="001C1F19" w:rsidTr="00924596">
        <w:trPr>
          <w:cantSplit/>
        </w:trPr>
        <w:tc>
          <w:tcPr>
            <w:tcW w:w="1101" w:type="dxa"/>
            <w:tcBorders>
              <w:top w:val="nil"/>
              <w:left w:val="single" w:sz="4" w:space="0" w:color="auto"/>
              <w:bottom w:val="nil"/>
              <w:right w:val="single" w:sz="4" w:space="0" w:color="auto"/>
            </w:tcBorders>
          </w:tcPr>
          <w:p w:rsidR="001C1F19" w:rsidRDefault="001C1F19" w:rsidP="00DC2831">
            <w:pPr>
              <w:rPr>
                <w:rFonts w:ascii="Calibri" w:hAnsi="Calibri" w:cs="Calibri"/>
                <w:color w:val="000000"/>
              </w:rPr>
            </w:pPr>
          </w:p>
        </w:tc>
        <w:tc>
          <w:tcPr>
            <w:tcW w:w="2265" w:type="dxa"/>
            <w:tcBorders>
              <w:left w:val="single" w:sz="4" w:space="0" w:color="auto"/>
            </w:tcBorders>
          </w:tcPr>
          <w:p w:rsidR="001C1F19" w:rsidRDefault="001C1F19" w:rsidP="00A34A73">
            <w:pPr>
              <w:rPr>
                <w:rFonts w:ascii="Calibri" w:hAnsi="Calibri" w:cs="Calibri"/>
                <w:color w:val="000000"/>
              </w:rPr>
            </w:pPr>
            <w:r>
              <w:rPr>
                <w:rFonts w:ascii="Calibri" w:hAnsi="Calibri" w:cs="Calibri"/>
                <w:color w:val="000000"/>
              </w:rPr>
              <w:t>ATAR-related</w:t>
            </w:r>
          </w:p>
        </w:tc>
        <w:tc>
          <w:tcPr>
            <w:tcW w:w="1137" w:type="dxa"/>
          </w:tcPr>
          <w:p w:rsidR="001C1F19" w:rsidRDefault="001C1F19" w:rsidP="00E166BA">
            <w:pPr>
              <w:rPr>
                <w:rFonts w:ascii="Calibri" w:hAnsi="Calibri" w:cs="Calibri"/>
                <w:color w:val="000000"/>
              </w:rPr>
            </w:pPr>
            <w:r>
              <w:rPr>
                <w:rFonts w:ascii="Calibri" w:hAnsi="Calibri" w:cs="Calibri"/>
                <w:color w:val="000000"/>
              </w:rPr>
              <w:t>Providers</w:t>
            </w:r>
          </w:p>
        </w:tc>
        <w:tc>
          <w:tcPr>
            <w:tcW w:w="9780" w:type="dxa"/>
          </w:tcPr>
          <w:p w:rsidR="001C1F19" w:rsidRDefault="001C1F19" w:rsidP="00FE529D">
            <w:pPr>
              <w:rPr>
                <w:rFonts w:ascii="Calibri" w:hAnsi="Calibri" w:cs="Calibri"/>
                <w:color w:val="000000"/>
              </w:rPr>
            </w:pPr>
            <w:r>
              <w:rPr>
                <w:rFonts w:ascii="Calibri" w:hAnsi="Calibri" w:cs="Calibri"/>
                <w:color w:val="000000"/>
              </w:rPr>
              <w:t xml:space="preserve">All </w:t>
            </w:r>
            <w:r>
              <w:t>providers will adopt the revised definitions and naming conventions for the publication of ATAR-related thresholds and reporting of past year admissions</w:t>
            </w:r>
            <w:r w:rsidRPr="000944A6">
              <w:t xml:space="preserve"> </w:t>
            </w:r>
            <w:r>
              <w:t xml:space="preserve">in </w:t>
            </w:r>
            <w:r w:rsidR="007E7193">
              <w:t>‘information sets’</w:t>
            </w:r>
            <w:r>
              <w:t xml:space="preserve"> to inform and support applications relating to the 2018 academic year and beyond.</w:t>
            </w:r>
          </w:p>
        </w:tc>
      </w:tr>
      <w:tr w:rsidR="001C1F19" w:rsidTr="00924596">
        <w:trPr>
          <w:cantSplit/>
        </w:trPr>
        <w:tc>
          <w:tcPr>
            <w:tcW w:w="1101" w:type="dxa"/>
            <w:tcBorders>
              <w:top w:val="nil"/>
              <w:left w:val="single" w:sz="4" w:space="0" w:color="auto"/>
              <w:bottom w:val="single" w:sz="4" w:space="0" w:color="auto"/>
              <w:right w:val="single" w:sz="4" w:space="0" w:color="auto"/>
            </w:tcBorders>
          </w:tcPr>
          <w:p w:rsidR="001C1F19" w:rsidRDefault="001C1F19" w:rsidP="00DC2831">
            <w:pPr>
              <w:rPr>
                <w:rFonts w:ascii="Calibri" w:hAnsi="Calibri" w:cs="Calibri"/>
                <w:color w:val="000000"/>
              </w:rPr>
            </w:pPr>
          </w:p>
        </w:tc>
        <w:tc>
          <w:tcPr>
            <w:tcW w:w="2265" w:type="dxa"/>
            <w:tcBorders>
              <w:left w:val="single" w:sz="4" w:space="0" w:color="auto"/>
            </w:tcBorders>
          </w:tcPr>
          <w:p w:rsidR="001C1F19" w:rsidRDefault="001C1F19" w:rsidP="003F38C2">
            <w:pPr>
              <w:rPr>
                <w:rFonts w:ascii="Calibri" w:hAnsi="Calibri" w:cs="Calibri"/>
                <w:color w:val="000000"/>
              </w:rPr>
            </w:pPr>
            <w:r>
              <w:rPr>
                <w:rFonts w:ascii="Calibri" w:hAnsi="Calibri" w:cs="Calibri"/>
                <w:color w:val="000000"/>
              </w:rPr>
              <w:t xml:space="preserve">TACs and interstate applications </w:t>
            </w:r>
          </w:p>
        </w:tc>
        <w:tc>
          <w:tcPr>
            <w:tcW w:w="1137" w:type="dxa"/>
          </w:tcPr>
          <w:p w:rsidR="001C1F19" w:rsidRDefault="001C1F19" w:rsidP="003F38C2">
            <w:pPr>
              <w:rPr>
                <w:rFonts w:ascii="Calibri" w:hAnsi="Calibri" w:cs="Calibri"/>
                <w:color w:val="000000"/>
              </w:rPr>
            </w:pPr>
            <w:r>
              <w:rPr>
                <w:rFonts w:ascii="Calibri" w:hAnsi="Calibri" w:cs="Calibri"/>
                <w:color w:val="000000"/>
              </w:rPr>
              <w:t>TACs</w:t>
            </w:r>
          </w:p>
        </w:tc>
        <w:tc>
          <w:tcPr>
            <w:tcW w:w="9780" w:type="dxa"/>
          </w:tcPr>
          <w:p w:rsidR="001C1F19" w:rsidRDefault="001C1F19" w:rsidP="003F38C2">
            <w:pPr>
              <w:rPr>
                <w:rFonts w:ascii="Calibri" w:hAnsi="Calibri" w:cs="Calibri"/>
                <w:color w:val="000000"/>
              </w:rPr>
            </w:pPr>
            <w:r>
              <w:rPr>
                <w:rFonts w:ascii="Calibri" w:hAnsi="Calibri" w:cs="Calibri"/>
                <w:color w:val="000000"/>
              </w:rPr>
              <w:t>TAC</w:t>
            </w:r>
            <w:r>
              <w:t xml:space="preserve">s will develop and commence </w:t>
            </w:r>
            <w:r w:rsidR="003C1B99">
              <w:t xml:space="preserve">transition to </w:t>
            </w:r>
            <w:r>
              <w:t>a more streamlined approach to the acceptance and assessment of applications for courses at providers that are a member of a TAC in another jurisdiction.</w:t>
            </w:r>
          </w:p>
        </w:tc>
      </w:tr>
      <w:tr w:rsidR="00B451D8" w:rsidTr="000C2FC2">
        <w:trPr>
          <w:cantSplit/>
        </w:trPr>
        <w:tc>
          <w:tcPr>
            <w:tcW w:w="14283" w:type="dxa"/>
            <w:gridSpan w:val="4"/>
            <w:tcBorders>
              <w:top w:val="single" w:sz="4" w:space="0" w:color="auto"/>
              <w:left w:val="single" w:sz="4" w:space="0" w:color="auto"/>
              <w:bottom w:val="single" w:sz="4" w:space="0" w:color="auto"/>
            </w:tcBorders>
            <w:shd w:val="clear" w:color="auto" w:fill="E5E5E5" w:themeFill="background1" w:themeFillTint="33"/>
          </w:tcPr>
          <w:p w:rsidR="00B451D8" w:rsidRDefault="00B451D8" w:rsidP="000C2FC2">
            <w:pPr>
              <w:jc w:val="center"/>
            </w:pPr>
            <w:r>
              <w:t>STAGE TWO</w:t>
            </w:r>
          </w:p>
        </w:tc>
      </w:tr>
      <w:tr w:rsidR="001C1F19" w:rsidTr="00924596">
        <w:trPr>
          <w:cantSplit/>
        </w:trPr>
        <w:tc>
          <w:tcPr>
            <w:tcW w:w="1101" w:type="dxa"/>
            <w:tcBorders>
              <w:top w:val="single" w:sz="4" w:space="0" w:color="auto"/>
              <w:left w:val="single" w:sz="4" w:space="0" w:color="auto"/>
              <w:bottom w:val="single" w:sz="4" w:space="0" w:color="auto"/>
              <w:right w:val="single" w:sz="4" w:space="0" w:color="auto"/>
            </w:tcBorders>
          </w:tcPr>
          <w:p w:rsidR="001C1F19" w:rsidRDefault="001C1F19" w:rsidP="00A34A73">
            <w:pPr>
              <w:rPr>
                <w:rFonts w:ascii="Calibri" w:hAnsi="Calibri" w:cs="Calibri"/>
                <w:color w:val="000000"/>
              </w:rPr>
            </w:pPr>
            <w:r>
              <w:rPr>
                <w:rFonts w:ascii="Calibri" w:hAnsi="Calibri" w:cs="Calibri"/>
                <w:color w:val="000000"/>
              </w:rPr>
              <w:t>Sep-17</w:t>
            </w:r>
          </w:p>
        </w:tc>
        <w:tc>
          <w:tcPr>
            <w:tcW w:w="2265" w:type="dxa"/>
            <w:tcBorders>
              <w:top w:val="single" w:sz="4" w:space="0" w:color="auto"/>
              <w:left w:val="single" w:sz="4" w:space="0" w:color="auto"/>
              <w:bottom w:val="single" w:sz="4" w:space="0" w:color="auto"/>
            </w:tcBorders>
          </w:tcPr>
          <w:p w:rsidR="001C1F19" w:rsidRDefault="001C1F19" w:rsidP="00E64408">
            <w:pPr>
              <w:rPr>
                <w:rFonts w:ascii="Calibri" w:hAnsi="Calibri" w:cs="Calibri"/>
                <w:color w:val="000000"/>
              </w:rPr>
            </w:pPr>
            <w:r>
              <w:rPr>
                <w:rFonts w:ascii="Calibri" w:hAnsi="Calibri" w:cs="Calibri"/>
                <w:color w:val="000000"/>
              </w:rPr>
              <w:t>Terminology</w:t>
            </w:r>
          </w:p>
        </w:tc>
        <w:tc>
          <w:tcPr>
            <w:tcW w:w="1137" w:type="dxa"/>
            <w:tcBorders>
              <w:top w:val="single" w:sz="4" w:space="0" w:color="auto"/>
              <w:bottom w:val="single" w:sz="4" w:space="0" w:color="auto"/>
            </w:tcBorders>
          </w:tcPr>
          <w:p w:rsidR="001C1F19" w:rsidRDefault="001C1F19" w:rsidP="00B20DAF">
            <w:r>
              <w:t>IWG</w:t>
            </w:r>
          </w:p>
        </w:tc>
        <w:tc>
          <w:tcPr>
            <w:tcW w:w="9780" w:type="dxa"/>
            <w:tcBorders>
              <w:top w:val="single" w:sz="4" w:space="0" w:color="auto"/>
              <w:bottom w:val="single" w:sz="4" w:space="0" w:color="auto"/>
            </w:tcBorders>
          </w:tcPr>
          <w:p w:rsidR="001C1F19" w:rsidRDefault="001C1F19" w:rsidP="00B20DAF">
            <w:pPr>
              <w:rPr>
                <w:rFonts w:ascii="Calibri" w:hAnsi="Calibri" w:cs="Calibri"/>
                <w:color w:val="000000"/>
              </w:rPr>
            </w:pPr>
            <w:r>
              <w:t xml:space="preserve">A final proposal for a comprehensive set of common admissions terminology will be developed and agreed by the IWG for sector consultation, agreement and then </w:t>
            </w:r>
            <w:r w:rsidR="00115467">
              <w:t>commitment by</w:t>
            </w:r>
            <w:r>
              <w:t xml:space="preserve"> the end of November 2017.</w:t>
            </w:r>
          </w:p>
        </w:tc>
      </w:tr>
      <w:tr w:rsidR="001C1F19" w:rsidTr="00924596">
        <w:trPr>
          <w:cantSplit/>
        </w:trPr>
        <w:tc>
          <w:tcPr>
            <w:tcW w:w="1101" w:type="dxa"/>
            <w:tcBorders>
              <w:top w:val="single" w:sz="4" w:space="0" w:color="auto"/>
              <w:left w:val="single" w:sz="4" w:space="0" w:color="auto"/>
              <w:bottom w:val="nil"/>
              <w:right w:val="single" w:sz="4" w:space="0" w:color="auto"/>
            </w:tcBorders>
          </w:tcPr>
          <w:p w:rsidR="001C1F19" w:rsidRDefault="001C1F19" w:rsidP="00DC2831">
            <w:pPr>
              <w:rPr>
                <w:rFonts w:ascii="Calibri" w:hAnsi="Calibri" w:cs="Calibri"/>
                <w:color w:val="000000"/>
              </w:rPr>
            </w:pPr>
            <w:r>
              <w:rPr>
                <w:rFonts w:ascii="Calibri" w:hAnsi="Calibri" w:cs="Calibri"/>
                <w:color w:val="000000"/>
              </w:rPr>
              <w:t>Oct-17</w:t>
            </w:r>
          </w:p>
        </w:tc>
        <w:tc>
          <w:tcPr>
            <w:tcW w:w="2265" w:type="dxa"/>
            <w:tcBorders>
              <w:left w:val="single" w:sz="4" w:space="0" w:color="auto"/>
              <w:bottom w:val="single" w:sz="4" w:space="0" w:color="auto"/>
            </w:tcBorders>
          </w:tcPr>
          <w:p w:rsidR="001C1F19" w:rsidRDefault="001C1F19" w:rsidP="00DC2831">
            <w:pPr>
              <w:rPr>
                <w:rFonts w:ascii="Calibri" w:hAnsi="Calibri" w:cs="Calibri"/>
                <w:color w:val="000000"/>
              </w:rPr>
            </w:pPr>
            <w:r>
              <w:rPr>
                <w:rFonts w:ascii="Calibri" w:hAnsi="Calibri" w:cs="Calibri"/>
                <w:color w:val="000000"/>
              </w:rPr>
              <w:t>Information platform</w:t>
            </w:r>
          </w:p>
        </w:tc>
        <w:tc>
          <w:tcPr>
            <w:tcW w:w="1137" w:type="dxa"/>
            <w:tcBorders>
              <w:bottom w:val="single" w:sz="4" w:space="0" w:color="auto"/>
            </w:tcBorders>
          </w:tcPr>
          <w:p w:rsidR="001C1F19" w:rsidRDefault="001C1F19" w:rsidP="002752E9">
            <w:pPr>
              <w:rPr>
                <w:rFonts w:ascii="Calibri" w:hAnsi="Calibri" w:cs="Calibri"/>
                <w:color w:val="000000"/>
              </w:rPr>
            </w:pPr>
            <w:r>
              <w:rPr>
                <w:rFonts w:ascii="Calibri" w:hAnsi="Calibri" w:cs="Calibri"/>
                <w:color w:val="000000"/>
              </w:rPr>
              <w:t>DET</w:t>
            </w:r>
          </w:p>
        </w:tc>
        <w:tc>
          <w:tcPr>
            <w:tcW w:w="9780" w:type="dxa"/>
            <w:tcBorders>
              <w:bottom w:val="single" w:sz="4" w:space="0" w:color="auto"/>
            </w:tcBorders>
          </w:tcPr>
          <w:p w:rsidR="001C1F19" w:rsidRDefault="001C1F19" w:rsidP="002752E9">
            <w:pPr>
              <w:rPr>
                <w:rFonts w:ascii="Calibri" w:hAnsi="Calibri" w:cs="Calibri"/>
                <w:color w:val="000000"/>
              </w:rPr>
            </w:pPr>
            <w:r>
              <w:rPr>
                <w:rFonts w:ascii="Calibri" w:hAnsi="Calibri" w:cs="Calibri"/>
                <w:color w:val="000000"/>
              </w:rPr>
              <w:t>The Department of Education and Training will enter into a development agreement with selected partner organisations to develop, deliver and maintain a new higher education admissions information platform.</w:t>
            </w:r>
          </w:p>
        </w:tc>
      </w:tr>
      <w:tr w:rsidR="001C1F19" w:rsidTr="00A05DAC">
        <w:trPr>
          <w:cantSplit/>
        </w:trPr>
        <w:tc>
          <w:tcPr>
            <w:tcW w:w="1101" w:type="dxa"/>
            <w:tcBorders>
              <w:top w:val="nil"/>
              <w:left w:val="single" w:sz="4" w:space="0" w:color="auto"/>
              <w:bottom w:val="single" w:sz="4" w:space="0" w:color="auto"/>
              <w:right w:val="single" w:sz="4" w:space="0" w:color="auto"/>
            </w:tcBorders>
          </w:tcPr>
          <w:p w:rsidR="001C1F19" w:rsidRDefault="001C1F19" w:rsidP="00DC2831">
            <w:pPr>
              <w:rPr>
                <w:rFonts w:ascii="Calibri" w:hAnsi="Calibri" w:cs="Calibri"/>
                <w:color w:val="000000"/>
              </w:rPr>
            </w:pPr>
          </w:p>
        </w:tc>
        <w:tc>
          <w:tcPr>
            <w:tcW w:w="2265" w:type="dxa"/>
            <w:tcBorders>
              <w:left w:val="single" w:sz="4" w:space="0" w:color="auto"/>
              <w:bottom w:val="single" w:sz="4" w:space="0" w:color="auto"/>
            </w:tcBorders>
          </w:tcPr>
          <w:p w:rsidR="001C1F19" w:rsidRDefault="001C1F19" w:rsidP="00DC2831">
            <w:pPr>
              <w:rPr>
                <w:rFonts w:ascii="Calibri" w:hAnsi="Calibri" w:cs="Calibri"/>
                <w:color w:val="000000"/>
              </w:rPr>
            </w:pPr>
            <w:r>
              <w:rPr>
                <w:rFonts w:ascii="Calibri" w:hAnsi="Calibri" w:cs="Calibri"/>
                <w:color w:val="000000"/>
              </w:rPr>
              <w:t xml:space="preserve">TEQSA guidance </w:t>
            </w:r>
          </w:p>
        </w:tc>
        <w:tc>
          <w:tcPr>
            <w:tcW w:w="1137" w:type="dxa"/>
            <w:tcBorders>
              <w:bottom w:val="single" w:sz="4" w:space="0" w:color="auto"/>
            </w:tcBorders>
          </w:tcPr>
          <w:p w:rsidR="001C1F19" w:rsidRDefault="001C1F19" w:rsidP="002752E9">
            <w:pPr>
              <w:rPr>
                <w:rFonts w:ascii="Calibri" w:hAnsi="Calibri" w:cs="Calibri"/>
                <w:color w:val="000000"/>
              </w:rPr>
            </w:pPr>
            <w:r>
              <w:rPr>
                <w:rFonts w:ascii="Calibri" w:hAnsi="Calibri" w:cs="Calibri"/>
                <w:color w:val="000000"/>
              </w:rPr>
              <w:t>TEQSA</w:t>
            </w:r>
          </w:p>
        </w:tc>
        <w:tc>
          <w:tcPr>
            <w:tcW w:w="9780" w:type="dxa"/>
            <w:tcBorders>
              <w:bottom w:val="single" w:sz="4" w:space="0" w:color="auto"/>
            </w:tcBorders>
          </w:tcPr>
          <w:p w:rsidR="001C1F19" w:rsidRDefault="00906D57" w:rsidP="002752E9">
            <w:pPr>
              <w:rPr>
                <w:rFonts w:ascii="Calibri" w:hAnsi="Calibri" w:cs="Calibri"/>
                <w:color w:val="000000"/>
              </w:rPr>
            </w:pPr>
            <w:r>
              <w:t>TEQSA will undertake initial work on a formative evaluation of sector responses to the HESP’s recommendations to provide a progress snapshot of the sector in its move towards greater transparency of higher education admissions.</w:t>
            </w:r>
          </w:p>
        </w:tc>
      </w:tr>
      <w:tr w:rsidR="001C1F19" w:rsidTr="00A05DAC">
        <w:trPr>
          <w:cantSplit/>
        </w:trPr>
        <w:tc>
          <w:tcPr>
            <w:tcW w:w="1101" w:type="dxa"/>
            <w:tcBorders>
              <w:top w:val="single" w:sz="4" w:space="0" w:color="auto"/>
              <w:left w:val="single" w:sz="4" w:space="0" w:color="auto"/>
              <w:bottom w:val="nil"/>
              <w:right w:val="single" w:sz="4" w:space="0" w:color="auto"/>
            </w:tcBorders>
          </w:tcPr>
          <w:p w:rsidR="001C1F19" w:rsidRDefault="001C1F19" w:rsidP="00BE0F6A">
            <w:pPr>
              <w:rPr>
                <w:rFonts w:ascii="Calibri" w:hAnsi="Calibri" w:cs="Calibri"/>
                <w:color w:val="000000"/>
              </w:rPr>
            </w:pPr>
            <w:r>
              <w:rPr>
                <w:rFonts w:ascii="Calibri" w:hAnsi="Calibri" w:cs="Calibri"/>
                <w:color w:val="000000"/>
              </w:rPr>
              <w:t>Dec-17</w:t>
            </w:r>
          </w:p>
        </w:tc>
        <w:tc>
          <w:tcPr>
            <w:tcW w:w="2265" w:type="dxa"/>
            <w:tcBorders>
              <w:left w:val="single" w:sz="4" w:space="0" w:color="auto"/>
              <w:bottom w:val="single" w:sz="4" w:space="0" w:color="auto"/>
            </w:tcBorders>
          </w:tcPr>
          <w:p w:rsidR="001C1F19" w:rsidRDefault="006D721E" w:rsidP="00DC2831">
            <w:pPr>
              <w:rPr>
                <w:rFonts w:ascii="Calibri" w:hAnsi="Calibri" w:cs="Calibri"/>
                <w:color w:val="000000"/>
              </w:rPr>
            </w:pPr>
            <w:r>
              <w:rPr>
                <w:rFonts w:ascii="Calibri" w:hAnsi="Calibri" w:cs="Calibri"/>
                <w:color w:val="000000"/>
              </w:rPr>
              <w:t>Consistent information</w:t>
            </w:r>
          </w:p>
        </w:tc>
        <w:tc>
          <w:tcPr>
            <w:tcW w:w="1137" w:type="dxa"/>
            <w:tcBorders>
              <w:bottom w:val="single" w:sz="4" w:space="0" w:color="auto"/>
            </w:tcBorders>
          </w:tcPr>
          <w:p w:rsidR="001C1F19" w:rsidRDefault="004E5C0C" w:rsidP="00BE0F6A">
            <w:r>
              <w:t>IWG</w:t>
            </w:r>
          </w:p>
        </w:tc>
        <w:tc>
          <w:tcPr>
            <w:tcW w:w="9780" w:type="dxa"/>
            <w:tcBorders>
              <w:bottom w:val="single" w:sz="4" w:space="0" w:color="auto"/>
            </w:tcBorders>
          </w:tcPr>
          <w:p w:rsidR="001C1F19" w:rsidRDefault="001D0A20" w:rsidP="001D0A20">
            <w:pPr>
              <w:rPr>
                <w:rFonts w:ascii="Calibri" w:hAnsi="Calibri" w:cs="Calibri"/>
                <w:color w:val="000000"/>
              </w:rPr>
            </w:pPr>
            <w:r>
              <w:t>T</w:t>
            </w:r>
            <w:r w:rsidR="00A05DAC">
              <w:t xml:space="preserve">he </w:t>
            </w:r>
            <w:r w:rsidR="00D937C0">
              <w:t>IWG will review and agree the structure and content of the ‘information sets’ for use in 2018 and beyond, in light of providers’ experience in 2017 and the findings of TEQSA’s initial work on a formative evaluation of sector responses to the HESP’s recommendations. This review will draw on user feedback to fine-tune the elements of the ‘information sets’ and address any problems identified.</w:t>
            </w:r>
            <w:r w:rsidR="001C1F19">
              <w:t>.</w:t>
            </w:r>
          </w:p>
        </w:tc>
      </w:tr>
      <w:tr w:rsidR="00613A1F" w:rsidTr="00A05DAC">
        <w:trPr>
          <w:cantSplit/>
        </w:trPr>
        <w:tc>
          <w:tcPr>
            <w:tcW w:w="1101" w:type="dxa"/>
            <w:tcBorders>
              <w:top w:val="nil"/>
              <w:left w:val="single" w:sz="4" w:space="0" w:color="auto"/>
              <w:bottom w:val="nil"/>
              <w:right w:val="single" w:sz="4" w:space="0" w:color="auto"/>
            </w:tcBorders>
          </w:tcPr>
          <w:p w:rsidR="00613A1F" w:rsidRDefault="00613A1F" w:rsidP="00BE0F6A">
            <w:pPr>
              <w:rPr>
                <w:rFonts w:ascii="Calibri" w:hAnsi="Calibri" w:cs="Calibri"/>
                <w:color w:val="000000"/>
              </w:rPr>
            </w:pPr>
          </w:p>
        </w:tc>
        <w:tc>
          <w:tcPr>
            <w:tcW w:w="2265" w:type="dxa"/>
            <w:tcBorders>
              <w:left w:val="single" w:sz="4" w:space="0" w:color="auto"/>
              <w:bottom w:val="single" w:sz="4" w:space="0" w:color="auto"/>
            </w:tcBorders>
          </w:tcPr>
          <w:p w:rsidR="00613A1F" w:rsidRDefault="006D721E" w:rsidP="00DC2831">
            <w:pPr>
              <w:rPr>
                <w:rFonts w:ascii="Calibri" w:hAnsi="Calibri" w:cs="Calibri"/>
                <w:color w:val="000000"/>
              </w:rPr>
            </w:pPr>
            <w:r>
              <w:rPr>
                <w:rFonts w:ascii="Calibri" w:hAnsi="Calibri" w:cs="Calibri"/>
                <w:color w:val="000000"/>
              </w:rPr>
              <w:t>Consistent information</w:t>
            </w:r>
          </w:p>
        </w:tc>
        <w:tc>
          <w:tcPr>
            <w:tcW w:w="1137" w:type="dxa"/>
            <w:tcBorders>
              <w:bottom w:val="single" w:sz="4" w:space="0" w:color="auto"/>
            </w:tcBorders>
          </w:tcPr>
          <w:p w:rsidR="00613A1F" w:rsidRDefault="00613A1F" w:rsidP="00FF427F">
            <w:r>
              <w:t>IWG</w:t>
            </w:r>
          </w:p>
          <w:p w:rsidR="00613A1F" w:rsidRDefault="00613A1F" w:rsidP="00BE0F6A">
            <w:r>
              <w:t>Peaks</w:t>
            </w:r>
          </w:p>
        </w:tc>
        <w:tc>
          <w:tcPr>
            <w:tcW w:w="9780" w:type="dxa"/>
            <w:tcBorders>
              <w:bottom w:val="single" w:sz="4" w:space="0" w:color="auto"/>
            </w:tcBorders>
          </w:tcPr>
          <w:p w:rsidR="00613A1F" w:rsidRDefault="00613A1F" w:rsidP="00BE0F6A">
            <w:r>
              <w:t xml:space="preserve">Sector </w:t>
            </w:r>
            <w:r w:rsidR="00115467">
              <w:t>commitment to</w:t>
            </w:r>
            <w:r>
              <w:t xml:space="preserve"> final proposal for common admissions terminology.</w:t>
            </w:r>
          </w:p>
        </w:tc>
      </w:tr>
      <w:tr w:rsidR="001C1F19" w:rsidTr="00A05DAC">
        <w:trPr>
          <w:cantSplit/>
        </w:trPr>
        <w:tc>
          <w:tcPr>
            <w:tcW w:w="1101" w:type="dxa"/>
            <w:tcBorders>
              <w:top w:val="nil"/>
              <w:left w:val="single" w:sz="4" w:space="0" w:color="auto"/>
              <w:bottom w:val="nil"/>
              <w:right w:val="single" w:sz="4" w:space="0" w:color="auto"/>
            </w:tcBorders>
          </w:tcPr>
          <w:p w:rsidR="001C1F19" w:rsidRDefault="001C1F19" w:rsidP="00DC2831">
            <w:pPr>
              <w:rPr>
                <w:rFonts w:ascii="Calibri" w:hAnsi="Calibri" w:cs="Calibri"/>
                <w:color w:val="000000"/>
              </w:rPr>
            </w:pPr>
          </w:p>
        </w:tc>
        <w:tc>
          <w:tcPr>
            <w:tcW w:w="2265" w:type="dxa"/>
            <w:tcBorders>
              <w:left w:val="single" w:sz="4" w:space="0" w:color="auto"/>
              <w:bottom w:val="single" w:sz="4" w:space="0" w:color="auto"/>
            </w:tcBorders>
          </w:tcPr>
          <w:p w:rsidR="001C1F19" w:rsidRDefault="001C1F19" w:rsidP="00A34A73">
            <w:pPr>
              <w:rPr>
                <w:rFonts w:ascii="Calibri" w:hAnsi="Calibri" w:cs="Calibri"/>
                <w:color w:val="000000"/>
              </w:rPr>
            </w:pPr>
            <w:r>
              <w:rPr>
                <w:rFonts w:ascii="Calibri" w:hAnsi="Calibri" w:cs="Calibri"/>
                <w:color w:val="000000"/>
              </w:rPr>
              <w:t xml:space="preserve">TACs and interstate applications </w:t>
            </w:r>
          </w:p>
        </w:tc>
        <w:tc>
          <w:tcPr>
            <w:tcW w:w="1137" w:type="dxa"/>
          </w:tcPr>
          <w:p w:rsidR="001C1F19" w:rsidRDefault="004E5C0C" w:rsidP="007417BD">
            <w:pPr>
              <w:rPr>
                <w:rFonts w:ascii="Calibri" w:hAnsi="Calibri" w:cs="Calibri"/>
                <w:color w:val="000000"/>
              </w:rPr>
            </w:pPr>
            <w:r>
              <w:rPr>
                <w:rFonts w:ascii="Calibri" w:hAnsi="Calibri" w:cs="Calibri"/>
                <w:color w:val="000000"/>
              </w:rPr>
              <w:t>TACs</w:t>
            </w:r>
          </w:p>
        </w:tc>
        <w:tc>
          <w:tcPr>
            <w:tcW w:w="9780" w:type="dxa"/>
          </w:tcPr>
          <w:p w:rsidR="001C1F19" w:rsidRDefault="001C1F19" w:rsidP="007417BD">
            <w:pPr>
              <w:rPr>
                <w:rFonts w:ascii="Calibri" w:hAnsi="Calibri" w:cs="Calibri"/>
                <w:color w:val="000000"/>
              </w:rPr>
            </w:pPr>
            <w:r>
              <w:rPr>
                <w:rFonts w:ascii="Calibri" w:hAnsi="Calibri" w:cs="Calibri"/>
                <w:color w:val="000000"/>
              </w:rPr>
              <w:t>TAC</w:t>
            </w:r>
            <w:r>
              <w:t>s will agree a core suite of standard reports to be produced with consistent content and presentation on admissions to higher education in the 2018 academic year.</w:t>
            </w:r>
          </w:p>
        </w:tc>
      </w:tr>
      <w:tr w:rsidR="001C1F19" w:rsidTr="00A05DAC">
        <w:trPr>
          <w:cantSplit/>
        </w:trPr>
        <w:tc>
          <w:tcPr>
            <w:tcW w:w="1101" w:type="dxa"/>
            <w:tcBorders>
              <w:top w:val="nil"/>
              <w:left w:val="single" w:sz="4" w:space="0" w:color="auto"/>
              <w:bottom w:val="single" w:sz="4" w:space="0" w:color="auto"/>
              <w:right w:val="single" w:sz="4" w:space="0" w:color="auto"/>
            </w:tcBorders>
          </w:tcPr>
          <w:p w:rsidR="001C1F19" w:rsidRDefault="001C1F19" w:rsidP="00DC2831">
            <w:pPr>
              <w:rPr>
                <w:rFonts w:ascii="Calibri" w:hAnsi="Calibri" w:cs="Calibri"/>
                <w:color w:val="000000"/>
              </w:rPr>
            </w:pPr>
          </w:p>
        </w:tc>
        <w:tc>
          <w:tcPr>
            <w:tcW w:w="2265" w:type="dxa"/>
            <w:tcBorders>
              <w:left w:val="single" w:sz="4" w:space="0" w:color="auto"/>
              <w:bottom w:val="single" w:sz="4" w:space="0" w:color="auto"/>
            </w:tcBorders>
          </w:tcPr>
          <w:p w:rsidR="001C1F19" w:rsidRDefault="001C1F19" w:rsidP="00DC2831">
            <w:pPr>
              <w:rPr>
                <w:rFonts w:ascii="Calibri" w:hAnsi="Calibri" w:cs="Calibri"/>
                <w:color w:val="000000"/>
              </w:rPr>
            </w:pPr>
            <w:r>
              <w:rPr>
                <w:rFonts w:ascii="Calibri" w:hAnsi="Calibri" w:cs="Calibri"/>
                <w:color w:val="000000"/>
              </w:rPr>
              <w:t xml:space="preserve">TEQSA guidance </w:t>
            </w:r>
          </w:p>
        </w:tc>
        <w:tc>
          <w:tcPr>
            <w:tcW w:w="1137" w:type="dxa"/>
          </w:tcPr>
          <w:p w:rsidR="001C1F19" w:rsidRDefault="004E5C0C" w:rsidP="00C6716A">
            <w:r>
              <w:t>TEQSA</w:t>
            </w:r>
          </w:p>
        </w:tc>
        <w:tc>
          <w:tcPr>
            <w:tcW w:w="9780" w:type="dxa"/>
          </w:tcPr>
          <w:p w:rsidR="001C1F19" w:rsidRDefault="00906D57" w:rsidP="00C6716A">
            <w:pPr>
              <w:rPr>
                <w:rFonts w:ascii="Calibri" w:hAnsi="Calibri" w:cs="Calibri"/>
                <w:color w:val="000000"/>
              </w:rPr>
            </w:pPr>
            <w:r>
              <w:t>TEQSA will release a draft guidance note on admissions transparency for stakeholder comment,</w:t>
            </w:r>
            <w:r w:rsidRPr="00906D57">
              <w:t xml:space="preserve"> </w:t>
            </w:r>
            <w:r>
              <w:t>informed by findings and evidence gathered in the formative evaluation.</w:t>
            </w:r>
          </w:p>
        </w:tc>
      </w:tr>
      <w:tr w:rsidR="001C1F19" w:rsidTr="00A05DAC">
        <w:trPr>
          <w:cantSplit/>
        </w:trPr>
        <w:tc>
          <w:tcPr>
            <w:tcW w:w="1101" w:type="dxa"/>
            <w:tcBorders>
              <w:top w:val="single" w:sz="4" w:space="0" w:color="auto"/>
              <w:left w:val="single" w:sz="4" w:space="0" w:color="auto"/>
              <w:bottom w:val="single" w:sz="4" w:space="0" w:color="auto"/>
              <w:right w:val="single" w:sz="4" w:space="0" w:color="auto"/>
            </w:tcBorders>
          </w:tcPr>
          <w:p w:rsidR="001C1F19" w:rsidRDefault="00A05DAC" w:rsidP="00DC2831">
            <w:pPr>
              <w:rPr>
                <w:rFonts w:ascii="Calibri" w:hAnsi="Calibri" w:cs="Calibri"/>
                <w:color w:val="000000"/>
              </w:rPr>
            </w:pPr>
            <w:r>
              <w:rPr>
                <w:rFonts w:ascii="Calibri" w:hAnsi="Calibri" w:cs="Calibri"/>
                <w:color w:val="000000"/>
              </w:rPr>
              <w:t>Dec-17</w:t>
            </w:r>
          </w:p>
        </w:tc>
        <w:tc>
          <w:tcPr>
            <w:tcW w:w="2265" w:type="dxa"/>
            <w:tcBorders>
              <w:top w:val="single" w:sz="4" w:space="0" w:color="auto"/>
              <w:left w:val="single" w:sz="4" w:space="0" w:color="auto"/>
            </w:tcBorders>
          </w:tcPr>
          <w:p w:rsidR="001C1F19" w:rsidRDefault="001C1F19" w:rsidP="00DC2831">
            <w:pPr>
              <w:rPr>
                <w:rFonts w:ascii="Calibri" w:hAnsi="Calibri" w:cs="Calibri"/>
                <w:color w:val="000000"/>
              </w:rPr>
            </w:pPr>
            <w:r>
              <w:rPr>
                <w:rFonts w:ascii="Calibri" w:hAnsi="Calibri" w:cs="Calibri"/>
                <w:color w:val="000000"/>
              </w:rPr>
              <w:t>Information platform</w:t>
            </w:r>
          </w:p>
        </w:tc>
        <w:tc>
          <w:tcPr>
            <w:tcW w:w="1137" w:type="dxa"/>
          </w:tcPr>
          <w:p w:rsidR="001C1F19" w:rsidRDefault="004E5C0C" w:rsidP="002752E9">
            <w:r>
              <w:t>DET</w:t>
            </w:r>
          </w:p>
        </w:tc>
        <w:tc>
          <w:tcPr>
            <w:tcW w:w="9780" w:type="dxa"/>
          </w:tcPr>
          <w:p w:rsidR="001C1F19" w:rsidRDefault="001C1F19" w:rsidP="002752E9">
            <w:r>
              <w:t>The national admissions information platform will begin a phased approach to delivery with an initial proof of concept release intended for December 2017.</w:t>
            </w:r>
          </w:p>
        </w:tc>
      </w:tr>
      <w:tr w:rsidR="001C1F19" w:rsidTr="000C2FC2">
        <w:trPr>
          <w:cantSplit/>
        </w:trPr>
        <w:tc>
          <w:tcPr>
            <w:tcW w:w="1101" w:type="dxa"/>
            <w:tcBorders>
              <w:top w:val="single" w:sz="4" w:space="0" w:color="auto"/>
              <w:left w:val="single" w:sz="4" w:space="0" w:color="auto"/>
              <w:bottom w:val="single" w:sz="4" w:space="0" w:color="auto"/>
              <w:right w:val="single" w:sz="4" w:space="0" w:color="auto"/>
            </w:tcBorders>
          </w:tcPr>
          <w:p w:rsidR="001C1F19" w:rsidRDefault="001C1F19" w:rsidP="00DC2831">
            <w:pPr>
              <w:rPr>
                <w:rFonts w:ascii="Calibri" w:hAnsi="Calibri" w:cs="Calibri"/>
                <w:color w:val="000000"/>
              </w:rPr>
            </w:pPr>
            <w:r>
              <w:rPr>
                <w:rFonts w:ascii="Calibri" w:hAnsi="Calibri" w:cs="Calibri"/>
                <w:color w:val="000000"/>
              </w:rPr>
              <w:t>2018</w:t>
            </w:r>
          </w:p>
        </w:tc>
        <w:tc>
          <w:tcPr>
            <w:tcW w:w="2265" w:type="dxa"/>
            <w:tcBorders>
              <w:left w:val="single" w:sz="4" w:space="0" w:color="auto"/>
            </w:tcBorders>
          </w:tcPr>
          <w:p w:rsidR="001C1F19" w:rsidRDefault="001C1F19" w:rsidP="00A34A73">
            <w:pPr>
              <w:rPr>
                <w:rFonts w:ascii="Calibri" w:hAnsi="Calibri" w:cs="Calibri"/>
                <w:color w:val="000000"/>
              </w:rPr>
            </w:pPr>
            <w:r>
              <w:rPr>
                <w:rFonts w:ascii="Calibri" w:hAnsi="Calibri" w:cs="Calibri"/>
                <w:color w:val="000000"/>
              </w:rPr>
              <w:t>TACs and interstate applications</w:t>
            </w:r>
          </w:p>
        </w:tc>
        <w:tc>
          <w:tcPr>
            <w:tcW w:w="1137" w:type="dxa"/>
          </w:tcPr>
          <w:p w:rsidR="001C1F19" w:rsidRDefault="004E5C0C" w:rsidP="00524F37">
            <w:r>
              <w:t>TACs</w:t>
            </w:r>
          </w:p>
        </w:tc>
        <w:tc>
          <w:tcPr>
            <w:tcW w:w="9780" w:type="dxa"/>
          </w:tcPr>
          <w:p w:rsidR="001C1F19" w:rsidRDefault="001C1F19" w:rsidP="00524F37">
            <w:pPr>
              <w:rPr>
                <w:rFonts w:ascii="Calibri" w:hAnsi="Calibri" w:cs="Calibri"/>
                <w:color w:val="000000"/>
              </w:rPr>
            </w:pPr>
            <w:r>
              <w:t>TACs will produce the agreed core suite of standard reports with consistent content and presentation on admissions to higher education in the 2018 academic year.</w:t>
            </w:r>
          </w:p>
        </w:tc>
      </w:tr>
      <w:tr w:rsidR="001C1F19" w:rsidTr="000C2FC2">
        <w:trPr>
          <w:cantSplit/>
        </w:trPr>
        <w:tc>
          <w:tcPr>
            <w:tcW w:w="1101" w:type="dxa"/>
            <w:tcBorders>
              <w:top w:val="single" w:sz="4" w:space="0" w:color="auto"/>
              <w:left w:val="single" w:sz="4" w:space="0" w:color="auto"/>
              <w:bottom w:val="single" w:sz="4" w:space="0" w:color="auto"/>
              <w:right w:val="single" w:sz="4" w:space="0" w:color="auto"/>
            </w:tcBorders>
          </w:tcPr>
          <w:p w:rsidR="001C1F19" w:rsidRDefault="00613A1F" w:rsidP="00DC2831">
            <w:pPr>
              <w:rPr>
                <w:rFonts w:ascii="Calibri" w:hAnsi="Calibri" w:cs="Calibri"/>
                <w:color w:val="000000"/>
              </w:rPr>
            </w:pPr>
            <w:r>
              <w:rPr>
                <w:rFonts w:ascii="Calibri" w:hAnsi="Calibri" w:cs="Calibri"/>
                <w:color w:val="000000"/>
              </w:rPr>
              <w:t>Feb-18</w:t>
            </w:r>
          </w:p>
        </w:tc>
        <w:tc>
          <w:tcPr>
            <w:tcW w:w="2265" w:type="dxa"/>
            <w:tcBorders>
              <w:left w:val="single" w:sz="4" w:space="0" w:color="auto"/>
            </w:tcBorders>
          </w:tcPr>
          <w:p w:rsidR="001C1F19" w:rsidRDefault="001C1F19" w:rsidP="00DC2831">
            <w:pPr>
              <w:rPr>
                <w:rFonts w:ascii="Calibri" w:hAnsi="Calibri" w:cs="Calibri"/>
                <w:color w:val="000000"/>
              </w:rPr>
            </w:pPr>
            <w:r>
              <w:rPr>
                <w:rFonts w:ascii="Calibri" w:hAnsi="Calibri" w:cs="Calibri"/>
                <w:color w:val="000000"/>
              </w:rPr>
              <w:t xml:space="preserve">TEQSA guidance </w:t>
            </w:r>
          </w:p>
        </w:tc>
        <w:tc>
          <w:tcPr>
            <w:tcW w:w="1137" w:type="dxa"/>
          </w:tcPr>
          <w:p w:rsidR="001C1F19" w:rsidRDefault="004E5C0C" w:rsidP="00DC2831">
            <w:pPr>
              <w:rPr>
                <w:rFonts w:ascii="Calibri" w:hAnsi="Calibri" w:cs="Calibri"/>
                <w:color w:val="000000"/>
              </w:rPr>
            </w:pPr>
            <w:r>
              <w:rPr>
                <w:rFonts w:ascii="Calibri" w:hAnsi="Calibri" w:cs="Calibri"/>
                <w:color w:val="000000"/>
              </w:rPr>
              <w:t>TEQSA</w:t>
            </w:r>
          </w:p>
        </w:tc>
        <w:tc>
          <w:tcPr>
            <w:tcW w:w="9780" w:type="dxa"/>
          </w:tcPr>
          <w:p w:rsidR="001C1F19" w:rsidRDefault="001C1F19" w:rsidP="00DC2831">
            <w:pPr>
              <w:rPr>
                <w:rFonts w:ascii="Calibri" w:hAnsi="Calibri" w:cs="Calibri"/>
                <w:color w:val="000000"/>
              </w:rPr>
            </w:pPr>
            <w:r>
              <w:rPr>
                <w:rFonts w:ascii="Calibri" w:hAnsi="Calibri" w:cs="Calibri"/>
                <w:color w:val="000000"/>
              </w:rPr>
              <w:t xml:space="preserve">TEQSA </w:t>
            </w:r>
            <w:r>
              <w:t>will commence monitoring and reporting to government and the community on how higher education providers are responding to the HESP’s recommendations and commitments embodied in this implementation plan in order to transition to an enhanced level of transparency in higher education admissions.</w:t>
            </w:r>
          </w:p>
        </w:tc>
      </w:tr>
      <w:tr w:rsidR="001C1F19" w:rsidTr="000C2FC2">
        <w:trPr>
          <w:cantSplit/>
        </w:trPr>
        <w:tc>
          <w:tcPr>
            <w:tcW w:w="1101" w:type="dxa"/>
            <w:tcBorders>
              <w:top w:val="single" w:sz="4" w:space="0" w:color="auto"/>
              <w:left w:val="single" w:sz="4" w:space="0" w:color="auto"/>
              <w:bottom w:val="nil"/>
              <w:right w:val="single" w:sz="4" w:space="0" w:color="auto"/>
            </w:tcBorders>
          </w:tcPr>
          <w:p w:rsidR="001C1F19" w:rsidRDefault="001C1F19" w:rsidP="00DC2831">
            <w:pPr>
              <w:rPr>
                <w:rFonts w:ascii="Calibri" w:hAnsi="Calibri" w:cs="Calibri"/>
                <w:color w:val="000000"/>
              </w:rPr>
            </w:pPr>
            <w:r>
              <w:rPr>
                <w:rFonts w:ascii="Calibri" w:hAnsi="Calibri" w:cs="Calibri"/>
                <w:color w:val="000000"/>
              </w:rPr>
              <w:t>May-18</w:t>
            </w:r>
          </w:p>
        </w:tc>
        <w:tc>
          <w:tcPr>
            <w:tcW w:w="2265" w:type="dxa"/>
            <w:tcBorders>
              <w:left w:val="single" w:sz="4" w:space="0" w:color="auto"/>
            </w:tcBorders>
          </w:tcPr>
          <w:p w:rsidR="001C1F19" w:rsidRDefault="006D721E" w:rsidP="00236E9E">
            <w:pPr>
              <w:rPr>
                <w:rFonts w:ascii="Calibri" w:hAnsi="Calibri" w:cs="Calibri"/>
                <w:color w:val="000000"/>
              </w:rPr>
            </w:pPr>
            <w:r>
              <w:rPr>
                <w:rFonts w:ascii="Calibri" w:hAnsi="Calibri" w:cs="Calibri"/>
                <w:color w:val="000000"/>
              </w:rPr>
              <w:t>Consistent information</w:t>
            </w:r>
          </w:p>
        </w:tc>
        <w:tc>
          <w:tcPr>
            <w:tcW w:w="1137" w:type="dxa"/>
          </w:tcPr>
          <w:p w:rsidR="004E5C0C" w:rsidRDefault="004E5C0C" w:rsidP="002C4BBA">
            <w:pPr>
              <w:pStyle w:val="HERNormal"/>
              <w:rPr>
                <w:rFonts w:ascii="Calibri" w:hAnsi="Calibri" w:cs="Calibri"/>
                <w:color w:val="000000"/>
              </w:rPr>
            </w:pPr>
            <w:r>
              <w:rPr>
                <w:rFonts w:ascii="Calibri" w:hAnsi="Calibri" w:cs="Calibri"/>
                <w:color w:val="000000"/>
              </w:rPr>
              <w:t>TACs</w:t>
            </w:r>
          </w:p>
          <w:p w:rsidR="004E5C0C" w:rsidRDefault="004E5C0C" w:rsidP="00FE529D">
            <w:pPr>
              <w:pStyle w:val="HERNormal"/>
              <w:rPr>
                <w:rFonts w:ascii="Calibri" w:hAnsi="Calibri" w:cs="Calibri"/>
                <w:color w:val="000000"/>
              </w:rPr>
            </w:pPr>
            <w:r>
              <w:rPr>
                <w:rFonts w:ascii="Calibri" w:hAnsi="Calibri" w:cs="Calibri"/>
                <w:color w:val="000000"/>
              </w:rPr>
              <w:t>Providers</w:t>
            </w:r>
          </w:p>
        </w:tc>
        <w:tc>
          <w:tcPr>
            <w:tcW w:w="9780" w:type="dxa"/>
          </w:tcPr>
          <w:p w:rsidR="001C1F19" w:rsidRDefault="001C1F19" w:rsidP="002C4BBA">
            <w:pPr>
              <w:rPr>
                <w:rFonts w:ascii="Calibri" w:hAnsi="Calibri" w:cs="Calibri"/>
                <w:color w:val="000000"/>
              </w:rPr>
            </w:pPr>
            <w:r>
              <w:rPr>
                <w:rFonts w:ascii="Calibri" w:hAnsi="Calibri" w:cs="Calibri"/>
                <w:color w:val="000000"/>
              </w:rPr>
              <w:t>All</w:t>
            </w:r>
            <w:r>
              <w:t xml:space="preserve"> </w:t>
            </w:r>
            <w:r w:rsidR="00FC2EAA">
              <w:t>TAC</w:t>
            </w:r>
            <w:r w:rsidR="00FC2EAA" w:rsidRPr="003E3E25">
              <w:t xml:space="preserve">s </w:t>
            </w:r>
            <w:r w:rsidR="00FC2EAA">
              <w:t xml:space="preserve">as well as </w:t>
            </w:r>
            <w:r w:rsidR="00FC2EAA" w:rsidRPr="003E3E25">
              <w:t xml:space="preserve">higher education providers will adopt the agreed </w:t>
            </w:r>
            <w:r w:rsidR="00FC2EAA">
              <w:t xml:space="preserve">full </w:t>
            </w:r>
            <w:r w:rsidR="007E7193">
              <w:t>‘information sets’</w:t>
            </w:r>
            <w:r w:rsidR="00FC2EAA">
              <w:t>.</w:t>
            </w:r>
            <w:r w:rsidR="00441F5C">
              <w:t xml:space="preserve"> </w:t>
            </w:r>
            <w:r w:rsidR="00FC2EAA">
              <w:t xml:space="preserve">Online </w:t>
            </w:r>
            <w:r w:rsidR="00FC2EAA" w:rsidRPr="003E3E25">
              <w:t xml:space="preserve">information </w:t>
            </w:r>
            <w:r w:rsidR="00FC2EAA">
              <w:t xml:space="preserve">will be available </w:t>
            </w:r>
            <w:r w:rsidR="00FC2EAA" w:rsidRPr="003E3E25">
              <w:t xml:space="preserve">about institution-wide and </w:t>
            </w:r>
            <w:r w:rsidR="00A264C7">
              <w:t>program/</w:t>
            </w:r>
            <w:r w:rsidR="00FC2EAA" w:rsidRPr="003E3E25">
              <w:t xml:space="preserve">course-specific admission </w:t>
            </w:r>
            <w:r w:rsidR="00FC2EAA">
              <w:t xml:space="preserve">options </w:t>
            </w:r>
            <w:r w:rsidR="00FC2EAA" w:rsidRPr="003E3E25">
              <w:t xml:space="preserve">and entry </w:t>
            </w:r>
            <w:r w:rsidR="00FC2EAA">
              <w:t>criteria</w:t>
            </w:r>
            <w:r w:rsidR="00FC2EAA" w:rsidRPr="003E3E25">
              <w:t xml:space="preserve"> applicable to prospective students for the 2019 academic year</w:t>
            </w:r>
            <w:r w:rsidR="00FC2EAA">
              <w:t>.</w:t>
            </w:r>
            <w:r w:rsidR="00FC2EAA" w:rsidRPr="003E3E25">
              <w:t xml:space="preserve"> </w:t>
            </w:r>
            <w:r w:rsidR="00FC2EAA">
              <w:t>Information will also be available for inclusion in a national admissions information platform</w:t>
            </w:r>
            <w:r w:rsidR="00FC2EAA" w:rsidRPr="003E3E25">
              <w:t>.</w:t>
            </w:r>
            <w:r w:rsidR="00FC2EAA">
              <w:t xml:space="preserve"> Institutions should engage as needed with their publication partners to determine their own required timelines.</w:t>
            </w:r>
          </w:p>
        </w:tc>
      </w:tr>
      <w:tr w:rsidR="001C1F19" w:rsidTr="000C2FC2">
        <w:trPr>
          <w:cantSplit/>
        </w:trPr>
        <w:tc>
          <w:tcPr>
            <w:tcW w:w="1101" w:type="dxa"/>
            <w:tcBorders>
              <w:top w:val="nil"/>
              <w:left w:val="single" w:sz="4" w:space="0" w:color="auto"/>
              <w:bottom w:val="nil"/>
              <w:right w:val="single" w:sz="4" w:space="0" w:color="auto"/>
            </w:tcBorders>
          </w:tcPr>
          <w:p w:rsidR="001C1F19" w:rsidRDefault="001C1F19" w:rsidP="00DC2831">
            <w:pPr>
              <w:rPr>
                <w:rFonts w:ascii="Calibri" w:hAnsi="Calibri" w:cs="Calibri"/>
                <w:color w:val="000000"/>
              </w:rPr>
            </w:pPr>
          </w:p>
        </w:tc>
        <w:tc>
          <w:tcPr>
            <w:tcW w:w="2265" w:type="dxa"/>
            <w:tcBorders>
              <w:left w:val="single" w:sz="4" w:space="0" w:color="auto"/>
            </w:tcBorders>
          </w:tcPr>
          <w:p w:rsidR="001C1F19" w:rsidRDefault="001C1F19" w:rsidP="00236E9E">
            <w:pPr>
              <w:rPr>
                <w:rFonts w:ascii="Calibri" w:hAnsi="Calibri" w:cs="Calibri"/>
                <w:color w:val="000000"/>
              </w:rPr>
            </w:pPr>
            <w:r>
              <w:rPr>
                <w:rFonts w:ascii="Calibri" w:hAnsi="Calibri" w:cs="Calibri"/>
                <w:color w:val="000000"/>
              </w:rPr>
              <w:t>Terminology</w:t>
            </w:r>
          </w:p>
        </w:tc>
        <w:tc>
          <w:tcPr>
            <w:tcW w:w="1137" w:type="dxa"/>
          </w:tcPr>
          <w:p w:rsidR="001C1F19" w:rsidRDefault="004E5C0C" w:rsidP="00DC2831">
            <w:pPr>
              <w:rPr>
                <w:rFonts w:ascii="Calibri" w:hAnsi="Calibri" w:cs="Calibri"/>
                <w:color w:val="000000"/>
              </w:rPr>
            </w:pPr>
            <w:r>
              <w:rPr>
                <w:rFonts w:ascii="Calibri" w:hAnsi="Calibri" w:cs="Calibri"/>
                <w:color w:val="000000"/>
              </w:rPr>
              <w:t>TACs</w:t>
            </w:r>
          </w:p>
          <w:p w:rsidR="004E5C0C" w:rsidRDefault="004E5C0C" w:rsidP="00DC2831">
            <w:pPr>
              <w:rPr>
                <w:rFonts w:ascii="Calibri" w:hAnsi="Calibri" w:cs="Calibri"/>
                <w:color w:val="000000"/>
              </w:rPr>
            </w:pPr>
            <w:r>
              <w:rPr>
                <w:rFonts w:ascii="Calibri" w:hAnsi="Calibri" w:cs="Calibri"/>
                <w:color w:val="000000"/>
              </w:rPr>
              <w:t>Prov</w:t>
            </w:r>
            <w:r w:rsidR="00B451D8">
              <w:rPr>
                <w:rFonts w:ascii="Calibri" w:hAnsi="Calibri" w:cs="Calibri"/>
                <w:color w:val="000000"/>
              </w:rPr>
              <w:t>i</w:t>
            </w:r>
            <w:r>
              <w:rPr>
                <w:rFonts w:ascii="Calibri" w:hAnsi="Calibri" w:cs="Calibri"/>
                <w:color w:val="000000"/>
              </w:rPr>
              <w:t>ders</w:t>
            </w:r>
          </w:p>
        </w:tc>
        <w:tc>
          <w:tcPr>
            <w:tcW w:w="9780" w:type="dxa"/>
          </w:tcPr>
          <w:p w:rsidR="001C1F19" w:rsidRDefault="001C1F19" w:rsidP="00115467">
            <w:pPr>
              <w:rPr>
                <w:rFonts w:ascii="Calibri" w:hAnsi="Calibri" w:cs="Calibri"/>
                <w:color w:val="000000"/>
              </w:rPr>
            </w:pPr>
            <w:r>
              <w:rPr>
                <w:rFonts w:ascii="Calibri" w:hAnsi="Calibri" w:cs="Calibri"/>
                <w:color w:val="000000"/>
              </w:rPr>
              <w:t xml:space="preserve">All </w:t>
            </w:r>
            <w:r>
              <w:t xml:space="preserve">higher education providers, TACs and the other organisations </w:t>
            </w:r>
            <w:r w:rsidR="00115467">
              <w:t xml:space="preserve">committing to </w:t>
            </w:r>
            <w:r>
              <w:t xml:space="preserve">this implementation plan will adopt usage of the agreed set of common terms, concepts and definitions in their admission-related </w:t>
            </w:r>
            <w:r w:rsidR="00231AFD">
              <w:t xml:space="preserve">printed </w:t>
            </w:r>
            <w:r>
              <w:t>publications and online information to support applicants to study in 2019.</w:t>
            </w:r>
          </w:p>
        </w:tc>
      </w:tr>
      <w:tr w:rsidR="001C1F19" w:rsidTr="000C2FC2">
        <w:trPr>
          <w:cantSplit/>
        </w:trPr>
        <w:tc>
          <w:tcPr>
            <w:tcW w:w="1101" w:type="dxa"/>
            <w:tcBorders>
              <w:top w:val="nil"/>
              <w:left w:val="single" w:sz="4" w:space="0" w:color="auto"/>
              <w:bottom w:val="nil"/>
              <w:right w:val="single" w:sz="4" w:space="0" w:color="auto"/>
            </w:tcBorders>
          </w:tcPr>
          <w:p w:rsidR="001C1F19" w:rsidRDefault="001C1F19" w:rsidP="00DC2831">
            <w:pPr>
              <w:rPr>
                <w:rFonts w:ascii="Calibri" w:hAnsi="Calibri" w:cs="Calibri"/>
                <w:color w:val="000000"/>
              </w:rPr>
            </w:pPr>
          </w:p>
        </w:tc>
        <w:tc>
          <w:tcPr>
            <w:tcW w:w="2265" w:type="dxa"/>
            <w:tcBorders>
              <w:left w:val="single" w:sz="4" w:space="0" w:color="auto"/>
            </w:tcBorders>
          </w:tcPr>
          <w:p w:rsidR="001C1F19" w:rsidRDefault="001C1F19" w:rsidP="00236E9E">
            <w:pPr>
              <w:rPr>
                <w:rFonts w:ascii="Calibri" w:hAnsi="Calibri" w:cs="Calibri"/>
                <w:color w:val="000000"/>
              </w:rPr>
            </w:pPr>
            <w:r>
              <w:rPr>
                <w:rFonts w:ascii="Calibri" w:hAnsi="Calibri" w:cs="Calibri"/>
                <w:color w:val="000000"/>
              </w:rPr>
              <w:t>ATAR-related</w:t>
            </w:r>
          </w:p>
        </w:tc>
        <w:tc>
          <w:tcPr>
            <w:tcW w:w="1137" w:type="dxa"/>
          </w:tcPr>
          <w:p w:rsidR="001C1F19" w:rsidRDefault="004E5C0C" w:rsidP="00256BEA">
            <w:r>
              <w:t>TACs</w:t>
            </w:r>
          </w:p>
          <w:p w:rsidR="004E5C0C" w:rsidRDefault="004E5C0C" w:rsidP="00FE529D">
            <w:r>
              <w:t>Providers</w:t>
            </w:r>
          </w:p>
        </w:tc>
        <w:tc>
          <w:tcPr>
            <w:tcW w:w="9780" w:type="dxa"/>
          </w:tcPr>
          <w:p w:rsidR="001C1F19" w:rsidRDefault="001C1F19" w:rsidP="00924596">
            <w:pPr>
              <w:rPr>
                <w:rFonts w:ascii="Calibri" w:hAnsi="Calibri" w:cs="Calibri"/>
                <w:color w:val="000000"/>
              </w:rPr>
            </w:pPr>
            <w:r>
              <w:t xml:space="preserve">All providers and TACs will continue to use the revised definitions and naming conventions for the publication of ATAR-related thresholds and reporting of past year admissions in </w:t>
            </w:r>
            <w:r w:rsidR="007E7193">
              <w:t>‘information sets’</w:t>
            </w:r>
            <w:r>
              <w:t xml:space="preserve"> and discontinue the publication of ATAR “cut-off”, “clearly-in” or other previously reported ATAR threshold figures that do not include the outcomes of all offer rounds for the relevant period.</w:t>
            </w:r>
          </w:p>
        </w:tc>
      </w:tr>
      <w:tr w:rsidR="001C1F19" w:rsidTr="000C2FC2">
        <w:trPr>
          <w:cantSplit/>
        </w:trPr>
        <w:tc>
          <w:tcPr>
            <w:tcW w:w="1101" w:type="dxa"/>
            <w:tcBorders>
              <w:top w:val="nil"/>
              <w:left w:val="single" w:sz="4" w:space="0" w:color="auto"/>
              <w:bottom w:val="single" w:sz="4" w:space="0" w:color="auto"/>
              <w:right w:val="single" w:sz="4" w:space="0" w:color="auto"/>
            </w:tcBorders>
          </w:tcPr>
          <w:p w:rsidR="001C1F19" w:rsidRDefault="001C1F19" w:rsidP="005C1652">
            <w:pPr>
              <w:rPr>
                <w:rFonts w:ascii="Calibri" w:hAnsi="Calibri" w:cs="Calibri"/>
                <w:color w:val="000000"/>
              </w:rPr>
            </w:pPr>
          </w:p>
        </w:tc>
        <w:tc>
          <w:tcPr>
            <w:tcW w:w="2265" w:type="dxa"/>
            <w:tcBorders>
              <w:left w:val="single" w:sz="4" w:space="0" w:color="auto"/>
            </w:tcBorders>
          </w:tcPr>
          <w:p w:rsidR="001C1F19" w:rsidRDefault="001C1F19" w:rsidP="00A34A73">
            <w:pPr>
              <w:rPr>
                <w:rFonts w:ascii="Calibri" w:hAnsi="Calibri" w:cs="Calibri"/>
                <w:color w:val="000000"/>
              </w:rPr>
            </w:pPr>
            <w:r>
              <w:rPr>
                <w:rFonts w:ascii="Calibri" w:hAnsi="Calibri" w:cs="Calibri"/>
                <w:color w:val="000000"/>
              </w:rPr>
              <w:t xml:space="preserve">TACs and interstate applications </w:t>
            </w:r>
          </w:p>
        </w:tc>
        <w:tc>
          <w:tcPr>
            <w:tcW w:w="1137" w:type="dxa"/>
          </w:tcPr>
          <w:p w:rsidR="001C1F19" w:rsidRDefault="004E5C0C" w:rsidP="00DC2831">
            <w:pPr>
              <w:rPr>
                <w:rFonts w:ascii="Calibri" w:hAnsi="Calibri" w:cs="Calibri"/>
                <w:color w:val="000000"/>
              </w:rPr>
            </w:pPr>
            <w:r>
              <w:rPr>
                <w:rFonts w:ascii="Calibri" w:hAnsi="Calibri" w:cs="Calibri"/>
                <w:color w:val="000000"/>
              </w:rPr>
              <w:t>TACs</w:t>
            </w:r>
          </w:p>
        </w:tc>
        <w:tc>
          <w:tcPr>
            <w:tcW w:w="9780" w:type="dxa"/>
          </w:tcPr>
          <w:p w:rsidR="001C1F19" w:rsidRDefault="001C1F19" w:rsidP="00DC2831">
            <w:pPr>
              <w:rPr>
                <w:rFonts w:ascii="Calibri" w:hAnsi="Calibri" w:cs="Calibri"/>
                <w:color w:val="000000"/>
              </w:rPr>
            </w:pPr>
            <w:r>
              <w:rPr>
                <w:rFonts w:ascii="Calibri" w:hAnsi="Calibri" w:cs="Calibri"/>
                <w:color w:val="000000"/>
              </w:rPr>
              <w:t xml:space="preserve">All </w:t>
            </w:r>
            <w:r>
              <w:t xml:space="preserve">TACs will adopt the agreed </w:t>
            </w:r>
            <w:r w:rsidR="007E7193">
              <w:t>‘information sets’</w:t>
            </w:r>
            <w:r>
              <w:t xml:space="preserve"> for provision of information about institution-wide and course-specific admission options and entry criteria applicable to prospective students for the 2019 academic year and beyond.</w:t>
            </w:r>
          </w:p>
        </w:tc>
      </w:tr>
      <w:tr w:rsidR="00B451D8" w:rsidTr="000C2FC2">
        <w:trPr>
          <w:cantSplit/>
        </w:trPr>
        <w:tc>
          <w:tcPr>
            <w:tcW w:w="14283" w:type="dxa"/>
            <w:gridSpan w:val="4"/>
            <w:tcBorders>
              <w:top w:val="single" w:sz="4" w:space="0" w:color="auto"/>
              <w:bottom w:val="single" w:sz="4" w:space="0" w:color="auto"/>
            </w:tcBorders>
            <w:shd w:val="clear" w:color="auto" w:fill="E5E5E5" w:themeFill="background1" w:themeFillTint="33"/>
          </w:tcPr>
          <w:p w:rsidR="00B451D8" w:rsidRDefault="00B451D8" w:rsidP="000C2FC2">
            <w:pPr>
              <w:jc w:val="center"/>
              <w:rPr>
                <w:rFonts w:ascii="Calibri" w:hAnsi="Calibri" w:cs="Calibri"/>
                <w:color w:val="000000"/>
              </w:rPr>
            </w:pPr>
            <w:r>
              <w:rPr>
                <w:rFonts w:ascii="Calibri" w:hAnsi="Calibri" w:cs="Calibri"/>
                <w:color w:val="000000"/>
              </w:rPr>
              <w:t>STAGE THREE</w:t>
            </w:r>
          </w:p>
        </w:tc>
      </w:tr>
      <w:tr w:rsidR="00B451D8" w:rsidTr="00D03DD2">
        <w:trPr>
          <w:cantSplit/>
        </w:trPr>
        <w:tc>
          <w:tcPr>
            <w:tcW w:w="1101" w:type="dxa"/>
            <w:tcBorders>
              <w:top w:val="single" w:sz="4" w:space="0" w:color="auto"/>
              <w:bottom w:val="single" w:sz="4" w:space="0" w:color="auto"/>
            </w:tcBorders>
          </w:tcPr>
          <w:p w:rsidR="00B451D8" w:rsidRDefault="00B451D8" w:rsidP="00DC2831">
            <w:pPr>
              <w:rPr>
                <w:rFonts w:ascii="Calibri" w:hAnsi="Calibri" w:cs="Calibri"/>
                <w:color w:val="000000"/>
              </w:rPr>
            </w:pPr>
            <w:r>
              <w:rPr>
                <w:rFonts w:ascii="Calibri" w:hAnsi="Calibri" w:cs="Calibri"/>
                <w:color w:val="000000"/>
              </w:rPr>
              <w:t>Aug-18</w:t>
            </w:r>
          </w:p>
        </w:tc>
        <w:tc>
          <w:tcPr>
            <w:tcW w:w="2265" w:type="dxa"/>
          </w:tcPr>
          <w:p w:rsidR="00B451D8" w:rsidRDefault="00B451D8" w:rsidP="00A34A73">
            <w:pPr>
              <w:rPr>
                <w:rFonts w:ascii="Calibri" w:hAnsi="Calibri" w:cs="Calibri"/>
                <w:color w:val="000000"/>
              </w:rPr>
            </w:pPr>
            <w:r>
              <w:rPr>
                <w:rFonts w:ascii="Calibri" w:hAnsi="Calibri" w:cs="Calibri"/>
                <w:color w:val="000000"/>
              </w:rPr>
              <w:t>Information platform</w:t>
            </w:r>
          </w:p>
        </w:tc>
        <w:tc>
          <w:tcPr>
            <w:tcW w:w="1137" w:type="dxa"/>
          </w:tcPr>
          <w:p w:rsidR="00B451D8" w:rsidRDefault="00B451D8" w:rsidP="00F02CCA">
            <w:pPr>
              <w:rPr>
                <w:rFonts w:ascii="Calibri" w:hAnsi="Calibri" w:cs="Calibri"/>
                <w:color w:val="000000"/>
              </w:rPr>
            </w:pPr>
            <w:r>
              <w:rPr>
                <w:rFonts w:ascii="Calibri" w:hAnsi="Calibri" w:cs="Calibri"/>
                <w:color w:val="000000"/>
              </w:rPr>
              <w:t>DET</w:t>
            </w:r>
          </w:p>
        </w:tc>
        <w:tc>
          <w:tcPr>
            <w:tcW w:w="9780" w:type="dxa"/>
          </w:tcPr>
          <w:p w:rsidR="00B451D8" w:rsidRDefault="00B451D8" w:rsidP="00B451D8">
            <w:pPr>
              <w:rPr>
                <w:rFonts w:ascii="Calibri" w:hAnsi="Calibri" w:cs="Calibri"/>
                <w:color w:val="000000"/>
              </w:rPr>
            </w:pPr>
            <w:r>
              <w:t>The national admissions information platform will be operational to support students seeking to enter higher education in the 2019 academic year.</w:t>
            </w:r>
          </w:p>
        </w:tc>
      </w:tr>
      <w:tr w:rsidR="001C1F19" w:rsidTr="000C2FC2">
        <w:trPr>
          <w:cantSplit/>
        </w:trPr>
        <w:tc>
          <w:tcPr>
            <w:tcW w:w="1101" w:type="dxa"/>
            <w:tcBorders>
              <w:top w:val="single" w:sz="4" w:space="0" w:color="auto"/>
              <w:bottom w:val="single" w:sz="4" w:space="0" w:color="auto"/>
            </w:tcBorders>
          </w:tcPr>
          <w:p w:rsidR="001C1F19" w:rsidRDefault="001C1F19" w:rsidP="00DC2831">
            <w:pPr>
              <w:rPr>
                <w:rFonts w:ascii="Calibri" w:hAnsi="Calibri" w:cs="Calibri"/>
                <w:color w:val="000000"/>
              </w:rPr>
            </w:pPr>
            <w:r>
              <w:rPr>
                <w:rFonts w:ascii="Calibri" w:hAnsi="Calibri" w:cs="Calibri"/>
                <w:color w:val="000000"/>
              </w:rPr>
              <w:t>Dec-18</w:t>
            </w:r>
          </w:p>
        </w:tc>
        <w:tc>
          <w:tcPr>
            <w:tcW w:w="2265" w:type="dxa"/>
          </w:tcPr>
          <w:p w:rsidR="001C1F19" w:rsidRDefault="001C1F19" w:rsidP="00A34A73">
            <w:pPr>
              <w:rPr>
                <w:rFonts w:ascii="Calibri" w:hAnsi="Calibri" w:cs="Calibri"/>
                <w:color w:val="000000"/>
              </w:rPr>
            </w:pPr>
            <w:r>
              <w:rPr>
                <w:rFonts w:ascii="Calibri" w:hAnsi="Calibri" w:cs="Calibri"/>
                <w:color w:val="000000"/>
              </w:rPr>
              <w:t xml:space="preserve">TACs and interstate applications </w:t>
            </w:r>
          </w:p>
        </w:tc>
        <w:tc>
          <w:tcPr>
            <w:tcW w:w="1137" w:type="dxa"/>
          </w:tcPr>
          <w:p w:rsidR="001C1F19" w:rsidRDefault="004E5C0C" w:rsidP="00F02CCA">
            <w:pPr>
              <w:rPr>
                <w:rFonts w:ascii="Calibri" w:hAnsi="Calibri" w:cs="Calibri"/>
                <w:color w:val="000000"/>
              </w:rPr>
            </w:pPr>
            <w:r>
              <w:rPr>
                <w:rFonts w:ascii="Calibri" w:hAnsi="Calibri" w:cs="Calibri"/>
                <w:color w:val="000000"/>
              </w:rPr>
              <w:t>TACs</w:t>
            </w:r>
          </w:p>
        </w:tc>
        <w:tc>
          <w:tcPr>
            <w:tcW w:w="9780" w:type="dxa"/>
          </w:tcPr>
          <w:p w:rsidR="001C1F19" w:rsidRDefault="001C1F19" w:rsidP="00F02CCA">
            <w:pPr>
              <w:rPr>
                <w:rFonts w:ascii="Calibri" w:hAnsi="Calibri" w:cs="Calibri"/>
                <w:color w:val="000000"/>
              </w:rPr>
            </w:pPr>
            <w:r>
              <w:rPr>
                <w:rFonts w:ascii="Calibri" w:hAnsi="Calibri" w:cs="Calibri"/>
                <w:color w:val="000000"/>
              </w:rPr>
              <w:t>TAC</w:t>
            </w:r>
            <w:r>
              <w:t>s will agree a more comprehensive core suite of standard reports to be produced with consistent content and presentation on admissions to higher education in the 2019 academic year.</w:t>
            </w:r>
          </w:p>
        </w:tc>
      </w:tr>
      <w:tr w:rsidR="001C1F19" w:rsidTr="000C2FC2">
        <w:trPr>
          <w:cantSplit/>
        </w:trPr>
        <w:tc>
          <w:tcPr>
            <w:tcW w:w="1101" w:type="dxa"/>
            <w:tcBorders>
              <w:top w:val="single" w:sz="4" w:space="0" w:color="auto"/>
              <w:left w:val="single" w:sz="4" w:space="0" w:color="auto"/>
              <w:bottom w:val="single" w:sz="4" w:space="0" w:color="auto"/>
              <w:right w:val="single" w:sz="4" w:space="0" w:color="auto"/>
            </w:tcBorders>
          </w:tcPr>
          <w:p w:rsidR="001C1F19" w:rsidRDefault="001C1F19" w:rsidP="00DC2831">
            <w:pPr>
              <w:rPr>
                <w:rFonts w:ascii="Calibri" w:hAnsi="Calibri" w:cs="Calibri"/>
                <w:color w:val="000000"/>
              </w:rPr>
            </w:pPr>
            <w:r>
              <w:rPr>
                <w:rFonts w:ascii="Calibri" w:hAnsi="Calibri" w:cs="Calibri"/>
                <w:color w:val="000000"/>
              </w:rPr>
              <w:t>2019</w:t>
            </w:r>
          </w:p>
        </w:tc>
        <w:tc>
          <w:tcPr>
            <w:tcW w:w="2265" w:type="dxa"/>
            <w:tcBorders>
              <w:left w:val="single" w:sz="4" w:space="0" w:color="auto"/>
            </w:tcBorders>
          </w:tcPr>
          <w:p w:rsidR="001C1F19" w:rsidRDefault="001C1F19" w:rsidP="00A34A73">
            <w:pPr>
              <w:rPr>
                <w:rFonts w:ascii="Calibri" w:hAnsi="Calibri" w:cs="Calibri"/>
                <w:color w:val="000000"/>
              </w:rPr>
            </w:pPr>
            <w:r>
              <w:rPr>
                <w:rFonts w:ascii="Calibri" w:hAnsi="Calibri" w:cs="Calibri"/>
                <w:color w:val="000000"/>
              </w:rPr>
              <w:t xml:space="preserve">TACs and interstate applications </w:t>
            </w:r>
          </w:p>
        </w:tc>
        <w:tc>
          <w:tcPr>
            <w:tcW w:w="1137" w:type="dxa"/>
          </w:tcPr>
          <w:p w:rsidR="001C1F19" w:rsidRDefault="004E5C0C" w:rsidP="00965D97">
            <w:pPr>
              <w:rPr>
                <w:rFonts w:ascii="Calibri" w:hAnsi="Calibri" w:cs="Calibri"/>
                <w:color w:val="000000"/>
              </w:rPr>
            </w:pPr>
            <w:r>
              <w:rPr>
                <w:rFonts w:ascii="Calibri" w:hAnsi="Calibri" w:cs="Calibri"/>
                <w:color w:val="000000"/>
              </w:rPr>
              <w:t>TACs</w:t>
            </w:r>
          </w:p>
        </w:tc>
        <w:tc>
          <w:tcPr>
            <w:tcW w:w="9780" w:type="dxa"/>
          </w:tcPr>
          <w:p w:rsidR="001C1F19" w:rsidRDefault="001C1F19" w:rsidP="00965D97">
            <w:pPr>
              <w:rPr>
                <w:rFonts w:ascii="Calibri" w:hAnsi="Calibri" w:cs="Calibri"/>
                <w:color w:val="000000"/>
              </w:rPr>
            </w:pPr>
            <w:r>
              <w:rPr>
                <w:rFonts w:ascii="Calibri" w:hAnsi="Calibri" w:cs="Calibri"/>
                <w:color w:val="000000"/>
              </w:rPr>
              <w:t>TAC</w:t>
            </w:r>
            <w:r>
              <w:t>s will produce the agreed core suite of standard reports with consistent content and presentation on admissions to higher education in the 2019 academic year.</w:t>
            </w:r>
          </w:p>
        </w:tc>
      </w:tr>
      <w:tr w:rsidR="001C1F19" w:rsidTr="000C2FC2">
        <w:trPr>
          <w:cantSplit/>
        </w:trPr>
        <w:tc>
          <w:tcPr>
            <w:tcW w:w="1101" w:type="dxa"/>
            <w:tcBorders>
              <w:top w:val="single" w:sz="4" w:space="0" w:color="auto"/>
              <w:bottom w:val="single" w:sz="4" w:space="0" w:color="auto"/>
            </w:tcBorders>
          </w:tcPr>
          <w:p w:rsidR="001C1F19" w:rsidRDefault="001C1F19" w:rsidP="00DC2831">
            <w:pPr>
              <w:rPr>
                <w:rFonts w:ascii="Calibri" w:hAnsi="Calibri" w:cs="Calibri"/>
                <w:color w:val="000000"/>
              </w:rPr>
            </w:pPr>
            <w:r>
              <w:rPr>
                <w:rFonts w:ascii="Calibri" w:hAnsi="Calibri" w:cs="Calibri"/>
                <w:color w:val="000000"/>
              </w:rPr>
              <w:t>Jul-19</w:t>
            </w:r>
          </w:p>
        </w:tc>
        <w:tc>
          <w:tcPr>
            <w:tcW w:w="2265" w:type="dxa"/>
          </w:tcPr>
          <w:p w:rsidR="001C1F19" w:rsidRDefault="006D721E" w:rsidP="00236E9E">
            <w:pPr>
              <w:rPr>
                <w:rFonts w:ascii="Calibri" w:hAnsi="Calibri" w:cs="Calibri"/>
                <w:color w:val="000000"/>
              </w:rPr>
            </w:pPr>
            <w:r>
              <w:rPr>
                <w:rFonts w:ascii="Calibri" w:hAnsi="Calibri" w:cs="Calibri"/>
                <w:color w:val="000000"/>
              </w:rPr>
              <w:t>Consistent information</w:t>
            </w:r>
          </w:p>
        </w:tc>
        <w:tc>
          <w:tcPr>
            <w:tcW w:w="1137" w:type="dxa"/>
          </w:tcPr>
          <w:p w:rsidR="001C1F19" w:rsidRDefault="004E5C0C" w:rsidP="001E225E">
            <w:pPr>
              <w:rPr>
                <w:rFonts w:ascii="Calibri" w:hAnsi="Calibri" w:cs="Calibri"/>
                <w:color w:val="000000"/>
              </w:rPr>
            </w:pPr>
            <w:r>
              <w:rPr>
                <w:rFonts w:ascii="Calibri" w:hAnsi="Calibri" w:cs="Calibri"/>
                <w:color w:val="000000"/>
              </w:rPr>
              <w:t>DET</w:t>
            </w:r>
          </w:p>
        </w:tc>
        <w:tc>
          <w:tcPr>
            <w:tcW w:w="9780" w:type="dxa"/>
          </w:tcPr>
          <w:p w:rsidR="001C1F19" w:rsidRDefault="001C1F19" w:rsidP="001E225E">
            <w:pPr>
              <w:rPr>
                <w:rFonts w:ascii="Calibri" w:hAnsi="Calibri" w:cs="Calibri"/>
                <w:color w:val="000000"/>
              </w:rPr>
            </w:pPr>
            <w:r>
              <w:rPr>
                <w:rFonts w:ascii="Calibri" w:hAnsi="Calibri" w:cs="Calibri"/>
                <w:color w:val="000000"/>
              </w:rPr>
              <w:t xml:space="preserve">The </w:t>
            </w:r>
            <w:r w:rsidRPr="003E3E25">
              <w:t>Department of Education and Training will implement any necessary changes to data collection through the Higher Education Information Management System (HEIMS) or other related information technology systems, to full</w:t>
            </w:r>
            <w:r>
              <w:t>y</w:t>
            </w:r>
            <w:r w:rsidRPr="003E3E25">
              <w:t xml:space="preserve"> support the collection and reporting of data required to verify and </w:t>
            </w:r>
            <w:r w:rsidR="004C375B">
              <w:t>deliver</w:t>
            </w:r>
            <w:r w:rsidR="004C375B" w:rsidRPr="003E3E25">
              <w:t xml:space="preserve"> </w:t>
            </w:r>
            <w:r w:rsidRPr="003E3E25">
              <w:t xml:space="preserve">the </w:t>
            </w:r>
            <w:r w:rsidR="007E7193">
              <w:t>‘information sets’</w:t>
            </w:r>
            <w:r w:rsidRPr="003E3E25">
              <w:t>.</w:t>
            </w:r>
            <w:r>
              <w:rPr>
                <w:rFonts w:ascii="Calibri" w:hAnsi="Calibri" w:cs="Calibri"/>
                <w:color w:val="000000"/>
              </w:rPr>
              <w:t xml:space="preserve"> </w:t>
            </w:r>
          </w:p>
        </w:tc>
      </w:tr>
      <w:tr w:rsidR="001C1F19" w:rsidTr="00924596">
        <w:trPr>
          <w:cantSplit/>
        </w:trPr>
        <w:tc>
          <w:tcPr>
            <w:tcW w:w="1101" w:type="dxa"/>
            <w:tcBorders>
              <w:top w:val="single" w:sz="4" w:space="0" w:color="auto"/>
            </w:tcBorders>
          </w:tcPr>
          <w:p w:rsidR="001C1F19" w:rsidRDefault="001C1F19" w:rsidP="00DC2831">
            <w:pPr>
              <w:rPr>
                <w:rFonts w:ascii="Calibri" w:hAnsi="Calibri" w:cs="Calibri"/>
                <w:color w:val="000000"/>
              </w:rPr>
            </w:pPr>
            <w:r>
              <w:rPr>
                <w:rFonts w:ascii="Calibri" w:hAnsi="Calibri" w:cs="Calibri"/>
                <w:color w:val="000000"/>
              </w:rPr>
              <w:t>Mar-20</w:t>
            </w:r>
          </w:p>
        </w:tc>
        <w:tc>
          <w:tcPr>
            <w:tcW w:w="2265" w:type="dxa"/>
          </w:tcPr>
          <w:p w:rsidR="001C1F19" w:rsidDel="000F7D2E" w:rsidRDefault="001C1F19" w:rsidP="00236E9E">
            <w:pPr>
              <w:rPr>
                <w:rFonts w:ascii="Calibri" w:hAnsi="Calibri" w:cs="Calibri"/>
                <w:color w:val="000000"/>
              </w:rPr>
            </w:pPr>
            <w:r>
              <w:rPr>
                <w:rFonts w:ascii="Calibri" w:hAnsi="Calibri" w:cs="Calibri"/>
                <w:color w:val="000000"/>
              </w:rPr>
              <w:t>TEQSA guidance</w:t>
            </w:r>
          </w:p>
        </w:tc>
        <w:tc>
          <w:tcPr>
            <w:tcW w:w="1137" w:type="dxa"/>
          </w:tcPr>
          <w:p w:rsidR="001C1F19" w:rsidRDefault="004E5C0C" w:rsidP="001E225E">
            <w:r>
              <w:t>TEQSA</w:t>
            </w:r>
          </w:p>
        </w:tc>
        <w:tc>
          <w:tcPr>
            <w:tcW w:w="9780" w:type="dxa"/>
          </w:tcPr>
          <w:p w:rsidR="001C1F19" w:rsidRDefault="001C1F19" w:rsidP="00F70BAA">
            <w:pPr>
              <w:rPr>
                <w:rFonts w:ascii="Calibri" w:hAnsi="Calibri" w:cs="Calibri"/>
                <w:color w:val="000000"/>
              </w:rPr>
            </w:pPr>
            <w:r>
              <w:t xml:space="preserve">TEQSA will undertake a review and complete an evaluation of sector responses to the HESP </w:t>
            </w:r>
            <w:r w:rsidR="00F70BAA">
              <w:t xml:space="preserve">report </w:t>
            </w:r>
            <w:r>
              <w:t>and make recommendations to government on the need for further reforms to embed greater transparency in provider admission policies and processes.</w:t>
            </w:r>
          </w:p>
        </w:tc>
      </w:tr>
    </w:tbl>
    <w:p w:rsidR="00DC2831" w:rsidRPr="00A85944" w:rsidRDefault="00DC2831" w:rsidP="00B04C2F">
      <w:pPr>
        <w:pStyle w:val="HERNormal"/>
        <w:rPr>
          <w:noProof w:val="0"/>
        </w:rPr>
      </w:pPr>
    </w:p>
    <w:p w:rsidR="00D43235" w:rsidRPr="00A85944" w:rsidRDefault="00D72627" w:rsidP="00D43235">
      <w:pPr>
        <w:pStyle w:val="HERHeading1"/>
        <w:pageBreakBefore/>
      </w:pPr>
      <w:bookmarkStart w:id="76" w:name="_Toc483350209"/>
      <w:bookmarkStart w:id="77" w:name="_Toc484093496"/>
      <w:r>
        <w:t xml:space="preserve">Provider </w:t>
      </w:r>
      <w:r w:rsidR="0001197E">
        <w:t>timetable at a</w:t>
      </w:r>
      <w:r>
        <w:t xml:space="preserve"> </w:t>
      </w:r>
      <w:r w:rsidR="0001197E">
        <w:t>g</w:t>
      </w:r>
      <w:r>
        <w:t xml:space="preserve">lance: </w:t>
      </w:r>
      <w:r w:rsidR="0001197E">
        <w:t>w</w:t>
      </w:r>
      <w:r w:rsidR="00D43235">
        <w:t>hat providers need to do by when</w:t>
      </w:r>
      <w:bookmarkEnd w:id="76"/>
      <w:bookmarkEnd w:id="77"/>
    </w:p>
    <w:p w:rsidR="00D43235" w:rsidRPr="00A85944" w:rsidRDefault="00D43235" w:rsidP="00D43235">
      <w:pPr>
        <w:pStyle w:val="HERNormal"/>
        <w:rPr>
          <w:noProof w:val="0"/>
        </w:rPr>
      </w:pPr>
      <w:r>
        <w:rPr>
          <w:noProof w:val="0"/>
        </w:rPr>
        <w:t>Th</w:t>
      </w:r>
      <w:r w:rsidR="009A6DB4">
        <w:rPr>
          <w:noProof w:val="0"/>
        </w:rPr>
        <w:t xml:space="preserve">is section </w:t>
      </w:r>
      <w:r>
        <w:rPr>
          <w:noProof w:val="0"/>
        </w:rPr>
        <w:t>sets out the key milestones and timelines that higher education providers will need to meet in order to</w:t>
      </w:r>
      <w:r w:rsidRPr="00D43235">
        <w:rPr>
          <w:noProof w:val="0"/>
        </w:rPr>
        <w:t xml:space="preserve"> </w:t>
      </w:r>
      <w:r>
        <w:rPr>
          <w:noProof w:val="0"/>
        </w:rPr>
        <w:t>deliver the outcomes envisaged in this implementation plan</w:t>
      </w:r>
      <w:r w:rsidR="007D49BE">
        <w:rPr>
          <w:noProof w:val="0"/>
        </w:rPr>
        <w:t xml:space="preserve"> – </w:t>
      </w:r>
      <w:r w:rsidR="007D49BE">
        <w:t xml:space="preserve">for achievement, at the latest, by the </w:t>
      </w:r>
      <w:r w:rsidR="007D49BE" w:rsidRPr="00080C24">
        <w:t>end of the month indicated</w:t>
      </w:r>
      <w:r w:rsidR="007D49BE">
        <w:t>.</w:t>
      </w:r>
    </w:p>
    <w:tbl>
      <w:tblPr>
        <w:tblStyle w:val="TableGrid"/>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265"/>
        <w:gridCol w:w="10917"/>
      </w:tblGrid>
      <w:tr w:rsidR="00D43235" w:rsidRPr="00DC2831" w:rsidTr="00924596">
        <w:trPr>
          <w:cantSplit/>
          <w:tblHeader/>
        </w:trPr>
        <w:tc>
          <w:tcPr>
            <w:tcW w:w="1101" w:type="dxa"/>
            <w:tcBorders>
              <w:bottom w:val="single" w:sz="4" w:space="0" w:color="auto"/>
            </w:tcBorders>
          </w:tcPr>
          <w:p w:rsidR="00D43235" w:rsidRPr="00DC2831" w:rsidRDefault="00D43235" w:rsidP="00CF5593">
            <w:pPr>
              <w:pStyle w:val="HERNormal"/>
              <w:rPr>
                <w:b/>
                <w:noProof w:val="0"/>
              </w:rPr>
            </w:pPr>
            <w:r w:rsidRPr="00DC2831">
              <w:rPr>
                <w:b/>
                <w:noProof w:val="0"/>
              </w:rPr>
              <w:t>By when</w:t>
            </w:r>
          </w:p>
        </w:tc>
        <w:tc>
          <w:tcPr>
            <w:tcW w:w="2265" w:type="dxa"/>
          </w:tcPr>
          <w:p w:rsidR="00D43235" w:rsidRPr="00DC2831" w:rsidRDefault="00D43235" w:rsidP="00CF5593">
            <w:pPr>
              <w:pStyle w:val="HERNormal"/>
              <w:rPr>
                <w:b/>
                <w:noProof w:val="0"/>
              </w:rPr>
            </w:pPr>
            <w:r w:rsidRPr="00DC2831">
              <w:rPr>
                <w:b/>
                <w:noProof w:val="0"/>
              </w:rPr>
              <w:t>Category</w:t>
            </w:r>
          </w:p>
        </w:tc>
        <w:tc>
          <w:tcPr>
            <w:tcW w:w="10917" w:type="dxa"/>
          </w:tcPr>
          <w:p w:rsidR="00D43235" w:rsidRPr="00DC2831" w:rsidRDefault="00D43235" w:rsidP="00CF5593">
            <w:pPr>
              <w:pStyle w:val="HERNormal"/>
              <w:rPr>
                <w:b/>
                <w:noProof w:val="0"/>
              </w:rPr>
            </w:pPr>
            <w:r w:rsidRPr="00DC2831">
              <w:rPr>
                <w:b/>
                <w:noProof w:val="0"/>
              </w:rPr>
              <w:t>Objective</w:t>
            </w:r>
          </w:p>
        </w:tc>
      </w:tr>
      <w:tr w:rsidR="00C86524" w:rsidTr="00924596">
        <w:trPr>
          <w:cantSplit/>
        </w:trPr>
        <w:tc>
          <w:tcPr>
            <w:tcW w:w="1101" w:type="dxa"/>
            <w:tcBorders>
              <w:top w:val="single" w:sz="4" w:space="0" w:color="auto"/>
              <w:left w:val="single" w:sz="4" w:space="0" w:color="auto"/>
              <w:bottom w:val="nil"/>
              <w:right w:val="single" w:sz="4" w:space="0" w:color="auto"/>
            </w:tcBorders>
          </w:tcPr>
          <w:p w:rsidR="00C86524" w:rsidRDefault="00C86524" w:rsidP="00CF5593">
            <w:pPr>
              <w:rPr>
                <w:rFonts w:ascii="Calibri" w:hAnsi="Calibri" w:cs="Calibri"/>
                <w:color w:val="000000"/>
              </w:rPr>
            </w:pPr>
            <w:r>
              <w:rPr>
                <w:rFonts w:ascii="Calibri" w:hAnsi="Calibri" w:cs="Calibri"/>
                <w:color w:val="000000"/>
              </w:rPr>
              <w:t>Aug-17</w:t>
            </w:r>
          </w:p>
        </w:tc>
        <w:tc>
          <w:tcPr>
            <w:tcW w:w="2265" w:type="dxa"/>
            <w:tcBorders>
              <w:left w:val="single" w:sz="4" w:space="0" w:color="auto"/>
            </w:tcBorders>
          </w:tcPr>
          <w:p w:rsidR="00C86524" w:rsidRDefault="006D721E" w:rsidP="00CF5593">
            <w:pPr>
              <w:rPr>
                <w:rFonts w:ascii="Calibri" w:hAnsi="Calibri" w:cs="Calibri"/>
                <w:color w:val="000000"/>
              </w:rPr>
            </w:pPr>
            <w:r>
              <w:rPr>
                <w:rFonts w:ascii="Calibri" w:hAnsi="Calibri" w:cs="Calibri"/>
                <w:color w:val="000000"/>
              </w:rPr>
              <w:t>Consistent information</w:t>
            </w:r>
          </w:p>
        </w:tc>
        <w:tc>
          <w:tcPr>
            <w:tcW w:w="10917" w:type="dxa"/>
          </w:tcPr>
          <w:p w:rsidR="00C86524" w:rsidRDefault="00C86524" w:rsidP="00CF5593">
            <w:pPr>
              <w:pStyle w:val="HERNormal"/>
              <w:rPr>
                <w:noProof w:val="0"/>
              </w:rPr>
            </w:pPr>
            <w:r>
              <w:rPr>
                <w:noProof w:val="0"/>
              </w:rPr>
              <w:t>All higher education providers will publish on their websites, or otherwise make readily available:</w:t>
            </w:r>
          </w:p>
          <w:p w:rsidR="00C86524" w:rsidRDefault="00C86524" w:rsidP="00CF5593">
            <w:pPr>
              <w:pStyle w:val="HERListBullet"/>
              <w:numPr>
                <w:ilvl w:val="0"/>
                <w:numId w:val="30"/>
              </w:numPr>
              <w:spacing w:after="0"/>
            </w:pPr>
            <w:r>
              <w:t xml:space="preserve">information about their institutional admissions policies, consistent with the whole-of-institution </w:t>
            </w:r>
            <w:r w:rsidR="007E7193">
              <w:t xml:space="preserve">‘information set’ </w:t>
            </w:r>
            <w:r>
              <w:t>outlined at Appendix C.</w:t>
            </w:r>
          </w:p>
          <w:p w:rsidR="00C86524" w:rsidRDefault="00C86524" w:rsidP="00CF5593">
            <w:pPr>
              <w:pStyle w:val="HERListBullet"/>
              <w:numPr>
                <w:ilvl w:val="0"/>
                <w:numId w:val="30"/>
              </w:numPr>
              <w:spacing w:after="120"/>
              <w:ind w:left="357" w:hanging="357"/>
            </w:pPr>
            <w:r>
              <w:t xml:space="preserve">information about the admission criteria of each </w:t>
            </w:r>
            <w:r w:rsidR="0000324A">
              <w:t>program/</w:t>
            </w:r>
            <w:r>
              <w:t xml:space="preserve">course or appropriate cluster of related courses offered by the institution, consistent with the course </w:t>
            </w:r>
            <w:r w:rsidR="007E7193">
              <w:t xml:space="preserve">‘information set’ </w:t>
            </w:r>
            <w:r>
              <w:t>outlined at Appendix D.</w:t>
            </w:r>
          </w:p>
          <w:p w:rsidR="00C86524" w:rsidRDefault="00C86524" w:rsidP="00CF5593">
            <w:pPr>
              <w:pStyle w:val="HERNormal"/>
              <w:spacing w:after="120"/>
              <w:rPr>
                <w:noProof w:val="0"/>
              </w:rPr>
            </w:pPr>
            <w:r>
              <w:rPr>
                <w:noProof w:val="0"/>
              </w:rPr>
              <w:t xml:space="preserve">Language used in the </w:t>
            </w:r>
            <w:r w:rsidR="007E7193">
              <w:rPr>
                <w:noProof w:val="0"/>
              </w:rPr>
              <w:t>‘information sets’</w:t>
            </w:r>
            <w:r>
              <w:rPr>
                <w:noProof w:val="0"/>
              </w:rPr>
              <w:t xml:space="preserve"> will be consistent with the agreed common terminology and, where relevant, ATAR-related thresholds and definitions at Appendix B.</w:t>
            </w:r>
          </w:p>
          <w:p w:rsidR="00C86524" w:rsidRDefault="008645EE" w:rsidP="00A05DAC">
            <w:pPr>
              <w:pStyle w:val="HERNormal"/>
              <w:rPr>
                <w:rFonts w:ascii="Calibri" w:hAnsi="Calibri" w:cs="Calibri"/>
                <w:color w:val="000000"/>
              </w:rPr>
            </w:pPr>
            <w:r>
              <w:rPr>
                <w:noProof w:val="0"/>
              </w:rPr>
              <w:t>As an initial step in 2017, a ‘best endeavours’ approach will be adopted. If it is not possible to implement</w:t>
            </w:r>
            <w:r w:rsidDel="00350D5E">
              <w:rPr>
                <w:noProof w:val="0"/>
              </w:rPr>
              <w:t xml:space="preserve"> </w:t>
            </w:r>
            <w:r>
              <w:rPr>
                <w:noProof w:val="0"/>
              </w:rPr>
              <w:t>the agreed presentation of information throughout the institution’s website during the stage 1 transition period, at the very least a separate document should be made available in a prominent location on the provider website that presents the requisite information agreed as required in 2017. Where possible, though, providers are encouraged to attempt to go beyond the minimum requirement</w:t>
            </w:r>
            <w:r w:rsidR="00A84335">
              <w:rPr>
                <w:noProof w:val="0"/>
              </w:rPr>
              <w:t>.</w:t>
            </w:r>
          </w:p>
        </w:tc>
      </w:tr>
      <w:tr w:rsidR="00C86524" w:rsidTr="00924596">
        <w:trPr>
          <w:cantSplit/>
        </w:trPr>
        <w:tc>
          <w:tcPr>
            <w:tcW w:w="1101" w:type="dxa"/>
            <w:tcBorders>
              <w:top w:val="nil"/>
              <w:left w:val="single" w:sz="4" w:space="0" w:color="auto"/>
              <w:bottom w:val="nil"/>
              <w:right w:val="single" w:sz="4" w:space="0" w:color="auto"/>
            </w:tcBorders>
          </w:tcPr>
          <w:p w:rsidR="00C86524" w:rsidRDefault="00C86524" w:rsidP="00CF5593">
            <w:pPr>
              <w:rPr>
                <w:rFonts w:ascii="Calibri" w:hAnsi="Calibri" w:cs="Calibri"/>
                <w:color w:val="000000"/>
              </w:rPr>
            </w:pPr>
          </w:p>
        </w:tc>
        <w:tc>
          <w:tcPr>
            <w:tcW w:w="2265" w:type="dxa"/>
            <w:tcBorders>
              <w:left w:val="single" w:sz="4" w:space="0" w:color="auto"/>
            </w:tcBorders>
          </w:tcPr>
          <w:p w:rsidR="00C86524" w:rsidRDefault="00C86524" w:rsidP="00CF5593">
            <w:pPr>
              <w:rPr>
                <w:rFonts w:ascii="Calibri" w:hAnsi="Calibri" w:cs="Calibri"/>
                <w:color w:val="000000"/>
              </w:rPr>
            </w:pPr>
            <w:r>
              <w:rPr>
                <w:rFonts w:ascii="Calibri" w:hAnsi="Calibri" w:cs="Calibri"/>
                <w:color w:val="000000"/>
              </w:rPr>
              <w:t>Terminology</w:t>
            </w:r>
          </w:p>
        </w:tc>
        <w:tc>
          <w:tcPr>
            <w:tcW w:w="10917" w:type="dxa"/>
          </w:tcPr>
          <w:p w:rsidR="00C86524" w:rsidRDefault="00C86524" w:rsidP="00CF5593">
            <w:pPr>
              <w:rPr>
                <w:rFonts w:ascii="Calibri" w:hAnsi="Calibri" w:cs="Calibri"/>
                <w:color w:val="000000"/>
              </w:rPr>
            </w:pPr>
            <w:r>
              <w:t xml:space="preserve">Information published by providers and TACs in accordance with the whole-of-institution and course </w:t>
            </w:r>
            <w:r w:rsidR="007E7193">
              <w:t>‘information sets’</w:t>
            </w:r>
            <w:r>
              <w:t xml:space="preserve"> at Appendices C and D will utilise language consistent with the initial set of agreed common terms.</w:t>
            </w:r>
          </w:p>
        </w:tc>
      </w:tr>
      <w:tr w:rsidR="00C86524" w:rsidTr="005A565D">
        <w:trPr>
          <w:cantSplit/>
        </w:trPr>
        <w:tc>
          <w:tcPr>
            <w:tcW w:w="1101" w:type="dxa"/>
            <w:tcBorders>
              <w:top w:val="nil"/>
              <w:left w:val="single" w:sz="4" w:space="0" w:color="auto"/>
              <w:bottom w:val="single" w:sz="4" w:space="0" w:color="auto"/>
              <w:right w:val="single" w:sz="4" w:space="0" w:color="auto"/>
            </w:tcBorders>
          </w:tcPr>
          <w:p w:rsidR="00C86524" w:rsidRDefault="00C86524" w:rsidP="00CF5593">
            <w:pPr>
              <w:rPr>
                <w:rFonts w:ascii="Calibri" w:hAnsi="Calibri" w:cs="Calibri"/>
                <w:color w:val="000000"/>
              </w:rPr>
            </w:pPr>
          </w:p>
        </w:tc>
        <w:tc>
          <w:tcPr>
            <w:tcW w:w="2265" w:type="dxa"/>
            <w:tcBorders>
              <w:left w:val="single" w:sz="4" w:space="0" w:color="auto"/>
            </w:tcBorders>
          </w:tcPr>
          <w:p w:rsidR="00C86524" w:rsidRDefault="00C86524" w:rsidP="00CF5593">
            <w:pPr>
              <w:rPr>
                <w:rFonts w:ascii="Calibri" w:hAnsi="Calibri" w:cs="Calibri"/>
                <w:color w:val="000000"/>
              </w:rPr>
            </w:pPr>
            <w:r>
              <w:rPr>
                <w:rFonts w:ascii="Calibri" w:hAnsi="Calibri" w:cs="Calibri"/>
                <w:color w:val="000000"/>
              </w:rPr>
              <w:t>ATAR-related</w:t>
            </w:r>
          </w:p>
        </w:tc>
        <w:tc>
          <w:tcPr>
            <w:tcW w:w="10917" w:type="dxa"/>
          </w:tcPr>
          <w:p w:rsidR="00C86524" w:rsidRPr="005A565D" w:rsidRDefault="00C86524" w:rsidP="008B6C31">
            <w:r>
              <w:rPr>
                <w:rFonts w:ascii="Calibri" w:hAnsi="Calibri" w:cs="Calibri"/>
                <w:color w:val="000000"/>
              </w:rPr>
              <w:t xml:space="preserve">All </w:t>
            </w:r>
            <w:r>
              <w:t>providers will adopt the revised definitions and naming conventions for the publication of ATAR-related thresholds and reporting of past year admissions</w:t>
            </w:r>
            <w:r w:rsidRPr="000944A6">
              <w:t xml:space="preserve"> </w:t>
            </w:r>
            <w:r>
              <w:t xml:space="preserve">in </w:t>
            </w:r>
            <w:r w:rsidR="007E7193">
              <w:t>‘information sets’</w:t>
            </w:r>
            <w:r>
              <w:t xml:space="preserve"> to inform and support applications relating to the 2018 academic year and beyond.</w:t>
            </w:r>
          </w:p>
        </w:tc>
      </w:tr>
      <w:tr w:rsidR="00C86524" w:rsidTr="005A565D">
        <w:trPr>
          <w:cantSplit/>
        </w:trPr>
        <w:tc>
          <w:tcPr>
            <w:tcW w:w="1101" w:type="dxa"/>
            <w:tcBorders>
              <w:top w:val="single" w:sz="4" w:space="0" w:color="auto"/>
              <w:left w:val="single" w:sz="4" w:space="0" w:color="auto"/>
              <w:bottom w:val="single" w:sz="4" w:space="0" w:color="auto"/>
              <w:right w:val="single" w:sz="4" w:space="0" w:color="auto"/>
            </w:tcBorders>
          </w:tcPr>
          <w:p w:rsidR="00C86524" w:rsidRDefault="00C86524" w:rsidP="00CF5593">
            <w:pPr>
              <w:rPr>
                <w:rFonts w:ascii="Calibri" w:hAnsi="Calibri" w:cs="Calibri"/>
                <w:color w:val="000000"/>
              </w:rPr>
            </w:pPr>
            <w:r>
              <w:rPr>
                <w:rFonts w:ascii="Calibri" w:hAnsi="Calibri" w:cs="Calibri"/>
                <w:color w:val="000000"/>
              </w:rPr>
              <w:t>May-18</w:t>
            </w:r>
          </w:p>
        </w:tc>
        <w:tc>
          <w:tcPr>
            <w:tcW w:w="2265" w:type="dxa"/>
            <w:tcBorders>
              <w:left w:val="single" w:sz="4" w:space="0" w:color="auto"/>
            </w:tcBorders>
          </w:tcPr>
          <w:p w:rsidR="00C86524" w:rsidRDefault="006D721E" w:rsidP="00CF5593">
            <w:pPr>
              <w:rPr>
                <w:rFonts w:ascii="Calibri" w:hAnsi="Calibri" w:cs="Calibri"/>
                <w:color w:val="000000"/>
              </w:rPr>
            </w:pPr>
            <w:r>
              <w:rPr>
                <w:rFonts w:ascii="Calibri" w:hAnsi="Calibri" w:cs="Calibri"/>
                <w:color w:val="000000"/>
              </w:rPr>
              <w:t>Consistent information</w:t>
            </w:r>
          </w:p>
        </w:tc>
        <w:tc>
          <w:tcPr>
            <w:tcW w:w="10917" w:type="dxa"/>
          </w:tcPr>
          <w:p w:rsidR="00C86524" w:rsidRDefault="00C86524" w:rsidP="002023FA">
            <w:pPr>
              <w:rPr>
                <w:rFonts w:ascii="Calibri" w:hAnsi="Calibri" w:cs="Calibri"/>
                <w:color w:val="000000"/>
              </w:rPr>
            </w:pPr>
            <w:r>
              <w:rPr>
                <w:rFonts w:ascii="Calibri" w:hAnsi="Calibri" w:cs="Calibri"/>
                <w:color w:val="000000"/>
              </w:rPr>
              <w:t>All</w:t>
            </w:r>
            <w:r>
              <w:t xml:space="preserve"> </w:t>
            </w:r>
            <w:r w:rsidR="00FC2EAA">
              <w:t>TAC</w:t>
            </w:r>
            <w:r w:rsidR="00FC2EAA" w:rsidRPr="003E3E25">
              <w:t xml:space="preserve">s </w:t>
            </w:r>
            <w:r w:rsidR="00FC2EAA">
              <w:t xml:space="preserve">as well as </w:t>
            </w:r>
            <w:r w:rsidR="00FC2EAA" w:rsidRPr="003E3E25">
              <w:t xml:space="preserve">higher education providers will adopt the agreed </w:t>
            </w:r>
            <w:r w:rsidR="00FC2EAA">
              <w:t xml:space="preserve">full </w:t>
            </w:r>
            <w:r w:rsidR="007E7193">
              <w:t>‘information sets’</w:t>
            </w:r>
            <w:r w:rsidR="00FC2EAA">
              <w:t>.</w:t>
            </w:r>
            <w:r w:rsidR="00441F5C">
              <w:t xml:space="preserve"> </w:t>
            </w:r>
            <w:r w:rsidR="00FC2EAA">
              <w:t xml:space="preserve">Online </w:t>
            </w:r>
            <w:r w:rsidR="00FC2EAA" w:rsidRPr="003E3E25">
              <w:t xml:space="preserve">information </w:t>
            </w:r>
            <w:r w:rsidR="00FC2EAA">
              <w:t xml:space="preserve">will be available </w:t>
            </w:r>
            <w:r w:rsidR="00FC2EAA" w:rsidRPr="003E3E25">
              <w:t xml:space="preserve">about institution-wide and </w:t>
            </w:r>
            <w:r w:rsidR="000C7222">
              <w:t>program/</w:t>
            </w:r>
            <w:r w:rsidR="00FC2EAA" w:rsidRPr="003E3E25">
              <w:t xml:space="preserve">course-specific admission </w:t>
            </w:r>
            <w:r w:rsidR="00FC2EAA">
              <w:t xml:space="preserve">options </w:t>
            </w:r>
            <w:r w:rsidR="00FC2EAA" w:rsidRPr="003E3E25">
              <w:t xml:space="preserve">and entry </w:t>
            </w:r>
            <w:r w:rsidR="00FC2EAA">
              <w:t>criteria</w:t>
            </w:r>
            <w:r w:rsidR="00FC2EAA" w:rsidRPr="003E3E25">
              <w:t xml:space="preserve"> applicable to prospective students for the 2019 academic year</w:t>
            </w:r>
            <w:r w:rsidR="00FC2EAA">
              <w:t>.</w:t>
            </w:r>
            <w:r w:rsidR="00FC2EAA" w:rsidRPr="003E3E25">
              <w:t xml:space="preserve"> </w:t>
            </w:r>
            <w:r w:rsidR="00FC2EAA">
              <w:t>Information will also be available for inclusion in a national admissions information platform</w:t>
            </w:r>
            <w:r w:rsidR="00FC2EAA" w:rsidRPr="003E3E25">
              <w:t>.</w:t>
            </w:r>
            <w:r w:rsidR="00FC2EAA">
              <w:t xml:space="preserve"> Institutions should engage as needed with their publication partners to determine their own required timelines.</w:t>
            </w:r>
          </w:p>
        </w:tc>
      </w:tr>
      <w:tr w:rsidR="00C86524" w:rsidTr="005A565D">
        <w:trPr>
          <w:cantSplit/>
        </w:trPr>
        <w:tc>
          <w:tcPr>
            <w:tcW w:w="1101" w:type="dxa"/>
            <w:tcBorders>
              <w:top w:val="single" w:sz="4" w:space="0" w:color="auto"/>
              <w:left w:val="single" w:sz="4" w:space="0" w:color="auto"/>
              <w:bottom w:val="nil"/>
              <w:right w:val="single" w:sz="4" w:space="0" w:color="auto"/>
            </w:tcBorders>
          </w:tcPr>
          <w:p w:rsidR="00C86524" w:rsidRDefault="00C86524" w:rsidP="00CF5593">
            <w:pPr>
              <w:rPr>
                <w:rFonts w:ascii="Calibri" w:hAnsi="Calibri" w:cs="Calibri"/>
                <w:color w:val="000000"/>
              </w:rPr>
            </w:pPr>
            <w:r>
              <w:rPr>
                <w:rFonts w:ascii="Calibri" w:hAnsi="Calibri" w:cs="Calibri"/>
                <w:color w:val="000000"/>
              </w:rPr>
              <w:t>May-18</w:t>
            </w:r>
          </w:p>
        </w:tc>
        <w:tc>
          <w:tcPr>
            <w:tcW w:w="2265" w:type="dxa"/>
            <w:tcBorders>
              <w:left w:val="single" w:sz="4" w:space="0" w:color="auto"/>
            </w:tcBorders>
          </w:tcPr>
          <w:p w:rsidR="00C86524" w:rsidRDefault="00C86524" w:rsidP="00CF5593">
            <w:pPr>
              <w:rPr>
                <w:rFonts w:ascii="Calibri" w:hAnsi="Calibri" w:cs="Calibri"/>
                <w:color w:val="000000"/>
              </w:rPr>
            </w:pPr>
            <w:r>
              <w:rPr>
                <w:rFonts w:ascii="Calibri" w:hAnsi="Calibri" w:cs="Calibri"/>
                <w:color w:val="000000"/>
              </w:rPr>
              <w:t>Terminology</w:t>
            </w:r>
          </w:p>
        </w:tc>
        <w:tc>
          <w:tcPr>
            <w:tcW w:w="10917" w:type="dxa"/>
          </w:tcPr>
          <w:p w:rsidR="00C86524" w:rsidRDefault="00C86524" w:rsidP="005F504B">
            <w:pPr>
              <w:rPr>
                <w:rFonts w:ascii="Calibri" w:hAnsi="Calibri" w:cs="Calibri"/>
                <w:color w:val="000000"/>
              </w:rPr>
            </w:pPr>
            <w:r>
              <w:rPr>
                <w:rFonts w:ascii="Calibri" w:hAnsi="Calibri" w:cs="Calibri"/>
                <w:color w:val="000000"/>
              </w:rPr>
              <w:t xml:space="preserve">All </w:t>
            </w:r>
            <w:r>
              <w:t xml:space="preserve">higher education providers, TACs and the other organisations </w:t>
            </w:r>
            <w:r w:rsidR="00115467">
              <w:t xml:space="preserve">committing to </w:t>
            </w:r>
            <w:r>
              <w:t xml:space="preserve">this implementation plan will adopt usage of the agreed set of common terms, concepts and definitions in their admission-related </w:t>
            </w:r>
            <w:r w:rsidR="00231AFD">
              <w:t xml:space="preserve">printed </w:t>
            </w:r>
            <w:r>
              <w:t>publications and online information to support applicants to study in 2019.</w:t>
            </w:r>
          </w:p>
        </w:tc>
      </w:tr>
      <w:tr w:rsidR="00C86524" w:rsidTr="005A565D">
        <w:trPr>
          <w:cantSplit/>
        </w:trPr>
        <w:tc>
          <w:tcPr>
            <w:tcW w:w="1101" w:type="dxa"/>
            <w:tcBorders>
              <w:top w:val="nil"/>
              <w:left w:val="single" w:sz="4" w:space="0" w:color="auto"/>
              <w:bottom w:val="single" w:sz="4" w:space="0" w:color="auto"/>
              <w:right w:val="single" w:sz="4" w:space="0" w:color="auto"/>
            </w:tcBorders>
          </w:tcPr>
          <w:p w:rsidR="00C86524" w:rsidRDefault="00C86524" w:rsidP="00CF5593">
            <w:pPr>
              <w:rPr>
                <w:rFonts w:ascii="Calibri" w:hAnsi="Calibri" w:cs="Calibri"/>
                <w:color w:val="000000"/>
              </w:rPr>
            </w:pPr>
          </w:p>
        </w:tc>
        <w:tc>
          <w:tcPr>
            <w:tcW w:w="2265" w:type="dxa"/>
            <w:tcBorders>
              <w:left w:val="single" w:sz="4" w:space="0" w:color="auto"/>
            </w:tcBorders>
          </w:tcPr>
          <w:p w:rsidR="00C86524" w:rsidRDefault="00C86524" w:rsidP="00CF5593">
            <w:pPr>
              <w:rPr>
                <w:rFonts w:ascii="Calibri" w:hAnsi="Calibri" w:cs="Calibri"/>
                <w:color w:val="000000"/>
              </w:rPr>
            </w:pPr>
            <w:r>
              <w:rPr>
                <w:rFonts w:ascii="Calibri" w:hAnsi="Calibri" w:cs="Calibri"/>
                <w:color w:val="000000"/>
              </w:rPr>
              <w:t>ATAR-related</w:t>
            </w:r>
          </w:p>
        </w:tc>
        <w:tc>
          <w:tcPr>
            <w:tcW w:w="10917" w:type="dxa"/>
          </w:tcPr>
          <w:p w:rsidR="00C86524" w:rsidRDefault="00C86524" w:rsidP="00CF5593">
            <w:pPr>
              <w:rPr>
                <w:rFonts w:ascii="Calibri" w:hAnsi="Calibri" w:cs="Calibri"/>
                <w:color w:val="000000"/>
              </w:rPr>
            </w:pPr>
            <w:r>
              <w:t>All providers and TACs will discontinue the publication of ATAR “cut-off”, “clearly-in” or other previously reported ATAR threshold figures that do not include the outcomes of all offer rounds for the relevant period.</w:t>
            </w:r>
          </w:p>
        </w:tc>
      </w:tr>
    </w:tbl>
    <w:p w:rsidR="00D43235" w:rsidRDefault="00D43235" w:rsidP="00B04C2F">
      <w:pPr>
        <w:pStyle w:val="HERNormal"/>
        <w:rPr>
          <w:noProof w:val="0"/>
        </w:rPr>
      </w:pPr>
    </w:p>
    <w:p w:rsidR="0001197E" w:rsidRDefault="0001197E" w:rsidP="00B04C2F">
      <w:pPr>
        <w:pStyle w:val="HERNormal"/>
        <w:rPr>
          <w:noProof w:val="0"/>
        </w:rPr>
        <w:sectPr w:rsidR="0001197E" w:rsidSect="005A565D">
          <w:headerReference w:type="even" r:id="rId50"/>
          <w:headerReference w:type="default" r:id="rId51"/>
          <w:footerReference w:type="even" r:id="rId52"/>
          <w:footerReference w:type="default" r:id="rId53"/>
          <w:headerReference w:type="first" r:id="rId54"/>
          <w:footerReference w:type="first" r:id="rId55"/>
          <w:pgSz w:w="16838" w:h="11906" w:orient="landscape" w:code="9"/>
          <w:pgMar w:top="1440" w:right="1372" w:bottom="1440" w:left="1440" w:header="709" w:footer="510" w:gutter="0"/>
          <w:cols w:space="567"/>
          <w:docGrid w:linePitch="360"/>
        </w:sectPr>
      </w:pPr>
    </w:p>
    <w:p w:rsidR="00B04C2F" w:rsidRPr="00443776" w:rsidRDefault="00B04C2F" w:rsidP="00B04C2F">
      <w:pPr>
        <w:pStyle w:val="HERHeading1"/>
        <w:pageBreakBefore/>
        <w:spacing w:before="0"/>
        <w:rPr>
          <w:sz w:val="30"/>
          <w:szCs w:val="30"/>
        </w:rPr>
      </w:pPr>
      <w:bookmarkStart w:id="78" w:name="_Toc479782322"/>
      <w:bookmarkStart w:id="79" w:name="_Toc478552089"/>
      <w:bookmarkStart w:id="80" w:name="_Toc480754883"/>
      <w:bookmarkStart w:id="81" w:name="_Toc482805058"/>
      <w:bookmarkStart w:id="82" w:name="_Toc483350210"/>
      <w:bookmarkStart w:id="83" w:name="_Toc484093497"/>
      <w:r w:rsidRPr="00443776">
        <w:rPr>
          <w:sz w:val="30"/>
          <w:szCs w:val="30"/>
        </w:rPr>
        <w:t>Appendix A: Admissions Transparency Implementation Working Group Terms of Reference</w:t>
      </w:r>
      <w:bookmarkEnd w:id="78"/>
      <w:bookmarkEnd w:id="79"/>
      <w:bookmarkEnd w:id="80"/>
      <w:bookmarkEnd w:id="81"/>
      <w:bookmarkEnd w:id="82"/>
      <w:bookmarkEnd w:id="83"/>
    </w:p>
    <w:p w:rsidR="00B04C2F" w:rsidRPr="006301D8" w:rsidRDefault="00B04C2F" w:rsidP="00B04C2F">
      <w:pPr>
        <w:pStyle w:val="HERNormal"/>
        <w:rPr>
          <w:noProof w:val="0"/>
        </w:rPr>
      </w:pPr>
      <w:r w:rsidRPr="006301D8">
        <w:rPr>
          <w:noProof w:val="0"/>
        </w:rPr>
        <w:t>The Admissions Transparency Implementation Working Group (IWG) will:</w:t>
      </w:r>
    </w:p>
    <w:p w:rsidR="00B04C2F" w:rsidRPr="00124DEA" w:rsidRDefault="00B04C2F" w:rsidP="00B04C2F">
      <w:pPr>
        <w:pStyle w:val="HERHeading4FigureHeading"/>
        <w:keepNext/>
      </w:pPr>
      <w:r w:rsidRPr="00124DEA">
        <w:t>In scope:</w:t>
      </w:r>
    </w:p>
    <w:p w:rsidR="00B04C2F" w:rsidRPr="006301D8" w:rsidRDefault="00B04C2F" w:rsidP="00B04C2F">
      <w:pPr>
        <w:pStyle w:val="HERNormal"/>
        <w:keepNext/>
        <w:spacing w:before="200" w:after="0"/>
        <w:rPr>
          <w:noProof w:val="0"/>
          <w:u w:val="single"/>
        </w:rPr>
      </w:pPr>
      <w:r w:rsidRPr="006301D8">
        <w:rPr>
          <w:noProof w:val="0"/>
          <w:u w:val="single"/>
        </w:rPr>
        <w:t>Implementation plan</w:t>
      </w:r>
    </w:p>
    <w:p w:rsidR="00B04C2F" w:rsidRDefault="00B04C2F" w:rsidP="00B04C2F">
      <w:pPr>
        <w:pStyle w:val="ListNumber"/>
        <w:numPr>
          <w:ilvl w:val="0"/>
          <w:numId w:val="11"/>
        </w:numPr>
      </w:pPr>
      <w:r>
        <w:t xml:space="preserve">By end May 2017, develop a plan to implement the recommendations from the Higher Education Standards Panel’ s </w:t>
      </w:r>
      <w:r w:rsidRPr="00882DAE">
        <w:rPr>
          <w:i/>
        </w:rPr>
        <w:t>Improving the Transparency of Higher Education Admissions</w:t>
      </w:r>
      <w:r>
        <w:t xml:space="preserve"> report, which captures the agreed actions to which higher education sector stakeholders and relevant government agencies commit.</w:t>
      </w:r>
    </w:p>
    <w:p w:rsidR="00B04C2F" w:rsidRDefault="00B04C2F" w:rsidP="00B04C2F">
      <w:pPr>
        <w:pStyle w:val="HERListNumber"/>
        <w:numPr>
          <w:ilvl w:val="0"/>
          <w:numId w:val="10"/>
        </w:numPr>
        <w:ind w:left="369" w:hanging="369"/>
      </w:pPr>
      <w:r>
        <w:t>Consult with relevant stakeholders to ensure their engagement with and commitment to the terms of the implementation plan.</w:t>
      </w:r>
    </w:p>
    <w:p w:rsidR="00B04C2F" w:rsidRPr="000C17A2" w:rsidRDefault="00B04C2F" w:rsidP="00B04C2F">
      <w:pPr>
        <w:pStyle w:val="HERNormal"/>
        <w:keepNext/>
        <w:spacing w:before="200" w:after="0"/>
        <w:rPr>
          <w:noProof w:val="0"/>
          <w:u w:val="single"/>
        </w:rPr>
      </w:pPr>
      <w:r w:rsidRPr="00A000FE">
        <w:rPr>
          <w:noProof w:val="0"/>
          <w:u w:val="single"/>
        </w:rPr>
        <w:t>Information presentation</w:t>
      </w:r>
      <w:r>
        <w:rPr>
          <w:noProof w:val="0"/>
          <w:u w:val="single"/>
        </w:rPr>
        <w:t xml:space="preserve"> and reporting</w:t>
      </w:r>
    </w:p>
    <w:p w:rsidR="00B04C2F" w:rsidRDefault="00B04C2F" w:rsidP="00B04C2F">
      <w:pPr>
        <w:pStyle w:val="HERListNumber"/>
        <w:numPr>
          <w:ilvl w:val="0"/>
          <w:numId w:val="10"/>
        </w:numPr>
        <w:ind w:left="369" w:hanging="369"/>
      </w:pPr>
      <w:r>
        <w:t xml:space="preserve">Develop and endorse a </w:t>
      </w:r>
      <w:r w:rsidRPr="006301D8">
        <w:t>statement of sector intent to adopt principles proposed by the HESP to facilitate transparency of higher education admission policies, processes and practices</w:t>
      </w:r>
      <w:r>
        <w:t>. (Recommendations 1, 2)</w:t>
      </w:r>
    </w:p>
    <w:p w:rsidR="00B04C2F" w:rsidRDefault="00B04C2F" w:rsidP="00B04C2F">
      <w:pPr>
        <w:pStyle w:val="HERListNumber"/>
        <w:numPr>
          <w:ilvl w:val="0"/>
          <w:numId w:val="10"/>
        </w:numPr>
        <w:ind w:left="369" w:hanging="369"/>
      </w:pPr>
      <w:r>
        <w:t xml:space="preserve">Agree the detail of national templates for consistent and comparable presentation by higher education providers, tertiary admission centres and government of higher education provider and course admission pathways, options, requirements and reporting, including any new data collection required to support this. </w:t>
      </w:r>
      <w:r w:rsidRPr="00376248">
        <w:t>The templates include provision for the publication of information on all ATAR and non-ATAR application and assessment options. (R</w:t>
      </w:r>
      <w:r>
        <w:t xml:space="preserve">ecommendations 4, 5, 8, 9) </w:t>
      </w:r>
    </w:p>
    <w:p w:rsidR="00B04C2F" w:rsidRDefault="00B04C2F" w:rsidP="00B04C2F">
      <w:pPr>
        <w:pStyle w:val="HERListNumber"/>
        <w:numPr>
          <w:ilvl w:val="0"/>
          <w:numId w:val="10"/>
        </w:numPr>
        <w:ind w:left="369" w:hanging="369"/>
      </w:pPr>
      <w:r>
        <w:t xml:space="preserve">Agree the terms of sector-wide engagement with the development by government and other relevant stakeholders of a new national admissions information platform. (Recommendations </w:t>
      </w:r>
      <w:r>
        <w:br/>
        <w:t>7, 10)</w:t>
      </w:r>
    </w:p>
    <w:p w:rsidR="00B04C2F" w:rsidRPr="000C17A2" w:rsidRDefault="00B04C2F" w:rsidP="00B04C2F">
      <w:pPr>
        <w:pStyle w:val="HERNormal"/>
        <w:keepNext/>
        <w:spacing w:before="200" w:after="0"/>
        <w:rPr>
          <w:noProof w:val="0"/>
          <w:u w:val="single"/>
        </w:rPr>
      </w:pPr>
      <w:r>
        <w:rPr>
          <w:noProof w:val="0"/>
          <w:u w:val="single"/>
        </w:rPr>
        <w:t>Consistent language</w:t>
      </w:r>
    </w:p>
    <w:p w:rsidR="00B04C2F" w:rsidRDefault="00B04C2F" w:rsidP="00B04C2F">
      <w:pPr>
        <w:pStyle w:val="HERListNumber"/>
        <w:numPr>
          <w:ilvl w:val="0"/>
          <w:numId w:val="10"/>
        </w:numPr>
        <w:ind w:left="369" w:hanging="369"/>
      </w:pPr>
      <w:r w:rsidRPr="00A000FE">
        <w:t xml:space="preserve">Agree the admission-related issues </w:t>
      </w:r>
      <w:r>
        <w:t xml:space="preserve">for </w:t>
      </w:r>
      <w:r w:rsidRPr="00A000FE">
        <w:t xml:space="preserve">which consistent terminology would be </w:t>
      </w:r>
      <w:r>
        <w:t>beneficial and develop and endorse the common terminology to be adopted. (Recommendations 3, 6)</w:t>
      </w:r>
    </w:p>
    <w:p w:rsidR="00B04C2F" w:rsidRPr="000C17A2" w:rsidRDefault="00B04C2F" w:rsidP="00B04C2F">
      <w:pPr>
        <w:pStyle w:val="HERNormal"/>
        <w:keepNext/>
        <w:spacing w:before="200" w:after="0"/>
        <w:rPr>
          <w:noProof w:val="0"/>
          <w:u w:val="single"/>
        </w:rPr>
      </w:pPr>
      <w:r>
        <w:rPr>
          <w:noProof w:val="0"/>
          <w:u w:val="single"/>
        </w:rPr>
        <w:t>ATAR-related definitions</w:t>
      </w:r>
    </w:p>
    <w:p w:rsidR="00B04C2F" w:rsidRPr="00376248" w:rsidRDefault="00B04C2F" w:rsidP="00B04C2F">
      <w:pPr>
        <w:pStyle w:val="HERListNumber"/>
        <w:numPr>
          <w:ilvl w:val="0"/>
          <w:numId w:val="10"/>
        </w:numPr>
        <w:ind w:left="369" w:hanging="369"/>
      </w:pPr>
      <w:r>
        <w:t>Review and a</w:t>
      </w:r>
      <w:r w:rsidRPr="00A000FE">
        <w:t xml:space="preserve">gree the </w:t>
      </w:r>
      <w:r>
        <w:t xml:space="preserve">naming and </w:t>
      </w:r>
      <w:r w:rsidRPr="00A000FE">
        <w:t xml:space="preserve">definitions for </w:t>
      </w:r>
      <w:r>
        <w:t xml:space="preserve">ATAR-related thresholds and reporting, such that these reflect the impact of all rounds of offers for places in higher </w:t>
      </w:r>
      <w:r w:rsidRPr="00376248">
        <w:t>education (Recommendation 5), including:</w:t>
      </w:r>
    </w:p>
    <w:p w:rsidR="00B04C2F" w:rsidRPr="00376248" w:rsidRDefault="00B04C2F" w:rsidP="00B04C2F">
      <w:pPr>
        <w:pStyle w:val="HERListNumber2"/>
        <w:numPr>
          <w:ilvl w:val="1"/>
          <w:numId w:val="5"/>
        </w:numPr>
      </w:pPr>
      <w:r w:rsidRPr="00376248">
        <w:t>the lowest ATAR admitted to a course in the previous year</w:t>
      </w:r>
    </w:p>
    <w:p w:rsidR="00B04C2F" w:rsidRPr="00376248" w:rsidRDefault="00B04C2F" w:rsidP="00B04C2F">
      <w:pPr>
        <w:pStyle w:val="HERListNumber2"/>
        <w:numPr>
          <w:ilvl w:val="1"/>
          <w:numId w:val="5"/>
        </w:numPr>
      </w:pPr>
      <w:r w:rsidRPr="00376248">
        <w:t>where relevant, the lowest ATAR guaranteed to be accepted in the coming year</w:t>
      </w:r>
    </w:p>
    <w:p w:rsidR="00B04C2F" w:rsidRPr="00376248" w:rsidRDefault="00B04C2F" w:rsidP="00B04C2F">
      <w:pPr>
        <w:pStyle w:val="HERListNumber2"/>
        <w:numPr>
          <w:ilvl w:val="1"/>
          <w:numId w:val="5"/>
        </w:numPr>
      </w:pPr>
      <w:r w:rsidRPr="00376248">
        <w:t>provider, tertiary admission centre and government ATAR-related reporting on offers, acceptances and previous year enrolments.</w:t>
      </w:r>
    </w:p>
    <w:p w:rsidR="00B04C2F" w:rsidRPr="00376248" w:rsidRDefault="00B04C2F" w:rsidP="00B04C2F">
      <w:pPr>
        <w:pStyle w:val="HERNormal"/>
        <w:keepNext/>
        <w:spacing w:before="200" w:after="0"/>
        <w:rPr>
          <w:noProof w:val="0"/>
          <w:u w:val="single"/>
        </w:rPr>
      </w:pPr>
      <w:r w:rsidRPr="00376248">
        <w:rPr>
          <w:noProof w:val="0"/>
          <w:u w:val="single"/>
        </w:rPr>
        <w:t>Interstate application processes</w:t>
      </w:r>
    </w:p>
    <w:p w:rsidR="00B04C2F" w:rsidRPr="00376248" w:rsidRDefault="00B04C2F" w:rsidP="00B04C2F">
      <w:pPr>
        <w:pStyle w:val="HERListNumber"/>
        <w:numPr>
          <w:ilvl w:val="0"/>
          <w:numId w:val="10"/>
        </w:numPr>
        <w:ind w:left="369" w:hanging="369"/>
      </w:pPr>
      <w:r w:rsidRPr="00376248">
        <w:t>Recommend or endorse a proposed national approach to the management of cross-border applications by tertiary admission centres. Consider whether the HESP’s recommendations can be achieved while retaining the current arrangement of separate tertiary admission centres in different jurisdictions, or if a more consolidated national approach is advisable. (Recommendation 6)</w:t>
      </w:r>
    </w:p>
    <w:p w:rsidR="00B04C2F" w:rsidRPr="00A000FE" w:rsidRDefault="00B04C2F" w:rsidP="00B04C2F">
      <w:pPr>
        <w:pStyle w:val="HERNormal"/>
        <w:keepNext/>
        <w:spacing w:before="200" w:after="0"/>
        <w:rPr>
          <w:noProof w:val="0"/>
          <w:u w:val="single"/>
        </w:rPr>
      </w:pPr>
      <w:r w:rsidRPr="00376248">
        <w:rPr>
          <w:noProof w:val="0"/>
          <w:u w:val="single"/>
        </w:rPr>
        <w:t>Accountability</w:t>
      </w:r>
    </w:p>
    <w:p w:rsidR="00B04C2F" w:rsidRDefault="00B04C2F" w:rsidP="00B04C2F">
      <w:pPr>
        <w:pStyle w:val="HERListNumber"/>
        <w:numPr>
          <w:ilvl w:val="0"/>
          <w:numId w:val="10"/>
        </w:numPr>
        <w:ind w:left="369" w:hanging="369"/>
      </w:pPr>
      <w:r>
        <w:t>Endorse and champion an accountability framework to monitor and report on achievement of the sector-wide commitments agreed in the implementation plan. (Recommendation 11)</w:t>
      </w:r>
    </w:p>
    <w:p w:rsidR="00B04C2F" w:rsidRDefault="00B04C2F" w:rsidP="00B04C2F">
      <w:pPr>
        <w:pStyle w:val="HERListNumber"/>
        <w:numPr>
          <w:ilvl w:val="0"/>
          <w:numId w:val="10"/>
        </w:numPr>
        <w:ind w:left="369" w:hanging="369"/>
      </w:pPr>
      <w:r>
        <w:t xml:space="preserve">Engage with the Tertiary Education Quality and Standards Agency’s (TEQSA) development of formal guidance and monitoring of compliance with those commitments. (Recommendations </w:t>
      </w:r>
      <w:r>
        <w:br/>
        <w:t>11, 12)</w:t>
      </w:r>
    </w:p>
    <w:p w:rsidR="00B04C2F" w:rsidRPr="00A85944" w:rsidRDefault="00B04C2F" w:rsidP="00B04C2F">
      <w:pPr>
        <w:pStyle w:val="HERHeading4FigureHeading"/>
        <w:keepNext/>
      </w:pPr>
      <w:r>
        <w:t>Out of scope</w:t>
      </w:r>
    </w:p>
    <w:p w:rsidR="00B04C2F" w:rsidRPr="006301D8" w:rsidRDefault="00B04C2F" w:rsidP="00B04C2F">
      <w:pPr>
        <w:pStyle w:val="HERNormal"/>
        <w:rPr>
          <w:noProof w:val="0"/>
        </w:rPr>
      </w:pPr>
      <w:r w:rsidRPr="006301D8">
        <w:rPr>
          <w:noProof w:val="0"/>
        </w:rPr>
        <w:t>The IWG will help facilitate information flow with stakeholders where necessary, but will not be responsible for the following:</w:t>
      </w:r>
    </w:p>
    <w:p w:rsidR="00B04C2F" w:rsidRPr="006301D8" w:rsidRDefault="00B04C2F" w:rsidP="00417F6C">
      <w:pPr>
        <w:pStyle w:val="HERListBullet"/>
        <w:numPr>
          <w:ilvl w:val="0"/>
          <w:numId w:val="42"/>
        </w:numPr>
        <w:ind w:left="426"/>
      </w:pPr>
      <w:r w:rsidRPr="006301D8">
        <w:t>Implementation by the tertiary admission centres of a more streamlined approach to cross-jurisdictional application processes (Recommendation 6 (part))</w:t>
      </w:r>
    </w:p>
    <w:p w:rsidR="00B04C2F" w:rsidRPr="006301D8" w:rsidRDefault="00B04C2F" w:rsidP="00417F6C">
      <w:pPr>
        <w:pStyle w:val="HERListBullet"/>
        <w:numPr>
          <w:ilvl w:val="0"/>
          <w:numId w:val="42"/>
        </w:numPr>
        <w:ind w:left="426"/>
      </w:pPr>
      <w:r w:rsidRPr="006301D8">
        <w:t>Development of a national admissions information platform (Recommendations 7, 10,</w:t>
      </w:r>
      <w:r w:rsidR="004E48E6">
        <w:t xml:space="preserve"> </w:t>
      </w:r>
      <w:r w:rsidRPr="006301D8">
        <w:t>13)</w:t>
      </w:r>
    </w:p>
    <w:p w:rsidR="00B04C2F" w:rsidRPr="006301D8" w:rsidRDefault="00B04C2F" w:rsidP="00B04C2F">
      <w:pPr>
        <w:pStyle w:val="HERListBullet2"/>
      </w:pPr>
      <w:r w:rsidRPr="006301D8">
        <w:t>The Department of Education and Training will separately establish a process with relevant stakeholders to develop and implement a new national admissions information platform (website). This will be developed in collaboration with tertiary admission centres and other relevant stakeholders as necessary. (Recommendations 7, 10)</w:t>
      </w:r>
    </w:p>
    <w:p w:rsidR="00B04C2F" w:rsidRPr="006301D8" w:rsidRDefault="00B04C2F" w:rsidP="00B04C2F">
      <w:pPr>
        <w:pStyle w:val="HERListBullet2"/>
      </w:pPr>
      <w:r w:rsidRPr="006301D8">
        <w:t>An online guide to usage of the national admissions information platform will be developed to support and enable its use by prospective students, their families, advisers, schools and career educators. (Recommendation 13)</w:t>
      </w:r>
    </w:p>
    <w:p w:rsidR="00B04C2F" w:rsidRPr="006301D8" w:rsidRDefault="00B04C2F" w:rsidP="00B04C2F">
      <w:pPr>
        <w:pStyle w:val="HERListBullet"/>
      </w:pPr>
      <w:r w:rsidRPr="006301D8">
        <w:t>Development of TEQSA’s approach to monitoring compliance with the sector’s commitments to improved transparency in higher education admissions (Recommendations 11, 12)</w:t>
      </w:r>
    </w:p>
    <w:p w:rsidR="00B04C2F" w:rsidRPr="006301D8" w:rsidRDefault="00B04C2F" w:rsidP="00B04C2F">
      <w:pPr>
        <w:pStyle w:val="HERListBullet2"/>
      </w:pPr>
      <w:r w:rsidRPr="006301D8">
        <w:t>Once an implementation plan is developed, TEQSA will develop enhanced guidance on the types of evidence it considers will demonstrate compliance with the transparency requirements of the Higher Education Standards Framework (Threshold Standards) 2015.</w:t>
      </w:r>
    </w:p>
    <w:p w:rsidR="00B04C2F" w:rsidRPr="006301D8" w:rsidRDefault="00B04C2F" w:rsidP="00B04C2F">
      <w:pPr>
        <w:pStyle w:val="HERListBullet"/>
      </w:pPr>
      <w:r w:rsidRPr="006301D8">
        <w:t>Further consideration and assessment of the factors and approaches that contribute to student success, completion and attrition rates in higher education (Recommendation 14)</w:t>
      </w:r>
    </w:p>
    <w:p w:rsidR="00B04C2F" w:rsidRPr="006301D8" w:rsidRDefault="00B04C2F" w:rsidP="00B04C2F">
      <w:pPr>
        <w:pStyle w:val="HERListBullet2"/>
      </w:pPr>
      <w:r w:rsidRPr="006301D8">
        <w:t>The Higher Education Standards Panel has been tasked with this project in 2017.</w:t>
      </w:r>
    </w:p>
    <w:p w:rsidR="00B04C2F" w:rsidRPr="006301D8" w:rsidRDefault="00B04C2F" w:rsidP="00B04C2F">
      <w:pPr>
        <w:pStyle w:val="HERHeading4FigureHeading"/>
        <w:keepNext/>
      </w:pPr>
      <w:r>
        <w:t>Sub-working groups</w:t>
      </w:r>
    </w:p>
    <w:p w:rsidR="00B04C2F" w:rsidRPr="006301D8" w:rsidRDefault="00B04C2F" w:rsidP="00B04C2F">
      <w:pPr>
        <w:pStyle w:val="HERNormal"/>
        <w:rPr>
          <w:noProof w:val="0"/>
        </w:rPr>
      </w:pPr>
      <w:r w:rsidRPr="006301D8">
        <w:rPr>
          <w:noProof w:val="0"/>
        </w:rPr>
        <w:t>The IWG will have the capacity to form sub-working groups to give detailed focus to technical or more specialised issues, including the agreement and detail of:</w:t>
      </w:r>
    </w:p>
    <w:p w:rsidR="00B04C2F" w:rsidRPr="006301D8" w:rsidRDefault="00B04C2F" w:rsidP="002D0FBB">
      <w:pPr>
        <w:pStyle w:val="HERListBullet"/>
        <w:numPr>
          <w:ilvl w:val="0"/>
          <w:numId w:val="42"/>
        </w:numPr>
        <w:ind w:left="426"/>
      </w:pPr>
      <w:r w:rsidRPr="006301D8">
        <w:t>common admissions terminology and definitions</w:t>
      </w:r>
    </w:p>
    <w:p w:rsidR="00B04C2F" w:rsidRPr="006301D8" w:rsidRDefault="00B04C2F" w:rsidP="002D0FBB">
      <w:pPr>
        <w:pStyle w:val="HERListBullet"/>
        <w:numPr>
          <w:ilvl w:val="0"/>
          <w:numId w:val="42"/>
        </w:numPr>
        <w:ind w:left="426"/>
      </w:pPr>
      <w:r w:rsidRPr="006301D8">
        <w:t>redefinition of ATAR-related thresholds and indicators to include the impact of all rounds of offers of places in higher education</w:t>
      </w:r>
    </w:p>
    <w:p w:rsidR="00B04C2F" w:rsidRPr="006301D8" w:rsidRDefault="00B04C2F" w:rsidP="002D0FBB">
      <w:pPr>
        <w:pStyle w:val="HERListBullet"/>
        <w:numPr>
          <w:ilvl w:val="0"/>
          <w:numId w:val="42"/>
        </w:numPr>
        <w:ind w:left="426"/>
      </w:pPr>
      <w:r w:rsidRPr="006301D8">
        <w:t>common sector-wide templates for the publication of institution level admissions policies and admission requirements, application pathways and other related information applicable to individual courses/fields of study, depending on the context</w:t>
      </w:r>
    </w:p>
    <w:p w:rsidR="0068426D" w:rsidRDefault="00B04C2F" w:rsidP="002D0FBB">
      <w:pPr>
        <w:pStyle w:val="HERListBullet"/>
        <w:numPr>
          <w:ilvl w:val="0"/>
          <w:numId w:val="42"/>
        </w:numPr>
        <w:ind w:left="426"/>
      </w:pPr>
      <w:r w:rsidRPr="006301D8">
        <w:t>streamlined processes for the acceptance and assessment of applications across state and territory borders</w:t>
      </w:r>
    </w:p>
    <w:p w:rsidR="00F0165C" w:rsidRDefault="00F0165C" w:rsidP="00F0165C">
      <w:pPr>
        <w:pStyle w:val="HERNormal"/>
      </w:pPr>
    </w:p>
    <w:p w:rsidR="00460E0C" w:rsidRDefault="00460E0C" w:rsidP="00F0165C">
      <w:pPr>
        <w:pStyle w:val="HERNormal"/>
        <w:sectPr w:rsidR="00460E0C" w:rsidSect="005A565D">
          <w:headerReference w:type="even" r:id="rId56"/>
          <w:headerReference w:type="default" r:id="rId57"/>
          <w:footerReference w:type="even" r:id="rId58"/>
          <w:footerReference w:type="default" r:id="rId59"/>
          <w:headerReference w:type="first" r:id="rId60"/>
          <w:footerReference w:type="first" r:id="rId61"/>
          <w:pgSz w:w="11906" w:h="16838"/>
          <w:pgMar w:top="1372" w:right="1440" w:bottom="1440" w:left="1440" w:header="709" w:footer="510" w:gutter="0"/>
          <w:cols w:space="567"/>
          <w:titlePg/>
          <w:docGrid w:linePitch="360"/>
        </w:sectPr>
      </w:pPr>
    </w:p>
    <w:p w:rsidR="00F0165C" w:rsidRPr="00AF3D7E" w:rsidRDefault="007902C1" w:rsidP="00AF3D7E">
      <w:pPr>
        <w:pStyle w:val="HERHeading1"/>
        <w:pageBreakBefore/>
        <w:spacing w:before="0"/>
        <w:rPr>
          <w:sz w:val="30"/>
          <w:szCs w:val="30"/>
        </w:rPr>
      </w:pPr>
      <w:bookmarkStart w:id="84" w:name="_Toc480754884"/>
      <w:bookmarkStart w:id="85" w:name="_Toc482805059"/>
      <w:bookmarkStart w:id="86" w:name="_Toc483350211"/>
      <w:bookmarkStart w:id="87" w:name="_Toc484093498"/>
      <w:bookmarkStart w:id="88" w:name="_Toc461713932"/>
      <w:bookmarkStart w:id="89" w:name="_Toc460598771"/>
      <w:bookmarkStart w:id="90" w:name="_Toc462826077"/>
      <w:bookmarkStart w:id="91" w:name="_Toc462242883"/>
      <w:r w:rsidRPr="00AF3D7E">
        <w:rPr>
          <w:sz w:val="30"/>
          <w:szCs w:val="30"/>
        </w:rPr>
        <w:t xml:space="preserve">Appendix B: </w:t>
      </w:r>
      <w:r w:rsidR="00A4243F">
        <w:rPr>
          <w:sz w:val="30"/>
          <w:szCs w:val="30"/>
        </w:rPr>
        <w:t>C</w:t>
      </w:r>
      <w:r w:rsidR="00A842D2">
        <w:rPr>
          <w:sz w:val="30"/>
          <w:szCs w:val="30"/>
        </w:rPr>
        <w:t>ommon</w:t>
      </w:r>
      <w:r w:rsidR="00F0165C" w:rsidRPr="00AF3D7E">
        <w:rPr>
          <w:sz w:val="30"/>
          <w:szCs w:val="30"/>
        </w:rPr>
        <w:t xml:space="preserve"> terminology and data definitions</w:t>
      </w:r>
      <w:bookmarkEnd w:id="84"/>
      <w:bookmarkEnd w:id="85"/>
      <w:bookmarkEnd w:id="86"/>
      <w:bookmarkEnd w:id="87"/>
    </w:p>
    <w:p w:rsidR="000D0F80" w:rsidRDefault="00F270FA" w:rsidP="002137A6">
      <w:pPr>
        <w:pStyle w:val="HERNormal"/>
        <w:rPr>
          <w:noProof w:val="0"/>
        </w:rPr>
      </w:pPr>
      <w:r>
        <w:rPr>
          <w:noProof w:val="0"/>
        </w:rPr>
        <w:t xml:space="preserve">This appendix sets out the agreed common terms and data definitions </w:t>
      </w:r>
      <w:r w:rsidR="000D0F80">
        <w:rPr>
          <w:noProof w:val="0"/>
        </w:rPr>
        <w:t xml:space="preserve">to assist providers in compiling the </w:t>
      </w:r>
      <w:r w:rsidR="007E7193">
        <w:rPr>
          <w:noProof w:val="0"/>
        </w:rPr>
        <w:t>‘information sets’</w:t>
      </w:r>
      <w:r w:rsidR="000D0F80">
        <w:rPr>
          <w:noProof w:val="0"/>
        </w:rPr>
        <w:t xml:space="preserve"> outlined in Appendix C and D.</w:t>
      </w:r>
    </w:p>
    <w:p w:rsidR="00F270FA" w:rsidRDefault="00A90198" w:rsidP="002137A6">
      <w:pPr>
        <w:pStyle w:val="HERNormal"/>
        <w:rPr>
          <w:noProof w:val="0"/>
        </w:rPr>
      </w:pPr>
      <w:r>
        <w:rPr>
          <w:noProof w:val="0"/>
        </w:rPr>
        <w:t xml:space="preserve">These terms and definitions have been </w:t>
      </w:r>
      <w:r w:rsidR="00115467">
        <w:rPr>
          <w:noProof w:val="0"/>
        </w:rPr>
        <w:t>committed to</w:t>
      </w:r>
      <w:r w:rsidR="00F270FA">
        <w:rPr>
          <w:noProof w:val="0"/>
        </w:rPr>
        <w:t xml:space="preserve"> by the higher education sector for use in stage 1 of implementing improvements to the transparency of higher education admissions.</w:t>
      </w:r>
      <w:r w:rsidR="00EE054E">
        <w:rPr>
          <w:noProof w:val="0"/>
        </w:rPr>
        <w:t xml:space="preserve"> </w:t>
      </w:r>
      <w:r w:rsidR="00226985">
        <w:rPr>
          <w:noProof w:val="0"/>
        </w:rPr>
        <w:t>A</w:t>
      </w:r>
      <w:r w:rsidR="00F1727D">
        <w:rPr>
          <w:noProof w:val="0"/>
        </w:rPr>
        <w:t xml:space="preserve">ppendix </w:t>
      </w:r>
      <w:r w:rsidR="00226985">
        <w:rPr>
          <w:noProof w:val="0"/>
        </w:rPr>
        <w:t xml:space="preserve">B </w:t>
      </w:r>
      <w:r w:rsidR="00EE054E">
        <w:rPr>
          <w:noProof w:val="0"/>
        </w:rPr>
        <w:t xml:space="preserve">also provides </w:t>
      </w:r>
      <w:r w:rsidR="00A44E47">
        <w:rPr>
          <w:noProof w:val="0"/>
        </w:rPr>
        <w:t xml:space="preserve">definitions </w:t>
      </w:r>
      <w:r w:rsidR="00EE054E">
        <w:rPr>
          <w:noProof w:val="0"/>
        </w:rPr>
        <w:t xml:space="preserve">of </w:t>
      </w:r>
      <w:r w:rsidR="00A44E47">
        <w:rPr>
          <w:noProof w:val="0"/>
        </w:rPr>
        <w:t xml:space="preserve">selected </w:t>
      </w:r>
      <w:r w:rsidR="00EE054E">
        <w:rPr>
          <w:noProof w:val="0"/>
        </w:rPr>
        <w:t>admission-related terms used in this implementation plan.</w:t>
      </w:r>
    </w:p>
    <w:p w:rsidR="00F0165C" w:rsidRPr="00D95A16" w:rsidRDefault="00F04789" w:rsidP="00F04789">
      <w:pPr>
        <w:pStyle w:val="HERHeading3"/>
        <w:keepNext/>
        <w:numPr>
          <w:ilvl w:val="0"/>
          <w:numId w:val="31"/>
        </w:numPr>
      </w:pPr>
      <w:bookmarkStart w:id="92" w:name="_Toc483263546"/>
      <w:bookmarkStart w:id="93" w:name="_Toc483263547"/>
      <w:bookmarkStart w:id="94" w:name="_Toc483263548"/>
      <w:bookmarkStart w:id="95" w:name="_Toc483263549"/>
      <w:bookmarkStart w:id="96" w:name="_Toc483263550"/>
      <w:bookmarkStart w:id="97" w:name="_Toc483263551"/>
      <w:bookmarkStart w:id="98" w:name="_Toc483263552"/>
      <w:bookmarkStart w:id="99" w:name="_Toc483263553"/>
      <w:bookmarkStart w:id="100" w:name="_Toc483263554"/>
      <w:bookmarkStart w:id="101" w:name="_Toc483263555"/>
      <w:bookmarkStart w:id="102" w:name="_Toc483263556"/>
      <w:bookmarkStart w:id="103" w:name="_Toc483263557"/>
      <w:bookmarkStart w:id="104" w:name="_Toc483263558"/>
      <w:bookmarkStart w:id="105" w:name="_Toc480754885"/>
      <w:bookmarkStart w:id="106" w:name="_Toc482805060"/>
      <w:bookmarkStart w:id="107" w:name="_Toc483263559"/>
      <w:bookmarkStart w:id="108" w:name="_Toc483350212"/>
      <w:bookmarkStart w:id="109" w:name="_Toc483813629"/>
      <w:bookmarkStart w:id="110" w:name="_Toc484093499"/>
      <w:bookmarkEnd w:id="92"/>
      <w:bookmarkEnd w:id="93"/>
      <w:bookmarkEnd w:id="94"/>
      <w:bookmarkEnd w:id="95"/>
      <w:bookmarkEnd w:id="96"/>
      <w:bookmarkEnd w:id="97"/>
      <w:bookmarkEnd w:id="98"/>
      <w:bookmarkEnd w:id="99"/>
      <w:bookmarkEnd w:id="100"/>
      <w:bookmarkEnd w:id="101"/>
      <w:bookmarkEnd w:id="102"/>
      <w:bookmarkEnd w:id="103"/>
      <w:bookmarkEnd w:id="104"/>
      <w:r>
        <w:t>G</w:t>
      </w:r>
      <w:r w:rsidR="00F0165C" w:rsidRPr="00D95A16">
        <w:t>rouping of applicants</w:t>
      </w:r>
      <w:bookmarkEnd w:id="105"/>
      <w:bookmarkEnd w:id="106"/>
      <w:bookmarkEnd w:id="107"/>
      <w:bookmarkEnd w:id="108"/>
      <w:bookmarkEnd w:id="109"/>
      <w:bookmarkEnd w:id="110"/>
    </w:p>
    <w:p w:rsidR="00314AED" w:rsidRDefault="00314AED" w:rsidP="002137A6">
      <w:pPr>
        <w:pStyle w:val="HERNormal"/>
        <w:rPr>
          <w:noProof w:val="0"/>
        </w:rPr>
      </w:pPr>
      <w:r>
        <w:rPr>
          <w:noProof w:val="0"/>
        </w:rPr>
        <w:t>The following grouping of applicants is to be used for two key purposes in the whole</w:t>
      </w:r>
      <w:r w:rsidR="000F0631">
        <w:rPr>
          <w:noProof w:val="0"/>
        </w:rPr>
        <w:t>-</w:t>
      </w:r>
      <w:r>
        <w:rPr>
          <w:noProof w:val="0"/>
        </w:rPr>
        <w:t>of</w:t>
      </w:r>
      <w:r w:rsidR="000F0631">
        <w:rPr>
          <w:noProof w:val="0"/>
        </w:rPr>
        <w:t>-</w:t>
      </w:r>
      <w:r>
        <w:rPr>
          <w:noProof w:val="0"/>
        </w:rPr>
        <w:t xml:space="preserve">institution and program/course </w:t>
      </w:r>
      <w:r w:rsidR="007E7193">
        <w:rPr>
          <w:noProof w:val="0"/>
        </w:rPr>
        <w:t>‘information sets’</w:t>
      </w:r>
      <w:r>
        <w:rPr>
          <w:noProof w:val="0"/>
        </w:rPr>
        <w:t>:</w:t>
      </w:r>
    </w:p>
    <w:p w:rsidR="00314AED" w:rsidRDefault="00CB30E4" w:rsidP="006F1138">
      <w:pPr>
        <w:pStyle w:val="HERListBullet"/>
        <w:numPr>
          <w:ilvl w:val="0"/>
          <w:numId w:val="42"/>
        </w:numPr>
        <w:ind w:left="426"/>
      </w:pPr>
      <w:r>
        <w:t xml:space="preserve">initially </w:t>
      </w:r>
      <w:r w:rsidR="00314AED">
        <w:t>directing prospective students</w:t>
      </w:r>
      <w:r w:rsidR="002C5034">
        <w:t>,</w:t>
      </w:r>
      <w:r w:rsidR="00314AED">
        <w:t xml:space="preserve"> </w:t>
      </w:r>
      <w:r w:rsidR="003C7368">
        <w:t xml:space="preserve">family </w:t>
      </w:r>
      <w:r w:rsidR="002C5034">
        <w:t xml:space="preserve">and others </w:t>
      </w:r>
      <w:r w:rsidR="00314AED">
        <w:t>to the admission criteria and other related information that may be most relevant to their circumstances; and</w:t>
      </w:r>
    </w:p>
    <w:p w:rsidR="00314AED" w:rsidRDefault="00314AED" w:rsidP="006F1138">
      <w:pPr>
        <w:pStyle w:val="HERListBullet"/>
        <w:numPr>
          <w:ilvl w:val="0"/>
          <w:numId w:val="42"/>
        </w:numPr>
        <w:ind w:left="426"/>
      </w:pPr>
      <w:r>
        <w:t>reporting on the outcomes of past admission periods.</w:t>
      </w:r>
    </w:p>
    <w:p w:rsidR="00F0165C" w:rsidRDefault="00F0165C" w:rsidP="006F1138">
      <w:pPr>
        <w:pStyle w:val="HERNormal"/>
        <w:rPr>
          <w:noProof w:val="0"/>
        </w:rPr>
      </w:pPr>
      <w:r>
        <w:rPr>
          <w:noProof w:val="0"/>
        </w:rPr>
        <w:t>Th</w:t>
      </w:r>
      <w:r w:rsidR="00E74A09">
        <w:rPr>
          <w:noProof w:val="0"/>
        </w:rPr>
        <w:t>e</w:t>
      </w:r>
      <w:r w:rsidR="00314AED">
        <w:rPr>
          <w:noProof w:val="0"/>
        </w:rPr>
        <w:t>se</w:t>
      </w:r>
      <w:r>
        <w:rPr>
          <w:noProof w:val="0"/>
        </w:rPr>
        <w:t xml:space="preserve"> grouping</w:t>
      </w:r>
      <w:r w:rsidR="00314AED">
        <w:rPr>
          <w:noProof w:val="0"/>
        </w:rPr>
        <w:t>s</w:t>
      </w:r>
      <w:r w:rsidR="009032E7">
        <w:rPr>
          <w:noProof w:val="0"/>
        </w:rPr>
        <w:t xml:space="preserve"> </w:t>
      </w:r>
      <w:r w:rsidR="00E74A09">
        <w:rPr>
          <w:noProof w:val="0"/>
        </w:rPr>
        <w:t xml:space="preserve">should not be read as indicating </w:t>
      </w:r>
      <w:r>
        <w:rPr>
          <w:noProof w:val="0"/>
        </w:rPr>
        <w:t xml:space="preserve">how </w:t>
      </w:r>
      <w:r w:rsidR="005877D8">
        <w:rPr>
          <w:noProof w:val="0"/>
        </w:rPr>
        <w:t xml:space="preserve">higher education providers or </w:t>
      </w:r>
      <w:r w:rsidR="00FC7661">
        <w:rPr>
          <w:noProof w:val="0"/>
        </w:rPr>
        <w:t>TAC</w:t>
      </w:r>
      <w:r w:rsidR="005877D8">
        <w:rPr>
          <w:noProof w:val="0"/>
        </w:rPr>
        <w:t xml:space="preserve">s </w:t>
      </w:r>
      <w:r w:rsidR="00314AED">
        <w:rPr>
          <w:noProof w:val="0"/>
        </w:rPr>
        <w:t xml:space="preserve">might </w:t>
      </w:r>
      <w:r>
        <w:rPr>
          <w:noProof w:val="0"/>
        </w:rPr>
        <w:t xml:space="preserve">actually assess </w:t>
      </w:r>
      <w:r w:rsidR="00E74A09">
        <w:rPr>
          <w:noProof w:val="0"/>
        </w:rPr>
        <w:t xml:space="preserve">eligibility for </w:t>
      </w:r>
      <w:r w:rsidR="00314AED">
        <w:rPr>
          <w:noProof w:val="0"/>
        </w:rPr>
        <w:t xml:space="preserve">applicants in </w:t>
      </w:r>
      <w:r w:rsidR="00E74A09">
        <w:rPr>
          <w:noProof w:val="0"/>
        </w:rPr>
        <w:t>each group</w:t>
      </w:r>
      <w:r w:rsidR="00314AED">
        <w:rPr>
          <w:noProof w:val="0"/>
        </w:rPr>
        <w:t xml:space="preserve"> as a wide range of academic and non-academic factors can often be taken into account regardless of whether an applicant is a recent school leaver or has been out of school for some time</w:t>
      </w:r>
      <w:r>
        <w:rPr>
          <w:noProof w:val="0"/>
        </w:rPr>
        <w:t xml:space="preserve">. </w:t>
      </w:r>
      <w:r w:rsidR="00314AED">
        <w:rPr>
          <w:noProof w:val="0"/>
        </w:rPr>
        <w:t>Rather, t</w:t>
      </w:r>
      <w:r>
        <w:rPr>
          <w:noProof w:val="0"/>
        </w:rPr>
        <w:t xml:space="preserve">he </w:t>
      </w:r>
      <w:r w:rsidR="0094468D">
        <w:rPr>
          <w:noProof w:val="0"/>
        </w:rPr>
        <w:t xml:space="preserve">four </w:t>
      </w:r>
      <w:r w:rsidR="00225046">
        <w:rPr>
          <w:noProof w:val="0"/>
        </w:rPr>
        <w:t xml:space="preserve">broad </w:t>
      </w:r>
      <w:r>
        <w:rPr>
          <w:noProof w:val="0"/>
        </w:rPr>
        <w:t>groups</w:t>
      </w:r>
      <w:r w:rsidR="00225046">
        <w:rPr>
          <w:noProof w:val="0"/>
        </w:rPr>
        <w:t xml:space="preserve"> </w:t>
      </w:r>
      <w:r w:rsidR="00314AED">
        <w:rPr>
          <w:noProof w:val="0"/>
        </w:rPr>
        <w:t xml:space="preserve">relate primarily to the most relevant </w:t>
      </w:r>
      <w:r w:rsidR="003C7368">
        <w:rPr>
          <w:noProof w:val="0"/>
        </w:rPr>
        <w:t xml:space="preserve">study or work </w:t>
      </w:r>
      <w:r w:rsidR="00314AED">
        <w:rPr>
          <w:noProof w:val="0"/>
        </w:rPr>
        <w:t>background of the applicant.</w:t>
      </w:r>
    </w:p>
    <w:p w:rsidR="00631CB4" w:rsidRPr="002137A6" w:rsidRDefault="00631CB4" w:rsidP="00631CB4">
      <w:pPr>
        <w:pStyle w:val="HERNormal"/>
        <w:keepNext/>
        <w:contextualSpacing/>
        <w:rPr>
          <w:b/>
          <w:noProof w:val="0"/>
        </w:rPr>
      </w:pPr>
      <w:r>
        <w:rPr>
          <w:b/>
          <w:noProof w:val="0"/>
        </w:rPr>
        <w:t>Group A. H</w:t>
      </w:r>
      <w:r w:rsidRPr="00395B0E">
        <w:rPr>
          <w:b/>
          <w:noProof w:val="0"/>
        </w:rPr>
        <w:t>igher education</w:t>
      </w:r>
      <w:r w:rsidRPr="002137A6">
        <w:rPr>
          <w:b/>
          <w:noProof w:val="0"/>
        </w:rPr>
        <w:t xml:space="preserve"> study</w:t>
      </w:r>
    </w:p>
    <w:p w:rsidR="00631CB4" w:rsidRDefault="00631CB4" w:rsidP="00631CB4">
      <w:pPr>
        <w:pStyle w:val="HERListBullet2"/>
        <w:numPr>
          <w:ilvl w:val="1"/>
          <w:numId w:val="2"/>
        </w:numPr>
      </w:pPr>
      <w:r>
        <w:t>Applicants whose highest level of study enrolment since leaving secondary education is a higher education course.</w:t>
      </w:r>
    </w:p>
    <w:p w:rsidR="00631CB4" w:rsidRDefault="00631CB4" w:rsidP="00631CB4">
      <w:pPr>
        <w:pStyle w:val="HERListBullet2"/>
        <w:numPr>
          <w:ilvl w:val="1"/>
          <w:numId w:val="2"/>
        </w:numPr>
      </w:pPr>
      <w:r>
        <w:t>Includes study at university and non-university higher education providers, whether recent (such as students seeking to transfer to another higher education provider or changing course at the same provider) or some time ago.</w:t>
      </w:r>
    </w:p>
    <w:p w:rsidR="00631CB4" w:rsidRDefault="00631CB4" w:rsidP="00631CB4">
      <w:pPr>
        <w:pStyle w:val="HERListBullet2"/>
        <w:numPr>
          <w:ilvl w:val="1"/>
          <w:numId w:val="2"/>
        </w:numPr>
      </w:pPr>
      <w:r>
        <w:t xml:space="preserve">Such applicants may have other qualifications also; notably a Year 12 certificate or previous </w:t>
      </w:r>
      <w:r w:rsidR="00B16298">
        <w:t>VET</w:t>
      </w:r>
      <w:r>
        <w:t xml:space="preserve"> qualification. However, their past higher education performance is likely to be most relevant in guiding future application options.</w:t>
      </w:r>
    </w:p>
    <w:p w:rsidR="00631CB4" w:rsidRDefault="00631CB4" w:rsidP="00631CB4">
      <w:pPr>
        <w:pStyle w:val="HERListBullet2"/>
        <w:numPr>
          <w:ilvl w:val="1"/>
          <w:numId w:val="2"/>
        </w:numPr>
      </w:pPr>
      <w:r>
        <w:t>Includes students who have completed a bridging or enabling course delivered by or on behalf of a higher education provider.</w:t>
      </w:r>
    </w:p>
    <w:p w:rsidR="00631CB4" w:rsidRPr="002137A6" w:rsidRDefault="00631CB4" w:rsidP="00631CB4">
      <w:pPr>
        <w:pStyle w:val="HERNormal"/>
        <w:keepNext/>
        <w:contextualSpacing/>
        <w:rPr>
          <w:b/>
          <w:noProof w:val="0"/>
        </w:rPr>
      </w:pPr>
      <w:r>
        <w:rPr>
          <w:b/>
          <w:noProof w:val="0"/>
        </w:rPr>
        <w:t>Group B. Vocational education training (</w:t>
      </w:r>
      <w:r w:rsidRPr="00083276">
        <w:rPr>
          <w:b/>
          <w:noProof w:val="0"/>
        </w:rPr>
        <w:t>V</w:t>
      </w:r>
      <w:r w:rsidRPr="00395B0E">
        <w:rPr>
          <w:b/>
          <w:noProof w:val="0"/>
        </w:rPr>
        <w:t>ET</w:t>
      </w:r>
      <w:r>
        <w:rPr>
          <w:b/>
          <w:noProof w:val="0"/>
        </w:rPr>
        <w:t>)</w:t>
      </w:r>
      <w:r w:rsidRPr="00395B0E">
        <w:rPr>
          <w:b/>
          <w:noProof w:val="0"/>
        </w:rPr>
        <w:t xml:space="preserve"> </w:t>
      </w:r>
      <w:r>
        <w:rPr>
          <w:b/>
          <w:noProof w:val="0"/>
        </w:rPr>
        <w:t>study</w:t>
      </w:r>
    </w:p>
    <w:p w:rsidR="00631CB4" w:rsidRDefault="00631CB4" w:rsidP="00631CB4">
      <w:pPr>
        <w:pStyle w:val="HERListBullet2"/>
        <w:numPr>
          <w:ilvl w:val="1"/>
          <w:numId w:val="2"/>
        </w:numPr>
      </w:pPr>
      <w:r>
        <w:t>Applicants whose highest level of study enrolment since leaving secondary education is a VET course.</w:t>
      </w:r>
    </w:p>
    <w:p w:rsidR="00631CB4" w:rsidRDefault="00631CB4" w:rsidP="00631CB4">
      <w:pPr>
        <w:pStyle w:val="HERListBullet2"/>
        <w:numPr>
          <w:ilvl w:val="1"/>
          <w:numId w:val="2"/>
        </w:numPr>
      </w:pPr>
      <w:r>
        <w:t>Includes study at a public TAFE or other VET provider, whether a qualification was completed or not.</w:t>
      </w:r>
    </w:p>
    <w:p w:rsidR="00631CB4" w:rsidRDefault="00631CB4" w:rsidP="00631CB4">
      <w:pPr>
        <w:pStyle w:val="HERListBullet2"/>
        <w:numPr>
          <w:ilvl w:val="1"/>
          <w:numId w:val="2"/>
        </w:numPr>
      </w:pPr>
      <w:r>
        <w:t>May have other qualifications such as a Year 10 or Year 12 secondary school certificate.</w:t>
      </w:r>
    </w:p>
    <w:p w:rsidR="00F0165C" w:rsidRPr="002137A6" w:rsidRDefault="00024131" w:rsidP="00AA7DF8">
      <w:pPr>
        <w:pStyle w:val="HERNormal"/>
        <w:keepNext/>
        <w:contextualSpacing/>
        <w:rPr>
          <w:b/>
          <w:noProof w:val="0"/>
        </w:rPr>
      </w:pPr>
      <w:r>
        <w:rPr>
          <w:b/>
          <w:noProof w:val="0"/>
        </w:rPr>
        <w:t xml:space="preserve">Group </w:t>
      </w:r>
      <w:r w:rsidR="00631CB4">
        <w:rPr>
          <w:b/>
          <w:noProof w:val="0"/>
        </w:rPr>
        <w:t>C</w:t>
      </w:r>
      <w:r>
        <w:rPr>
          <w:b/>
          <w:noProof w:val="0"/>
        </w:rPr>
        <w:t>.</w:t>
      </w:r>
      <w:r w:rsidR="00FF46BF">
        <w:rPr>
          <w:b/>
          <w:noProof w:val="0"/>
        </w:rPr>
        <w:t xml:space="preserve"> </w:t>
      </w:r>
      <w:r w:rsidR="00DF4613" w:rsidRPr="002137A6">
        <w:rPr>
          <w:b/>
          <w:noProof w:val="0"/>
        </w:rPr>
        <w:t>Recent secondary education</w:t>
      </w:r>
    </w:p>
    <w:p w:rsidR="00417587" w:rsidRDefault="00417587" w:rsidP="002137A6">
      <w:pPr>
        <w:pStyle w:val="HERListBullet2"/>
        <w:numPr>
          <w:ilvl w:val="1"/>
          <w:numId w:val="2"/>
        </w:numPr>
      </w:pPr>
      <w:r>
        <w:t>Applicants whose admission is based mostly on secondary education undertaken at school, TAFE or other VET or higher education provider (Australian or overseas equivalent) within the previous two years.</w:t>
      </w:r>
    </w:p>
    <w:p w:rsidR="00F0165C" w:rsidRDefault="00F0165C" w:rsidP="002137A6">
      <w:pPr>
        <w:pStyle w:val="HERListBullet2"/>
        <w:numPr>
          <w:ilvl w:val="1"/>
          <w:numId w:val="2"/>
        </w:numPr>
      </w:pPr>
      <w:r>
        <w:t xml:space="preserve">Primarily for those who have completed </w:t>
      </w:r>
      <w:r w:rsidR="00DF4613">
        <w:t>Y</w:t>
      </w:r>
      <w:r>
        <w:t xml:space="preserve">ear 12 </w:t>
      </w:r>
      <w:r w:rsidR="00DF4613">
        <w:t xml:space="preserve">within the last two </w:t>
      </w:r>
      <w:r>
        <w:t>years</w:t>
      </w:r>
      <w:r w:rsidR="0089527E">
        <w:t>,</w:t>
      </w:r>
      <w:r>
        <w:t xml:space="preserve"> but </w:t>
      </w:r>
      <w:r w:rsidR="00DF4613">
        <w:t xml:space="preserve">also includes those who may have completed their senior secondary studies with a TAFE or other </w:t>
      </w:r>
      <w:r w:rsidR="00B16298">
        <w:t>VET</w:t>
      </w:r>
      <w:r w:rsidR="00DF4613">
        <w:t xml:space="preserve"> provider </w:t>
      </w:r>
      <w:r w:rsidR="00725E57">
        <w:t>with</w:t>
      </w:r>
      <w:r w:rsidR="00DF4613">
        <w:t>in the same timeframe.</w:t>
      </w:r>
    </w:p>
    <w:p w:rsidR="00F0165C" w:rsidRDefault="00DF4613" w:rsidP="002137A6">
      <w:pPr>
        <w:pStyle w:val="HERListBullet2"/>
        <w:numPr>
          <w:ilvl w:val="1"/>
          <w:numId w:val="2"/>
        </w:numPr>
      </w:pPr>
      <w:r>
        <w:t xml:space="preserve">Limiting this group to those completing secondary studies </w:t>
      </w:r>
      <w:r w:rsidR="00F0165C">
        <w:t>in the two previous calendar years</w:t>
      </w:r>
      <w:r>
        <w:t xml:space="preserve"> </w:t>
      </w:r>
      <w:r w:rsidR="00F0165C">
        <w:t>ensures data consistency and meets the need to understand the outcome for the current or near</w:t>
      </w:r>
      <w:r w:rsidR="0089527E">
        <w:t>-</w:t>
      </w:r>
      <w:r w:rsidR="00F0165C">
        <w:t>to</w:t>
      </w:r>
      <w:r w:rsidR="0089527E">
        <w:t>-</w:t>
      </w:r>
      <w:r w:rsidR="00F0165C">
        <w:t xml:space="preserve">current </w:t>
      </w:r>
      <w:r w:rsidR="00F70BAA">
        <w:t>Year 12</w:t>
      </w:r>
      <w:r w:rsidR="00F0165C">
        <w:t xml:space="preserve"> cohort.</w:t>
      </w:r>
    </w:p>
    <w:p w:rsidR="00F0165C" w:rsidRDefault="00F0165C" w:rsidP="002137A6">
      <w:pPr>
        <w:pStyle w:val="HERListBullet2"/>
        <w:numPr>
          <w:ilvl w:val="1"/>
          <w:numId w:val="2"/>
        </w:numPr>
      </w:pPr>
      <w:r>
        <w:t xml:space="preserve">It </w:t>
      </w:r>
      <w:r w:rsidR="00225046">
        <w:t xml:space="preserve">also seems </w:t>
      </w:r>
      <w:r>
        <w:t xml:space="preserve">likely that people who completed </w:t>
      </w:r>
      <w:r w:rsidR="00F70BAA">
        <w:t>Year 12</w:t>
      </w:r>
      <w:r>
        <w:t xml:space="preserve"> several years or decades ago will not consider themselves the same as a recent school leaver – they will want to know about people more like them.</w:t>
      </w:r>
      <w:r w:rsidR="00D937C0">
        <w:t xml:space="preserve"> </w:t>
      </w:r>
      <w:r w:rsidR="007B14C1">
        <w:t>F</w:t>
      </w:r>
      <w:r w:rsidR="00D937C0" w:rsidRPr="00403C6D">
        <w:t xml:space="preserve">or the purpose of this grouping, these applicants fall under the </w:t>
      </w:r>
      <w:r w:rsidR="00D937C0">
        <w:t>“</w:t>
      </w:r>
      <w:r w:rsidR="00D937C0" w:rsidRPr="00403C6D">
        <w:t>work</w:t>
      </w:r>
      <w:r w:rsidR="00D937C0">
        <w:t xml:space="preserve"> and </w:t>
      </w:r>
      <w:r w:rsidR="00D937C0" w:rsidRPr="00403C6D">
        <w:t>life experience</w:t>
      </w:r>
      <w:r w:rsidR="00D937C0">
        <w:t>”</w:t>
      </w:r>
      <w:r w:rsidR="00D937C0" w:rsidRPr="00403C6D">
        <w:t xml:space="preserve"> category below</w:t>
      </w:r>
      <w:r w:rsidR="00D937C0">
        <w:t>.</w:t>
      </w:r>
    </w:p>
    <w:p w:rsidR="00C24694" w:rsidRDefault="00C24694" w:rsidP="002137A6">
      <w:pPr>
        <w:pStyle w:val="HERListBullet2"/>
        <w:numPr>
          <w:ilvl w:val="1"/>
          <w:numId w:val="2"/>
        </w:numPr>
      </w:pPr>
      <w:r>
        <w:t xml:space="preserve">This group includes students who may have undertaken or completed </w:t>
      </w:r>
      <w:r w:rsidR="002C5034">
        <w:t xml:space="preserve">some </w:t>
      </w:r>
      <w:r>
        <w:t xml:space="preserve">VET or higher education </w:t>
      </w:r>
      <w:r w:rsidR="002C5034">
        <w:t xml:space="preserve">study </w:t>
      </w:r>
      <w:r>
        <w:t>while still at school.</w:t>
      </w:r>
    </w:p>
    <w:p w:rsidR="00C24694" w:rsidRDefault="00C24694" w:rsidP="002137A6">
      <w:pPr>
        <w:pStyle w:val="HERListBullet2"/>
        <w:numPr>
          <w:ilvl w:val="1"/>
          <w:numId w:val="2"/>
        </w:numPr>
      </w:pPr>
      <w:r>
        <w:t>It includes applicants whose secondary education was undertaken interstate or overseas.</w:t>
      </w:r>
    </w:p>
    <w:p w:rsidR="00F0165C" w:rsidRPr="002137A6" w:rsidRDefault="00024131" w:rsidP="00AA7DF8">
      <w:pPr>
        <w:pStyle w:val="HERNormal"/>
        <w:keepNext/>
        <w:contextualSpacing/>
        <w:rPr>
          <w:b/>
          <w:noProof w:val="0"/>
        </w:rPr>
      </w:pPr>
      <w:r>
        <w:rPr>
          <w:b/>
          <w:noProof w:val="0"/>
        </w:rPr>
        <w:t xml:space="preserve">Group </w:t>
      </w:r>
      <w:r w:rsidR="00725E57">
        <w:rPr>
          <w:b/>
          <w:noProof w:val="0"/>
        </w:rPr>
        <w:t>D</w:t>
      </w:r>
      <w:r>
        <w:rPr>
          <w:b/>
          <w:noProof w:val="0"/>
        </w:rPr>
        <w:t>.</w:t>
      </w:r>
      <w:r w:rsidR="00FF46BF">
        <w:rPr>
          <w:b/>
          <w:noProof w:val="0"/>
        </w:rPr>
        <w:t xml:space="preserve"> </w:t>
      </w:r>
      <w:r w:rsidR="00F0165C" w:rsidRPr="002E4F22">
        <w:rPr>
          <w:b/>
          <w:noProof w:val="0"/>
        </w:rPr>
        <w:t>Work and life experience</w:t>
      </w:r>
    </w:p>
    <w:p w:rsidR="00565856" w:rsidRDefault="00565856" w:rsidP="00565856">
      <w:pPr>
        <w:pStyle w:val="HERListBullet2"/>
        <w:numPr>
          <w:ilvl w:val="1"/>
          <w:numId w:val="2"/>
        </w:numPr>
      </w:pPr>
      <w:r>
        <w:t>Applicants who left secondary education more than two years previously and have not undertaken VET or higher education study since then.</w:t>
      </w:r>
    </w:p>
    <w:p w:rsidR="00565856" w:rsidRDefault="00565856" w:rsidP="00565856">
      <w:pPr>
        <w:pStyle w:val="HERListBullet2"/>
        <w:numPr>
          <w:ilvl w:val="1"/>
          <w:numId w:val="2"/>
        </w:numPr>
      </w:pPr>
      <w:r>
        <w:t>“Experience” could include a combination of factors sufficient to demonstrate readiness for higher education. Includes mature age entry, professional experience whether completion of the Special Tertiary Admission Test (STAT) is required or not, community involvement or work experience.</w:t>
      </w:r>
    </w:p>
    <w:p w:rsidR="00565856" w:rsidRDefault="00565856" w:rsidP="00565856">
      <w:pPr>
        <w:pStyle w:val="HERListBullet2"/>
        <w:numPr>
          <w:ilvl w:val="1"/>
          <w:numId w:val="2"/>
        </w:numPr>
      </w:pPr>
      <w:r>
        <w:t xml:space="preserve">Applicants may have undertaken non-formal programs that have </w:t>
      </w:r>
      <w:r w:rsidR="002C5034">
        <w:t xml:space="preserve">helped prepare them </w:t>
      </w:r>
      <w:r>
        <w:t>for tertiary education or are relevant to the proposed higher education field o</w:t>
      </w:r>
      <w:r w:rsidR="002C5034">
        <w:t>f</w:t>
      </w:r>
      <w:r>
        <w:t xml:space="preserve"> study.</w:t>
      </w:r>
    </w:p>
    <w:p w:rsidR="00F0165C" w:rsidRDefault="00F0165C" w:rsidP="002137A6">
      <w:pPr>
        <w:pStyle w:val="HERNormal"/>
        <w:rPr>
          <w:noProof w:val="0"/>
        </w:rPr>
      </w:pPr>
      <w:r>
        <w:rPr>
          <w:noProof w:val="0"/>
        </w:rPr>
        <w:t xml:space="preserve">For </w:t>
      </w:r>
      <w:r w:rsidR="0004436D">
        <w:rPr>
          <w:noProof w:val="0"/>
        </w:rPr>
        <w:t xml:space="preserve">data and </w:t>
      </w:r>
      <w:r>
        <w:rPr>
          <w:noProof w:val="0"/>
        </w:rPr>
        <w:t xml:space="preserve">reporting purposes, each person should be allocated to </w:t>
      </w:r>
      <w:r w:rsidRPr="002137A6">
        <w:rPr>
          <w:noProof w:val="0"/>
          <w:u w:val="single"/>
        </w:rPr>
        <w:t>one category only</w:t>
      </w:r>
      <w:r>
        <w:rPr>
          <w:noProof w:val="0"/>
        </w:rPr>
        <w:t xml:space="preserve">. </w:t>
      </w:r>
      <w:r w:rsidR="0004436D">
        <w:rPr>
          <w:noProof w:val="0"/>
        </w:rPr>
        <w:t xml:space="preserve">Where </w:t>
      </w:r>
      <w:r>
        <w:rPr>
          <w:noProof w:val="0"/>
        </w:rPr>
        <w:t>a person has multiple previous educational outcomes</w:t>
      </w:r>
      <w:r w:rsidR="0004436D">
        <w:rPr>
          <w:noProof w:val="0"/>
        </w:rPr>
        <w:t xml:space="preserve">, the following </w:t>
      </w:r>
      <w:r w:rsidR="00A03CEF">
        <w:rPr>
          <w:noProof w:val="0"/>
        </w:rPr>
        <w:t>hierarchy</w:t>
      </w:r>
      <w:r w:rsidR="0004436D">
        <w:rPr>
          <w:noProof w:val="0"/>
        </w:rPr>
        <w:t xml:space="preserve"> should be followed</w:t>
      </w:r>
      <w:r>
        <w:rPr>
          <w:noProof w:val="0"/>
        </w:rPr>
        <w:t>, with the applicant allocated to the first eligible group</w:t>
      </w:r>
      <w:r w:rsidR="0004436D">
        <w:rPr>
          <w:noProof w:val="0"/>
        </w:rPr>
        <w:t>. If the person has completed</w:t>
      </w:r>
      <w:r>
        <w:rPr>
          <w:noProof w:val="0"/>
        </w:rPr>
        <w:t>:</w:t>
      </w:r>
    </w:p>
    <w:p w:rsidR="00F0165C" w:rsidRDefault="00F0165C" w:rsidP="00F04789">
      <w:pPr>
        <w:pStyle w:val="HERListBullet"/>
        <w:numPr>
          <w:ilvl w:val="0"/>
          <w:numId w:val="30"/>
        </w:numPr>
      </w:pPr>
      <w:r>
        <w:t xml:space="preserve">some or all of a higher education qualification </w:t>
      </w:r>
      <w:r w:rsidR="00A03CEF">
        <w:t xml:space="preserve">since leaving school </w:t>
      </w:r>
      <w:r>
        <w:t xml:space="preserve">– to </w:t>
      </w:r>
      <w:r w:rsidR="007A5458">
        <w:t>G</w:t>
      </w:r>
      <w:r w:rsidR="00F418B7">
        <w:t xml:space="preserve">roup </w:t>
      </w:r>
      <w:r w:rsidR="00D34C13">
        <w:t>A</w:t>
      </w:r>
      <w:r w:rsidR="00FD1542">
        <w:t>.</w:t>
      </w:r>
    </w:p>
    <w:p w:rsidR="00E645E3" w:rsidRDefault="00E645E3" w:rsidP="00F04789">
      <w:pPr>
        <w:pStyle w:val="HERListBullet"/>
        <w:numPr>
          <w:ilvl w:val="0"/>
          <w:numId w:val="30"/>
        </w:numPr>
      </w:pPr>
      <w:r>
        <w:t>some or all of a</w:t>
      </w:r>
      <w:r w:rsidR="000C2FC2">
        <w:t xml:space="preserve"> Certificate </w:t>
      </w:r>
      <w:r>
        <w:t xml:space="preserve">IV or higher VET qualification since leaving school – to </w:t>
      </w:r>
      <w:r w:rsidR="007A5458">
        <w:t>G</w:t>
      </w:r>
      <w:r w:rsidR="00F418B7">
        <w:t xml:space="preserve">roup </w:t>
      </w:r>
      <w:r w:rsidR="00D34C13">
        <w:t>B</w:t>
      </w:r>
      <w:r>
        <w:t>.</w:t>
      </w:r>
    </w:p>
    <w:p w:rsidR="00F0165C" w:rsidRDefault="00F0165C" w:rsidP="00F04789">
      <w:pPr>
        <w:pStyle w:val="HERListBullet"/>
        <w:numPr>
          <w:ilvl w:val="0"/>
          <w:numId w:val="30"/>
        </w:numPr>
      </w:pPr>
      <w:r>
        <w:t xml:space="preserve">Year 12 </w:t>
      </w:r>
      <w:r w:rsidR="0004436D">
        <w:t xml:space="preserve">or equivalent </w:t>
      </w:r>
      <w:r>
        <w:t xml:space="preserve">in </w:t>
      </w:r>
      <w:r w:rsidR="0004436D">
        <w:t xml:space="preserve">the </w:t>
      </w:r>
      <w:r>
        <w:t xml:space="preserve">previous two years </w:t>
      </w:r>
      <w:r w:rsidR="0004436D">
        <w:t xml:space="preserve">(with or without an ATAR awarded) </w:t>
      </w:r>
      <w:r>
        <w:t xml:space="preserve">– to </w:t>
      </w:r>
      <w:r w:rsidR="007A5458">
        <w:t>G</w:t>
      </w:r>
      <w:r w:rsidR="00F418B7">
        <w:t xml:space="preserve">roup </w:t>
      </w:r>
      <w:r w:rsidR="00D34C13">
        <w:t>C</w:t>
      </w:r>
      <w:r>
        <w:t>.</w:t>
      </w:r>
    </w:p>
    <w:p w:rsidR="00F0165C" w:rsidRDefault="00F0165C" w:rsidP="00F04789">
      <w:pPr>
        <w:pStyle w:val="HERListBullet"/>
        <w:numPr>
          <w:ilvl w:val="0"/>
          <w:numId w:val="30"/>
        </w:numPr>
      </w:pPr>
      <w:r>
        <w:t xml:space="preserve">none of the above – to </w:t>
      </w:r>
      <w:r w:rsidR="007A5458">
        <w:t>G</w:t>
      </w:r>
      <w:r w:rsidR="00687B01">
        <w:t xml:space="preserve">roup </w:t>
      </w:r>
      <w:r w:rsidR="00725E57">
        <w:t>D</w:t>
      </w:r>
      <w:r>
        <w:t>.</w:t>
      </w:r>
    </w:p>
    <w:p w:rsidR="00F0165C" w:rsidRDefault="00F0165C" w:rsidP="00F0165C">
      <w:r>
        <w:t>Many school students undertake VET certificates, commonly certificates II and III but potentially IV.</w:t>
      </w:r>
      <w:r w:rsidR="00FD1542">
        <w:t xml:space="preserve"> </w:t>
      </w:r>
      <w:r w:rsidR="0004436D">
        <w:t>S</w:t>
      </w:r>
      <w:r w:rsidR="00FD1542">
        <w:t xml:space="preserve">uch study may </w:t>
      </w:r>
      <w:r w:rsidR="0004436D">
        <w:t xml:space="preserve">well </w:t>
      </w:r>
      <w:r w:rsidR="00FD1542">
        <w:t xml:space="preserve">be taken into account by a </w:t>
      </w:r>
      <w:r w:rsidR="00FC7661">
        <w:t>TAC</w:t>
      </w:r>
      <w:r w:rsidR="00FD1542">
        <w:t xml:space="preserve"> or higher education provider in determining whether to offer the person a place in higher education</w:t>
      </w:r>
      <w:r w:rsidR="0004436D">
        <w:t>. F</w:t>
      </w:r>
      <w:r w:rsidR="00FD1542">
        <w:t xml:space="preserve">or reporting purposes, </w:t>
      </w:r>
      <w:r w:rsidR="0004436D">
        <w:t xml:space="preserve">however, </w:t>
      </w:r>
      <w:r w:rsidR="00FD1542">
        <w:t xml:space="preserve">if </w:t>
      </w:r>
      <w:r w:rsidR="0004436D">
        <w:t xml:space="preserve">VET </w:t>
      </w:r>
      <w:r w:rsidR="007375D5">
        <w:t xml:space="preserve">or </w:t>
      </w:r>
      <w:r w:rsidR="00BA2AFF">
        <w:t>higher</w:t>
      </w:r>
      <w:r w:rsidR="0004436D">
        <w:t xml:space="preserve"> education courses were undertaken while still at school, the person would </w:t>
      </w:r>
      <w:r w:rsidR="00A91D9E">
        <w:t xml:space="preserve">still </w:t>
      </w:r>
      <w:r w:rsidR="0004436D">
        <w:t>fall into the recent secondary education group</w:t>
      </w:r>
      <w:r w:rsidR="00A91D9E">
        <w:t xml:space="preserve"> (Group C)</w:t>
      </w:r>
      <w:r>
        <w:t>.</w:t>
      </w:r>
    </w:p>
    <w:p w:rsidR="003E75DE" w:rsidRDefault="00BA2AFF" w:rsidP="006F1138">
      <w:pPr>
        <w:pStyle w:val="HERHeading3"/>
        <w:keepNext/>
        <w:numPr>
          <w:ilvl w:val="0"/>
          <w:numId w:val="31"/>
        </w:numPr>
      </w:pPr>
      <w:bookmarkStart w:id="111" w:name="_Toc483263560"/>
      <w:bookmarkStart w:id="112" w:name="_Toc483263561"/>
      <w:bookmarkStart w:id="113" w:name="_Toc483263562"/>
      <w:bookmarkStart w:id="114" w:name="_Toc483263563"/>
      <w:bookmarkStart w:id="115" w:name="_Toc483263564"/>
      <w:bookmarkStart w:id="116" w:name="_Toc483263565"/>
      <w:bookmarkStart w:id="117" w:name="_Toc483263566"/>
      <w:bookmarkStart w:id="118" w:name="_Toc483263567"/>
      <w:bookmarkStart w:id="119" w:name="_Toc483263568"/>
      <w:bookmarkStart w:id="120" w:name="_Toc483263569"/>
      <w:bookmarkStart w:id="121" w:name="_Toc483263570"/>
      <w:bookmarkStart w:id="122" w:name="_Toc483350213"/>
      <w:bookmarkStart w:id="123" w:name="_Toc483813630"/>
      <w:bookmarkStart w:id="124" w:name="_Toc484093500"/>
      <w:bookmarkEnd w:id="111"/>
      <w:bookmarkEnd w:id="112"/>
      <w:bookmarkEnd w:id="113"/>
      <w:bookmarkEnd w:id="114"/>
      <w:bookmarkEnd w:id="115"/>
      <w:bookmarkEnd w:id="116"/>
      <w:bookmarkEnd w:id="117"/>
      <w:bookmarkEnd w:id="118"/>
      <w:bookmarkEnd w:id="119"/>
      <w:bookmarkEnd w:id="120"/>
      <w:r>
        <w:t>Disaggregating r</w:t>
      </w:r>
      <w:r w:rsidR="00C3673A">
        <w:t xml:space="preserve">ecent secondary education </w:t>
      </w:r>
      <w:r>
        <w:t>leavers</w:t>
      </w:r>
      <w:bookmarkEnd w:id="121"/>
      <w:bookmarkEnd w:id="122"/>
      <w:r w:rsidR="00815AEF">
        <w:t xml:space="preserve"> category</w:t>
      </w:r>
      <w:bookmarkEnd w:id="123"/>
      <w:bookmarkEnd w:id="124"/>
    </w:p>
    <w:p w:rsidR="003E75DE" w:rsidRDefault="00BA2AFF" w:rsidP="005A565D">
      <w:pPr>
        <w:keepNext/>
      </w:pPr>
      <w:r>
        <w:t>T</w:t>
      </w:r>
      <w:r w:rsidR="0025192A">
        <w:t xml:space="preserve">he “recent secondary education” category </w:t>
      </w:r>
      <w:r>
        <w:t xml:space="preserve">is further divided </w:t>
      </w:r>
      <w:r w:rsidR="0025192A">
        <w:t xml:space="preserve">into </w:t>
      </w:r>
      <w:r w:rsidR="003E75DE">
        <w:t xml:space="preserve">three </w:t>
      </w:r>
      <w:r w:rsidR="0025192A">
        <w:t>sub</w:t>
      </w:r>
      <w:r w:rsidR="003E75DE">
        <w:t xml:space="preserve">groups, according to the extent to which </w:t>
      </w:r>
      <w:r w:rsidR="0025192A">
        <w:t>the student’</w:t>
      </w:r>
      <w:r w:rsidR="00E52FA1">
        <w:t>s</w:t>
      </w:r>
      <w:r w:rsidR="0025192A">
        <w:t xml:space="preserve"> </w:t>
      </w:r>
      <w:r w:rsidR="003E75DE">
        <w:t xml:space="preserve">ATAR </w:t>
      </w:r>
      <w:r>
        <w:t xml:space="preserve">is </w:t>
      </w:r>
      <w:r w:rsidR="003E75DE">
        <w:t>critical to the assessment</w:t>
      </w:r>
      <w:r>
        <w:t xml:space="preserve"> of eligibility for admission</w:t>
      </w:r>
      <w:r w:rsidR="003E75DE">
        <w:t>.</w:t>
      </w:r>
      <w:r>
        <w:t xml:space="preserve"> </w:t>
      </w:r>
      <w:r w:rsidR="003E75DE">
        <w:t xml:space="preserve">The three </w:t>
      </w:r>
      <w:r w:rsidR="00685CE7">
        <w:t>sub</w:t>
      </w:r>
      <w:r w:rsidR="003E75DE">
        <w:t>group</w:t>
      </w:r>
      <w:r w:rsidR="00685CE7">
        <w:t>s</w:t>
      </w:r>
      <w:r w:rsidR="003E75DE">
        <w:t xml:space="preserve"> </w:t>
      </w:r>
      <w:r w:rsidR="00C3673A">
        <w:t>are</w:t>
      </w:r>
      <w:r w:rsidR="003E75DE">
        <w:t>:</w:t>
      </w:r>
    </w:p>
    <w:p w:rsidR="0025192A" w:rsidRDefault="00BA2AFF" w:rsidP="005A565D">
      <w:pPr>
        <w:pStyle w:val="numberpara"/>
        <w:numPr>
          <w:ilvl w:val="0"/>
          <w:numId w:val="48"/>
        </w:numPr>
      </w:pPr>
      <w:r>
        <w:t xml:space="preserve">those </w:t>
      </w:r>
      <w:r w:rsidR="00C27433">
        <w:t xml:space="preserve">assessed </w:t>
      </w:r>
      <w:r w:rsidR="0025192A">
        <w:t xml:space="preserve">on the basis of ATAR alone (OP in QLD) or </w:t>
      </w:r>
      <w:r w:rsidR="004E6610">
        <w:t xml:space="preserve">a selection rank incorporating </w:t>
      </w:r>
      <w:r w:rsidR="0025192A">
        <w:t>ATAR</w:t>
      </w:r>
      <w:r w:rsidR="004E6610">
        <w:t xml:space="preserve">-related </w:t>
      </w:r>
      <w:r w:rsidR="0025192A">
        <w:t>adjustment factors relevant to the applicant</w:t>
      </w:r>
      <w:r w:rsidR="00185068">
        <w:t>,</w:t>
      </w:r>
      <w:r w:rsidR="0025192A">
        <w:t xml:space="preserve"> e.g. </w:t>
      </w:r>
      <w:r w:rsidR="004E6610">
        <w:t xml:space="preserve">equity or subject </w:t>
      </w:r>
      <w:r w:rsidR="0025192A">
        <w:t>‘bonus points’</w:t>
      </w:r>
      <w:r w:rsidR="004E6610">
        <w:t>,</w:t>
      </w:r>
      <w:r w:rsidR="0025192A">
        <w:t xml:space="preserve"> reduced ATAR threshold</w:t>
      </w:r>
      <w:r w:rsidR="004E6610">
        <w:t>, etc.</w:t>
      </w:r>
      <w:r w:rsidR="00185068">
        <w:t xml:space="preserve"> (includes students admitted on the basis of an International Baccalaureate Diploma score converted to a notional ATAR</w:t>
      </w:r>
      <w:r w:rsidR="0025192A">
        <w:t>)</w:t>
      </w:r>
      <w:r w:rsidR="00566A8A">
        <w:t>;</w:t>
      </w:r>
    </w:p>
    <w:p w:rsidR="0025192A" w:rsidRDefault="00BA2AFF" w:rsidP="005A565D">
      <w:pPr>
        <w:pStyle w:val="numberpara"/>
        <w:numPr>
          <w:ilvl w:val="0"/>
          <w:numId w:val="48"/>
        </w:numPr>
      </w:pPr>
      <w:r>
        <w:t xml:space="preserve">those </w:t>
      </w:r>
      <w:r w:rsidR="00C27433">
        <w:t xml:space="preserve">assessed </w:t>
      </w:r>
      <w:r w:rsidR="0025192A">
        <w:t xml:space="preserve">on a combination of ATAR </w:t>
      </w:r>
      <w:r w:rsidR="00C27433">
        <w:t xml:space="preserve">plus </w:t>
      </w:r>
      <w:r w:rsidR="0025192A">
        <w:t xml:space="preserve">other </w:t>
      </w:r>
      <w:r w:rsidR="00AB3E40">
        <w:t>criteria</w:t>
      </w:r>
      <w:r w:rsidR="0025192A">
        <w:t xml:space="preserve"> such as an additional test, interview, audition</w:t>
      </w:r>
      <w:r w:rsidR="00725E57">
        <w:t>,</w:t>
      </w:r>
      <w:r w:rsidR="0025192A">
        <w:t xml:space="preserve"> portfolio assessment</w:t>
      </w:r>
      <w:r w:rsidR="00725E57">
        <w:t xml:space="preserve"> or non-academic attributes</w:t>
      </w:r>
      <w:r w:rsidR="00566A8A">
        <w:t>;</w:t>
      </w:r>
    </w:p>
    <w:p w:rsidR="0025192A" w:rsidRDefault="00C27433" w:rsidP="005A565D">
      <w:pPr>
        <w:pStyle w:val="numberpara"/>
        <w:numPr>
          <w:ilvl w:val="0"/>
          <w:numId w:val="48"/>
        </w:numPr>
      </w:pPr>
      <w:r>
        <w:t xml:space="preserve">those assessed </w:t>
      </w:r>
      <w:r w:rsidR="0025192A">
        <w:t xml:space="preserve">on other criteria </w:t>
      </w:r>
      <w:r>
        <w:t xml:space="preserve">alone </w:t>
      </w:r>
      <w:r w:rsidR="0025192A">
        <w:t xml:space="preserve">and </w:t>
      </w:r>
      <w:r w:rsidR="0025192A" w:rsidRPr="005A565D">
        <w:rPr>
          <w:u w:val="single"/>
        </w:rPr>
        <w:t>ATAR was not a factor</w:t>
      </w:r>
      <w:r w:rsidR="0025192A">
        <w:t xml:space="preserve"> (e.g. special consideration, audition alone, schools recommendation scheme </w:t>
      </w:r>
      <w:r w:rsidR="0025192A" w:rsidRPr="002137A6">
        <w:t>where no ATAR threshold applie</w:t>
      </w:r>
      <w:r w:rsidR="0025192A">
        <w:t>s)</w:t>
      </w:r>
      <w:r w:rsidR="000A0B49">
        <w:t>.</w:t>
      </w:r>
    </w:p>
    <w:p w:rsidR="00475C78" w:rsidRDefault="000A54CD" w:rsidP="00C27433">
      <w:r>
        <w:t xml:space="preserve">In cases where multiple factors contribute to the student’s selection rank, institutions will need to make a judgment about the most appropriate category in which to report that student’s data. </w:t>
      </w:r>
      <w:r w:rsidR="00475C78">
        <w:t xml:space="preserve">In each case, consistent with the approach used to record data on the basis of admission in the Higher Education Information Management System (HEIMS), </w:t>
      </w:r>
      <w:r>
        <w:t>it</w:t>
      </w:r>
      <w:r w:rsidR="00475C78">
        <w:t xml:space="preserve"> is the primary basis of admission assessment that should guide the allocation to the three subgroups.</w:t>
      </w:r>
    </w:p>
    <w:p w:rsidR="006E3E95" w:rsidRDefault="000A54CD" w:rsidP="00C27433">
      <w:r>
        <w:t xml:space="preserve">Subgroup (i) is intended to capture students for whom their selection rank was effectively automatically calculated based on their ATAR, demographic and other reported characteristics. </w:t>
      </w:r>
      <w:r w:rsidR="00475C78">
        <w:t xml:space="preserve">For example, </w:t>
      </w:r>
      <w:r w:rsidR="006E3E95">
        <w:t>if</w:t>
      </w:r>
      <w:r w:rsidR="00475C78">
        <w:t xml:space="preserve"> a student </w:t>
      </w:r>
      <w:r w:rsidR="0096356C">
        <w:t xml:space="preserve">is offered a place after having been </w:t>
      </w:r>
      <w:r w:rsidR="006E3E95">
        <w:t xml:space="preserve">awarded ‘bonus points’ </w:t>
      </w:r>
      <w:r w:rsidR="0096356C">
        <w:t>for</w:t>
      </w:r>
      <w:r>
        <w:t xml:space="preserve"> elite sports participation, </w:t>
      </w:r>
      <w:r w:rsidR="0096356C">
        <w:t xml:space="preserve">attendance at a disadvantaged school or </w:t>
      </w:r>
      <w:r w:rsidR="006E3E95">
        <w:t xml:space="preserve">to compensate for </w:t>
      </w:r>
      <w:r w:rsidR="0096356C">
        <w:t xml:space="preserve">some </w:t>
      </w:r>
      <w:r w:rsidR="00AA0045">
        <w:t xml:space="preserve">personal </w:t>
      </w:r>
      <w:r w:rsidR="0096356C">
        <w:t xml:space="preserve">disruption during exam time, </w:t>
      </w:r>
      <w:r w:rsidR="006E3E95">
        <w:t xml:space="preserve">they would be allocated into group (i) as they are admitted primarily </w:t>
      </w:r>
      <w:r w:rsidR="00566A8A">
        <w:t xml:space="preserve">on the basis </w:t>
      </w:r>
      <w:r w:rsidR="006E3E95">
        <w:t>of their ATAR, albeit with some adjustment factors taken into account.</w:t>
      </w:r>
    </w:p>
    <w:p w:rsidR="0024666A" w:rsidRDefault="0024666A" w:rsidP="00C27433">
      <w:r>
        <w:t xml:space="preserve">Subgroup (ii) is intended to capture cases where ATAR is a significant factor but another </w:t>
      </w:r>
      <w:r w:rsidR="0096356C">
        <w:t xml:space="preserve">non-ATAR </w:t>
      </w:r>
      <w:r w:rsidR="0003124E">
        <w:t>criterion</w:t>
      </w:r>
      <w:r>
        <w:t xml:space="preserve"> is also significant – examples could include</w:t>
      </w:r>
      <w:r w:rsidR="0096356C">
        <w:t xml:space="preserve"> where</w:t>
      </w:r>
      <w:r>
        <w:t>:</w:t>
      </w:r>
    </w:p>
    <w:p w:rsidR="0024666A" w:rsidRDefault="0024666A" w:rsidP="00E77D30">
      <w:pPr>
        <w:pStyle w:val="HERListBullet"/>
        <w:numPr>
          <w:ilvl w:val="0"/>
          <w:numId w:val="30"/>
        </w:numPr>
      </w:pPr>
      <w:r>
        <w:t xml:space="preserve">an audition or portfolio assessment is required </w:t>
      </w:r>
      <w:r w:rsidR="000A54CD">
        <w:t xml:space="preserve">for entry to an arts program </w:t>
      </w:r>
      <w:r>
        <w:t>but the applicant must also meet a minimum ATAR requirement</w:t>
      </w:r>
      <w:r w:rsidR="00566A8A">
        <w:t>;</w:t>
      </w:r>
    </w:p>
    <w:p w:rsidR="0024666A" w:rsidRDefault="0024666A" w:rsidP="00E77D30">
      <w:pPr>
        <w:pStyle w:val="HERListBullet"/>
        <w:numPr>
          <w:ilvl w:val="0"/>
          <w:numId w:val="30"/>
        </w:numPr>
      </w:pPr>
      <w:r>
        <w:t>an early offer is made on the basis of non-ATAR criteria such as a school principal’s recommendation</w:t>
      </w:r>
      <w:r w:rsidR="000A54CD">
        <w:t>,</w:t>
      </w:r>
      <w:r>
        <w:t xml:space="preserve"> dux </w:t>
      </w:r>
      <w:r w:rsidR="000A54CD">
        <w:t>or prefect award, but a minimum ATAR threshold must be achieved;</w:t>
      </w:r>
    </w:p>
    <w:p w:rsidR="000A54CD" w:rsidRDefault="0024666A" w:rsidP="00E77D30">
      <w:pPr>
        <w:pStyle w:val="HERListBullet"/>
        <w:numPr>
          <w:ilvl w:val="0"/>
          <w:numId w:val="30"/>
        </w:numPr>
      </w:pPr>
      <w:r>
        <w:t xml:space="preserve">a </w:t>
      </w:r>
      <w:r w:rsidR="000A54CD">
        <w:t xml:space="preserve">highly </w:t>
      </w:r>
      <w:r>
        <w:t xml:space="preserve">competitive ATAR is required </w:t>
      </w:r>
      <w:r w:rsidR="0096356C">
        <w:t xml:space="preserve">due to limited availability of places </w:t>
      </w:r>
      <w:r>
        <w:t xml:space="preserve">but an additional test such as the </w:t>
      </w:r>
      <w:r w:rsidRPr="00E77D30">
        <w:t xml:space="preserve">Undergraduate Medicine and Health Sciences Admission Test </w:t>
      </w:r>
      <w:r>
        <w:t xml:space="preserve">(UMAT) </w:t>
      </w:r>
      <w:r w:rsidR="000A54CD">
        <w:t xml:space="preserve">or Law School Admission Test (LSAT) or similar </w:t>
      </w:r>
      <w:r>
        <w:t>is also required.</w:t>
      </w:r>
    </w:p>
    <w:p w:rsidR="00EE4D65" w:rsidRDefault="0096356C" w:rsidP="0096356C">
      <w:r>
        <w:t>Subgroup (ii</w:t>
      </w:r>
      <w:r w:rsidR="00566A8A">
        <w:t>i</w:t>
      </w:r>
      <w:r>
        <w:t xml:space="preserve">) </w:t>
      </w:r>
      <w:r w:rsidR="0024666A">
        <w:t xml:space="preserve">is intended to capture </w:t>
      </w:r>
      <w:r>
        <w:t xml:space="preserve">cases where the primary basis of admission </w:t>
      </w:r>
      <w:r w:rsidR="001F37B5">
        <w:t>is</w:t>
      </w:r>
      <w:r>
        <w:t xml:space="preserve"> non-ATAR factors. This would include </w:t>
      </w:r>
      <w:r w:rsidR="00EE4D65">
        <w:t xml:space="preserve">cases </w:t>
      </w:r>
      <w:r>
        <w:t>where</w:t>
      </w:r>
      <w:r w:rsidR="00EE4D65">
        <w:t xml:space="preserve"> the main evidence considered is:</w:t>
      </w:r>
    </w:p>
    <w:p w:rsidR="00EE4D65" w:rsidRDefault="0096356C" w:rsidP="00E77D30">
      <w:pPr>
        <w:pStyle w:val="HERListBullet"/>
        <w:numPr>
          <w:ilvl w:val="0"/>
          <w:numId w:val="30"/>
        </w:numPr>
      </w:pPr>
      <w:r>
        <w:t xml:space="preserve">individual school subject results, interviews, personal statements or other </w:t>
      </w:r>
      <w:r w:rsidR="00EE4D65">
        <w:t xml:space="preserve">similar </w:t>
      </w:r>
      <w:r>
        <w:t>approaches</w:t>
      </w:r>
      <w:r w:rsidR="00566A8A">
        <w:t>;</w:t>
      </w:r>
    </w:p>
    <w:p w:rsidR="00EE4D65" w:rsidRDefault="001F37B5" w:rsidP="00E77D30">
      <w:pPr>
        <w:pStyle w:val="HERListBullet"/>
        <w:numPr>
          <w:ilvl w:val="0"/>
          <w:numId w:val="30"/>
        </w:numPr>
      </w:pPr>
      <w:r>
        <w:t>a VET certificate or diploma completed while at school</w:t>
      </w:r>
      <w:r w:rsidR="00566A8A">
        <w:t>.</w:t>
      </w:r>
    </w:p>
    <w:p w:rsidR="00475C78" w:rsidRDefault="00EE4D65" w:rsidP="0096356C">
      <w:r>
        <w:t xml:space="preserve">It would also include where </w:t>
      </w:r>
      <w:r w:rsidR="0096356C">
        <w:t xml:space="preserve">someone with </w:t>
      </w:r>
      <w:r w:rsidR="0024666A">
        <w:t>a low ATAR</w:t>
      </w:r>
      <w:r w:rsidR="0096356C">
        <w:t xml:space="preserve"> is </w:t>
      </w:r>
      <w:r w:rsidR="0024666A">
        <w:t>admitted primarily on the basis of other factor</w:t>
      </w:r>
      <w:r w:rsidR="000A54CD">
        <w:t>s. For example, i</w:t>
      </w:r>
      <w:r w:rsidR="006E3E95">
        <w:t xml:space="preserve">f a student </w:t>
      </w:r>
      <w:r w:rsidR="00475C78">
        <w:t xml:space="preserve">with a very low ATAR due to the impact of </w:t>
      </w:r>
      <w:r w:rsidR="006E3E95">
        <w:t xml:space="preserve">severe </w:t>
      </w:r>
      <w:r w:rsidR="00475C78">
        <w:t xml:space="preserve">family disruption </w:t>
      </w:r>
      <w:r w:rsidR="006E3E95">
        <w:t xml:space="preserve">over several months </w:t>
      </w:r>
      <w:r w:rsidR="00475C78">
        <w:t xml:space="preserve">is offered a place in a course due to a supportive reference from their school principal, the ATAR is clearly not the main element driving the admission. </w:t>
      </w:r>
      <w:r w:rsidR="000A54CD">
        <w:t xml:space="preserve">Regardless of whether the low ATAR may have contributed in some small way to calculation of the student’s selection rank by a TAC, it would be unreasonable to include such a student in the ATAR-related subgroups (i) or (ii) as it would distort the reported data. </w:t>
      </w:r>
      <w:r w:rsidR="006E3E95">
        <w:t>They should be allocated to the non-ATAR subgroup (iii).</w:t>
      </w:r>
    </w:p>
    <w:p w:rsidR="00C27433" w:rsidRDefault="00475C78" w:rsidP="00E53896">
      <w:r>
        <w:t>HEIMS</w:t>
      </w:r>
      <w:r w:rsidR="004E6610">
        <w:t xml:space="preserve"> </w:t>
      </w:r>
      <w:r w:rsidR="00C27433">
        <w:t>does not currently capture sufficient information to distinguish whether additional factors besides ATAR</w:t>
      </w:r>
      <w:r w:rsidR="00566A8A">
        <w:t>,</w:t>
      </w:r>
      <w:r w:rsidR="00C27433">
        <w:t xml:space="preserve"> such as an interview, portfolio assessment or audition</w:t>
      </w:r>
      <w:r w:rsidR="00566A8A">
        <w:t>,</w:t>
      </w:r>
      <w:r w:rsidR="00C27433">
        <w:t xml:space="preserve"> are relevant to an admission decision</w:t>
      </w:r>
      <w:r w:rsidR="004E6610">
        <w:t>.</w:t>
      </w:r>
      <w:r w:rsidR="00C27433">
        <w:t xml:space="preserve"> </w:t>
      </w:r>
      <w:r w:rsidR="00E62276">
        <w:t xml:space="preserve">A future enhancement to HEIMS is planned </w:t>
      </w:r>
      <w:r w:rsidR="00C27433">
        <w:t xml:space="preserve">in order </w:t>
      </w:r>
      <w:r w:rsidR="00E62276">
        <w:t xml:space="preserve">to do </w:t>
      </w:r>
      <w:r w:rsidR="004E6610">
        <w:t>this</w:t>
      </w:r>
      <w:r w:rsidR="00E62276">
        <w:t>.</w:t>
      </w:r>
      <w:r w:rsidR="00725E57">
        <w:t xml:space="preserve"> In the meantime, institutions will need to derive this distinction themselves</w:t>
      </w:r>
      <w:r w:rsidR="00C27433">
        <w:t>.</w:t>
      </w:r>
    </w:p>
    <w:p w:rsidR="00F0165C" w:rsidRPr="00D95A16" w:rsidRDefault="00D2263C" w:rsidP="00F04789">
      <w:pPr>
        <w:pStyle w:val="HERHeading3"/>
        <w:keepNext/>
        <w:numPr>
          <w:ilvl w:val="0"/>
          <w:numId w:val="31"/>
        </w:numPr>
      </w:pPr>
      <w:bookmarkStart w:id="125" w:name="_Toc483263571"/>
      <w:bookmarkStart w:id="126" w:name="_Toc483263572"/>
      <w:bookmarkStart w:id="127" w:name="_Toc483263573"/>
      <w:bookmarkStart w:id="128" w:name="_Toc483263574"/>
      <w:bookmarkStart w:id="129" w:name="_Toc483263576"/>
      <w:bookmarkStart w:id="130" w:name="_Toc480754888"/>
      <w:bookmarkStart w:id="131" w:name="_Toc482805062"/>
      <w:bookmarkStart w:id="132" w:name="_Toc483350215"/>
      <w:bookmarkStart w:id="133" w:name="_Toc483813631"/>
      <w:bookmarkStart w:id="134" w:name="_Toc484093501"/>
      <w:bookmarkEnd w:id="125"/>
      <w:bookmarkEnd w:id="126"/>
      <w:bookmarkEnd w:id="127"/>
      <w:bookmarkEnd w:id="128"/>
      <w:r>
        <w:t>New ATAR-related thresholds</w:t>
      </w:r>
      <w:bookmarkEnd w:id="129"/>
      <w:bookmarkEnd w:id="130"/>
      <w:bookmarkEnd w:id="131"/>
      <w:bookmarkEnd w:id="132"/>
      <w:bookmarkEnd w:id="133"/>
      <w:bookmarkEnd w:id="134"/>
    </w:p>
    <w:p w:rsidR="00D2263C" w:rsidRDefault="00D2263C" w:rsidP="00F0165C">
      <w:r>
        <w:t>New ATAR-related threshold figures have been defined in order to address a key concern of the HESP – that the existing commonly reported ATAR threshold figures are op</w:t>
      </w:r>
      <w:r w:rsidR="00035C95">
        <w:t>en to manipulation</w:t>
      </w:r>
      <w:r w:rsidR="00035C95" w:rsidRPr="00035C95">
        <w:t xml:space="preserve"> </w:t>
      </w:r>
      <w:r w:rsidR="00035C95">
        <w:t>and gaming and do not always convey the meaning that some readers assume.</w:t>
      </w:r>
    </w:p>
    <w:p w:rsidR="00685CE7" w:rsidRDefault="00B757B0" w:rsidP="00F0165C">
      <w:r>
        <w:t>The following</w:t>
      </w:r>
      <w:r w:rsidR="000737F2">
        <w:t xml:space="preserve"> </w:t>
      </w:r>
      <w:r w:rsidR="005F529A">
        <w:t xml:space="preserve">new ATAR-related threshold terms </w:t>
      </w:r>
      <w:r w:rsidR="000737F2">
        <w:t>are</w:t>
      </w:r>
      <w:r w:rsidR="00426E32">
        <w:t xml:space="preserve"> </w:t>
      </w:r>
      <w:r w:rsidR="00035C95">
        <w:t>adopted for use in the program/</w:t>
      </w:r>
      <w:r w:rsidR="000737F2">
        <w:t>course admission information set</w:t>
      </w:r>
      <w:r w:rsidR="00442CB1">
        <w:t xml:space="preserve"> where ATAR is a basis for assessing eligibility for admission</w:t>
      </w:r>
      <w:r w:rsidR="00442CB1" w:rsidRPr="00442CB1">
        <w:t xml:space="preserve"> </w:t>
      </w:r>
      <w:r w:rsidR="00003066">
        <w:t xml:space="preserve">– </w:t>
      </w:r>
      <w:r w:rsidR="00442CB1">
        <w:t>either</w:t>
      </w:r>
      <w:r w:rsidR="00003066">
        <w:t xml:space="preserve"> alone or in combination with other factors</w:t>
      </w:r>
      <w:r w:rsidR="00035C95">
        <w:t>. Use of the</w:t>
      </w:r>
      <w:r w:rsidR="00441F5C">
        <w:t xml:space="preserve"> </w:t>
      </w:r>
      <w:r w:rsidR="00035C95">
        <w:t>existing terms “ATAR cut-off” and “Clearly-in ATAR” will be discontinued in information supporting applications for the 2019 academic year and beyond.</w:t>
      </w:r>
    </w:p>
    <w:p w:rsidR="009C6141" w:rsidRPr="009E1F2C" w:rsidRDefault="009C6141" w:rsidP="004A010E">
      <w:pPr>
        <w:pStyle w:val="HERListNumber"/>
        <w:keepNext/>
        <w:numPr>
          <w:ilvl w:val="0"/>
          <w:numId w:val="49"/>
        </w:numPr>
        <w:rPr>
          <w:b/>
        </w:rPr>
      </w:pPr>
      <w:r w:rsidRPr="009E1F2C">
        <w:rPr>
          <w:b/>
        </w:rPr>
        <w:t>Lowest ATAR to which an offer was made in [year] (exclusive of any adjustment factors)</w:t>
      </w:r>
    </w:p>
    <w:p w:rsidR="00C93C9B" w:rsidRDefault="00C93C9B" w:rsidP="00C93C9B">
      <w:r>
        <w:t>This is the lowest “raw” or unadjusted ATAR</w:t>
      </w:r>
      <w:r w:rsidRPr="009C6141">
        <w:t xml:space="preserve"> </w:t>
      </w:r>
      <w:r>
        <w:t xml:space="preserve">of an applicant to which an offer of a place </w:t>
      </w:r>
      <w:r w:rsidR="00035C95">
        <w:t xml:space="preserve">was made </w:t>
      </w:r>
      <w:r>
        <w:t>in the relevant year</w:t>
      </w:r>
      <w:r w:rsidR="00035C95">
        <w:t>-to-date</w:t>
      </w:r>
      <w:r>
        <w:t xml:space="preserve">. It must include the impact of all offers made regardless of whether </w:t>
      </w:r>
      <w:r w:rsidR="00F70BAA">
        <w:t>or not</w:t>
      </w:r>
      <w:r w:rsidR="00F70BAA" w:rsidRPr="00035C95">
        <w:t xml:space="preserve"> </w:t>
      </w:r>
      <w:r>
        <w:t xml:space="preserve">these included adjustment factors </w:t>
      </w:r>
      <w:r w:rsidR="00035C95">
        <w:t xml:space="preserve">such as equity or subject ‘bonus points’ </w:t>
      </w:r>
      <w:r w:rsidR="00035C95" w:rsidRPr="009C6141">
        <w:t>or</w:t>
      </w:r>
      <w:r w:rsidR="00F70BAA">
        <w:t>,</w:t>
      </w:r>
      <w:r w:rsidR="00035C95" w:rsidRPr="009C6141">
        <w:t xml:space="preserve"> alternatively</w:t>
      </w:r>
      <w:r w:rsidR="00F70BAA">
        <w:t>,</w:t>
      </w:r>
      <w:r w:rsidR="00035C95" w:rsidRPr="009C6141">
        <w:t xml:space="preserve"> where the ATAR threshold may have been lowered due to equity considerations</w:t>
      </w:r>
      <w:r>
        <w:t>. It</w:t>
      </w:r>
      <w:r w:rsidR="00B82F76">
        <w:t xml:space="preserve"> i</w:t>
      </w:r>
      <w:r>
        <w:t xml:space="preserve">s not </w:t>
      </w:r>
      <w:r w:rsidR="00035C95">
        <w:t xml:space="preserve">just </w:t>
      </w:r>
      <w:r>
        <w:t>the figure for those who had no adjustments.</w:t>
      </w:r>
    </w:p>
    <w:p w:rsidR="00C93C9B" w:rsidRDefault="009C6141" w:rsidP="009C6141">
      <w:r w:rsidRPr="009C6141">
        <w:t xml:space="preserve">This unadjusted figure must </w:t>
      </w:r>
      <w:r w:rsidRPr="009C6141">
        <w:rPr>
          <w:u w:val="single"/>
        </w:rPr>
        <w:t>always</w:t>
      </w:r>
      <w:r w:rsidRPr="009C6141">
        <w:t xml:space="preserve"> be reported when describing the ATAR profile of applicants offered places or those who enrolled in a course.</w:t>
      </w:r>
      <w:r w:rsidR="00C93C9B">
        <w:t xml:space="preserve"> The reason is that only the unadjusted figure is truly comparable like-for-like between different courses and providers. The algorithms to </w:t>
      </w:r>
      <w:r w:rsidR="00F51803">
        <w:t xml:space="preserve">calculate </w:t>
      </w:r>
      <w:r w:rsidR="00C93C9B">
        <w:t>the selection ranks actually used to determine offers of places are generally different for each institution. A student applying to multiple institutions may have a different selection rank with each one.</w:t>
      </w:r>
    </w:p>
    <w:p w:rsidR="009C6141" w:rsidRPr="00E53896" w:rsidRDefault="009C6141" w:rsidP="009C6141">
      <w:r w:rsidRPr="009C6141">
        <w:t>Where there is a desire to report a figure that includes the impact of bonus points</w:t>
      </w:r>
      <w:r w:rsidR="00630D7D">
        <w:t>,</w:t>
      </w:r>
      <w:r w:rsidRPr="009C6141">
        <w:t xml:space="preserve"> etc., in addition to the unadjusted figure, the following term is </w:t>
      </w:r>
      <w:r w:rsidR="00F51803">
        <w:t>to be used</w:t>
      </w:r>
      <w:r w:rsidRPr="009C6141">
        <w:t>:</w:t>
      </w:r>
    </w:p>
    <w:p w:rsidR="00E42A54" w:rsidRPr="009C6141" w:rsidRDefault="00E42A54" w:rsidP="004A010E">
      <w:pPr>
        <w:pStyle w:val="HERListNumber"/>
        <w:keepNext/>
        <w:numPr>
          <w:ilvl w:val="0"/>
          <w:numId w:val="49"/>
        </w:numPr>
        <w:rPr>
          <w:b/>
        </w:rPr>
      </w:pPr>
      <w:r w:rsidRPr="009C6141">
        <w:rPr>
          <w:b/>
        </w:rPr>
        <w:t xml:space="preserve">Lowest </w:t>
      </w:r>
      <w:r w:rsidR="00597DA2">
        <w:rPr>
          <w:b/>
        </w:rPr>
        <w:t>selection rank</w:t>
      </w:r>
      <w:r w:rsidRPr="009C6141">
        <w:rPr>
          <w:b/>
        </w:rPr>
        <w:t xml:space="preserve"> to which an offer was made in [year] (including the impact of </w:t>
      </w:r>
      <w:r w:rsidR="00597DA2">
        <w:rPr>
          <w:b/>
        </w:rPr>
        <w:t xml:space="preserve">ATAR and </w:t>
      </w:r>
      <w:r w:rsidRPr="009C6141">
        <w:rPr>
          <w:b/>
        </w:rPr>
        <w:t>any adjustment factors)</w:t>
      </w:r>
    </w:p>
    <w:p w:rsidR="00BE508C" w:rsidRDefault="00BE508C" w:rsidP="00F80FA7">
      <w:r>
        <w:t xml:space="preserve">Providers </w:t>
      </w:r>
      <w:r w:rsidR="00F51803">
        <w:t xml:space="preserve">may </w:t>
      </w:r>
      <w:r>
        <w:t xml:space="preserve">wish to report the lowest selection rank as a companion to the lowest ATAR figure above. This </w:t>
      </w:r>
      <w:r w:rsidR="00F51803">
        <w:t xml:space="preserve">can </w:t>
      </w:r>
      <w:r>
        <w:t>be used to demonstrate, for example, that</w:t>
      </w:r>
      <w:r w:rsidR="006B5148">
        <w:t>,</w:t>
      </w:r>
      <w:r>
        <w:t xml:space="preserve"> while </w:t>
      </w:r>
      <w:r w:rsidR="00F51803">
        <w:t xml:space="preserve">some </w:t>
      </w:r>
      <w:r>
        <w:t>applicant</w:t>
      </w:r>
      <w:r w:rsidR="00F51803">
        <w:t>s</w:t>
      </w:r>
      <w:r>
        <w:t xml:space="preserve"> with relatively low ATAR</w:t>
      </w:r>
      <w:r w:rsidR="00F51803">
        <w:t>s</w:t>
      </w:r>
      <w:r>
        <w:t xml:space="preserve"> may have been offered place</w:t>
      </w:r>
      <w:r w:rsidR="00F51803">
        <w:t>s</w:t>
      </w:r>
      <w:r>
        <w:t xml:space="preserve"> in </w:t>
      </w:r>
      <w:r w:rsidR="00F51803">
        <w:t xml:space="preserve">a </w:t>
      </w:r>
      <w:r>
        <w:t>course, other factors suggested th</w:t>
      </w:r>
      <w:r w:rsidR="00F51803">
        <w:t>os</w:t>
      </w:r>
      <w:r>
        <w:t>e student</w:t>
      </w:r>
      <w:r w:rsidR="00F51803">
        <w:t>s</w:t>
      </w:r>
      <w:r>
        <w:t xml:space="preserve"> had a higher effective level of academic ability than </w:t>
      </w:r>
      <w:r w:rsidR="00F51803">
        <w:t xml:space="preserve">may </w:t>
      </w:r>
      <w:r>
        <w:t>be reflected in the ATAR alone.</w:t>
      </w:r>
    </w:p>
    <w:p w:rsidR="00477D58" w:rsidRDefault="00F51803" w:rsidP="00477D58">
      <w:r>
        <w:t>A</w:t>
      </w:r>
      <w:r w:rsidR="00477D58">
        <w:t xml:space="preserve">pplicants applying through a TAC and </w:t>
      </w:r>
      <w:r>
        <w:t xml:space="preserve">to </w:t>
      </w:r>
      <w:r w:rsidR="00477D58">
        <w:t>most universities</w:t>
      </w:r>
      <w:r>
        <w:t xml:space="preserve"> </w:t>
      </w:r>
      <w:r w:rsidR="00477D58">
        <w:t xml:space="preserve">are </w:t>
      </w:r>
      <w:r>
        <w:t xml:space="preserve">generally </w:t>
      </w:r>
      <w:r w:rsidR="00477D58">
        <w:t>allocated a “selection rank” that combines the applicant’s ATAR with contributions from all other relevant evidence of aptitude for higher education study</w:t>
      </w:r>
      <w:r>
        <w:t xml:space="preserve"> </w:t>
      </w:r>
      <w:r w:rsidR="00477D58">
        <w:t xml:space="preserve">– such as any VET or higher education courses undertaken, past employment experience, community engagement, results from the STAT, etc., </w:t>
      </w:r>
      <w:r>
        <w:t xml:space="preserve">plus </w:t>
      </w:r>
      <w:r w:rsidR="00477D58">
        <w:t>any equity-related or subject adjustment factors a school leaver may attract. For a recent Year 12 student with no employment experience and no ATAR-related adjustment factors, their selection rank will likely be based solely on their ATAR; however many applicants bring a range of other experiences and evidence that can support their claim to a place in higher education.</w:t>
      </w:r>
    </w:p>
    <w:p w:rsidR="00477D58" w:rsidRDefault="00477D58" w:rsidP="00477D58">
      <w:r>
        <w:t>It is this selection rank that most universities actually use in determining who to make an offer to – not simply the ATAR. The formulas used to calculate selection ranks, however, are different for each institution and sometimes for different courses within an institution.</w:t>
      </w:r>
    </w:p>
    <w:p w:rsidR="00E42A54" w:rsidRPr="009C6141" w:rsidRDefault="009C6141" w:rsidP="00E42A54">
      <w:r>
        <w:t>N</w:t>
      </w:r>
      <w:r w:rsidR="00E42A54" w:rsidRPr="009C6141">
        <w:t xml:space="preserve">ot all institutions </w:t>
      </w:r>
      <w:r w:rsidR="00E64408" w:rsidRPr="009C6141">
        <w:t>use ATAR</w:t>
      </w:r>
      <w:r w:rsidR="00FA372F">
        <w:t>-related</w:t>
      </w:r>
      <w:r w:rsidR="00E64408" w:rsidRPr="009C6141">
        <w:t xml:space="preserve"> adjustment factors</w:t>
      </w:r>
      <w:r w:rsidR="00BE508C">
        <w:t xml:space="preserve"> in calculating selection ranks</w:t>
      </w:r>
      <w:r w:rsidR="00E64408" w:rsidRPr="009C6141">
        <w:t>. For those that do</w:t>
      </w:r>
      <w:r w:rsidR="00B82F76">
        <w:t xml:space="preserve"> </w:t>
      </w:r>
      <w:r w:rsidR="00E64408" w:rsidRPr="009C6141">
        <w:t>n</w:t>
      </w:r>
      <w:r w:rsidR="00B82F76">
        <w:t>o</w:t>
      </w:r>
      <w:r w:rsidR="00E64408" w:rsidRPr="009C6141">
        <w:t>t, it is not necessary to publish this figure.</w:t>
      </w:r>
      <w:r w:rsidR="00FA45FF">
        <w:t xml:space="preserve"> For those that do use such adjustment factors, publication of this figure is optional</w:t>
      </w:r>
      <w:r w:rsidR="00396957">
        <w:t xml:space="preserve"> at all times</w:t>
      </w:r>
      <w:r w:rsidR="00D937C0">
        <w:t>.</w:t>
      </w:r>
    </w:p>
    <w:p w:rsidR="0094468D" w:rsidRPr="00874404" w:rsidRDefault="0094468D" w:rsidP="004A010E">
      <w:pPr>
        <w:pStyle w:val="HERListNumber"/>
        <w:keepNext/>
        <w:numPr>
          <w:ilvl w:val="0"/>
          <w:numId w:val="49"/>
        </w:numPr>
        <w:rPr>
          <w:b/>
        </w:rPr>
      </w:pPr>
      <w:r w:rsidRPr="00874404">
        <w:rPr>
          <w:b/>
        </w:rPr>
        <w:t>Minimum ATAR</w:t>
      </w:r>
      <w:r w:rsidR="00F5655F">
        <w:rPr>
          <w:b/>
        </w:rPr>
        <w:t>/selection rank</w:t>
      </w:r>
      <w:r w:rsidRPr="00874404">
        <w:rPr>
          <w:b/>
        </w:rPr>
        <w:t xml:space="preserve"> required for consideration to enter in next intake</w:t>
      </w:r>
    </w:p>
    <w:p w:rsidR="0094468D" w:rsidRDefault="009C6141" w:rsidP="00F0165C">
      <w:r>
        <w:t xml:space="preserve">This term </w:t>
      </w:r>
      <w:r w:rsidR="00785B16">
        <w:t xml:space="preserve">may be used </w:t>
      </w:r>
      <w:r>
        <w:t xml:space="preserve">where a minimum floor ATAR </w:t>
      </w:r>
      <w:r w:rsidR="00F51803">
        <w:t xml:space="preserve">must be achieved to be </w:t>
      </w:r>
      <w:r>
        <w:t>consider</w:t>
      </w:r>
      <w:r w:rsidR="00F51803">
        <w:t xml:space="preserve">ed for admission to a </w:t>
      </w:r>
      <w:r>
        <w:t xml:space="preserve">course or institution. </w:t>
      </w:r>
      <w:r w:rsidR="00874404">
        <w:t>Achieving such a minimum ATAR would not provide a guarantee of entry. Indeed</w:t>
      </w:r>
      <w:r w:rsidR="006D1BFB">
        <w:t>,</w:t>
      </w:r>
      <w:r w:rsidR="00874404">
        <w:t xml:space="preserve"> the lowest ATAR offered a place may be much higher. </w:t>
      </w:r>
      <w:r w:rsidR="00F51803">
        <w:t xml:space="preserve">The existence of </w:t>
      </w:r>
      <w:r w:rsidR="00874404">
        <w:t>such a figure</w:t>
      </w:r>
      <w:r w:rsidR="00F51803">
        <w:t>, though,</w:t>
      </w:r>
      <w:r w:rsidR="00874404">
        <w:t xml:space="preserve"> signal</w:t>
      </w:r>
      <w:r w:rsidR="000C2FC2">
        <w:t>s</w:t>
      </w:r>
      <w:r w:rsidR="00874404">
        <w:t xml:space="preserve"> that no recent secondary education applicant with an ATAR below this figure will be considered.</w:t>
      </w:r>
    </w:p>
    <w:p w:rsidR="00785B16" w:rsidRDefault="00785B16" w:rsidP="00F0165C">
      <w:r>
        <w:t>Not all institutions set a floor or minimum ATAR requirement for courses o</w:t>
      </w:r>
      <w:r w:rsidR="00F51803">
        <w:t>r</w:t>
      </w:r>
      <w:r>
        <w:t xml:space="preserve"> the institution as a whole but some do. Use of this threshold is optional and only necessary where it is relevant.</w:t>
      </w:r>
    </w:p>
    <w:p w:rsidR="004A1E58" w:rsidRPr="00874404" w:rsidRDefault="004A1E58" w:rsidP="004A010E">
      <w:pPr>
        <w:pStyle w:val="HERListNumber"/>
        <w:keepNext/>
        <w:numPr>
          <w:ilvl w:val="0"/>
          <w:numId w:val="49"/>
        </w:numPr>
        <w:rPr>
          <w:b/>
        </w:rPr>
      </w:pPr>
      <w:r>
        <w:rPr>
          <w:b/>
        </w:rPr>
        <w:t>Guaranteed Entry ATAR</w:t>
      </w:r>
      <w:r w:rsidR="00F51803">
        <w:rPr>
          <w:b/>
        </w:rPr>
        <w:t>/</w:t>
      </w:r>
      <w:r w:rsidR="005F7146">
        <w:rPr>
          <w:b/>
        </w:rPr>
        <w:t>Selection Rank</w:t>
      </w:r>
    </w:p>
    <w:p w:rsidR="00785B16" w:rsidRDefault="004A1E58" w:rsidP="004A1E58">
      <w:r>
        <w:t>This term is for use where a</w:t>
      </w:r>
      <w:r w:rsidR="00D14F20">
        <w:t xml:space="preserve">chievement of a specified </w:t>
      </w:r>
      <w:r>
        <w:t xml:space="preserve">ATAR </w:t>
      </w:r>
      <w:r w:rsidR="005F7146">
        <w:t xml:space="preserve">or selection rank (as appropriate) </w:t>
      </w:r>
      <w:r w:rsidR="00D14F20">
        <w:t xml:space="preserve">will guarantee acceptance into </w:t>
      </w:r>
      <w:r>
        <w:t>a course or institution</w:t>
      </w:r>
      <w:r w:rsidR="00D14F20">
        <w:t xml:space="preserve">, subject to any non-ATAR </w:t>
      </w:r>
      <w:r w:rsidR="00AB3E40">
        <w:t>criteria</w:t>
      </w:r>
      <w:r w:rsidR="00D14F20">
        <w:t xml:space="preserve"> being met, such as prerequisite study or English language proficiency</w:t>
      </w:r>
      <w:r>
        <w:t>.</w:t>
      </w:r>
    </w:p>
    <w:p w:rsidR="004A1E58" w:rsidRDefault="00785B16" w:rsidP="004A1E58">
      <w:r>
        <w:t>Again, n</w:t>
      </w:r>
      <w:r w:rsidR="00D14F20">
        <w:t xml:space="preserve">ot all institutions </w:t>
      </w:r>
      <w:r w:rsidR="007661E5">
        <w:t xml:space="preserve">offer </w:t>
      </w:r>
      <w:r w:rsidR="00D14F20">
        <w:t>guarantee</w:t>
      </w:r>
      <w:r w:rsidR="007661E5">
        <w:t xml:space="preserve">d admission </w:t>
      </w:r>
      <w:r>
        <w:t>at a specified ATAR</w:t>
      </w:r>
      <w:r w:rsidR="005F7146">
        <w:t xml:space="preserve"> or selection rank</w:t>
      </w:r>
      <w:r>
        <w:t xml:space="preserve"> threshold </w:t>
      </w:r>
      <w:r w:rsidR="00D14F20">
        <w:t>but some do.</w:t>
      </w:r>
      <w:r>
        <w:t xml:space="preserve"> Use of this threshold is optional and only necessary where it is relevant</w:t>
      </w:r>
      <w:r w:rsidR="005F7146">
        <w:t>.</w:t>
      </w:r>
    </w:p>
    <w:p w:rsidR="00F0165C" w:rsidRPr="004A010E" w:rsidRDefault="003F346F" w:rsidP="00755367">
      <w:pPr>
        <w:pStyle w:val="HERHeading3"/>
        <w:keepNext/>
        <w:numPr>
          <w:ilvl w:val="0"/>
          <w:numId w:val="31"/>
        </w:numPr>
      </w:pPr>
      <w:bookmarkStart w:id="135" w:name="_Toc483813632"/>
      <w:bookmarkStart w:id="136" w:name="_Toc484093502"/>
      <w:r>
        <w:t>D</w:t>
      </w:r>
      <w:r w:rsidR="00A4243F" w:rsidRPr="00E77D30">
        <w:t>efinitions</w:t>
      </w:r>
      <w:bookmarkEnd w:id="135"/>
      <w:r w:rsidR="006D1BFB">
        <w:t xml:space="preserve"> of </w:t>
      </w:r>
      <w:r>
        <w:t xml:space="preserve">additional </w:t>
      </w:r>
      <w:r w:rsidR="006D1BFB">
        <w:t>key terms used in this implementation plan</w:t>
      </w:r>
      <w:bookmarkEnd w:id="136"/>
    </w:p>
    <w:p w:rsidR="005C358E" w:rsidRPr="004A010E" w:rsidRDefault="005C358E" w:rsidP="00E53896">
      <w:r w:rsidRPr="004A010E">
        <w:t xml:space="preserve">The terms </w:t>
      </w:r>
      <w:r w:rsidR="003C4793" w:rsidRPr="004A010E">
        <w:t xml:space="preserve">below </w:t>
      </w:r>
      <w:r w:rsidRPr="004A010E">
        <w:t xml:space="preserve">have been used in this </w:t>
      </w:r>
      <w:r w:rsidR="003C4793" w:rsidRPr="004A010E">
        <w:t>implementation plan, with the following meaning:</w:t>
      </w:r>
    </w:p>
    <w:p w:rsidR="008B6C31" w:rsidRDefault="00FE529D" w:rsidP="00E77D30">
      <w:pPr>
        <w:tabs>
          <w:tab w:val="left" w:pos="3544"/>
        </w:tabs>
        <w:spacing w:after="0"/>
        <w:ind w:left="3544" w:hanging="3544"/>
      </w:pPr>
      <w:r w:rsidRPr="00924596">
        <w:t>ATAR</w:t>
      </w:r>
      <w:r w:rsidR="00DE1335">
        <w:t xml:space="preserve"> </w:t>
      </w:r>
      <w:r w:rsidRPr="00924596">
        <w:tab/>
      </w:r>
      <w:r w:rsidR="008B6C31">
        <w:t>A ranking from 30 (lowest) to 99.</w:t>
      </w:r>
      <w:r w:rsidR="00875F2A">
        <w:t>9</w:t>
      </w:r>
      <w:r w:rsidR="008B6C31">
        <w:t xml:space="preserve">5 (highest) </w:t>
      </w:r>
      <w:r w:rsidR="00F91ACE">
        <w:t xml:space="preserve">agreed by </w:t>
      </w:r>
    </w:p>
    <w:p w:rsidR="00DD2A36" w:rsidRPr="00924596" w:rsidRDefault="008B6C31" w:rsidP="004A010E">
      <w:pPr>
        <w:tabs>
          <w:tab w:val="left" w:pos="3544"/>
        </w:tabs>
        <w:spacing w:after="0"/>
        <w:ind w:left="3544" w:hanging="3544"/>
      </w:pPr>
      <w:r w:rsidRPr="00441397">
        <w:t>Australian Tertiary Admission Rank</w:t>
      </w:r>
      <w:r w:rsidR="00DE1335">
        <w:t xml:space="preserve"> </w:t>
      </w:r>
      <w:r>
        <w:tab/>
      </w:r>
      <w:r w:rsidR="00FB445B">
        <w:t xml:space="preserve">COAG </w:t>
      </w:r>
      <w:r w:rsidR="00F91ACE">
        <w:t>as a nationally equivalent measure of a person’s relative academic ranking within their peer cohort in the year they graduated from senior secondary school. The ATAR is derived from the scaled scores achieved for senior secondary school subject</w:t>
      </w:r>
      <w:r w:rsidR="000C2FC2">
        <w:t>s</w:t>
      </w:r>
      <w:r w:rsidR="00F91ACE">
        <w:t xml:space="preserve">. The specific calculation used is different in each state and territory but </w:t>
      </w:r>
      <w:r w:rsidR="000C2FC2">
        <w:t xml:space="preserve">the result </w:t>
      </w:r>
      <w:r w:rsidR="00F91ACE">
        <w:t>is designed to be nationally equivalent.</w:t>
      </w:r>
      <w:r w:rsidR="00DE1335">
        <w:br/>
      </w:r>
    </w:p>
    <w:p w:rsidR="00DE1335" w:rsidRDefault="00F91ACE" w:rsidP="0003587A">
      <w:pPr>
        <w:keepNext/>
        <w:tabs>
          <w:tab w:val="left" w:pos="3544"/>
        </w:tabs>
        <w:spacing w:after="0"/>
        <w:ind w:left="3544" w:hanging="3544"/>
      </w:pPr>
      <w:r>
        <w:t>ATAR-related adjustments</w:t>
      </w:r>
      <w:r w:rsidR="00DE1335">
        <w:t xml:space="preserve"> </w:t>
      </w:r>
      <w:r>
        <w:tab/>
        <w:t xml:space="preserve">Considerations such as equity or subject ‘bonus points’ or </w:t>
      </w:r>
    </w:p>
    <w:p w:rsidR="00FE529D" w:rsidRDefault="00F91ACE" w:rsidP="00080C24">
      <w:pPr>
        <w:widowControl w:val="0"/>
        <w:tabs>
          <w:tab w:val="left" w:pos="3544"/>
        </w:tabs>
        <w:spacing w:after="0"/>
        <w:ind w:left="3544" w:hanging="3544"/>
      </w:pPr>
      <w:r>
        <w:t>Adjustment factors</w:t>
      </w:r>
      <w:r w:rsidR="00DE1335">
        <w:t xml:space="preserve"> </w:t>
      </w:r>
      <w:r>
        <w:tab/>
        <w:t>lowered ATAR thresholds that may be taken into account to adjust the effective selection rank of an applicant.</w:t>
      </w:r>
      <w:r w:rsidR="008B6C31">
        <w:t xml:space="preserve"> The availability and parameters of any such</w:t>
      </w:r>
      <w:r w:rsidR="00B04222">
        <w:t xml:space="preserve"> </w:t>
      </w:r>
      <w:r w:rsidR="008B6C31">
        <w:t>adjustments are determined by institutions themselves and, other than in South Australia, may vary from provider to provider. Adjustments available from South Australian institutions are consistent across all providers.</w:t>
      </w:r>
      <w:r w:rsidR="00DE1335">
        <w:br/>
      </w:r>
    </w:p>
    <w:p w:rsidR="00185068" w:rsidRDefault="00185068" w:rsidP="0003587A">
      <w:pPr>
        <w:keepNext/>
        <w:tabs>
          <w:tab w:val="left" w:pos="3544"/>
        </w:tabs>
        <w:spacing w:after="0"/>
        <w:ind w:left="3544" w:hanging="3544"/>
      </w:pPr>
      <w:r>
        <w:t xml:space="preserve">IB </w:t>
      </w:r>
      <w:r>
        <w:tab/>
        <w:t xml:space="preserve">International Baccalaureate – formerly known as the </w:t>
      </w:r>
    </w:p>
    <w:p w:rsidR="00185068" w:rsidRDefault="00185068" w:rsidP="00185068">
      <w:pPr>
        <w:tabs>
          <w:tab w:val="left" w:pos="3544"/>
        </w:tabs>
        <w:spacing w:after="0"/>
        <w:ind w:left="3544" w:hanging="3544"/>
      </w:pPr>
      <w:r>
        <w:t xml:space="preserve">International Baccalaureate </w:t>
      </w:r>
      <w:r>
        <w:tab/>
      </w:r>
      <w:r w:rsidRPr="001A0F89">
        <w:t>International Baccalaureate Organization (IBO)</w:t>
      </w:r>
      <w:r>
        <w:t xml:space="preserve"> – is </w:t>
      </w:r>
      <w:r w:rsidRPr="001A0F89">
        <w:t xml:space="preserve">an international educational </w:t>
      </w:r>
      <w:hyperlink r:id="rId62" w:tooltip="Foundation (charity)" w:history="1">
        <w:r w:rsidRPr="001A0F89">
          <w:t>foundation</w:t>
        </w:r>
      </w:hyperlink>
      <w:r w:rsidRPr="001A0F89">
        <w:t xml:space="preserve"> </w:t>
      </w:r>
      <w:r w:rsidRPr="00426A50">
        <w:t>founded in 1968</w:t>
      </w:r>
      <w:r w:rsidR="00B04222">
        <w:t xml:space="preserve"> </w:t>
      </w:r>
      <w:r>
        <w:t xml:space="preserve">and </w:t>
      </w:r>
      <w:r w:rsidRPr="001A0F89">
        <w:t xml:space="preserve">headquartered in </w:t>
      </w:r>
      <w:hyperlink r:id="rId63" w:tooltip="Geneva" w:history="1">
        <w:r w:rsidRPr="001A0F89">
          <w:t>Geneva</w:t>
        </w:r>
      </w:hyperlink>
      <w:r w:rsidRPr="001A0F89">
        <w:t xml:space="preserve">, </w:t>
      </w:r>
      <w:hyperlink r:id="rId64" w:tooltip="Switzerland" w:history="1">
        <w:r w:rsidRPr="001A0F89">
          <w:t>Switzerland</w:t>
        </w:r>
      </w:hyperlink>
      <w:r w:rsidRPr="001A0F89">
        <w:t>.</w:t>
      </w:r>
      <w:r>
        <w:t xml:space="preserve"> The IB Diploma program is </w:t>
      </w:r>
      <w:r w:rsidR="00FB445B">
        <w:t>a s</w:t>
      </w:r>
      <w:r>
        <w:t xml:space="preserve">enior secondary </w:t>
      </w:r>
      <w:r w:rsidR="00FB445B">
        <w:t xml:space="preserve">education </w:t>
      </w:r>
      <w:r>
        <w:t xml:space="preserve">curriculum and assessment framework offered by some schools as an alternative to the Australian National Curriculum </w:t>
      </w:r>
      <w:r w:rsidR="00B04222">
        <w:t xml:space="preserve">and </w:t>
      </w:r>
      <w:r>
        <w:t>overseen by state and territory curriculum and assessment authorities. Australian tertiary admission centres convert IB scores to a notional ATAR or OP, enabling IB students to be ranked for tertiary entrance alongside their peers.</w:t>
      </w:r>
      <w:r>
        <w:br/>
      </w:r>
    </w:p>
    <w:p w:rsidR="00875F2A" w:rsidRDefault="00DA2244" w:rsidP="0003587A">
      <w:pPr>
        <w:keepNext/>
        <w:tabs>
          <w:tab w:val="left" w:pos="3544"/>
        </w:tabs>
        <w:spacing w:after="0"/>
        <w:ind w:left="3544" w:hanging="3544"/>
      </w:pPr>
      <w:r w:rsidRPr="00E77D30">
        <w:t xml:space="preserve">OP </w:t>
      </w:r>
      <w:r>
        <w:tab/>
        <w:t>A</w:t>
      </w:r>
      <w:r w:rsidRPr="00E77D30">
        <w:t xml:space="preserve"> </w:t>
      </w:r>
      <w:r w:rsidR="00875F2A">
        <w:t xml:space="preserve">Queensland </w:t>
      </w:r>
      <w:r w:rsidRPr="00E77D30">
        <w:t xml:space="preserve">student’s position in a </w:t>
      </w:r>
      <w:r w:rsidR="00FB445B" w:rsidRPr="00E77D30">
        <w:t>state-wide</w:t>
      </w:r>
      <w:r w:rsidRPr="00E77D30">
        <w:t xml:space="preserve"> </w:t>
      </w:r>
      <w:r w:rsidR="00875F2A" w:rsidRPr="005D4AF1">
        <w:t xml:space="preserve">tertiary </w:t>
      </w:r>
    </w:p>
    <w:p w:rsidR="00DA2244" w:rsidRDefault="00875F2A" w:rsidP="00E77D30">
      <w:pPr>
        <w:tabs>
          <w:tab w:val="left" w:pos="3544"/>
        </w:tabs>
        <w:spacing w:after="0"/>
        <w:ind w:left="3544" w:hanging="3544"/>
      </w:pPr>
      <w:r>
        <w:t>Overall Position</w:t>
      </w:r>
      <w:r>
        <w:tab/>
      </w:r>
      <w:r w:rsidRPr="005D4AF1">
        <w:t xml:space="preserve">entrance </w:t>
      </w:r>
      <w:r w:rsidR="00DA2244" w:rsidRPr="00E77D30">
        <w:t xml:space="preserve">rank order </w:t>
      </w:r>
      <w:r w:rsidRPr="00362C78">
        <w:t>based on their overall</w:t>
      </w:r>
      <w:r w:rsidRPr="00875F2A">
        <w:t xml:space="preserve"> </w:t>
      </w:r>
      <w:r w:rsidRPr="00481910">
        <w:t>achievement</w:t>
      </w:r>
      <w:r>
        <w:t xml:space="preserve"> </w:t>
      </w:r>
      <w:r w:rsidR="00DA2244" w:rsidRPr="00E77D30">
        <w:t xml:space="preserve">in </w:t>
      </w:r>
      <w:r>
        <w:t xml:space="preserve">senior secondary </w:t>
      </w:r>
      <w:r w:rsidR="00DA2244" w:rsidRPr="00E77D30">
        <w:t>subjects. It indicates how well a student has done compar</w:t>
      </w:r>
      <w:r>
        <w:t xml:space="preserve">ed </w:t>
      </w:r>
      <w:r w:rsidR="00DA2244" w:rsidRPr="00E77D30">
        <w:t>to all other OP-eligible students in Queensland. Students are placed in one of 25 OP bands from OP1 (highest) to OP25 (lowest).</w:t>
      </w:r>
      <w:r w:rsidRPr="00875F2A">
        <w:t xml:space="preserve"> </w:t>
      </w:r>
      <w:r>
        <w:t xml:space="preserve">Queensland students seeking admission to higher education in other states can have their OP converted to an ATAR; and vice-versa for interstate students looking to study in Queensland. Queensland will adopt the ATAR instead of the OP for students who commence </w:t>
      </w:r>
      <w:r w:rsidR="00F70BAA">
        <w:t xml:space="preserve">Year </w:t>
      </w:r>
      <w:r>
        <w:t>11 in 2018 an</w:t>
      </w:r>
      <w:r w:rsidR="00185068">
        <w:t>d</w:t>
      </w:r>
      <w:r>
        <w:t xml:space="preserve"> beyond.</w:t>
      </w:r>
      <w:r w:rsidR="00DD2A36">
        <w:br/>
      </w:r>
    </w:p>
    <w:p w:rsidR="00B91075" w:rsidRDefault="00DD2A36" w:rsidP="00A05DAC">
      <w:pPr>
        <w:tabs>
          <w:tab w:val="left" w:pos="3544"/>
        </w:tabs>
        <w:spacing w:after="0"/>
        <w:ind w:left="3544" w:hanging="3544"/>
      </w:pPr>
      <w:r>
        <w:t>Selection rank</w:t>
      </w:r>
      <w:r>
        <w:tab/>
      </w:r>
      <w:r w:rsidRPr="00DD2A36">
        <w:t xml:space="preserve">The actual ranking that </w:t>
      </w:r>
      <w:r>
        <w:t xml:space="preserve">tertiary admission centres and most universities use to assess admission </w:t>
      </w:r>
      <w:r w:rsidRPr="00DD2A36">
        <w:t xml:space="preserve">to a course. A person’s selection rank can include their ATAR, any </w:t>
      </w:r>
      <w:r>
        <w:t>ATAR-related adjustments such as equity or subject</w:t>
      </w:r>
      <w:r w:rsidR="0035384E">
        <w:t xml:space="preserve"> ‘bonus points’ </w:t>
      </w:r>
      <w:r>
        <w:t xml:space="preserve">that </w:t>
      </w:r>
      <w:r w:rsidRPr="00DD2A36">
        <w:t xml:space="preserve">they are eligible for, contributions calculated on the basis of work experience or previous non-secondary study, portfolio assessments, results of the Special Tertiary Admissions Test, other supplementary tests, etc. For </w:t>
      </w:r>
      <w:r>
        <w:t xml:space="preserve">many </w:t>
      </w:r>
      <w:r w:rsidRPr="00DD2A36">
        <w:t xml:space="preserve">recent secondary education leavers, the selection rank </w:t>
      </w:r>
      <w:r w:rsidR="004B50D9">
        <w:t xml:space="preserve">may </w:t>
      </w:r>
      <w:r w:rsidRPr="00DD2A36">
        <w:t xml:space="preserve">be the same as their ATAR, if no other factors </w:t>
      </w:r>
      <w:r w:rsidR="00F70BAA">
        <w:t xml:space="preserve">were </w:t>
      </w:r>
      <w:r w:rsidRPr="00DD2A36">
        <w:t>considered.</w:t>
      </w:r>
      <w:r w:rsidR="00981578">
        <w:t xml:space="preserve"> Because institutions </w:t>
      </w:r>
      <w:r w:rsidR="004B50D9">
        <w:t>use varying formulas to calculate selection ranks, they are generally not directly comparable. An applicant may have a different selection rank calculated for each course or institution they apply to enter.</w:t>
      </w:r>
    </w:p>
    <w:p w:rsidR="005C358E" w:rsidRPr="00E53896" w:rsidRDefault="005C358E" w:rsidP="00E53896">
      <w:pPr>
        <w:sectPr w:rsidR="005C358E" w:rsidRPr="00E53896" w:rsidSect="005A565D">
          <w:footerReference w:type="default" r:id="rId65"/>
          <w:pgSz w:w="11906" w:h="16838"/>
          <w:pgMar w:top="1372" w:right="1440" w:bottom="1440" w:left="1440" w:header="709" w:footer="510" w:gutter="0"/>
          <w:cols w:space="708"/>
          <w:docGrid w:linePitch="360"/>
        </w:sectPr>
      </w:pPr>
    </w:p>
    <w:p w:rsidR="00F0165C" w:rsidRPr="00AF3D7E" w:rsidRDefault="007902C1" w:rsidP="00AF3D7E">
      <w:pPr>
        <w:pStyle w:val="HERHeading1"/>
        <w:pageBreakBefore/>
        <w:spacing w:before="0"/>
        <w:rPr>
          <w:sz w:val="30"/>
          <w:szCs w:val="30"/>
        </w:rPr>
      </w:pPr>
      <w:bookmarkStart w:id="137" w:name="_Toc480754889"/>
      <w:bookmarkStart w:id="138" w:name="_Toc482805064"/>
      <w:bookmarkStart w:id="139" w:name="_Toc483350217"/>
      <w:bookmarkStart w:id="140" w:name="_Toc484093503"/>
      <w:r>
        <w:rPr>
          <w:sz w:val="30"/>
          <w:szCs w:val="30"/>
        </w:rPr>
        <w:t xml:space="preserve">Appendix C: </w:t>
      </w:r>
      <w:r w:rsidR="007375D5">
        <w:rPr>
          <w:sz w:val="30"/>
          <w:szCs w:val="30"/>
        </w:rPr>
        <w:t>W</w:t>
      </w:r>
      <w:r w:rsidR="00F0165C" w:rsidRPr="00AF3D7E">
        <w:rPr>
          <w:sz w:val="30"/>
          <w:szCs w:val="30"/>
        </w:rPr>
        <w:t>hole-of-</w:t>
      </w:r>
      <w:r>
        <w:rPr>
          <w:sz w:val="30"/>
          <w:szCs w:val="30"/>
        </w:rPr>
        <w:t>i</w:t>
      </w:r>
      <w:r w:rsidR="00F0165C" w:rsidRPr="00AF3D7E">
        <w:rPr>
          <w:sz w:val="30"/>
          <w:szCs w:val="30"/>
        </w:rPr>
        <w:t xml:space="preserve">nstitution </w:t>
      </w:r>
      <w:r>
        <w:rPr>
          <w:sz w:val="30"/>
          <w:szCs w:val="30"/>
        </w:rPr>
        <w:t>a</w:t>
      </w:r>
      <w:r w:rsidR="00F0165C" w:rsidRPr="00AF3D7E">
        <w:rPr>
          <w:sz w:val="30"/>
          <w:szCs w:val="30"/>
        </w:rPr>
        <w:t xml:space="preserve">dmission </w:t>
      </w:r>
      <w:r>
        <w:rPr>
          <w:sz w:val="30"/>
          <w:szCs w:val="30"/>
        </w:rPr>
        <w:t>i</w:t>
      </w:r>
      <w:r w:rsidR="00F0165C" w:rsidRPr="00AF3D7E">
        <w:rPr>
          <w:sz w:val="30"/>
          <w:szCs w:val="30"/>
        </w:rPr>
        <w:t xml:space="preserve">nformation </w:t>
      </w:r>
      <w:bookmarkEnd w:id="88"/>
      <w:bookmarkEnd w:id="89"/>
      <w:bookmarkEnd w:id="90"/>
      <w:bookmarkEnd w:id="91"/>
      <w:r>
        <w:rPr>
          <w:sz w:val="30"/>
          <w:szCs w:val="30"/>
        </w:rPr>
        <w:t>s</w:t>
      </w:r>
      <w:r w:rsidR="00F0165C" w:rsidRPr="00AF3D7E">
        <w:rPr>
          <w:sz w:val="30"/>
          <w:szCs w:val="30"/>
        </w:rPr>
        <w:t>et</w:t>
      </w:r>
      <w:bookmarkEnd w:id="137"/>
      <w:bookmarkEnd w:id="138"/>
      <w:bookmarkEnd w:id="139"/>
      <w:bookmarkEnd w:id="140"/>
    </w:p>
    <w:p w:rsidR="00072FD3" w:rsidRDefault="00BD32DA" w:rsidP="00BD32DA">
      <w:pPr>
        <w:rPr>
          <w:rStyle w:val="Hyperlink"/>
          <w:rFonts w:ascii="Arial" w:hAnsi="Arial"/>
          <w:color w:val="0000FC"/>
          <w:sz w:val="20"/>
          <w:u w:val="none"/>
        </w:rPr>
      </w:pPr>
      <w:bookmarkStart w:id="141" w:name="_Toc461713934"/>
      <w:bookmarkStart w:id="142" w:name="_Toc460598772"/>
      <w:bookmarkStart w:id="143" w:name="_Toc462826079"/>
      <w:bookmarkStart w:id="144" w:name="_Toc462242885"/>
      <w:r w:rsidRPr="00537ABC">
        <w:rPr>
          <w:rStyle w:val="Hyperlink"/>
          <w:rFonts w:ascii="Arial" w:hAnsi="Arial"/>
          <w:color w:val="0000FC"/>
          <w:sz w:val="20"/>
          <w:u w:val="none"/>
        </w:rPr>
        <w:t>[</w:t>
      </w:r>
      <w:r w:rsidRPr="00537ABC">
        <w:rPr>
          <w:rStyle w:val="Hyperlink"/>
          <w:rFonts w:ascii="Arial" w:hAnsi="Arial"/>
          <w:b/>
          <w:color w:val="0000FC"/>
          <w:sz w:val="20"/>
          <w:u w:val="none"/>
        </w:rPr>
        <w:t>INSTRUCTIONS FOR HIGHER EDUCATION PROVIDERS</w:t>
      </w:r>
      <w:r w:rsidRPr="00537ABC">
        <w:rPr>
          <w:rStyle w:val="Hyperlink"/>
          <w:rFonts w:ascii="Arial" w:hAnsi="Arial"/>
          <w:color w:val="0000FC"/>
          <w:sz w:val="20"/>
          <w:u w:val="none"/>
        </w:rPr>
        <w:t xml:space="preserve">: </w:t>
      </w:r>
    </w:p>
    <w:p w:rsidR="00BD32DA" w:rsidRPr="00537ABC" w:rsidRDefault="00072FD3" w:rsidP="00BD32DA">
      <w:pPr>
        <w:rPr>
          <w:rStyle w:val="Hyperlink"/>
          <w:rFonts w:ascii="Arial" w:hAnsi="Arial"/>
          <w:color w:val="0000FC"/>
          <w:sz w:val="20"/>
          <w:u w:val="none"/>
        </w:rPr>
      </w:pPr>
      <w:r w:rsidRPr="00E77D30">
        <w:rPr>
          <w:rStyle w:val="Hyperlink"/>
          <w:rFonts w:ascii="Arial" w:hAnsi="Arial"/>
          <w:b/>
          <w:color w:val="0000FC"/>
          <w:sz w:val="20"/>
          <w:u w:val="none"/>
        </w:rPr>
        <w:t>1.</w:t>
      </w:r>
      <w:r w:rsidR="00FF427F" w:rsidRPr="00FF427F">
        <w:rPr>
          <w:rStyle w:val="Hyperlink"/>
          <w:rFonts w:ascii="Arial" w:hAnsi="Arial"/>
          <w:b/>
          <w:color w:val="0000FC"/>
          <w:sz w:val="20"/>
          <w:u w:val="none"/>
        </w:rPr>
        <w:t xml:space="preserve"> </w:t>
      </w:r>
      <w:r w:rsidR="00FF427F">
        <w:rPr>
          <w:rStyle w:val="Hyperlink"/>
          <w:rFonts w:ascii="Arial" w:hAnsi="Arial"/>
          <w:b/>
          <w:color w:val="0000FC"/>
          <w:sz w:val="20"/>
          <w:u w:val="none"/>
        </w:rPr>
        <w:t>What is the main p</w:t>
      </w:r>
      <w:r w:rsidR="00FF427F" w:rsidRPr="00FF427F">
        <w:rPr>
          <w:rStyle w:val="Hyperlink"/>
          <w:rFonts w:ascii="Arial" w:hAnsi="Arial"/>
          <w:b/>
          <w:color w:val="0000FC"/>
          <w:sz w:val="20"/>
          <w:u w:val="none"/>
        </w:rPr>
        <w:t>urpose</w:t>
      </w:r>
      <w:r w:rsidR="00B61062">
        <w:rPr>
          <w:rStyle w:val="Hyperlink"/>
          <w:rFonts w:ascii="Arial" w:hAnsi="Arial"/>
          <w:b/>
          <w:color w:val="0000FC"/>
          <w:sz w:val="20"/>
          <w:u w:val="none"/>
        </w:rPr>
        <w:t xml:space="preserve"> of the</w:t>
      </w:r>
      <w:r w:rsidR="00535E53">
        <w:rPr>
          <w:rStyle w:val="Hyperlink"/>
          <w:rFonts w:ascii="Arial" w:hAnsi="Arial"/>
          <w:b/>
          <w:color w:val="0000FC"/>
          <w:sz w:val="20"/>
          <w:u w:val="none"/>
        </w:rPr>
        <w:t xml:space="preserve"> whole-of-institution</w:t>
      </w:r>
      <w:r w:rsidR="00B61062">
        <w:rPr>
          <w:rStyle w:val="Hyperlink"/>
          <w:rFonts w:ascii="Arial" w:hAnsi="Arial"/>
          <w:b/>
          <w:color w:val="0000FC"/>
          <w:sz w:val="20"/>
          <w:u w:val="none"/>
        </w:rPr>
        <w:t xml:space="preserve"> information set</w:t>
      </w:r>
      <w:r w:rsidR="00FF427F" w:rsidRPr="00FF427F">
        <w:rPr>
          <w:rStyle w:val="Hyperlink"/>
          <w:rFonts w:ascii="Arial" w:hAnsi="Arial"/>
          <w:b/>
          <w:color w:val="0000FC"/>
          <w:sz w:val="20"/>
          <w:u w:val="none"/>
        </w:rPr>
        <w:t>?</w:t>
      </w:r>
      <w:r>
        <w:rPr>
          <w:rStyle w:val="Hyperlink"/>
          <w:rFonts w:ascii="Arial" w:hAnsi="Arial"/>
          <w:color w:val="0000FC"/>
          <w:sz w:val="20"/>
          <w:u w:val="none"/>
        </w:rPr>
        <w:t xml:space="preserve"> </w:t>
      </w:r>
      <w:r w:rsidR="00BD32DA" w:rsidRPr="00537ABC">
        <w:rPr>
          <w:rStyle w:val="Hyperlink"/>
          <w:rFonts w:ascii="Arial" w:hAnsi="Arial"/>
          <w:color w:val="0000FC"/>
          <w:sz w:val="20"/>
          <w:u w:val="none"/>
        </w:rPr>
        <w:t xml:space="preserve">This information set outlines the collection of information about an institution’s admission policies and processes that is considered necessary to enable a prospective student to gauge and compare the general admission </w:t>
      </w:r>
      <w:r w:rsidR="00AB3E40">
        <w:rPr>
          <w:rStyle w:val="Hyperlink"/>
          <w:rFonts w:ascii="Arial" w:hAnsi="Arial"/>
          <w:color w:val="0000FC"/>
          <w:sz w:val="20"/>
          <w:u w:val="none"/>
        </w:rPr>
        <w:t>criteria</w:t>
      </w:r>
      <w:r w:rsidR="00BD32DA" w:rsidRPr="00537ABC">
        <w:rPr>
          <w:rStyle w:val="Hyperlink"/>
          <w:rFonts w:ascii="Arial" w:hAnsi="Arial"/>
          <w:color w:val="0000FC"/>
          <w:sz w:val="20"/>
          <w:u w:val="none"/>
        </w:rPr>
        <w:t>, application options and processes and institutional student profile across multiple providers.</w:t>
      </w:r>
      <w:r w:rsidR="00BD32DA" w:rsidRPr="00135B51">
        <w:rPr>
          <w:rStyle w:val="Hyperlink"/>
          <w:rFonts w:ascii="Arial" w:hAnsi="Arial" w:cs="Arial"/>
          <w:color w:val="0000FC"/>
          <w:sz w:val="20"/>
          <w:szCs w:val="20"/>
          <w:u w:val="none"/>
        </w:rPr>
        <w:t xml:space="preserve"> The key focus is </w:t>
      </w:r>
      <w:r w:rsidR="00F70BAA">
        <w:rPr>
          <w:rStyle w:val="Hyperlink"/>
          <w:rFonts w:ascii="Arial" w:hAnsi="Arial" w:cs="Arial"/>
          <w:color w:val="0000FC"/>
          <w:sz w:val="20"/>
          <w:szCs w:val="20"/>
          <w:u w:val="none"/>
        </w:rPr>
        <w:t xml:space="preserve">to meet </w:t>
      </w:r>
      <w:r w:rsidR="00BD32DA" w:rsidRPr="00135B51">
        <w:rPr>
          <w:rStyle w:val="Hyperlink"/>
          <w:rFonts w:ascii="Arial" w:hAnsi="Arial" w:cs="Arial"/>
          <w:color w:val="0000FC"/>
          <w:sz w:val="20"/>
          <w:szCs w:val="20"/>
          <w:u w:val="none"/>
        </w:rPr>
        <w:t>the information needs of prospective students of all backgrounds.</w:t>
      </w:r>
    </w:p>
    <w:p w:rsidR="00BD32DA" w:rsidRPr="00537ABC" w:rsidRDefault="00FF427F" w:rsidP="00BD32DA">
      <w:pPr>
        <w:rPr>
          <w:rStyle w:val="Hyperlink"/>
          <w:rFonts w:ascii="Arial" w:hAnsi="Arial"/>
          <w:color w:val="0000FC"/>
          <w:sz w:val="20"/>
          <w:u w:val="none"/>
        </w:rPr>
      </w:pPr>
      <w:r w:rsidRPr="00E77D30">
        <w:rPr>
          <w:rStyle w:val="Hyperlink"/>
          <w:rFonts w:ascii="Arial" w:hAnsi="Arial" w:cs="Arial"/>
          <w:b/>
          <w:color w:val="0000FC"/>
          <w:sz w:val="20"/>
          <w:szCs w:val="20"/>
          <w:u w:val="none"/>
        </w:rPr>
        <w:t xml:space="preserve">2. </w:t>
      </w:r>
      <w:r w:rsidR="00B44126">
        <w:rPr>
          <w:rStyle w:val="Hyperlink"/>
          <w:rFonts w:ascii="Arial" w:hAnsi="Arial" w:cs="Arial"/>
          <w:b/>
          <w:color w:val="0000FC"/>
          <w:sz w:val="20"/>
          <w:szCs w:val="20"/>
          <w:u w:val="none"/>
        </w:rPr>
        <w:t>What</w:t>
      </w:r>
      <w:r w:rsidR="00491B2E" w:rsidRPr="00E77D30">
        <w:rPr>
          <w:rStyle w:val="Hyperlink"/>
          <w:rFonts w:ascii="Arial" w:hAnsi="Arial" w:cs="Arial"/>
          <w:b/>
          <w:color w:val="0000FC"/>
          <w:sz w:val="20"/>
          <w:szCs w:val="20"/>
          <w:u w:val="none"/>
        </w:rPr>
        <w:t xml:space="preserve"> flexibility</w:t>
      </w:r>
      <w:r w:rsidR="00B44126">
        <w:rPr>
          <w:rStyle w:val="Hyperlink"/>
          <w:rFonts w:ascii="Arial" w:hAnsi="Arial" w:cs="Arial"/>
          <w:b/>
          <w:color w:val="0000FC"/>
          <w:sz w:val="20"/>
          <w:szCs w:val="20"/>
          <w:u w:val="none"/>
        </w:rPr>
        <w:t xml:space="preserve"> is available</w:t>
      </w:r>
      <w:r w:rsidR="000B31CF">
        <w:rPr>
          <w:rStyle w:val="Hyperlink"/>
          <w:rFonts w:ascii="Arial" w:hAnsi="Arial" w:cs="Arial"/>
          <w:b/>
          <w:color w:val="0000FC"/>
          <w:sz w:val="20"/>
          <w:szCs w:val="20"/>
          <w:u w:val="none"/>
        </w:rPr>
        <w:t xml:space="preserve"> </w:t>
      </w:r>
      <w:r w:rsidR="00491B2E" w:rsidRPr="00E77D30">
        <w:rPr>
          <w:rStyle w:val="Hyperlink"/>
          <w:rFonts w:ascii="Arial" w:hAnsi="Arial" w:cs="Arial"/>
          <w:b/>
          <w:color w:val="0000FC"/>
          <w:sz w:val="20"/>
          <w:szCs w:val="20"/>
          <w:u w:val="none"/>
        </w:rPr>
        <w:t xml:space="preserve">in </w:t>
      </w:r>
      <w:r w:rsidR="00434B29" w:rsidRPr="00E77D30">
        <w:rPr>
          <w:rStyle w:val="Hyperlink"/>
          <w:rFonts w:ascii="Arial" w:hAnsi="Arial" w:cs="Arial"/>
          <w:b/>
          <w:color w:val="0000FC"/>
          <w:sz w:val="20"/>
          <w:szCs w:val="20"/>
          <w:u w:val="none"/>
        </w:rPr>
        <w:t xml:space="preserve">compiling </w:t>
      </w:r>
      <w:r w:rsidR="00DE0825">
        <w:rPr>
          <w:rStyle w:val="Hyperlink"/>
          <w:rFonts w:ascii="Arial" w:hAnsi="Arial" w:cs="Arial"/>
          <w:b/>
          <w:color w:val="0000FC"/>
          <w:sz w:val="20"/>
          <w:szCs w:val="20"/>
          <w:u w:val="none"/>
        </w:rPr>
        <w:t xml:space="preserve">and presenting </w:t>
      </w:r>
      <w:r w:rsidR="00491B2E" w:rsidRPr="00E77D30">
        <w:rPr>
          <w:rStyle w:val="Hyperlink"/>
          <w:rFonts w:ascii="Arial" w:hAnsi="Arial" w:cs="Arial"/>
          <w:b/>
          <w:color w:val="0000FC"/>
          <w:sz w:val="20"/>
          <w:szCs w:val="20"/>
          <w:u w:val="none"/>
        </w:rPr>
        <w:t>information set</w:t>
      </w:r>
      <w:r w:rsidR="000B31CF">
        <w:rPr>
          <w:rStyle w:val="Hyperlink"/>
          <w:rFonts w:ascii="Arial" w:hAnsi="Arial" w:cs="Arial"/>
          <w:b/>
          <w:color w:val="0000FC"/>
          <w:sz w:val="20"/>
          <w:szCs w:val="20"/>
          <w:u w:val="none"/>
        </w:rPr>
        <w:t>s</w:t>
      </w:r>
      <w:r w:rsidRPr="00E77D30">
        <w:rPr>
          <w:rStyle w:val="Hyperlink"/>
          <w:rFonts w:ascii="Arial" w:hAnsi="Arial" w:cs="Arial"/>
          <w:b/>
          <w:color w:val="0000FC"/>
          <w:sz w:val="20"/>
          <w:szCs w:val="20"/>
          <w:u w:val="none"/>
        </w:rPr>
        <w:t>?</w:t>
      </w:r>
      <w:r>
        <w:rPr>
          <w:rStyle w:val="Hyperlink"/>
          <w:rFonts w:ascii="Arial" w:hAnsi="Arial" w:cs="Arial"/>
          <w:color w:val="0000FC"/>
          <w:sz w:val="20"/>
          <w:szCs w:val="20"/>
          <w:u w:val="none"/>
        </w:rPr>
        <w:t xml:space="preserve"> </w:t>
      </w:r>
      <w:r w:rsidR="00BD32DA" w:rsidRPr="00135B51">
        <w:rPr>
          <w:rStyle w:val="Hyperlink"/>
          <w:rFonts w:ascii="Arial" w:hAnsi="Arial" w:cs="Arial"/>
          <w:color w:val="0000FC"/>
          <w:sz w:val="20"/>
          <w:szCs w:val="20"/>
          <w:u w:val="none"/>
        </w:rPr>
        <w:t xml:space="preserve">Apart from the student profile data table, it is not necessary to use the information set as a strict template. The categories or classes </w:t>
      </w:r>
      <w:r w:rsidR="00BD32DA" w:rsidRPr="00537ABC">
        <w:rPr>
          <w:rStyle w:val="Hyperlink"/>
          <w:rFonts w:ascii="Arial" w:hAnsi="Arial"/>
          <w:color w:val="0000FC"/>
          <w:sz w:val="20"/>
          <w:u w:val="none"/>
        </w:rPr>
        <w:t xml:space="preserve">of information and core data to be made available are specified </w:t>
      </w:r>
      <w:r w:rsidR="00BD32DA" w:rsidRPr="00135B51">
        <w:rPr>
          <w:rStyle w:val="Hyperlink"/>
          <w:rFonts w:ascii="Arial" w:hAnsi="Arial" w:cs="Arial"/>
          <w:color w:val="0000FC"/>
          <w:sz w:val="20"/>
          <w:szCs w:val="20"/>
          <w:u w:val="none"/>
        </w:rPr>
        <w:t>but not the content under those headings. Providers</w:t>
      </w:r>
      <w:r w:rsidR="00BD32DA" w:rsidRPr="00537ABC">
        <w:rPr>
          <w:rStyle w:val="Hyperlink"/>
          <w:rFonts w:ascii="Arial" w:hAnsi="Arial"/>
          <w:color w:val="0000FC"/>
          <w:sz w:val="20"/>
          <w:u w:val="none"/>
        </w:rPr>
        <w:t xml:space="preserve">, tertiary admission centres </w:t>
      </w:r>
      <w:r w:rsidR="005D7CB5">
        <w:rPr>
          <w:rStyle w:val="Hyperlink"/>
          <w:rFonts w:ascii="Arial" w:hAnsi="Arial"/>
          <w:color w:val="0000FC"/>
          <w:sz w:val="20"/>
          <w:u w:val="none"/>
        </w:rPr>
        <w:t xml:space="preserve">(TACs) </w:t>
      </w:r>
      <w:r w:rsidR="00BD32DA" w:rsidRPr="00537ABC">
        <w:rPr>
          <w:rStyle w:val="Hyperlink"/>
          <w:rFonts w:ascii="Arial" w:hAnsi="Arial"/>
          <w:color w:val="0000FC"/>
          <w:sz w:val="20"/>
          <w:u w:val="none"/>
        </w:rPr>
        <w:t xml:space="preserve">and other users </w:t>
      </w:r>
      <w:r w:rsidR="00BD32DA" w:rsidRPr="00135B51">
        <w:rPr>
          <w:rStyle w:val="Hyperlink"/>
          <w:rFonts w:ascii="Arial" w:hAnsi="Arial" w:cs="Arial"/>
          <w:color w:val="0000FC"/>
          <w:sz w:val="20"/>
          <w:szCs w:val="20"/>
          <w:u w:val="none"/>
        </w:rPr>
        <w:t xml:space="preserve">must determine how much information to provide in each case and the style of presentation. They </w:t>
      </w:r>
      <w:r w:rsidR="00BD32DA" w:rsidRPr="00537ABC">
        <w:rPr>
          <w:rStyle w:val="Hyperlink"/>
          <w:rFonts w:ascii="Arial" w:hAnsi="Arial"/>
          <w:color w:val="0000FC"/>
          <w:sz w:val="20"/>
          <w:u w:val="none"/>
        </w:rPr>
        <w:t xml:space="preserve">may choose to include additional content and adapt the overall presentation to distinguish and reflect </w:t>
      </w:r>
      <w:r w:rsidR="00BD32DA" w:rsidRPr="00135B51">
        <w:rPr>
          <w:rStyle w:val="Hyperlink"/>
          <w:rFonts w:ascii="Arial" w:hAnsi="Arial" w:cs="Arial"/>
          <w:color w:val="0000FC"/>
          <w:sz w:val="20"/>
          <w:szCs w:val="20"/>
          <w:u w:val="none"/>
        </w:rPr>
        <w:t>the institution’s</w:t>
      </w:r>
      <w:r w:rsidR="00BD32DA" w:rsidRPr="00537ABC">
        <w:rPr>
          <w:rStyle w:val="Hyperlink"/>
          <w:rFonts w:ascii="Arial" w:hAnsi="Arial"/>
          <w:color w:val="0000FC"/>
          <w:sz w:val="20"/>
          <w:u w:val="none"/>
        </w:rPr>
        <w:t xml:space="preserve"> mission, course offerings and approach to information provision.</w:t>
      </w:r>
    </w:p>
    <w:p w:rsidR="00BD32DA" w:rsidRPr="00135B51" w:rsidRDefault="00675CB4" w:rsidP="00BD32DA">
      <w:pPr>
        <w:rPr>
          <w:rStyle w:val="Hyperlink"/>
          <w:rFonts w:ascii="Arial" w:hAnsi="Arial" w:cs="Arial"/>
          <w:color w:val="0000FC"/>
          <w:sz w:val="20"/>
          <w:szCs w:val="20"/>
          <w:u w:val="none"/>
        </w:rPr>
      </w:pPr>
      <w:r w:rsidRPr="00E77D30">
        <w:rPr>
          <w:rStyle w:val="Hyperlink"/>
          <w:rFonts w:ascii="Arial" w:hAnsi="Arial" w:cs="Arial"/>
          <w:b/>
          <w:color w:val="0000FC"/>
          <w:sz w:val="20"/>
          <w:szCs w:val="20"/>
          <w:u w:val="none"/>
        </w:rPr>
        <w:t>3. Where should information sets be located?</w:t>
      </w:r>
      <w:r>
        <w:rPr>
          <w:rStyle w:val="Hyperlink"/>
          <w:rFonts w:ascii="Arial" w:hAnsi="Arial" w:cs="Arial"/>
          <w:color w:val="0000FC"/>
          <w:sz w:val="20"/>
          <w:szCs w:val="20"/>
          <w:u w:val="none"/>
        </w:rPr>
        <w:t xml:space="preserve"> </w:t>
      </w:r>
      <w:r w:rsidR="00BD32DA" w:rsidRPr="00135B51">
        <w:rPr>
          <w:rStyle w:val="Hyperlink"/>
          <w:rFonts w:ascii="Arial" w:hAnsi="Arial" w:cs="Arial"/>
          <w:color w:val="0000FC"/>
          <w:sz w:val="20"/>
          <w:szCs w:val="20"/>
          <w:u w:val="none"/>
        </w:rPr>
        <w:t>Th</w:t>
      </w:r>
      <w:r w:rsidR="007660F9">
        <w:rPr>
          <w:rStyle w:val="Hyperlink"/>
          <w:rFonts w:ascii="Arial" w:hAnsi="Arial" w:cs="Arial"/>
          <w:color w:val="0000FC"/>
          <w:sz w:val="20"/>
          <w:szCs w:val="20"/>
          <w:u w:val="none"/>
        </w:rPr>
        <w:t>is</w:t>
      </w:r>
      <w:r w:rsidR="00BD32DA" w:rsidRPr="00135B51">
        <w:rPr>
          <w:rStyle w:val="Hyperlink"/>
          <w:rFonts w:ascii="Arial" w:hAnsi="Arial" w:cs="Arial"/>
          <w:color w:val="0000FC"/>
          <w:sz w:val="20"/>
          <w:szCs w:val="20"/>
          <w:u w:val="none"/>
        </w:rPr>
        <w:t xml:space="preserve"> information should be easy for prospective students to find and readily accessible from the institution’s own website, whether it is actually hosted </w:t>
      </w:r>
      <w:r w:rsidR="00BF353B">
        <w:rPr>
          <w:rStyle w:val="Hyperlink"/>
          <w:rFonts w:ascii="Arial" w:hAnsi="Arial" w:cs="Arial"/>
          <w:color w:val="0000FC"/>
          <w:sz w:val="20"/>
          <w:szCs w:val="20"/>
          <w:u w:val="none"/>
        </w:rPr>
        <w:t>on</w:t>
      </w:r>
      <w:r w:rsidR="00BF353B" w:rsidRPr="00135B51">
        <w:rPr>
          <w:rStyle w:val="Hyperlink"/>
          <w:rFonts w:ascii="Arial" w:hAnsi="Arial" w:cs="Arial"/>
          <w:color w:val="0000FC"/>
          <w:sz w:val="20"/>
          <w:szCs w:val="20"/>
          <w:u w:val="none"/>
        </w:rPr>
        <w:t xml:space="preserve"> </w:t>
      </w:r>
      <w:r w:rsidR="00BD32DA" w:rsidRPr="00135B51">
        <w:rPr>
          <w:rStyle w:val="Hyperlink"/>
          <w:rFonts w:ascii="Arial" w:hAnsi="Arial" w:cs="Arial"/>
          <w:color w:val="0000FC"/>
          <w:sz w:val="20"/>
          <w:szCs w:val="20"/>
          <w:u w:val="none"/>
        </w:rPr>
        <w:t xml:space="preserve">that website or another platform such as a </w:t>
      </w:r>
      <w:r w:rsidR="005D7CB5">
        <w:rPr>
          <w:rStyle w:val="Hyperlink"/>
          <w:rFonts w:ascii="Arial" w:hAnsi="Arial" w:cs="Arial"/>
          <w:color w:val="0000FC"/>
          <w:sz w:val="20"/>
          <w:szCs w:val="20"/>
          <w:u w:val="none"/>
        </w:rPr>
        <w:t>TAC</w:t>
      </w:r>
      <w:r w:rsidR="00BD32DA" w:rsidRPr="00135B51">
        <w:rPr>
          <w:rStyle w:val="Hyperlink"/>
          <w:rFonts w:ascii="Arial" w:hAnsi="Arial" w:cs="Arial"/>
          <w:color w:val="0000FC"/>
          <w:sz w:val="20"/>
          <w:szCs w:val="20"/>
          <w:u w:val="none"/>
        </w:rPr>
        <w:t xml:space="preserve"> website or course finder tool.</w:t>
      </w:r>
    </w:p>
    <w:p w:rsidR="00BD32DA" w:rsidRPr="00537ABC" w:rsidRDefault="00BD32DA" w:rsidP="00BD32DA">
      <w:pPr>
        <w:rPr>
          <w:rStyle w:val="Hyperlink"/>
          <w:rFonts w:ascii="Arial" w:hAnsi="Arial"/>
          <w:color w:val="0000FC"/>
          <w:sz w:val="20"/>
          <w:u w:val="none"/>
        </w:rPr>
      </w:pPr>
      <w:r w:rsidRPr="00537ABC">
        <w:rPr>
          <w:rStyle w:val="Hyperlink"/>
          <w:rFonts w:ascii="Arial" w:hAnsi="Arial"/>
          <w:color w:val="0000FC"/>
          <w:sz w:val="20"/>
          <w:u w:val="none"/>
        </w:rPr>
        <w:t xml:space="preserve">Wherever the information is </w:t>
      </w:r>
      <w:r w:rsidRPr="00135B51">
        <w:rPr>
          <w:rStyle w:val="Hyperlink"/>
          <w:rFonts w:ascii="Arial" w:hAnsi="Arial" w:cs="Arial"/>
          <w:color w:val="0000FC"/>
          <w:sz w:val="20"/>
          <w:szCs w:val="20"/>
          <w:u w:val="none"/>
        </w:rPr>
        <w:t>located</w:t>
      </w:r>
      <w:r w:rsidRPr="00537ABC">
        <w:rPr>
          <w:rStyle w:val="Hyperlink"/>
          <w:rFonts w:ascii="Arial" w:hAnsi="Arial"/>
          <w:color w:val="0000FC"/>
          <w:sz w:val="20"/>
          <w:u w:val="none"/>
        </w:rPr>
        <w:t xml:space="preserve">, the </w:t>
      </w:r>
      <w:r w:rsidRPr="00537ABC">
        <w:rPr>
          <w:rStyle w:val="Hyperlink"/>
          <w:rFonts w:ascii="Arial" w:hAnsi="Arial"/>
          <w:i/>
          <w:color w:val="0000FC"/>
          <w:sz w:val="20"/>
        </w:rPr>
        <w:t>specified core information</w:t>
      </w:r>
      <w:r w:rsidRPr="00537ABC">
        <w:rPr>
          <w:rStyle w:val="Hyperlink"/>
          <w:rFonts w:ascii="Arial" w:hAnsi="Arial"/>
          <w:color w:val="0000FC"/>
          <w:sz w:val="20"/>
          <w:u w:val="none"/>
        </w:rPr>
        <w:t xml:space="preserve"> </w:t>
      </w:r>
      <w:r w:rsidRPr="00135B51">
        <w:rPr>
          <w:rStyle w:val="Hyperlink"/>
          <w:rFonts w:ascii="Arial" w:hAnsi="Arial" w:cs="Arial"/>
          <w:color w:val="0000FC"/>
          <w:sz w:val="20"/>
          <w:szCs w:val="20"/>
          <w:u w:val="none"/>
        </w:rPr>
        <w:t xml:space="preserve">of admission </w:t>
      </w:r>
      <w:r w:rsidR="00AB3E40">
        <w:rPr>
          <w:rStyle w:val="Hyperlink"/>
          <w:rFonts w:ascii="Arial" w:hAnsi="Arial" w:cs="Arial"/>
          <w:color w:val="0000FC"/>
          <w:sz w:val="20"/>
          <w:szCs w:val="20"/>
          <w:u w:val="none"/>
        </w:rPr>
        <w:t>criteria</w:t>
      </w:r>
      <w:r w:rsidRPr="00135B51">
        <w:rPr>
          <w:rStyle w:val="Hyperlink"/>
          <w:rFonts w:ascii="Arial" w:hAnsi="Arial" w:cs="Arial"/>
          <w:color w:val="0000FC"/>
          <w:sz w:val="20"/>
          <w:szCs w:val="20"/>
          <w:u w:val="none"/>
        </w:rPr>
        <w:t>, how to apply and enrol</w:t>
      </w:r>
      <w:r w:rsidR="00BF353B">
        <w:rPr>
          <w:rStyle w:val="Hyperlink"/>
          <w:rFonts w:ascii="Arial" w:hAnsi="Arial" w:cs="Arial"/>
          <w:color w:val="0000FC"/>
          <w:sz w:val="20"/>
          <w:szCs w:val="20"/>
          <w:u w:val="none"/>
        </w:rPr>
        <w:t>,</w:t>
      </w:r>
      <w:r w:rsidRPr="00135B51">
        <w:rPr>
          <w:rStyle w:val="Hyperlink"/>
          <w:rFonts w:ascii="Arial" w:hAnsi="Arial" w:cs="Arial"/>
          <w:color w:val="0000FC"/>
          <w:sz w:val="20"/>
          <w:szCs w:val="20"/>
          <w:u w:val="none"/>
        </w:rPr>
        <w:t xml:space="preserve"> student profile and where to get further information </w:t>
      </w:r>
      <w:r w:rsidRPr="00537ABC">
        <w:rPr>
          <w:rStyle w:val="Hyperlink"/>
          <w:rFonts w:ascii="Arial" w:hAnsi="Arial"/>
          <w:color w:val="0000FC"/>
          <w:sz w:val="20"/>
          <w:u w:val="none"/>
        </w:rPr>
        <w:t xml:space="preserve">should be </w:t>
      </w:r>
      <w:r w:rsidRPr="00135B51">
        <w:rPr>
          <w:rStyle w:val="Hyperlink"/>
          <w:rFonts w:ascii="Arial" w:hAnsi="Arial" w:cs="Arial"/>
          <w:color w:val="0000FC"/>
          <w:sz w:val="20"/>
          <w:szCs w:val="20"/>
          <w:u w:val="none"/>
        </w:rPr>
        <w:t>presented</w:t>
      </w:r>
      <w:r w:rsidRPr="00537ABC">
        <w:rPr>
          <w:rStyle w:val="Hyperlink"/>
          <w:rFonts w:ascii="Arial" w:hAnsi="Arial"/>
          <w:color w:val="0000FC"/>
          <w:sz w:val="20"/>
          <w:u w:val="none"/>
        </w:rPr>
        <w:t xml:space="preserve"> in such a way that minimises any appearance of difference, where none exists</w:t>
      </w:r>
      <w:r w:rsidRPr="00135B51">
        <w:rPr>
          <w:rStyle w:val="Hyperlink"/>
          <w:rFonts w:ascii="Arial" w:hAnsi="Arial" w:cs="Arial"/>
          <w:color w:val="0000FC"/>
          <w:sz w:val="20"/>
          <w:szCs w:val="20"/>
          <w:u w:val="none"/>
        </w:rPr>
        <w:t xml:space="preserve">. For example, the same wording should be used to describe admission </w:t>
      </w:r>
      <w:r w:rsidR="00AB3E40">
        <w:rPr>
          <w:rStyle w:val="Hyperlink"/>
          <w:rFonts w:ascii="Arial" w:hAnsi="Arial" w:cs="Arial"/>
          <w:color w:val="0000FC"/>
          <w:sz w:val="20"/>
          <w:szCs w:val="20"/>
          <w:u w:val="none"/>
        </w:rPr>
        <w:t>criteria</w:t>
      </w:r>
      <w:r w:rsidRPr="00135B51">
        <w:rPr>
          <w:rStyle w:val="Hyperlink"/>
          <w:rFonts w:ascii="Arial" w:hAnsi="Arial" w:cs="Arial"/>
          <w:color w:val="0000FC"/>
          <w:sz w:val="20"/>
          <w:szCs w:val="20"/>
          <w:u w:val="none"/>
        </w:rPr>
        <w:t xml:space="preserve"> in a TAC publication as on the provider’s own website</w:t>
      </w:r>
      <w:r w:rsidRPr="00537ABC">
        <w:rPr>
          <w:rStyle w:val="Hyperlink"/>
          <w:rFonts w:ascii="Arial" w:hAnsi="Arial"/>
          <w:color w:val="0000FC"/>
          <w:sz w:val="20"/>
          <w:u w:val="none"/>
        </w:rPr>
        <w:t>.</w:t>
      </w:r>
    </w:p>
    <w:p w:rsidR="00BD32DA" w:rsidRPr="00135B51" w:rsidRDefault="001670AC" w:rsidP="00BD32DA">
      <w:pPr>
        <w:rPr>
          <w:rStyle w:val="Hyperlink"/>
          <w:rFonts w:ascii="Arial" w:hAnsi="Arial" w:cs="Arial"/>
          <w:color w:val="0000FC"/>
          <w:sz w:val="20"/>
          <w:szCs w:val="20"/>
          <w:u w:val="none"/>
        </w:rPr>
      </w:pPr>
      <w:r w:rsidRPr="00E77D30">
        <w:rPr>
          <w:rStyle w:val="Hyperlink"/>
          <w:rFonts w:ascii="Arial" w:hAnsi="Arial" w:cs="Arial"/>
          <w:b/>
          <w:color w:val="0000FC"/>
          <w:sz w:val="20"/>
          <w:szCs w:val="20"/>
          <w:u w:val="none"/>
        </w:rPr>
        <w:t xml:space="preserve">4. How much information </w:t>
      </w:r>
      <w:r w:rsidR="00B61062">
        <w:rPr>
          <w:rStyle w:val="Hyperlink"/>
          <w:rFonts w:ascii="Arial" w:hAnsi="Arial" w:cs="Arial"/>
          <w:b/>
          <w:color w:val="0000FC"/>
          <w:sz w:val="20"/>
          <w:szCs w:val="20"/>
          <w:u w:val="none"/>
        </w:rPr>
        <w:t>is required</w:t>
      </w:r>
      <w:r w:rsidRPr="00E77D30">
        <w:rPr>
          <w:rStyle w:val="Hyperlink"/>
          <w:rFonts w:ascii="Arial" w:hAnsi="Arial" w:cs="Arial"/>
          <w:b/>
          <w:color w:val="0000FC"/>
          <w:sz w:val="20"/>
          <w:szCs w:val="20"/>
          <w:u w:val="none"/>
        </w:rPr>
        <w:t>?</w:t>
      </w:r>
      <w:r>
        <w:rPr>
          <w:rStyle w:val="Hyperlink"/>
          <w:rFonts w:ascii="Arial" w:hAnsi="Arial" w:cs="Arial"/>
          <w:color w:val="0000FC"/>
          <w:sz w:val="20"/>
          <w:szCs w:val="20"/>
          <w:u w:val="none"/>
        </w:rPr>
        <w:t xml:space="preserve"> </w:t>
      </w:r>
      <w:r w:rsidR="00BD32DA" w:rsidRPr="00135B51">
        <w:rPr>
          <w:rStyle w:val="Hyperlink"/>
          <w:rFonts w:ascii="Arial" w:hAnsi="Arial" w:cs="Arial"/>
          <w:color w:val="0000FC"/>
          <w:sz w:val="20"/>
          <w:szCs w:val="20"/>
          <w:u w:val="none"/>
        </w:rPr>
        <w:t>Only those classes of information that are relevant to the institution are required. If an entry pathway such as ATAR-based admission is not used by the institution, th</w:t>
      </w:r>
      <w:r w:rsidR="00BF353B">
        <w:rPr>
          <w:rStyle w:val="Hyperlink"/>
          <w:rFonts w:ascii="Arial" w:hAnsi="Arial" w:cs="Arial"/>
          <w:color w:val="0000FC"/>
          <w:sz w:val="20"/>
          <w:szCs w:val="20"/>
          <w:u w:val="none"/>
        </w:rPr>
        <w:t>at</w:t>
      </w:r>
      <w:r w:rsidR="00BD32DA" w:rsidRPr="00135B51">
        <w:rPr>
          <w:rStyle w:val="Hyperlink"/>
          <w:rFonts w:ascii="Arial" w:hAnsi="Arial" w:cs="Arial"/>
          <w:color w:val="0000FC"/>
          <w:sz w:val="20"/>
          <w:szCs w:val="20"/>
          <w:u w:val="none"/>
        </w:rPr>
        <w:t xml:space="preserve"> admission option and the ATAR profile of past offers does not need to be included.</w:t>
      </w:r>
    </w:p>
    <w:p w:rsidR="00BD32DA" w:rsidRPr="00135B51" w:rsidRDefault="00B61062" w:rsidP="00BD32DA">
      <w:pPr>
        <w:rPr>
          <w:rStyle w:val="Hyperlink"/>
          <w:rFonts w:ascii="Arial" w:hAnsi="Arial" w:cs="Arial"/>
          <w:color w:val="0000FC"/>
          <w:sz w:val="20"/>
          <w:szCs w:val="20"/>
          <w:u w:val="none"/>
        </w:rPr>
      </w:pPr>
      <w:r w:rsidRPr="00E77D30">
        <w:rPr>
          <w:rStyle w:val="Hyperlink"/>
          <w:rFonts w:ascii="Arial" w:hAnsi="Arial" w:cs="Arial"/>
          <w:b/>
          <w:color w:val="0000FC"/>
          <w:sz w:val="20"/>
          <w:szCs w:val="20"/>
          <w:u w:val="none"/>
        </w:rPr>
        <w:t>5.</w:t>
      </w:r>
      <w:r w:rsidR="007A2177" w:rsidRPr="00E77D30">
        <w:rPr>
          <w:rStyle w:val="Hyperlink"/>
          <w:rFonts w:ascii="Arial" w:hAnsi="Arial" w:cs="Arial"/>
          <w:b/>
          <w:color w:val="0000FC"/>
          <w:sz w:val="20"/>
          <w:szCs w:val="20"/>
          <w:u w:val="none"/>
        </w:rPr>
        <w:t xml:space="preserve"> How do we reflect options for prospective students with particular needs?</w:t>
      </w:r>
      <w:r>
        <w:rPr>
          <w:rStyle w:val="Hyperlink"/>
          <w:rFonts w:ascii="Arial" w:hAnsi="Arial" w:cs="Arial"/>
          <w:color w:val="0000FC"/>
          <w:sz w:val="20"/>
          <w:szCs w:val="20"/>
          <w:u w:val="none"/>
        </w:rPr>
        <w:t xml:space="preserve"> </w:t>
      </w:r>
      <w:r w:rsidR="00BD32DA" w:rsidRPr="00135B51">
        <w:rPr>
          <w:rStyle w:val="Hyperlink"/>
          <w:rFonts w:ascii="Arial" w:hAnsi="Arial" w:cs="Arial"/>
          <w:color w:val="0000FC"/>
          <w:sz w:val="20"/>
          <w:szCs w:val="20"/>
          <w:u w:val="none"/>
        </w:rPr>
        <w:t xml:space="preserve">The most important objective of the information set is to ensure descriptions of all possible application and assessment options, eligibility </w:t>
      </w:r>
      <w:r w:rsidR="00AB3E40">
        <w:rPr>
          <w:rStyle w:val="Hyperlink"/>
          <w:rFonts w:ascii="Arial" w:hAnsi="Arial" w:cs="Arial"/>
          <w:color w:val="0000FC"/>
          <w:sz w:val="20"/>
          <w:szCs w:val="20"/>
          <w:u w:val="none"/>
        </w:rPr>
        <w:t>criteria</w:t>
      </w:r>
      <w:r w:rsidR="00BD32DA" w:rsidRPr="00135B51">
        <w:rPr>
          <w:rStyle w:val="Hyperlink"/>
          <w:rFonts w:ascii="Arial" w:hAnsi="Arial" w:cs="Arial"/>
          <w:color w:val="0000FC"/>
          <w:sz w:val="20"/>
          <w:szCs w:val="20"/>
          <w:u w:val="none"/>
        </w:rPr>
        <w:t xml:space="preserve"> and special considerations are made available so that prospective students with particular needs or circumstances can easily find out about all of the options and evidence requirements that might help them to get into a course in which they are interested. Students facing disadvantage of one kind or another face particular difficulty in navigating a complex system whe</w:t>
      </w:r>
      <w:r w:rsidR="00BF353B">
        <w:rPr>
          <w:rStyle w:val="Hyperlink"/>
          <w:rFonts w:ascii="Arial" w:hAnsi="Arial" w:cs="Arial"/>
          <w:color w:val="0000FC"/>
          <w:sz w:val="20"/>
          <w:szCs w:val="20"/>
          <w:u w:val="none"/>
        </w:rPr>
        <w:t>n</w:t>
      </w:r>
      <w:r w:rsidR="00BD32DA" w:rsidRPr="00135B51">
        <w:rPr>
          <w:rStyle w:val="Hyperlink"/>
          <w:rFonts w:ascii="Arial" w:hAnsi="Arial" w:cs="Arial"/>
          <w:color w:val="0000FC"/>
          <w:sz w:val="20"/>
          <w:szCs w:val="20"/>
          <w:u w:val="none"/>
        </w:rPr>
        <w:t xml:space="preserve"> alternat</w:t>
      </w:r>
      <w:r w:rsidR="00F70BAA">
        <w:rPr>
          <w:rStyle w:val="Hyperlink"/>
          <w:rFonts w:ascii="Arial" w:hAnsi="Arial" w:cs="Arial"/>
          <w:color w:val="0000FC"/>
          <w:sz w:val="20"/>
          <w:szCs w:val="20"/>
          <w:u w:val="none"/>
        </w:rPr>
        <w:t>iv</w:t>
      </w:r>
      <w:r w:rsidR="00BD32DA" w:rsidRPr="00135B51">
        <w:rPr>
          <w:rStyle w:val="Hyperlink"/>
          <w:rFonts w:ascii="Arial" w:hAnsi="Arial" w:cs="Arial"/>
          <w:color w:val="0000FC"/>
          <w:sz w:val="20"/>
          <w:szCs w:val="20"/>
          <w:u w:val="none"/>
        </w:rPr>
        <w:t>e rules and options for specified cohorts are spread across different locations.</w:t>
      </w:r>
    </w:p>
    <w:p w:rsidR="00BD32DA" w:rsidRPr="00135B51" w:rsidRDefault="004B7719" w:rsidP="00BD32DA">
      <w:pPr>
        <w:rPr>
          <w:rStyle w:val="Hyperlink"/>
          <w:rFonts w:ascii="Arial" w:hAnsi="Arial" w:cs="Arial"/>
          <w:color w:val="0000FC"/>
          <w:sz w:val="20"/>
          <w:szCs w:val="20"/>
          <w:u w:val="none"/>
        </w:rPr>
      </w:pPr>
      <w:r w:rsidRPr="00E77D30">
        <w:rPr>
          <w:rStyle w:val="Hyperlink"/>
          <w:rFonts w:ascii="Arial" w:hAnsi="Arial" w:cs="Arial"/>
          <w:b/>
          <w:color w:val="0000FC"/>
          <w:sz w:val="20"/>
          <w:szCs w:val="20"/>
          <w:u w:val="none"/>
        </w:rPr>
        <w:t xml:space="preserve">6. Are ATAR-related criteria privileged in </w:t>
      </w:r>
      <w:r w:rsidR="0032156F" w:rsidRPr="00E77D30">
        <w:rPr>
          <w:rStyle w:val="Hyperlink"/>
          <w:rFonts w:ascii="Arial" w:hAnsi="Arial" w:cs="Arial"/>
          <w:b/>
          <w:color w:val="0000FC"/>
          <w:sz w:val="20"/>
          <w:szCs w:val="20"/>
          <w:u w:val="none"/>
        </w:rPr>
        <w:t>this information set?</w:t>
      </w:r>
      <w:r>
        <w:rPr>
          <w:rStyle w:val="Hyperlink"/>
          <w:rFonts w:ascii="Arial" w:hAnsi="Arial" w:cs="Arial"/>
          <w:color w:val="0000FC"/>
          <w:sz w:val="20"/>
          <w:szCs w:val="20"/>
          <w:u w:val="none"/>
        </w:rPr>
        <w:t xml:space="preserve"> </w:t>
      </w:r>
      <w:r w:rsidR="00BD32DA" w:rsidRPr="00135B51">
        <w:rPr>
          <w:rStyle w:val="Hyperlink"/>
          <w:rFonts w:ascii="Arial" w:hAnsi="Arial" w:cs="Arial"/>
          <w:color w:val="0000FC"/>
          <w:sz w:val="20"/>
          <w:szCs w:val="20"/>
          <w:u w:val="none"/>
        </w:rPr>
        <w:t xml:space="preserve">While ATAR-related </w:t>
      </w:r>
      <w:r w:rsidR="00AB3E40">
        <w:rPr>
          <w:rStyle w:val="Hyperlink"/>
          <w:rFonts w:ascii="Arial" w:hAnsi="Arial" w:cs="Arial"/>
          <w:color w:val="0000FC"/>
          <w:sz w:val="20"/>
          <w:szCs w:val="20"/>
          <w:u w:val="none"/>
        </w:rPr>
        <w:t>criteria</w:t>
      </w:r>
      <w:r w:rsidR="00BD32DA" w:rsidRPr="00135B51">
        <w:rPr>
          <w:rStyle w:val="Hyperlink"/>
          <w:rFonts w:ascii="Arial" w:hAnsi="Arial" w:cs="Arial"/>
          <w:color w:val="0000FC"/>
          <w:sz w:val="20"/>
          <w:szCs w:val="20"/>
          <w:u w:val="none"/>
        </w:rPr>
        <w:t xml:space="preserve"> take up significant space in the information set below, in order to bring more rigour to this important entry pathway, all application and assessment options are equally relevant and important and must be outlined in sufficient detail to ensure prospective students from all academic, economic and social backgrounds and needs can easily find out about the options available to them and </w:t>
      </w:r>
      <w:r w:rsidR="00AB3E40">
        <w:rPr>
          <w:rStyle w:val="Hyperlink"/>
          <w:rFonts w:ascii="Arial" w:hAnsi="Arial" w:cs="Arial"/>
          <w:color w:val="0000FC"/>
          <w:sz w:val="20"/>
          <w:szCs w:val="20"/>
          <w:u w:val="none"/>
        </w:rPr>
        <w:t>criteria</w:t>
      </w:r>
      <w:r w:rsidR="00BD32DA" w:rsidRPr="00135B51">
        <w:rPr>
          <w:rStyle w:val="Hyperlink"/>
          <w:rFonts w:ascii="Arial" w:hAnsi="Arial" w:cs="Arial"/>
          <w:color w:val="0000FC"/>
          <w:sz w:val="20"/>
          <w:szCs w:val="20"/>
          <w:u w:val="none"/>
        </w:rPr>
        <w:t xml:space="preserve"> they must satisfy to access those opportunities.</w:t>
      </w:r>
    </w:p>
    <w:p w:rsidR="00BD32DA" w:rsidRPr="00135B51" w:rsidRDefault="00D34846" w:rsidP="00BD32DA">
      <w:pPr>
        <w:rPr>
          <w:rStyle w:val="Hyperlink"/>
          <w:rFonts w:ascii="Arial" w:hAnsi="Arial" w:cs="Arial"/>
          <w:color w:val="0000FC"/>
          <w:sz w:val="20"/>
          <w:szCs w:val="20"/>
          <w:u w:val="none"/>
        </w:rPr>
      </w:pPr>
      <w:bookmarkStart w:id="145" w:name="_Toc480754890"/>
      <w:r w:rsidRPr="004A010E">
        <w:rPr>
          <w:rStyle w:val="Hyperlink"/>
          <w:rFonts w:ascii="Arial" w:hAnsi="Arial"/>
          <w:b/>
          <w:color w:val="0000FC"/>
          <w:sz w:val="20"/>
          <w:u w:val="none"/>
        </w:rPr>
        <w:t>7. What is required in 2017?</w:t>
      </w:r>
      <w:r w:rsidRPr="004A010E">
        <w:rPr>
          <w:rStyle w:val="Hyperlink"/>
          <w:rFonts w:ascii="Arial" w:hAnsi="Arial"/>
          <w:color w:val="0000FC"/>
          <w:sz w:val="20"/>
          <w:u w:val="none"/>
        </w:rPr>
        <w:t xml:space="preserve"> </w:t>
      </w:r>
      <w:r w:rsidR="00BD32DA" w:rsidRPr="00135B51">
        <w:rPr>
          <w:rStyle w:val="Hyperlink"/>
          <w:rFonts w:ascii="Arial" w:hAnsi="Arial" w:cs="Arial"/>
          <w:color w:val="0000FC"/>
          <w:sz w:val="20"/>
          <w:szCs w:val="20"/>
          <w:u w:val="none"/>
          <w:shd w:val="clear" w:color="auto" w:fill="EBECDB" w:themeFill="accent4" w:themeFillTint="33"/>
        </w:rPr>
        <w:t xml:space="preserve">Classes of information that are required </w:t>
      </w:r>
      <w:r w:rsidR="00D7664F">
        <w:rPr>
          <w:rStyle w:val="Hyperlink"/>
          <w:rFonts w:ascii="Arial" w:hAnsi="Arial" w:cs="Arial"/>
          <w:color w:val="0000FC"/>
          <w:sz w:val="20"/>
          <w:szCs w:val="20"/>
          <w:u w:val="none"/>
          <w:shd w:val="clear" w:color="auto" w:fill="EBECDB" w:themeFill="accent4" w:themeFillTint="33"/>
        </w:rPr>
        <w:t>for</w:t>
      </w:r>
      <w:r w:rsidR="00BD32DA" w:rsidRPr="00135B51">
        <w:rPr>
          <w:rStyle w:val="Hyperlink"/>
          <w:rFonts w:ascii="Arial" w:hAnsi="Arial" w:cs="Arial"/>
          <w:color w:val="0000FC"/>
          <w:sz w:val="20"/>
          <w:szCs w:val="20"/>
          <w:u w:val="none"/>
          <w:shd w:val="clear" w:color="auto" w:fill="EBECDB" w:themeFill="accent4" w:themeFillTint="33"/>
        </w:rPr>
        <w:t xml:space="preserve"> inclu</w:t>
      </w:r>
      <w:r w:rsidR="00D7664F">
        <w:rPr>
          <w:rStyle w:val="Hyperlink"/>
          <w:rFonts w:ascii="Arial" w:hAnsi="Arial" w:cs="Arial"/>
          <w:color w:val="0000FC"/>
          <w:sz w:val="20"/>
          <w:szCs w:val="20"/>
          <w:u w:val="none"/>
          <w:shd w:val="clear" w:color="auto" w:fill="EBECDB" w:themeFill="accent4" w:themeFillTint="33"/>
        </w:rPr>
        <w:t>sion</w:t>
      </w:r>
      <w:r w:rsidR="00BD32DA" w:rsidRPr="00135B51">
        <w:rPr>
          <w:rStyle w:val="Hyperlink"/>
          <w:rFonts w:ascii="Arial" w:hAnsi="Arial" w:cs="Arial"/>
          <w:color w:val="0000FC"/>
          <w:sz w:val="20"/>
          <w:szCs w:val="20"/>
          <w:u w:val="none"/>
          <w:shd w:val="clear" w:color="auto" w:fill="EBECDB" w:themeFill="accent4" w:themeFillTint="33"/>
        </w:rPr>
        <w:t xml:space="preserve"> in 2017 are shaded and marked as “</w:t>
      </w:r>
      <w:r w:rsidR="00BD32DA" w:rsidRPr="00135B51">
        <w:rPr>
          <w:rStyle w:val="Hyperlink"/>
          <w:rFonts w:ascii="Arial" w:hAnsi="Arial" w:cs="Arial"/>
          <w:i/>
          <w:color w:val="FF0000"/>
          <w:sz w:val="20"/>
          <w:szCs w:val="20"/>
          <w:u w:val="none"/>
          <w:shd w:val="clear" w:color="auto" w:fill="EBECDB" w:themeFill="accent4" w:themeFillTint="33"/>
        </w:rPr>
        <w:t>CORE – required in 2017</w:t>
      </w:r>
      <w:r w:rsidR="00BD32DA" w:rsidRPr="00135B51">
        <w:rPr>
          <w:rStyle w:val="Hyperlink"/>
          <w:rFonts w:ascii="Arial" w:hAnsi="Arial" w:cs="Arial"/>
          <w:color w:val="0000FC"/>
          <w:sz w:val="20"/>
          <w:szCs w:val="20"/>
          <w:u w:val="none"/>
          <w:shd w:val="clear" w:color="auto" w:fill="EBECDB" w:themeFill="accent4" w:themeFillTint="33"/>
        </w:rPr>
        <w:t>”.</w:t>
      </w:r>
      <w:r w:rsidR="00BD32DA" w:rsidRPr="00135B51">
        <w:rPr>
          <w:rStyle w:val="Hyperlink"/>
          <w:rFonts w:ascii="Arial" w:hAnsi="Arial" w:cs="Arial"/>
          <w:color w:val="0000FC"/>
          <w:sz w:val="20"/>
          <w:szCs w:val="20"/>
          <w:u w:val="none"/>
        </w:rPr>
        <w:t xml:space="preserve"> Two classes of information </w:t>
      </w:r>
      <w:r w:rsidR="006526B3">
        <w:rPr>
          <w:rStyle w:val="Hyperlink"/>
          <w:rFonts w:ascii="Arial" w:hAnsi="Arial" w:cs="Arial"/>
          <w:color w:val="0000FC"/>
          <w:sz w:val="20"/>
          <w:szCs w:val="20"/>
          <w:u w:val="none"/>
        </w:rPr>
        <w:t xml:space="preserve">– </w:t>
      </w:r>
      <w:r w:rsidR="006526B3" w:rsidRPr="00374D91">
        <w:rPr>
          <w:rStyle w:val="Hyperlink"/>
          <w:rFonts w:ascii="Arial" w:hAnsi="Arial" w:cs="Arial"/>
          <w:i/>
          <w:color w:val="0000FC"/>
          <w:sz w:val="20"/>
          <w:szCs w:val="20"/>
          <w:u w:val="none"/>
        </w:rPr>
        <w:t>6. Student and campus services and 7. Financial Assistance</w:t>
      </w:r>
      <w:r w:rsidR="006526B3" w:rsidRPr="00374D91">
        <w:rPr>
          <w:rStyle w:val="Hyperlink"/>
          <w:rFonts w:ascii="Arial" w:hAnsi="Arial" w:cs="Arial"/>
          <w:color w:val="0000FC"/>
          <w:sz w:val="20"/>
          <w:szCs w:val="20"/>
          <w:u w:val="none"/>
        </w:rPr>
        <w:t xml:space="preserve"> –</w:t>
      </w:r>
      <w:r w:rsidR="006526B3" w:rsidRPr="00135B51">
        <w:rPr>
          <w:rStyle w:val="Hyperlink"/>
          <w:rFonts w:ascii="Arial" w:hAnsi="Arial" w:cs="Arial"/>
          <w:color w:val="0000FC"/>
          <w:sz w:val="20"/>
          <w:szCs w:val="20"/>
          <w:u w:val="none"/>
        </w:rPr>
        <w:t xml:space="preserve"> </w:t>
      </w:r>
      <w:r w:rsidR="00BD32DA" w:rsidRPr="00135B51">
        <w:rPr>
          <w:rStyle w:val="Hyperlink"/>
          <w:rFonts w:ascii="Arial" w:hAnsi="Arial" w:cs="Arial"/>
          <w:color w:val="0000FC"/>
          <w:sz w:val="20"/>
          <w:szCs w:val="20"/>
          <w:u w:val="none"/>
        </w:rPr>
        <w:t>are indicated as “</w:t>
      </w:r>
      <w:r w:rsidR="00BD32DA" w:rsidRPr="00135B51">
        <w:rPr>
          <w:rStyle w:val="Hyperlink"/>
          <w:rFonts w:ascii="Arial" w:hAnsi="Arial" w:cs="Arial"/>
          <w:i/>
          <w:color w:val="0000FC"/>
          <w:sz w:val="20"/>
          <w:szCs w:val="20"/>
          <w:u w:val="none"/>
        </w:rPr>
        <w:t>Optional</w:t>
      </w:r>
      <w:r w:rsidR="00BD32DA" w:rsidRPr="00135B51">
        <w:rPr>
          <w:rStyle w:val="Hyperlink"/>
          <w:rFonts w:ascii="Arial" w:hAnsi="Arial" w:cs="Arial"/>
          <w:color w:val="0000FC"/>
          <w:sz w:val="20"/>
          <w:szCs w:val="20"/>
          <w:u w:val="none"/>
        </w:rPr>
        <w:t>” and may be included at provider discretion in both 2017 and 2018 onwards.</w:t>
      </w:r>
    </w:p>
    <w:p w:rsidR="00BD32DA" w:rsidRPr="00537ABC" w:rsidRDefault="00BD32DA" w:rsidP="00BD32DA">
      <w:pPr>
        <w:rPr>
          <w:rStyle w:val="Hyperlink"/>
          <w:rFonts w:ascii="Arial" w:hAnsi="Arial"/>
          <w:color w:val="0000FC"/>
          <w:sz w:val="20"/>
          <w:u w:val="none"/>
        </w:rPr>
      </w:pPr>
      <w:r w:rsidRPr="00537ABC">
        <w:rPr>
          <w:rStyle w:val="Hyperlink"/>
          <w:rFonts w:ascii="Arial" w:hAnsi="Arial"/>
          <w:b/>
          <w:color w:val="0000FC"/>
          <w:sz w:val="20"/>
          <w:u w:val="none"/>
        </w:rPr>
        <w:t>DELETE ALL BLUE INSTRUCTION TEXT WHEN COMPLETE</w:t>
      </w:r>
      <w:r w:rsidRPr="00537ABC">
        <w:rPr>
          <w:rStyle w:val="Hyperlink"/>
          <w:rFonts w:ascii="Arial" w:hAnsi="Arial"/>
          <w:color w:val="0000FC"/>
          <w:sz w:val="20"/>
          <w:u w:val="none"/>
        </w:rPr>
        <w:t>]</w:t>
      </w:r>
      <w:r w:rsidRPr="00135B51">
        <w:rPr>
          <w:rStyle w:val="Hyperlink"/>
          <w:rFonts w:ascii="Arial" w:hAnsi="Arial" w:cs="Arial"/>
          <w:color w:val="0000FC"/>
          <w:sz w:val="20"/>
          <w:szCs w:val="20"/>
          <w:u w:val="none"/>
        </w:rPr>
        <w:t xml:space="preserve"> </w:t>
      </w:r>
      <w:r w:rsidRPr="00135B51">
        <w:rPr>
          <w:rStyle w:val="Hyperlink"/>
          <w:rFonts w:ascii="Arial" w:hAnsi="Arial" w:cs="Arial"/>
          <w:color w:val="0000FC"/>
          <w:sz w:val="20"/>
          <w:szCs w:val="20"/>
          <w:u w:val="none"/>
        </w:rPr>
        <w:br w:type="page"/>
      </w:r>
    </w:p>
    <w:p w:rsidR="00BD32DA" w:rsidRPr="00135B51" w:rsidRDefault="00BD32DA" w:rsidP="00BD32DA">
      <w:pPr>
        <w:keepNext/>
        <w:keepLines/>
        <w:spacing w:before="240" w:after="0"/>
        <w:jc w:val="center"/>
        <w:outlineLvl w:val="0"/>
        <w:rPr>
          <w:rFonts w:ascii="Corbel" w:eastAsiaTheme="majorEastAsia" w:hAnsi="Corbel" w:cstheme="minorHAnsi"/>
          <w:b/>
          <w:bCs/>
          <w:color w:val="FF0000"/>
          <w:sz w:val="32"/>
          <w:szCs w:val="32"/>
        </w:rPr>
      </w:pPr>
      <w:bookmarkStart w:id="146" w:name="_Toc482805065"/>
      <w:bookmarkStart w:id="147" w:name="_Toc483263578"/>
      <w:bookmarkStart w:id="148" w:name="_Toc483350218"/>
      <w:bookmarkStart w:id="149" w:name="_Toc483813634"/>
      <w:bookmarkStart w:id="150" w:name="_Toc484093504"/>
      <w:r w:rsidRPr="009B47F9">
        <w:rPr>
          <w:rStyle w:val="Hyperlink"/>
          <w:rFonts w:ascii="Arial" w:hAnsi="Arial" w:cs="Arial"/>
          <w:noProof/>
          <w:color w:val="0000FC"/>
          <w:sz w:val="18"/>
          <w:szCs w:val="18"/>
          <w:u w:val="none"/>
          <w:lang w:eastAsia="en-AU"/>
        </w:rPr>
        <mc:AlternateContent>
          <mc:Choice Requires="wps">
            <w:drawing>
              <wp:anchor distT="0" distB="0" distL="114300" distR="114300" simplePos="0" relativeHeight="251673600" behindDoc="1" locked="0" layoutInCell="1" allowOverlap="1" wp14:anchorId="2749715F" wp14:editId="478F1664">
                <wp:simplePos x="0" y="0"/>
                <wp:positionH relativeFrom="column">
                  <wp:posOffset>-142875</wp:posOffset>
                </wp:positionH>
                <wp:positionV relativeFrom="paragraph">
                  <wp:posOffset>-99695</wp:posOffset>
                </wp:positionV>
                <wp:extent cx="6162675" cy="90582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9058275"/>
                        </a:xfrm>
                        <a:prstGeom prst="rect">
                          <a:avLst/>
                        </a:prstGeom>
                        <a:solidFill>
                          <a:srgbClr val="FFFFFF"/>
                        </a:solidFill>
                        <a:ln w="9525">
                          <a:noFill/>
                          <a:miter lim="800000"/>
                          <a:headEnd/>
                          <a:tailEnd/>
                        </a:ln>
                      </wps:spPr>
                      <wps:txbx>
                        <w:txbxContent>
                          <w:p w:rsidR="001910BA" w:rsidRDefault="001910BA" w:rsidP="00BD32DA">
                            <w:pPr>
                              <w:shd w:val="clear" w:color="auto" w:fill="EBECDB" w:themeFill="accent4"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25pt;margin-top:-7.85pt;width:485.25pt;height:713.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gT7HwIAABwEAAAOAAAAZHJzL2Uyb0RvYy54bWysU8Fu2zAMvQ/YPwi6L3aMJG2NOEWXLsOA&#10;rhvQ7gMYWY6FSaInKbGzrx8lp2m23YbpIJAi+Ug+UsvbwWh2kM4rtBWfTnLOpBVYK7ur+Lfnzbtr&#10;znwAW4NGKyt+lJ7frt6+WfZdKQtsUdfSMQKxvuy7irchdGWWedFKA36CnbRkbNAZCKS6XVY76And&#10;6KzI80XWo6s7h0J6T6/3o5GvEn7TSBG+NI2XgemKU20h3S7d23hnqyWUOwddq8SpDPiHKgwoS0nP&#10;UPcQgO2d+gvKKOHQYxMmAk2GTaOETD1QN9P8j26eWuhk6oXI8d2ZJv//YMXj4atjqq54wZkFQyN6&#10;lkNg73FgRWSn73xJTk8duYWBnmnKqVPfPaD47pnFdQt2J++cw76VUFN10xiZXYSOOD6CbPvPWFMa&#10;2AdMQEPjTKSOyGCETlM6nicTSxH0uJguisXVnDNBtpt8fl2QEnNA+RLeOR8+SjQsChV3NPoED4cH&#10;H0bXF5eYzaNW9UZpnRS32661YwegNdmkc0L/zU1b1lP6eTFPyBZjPEFDaVSgNdbKVPw6jyeGQxnp&#10;+GDrJAdQepSpaG1P/ERKRnLCsB3IMZK2xfpITDkc15W+Fwktup+c9bSqFfc/9uAkZ/qTJbZvprNZ&#10;3O2kzOZXBSnu0rK9tIAVBFXxwNkorkP6D7Fei3c0lUYlvl4rOdVKK5gYP32XuOOXevJ6/dSrXwAA&#10;AP//AwBQSwMEFAAGAAgAAAAhAAsysejfAAAADAEAAA8AAABkcnMvZG93bnJldi54bWxMj8FugzAM&#10;hu+T9g6RK+0ytQEEhTJCtU3atGu7PoABF1BJgkha6NvPO203W/70+/uL/aIHcaPJ9dYoCDcBCDK1&#10;bXrTKjh9f6wzEM6jaXCwhhTcycG+fHwoMG/sbA50O/pWcIhxOSrovB9zKV3dkUa3sSMZvp3tpNHz&#10;OrWymXDmcD3IKAi2UmNv+EOHI713VF+OV63g/DU/J7u5+vSn9BBv37BPK3tX6mm1vL6A8LT4Pxh+&#10;9VkdSnaq7NU0TgwK1lGUMMpDmKQgmNjFGberGI3DIANZFvJ/ifIHAAD//wMAUEsBAi0AFAAGAAgA&#10;AAAhALaDOJL+AAAA4QEAABMAAAAAAAAAAAAAAAAAAAAAAFtDb250ZW50X1R5cGVzXS54bWxQSwEC&#10;LQAUAAYACAAAACEAOP0h/9YAAACUAQAACwAAAAAAAAAAAAAAAAAvAQAAX3JlbHMvLnJlbHNQSwEC&#10;LQAUAAYACAAAACEADgYE+x8CAAAcBAAADgAAAAAAAAAAAAAAAAAuAgAAZHJzL2Uyb0RvYy54bWxQ&#10;SwECLQAUAAYACAAAACEACzKx6N8AAAAMAQAADwAAAAAAAAAAAAAAAAB5BAAAZHJzL2Rvd25yZXYu&#10;eG1sUEsFBgAAAAAEAAQA8wAAAIUFAAAAAA==&#10;" stroked="f">
                <v:textbox>
                  <w:txbxContent>
                    <w:p w:rsidR="001910BA" w:rsidRDefault="001910BA" w:rsidP="00BD32DA">
                      <w:pPr>
                        <w:shd w:val="clear" w:color="auto" w:fill="EBECDB" w:themeFill="accent4" w:themeFillTint="33"/>
                      </w:pPr>
                    </w:p>
                  </w:txbxContent>
                </v:textbox>
              </v:shape>
            </w:pict>
          </mc:Fallback>
        </mc:AlternateContent>
      </w:r>
      <w:r w:rsidRPr="00135B51">
        <w:rPr>
          <w:rFonts w:ascii="Corbel" w:eastAsiaTheme="majorEastAsia" w:hAnsi="Corbel" w:cstheme="minorHAnsi"/>
          <w:b/>
          <w:bCs/>
          <w:color w:val="FF0000"/>
          <w:sz w:val="32"/>
          <w:szCs w:val="32"/>
        </w:rPr>
        <w:t>[Name of Higher Education Provider]</w:t>
      </w:r>
      <w:bookmarkEnd w:id="145"/>
      <w:bookmarkEnd w:id="146"/>
      <w:bookmarkEnd w:id="147"/>
      <w:bookmarkEnd w:id="148"/>
      <w:bookmarkEnd w:id="149"/>
      <w:bookmarkEnd w:id="150"/>
    </w:p>
    <w:p w:rsidR="00BD32DA" w:rsidRPr="00135B51" w:rsidRDefault="00BD32DA" w:rsidP="00BD32DA">
      <w:pPr>
        <w:keepNext/>
        <w:keepLines/>
        <w:numPr>
          <w:ilvl w:val="0"/>
          <w:numId w:val="28"/>
        </w:numPr>
        <w:spacing w:before="120" w:after="0" w:line="240" w:lineRule="auto"/>
        <w:ind w:left="357" w:hanging="357"/>
        <w:outlineLvl w:val="0"/>
        <w:rPr>
          <w:rFonts w:ascii="Corbel" w:eastAsiaTheme="majorEastAsia" w:hAnsi="Corbel" w:cs="Arial"/>
          <w:b/>
          <w:bCs/>
          <w:sz w:val="28"/>
          <w:szCs w:val="28"/>
        </w:rPr>
      </w:pPr>
      <w:bookmarkStart w:id="151" w:name="_Toc480754891"/>
      <w:bookmarkStart w:id="152" w:name="_Toc482805066"/>
      <w:bookmarkStart w:id="153" w:name="_Toc483263579"/>
      <w:bookmarkStart w:id="154" w:name="_Toc483350219"/>
      <w:bookmarkStart w:id="155" w:name="_Toc483813635"/>
      <w:bookmarkStart w:id="156" w:name="_Toc484093505"/>
      <w:r w:rsidRPr="00135B51">
        <w:rPr>
          <w:rFonts w:ascii="Corbel" w:hAnsi="Corbel"/>
          <w:b/>
          <w:sz w:val="28"/>
        </w:rPr>
        <w:t>About</w:t>
      </w:r>
      <w:r w:rsidRPr="00135B51">
        <w:rPr>
          <w:rFonts w:ascii="Corbel" w:eastAsiaTheme="majorEastAsia" w:hAnsi="Corbel" w:cs="Arial"/>
          <w:b/>
          <w:bCs/>
          <w:sz w:val="28"/>
          <w:szCs w:val="28"/>
        </w:rPr>
        <w:t xml:space="preserve"> </w:t>
      </w:r>
      <w:r w:rsidRPr="00135B51">
        <w:rPr>
          <w:rFonts w:ascii="Corbel" w:eastAsiaTheme="majorEastAsia" w:hAnsi="Corbel" w:cs="Arial"/>
          <w:b/>
          <w:bCs/>
          <w:color w:val="FF0000"/>
          <w:sz w:val="28"/>
          <w:szCs w:val="28"/>
        </w:rPr>
        <w:t>[Name of Higher Education Provider]</w:t>
      </w:r>
      <w:bookmarkEnd w:id="151"/>
      <w:r w:rsidRPr="00135B51">
        <w:rPr>
          <w:rFonts w:ascii="Corbel" w:eastAsiaTheme="majorEastAsia" w:hAnsi="Corbel" w:cs="Arial"/>
          <w:b/>
          <w:bCs/>
          <w:color w:val="FF0000"/>
          <w:sz w:val="28"/>
          <w:szCs w:val="28"/>
        </w:rPr>
        <w:t xml:space="preserve"> </w:t>
      </w:r>
      <w:r w:rsidRPr="00135B51">
        <w:rPr>
          <w:rStyle w:val="Hyperlink"/>
          <w:rFonts w:ascii="Corbel" w:hAnsi="Corbel" w:cs="Arial"/>
          <w:i/>
          <w:color w:val="FF0000"/>
          <w:sz w:val="28"/>
          <w:szCs w:val="28"/>
          <w:u w:val="none"/>
        </w:rPr>
        <w:t>[CORE – required in 2017]</w:t>
      </w:r>
      <w:bookmarkEnd w:id="152"/>
      <w:bookmarkEnd w:id="153"/>
      <w:bookmarkEnd w:id="154"/>
      <w:bookmarkEnd w:id="155"/>
      <w:bookmarkEnd w:id="156"/>
    </w:p>
    <w:p w:rsidR="003F00F6" w:rsidRDefault="00BD32DA" w:rsidP="005A565D">
      <w:pPr>
        <w:spacing w:after="0"/>
        <w:rPr>
          <w:rStyle w:val="Hyperlink"/>
          <w:rFonts w:ascii="Arial" w:hAnsi="Arial"/>
          <w:color w:val="0000FC"/>
          <w:sz w:val="20"/>
          <w:u w:val="none"/>
        </w:rPr>
      </w:pPr>
      <w:r w:rsidRPr="00537ABC">
        <w:rPr>
          <w:rStyle w:val="Hyperlink"/>
          <w:rFonts w:ascii="Arial" w:hAnsi="Arial"/>
          <w:color w:val="0000FC"/>
          <w:sz w:val="20"/>
          <w:u w:val="none"/>
        </w:rPr>
        <w:t>[General information about studying at the institution, such as</w:t>
      </w:r>
      <w:r w:rsidR="003F00F6">
        <w:rPr>
          <w:rStyle w:val="Hyperlink"/>
          <w:rFonts w:ascii="Arial" w:hAnsi="Arial"/>
          <w:color w:val="0000FC"/>
          <w:sz w:val="20"/>
          <w:u w:val="none"/>
        </w:rPr>
        <w:t>:</w:t>
      </w:r>
    </w:p>
    <w:p w:rsidR="003F00F6" w:rsidRPr="003F00F6" w:rsidRDefault="00BD32DA" w:rsidP="006F1138">
      <w:pPr>
        <w:pStyle w:val="ListParagraph"/>
        <w:numPr>
          <w:ilvl w:val="0"/>
          <w:numId w:val="46"/>
        </w:numPr>
        <w:rPr>
          <w:rStyle w:val="Hyperlink"/>
          <w:rFonts w:ascii="Arial" w:hAnsi="Arial"/>
          <w:color w:val="0000FC"/>
          <w:sz w:val="20"/>
          <w:u w:val="none"/>
        </w:rPr>
      </w:pPr>
      <w:r w:rsidRPr="003F00F6">
        <w:rPr>
          <w:rStyle w:val="Hyperlink"/>
          <w:rFonts w:ascii="Arial" w:hAnsi="Arial"/>
          <w:color w:val="0000FC"/>
          <w:sz w:val="20"/>
          <w:u w:val="none"/>
        </w:rPr>
        <w:t xml:space="preserve">campus locations, </w:t>
      </w:r>
    </w:p>
    <w:p w:rsidR="003F00F6" w:rsidRPr="003F00F6" w:rsidRDefault="00BD32DA" w:rsidP="006F1138">
      <w:pPr>
        <w:pStyle w:val="ListParagraph"/>
        <w:numPr>
          <w:ilvl w:val="0"/>
          <w:numId w:val="46"/>
        </w:numPr>
        <w:rPr>
          <w:rStyle w:val="Hyperlink"/>
          <w:rFonts w:ascii="Arial" w:hAnsi="Arial"/>
          <w:color w:val="0000FC"/>
          <w:sz w:val="20"/>
          <w:u w:val="none"/>
        </w:rPr>
      </w:pPr>
      <w:r w:rsidRPr="003F00F6">
        <w:rPr>
          <w:rStyle w:val="Hyperlink"/>
          <w:rFonts w:ascii="Arial" w:hAnsi="Arial"/>
          <w:color w:val="0000FC"/>
          <w:sz w:val="20"/>
          <w:u w:val="none"/>
        </w:rPr>
        <w:t xml:space="preserve">information about open days (including campus visits), </w:t>
      </w:r>
    </w:p>
    <w:p w:rsidR="00BD32DA" w:rsidRPr="003F00F6" w:rsidRDefault="00BD32DA" w:rsidP="006F1138">
      <w:pPr>
        <w:pStyle w:val="ListParagraph"/>
        <w:numPr>
          <w:ilvl w:val="0"/>
          <w:numId w:val="46"/>
        </w:numPr>
        <w:rPr>
          <w:rStyle w:val="Hyperlink"/>
          <w:rFonts w:ascii="Arial" w:hAnsi="Arial"/>
          <w:color w:val="0000FC"/>
          <w:sz w:val="20"/>
          <w:u w:val="none"/>
        </w:rPr>
      </w:pPr>
      <w:r w:rsidRPr="003F00F6">
        <w:rPr>
          <w:rStyle w:val="Hyperlink"/>
          <w:rFonts w:ascii="Arial" w:hAnsi="Arial"/>
          <w:color w:val="0000FC"/>
          <w:sz w:val="20"/>
          <w:u w:val="none"/>
        </w:rPr>
        <w:t>important dates (including enrolment dates).</w:t>
      </w:r>
    </w:p>
    <w:p w:rsidR="00BD32DA" w:rsidRPr="003F00F6" w:rsidRDefault="003F00F6" w:rsidP="005A565D">
      <w:pPr>
        <w:pStyle w:val="ListParagraph"/>
        <w:numPr>
          <w:ilvl w:val="0"/>
          <w:numId w:val="46"/>
        </w:numPr>
        <w:rPr>
          <w:rStyle w:val="Hyperlink"/>
          <w:rFonts w:ascii="Arial" w:hAnsi="Arial"/>
          <w:color w:val="0000FC"/>
          <w:sz w:val="20"/>
          <w:u w:val="none"/>
        </w:rPr>
      </w:pPr>
      <w:r w:rsidRPr="003F00F6">
        <w:rPr>
          <w:rStyle w:val="Hyperlink"/>
          <w:rFonts w:ascii="Arial" w:hAnsi="Arial"/>
          <w:color w:val="0000FC"/>
          <w:sz w:val="20"/>
          <w:u w:val="none"/>
        </w:rPr>
        <w:t>c</w:t>
      </w:r>
      <w:r w:rsidR="00BD32DA" w:rsidRPr="003F00F6">
        <w:rPr>
          <w:rStyle w:val="Hyperlink"/>
          <w:rFonts w:ascii="Arial" w:hAnsi="Arial"/>
          <w:color w:val="0000FC"/>
          <w:sz w:val="20"/>
          <w:u w:val="none"/>
        </w:rPr>
        <w:t>ontact details, including online and in-person options, if available.]</w:t>
      </w:r>
    </w:p>
    <w:p w:rsidR="00BD32DA" w:rsidRPr="00135B51" w:rsidRDefault="00BD32DA" w:rsidP="00BD32DA">
      <w:pPr>
        <w:keepNext/>
        <w:keepLines/>
        <w:numPr>
          <w:ilvl w:val="0"/>
          <w:numId w:val="28"/>
        </w:numPr>
        <w:spacing w:before="240" w:after="0" w:line="240" w:lineRule="auto"/>
        <w:ind w:left="567" w:hanging="567"/>
        <w:outlineLvl w:val="0"/>
        <w:rPr>
          <w:rFonts w:ascii="Corbel" w:hAnsi="Corbel"/>
          <w:b/>
          <w:sz w:val="28"/>
        </w:rPr>
      </w:pPr>
      <w:bookmarkStart w:id="157" w:name="_Toc482805067"/>
      <w:bookmarkStart w:id="158" w:name="_Toc483263580"/>
      <w:bookmarkStart w:id="159" w:name="_Toc483350220"/>
      <w:bookmarkStart w:id="160" w:name="_Toc483813636"/>
      <w:bookmarkStart w:id="161" w:name="_Toc484093506"/>
      <w:bookmarkStart w:id="162" w:name="_Toc480754892"/>
      <w:r w:rsidRPr="00135B51">
        <w:rPr>
          <w:rFonts w:ascii="Corbel" w:hAnsi="Corbel"/>
          <w:b/>
          <w:sz w:val="28"/>
        </w:rPr>
        <w:t xml:space="preserve">Admission </w:t>
      </w:r>
      <w:r w:rsidR="00AB3E40">
        <w:rPr>
          <w:rFonts w:ascii="Corbel" w:hAnsi="Corbel"/>
          <w:b/>
          <w:sz w:val="28"/>
        </w:rPr>
        <w:t>criteria</w:t>
      </w:r>
      <w:r w:rsidRPr="00135B51">
        <w:rPr>
          <w:rFonts w:ascii="Corbel" w:hAnsi="Corbel"/>
          <w:b/>
          <w:sz w:val="28"/>
        </w:rPr>
        <w:t xml:space="preserve"> </w:t>
      </w:r>
      <w:r w:rsidR="00961882" w:rsidRPr="00B212A2">
        <w:rPr>
          <w:rFonts w:ascii="Corbel" w:hAnsi="Corbel" w:cs="Arial"/>
          <w:i/>
          <w:color w:val="0000FF"/>
          <w:sz w:val="24"/>
          <w:szCs w:val="24"/>
        </w:rPr>
        <w:t>[NB: ordering of A to D is optional]</w:t>
      </w:r>
      <w:r w:rsidR="00961882" w:rsidRPr="005A565D">
        <w:rPr>
          <w:rStyle w:val="Hyperlink"/>
          <w:rFonts w:ascii="Corbel" w:hAnsi="Corbel"/>
          <w:i/>
          <w:color w:val="FF0000"/>
          <w:sz w:val="28"/>
          <w:u w:val="none"/>
        </w:rPr>
        <w:t xml:space="preserve"> </w:t>
      </w:r>
      <w:r w:rsidRPr="00135B51">
        <w:rPr>
          <w:rStyle w:val="Hyperlink"/>
          <w:rFonts w:ascii="Corbel" w:hAnsi="Corbel" w:cs="Arial"/>
          <w:i/>
          <w:color w:val="FF0000"/>
          <w:sz w:val="28"/>
          <w:szCs w:val="28"/>
          <w:u w:val="none"/>
        </w:rPr>
        <w:t>[CORE – required in 2017]</w:t>
      </w:r>
      <w:bookmarkEnd w:id="157"/>
      <w:bookmarkEnd w:id="158"/>
      <w:bookmarkEnd w:id="159"/>
      <w:bookmarkEnd w:id="160"/>
      <w:bookmarkEnd w:id="161"/>
    </w:p>
    <w:p w:rsidR="009143BA" w:rsidRPr="00135B51" w:rsidRDefault="009143BA" w:rsidP="00D67ADB">
      <w:pPr>
        <w:pStyle w:val="Recommendationwithspace"/>
        <w:numPr>
          <w:ilvl w:val="0"/>
          <w:numId w:val="20"/>
        </w:numPr>
        <w:pBdr>
          <w:top w:val="none" w:sz="0" w:space="0" w:color="auto"/>
        </w:pBdr>
        <w:shd w:val="clear" w:color="auto" w:fill="auto"/>
        <w:rPr>
          <w:rFonts w:ascii="Corbel" w:hAnsi="Corbel" w:cs="Arial"/>
          <w:color w:val="auto"/>
        </w:rPr>
      </w:pPr>
      <w:bookmarkStart w:id="163" w:name="_Toc483263581"/>
      <w:bookmarkStart w:id="164" w:name="_Toc483350221"/>
      <w:bookmarkStart w:id="165" w:name="_Toc483813637"/>
      <w:bookmarkStart w:id="166" w:name="_Toc484093507"/>
      <w:bookmarkStart w:id="167" w:name="_Toc482805068"/>
      <w:r w:rsidRPr="00135B51">
        <w:rPr>
          <w:rFonts w:ascii="Corbel" w:hAnsi="Corbel" w:cs="Arial"/>
          <w:color w:val="auto"/>
        </w:rPr>
        <w:t>Applicants with higher education study</w:t>
      </w:r>
      <w:bookmarkEnd w:id="163"/>
      <w:bookmarkEnd w:id="164"/>
      <w:bookmarkEnd w:id="165"/>
      <w:bookmarkEnd w:id="166"/>
      <w:r w:rsidR="00961882">
        <w:rPr>
          <w:rFonts w:ascii="Corbel" w:hAnsi="Corbel" w:cs="Arial"/>
          <w:color w:val="auto"/>
        </w:rPr>
        <w:t xml:space="preserve"> </w:t>
      </w:r>
    </w:p>
    <w:p w:rsidR="009143BA" w:rsidRPr="00537ABC" w:rsidRDefault="009143BA" w:rsidP="009143BA">
      <w:pPr>
        <w:spacing w:after="240"/>
        <w:ind w:left="720"/>
        <w:rPr>
          <w:rStyle w:val="Hyperlink"/>
          <w:rFonts w:ascii="Arial" w:hAnsi="Arial"/>
          <w:color w:val="0000FC"/>
          <w:sz w:val="18"/>
          <w:u w:val="none"/>
        </w:rPr>
      </w:pPr>
      <w:r w:rsidRPr="00537ABC">
        <w:rPr>
          <w:rStyle w:val="Hyperlink"/>
          <w:rFonts w:ascii="Arial" w:hAnsi="Arial"/>
          <w:color w:val="0000FC"/>
          <w:sz w:val="18"/>
          <w:u w:val="none"/>
        </w:rPr>
        <w:t>[Indicate how students are assessed and selected if they have undertaken higher education, including a description of credit transfer arrangements and recognition of prior learning (RPL) processes.]</w:t>
      </w:r>
    </w:p>
    <w:p w:rsidR="00E43825" w:rsidRPr="00135B51" w:rsidRDefault="00E43825" w:rsidP="00D67ADB">
      <w:pPr>
        <w:keepNext/>
        <w:spacing w:before="240" w:after="0"/>
        <w:ind w:left="720"/>
        <w:rPr>
          <w:rFonts w:ascii="Corbel" w:hAnsi="Corbel"/>
          <w:i/>
        </w:rPr>
      </w:pPr>
      <w:r w:rsidRPr="00135B51">
        <w:rPr>
          <w:rFonts w:ascii="Corbel" w:hAnsi="Corbel"/>
          <w:i/>
        </w:rPr>
        <w:t>Completed bridging or enabling course</w:t>
      </w:r>
    </w:p>
    <w:p w:rsidR="00E43825" w:rsidRPr="00537ABC" w:rsidRDefault="00E43825" w:rsidP="00537ABC">
      <w:pPr>
        <w:spacing w:after="0"/>
        <w:ind w:left="720"/>
        <w:rPr>
          <w:rStyle w:val="Hyperlink"/>
          <w:rFonts w:ascii="Arial" w:hAnsi="Arial"/>
          <w:color w:val="0000FC"/>
          <w:sz w:val="18"/>
          <w:u w:val="none"/>
        </w:rPr>
      </w:pPr>
      <w:r w:rsidRPr="00135B51">
        <w:rPr>
          <w:rStyle w:val="Hyperlink"/>
          <w:rFonts w:ascii="Arial" w:hAnsi="Arial" w:cs="Arial"/>
          <w:color w:val="0000FC"/>
          <w:sz w:val="18"/>
          <w:szCs w:val="18"/>
          <w:u w:val="none"/>
        </w:rPr>
        <w:t xml:space="preserve">[Indicate how </w:t>
      </w:r>
      <w:r>
        <w:rPr>
          <w:rStyle w:val="Hyperlink"/>
          <w:rFonts w:ascii="Arial" w:hAnsi="Arial" w:cs="Arial"/>
          <w:color w:val="0000FC"/>
          <w:sz w:val="18"/>
          <w:szCs w:val="18"/>
          <w:u w:val="none"/>
        </w:rPr>
        <w:t>applicants</w:t>
      </w:r>
      <w:r w:rsidRPr="00135B51">
        <w:rPr>
          <w:rStyle w:val="Hyperlink"/>
          <w:rFonts w:ascii="Arial" w:hAnsi="Arial" w:cs="Arial"/>
          <w:color w:val="0000FC"/>
          <w:sz w:val="18"/>
          <w:szCs w:val="18"/>
          <w:u w:val="none"/>
        </w:rPr>
        <w:t xml:space="preserve"> are assessed</w:t>
      </w:r>
      <w:r w:rsidRPr="00537ABC">
        <w:rPr>
          <w:rStyle w:val="Hyperlink"/>
          <w:rFonts w:ascii="Arial" w:hAnsi="Arial"/>
          <w:color w:val="0000FC"/>
          <w:sz w:val="18"/>
          <w:u w:val="none"/>
        </w:rPr>
        <w:t xml:space="preserve"> if they have completed a bridging or enabling course.]</w:t>
      </w:r>
    </w:p>
    <w:p w:rsidR="009143BA" w:rsidRPr="00135B51" w:rsidRDefault="009143BA" w:rsidP="00D67ADB">
      <w:pPr>
        <w:pStyle w:val="Recommendationwithspace"/>
        <w:numPr>
          <w:ilvl w:val="0"/>
          <w:numId w:val="20"/>
        </w:numPr>
        <w:pBdr>
          <w:top w:val="none" w:sz="0" w:space="0" w:color="auto"/>
        </w:pBdr>
        <w:shd w:val="clear" w:color="auto" w:fill="auto"/>
        <w:rPr>
          <w:rFonts w:ascii="Corbel" w:hAnsi="Corbel" w:cs="Arial"/>
          <w:color w:val="auto"/>
        </w:rPr>
      </w:pPr>
      <w:bookmarkStart w:id="168" w:name="_Toc483263582"/>
      <w:bookmarkStart w:id="169" w:name="_Toc483350222"/>
      <w:bookmarkStart w:id="170" w:name="_Toc483813638"/>
      <w:bookmarkStart w:id="171" w:name="_Toc484093508"/>
      <w:r w:rsidRPr="00135B51">
        <w:rPr>
          <w:rFonts w:ascii="Corbel" w:hAnsi="Corbel" w:cs="Arial"/>
          <w:color w:val="auto"/>
        </w:rPr>
        <w:t>Applicants with vocational education and training (VET) study</w:t>
      </w:r>
      <w:bookmarkEnd w:id="168"/>
      <w:bookmarkEnd w:id="169"/>
      <w:bookmarkEnd w:id="170"/>
      <w:bookmarkEnd w:id="171"/>
    </w:p>
    <w:p w:rsidR="009143BA" w:rsidRPr="00537ABC" w:rsidRDefault="009143BA" w:rsidP="00D67ADB">
      <w:pPr>
        <w:spacing w:after="240"/>
        <w:ind w:left="720"/>
        <w:rPr>
          <w:rStyle w:val="Hyperlink"/>
          <w:rFonts w:ascii="Arial" w:hAnsi="Arial"/>
          <w:color w:val="0000FC"/>
          <w:sz w:val="18"/>
          <w:u w:val="none"/>
        </w:rPr>
      </w:pPr>
      <w:r w:rsidRPr="00537ABC">
        <w:rPr>
          <w:rStyle w:val="Hyperlink"/>
          <w:rFonts w:ascii="Arial" w:hAnsi="Arial"/>
          <w:color w:val="0000FC"/>
          <w:sz w:val="18"/>
          <w:u w:val="none"/>
        </w:rPr>
        <w:t xml:space="preserve">[Indicate how students are assessed and selected if they have undertaken </w:t>
      </w:r>
      <w:r w:rsidR="00B16298">
        <w:rPr>
          <w:rStyle w:val="Hyperlink"/>
          <w:rFonts w:ascii="Arial" w:hAnsi="Arial"/>
          <w:color w:val="0000FC"/>
          <w:sz w:val="18"/>
          <w:u w:val="none"/>
        </w:rPr>
        <w:t>VET study</w:t>
      </w:r>
      <w:r w:rsidRPr="00537ABC">
        <w:rPr>
          <w:rStyle w:val="Hyperlink"/>
          <w:rFonts w:ascii="Arial" w:hAnsi="Arial"/>
          <w:color w:val="0000FC"/>
          <w:sz w:val="18"/>
          <w:u w:val="none"/>
        </w:rPr>
        <w:t>, including a description of any credit transfer arrangements (e.g. from a partner VET provider) and RPL processes.]</w:t>
      </w:r>
    </w:p>
    <w:p w:rsidR="00BD32DA" w:rsidRPr="00537ABC" w:rsidRDefault="006526B3" w:rsidP="00537ABC">
      <w:pPr>
        <w:pStyle w:val="Recommendationwithspace"/>
        <w:numPr>
          <w:ilvl w:val="0"/>
          <w:numId w:val="20"/>
        </w:numPr>
        <w:pBdr>
          <w:top w:val="none" w:sz="0" w:space="0" w:color="auto"/>
        </w:pBdr>
        <w:shd w:val="clear" w:color="auto" w:fill="auto"/>
        <w:rPr>
          <w:rFonts w:ascii="Corbel" w:hAnsi="Corbel"/>
          <w:color w:val="auto"/>
        </w:rPr>
      </w:pPr>
      <w:bookmarkStart w:id="172" w:name="_Toc483263583"/>
      <w:bookmarkStart w:id="173" w:name="_Toc483350223"/>
      <w:bookmarkStart w:id="174" w:name="_Toc483813639"/>
      <w:bookmarkStart w:id="175" w:name="_Toc484093509"/>
      <w:r>
        <w:rPr>
          <w:rFonts w:ascii="Corbel" w:hAnsi="Corbel"/>
          <w:color w:val="auto"/>
        </w:rPr>
        <w:t>Applicants with r</w:t>
      </w:r>
      <w:r w:rsidR="00BD32DA" w:rsidRPr="00537ABC">
        <w:rPr>
          <w:rFonts w:ascii="Corbel" w:hAnsi="Corbel"/>
          <w:color w:val="auto"/>
        </w:rPr>
        <w:t xml:space="preserve">ecent </w:t>
      </w:r>
      <w:r w:rsidR="00F70BAA">
        <w:rPr>
          <w:rFonts w:ascii="Corbel" w:hAnsi="Corbel"/>
          <w:color w:val="auto"/>
        </w:rPr>
        <w:t>s</w:t>
      </w:r>
      <w:r w:rsidR="00631CB4">
        <w:rPr>
          <w:rFonts w:ascii="Corbel" w:hAnsi="Corbel"/>
          <w:color w:val="auto"/>
        </w:rPr>
        <w:t xml:space="preserve">econdary </w:t>
      </w:r>
      <w:r w:rsidR="00F70BAA">
        <w:rPr>
          <w:rFonts w:ascii="Corbel" w:hAnsi="Corbel"/>
          <w:color w:val="auto"/>
        </w:rPr>
        <w:t>e</w:t>
      </w:r>
      <w:r w:rsidR="00631CB4">
        <w:rPr>
          <w:rFonts w:ascii="Corbel" w:hAnsi="Corbel"/>
          <w:color w:val="auto"/>
        </w:rPr>
        <w:t xml:space="preserve">ducation </w:t>
      </w:r>
      <w:r w:rsidR="00BD32DA" w:rsidRPr="00537ABC">
        <w:rPr>
          <w:rFonts w:ascii="Corbel" w:hAnsi="Corbel"/>
          <w:color w:val="auto"/>
        </w:rPr>
        <w:t>(within the past two years)</w:t>
      </w:r>
      <w:bookmarkEnd w:id="167"/>
      <w:bookmarkEnd w:id="172"/>
      <w:bookmarkEnd w:id="173"/>
      <w:bookmarkEnd w:id="174"/>
      <w:bookmarkEnd w:id="175"/>
    </w:p>
    <w:p w:rsidR="00631CB4" w:rsidRPr="006F1138" w:rsidRDefault="00631CB4" w:rsidP="006F1138">
      <w:pPr>
        <w:keepNext/>
        <w:spacing w:before="240" w:after="0"/>
        <w:ind w:left="720"/>
        <w:rPr>
          <w:rFonts w:ascii="Corbel" w:hAnsi="Corbel"/>
          <w:i/>
        </w:rPr>
      </w:pPr>
      <w:r w:rsidRPr="005A565D">
        <w:rPr>
          <w:rFonts w:ascii="Corbel" w:hAnsi="Corbel"/>
          <w:i/>
        </w:rPr>
        <w:t>Australian Year 12 students</w:t>
      </w:r>
    </w:p>
    <w:p w:rsidR="00BD32DA" w:rsidRPr="00537ABC" w:rsidRDefault="00BD32DA" w:rsidP="00BD32DA">
      <w:pPr>
        <w:spacing w:after="240"/>
        <w:ind w:left="720"/>
        <w:rPr>
          <w:rStyle w:val="Hyperlink"/>
          <w:rFonts w:ascii="Arial" w:hAnsi="Arial"/>
          <w:color w:val="0000FC"/>
          <w:sz w:val="18"/>
          <w:u w:val="none"/>
        </w:rPr>
      </w:pPr>
      <w:r w:rsidRPr="00537ABC">
        <w:rPr>
          <w:rStyle w:val="Hyperlink"/>
          <w:rFonts w:ascii="Arial" w:hAnsi="Arial"/>
          <w:color w:val="0000FC"/>
          <w:sz w:val="18"/>
          <w:u w:val="none"/>
        </w:rPr>
        <w:t>[General information on how ATARs are used by the provider and TAC, how International Baccalaureate (IB) ATAR equivalence is generated, and other information of relevance at the institutional level. A note should send prospective students to the relevant course information set for details on specific courses.]</w:t>
      </w:r>
    </w:p>
    <w:p w:rsidR="00BD32DA" w:rsidRPr="00135B51" w:rsidRDefault="00BD32DA" w:rsidP="00BD32DA">
      <w:pPr>
        <w:keepNext/>
        <w:spacing w:before="240" w:after="0"/>
        <w:ind w:left="720"/>
        <w:rPr>
          <w:rFonts w:ascii="Corbel" w:hAnsi="Corbel"/>
          <w:i/>
        </w:rPr>
      </w:pPr>
      <w:r w:rsidRPr="00135B51">
        <w:rPr>
          <w:rFonts w:ascii="Corbel" w:hAnsi="Corbel"/>
          <w:i/>
        </w:rPr>
        <w:t>ATAR-related adjustments</w:t>
      </w:r>
    </w:p>
    <w:p w:rsidR="00BD32DA" w:rsidRPr="00537ABC" w:rsidRDefault="00BD32DA" w:rsidP="00BD32DA">
      <w:pPr>
        <w:spacing w:after="240"/>
        <w:ind w:left="720"/>
        <w:rPr>
          <w:rStyle w:val="Hyperlink"/>
          <w:rFonts w:ascii="Arial" w:hAnsi="Arial"/>
          <w:color w:val="0000FC"/>
          <w:sz w:val="18"/>
          <w:u w:val="none"/>
        </w:rPr>
      </w:pPr>
      <w:r w:rsidRPr="00537ABC">
        <w:rPr>
          <w:rStyle w:val="Hyperlink"/>
          <w:rFonts w:ascii="Arial" w:hAnsi="Arial"/>
          <w:color w:val="0000FC"/>
          <w:sz w:val="18"/>
          <w:u w:val="none"/>
        </w:rPr>
        <w:t>[Information on the types of adjustments to ATAR-based admissions (e.g. ‘bonus points’) commonly available for courses at the institution. All types of equity, subject, elite performance or other adjustment factors should be detailed where these are available, including the maximum available for each type and overall. Any other available ATAR-related adjustments or considerations should also be detailed such as any reduction in ATAR threshold applicable for equity considerations where</w:t>
      </w:r>
      <w:r w:rsidR="0035384E">
        <w:rPr>
          <w:rStyle w:val="Hyperlink"/>
          <w:rFonts w:ascii="Arial" w:hAnsi="Arial"/>
          <w:color w:val="0000FC"/>
          <w:sz w:val="18"/>
          <w:u w:val="none"/>
        </w:rPr>
        <w:t xml:space="preserve"> ‘bonus points’ </w:t>
      </w:r>
      <w:r w:rsidRPr="00537ABC">
        <w:rPr>
          <w:rStyle w:val="Hyperlink"/>
          <w:rFonts w:ascii="Arial" w:hAnsi="Arial"/>
          <w:color w:val="0000FC"/>
          <w:sz w:val="18"/>
          <w:u w:val="none"/>
        </w:rPr>
        <w:t>might not be used.]</w:t>
      </w:r>
    </w:p>
    <w:p w:rsidR="00BD32DA" w:rsidRPr="00135B51" w:rsidRDefault="00AB3E40" w:rsidP="00BD32DA">
      <w:pPr>
        <w:keepNext/>
        <w:spacing w:before="240" w:after="0"/>
        <w:ind w:left="720"/>
        <w:rPr>
          <w:rFonts w:ascii="Corbel" w:hAnsi="Corbel"/>
          <w:i/>
        </w:rPr>
      </w:pPr>
      <w:r>
        <w:rPr>
          <w:rFonts w:ascii="Corbel" w:hAnsi="Corbel"/>
          <w:i/>
        </w:rPr>
        <w:t>Criteria</w:t>
      </w:r>
      <w:r w:rsidR="00BD32DA" w:rsidRPr="00135B51">
        <w:rPr>
          <w:rFonts w:ascii="Corbel" w:hAnsi="Corbel"/>
          <w:i/>
        </w:rPr>
        <w:t xml:space="preserve"> that may apply in addition to ATAR</w:t>
      </w:r>
    </w:p>
    <w:p w:rsidR="00BD32DA" w:rsidRPr="00537ABC" w:rsidRDefault="00BD32DA" w:rsidP="00BD32DA">
      <w:pPr>
        <w:spacing w:after="240"/>
        <w:ind w:left="720"/>
        <w:rPr>
          <w:rStyle w:val="Hyperlink"/>
          <w:rFonts w:ascii="Arial" w:hAnsi="Arial"/>
          <w:color w:val="0000FC"/>
          <w:sz w:val="18"/>
          <w:u w:val="none"/>
        </w:rPr>
      </w:pPr>
      <w:r w:rsidRPr="00537ABC">
        <w:rPr>
          <w:rStyle w:val="Hyperlink"/>
          <w:rFonts w:ascii="Arial" w:hAnsi="Arial"/>
          <w:color w:val="0000FC"/>
          <w:sz w:val="18"/>
          <w:u w:val="none"/>
        </w:rPr>
        <w:t>[Information on the range of additional tests, portfolio assessments, auditions or other types of evidence that may be required in some cases, over and above a competitive ATAR.]</w:t>
      </w:r>
    </w:p>
    <w:p w:rsidR="00BD32DA" w:rsidRPr="00135B51" w:rsidRDefault="00BD32DA" w:rsidP="00BD32DA">
      <w:pPr>
        <w:keepNext/>
        <w:spacing w:before="240" w:after="0"/>
        <w:ind w:left="720"/>
        <w:rPr>
          <w:rFonts w:ascii="Corbel" w:hAnsi="Corbel"/>
          <w:i/>
        </w:rPr>
      </w:pPr>
      <w:r w:rsidRPr="00135B51">
        <w:rPr>
          <w:rFonts w:ascii="Corbel" w:hAnsi="Corbel"/>
          <w:i/>
        </w:rPr>
        <w:t>Other admission options</w:t>
      </w:r>
    </w:p>
    <w:p w:rsidR="00BD32DA" w:rsidRPr="00537ABC" w:rsidRDefault="00BD32DA" w:rsidP="00BD32DA">
      <w:pPr>
        <w:spacing w:after="240"/>
        <w:ind w:left="720"/>
        <w:rPr>
          <w:rStyle w:val="Hyperlink"/>
          <w:rFonts w:ascii="Arial" w:hAnsi="Arial"/>
          <w:color w:val="0000FC"/>
          <w:sz w:val="18"/>
          <w:u w:val="none"/>
        </w:rPr>
      </w:pPr>
      <w:r w:rsidRPr="00537ABC">
        <w:rPr>
          <w:rStyle w:val="Hyperlink"/>
          <w:rFonts w:ascii="Arial" w:hAnsi="Arial"/>
          <w:color w:val="0000FC"/>
          <w:sz w:val="18"/>
          <w:u w:val="none"/>
        </w:rPr>
        <w:t>[Detail all non-ATAR admission options available to recent school leavers. This should include all possible alternative application or assessment options where ATAR is not considered – e.g. special consideration due to</w:t>
      </w:r>
      <w:r w:rsidRPr="00F5655F">
        <w:rPr>
          <w:rStyle w:val="Hyperlink"/>
          <w:rFonts w:ascii="Arial" w:hAnsi="Arial"/>
          <w:color w:val="0000FC"/>
          <w:sz w:val="18"/>
          <w:u w:val="none"/>
        </w:rPr>
        <w:t xml:space="preserve"> disability,</w:t>
      </w:r>
      <w:r w:rsidRPr="00537ABC">
        <w:rPr>
          <w:rStyle w:val="Hyperlink"/>
          <w:rFonts w:ascii="Arial" w:hAnsi="Arial"/>
          <w:color w:val="0000FC"/>
          <w:sz w:val="18"/>
          <w:u w:val="none"/>
        </w:rPr>
        <w:t xml:space="preserve"> illness or family disruption, audition alone where ATAR is not considered, schools recommendation scheme where no ATAR threshold is applied in addition. Elite athlete or performer </w:t>
      </w:r>
      <w:r w:rsidR="00D12A91" w:rsidRPr="00F5655F">
        <w:rPr>
          <w:rStyle w:val="Hyperlink"/>
          <w:rFonts w:ascii="Arial" w:hAnsi="Arial"/>
          <w:color w:val="0000FC"/>
          <w:sz w:val="18"/>
          <w:u w:val="none"/>
        </w:rPr>
        <w:t xml:space="preserve">or community service-related </w:t>
      </w:r>
      <w:r w:rsidRPr="00537ABC">
        <w:rPr>
          <w:rStyle w:val="Hyperlink"/>
          <w:rFonts w:ascii="Arial" w:hAnsi="Arial"/>
          <w:color w:val="0000FC"/>
          <w:sz w:val="18"/>
          <w:u w:val="none"/>
        </w:rPr>
        <w:t>schemes could also be included here if not handled via ATAR-related adjustment factors.</w:t>
      </w:r>
      <w:r w:rsidR="00F5655F" w:rsidRPr="00F5655F">
        <w:rPr>
          <w:rStyle w:val="Hyperlink"/>
          <w:rFonts w:ascii="Arial" w:hAnsi="Arial"/>
          <w:color w:val="0000FC"/>
          <w:sz w:val="18"/>
          <w:u w:val="none"/>
        </w:rPr>
        <w:t xml:space="preserve"> </w:t>
      </w:r>
      <w:r w:rsidR="00F5655F">
        <w:rPr>
          <w:rStyle w:val="Hyperlink"/>
          <w:rFonts w:ascii="Arial" w:hAnsi="Arial"/>
          <w:color w:val="0000FC"/>
          <w:sz w:val="18"/>
          <w:u w:val="none"/>
        </w:rPr>
        <w:t>As much information as is necessary should be provided to outline all possible assessment options to demonstrate eligibility admission.]</w:t>
      </w:r>
    </w:p>
    <w:p w:rsidR="00BD32DA" w:rsidRPr="00135B51" w:rsidRDefault="00BD32DA" w:rsidP="00BD32DA">
      <w:pPr>
        <w:keepNext/>
        <w:spacing w:before="240" w:after="0"/>
        <w:ind w:left="720"/>
        <w:rPr>
          <w:rFonts w:ascii="Corbel" w:hAnsi="Corbel"/>
          <w:i/>
        </w:rPr>
      </w:pPr>
      <w:r w:rsidRPr="00135B51">
        <w:rPr>
          <w:rFonts w:ascii="Corbel" w:hAnsi="Corbel"/>
          <w:i/>
        </w:rPr>
        <w:t>Interstate Year 12</w:t>
      </w:r>
    </w:p>
    <w:p w:rsidR="00BD32DA" w:rsidRPr="00537ABC" w:rsidRDefault="00BD32DA" w:rsidP="00BD32DA">
      <w:pPr>
        <w:spacing w:after="240"/>
        <w:ind w:left="720"/>
        <w:rPr>
          <w:rStyle w:val="Hyperlink"/>
          <w:rFonts w:ascii="Arial" w:hAnsi="Arial"/>
          <w:color w:val="0000FC"/>
          <w:sz w:val="18"/>
          <w:u w:val="none"/>
        </w:rPr>
      </w:pPr>
      <w:r w:rsidRPr="00537ABC">
        <w:rPr>
          <w:rStyle w:val="Hyperlink"/>
          <w:rFonts w:ascii="Arial" w:hAnsi="Arial"/>
          <w:color w:val="0000FC"/>
          <w:sz w:val="18"/>
          <w:u w:val="none"/>
        </w:rPr>
        <w:t>[Indicate how students are assessed and selected if they completed Year 12 in another state or territory.]</w:t>
      </w:r>
    </w:p>
    <w:p w:rsidR="00BD32DA" w:rsidRPr="005A565D" w:rsidRDefault="006C5835" w:rsidP="005A565D">
      <w:pPr>
        <w:pStyle w:val="Recommendationwithspace"/>
        <w:numPr>
          <w:ilvl w:val="0"/>
          <w:numId w:val="20"/>
        </w:numPr>
        <w:pBdr>
          <w:top w:val="none" w:sz="0" w:space="0" w:color="auto"/>
        </w:pBdr>
        <w:shd w:val="clear" w:color="auto" w:fill="auto"/>
        <w:spacing w:line="240" w:lineRule="auto"/>
        <w:ind w:left="714" w:hanging="357"/>
        <w:rPr>
          <w:rFonts w:ascii="Corbel" w:hAnsi="Corbel"/>
          <w:b w:val="0"/>
          <w:color w:val="auto"/>
        </w:rPr>
      </w:pPr>
      <w:bookmarkStart w:id="176" w:name="_Toc482805069"/>
      <w:bookmarkStart w:id="177" w:name="_Toc483263584"/>
      <w:bookmarkStart w:id="178" w:name="_Toc483350224"/>
      <w:bookmarkStart w:id="179" w:name="_Toc483813640"/>
      <w:bookmarkStart w:id="180" w:name="_Toc484093510"/>
      <w:r w:rsidRPr="006D7C3A">
        <w:rPr>
          <w:rStyle w:val="Hyperlink"/>
          <w:rFonts w:ascii="Arial" w:hAnsi="Arial" w:cs="Arial"/>
          <w:noProof/>
          <w:color w:val="0000FC"/>
          <w:sz w:val="18"/>
          <w:szCs w:val="18"/>
          <w:u w:val="none"/>
          <w:lang w:eastAsia="en-AU"/>
        </w:rPr>
        <mc:AlternateContent>
          <mc:Choice Requires="wps">
            <w:drawing>
              <wp:anchor distT="0" distB="0" distL="114300" distR="114300" simplePos="0" relativeHeight="251674624" behindDoc="1" locked="0" layoutInCell="1" allowOverlap="1" wp14:anchorId="575AC73E" wp14:editId="509A6DA3">
                <wp:simplePos x="0" y="0"/>
                <wp:positionH relativeFrom="column">
                  <wp:posOffset>-142875</wp:posOffset>
                </wp:positionH>
                <wp:positionV relativeFrom="paragraph">
                  <wp:posOffset>-80646</wp:posOffset>
                </wp:positionV>
                <wp:extent cx="6162675" cy="7534275"/>
                <wp:effectExtent l="0" t="0" r="9525"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7534275"/>
                        </a:xfrm>
                        <a:prstGeom prst="rect">
                          <a:avLst/>
                        </a:prstGeom>
                        <a:solidFill>
                          <a:srgbClr val="FFFFFF"/>
                        </a:solidFill>
                        <a:ln w="9525">
                          <a:noFill/>
                          <a:miter lim="800000"/>
                          <a:headEnd/>
                          <a:tailEnd/>
                        </a:ln>
                      </wps:spPr>
                      <wps:txbx>
                        <w:txbxContent>
                          <w:p w:rsidR="001910BA" w:rsidRDefault="001910BA" w:rsidP="00BD32DA">
                            <w:pPr>
                              <w:shd w:val="clear" w:color="auto" w:fill="EBECDB" w:themeFill="accent4"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left:0;text-align:left;margin-left:-11.25pt;margin-top:-6.35pt;width:485.25pt;height:593.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KdIgIAACMEAAAOAAAAZHJzL2Uyb0RvYy54bWysU9tu2zAMfR+wfxD0vjjJcmmMOEWXLsOA&#10;7gK0+wBalmNhkuhJSuzs60fJaZptb8P0IJAieUQekuvb3mh2lM4rtAWfjMacSSuwUnZf8G9Puzc3&#10;nPkAtgKNVhb8JD2/3bx+te7aXE6xQV1JxwjE+rxrC96E0OZZ5kUjDfgRttKSsUZnIJDq9lnloCN0&#10;o7PpeLzIOnRV61BI7+n1fjDyTcKvaynCl7r2MjBdcMotpNulu4x3tllDvnfQNkqc04B/yMKAsvTp&#10;BeoeArCDU39BGSUceqzDSKDJsK6VkKkGqmYy/qOaxwZamWohcnx7ocn/P1jx+fjVMVUVfMWZBUMt&#10;epJ9YO+wZ6vITtf6nJweW3ILPT1Tl1Olvn1A8d0zi9sG7F7eOYddI6Gi7CYxMrsKHXB8BCm7T1jR&#10;N3AImID62plIHZHBCJ26dLp0JqYi6HExWUwXyzlngmzL+dvZlJT4B+TP4a3z4YNEw6JQcEetT/Bw&#10;fPBhcH12ib951KraKa2T4vblVjt2BBqTXTpn9N/ctGUdETWfzhOyxRhP0JAbFWiMtTIFvxnHE8Mh&#10;j3S8t1WSAyg9yJS0tmd+IiUDOaEv+9SIRF7krsTqRIQ5HKaWtoyEBt1Pzjqa2IL7HwdwkjP90RLp&#10;q8lsFkc8KbP5ckqKu7aU1xawgqAKHjgbxG1IaxHTtnhHzalVou0lk3PKNImJ+PPWxFG/1pPXy25v&#10;fgEAAP//AwBQSwMEFAAGAAgAAAAhANm5YsjgAAAADAEAAA8AAABkcnMvZG93bnJldi54bWxMj8FO&#10;g0AQhu8mvsNmTLyYdgHbQpGlURON19Y+wMBOgcjuEnZb6Ns7nuxtJvPln+8vdrPpxYVG3zmrIF5G&#10;IMjWTne2UXD8/lhkIHxAq7F3lhRcycOuvL8rMNdusnu6HEIjOMT6HBW0IQy5lL5uyaBfuoEs305u&#10;NBh4HRupR5w43PQyiaKNNNhZ/tDiQO8t1T+Hs1Fw+pqe1tup+gzHdL/avGGXVu6q1OPD/PoCItAc&#10;/mH402d1KNmpcmervegVLJJkzSgPcZKCYGK7yrhdxWicPmcgy0Lelih/AQAA//8DAFBLAQItABQA&#10;BgAIAAAAIQC2gziS/gAAAOEBAAATAAAAAAAAAAAAAAAAAAAAAABbQ29udGVudF9UeXBlc10ueG1s&#10;UEsBAi0AFAAGAAgAAAAhADj9If/WAAAAlAEAAAsAAAAAAAAAAAAAAAAALwEAAF9yZWxzLy5yZWxz&#10;UEsBAi0AFAAGAAgAAAAhANERYp0iAgAAIwQAAA4AAAAAAAAAAAAAAAAALgIAAGRycy9lMm9Eb2Mu&#10;eG1sUEsBAi0AFAAGAAgAAAAhANm5YsjgAAAADAEAAA8AAAAAAAAAAAAAAAAAfAQAAGRycy9kb3du&#10;cmV2LnhtbFBLBQYAAAAABAAEAPMAAACJBQAAAAA=&#10;" stroked="f">
                <v:textbox>
                  <w:txbxContent>
                    <w:p w:rsidR="001910BA" w:rsidRDefault="001910BA" w:rsidP="00BD32DA">
                      <w:pPr>
                        <w:shd w:val="clear" w:color="auto" w:fill="EBECDB" w:themeFill="accent4" w:themeFillTint="33"/>
                      </w:pPr>
                    </w:p>
                  </w:txbxContent>
                </v:textbox>
              </v:shape>
            </w:pict>
          </mc:Fallback>
        </mc:AlternateContent>
      </w:r>
      <w:bookmarkStart w:id="181" w:name="_Toc482805072"/>
      <w:bookmarkStart w:id="182" w:name="_Toc480754898"/>
      <w:bookmarkEnd w:id="176"/>
      <w:r w:rsidR="00BD32DA" w:rsidRPr="00135B51">
        <w:rPr>
          <w:rFonts w:ascii="Corbel" w:hAnsi="Corbel" w:cs="Arial"/>
          <w:color w:val="auto"/>
        </w:rPr>
        <w:t>Applicants with work and life experience</w:t>
      </w:r>
      <w:bookmarkEnd w:id="181"/>
      <w:bookmarkEnd w:id="182"/>
      <w:r w:rsidR="00961882">
        <w:rPr>
          <w:rFonts w:ascii="Corbel" w:hAnsi="Corbel" w:cs="Arial"/>
          <w:color w:val="auto"/>
        </w:rPr>
        <w:br/>
      </w:r>
      <w:r w:rsidR="00961882" w:rsidRPr="00885315">
        <w:rPr>
          <w:rFonts w:ascii="Corbel" w:hAnsi="Corbel" w:cs="Arial"/>
          <w:b w:val="0"/>
          <w:color w:val="auto"/>
        </w:rPr>
        <w:t>(includes those who left secondary education more than 2 years ago)</w:t>
      </w:r>
      <w:bookmarkEnd w:id="177"/>
      <w:bookmarkEnd w:id="178"/>
      <w:bookmarkEnd w:id="179"/>
      <w:bookmarkEnd w:id="180"/>
    </w:p>
    <w:p w:rsidR="00BD32DA" w:rsidRPr="00537ABC" w:rsidRDefault="00BD32DA" w:rsidP="00BD32DA">
      <w:pPr>
        <w:spacing w:after="240"/>
        <w:ind w:left="720"/>
        <w:rPr>
          <w:rStyle w:val="Hyperlink"/>
          <w:rFonts w:ascii="Arial" w:hAnsi="Arial"/>
          <w:color w:val="0000FC"/>
          <w:sz w:val="18"/>
          <w:u w:val="none"/>
        </w:rPr>
      </w:pPr>
      <w:r w:rsidRPr="00537ABC">
        <w:rPr>
          <w:rStyle w:val="Hyperlink"/>
          <w:rFonts w:ascii="Arial" w:hAnsi="Arial"/>
          <w:color w:val="0000FC"/>
          <w:sz w:val="18"/>
          <w:u w:val="none"/>
        </w:rPr>
        <w:t xml:space="preserve">[Populate with information on how students may be assessed if they do not have formal tertiary or secondary educational qualifications, such as through the use of tertiary preparation certificate, special tertiary admissions test (STAT) and other pathway programs. </w:t>
      </w:r>
      <w:r w:rsidR="00565856" w:rsidRPr="006C5835">
        <w:rPr>
          <w:rStyle w:val="Hyperlink"/>
          <w:rFonts w:ascii="Arial" w:hAnsi="Arial" w:cs="Arial"/>
          <w:color w:val="0000FC"/>
          <w:sz w:val="18"/>
          <w:szCs w:val="18"/>
          <w:u w:val="none"/>
        </w:rPr>
        <w:t xml:space="preserve">Detail </w:t>
      </w:r>
      <w:r w:rsidR="00565856">
        <w:rPr>
          <w:rStyle w:val="Hyperlink"/>
          <w:rFonts w:ascii="Arial" w:hAnsi="Arial" w:cs="Arial"/>
          <w:color w:val="0000FC"/>
          <w:sz w:val="18"/>
          <w:szCs w:val="18"/>
          <w:u w:val="none"/>
        </w:rPr>
        <w:t>the types of experience or study that will be considered, for example non-formal courses, community involvement</w:t>
      </w:r>
      <w:r w:rsidR="006C5597">
        <w:rPr>
          <w:rStyle w:val="Hyperlink"/>
          <w:rFonts w:ascii="Arial" w:hAnsi="Arial" w:cs="Arial"/>
          <w:color w:val="0000FC"/>
          <w:sz w:val="18"/>
          <w:szCs w:val="18"/>
          <w:u w:val="none"/>
        </w:rPr>
        <w:t xml:space="preserve">, professional or </w:t>
      </w:r>
      <w:r w:rsidR="00565856">
        <w:rPr>
          <w:rStyle w:val="Hyperlink"/>
          <w:rFonts w:ascii="Arial" w:hAnsi="Arial" w:cs="Arial"/>
          <w:color w:val="0000FC"/>
          <w:sz w:val="18"/>
          <w:szCs w:val="18"/>
          <w:u w:val="none"/>
        </w:rPr>
        <w:t xml:space="preserve">work experience. </w:t>
      </w:r>
      <w:r w:rsidRPr="00537ABC">
        <w:rPr>
          <w:rStyle w:val="Hyperlink"/>
          <w:rFonts w:ascii="Arial" w:hAnsi="Arial"/>
          <w:color w:val="0000FC"/>
          <w:sz w:val="18"/>
          <w:u w:val="none"/>
        </w:rPr>
        <w:t>Where this may vary depending on specific courses this should be stated and prospective students directed to specific course information.]</w:t>
      </w:r>
    </w:p>
    <w:p w:rsidR="00BD32DA" w:rsidRPr="00135B51" w:rsidRDefault="00E74A09" w:rsidP="00BD32DA">
      <w:pPr>
        <w:keepNext/>
        <w:spacing w:before="240" w:after="0"/>
        <w:ind w:left="720"/>
        <w:rPr>
          <w:rFonts w:ascii="Corbel" w:hAnsi="Corbel"/>
          <w:i/>
        </w:rPr>
      </w:pPr>
      <w:r>
        <w:rPr>
          <w:i/>
        </w:rPr>
        <w:t>Finished secondary education more than two years ago</w:t>
      </w:r>
    </w:p>
    <w:p w:rsidR="00BD32DA" w:rsidRPr="00135B51" w:rsidRDefault="00BD32DA" w:rsidP="00BD32DA">
      <w:pPr>
        <w:spacing w:after="240"/>
        <w:ind w:left="720"/>
        <w:rPr>
          <w:rStyle w:val="Hyperlink"/>
          <w:rFonts w:ascii="Arial" w:hAnsi="Arial" w:cs="Arial"/>
          <w:color w:val="0000FC"/>
          <w:sz w:val="18"/>
          <w:szCs w:val="18"/>
          <w:u w:val="none"/>
        </w:rPr>
      </w:pPr>
      <w:r w:rsidRPr="00135B51">
        <w:rPr>
          <w:rStyle w:val="Hyperlink"/>
          <w:rFonts w:ascii="Arial" w:hAnsi="Arial" w:cs="Arial"/>
          <w:color w:val="0000FC"/>
          <w:sz w:val="18"/>
          <w:szCs w:val="18"/>
          <w:u w:val="none"/>
        </w:rPr>
        <w:t xml:space="preserve">[Indicate how students are assessed and selected if they completed Year 12 </w:t>
      </w:r>
      <w:r w:rsidR="00E74A09">
        <w:rPr>
          <w:rStyle w:val="Hyperlink"/>
          <w:rFonts w:ascii="Arial" w:hAnsi="Arial" w:cs="Arial"/>
          <w:color w:val="0000FC"/>
          <w:sz w:val="18"/>
          <w:szCs w:val="18"/>
          <w:u w:val="none"/>
        </w:rPr>
        <w:t xml:space="preserve">or otherwise finished their secondary education </w:t>
      </w:r>
      <w:r w:rsidRPr="00135B51">
        <w:rPr>
          <w:rStyle w:val="Hyperlink"/>
          <w:rFonts w:ascii="Arial" w:hAnsi="Arial" w:cs="Arial"/>
          <w:color w:val="0000FC"/>
          <w:sz w:val="18"/>
          <w:szCs w:val="18"/>
          <w:u w:val="none"/>
        </w:rPr>
        <w:t>some time ago and have no tertiary study experience.]</w:t>
      </w:r>
    </w:p>
    <w:p w:rsidR="006C5835" w:rsidRPr="006C5835" w:rsidRDefault="006C5835" w:rsidP="00D67ADB">
      <w:pPr>
        <w:keepNext/>
        <w:spacing w:before="240" w:after="0"/>
        <w:ind w:left="720"/>
        <w:rPr>
          <w:rFonts w:ascii="Corbel" w:hAnsi="Corbel"/>
          <w:i/>
        </w:rPr>
      </w:pPr>
      <w:bookmarkStart w:id="183" w:name="_Toc482805073"/>
      <w:r w:rsidRPr="00D67ADB">
        <w:rPr>
          <w:rFonts w:ascii="Corbel" w:hAnsi="Corbel"/>
          <w:i/>
        </w:rPr>
        <w:t>B</w:t>
      </w:r>
      <w:r w:rsidRPr="006C5835">
        <w:rPr>
          <w:rFonts w:ascii="Corbel" w:hAnsi="Corbel"/>
          <w:i/>
        </w:rPr>
        <w:t xml:space="preserve">ridging and enabling course </w:t>
      </w:r>
      <w:r w:rsidRPr="00D67ADB">
        <w:rPr>
          <w:rFonts w:ascii="Corbel" w:hAnsi="Corbel"/>
          <w:i/>
        </w:rPr>
        <w:t>entry</w:t>
      </w:r>
    </w:p>
    <w:p w:rsidR="006C5835" w:rsidRPr="006C5835" w:rsidRDefault="006C5835" w:rsidP="00D67ADB">
      <w:pPr>
        <w:spacing w:after="240"/>
        <w:ind w:left="720"/>
        <w:rPr>
          <w:rStyle w:val="Hyperlink"/>
          <w:rFonts w:ascii="Arial" w:hAnsi="Arial" w:cs="Arial"/>
          <w:color w:val="0000FC"/>
          <w:sz w:val="18"/>
          <w:szCs w:val="18"/>
          <w:u w:val="none"/>
        </w:rPr>
      </w:pPr>
      <w:r w:rsidRPr="006C5835">
        <w:rPr>
          <w:rStyle w:val="Hyperlink"/>
          <w:rFonts w:ascii="Arial" w:hAnsi="Arial" w:cs="Arial"/>
          <w:color w:val="0000FC"/>
          <w:sz w:val="18"/>
          <w:szCs w:val="18"/>
          <w:u w:val="none"/>
        </w:rPr>
        <w:t>[</w:t>
      </w:r>
      <w:r w:rsidR="00565856">
        <w:rPr>
          <w:rStyle w:val="Hyperlink"/>
          <w:rFonts w:ascii="Arial" w:hAnsi="Arial" w:cs="Arial"/>
          <w:color w:val="0000FC"/>
          <w:sz w:val="18"/>
          <w:szCs w:val="18"/>
          <w:u w:val="none"/>
        </w:rPr>
        <w:t>B</w:t>
      </w:r>
      <w:r w:rsidRPr="006C5835">
        <w:rPr>
          <w:rStyle w:val="Hyperlink"/>
          <w:rFonts w:ascii="Arial" w:hAnsi="Arial" w:cs="Arial"/>
          <w:color w:val="0000FC"/>
          <w:sz w:val="18"/>
          <w:szCs w:val="18"/>
          <w:u w:val="none"/>
        </w:rPr>
        <w:t xml:space="preserve">ridging and enabling course options </w:t>
      </w:r>
      <w:r w:rsidR="00565856">
        <w:rPr>
          <w:rStyle w:val="Hyperlink"/>
          <w:rFonts w:ascii="Arial" w:hAnsi="Arial" w:cs="Arial"/>
          <w:color w:val="0000FC"/>
          <w:sz w:val="18"/>
          <w:szCs w:val="18"/>
          <w:u w:val="none"/>
        </w:rPr>
        <w:t xml:space="preserve">for applicants with insufficient preparation to commence an award course </w:t>
      </w:r>
      <w:r w:rsidRPr="006C5835">
        <w:rPr>
          <w:rStyle w:val="Hyperlink"/>
          <w:rFonts w:ascii="Arial" w:hAnsi="Arial" w:cs="Arial"/>
          <w:color w:val="0000FC"/>
          <w:sz w:val="18"/>
          <w:szCs w:val="18"/>
          <w:u w:val="none"/>
        </w:rPr>
        <w:t xml:space="preserve">and where to </w:t>
      </w:r>
      <w:r w:rsidR="00565856">
        <w:rPr>
          <w:rStyle w:val="Hyperlink"/>
          <w:rFonts w:ascii="Arial" w:hAnsi="Arial" w:cs="Arial"/>
          <w:color w:val="0000FC"/>
          <w:sz w:val="18"/>
          <w:szCs w:val="18"/>
          <w:u w:val="none"/>
        </w:rPr>
        <w:t>get</w:t>
      </w:r>
      <w:r w:rsidR="00565856" w:rsidRPr="006C5835">
        <w:rPr>
          <w:rStyle w:val="Hyperlink"/>
          <w:rFonts w:ascii="Arial" w:hAnsi="Arial" w:cs="Arial"/>
          <w:color w:val="0000FC"/>
          <w:sz w:val="18"/>
          <w:szCs w:val="18"/>
          <w:u w:val="none"/>
        </w:rPr>
        <w:t xml:space="preserve"> </w:t>
      </w:r>
      <w:r w:rsidRPr="006C5835">
        <w:rPr>
          <w:rStyle w:val="Hyperlink"/>
          <w:rFonts w:ascii="Arial" w:hAnsi="Arial" w:cs="Arial"/>
          <w:color w:val="0000FC"/>
          <w:sz w:val="18"/>
          <w:szCs w:val="18"/>
          <w:u w:val="none"/>
        </w:rPr>
        <w:t>more information.]</w:t>
      </w:r>
    </w:p>
    <w:p w:rsidR="00CD5D3E" w:rsidRPr="00885315" w:rsidRDefault="00A571A0" w:rsidP="00885315">
      <w:pPr>
        <w:keepNext/>
        <w:keepLines/>
        <w:numPr>
          <w:ilvl w:val="0"/>
          <w:numId w:val="28"/>
        </w:numPr>
        <w:spacing w:before="240" w:after="0" w:line="240" w:lineRule="auto"/>
        <w:ind w:left="567" w:hanging="567"/>
        <w:outlineLvl w:val="0"/>
        <w:rPr>
          <w:rFonts w:ascii="Corbel" w:hAnsi="Corbel"/>
          <w:b/>
          <w:sz w:val="28"/>
        </w:rPr>
      </w:pPr>
      <w:bookmarkStart w:id="184" w:name="_Toc483263585"/>
      <w:bookmarkStart w:id="185" w:name="_Toc483350225"/>
      <w:bookmarkStart w:id="186" w:name="_Toc483813641"/>
      <w:bookmarkStart w:id="187" w:name="_Toc484093511"/>
      <w:bookmarkStart w:id="188" w:name="_Toc480754899"/>
      <w:r>
        <w:rPr>
          <w:rFonts w:ascii="Corbel" w:hAnsi="Corbel"/>
          <w:b/>
          <w:sz w:val="28"/>
        </w:rPr>
        <w:t>Additional information</w:t>
      </w:r>
      <w:r w:rsidRPr="00135B51">
        <w:rPr>
          <w:rFonts w:ascii="Corbel" w:hAnsi="Corbel"/>
          <w:b/>
          <w:sz w:val="28"/>
        </w:rPr>
        <w:t xml:space="preserve"> </w:t>
      </w:r>
      <w:r w:rsidRPr="00135B51">
        <w:rPr>
          <w:rStyle w:val="Hyperlink"/>
          <w:rFonts w:ascii="Corbel" w:hAnsi="Corbel" w:cs="Arial"/>
          <w:i/>
          <w:color w:val="FF0000"/>
          <w:sz w:val="28"/>
          <w:szCs w:val="28"/>
          <w:u w:val="none"/>
        </w:rPr>
        <w:t>[CORE – required in 2017]</w:t>
      </w:r>
      <w:bookmarkEnd w:id="184"/>
      <w:bookmarkEnd w:id="185"/>
      <w:bookmarkEnd w:id="186"/>
      <w:bookmarkEnd w:id="187"/>
    </w:p>
    <w:p w:rsidR="00BD32DA" w:rsidRPr="005A565D" w:rsidRDefault="00BD32DA" w:rsidP="005A565D">
      <w:pPr>
        <w:keepNext/>
        <w:spacing w:before="240" w:after="0"/>
        <w:ind w:left="720"/>
        <w:rPr>
          <w:rFonts w:ascii="Corbel" w:hAnsi="Corbel"/>
          <w:b/>
        </w:rPr>
      </w:pPr>
      <w:r w:rsidRPr="005A565D">
        <w:rPr>
          <w:rFonts w:ascii="Corbel" w:hAnsi="Corbel"/>
          <w:b/>
        </w:rPr>
        <w:t>Aboriginal and Torres Strait Islander people</w:t>
      </w:r>
      <w:bookmarkEnd w:id="183"/>
      <w:bookmarkEnd w:id="188"/>
    </w:p>
    <w:p w:rsidR="00BD32DA" w:rsidRPr="00537ABC" w:rsidRDefault="00BD32DA" w:rsidP="00537ABC">
      <w:pPr>
        <w:spacing w:after="240"/>
        <w:ind w:left="720"/>
        <w:rPr>
          <w:rStyle w:val="Hyperlink"/>
          <w:rFonts w:ascii="Arial" w:hAnsi="Arial"/>
          <w:color w:val="0000FC"/>
          <w:sz w:val="18"/>
          <w:u w:val="none"/>
        </w:rPr>
      </w:pPr>
      <w:r w:rsidRPr="00537ABC">
        <w:rPr>
          <w:rStyle w:val="Hyperlink"/>
          <w:rFonts w:ascii="Arial" w:hAnsi="Arial"/>
          <w:color w:val="0000FC"/>
          <w:sz w:val="18"/>
          <w:u w:val="none"/>
        </w:rPr>
        <w:t>[Provide information about admission options specifically for Aboriginal and Torres Strait Islander applicants.]</w:t>
      </w:r>
    </w:p>
    <w:p w:rsidR="00BD32DA" w:rsidRPr="005A565D" w:rsidRDefault="00BD32DA" w:rsidP="005A565D">
      <w:pPr>
        <w:keepNext/>
        <w:spacing w:before="240" w:after="0"/>
        <w:ind w:left="720"/>
        <w:rPr>
          <w:rFonts w:ascii="Corbel" w:hAnsi="Corbel"/>
          <w:b/>
        </w:rPr>
      </w:pPr>
      <w:bookmarkStart w:id="189" w:name="_Toc482805074"/>
      <w:r w:rsidRPr="005A565D">
        <w:rPr>
          <w:rFonts w:ascii="Corbel" w:hAnsi="Corbel"/>
          <w:b/>
        </w:rPr>
        <w:t>Domestic applicants with overseas qualifications</w:t>
      </w:r>
      <w:bookmarkEnd w:id="189"/>
    </w:p>
    <w:p w:rsidR="00BD32DA" w:rsidRPr="00537ABC" w:rsidRDefault="00BD32DA" w:rsidP="00BD32DA">
      <w:pPr>
        <w:spacing w:after="240"/>
        <w:ind w:left="720"/>
        <w:rPr>
          <w:rStyle w:val="Hyperlink"/>
          <w:rFonts w:ascii="Arial" w:hAnsi="Arial"/>
          <w:color w:val="0000FC"/>
          <w:sz w:val="18"/>
          <w:u w:val="none"/>
        </w:rPr>
      </w:pPr>
      <w:r w:rsidRPr="00537ABC">
        <w:rPr>
          <w:rStyle w:val="Hyperlink"/>
          <w:rFonts w:ascii="Arial" w:hAnsi="Arial"/>
          <w:color w:val="0000FC"/>
          <w:sz w:val="18"/>
          <w:u w:val="none"/>
        </w:rPr>
        <w:t>[Indicate how Australian citizens or permanent residents with overseas qualifications are assessed.]</w:t>
      </w:r>
    </w:p>
    <w:p w:rsidR="00BD32DA" w:rsidRPr="005A565D" w:rsidRDefault="00BD32DA" w:rsidP="005A565D">
      <w:pPr>
        <w:keepNext/>
        <w:spacing w:before="240" w:after="0"/>
        <w:ind w:left="720"/>
        <w:rPr>
          <w:rFonts w:ascii="Corbel" w:hAnsi="Corbel"/>
          <w:b/>
        </w:rPr>
      </w:pPr>
      <w:bookmarkStart w:id="190" w:name="_Toc482805075"/>
      <w:r w:rsidRPr="005A565D">
        <w:rPr>
          <w:rFonts w:ascii="Corbel" w:hAnsi="Corbel"/>
          <w:b/>
        </w:rPr>
        <w:t>English language proficiency</w:t>
      </w:r>
      <w:bookmarkEnd w:id="190"/>
    </w:p>
    <w:p w:rsidR="00BD32DA" w:rsidRPr="00135B51" w:rsidRDefault="00BD32DA" w:rsidP="00BD32DA">
      <w:pPr>
        <w:spacing w:after="240"/>
        <w:ind w:left="720"/>
        <w:rPr>
          <w:rStyle w:val="Hyperlink"/>
          <w:rFonts w:ascii="Arial" w:hAnsi="Arial" w:cs="Arial"/>
          <w:color w:val="0000FC"/>
          <w:sz w:val="18"/>
          <w:szCs w:val="18"/>
          <w:u w:val="none"/>
        </w:rPr>
      </w:pPr>
      <w:r w:rsidRPr="00135B51">
        <w:rPr>
          <w:rStyle w:val="Hyperlink"/>
          <w:rFonts w:ascii="Arial" w:hAnsi="Arial" w:cs="Arial"/>
          <w:color w:val="0000FC"/>
          <w:sz w:val="18"/>
          <w:szCs w:val="18"/>
          <w:u w:val="none"/>
        </w:rPr>
        <w:t>[Outline the general requirements for proficiency in English that must be met for admission to courses at the institution. Any higher or lower requirements that may apply to specific courses would be detailed in the relevant course information.]</w:t>
      </w:r>
    </w:p>
    <w:p w:rsidR="00BD32DA" w:rsidRPr="00EA05C3" w:rsidRDefault="00BD32DA" w:rsidP="00BD32DA">
      <w:pPr>
        <w:keepNext/>
        <w:keepLines/>
        <w:numPr>
          <w:ilvl w:val="0"/>
          <w:numId w:val="28"/>
        </w:numPr>
        <w:spacing w:before="240" w:after="0" w:line="240" w:lineRule="auto"/>
        <w:ind w:left="567" w:hanging="567"/>
        <w:outlineLvl w:val="0"/>
        <w:rPr>
          <w:rFonts w:ascii="Corbel" w:hAnsi="Corbel"/>
          <w:b/>
          <w:sz w:val="28"/>
          <w:szCs w:val="28"/>
        </w:rPr>
      </w:pPr>
      <w:bookmarkStart w:id="191" w:name="_Toc480754901"/>
      <w:bookmarkStart w:id="192" w:name="_Toc482805076"/>
      <w:bookmarkStart w:id="193" w:name="_Toc483263586"/>
      <w:bookmarkStart w:id="194" w:name="_Toc483350226"/>
      <w:bookmarkStart w:id="195" w:name="_Toc483813642"/>
      <w:bookmarkStart w:id="196" w:name="_Toc484093512"/>
      <w:r w:rsidRPr="00EA05C3">
        <w:rPr>
          <w:rFonts w:ascii="Corbel" w:hAnsi="Corbel"/>
          <w:b/>
          <w:sz w:val="28"/>
          <w:szCs w:val="28"/>
        </w:rPr>
        <w:t>How to apply</w:t>
      </w:r>
      <w:bookmarkEnd w:id="191"/>
      <w:r w:rsidRPr="00EA05C3">
        <w:rPr>
          <w:rFonts w:ascii="Corbel" w:hAnsi="Corbel"/>
          <w:b/>
          <w:sz w:val="28"/>
          <w:szCs w:val="28"/>
        </w:rPr>
        <w:t xml:space="preserve"> </w:t>
      </w:r>
      <w:r w:rsidRPr="005A565D">
        <w:rPr>
          <w:rFonts w:ascii="Corbel" w:hAnsi="Corbel"/>
          <w:i/>
          <w:color w:val="FF0000"/>
          <w:sz w:val="28"/>
        </w:rPr>
        <w:t>[CORE – required in 2017]</w:t>
      </w:r>
      <w:bookmarkEnd w:id="192"/>
      <w:bookmarkEnd w:id="193"/>
      <w:bookmarkEnd w:id="194"/>
      <w:bookmarkEnd w:id="195"/>
      <w:bookmarkEnd w:id="196"/>
    </w:p>
    <w:p w:rsidR="00BD32DA" w:rsidRPr="00537ABC" w:rsidRDefault="00BD32DA" w:rsidP="00BD32DA">
      <w:pPr>
        <w:spacing w:after="0"/>
        <w:rPr>
          <w:rStyle w:val="Hyperlink"/>
          <w:rFonts w:ascii="Arial" w:hAnsi="Arial"/>
          <w:color w:val="0000FC"/>
          <w:sz w:val="18"/>
          <w:u w:val="none"/>
        </w:rPr>
      </w:pPr>
      <w:r w:rsidRPr="00537ABC">
        <w:rPr>
          <w:rStyle w:val="Hyperlink"/>
          <w:rFonts w:ascii="Arial" w:hAnsi="Arial"/>
          <w:color w:val="0000FC"/>
          <w:sz w:val="18"/>
          <w:u w:val="none"/>
        </w:rPr>
        <w:t>[Provide information on how to apply for courses (with links to further information as appropriate), including:</w:t>
      </w:r>
    </w:p>
    <w:p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Through a TAC</w:t>
      </w:r>
    </w:p>
    <w:p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Via direct application to the institution</w:t>
      </w:r>
    </w:p>
    <w:p w:rsidR="00BD32DA" w:rsidRPr="00537ABC" w:rsidRDefault="00BD32DA" w:rsidP="00BD32DA">
      <w:pPr>
        <w:pStyle w:val="ListParagraph"/>
        <w:numPr>
          <w:ilvl w:val="0"/>
          <w:numId w:val="21"/>
        </w:numPr>
        <w:spacing w:after="0"/>
        <w:ind w:left="714" w:hanging="357"/>
        <w:rPr>
          <w:rStyle w:val="Hyperlink"/>
          <w:rFonts w:ascii="Arial" w:hAnsi="Arial"/>
          <w:color w:val="0000FC"/>
          <w:sz w:val="18"/>
          <w:u w:val="none"/>
        </w:rPr>
      </w:pPr>
      <w:r w:rsidRPr="00537ABC">
        <w:rPr>
          <w:rStyle w:val="Hyperlink"/>
          <w:rFonts w:ascii="Arial" w:hAnsi="Arial"/>
          <w:color w:val="0000FC"/>
          <w:sz w:val="18"/>
          <w:u w:val="none"/>
        </w:rPr>
        <w:t xml:space="preserve">Via pre-selection (‘early </w:t>
      </w:r>
      <w:r w:rsidR="00FA372F">
        <w:rPr>
          <w:rStyle w:val="Hyperlink"/>
          <w:rFonts w:ascii="Arial" w:hAnsi="Arial"/>
          <w:color w:val="0000FC"/>
          <w:sz w:val="18"/>
          <w:u w:val="none"/>
        </w:rPr>
        <w:t>offer</w:t>
      </w:r>
      <w:r w:rsidR="00FA372F" w:rsidRPr="00537ABC">
        <w:rPr>
          <w:rStyle w:val="Hyperlink"/>
          <w:rFonts w:ascii="Arial" w:hAnsi="Arial"/>
          <w:color w:val="0000FC"/>
          <w:sz w:val="18"/>
          <w:u w:val="none"/>
        </w:rPr>
        <w:t>’</w:t>
      </w:r>
      <w:r w:rsidRPr="00537ABC">
        <w:rPr>
          <w:rStyle w:val="Hyperlink"/>
          <w:rFonts w:ascii="Arial" w:hAnsi="Arial"/>
          <w:color w:val="0000FC"/>
          <w:sz w:val="18"/>
          <w:u w:val="none"/>
        </w:rPr>
        <w:t>) arrangements</w:t>
      </w:r>
    </w:p>
    <w:p w:rsidR="00BD32DA" w:rsidRPr="00537ABC" w:rsidRDefault="00BD32DA" w:rsidP="00BD32DA">
      <w:pPr>
        <w:spacing w:after="240"/>
        <w:rPr>
          <w:rStyle w:val="Hyperlink"/>
          <w:rFonts w:ascii="Arial" w:hAnsi="Arial"/>
          <w:color w:val="0000FC"/>
          <w:sz w:val="18"/>
          <w:u w:val="none"/>
        </w:rPr>
      </w:pPr>
      <w:r w:rsidRPr="00537ABC">
        <w:rPr>
          <w:rStyle w:val="Hyperlink"/>
          <w:rFonts w:ascii="Arial" w:hAnsi="Arial"/>
          <w:color w:val="0000FC"/>
          <w:sz w:val="18"/>
          <w:u w:val="none"/>
        </w:rPr>
        <w:t>Also to be included here is general guidance on the overall admissions process, how long the process is expected to take, and how applicants will be notified of decisions.]</w:t>
      </w:r>
    </w:p>
    <w:p w:rsidR="00BD32DA" w:rsidRPr="00135B51" w:rsidRDefault="00BD32DA" w:rsidP="00BD32DA">
      <w:pPr>
        <w:keepNext/>
        <w:keepLines/>
        <w:numPr>
          <w:ilvl w:val="0"/>
          <w:numId w:val="28"/>
        </w:numPr>
        <w:spacing w:before="240" w:after="0" w:line="240" w:lineRule="auto"/>
        <w:ind w:left="567" w:hanging="567"/>
        <w:outlineLvl w:val="0"/>
        <w:rPr>
          <w:rFonts w:ascii="Corbel" w:hAnsi="Corbel"/>
          <w:b/>
          <w:sz w:val="28"/>
        </w:rPr>
      </w:pPr>
      <w:bookmarkStart w:id="197" w:name="_Toc480754902"/>
      <w:bookmarkStart w:id="198" w:name="_Toc482805077"/>
      <w:bookmarkStart w:id="199" w:name="_Toc483263587"/>
      <w:bookmarkStart w:id="200" w:name="_Toc483350227"/>
      <w:bookmarkStart w:id="201" w:name="_Toc483813643"/>
      <w:bookmarkStart w:id="202" w:name="_Toc484093513"/>
      <w:r w:rsidRPr="00135B51">
        <w:rPr>
          <w:rFonts w:ascii="Corbel" w:hAnsi="Corbel"/>
          <w:b/>
          <w:sz w:val="28"/>
        </w:rPr>
        <w:t>Enrolment</w:t>
      </w:r>
      <w:bookmarkEnd w:id="197"/>
      <w:r w:rsidRPr="00135B51">
        <w:rPr>
          <w:rFonts w:ascii="Corbel" w:hAnsi="Corbel"/>
          <w:b/>
          <w:sz w:val="28"/>
        </w:rPr>
        <w:t xml:space="preserve"> </w:t>
      </w:r>
      <w:r w:rsidRPr="00135B51">
        <w:rPr>
          <w:rStyle w:val="Hyperlink"/>
          <w:rFonts w:ascii="Corbel" w:hAnsi="Corbel" w:cs="Arial"/>
          <w:i/>
          <w:color w:val="FF0000"/>
          <w:sz w:val="28"/>
          <w:szCs w:val="28"/>
          <w:u w:val="none"/>
        </w:rPr>
        <w:t>[CORE – required in 2017]</w:t>
      </w:r>
      <w:bookmarkEnd w:id="198"/>
      <w:bookmarkEnd w:id="199"/>
      <w:bookmarkEnd w:id="200"/>
      <w:bookmarkEnd w:id="201"/>
      <w:bookmarkEnd w:id="202"/>
    </w:p>
    <w:p w:rsidR="00BD32DA" w:rsidRPr="00537ABC" w:rsidRDefault="00BD32DA" w:rsidP="00BD32DA">
      <w:pPr>
        <w:spacing w:after="0"/>
        <w:rPr>
          <w:rStyle w:val="Hyperlink"/>
          <w:rFonts w:ascii="Arial" w:hAnsi="Arial"/>
          <w:color w:val="0000FC"/>
          <w:sz w:val="18"/>
          <w:u w:val="none"/>
        </w:rPr>
      </w:pPr>
      <w:r w:rsidRPr="00537ABC">
        <w:rPr>
          <w:rStyle w:val="Hyperlink"/>
          <w:rFonts w:ascii="Arial" w:hAnsi="Arial"/>
          <w:color w:val="0000FC"/>
          <w:sz w:val="18"/>
          <w:u w:val="none"/>
        </w:rPr>
        <w:t>[Information on the enrolment process once an offer of a place has been received, such as:</w:t>
      </w:r>
    </w:p>
    <w:p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Acceptance of offer</w:t>
      </w:r>
    </w:p>
    <w:p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Advanced standing/academic credit/recognition of prior learning (RPL)</w:t>
      </w:r>
    </w:p>
    <w:p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Deferment</w:t>
      </w:r>
    </w:p>
    <w:p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Fees and charges]</w:t>
      </w:r>
    </w:p>
    <w:p w:rsidR="00BD32DA" w:rsidRPr="00135B51" w:rsidRDefault="00BD32DA" w:rsidP="00BD32DA">
      <w:pPr>
        <w:keepNext/>
        <w:keepLines/>
        <w:numPr>
          <w:ilvl w:val="0"/>
          <w:numId w:val="28"/>
        </w:numPr>
        <w:spacing w:before="240" w:after="0" w:line="240" w:lineRule="auto"/>
        <w:ind w:left="567" w:hanging="567"/>
        <w:outlineLvl w:val="0"/>
        <w:rPr>
          <w:rFonts w:ascii="Corbel" w:hAnsi="Corbel"/>
          <w:b/>
          <w:sz w:val="28"/>
          <w:szCs w:val="28"/>
        </w:rPr>
      </w:pPr>
      <w:bookmarkStart w:id="203" w:name="_Toc480754905"/>
      <w:bookmarkStart w:id="204" w:name="_Toc482805078"/>
      <w:bookmarkStart w:id="205" w:name="_Toc483263588"/>
      <w:bookmarkStart w:id="206" w:name="_Toc483350228"/>
      <w:bookmarkStart w:id="207" w:name="_Toc483813644"/>
      <w:bookmarkStart w:id="208" w:name="_Toc484093514"/>
      <w:r w:rsidRPr="00135B51">
        <w:rPr>
          <w:rFonts w:ascii="Corbel" w:hAnsi="Corbel"/>
          <w:b/>
          <w:sz w:val="28"/>
          <w:szCs w:val="28"/>
        </w:rPr>
        <w:t xml:space="preserve">Student and campus services </w:t>
      </w:r>
      <w:bookmarkEnd w:id="203"/>
      <w:r w:rsidRPr="00135B51">
        <w:rPr>
          <w:rStyle w:val="Hyperlink"/>
          <w:rFonts w:ascii="Corbel" w:hAnsi="Corbel"/>
          <w:i/>
          <w:color w:val="0000FC"/>
          <w:sz w:val="28"/>
          <w:szCs w:val="28"/>
          <w:u w:val="none"/>
        </w:rPr>
        <w:t>[Optional]</w:t>
      </w:r>
      <w:bookmarkEnd w:id="204"/>
      <w:bookmarkEnd w:id="205"/>
      <w:bookmarkEnd w:id="206"/>
      <w:bookmarkEnd w:id="207"/>
      <w:bookmarkEnd w:id="208"/>
    </w:p>
    <w:p w:rsidR="00BD32DA" w:rsidRPr="00537ABC" w:rsidRDefault="00BD32DA" w:rsidP="00BD32DA">
      <w:pPr>
        <w:spacing w:after="0"/>
        <w:rPr>
          <w:rStyle w:val="Hyperlink"/>
          <w:rFonts w:ascii="Arial" w:hAnsi="Arial"/>
          <w:color w:val="0000FC"/>
          <w:sz w:val="18"/>
          <w:u w:val="none"/>
        </w:rPr>
      </w:pPr>
      <w:r w:rsidRPr="00537ABC">
        <w:rPr>
          <w:rStyle w:val="Hyperlink"/>
          <w:rFonts w:ascii="Arial" w:hAnsi="Arial"/>
          <w:color w:val="0000FC"/>
          <w:sz w:val="18"/>
          <w:u w:val="none"/>
        </w:rPr>
        <w:t>[Information about the services available on campus, including a URL for further information. This section could include information about:</w:t>
      </w:r>
    </w:p>
    <w:p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accommodation</w:t>
      </w:r>
    </w:p>
    <w:p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 xml:space="preserve">careers </w:t>
      </w:r>
    </w:p>
    <w:p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 xml:space="preserve">chaplaincy </w:t>
      </w:r>
    </w:p>
    <w:p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 xml:space="preserve">childcare </w:t>
      </w:r>
    </w:p>
    <w:p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 xml:space="preserve">counselling </w:t>
      </w:r>
    </w:p>
    <w:p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 xml:space="preserve">exchange programs </w:t>
      </w:r>
    </w:p>
    <w:p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 xml:space="preserve">health services </w:t>
      </w:r>
    </w:p>
    <w:p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library/computing services</w:t>
      </w:r>
    </w:p>
    <w:p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 xml:space="preserve">learning assistance </w:t>
      </w:r>
    </w:p>
    <w:p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 xml:space="preserve">sports and recreation </w:t>
      </w:r>
    </w:p>
    <w:p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 xml:space="preserve">student organisations </w:t>
      </w:r>
    </w:p>
    <w:p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 xml:space="preserve">services for students with disabilities </w:t>
      </w:r>
    </w:p>
    <w:p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 xml:space="preserve">transport </w:t>
      </w:r>
    </w:p>
    <w:p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 xml:space="preserve">union </w:t>
      </w:r>
    </w:p>
    <w:p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welfare services.]</w:t>
      </w:r>
    </w:p>
    <w:p w:rsidR="00BD32DA" w:rsidRPr="00135B51" w:rsidRDefault="00BD32DA" w:rsidP="00BD32DA">
      <w:pPr>
        <w:keepNext/>
        <w:keepLines/>
        <w:numPr>
          <w:ilvl w:val="0"/>
          <w:numId w:val="28"/>
        </w:numPr>
        <w:spacing w:before="240" w:after="0" w:line="240" w:lineRule="auto"/>
        <w:ind w:left="567" w:hanging="567"/>
        <w:outlineLvl w:val="0"/>
        <w:rPr>
          <w:rFonts w:ascii="Corbel" w:hAnsi="Corbel"/>
          <w:b/>
          <w:sz w:val="28"/>
          <w:szCs w:val="28"/>
        </w:rPr>
      </w:pPr>
      <w:bookmarkStart w:id="209" w:name="_Toc482805079"/>
      <w:bookmarkStart w:id="210" w:name="_Toc483263589"/>
      <w:bookmarkStart w:id="211" w:name="_Toc483350229"/>
      <w:bookmarkStart w:id="212" w:name="_Toc483813645"/>
      <w:bookmarkStart w:id="213" w:name="_Toc484093515"/>
      <w:r w:rsidRPr="00135B51">
        <w:rPr>
          <w:rFonts w:ascii="Corbel" w:hAnsi="Corbel"/>
          <w:b/>
          <w:sz w:val="28"/>
          <w:szCs w:val="28"/>
        </w:rPr>
        <w:t xml:space="preserve">Financial assistance </w:t>
      </w:r>
      <w:r w:rsidRPr="00135B51">
        <w:rPr>
          <w:rStyle w:val="Hyperlink"/>
          <w:rFonts w:ascii="Corbel" w:hAnsi="Corbel"/>
          <w:i/>
          <w:color w:val="0000FC"/>
          <w:sz w:val="28"/>
          <w:szCs w:val="28"/>
          <w:u w:val="none"/>
        </w:rPr>
        <w:t>[Optional]</w:t>
      </w:r>
      <w:bookmarkEnd w:id="209"/>
      <w:bookmarkEnd w:id="210"/>
      <w:bookmarkEnd w:id="211"/>
      <w:bookmarkEnd w:id="212"/>
      <w:bookmarkEnd w:id="213"/>
    </w:p>
    <w:p w:rsidR="00BD32DA" w:rsidRPr="00537ABC" w:rsidRDefault="00BD32DA" w:rsidP="00BD32DA">
      <w:pPr>
        <w:spacing w:after="0"/>
        <w:rPr>
          <w:rStyle w:val="Hyperlink"/>
          <w:rFonts w:ascii="Arial" w:hAnsi="Arial"/>
          <w:color w:val="0000FC"/>
          <w:sz w:val="18"/>
          <w:u w:val="none"/>
        </w:rPr>
      </w:pPr>
      <w:r w:rsidRPr="00537ABC">
        <w:rPr>
          <w:rStyle w:val="Hyperlink"/>
          <w:rFonts w:ascii="Arial" w:hAnsi="Arial"/>
          <w:color w:val="0000FC"/>
          <w:sz w:val="18"/>
          <w:u w:val="none"/>
        </w:rPr>
        <w:t>[Information on financial assistance available to help with the costs of study, such as:</w:t>
      </w:r>
    </w:p>
    <w:p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Youth and student allowances</w:t>
      </w:r>
    </w:p>
    <w:p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Loans</w:t>
      </w:r>
    </w:p>
    <w:p w:rsidR="00BD32DA" w:rsidRPr="00135B51" w:rsidRDefault="00BD32DA" w:rsidP="00BD32DA">
      <w:pPr>
        <w:pStyle w:val="ListParagraph"/>
        <w:numPr>
          <w:ilvl w:val="0"/>
          <w:numId w:val="21"/>
        </w:numPr>
        <w:spacing w:after="240"/>
        <w:rPr>
          <w:rStyle w:val="Hyperlink"/>
          <w:rFonts w:ascii="Arial" w:hAnsi="Arial" w:cs="Arial"/>
          <w:color w:val="0000FC"/>
          <w:sz w:val="18"/>
          <w:szCs w:val="18"/>
          <w:u w:val="none"/>
        </w:rPr>
      </w:pPr>
      <w:r w:rsidRPr="006D7C3A">
        <w:rPr>
          <w:rStyle w:val="Hyperlink"/>
          <w:rFonts w:ascii="Arial" w:hAnsi="Arial" w:cs="Arial"/>
          <w:noProof/>
          <w:color w:val="0000FC"/>
          <w:sz w:val="18"/>
          <w:szCs w:val="18"/>
          <w:u w:val="none"/>
          <w:lang w:eastAsia="en-AU"/>
        </w:rPr>
        <mc:AlternateContent>
          <mc:Choice Requires="wps">
            <w:drawing>
              <wp:anchor distT="0" distB="0" distL="114300" distR="114300" simplePos="0" relativeHeight="251672576" behindDoc="1" locked="0" layoutInCell="1" allowOverlap="1" wp14:anchorId="4F6CF76E" wp14:editId="225D2269">
                <wp:simplePos x="0" y="0"/>
                <wp:positionH relativeFrom="column">
                  <wp:posOffset>-142875</wp:posOffset>
                </wp:positionH>
                <wp:positionV relativeFrom="paragraph">
                  <wp:posOffset>226060</wp:posOffset>
                </wp:positionV>
                <wp:extent cx="6162675" cy="564832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5648325"/>
                        </a:xfrm>
                        <a:prstGeom prst="rect">
                          <a:avLst/>
                        </a:prstGeom>
                        <a:solidFill>
                          <a:srgbClr val="FFFFFF"/>
                        </a:solidFill>
                        <a:ln w="9525">
                          <a:noFill/>
                          <a:miter lim="800000"/>
                          <a:headEnd/>
                          <a:tailEnd/>
                        </a:ln>
                      </wps:spPr>
                      <wps:txbx>
                        <w:txbxContent>
                          <w:p w:rsidR="001910BA" w:rsidRDefault="001910BA" w:rsidP="00BD32DA">
                            <w:pPr>
                              <w:shd w:val="clear" w:color="auto" w:fill="EBECDB" w:themeFill="accent4"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1.25pt;margin-top:17.8pt;width:485.25pt;height:444.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0JAIAACUEAAAOAAAAZHJzL2Uyb0RvYy54bWysU9tu2zAMfR+wfxD0vthxc6sRp+jSZRjQ&#10;XYB2HyDLcixMEjVJiZ19/Sg5zbLtbZgeBFIkD8lDan03aEWOwnkJpqLTSU6JMBwaafYV/fq8e7Oi&#10;xAdmGqbAiIqehKd3m9ev1r0tRQEdqEY4giDGl72taBeCLbPM805o5idghUFjC06zgKrbZ41jPaJr&#10;lRV5vsh6cI11wIX3+PowGukm4bet4OFz23oRiKoo1hbS7dJdxzvbrFm5d8x2kp/LYP9QhWbSYNIL&#10;1AMLjByc/AtKS+7AQxsmHHQGbSu5SD1gN9P8j26eOmZF6gXJ8fZCk/9/sPzT8YsjsqnoTb6kxDCN&#10;Q3oWQyBvYSBF5Ke3vkS3J4uOYcBnnHPq1dtH4N88MbDtmNmLe+eg7wRrsL5pjMyuQkccH0Hq/iM0&#10;mIYdAiSgoXU6kod0EETHOZ0us4mlcHxcTBfFYjmnhKNtvpitbop5ysHKl3DrfHgvQJMoVNTh8BM8&#10;Oz76EMth5YtLzOZByWYnlUqK29db5ciR4aLs0jmj/+amDOkrejvH3DHKQIxPO6RlwEVWUld0lccT&#10;w1kZ6XhnmiQHJtUoYyXKnPmJlIzkhKEe0igutNfQnJAwB+Pe4j9DoQP3g5Ied7ai/vuBOUGJ+mCQ&#10;9NvpbBaXPCmz+bJAxV1b6msLMxyhKhooGcVtSB9jbOweh9PKRFuc4ljJuWTcxcTm+d/EZb/Wk9ev&#10;3735CQAA//8DAFBLAwQUAAYACAAAACEAyRiKQd8AAAAKAQAADwAAAGRycy9kb3ducmV2LnhtbEyP&#10;wW7CMAyG75P2DpEn7TJBSkcLlKZom7RpVxgPkDamrWicqgm0vP2807jZ8qff35/vJtuJKw6+daRg&#10;MY9AIFXOtFQrOP58ztYgfNBkdOcIFdzQw654fMh1ZtxIe7weQi04hHymFTQh9JmUvmrQaj93PRLf&#10;Tm6wOvA61NIMeuRw28k4ilJpdUv8odE9fjRYnQ8Xq+D0Pb4km7H8CsfVfpm+63ZVuptSz0/T2xZE&#10;wCn8w/Cnz+pQsFPpLmS86BTM4jhhVMFrkoJgYLNcc7mShzhZgCxyeV+h+AUAAP//AwBQSwECLQAU&#10;AAYACAAAACEAtoM4kv4AAADhAQAAEwAAAAAAAAAAAAAAAAAAAAAAW0NvbnRlbnRfVHlwZXNdLnht&#10;bFBLAQItABQABgAIAAAAIQA4/SH/1gAAAJQBAAALAAAAAAAAAAAAAAAAAC8BAABfcmVscy8ucmVs&#10;c1BLAQItABQABgAIAAAAIQA/fGQ0JAIAACUEAAAOAAAAAAAAAAAAAAAAAC4CAABkcnMvZTJvRG9j&#10;LnhtbFBLAQItABQABgAIAAAAIQDJGIpB3wAAAAoBAAAPAAAAAAAAAAAAAAAAAH4EAABkcnMvZG93&#10;bnJldi54bWxQSwUGAAAAAAQABADzAAAAigUAAAAA&#10;" stroked="f">
                <v:textbox>
                  <w:txbxContent>
                    <w:p w:rsidR="001910BA" w:rsidRDefault="001910BA" w:rsidP="00BD32DA">
                      <w:pPr>
                        <w:shd w:val="clear" w:color="auto" w:fill="EBECDB" w:themeFill="accent4" w:themeFillTint="33"/>
                      </w:pPr>
                    </w:p>
                  </w:txbxContent>
                </v:textbox>
              </v:shape>
            </w:pict>
          </mc:Fallback>
        </mc:AlternateContent>
      </w:r>
      <w:r w:rsidRPr="00135B51">
        <w:rPr>
          <w:rStyle w:val="Hyperlink"/>
          <w:rFonts w:ascii="Arial" w:hAnsi="Arial" w:cs="Arial"/>
          <w:color w:val="0000FC"/>
          <w:sz w:val="18"/>
          <w:szCs w:val="18"/>
          <w:u w:val="none"/>
        </w:rPr>
        <w:t>Scholarships]</w:t>
      </w:r>
    </w:p>
    <w:p w:rsidR="00BD32DA" w:rsidRPr="00135B51" w:rsidRDefault="00BD32DA" w:rsidP="00BD32DA">
      <w:pPr>
        <w:keepNext/>
        <w:keepLines/>
        <w:numPr>
          <w:ilvl w:val="0"/>
          <w:numId w:val="28"/>
        </w:numPr>
        <w:spacing w:before="240" w:after="0" w:line="240" w:lineRule="auto"/>
        <w:ind w:left="567" w:hanging="567"/>
        <w:outlineLvl w:val="0"/>
        <w:rPr>
          <w:rFonts w:ascii="Corbel" w:hAnsi="Corbel"/>
          <w:b/>
          <w:sz w:val="28"/>
        </w:rPr>
      </w:pPr>
      <w:bookmarkStart w:id="214" w:name="_Toc482805080"/>
      <w:bookmarkStart w:id="215" w:name="_Toc483263590"/>
      <w:bookmarkStart w:id="216" w:name="_Toc483350230"/>
      <w:bookmarkStart w:id="217" w:name="_Toc483813646"/>
      <w:bookmarkStart w:id="218" w:name="_Toc484093516"/>
      <w:r w:rsidRPr="00135B51">
        <w:rPr>
          <w:rFonts w:ascii="Corbel" w:hAnsi="Corbel"/>
          <w:b/>
          <w:sz w:val="28"/>
        </w:rPr>
        <w:t xml:space="preserve">Student </w:t>
      </w:r>
      <w:r w:rsidRPr="00135B51">
        <w:rPr>
          <w:rFonts w:ascii="Corbel" w:hAnsi="Corbel"/>
          <w:b/>
          <w:sz w:val="28"/>
          <w:szCs w:val="28"/>
        </w:rPr>
        <w:t>profile</w:t>
      </w:r>
      <w:bookmarkEnd w:id="162"/>
      <w:r w:rsidRPr="00135B51">
        <w:rPr>
          <w:rFonts w:ascii="Corbel" w:hAnsi="Corbel"/>
          <w:b/>
          <w:sz w:val="28"/>
          <w:szCs w:val="28"/>
        </w:rPr>
        <w:t xml:space="preserve"> </w:t>
      </w:r>
      <w:r w:rsidRPr="00135B51">
        <w:rPr>
          <w:rStyle w:val="Hyperlink"/>
          <w:rFonts w:ascii="Corbel" w:hAnsi="Corbel" w:cs="Arial"/>
          <w:i/>
          <w:color w:val="FF0000"/>
          <w:sz w:val="28"/>
          <w:szCs w:val="28"/>
          <w:u w:val="none"/>
        </w:rPr>
        <w:t>[CORE – required in 2017]</w:t>
      </w:r>
      <w:bookmarkEnd w:id="214"/>
      <w:bookmarkEnd w:id="215"/>
      <w:bookmarkEnd w:id="216"/>
      <w:bookmarkEnd w:id="217"/>
      <w:bookmarkEnd w:id="218"/>
    </w:p>
    <w:p w:rsidR="00AE4D20" w:rsidRPr="00AE4D20" w:rsidRDefault="00AE4D20" w:rsidP="00AE4D20">
      <w:pPr>
        <w:keepNext/>
        <w:spacing w:after="0"/>
        <w:rPr>
          <w:rFonts w:ascii="Corbel" w:hAnsi="Corbel"/>
          <w:sz w:val="20"/>
        </w:rPr>
      </w:pPr>
      <w:r w:rsidRPr="00AE4D20">
        <w:rPr>
          <w:rFonts w:ascii="Corbel" w:hAnsi="Corbel"/>
          <w:sz w:val="20"/>
        </w:rPr>
        <w:t xml:space="preserve">The </w:t>
      </w:r>
      <w:r w:rsidRPr="00AE4D20">
        <w:rPr>
          <w:rFonts w:ascii="Corbel" w:hAnsi="Corbel" w:cs="Arial"/>
          <w:sz w:val="20"/>
          <w:szCs w:val="20"/>
        </w:rPr>
        <w:t>table</w:t>
      </w:r>
      <w:r w:rsidRPr="00AE4D20">
        <w:rPr>
          <w:rFonts w:ascii="Corbel" w:hAnsi="Corbel"/>
          <w:sz w:val="20"/>
        </w:rPr>
        <w:t xml:space="preserve"> below</w:t>
      </w:r>
      <w:r w:rsidRPr="00AE4D20">
        <w:rPr>
          <w:rFonts w:ascii="Corbel" w:hAnsi="Corbel" w:cs="Arial"/>
          <w:sz w:val="20"/>
          <w:szCs w:val="20"/>
        </w:rPr>
        <w:t xml:space="preserve"> </w:t>
      </w:r>
      <w:r w:rsidRPr="00AE4D20">
        <w:rPr>
          <w:rFonts w:ascii="Corbel" w:hAnsi="Corbel"/>
          <w:sz w:val="20"/>
          <w:szCs w:val="20"/>
        </w:rPr>
        <w:t>gives</w:t>
      </w:r>
      <w:r w:rsidRPr="00AE4D20">
        <w:rPr>
          <w:rFonts w:ascii="Corbel" w:hAnsi="Corbel"/>
          <w:sz w:val="20"/>
        </w:rPr>
        <w:t xml:space="preserve"> an indication of the </w:t>
      </w:r>
      <w:r w:rsidRPr="00AE4D20">
        <w:rPr>
          <w:rFonts w:ascii="Corbel" w:hAnsi="Corbel"/>
          <w:sz w:val="20"/>
          <w:szCs w:val="20"/>
        </w:rPr>
        <w:t>likely peer cohort</w:t>
      </w:r>
      <w:r w:rsidRPr="00AE4D20">
        <w:rPr>
          <w:rFonts w:ascii="Corbel" w:hAnsi="Corbel"/>
          <w:sz w:val="20"/>
        </w:rPr>
        <w:t xml:space="preserve"> for </w:t>
      </w:r>
      <w:r w:rsidRPr="00AE4D20">
        <w:rPr>
          <w:rFonts w:ascii="Corbel" w:hAnsi="Corbel"/>
          <w:sz w:val="20"/>
          <w:szCs w:val="20"/>
        </w:rPr>
        <w:t>new students at the institution.</w:t>
      </w:r>
      <w:r w:rsidRPr="00AE4D20">
        <w:rPr>
          <w:rFonts w:ascii="Corbel" w:hAnsi="Corbel"/>
          <w:sz w:val="20"/>
        </w:rPr>
        <w:t xml:space="preserve"> It </w:t>
      </w:r>
      <w:r w:rsidRPr="00AE4D20">
        <w:rPr>
          <w:rFonts w:ascii="Corbel" w:hAnsi="Corbel" w:cs="Arial"/>
          <w:sz w:val="20"/>
          <w:szCs w:val="20"/>
        </w:rPr>
        <w:t>provides</w:t>
      </w:r>
      <w:r w:rsidRPr="00AE4D20">
        <w:rPr>
          <w:rFonts w:ascii="Corbel" w:hAnsi="Corbel"/>
          <w:sz w:val="20"/>
        </w:rPr>
        <w:t xml:space="preserve"> data on students that commenced </w:t>
      </w:r>
      <w:r w:rsidRPr="00AE4D20">
        <w:rPr>
          <w:rFonts w:ascii="Corbel" w:hAnsi="Corbel" w:cs="Arial"/>
          <w:sz w:val="20"/>
          <w:szCs w:val="20"/>
        </w:rPr>
        <w:t>undergraduate study</w:t>
      </w:r>
      <w:r w:rsidRPr="00AE4D20">
        <w:rPr>
          <w:rFonts w:ascii="Corbel" w:hAnsi="Corbel"/>
          <w:sz w:val="20"/>
        </w:rPr>
        <w:t xml:space="preserve"> and passed the census date in the most relevant recent intake period for which data are available, including those admitted through all offer rounds</w:t>
      </w:r>
      <w:r w:rsidR="009B47F9">
        <w:rPr>
          <w:rFonts w:ascii="Corbel" w:hAnsi="Corbel"/>
          <w:sz w:val="20"/>
        </w:rPr>
        <w:t>, across all Australian campuses,</w:t>
      </w:r>
      <w:r w:rsidRPr="00AE4D20">
        <w:rPr>
          <w:rFonts w:ascii="Corbel" w:hAnsi="Corbel"/>
          <w:sz w:val="20"/>
        </w:rPr>
        <w:t xml:space="preserve"> and international students studying in Australia.</w:t>
      </w:r>
    </w:p>
    <w:p w:rsidR="00AE4D20" w:rsidRPr="00AE4D20" w:rsidRDefault="00AE4D20" w:rsidP="00AE4D20">
      <w:pPr>
        <w:keepNext/>
        <w:rPr>
          <w:rStyle w:val="Hyperlink"/>
          <w:rFonts w:ascii="Arial" w:hAnsi="Arial"/>
          <w:color w:val="0000FC"/>
          <w:sz w:val="18"/>
          <w:u w:val="none"/>
        </w:rPr>
      </w:pPr>
      <w:r w:rsidRPr="00AE4D20">
        <w:rPr>
          <w:rStyle w:val="Hyperlink"/>
          <w:rFonts w:ascii="Arial" w:hAnsi="Arial"/>
          <w:color w:val="0000FC"/>
          <w:sz w:val="18"/>
          <w:u w:val="none"/>
        </w:rPr>
        <w:t xml:space="preserve">[See notes - Numbers less than five </w:t>
      </w:r>
      <w:r w:rsidRPr="00AE4D20">
        <w:rPr>
          <w:rStyle w:val="Hyperlink"/>
          <w:rFonts w:ascii="Arial" w:hAnsi="Arial" w:cs="Arial"/>
          <w:color w:val="0000FC"/>
          <w:sz w:val="18"/>
          <w:szCs w:val="18"/>
          <w:u w:val="none"/>
        </w:rPr>
        <w:t xml:space="preserve">should be </w:t>
      </w:r>
      <w:r w:rsidRPr="00AE4D20">
        <w:rPr>
          <w:rStyle w:val="Hyperlink"/>
          <w:rFonts w:ascii="Arial" w:hAnsi="Arial"/>
          <w:color w:val="0000FC"/>
          <w:sz w:val="18"/>
          <w:u w:val="none"/>
        </w:rPr>
        <w:t>masked to maintain privacy. Where necessary, an additional cell should also be masked to prevent derivation</w:t>
      </w:r>
      <w:r w:rsidRPr="00AE4D20">
        <w:rPr>
          <w:rStyle w:val="Hyperlink"/>
          <w:rFonts w:ascii="Arial" w:hAnsi="Arial" w:cs="Arial"/>
          <w:color w:val="0000FC"/>
          <w:sz w:val="18"/>
          <w:szCs w:val="18"/>
          <w:u w:val="none"/>
        </w:rPr>
        <w:t>. The most relevant recent intake period should be either first semester intake or the most recent full year of admissions, depending on which period data are available for.]</w:t>
      </w:r>
    </w:p>
    <w:tbl>
      <w:tblPr>
        <w:tblW w:w="9249" w:type="dxa"/>
        <w:tblInd w:w="1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353"/>
        <w:gridCol w:w="1985"/>
        <w:gridCol w:w="1911"/>
      </w:tblGrid>
      <w:tr w:rsidR="00CD5D3E" w:rsidRPr="00135B51" w:rsidTr="00FA372F">
        <w:trPr>
          <w:trHeight w:val="216"/>
        </w:trPr>
        <w:tc>
          <w:tcPr>
            <w:tcW w:w="5353" w:type="dxa"/>
            <w:vMerge w:val="restart"/>
            <w:shd w:val="clear" w:color="auto" w:fill="auto"/>
            <w:vAlign w:val="center"/>
          </w:tcPr>
          <w:p w:rsidR="00CD5D3E" w:rsidRPr="00135B51" w:rsidRDefault="00CD5D3E" w:rsidP="00CD5D3E">
            <w:pPr>
              <w:keepNext/>
              <w:keepLines/>
              <w:spacing w:after="0"/>
              <w:jc w:val="center"/>
              <w:rPr>
                <w:rFonts w:ascii="Corbel" w:hAnsi="Corbel" w:cs="Arial"/>
                <w:sz w:val="15"/>
                <w:szCs w:val="15"/>
              </w:rPr>
            </w:pPr>
            <w:r>
              <w:rPr>
                <w:rFonts w:ascii="Corbel" w:hAnsi="Corbel" w:cs="Arial"/>
                <w:b/>
                <w:sz w:val="15"/>
                <w:szCs w:val="15"/>
              </w:rPr>
              <w:t>Applicant background</w:t>
            </w:r>
          </w:p>
        </w:tc>
        <w:tc>
          <w:tcPr>
            <w:tcW w:w="3896" w:type="dxa"/>
            <w:gridSpan w:val="2"/>
            <w:tcBorders>
              <w:bottom w:val="single" w:sz="2" w:space="0" w:color="auto"/>
            </w:tcBorders>
            <w:shd w:val="clear" w:color="auto" w:fill="auto"/>
          </w:tcPr>
          <w:p w:rsidR="004C661F" w:rsidRPr="006F1138" w:rsidRDefault="004C661F" w:rsidP="00A571A0">
            <w:pPr>
              <w:keepNext/>
              <w:keepLines/>
              <w:spacing w:after="0"/>
              <w:jc w:val="center"/>
              <w:rPr>
                <w:rFonts w:ascii="Corbel" w:hAnsi="Corbel" w:cs="Arial"/>
                <w:b/>
                <w:color w:val="0000FF"/>
                <w:sz w:val="15"/>
                <w:szCs w:val="15"/>
              </w:rPr>
            </w:pPr>
            <w:r>
              <w:rPr>
                <w:rFonts w:ascii="Corbel" w:hAnsi="Corbel" w:cs="Arial"/>
                <w:b/>
                <w:sz w:val="15"/>
                <w:szCs w:val="15"/>
              </w:rPr>
              <w:t xml:space="preserve">Semester one / Full year intake </w:t>
            </w:r>
            <w:r w:rsidRPr="006F1138">
              <w:rPr>
                <w:rFonts w:ascii="Corbel" w:hAnsi="Corbel" w:cs="Arial"/>
                <w:b/>
                <w:color w:val="0000FF"/>
                <w:sz w:val="15"/>
                <w:szCs w:val="15"/>
              </w:rPr>
              <w:t>[year]</w:t>
            </w:r>
          </w:p>
          <w:p w:rsidR="00CD5D3E" w:rsidRPr="006F1138" w:rsidRDefault="004C661F" w:rsidP="004C661F">
            <w:pPr>
              <w:keepNext/>
              <w:keepLines/>
              <w:spacing w:after="0"/>
              <w:jc w:val="center"/>
              <w:rPr>
                <w:rFonts w:ascii="Corbel" w:hAnsi="Corbel" w:cs="Arial"/>
                <w:sz w:val="15"/>
                <w:szCs w:val="15"/>
              </w:rPr>
            </w:pPr>
            <w:r>
              <w:rPr>
                <w:rFonts w:ascii="Corbel" w:hAnsi="Corbel" w:cs="Arial"/>
                <w:color w:val="0000FF"/>
                <w:sz w:val="15"/>
                <w:szCs w:val="15"/>
              </w:rPr>
              <w:t>[i.e. the m</w:t>
            </w:r>
            <w:r w:rsidR="00CD5D3E" w:rsidRPr="006F1138">
              <w:rPr>
                <w:rFonts w:ascii="Corbel" w:hAnsi="Corbel" w:cs="Arial"/>
                <w:color w:val="0000FF"/>
                <w:sz w:val="15"/>
                <w:szCs w:val="15"/>
              </w:rPr>
              <w:t>ost relevant recent intake period</w:t>
            </w:r>
            <w:r>
              <w:rPr>
                <w:rFonts w:ascii="Corbel" w:hAnsi="Corbel" w:cs="Arial"/>
                <w:color w:val="0000FF"/>
                <w:sz w:val="15"/>
                <w:szCs w:val="15"/>
              </w:rPr>
              <w:t>]</w:t>
            </w:r>
          </w:p>
        </w:tc>
      </w:tr>
      <w:tr w:rsidR="00CD5D3E" w:rsidRPr="00135B51" w:rsidTr="00FA372F">
        <w:trPr>
          <w:trHeight w:val="418"/>
        </w:trPr>
        <w:tc>
          <w:tcPr>
            <w:tcW w:w="5353" w:type="dxa"/>
            <w:vMerge/>
            <w:tcBorders>
              <w:bottom w:val="single" w:sz="4" w:space="0" w:color="auto"/>
            </w:tcBorders>
            <w:shd w:val="clear" w:color="auto" w:fill="auto"/>
            <w:vAlign w:val="center"/>
          </w:tcPr>
          <w:p w:rsidR="00CD5D3E" w:rsidRPr="00135B51" w:rsidRDefault="00CD5D3E" w:rsidP="00885315">
            <w:pPr>
              <w:keepNext/>
              <w:keepLines/>
              <w:spacing w:after="0"/>
              <w:jc w:val="center"/>
              <w:rPr>
                <w:rFonts w:ascii="Corbel" w:hAnsi="Corbel" w:cs="Arial"/>
                <w:b/>
                <w:sz w:val="15"/>
                <w:szCs w:val="15"/>
              </w:rPr>
            </w:pPr>
          </w:p>
        </w:tc>
        <w:tc>
          <w:tcPr>
            <w:tcW w:w="1985" w:type="dxa"/>
            <w:tcBorders>
              <w:bottom w:val="single" w:sz="4" w:space="0" w:color="auto"/>
            </w:tcBorders>
            <w:shd w:val="clear" w:color="auto" w:fill="auto"/>
            <w:vAlign w:val="center"/>
          </w:tcPr>
          <w:p w:rsidR="00CD5D3E" w:rsidRPr="00135B51" w:rsidRDefault="00CD5D3E" w:rsidP="00885315">
            <w:pPr>
              <w:keepNext/>
              <w:keepLines/>
              <w:spacing w:after="0"/>
              <w:jc w:val="center"/>
              <w:rPr>
                <w:rFonts w:ascii="Corbel" w:hAnsi="Corbel" w:cs="Arial"/>
                <w:b/>
                <w:sz w:val="15"/>
                <w:szCs w:val="15"/>
              </w:rPr>
            </w:pPr>
            <w:r w:rsidRPr="00135B51">
              <w:rPr>
                <w:rFonts w:ascii="Corbel" w:hAnsi="Corbel" w:cs="Arial"/>
                <w:b/>
                <w:sz w:val="15"/>
                <w:szCs w:val="15"/>
              </w:rPr>
              <w:t>Number of students</w:t>
            </w:r>
          </w:p>
        </w:tc>
        <w:tc>
          <w:tcPr>
            <w:tcW w:w="1911" w:type="dxa"/>
            <w:tcBorders>
              <w:bottom w:val="single" w:sz="4" w:space="0" w:color="auto"/>
            </w:tcBorders>
            <w:shd w:val="clear" w:color="auto" w:fill="auto"/>
            <w:vAlign w:val="center"/>
          </w:tcPr>
          <w:p w:rsidR="00CD5D3E" w:rsidRPr="00135B51" w:rsidRDefault="00CD5D3E" w:rsidP="00885315">
            <w:pPr>
              <w:keepNext/>
              <w:keepLines/>
              <w:spacing w:after="0"/>
              <w:jc w:val="center"/>
              <w:rPr>
                <w:rFonts w:ascii="Corbel" w:hAnsi="Corbel" w:cs="Arial"/>
                <w:b/>
                <w:sz w:val="15"/>
                <w:szCs w:val="15"/>
              </w:rPr>
            </w:pPr>
            <w:r w:rsidRPr="00135B51">
              <w:rPr>
                <w:rFonts w:ascii="Corbel" w:hAnsi="Corbel" w:cs="Arial"/>
                <w:b/>
                <w:sz w:val="15"/>
                <w:szCs w:val="15"/>
              </w:rPr>
              <w:t>Percentage of all students</w:t>
            </w:r>
          </w:p>
        </w:tc>
      </w:tr>
      <w:tr w:rsidR="00C704DF" w:rsidRPr="00135B51" w:rsidTr="00885315">
        <w:trPr>
          <w:trHeight w:val="446"/>
        </w:trPr>
        <w:tc>
          <w:tcPr>
            <w:tcW w:w="5353" w:type="dxa"/>
            <w:tcBorders>
              <w:top w:val="single" w:sz="4" w:space="0" w:color="auto"/>
              <w:left w:val="single" w:sz="4" w:space="0" w:color="auto"/>
              <w:bottom w:val="single" w:sz="4" w:space="0" w:color="auto"/>
              <w:right w:val="single" w:sz="4" w:space="0" w:color="auto"/>
            </w:tcBorders>
            <w:shd w:val="clear" w:color="auto" w:fill="auto"/>
          </w:tcPr>
          <w:p w:rsidR="00C704DF" w:rsidRPr="00885315" w:rsidRDefault="00CD5D3E" w:rsidP="00885315">
            <w:pPr>
              <w:keepNext/>
              <w:keepLines/>
              <w:spacing w:after="0"/>
              <w:rPr>
                <w:rFonts w:ascii="Corbel" w:hAnsi="Corbel" w:cs="Arial"/>
                <w:b/>
                <w:sz w:val="15"/>
                <w:szCs w:val="15"/>
              </w:rPr>
            </w:pPr>
            <w:r>
              <w:rPr>
                <w:rFonts w:ascii="Corbel" w:hAnsi="Corbel" w:cs="Arial"/>
                <w:b/>
                <w:sz w:val="15"/>
                <w:szCs w:val="15"/>
              </w:rPr>
              <w:t xml:space="preserve">(A) </w:t>
            </w:r>
            <w:r w:rsidR="00C704DF" w:rsidRPr="00885315">
              <w:rPr>
                <w:rFonts w:ascii="Corbel" w:hAnsi="Corbel" w:cs="Arial"/>
                <w:b/>
                <w:sz w:val="15"/>
                <w:szCs w:val="15"/>
              </w:rPr>
              <w:t>Past higher education study</w:t>
            </w:r>
            <w:r w:rsidR="00C704DF" w:rsidRPr="00885315">
              <w:rPr>
                <w:rFonts w:ascii="Corbel" w:hAnsi="Corbel" w:cs="Arial"/>
                <w:sz w:val="15"/>
                <w:szCs w:val="15"/>
              </w:rPr>
              <w:br/>
              <w:t>(includes a bridging or enabling course)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C704DF" w:rsidRPr="00135B51" w:rsidRDefault="00CD5D3E" w:rsidP="00A571A0">
            <w:pPr>
              <w:keepNext/>
              <w:keepLines/>
              <w:spacing w:after="0"/>
              <w:jc w:val="center"/>
              <w:rPr>
                <w:rFonts w:ascii="Corbel" w:hAnsi="Corbel" w:cs="Arial"/>
                <w:sz w:val="15"/>
                <w:szCs w:val="15"/>
              </w:rPr>
            </w:pPr>
            <w:r>
              <w:rPr>
                <w:rFonts w:ascii="Corbel" w:hAnsi="Corbel" w:cs="Arial"/>
                <w:sz w:val="15"/>
                <w:szCs w:val="15"/>
              </w:rPr>
              <w:t>n</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rsidR="00C704DF" w:rsidRPr="00135B51" w:rsidRDefault="00CD5D3E" w:rsidP="00885315">
            <w:pPr>
              <w:keepNext/>
              <w:keepLines/>
              <w:spacing w:after="0"/>
              <w:jc w:val="center"/>
              <w:rPr>
                <w:rFonts w:ascii="Corbel" w:hAnsi="Corbel" w:cs="Arial"/>
                <w:sz w:val="15"/>
                <w:szCs w:val="15"/>
              </w:rPr>
            </w:pPr>
            <w:r>
              <w:rPr>
                <w:rFonts w:ascii="Corbel" w:hAnsi="Corbel" w:cs="Arial"/>
                <w:sz w:val="15"/>
                <w:szCs w:val="15"/>
              </w:rPr>
              <w:t>%</w:t>
            </w:r>
          </w:p>
        </w:tc>
      </w:tr>
      <w:tr w:rsidR="00C704DF" w:rsidRPr="00135B51" w:rsidTr="00885315">
        <w:trPr>
          <w:trHeight w:val="453"/>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C704DF" w:rsidRPr="00885315" w:rsidRDefault="00CD5D3E" w:rsidP="00885315">
            <w:pPr>
              <w:keepNext/>
              <w:keepLines/>
              <w:spacing w:after="0"/>
              <w:rPr>
                <w:rFonts w:ascii="Corbel" w:hAnsi="Corbel" w:cs="Arial"/>
                <w:b/>
                <w:sz w:val="15"/>
                <w:szCs w:val="15"/>
              </w:rPr>
            </w:pPr>
            <w:r>
              <w:rPr>
                <w:rFonts w:ascii="Corbel" w:hAnsi="Corbel" w:cs="Arial"/>
                <w:b/>
                <w:sz w:val="15"/>
                <w:szCs w:val="15"/>
              </w:rPr>
              <w:t xml:space="preserve">(B) </w:t>
            </w:r>
            <w:r w:rsidR="00C704DF" w:rsidRPr="00885315">
              <w:rPr>
                <w:rFonts w:ascii="Corbel" w:hAnsi="Corbel" w:cs="Arial"/>
                <w:b/>
                <w:sz w:val="15"/>
                <w:szCs w:val="15"/>
              </w:rPr>
              <w:t>Past vocational education and training (VET) study</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C704DF" w:rsidRPr="00135B51" w:rsidRDefault="00CD5D3E" w:rsidP="00A571A0">
            <w:pPr>
              <w:keepNext/>
              <w:keepLines/>
              <w:spacing w:after="0"/>
              <w:jc w:val="center"/>
              <w:rPr>
                <w:rFonts w:ascii="Corbel" w:hAnsi="Corbel" w:cs="Arial"/>
                <w:sz w:val="15"/>
                <w:szCs w:val="15"/>
              </w:rPr>
            </w:pPr>
            <w:r>
              <w:rPr>
                <w:rFonts w:ascii="Corbel" w:hAnsi="Corbel" w:cs="Arial"/>
                <w:sz w:val="15"/>
                <w:szCs w:val="15"/>
              </w:rPr>
              <w:t>n</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rsidR="00C704DF" w:rsidRPr="00135B51" w:rsidRDefault="00CD5D3E" w:rsidP="00885315">
            <w:pPr>
              <w:keepNext/>
              <w:keepLines/>
              <w:spacing w:after="0"/>
              <w:jc w:val="center"/>
              <w:rPr>
                <w:rFonts w:ascii="Corbel" w:hAnsi="Corbel" w:cs="Arial"/>
                <w:sz w:val="15"/>
                <w:szCs w:val="15"/>
              </w:rPr>
            </w:pPr>
            <w:r>
              <w:rPr>
                <w:rFonts w:ascii="Corbel" w:hAnsi="Corbel" w:cs="Arial"/>
                <w:sz w:val="15"/>
                <w:szCs w:val="15"/>
              </w:rPr>
              <w:t>%</w:t>
            </w:r>
          </w:p>
        </w:tc>
      </w:tr>
      <w:tr w:rsidR="00BD32DA" w:rsidRPr="00135B51" w:rsidTr="00885315">
        <w:trPr>
          <w:trHeight w:val="406"/>
        </w:trPr>
        <w:tc>
          <w:tcPr>
            <w:tcW w:w="5353" w:type="dxa"/>
            <w:tcBorders>
              <w:top w:val="single" w:sz="4" w:space="0" w:color="auto"/>
              <w:left w:val="single" w:sz="4" w:space="0" w:color="auto"/>
              <w:bottom w:val="nil"/>
              <w:right w:val="single" w:sz="4" w:space="0" w:color="auto"/>
            </w:tcBorders>
            <w:shd w:val="clear" w:color="auto" w:fill="auto"/>
          </w:tcPr>
          <w:p w:rsidR="00BD32DA" w:rsidRPr="00885315" w:rsidRDefault="00CD5D3E" w:rsidP="00A571A0">
            <w:pPr>
              <w:keepNext/>
              <w:keepLines/>
              <w:spacing w:after="0"/>
              <w:rPr>
                <w:rFonts w:ascii="Corbel" w:hAnsi="Corbel" w:cs="Arial"/>
                <w:b/>
                <w:sz w:val="15"/>
                <w:szCs w:val="15"/>
              </w:rPr>
            </w:pPr>
            <w:r>
              <w:rPr>
                <w:rFonts w:ascii="Corbel" w:hAnsi="Corbel" w:cs="Arial"/>
                <w:b/>
                <w:sz w:val="15"/>
                <w:szCs w:val="15"/>
              </w:rPr>
              <w:t xml:space="preserve">(C) </w:t>
            </w:r>
            <w:r w:rsidR="00BD32DA" w:rsidRPr="00885315">
              <w:rPr>
                <w:rFonts w:ascii="Corbel" w:hAnsi="Corbel" w:cs="Arial"/>
                <w:b/>
                <w:sz w:val="15"/>
                <w:szCs w:val="15"/>
              </w:rPr>
              <w:t>Recent secondary education</w:t>
            </w:r>
            <w:r w:rsidR="00104FA3" w:rsidRPr="00885315">
              <w:rPr>
                <w:rFonts w:ascii="Corbel" w:hAnsi="Corbel" w:cs="Arial"/>
                <w:b/>
                <w:sz w:val="15"/>
                <w:szCs w:val="15"/>
              </w:rPr>
              <w:t>:</w:t>
            </w:r>
          </w:p>
          <w:p w:rsidR="00BD32DA" w:rsidRPr="00135B51" w:rsidRDefault="00C704DF" w:rsidP="00104FA3">
            <w:pPr>
              <w:pStyle w:val="ListParagraph"/>
              <w:keepNext/>
              <w:keepLines/>
              <w:numPr>
                <w:ilvl w:val="0"/>
                <w:numId w:val="16"/>
              </w:numPr>
              <w:spacing w:after="0"/>
              <w:rPr>
                <w:rFonts w:ascii="Corbel" w:hAnsi="Corbel" w:cs="Arial"/>
                <w:sz w:val="15"/>
                <w:szCs w:val="15"/>
              </w:rPr>
            </w:pPr>
            <w:r>
              <w:rPr>
                <w:rFonts w:ascii="Corbel" w:hAnsi="Corbel" w:cs="Arial"/>
                <w:sz w:val="15"/>
                <w:szCs w:val="15"/>
              </w:rPr>
              <w:t>A</w:t>
            </w:r>
            <w:r w:rsidR="00BD32DA" w:rsidRPr="00135B51">
              <w:rPr>
                <w:rFonts w:ascii="Corbel" w:hAnsi="Corbel" w:cs="Arial"/>
                <w:sz w:val="15"/>
                <w:szCs w:val="15"/>
              </w:rPr>
              <w:t xml:space="preserve">dmitted solely on the basis of ATAR </w:t>
            </w:r>
            <w:r w:rsidR="00104FA3">
              <w:rPr>
                <w:rFonts w:ascii="Corbel" w:hAnsi="Corbel" w:cs="Arial"/>
                <w:sz w:val="15"/>
                <w:szCs w:val="15"/>
              </w:rPr>
              <w:br/>
            </w:r>
            <w:r w:rsidR="00BD32DA" w:rsidRPr="00135B51">
              <w:rPr>
                <w:rFonts w:ascii="Corbel" w:hAnsi="Corbel" w:cs="Arial"/>
                <w:sz w:val="15"/>
                <w:szCs w:val="15"/>
              </w:rPr>
              <w:t>(</w:t>
            </w:r>
            <w:r w:rsidR="00104FA3">
              <w:rPr>
                <w:rFonts w:ascii="Corbel" w:hAnsi="Corbel" w:cs="Arial"/>
                <w:sz w:val="15"/>
                <w:szCs w:val="15"/>
              </w:rPr>
              <w:t xml:space="preserve">regardless of whether this includes the impact of </w:t>
            </w:r>
            <w:r w:rsidR="00104FA3">
              <w:rPr>
                <w:rFonts w:ascii="Corbel" w:hAnsi="Corbel" w:cs="Arial"/>
                <w:sz w:val="15"/>
                <w:szCs w:val="15"/>
              </w:rPr>
              <w:br/>
              <w:t xml:space="preserve">adjustment factors such as </w:t>
            </w:r>
            <w:r w:rsidR="00FA372F">
              <w:rPr>
                <w:rFonts w:ascii="Corbel" w:hAnsi="Corbel" w:cs="Arial"/>
                <w:sz w:val="15"/>
                <w:szCs w:val="15"/>
              </w:rPr>
              <w:t xml:space="preserve">equity or subject </w:t>
            </w:r>
            <w:r w:rsidR="00BD32DA" w:rsidRPr="00135B51">
              <w:rPr>
                <w:rFonts w:ascii="Corbel" w:hAnsi="Corbel" w:cs="Arial"/>
                <w:sz w:val="15"/>
                <w:szCs w:val="15"/>
              </w:rPr>
              <w:t>bonus points)</w:t>
            </w:r>
          </w:p>
        </w:tc>
        <w:tc>
          <w:tcPr>
            <w:tcW w:w="1985" w:type="dxa"/>
            <w:tcBorders>
              <w:top w:val="single" w:sz="4" w:space="0" w:color="auto"/>
              <w:left w:val="single" w:sz="4" w:space="0" w:color="auto"/>
              <w:bottom w:val="nil"/>
              <w:right w:val="single" w:sz="4" w:space="0" w:color="auto"/>
            </w:tcBorders>
            <w:shd w:val="clear" w:color="auto" w:fill="auto"/>
            <w:vAlign w:val="center"/>
          </w:tcPr>
          <w:p w:rsidR="00BD32DA" w:rsidRPr="00135B51" w:rsidRDefault="00B21C92" w:rsidP="00A571A0">
            <w:pPr>
              <w:keepNext/>
              <w:keepLines/>
              <w:spacing w:after="0"/>
              <w:jc w:val="center"/>
              <w:rPr>
                <w:rFonts w:ascii="Corbel" w:hAnsi="Corbel" w:cs="Arial"/>
                <w:sz w:val="15"/>
                <w:szCs w:val="15"/>
              </w:rPr>
            </w:pPr>
            <w:r>
              <w:rPr>
                <w:rFonts w:ascii="Corbel" w:hAnsi="Corbel" w:cs="Arial"/>
                <w:sz w:val="15"/>
                <w:szCs w:val="15"/>
              </w:rPr>
              <w:t>n</w:t>
            </w:r>
          </w:p>
        </w:tc>
        <w:tc>
          <w:tcPr>
            <w:tcW w:w="1911" w:type="dxa"/>
            <w:tcBorders>
              <w:top w:val="single" w:sz="4" w:space="0" w:color="auto"/>
              <w:left w:val="single" w:sz="4" w:space="0" w:color="auto"/>
              <w:bottom w:val="nil"/>
              <w:right w:val="single" w:sz="4" w:space="0" w:color="auto"/>
            </w:tcBorders>
            <w:shd w:val="clear" w:color="auto" w:fill="auto"/>
            <w:vAlign w:val="center"/>
          </w:tcPr>
          <w:p w:rsidR="00BD32DA" w:rsidRPr="00135B51" w:rsidRDefault="00B21C92" w:rsidP="00885315">
            <w:pPr>
              <w:keepNext/>
              <w:keepLines/>
              <w:spacing w:after="0"/>
              <w:jc w:val="center"/>
              <w:rPr>
                <w:rFonts w:ascii="Corbel" w:hAnsi="Corbel" w:cs="Arial"/>
                <w:sz w:val="15"/>
                <w:szCs w:val="15"/>
              </w:rPr>
            </w:pPr>
            <w:r>
              <w:rPr>
                <w:rFonts w:ascii="Corbel" w:hAnsi="Corbel" w:cs="Arial"/>
                <w:sz w:val="15"/>
                <w:szCs w:val="15"/>
              </w:rPr>
              <w:t>%</w:t>
            </w:r>
          </w:p>
        </w:tc>
      </w:tr>
      <w:tr w:rsidR="00BD32DA" w:rsidRPr="00135B51" w:rsidTr="00885315">
        <w:trPr>
          <w:trHeight w:val="418"/>
        </w:trPr>
        <w:tc>
          <w:tcPr>
            <w:tcW w:w="5353" w:type="dxa"/>
            <w:tcBorders>
              <w:top w:val="nil"/>
              <w:left w:val="single" w:sz="4" w:space="0" w:color="auto"/>
              <w:bottom w:val="nil"/>
              <w:right w:val="single" w:sz="4" w:space="0" w:color="auto"/>
            </w:tcBorders>
            <w:shd w:val="clear" w:color="auto" w:fill="auto"/>
          </w:tcPr>
          <w:p w:rsidR="00BD32DA" w:rsidRPr="00135B51" w:rsidRDefault="00C704DF" w:rsidP="00104FA3">
            <w:pPr>
              <w:pStyle w:val="ListParagraph"/>
              <w:keepNext/>
              <w:keepLines/>
              <w:numPr>
                <w:ilvl w:val="0"/>
                <w:numId w:val="16"/>
              </w:numPr>
              <w:spacing w:after="0"/>
              <w:rPr>
                <w:rFonts w:ascii="Corbel" w:hAnsi="Corbel" w:cs="Arial"/>
                <w:sz w:val="15"/>
                <w:szCs w:val="15"/>
              </w:rPr>
            </w:pPr>
            <w:r>
              <w:rPr>
                <w:rFonts w:ascii="Corbel" w:hAnsi="Corbel" w:cs="Arial"/>
                <w:sz w:val="15"/>
                <w:szCs w:val="15"/>
              </w:rPr>
              <w:t>A</w:t>
            </w:r>
            <w:r w:rsidR="00BD32DA" w:rsidRPr="00135B51">
              <w:rPr>
                <w:rFonts w:ascii="Corbel" w:hAnsi="Corbel" w:cs="Arial"/>
                <w:sz w:val="15"/>
                <w:szCs w:val="15"/>
              </w:rPr>
              <w:t xml:space="preserve">dmitted where </w:t>
            </w:r>
            <w:r>
              <w:rPr>
                <w:rFonts w:ascii="Corbel" w:hAnsi="Corbel" w:cs="Arial"/>
                <w:sz w:val="15"/>
                <w:szCs w:val="15"/>
              </w:rPr>
              <w:t xml:space="preserve">both </w:t>
            </w:r>
            <w:r w:rsidR="00BD32DA" w:rsidRPr="00135B51">
              <w:rPr>
                <w:rFonts w:ascii="Corbel" w:hAnsi="Corbel" w:cs="Arial"/>
                <w:sz w:val="15"/>
                <w:szCs w:val="15"/>
              </w:rPr>
              <w:t xml:space="preserve">ATAR </w:t>
            </w:r>
            <w:r>
              <w:rPr>
                <w:rFonts w:ascii="Corbel" w:hAnsi="Corbel" w:cs="Arial"/>
                <w:sz w:val="15"/>
                <w:szCs w:val="15"/>
              </w:rPr>
              <w:t xml:space="preserve">and additional </w:t>
            </w:r>
            <w:r w:rsidR="00104FA3">
              <w:rPr>
                <w:rFonts w:ascii="Corbel" w:hAnsi="Corbel" w:cs="Arial"/>
                <w:sz w:val="15"/>
                <w:szCs w:val="15"/>
              </w:rPr>
              <w:t>criteria</w:t>
            </w:r>
            <w:r w:rsidR="00BD32DA" w:rsidRPr="00135B51">
              <w:rPr>
                <w:rFonts w:ascii="Corbel" w:hAnsi="Corbel" w:cs="Arial"/>
                <w:sz w:val="15"/>
                <w:szCs w:val="15"/>
              </w:rPr>
              <w:t xml:space="preserve"> </w:t>
            </w:r>
            <w:r>
              <w:rPr>
                <w:rFonts w:ascii="Corbel" w:hAnsi="Corbel" w:cs="Arial"/>
                <w:sz w:val="15"/>
                <w:szCs w:val="15"/>
              </w:rPr>
              <w:t xml:space="preserve">were </w:t>
            </w:r>
            <w:r w:rsidR="00BD32DA" w:rsidRPr="00135B51">
              <w:rPr>
                <w:rFonts w:ascii="Corbel" w:hAnsi="Corbel" w:cs="Arial"/>
                <w:sz w:val="15"/>
                <w:szCs w:val="15"/>
              </w:rPr>
              <w:t>considered</w:t>
            </w:r>
            <w:r w:rsidR="00BD32DA" w:rsidRPr="00135B51">
              <w:rPr>
                <w:rFonts w:ascii="Corbel" w:hAnsi="Corbel" w:cs="Arial"/>
                <w:sz w:val="15"/>
                <w:szCs w:val="15"/>
              </w:rPr>
              <w:br/>
              <w:t xml:space="preserve">(e.g. portfolio, audition, </w:t>
            </w:r>
            <w:r w:rsidR="00104FA3">
              <w:rPr>
                <w:rFonts w:ascii="Corbel" w:hAnsi="Corbel" w:cs="Arial"/>
                <w:sz w:val="15"/>
                <w:szCs w:val="15"/>
              </w:rPr>
              <w:t xml:space="preserve">extra </w:t>
            </w:r>
            <w:r w:rsidR="00BD32DA" w:rsidRPr="00135B51">
              <w:rPr>
                <w:rFonts w:ascii="Corbel" w:hAnsi="Corbel" w:cs="Arial"/>
                <w:sz w:val="15"/>
                <w:szCs w:val="15"/>
              </w:rPr>
              <w:t>test, early offer</w:t>
            </w:r>
            <w:r w:rsidR="00104FA3">
              <w:rPr>
                <w:rFonts w:ascii="Corbel" w:hAnsi="Corbel" w:cs="Arial"/>
                <w:sz w:val="15"/>
                <w:szCs w:val="15"/>
              </w:rPr>
              <w:t xml:space="preserve"> conditional on minimum ATAR</w:t>
            </w:r>
            <w:r w:rsidR="00BD32DA" w:rsidRPr="00135B51">
              <w:rPr>
                <w:rFonts w:ascii="Corbel" w:hAnsi="Corbel" w:cs="Arial"/>
                <w:sz w:val="15"/>
                <w:szCs w:val="15"/>
              </w:rPr>
              <w:t>)</w:t>
            </w:r>
          </w:p>
        </w:tc>
        <w:tc>
          <w:tcPr>
            <w:tcW w:w="1985" w:type="dxa"/>
            <w:tcBorders>
              <w:top w:val="nil"/>
              <w:left w:val="single" w:sz="4" w:space="0" w:color="auto"/>
              <w:bottom w:val="nil"/>
              <w:right w:val="single" w:sz="4" w:space="0" w:color="auto"/>
            </w:tcBorders>
            <w:shd w:val="clear" w:color="auto" w:fill="auto"/>
            <w:vAlign w:val="center"/>
          </w:tcPr>
          <w:p w:rsidR="00BD32DA" w:rsidRPr="00135B51" w:rsidRDefault="00B21C92" w:rsidP="00A571A0">
            <w:pPr>
              <w:keepNext/>
              <w:keepLines/>
              <w:spacing w:after="0"/>
              <w:jc w:val="center"/>
              <w:rPr>
                <w:rFonts w:ascii="Corbel" w:hAnsi="Corbel" w:cs="Arial"/>
                <w:sz w:val="15"/>
                <w:szCs w:val="15"/>
              </w:rPr>
            </w:pPr>
            <w:r>
              <w:rPr>
                <w:rFonts w:ascii="Corbel" w:hAnsi="Corbel" w:cs="Arial"/>
                <w:sz w:val="15"/>
                <w:szCs w:val="15"/>
              </w:rPr>
              <w:t>n</w:t>
            </w:r>
          </w:p>
        </w:tc>
        <w:tc>
          <w:tcPr>
            <w:tcW w:w="1911" w:type="dxa"/>
            <w:tcBorders>
              <w:top w:val="nil"/>
              <w:left w:val="single" w:sz="4" w:space="0" w:color="auto"/>
              <w:bottom w:val="nil"/>
              <w:right w:val="single" w:sz="4" w:space="0" w:color="auto"/>
            </w:tcBorders>
            <w:shd w:val="clear" w:color="auto" w:fill="auto"/>
            <w:vAlign w:val="center"/>
          </w:tcPr>
          <w:p w:rsidR="00BD32DA" w:rsidRPr="00135B51" w:rsidRDefault="00B21C92" w:rsidP="00885315">
            <w:pPr>
              <w:keepNext/>
              <w:keepLines/>
              <w:spacing w:after="0"/>
              <w:jc w:val="center"/>
              <w:rPr>
                <w:rFonts w:ascii="Corbel" w:hAnsi="Corbel" w:cs="Arial"/>
                <w:sz w:val="15"/>
                <w:szCs w:val="15"/>
              </w:rPr>
            </w:pPr>
            <w:r>
              <w:rPr>
                <w:rFonts w:ascii="Corbel" w:hAnsi="Corbel" w:cs="Arial"/>
                <w:sz w:val="15"/>
                <w:szCs w:val="15"/>
              </w:rPr>
              <w:t>%</w:t>
            </w:r>
          </w:p>
        </w:tc>
      </w:tr>
      <w:tr w:rsidR="00BD32DA" w:rsidRPr="00135B51" w:rsidTr="00885315">
        <w:trPr>
          <w:trHeight w:val="499"/>
        </w:trPr>
        <w:tc>
          <w:tcPr>
            <w:tcW w:w="5353" w:type="dxa"/>
            <w:tcBorders>
              <w:top w:val="nil"/>
              <w:left w:val="single" w:sz="4" w:space="0" w:color="auto"/>
              <w:bottom w:val="single" w:sz="4" w:space="0" w:color="auto"/>
              <w:right w:val="single" w:sz="4" w:space="0" w:color="auto"/>
            </w:tcBorders>
            <w:shd w:val="clear" w:color="auto" w:fill="auto"/>
          </w:tcPr>
          <w:p w:rsidR="00BD32DA" w:rsidRPr="00135B51" w:rsidRDefault="00104FA3" w:rsidP="00885315">
            <w:pPr>
              <w:pStyle w:val="ListParagraph"/>
              <w:keepNext/>
              <w:keepLines/>
              <w:numPr>
                <w:ilvl w:val="0"/>
                <w:numId w:val="16"/>
              </w:numPr>
              <w:spacing w:after="0"/>
              <w:ind w:left="357" w:hanging="357"/>
              <w:rPr>
                <w:rFonts w:ascii="Corbel" w:hAnsi="Corbel" w:cs="Arial"/>
                <w:sz w:val="15"/>
                <w:szCs w:val="15"/>
              </w:rPr>
            </w:pPr>
            <w:r>
              <w:rPr>
                <w:rFonts w:ascii="Corbel" w:hAnsi="Corbel" w:cs="Arial"/>
                <w:sz w:val="15"/>
                <w:szCs w:val="15"/>
              </w:rPr>
              <w:t>A</w:t>
            </w:r>
            <w:r w:rsidR="00BD32DA" w:rsidRPr="00135B51">
              <w:rPr>
                <w:rFonts w:ascii="Corbel" w:hAnsi="Corbel" w:cs="Arial"/>
                <w:sz w:val="15"/>
                <w:szCs w:val="15"/>
              </w:rPr>
              <w:t xml:space="preserve">dmitted on the basis of other criteria </w:t>
            </w:r>
            <w:r>
              <w:rPr>
                <w:rFonts w:ascii="Corbel" w:hAnsi="Corbel" w:cs="Arial"/>
                <w:sz w:val="15"/>
                <w:szCs w:val="15"/>
              </w:rPr>
              <w:t xml:space="preserve">only </w:t>
            </w:r>
            <w:r w:rsidR="00BD32DA" w:rsidRPr="00135B51">
              <w:rPr>
                <w:rFonts w:ascii="Corbel" w:hAnsi="Corbel" w:cs="Arial"/>
                <w:sz w:val="15"/>
                <w:szCs w:val="15"/>
              </w:rPr>
              <w:t xml:space="preserve">and ATAR was </w:t>
            </w:r>
            <w:r w:rsidR="00BD32DA" w:rsidRPr="00135B51">
              <w:rPr>
                <w:rFonts w:ascii="Corbel" w:hAnsi="Corbel" w:cs="Arial"/>
                <w:b/>
                <w:i/>
                <w:sz w:val="15"/>
                <w:szCs w:val="15"/>
                <w:u w:val="single"/>
              </w:rPr>
              <w:t>not</w:t>
            </w:r>
            <w:r w:rsidR="00BD32DA" w:rsidRPr="00135B51">
              <w:rPr>
                <w:rFonts w:ascii="Corbel" w:hAnsi="Corbel" w:cs="Arial"/>
                <w:sz w:val="15"/>
                <w:szCs w:val="15"/>
              </w:rPr>
              <w:t xml:space="preserve"> a factor</w:t>
            </w:r>
            <w:r w:rsidR="00BD32DA" w:rsidRPr="00135B51">
              <w:rPr>
                <w:rFonts w:ascii="Corbel" w:hAnsi="Corbel" w:cs="Arial"/>
                <w:sz w:val="15"/>
                <w:szCs w:val="15"/>
              </w:rPr>
              <w:br/>
              <w:t>(e.g. special consideration, audition alone, schools recommendation scheme</w:t>
            </w:r>
            <w:r>
              <w:rPr>
                <w:rFonts w:ascii="Corbel" w:hAnsi="Corbel" w:cs="Arial"/>
                <w:sz w:val="15"/>
                <w:szCs w:val="15"/>
              </w:rPr>
              <w:t xml:space="preserve"> with no minimum ATAR requirement</w:t>
            </w:r>
            <w:r w:rsidR="00BD32DA" w:rsidRPr="00135B51">
              <w:rPr>
                <w:rFonts w:ascii="Corbel" w:hAnsi="Corbel" w:cs="Arial"/>
                <w:sz w:val="15"/>
                <w:szCs w:val="15"/>
              </w:rPr>
              <w:t>)</w:t>
            </w:r>
          </w:p>
        </w:tc>
        <w:tc>
          <w:tcPr>
            <w:tcW w:w="1985" w:type="dxa"/>
            <w:tcBorders>
              <w:top w:val="nil"/>
              <w:left w:val="single" w:sz="4" w:space="0" w:color="auto"/>
              <w:bottom w:val="single" w:sz="4" w:space="0" w:color="auto"/>
              <w:right w:val="single" w:sz="4" w:space="0" w:color="auto"/>
            </w:tcBorders>
            <w:shd w:val="clear" w:color="auto" w:fill="auto"/>
            <w:vAlign w:val="center"/>
          </w:tcPr>
          <w:p w:rsidR="00BD32DA" w:rsidRPr="00135B51" w:rsidRDefault="00B21C92" w:rsidP="00A571A0">
            <w:pPr>
              <w:keepNext/>
              <w:keepLines/>
              <w:spacing w:after="0"/>
              <w:jc w:val="center"/>
              <w:rPr>
                <w:rFonts w:ascii="Corbel" w:hAnsi="Corbel" w:cs="Arial"/>
                <w:sz w:val="15"/>
                <w:szCs w:val="15"/>
              </w:rPr>
            </w:pPr>
            <w:r>
              <w:rPr>
                <w:rFonts w:ascii="Corbel" w:hAnsi="Corbel" w:cs="Arial"/>
                <w:sz w:val="15"/>
                <w:szCs w:val="15"/>
              </w:rPr>
              <w:t>n</w:t>
            </w:r>
          </w:p>
        </w:tc>
        <w:tc>
          <w:tcPr>
            <w:tcW w:w="1911" w:type="dxa"/>
            <w:tcBorders>
              <w:top w:val="nil"/>
              <w:left w:val="single" w:sz="4" w:space="0" w:color="auto"/>
              <w:bottom w:val="single" w:sz="4" w:space="0" w:color="auto"/>
              <w:right w:val="single" w:sz="4" w:space="0" w:color="auto"/>
            </w:tcBorders>
            <w:shd w:val="clear" w:color="auto" w:fill="auto"/>
            <w:vAlign w:val="center"/>
          </w:tcPr>
          <w:p w:rsidR="00BD32DA" w:rsidRPr="00135B51" w:rsidRDefault="00B21C92" w:rsidP="00885315">
            <w:pPr>
              <w:keepNext/>
              <w:keepLines/>
              <w:spacing w:after="0"/>
              <w:jc w:val="center"/>
              <w:rPr>
                <w:rFonts w:ascii="Corbel" w:hAnsi="Corbel" w:cs="Arial"/>
                <w:sz w:val="15"/>
                <w:szCs w:val="15"/>
              </w:rPr>
            </w:pPr>
            <w:r>
              <w:rPr>
                <w:rFonts w:ascii="Corbel" w:hAnsi="Corbel" w:cs="Arial"/>
                <w:sz w:val="15"/>
                <w:szCs w:val="15"/>
              </w:rPr>
              <w:t>%</w:t>
            </w:r>
          </w:p>
        </w:tc>
      </w:tr>
      <w:tr w:rsidR="00BD32DA" w:rsidRPr="00135B51" w:rsidTr="00885315">
        <w:trPr>
          <w:trHeight w:val="444"/>
        </w:trPr>
        <w:tc>
          <w:tcPr>
            <w:tcW w:w="5353" w:type="dxa"/>
            <w:tcBorders>
              <w:top w:val="single" w:sz="4" w:space="0" w:color="auto"/>
            </w:tcBorders>
            <w:shd w:val="clear" w:color="auto" w:fill="auto"/>
          </w:tcPr>
          <w:p w:rsidR="00CD5D3E" w:rsidRPr="00135B51" w:rsidRDefault="00CD5D3E" w:rsidP="00885315">
            <w:pPr>
              <w:spacing w:after="100" w:afterAutospacing="1"/>
            </w:pPr>
            <w:r>
              <w:rPr>
                <w:rFonts w:ascii="Corbel" w:hAnsi="Corbel" w:cs="Arial"/>
                <w:b/>
                <w:sz w:val="15"/>
                <w:szCs w:val="15"/>
              </w:rPr>
              <w:t xml:space="preserve">(D) </w:t>
            </w:r>
            <w:r w:rsidR="00BD32DA" w:rsidRPr="00885315">
              <w:rPr>
                <w:rFonts w:ascii="Corbel" w:hAnsi="Corbel" w:cs="Arial"/>
                <w:b/>
                <w:sz w:val="15"/>
                <w:szCs w:val="15"/>
              </w:rPr>
              <w:t>Work and life experience</w:t>
            </w:r>
            <w:r w:rsidR="00B21C92" w:rsidRPr="00A571A0">
              <w:rPr>
                <w:rFonts w:ascii="Corbel" w:hAnsi="Corbel" w:cs="Arial"/>
                <w:sz w:val="15"/>
                <w:szCs w:val="15"/>
              </w:rPr>
              <w:br/>
            </w:r>
            <w:r w:rsidR="00B21C92" w:rsidRPr="00885315">
              <w:rPr>
                <w:rFonts w:ascii="Corbel" w:hAnsi="Corbel" w:cs="Arial"/>
                <w:sz w:val="15"/>
                <w:szCs w:val="15"/>
              </w:rPr>
              <w:t>(</w:t>
            </w:r>
            <w:r w:rsidR="00104FA3" w:rsidRPr="00A571A0">
              <w:rPr>
                <w:rFonts w:ascii="Corbel" w:hAnsi="Corbel" w:cs="Arial"/>
                <w:sz w:val="15"/>
                <w:szCs w:val="15"/>
              </w:rPr>
              <w:t>A</w:t>
            </w:r>
            <w:r w:rsidR="00BD32DA" w:rsidRPr="00885315">
              <w:rPr>
                <w:rFonts w:ascii="Corbel" w:hAnsi="Corbel" w:cs="Arial"/>
                <w:sz w:val="15"/>
                <w:szCs w:val="15"/>
              </w:rPr>
              <w:t xml:space="preserve">dmitted on </w:t>
            </w:r>
            <w:r w:rsidR="00104FA3" w:rsidRPr="00885315">
              <w:rPr>
                <w:rFonts w:ascii="Corbel" w:hAnsi="Corbel" w:cs="Arial"/>
                <w:sz w:val="15"/>
                <w:szCs w:val="15"/>
              </w:rPr>
              <w:t xml:space="preserve">the </w:t>
            </w:r>
            <w:r w:rsidR="00BD32DA" w:rsidRPr="00885315">
              <w:rPr>
                <w:rFonts w:ascii="Corbel" w:hAnsi="Corbel" w:cs="Arial"/>
                <w:sz w:val="15"/>
                <w:szCs w:val="15"/>
              </w:rPr>
              <w:t xml:space="preserve">basis </w:t>
            </w:r>
            <w:r w:rsidR="00104FA3" w:rsidRPr="00885315">
              <w:rPr>
                <w:rFonts w:ascii="Corbel" w:hAnsi="Corbel" w:cs="Arial"/>
                <w:sz w:val="15"/>
                <w:szCs w:val="15"/>
              </w:rPr>
              <w:t xml:space="preserve">of previous achievement </w:t>
            </w:r>
            <w:r w:rsidR="00BD32DA" w:rsidRPr="00885315">
              <w:rPr>
                <w:rFonts w:ascii="Corbel" w:hAnsi="Corbel" w:cs="Arial"/>
                <w:sz w:val="15"/>
                <w:szCs w:val="15"/>
              </w:rPr>
              <w:t>other than the above</w:t>
            </w:r>
            <w:r w:rsidR="00B21C92" w:rsidRPr="00885315">
              <w:rPr>
                <w:rFonts w:ascii="Corbel" w:hAnsi="Corbel" w:cs="Arial"/>
                <w:sz w:val="15"/>
                <w:szCs w:val="15"/>
              </w:rPr>
              <w:t>)</w:t>
            </w:r>
          </w:p>
        </w:tc>
        <w:tc>
          <w:tcPr>
            <w:tcW w:w="1985" w:type="dxa"/>
            <w:tcBorders>
              <w:top w:val="single" w:sz="4" w:space="0" w:color="auto"/>
            </w:tcBorders>
            <w:shd w:val="clear" w:color="auto" w:fill="auto"/>
            <w:vAlign w:val="center"/>
          </w:tcPr>
          <w:p w:rsidR="00BD32DA" w:rsidRPr="00135B51" w:rsidRDefault="00CD5D3E" w:rsidP="00A571A0">
            <w:pPr>
              <w:keepNext/>
              <w:keepLines/>
              <w:spacing w:after="0"/>
              <w:jc w:val="center"/>
              <w:rPr>
                <w:rFonts w:ascii="Corbel" w:hAnsi="Corbel" w:cs="Arial"/>
                <w:sz w:val="15"/>
                <w:szCs w:val="15"/>
              </w:rPr>
            </w:pPr>
            <w:r>
              <w:rPr>
                <w:rFonts w:ascii="Corbel" w:hAnsi="Corbel" w:cs="Arial"/>
                <w:sz w:val="15"/>
                <w:szCs w:val="15"/>
              </w:rPr>
              <w:t>n</w:t>
            </w:r>
          </w:p>
        </w:tc>
        <w:tc>
          <w:tcPr>
            <w:tcW w:w="1911" w:type="dxa"/>
            <w:tcBorders>
              <w:top w:val="single" w:sz="4" w:space="0" w:color="auto"/>
            </w:tcBorders>
            <w:shd w:val="clear" w:color="auto" w:fill="auto"/>
            <w:vAlign w:val="center"/>
          </w:tcPr>
          <w:p w:rsidR="00BD32DA" w:rsidRPr="00135B51" w:rsidRDefault="00CD5D3E" w:rsidP="00885315">
            <w:pPr>
              <w:keepNext/>
              <w:keepLines/>
              <w:spacing w:after="0"/>
              <w:jc w:val="center"/>
              <w:rPr>
                <w:rFonts w:ascii="Corbel" w:hAnsi="Corbel" w:cs="Arial"/>
                <w:sz w:val="15"/>
                <w:szCs w:val="15"/>
              </w:rPr>
            </w:pPr>
            <w:r>
              <w:rPr>
                <w:rFonts w:ascii="Corbel" w:hAnsi="Corbel" w:cs="Arial"/>
                <w:sz w:val="15"/>
                <w:szCs w:val="15"/>
              </w:rPr>
              <w:t>%</w:t>
            </w:r>
          </w:p>
        </w:tc>
      </w:tr>
      <w:tr w:rsidR="00BD32DA" w:rsidRPr="00135B51" w:rsidTr="00885315">
        <w:trPr>
          <w:trHeight w:val="442"/>
        </w:trPr>
        <w:tc>
          <w:tcPr>
            <w:tcW w:w="5353" w:type="dxa"/>
            <w:shd w:val="clear" w:color="auto" w:fill="auto"/>
            <w:vAlign w:val="center"/>
          </w:tcPr>
          <w:p w:rsidR="00BD32DA" w:rsidRPr="00135B51" w:rsidRDefault="00C704DF" w:rsidP="00A571A0">
            <w:pPr>
              <w:keepNext/>
              <w:keepLines/>
              <w:spacing w:after="0"/>
              <w:rPr>
                <w:rFonts w:ascii="Corbel" w:hAnsi="Corbel" w:cs="Arial"/>
                <w:b/>
                <w:i/>
                <w:sz w:val="15"/>
                <w:szCs w:val="15"/>
              </w:rPr>
            </w:pPr>
            <w:r w:rsidRPr="00885315">
              <w:rPr>
                <w:rFonts w:ascii="Corbel" w:hAnsi="Corbel" w:cs="Arial"/>
                <w:b/>
                <w:sz w:val="15"/>
                <w:szCs w:val="15"/>
              </w:rPr>
              <w:t>I</w:t>
            </w:r>
            <w:r w:rsidR="00BD32DA" w:rsidRPr="00885315">
              <w:rPr>
                <w:rFonts w:ascii="Corbel" w:hAnsi="Corbel" w:cs="Arial"/>
                <w:b/>
                <w:sz w:val="15"/>
                <w:szCs w:val="15"/>
              </w:rPr>
              <w:t>nternational students</w:t>
            </w:r>
          </w:p>
        </w:tc>
        <w:tc>
          <w:tcPr>
            <w:tcW w:w="1985" w:type="dxa"/>
            <w:shd w:val="clear" w:color="auto" w:fill="auto"/>
            <w:vAlign w:val="center"/>
          </w:tcPr>
          <w:p w:rsidR="00BD32DA" w:rsidRPr="00135B51" w:rsidRDefault="00CD5D3E" w:rsidP="00885315">
            <w:pPr>
              <w:keepNext/>
              <w:keepLines/>
              <w:spacing w:after="0"/>
              <w:jc w:val="center"/>
              <w:rPr>
                <w:rFonts w:ascii="Corbel" w:hAnsi="Corbel" w:cs="Arial"/>
                <w:sz w:val="15"/>
                <w:szCs w:val="15"/>
              </w:rPr>
            </w:pPr>
            <w:r>
              <w:rPr>
                <w:rFonts w:ascii="Corbel" w:hAnsi="Corbel" w:cs="Arial"/>
                <w:sz w:val="15"/>
                <w:szCs w:val="15"/>
              </w:rPr>
              <w:t>n</w:t>
            </w:r>
          </w:p>
        </w:tc>
        <w:tc>
          <w:tcPr>
            <w:tcW w:w="1911" w:type="dxa"/>
            <w:shd w:val="clear" w:color="auto" w:fill="auto"/>
            <w:vAlign w:val="center"/>
          </w:tcPr>
          <w:p w:rsidR="00BD32DA" w:rsidRPr="00135B51" w:rsidRDefault="00CD5D3E" w:rsidP="00885315">
            <w:pPr>
              <w:keepNext/>
              <w:keepLines/>
              <w:spacing w:after="0"/>
              <w:jc w:val="center"/>
              <w:rPr>
                <w:rFonts w:ascii="Corbel" w:hAnsi="Corbel" w:cs="Arial"/>
                <w:sz w:val="15"/>
                <w:szCs w:val="15"/>
              </w:rPr>
            </w:pPr>
            <w:r>
              <w:rPr>
                <w:rFonts w:ascii="Corbel" w:hAnsi="Corbel" w:cs="Arial"/>
                <w:sz w:val="15"/>
                <w:szCs w:val="15"/>
              </w:rPr>
              <w:t>%</w:t>
            </w:r>
          </w:p>
        </w:tc>
      </w:tr>
      <w:tr w:rsidR="00BD32DA" w:rsidRPr="00885315" w:rsidTr="00885315">
        <w:trPr>
          <w:trHeight w:val="406"/>
        </w:trPr>
        <w:tc>
          <w:tcPr>
            <w:tcW w:w="5353" w:type="dxa"/>
            <w:shd w:val="clear" w:color="auto" w:fill="auto"/>
            <w:vAlign w:val="center"/>
          </w:tcPr>
          <w:p w:rsidR="00BD32DA" w:rsidRPr="00885315" w:rsidRDefault="00BD32DA" w:rsidP="00A571A0">
            <w:pPr>
              <w:keepLines/>
              <w:spacing w:after="0"/>
              <w:rPr>
                <w:rFonts w:ascii="Corbel" w:hAnsi="Corbel" w:cs="Arial"/>
                <w:b/>
                <w:i/>
                <w:sz w:val="15"/>
                <w:szCs w:val="15"/>
              </w:rPr>
            </w:pPr>
            <w:r w:rsidRPr="00885315">
              <w:rPr>
                <w:rFonts w:ascii="Corbel" w:hAnsi="Corbel" w:cs="Arial"/>
                <w:b/>
                <w:i/>
                <w:sz w:val="15"/>
                <w:szCs w:val="15"/>
              </w:rPr>
              <w:t>All students</w:t>
            </w:r>
          </w:p>
        </w:tc>
        <w:tc>
          <w:tcPr>
            <w:tcW w:w="1985" w:type="dxa"/>
            <w:shd w:val="clear" w:color="auto" w:fill="auto"/>
            <w:vAlign w:val="center"/>
          </w:tcPr>
          <w:p w:rsidR="00BD32DA" w:rsidRPr="00885315" w:rsidRDefault="00CD5D3E" w:rsidP="00885315">
            <w:pPr>
              <w:keepLines/>
              <w:spacing w:after="0"/>
              <w:jc w:val="center"/>
              <w:rPr>
                <w:rFonts w:ascii="Corbel" w:hAnsi="Corbel" w:cs="Arial"/>
                <w:b/>
                <w:i/>
                <w:sz w:val="15"/>
                <w:szCs w:val="15"/>
              </w:rPr>
            </w:pPr>
            <w:r>
              <w:rPr>
                <w:rFonts w:ascii="Corbel" w:hAnsi="Corbel" w:cs="Arial"/>
                <w:b/>
                <w:i/>
                <w:sz w:val="15"/>
                <w:szCs w:val="15"/>
              </w:rPr>
              <w:t>nn</w:t>
            </w:r>
          </w:p>
        </w:tc>
        <w:tc>
          <w:tcPr>
            <w:tcW w:w="1911" w:type="dxa"/>
            <w:shd w:val="clear" w:color="auto" w:fill="auto"/>
            <w:vAlign w:val="center"/>
          </w:tcPr>
          <w:p w:rsidR="00BD32DA" w:rsidRPr="00885315" w:rsidRDefault="00BD32DA" w:rsidP="00885315">
            <w:pPr>
              <w:keepLines/>
              <w:spacing w:after="0"/>
              <w:jc w:val="center"/>
              <w:rPr>
                <w:rFonts w:ascii="Corbel" w:hAnsi="Corbel" w:cs="Arial"/>
                <w:b/>
                <w:i/>
                <w:sz w:val="15"/>
                <w:szCs w:val="15"/>
              </w:rPr>
            </w:pPr>
            <w:r w:rsidRPr="00885315">
              <w:rPr>
                <w:rFonts w:ascii="Corbel" w:hAnsi="Corbel" w:cs="Arial"/>
                <w:b/>
                <w:i/>
                <w:sz w:val="15"/>
                <w:szCs w:val="15"/>
              </w:rPr>
              <w:t>100.0%</w:t>
            </w:r>
          </w:p>
        </w:tc>
      </w:tr>
    </w:tbl>
    <w:p w:rsidR="00BD32DA" w:rsidRPr="00135B51" w:rsidRDefault="00BD32DA" w:rsidP="00537ABC">
      <w:pPr>
        <w:spacing w:after="0" w:line="240" w:lineRule="auto"/>
        <w:rPr>
          <w:rFonts w:ascii="Corbel" w:eastAsiaTheme="minorHAnsi" w:hAnsi="Corbel" w:cs="Arial"/>
          <w:sz w:val="15"/>
          <w:szCs w:val="15"/>
        </w:rPr>
      </w:pPr>
      <w:r w:rsidRPr="00135B51">
        <w:rPr>
          <w:rFonts w:ascii="Corbel" w:eastAsiaTheme="minorHAnsi" w:hAnsi="Corbel" w:cs="Arial"/>
          <w:sz w:val="15"/>
          <w:szCs w:val="15"/>
        </w:rPr>
        <w:t>Notes:</w:t>
      </w:r>
      <w:r w:rsidRPr="00135B51">
        <w:rPr>
          <w:rFonts w:ascii="Corbel" w:eastAsiaTheme="minorHAnsi" w:hAnsi="Corbel" w:cs="Arial"/>
          <w:sz w:val="15"/>
          <w:szCs w:val="15"/>
        </w:rPr>
        <w:tab/>
        <w:t>L/N - Low numbers: the number of students is less than 5.</w:t>
      </w:r>
    </w:p>
    <w:p w:rsidR="00BD32DA" w:rsidRPr="00135B51" w:rsidRDefault="00BD32DA" w:rsidP="00537ABC">
      <w:pPr>
        <w:pStyle w:val="ListParagraph"/>
        <w:spacing w:after="0" w:line="240" w:lineRule="auto"/>
        <w:rPr>
          <w:rFonts w:ascii="Corbel" w:eastAsiaTheme="minorHAnsi" w:hAnsi="Corbel" w:cs="Arial"/>
          <w:sz w:val="15"/>
          <w:szCs w:val="15"/>
        </w:rPr>
      </w:pPr>
      <w:r w:rsidRPr="00135B51">
        <w:rPr>
          <w:rFonts w:ascii="Corbel" w:eastAsiaTheme="minorHAnsi" w:hAnsi="Corbel" w:cs="Arial"/>
          <w:sz w:val="15"/>
          <w:szCs w:val="15"/>
        </w:rPr>
        <w:t>N/A - Data not available for this item.</w:t>
      </w:r>
    </w:p>
    <w:p w:rsidR="00BD32DA" w:rsidRPr="00135B51" w:rsidRDefault="00BD32DA" w:rsidP="00537ABC">
      <w:pPr>
        <w:pStyle w:val="ListParagraph"/>
        <w:spacing w:after="0" w:line="240" w:lineRule="auto"/>
        <w:rPr>
          <w:rFonts w:ascii="Corbel" w:eastAsiaTheme="minorHAnsi" w:hAnsi="Corbel" w:cs="Arial"/>
          <w:sz w:val="15"/>
          <w:szCs w:val="15"/>
        </w:rPr>
      </w:pPr>
      <w:r w:rsidRPr="00135B51">
        <w:rPr>
          <w:rFonts w:ascii="Corbel" w:eastAsiaTheme="minorHAnsi" w:hAnsi="Corbel" w:cs="Arial"/>
          <w:sz w:val="15"/>
          <w:szCs w:val="15"/>
        </w:rPr>
        <w:t>N/P – Not published: the number is hidden to prevent calculation of numbers in cells with less than 5 students.</w:t>
      </w:r>
    </w:p>
    <w:p w:rsidR="00BD32DA" w:rsidRPr="00537ABC" w:rsidRDefault="00BD32DA" w:rsidP="00537ABC">
      <w:pPr>
        <w:spacing w:after="0" w:line="240" w:lineRule="auto"/>
        <w:ind w:left="720"/>
        <w:rPr>
          <w:rFonts w:ascii="Corbel" w:hAnsi="Corbel"/>
          <w:color w:val="0000FC"/>
          <w:sz w:val="15"/>
        </w:rPr>
      </w:pPr>
      <w:r w:rsidRPr="00537ABC">
        <w:rPr>
          <w:rFonts w:ascii="Corbel" w:hAnsi="Corbel"/>
          <w:color w:val="0000FC"/>
          <w:sz w:val="15"/>
        </w:rPr>
        <w:t>[The values of suppressed cells can be approximated by using the totals and subtracting the values of some other cells, but only to within 5 students of the actual number, thereby retaining the confidentiality of the cells marked "L/N".]</w:t>
      </w:r>
    </w:p>
    <w:p w:rsidR="00BD32DA" w:rsidRPr="00135B51" w:rsidRDefault="00614F80" w:rsidP="002C0C0D">
      <w:pPr>
        <w:keepNext/>
        <w:keepLines/>
        <w:numPr>
          <w:ilvl w:val="0"/>
          <w:numId w:val="28"/>
        </w:numPr>
        <w:spacing w:before="240" w:after="0" w:line="240" w:lineRule="auto"/>
        <w:ind w:left="567" w:hanging="567"/>
        <w:outlineLvl w:val="0"/>
        <w:rPr>
          <w:rFonts w:ascii="Corbel" w:hAnsi="Corbel"/>
          <w:b/>
          <w:sz w:val="28"/>
        </w:rPr>
      </w:pPr>
      <w:bookmarkStart w:id="219" w:name="_Toc482805081"/>
      <w:bookmarkStart w:id="220" w:name="_Toc483263591"/>
      <w:bookmarkStart w:id="221" w:name="_Toc483350231"/>
      <w:bookmarkStart w:id="222" w:name="_Toc483813647"/>
      <w:bookmarkStart w:id="223" w:name="_Toc484093517"/>
      <w:bookmarkStart w:id="224" w:name="_Toc480754893"/>
      <w:r w:rsidRPr="006D7C3A">
        <w:rPr>
          <w:rStyle w:val="Hyperlink"/>
          <w:rFonts w:ascii="Arial" w:hAnsi="Arial" w:cs="Arial"/>
          <w:noProof/>
          <w:color w:val="0000FC"/>
          <w:sz w:val="18"/>
          <w:szCs w:val="18"/>
          <w:u w:val="none"/>
          <w:lang w:eastAsia="en-AU"/>
        </w:rPr>
        <mc:AlternateContent>
          <mc:Choice Requires="wps">
            <w:drawing>
              <wp:anchor distT="0" distB="0" distL="114300" distR="114300" simplePos="0" relativeHeight="251682816" behindDoc="1" locked="0" layoutInCell="1" allowOverlap="1" wp14:anchorId="69FDDBC0" wp14:editId="4AE44B23">
                <wp:simplePos x="0" y="0"/>
                <wp:positionH relativeFrom="column">
                  <wp:posOffset>-142875</wp:posOffset>
                </wp:positionH>
                <wp:positionV relativeFrom="paragraph">
                  <wp:posOffset>-166370</wp:posOffset>
                </wp:positionV>
                <wp:extent cx="6162675" cy="1524000"/>
                <wp:effectExtent l="0" t="0" r="952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524000"/>
                        </a:xfrm>
                        <a:prstGeom prst="rect">
                          <a:avLst/>
                        </a:prstGeom>
                        <a:solidFill>
                          <a:srgbClr val="FFFFFF"/>
                        </a:solidFill>
                        <a:ln w="9525">
                          <a:noFill/>
                          <a:miter lim="800000"/>
                          <a:headEnd/>
                          <a:tailEnd/>
                        </a:ln>
                      </wps:spPr>
                      <wps:txbx>
                        <w:txbxContent>
                          <w:p w:rsidR="001910BA" w:rsidRDefault="001910BA" w:rsidP="00614F80">
                            <w:pPr>
                              <w:shd w:val="clear" w:color="auto" w:fill="EBECDB" w:themeFill="accent4"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1.25pt;margin-top:-13.1pt;width:485.25pt;height:120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tgzJAIAACQEAAAOAAAAZHJzL2Uyb0RvYy54bWysU9tuGyEQfa/Uf0C813up7SQrr6PUqatK&#10;6UVK+gEsy3pRgaGAvZt+fQbWdq30rSoPiGGGw5kzM6vbUStyEM5LMDUtZjklwnBopdnV9MfT9t01&#10;JT4w0zIFRtT0WXh6u377ZjXYSpTQg2qFIwhifDXYmvYh2CrLPO+FZn4GVhh0duA0C2i6XdY6NiC6&#10;VlmZ58tsANdaB1x4j7f3k5OuE37XCR6+dZ0XgaiaIreQdpf2Ju7ZesWqnWO2l/xIg/0DC82kwU/P&#10;UPcsMLJ38i8oLbkDD12YcdAZdJ3kIuWA2RT5q2wee2ZFygXF8fYsk/9/sPzr4bsjssXaoTyGaazR&#10;kxgD+QAjKaM8g/UVRj1ajAsjXmNoStXbB+A/PTGw6ZnZiTvnYOgFa5FeEV9mF08nHB9BmuELtPgN&#10;2wdIQGPndNQO1SCIjjyez6WJVDheLotlubxaUMLRVyzKeZ6n4mWsOj23zodPAjSJh5o6rH2CZ4cH&#10;HyIdVp1C4m8elGy3UqlkuF2zUY4cGPbJNq2UwaswZchQ05tFuUjIBuL71EJaBuxjJXVNr5HaRI5V&#10;UY6Ppk0hgUk1nZGJMkd9oiSTOGFsxlSJ9yfZG2ifUTAHU9vimOGhB/ebkgFbtqb+1545QYn6bFD0&#10;m2I+jz2ejPniqkTDXXqaSw8zHKFqGiiZjpuQ5iLKYeAOi9PJJFus4sTkSBlbMal5HJvY65d2ivoz&#10;3OsXAAAA//8DAFBLAwQUAAYACAAAACEAzH/m8eAAAAALAQAADwAAAGRycy9kb3ducmV2LnhtbEyP&#10;wW7CMAyG75P2DpGRdpkgpYNSuqZom7RpVxgP4DamrWicqgm0vP3CabvZ8qff35/vJtOJKw2utaxg&#10;uYhAEFdWt1wrOP58zlMQziNr7CyTghs52BWPDzlm2o68p+vB1yKEsMtQQeN9n0npqoYMuoXticPt&#10;ZAeDPqxDLfWAYwg3nYyjKJEGWw4fGuzpo6HqfLgYBafv8Xm9Hcsvf9zsV8k7tpvS3pR6mk1vryA8&#10;Tf4Phrt+UIciOJX2wtqJTsE8jtcBvQ9JDCIQ21Ua2pUK4uVLCrLI5f8OxS8AAAD//wMAUEsBAi0A&#10;FAAGAAgAAAAhALaDOJL+AAAA4QEAABMAAAAAAAAAAAAAAAAAAAAAAFtDb250ZW50X1R5cGVzXS54&#10;bWxQSwECLQAUAAYACAAAACEAOP0h/9YAAACUAQAACwAAAAAAAAAAAAAAAAAvAQAAX3JlbHMvLnJl&#10;bHNQSwECLQAUAAYACAAAACEA+cLYMyQCAAAkBAAADgAAAAAAAAAAAAAAAAAuAgAAZHJzL2Uyb0Rv&#10;Yy54bWxQSwECLQAUAAYACAAAACEAzH/m8eAAAAALAQAADwAAAAAAAAAAAAAAAAB+BAAAZHJzL2Rv&#10;d25yZXYueG1sUEsFBgAAAAAEAAQA8wAAAIsFAAAAAA==&#10;" stroked="f">
                <v:textbox>
                  <w:txbxContent>
                    <w:p w:rsidR="001910BA" w:rsidRDefault="001910BA" w:rsidP="00614F80">
                      <w:pPr>
                        <w:shd w:val="clear" w:color="auto" w:fill="EBECDB" w:themeFill="accent4" w:themeFillTint="33"/>
                      </w:pPr>
                    </w:p>
                  </w:txbxContent>
                </v:textbox>
              </v:shape>
            </w:pict>
          </mc:Fallback>
        </mc:AlternateContent>
      </w:r>
      <w:r w:rsidR="00BD32DA" w:rsidRPr="00135B51">
        <w:rPr>
          <w:rFonts w:ascii="Corbel" w:hAnsi="Corbel"/>
          <w:b/>
          <w:sz w:val="28"/>
        </w:rPr>
        <w:t xml:space="preserve">Where to get further information </w:t>
      </w:r>
      <w:r w:rsidR="00BD32DA" w:rsidRPr="00135B51">
        <w:rPr>
          <w:rStyle w:val="Hyperlink"/>
          <w:rFonts w:ascii="Corbel" w:hAnsi="Corbel" w:cs="Arial"/>
          <w:i/>
          <w:color w:val="FF0000"/>
          <w:sz w:val="28"/>
          <w:szCs w:val="28"/>
          <w:u w:val="none"/>
        </w:rPr>
        <w:t>[CORE – required in 2017]</w:t>
      </w:r>
      <w:bookmarkEnd w:id="219"/>
      <w:bookmarkEnd w:id="220"/>
      <w:bookmarkEnd w:id="221"/>
      <w:bookmarkEnd w:id="222"/>
      <w:bookmarkEnd w:id="223"/>
    </w:p>
    <w:p w:rsidR="00BD32DA" w:rsidRPr="00537ABC" w:rsidRDefault="00BD32DA" w:rsidP="005A565D">
      <w:pPr>
        <w:keepNext/>
        <w:spacing w:after="0"/>
        <w:rPr>
          <w:rStyle w:val="Hyperlink"/>
          <w:rFonts w:ascii="Corbel" w:hAnsi="Corbel"/>
          <w:color w:val="0000FC"/>
          <w:sz w:val="18"/>
          <w:u w:val="none"/>
        </w:rPr>
      </w:pPr>
      <w:r w:rsidRPr="00537ABC">
        <w:rPr>
          <w:rStyle w:val="Hyperlink"/>
          <w:rFonts w:ascii="Corbel" w:hAnsi="Corbel"/>
          <w:color w:val="0000FC"/>
          <w:sz w:val="18"/>
          <w:u w:val="none"/>
        </w:rPr>
        <w:t>[Provide links to other relevant information providers, including but not limited to:</w:t>
      </w:r>
    </w:p>
    <w:p w:rsidR="00BD32DA" w:rsidRPr="00135B51" w:rsidRDefault="00BD32DA" w:rsidP="005A565D">
      <w:pPr>
        <w:pStyle w:val="ListParagraph"/>
        <w:keepNext/>
        <w:numPr>
          <w:ilvl w:val="0"/>
          <w:numId w:val="19"/>
        </w:numPr>
        <w:spacing w:after="240"/>
        <w:rPr>
          <w:rStyle w:val="Hyperlink"/>
          <w:rFonts w:ascii="Corbel" w:hAnsi="Corbel"/>
          <w:color w:val="auto"/>
          <w:sz w:val="18"/>
          <w:szCs w:val="18"/>
          <w:u w:val="none"/>
        </w:rPr>
      </w:pPr>
      <w:r w:rsidRPr="00537ABC">
        <w:rPr>
          <w:rStyle w:val="Hyperlink"/>
          <w:rFonts w:ascii="Corbel" w:hAnsi="Corbel"/>
          <w:color w:val="auto"/>
          <w:sz w:val="18"/>
          <w:u w:val="none"/>
        </w:rPr>
        <w:t>TEQSA national register</w:t>
      </w:r>
      <w:r w:rsidRPr="00135B51">
        <w:rPr>
          <w:rStyle w:val="Hyperlink"/>
          <w:rFonts w:ascii="Corbel" w:hAnsi="Corbel"/>
          <w:color w:val="auto"/>
          <w:sz w:val="18"/>
          <w:szCs w:val="18"/>
          <w:u w:val="none"/>
        </w:rPr>
        <w:t xml:space="preserve"> </w:t>
      </w:r>
      <w:r w:rsidRPr="00135B51">
        <w:rPr>
          <w:rStyle w:val="Hyperlink"/>
          <w:rFonts w:ascii="Corbel" w:hAnsi="Corbel"/>
          <w:color w:val="0000FC"/>
          <w:sz w:val="18"/>
          <w:szCs w:val="18"/>
          <w:u w:val="none"/>
        </w:rPr>
        <w:t>[link]</w:t>
      </w:r>
    </w:p>
    <w:p w:rsidR="00BD32DA" w:rsidRPr="00135B51" w:rsidRDefault="00BD32DA" w:rsidP="005A565D">
      <w:pPr>
        <w:pStyle w:val="ListParagraph"/>
        <w:keepNext/>
        <w:numPr>
          <w:ilvl w:val="0"/>
          <w:numId w:val="19"/>
        </w:numPr>
        <w:spacing w:after="240"/>
        <w:rPr>
          <w:rStyle w:val="Hyperlink"/>
          <w:rFonts w:ascii="Corbel" w:hAnsi="Corbel"/>
          <w:color w:val="auto"/>
          <w:sz w:val="18"/>
          <w:szCs w:val="18"/>
          <w:u w:val="none"/>
        </w:rPr>
      </w:pPr>
      <w:r w:rsidRPr="00135B51">
        <w:rPr>
          <w:rStyle w:val="Hyperlink"/>
          <w:rFonts w:ascii="Corbel" w:hAnsi="Corbel"/>
          <w:color w:val="auto"/>
          <w:sz w:val="18"/>
          <w:szCs w:val="18"/>
          <w:u w:val="none"/>
        </w:rPr>
        <w:t xml:space="preserve">QILT website </w:t>
      </w:r>
      <w:r w:rsidRPr="00135B51">
        <w:rPr>
          <w:rStyle w:val="Hyperlink"/>
          <w:rFonts w:ascii="Corbel" w:hAnsi="Corbel"/>
          <w:color w:val="0000FC"/>
          <w:sz w:val="18"/>
          <w:szCs w:val="18"/>
          <w:u w:val="none"/>
        </w:rPr>
        <w:t>[link]</w:t>
      </w:r>
    </w:p>
    <w:p w:rsidR="00BD32DA" w:rsidRPr="00135B51" w:rsidRDefault="00BD32DA" w:rsidP="005A565D">
      <w:pPr>
        <w:pStyle w:val="ListParagraph"/>
        <w:keepNext/>
        <w:numPr>
          <w:ilvl w:val="0"/>
          <w:numId w:val="19"/>
        </w:numPr>
        <w:spacing w:after="240"/>
        <w:rPr>
          <w:rStyle w:val="Hyperlink"/>
          <w:rFonts w:ascii="Corbel" w:hAnsi="Corbel"/>
          <w:color w:val="auto"/>
          <w:sz w:val="18"/>
          <w:szCs w:val="18"/>
          <w:u w:val="none"/>
        </w:rPr>
      </w:pPr>
      <w:r w:rsidRPr="00135B51">
        <w:rPr>
          <w:rStyle w:val="Hyperlink"/>
          <w:rFonts w:ascii="Corbel" w:hAnsi="Corbel"/>
          <w:color w:val="auto"/>
          <w:sz w:val="18"/>
          <w:szCs w:val="18"/>
          <w:u w:val="none"/>
        </w:rPr>
        <w:t xml:space="preserve">Relevant TAC website </w:t>
      </w:r>
      <w:r w:rsidRPr="00135B51">
        <w:rPr>
          <w:rStyle w:val="Hyperlink"/>
          <w:rFonts w:ascii="Corbel" w:hAnsi="Corbel"/>
          <w:color w:val="0000FC"/>
          <w:sz w:val="18"/>
          <w:szCs w:val="18"/>
          <w:u w:val="none"/>
        </w:rPr>
        <w:t>[link]</w:t>
      </w:r>
    </w:p>
    <w:p w:rsidR="00BD32DA" w:rsidRPr="00135B51" w:rsidRDefault="00BD32DA" w:rsidP="00BD32DA">
      <w:pPr>
        <w:pStyle w:val="ListParagraph"/>
        <w:numPr>
          <w:ilvl w:val="0"/>
          <w:numId w:val="19"/>
        </w:numPr>
        <w:spacing w:after="240"/>
        <w:rPr>
          <w:rStyle w:val="Hyperlink"/>
          <w:rFonts w:ascii="Arial" w:hAnsi="Arial" w:cs="Arial"/>
          <w:color w:val="0000FC"/>
          <w:sz w:val="18"/>
          <w:szCs w:val="18"/>
          <w:u w:val="none"/>
        </w:rPr>
      </w:pPr>
      <w:r w:rsidRPr="00135B51">
        <w:rPr>
          <w:rStyle w:val="Hyperlink"/>
          <w:rFonts w:ascii="Corbel" w:hAnsi="Corbel"/>
          <w:color w:val="auto"/>
          <w:sz w:val="18"/>
          <w:szCs w:val="18"/>
          <w:u w:val="none"/>
        </w:rPr>
        <w:t xml:space="preserve">Information on appeals and grievance processes </w:t>
      </w:r>
      <w:r w:rsidRPr="00135B51">
        <w:rPr>
          <w:rStyle w:val="Hyperlink"/>
          <w:rFonts w:ascii="Corbel" w:hAnsi="Corbel"/>
          <w:color w:val="0000FC"/>
          <w:sz w:val="18"/>
          <w:szCs w:val="18"/>
          <w:u w:val="none"/>
        </w:rPr>
        <w:t>[link]</w:t>
      </w:r>
      <w:r w:rsidRPr="00135B51">
        <w:rPr>
          <w:rStyle w:val="Hyperlink"/>
          <w:rFonts w:ascii="Corbel" w:hAnsi="Corbel"/>
          <w:color w:val="auto"/>
          <w:sz w:val="18"/>
          <w:szCs w:val="18"/>
          <w:u w:val="none"/>
        </w:rPr>
        <w:br/>
      </w:r>
      <w:r w:rsidRPr="00135B51">
        <w:rPr>
          <w:rStyle w:val="Hyperlink"/>
          <w:rFonts w:ascii="Arial" w:hAnsi="Arial" w:cs="Arial"/>
          <w:color w:val="0000FC"/>
          <w:sz w:val="18"/>
          <w:szCs w:val="18"/>
          <w:u w:val="none"/>
        </w:rPr>
        <w:t>[for those who may wish to dispute admission or enrolment decisions]</w:t>
      </w:r>
    </w:p>
    <w:bookmarkEnd w:id="224"/>
    <w:p w:rsidR="00BD32DA" w:rsidRPr="00537ABC" w:rsidRDefault="00BD32DA" w:rsidP="00537ABC">
      <w:pPr>
        <w:rPr>
          <w:sz w:val="20"/>
        </w:rPr>
      </w:pPr>
    </w:p>
    <w:p w:rsidR="00F0165C" w:rsidRPr="00537ABC" w:rsidRDefault="00F0165C" w:rsidP="00537ABC">
      <w:pPr>
        <w:rPr>
          <w:rFonts w:ascii="Corbel" w:hAnsi="Corbel"/>
          <w:sz w:val="20"/>
        </w:rPr>
        <w:sectPr w:rsidR="00F0165C" w:rsidRPr="00537ABC" w:rsidSect="005A565D">
          <w:pgSz w:w="11906" w:h="16838"/>
          <w:pgMar w:top="1372" w:right="1440" w:bottom="1440" w:left="1440" w:header="709" w:footer="510" w:gutter="0"/>
          <w:cols w:space="708"/>
          <w:docGrid w:linePitch="360"/>
        </w:sectPr>
      </w:pPr>
    </w:p>
    <w:p w:rsidR="00F0165C" w:rsidRPr="00AF3D7E" w:rsidRDefault="007902C1" w:rsidP="00AF3D7E">
      <w:pPr>
        <w:pStyle w:val="HERHeading1"/>
        <w:pageBreakBefore/>
        <w:spacing w:before="0"/>
        <w:rPr>
          <w:sz w:val="30"/>
          <w:szCs w:val="30"/>
        </w:rPr>
      </w:pPr>
      <w:bookmarkStart w:id="225" w:name="_Toc482805082"/>
      <w:bookmarkStart w:id="226" w:name="_Toc483350232"/>
      <w:bookmarkStart w:id="227" w:name="_Toc484093518"/>
      <w:r>
        <w:rPr>
          <w:sz w:val="30"/>
          <w:szCs w:val="30"/>
        </w:rPr>
        <w:t xml:space="preserve">Appendix D: </w:t>
      </w:r>
      <w:r w:rsidR="007375D5">
        <w:rPr>
          <w:sz w:val="30"/>
          <w:szCs w:val="30"/>
        </w:rPr>
        <w:t>Program/</w:t>
      </w:r>
      <w:r>
        <w:rPr>
          <w:sz w:val="30"/>
          <w:szCs w:val="30"/>
        </w:rPr>
        <w:t>c</w:t>
      </w:r>
      <w:r w:rsidR="00F0165C" w:rsidRPr="00AF3D7E">
        <w:rPr>
          <w:sz w:val="30"/>
          <w:szCs w:val="30"/>
        </w:rPr>
        <w:t xml:space="preserve">ourse </w:t>
      </w:r>
      <w:r>
        <w:rPr>
          <w:sz w:val="30"/>
          <w:szCs w:val="30"/>
        </w:rPr>
        <w:t>a</w:t>
      </w:r>
      <w:r w:rsidR="00F0165C" w:rsidRPr="00AF3D7E">
        <w:rPr>
          <w:sz w:val="30"/>
          <w:szCs w:val="30"/>
        </w:rPr>
        <w:t xml:space="preserve">dmission </w:t>
      </w:r>
      <w:r>
        <w:rPr>
          <w:sz w:val="30"/>
          <w:szCs w:val="30"/>
        </w:rPr>
        <w:t>i</w:t>
      </w:r>
      <w:r w:rsidR="00F0165C" w:rsidRPr="00AF3D7E">
        <w:rPr>
          <w:sz w:val="30"/>
          <w:szCs w:val="30"/>
        </w:rPr>
        <w:t xml:space="preserve">nformation </w:t>
      </w:r>
      <w:bookmarkEnd w:id="141"/>
      <w:bookmarkEnd w:id="142"/>
      <w:bookmarkEnd w:id="143"/>
      <w:bookmarkEnd w:id="144"/>
      <w:r>
        <w:rPr>
          <w:sz w:val="30"/>
          <w:szCs w:val="30"/>
        </w:rPr>
        <w:t>s</w:t>
      </w:r>
      <w:r w:rsidR="00F0165C" w:rsidRPr="00AF3D7E">
        <w:rPr>
          <w:sz w:val="30"/>
          <w:szCs w:val="30"/>
        </w:rPr>
        <w:t>et</w:t>
      </w:r>
      <w:bookmarkEnd w:id="225"/>
      <w:bookmarkEnd w:id="226"/>
      <w:bookmarkEnd w:id="227"/>
    </w:p>
    <w:p w:rsidR="00B64D95" w:rsidRDefault="00BD32DA" w:rsidP="00BD32DA">
      <w:pPr>
        <w:rPr>
          <w:rStyle w:val="Hyperlink"/>
          <w:rFonts w:ascii="Arial" w:hAnsi="Arial"/>
          <w:color w:val="0000FC"/>
          <w:sz w:val="20"/>
          <w:u w:val="none"/>
        </w:rPr>
      </w:pPr>
      <w:r w:rsidRPr="00537ABC">
        <w:rPr>
          <w:rStyle w:val="Hyperlink"/>
          <w:rFonts w:ascii="Arial" w:hAnsi="Arial"/>
          <w:color w:val="0000FC"/>
          <w:sz w:val="20"/>
          <w:u w:val="none"/>
        </w:rPr>
        <w:t>[</w:t>
      </w:r>
      <w:r w:rsidRPr="00537ABC">
        <w:rPr>
          <w:rStyle w:val="Hyperlink"/>
          <w:rFonts w:ascii="Arial" w:hAnsi="Arial"/>
          <w:b/>
          <w:color w:val="0000FC"/>
          <w:sz w:val="20"/>
          <w:u w:val="none"/>
        </w:rPr>
        <w:t>INSTRUCTIONS FOR HIGHER EDUCATION PROVIDERS</w:t>
      </w:r>
      <w:r w:rsidRPr="00537ABC">
        <w:rPr>
          <w:rStyle w:val="Hyperlink"/>
          <w:rFonts w:ascii="Arial" w:hAnsi="Arial"/>
          <w:color w:val="0000FC"/>
          <w:sz w:val="20"/>
          <w:u w:val="none"/>
        </w:rPr>
        <w:t xml:space="preserve">: </w:t>
      </w:r>
    </w:p>
    <w:p w:rsidR="00BD32DA" w:rsidRPr="00537ABC" w:rsidRDefault="00B64D95" w:rsidP="00BD32DA">
      <w:pPr>
        <w:rPr>
          <w:rStyle w:val="Hyperlink"/>
          <w:rFonts w:ascii="Arial" w:hAnsi="Arial"/>
          <w:color w:val="0000FC"/>
          <w:sz w:val="20"/>
          <w:u w:val="none"/>
        </w:rPr>
      </w:pPr>
      <w:r w:rsidRPr="00E77D30">
        <w:rPr>
          <w:rStyle w:val="Hyperlink"/>
          <w:rFonts w:ascii="Arial" w:hAnsi="Arial"/>
          <w:b/>
          <w:color w:val="0000FC"/>
          <w:sz w:val="20"/>
          <w:u w:val="none"/>
        </w:rPr>
        <w:t>1. What is the main purpose of the program/course</w:t>
      </w:r>
      <w:r w:rsidR="00A01F3D">
        <w:rPr>
          <w:rStyle w:val="Hyperlink"/>
          <w:rFonts w:ascii="Arial" w:hAnsi="Arial"/>
          <w:b/>
          <w:color w:val="0000FC"/>
          <w:sz w:val="20"/>
          <w:u w:val="none"/>
        </w:rPr>
        <w:t xml:space="preserve"> admission</w:t>
      </w:r>
      <w:r w:rsidRPr="00E77D30">
        <w:rPr>
          <w:rStyle w:val="Hyperlink"/>
          <w:rFonts w:ascii="Arial" w:hAnsi="Arial"/>
          <w:b/>
          <w:color w:val="0000FC"/>
          <w:sz w:val="20"/>
          <w:u w:val="none"/>
        </w:rPr>
        <w:t xml:space="preserve"> information set?</w:t>
      </w:r>
      <w:r>
        <w:rPr>
          <w:rStyle w:val="Hyperlink"/>
          <w:rFonts w:ascii="Arial" w:hAnsi="Arial"/>
          <w:color w:val="0000FC"/>
          <w:sz w:val="20"/>
          <w:u w:val="none"/>
        </w:rPr>
        <w:t xml:space="preserve"> </w:t>
      </w:r>
      <w:r w:rsidR="00BD32DA" w:rsidRPr="00537ABC">
        <w:rPr>
          <w:rStyle w:val="Hyperlink"/>
          <w:rFonts w:ascii="Arial" w:hAnsi="Arial"/>
          <w:color w:val="0000FC"/>
          <w:sz w:val="20"/>
          <w:u w:val="none"/>
        </w:rPr>
        <w:t xml:space="preserve">This information set outlines the collection of information that is considered necessary to enable a prospective student to gauge and compare study options, course admission </w:t>
      </w:r>
      <w:r w:rsidR="00AB3E40">
        <w:rPr>
          <w:rStyle w:val="Hyperlink"/>
          <w:rFonts w:ascii="Arial" w:hAnsi="Arial"/>
          <w:color w:val="0000FC"/>
          <w:sz w:val="20"/>
          <w:u w:val="none"/>
        </w:rPr>
        <w:t>criteria</w:t>
      </w:r>
      <w:r w:rsidR="00BD32DA" w:rsidRPr="00537ABC">
        <w:rPr>
          <w:rStyle w:val="Hyperlink"/>
          <w:rFonts w:ascii="Arial" w:hAnsi="Arial"/>
          <w:color w:val="0000FC"/>
          <w:sz w:val="20"/>
          <w:u w:val="none"/>
        </w:rPr>
        <w:t xml:space="preserve"> and their likely student peer cohort across multiple courses, providers and admission options. It can be used to outline the options and </w:t>
      </w:r>
      <w:r w:rsidR="00AB3E40">
        <w:rPr>
          <w:rStyle w:val="Hyperlink"/>
          <w:rFonts w:ascii="Arial" w:hAnsi="Arial"/>
          <w:color w:val="0000FC"/>
          <w:sz w:val="20"/>
          <w:u w:val="none"/>
        </w:rPr>
        <w:t>criteria</w:t>
      </w:r>
      <w:r w:rsidR="00BD32DA" w:rsidRPr="00537ABC">
        <w:rPr>
          <w:rStyle w:val="Hyperlink"/>
          <w:rFonts w:ascii="Arial" w:hAnsi="Arial"/>
          <w:color w:val="0000FC"/>
          <w:sz w:val="20"/>
          <w:u w:val="none"/>
        </w:rPr>
        <w:t xml:space="preserve"> for a single course or related group of courses, particularly where the individual courses are very small.</w:t>
      </w:r>
    </w:p>
    <w:p w:rsidR="00BD32DA" w:rsidRPr="00135B51" w:rsidRDefault="007E54B1" w:rsidP="00BD32DA">
      <w:pPr>
        <w:rPr>
          <w:rStyle w:val="Hyperlink"/>
          <w:rFonts w:ascii="Arial" w:hAnsi="Arial" w:cs="Arial"/>
          <w:color w:val="0000FC"/>
          <w:sz w:val="20"/>
          <w:szCs w:val="20"/>
          <w:u w:val="none"/>
        </w:rPr>
      </w:pPr>
      <w:r w:rsidRPr="00E77D30">
        <w:rPr>
          <w:rStyle w:val="Hyperlink"/>
          <w:rFonts w:ascii="Arial" w:hAnsi="Arial" w:cs="Arial"/>
          <w:b/>
          <w:color w:val="0000FC"/>
          <w:sz w:val="20"/>
          <w:szCs w:val="20"/>
          <w:u w:val="none"/>
        </w:rPr>
        <w:t>2. What flexibility is available in compiling and presenting information sets?</w:t>
      </w:r>
      <w:r>
        <w:rPr>
          <w:rStyle w:val="Hyperlink"/>
          <w:rFonts w:ascii="Arial" w:hAnsi="Arial" w:cs="Arial"/>
          <w:color w:val="0000FC"/>
          <w:sz w:val="20"/>
          <w:szCs w:val="20"/>
          <w:u w:val="none"/>
        </w:rPr>
        <w:t xml:space="preserve"> </w:t>
      </w:r>
      <w:r w:rsidR="00BD32DA" w:rsidRPr="00135B51">
        <w:rPr>
          <w:rStyle w:val="Hyperlink"/>
          <w:rFonts w:ascii="Arial" w:hAnsi="Arial" w:cs="Arial"/>
          <w:color w:val="0000FC"/>
          <w:sz w:val="20"/>
          <w:szCs w:val="20"/>
          <w:u w:val="none"/>
        </w:rPr>
        <w:t>Apart from the student and ATAR profile data tables, it is not necessary to use the information set as a strict template. The categories or classes of information and core data to be made available are specified but not the content under those headings.</w:t>
      </w:r>
    </w:p>
    <w:p w:rsidR="00BD32DA" w:rsidRPr="00135B51" w:rsidRDefault="00FA5245" w:rsidP="00BD32DA">
      <w:pPr>
        <w:rPr>
          <w:rStyle w:val="Hyperlink"/>
          <w:rFonts w:ascii="Arial" w:hAnsi="Arial" w:cs="Arial"/>
          <w:color w:val="0000FC"/>
          <w:sz w:val="20"/>
          <w:szCs w:val="20"/>
          <w:u w:val="none"/>
        </w:rPr>
      </w:pPr>
      <w:r w:rsidRPr="00E77D30">
        <w:rPr>
          <w:rStyle w:val="Hyperlink"/>
          <w:rFonts w:ascii="Arial" w:hAnsi="Arial" w:cs="Arial"/>
          <w:b/>
          <w:color w:val="0000FC"/>
          <w:sz w:val="20"/>
          <w:szCs w:val="20"/>
          <w:u w:val="none"/>
        </w:rPr>
        <w:t>3. Should whole-of-institution information be repeated in program/course admission information sets?</w:t>
      </w:r>
      <w:r>
        <w:rPr>
          <w:rStyle w:val="Hyperlink"/>
          <w:rFonts w:ascii="Arial" w:hAnsi="Arial" w:cs="Arial"/>
          <w:color w:val="0000FC"/>
          <w:sz w:val="20"/>
          <w:szCs w:val="20"/>
          <w:u w:val="none"/>
        </w:rPr>
        <w:t xml:space="preserve"> </w:t>
      </w:r>
      <w:r w:rsidR="00BD32DA" w:rsidRPr="00135B51">
        <w:rPr>
          <w:rStyle w:val="Hyperlink"/>
          <w:rFonts w:ascii="Arial" w:hAnsi="Arial" w:cs="Arial"/>
          <w:color w:val="0000FC"/>
          <w:sz w:val="20"/>
          <w:szCs w:val="20"/>
          <w:u w:val="none"/>
        </w:rPr>
        <w:t xml:space="preserve">As a general rule, it is not necessary to repeat information in the </w:t>
      </w:r>
      <w:r w:rsidR="00BD32DA" w:rsidRPr="00135B51">
        <w:rPr>
          <w:rStyle w:val="Hyperlink"/>
          <w:rFonts w:ascii="Arial" w:hAnsi="Arial" w:cs="Arial"/>
          <w:i/>
          <w:color w:val="0000FC"/>
          <w:sz w:val="20"/>
          <w:szCs w:val="20"/>
          <w:u w:val="none"/>
        </w:rPr>
        <w:t>Course Admission Information Set</w:t>
      </w:r>
      <w:r w:rsidR="00BD32DA" w:rsidRPr="00135B51">
        <w:rPr>
          <w:rStyle w:val="Hyperlink"/>
          <w:rFonts w:ascii="Arial" w:hAnsi="Arial" w:cs="Arial"/>
          <w:color w:val="0000FC"/>
          <w:sz w:val="20"/>
          <w:szCs w:val="20"/>
          <w:u w:val="none"/>
        </w:rPr>
        <w:t xml:space="preserve"> about admission </w:t>
      </w:r>
      <w:r w:rsidR="00AB3E40">
        <w:rPr>
          <w:rStyle w:val="Hyperlink"/>
          <w:rFonts w:ascii="Arial" w:hAnsi="Arial" w:cs="Arial"/>
          <w:color w:val="0000FC"/>
          <w:sz w:val="20"/>
          <w:szCs w:val="20"/>
          <w:u w:val="none"/>
        </w:rPr>
        <w:t>criteria</w:t>
      </w:r>
      <w:r w:rsidR="00BD32DA" w:rsidRPr="00135B51">
        <w:rPr>
          <w:rStyle w:val="Hyperlink"/>
          <w:rFonts w:ascii="Arial" w:hAnsi="Arial" w:cs="Arial"/>
          <w:color w:val="0000FC"/>
          <w:sz w:val="20"/>
          <w:szCs w:val="20"/>
          <w:u w:val="none"/>
        </w:rPr>
        <w:t xml:space="preserve"> and application processes that applies to all courses at an institution and is already set out in the </w:t>
      </w:r>
      <w:r w:rsidR="00BD32DA" w:rsidRPr="00135B51">
        <w:rPr>
          <w:rStyle w:val="Hyperlink"/>
          <w:rFonts w:ascii="Arial" w:hAnsi="Arial" w:cs="Arial"/>
          <w:i/>
          <w:color w:val="0000FC"/>
          <w:sz w:val="20"/>
          <w:szCs w:val="20"/>
          <w:u w:val="none"/>
        </w:rPr>
        <w:t>Whole-of-</w:t>
      </w:r>
      <w:r w:rsidR="000F0631">
        <w:rPr>
          <w:rStyle w:val="Hyperlink"/>
          <w:rFonts w:ascii="Arial" w:hAnsi="Arial" w:cs="Arial"/>
          <w:i/>
          <w:color w:val="0000FC"/>
          <w:sz w:val="20"/>
          <w:szCs w:val="20"/>
          <w:u w:val="none"/>
        </w:rPr>
        <w:t>i</w:t>
      </w:r>
      <w:r w:rsidR="00BD32DA" w:rsidRPr="00135B51">
        <w:rPr>
          <w:rStyle w:val="Hyperlink"/>
          <w:rFonts w:ascii="Arial" w:hAnsi="Arial" w:cs="Arial"/>
          <w:i/>
          <w:color w:val="0000FC"/>
          <w:sz w:val="20"/>
          <w:szCs w:val="20"/>
          <w:u w:val="none"/>
        </w:rPr>
        <w:t xml:space="preserve">nstitution </w:t>
      </w:r>
      <w:r w:rsidR="000F0631">
        <w:rPr>
          <w:rStyle w:val="Hyperlink"/>
          <w:rFonts w:ascii="Arial" w:hAnsi="Arial" w:cs="Arial"/>
          <w:i/>
          <w:color w:val="0000FC"/>
          <w:sz w:val="20"/>
          <w:szCs w:val="20"/>
          <w:u w:val="none"/>
        </w:rPr>
        <w:t>a</w:t>
      </w:r>
      <w:r w:rsidR="00BD32DA" w:rsidRPr="00135B51">
        <w:rPr>
          <w:rStyle w:val="Hyperlink"/>
          <w:rFonts w:ascii="Arial" w:hAnsi="Arial" w:cs="Arial"/>
          <w:i/>
          <w:color w:val="0000FC"/>
          <w:sz w:val="20"/>
          <w:szCs w:val="20"/>
          <w:u w:val="none"/>
        </w:rPr>
        <w:t xml:space="preserve">dmission </w:t>
      </w:r>
      <w:r w:rsidR="000F0631">
        <w:rPr>
          <w:rStyle w:val="Hyperlink"/>
          <w:rFonts w:ascii="Arial" w:hAnsi="Arial" w:cs="Arial"/>
          <w:i/>
          <w:color w:val="0000FC"/>
          <w:sz w:val="20"/>
          <w:szCs w:val="20"/>
          <w:u w:val="none"/>
        </w:rPr>
        <w:t>i</w:t>
      </w:r>
      <w:r w:rsidR="00BD32DA" w:rsidRPr="00135B51">
        <w:rPr>
          <w:rStyle w:val="Hyperlink"/>
          <w:rFonts w:ascii="Arial" w:hAnsi="Arial" w:cs="Arial"/>
          <w:i/>
          <w:color w:val="0000FC"/>
          <w:sz w:val="20"/>
          <w:szCs w:val="20"/>
          <w:u w:val="none"/>
        </w:rPr>
        <w:t xml:space="preserve">nformation </w:t>
      </w:r>
      <w:r w:rsidR="000F0631">
        <w:rPr>
          <w:rStyle w:val="Hyperlink"/>
          <w:rFonts w:ascii="Arial" w:hAnsi="Arial" w:cs="Arial"/>
          <w:i/>
          <w:color w:val="0000FC"/>
          <w:sz w:val="20"/>
          <w:szCs w:val="20"/>
          <w:u w:val="none"/>
        </w:rPr>
        <w:t>s</w:t>
      </w:r>
      <w:r w:rsidR="00BD32DA" w:rsidRPr="00135B51">
        <w:rPr>
          <w:rStyle w:val="Hyperlink"/>
          <w:rFonts w:ascii="Arial" w:hAnsi="Arial" w:cs="Arial"/>
          <w:i/>
          <w:color w:val="0000FC"/>
          <w:sz w:val="20"/>
          <w:szCs w:val="20"/>
          <w:u w:val="none"/>
        </w:rPr>
        <w:t>et</w:t>
      </w:r>
      <w:r w:rsidR="00BD32DA" w:rsidRPr="00135B51">
        <w:rPr>
          <w:rStyle w:val="Hyperlink"/>
          <w:rFonts w:ascii="Arial" w:hAnsi="Arial" w:cs="Arial"/>
          <w:color w:val="0000FC"/>
          <w:sz w:val="20"/>
          <w:szCs w:val="20"/>
          <w:u w:val="none"/>
        </w:rPr>
        <w:t xml:space="preserve">. </w:t>
      </w:r>
      <w:r w:rsidR="00BD32DA" w:rsidRPr="00537ABC">
        <w:rPr>
          <w:rStyle w:val="Hyperlink"/>
          <w:rFonts w:ascii="Arial" w:hAnsi="Arial"/>
          <w:color w:val="0000FC"/>
          <w:sz w:val="20"/>
          <w:u w:val="none"/>
        </w:rPr>
        <w:t xml:space="preserve">However, where there are entry </w:t>
      </w:r>
      <w:r w:rsidR="00AB3E40">
        <w:rPr>
          <w:rStyle w:val="Hyperlink"/>
          <w:rFonts w:ascii="Arial" w:hAnsi="Arial"/>
          <w:color w:val="0000FC"/>
          <w:sz w:val="20"/>
          <w:u w:val="none"/>
        </w:rPr>
        <w:t>criteria</w:t>
      </w:r>
      <w:r w:rsidR="00BD32DA" w:rsidRPr="00537ABC">
        <w:rPr>
          <w:rStyle w:val="Hyperlink"/>
          <w:rFonts w:ascii="Arial" w:hAnsi="Arial"/>
          <w:color w:val="0000FC"/>
          <w:sz w:val="20"/>
          <w:u w:val="none"/>
        </w:rPr>
        <w:t xml:space="preserve"> or application processes that are </w:t>
      </w:r>
      <w:r w:rsidR="00BD32DA" w:rsidRPr="00537ABC">
        <w:rPr>
          <w:rStyle w:val="Hyperlink"/>
          <w:rFonts w:ascii="Arial" w:hAnsi="Arial"/>
          <w:color w:val="0000FC"/>
          <w:sz w:val="20"/>
        </w:rPr>
        <w:t xml:space="preserve">different </w:t>
      </w:r>
      <w:r w:rsidR="00F70BAA">
        <w:rPr>
          <w:rStyle w:val="Hyperlink"/>
          <w:rFonts w:ascii="Arial" w:hAnsi="Arial"/>
          <w:color w:val="0000FC"/>
          <w:sz w:val="20"/>
        </w:rPr>
        <w:t>from</w:t>
      </w:r>
      <w:r w:rsidR="00F70BAA" w:rsidRPr="00537ABC">
        <w:rPr>
          <w:rStyle w:val="Hyperlink"/>
          <w:rFonts w:ascii="Arial" w:hAnsi="Arial"/>
          <w:color w:val="0000FC"/>
          <w:sz w:val="20"/>
        </w:rPr>
        <w:t xml:space="preserve"> </w:t>
      </w:r>
      <w:r w:rsidR="00BD32DA" w:rsidRPr="00537ABC">
        <w:rPr>
          <w:rStyle w:val="Hyperlink"/>
          <w:rFonts w:ascii="Arial" w:hAnsi="Arial"/>
          <w:color w:val="0000FC"/>
          <w:sz w:val="20"/>
        </w:rPr>
        <w:t>those that generally apply</w:t>
      </w:r>
      <w:r w:rsidR="00BD32DA" w:rsidRPr="00537ABC">
        <w:rPr>
          <w:rStyle w:val="Hyperlink"/>
          <w:rFonts w:ascii="Arial" w:hAnsi="Arial"/>
          <w:color w:val="0000FC"/>
          <w:sz w:val="20"/>
          <w:u w:val="none"/>
        </w:rPr>
        <w:t xml:space="preserve"> to other courses, they should be detailed here.</w:t>
      </w:r>
      <w:r w:rsidR="00BD32DA" w:rsidRPr="00135B51">
        <w:rPr>
          <w:rStyle w:val="Hyperlink"/>
          <w:rFonts w:ascii="Arial" w:hAnsi="Arial" w:cs="Arial"/>
          <w:color w:val="0000FC"/>
          <w:sz w:val="20"/>
          <w:szCs w:val="20"/>
          <w:u w:val="none"/>
        </w:rPr>
        <w:t xml:space="preserve"> Institutions are, of course, at liberty to repeat information they feel should be available in both locations.</w:t>
      </w:r>
    </w:p>
    <w:p w:rsidR="00BD32DA" w:rsidRPr="00135B51" w:rsidRDefault="00B31B6A" w:rsidP="00BD32DA">
      <w:pPr>
        <w:rPr>
          <w:rStyle w:val="Hyperlink"/>
          <w:rFonts w:ascii="Arial" w:hAnsi="Arial" w:cs="Arial"/>
          <w:color w:val="0000FC"/>
          <w:sz w:val="20"/>
          <w:szCs w:val="20"/>
          <w:u w:val="none"/>
        </w:rPr>
      </w:pPr>
      <w:r w:rsidRPr="00E77D30">
        <w:rPr>
          <w:rStyle w:val="Hyperlink"/>
          <w:rFonts w:ascii="Arial" w:hAnsi="Arial" w:cs="Arial"/>
          <w:b/>
          <w:color w:val="0000FC"/>
          <w:sz w:val="20"/>
          <w:szCs w:val="20"/>
          <w:u w:val="none"/>
        </w:rPr>
        <w:t>4. What level of course aggregation is required for reporting?</w:t>
      </w:r>
      <w:r>
        <w:rPr>
          <w:rStyle w:val="Hyperlink"/>
          <w:rFonts w:ascii="Arial" w:hAnsi="Arial" w:cs="Arial"/>
          <w:color w:val="0000FC"/>
          <w:sz w:val="20"/>
          <w:szCs w:val="20"/>
          <w:u w:val="none"/>
        </w:rPr>
        <w:t xml:space="preserve"> </w:t>
      </w:r>
      <w:r w:rsidR="00BD32DA" w:rsidRPr="00135B51">
        <w:rPr>
          <w:rStyle w:val="Hyperlink"/>
          <w:rFonts w:ascii="Arial" w:hAnsi="Arial" w:cs="Arial"/>
          <w:color w:val="0000FC"/>
          <w:sz w:val="20"/>
          <w:szCs w:val="20"/>
          <w:u w:val="none"/>
        </w:rPr>
        <w:t xml:space="preserve">The level of </w:t>
      </w:r>
      <w:r w:rsidR="00BF353B">
        <w:rPr>
          <w:rStyle w:val="Hyperlink"/>
          <w:rFonts w:ascii="Arial" w:hAnsi="Arial" w:cs="Arial"/>
          <w:color w:val="0000FC"/>
          <w:sz w:val="20"/>
          <w:szCs w:val="20"/>
          <w:u w:val="none"/>
        </w:rPr>
        <w:t>program/</w:t>
      </w:r>
      <w:r w:rsidR="00BD32DA" w:rsidRPr="00135B51">
        <w:rPr>
          <w:rStyle w:val="Hyperlink"/>
          <w:rFonts w:ascii="Arial" w:hAnsi="Arial" w:cs="Arial"/>
          <w:color w:val="0000FC"/>
          <w:sz w:val="20"/>
          <w:szCs w:val="20"/>
          <w:u w:val="none"/>
        </w:rPr>
        <w:t>course</w:t>
      </w:r>
      <w:r w:rsidR="00BD32DA" w:rsidRPr="00537ABC">
        <w:rPr>
          <w:rStyle w:val="Hyperlink"/>
          <w:rFonts w:ascii="Arial" w:hAnsi="Arial"/>
          <w:color w:val="0000FC"/>
          <w:sz w:val="20"/>
          <w:u w:val="none"/>
        </w:rPr>
        <w:t xml:space="preserve"> aggregation used </w:t>
      </w:r>
      <w:r w:rsidR="007660F9">
        <w:rPr>
          <w:rStyle w:val="Hyperlink"/>
          <w:rFonts w:ascii="Arial" w:hAnsi="Arial"/>
          <w:color w:val="0000FC"/>
          <w:sz w:val="20"/>
          <w:u w:val="none"/>
        </w:rPr>
        <w:t>may</w:t>
      </w:r>
      <w:r w:rsidR="00BD32DA" w:rsidRPr="00537ABC">
        <w:rPr>
          <w:rStyle w:val="Hyperlink"/>
          <w:rFonts w:ascii="Arial" w:hAnsi="Arial"/>
          <w:color w:val="0000FC"/>
          <w:sz w:val="20"/>
          <w:u w:val="none"/>
        </w:rPr>
        <w:t xml:space="preserve"> be different in different contexts – e.g. at individual </w:t>
      </w:r>
      <w:r w:rsidR="00BF353B">
        <w:rPr>
          <w:rStyle w:val="Hyperlink"/>
          <w:rFonts w:ascii="Arial" w:hAnsi="Arial"/>
          <w:color w:val="0000FC"/>
          <w:sz w:val="20"/>
          <w:u w:val="none"/>
        </w:rPr>
        <w:t xml:space="preserve">program </w:t>
      </w:r>
      <w:r w:rsidR="00BD32DA" w:rsidRPr="00537ABC">
        <w:rPr>
          <w:rStyle w:val="Hyperlink"/>
          <w:rFonts w:ascii="Arial" w:hAnsi="Arial"/>
          <w:color w:val="0000FC"/>
          <w:sz w:val="20"/>
          <w:u w:val="none"/>
        </w:rPr>
        <w:t>level</w:t>
      </w:r>
      <w:r w:rsidR="00935D0D">
        <w:rPr>
          <w:rStyle w:val="Hyperlink"/>
          <w:rFonts w:ascii="Arial" w:hAnsi="Arial"/>
          <w:color w:val="0000FC"/>
          <w:sz w:val="20"/>
          <w:u w:val="none"/>
        </w:rPr>
        <w:t xml:space="preserve"> or for a group of closely related courses that have </w:t>
      </w:r>
      <w:r w:rsidR="00BD32AE">
        <w:rPr>
          <w:rStyle w:val="Hyperlink"/>
          <w:rFonts w:ascii="Arial" w:hAnsi="Arial"/>
          <w:color w:val="0000FC"/>
          <w:sz w:val="20"/>
          <w:u w:val="none"/>
        </w:rPr>
        <w:t xml:space="preserve">the same </w:t>
      </w:r>
      <w:r w:rsidR="00935D0D">
        <w:rPr>
          <w:rStyle w:val="Hyperlink"/>
          <w:rFonts w:ascii="Arial" w:hAnsi="Arial"/>
          <w:color w:val="0000FC"/>
          <w:sz w:val="20"/>
          <w:u w:val="none"/>
        </w:rPr>
        <w:t xml:space="preserve">admission criteria. </w:t>
      </w:r>
      <w:r w:rsidR="00BD32DA" w:rsidRPr="00135B51">
        <w:rPr>
          <w:rStyle w:val="Hyperlink"/>
          <w:rFonts w:ascii="Arial" w:hAnsi="Arial" w:cs="Arial"/>
          <w:color w:val="0000FC"/>
          <w:sz w:val="20"/>
          <w:szCs w:val="20"/>
          <w:u w:val="none"/>
        </w:rPr>
        <w:t xml:space="preserve">Wherever the information is presented, the </w:t>
      </w:r>
      <w:r w:rsidR="00BD32DA" w:rsidRPr="00135B51">
        <w:rPr>
          <w:rStyle w:val="Hyperlink"/>
          <w:rFonts w:ascii="Arial" w:hAnsi="Arial" w:cs="Arial"/>
          <w:i/>
          <w:color w:val="0000FC"/>
          <w:sz w:val="20"/>
          <w:szCs w:val="20"/>
        </w:rPr>
        <w:t>specified core information</w:t>
      </w:r>
      <w:r w:rsidR="00BD32DA" w:rsidRPr="00135B51">
        <w:rPr>
          <w:rStyle w:val="Hyperlink"/>
          <w:rFonts w:ascii="Arial" w:hAnsi="Arial" w:cs="Arial"/>
          <w:color w:val="0000FC"/>
          <w:sz w:val="20"/>
          <w:szCs w:val="20"/>
          <w:u w:val="none"/>
        </w:rPr>
        <w:t xml:space="preserve">, including admission </w:t>
      </w:r>
      <w:r w:rsidR="00AB3E40">
        <w:rPr>
          <w:rStyle w:val="Hyperlink"/>
          <w:rFonts w:ascii="Arial" w:hAnsi="Arial" w:cs="Arial"/>
          <w:color w:val="0000FC"/>
          <w:sz w:val="20"/>
          <w:szCs w:val="20"/>
          <w:u w:val="none"/>
        </w:rPr>
        <w:t>criteria</w:t>
      </w:r>
      <w:r w:rsidR="00BD32DA" w:rsidRPr="00135B51">
        <w:rPr>
          <w:rStyle w:val="Hyperlink"/>
          <w:rFonts w:ascii="Arial" w:hAnsi="Arial" w:cs="Arial"/>
          <w:color w:val="0000FC"/>
          <w:sz w:val="20"/>
          <w:szCs w:val="20"/>
          <w:u w:val="none"/>
        </w:rPr>
        <w:t xml:space="preserve"> that are specific to the course or group of courses concerned, student profile of recent enrolments and (where relevant) ATAR profile of recent offers should be presented in such a way that minimises any appearance of difference where none exists. </w:t>
      </w:r>
      <w:r w:rsidR="005D7CB5">
        <w:rPr>
          <w:rStyle w:val="Hyperlink"/>
          <w:rFonts w:ascii="Arial" w:hAnsi="Arial" w:cs="Arial"/>
          <w:color w:val="0000FC"/>
          <w:sz w:val="20"/>
          <w:szCs w:val="20"/>
          <w:u w:val="none"/>
        </w:rPr>
        <w:t>E.g.</w:t>
      </w:r>
      <w:r w:rsidR="00BD32DA" w:rsidRPr="00135B51">
        <w:rPr>
          <w:rStyle w:val="Hyperlink"/>
          <w:rFonts w:ascii="Arial" w:hAnsi="Arial" w:cs="Arial"/>
          <w:color w:val="0000FC"/>
          <w:sz w:val="20"/>
          <w:szCs w:val="20"/>
          <w:u w:val="none"/>
        </w:rPr>
        <w:t xml:space="preserve">, the same wording should be used to describe admission </w:t>
      </w:r>
      <w:r w:rsidR="00AB3E40">
        <w:rPr>
          <w:rStyle w:val="Hyperlink"/>
          <w:rFonts w:ascii="Arial" w:hAnsi="Arial" w:cs="Arial"/>
          <w:color w:val="0000FC"/>
          <w:sz w:val="20"/>
          <w:szCs w:val="20"/>
          <w:u w:val="none"/>
        </w:rPr>
        <w:t>criteria</w:t>
      </w:r>
      <w:r w:rsidR="00BD32DA" w:rsidRPr="00135B51">
        <w:rPr>
          <w:rStyle w:val="Hyperlink"/>
          <w:rFonts w:ascii="Arial" w:hAnsi="Arial" w:cs="Arial"/>
          <w:color w:val="0000FC"/>
          <w:sz w:val="20"/>
          <w:szCs w:val="20"/>
          <w:u w:val="none"/>
        </w:rPr>
        <w:t xml:space="preserve"> in a </w:t>
      </w:r>
      <w:r w:rsidR="005D7CB5" w:rsidRPr="005D7CB5">
        <w:rPr>
          <w:rStyle w:val="Hyperlink"/>
          <w:rFonts w:ascii="Arial" w:hAnsi="Arial" w:cs="Arial"/>
          <w:color w:val="0000FC"/>
          <w:sz w:val="20"/>
          <w:szCs w:val="20"/>
          <w:u w:val="none"/>
        </w:rPr>
        <w:t xml:space="preserve">tertiary admission centre </w:t>
      </w:r>
      <w:r w:rsidR="005D7CB5">
        <w:rPr>
          <w:rStyle w:val="Hyperlink"/>
          <w:rFonts w:ascii="Arial" w:hAnsi="Arial" w:cs="Arial"/>
          <w:color w:val="0000FC"/>
          <w:sz w:val="20"/>
          <w:szCs w:val="20"/>
          <w:u w:val="none"/>
        </w:rPr>
        <w:t>(</w:t>
      </w:r>
      <w:r w:rsidR="00BD32DA" w:rsidRPr="00135B51">
        <w:rPr>
          <w:rStyle w:val="Hyperlink"/>
          <w:rFonts w:ascii="Arial" w:hAnsi="Arial" w:cs="Arial"/>
          <w:color w:val="0000FC"/>
          <w:sz w:val="20"/>
          <w:szCs w:val="20"/>
          <w:u w:val="none"/>
        </w:rPr>
        <w:t>TAC</w:t>
      </w:r>
      <w:r w:rsidR="005D7CB5">
        <w:rPr>
          <w:rStyle w:val="Hyperlink"/>
          <w:rFonts w:ascii="Arial" w:hAnsi="Arial" w:cs="Arial"/>
          <w:color w:val="0000FC"/>
          <w:sz w:val="20"/>
          <w:szCs w:val="20"/>
          <w:u w:val="none"/>
        </w:rPr>
        <w:t>)</w:t>
      </w:r>
      <w:r w:rsidR="00BD32DA" w:rsidRPr="00135B51">
        <w:rPr>
          <w:rStyle w:val="Hyperlink"/>
          <w:rFonts w:ascii="Arial" w:hAnsi="Arial" w:cs="Arial"/>
          <w:color w:val="0000FC"/>
          <w:sz w:val="20"/>
          <w:szCs w:val="20"/>
          <w:u w:val="none"/>
        </w:rPr>
        <w:t xml:space="preserve"> publication as on the provider’s website.</w:t>
      </w:r>
    </w:p>
    <w:p w:rsidR="00BD32DA" w:rsidRPr="00135B51" w:rsidRDefault="00B31B6A" w:rsidP="00BD32DA">
      <w:pPr>
        <w:rPr>
          <w:rStyle w:val="Hyperlink"/>
          <w:rFonts w:ascii="Arial" w:hAnsi="Arial" w:cs="Arial"/>
          <w:color w:val="0000FC"/>
          <w:sz w:val="20"/>
          <w:szCs w:val="20"/>
          <w:u w:val="none"/>
        </w:rPr>
      </w:pPr>
      <w:r>
        <w:rPr>
          <w:rStyle w:val="Hyperlink"/>
          <w:rFonts w:ascii="Arial" w:hAnsi="Arial" w:cs="Arial"/>
          <w:b/>
          <w:color w:val="0000FC"/>
          <w:sz w:val="20"/>
          <w:szCs w:val="20"/>
          <w:u w:val="none"/>
        </w:rPr>
        <w:t xml:space="preserve">5. </w:t>
      </w:r>
      <w:r w:rsidR="0082715E" w:rsidRPr="00E77D30">
        <w:rPr>
          <w:rStyle w:val="Hyperlink"/>
          <w:rFonts w:ascii="Arial" w:hAnsi="Arial" w:cs="Arial"/>
          <w:b/>
          <w:color w:val="0000FC"/>
          <w:sz w:val="20"/>
          <w:szCs w:val="20"/>
          <w:u w:val="none"/>
        </w:rPr>
        <w:t>Are ATAR-related criteria privileged in this information set?</w:t>
      </w:r>
      <w:r w:rsidR="0082715E">
        <w:rPr>
          <w:rStyle w:val="Hyperlink"/>
          <w:rFonts w:ascii="Arial" w:hAnsi="Arial" w:cs="Arial"/>
          <w:color w:val="0000FC"/>
          <w:sz w:val="20"/>
          <w:szCs w:val="20"/>
          <w:u w:val="none"/>
        </w:rPr>
        <w:t xml:space="preserve"> </w:t>
      </w:r>
      <w:r w:rsidR="00BD32DA" w:rsidRPr="00135B51">
        <w:rPr>
          <w:rStyle w:val="Hyperlink"/>
          <w:rFonts w:ascii="Arial" w:hAnsi="Arial" w:cs="Arial"/>
          <w:color w:val="0000FC"/>
          <w:sz w:val="20"/>
          <w:szCs w:val="20"/>
          <w:u w:val="none"/>
        </w:rPr>
        <w:t xml:space="preserve">While ATAR-related </w:t>
      </w:r>
      <w:r w:rsidR="00AB3E40">
        <w:rPr>
          <w:rStyle w:val="Hyperlink"/>
          <w:rFonts w:ascii="Arial" w:hAnsi="Arial" w:cs="Arial"/>
          <w:color w:val="0000FC"/>
          <w:sz w:val="20"/>
          <w:szCs w:val="20"/>
          <w:u w:val="none"/>
        </w:rPr>
        <w:t>criteria</w:t>
      </w:r>
      <w:r w:rsidR="00BD32DA" w:rsidRPr="00135B51">
        <w:rPr>
          <w:rStyle w:val="Hyperlink"/>
          <w:rFonts w:ascii="Arial" w:hAnsi="Arial" w:cs="Arial"/>
          <w:color w:val="0000FC"/>
          <w:sz w:val="20"/>
          <w:szCs w:val="20"/>
          <w:u w:val="none"/>
        </w:rPr>
        <w:t xml:space="preserve"> take up significant space in the information set below, in order to bring more rigour to this important entry pathway, all application and assessment options are equally relevant and important and must be outlined in sufficient detail to ensure prospective students from all academic, economic and social backgrounds and needs can easily find out about the options available to them and </w:t>
      </w:r>
      <w:r w:rsidR="00AB3E40">
        <w:rPr>
          <w:rStyle w:val="Hyperlink"/>
          <w:rFonts w:ascii="Arial" w:hAnsi="Arial" w:cs="Arial"/>
          <w:color w:val="0000FC"/>
          <w:sz w:val="20"/>
          <w:szCs w:val="20"/>
          <w:u w:val="none"/>
        </w:rPr>
        <w:t>criteria</w:t>
      </w:r>
      <w:r w:rsidR="00BD32DA" w:rsidRPr="00135B51">
        <w:rPr>
          <w:rStyle w:val="Hyperlink"/>
          <w:rFonts w:ascii="Arial" w:hAnsi="Arial" w:cs="Arial"/>
          <w:color w:val="0000FC"/>
          <w:sz w:val="20"/>
          <w:szCs w:val="20"/>
          <w:u w:val="none"/>
        </w:rPr>
        <w:t xml:space="preserve"> they must satisfy to access those opportunities.]</w:t>
      </w:r>
    </w:p>
    <w:p w:rsidR="00BD32DA" w:rsidRDefault="00B31B6A" w:rsidP="00BD32DA">
      <w:pPr>
        <w:rPr>
          <w:rStyle w:val="Hyperlink"/>
          <w:rFonts w:ascii="Arial" w:hAnsi="Arial" w:cs="Arial"/>
          <w:color w:val="0000FC"/>
          <w:sz w:val="20"/>
          <w:szCs w:val="20"/>
          <w:u w:val="none"/>
        </w:rPr>
      </w:pPr>
      <w:r w:rsidRPr="004A010E">
        <w:rPr>
          <w:rStyle w:val="Hyperlink"/>
          <w:rFonts w:ascii="Arial" w:hAnsi="Arial"/>
          <w:b/>
          <w:color w:val="0000FC"/>
          <w:sz w:val="20"/>
          <w:u w:val="none"/>
        </w:rPr>
        <w:t xml:space="preserve">6. </w:t>
      </w:r>
      <w:r w:rsidR="00D11979" w:rsidRPr="004A010E">
        <w:rPr>
          <w:rStyle w:val="Hyperlink"/>
          <w:rFonts w:ascii="Arial" w:hAnsi="Arial"/>
          <w:b/>
          <w:color w:val="0000FC"/>
          <w:sz w:val="20"/>
          <w:u w:val="none"/>
        </w:rPr>
        <w:t>What is required in 2017?</w:t>
      </w:r>
      <w:r w:rsidR="00D11979" w:rsidRPr="004A010E">
        <w:rPr>
          <w:rStyle w:val="Hyperlink"/>
          <w:rFonts w:ascii="Arial" w:hAnsi="Arial"/>
          <w:color w:val="0000FC"/>
          <w:sz w:val="20"/>
          <w:u w:val="none"/>
        </w:rPr>
        <w:t xml:space="preserve"> </w:t>
      </w:r>
      <w:r w:rsidR="00BD32DA" w:rsidRPr="00135B51">
        <w:rPr>
          <w:rStyle w:val="Hyperlink"/>
          <w:rFonts w:ascii="Arial" w:hAnsi="Arial" w:cs="Arial"/>
          <w:color w:val="0000FC"/>
          <w:sz w:val="20"/>
          <w:szCs w:val="20"/>
          <w:u w:val="none"/>
          <w:shd w:val="clear" w:color="auto" w:fill="EBECDB" w:themeFill="accent4" w:themeFillTint="33"/>
        </w:rPr>
        <w:t xml:space="preserve">Classes of information that are required </w:t>
      </w:r>
      <w:r w:rsidR="00BF353B">
        <w:rPr>
          <w:rStyle w:val="Hyperlink"/>
          <w:rFonts w:ascii="Arial" w:hAnsi="Arial" w:cs="Arial"/>
          <w:color w:val="0000FC"/>
          <w:sz w:val="20"/>
          <w:szCs w:val="20"/>
          <w:u w:val="none"/>
          <w:shd w:val="clear" w:color="auto" w:fill="EBECDB" w:themeFill="accent4" w:themeFillTint="33"/>
        </w:rPr>
        <w:t>for inclusion</w:t>
      </w:r>
      <w:r w:rsidR="00BD32DA" w:rsidRPr="00135B51">
        <w:rPr>
          <w:rStyle w:val="Hyperlink"/>
          <w:rFonts w:ascii="Arial" w:hAnsi="Arial" w:cs="Arial"/>
          <w:color w:val="0000FC"/>
          <w:sz w:val="20"/>
          <w:szCs w:val="20"/>
          <w:u w:val="none"/>
          <w:shd w:val="clear" w:color="auto" w:fill="EBECDB" w:themeFill="accent4" w:themeFillTint="33"/>
        </w:rPr>
        <w:t xml:space="preserve"> in 2017 are shaded and marked as “</w:t>
      </w:r>
      <w:r w:rsidR="00BD32DA" w:rsidRPr="00135B51">
        <w:rPr>
          <w:rStyle w:val="Hyperlink"/>
          <w:rFonts w:ascii="Arial" w:hAnsi="Arial" w:cs="Arial"/>
          <w:i/>
          <w:color w:val="FF0000"/>
          <w:sz w:val="20"/>
          <w:szCs w:val="20"/>
          <w:u w:val="none"/>
          <w:shd w:val="clear" w:color="auto" w:fill="EBECDB" w:themeFill="accent4" w:themeFillTint="33"/>
        </w:rPr>
        <w:t>CORE – required in 2017</w:t>
      </w:r>
      <w:r w:rsidR="00BD32DA" w:rsidRPr="00135B51">
        <w:rPr>
          <w:rStyle w:val="Hyperlink"/>
          <w:rFonts w:ascii="Arial" w:hAnsi="Arial" w:cs="Arial"/>
          <w:color w:val="0000FC"/>
          <w:sz w:val="20"/>
          <w:szCs w:val="20"/>
          <w:u w:val="none"/>
          <w:shd w:val="clear" w:color="auto" w:fill="EBECDB" w:themeFill="accent4" w:themeFillTint="33"/>
        </w:rPr>
        <w:t>”.</w:t>
      </w:r>
      <w:r w:rsidR="00BD32DA" w:rsidRPr="00135B51">
        <w:rPr>
          <w:rStyle w:val="Hyperlink"/>
          <w:rFonts w:ascii="Arial" w:hAnsi="Arial" w:cs="Arial"/>
          <w:color w:val="0000FC"/>
          <w:sz w:val="20"/>
          <w:szCs w:val="20"/>
          <w:u w:val="none"/>
        </w:rPr>
        <w:t xml:space="preserve"> Information that must be included from 2018 onwards is marked “</w:t>
      </w:r>
      <w:r w:rsidR="00BD32DA" w:rsidRPr="00135B51">
        <w:rPr>
          <w:rStyle w:val="Hyperlink"/>
          <w:rFonts w:ascii="Arial" w:hAnsi="Arial" w:cs="Arial"/>
          <w:i/>
          <w:color w:val="0000FC"/>
          <w:sz w:val="20"/>
          <w:szCs w:val="20"/>
          <w:u w:val="none"/>
        </w:rPr>
        <w:t xml:space="preserve">CORE – optional </w:t>
      </w:r>
      <w:r w:rsidR="006526B3">
        <w:rPr>
          <w:rStyle w:val="Hyperlink"/>
          <w:rFonts w:ascii="Arial" w:hAnsi="Arial" w:cs="Arial"/>
          <w:i/>
          <w:color w:val="0000FC"/>
          <w:sz w:val="20"/>
          <w:szCs w:val="20"/>
          <w:u w:val="none"/>
        </w:rPr>
        <w:t>in</w:t>
      </w:r>
      <w:r w:rsidR="006526B3" w:rsidRPr="00135B51">
        <w:rPr>
          <w:rStyle w:val="Hyperlink"/>
          <w:rFonts w:ascii="Arial" w:hAnsi="Arial" w:cs="Arial"/>
          <w:i/>
          <w:color w:val="0000FC"/>
          <w:sz w:val="20"/>
          <w:szCs w:val="20"/>
          <w:u w:val="none"/>
        </w:rPr>
        <w:t xml:space="preserve"> </w:t>
      </w:r>
      <w:r w:rsidR="00BD32DA" w:rsidRPr="00135B51">
        <w:rPr>
          <w:rStyle w:val="Hyperlink"/>
          <w:rFonts w:ascii="Arial" w:hAnsi="Arial" w:cs="Arial"/>
          <w:i/>
          <w:color w:val="0000FC"/>
          <w:sz w:val="20"/>
          <w:szCs w:val="20"/>
          <w:u w:val="none"/>
        </w:rPr>
        <w:t>2017</w:t>
      </w:r>
      <w:r w:rsidR="00BD32DA" w:rsidRPr="00135B51">
        <w:rPr>
          <w:rStyle w:val="Hyperlink"/>
          <w:rFonts w:ascii="Arial" w:hAnsi="Arial" w:cs="Arial"/>
          <w:color w:val="0000FC"/>
          <w:sz w:val="20"/>
          <w:szCs w:val="20"/>
          <w:u w:val="none"/>
        </w:rPr>
        <w:t>”.</w:t>
      </w:r>
    </w:p>
    <w:p w:rsidR="00613A1F" w:rsidRPr="000C2FC2" w:rsidRDefault="00613A1F" w:rsidP="000C2FC2">
      <w:pPr>
        <w:rPr>
          <w:rStyle w:val="Hyperlink"/>
          <w:rFonts w:ascii="Arial" w:hAnsi="Arial" w:cs="Arial"/>
          <w:i/>
          <w:color w:val="0000FC"/>
          <w:sz w:val="20"/>
          <w:szCs w:val="20"/>
          <w:u w:val="none"/>
        </w:rPr>
      </w:pPr>
      <w:r w:rsidRPr="000C2FC2">
        <w:rPr>
          <w:rStyle w:val="Hyperlink"/>
          <w:rFonts w:ascii="Arial" w:hAnsi="Arial" w:cs="Arial"/>
          <w:i/>
          <w:color w:val="0000FC"/>
          <w:sz w:val="20"/>
          <w:szCs w:val="20"/>
          <w:u w:val="none"/>
        </w:rPr>
        <w:t>(Note: “program” and “course” are considered interchangeable terms in this information set.)</w:t>
      </w:r>
    </w:p>
    <w:p w:rsidR="003F00F6" w:rsidRDefault="00BD32DA">
      <w:pPr>
        <w:rPr>
          <w:rStyle w:val="Hyperlink"/>
          <w:rFonts w:ascii="Arial" w:hAnsi="Arial" w:cs="Arial"/>
          <w:color w:val="0000FC"/>
          <w:sz w:val="20"/>
          <w:szCs w:val="20"/>
          <w:u w:val="none"/>
        </w:rPr>
      </w:pPr>
      <w:r w:rsidRPr="00135B51">
        <w:rPr>
          <w:rStyle w:val="Hyperlink"/>
          <w:rFonts w:ascii="Arial" w:hAnsi="Arial" w:cs="Arial"/>
          <w:b/>
          <w:color w:val="0000FC"/>
          <w:sz w:val="20"/>
          <w:szCs w:val="20"/>
          <w:u w:val="none"/>
        </w:rPr>
        <w:t>DELETE ALL BLUE INSTRUCTION TEXT WHEN COMPLETE</w:t>
      </w:r>
      <w:r w:rsidRPr="00135B51">
        <w:rPr>
          <w:rStyle w:val="Hyperlink"/>
          <w:rFonts w:ascii="Arial" w:hAnsi="Arial" w:cs="Arial"/>
          <w:color w:val="0000FC"/>
          <w:sz w:val="20"/>
          <w:szCs w:val="20"/>
          <w:u w:val="none"/>
        </w:rPr>
        <w:t>]</w:t>
      </w:r>
      <w:r w:rsidR="003F00F6">
        <w:rPr>
          <w:rStyle w:val="Hyperlink"/>
          <w:rFonts w:ascii="Arial" w:hAnsi="Arial" w:cs="Arial"/>
          <w:color w:val="0000FC"/>
          <w:sz w:val="20"/>
          <w:szCs w:val="20"/>
          <w:u w:val="none"/>
        </w:rPr>
        <w:br w:type="page"/>
      </w:r>
    </w:p>
    <w:p w:rsidR="00BD32DA" w:rsidRPr="00135B51" w:rsidRDefault="00BD32DA" w:rsidP="00BD32DA">
      <w:pPr>
        <w:jc w:val="center"/>
        <w:rPr>
          <w:rFonts w:ascii="Corbel" w:eastAsiaTheme="majorEastAsia" w:hAnsi="Corbel" w:cs="Arial"/>
          <w:b/>
          <w:bCs/>
          <w:color w:val="FF0000"/>
          <w:sz w:val="28"/>
          <w:szCs w:val="28"/>
        </w:rPr>
      </w:pPr>
      <w:r w:rsidRPr="00135B51">
        <w:rPr>
          <w:rStyle w:val="Hyperlink"/>
          <w:rFonts w:ascii="Arial" w:hAnsi="Arial" w:cs="Arial"/>
          <w:noProof/>
          <w:color w:val="0000FC"/>
          <w:sz w:val="18"/>
          <w:szCs w:val="18"/>
          <w:u w:val="none"/>
          <w:lang w:eastAsia="en-AU"/>
        </w:rPr>
        <mc:AlternateContent>
          <mc:Choice Requires="wps">
            <w:drawing>
              <wp:anchor distT="0" distB="0" distL="114300" distR="114300" simplePos="0" relativeHeight="251677696" behindDoc="1" locked="0" layoutInCell="1" allowOverlap="1" wp14:anchorId="33235741" wp14:editId="6DD734C6">
                <wp:simplePos x="0" y="0"/>
                <wp:positionH relativeFrom="column">
                  <wp:posOffset>-142875</wp:posOffset>
                </wp:positionH>
                <wp:positionV relativeFrom="paragraph">
                  <wp:posOffset>-99695</wp:posOffset>
                </wp:positionV>
                <wp:extent cx="6162675" cy="828675"/>
                <wp:effectExtent l="0" t="0" r="9525"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828675"/>
                        </a:xfrm>
                        <a:prstGeom prst="rect">
                          <a:avLst/>
                        </a:prstGeom>
                        <a:solidFill>
                          <a:srgbClr val="FFFFFF"/>
                        </a:solidFill>
                        <a:ln w="9525">
                          <a:noFill/>
                          <a:miter lim="800000"/>
                          <a:headEnd/>
                          <a:tailEnd/>
                        </a:ln>
                      </wps:spPr>
                      <wps:txbx>
                        <w:txbxContent>
                          <w:p w:rsidR="001910BA" w:rsidRDefault="001910BA" w:rsidP="00BD32DA">
                            <w:pPr>
                              <w:shd w:val="clear" w:color="auto" w:fill="EBECDB" w:themeFill="accent4"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left:0;text-align:left;margin-left:-11.25pt;margin-top:-7.85pt;width:485.25pt;height:65.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mjHIgIAACIEAAAOAAAAZHJzL2Uyb0RvYy54bWysU9tu2zAMfR+wfxD0vjhJkzQ14hRdugwD&#10;ugvQ7gNoWY6FSaInKbGzry8lp2m2vQ3Tg0BK5NHhIbW67Y1mB+m8QlvwyWjMmbQCK2V3Bf/+tH23&#10;5MwHsBVotLLgR+n57frtm1XX5nKKDepKOkYg1uddW/AmhDbPMi8aacCPsJWWLmt0BgK5bpdVDjpC&#10;NzqbjseLrENXtQ6F9J5O74dLvk74dS1F+FrXXgamC07cQtpd2su4Z+sV5DsHbaPEiQb8AwsDytKj&#10;Z6h7CMD2Tv0FZZRw6LEOI4Emw7pWQqYaqJrJ+I9qHhtoZaqFxPHtWSb//2DFl8M3x1RV8CvOLBhq&#10;0ZPsA3uPPbuK6nStzynosaWw0NMxdTlV6tsHFD88s7hpwO7knXPYNRIqYjeJmdlF6oDjI0jZfcaK&#10;noF9wATU185E6UgMRujUpeO5M5GKoMPFZDFdXM85E3S3nC6jHZ+A/CW7dT58lGhYNAruqPMJHQ4P&#10;PgyhLyHxMY9aVVuldXLcrtxoxw5AU7JN64T+W5i2rCv4zXw6T8gWYz5BQ25UoCnWyhC5cVwxHfKo&#10;xgdbJTuA0oNNpLU9yRMVGbQJfdmnPsxibpSuxOpIejkchpY+GRkNul+cdTSwBfc/9+AkZ/qTJc1v&#10;JrNZnPDkzObXU3Lc5U15eQNWEFTBA2eDuQnpV0TaFu+oN7VKsr0yOVGmQUzCnz5NnPRLP0W9fu31&#10;MwAAAP//AwBQSwMEFAAGAAgAAAAhACMpClnfAAAACwEAAA8AAABkcnMvZG93bnJldi54bWxMj8Fu&#10;gzAMhu+T9g6RK+0ytQEEhTJCtU3atGu7PoCBFFCJg0ha6NvPO203W/70+/uL/WIGcdOT6y0pCDcB&#10;CE21bXpqFZy+P9YZCOeRGhwsaQV37WBfPj4UmDd2poO+HX0rOIRcjgo678dcSld32qDb2FET3852&#10;Muh5nVrZTDhzuBlkFARbabAn/tDhqN87XV+OV6Pg/DU/J7u5+vSn9BBv37BPK3tX6mm1vL6A8Hrx&#10;fzD86rM6lOxU2Ss1TgwK1lGUMMpDmKQgmNjFGberGA3jDGRZyP8dyh8AAAD//wMAUEsBAi0AFAAG&#10;AAgAAAAhALaDOJL+AAAA4QEAABMAAAAAAAAAAAAAAAAAAAAAAFtDb250ZW50X1R5cGVzXS54bWxQ&#10;SwECLQAUAAYACAAAACEAOP0h/9YAAACUAQAACwAAAAAAAAAAAAAAAAAvAQAAX3JlbHMvLnJlbHNQ&#10;SwECLQAUAAYACAAAACEAERpoxyICAAAiBAAADgAAAAAAAAAAAAAAAAAuAgAAZHJzL2Uyb0RvYy54&#10;bWxQSwECLQAUAAYACAAAACEAIykKWd8AAAALAQAADwAAAAAAAAAAAAAAAAB8BAAAZHJzL2Rvd25y&#10;ZXYueG1sUEsFBgAAAAAEAAQA8wAAAIgFAAAAAA==&#10;" stroked="f">
                <v:textbox>
                  <w:txbxContent>
                    <w:p w:rsidR="001910BA" w:rsidRDefault="001910BA" w:rsidP="00BD32DA">
                      <w:pPr>
                        <w:shd w:val="clear" w:color="auto" w:fill="EBECDB" w:themeFill="accent4" w:themeFillTint="33"/>
                      </w:pPr>
                    </w:p>
                  </w:txbxContent>
                </v:textbox>
              </v:shape>
            </w:pict>
          </mc:Fallback>
        </mc:AlternateContent>
      </w:r>
      <w:r w:rsidRPr="00135B51">
        <w:rPr>
          <w:rFonts w:ascii="Corbel" w:eastAsiaTheme="majorEastAsia" w:hAnsi="Corbel" w:cs="Arial"/>
          <w:b/>
          <w:bCs/>
          <w:color w:val="FF0000"/>
          <w:sz w:val="28"/>
          <w:szCs w:val="28"/>
        </w:rPr>
        <w:t>[Insert Name of Higher Education Provider]</w:t>
      </w:r>
    </w:p>
    <w:p w:rsidR="00BD32DA" w:rsidRPr="00135B51" w:rsidRDefault="00BD32DA" w:rsidP="00BD32DA">
      <w:pPr>
        <w:jc w:val="center"/>
        <w:rPr>
          <w:rFonts w:ascii="Corbel" w:eastAsiaTheme="majorEastAsia" w:hAnsi="Corbel" w:cs="Arial"/>
          <w:b/>
          <w:bCs/>
          <w:color w:val="FF0000"/>
          <w:sz w:val="28"/>
          <w:szCs w:val="28"/>
        </w:rPr>
      </w:pPr>
      <w:r w:rsidRPr="00135B51">
        <w:rPr>
          <w:rFonts w:ascii="Corbel" w:eastAsiaTheme="majorEastAsia" w:hAnsi="Corbel" w:cs="Arial"/>
          <w:b/>
          <w:bCs/>
          <w:color w:val="FF0000"/>
          <w:sz w:val="28"/>
          <w:szCs w:val="28"/>
        </w:rPr>
        <w:t xml:space="preserve">[Insert Name of </w:t>
      </w:r>
      <w:r w:rsidR="004C54C0">
        <w:rPr>
          <w:rFonts w:ascii="Corbel" w:eastAsiaTheme="majorEastAsia" w:hAnsi="Corbel" w:cs="Arial"/>
          <w:b/>
          <w:bCs/>
          <w:color w:val="FF0000"/>
          <w:sz w:val="28"/>
          <w:szCs w:val="28"/>
        </w:rPr>
        <w:t>Program/</w:t>
      </w:r>
      <w:r w:rsidRPr="00135B51">
        <w:rPr>
          <w:rFonts w:ascii="Corbel" w:eastAsiaTheme="majorEastAsia" w:hAnsi="Corbel" w:cs="Arial"/>
          <w:b/>
          <w:bCs/>
          <w:color w:val="FF0000"/>
          <w:sz w:val="28"/>
          <w:szCs w:val="28"/>
        </w:rPr>
        <w:t>Course/Course Group]</w:t>
      </w:r>
    </w:p>
    <w:p w:rsidR="00BD32DA" w:rsidRPr="005A565D" w:rsidRDefault="00BD32DA" w:rsidP="00BD32DA">
      <w:pPr>
        <w:keepNext/>
        <w:keepLines/>
        <w:numPr>
          <w:ilvl w:val="0"/>
          <w:numId w:val="15"/>
        </w:numPr>
        <w:spacing w:before="240" w:after="0" w:line="240" w:lineRule="auto"/>
        <w:ind w:left="567" w:hanging="567"/>
        <w:outlineLvl w:val="0"/>
        <w:rPr>
          <w:rFonts w:ascii="Corbel" w:hAnsi="Corbel"/>
          <w:b/>
          <w:sz w:val="28"/>
        </w:rPr>
      </w:pPr>
      <w:bookmarkStart w:id="228" w:name="_Toc482805083"/>
      <w:bookmarkStart w:id="229" w:name="_Toc483263593"/>
      <w:bookmarkStart w:id="230" w:name="_Toc483350233"/>
      <w:bookmarkStart w:id="231" w:name="_Toc483813649"/>
      <w:bookmarkStart w:id="232" w:name="_Toc484093519"/>
      <w:bookmarkStart w:id="233" w:name="_Toc480754908"/>
      <w:r w:rsidRPr="005A565D">
        <w:rPr>
          <w:rFonts w:ascii="Corbel" w:hAnsi="Corbel"/>
          <w:b/>
          <w:sz w:val="28"/>
        </w:rPr>
        <w:t xml:space="preserve">About </w:t>
      </w:r>
      <w:r w:rsidRPr="005A565D">
        <w:rPr>
          <w:rFonts w:ascii="Corbel" w:hAnsi="Corbel"/>
          <w:b/>
          <w:color w:val="FF0000"/>
          <w:sz w:val="28"/>
        </w:rPr>
        <w:t xml:space="preserve">[Name of </w:t>
      </w:r>
      <w:r w:rsidR="00441F5C">
        <w:rPr>
          <w:rFonts w:ascii="Corbel" w:hAnsi="Corbel"/>
          <w:b/>
          <w:color w:val="FF0000"/>
          <w:sz w:val="28"/>
        </w:rPr>
        <w:t>Program/</w:t>
      </w:r>
      <w:r w:rsidRPr="005A565D">
        <w:rPr>
          <w:rFonts w:ascii="Corbel" w:hAnsi="Corbel"/>
          <w:b/>
          <w:color w:val="FF0000"/>
          <w:sz w:val="28"/>
        </w:rPr>
        <w:t xml:space="preserve">Course/Course Group] </w:t>
      </w:r>
      <w:r w:rsidRPr="005A565D">
        <w:rPr>
          <w:rFonts w:ascii="Corbel" w:hAnsi="Corbel"/>
          <w:i/>
          <w:color w:val="0000FF"/>
          <w:sz w:val="28"/>
        </w:rPr>
        <w:t>[Optional]</w:t>
      </w:r>
      <w:bookmarkEnd w:id="228"/>
      <w:bookmarkEnd w:id="229"/>
      <w:bookmarkEnd w:id="230"/>
      <w:bookmarkEnd w:id="231"/>
      <w:bookmarkEnd w:id="232"/>
    </w:p>
    <w:p w:rsidR="00BD32DA" w:rsidRPr="00135B51" w:rsidRDefault="00BD32DA" w:rsidP="00BD32DA">
      <w:pPr>
        <w:spacing w:after="0"/>
        <w:rPr>
          <w:rStyle w:val="Hyperlink"/>
          <w:rFonts w:ascii="Arial" w:hAnsi="Arial" w:cs="Arial"/>
          <w:color w:val="0000FC"/>
          <w:sz w:val="18"/>
          <w:szCs w:val="18"/>
          <w:u w:val="none"/>
        </w:rPr>
      </w:pPr>
      <w:r w:rsidRPr="00135B51">
        <w:rPr>
          <w:rStyle w:val="Hyperlink"/>
          <w:rFonts w:ascii="Arial" w:hAnsi="Arial" w:cs="Arial"/>
          <w:color w:val="0000FC"/>
          <w:sz w:val="18"/>
          <w:szCs w:val="18"/>
          <w:u w:val="none"/>
        </w:rPr>
        <w:t xml:space="preserve">[General information about studying this </w:t>
      </w:r>
      <w:r w:rsidR="00441F5C">
        <w:rPr>
          <w:rStyle w:val="Hyperlink"/>
          <w:rFonts w:ascii="Arial" w:hAnsi="Arial" w:cs="Arial"/>
          <w:color w:val="0000FC"/>
          <w:sz w:val="18"/>
          <w:szCs w:val="18"/>
          <w:u w:val="none"/>
        </w:rPr>
        <w:t xml:space="preserve">program, </w:t>
      </w:r>
      <w:r w:rsidRPr="00135B51">
        <w:rPr>
          <w:rStyle w:val="Hyperlink"/>
          <w:rFonts w:ascii="Arial" w:hAnsi="Arial" w:cs="Arial"/>
          <w:color w:val="0000FC"/>
          <w:sz w:val="18"/>
          <w:szCs w:val="18"/>
          <w:u w:val="none"/>
        </w:rPr>
        <w:t>course or course group, such as:</w:t>
      </w:r>
    </w:p>
    <w:p w:rsidR="00BD32DA" w:rsidRPr="00135B51" w:rsidRDefault="00BD32DA" w:rsidP="00BD32DA">
      <w:pPr>
        <w:pStyle w:val="ListParagraph"/>
        <w:numPr>
          <w:ilvl w:val="0"/>
          <w:numId w:val="43"/>
        </w:numPr>
        <w:rPr>
          <w:rStyle w:val="Hyperlink"/>
          <w:rFonts w:ascii="Arial" w:hAnsi="Arial" w:cs="Arial"/>
          <w:color w:val="0000FC"/>
          <w:sz w:val="18"/>
          <w:szCs w:val="18"/>
          <w:u w:val="none"/>
        </w:rPr>
      </w:pPr>
      <w:r w:rsidRPr="00135B51">
        <w:rPr>
          <w:rStyle w:val="Hyperlink"/>
          <w:rFonts w:ascii="Arial" w:hAnsi="Arial" w:cs="Arial"/>
          <w:color w:val="0000FC"/>
          <w:sz w:val="18"/>
          <w:szCs w:val="18"/>
          <w:u w:val="none"/>
        </w:rPr>
        <w:t>Course options available, course design, qualifications on offer, accreditations and endorsement of the course/s by professional bodies or other organisations, whether required by law, by the profession itself or purely voluntary.</w:t>
      </w:r>
    </w:p>
    <w:p w:rsidR="00BD32DA" w:rsidRPr="00135B51" w:rsidRDefault="00BD32DA" w:rsidP="00BD32DA">
      <w:pPr>
        <w:pStyle w:val="ListParagraph"/>
        <w:numPr>
          <w:ilvl w:val="0"/>
          <w:numId w:val="43"/>
        </w:numPr>
        <w:spacing w:after="240"/>
        <w:rPr>
          <w:rStyle w:val="Hyperlink"/>
          <w:rFonts w:ascii="Arial" w:hAnsi="Arial" w:cs="Arial"/>
          <w:color w:val="0000FC"/>
          <w:sz w:val="18"/>
          <w:szCs w:val="18"/>
          <w:u w:val="none"/>
        </w:rPr>
      </w:pPr>
      <w:r w:rsidRPr="00135B51">
        <w:rPr>
          <w:rStyle w:val="Hyperlink"/>
          <w:rFonts w:ascii="Arial" w:hAnsi="Arial" w:cs="Arial"/>
          <w:color w:val="0000FC"/>
          <w:sz w:val="18"/>
          <w:szCs w:val="18"/>
          <w:u w:val="none"/>
        </w:rPr>
        <w:t>Work based learning, internships and work placements available as part of the course.</w:t>
      </w:r>
    </w:p>
    <w:p w:rsidR="004C54C0" w:rsidRDefault="00BD32DA" w:rsidP="00BD32DA">
      <w:pPr>
        <w:pStyle w:val="ListParagraph"/>
        <w:numPr>
          <w:ilvl w:val="0"/>
          <w:numId w:val="43"/>
        </w:numPr>
        <w:rPr>
          <w:rStyle w:val="Hyperlink"/>
          <w:rFonts w:ascii="Arial" w:hAnsi="Arial" w:cs="Arial"/>
          <w:color w:val="0000FC"/>
          <w:sz w:val="18"/>
          <w:szCs w:val="18"/>
          <w:u w:val="none"/>
        </w:rPr>
      </w:pPr>
      <w:r w:rsidRPr="00135B51">
        <w:rPr>
          <w:rStyle w:val="Hyperlink"/>
          <w:rFonts w:ascii="Arial" w:hAnsi="Arial" w:cs="Arial"/>
          <w:color w:val="0000FC"/>
          <w:sz w:val="18"/>
          <w:szCs w:val="18"/>
          <w:u w:val="none"/>
        </w:rPr>
        <w:t>Graduate career pathways, postgraduate study pathways</w:t>
      </w:r>
    </w:p>
    <w:p w:rsidR="00BD32DA" w:rsidRDefault="004C54C0" w:rsidP="00BD32DA">
      <w:pPr>
        <w:pStyle w:val="ListParagraph"/>
        <w:numPr>
          <w:ilvl w:val="0"/>
          <w:numId w:val="43"/>
        </w:numPr>
        <w:rPr>
          <w:rStyle w:val="Hyperlink"/>
          <w:rFonts w:ascii="Arial" w:hAnsi="Arial" w:cs="Arial"/>
          <w:color w:val="0000FC"/>
          <w:sz w:val="18"/>
          <w:szCs w:val="18"/>
          <w:u w:val="none"/>
        </w:rPr>
      </w:pPr>
      <w:r>
        <w:rPr>
          <w:rStyle w:val="Hyperlink"/>
          <w:rFonts w:ascii="Arial" w:hAnsi="Arial" w:cs="Arial"/>
          <w:color w:val="0000FC"/>
          <w:sz w:val="18"/>
          <w:szCs w:val="18"/>
          <w:u w:val="none"/>
        </w:rPr>
        <w:t>F</w:t>
      </w:r>
      <w:r w:rsidR="00BD32DA" w:rsidRPr="00135B51">
        <w:rPr>
          <w:rStyle w:val="Hyperlink"/>
          <w:rFonts w:ascii="Arial" w:hAnsi="Arial" w:cs="Arial"/>
          <w:color w:val="0000FC"/>
          <w:sz w:val="18"/>
          <w:szCs w:val="18"/>
          <w:u w:val="none"/>
        </w:rPr>
        <w:t xml:space="preserve">acilities and staff, campus information on locations where the </w:t>
      </w:r>
      <w:r>
        <w:rPr>
          <w:rStyle w:val="Hyperlink"/>
          <w:rFonts w:ascii="Arial" w:hAnsi="Arial" w:cs="Arial"/>
          <w:color w:val="0000FC"/>
          <w:sz w:val="18"/>
          <w:szCs w:val="18"/>
          <w:u w:val="none"/>
        </w:rPr>
        <w:t>program/</w:t>
      </w:r>
      <w:r w:rsidR="00BD32DA" w:rsidRPr="00135B51">
        <w:rPr>
          <w:rStyle w:val="Hyperlink"/>
          <w:rFonts w:ascii="Arial" w:hAnsi="Arial" w:cs="Arial"/>
          <w:color w:val="0000FC"/>
          <w:sz w:val="18"/>
          <w:szCs w:val="18"/>
          <w:u w:val="none"/>
        </w:rPr>
        <w:t>course/course group is offered.</w:t>
      </w:r>
    </w:p>
    <w:p w:rsidR="00BD32DA" w:rsidRDefault="00BD32DA" w:rsidP="00BD32DA">
      <w:pPr>
        <w:pStyle w:val="ListParagraph"/>
        <w:numPr>
          <w:ilvl w:val="0"/>
          <w:numId w:val="43"/>
        </w:numPr>
        <w:rPr>
          <w:rStyle w:val="Hyperlink"/>
          <w:rFonts w:ascii="Arial" w:hAnsi="Arial" w:cs="Arial"/>
          <w:color w:val="0000FC"/>
          <w:sz w:val="18"/>
          <w:szCs w:val="18"/>
          <w:u w:val="none"/>
        </w:rPr>
      </w:pPr>
      <w:r>
        <w:rPr>
          <w:rStyle w:val="Hyperlink"/>
          <w:rFonts w:ascii="Arial" w:hAnsi="Arial" w:cs="Arial"/>
          <w:color w:val="0000FC"/>
          <w:sz w:val="18"/>
          <w:szCs w:val="18"/>
          <w:u w:val="none"/>
        </w:rPr>
        <w:t>Information on bridging and enabling courses that could lead to enrolment in this course</w:t>
      </w:r>
      <w:r w:rsidRPr="00135B51">
        <w:rPr>
          <w:rStyle w:val="Hyperlink"/>
          <w:rFonts w:ascii="Arial" w:hAnsi="Arial" w:cs="Arial"/>
          <w:color w:val="0000FC"/>
          <w:sz w:val="18"/>
          <w:szCs w:val="18"/>
          <w:u w:val="none"/>
        </w:rPr>
        <w:t>]</w:t>
      </w:r>
    </w:p>
    <w:p w:rsidR="00BD32DA" w:rsidRPr="005A565D" w:rsidRDefault="00263185" w:rsidP="00BD32DA">
      <w:pPr>
        <w:keepNext/>
        <w:keepLines/>
        <w:numPr>
          <w:ilvl w:val="0"/>
          <w:numId w:val="15"/>
        </w:numPr>
        <w:spacing w:before="240" w:after="0" w:line="240" w:lineRule="auto"/>
        <w:ind w:left="567" w:hanging="567"/>
        <w:outlineLvl w:val="0"/>
        <w:rPr>
          <w:rFonts w:ascii="Corbel" w:hAnsi="Corbel"/>
          <w:b/>
          <w:sz w:val="28"/>
        </w:rPr>
      </w:pPr>
      <w:bookmarkStart w:id="234" w:name="_Toc482805084"/>
      <w:bookmarkStart w:id="235" w:name="_Toc483263594"/>
      <w:bookmarkStart w:id="236" w:name="_Toc483350234"/>
      <w:bookmarkStart w:id="237" w:name="_Toc483813650"/>
      <w:bookmarkStart w:id="238" w:name="_Toc484093520"/>
      <w:r>
        <w:rPr>
          <w:rFonts w:ascii="Corbel" w:hAnsi="Corbel"/>
          <w:b/>
          <w:sz w:val="28"/>
        </w:rPr>
        <w:t>Essential r</w:t>
      </w:r>
      <w:r w:rsidR="00BD32DA" w:rsidRPr="006F1138">
        <w:rPr>
          <w:rFonts w:ascii="Corbel" w:hAnsi="Corbel"/>
          <w:b/>
          <w:sz w:val="28"/>
        </w:rPr>
        <w:t>equirements</w:t>
      </w:r>
      <w:r w:rsidR="00BD32DA" w:rsidRPr="005A565D">
        <w:rPr>
          <w:rFonts w:ascii="Corbel" w:hAnsi="Corbel"/>
          <w:b/>
          <w:sz w:val="28"/>
        </w:rPr>
        <w:t xml:space="preserve"> </w:t>
      </w:r>
      <w:bookmarkEnd w:id="233"/>
      <w:r>
        <w:rPr>
          <w:rFonts w:ascii="Corbel" w:hAnsi="Corbel"/>
          <w:b/>
          <w:sz w:val="28"/>
        </w:rPr>
        <w:t xml:space="preserve">for admission </w:t>
      </w:r>
      <w:r w:rsidR="00BD32DA" w:rsidRPr="005A565D">
        <w:rPr>
          <w:rFonts w:ascii="Corbel" w:hAnsi="Corbel"/>
          <w:i/>
          <w:color w:val="0000FF"/>
          <w:sz w:val="28"/>
        </w:rPr>
        <w:t>[CORE – optional in 2017]</w:t>
      </w:r>
      <w:bookmarkEnd w:id="234"/>
      <w:bookmarkEnd w:id="235"/>
      <w:bookmarkEnd w:id="236"/>
      <w:bookmarkEnd w:id="237"/>
      <w:bookmarkEnd w:id="238"/>
    </w:p>
    <w:p w:rsidR="00BD32DA" w:rsidRPr="00537ABC" w:rsidRDefault="00BD32DA" w:rsidP="00537ABC">
      <w:pPr>
        <w:rPr>
          <w:rStyle w:val="Hyperlink"/>
          <w:rFonts w:ascii="Arial" w:hAnsi="Arial"/>
          <w:color w:val="0000FC"/>
          <w:sz w:val="18"/>
          <w:u w:val="none"/>
        </w:rPr>
      </w:pPr>
      <w:r w:rsidRPr="00135B51">
        <w:rPr>
          <w:rStyle w:val="Hyperlink"/>
          <w:rFonts w:ascii="Arial" w:hAnsi="Arial" w:cs="Arial"/>
          <w:noProof/>
          <w:color w:val="0000FC"/>
          <w:sz w:val="18"/>
          <w:szCs w:val="18"/>
          <w:u w:val="none"/>
          <w:lang w:eastAsia="en-AU"/>
        </w:rPr>
        <mc:AlternateContent>
          <mc:Choice Requires="wps">
            <w:drawing>
              <wp:anchor distT="0" distB="0" distL="114300" distR="114300" simplePos="0" relativeHeight="251679744" behindDoc="1" locked="0" layoutInCell="1" allowOverlap="1" wp14:anchorId="741079CD" wp14:editId="371DA0A3">
                <wp:simplePos x="0" y="0"/>
                <wp:positionH relativeFrom="column">
                  <wp:posOffset>-142875</wp:posOffset>
                </wp:positionH>
                <wp:positionV relativeFrom="paragraph">
                  <wp:posOffset>702309</wp:posOffset>
                </wp:positionV>
                <wp:extent cx="6162675" cy="1057275"/>
                <wp:effectExtent l="0" t="0" r="9525"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057275"/>
                        </a:xfrm>
                        <a:prstGeom prst="rect">
                          <a:avLst/>
                        </a:prstGeom>
                        <a:solidFill>
                          <a:srgbClr val="FFFFFF"/>
                        </a:solidFill>
                        <a:ln w="9525">
                          <a:noFill/>
                          <a:miter lim="800000"/>
                          <a:headEnd/>
                          <a:tailEnd/>
                        </a:ln>
                      </wps:spPr>
                      <wps:txbx>
                        <w:txbxContent>
                          <w:p w:rsidR="001910BA" w:rsidRDefault="001910BA" w:rsidP="00BD32DA">
                            <w:pPr>
                              <w:shd w:val="clear" w:color="auto" w:fill="EBECDB" w:themeFill="accent4"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margin-left:-11.25pt;margin-top:55.3pt;width:485.25pt;height:83.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zPNIQIAACUEAAAOAAAAZHJzL2Uyb0RvYy54bWysU9tuGyEQfa/Uf0C813uR7SQrr6PUqatK&#10;aVop6QewLOtFBYYC9q779R1Yx3Hbt6o8IIYZDmfOzKxuR63IQTgvwdS0mOWUCMOhlWZX02/P23fX&#10;lPjATMsUGFHTo/D0dv32zWqwlSihB9UKRxDE+GqwNe1DsFWWed4LzfwMrDDo7MBpFtB0u6x1bEB0&#10;rbIyz5fZAK61DrjwHm/vJyddJ/yuEzx86TovAlE1RW4h7S7tTdyz9YpVO8dsL/mJBvsHFppJg5+e&#10;oe5ZYGTv5F9QWnIHHrow46Az6DrJRcoBsynyP7J56pkVKRcUx9uzTP7/wfLHw1dHZIu1KygxTGON&#10;nsUYyHsYCV6hPoP1FYY9WQwMI95jbMrV2wfg3z0xsOmZ2Yk752DoBWuRX3qZXTydcHwEaYbP0OI/&#10;bB8gAY2d01E8lIMgOtbpeK5N5MLxclksy+XVghKOviJfXJVoILuMVS/PrfPhowBN4qGmDouf4Nnh&#10;wYcp9CUk/uZByXYrlUqG2zUb5ciBYaNs0zqh/xamDBlqerMoFwnZQHyfekjLgI2spK7pdR7X1FpR&#10;jg+mTSGBSTWdkbQyyD3qEyWZxAljM6ZSpMSir4H2iII5mPoW5wwPPbiflAzYszX1P/bMCUrUJ4Oi&#10;3xTzeWzyZMxRIjTcpae59DDDEaqmgZLpuAlpMKIcBu6wOJ1Msr0yOVHGXkzCn+YmNvulnaJep3v9&#10;CwAA//8DAFBLAwQUAAYACAAAACEA2od4798AAAALAQAADwAAAGRycy9kb3ducmV2LnhtbEyPQW6D&#10;MBBF95V6B2sidVMlBpRAQjFRW6lVt0lzgAFPAAXbCDuB3L7TVbsc/ac/7xf72fTiRqPvnFUQryIQ&#10;ZGunO9soOH1/LLcgfECrsXeWFNzJw758fCgw126yB7odQyO4xPocFbQhDLmUvm7JoF+5gSxnZzca&#10;DHyOjdQjTlxueplEUSoNdpY/tDjQe0v15Xg1Cs5f0/NmN1Wf4ZQd1ukbdlnl7ko9LebXFxCB5vAH&#10;w68+q0PJTpW7Wu1Fr2CZJBtGOYijFAQTu/WW11UKkiyLQZaF/L+h/AEAAP//AwBQSwECLQAUAAYA&#10;CAAAACEAtoM4kv4AAADhAQAAEwAAAAAAAAAAAAAAAAAAAAAAW0NvbnRlbnRfVHlwZXNdLnhtbFBL&#10;AQItABQABgAIAAAAIQA4/SH/1gAAAJQBAAALAAAAAAAAAAAAAAAAAC8BAABfcmVscy8ucmVsc1BL&#10;AQItABQABgAIAAAAIQDFvzPNIQIAACUEAAAOAAAAAAAAAAAAAAAAAC4CAABkcnMvZTJvRG9jLnht&#10;bFBLAQItABQABgAIAAAAIQDah3jv3wAAAAsBAAAPAAAAAAAAAAAAAAAAAHsEAABkcnMvZG93bnJl&#10;di54bWxQSwUGAAAAAAQABADzAAAAhwUAAAAA&#10;" stroked="f">
                <v:textbox>
                  <w:txbxContent>
                    <w:p w:rsidR="001910BA" w:rsidRDefault="001910BA" w:rsidP="00BD32DA">
                      <w:pPr>
                        <w:shd w:val="clear" w:color="auto" w:fill="EBECDB" w:themeFill="accent4" w:themeFillTint="33"/>
                      </w:pPr>
                    </w:p>
                  </w:txbxContent>
                </v:textbox>
              </v:shape>
            </w:pict>
          </mc:Fallback>
        </mc:AlternateContent>
      </w:r>
      <w:r w:rsidRPr="00135B51">
        <w:rPr>
          <w:rStyle w:val="Hyperlink"/>
          <w:rFonts w:ascii="Arial" w:hAnsi="Arial" w:cs="Arial"/>
          <w:color w:val="0000FC"/>
          <w:sz w:val="18"/>
          <w:szCs w:val="18"/>
          <w:u w:val="none"/>
        </w:rPr>
        <w:t>[This section is to outline any minimum criteria that all students will need to meet in order to be admitted to this course, regardless of their admission pathway. This should include any course prerequisites</w:t>
      </w:r>
      <w:r w:rsidRPr="00537ABC">
        <w:rPr>
          <w:rStyle w:val="Hyperlink"/>
          <w:rFonts w:ascii="Arial" w:hAnsi="Arial"/>
          <w:color w:val="0000FC"/>
          <w:sz w:val="18"/>
          <w:u w:val="none"/>
        </w:rPr>
        <w:t xml:space="preserve"> or inherent requirements (e.g. physical requirements). Items that do not directly impact admissions but which will be requirements during the course (for instance, working with children checks), may be included as appropriate.]</w:t>
      </w:r>
    </w:p>
    <w:p w:rsidR="00BD32DA" w:rsidRPr="005A565D" w:rsidRDefault="00BD32DA" w:rsidP="00BD32DA">
      <w:pPr>
        <w:keepNext/>
        <w:keepLines/>
        <w:numPr>
          <w:ilvl w:val="0"/>
          <w:numId w:val="15"/>
        </w:numPr>
        <w:spacing w:before="240" w:after="0" w:line="240" w:lineRule="auto"/>
        <w:ind w:left="567" w:hanging="567"/>
        <w:outlineLvl w:val="0"/>
        <w:rPr>
          <w:rFonts w:ascii="Corbel" w:hAnsi="Corbel"/>
          <w:b/>
          <w:sz w:val="28"/>
        </w:rPr>
      </w:pPr>
      <w:bookmarkStart w:id="239" w:name="_Toc482805085"/>
      <w:bookmarkStart w:id="240" w:name="_Toc483263595"/>
      <w:bookmarkStart w:id="241" w:name="_Toc483350235"/>
      <w:bookmarkStart w:id="242" w:name="_Toc483813651"/>
      <w:bookmarkStart w:id="243" w:name="_Toc484093521"/>
      <w:bookmarkStart w:id="244" w:name="_Toc480754909"/>
      <w:r w:rsidRPr="005A565D">
        <w:rPr>
          <w:rFonts w:ascii="Corbel" w:hAnsi="Corbel"/>
          <w:b/>
          <w:sz w:val="28"/>
        </w:rPr>
        <w:t xml:space="preserve">Admission </w:t>
      </w:r>
      <w:r w:rsidR="00AB3E40" w:rsidRPr="006F1138">
        <w:rPr>
          <w:rFonts w:ascii="Corbel" w:hAnsi="Corbel"/>
          <w:b/>
          <w:sz w:val="28"/>
        </w:rPr>
        <w:t>criteria</w:t>
      </w:r>
      <w:r w:rsidRPr="006F1138">
        <w:rPr>
          <w:rFonts w:ascii="Corbel" w:hAnsi="Corbel"/>
          <w:b/>
          <w:sz w:val="28"/>
        </w:rPr>
        <w:t xml:space="preserve"> </w:t>
      </w:r>
      <w:r w:rsidR="00EA05C3" w:rsidRPr="00EA05C3">
        <w:rPr>
          <w:rFonts w:ascii="Corbel" w:hAnsi="Corbel" w:cs="Arial"/>
          <w:i/>
          <w:color w:val="0000FF"/>
          <w:sz w:val="24"/>
          <w:szCs w:val="24"/>
        </w:rPr>
        <w:t>[NB: ordering of A to D is optional]</w:t>
      </w:r>
      <w:r w:rsidR="00EA05C3" w:rsidRPr="005A565D">
        <w:rPr>
          <w:rStyle w:val="Hyperlink"/>
          <w:rFonts w:ascii="Corbel" w:hAnsi="Corbel"/>
          <w:i/>
          <w:color w:val="FF0000"/>
          <w:sz w:val="28"/>
          <w:u w:val="none"/>
        </w:rPr>
        <w:t xml:space="preserve"> </w:t>
      </w:r>
      <w:r w:rsidRPr="005A565D">
        <w:rPr>
          <w:rFonts w:ascii="Corbel" w:hAnsi="Corbel"/>
          <w:i/>
          <w:color w:val="FF0000"/>
          <w:sz w:val="28"/>
        </w:rPr>
        <w:t>[CORE – introduction and ATAR profile required in 2017 but the rest of section 3 is optional in 2017]</w:t>
      </w:r>
      <w:bookmarkEnd w:id="239"/>
      <w:bookmarkEnd w:id="240"/>
      <w:bookmarkEnd w:id="241"/>
      <w:bookmarkEnd w:id="242"/>
      <w:bookmarkEnd w:id="243"/>
    </w:p>
    <w:p w:rsidR="00BD32DA" w:rsidRPr="00135B51" w:rsidRDefault="00BD32DA" w:rsidP="00BD32DA">
      <w:pPr>
        <w:rPr>
          <w:rStyle w:val="Hyperlink"/>
          <w:rFonts w:ascii="Arial" w:hAnsi="Arial" w:cs="Arial"/>
          <w:color w:val="0000FC"/>
          <w:sz w:val="18"/>
          <w:szCs w:val="18"/>
          <w:u w:val="none"/>
        </w:rPr>
      </w:pPr>
      <w:r w:rsidRPr="00135B51">
        <w:rPr>
          <w:rStyle w:val="Hyperlink"/>
          <w:rFonts w:ascii="Arial" w:hAnsi="Arial" w:cs="Arial"/>
          <w:color w:val="0000FC"/>
          <w:sz w:val="18"/>
          <w:szCs w:val="18"/>
          <w:u w:val="none"/>
        </w:rPr>
        <w:t xml:space="preserve">[Include statement that the general admission </w:t>
      </w:r>
      <w:r w:rsidR="00AB3E40">
        <w:rPr>
          <w:rStyle w:val="Hyperlink"/>
          <w:rFonts w:ascii="Arial" w:hAnsi="Arial" w:cs="Arial"/>
          <w:color w:val="0000FC"/>
          <w:sz w:val="18"/>
          <w:szCs w:val="18"/>
          <w:u w:val="none"/>
        </w:rPr>
        <w:t>criteria</w:t>
      </w:r>
      <w:r w:rsidRPr="00135B51">
        <w:rPr>
          <w:rStyle w:val="Hyperlink"/>
          <w:rFonts w:ascii="Arial" w:hAnsi="Arial" w:cs="Arial"/>
          <w:color w:val="0000FC"/>
          <w:sz w:val="18"/>
          <w:szCs w:val="18"/>
          <w:u w:val="none"/>
        </w:rPr>
        <w:t xml:space="preserve"> that apply to all courses at the institution are relevant (or not, if that is the case) and provide a link to the general admission </w:t>
      </w:r>
      <w:r w:rsidR="00AB3E40">
        <w:rPr>
          <w:rStyle w:val="Hyperlink"/>
          <w:rFonts w:ascii="Arial" w:hAnsi="Arial" w:cs="Arial"/>
          <w:color w:val="0000FC"/>
          <w:sz w:val="18"/>
          <w:szCs w:val="18"/>
          <w:u w:val="none"/>
        </w:rPr>
        <w:t>criteria</w:t>
      </w:r>
      <w:r w:rsidRPr="00135B51">
        <w:rPr>
          <w:rStyle w:val="Hyperlink"/>
          <w:rFonts w:ascii="Arial" w:hAnsi="Arial" w:cs="Arial"/>
          <w:color w:val="0000FC"/>
          <w:sz w:val="18"/>
          <w:szCs w:val="18"/>
          <w:u w:val="none"/>
        </w:rPr>
        <w:t xml:space="preserve"> in the </w:t>
      </w:r>
      <w:r w:rsidRPr="00135B51">
        <w:rPr>
          <w:rStyle w:val="Hyperlink"/>
          <w:rFonts w:ascii="Arial" w:hAnsi="Arial" w:cs="Arial"/>
          <w:i/>
          <w:color w:val="0000FC"/>
          <w:sz w:val="18"/>
          <w:szCs w:val="18"/>
          <w:u w:val="none"/>
        </w:rPr>
        <w:t>Whole</w:t>
      </w:r>
      <w:r w:rsidR="000F0631">
        <w:rPr>
          <w:rStyle w:val="Hyperlink"/>
          <w:rFonts w:ascii="Arial" w:hAnsi="Arial" w:cs="Arial"/>
          <w:i/>
          <w:color w:val="0000FC"/>
          <w:sz w:val="18"/>
          <w:szCs w:val="18"/>
          <w:u w:val="none"/>
        </w:rPr>
        <w:t>-</w:t>
      </w:r>
      <w:r w:rsidRPr="00135B51">
        <w:rPr>
          <w:rStyle w:val="Hyperlink"/>
          <w:rFonts w:ascii="Arial" w:hAnsi="Arial" w:cs="Arial"/>
          <w:i/>
          <w:color w:val="0000FC"/>
          <w:sz w:val="18"/>
          <w:szCs w:val="18"/>
          <w:u w:val="none"/>
        </w:rPr>
        <w:t>of</w:t>
      </w:r>
      <w:r w:rsidR="000F0631">
        <w:rPr>
          <w:rStyle w:val="Hyperlink"/>
          <w:rFonts w:ascii="Arial" w:hAnsi="Arial" w:cs="Arial"/>
          <w:i/>
          <w:color w:val="0000FC"/>
          <w:sz w:val="18"/>
          <w:szCs w:val="18"/>
          <w:u w:val="none"/>
        </w:rPr>
        <w:t>-</w:t>
      </w:r>
      <w:r w:rsidRPr="00135B51">
        <w:rPr>
          <w:rStyle w:val="Hyperlink"/>
          <w:rFonts w:ascii="Arial" w:hAnsi="Arial" w:cs="Arial"/>
          <w:i/>
          <w:color w:val="0000FC"/>
          <w:sz w:val="18"/>
          <w:szCs w:val="18"/>
          <w:u w:val="none"/>
        </w:rPr>
        <w:t>Institution Admissions Information Set</w:t>
      </w:r>
      <w:r w:rsidRPr="00135B51">
        <w:rPr>
          <w:rStyle w:val="Hyperlink"/>
          <w:rFonts w:ascii="Arial" w:hAnsi="Arial" w:cs="Arial"/>
          <w:color w:val="0000FC"/>
          <w:sz w:val="18"/>
          <w:szCs w:val="18"/>
          <w:u w:val="none"/>
        </w:rPr>
        <w:t>.</w:t>
      </w:r>
      <w:bookmarkEnd w:id="244"/>
      <w:r w:rsidRPr="00135B51">
        <w:rPr>
          <w:rStyle w:val="Hyperlink"/>
          <w:rFonts w:ascii="Arial" w:hAnsi="Arial" w:cs="Arial"/>
          <w:color w:val="0000FC"/>
          <w:sz w:val="18"/>
          <w:szCs w:val="18"/>
          <w:u w:val="none"/>
        </w:rPr>
        <w:t xml:space="preserve"> Provide links to where course-level </w:t>
      </w:r>
      <w:r w:rsidR="00AB3E40">
        <w:rPr>
          <w:rStyle w:val="Hyperlink"/>
          <w:rFonts w:ascii="Arial" w:hAnsi="Arial" w:cs="Arial"/>
          <w:color w:val="0000FC"/>
          <w:sz w:val="18"/>
          <w:szCs w:val="18"/>
          <w:u w:val="none"/>
        </w:rPr>
        <w:t>criteria</w:t>
      </w:r>
      <w:r w:rsidRPr="00135B51">
        <w:rPr>
          <w:rStyle w:val="Hyperlink"/>
          <w:rFonts w:ascii="Arial" w:hAnsi="Arial" w:cs="Arial"/>
          <w:color w:val="0000FC"/>
          <w:sz w:val="18"/>
          <w:szCs w:val="18"/>
          <w:u w:val="none"/>
        </w:rPr>
        <w:t xml:space="preserve"> are currently published.]</w:t>
      </w:r>
    </w:p>
    <w:p w:rsidR="00D12A91" w:rsidRPr="00135B51" w:rsidRDefault="00D12A91" w:rsidP="00D12A91">
      <w:pPr>
        <w:pStyle w:val="Recommendationwithspace"/>
        <w:numPr>
          <w:ilvl w:val="0"/>
          <w:numId w:val="22"/>
        </w:numPr>
        <w:pBdr>
          <w:top w:val="none" w:sz="0" w:space="0" w:color="auto"/>
        </w:pBdr>
        <w:shd w:val="clear" w:color="auto" w:fill="auto"/>
        <w:spacing w:before="120"/>
        <w:ind w:left="714" w:hanging="357"/>
        <w:rPr>
          <w:rFonts w:ascii="Corbel" w:hAnsi="Corbel" w:cs="Arial"/>
          <w:color w:val="auto"/>
        </w:rPr>
      </w:pPr>
      <w:bookmarkStart w:id="245" w:name="_Toc483263596"/>
      <w:bookmarkStart w:id="246" w:name="_Toc483350236"/>
      <w:bookmarkStart w:id="247" w:name="_Toc483813652"/>
      <w:bookmarkStart w:id="248" w:name="_Toc484093522"/>
      <w:bookmarkStart w:id="249" w:name="_Toc480754910"/>
      <w:bookmarkStart w:id="250" w:name="_Toc482805086"/>
      <w:r w:rsidRPr="00135B51">
        <w:rPr>
          <w:rFonts w:ascii="Corbel" w:hAnsi="Corbel" w:cs="Arial"/>
          <w:color w:val="auto"/>
        </w:rPr>
        <w:t xml:space="preserve">Applicants with higher education study </w:t>
      </w:r>
      <w:r w:rsidRPr="00135B51">
        <w:rPr>
          <w:rFonts w:ascii="Corbel" w:hAnsi="Corbel" w:cs="Arial"/>
          <w:b w:val="0"/>
          <w:i/>
          <w:color w:val="0000FF"/>
        </w:rPr>
        <w:t>[Optional in 2017]</w:t>
      </w:r>
      <w:bookmarkEnd w:id="245"/>
      <w:bookmarkEnd w:id="246"/>
      <w:bookmarkEnd w:id="247"/>
      <w:bookmarkEnd w:id="248"/>
    </w:p>
    <w:p w:rsidR="00D12A91" w:rsidRPr="00537ABC" w:rsidRDefault="00D12A91" w:rsidP="00D12A91">
      <w:pPr>
        <w:spacing w:after="240"/>
        <w:ind w:left="720"/>
        <w:rPr>
          <w:rStyle w:val="Hyperlink"/>
          <w:rFonts w:ascii="Arial" w:hAnsi="Arial"/>
          <w:color w:val="0000FC"/>
          <w:sz w:val="18"/>
          <w:u w:val="none"/>
        </w:rPr>
      </w:pPr>
      <w:r w:rsidRPr="00135B51">
        <w:rPr>
          <w:rStyle w:val="Hyperlink"/>
          <w:rFonts w:ascii="Arial" w:hAnsi="Arial" w:cs="Arial"/>
          <w:color w:val="0000FC"/>
          <w:sz w:val="18"/>
          <w:szCs w:val="18"/>
          <w:u w:val="none"/>
        </w:rPr>
        <w:t>[Information relevant to people who have undertaken any higher education study since leaving school, including academic credit transfer arrangements and any additional criteria (e.g.</w:t>
      </w:r>
      <w:r w:rsidRPr="00537ABC">
        <w:rPr>
          <w:rStyle w:val="Hyperlink"/>
          <w:rFonts w:ascii="Arial" w:hAnsi="Arial"/>
          <w:color w:val="0000FC"/>
          <w:sz w:val="18"/>
          <w:u w:val="none"/>
        </w:rPr>
        <w:t xml:space="preserve"> interview or audition).]</w:t>
      </w:r>
    </w:p>
    <w:p w:rsidR="00D12A91" w:rsidRPr="00F80FA7" w:rsidRDefault="00D12A91" w:rsidP="00537ABC">
      <w:pPr>
        <w:pStyle w:val="ListParagraph"/>
        <w:keepNext/>
        <w:spacing w:before="60" w:after="0"/>
        <w:rPr>
          <w:rFonts w:ascii="Corbel" w:hAnsi="Corbel"/>
          <w:i/>
        </w:rPr>
      </w:pPr>
      <w:r w:rsidRPr="00F80FA7">
        <w:rPr>
          <w:rFonts w:ascii="Corbel" w:hAnsi="Corbel"/>
          <w:i/>
        </w:rPr>
        <w:t>Completed bridging or enabling course</w:t>
      </w:r>
    </w:p>
    <w:p w:rsidR="00D12A91" w:rsidRPr="00537ABC" w:rsidRDefault="00D12A91" w:rsidP="00537ABC">
      <w:pPr>
        <w:widowControl w:val="0"/>
        <w:spacing w:after="0"/>
        <w:ind w:left="720"/>
        <w:rPr>
          <w:rStyle w:val="Hyperlink"/>
          <w:rFonts w:ascii="Arial" w:hAnsi="Arial"/>
          <w:b/>
          <w:color w:val="0000FC"/>
          <w:sz w:val="18"/>
          <w:u w:val="none"/>
        </w:rPr>
      </w:pPr>
      <w:r w:rsidRPr="00537ABC">
        <w:rPr>
          <w:rStyle w:val="Hyperlink"/>
          <w:rFonts w:ascii="Arial" w:hAnsi="Arial"/>
          <w:color w:val="0000FC"/>
          <w:sz w:val="18"/>
          <w:u w:val="none"/>
        </w:rPr>
        <w:t>[Information relevant to students who have completed a bridging course to develop knowledge in a specific field or discipline that is a prerequisite to this course and students who have completed an enabling or foundation course to prepare them for further university study.]</w:t>
      </w:r>
    </w:p>
    <w:p w:rsidR="00D12A91" w:rsidRPr="00135B51" w:rsidRDefault="00D12A91" w:rsidP="00D12A91">
      <w:pPr>
        <w:pStyle w:val="Recommendationwithspace"/>
        <w:numPr>
          <w:ilvl w:val="0"/>
          <w:numId w:val="22"/>
        </w:numPr>
        <w:pBdr>
          <w:top w:val="none" w:sz="0" w:space="0" w:color="auto"/>
        </w:pBdr>
        <w:shd w:val="clear" w:color="auto" w:fill="auto"/>
        <w:spacing w:before="120"/>
        <w:ind w:left="714" w:hanging="357"/>
        <w:rPr>
          <w:rFonts w:ascii="Corbel" w:hAnsi="Corbel" w:cs="Arial"/>
          <w:color w:val="auto"/>
        </w:rPr>
      </w:pPr>
      <w:bookmarkStart w:id="251" w:name="_Toc483263597"/>
      <w:bookmarkStart w:id="252" w:name="_Toc483350237"/>
      <w:bookmarkStart w:id="253" w:name="_Toc483813653"/>
      <w:bookmarkStart w:id="254" w:name="_Toc484093523"/>
      <w:r w:rsidRPr="00135B51">
        <w:rPr>
          <w:rFonts w:ascii="Corbel" w:hAnsi="Corbel" w:cs="Arial"/>
          <w:color w:val="auto"/>
        </w:rPr>
        <w:t xml:space="preserve">Applicants with vocational education and training </w:t>
      </w:r>
      <w:r w:rsidR="00B16298">
        <w:rPr>
          <w:rFonts w:ascii="Corbel" w:hAnsi="Corbel" w:cs="Arial"/>
          <w:color w:val="auto"/>
        </w:rPr>
        <w:t xml:space="preserve">(VET) </w:t>
      </w:r>
      <w:r w:rsidRPr="00135B51">
        <w:rPr>
          <w:rFonts w:ascii="Corbel" w:hAnsi="Corbel" w:cs="Arial"/>
          <w:color w:val="auto"/>
        </w:rPr>
        <w:t xml:space="preserve">study </w:t>
      </w:r>
      <w:r w:rsidRPr="00135B51">
        <w:rPr>
          <w:rFonts w:ascii="Corbel" w:hAnsi="Corbel" w:cs="Arial"/>
          <w:b w:val="0"/>
          <w:i/>
          <w:color w:val="0000FF"/>
        </w:rPr>
        <w:t>[Optional in 2017]</w:t>
      </w:r>
      <w:bookmarkEnd w:id="251"/>
      <w:bookmarkEnd w:id="252"/>
      <w:bookmarkEnd w:id="253"/>
      <w:bookmarkEnd w:id="254"/>
    </w:p>
    <w:p w:rsidR="00D12A91" w:rsidRPr="00135B51" w:rsidRDefault="00D12A91" w:rsidP="00D12A91">
      <w:pPr>
        <w:spacing w:after="240"/>
        <w:ind w:left="720"/>
        <w:rPr>
          <w:rStyle w:val="Hyperlink"/>
          <w:rFonts w:ascii="Arial" w:hAnsi="Arial" w:cs="Arial"/>
          <w:color w:val="0000FC"/>
          <w:sz w:val="18"/>
          <w:szCs w:val="18"/>
          <w:u w:val="none"/>
        </w:rPr>
      </w:pPr>
      <w:r w:rsidRPr="00135B51">
        <w:rPr>
          <w:rStyle w:val="Hyperlink"/>
          <w:rFonts w:ascii="Arial" w:hAnsi="Arial" w:cs="Arial"/>
          <w:color w:val="0000FC"/>
          <w:sz w:val="18"/>
          <w:szCs w:val="18"/>
          <w:u w:val="none"/>
        </w:rPr>
        <w:t>[Information relevant to people who have undertaken VET study since leaving school, including formal RPL arrangements etc.]</w:t>
      </w:r>
    </w:p>
    <w:p w:rsidR="00BD32DA" w:rsidRPr="00135B51" w:rsidRDefault="002B2A27" w:rsidP="00BD32DA">
      <w:pPr>
        <w:pStyle w:val="Recommendationwithspace"/>
        <w:numPr>
          <w:ilvl w:val="0"/>
          <w:numId w:val="22"/>
        </w:numPr>
        <w:pBdr>
          <w:top w:val="none" w:sz="0" w:space="0" w:color="auto"/>
        </w:pBdr>
        <w:shd w:val="clear" w:color="auto" w:fill="auto"/>
        <w:rPr>
          <w:rFonts w:ascii="Corbel" w:hAnsi="Corbel" w:cs="Arial"/>
          <w:color w:val="auto"/>
        </w:rPr>
      </w:pPr>
      <w:bookmarkStart w:id="255" w:name="_Toc483263598"/>
      <w:bookmarkStart w:id="256" w:name="_Toc483350238"/>
      <w:bookmarkStart w:id="257" w:name="_Toc483813654"/>
      <w:bookmarkStart w:id="258" w:name="_Toc484093524"/>
      <w:r>
        <w:rPr>
          <w:rFonts w:ascii="Corbel" w:hAnsi="Corbel" w:cs="Arial"/>
          <w:color w:val="auto"/>
        </w:rPr>
        <w:t>Applicants with r</w:t>
      </w:r>
      <w:r w:rsidR="00BD32DA" w:rsidRPr="00135B51">
        <w:rPr>
          <w:rFonts w:ascii="Corbel" w:hAnsi="Corbel" w:cs="Arial"/>
          <w:color w:val="auto"/>
        </w:rPr>
        <w:t xml:space="preserve">ecent </w:t>
      </w:r>
      <w:r w:rsidR="00BD16A7">
        <w:rPr>
          <w:rFonts w:ascii="Corbel" w:hAnsi="Corbel" w:cs="Arial"/>
          <w:color w:val="auto"/>
        </w:rPr>
        <w:t>s</w:t>
      </w:r>
      <w:r w:rsidR="00631CB4">
        <w:rPr>
          <w:rFonts w:ascii="Corbel" w:hAnsi="Corbel" w:cs="Arial"/>
          <w:color w:val="auto"/>
        </w:rPr>
        <w:t xml:space="preserve">econdary </w:t>
      </w:r>
      <w:r w:rsidR="00BD16A7">
        <w:rPr>
          <w:rFonts w:ascii="Corbel" w:hAnsi="Corbel" w:cs="Arial"/>
          <w:color w:val="auto"/>
        </w:rPr>
        <w:t>e</w:t>
      </w:r>
      <w:r w:rsidR="00631CB4">
        <w:rPr>
          <w:rFonts w:ascii="Corbel" w:hAnsi="Corbel" w:cs="Arial"/>
          <w:color w:val="auto"/>
        </w:rPr>
        <w:t xml:space="preserve">ducation </w:t>
      </w:r>
      <w:r w:rsidR="00BD32DA" w:rsidRPr="00135B51">
        <w:rPr>
          <w:rFonts w:ascii="Corbel" w:hAnsi="Corbel" w:cs="Arial"/>
          <w:color w:val="auto"/>
        </w:rPr>
        <w:t>(within the past two years)</w:t>
      </w:r>
      <w:bookmarkEnd w:id="249"/>
      <w:r w:rsidR="00BD32DA" w:rsidRPr="00135B51">
        <w:rPr>
          <w:rFonts w:ascii="Corbel" w:hAnsi="Corbel" w:cs="Arial"/>
          <w:b w:val="0"/>
          <w:i/>
          <w:color w:val="0000FF"/>
        </w:rPr>
        <w:t xml:space="preserve"> [Optional in 2017 apart from ATAR profile, noting link to institution policy and other current information above]</w:t>
      </w:r>
      <w:bookmarkEnd w:id="250"/>
      <w:bookmarkEnd w:id="255"/>
      <w:bookmarkEnd w:id="256"/>
      <w:bookmarkEnd w:id="257"/>
      <w:bookmarkEnd w:id="258"/>
    </w:p>
    <w:p w:rsidR="00BD32DA" w:rsidRPr="00135B51" w:rsidRDefault="00BD32DA" w:rsidP="00BD32DA">
      <w:pPr>
        <w:keepNext/>
        <w:spacing w:before="240" w:after="0"/>
        <w:ind w:left="720"/>
        <w:rPr>
          <w:rFonts w:ascii="Corbel" w:hAnsi="Corbel"/>
          <w:i/>
        </w:rPr>
      </w:pPr>
      <w:r w:rsidRPr="00135B51">
        <w:rPr>
          <w:rFonts w:ascii="Corbel" w:hAnsi="Corbel"/>
          <w:i/>
        </w:rPr>
        <w:t>ATAR</w:t>
      </w:r>
      <w:r w:rsidR="00631CB4">
        <w:rPr>
          <w:rFonts w:ascii="Corbel" w:hAnsi="Corbel"/>
          <w:i/>
        </w:rPr>
        <w:t xml:space="preserve"> </w:t>
      </w:r>
      <w:r w:rsidR="00631CB4" w:rsidRPr="00537ABC">
        <w:rPr>
          <w:rStyle w:val="Hyperlink"/>
          <w:rFonts w:ascii="Corbel" w:hAnsi="Corbel"/>
          <w:i/>
          <w:color w:val="0000FC"/>
          <w:u w:val="none"/>
        </w:rPr>
        <w:t>(OP in QLD)</w:t>
      </w:r>
      <w:r w:rsidRPr="00135B51">
        <w:rPr>
          <w:rFonts w:ascii="Corbel" w:hAnsi="Corbel"/>
          <w:i/>
        </w:rPr>
        <w:t xml:space="preserve">-based admission </w:t>
      </w:r>
      <w:r w:rsidRPr="00537ABC">
        <w:rPr>
          <w:rStyle w:val="Hyperlink"/>
          <w:rFonts w:ascii="Corbel" w:hAnsi="Corbel"/>
          <w:i/>
          <w:color w:val="0000FC"/>
          <w:u w:val="none"/>
        </w:rPr>
        <w:t>[if relevant]</w:t>
      </w:r>
    </w:p>
    <w:p w:rsidR="00BD32DA" w:rsidRPr="00537ABC" w:rsidRDefault="00BD32DA" w:rsidP="00BD32DA">
      <w:pPr>
        <w:keepNext/>
        <w:keepLines/>
        <w:spacing w:after="120"/>
        <w:ind w:left="329" w:firstLine="391"/>
        <w:outlineLvl w:val="2"/>
        <w:rPr>
          <w:rFonts w:ascii="Corbel" w:hAnsi="Corbel"/>
          <w:i/>
          <w:sz w:val="18"/>
        </w:rPr>
      </w:pPr>
      <w:bookmarkStart w:id="259" w:name="_Toc480754911"/>
      <w:bookmarkStart w:id="260" w:name="_Toc482805087"/>
      <w:bookmarkStart w:id="261" w:name="_Toc483263599"/>
      <w:bookmarkStart w:id="262" w:name="_Toc483350239"/>
      <w:bookmarkStart w:id="263" w:name="_Toc483813655"/>
      <w:bookmarkStart w:id="264" w:name="_Toc484093525"/>
      <w:r w:rsidRPr="00537ABC">
        <w:rPr>
          <w:rFonts w:ascii="Corbel" w:hAnsi="Corbel"/>
          <w:i/>
          <w:sz w:val="18"/>
        </w:rPr>
        <w:t>(For applicants who will be selected wholly or partly on the basis of ATAR)</w:t>
      </w:r>
      <w:bookmarkEnd w:id="259"/>
      <w:bookmarkEnd w:id="260"/>
      <w:bookmarkEnd w:id="261"/>
      <w:bookmarkEnd w:id="262"/>
      <w:bookmarkEnd w:id="263"/>
      <w:bookmarkEnd w:id="264"/>
    </w:p>
    <w:p w:rsidR="00BD32DA" w:rsidRPr="00135B51" w:rsidRDefault="00BD32DA" w:rsidP="00BD32DA">
      <w:pPr>
        <w:numPr>
          <w:ilvl w:val="0"/>
          <w:numId w:val="14"/>
        </w:numPr>
        <w:spacing w:after="120" w:line="240" w:lineRule="auto"/>
        <w:ind w:left="714" w:hanging="357"/>
        <w:rPr>
          <w:rStyle w:val="Hyperlink"/>
          <w:rFonts w:ascii="Arial" w:hAnsi="Arial" w:cs="Arial"/>
          <w:color w:val="0000FC"/>
          <w:sz w:val="18"/>
          <w:szCs w:val="18"/>
          <w:u w:val="none"/>
        </w:rPr>
      </w:pPr>
      <w:r w:rsidRPr="00135B51">
        <w:rPr>
          <w:rFonts w:ascii="Corbel" w:hAnsi="Corbel" w:cs="Arial"/>
          <w:sz w:val="18"/>
          <w:szCs w:val="18"/>
        </w:rPr>
        <w:t xml:space="preserve">Lowest </w:t>
      </w:r>
      <w:r w:rsidRPr="00135B51">
        <w:rPr>
          <w:rFonts w:ascii="Corbel" w:hAnsi="Corbel" w:cs="Arial"/>
          <w:sz w:val="18"/>
          <w:szCs w:val="18"/>
          <w:u w:val="single"/>
        </w:rPr>
        <w:t>ATAR</w:t>
      </w:r>
      <w:r w:rsidR="00631CB4" w:rsidRPr="005A565D">
        <w:rPr>
          <w:rFonts w:ascii="Corbel" w:hAnsi="Corbel"/>
          <w:sz w:val="18"/>
          <w:u w:val="single"/>
        </w:rPr>
        <w:t xml:space="preserve"> </w:t>
      </w:r>
      <w:r w:rsidR="00631CB4" w:rsidRPr="006F1138">
        <w:rPr>
          <w:rFonts w:ascii="Corbel" w:hAnsi="Corbel" w:cs="Arial"/>
          <w:color w:val="0000FF"/>
          <w:sz w:val="18"/>
          <w:szCs w:val="18"/>
          <w:u w:val="single"/>
        </w:rPr>
        <w:t>[/OP]</w:t>
      </w:r>
      <w:r w:rsidRPr="00135B51">
        <w:rPr>
          <w:rFonts w:ascii="Corbel" w:hAnsi="Corbel" w:cs="Arial"/>
          <w:sz w:val="18"/>
          <w:szCs w:val="18"/>
        </w:rPr>
        <w:t xml:space="preserve"> to which an offer was made in [</w:t>
      </w:r>
      <w:r w:rsidR="00BD32AE" w:rsidRPr="00080C24">
        <w:rPr>
          <w:rFonts w:ascii="Corbel" w:hAnsi="Corbel" w:cs="Arial"/>
          <w:color w:val="FF0000"/>
          <w:sz w:val="18"/>
          <w:szCs w:val="18"/>
        </w:rPr>
        <w:t>period*</w:t>
      </w:r>
      <w:r w:rsidRPr="00135B51">
        <w:rPr>
          <w:rFonts w:ascii="Corbel" w:hAnsi="Corbel" w:cs="Arial"/>
          <w:sz w:val="18"/>
          <w:szCs w:val="18"/>
        </w:rPr>
        <w:t>]:</w:t>
      </w:r>
      <w:r w:rsidRPr="00135B51">
        <w:rPr>
          <w:rFonts w:ascii="Corbel" w:hAnsi="Corbel" w:cs="Arial"/>
          <w:sz w:val="18"/>
          <w:szCs w:val="18"/>
        </w:rPr>
        <w:tab/>
      </w:r>
      <w:r w:rsidRPr="00135B51">
        <w:rPr>
          <w:rFonts w:ascii="Corbel" w:hAnsi="Corbel" w:cs="Arial"/>
          <w:sz w:val="18"/>
          <w:szCs w:val="18"/>
        </w:rPr>
        <w:tab/>
      </w:r>
      <w:r w:rsidRPr="00135B51">
        <w:rPr>
          <w:rFonts w:ascii="Corbel" w:hAnsi="Corbel" w:cs="Arial"/>
          <w:sz w:val="18"/>
          <w:szCs w:val="18"/>
        </w:rPr>
        <w:tab/>
      </w:r>
      <w:r w:rsidRPr="00135B51">
        <w:rPr>
          <w:rFonts w:ascii="Corbel" w:hAnsi="Corbel" w:cs="Arial"/>
          <w:sz w:val="18"/>
          <w:szCs w:val="18"/>
        </w:rPr>
        <w:tab/>
      </w:r>
      <w:r w:rsidRPr="00135B51">
        <w:rPr>
          <w:rFonts w:ascii="Corbel" w:hAnsi="Corbel" w:cs="Arial"/>
          <w:sz w:val="18"/>
          <w:szCs w:val="18"/>
        </w:rPr>
        <w:tab/>
      </w:r>
      <w:r w:rsidR="00BD32AE">
        <w:rPr>
          <w:rFonts w:ascii="Corbel" w:hAnsi="Corbel" w:cs="Arial"/>
          <w:color w:val="FF0000"/>
          <w:sz w:val="18"/>
          <w:szCs w:val="18"/>
        </w:rPr>
        <w:t>n.nn</w:t>
      </w:r>
      <w:r w:rsidRPr="00135B51">
        <w:rPr>
          <w:rFonts w:ascii="Corbel" w:hAnsi="Corbel" w:cs="Arial"/>
          <w:sz w:val="18"/>
          <w:szCs w:val="18"/>
        </w:rPr>
        <w:br/>
        <w:t>(exclusive of any adjustment factors</w:t>
      </w:r>
      <w:r w:rsidR="00FA372F" w:rsidRPr="00FA372F">
        <w:rPr>
          <w:rFonts w:ascii="Corbel" w:hAnsi="Corbel" w:cs="Arial"/>
          <w:sz w:val="18"/>
          <w:szCs w:val="18"/>
        </w:rPr>
        <w:t xml:space="preserve"> </w:t>
      </w:r>
      <w:r w:rsidR="00FA372F">
        <w:rPr>
          <w:rFonts w:ascii="Corbel" w:hAnsi="Corbel" w:cs="Arial"/>
          <w:sz w:val="18"/>
          <w:szCs w:val="18"/>
        </w:rPr>
        <w:t xml:space="preserve">such as equity or subject </w:t>
      </w:r>
      <w:r w:rsidR="00FA372F" w:rsidRPr="00135B51">
        <w:rPr>
          <w:rFonts w:ascii="Corbel" w:hAnsi="Corbel" w:cs="Arial"/>
          <w:sz w:val="18"/>
          <w:szCs w:val="18"/>
        </w:rPr>
        <w:t>bonus points</w:t>
      </w:r>
      <w:r w:rsidRPr="00135B51">
        <w:rPr>
          <w:rFonts w:ascii="Corbel" w:hAnsi="Corbel" w:cs="Arial"/>
          <w:sz w:val="18"/>
          <w:szCs w:val="18"/>
        </w:rPr>
        <w:t>)</w:t>
      </w:r>
      <w:r w:rsidRPr="00135B51" w:rsidDel="00F138B3">
        <w:rPr>
          <w:rFonts w:ascii="Corbel" w:hAnsi="Corbel" w:cs="Arial"/>
          <w:sz w:val="18"/>
          <w:szCs w:val="18"/>
        </w:rPr>
        <w:t xml:space="preserve"> </w:t>
      </w:r>
      <w:r w:rsidRPr="00135B51">
        <w:rPr>
          <w:rFonts w:ascii="Corbel" w:hAnsi="Corbel" w:cs="Arial"/>
          <w:color w:val="FF0000"/>
          <w:sz w:val="18"/>
          <w:szCs w:val="18"/>
        </w:rPr>
        <w:br/>
      </w:r>
      <w:r w:rsidRPr="00135B51">
        <w:rPr>
          <w:rStyle w:val="Hyperlink"/>
          <w:rFonts w:ascii="Arial" w:hAnsi="Arial" w:cs="Arial"/>
          <w:color w:val="0000FC"/>
          <w:sz w:val="18"/>
          <w:szCs w:val="18"/>
          <w:u w:val="none"/>
        </w:rPr>
        <w:t xml:space="preserve">[This is the lowest ATAR (excluding adjustments) that was offered a place in the course </w:t>
      </w:r>
      <w:r w:rsidRPr="00135B51">
        <w:rPr>
          <w:rStyle w:val="Hyperlink"/>
          <w:rFonts w:ascii="Arial" w:hAnsi="Arial" w:cs="Arial"/>
          <w:color w:val="0000FC"/>
          <w:sz w:val="18"/>
          <w:szCs w:val="18"/>
          <w:u w:val="none"/>
        </w:rPr>
        <w:br/>
        <w:t xml:space="preserve">in the </w:t>
      </w:r>
      <w:r w:rsidR="00282333" w:rsidRPr="00080C24">
        <w:rPr>
          <w:rStyle w:val="Hyperlink"/>
          <w:rFonts w:ascii="Arial" w:hAnsi="Arial" w:cs="Arial"/>
          <w:color w:val="0000FC"/>
          <w:sz w:val="18"/>
          <w:szCs w:val="18"/>
          <w:u w:val="none"/>
        </w:rPr>
        <w:t>most relevant recent intake period for which data are available</w:t>
      </w:r>
      <w:r w:rsidR="00282333">
        <w:rPr>
          <w:rStyle w:val="Hyperlink"/>
          <w:rFonts w:ascii="Arial" w:hAnsi="Arial" w:cs="Arial"/>
          <w:color w:val="0000FC"/>
          <w:sz w:val="18"/>
          <w:szCs w:val="18"/>
          <w:u w:val="none"/>
        </w:rPr>
        <w:t>]</w:t>
      </w:r>
    </w:p>
    <w:p w:rsidR="00BD32DA" w:rsidRPr="00135B51" w:rsidRDefault="00BD32DA" w:rsidP="00BD32DA">
      <w:pPr>
        <w:numPr>
          <w:ilvl w:val="0"/>
          <w:numId w:val="14"/>
        </w:numPr>
        <w:spacing w:after="120" w:line="240" w:lineRule="auto"/>
        <w:ind w:left="714" w:hanging="357"/>
        <w:rPr>
          <w:rStyle w:val="Hyperlink"/>
          <w:rFonts w:ascii="Arial" w:hAnsi="Arial" w:cs="Arial"/>
          <w:color w:val="0000FC"/>
          <w:sz w:val="18"/>
          <w:szCs w:val="18"/>
          <w:u w:val="none"/>
        </w:rPr>
      </w:pPr>
      <w:r w:rsidRPr="00135B51">
        <w:rPr>
          <w:rFonts w:ascii="Corbel" w:hAnsi="Corbel" w:cs="Arial"/>
          <w:sz w:val="18"/>
          <w:szCs w:val="18"/>
        </w:rPr>
        <w:t xml:space="preserve">Lowest </w:t>
      </w:r>
      <w:r w:rsidRPr="00135B51">
        <w:rPr>
          <w:rFonts w:ascii="Corbel" w:hAnsi="Corbel" w:cs="Arial"/>
          <w:sz w:val="18"/>
          <w:szCs w:val="18"/>
          <w:u w:val="single"/>
        </w:rPr>
        <w:t>Selection Rank</w:t>
      </w:r>
      <w:r w:rsidRPr="00135B51">
        <w:rPr>
          <w:rFonts w:ascii="Corbel" w:hAnsi="Corbel" w:cs="Arial"/>
          <w:color w:val="FF0000"/>
          <w:sz w:val="18"/>
          <w:szCs w:val="18"/>
        </w:rPr>
        <w:t xml:space="preserve"> </w:t>
      </w:r>
      <w:r w:rsidRPr="00135B51">
        <w:rPr>
          <w:rFonts w:ascii="Corbel" w:hAnsi="Corbel" w:cs="Arial"/>
          <w:sz w:val="18"/>
          <w:szCs w:val="18"/>
        </w:rPr>
        <w:t>to which a recent Year 12 student offer was made in [</w:t>
      </w:r>
      <w:r w:rsidR="00BD32AE" w:rsidRPr="00080C24">
        <w:rPr>
          <w:rFonts w:ascii="Corbel" w:hAnsi="Corbel" w:cs="Arial"/>
          <w:color w:val="FF0000"/>
          <w:sz w:val="18"/>
          <w:szCs w:val="18"/>
        </w:rPr>
        <w:t>period*</w:t>
      </w:r>
      <w:r w:rsidRPr="00135B51">
        <w:rPr>
          <w:rFonts w:ascii="Corbel" w:hAnsi="Corbel" w:cs="Arial"/>
          <w:sz w:val="18"/>
          <w:szCs w:val="18"/>
        </w:rPr>
        <w:t xml:space="preserve">] </w:t>
      </w:r>
      <w:r w:rsidRPr="00135B51">
        <w:rPr>
          <w:rFonts w:ascii="Corbel" w:hAnsi="Corbel" w:cs="Arial"/>
          <w:sz w:val="18"/>
          <w:szCs w:val="18"/>
        </w:rPr>
        <w:tab/>
      </w:r>
      <w:r w:rsidRPr="00135B51">
        <w:rPr>
          <w:rFonts w:ascii="Corbel" w:hAnsi="Corbel" w:cs="Arial"/>
          <w:sz w:val="18"/>
          <w:szCs w:val="18"/>
        </w:rPr>
        <w:tab/>
      </w:r>
      <w:r w:rsidRPr="00135B51">
        <w:rPr>
          <w:rFonts w:ascii="Corbel" w:hAnsi="Corbel" w:cs="Arial"/>
          <w:sz w:val="18"/>
          <w:szCs w:val="18"/>
        </w:rPr>
        <w:tab/>
      </w:r>
      <w:r w:rsidR="00BD32AE">
        <w:rPr>
          <w:rFonts w:ascii="Corbel" w:hAnsi="Corbel" w:cs="Arial"/>
          <w:color w:val="FF0000"/>
          <w:sz w:val="18"/>
          <w:szCs w:val="18"/>
        </w:rPr>
        <w:t>n.nn</w:t>
      </w:r>
      <w:r w:rsidRPr="00135B51">
        <w:rPr>
          <w:rFonts w:ascii="Corbel" w:hAnsi="Corbel" w:cs="Arial"/>
          <w:sz w:val="18"/>
          <w:szCs w:val="18"/>
        </w:rPr>
        <w:br/>
        <w:t xml:space="preserve">(including the impact of any equity </w:t>
      </w:r>
      <w:r w:rsidR="00737C17">
        <w:rPr>
          <w:rFonts w:ascii="Corbel" w:hAnsi="Corbel" w:cs="Arial"/>
          <w:sz w:val="18"/>
          <w:szCs w:val="18"/>
        </w:rPr>
        <w:t xml:space="preserve">or </w:t>
      </w:r>
      <w:r w:rsidRPr="00135B51">
        <w:rPr>
          <w:rFonts w:ascii="Corbel" w:hAnsi="Corbel" w:cs="Arial"/>
          <w:sz w:val="18"/>
          <w:szCs w:val="18"/>
        </w:rPr>
        <w:t>other adjustment factors)</w:t>
      </w:r>
      <w:r w:rsidRPr="00135B51">
        <w:rPr>
          <w:rFonts w:ascii="Corbel" w:hAnsi="Corbel" w:cs="Arial"/>
          <w:color w:val="FF0000"/>
          <w:sz w:val="18"/>
          <w:szCs w:val="18"/>
        </w:rPr>
        <w:t xml:space="preserve"> </w:t>
      </w:r>
      <w:r w:rsidRPr="00135B51">
        <w:rPr>
          <w:rStyle w:val="Hyperlink"/>
          <w:rFonts w:ascii="Corbel" w:hAnsi="Corbel"/>
          <w:color w:val="FF0000"/>
          <w:sz w:val="18"/>
          <w:szCs w:val="18"/>
          <w:u w:val="none"/>
        </w:rPr>
        <w:t>[only if relevant]:</w:t>
      </w:r>
      <w:r w:rsidRPr="00135B51">
        <w:rPr>
          <w:rFonts w:ascii="Corbel" w:hAnsi="Corbel" w:cs="Arial"/>
          <w:color w:val="FF0000"/>
          <w:sz w:val="18"/>
          <w:szCs w:val="18"/>
        </w:rPr>
        <w:br/>
      </w:r>
      <w:r w:rsidRPr="00135B51">
        <w:rPr>
          <w:rStyle w:val="Hyperlink"/>
          <w:rFonts w:ascii="Arial" w:hAnsi="Arial" w:cs="Arial"/>
          <w:color w:val="0000FC"/>
          <w:sz w:val="18"/>
          <w:szCs w:val="18"/>
          <w:u w:val="none"/>
        </w:rPr>
        <w:t xml:space="preserve">[This is the lowest selection rank (incorporating ATAR plus any adjustments) with which </w:t>
      </w:r>
      <w:r w:rsidRPr="00135B51">
        <w:rPr>
          <w:rStyle w:val="Hyperlink"/>
          <w:rFonts w:ascii="Arial" w:hAnsi="Arial" w:cs="Arial"/>
          <w:color w:val="0000FC"/>
          <w:sz w:val="18"/>
          <w:szCs w:val="18"/>
          <w:u w:val="none"/>
        </w:rPr>
        <w:br/>
        <w:t xml:space="preserve">a recent </w:t>
      </w:r>
      <w:r w:rsidR="00282333">
        <w:rPr>
          <w:rStyle w:val="Hyperlink"/>
          <w:rFonts w:ascii="Arial" w:hAnsi="Arial" w:cs="Arial"/>
          <w:color w:val="0000FC"/>
          <w:sz w:val="18"/>
          <w:szCs w:val="18"/>
          <w:u w:val="none"/>
        </w:rPr>
        <w:t xml:space="preserve">secondary </w:t>
      </w:r>
      <w:r w:rsidRPr="00135B51">
        <w:rPr>
          <w:rStyle w:val="Hyperlink"/>
          <w:rFonts w:ascii="Arial" w:hAnsi="Arial" w:cs="Arial"/>
          <w:color w:val="0000FC"/>
          <w:sz w:val="18"/>
          <w:szCs w:val="18"/>
          <w:u w:val="none"/>
        </w:rPr>
        <w:t xml:space="preserve">student was offered a place in the course in </w:t>
      </w:r>
      <w:r w:rsidR="00282333" w:rsidRPr="00135B51">
        <w:rPr>
          <w:rStyle w:val="Hyperlink"/>
          <w:rFonts w:ascii="Arial" w:hAnsi="Arial" w:cs="Arial"/>
          <w:color w:val="0000FC"/>
          <w:sz w:val="18"/>
          <w:szCs w:val="18"/>
          <w:u w:val="none"/>
        </w:rPr>
        <w:t xml:space="preserve">the </w:t>
      </w:r>
      <w:r w:rsidR="00282333" w:rsidRPr="00D66F53">
        <w:rPr>
          <w:rStyle w:val="Hyperlink"/>
          <w:rFonts w:ascii="Arial" w:hAnsi="Arial" w:cs="Arial"/>
          <w:color w:val="0000FC"/>
          <w:sz w:val="18"/>
          <w:szCs w:val="18"/>
          <w:u w:val="none"/>
        </w:rPr>
        <w:t xml:space="preserve">most relevant recent </w:t>
      </w:r>
      <w:r w:rsidR="00282333">
        <w:rPr>
          <w:rStyle w:val="Hyperlink"/>
          <w:rFonts w:ascii="Arial" w:hAnsi="Arial" w:cs="Arial"/>
          <w:color w:val="0000FC"/>
          <w:sz w:val="18"/>
          <w:szCs w:val="18"/>
          <w:u w:val="none"/>
        </w:rPr>
        <w:br/>
      </w:r>
      <w:r w:rsidR="00282333" w:rsidRPr="00D66F53">
        <w:rPr>
          <w:rStyle w:val="Hyperlink"/>
          <w:rFonts w:ascii="Arial" w:hAnsi="Arial" w:cs="Arial"/>
          <w:color w:val="0000FC"/>
          <w:sz w:val="18"/>
          <w:szCs w:val="18"/>
          <w:u w:val="none"/>
        </w:rPr>
        <w:t>intake period for which data are available</w:t>
      </w:r>
      <w:r w:rsidRPr="00135B51">
        <w:rPr>
          <w:rStyle w:val="Hyperlink"/>
          <w:rFonts w:ascii="Arial" w:hAnsi="Arial" w:cs="Arial"/>
          <w:color w:val="0000FC"/>
          <w:sz w:val="18"/>
          <w:szCs w:val="18"/>
          <w:u w:val="none"/>
        </w:rPr>
        <w:t>]</w:t>
      </w:r>
      <w:r w:rsidR="00BD32AE">
        <w:rPr>
          <w:rStyle w:val="Hyperlink"/>
          <w:rFonts w:ascii="Arial" w:hAnsi="Arial" w:cs="Arial"/>
          <w:color w:val="0000FC"/>
          <w:sz w:val="18"/>
          <w:szCs w:val="18"/>
          <w:u w:val="none"/>
        </w:rPr>
        <w:br/>
      </w:r>
      <w:r w:rsidR="00BD32AE" w:rsidRPr="00080C24">
        <w:rPr>
          <w:rFonts w:ascii="Corbel" w:hAnsi="Corbel" w:cs="Arial"/>
          <w:i/>
          <w:color w:val="FF0000"/>
          <w:sz w:val="18"/>
          <w:szCs w:val="18"/>
        </w:rPr>
        <w:t>*most relevant recent intake period for which data are available</w:t>
      </w:r>
      <w:r w:rsidR="00282333">
        <w:rPr>
          <w:rFonts w:ascii="Corbel" w:hAnsi="Corbel" w:cs="Arial"/>
          <w:i/>
          <w:color w:val="FF0000"/>
          <w:sz w:val="18"/>
          <w:szCs w:val="18"/>
        </w:rPr>
        <w:t xml:space="preserve"> – i.e. previous full year or semester one intake</w:t>
      </w:r>
    </w:p>
    <w:p w:rsidR="00BD32DA" w:rsidRPr="00135B51" w:rsidRDefault="00BD32DA" w:rsidP="00BD32DA">
      <w:pPr>
        <w:numPr>
          <w:ilvl w:val="0"/>
          <w:numId w:val="14"/>
        </w:numPr>
        <w:spacing w:after="120" w:line="240" w:lineRule="auto"/>
        <w:ind w:left="714" w:hanging="357"/>
        <w:rPr>
          <w:rFonts w:ascii="Arial" w:hAnsi="Arial" w:cs="Arial"/>
          <w:color w:val="0000FC"/>
          <w:sz w:val="18"/>
          <w:szCs w:val="18"/>
        </w:rPr>
      </w:pPr>
      <w:r w:rsidRPr="00135B51">
        <w:rPr>
          <w:rFonts w:ascii="Corbel" w:hAnsi="Corbel" w:cs="Arial"/>
          <w:sz w:val="18"/>
          <w:szCs w:val="18"/>
        </w:rPr>
        <w:t xml:space="preserve">Minimum </w:t>
      </w:r>
      <w:r w:rsidRPr="00135B51">
        <w:rPr>
          <w:rFonts w:ascii="Corbel" w:hAnsi="Corbel" w:cs="Arial"/>
          <w:sz w:val="18"/>
          <w:szCs w:val="18"/>
          <w:u w:val="single"/>
        </w:rPr>
        <w:t>ATAR</w:t>
      </w:r>
      <w:r w:rsidR="00631CB4" w:rsidRPr="005A565D">
        <w:rPr>
          <w:rFonts w:ascii="Corbel" w:hAnsi="Corbel"/>
          <w:sz w:val="18"/>
          <w:u w:val="single"/>
        </w:rPr>
        <w:t xml:space="preserve"> </w:t>
      </w:r>
      <w:r w:rsidR="00631CB4" w:rsidRPr="000111CE">
        <w:rPr>
          <w:rFonts w:ascii="Corbel" w:hAnsi="Corbel" w:cs="Arial"/>
          <w:color w:val="0000FF"/>
          <w:sz w:val="18"/>
          <w:szCs w:val="18"/>
          <w:u w:val="single"/>
        </w:rPr>
        <w:t>[/OP</w:t>
      </w:r>
      <w:r w:rsidR="00631CB4">
        <w:rPr>
          <w:rFonts w:ascii="Corbel" w:hAnsi="Corbel" w:cs="Arial"/>
          <w:color w:val="0000FF"/>
          <w:sz w:val="18"/>
          <w:szCs w:val="18"/>
          <w:u w:val="single"/>
        </w:rPr>
        <w:t>]</w:t>
      </w:r>
      <w:r w:rsidR="00F5655F">
        <w:rPr>
          <w:rFonts w:ascii="Corbel" w:hAnsi="Corbel" w:cs="Arial"/>
          <w:color w:val="0000FF"/>
          <w:sz w:val="18"/>
          <w:szCs w:val="18"/>
          <w:u w:val="single"/>
        </w:rPr>
        <w:t>/Selection Rank</w:t>
      </w:r>
      <w:r w:rsidRPr="00135B51">
        <w:rPr>
          <w:rFonts w:ascii="Corbel" w:hAnsi="Corbel" w:cs="Arial"/>
          <w:sz w:val="18"/>
          <w:szCs w:val="18"/>
        </w:rPr>
        <w:t xml:space="preserve"> required for consideration </w:t>
      </w:r>
      <w:r w:rsidRPr="00135B51">
        <w:rPr>
          <w:rStyle w:val="Hyperlink"/>
          <w:rFonts w:ascii="Corbel" w:hAnsi="Corbel"/>
          <w:color w:val="FF0000"/>
          <w:sz w:val="18"/>
          <w:szCs w:val="18"/>
          <w:u w:val="none"/>
        </w:rPr>
        <w:t>[only if relevant]:</w:t>
      </w:r>
      <w:r w:rsidRPr="00135B51">
        <w:rPr>
          <w:rStyle w:val="Hyperlink"/>
          <w:rFonts w:ascii="Corbel" w:hAnsi="Corbel"/>
          <w:sz w:val="18"/>
          <w:szCs w:val="18"/>
          <w:u w:val="none"/>
        </w:rPr>
        <w:tab/>
      </w:r>
      <w:r w:rsidRPr="00135B51">
        <w:rPr>
          <w:rStyle w:val="Hyperlink"/>
          <w:rFonts w:ascii="Corbel" w:hAnsi="Corbel"/>
          <w:sz w:val="18"/>
          <w:szCs w:val="18"/>
          <w:u w:val="none"/>
        </w:rPr>
        <w:tab/>
      </w:r>
      <w:r w:rsidR="00F5655F">
        <w:rPr>
          <w:rStyle w:val="Hyperlink"/>
          <w:rFonts w:ascii="Corbel" w:hAnsi="Corbel"/>
          <w:sz w:val="18"/>
          <w:szCs w:val="18"/>
          <w:u w:val="none"/>
        </w:rPr>
        <w:tab/>
      </w:r>
      <w:r w:rsidRPr="00135B51">
        <w:rPr>
          <w:rStyle w:val="Hyperlink"/>
          <w:rFonts w:ascii="Corbel" w:hAnsi="Corbel"/>
          <w:color w:val="FF0000"/>
          <w:sz w:val="18"/>
          <w:szCs w:val="18"/>
          <w:u w:val="none"/>
        </w:rPr>
        <w:t>XX</w:t>
      </w:r>
      <w:r w:rsidRPr="00135B51">
        <w:rPr>
          <w:rStyle w:val="Hyperlink"/>
          <w:rFonts w:ascii="Corbel" w:hAnsi="Corbel"/>
          <w:color w:val="FF0000"/>
          <w:sz w:val="18"/>
          <w:szCs w:val="18"/>
          <w:u w:val="none"/>
        </w:rPr>
        <w:br/>
      </w:r>
      <w:r w:rsidRPr="00135B51">
        <w:rPr>
          <w:rStyle w:val="Hyperlink"/>
          <w:rFonts w:ascii="Arial" w:hAnsi="Arial" w:cs="Arial"/>
          <w:color w:val="0000FC"/>
          <w:sz w:val="18"/>
          <w:szCs w:val="18"/>
          <w:u w:val="none"/>
        </w:rPr>
        <w:t xml:space="preserve">[This refers to any floor below which an application will not be considered by the provider. </w:t>
      </w:r>
      <w:r w:rsidRPr="00135B51">
        <w:rPr>
          <w:rStyle w:val="Hyperlink"/>
          <w:rFonts w:ascii="Arial" w:hAnsi="Arial" w:cs="Arial"/>
          <w:color w:val="0000FC"/>
          <w:sz w:val="18"/>
          <w:szCs w:val="18"/>
          <w:u w:val="none"/>
        </w:rPr>
        <w:br/>
        <w:t xml:space="preserve">It is not a guarantee of admission. Reference could be made to the Student Profile, below, </w:t>
      </w:r>
      <w:r w:rsidRPr="00135B51">
        <w:rPr>
          <w:rStyle w:val="Hyperlink"/>
          <w:rFonts w:ascii="Arial" w:hAnsi="Arial" w:cs="Arial"/>
          <w:color w:val="0000FC"/>
          <w:sz w:val="18"/>
          <w:szCs w:val="18"/>
          <w:u w:val="none"/>
        </w:rPr>
        <w:br/>
        <w:t>to illustrate this point.]</w:t>
      </w:r>
    </w:p>
    <w:p w:rsidR="00BD32DA" w:rsidRPr="00135B51" w:rsidRDefault="00BD32DA" w:rsidP="00BD32DA">
      <w:pPr>
        <w:numPr>
          <w:ilvl w:val="0"/>
          <w:numId w:val="14"/>
        </w:numPr>
        <w:spacing w:after="120" w:line="240" w:lineRule="auto"/>
        <w:ind w:left="714" w:hanging="357"/>
        <w:rPr>
          <w:rFonts w:ascii="Arial" w:hAnsi="Arial" w:cs="Arial"/>
          <w:color w:val="0000FC"/>
          <w:sz w:val="18"/>
          <w:szCs w:val="18"/>
        </w:rPr>
      </w:pPr>
      <w:r w:rsidRPr="00135B51">
        <w:rPr>
          <w:rFonts w:ascii="Corbel" w:hAnsi="Corbel" w:cs="Arial"/>
          <w:sz w:val="18"/>
          <w:szCs w:val="18"/>
        </w:rPr>
        <w:t xml:space="preserve">Guaranteed Entry </w:t>
      </w:r>
      <w:r w:rsidRPr="00135B51">
        <w:rPr>
          <w:rFonts w:ascii="Corbel" w:hAnsi="Corbel" w:cs="Arial"/>
          <w:sz w:val="18"/>
          <w:szCs w:val="18"/>
          <w:u w:val="single"/>
        </w:rPr>
        <w:t>ATAR</w:t>
      </w:r>
      <w:r w:rsidR="00631CB4">
        <w:rPr>
          <w:rFonts w:ascii="Corbel" w:hAnsi="Corbel" w:cs="Arial"/>
          <w:sz w:val="18"/>
          <w:szCs w:val="18"/>
          <w:u w:val="single"/>
        </w:rPr>
        <w:t xml:space="preserve"> </w:t>
      </w:r>
      <w:r w:rsidR="00631CB4" w:rsidRPr="000111CE">
        <w:rPr>
          <w:rFonts w:ascii="Corbel" w:hAnsi="Corbel" w:cs="Arial"/>
          <w:color w:val="0000FF"/>
          <w:sz w:val="18"/>
          <w:szCs w:val="18"/>
          <w:u w:val="single"/>
        </w:rPr>
        <w:t>[/OP</w:t>
      </w:r>
      <w:r w:rsidR="00631CB4">
        <w:rPr>
          <w:rFonts w:ascii="Corbel" w:hAnsi="Corbel" w:cs="Arial"/>
          <w:color w:val="0000FF"/>
          <w:sz w:val="18"/>
          <w:szCs w:val="18"/>
          <w:u w:val="single"/>
        </w:rPr>
        <w:t>]</w:t>
      </w:r>
      <w:r w:rsidR="009143BA">
        <w:rPr>
          <w:rFonts w:ascii="Corbel" w:hAnsi="Corbel" w:cs="Arial"/>
          <w:sz w:val="18"/>
          <w:szCs w:val="18"/>
          <w:u w:val="single"/>
        </w:rPr>
        <w:t>/</w:t>
      </w:r>
      <w:r w:rsidR="009143BA" w:rsidRPr="00D67ADB">
        <w:rPr>
          <w:rFonts w:ascii="Corbel" w:hAnsi="Corbel" w:cs="Arial"/>
          <w:sz w:val="18"/>
          <w:szCs w:val="18"/>
        </w:rPr>
        <w:t>Selection Rank</w:t>
      </w:r>
      <w:r w:rsidR="009143BA">
        <w:rPr>
          <w:rFonts w:ascii="Corbel" w:hAnsi="Corbel" w:cs="Arial"/>
          <w:sz w:val="18"/>
          <w:szCs w:val="18"/>
          <w:u w:val="single"/>
        </w:rPr>
        <w:t xml:space="preserve"> </w:t>
      </w:r>
      <w:r w:rsidRPr="00135B51">
        <w:rPr>
          <w:rStyle w:val="Hyperlink"/>
          <w:rFonts w:ascii="Corbel" w:hAnsi="Corbel"/>
          <w:color w:val="FF0000"/>
          <w:sz w:val="18"/>
          <w:szCs w:val="18"/>
          <w:u w:val="none"/>
        </w:rPr>
        <w:t>[only if relevant]:</w:t>
      </w:r>
      <w:r w:rsidRPr="005A565D">
        <w:rPr>
          <w:rStyle w:val="Hyperlink"/>
          <w:rFonts w:ascii="Corbel" w:hAnsi="Corbel"/>
          <w:color w:val="FF0000"/>
          <w:sz w:val="18"/>
          <w:u w:val="none"/>
        </w:rPr>
        <w:tab/>
      </w:r>
      <w:r w:rsidRPr="00135B51">
        <w:rPr>
          <w:rStyle w:val="Hyperlink"/>
          <w:rFonts w:ascii="Corbel" w:hAnsi="Corbel"/>
          <w:sz w:val="18"/>
          <w:szCs w:val="18"/>
          <w:u w:val="none"/>
        </w:rPr>
        <w:tab/>
      </w:r>
      <w:r w:rsidRPr="00135B51">
        <w:rPr>
          <w:rStyle w:val="Hyperlink"/>
          <w:rFonts w:ascii="Corbel" w:hAnsi="Corbel"/>
          <w:sz w:val="18"/>
          <w:szCs w:val="18"/>
          <w:u w:val="none"/>
        </w:rPr>
        <w:tab/>
      </w:r>
      <w:r w:rsidRPr="00135B51">
        <w:rPr>
          <w:rStyle w:val="Hyperlink"/>
          <w:rFonts w:ascii="Corbel" w:hAnsi="Corbel"/>
          <w:sz w:val="18"/>
          <w:szCs w:val="18"/>
          <w:u w:val="none"/>
        </w:rPr>
        <w:tab/>
      </w:r>
      <w:r w:rsidRPr="00135B51">
        <w:rPr>
          <w:rStyle w:val="Hyperlink"/>
          <w:rFonts w:ascii="Corbel" w:hAnsi="Corbel"/>
          <w:sz w:val="18"/>
          <w:szCs w:val="18"/>
          <w:u w:val="none"/>
        </w:rPr>
        <w:tab/>
      </w:r>
      <w:r w:rsidRPr="00135B51">
        <w:rPr>
          <w:rStyle w:val="Hyperlink"/>
          <w:rFonts w:ascii="Corbel" w:hAnsi="Corbel"/>
          <w:color w:val="FF0000"/>
          <w:sz w:val="18"/>
          <w:szCs w:val="18"/>
          <w:u w:val="none"/>
        </w:rPr>
        <w:t>XX</w:t>
      </w:r>
      <w:r w:rsidRPr="00135B51">
        <w:rPr>
          <w:rStyle w:val="Hyperlink"/>
          <w:rFonts w:ascii="Corbel" w:hAnsi="Corbel"/>
          <w:color w:val="FF0000"/>
          <w:sz w:val="18"/>
          <w:szCs w:val="18"/>
          <w:u w:val="none"/>
        </w:rPr>
        <w:br/>
      </w:r>
      <w:r w:rsidRPr="00135B51">
        <w:rPr>
          <w:rStyle w:val="Hyperlink"/>
          <w:rFonts w:ascii="Arial" w:hAnsi="Arial" w:cs="Arial"/>
          <w:color w:val="0000FC"/>
          <w:sz w:val="18"/>
          <w:szCs w:val="18"/>
          <w:u w:val="none"/>
        </w:rPr>
        <w:t xml:space="preserve">[This refers to a specified level of ATAR </w:t>
      </w:r>
      <w:r w:rsidR="009143BA">
        <w:rPr>
          <w:rStyle w:val="Hyperlink"/>
          <w:rFonts w:ascii="Arial" w:hAnsi="Arial" w:cs="Arial"/>
          <w:color w:val="0000FC"/>
          <w:sz w:val="18"/>
          <w:szCs w:val="18"/>
          <w:u w:val="none"/>
        </w:rPr>
        <w:t xml:space="preserve">(or Selection Rank) </w:t>
      </w:r>
      <w:r w:rsidRPr="00135B51">
        <w:rPr>
          <w:rStyle w:val="Hyperlink"/>
          <w:rFonts w:ascii="Arial" w:hAnsi="Arial" w:cs="Arial"/>
          <w:color w:val="0000FC"/>
          <w:sz w:val="18"/>
          <w:szCs w:val="18"/>
          <w:u w:val="none"/>
        </w:rPr>
        <w:t xml:space="preserve">at which an offer of </w:t>
      </w:r>
      <w:r w:rsidR="009143BA">
        <w:rPr>
          <w:rStyle w:val="Hyperlink"/>
          <w:rFonts w:ascii="Arial" w:hAnsi="Arial" w:cs="Arial"/>
          <w:color w:val="0000FC"/>
          <w:sz w:val="18"/>
          <w:szCs w:val="18"/>
          <w:u w:val="none"/>
        </w:rPr>
        <w:br/>
      </w:r>
      <w:r w:rsidRPr="00135B51">
        <w:rPr>
          <w:rStyle w:val="Hyperlink"/>
          <w:rFonts w:ascii="Arial" w:hAnsi="Arial" w:cs="Arial"/>
          <w:color w:val="0000FC"/>
          <w:sz w:val="18"/>
          <w:szCs w:val="18"/>
          <w:u w:val="none"/>
        </w:rPr>
        <w:t xml:space="preserve">admission is guaranteed, subject to any non-ATAR </w:t>
      </w:r>
      <w:r w:rsidR="00AB3E40">
        <w:rPr>
          <w:rStyle w:val="Hyperlink"/>
          <w:rFonts w:ascii="Arial" w:hAnsi="Arial" w:cs="Arial"/>
          <w:color w:val="0000FC"/>
          <w:sz w:val="18"/>
          <w:szCs w:val="18"/>
          <w:u w:val="none"/>
        </w:rPr>
        <w:t>criteria</w:t>
      </w:r>
      <w:r w:rsidRPr="00135B51">
        <w:rPr>
          <w:rStyle w:val="Hyperlink"/>
          <w:rFonts w:ascii="Arial" w:hAnsi="Arial" w:cs="Arial"/>
          <w:color w:val="0000FC"/>
          <w:sz w:val="18"/>
          <w:szCs w:val="18"/>
          <w:u w:val="none"/>
        </w:rPr>
        <w:t xml:space="preserve"> being met.]</w:t>
      </w:r>
    </w:p>
    <w:p w:rsidR="00BD32DA" w:rsidRPr="00135B51" w:rsidRDefault="00BD32DA" w:rsidP="00BD32DA">
      <w:pPr>
        <w:keepNext/>
        <w:spacing w:after="0"/>
        <w:ind w:left="720"/>
        <w:rPr>
          <w:rFonts w:ascii="Corbel" w:hAnsi="Corbel" w:cs="Arial"/>
          <w:sz w:val="18"/>
          <w:szCs w:val="18"/>
        </w:rPr>
      </w:pPr>
      <w:r w:rsidRPr="00135B51">
        <w:rPr>
          <w:rFonts w:ascii="Corbel" w:hAnsi="Corbel"/>
        </w:rPr>
        <w:t xml:space="preserve">Other </w:t>
      </w:r>
      <w:r w:rsidR="00AB3E40">
        <w:rPr>
          <w:rFonts w:ascii="Corbel" w:hAnsi="Corbel"/>
        </w:rPr>
        <w:t>criteria</w:t>
      </w:r>
      <w:r w:rsidRPr="00135B51">
        <w:rPr>
          <w:rFonts w:ascii="Corbel" w:hAnsi="Corbel"/>
        </w:rPr>
        <w:t xml:space="preserve"> in addition to a suitable ATAR</w:t>
      </w:r>
      <w:r w:rsidR="00631CB4" w:rsidRPr="006F1138">
        <w:rPr>
          <w:rFonts w:ascii="Corbel" w:hAnsi="Corbel"/>
          <w:color w:val="0000FF"/>
        </w:rPr>
        <w:t>[/OP]</w:t>
      </w:r>
    </w:p>
    <w:p w:rsidR="00BD32DA" w:rsidRPr="00537ABC" w:rsidRDefault="00BD32DA" w:rsidP="00BD32DA">
      <w:pPr>
        <w:keepNext/>
        <w:spacing w:after="0"/>
        <w:ind w:left="720"/>
        <w:rPr>
          <w:rStyle w:val="Hyperlink"/>
          <w:rFonts w:ascii="Arial" w:hAnsi="Arial"/>
          <w:color w:val="0000FC"/>
          <w:sz w:val="18"/>
          <w:u w:val="none"/>
        </w:rPr>
      </w:pPr>
      <w:r w:rsidRPr="00135B51">
        <w:rPr>
          <w:rStyle w:val="Hyperlink"/>
          <w:rFonts w:ascii="Arial" w:hAnsi="Arial" w:cs="Arial"/>
          <w:color w:val="0000FC"/>
          <w:sz w:val="18"/>
          <w:szCs w:val="18"/>
          <w:u w:val="none"/>
        </w:rPr>
        <w:t>[</w:t>
      </w:r>
      <w:r w:rsidRPr="00537ABC">
        <w:rPr>
          <w:rStyle w:val="Hyperlink"/>
          <w:rFonts w:ascii="Arial" w:hAnsi="Arial"/>
          <w:color w:val="0000FC"/>
          <w:sz w:val="18"/>
          <w:u w:val="none"/>
        </w:rPr>
        <w:t xml:space="preserve">Details of any admission </w:t>
      </w:r>
      <w:r w:rsidR="00AB3E40">
        <w:rPr>
          <w:rStyle w:val="Hyperlink"/>
          <w:rFonts w:ascii="Arial" w:hAnsi="Arial"/>
          <w:color w:val="0000FC"/>
          <w:sz w:val="18"/>
          <w:u w:val="none"/>
        </w:rPr>
        <w:t>criteria</w:t>
      </w:r>
      <w:r w:rsidRPr="00537ABC">
        <w:rPr>
          <w:rStyle w:val="Hyperlink"/>
          <w:rFonts w:ascii="Arial" w:hAnsi="Arial"/>
          <w:color w:val="0000FC"/>
          <w:sz w:val="18"/>
          <w:u w:val="none"/>
        </w:rPr>
        <w:t xml:space="preserve"> that may apply </w:t>
      </w:r>
      <w:r w:rsidRPr="00537ABC">
        <w:rPr>
          <w:rStyle w:val="Hyperlink"/>
          <w:rFonts w:ascii="Arial" w:hAnsi="Arial"/>
          <w:b/>
          <w:i/>
          <w:color w:val="0000FC"/>
          <w:sz w:val="18"/>
        </w:rPr>
        <w:t>in addition</w:t>
      </w:r>
      <w:r w:rsidRPr="00537ABC">
        <w:rPr>
          <w:rStyle w:val="Hyperlink"/>
          <w:rFonts w:ascii="Arial" w:hAnsi="Arial"/>
          <w:color w:val="0000FC"/>
          <w:sz w:val="18"/>
          <w:u w:val="none"/>
        </w:rPr>
        <w:t xml:space="preserve"> to ATAR </w:t>
      </w:r>
      <w:r w:rsidR="00AB3E40">
        <w:rPr>
          <w:rStyle w:val="Hyperlink"/>
          <w:rFonts w:ascii="Arial" w:hAnsi="Arial"/>
          <w:color w:val="0000FC"/>
          <w:sz w:val="18"/>
          <w:u w:val="none"/>
        </w:rPr>
        <w:t>criteria</w:t>
      </w:r>
      <w:r w:rsidRPr="00537ABC">
        <w:rPr>
          <w:rStyle w:val="Hyperlink"/>
          <w:rFonts w:ascii="Arial" w:hAnsi="Arial"/>
          <w:color w:val="0000FC"/>
          <w:sz w:val="18"/>
          <w:u w:val="none"/>
        </w:rPr>
        <w:t>:</w:t>
      </w:r>
    </w:p>
    <w:p w:rsidR="00BD32DA" w:rsidRPr="00537ABC" w:rsidRDefault="00BD32DA" w:rsidP="00BD32DA">
      <w:pPr>
        <w:pStyle w:val="ListParagraph"/>
        <w:keepNext/>
        <w:numPr>
          <w:ilvl w:val="1"/>
          <w:numId w:val="18"/>
        </w:numPr>
        <w:spacing w:after="0"/>
        <w:rPr>
          <w:rStyle w:val="Hyperlink"/>
          <w:rFonts w:ascii="Arial" w:hAnsi="Arial"/>
          <w:color w:val="0000FC"/>
          <w:sz w:val="18"/>
          <w:u w:val="none"/>
        </w:rPr>
      </w:pPr>
      <w:r w:rsidRPr="00537ABC">
        <w:rPr>
          <w:rStyle w:val="Hyperlink"/>
          <w:rFonts w:ascii="Arial" w:hAnsi="Arial"/>
          <w:color w:val="0000FC"/>
          <w:sz w:val="18"/>
          <w:u w:val="none"/>
        </w:rPr>
        <w:t>e.g. early offer scheme where there is still a minimum ATAR threshold requirement</w:t>
      </w:r>
    </w:p>
    <w:p w:rsidR="00BD32DA" w:rsidRPr="00135B51" w:rsidRDefault="00BD32DA" w:rsidP="004A010E">
      <w:pPr>
        <w:pStyle w:val="ListParagraph"/>
        <w:numPr>
          <w:ilvl w:val="1"/>
          <w:numId w:val="18"/>
        </w:numPr>
        <w:spacing w:after="0"/>
        <w:ind w:left="1434" w:hanging="357"/>
        <w:rPr>
          <w:rStyle w:val="Hyperlink"/>
          <w:rFonts w:ascii="Arial" w:hAnsi="Arial" w:cs="Arial"/>
          <w:color w:val="0000FC"/>
          <w:sz w:val="18"/>
          <w:szCs w:val="18"/>
          <w:u w:val="none"/>
        </w:rPr>
      </w:pPr>
      <w:r w:rsidRPr="00537ABC">
        <w:rPr>
          <w:rStyle w:val="Hyperlink"/>
          <w:rFonts w:ascii="Arial" w:hAnsi="Arial"/>
          <w:color w:val="0000FC"/>
          <w:sz w:val="18"/>
          <w:u w:val="none"/>
        </w:rPr>
        <w:t>e.g. requirement to pass an interview or audition</w:t>
      </w:r>
      <w:r w:rsidRPr="00135B51">
        <w:rPr>
          <w:rStyle w:val="Hyperlink"/>
          <w:rFonts w:ascii="Arial" w:hAnsi="Arial" w:cs="Arial"/>
          <w:color w:val="0000FC"/>
          <w:sz w:val="18"/>
          <w:szCs w:val="18"/>
          <w:u w:val="none"/>
        </w:rPr>
        <w:t>.]</w:t>
      </w:r>
    </w:p>
    <w:p w:rsidR="00BD32DA" w:rsidRPr="00135B51" w:rsidRDefault="00631CB4" w:rsidP="00BD32DA">
      <w:pPr>
        <w:keepNext/>
        <w:spacing w:before="240" w:after="0"/>
        <w:ind w:left="720"/>
        <w:rPr>
          <w:rFonts w:ascii="Corbel" w:hAnsi="Corbel"/>
          <w:i/>
        </w:rPr>
      </w:pPr>
      <w:r w:rsidRPr="009B47F9">
        <w:rPr>
          <w:rStyle w:val="Hyperlink"/>
          <w:rFonts w:ascii="Arial" w:hAnsi="Arial" w:cs="Arial"/>
          <w:noProof/>
          <w:color w:val="0000FC"/>
          <w:sz w:val="18"/>
          <w:szCs w:val="18"/>
          <w:u w:val="none"/>
          <w:lang w:eastAsia="en-AU"/>
        </w:rPr>
        <mc:AlternateContent>
          <mc:Choice Requires="wps">
            <w:drawing>
              <wp:anchor distT="0" distB="0" distL="114300" distR="114300" simplePos="0" relativeHeight="251676672" behindDoc="1" locked="0" layoutInCell="1" allowOverlap="1" wp14:anchorId="06A86E1A" wp14:editId="0694899B">
                <wp:simplePos x="0" y="0"/>
                <wp:positionH relativeFrom="column">
                  <wp:posOffset>-219075</wp:posOffset>
                </wp:positionH>
                <wp:positionV relativeFrom="paragraph">
                  <wp:posOffset>121920</wp:posOffset>
                </wp:positionV>
                <wp:extent cx="6162675" cy="6210300"/>
                <wp:effectExtent l="0" t="0" r="952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6210300"/>
                        </a:xfrm>
                        <a:prstGeom prst="rect">
                          <a:avLst/>
                        </a:prstGeom>
                        <a:solidFill>
                          <a:srgbClr val="FFFFFF"/>
                        </a:solidFill>
                        <a:ln w="9525">
                          <a:noFill/>
                          <a:miter lim="800000"/>
                          <a:headEnd/>
                          <a:tailEnd/>
                        </a:ln>
                      </wps:spPr>
                      <wps:txbx>
                        <w:txbxContent>
                          <w:p w:rsidR="001910BA" w:rsidRDefault="001910BA" w:rsidP="00BD32DA">
                            <w:pPr>
                              <w:shd w:val="clear" w:color="auto" w:fill="EBECDB" w:themeFill="accent4"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left:0;text-align:left;margin-left:-17.25pt;margin-top:9.6pt;width:485.25pt;height:48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2JiJAIAACMEAAAOAAAAZHJzL2Uyb0RvYy54bWysU21v2yAQ/j5p/wHxfbHjJW5rxam6dJkm&#10;dS9Sux+AMY7RgGNAYne/vgdOsqj7No0PiOOOh+eeu1vdjlqRg3BegqnpfJZTIgyHVppdTX88bd9d&#10;U+IDMy1TYERNn4Wnt+u3b1aDrUQBPahWOIIgxleDrWkfgq2yzPNeaOZnYIVBZwdOs4Cm22WtYwOi&#10;a5UVeV5mA7jWOuDCe7y9n5x0nfC7TvDwreu8CETVFLmFtLu0N3HP1itW7RyzveRHGuwfWGgmDX56&#10;hrpngZG9k39BackdeOjCjIPOoOskFykHzGaev8rmsWdWpFxQHG/PMvn/B8u/Hr47ItuaLikxTGOJ&#10;nsQYyAcYyTKqM1hfYdCjxbAw4jVWOWXq7QPwn54Y2PTM7MSdczD0grXIbh5fZhdPJxwfQZrhC7T4&#10;DdsHSEBj53SUDsUgiI5Vej5XJlLheFnOy6K8QoocfWUxz9/nqXYZq07PrfPhkwBN4qGmDkuf4Nnh&#10;wYdIh1WnkPibByXbrVQqGW7XbJQjB4Ztsk0rZfAqTBky1PRmWSwTsoH4PnWQlgHbWEld0+s8rqmx&#10;ohwfTZtCApNqOiMTZY76REkmccLYjKkQ5Un2BtpnFMzB1LU4ZXjowf2mZMCOran/tWdOUKI+GxT9&#10;Zr5YxBZPxmJ5VaDhLj3NpYcZjlA1DZRMx01IYxHlMHCHxelkki1WcWJypIydmNQ8Tk1s9Us7Rf2Z&#10;7fULAAAA//8DAFBLAwQUAAYACAAAACEABM1MUd8AAAAKAQAADwAAAGRycy9kb3ducmV2LnhtbEyP&#10;wU7DMBBE70j8g7VIXFDrkLYJSeNUgATi2tIP2MTbJGpsR7HbpH/PcoLbjuZpdqbYzaYXVxp956yC&#10;52UEgmztdGcbBcfvj8ULCB/QauydJQU38rAr7+8KzLWb7J6uh9AIDrE+RwVtCEMupa9bMuiXbiDL&#10;3smNBgPLsZF6xInDTS/jKEqkwc7yhxYHem+pPh8uRsHpa3raZFP1GY7pfp28YZdW7qbU48P8ugUR&#10;aA5/MPzW5+pQcqfKXaz2olewWK03jLKRxSAYyFYJj6v4yNIYZFnI/xPKHwAAAP//AwBQSwECLQAU&#10;AAYACAAAACEAtoM4kv4AAADhAQAAEwAAAAAAAAAAAAAAAAAAAAAAW0NvbnRlbnRfVHlwZXNdLnht&#10;bFBLAQItABQABgAIAAAAIQA4/SH/1gAAAJQBAAALAAAAAAAAAAAAAAAAAC8BAABfcmVscy8ucmVs&#10;c1BLAQItABQABgAIAAAAIQD5c2JiJAIAACMEAAAOAAAAAAAAAAAAAAAAAC4CAABkcnMvZTJvRG9j&#10;LnhtbFBLAQItABQABgAIAAAAIQAEzUxR3wAAAAoBAAAPAAAAAAAAAAAAAAAAAH4EAABkcnMvZG93&#10;bnJldi54bWxQSwUGAAAAAAQABADzAAAAigUAAAAA&#10;" stroked="f">
                <v:textbox>
                  <w:txbxContent>
                    <w:p w:rsidR="001910BA" w:rsidRDefault="001910BA" w:rsidP="00BD32DA">
                      <w:pPr>
                        <w:shd w:val="clear" w:color="auto" w:fill="EBECDB" w:themeFill="accent4" w:themeFillTint="33"/>
                      </w:pPr>
                    </w:p>
                  </w:txbxContent>
                </v:textbox>
              </v:shape>
            </w:pict>
          </mc:Fallback>
        </mc:AlternateContent>
      </w:r>
      <w:r w:rsidR="00BD32DA" w:rsidRPr="00135B51">
        <w:rPr>
          <w:rFonts w:ascii="Corbel" w:hAnsi="Corbel"/>
          <w:i/>
        </w:rPr>
        <w:t>ATAR</w:t>
      </w:r>
      <w:r w:rsidR="00EF0ECA">
        <w:rPr>
          <w:rFonts w:ascii="Corbel" w:hAnsi="Corbel"/>
          <w:i/>
        </w:rPr>
        <w:t xml:space="preserve"> </w:t>
      </w:r>
      <w:r w:rsidR="00EF0ECA" w:rsidRPr="00537ABC">
        <w:rPr>
          <w:rStyle w:val="Hyperlink"/>
          <w:rFonts w:ascii="Corbel" w:hAnsi="Corbel"/>
          <w:i/>
          <w:color w:val="0000FC"/>
          <w:u w:val="none"/>
        </w:rPr>
        <w:t>(OP in QLD)</w:t>
      </w:r>
      <w:r w:rsidR="00BD32DA" w:rsidRPr="00135B51">
        <w:rPr>
          <w:rFonts w:ascii="Corbel" w:hAnsi="Corbel"/>
          <w:i/>
        </w:rPr>
        <w:t>-related adjustments</w:t>
      </w:r>
      <w:r w:rsidR="00BD32DA" w:rsidRPr="00135B51">
        <w:rPr>
          <w:rStyle w:val="Hyperlink"/>
          <w:u w:val="none"/>
        </w:rPr>
        <w:t xml:space="preserve"> </w:t>
      </w:r>
      <w:r w:rsidR="00BD32DA" w:rsidRPr="00537ABC">
        <w:rPr>
          <w:rStyle w:val="Hyperlink"/>
          <w:rFonts w:ascii="Corbel" w:hAnsi="Corbel"/>
          <w:i/>
          <w:color w:val="0000FC"/>
          <w:u w:val="none"/>
        </w:rPr>
        <w:t>[if different to institution rules]</w:t>
      </w:r>
      <w:r w:rsidR="004C54C0">
        <w:rPr>
          <w:rStyle w:val="Hyperlink"/>
          <w:rFonts w:ascii="Corbel" w:hAnsi="Corbel"/>
          <w:i/>
          <w:color w:val="0000FC"/>
          <w:u w:val="none"/>
        </w:rPr>
        <w:t xml:space="preserve"> </w:t>
      </w:r>
      <w:r w:rsidR="004C54C0" w:rsidRPr="006F1138">
        <w:rPr>
          <w:rStyle w:val="Hyperlink"/>
          <w:rFonts w:ascii="Corbel" w:hAnsi="Corbel"/>
          <w:i/>
          <w:color w:val="0000FC"/>
          <w:sz w:val="28"/>
          <w:szCs w:val="28"/>
          <w:u w:val="none"/>
        </w:rPr>
        <w:t>[Required</w:t>
      </w:r>
      <w:r w:rsidR="004C54C0" w:rsidRPr="005A565D">
        <w:rPr>
          <w:rStyle w:val="Hyperlink"/>
          <w:rFonts w:ascii="Corbel" w:hAnsi="Corbel"/>
          <w:i/>
          <w:color w:val="0000FC"/>
          <w:sz w:val="28"/>
          <w:u w:val="none"/>
        </w:rPr>
        <w:t xml:space="preserve"> in </w:t>
      </w:r>
      <w:r w:rsidR="004C54C0" w:rsidRPr="006F1138">
        <w:rPr>
          <w:rStyle w:val="Hyperlink"/>
          <w:rFonts w:ascii="Corbel" w:hAnsi="Corbel"/>
          <w:i/>
          <w:color w:val="0000FC"/>
          <w:sz w:val="28"/>
          <w:szCs w:val="28"/>
          <w:u w:val="none"/>
        </w:rPr>
        <w:t>2017]</w:t>
      </w:r>
    </w:p>
    <w:p w:rsidR="00BD32DA" w:rsidRPr="00135B51" w:rsidRDefault="00BD32DA" w:rsidP="00BD32DA">
      <w:pPr>
        <w:widowControl w:val="0"/>
        <w:spacing w:after="120"/>
        <w:ind w:left="720"/>
        <w:rPr>
          <w:rFonts w:ascii="Corbel" w:hAnsi="Corbel" w:cs="Arial"/>
          <w:sz w:val="18"/>
          <w:szCs w:val="18"/>
        </w:rPr>
      </w:pPr>
      <w:r w:rsidRPr="00537ABC">
        <w:rPr>
          <w:rStyle w:val="Hyperlink"/>
          <w:rFonts w:ascii="Arial" w:hAnsi="Arial"/>
          <w:color w:val="0000FC"/>
          <w:sz w:val="18"/>
          <w:u w:val="none"/>
        </w:rPr>
        <w:t>Details of the types of</w:t>
      </w:r>
      <w:r w:rsidR="0035384E">
        <w:rPr>
          <w:rStyle w:val="Hyperlink"/>
          <w:rFonts w:ascii="Arial" w:hAnsi="Arial"/>
          <w:color w:val="0000FC"/>
          <w:sz w:val="18"/>
          <w:u w:val="none"/>
        </w:rPr>
        <w:t xml:space="preserve"> ‘bonus points’ </w:t>
      </w:r>
      <w:r w:rsidRPr="00537ABC">
        <w:rPr>
          <w:rStyle w:val="Hyperlink"/>
          <w:rFonts w:ascii="Arial" w:hAnsi="Arial"/>
          <w:color w:val="0000FC"/>
          <w:sz w:val="18"/>
          <w:u w:val="none"/>
        </w:rPr>
        <w:t>and other ATAR-related adjustments commonly available to applicants are set out in the institution’s general admissions policy at</w:t>
      </w:r>
      <w:r w:rsidRPr="00135B51">
        <w:rPr>
          <w:rStyle w:val="Hyperlink"/>
          <w:rFonts w:ascii="Arial" w:hAnsi="Arial"/>
          <w:color w:val="0000FC"/>
          <w:sz w:val="18"/>
          <w:szCs w:val="18"/>
          <w:u w:val="none"/>
        </w:rPr>
        <w:t>:</w:t>
      </w:r>
      <w:r w:rsidRPr="00135B51">
        <w:rPr>
          <w:rFonts w:ascii="Corbel" w:hAnsi="Corbel" w:cs="Arial"/>
          <w:sz w:val="18"/>
          <w:szCs w:val="18"/>
        </w:rPr>
        <w:t xml:space="preserve"> </w:t>
      </w:r>
      <w:r w:rsidRPr="00135B51">
        <w:rPr>
          <w:rStyle w:val="Hyperlink"/>
          <w:rFonts w:ascii="Corbel" w:hAnsi="Corbel"/>
          <w:color w:val="0000FC"/>
          <w:sz w:val="18"/>
          <w:szCs w:val="18"/>
          <w:u w:val="none"/>
        </w:rPr>
        <w:t>[</w:t>
      </w:r>
      <w:r w:rsidRPr="00135B51">
        <w:rPr>
          <w:rStyle w:val="Hyperlink"/>
          <w:rFonts w:ascii="Corbel" w:hAnsi="Corbel"/>
          <w:color w:val="0000FC"/>
          <w:sz w:val="18"/>
          <w:szCs w:val="18"/>
        </w:rPr>
        <w:t>hyperlink institution information]</w:t>
      </w:r>
      <w:r w:rsidRPr="00135B51">
        <w:rPr>
          <w:rStyle w:val="Hyperlink"/>
          <w:rFonts w:ascii="Corbel" w:hAnsi="Corbel"/>
          <w:color w:val="0000FC"/>
          <w:sz w:val="18"/>
          <w:szCs w:val="18"/>
          <w:u w:val="none"/>
        </w:rPr>
        <w:t>.</w:t>
      </w:r>
    </w:p>
    <w:p w:rsidR="00BD32DA" w:rsidRPr="00537ABC" w:rsidRDefault="00BD32DA" w:rsidP="00BD32DA">
      <w:pPr>
        <w:spacing w:after="240"/>
        <w:ind w:left="720"/>
        <w:rPr>
          <w:rStyle w:val="Hyperlink"/>
          <w:rFonts w:ascii="Arial" w:hAnsi="Arial"/>
          <w:color w:val="0000FC"/>
          <w:sz w:val="18"/>
          <w:u w:val="none"/>
        </w:rPr>
      </w:pPr>
      <w:r w:rsidRPr="00537ABC">
        <w:rPr>
          <w:rStyle w:val="Hyperlink"/>
          <w:rFonts w:ascii="Arial" w:hAnsi="Arial"/>
          <w:color w:val="0000FC"/>
          <w:sz w:val="18"/>
          <w:u w:val="none"/>
        </w:rPr>
        <w:t>Also set out here information on any types of adjustments to ATAR-based admissions available that are specific to this course or different to those commonly available for courses at the institution – e.g. subject bonuses available for having studied a related senior secondary subject.]</w:t>
      </w:r>
    </w:p>
    <w:p w:rsidR="00737C17" w:rsidRPr="00E77D30" w:rsidRDefault="00BD32DA" w:rsidP="00E77D30">
      <w:pPr>
        <w:keepNext/>
        <w:spacing w:before="240" w:after="0" w:line="240" w:lineRule="auto"/>
        <w:ind w:left="720"/>
        <w:rPr>
          <w:rFonts w:ascii="Corbel" w:eastAsiaTheme="minorHAnsi" w:hAnsi="Corbel"/>
          <w:i/>
        </w:rPr>
      </w:pPr>
      <w:r w:rsidRPr="00135B51">
        <w:rPr>
          <w:rFonts w:ascii="Corbel" w:eastAsiaTheme="minorHAnsi" w:hAnsi="Corbel"/>
          <w:i/>
        </w:rPr>
        <w:t xml:space="preserve">ATAR </w:t>
      </w:r>
      <w:r w:rsidR="00EF0ECA" w:rsidRPr="00135B51">
        <w:rPr>
          <w:rStyle w:val="Hyperlink"/>
          <w:rFonts w:ascii="Corbel" w:hAnsi="Corbel"/>
          <w:i/>
          <w:color w:val="0000FC"/>
          <w:u w:val="none"/>
        </w:rPr>
        <w:t>(OP in QLD)</w:t>
      </w:r>
      <w:r w:rsidR="00EF0ECA" w:rsidRPr="005A565D">
        <w:rPr>
          <w:rFonts w:ascii="Corbel" w:hAnsi="Corbel"/>
          <w:i/>
          <w:color w:val="0000FF"/>
        </w:rPr>
        <w:t xml:space="preserve"> </w:t>
      </w:r>
      <w:r w:rsidRPr="00135B51">
        <w:rPr>
          <w:rFonts w:ascii="Corbel" w:eastAsiaTheme="minorHAnsi" w:hAnsi="Corbel"/>
          <w:i/>
          <w:color w:val="0000FF"/>
        </w:rPr>
        <w:t xml:space="preserve">[and selection rank] </w:t>
      </w:r>
      <w:r w:rsidR="005036A4">
        <w:rPr>
          <w:rFonts w:ascii="Corbel" w:eastAsiaTheme="minorHAnsi" w:hAnsi="Corbel"/>
          <w:i/>
        </w:rPr>
        <w:t>profile</w:t>
      </w:r>
      <w:r w:rsidR="005036A4" w:rsidRPr="00135B51">
        <w:rPr>
          <w:rFonts w:ascii="Corbel" w:eastAsiaTheme="minorHAnsi" w:hAnsi="Corbel"/>
          <w:i/>
        </w:rPr>
        <w:t xml:space="preserve"> </w:t>
      </w:r>
      <w:r w:rsidRPr="00135B51">
        <w:rPr>
          <w:rFonts w:ascii="Corbel" w:eastAsiaTheme="minorHAnsi" w:hAnsi="Corbel"/>
          <w:i/>
        </w:rPr>
        <w:t xml:space="preserve">for those offered places </w:t>
      </w:r>
      <w:r w:rsidR="00E44061">
        <w:rPr>
          <w:rFonts w:ascii="Corbel" w:eastAsiaTheme="minorHAnsi" w:hAnsi="Corbel"/>
          <w:i/>
        </w:rPr>
        <w:t xml:space="preserve">wholly or partly on the basis of ATAR </w:t>
      </w:r>
      <w:r w:rsidRPr="00135B51">
        <w:rPr>
          <w:rFonts w:ascii="Corbel" w:eastAsiaTheme="minorHAnsi" w:hAnsi="Corbel"/>
          <w:i/>
        </w:rPr>
        <w:t xml:space="preserve">in </w:t>
      </w:r>
      <w:r w:rsidRPr="00135B51">
        <w:rPr>
          <w:rStyle w:val="Hyperlink"/>
          <w:i/>
          <w:color w:val="0000FC"/>
          <w:u w:val="none"/>
        </w:rPr>
        <w:t>[</w:t>
      </w:r>
      <w:r w:rsidR="00BD32AE" w:rsidRPr="00080C24">
        <w:rPr>
          <w:rStyle w:val="Hyperlink"/>
          <w:i/>
          <w:color w:val="FF0000"/>
          <w:u w:val="none"/>
        </w:rPr>
        <w:t>period*</w:t>
      </w:r>
      <w:r w:rsidRPr="00135B51">
        <w:rPr>
          <w:rStyle w:val="Hyperlink"/>
          <w:i/>
          <w:color w:val="0000FC"/>
          <w:u w:val="none"/>
        </w:rPr>
        <w:t>]</w:t>
      </w:r>
      <w:r w:rsidR="00BD32AE">
        <w:rPr>
          <w:rStyle w:val="Hyperlink"/>
          <w:i/>
          <w:color w:val="0000FC"/>
          <w:u w:val="none"/>
        </w:rPr>
        <w:t xml:space="preserve"> </w:t>
      </w:r>
      <w:r w:rsidR="00282333" w:rsidRPr="00135B51">
        <w:rPr>
          <w:rFonts w:ascii="Corbel" w:hAnsi="Corbel"/>
          <w:i/>
          <w:color w:val="FF0000"/>
          <w:sz w:val="28"/>
        </w:rPr>
        <w:t>[Required in 2017]</w:t>
      </w:r>
      <w:r w:rsidR="00282333">
        <w:rPr>
          <w:rStyle w:val="Hyperlink"/>
          <w:i/>
          <w:color w:val="0000FC"/>
          <w:u w:val="none"/>
        </w:rPr>
        <w:br/>
      </w:r>
      <w:r w:rsidR="00BD32AE" w:rsidRPr="00D66F53">
        <w:rPr>
          <w:rFonts w:ascii="Corbel" w:hAnsi="Corbel" w:cs="Arial"/>
          <w:i/>
          <w:color w:val="FF0000"/>
          <w:sz w:val="18"/>
          <w:szCs w:val="18"/>
        </w:rPr>
        <w:t>*most relevant recent intake period for which data are available</w:t>
      </w:r>
      <w:r w:rsidR="00282333">
        <w:rPr>
          <w:rFonts w:ascii="Corbel" w:hAnsi="Corbel" w:cs="Arial"/>
          <w:i/>
          <w:color w:val="FF0000"/>
          <w:sz w:val="18"/>
          <w:szCs w:val="18"/>
        </w:rPr>
        <w:t>– i.e. previous full year or semester one intake</w:t>
      </w:r>
    </w:p>
    <w:tbl>
      <w:tblPr>
        <w:tblW w:w="86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824"/>
        <w:gridCol w:w="1984"/>
        <w:gridCol w:w="1888"/>
      </w:tblGrid>
      <w:tr w:rsidR="00BD32DA" w:rsidRPr="00135B51" w:rsidTr="001B1D58">
        <w:trPr>
          <w:jc w:val="center"/>
        </w:trPr>
        <w:tc>
          <w:tcPr>
            <w:tcW w:w="4824" w:type="dxa"/>
            <w:shd w:val="clear" w:color="auto" w:fill="auto"/>
          </w:tcPr>
          <w:p w:rsidR="00E44061" w:rsidRDefault="00BD32DA" w:rsidP="001B1D58">
            <w:pPr>
              <w:keepNext/>
              <w:keepLines/>
              <w:spacing w:before="120" w:after="120" w:line="240" w:lineRule="auto"/>
              <w:rPr>
                <w:rFonts w:ascii="Corbel" w:hAnsi="Corbel" w:cs="Arial"/>
                <w:b/>
                <w:sz w:val="15"/>
                <w:szCs w:val="15"/>
              </w:rPr>
            </w:pPr>
            <w:r w:rsidRPr="00135B51">
              <w:rPr>
                <w:rFonts w:ascii="Corbel" w:hAnsi="Corbel" w:cs="Arial"/>
                <w:sz w:val="15"/>
                <w:szCs w:val="15"/>
              </w:rPr>
              <w:br w:type="page"/>
              <w:t>(</w:t>
            </w:r>
            <w:r w:rsidR="00E44061">
              <w:rPr>
                <w:rFonts w:ascii="Corbel" w:hAnsi="Corbel" w:cs="Arial"/>
                <w:sz w:val="15"/>
                <w:szCs w:val="15"/>
              </w:rPr>
              <w:t xml:space="preserve">ATAR-based offers only, </w:t>
            </w:r>
            <w:r w:rsidR="00E44061">
              <w:rPr>
                <w:rFonts w:ascii="Corbel" w:hAnsi="Corbel" w:cs="Arial"/>
                <w:b/>
                <w:sz w:val="15"/>
                <w:szCs w:val="15"/>
              </w:rPr>
              <w:t>a</w:t>
            </w:r>
            <w:r w:rsidR="00E44061" w:rsidRPr="00135B51">
              <w:rPr>
                <w:rFonts w:ascii="Corbel" w:hAnsi="Corbel" w:cs="Arial"/>
                <w:b/>
                <w:sz w:val="15"/>
                <w:szCs w:val="15"/>
              </w:rPr>
              <w:t xml:space="preserve">cross </w:t>
            </w:r>
            <w:r w:rsidRPr="00135B51">
              <w:rPr>
                <w:rFonts w:ascii="Corbel" w:hAnsi="Corbel" w:cs="Arial"/>
                <w:b/>
                <w:sz w:val="15"/>
                <w:szCs w:val="15"/>
              </w:rPr>
              <w:t>all offer rounds)</w:t>
            </w:r>
          </w:p>
          <w:p w:rsidR="00BD32DA" w:rsidRPr="00135B51" w:rsidRDefault="00BD32DA" w:rsidP="001B1D58">
            <w:pPr>
              <w:keepNext/>
              <w:keepLines/>
              <w:spacing w:before="120" w:after="120" w:line="240" w:lineRule="auto"/>
              <w:rPr>
                <w:rStyle w:val="Hyperlink"/>
                <w:rFonts w:ascii="Corbel" w:hAnsi="Corbel"/>
                <w:color w:val="0000FF"/>
                <w:sz w:val="15"/>
                <w:szCs w:val="15"/>
                <w:u w:val="none"/>
              </w:rPr>
            </w:pPr>
            <w:r w:rsidRPr="00135B51">
              <w:rPr>
                <w:rStyle w:val="Hyperlink"/>
                <w:rFonts w:ascii="Corbel" w:hAnsi="Corbel"/>
                <w:color w:val="0000FF"/>
                <w:sz w:val="15"/>
                <w:szCs w:val="15"/>
                <w:u w:val="none"/>
              </w:rPr>
              <w:t>[Note: this table relates to all students selected on the basis of ATAR alone or ATAR in combination with other factors. To ensure comparability across all providers, the “ATAR” figures used must reflect the original unadjusted figures without the impact of</w:t>
            </w:r>
            <w:r w:rsidR="0035384E">
              <w:rPr>
                <w:rStyle w:val="Hyperlink"/>
                <w:rFonts w:ascii="Corbel" w:hAnsi="Corbel"/>
                <w:color w:val="0000FF"/>
                <w:sz w:val="15"/>
                <w:szCs w:val="15"/>
                <w:u w:val="none"/>
              </w:rPr>
              <w:t xml:space="preserve"> ‘bonus points’ </w:t>
            </w:r>
            <w:r w:rsidRPr="00135B51">
              <w:rPr>
                <w:rStyle w:val="Hyperlink"/>
                <w:rFonts w:ascii="Corbel" w:hAnsi="Corbel"/>
                <w:color w:val="0000FF"/>
                <w:sz w:val="15"/>
                <w:szCs w:val="15"/>
                <w:u w:val="none"/>
              </w:rPr>
              <w:t>or other adjustments. “Selection Rank” figures (if used) will reflect the same cohort but including the impact of</w:t>
            </w:r>
            <w:r w:rsidR="0035384E">
              <w:rPr>
                <w:rStyle w:val="Hyperlink"/>
                <w:rFonts w:ascii="Corbel" w:hAnsi="Corbel"/>
                <w:color w:val="0000FF"/>
                <w:sz w:val="15"/>
                <w:szCs w:val="15"/>
                <w:u w:val="none"/>
              </w:rPr>
              <w:t xml:space="preserve"> ‘bonus points’ </w:t>
            </w:r>
            <w:r w:rsidRPr="00135B51">
              <w:rPr>
                <w:rStyle w:val="Hyperlink"/>
                <w:rFonts w:ascii="Corbel" w:hAnsi="Corbel"/>
                <w:color w:val="0000FF"/>
                <w:sz w:val="15"/>
                <w:szCs w:val="15"/>
                <w:u w:val="none"/>
              </w:rPr>
              <w:t>or other adjustments.</w:t>
            </w:r>
          </w:p>
          <w:p w:rsidR="00BD32DA" w:rsidRPr="00135B51" w:rsidRDefault="00BD32DA" w:rsidP="001B1D58">
            <w:pPr>
              <w:keepNext/>
              <w:keepLines/>
              <w:spacing w:before="120" w:after="120" w:line="240" w:lineRule="auto"/>
              <w:rPr>
                <w:rFonts w:ascii="Corbel" w:hAnsi="Corbel" w:cs="Arial"/>
                <w:b/>
                <w:sz w:val="15"/>
                <w:szCs w:val="15"/>
              </w:rPr>
            </w:pPr>
            <w:r w:rsidRPr="00135B51">
              <w:rPr>
                <w:rStyle w:val="Hyperlink"/>
                <w:rFonts w:ascii="Corbel" w:hAnsi="Corbel"/>
                <w:color w:val="0000FF"/>
                <w:sz w:val="15"/>
                <w:szCs w:val="15"/>
                <w:u w:val="none"/>
              </w:rPr>
              <w:t xml:space="preserve">Students selected on the basis of special consideration </w:t>
            </w:r>
            <w:r w:rsidR="00E44061">
              <w:rPr>
                <w:rStyle w:val="Hyperlink"/>
                <w:rFonts w:ascii="Corbel" w:hAnsi="Corbel"/>
                <w:color w:val="0000FF"/>
                <w:sz w:val="15"/>
                <w:szCs w:val="15"/>
                <w:u w:val="none"/>
              </w:rPr>
              <w:t xml:space="preserve">or otherwise not on the basis of their ATAR </w:t>
            </w:r>
            <w:r w:rsidRPr="00135B51">
              <w:rPr>
                <w:rStyle w:val="Hyperlink"/>
                <w:rFonts w:ascii="Corbel" w:hAnsi="Corbel"/>
                <w:color w:val="0000FF"/>
                <w:sz w:val="15"/>
                <w:szCs w:val="15"/>
                <w:u w:val="none"/>
              </w:rPr>
              <w:t>should not be included in this table.]</w:t>
            </w:r>
          </w:p>
        </w:tc>
        <w:tc>
          <w:tcPr>
            <w:tcW w:w="1984" w:type="dxa"/>
            <w:shd w:val="clear" w:color="auto" w:fill="auto"/>
          </w:tcPr>
          <w:p w:rsidR="00BD32DA" w:rsidRPr="00135B51" w:rsidRDefault="00BD32DA" w:rsidP="001B1D58">
            <w:pPr>
              <w:keepNext/>
              <w:keepLines/>
              <w:spacing w:before="120" w:after="120"/>
              <w:jc w:val="center"/>
              <w:rPr>
                <w:rStyle w:val="Hyperlink"/>
                <w:rFonts w:ascii="Corbel" w:hAnsi="Corbel"/>
                <w:color w:val="FF0000"/>
                <w:sz w:val="15"/>
                <w:szCs w:val="15"/>
                <w:u w:val="none"/>
              </w:rPr>
            </w:pPr>
            <w:r w:rsidRPr="00135B51">
              <w:rPr>
                <w:rFonts w:ascii="Corbel" w:hAnsi="Corbel" w:cs="Arial"/>
                <w:b/>
                <w:sz w:val="15"/>
                <w:szCs w:val="15"/>
              </w:rPr>
              <w:t>ATAR</w:t>
            </w:r>
            <w:r w:rsidR="00EF0ECA">
              <w:rPr>
                <w:rFonts w:ascii="Corbel" w:hAnsi="Corbel" w:cs="Arial"/>
                <w:b/>
                <w:sz w:val="15"/>
                <w:szCs w:val="15"/>
              </w:rPr>
              <w:t xml:space="preserve"> </w:t>
            </w:r>
            <w:r w:rsidR="00EF0ECA" w:rsidRPr="006F1138">
              <w:rPr>
                <w:rFonts w:ascii="Corbel" w:hAnsi="Corbel" w:cs="Arial"/>
                <w:b/>
                <w:color w:val="0000FF"/>
                <w:sz w:val="15"/>
                <w:szCs w:val="15"/>
              </w:rPr>
              <w:t>(OP in QLD)</w:t>
            </w:r>
            <w:r w:rsidRPr="00135B51">
              <w:rPr>
                <w:rFonts w:ascii="Corbel" w:hAnsi="Corbel" w:cs="Arial"/>
                <w:b/>
                <w:sz w:val="15"/>
                <w:szCs w:val="15"/>
              </w:rPr>
              <w:br/>
            </w:r>
            <w:r w:rsidRPr="005A565D">
              <w:rPr>
                <w:rFonts w:ascii="Corbel" w:hAnsi="Corbel"/>
                <w:sz w:val="15"/>
              </w:rPr>
              <w:t>(Excluding adjustment factors)</w:t>
            </w:r>
            <w:r w:rsidRPr="00135B51">
              <w:rPr>
                <w:rFonts w:ascii="Corbel" w:hAnsi="Corbel" w:cs="Arial"/>
                <w:b/>
                <w:sz w:val="15"/>
                <w:szCs w:val="15"/>
              </w:rPr>
              <w:br/>
            </w:r>
            <w:r w:rsidRPr="00135B51">
              <w:rPr>
                <w:rStyle w:val="Hyperlink"/>
                <w:rFonts w:ascii="Corbel" w:hAnsi="Corbel"/>
                <w:color w:val="FF0000"/>
                <w:sz w:val="15"/>
                <w:szCs w:val="15"/>
                <w:u w:val="none"/>
              </w:rPr>
              <w:t>[</w:t>
            </w:r>
            <w:r w:rsidRPr="00135B51">
              <w:rPr>
                <w:rStyle w:val="Hyperlink"/>
                <w:rFonts w:ascii="Corbel" w:hAnsi="Corbel"/>
                <w:color w:val="FF0000"/>
                <w:sz w:val="15"/>
                <w:szCs w:val="15"/>
              </w:rPr>
              <w:t>required</w:t>
            </w:r>
            <w:r w:rsidRPr="00135B51">
              <w:rPr>
                <w:rStyle w:val="Hyperlink"/>
                <w:rFonts w:ascii="Corbel" w:hAnsi="Corbel"/>
                <w:color w:val="FF0000"/>
                <w:sz w:val="15"/>
                <w:szCs w:val="15"/>
                <w:u w:val="none"/>
              </w:rPr>
              <w:t>]</w:t>
            </w:r>
          </w:p>
          <w:p w:rsidR="00BD32DA" w:rsidRPr="00135B51" w:rsidRDefault="00BD32DA" w:rsidP="001B1D58">
            <w:pPr>
              <w:keepNext/>
              <w:keepLines/>
              <w:spacing w:before="120" w:after="120"/>
              <w:rPr>
                <w:rFonts w:ascii="Corbel" w:hAnsi="Corbel" w:cs="Arial"/>
                <w:b/>
                <w:sz w:val="15"/>
                <w:szCs w:val="15"/>
              </w:rPr>
            </w:pPr>
            <w:r w:rsidRPr="00135B51">
              <w:rPr>
                <w:rStyle w:val="Hyperlink"/>
                <w:rFonts w:ascii="Corbel" w:hAnsi="Corbel"/>
                <w:color w:val="0000FF"/>
                <w:sz w:val="15"/>
                <w:szCs w:val="15"/>
                <w:u w:val="none"/>
              </w:rPr>
              <w:t xml:space="preserve">[NB: Raw ATAR profile for </w:t>
            </w:r>
            <w:r w:rsidRPr="00135B51">
              <w:rPr>
                <w:rStyle w:val="Hyperlink"/>
                <w:rFonts w:ascii="Corbel" w:hAnsi="Corbel"/>
                <w:color w:val="0000FF"/>
                <w:sz w:val="15"/>
                <w:szCs w:val="15"/>
              </w:rPr>
              <w:t xml:space="preserve">all students </w:t>
            </w:r>
            <w:r w:rsidRPr="00135B51">
              <w:rPr>
                <w:rStyle w:val="Hyperlink"/>
                <w:rFonts w:ascii="Corbel" w:hAnsi="Corbel"/>
                <w:color w:val="0000FF"/>
                <w:sz w:val="15"/>
                <w:szCs w:val="15"/>
                <w:u w:val="none"/>
              </w:rPr>
              <w:t>offered a place wholly or partly on the basis of ATAR]</w:t>
            </w:r>
          </w:p>
        </w:tc>
        <w:tc>
          <w:tcPr>
            <w:tcW w:w="1888" w:type="dxa"/>
          </w:tcPr>
          <w:p w:rsidR="00BD32DA" w:rsidRPr="00135B51" w:rsidRDefault="00BD32DA" w:rsidP="001B1D58">
            <w:pPr>
              <w:keepNext/>
              <w:keepLines/>
              <w:spacing w:before="120" w:after="120"/>
              <w:jc w:val="center"/>
              <w:rPr>
                <w:rStyle w:val="Hyperlink"/>
                <w:rFonts w:ascii="Corbel" w:hAnsi="Corbel"/>
                <w:color w:val="FF0000"/>
                <w:sz w:val="15"/>
                <w:szCs w:val="15"/>
                <w:u w:val="none"/>
              </w:rPr>
            </w:pPr>
            <w:r w:rsidRPr="00135B51">
              <w:rPr>
                <w:rFonts w:ascii="Corbel" w:hAnsi="Corbel" w:cs="Arial"/>
                <w:b/>
                <w:sz w:val="15"/>
                <w:szCs w:val="15"/>
              </w:rPr>
              <w:t>Selection Rank</w:t>
            </w:r>
            <w:r w:rsidRPr="00135B51">
              <w:rPr>
                <w:rFonts w:ascii="Corbel" w:hAnsi="Corbel" w:cs="Arial"/>
                <w:b/>
                <w:sz w:val="15"/>
                <w:szCs w:val="15"/>
              </w:rPr>
              <w:br/>
            </w:r>
            <w:r w:rsidRPr="005A565D">
              <w:rPr>
                <w:rFonts w:ascii="Corbel" w:hAnsi="Corbel"/>
                <w:sz w:val="15"/>
              </w:rPr>
              <w:t>(</w:t>
            </w:r>
            <w:r w:rsidR="00B45B6E" w:rsidRPr="006F1138">
              <w:rPr>
                <w:rFonts w:ascii="Corbel" w:hAnsi="Corbel" w:cs="Arial"/>
                <w:sz w:val="15"/>
                <w:szCs w:val="15"/>
              </w:rPr>
              <w:t>ATAR</w:t>
            </w:r>
            <w:r w:rsidR="00EF0ECA">
              <w:rPr>
                <w:rFonts w:ascii="Corbel" w:hAnsi="Corbel" w:cs="Arial"/>
                <w:sz w:val="15"/>
                <w:szCs w:val="15"/>
              </w:rPr>
              <w:t>/OP</w:t>
            </w:r>
            <w:r w:rsidR="00B45B6E" w:rsidRPr="006F1138">
              <w:rPr>
                <w:rFonts w:ascii="Corbel" w:hAnsi="Corbel" w:cs="Arial"/>
                <w:sz w:val="15"/>
                <w:szCs w:val="15"/>
              </w:rPr>
              <w:t xml:space="preserve"> </w:t>
            </w:r>
            <w:r w:rsidR="00B45B6E">
              <w:rPr>
                <w:rFonts w:ascii="Corbel" w:hAnsi="Corbel" w:cs="Arial"/>
                <w:sz w:val="15"/>
                <w:szCs w:val="15"/>
              </w:rPr>
              <w:t>plus</w:t>
            </w:r>
            <w:r w:rsidR="00B45B6E" w:rsidRPr="005A565D">
              <w:rPr>
                <w:rFonts w:ascii="Corbel" w:hAnsi="Corbel"/>
                <w:sz w:val="15"/>
              </w:rPr>
              <w:t xml:space="preserve"> </w:t>
            </w:r>
            <w:r w:rsidRPr="005A565D">
              <w:rPr>
                <w:rFonts w:ascii="Corbel" w:hAnsi="Corbel"/>
                <w:sz w:val="15"/>
              </w:rPr>
              <w:t>any adjustment factors)</w:t>
            </w:r>
            <w:r w:rsidRPr="005A565D">
              <w:rPr>
                <w:rFonts w:ascii="Corbel" w:hAnsi="Corbel"/>
                <w:sz w:val="15"/>
              </w:rPr>
              <w:br/>
            </w:r>
            <w:r w:rsidRPr="00135B51">
              <w:rPr>
                <w:rStyle w:val="Hyperlink"/>
                <w:rFonts w:ascii="Corbel" w:hAnsi="Corbel"/>
                <w:color w:val="FF0000"/>
                <w:sz w:val="15"/>
                <w:szCs w:val="15"/>
                <w:u w:val="none"/>
              </w:rPr>
              <w:t>[optional / only if relevant]</w:t>
            </w:r>
          </w:p>
          <w:p w:rsidR="00BD32DA" w:rsidRPr="00135B51" w:rsidRDefault="00BD32DA" w:rsidP="001B1D58">
            <w:pPr>
              <w:keepNext/>
              <w:keepLines/>
              <w:spacing w:before="120" w:after="120"/>
              <w:rPr>
                <w:rFonts w:ascii="Corbel" w:hAnsi="Corbel" w:cs="Arial"/>
                <w:b/>
                <w:sz w:val="15"/>
                <w:szCs w:val="15"/>
              </w:rPr>
            </w:pPr>
            <w:r w:rsidRPr="00135B51">
              <w:rPr>
                <w:rStyle w:val="Hyperlink"/>
                <w:rFonts w:ascii="Corbel" w:hAnsi="Corbel"/>
                <w:color w:val="0000FF"/>
                <w:sz w:val="15"/>
                <w:szCs w:val="15"/>
                <w:u w:val="none"/>
              </w:rPr>
              <w:t xml:space="preserve">[NB: Selection Rank profile for the </w:t>
            </w:r>
            <w:r w:rsidRPr="00135B51">
              <w:rPr>
                <w:rStyle w:val="Hyperlink"/>
                <w:rFonts w:ascii="Corbel" w:hAnsi="Corbel"/>
                <w:color w:val="0000FF"/>
                <w:sz w:val="15"/>
                <w:szCs w:val="15"/>
              </w:rPr>
              <w:t>same students</w:t>
            </w:r>
            <w:r w:rsidRPr="00135B51">
              <w:rPr>
                <w:rStyle w:val="Hyperlink"/>
                <w:rFonts w:ascii="Corbel" w:hAnsi="Corbel"/>
                <w:color w:val="0000FF"/>
                <w:sz w:val="15"/>
                <w:szCs w:val="15"/>
                <w:u w:val="none"/>
              </w:rPr>
              <w:t xml:space="preserve"> as in previous column]</w:t>
            </w:r>
          </w:p>
        </w:tc>
      </w:tr>
      <w:tr w:rsidR="00BD32DA" w:rsidRPr="00135B51" w:rsidTr="005A565D">
        <w:trPr>
          <w:trHeight w:val="467"/>
          <w:jc w:val="center"/>
        </w:trPr>
        <w:tc>
          <w:tcPr>
            <w:tcW w:w="4824" w:type="dxa"/>
            <w:shd w:val="clear" w:color="auto" w:fill="auto"/>
            <w:vAlign w:val="center"/>
          </w:tcPr>
          <w:p w:rsidR="00BD32DA" w:rsidRPr="00135B51" w:rsidRDefault="00A4243F" w:rsidP="00A4243F">
            <w:pPr>
              <w:spacing w:after="0"/>
              <w:rPr>
                <w:rFonts w:ascii="Corbel" w:hAnsi="Corbel" w:cs="Arial"/>
                <w:sz w:val="15"/>
                <w:szCs w:val="15"/>
              </w:rPr>
            </w:pPr>
            <w:r w:rsidRPr="00135B51">
              <w:rPr>
                <w:rFonts w:ascii="Corbel" w:hAnsi="Corbel" w:cs="Arial"/>
                <w:sz w:val="15"/>
                <w:szCs w:val="15"/>
              </w:rPr>
              <w:t xml:space="preserve">Highest </w:t>
            </w:r>
            <w:r>
              <w:rPr>
                <w:rFonts w:ascii="Corbel" w:hAnsi="Corbel" w:cs="Arial"/>
                <w:sz w:val="15"/>
                <w:szCs w:val="15"/>
              </w:rPr>
              <w:t>rank</w:t>
            </w:r>
            <w:r w:rsidRPr="00135B51">
              <w:rPr>
                <w:rFonts w:ascii="Corbel" w:hAnsi="Corbel" w:cs="Arial"/>
                <w:sz w:val="15"/>
                <w:szCs w:val="15"/>
              </w:rPr>
              <w:t xml:space="preserve"> to receive an offer</w:t>
            </w:r>
            <w:r>
              <w:rPr>
                <w:rFonts w:ascii="Corbel" w:hAnsi="Corbel" w:cs="Arial"/>
                <w:sz w:val="15"/>
                <w:szCs w:val="15"/>
              </w:rPr>
              <w:t xml:space="preserve"> *</w:t>
            </w:r>
          </w:p>
        </w:tc>
        <w:tc>
          <w:tcPr>
            <w:tcW w:w="1984" w:type="dxa"/>
            <w:shd w:val="clear" w:color="auto" w:fill="auto"/>
            <w:vAlign w:val="center"/>
          </w:tcPr>
          <w:p w:rsidR="00BD32DA" w:rsidRPr="00135B51" w:rsidRDefault="00E44061" w:rsidP="00BD16A7">
            <w:pPr>
              <w:spacing w:after="0"/>
              <w:jc w:val="center"/>
              <w:rPr>
                <w:rFonts w:ascii="Corbel" w:hAnsi="Corbel" w:cs="Arial"/>
                <w:sz w:val="15"/>
                <w:szCs w:val="15"/>
              </w:rPr>
            </w:pPr>
            <w:r>
              <w:rPr>
                <w:rFonts w:ascii="Corbel" w:hAnsi="Corbel" w:cs="Arial"/>
                <w:sz w:val="15"/>
                <w:szCs w:val="15"/>
              </w:rPr>
              <w:t xml:space="preserve">n.nn [L/N </w:t>
            </w:r>
            <w:r w:rsidR="00BD16A7">
              <w:rPr>
                <w:rFonts w:ascii="Corbel" w:hAnsi="Corbel" w:cs="Arial"/>
                <w:sz w:val="15"/>
                <w:szCs w:val="15"/>
              </w:rPr>
              <w:t>i</w:t>
            </w:r>
            <w:r>
              <w:rPr>
                <w:rFonts w:ascii="Corbel" w:hAnsi="Corbel" w:cs="Arial"/>
                <w:sz w:val="15"/>
                <w:szCs w:val="15"/>
              </w:rPr>
              <w:t>f&lt; 5 offers]</w:t>
            </w:r>
          </w:p>
        </w:tc>
        <w:tc>
          <w:tcPr>
            <w:tcW w:w="1888" w:type="dxa"/>
            <w:vAlign w:val="center"/>
          </w:tcPr>
          <w:p w:rsidR="00BD32DA" w:rsidRPr="00135B51" w:rsidRDefault="00E44061" w:rsidP="00BD16A7">
            <w:pPr>
              <w:spacing w:after="0"/>
              <w:jc w:val="center"/>
              <w:rPr>
                <w:rFonts w:ascii="Corbel" w:hAnsi="Corbel" w:cs="Arial"/>
                <w:sz w:val="15"/>
                <w:szCs w:val="15"/>
              </w:rPr>
            </w:pPr>
            <w:r>
              <w:rPr>
                <w:rFonts w:ascii="Corbel" w:hAnsi="Corbel" w:cs="Arial"/>
                <w:sz w:val="15"/>
                <w:szCs w:val="15"/>
              </w:rPr>
              <w:t xml:space="preserve">n.nn [L/N </w:t>
            </w:r>
            <w:r w:rsidR="00BD16A7">
              <w:rPr>
                <w:rFonts w:ascii="Corbel" w:hAnsi="Corbel" w:cs="Arial"/>
                <w:sz w:val="15"/>
                <w:szCs w:val="15"/>
              </w:rPr>
              <w:t>i</w:t>
            </w:r>
            <w:r>
              <w:rPr>
                <w:rFonts w:ascii="Corbel" w:hAnsi="Corbel" w:cs="Arial"/>
                <w:sz w:val="15"/>
                <w:szCs w:val="15"/>
              </w:rPr>
              <w:t>f&lt; 5 offers]</w:t>
            </w:r>
          </w:p>
        </w:tc>
      </w:tr>
      <w:tr w:rsidR="0035467D" w:rsidRPr="00135B51" w:rsidTr="00E77D30">
        <w:trPr>
          <w:trHeight w:val="395"/>
          <w:jc w:val="center"/>
        </w:trPr>
        <w:tc>
          <w:tcPr>
            <w:tcW w:w="4824" w:type="dxa"/>
            <w:shd w:val="clear" w:color="auto" w:fill="auto"/>
            <w:vAlign w:val="center"/>
          </w:tcPr>
          <w:p w:rsidR="0035467D" w:rsidRPr="00135B51" w:rsidRDefault="0035467D" w:rsidP="00E44061">
            <w:pPr>
              <w:spacing w:after="0"/>
              <w:rPr>
                <w:rFonts w:ascii="Corbel" w:hAnsi="Corbel" w:cs="Arial"/>
                <w:sz w:val="15"/>
                <w:szCs w:val="15"/>
              </w:rPr>
            </w:pPr>
            <w:r w:rsidRPr="00135B51">
              <w:rPr>
                <w:rFonts w:ascii="Corbel" w:hAnsi="Corbel" w:cs="Arial"/>
                <w:sz w:val="15"/>
                <w:szCs w:val="15"/>
              </w:rPr>
              <w:t>75</w:t>
            </w:r>
            <w:r w:rsidRPr="00135B51">
              <w:rPr>
                <w:rFonts w:ascii="Corbel" w:hAnsi="Corbel" w:cs="Arial"/>
                <w:sz w:val="15"/>
                <w:szCs w:val="15"/>
                <w:vertAlign w:val="superscript"/>
              </w:rPr>
              <w:t>th</w:t>
            </w:r>
            <w:r w:rsidRPr="00135B51">
              <w:rPr>
                <w:rFonts w:ascii="Corbel" w:hAnsi="Corbel" w:cs="Arial"/>
                <w:sz w:val="15"/>
                <w:szCs w:val="15"/>
              </w:rPr>
              <w:t xml:space="preserve"> percentile </w:t>
            </w:r>
            <w:r>
              <w:rPr>
                <w:rFonts w:ascii="Corbel" w:hAnsi="Corbel" w:cs="Arial"/>
                <w:sz w:val="15"/>
                <w:szCs w:val="15"/>
              </w:rPr>
              <w:t>rank</w:t>
            </w:r>
            <w:r w:rsidRPr="00135B51">
              <w:rPr>
                <w:rFonts w:ascii="Corbel" w:hAnsi="Corbel" w:cs="Arial"/>
                <w:sz w:val="15"/>
                <w:szCs w:val="15"/>
              </w:rPr>
              <w:t xml:space="preserve"> to receive an offer</w:t>
            </w:r>
            <w:r>
              <w:rPr>
                <w:rFonts w:ascii="Corbel" w:hAnsi="Corbel" w:cs="Arial"/>
                <w:sz w:val="15"/>
                <w:szCs w:val="15"/>
              </w:rPr>
              <w:t xml:space="preserve"> </w:t>
            </w:r>
            <w:r w:rsidR="00E44061">
              <w:rPr>
                <w:rFonts w:ascii="Corbel" w:hAnsi="Corbel" w:cs="Arial"/>
                <w:sz w:val="15"/>
                <w:szCs w:val="15"/>
              </w:rPr>
              <w:t>#</w:t>
            </w:r>
          </w:p>
        </w:tc>
        <w:tc>
          <w:tcPr>
            <w:tcW w:w="1984" w:type="dxa"/>
            <w:shd w:val="clear" w:color="auto" w:fill="auto"/>
            <w:vAlign w:val="center"/>
          </w:tcPr>
          <w:p w:rsidR="0035467D" w:rsidRPr="00135B51" w:rsidRDefault="00E44061" w:rsidP="0035467D">
            <w:pPr>
              <w:spacing w:after="0"/>
              <w:jc w:val="center"/>
              <w:rPr>
                <w:rFonts w:ascii="Corbel" w:hAnsi="Corbel" w:cs="Arial"/>
                <w:sz w:val="15"/>
                <w:szCs w:val="15"/>
              </w:rPr>
            </w:pPr>
            <w:r>
              <w:rPr>
                <w:rFonts w:ascii="Corbel" w:hAnsi="Corbel" w:cs="Arial"/>
                <w:sz w:val="15"/>
                <w:szCs w:val="15"/>
              </w:rPr>
              <w:t>n.nn [N/P if &lt; 25 offers]</w:t>
            </w:r>
          </w:p>
        </w:tc>
        <w:tc>
          <w:tcPr>
            <w:tcW w:w="1888" w:type="dxa"/>
            <w:vAlign w:val="center"/>
          </w:tcPr>
          <w:p w:rsidR="0035467D" w:rsidRPr="00135B51" w:rsidRDefault="00E44061" w:rsidP="005A565D">
            <w:pPr>
              <w:spacing w:after="0"/>
              <w:jc w:val="center"/>
              <w:rPr>
                <w:rFonts w:ascii="Corbel" w:hAnsi="Corbel" w:cs="Arial"/>
                <w:sz w:val="15"/>
                <w:szCs w:val="15"/>
              </w:rPr>
            </w:pPr>
            <w:r>
              <w:rPr>
                <w:rFonts w:ascii="Corbel" w:hAnsi="Corbel" w:cs="Arial"/>
                <w:sz w:val="15"/>
                <w:szCs w:val="15"/>
              </w:rPr>
              <w:t>n.nn [N/P if &lt; 25 offers]</w:t>
            </w:r>
          </w:p>
        </w:tc>
      </w:tr>
      <w:tr w:rsidR="0035467D" w:rsidRPr="00135B51" w:rsidTr="00E77D30">
        <w:trPr>
          <w:trHeight w:val="416"/>
          <w:jc w:val="center"/>
        </w:trPr>
        <w:tc>
          <w:tcPr>
            <w:tcW w:w="4824" w:type="dxa"/>
            <w:shd w:val="clear" w:color="auto" w:fill="auto"/>
            <w:vAlign w:val="center"/>
          </w:tcPr>
          <w:p w:rsidR="0035467D" w:rsidRPr="00135B51" w:rsidRDefault="0035467D" w:rsidP="00E44061">
            <w:pPr>
              <w:spacing w:after="0"/>
              <w:rPr>
                <w:rFonts w:ascii="Corbel" w:hAnsi="Corbel" w:cs="Arial"/>
                <w:sz w:val="15"/>
                <w:szCs w:val="15"/>
              </w:rPr>
            </w:pPr>
            <w:r w:rsidRPr="00135B51">
              <w:rPr>
                <w:rFonts w:ascii="Corbel" w:hAnsi="Corbel" w:cs="Arial"/>
                <w:sz w:val="15"/>
                <w:szCs w:val="15"/>
              </w:rPr>
              <w:t xml:space="preserve">Median </w:t>
            </w:r>
            <w:r>
              <w:rPr>
                <w:rFonts w:ascii="Corbel" w:hAnsi="Corbel" w:cs="Arial"/>
                <w:sz w:val="15"/>
                <w:szCs w:val="15"/>
              </w:rPr>
              <w:t>rank</w:t>
            </w:r>
            <w:r w:rsidRPr="00135B51">
              <w:rPr>
                <w:rFonts w:ascii="Corbel" w:hAnsi="Corbel" w:cs="Arial"/>
                <w:sz w:val="15"/>
                <w:szCs w:val="15"/>
              </w:rPr>
              <w:t xml:space="preserve"> to receive an offer</w:t>
            </w:r>
            <w:r>
              <w:rPr>
                <w:rFonts w:ascii="Corbel" w:hAnsi="Corbel" w:cs="Arial"/>
                <w:sz w:val="15"/>
                <w:szCs w:val="15"/>
              </w:rPr>
              <w:t xml:space="preserve"> </w:t>
            </w:r>
            <w:r w:rsidR="00E44061">
              <w:rPr>
                <w:rFonts w:ascii="Corbel" w:hAnsi="Corbel" w:cs="Arial"/>
                <w:sz w:val="15"/>
                <w:szCs w:val="15"/>
              </w:rPr>
              <w:t>#</w:t>
            </w:r>
          </w:p>
        </w:tc>
        <w:tc>
          <w:tcPr>
            <w:tcW w:w="1984" w:type="dxa"/>
            <w:shd w:val="clear" w:color="auto" w:fill="auto"/>
            <w:vAlign w:val="center"/>
          </w:tcPr>
          <w:p w:rsidR="0035467D" w:rsidRPr="00135B51" w:rsidRDefault="00E44061" w:rsidP="00F47E0D">
            <w:pPr>
              <w:spacing w:after="0"/>
              <w:jc w:val="center"/>
              <w:rPr>
                <w:rFonts w:ascii="Corbel" w:hAnsi="Corbel" w:cs="Arial"/>
                <w:sz w:val="15"/>
                <w:szCs w:val="15"/>
              </w:rPr>
            </w:pPr>
            <w:r>
              <w:rPr>
                <w:rFonts w:ascii="Corbel" w:hAnsi="Corbel" w:cs="Arial"/>
                <w:sz w:val="15"/>
                <w:szCs w:val="15"/>
              </w:rPr>
              <w:t>n.nn [N/P if &lt; 25 offers]</w:t>
            </w:r>
          </w:p>
        </w:tc>
        <w:tc>
          <w:tcPr>
            <w:tcW w:w="1888" w:type="dxa"/>
            <w:vAlign w:val="center"/>
          </w:tcPr>
          <w:p w:rsidR="0035467D" w:rsidRPr="00135B51" w:rsidRDefault="00E44061" w:rsidP="005A565D">
            <w:pPr>
              <w:spacing w:after="0"/>
              <w:jc w:val="center"/>
              <w:rPr>
                <w:rFonts w:ascii="Corbel" w:hAnsi="Corbel" w:cs="Arial"/>
                <w:sz w:val="15"/>
                <w:szCs w:val="15"/>
              </w:rPr>
            </w:pPr>
            <w:r>
              <w:rPr>
                <w:rFonts w:ascii="Corbel" w:hAnsi="Corbel" w:cs="Arial"/>
                <w:sz w:val="15"/>
                <w:szCs w:val="15"/>
              </w:rPr>
              <w:t>n.nn [N/P if &lt; 25 offers]</w:t>
            </w:r>
          </w:p>
        </w:tc>
      </w:tr>
      <w:tr w:rsidR="0035467D" w:rsidRPr="00135B51" w:rsidTr="00E77D30">
        <w:trPr>
          <w:trHeight w:val="422"/>
          <w:jc w:val="center"/>
        </w:trPr>
        <w:tc>
          <w:tcPr>
            <w:tcW w:w="4824" w:type="dxa"/>
            <w:shd w:val="clear" w:color="auto" w:fill="auto"/>
            <w:vAlign w:val="center"/>
          </w:tcPr>
          <w:p w:rsidR="0035467D" w:rsidRPr="00135B51" w:rsidRDefault="0035467D" w:rsidP="00E44061">
            <w:pPr>
              <w:spacing w:after="0"/>
              <w:rPr>
                <w:rFonts w:ascii="Corbel" w:hAnsi="Corbel" w:cs="Arial"/>
                <w:sz w:val="15"/>
                <w:szCs w:val="15"/>
              </w:rPr>
            </w:pPr>
            <w:r w:rsidRPr="00135B51">
              <w:rPr>
                <w:rFonts w:ascii="Corbel" w:hAnsi="Corbel" w:cs="Arial"/>
                <w:sz w:val="15"/>
                <w:szCs w:val="15"/>
              </w:rPr>
              <w:t>25</w:t>
            </w:r>
            <w:r w:rsidRPr="00135B51">
              <w:rPr>
                <w:rFonts w:ascii="Corbel" w:hAnsi="Corbel" w:cs="Arial"/>
                <w:sz w:val="15"/>
                <w:szCs w:val="15"/>
                <w:vertAlign w:val="superscript"/>
              </w:rPr>
              <w:t>th</w:t>
            </w:r>
            <w:r w:rsidRPr="00135B51">
              <w:rPr>
                <w:rFonts w:ascii="Corbel" w:hAnsi="Corbel" w:cs="Arial"/>
                <w:sz w:val="15"/>
                <w:szCs w:val="15"/>
              </w:rPr>
              <w:t xml:space="preserve"> percentile </w:t>
            </w:r>
            <w:r>
              <w:rPr>
                <w:rFonts w:ascii="Corbel" w:hAnsi="Corbel" w:cs="Arial"/>
                <w:sz w:val="15"/>
                <w:szCs w:val="15"/>
              </w:rPr>
              <w:t>rank</w:t>
            </w:r>
            <w:r w:rsidRPr="00135B51">
              <w:rPr>
                <w:rFonts w:ascii="Corbel" w:hAnsi="Corbel" w:cs="Arial"/>
                <w:sz w:val="15"/>
                <w:szCs w:val="15"/>
              </w:rPr>
              <w:t xml:space="preserve"> to receive an offer</w:t>
            </w:r>
            <w:r>
              <w:rPr>
                <w:rFonts w:ascii="Corbel" w:hAnsi="Corbel" w:cs="Arial"/>
                <w:sz w:val="15"/>
                <w:szCs w:val="15"/>
              </w:rPr>
              <w:t xml:space="preserve"> </w:t>
            </w:r>
            <w:r w:rsidR="00E44061">
              <w:rPr>
                <w:rFonts w:ascii="Corbel" w:hAnsi="Corbel" w:cs="Arial"/>
                <w:sz w:val="15"/>
                <w:szCs w:val="15"/>
              </w:rPr>
              <w:t>#</w:t>
            </w:r>
          </w:p>
        </w:tc>
        <w:tc>
          <w:tcPr>
            <w:tcW w:w="1984" w:type="dxa"/>
            <w:shd w:val="clear" w:color="auto" w:fill="auto"/>
            <w:vAlign w:val="center"/>
          </w:tcPr>
          <w:p w:rsidR="0035467D" w:rsidRPr="00135B51" w:rsidRDefault="00E44061" w:rsidP="0035467D">
            <w:pPr>
              <w:spacing w:after="0"/>
              <w:jc w:val="center"/>
              <w:rPr>
                <w:rFonts w:ascii="Corbel" w:hAnsi="Corbel" w:cs="Arial"/>
                <w:sz w:val="15"/>
                <w:szCs w:val="15"/>
              </w:rPr>
            </w:pPr>
            <w:r>
              <w:rPr>
                <w:rFonts w:ascii="Corbel" w:hAnsi="Corbel" w:cs="Arial"/>
                <w:sz w:val="15"/>
                <w:szCs w:val="15"/>
              </w:rPr>
              <w:t>n.nn [N/P if &lt; 25 offers]</w:t>
            </w:r>
          </w:p>
        </w:tc>
        <w:tc>
          <w:tcPr>
            <w:tcW w:w="1888" w:type="dxa"/>
            <w:vAlign w:val="center"/>
          </w:tcPr>
          <w:p w:rsidR="0035467D" w:rsidRPr="00135B51" w:rsidRDefault="00E44061" w:rsidP="005A565D">
            <w:pPr>
              <w:spacing w:after="0"/>
              <w:jc w:val="center"/>
              <w:rPr>
                <w:rFonts w:ascii="Corbel" w:hAnsi="Corbel" w:cs="Arial"/>
                <w:sz w:val="15"/>
                <w:szCs w:val="15"/>
              </w:rPr>
            </w:pPr>
            <w:r>
              <w:rPr>
                <w:rFonts w:ascii="Corbel" w:hAnsi="Corbel" w:cs="Arial"/>
                <w:sz w:val="15"/>
                <w:szCs w:val="15"/>
              </w:rPr>
              <w:t>n.nn [N/P if &lt; 25 offers]</w:t>
            </w:r>
          </w:p>
        </w:tc>
      </w:tr>
      <w:tr w:rsidR="00BD32DA" w:rsidRPr="00135B51" w:rsidTr="005A565D">
        <w:trPr>
          <w:trHeight w:val="414"/>
          <w:jc w:val="center"/>
        </w:trPr>
        <w:tc>
          <w:tcPr>
            <w:tcW w:w="4824" w:type="dxa"/>
            <w:shd w:val="clear" w:color="auto" w:fill="auto"/>
            <w:vAlign w:val="center"/>
          </w:tcPr>
          <w:p w:rsidR="00BD32DA" w:rsidRPr="00135B51" w:rsidRDefault="00A4243F" w:rsidP="00E44061">
            <w:pPr>
              <w:spacing w:after="0"/>
              <w:rPr>
                <w:rFonts w:ascii="Corbel" w:hAnsi="Corbel" w:cs="Arial"/>
                <w:sz w:val="15"/>
                <w:szCs w:val="15"/>
              </w:rPr>
            </w:pPr>
            <w:r w:rsidRPr="00135B51">
              <w:rPr>
                <w:rFonts w:ascii="Corbel" w:hAnsi="Corbel" w:cs="Arial"/>
                <w:sz w:val="15"/>
                <w:szCs w:val="15"/>
              </w:rPr>
              <w:t xml:space="preserve">Lowest </w:t>
            </w:r>
            <w:r>
              <w:rPr>
                <w:rFonts w:ascii="Corbel" w:hAnsi="Corbel" w:cs="Arial"/>
                <w:sz w:val="15"/>
                <w:szCs w:val="15"/>
              </w:rPr>
              <w:t>rank</w:t>
            </w:r>
            <w:r w:rsidRPr="00135B51">
              <w:rPr>
                <w:rFonts w:ascii="Corbel" w:hAnsi="Corbel" w:cs="Arial"/>
                <w:sz w:val="15"/>
                <w:szCs w:val="15"/>
              </w:rPr>
              <w:t xml:space="preserve"> to receive an offer</w:t>
            </w:r>
            <w:r>
              <w:rPr>
                <w:rFonts w:ascii="Corbel" w:hAnsi="Corbel" w:cs="Arial"/>
                <w:sz w:val="15"/>
                <w:szCs w:val="15"/>
              </w:rPr>
              <w:t xml:space="preserve"> </w:t>
            </w:r>
            <w:r w:rsidR="00E44061">
              <w:rPr>
                <w:rFonts w:ascii="Corbel" w:hAnsi="Corbel" w:cs="Arial"/>
                <w:sz w:val="15"/>
                <w:szCs w:val="15"/>
              </w:rPr>
              <w:t>*</w:t>
            </w:r>
          </w:p>
        </w:tc>
        <w:tc>
          <w:tcPr>
            <w:tcW w:w="1984" w:type="dxa"/>
            <w:shd w:val="clear" w:color="auto" w:fill="auto"/>
            <w:vAlign w:val="center"/>
          </w:tcPr>
          <w:p w:rsidR="00BD32DA" w:rsidRPr="00135B51" w:rsidRDefault="0035467D" w:rsidP="00BD16A7">
            <w:pPr>
              <w:spacing w:after="0"/>
              <w:jc w:val="center"/>
              <w:rPr>
                <w:rFonts w:ascii="Corbel" w:hAnsi="Corbel" w:cs="Arial"/>
                <w:sz w:val="15"/>
                <w:szCs w:val="15"/>
              </w:rPr>
            </w:pPr>
            <w:r>
              <w:rPr>
                <w:rFonts w:ascii="Corbel" w:hAnsi="Corbel" w:cs="Arial"/>
                <w:sz w:val="15"/>
                <w:szCs w:val="15"/>
              </w:rPr>
              <w:t>n.nn [L/N</w:t>
            </w:r>
            <w:r w:rsidR="00E44061">
              <w:rPr>
                <w:rFonts w:ascii="Corbel" w:hAnsi="Corbel" w:cs="Arial"/>
                <w:sz w:val="15"/>
                <w:szCs w:val="15"/>
              </w:rPr>
              <w:t xml:space="preserve"> </w:t>
            </w:r>
            <w:r w:rsidR="00BD16A7">
              <w:rPr>
                <w:rFonts w:ascii="Corbel" w:hAnsi="Corbel" w:cs="Arial"/>
                <w:sz w:val="15"/>
                <w:szCs w:val="15"/>
              </w:rPr>
              <w:t>i</w:t>
            </w:r>
            <w:r w:rsidR="00E44061">
              <w:rPr>
                <w:rFonts w:ascii="Corbel" w:hAnsi="Corbel" w:cs="Arial"/>
                <w:sz w:val="15"/>
                <w:szCs w:val="15"/>
              </w:rPr>
              <w:t>f&lt; 5 offers</w:t>
            </w:r>
            <w:r>
              <w:rPr>
                <w:rFonts w:ascii="Corbel" w:hAnsi="Corbel" w:cs="Arial"/>
                <w:sz w:val="15"/>
                <w:szCs w:val="15"/>
              </w:rPr>
              <w:t>]</w:t>
            </w:r>
          </w:p>
        </w:tc>
        <w:tc>
          <w:tcPr>
            <w:tcW w:w="1888" w:type="dxa"/>
            <w:vAlign w:val="center"/>
          </w:tcPr>
          <w:p w:rsidR="00BD32DA" w:rsidRPr="00135B51" w:rsidRDefault="00E44061" w:rsidP="00BD16A7">
            <w:pPr>
              <w:spacing w:after="0"/>
              <w:jc w:val="center"/>
              <w:rPr>
                <w:rFonts w:ascii="Corbel" w:hAnsi="Corbel" w:cs="Arial"/>
                <w:sz w:val="15"/>
                <w:szCs w:val="15"/>
              </w:rPr>
            </w:pPr>
            <w:r>
              <w:rPr>
                <w:rFonts w:ascii="Corbel" w:hAnsi="Corbel" w:cs="Arial"/>
                <w:sz w:val="15"/>
                <w:szCs w:val="15"/>
              </w:rPr>
              <w:t xml:space="preserve">n.nn [L/N </w:t>
            </w:r>
            <w:r w:rsidR="00BD16A7">
              <w:rPr>
                <w:rFonts w:ascii="Corbel" w:hAnsi="Corbel" w:cs="Arial"/>
                <w:sz w:val="15"/>
                <w:szCs w:val="15"/>
              </w:rPr>
              <w:t>i</w:t>
            </w:r>
            <w:r>
              <w:rPr>
                <w:rFonts w:ascii="Corbel" w:hAnsi="Corbel" w:cs="Arial"/>
                <w:sz w:val="15"/>
                <w:szCs w:val="15"/>
              </w:rPr>
              <w:t>f&lt; 5 offers]</w:t>
            </w:r>
          </w:p>
        </w:tc>
      </w:tr>
    </w:tbl>
    <w:p w:rsidR="00A4243F" w:rsidRDefault="00737C17" w:rsidP="006F1138">
      <w:pPr>
        <w:spacing w:after="0" w:line="240" w:lineRule="auto"/>
        <w:ind w:left="284"/>
        <w:contextualSpacing/>
        <w:rPr>
          <w:rFonts w:ascii="Corbel" w:eastAsiaTheme="minorHAnsi" w:hAnsi="Corbel" w:cs="Arial"/>
          <w:sz w:val="15"/>
          <w:szCs w:val="15"/>
        </w:rPr>
      </w:pPr>
      <w:r w:rsidRPr="00135B51">
        <w:rPr>
          <w:rFonts w:ascii="Corbel" w:eastAsiaTheme="minorHAnsi" w:hAnsi="Corbel" w:cs="Arial"/>
          <w:sz w:val="15"/>
          <w:szCs w:val="15"/>
        </w:rPr>
        <w:t>Notes:</w:t>
      </w:r>
      <w:r w:rsidRPr="00135B51">
        <w:rPr>
          <w:rFonts w:ascii="Corbel" w:eastAsiaTheme="minorHAnsi" w:hAnsi="Corbel" w:cs="Arial"/>
          <w:sz w:val="15"/>
          <w:szCs w:val="15"/>
        </w:rPr>
        <w:tab/>
      </w:r>
      <w:r w:rsidR="0052510D">
        <w:rPr>
          <w:rFonts w:ascii="Corbel" w:eastAsiaTheme="minorHAnsi" w:hAnsi="Corbel" w:cs="Arial"/>
          <w:sz w:val="15"/>
          <w:szCs w:val="15"/>
        </w:rPr>
        <w:tab/>
      </w:r>
      <w:r w:rsidR="0007137A">
        <w:rPr>
          <w:rFonts w:ascii="Corbel" w:eastAsiaTheme="minorHAnsi" w:hAnsi="Corbel" w:cs="Arial"/>
          <w:sz w:val="15"/>
          <w:szCs w:val="15"/>
        </w:rPr>
        <w:t xml:space="preserve">* </w:t>
      </w:r>
      <w:r w:rsidR="00E44061">
        <w:rPr>
          <w:rFonts w:ascii="Corbel" w:eastAsiaTheme="minorHAnsi" w:hAnsi="Corbel" w:cs="Arial"/>
          <w:sz w:val="15"/>
          <w:szCs w:val="15"/>
        </w:rPr>
        <w:t xml:space="preserve">L/N – indicates low numbers if less than 5 ATAR-based offers made </w:t>
      </w:r>
    </w:p>
    <w:p w:rsidR="00737C17" w:rsidRPr="00135B51" w:rsidRDefault="00A4243F" w:rsidP="00E77D30">
      <w:pPr>
        <w:spacing w:after="120" w:line="240" w:lineRule="auto"/>
        <w:ind w:left="1004" w:firstLine="437"/>
        <w:rPr>
          <w:rFonts w:ascii="Corbel" w:eastAsiaTheme="minorHAnsi" w:hAnsi="Corbel" w:cs="Arial"/>
          <w:sz w:val="15"/>
          <w:szCs w:val="15"/>
        </w:rPr>
      </w:pPr>
      <w:r>
        <w:rPr>
          <w:rFonts w:ascii="Corbel" w:eastAsiaTheme="minorHAnsi" w:hAnsi="Corbel" w:cs="Arial"/>
          <w:sz w:val="15"/>
          <w:szCs w:val="15"/>
        </w:rPr>
        <w:t xml:space="preserve"># </w:t>
      </w:r>
      <w:r w:rsidR="00E44061">
        <w:rPr>
          <w:rFonts w:ascii="Corbel" w:eastAsiaTheme="minorHAnsi" w:hAnsi="Corbel" w:cs="Arial"/>
          <w:sz w:val="15"/>
          <w:szCs w:val="15"/>
        </w:rPr>
        <w:t xml:space="preserve">N/P – indicates figure is not published if </w:t>
      </w:r>
      <w:r w:rsidR="00E44061" w:rsidRPr="0019281C">
        <w:rPr>
          <w:rFonts w:ascii="Corbel" w:eastAsiaTheme="minorHAnsi" w:hAnsi="Corbel" w:cs="Arial"/>
          <w:sz w:val="15"/>
          <w:szCs w:val="15"/>
        </w:rPr>
        <w:t xml:space="preserve">less than </w:t>
      </w:r>
      <w:r w:rsidR="00E44061">
        <w:rPr>
          <w:rFonts w:ascii="Corbel" w:eastAsiaTheme="minorHAnsi" w:hAnsi="Corbel" w:cs="Arial"/>
          <w:sz w:val="15"/>
          <w:szCs w:val="15"/>
        </w:rPr>
        <w:t>25 ATAR-based offers made</w:t>
      </w:r>
      <w:r w:rsidR="00E44061" w:rsidDel="00E44061">
        <w:rPr>
          <w:rFonts w:ascii="Corbel" w:eastAsiaTheme="minorHAnsi" w:hAnsi="Corbel" w:cs="Arial"/>
          <w:sz w:val="15"/>
          <w:szCs w:val="15"/>
        </w:rPr>
        <w:t xml:space="preserve"> </w:t>
      </w:r>
    </w:p>
    <w:p w:rsidR="00A4243F" w:rsidRDefault="00A4243F" w:rsidP="004A010E">
      <w:pPr>
        <w:spacing w:after="120"/>
        <w:ind w:left="720"/>
        <w:rPr>
          <w:rStyle w:val="Hyperlink"/>
          <w:rFonts w:ascii="Arial" w:hAnsi="Arial" w:cs="Arial"/>
          <w:color w:val="0000FC"/>
          <w:sz w:val="18"/>
          <w:szCs w:val="18"/>
          <w:u w:val="none"/>
        </w:rPr>
      </w:pPr>
      <w:r w:rsidRPr="00135B51">
        <w:rPr>
          <w:rStyle w:val="Hyperlink"/>
          <w:rFonts w:ascii="Arial" w:hAnsi="Arial" w:cs="Arial"/>
          <w:color w:val="0000FC"/>
          <w:sz w:val="18"/>
          <w:szCs w:val="18"/>
          <w:u w:val="none"/>
        </w:rPr>
        <w:t xml:space="preserve">[Provide data on the ATAR </w:t>
      </w:r>
      <w:r w:rsidR="00C423C5">
        <w:rPr>
          <w:rStyle w:val="Hyperlink"/>
          <w:rFonts w:ascii="Arial" w:hAnsi="Arial" w:cs="Arial"/>
          <w:color w:val="0000FC"/>
          <w:sz w:val="18"/>
          <w:szCs w:val="18"/>
          <w:u w:val="none"/>
        </w:rPr>
        <w:t xml:space="preserve">[and optionally the selection rank) </w:t>
      </w:r>
      <w:r w:rsidR="005036A4">
        <w:rPr>
          <w:rStyle w:val="Hyperlink"/>
          <w:rFonts w:ascii="Arial" w:hAnsi="Arial" w:cs="Arial"/>
          <w:color w:val="0000FC"/>
          <w:sz w:val="18"/>
          <w:szCs w:val="18"/>
          <w:u w:val="none"/>
        </w:rPr>
        <w:t>profile</w:t>
      </w:r>
      <w:r w:rsidR="005036A4" w:rsidRPr="00135B51">
        <w:rPr>
          <w:rStyle w:val="Hyperlink"/>
          <w:rFonts w:ascii="Arial" w:hAnsi="Arial" w:cs="Arial"/>
          <w:color w:val="0000FC"/>
          <w:sz w:val="18"/>
          <w:szCs w:val="18"/>
          <w:u w:val="none"/>
        </w:rPr>
        <w:t xml:space="preserve"> </w:t>
      </w:r>
      <w:r>
        <w:rPr>
          <w:rStyle w:val="Hyperlink"/>
          <w:rFonts w:ascii="Arial" w:hAnsi="Arial" w:cs="Arial"/>
          <w:color w:val="0000FC"/>
          <w:sz w:val="18"/>
          <w:szCs w:val="18"/>
          <w:u w:val="none"/>
        </w:rPr>
        <w:t xml:space="preserve">of offers made </w:t>
      </w:r>
      <w:r w:rsidRPr="00135B51">
        <w:rPr>
          <w:rStyle w:val="Hyperlink"/>
          <w:rFonts w:ascii="Arial" w:hAnsi="Arial" w:cs="Arial"/>
          <w:color w:val="0000FC"/>
          <w:sz w:val="18"/>
          <w:szCs w:val="18"/>
          <w:u w:val="none"/>
        </w:rPr>
        <w:t xml:space="preserve">from the most relevant recent </w:t>
      </w:r>
      <w:r>
        <w:rPr>
          <w:rStyle w:val="Hyperlink"/>
          <w:rFonts w:ascii="Arial" w:hAnsi="Arial" w:cs="Arial"/>
          <w:color w:val="0000FC"/>
          <w:sz w:val="18"/>
          <w:szCs w:val="18"/>
          <w:u w:val="none"/>
        </w:rPr>
        <w:t>intake period</w:t>
      </w:r>
      <w:r w:rsidRPr="00135B51">
        <w:rPr>
          <w:rStyle w:val="Hyperlink"/>
          <w:rFonts w:ascii="Arial" w:hAnsi="Arial" w:cs="Arial"/>
          <w:color w:val="0000FC"/>
          <w:sz w:val="18"/>
          <w:szCs w:val="18"/>
          <w:u w:val="none"/>
        </w:rPr>
        <w:t xml:space="preserve">. ATAR information must be provided. Selection rank is optional. This information should include </w:t>
      </w:r>
      <w:r>
        <w:rPr>
          <w:rStyle w:val="Hyperlink"/>
          <w:rFonts w:ascii="Arial" w:hAnsi="Arial" w:cs="Arial"/>
          <w:color w:val="0000FC"/>
          <w:sz w:val="18"/>
          <w:szCs w:val="18"/>
          <w:u w:val="none"/>
        </w:rPr>
        <w:t xml:space="preserve">all </w:t>
      </w:r>
      <w:r w:rsidRPr="00135B51">
        <w:rPr>
          <w:rStyle w:val="Hyperlink"/>
          <w:rFonts w:ascii="Arial" w:hAnsi="Arial" w:cs="Arial"/>
          <w:color w:val="0000FC"/>
          <w:sz w:val="18"/>
          <w:szCs w:val="18"/>
          <w:u w:val="none"/>
        </w:rPr>
        <w:t>offer</w:t>
      </w:r>
      <w:r>
        <w:rPr>
          <w:rStyle w:val="Hyperlink"/>
          <w:rFonts w:ascii="Arial" w:hAnsi="Arial" w:cs="Arial"/>
          <w:color w:val="0000FC"/>
          <w:sz w:val="18"/>
          <w:szCs w:val="18"/>
          <w:u w:val="none"/>
        </w:rPr>
        <w:t xml:space="preserve">s </w:t>
      </w:r>
      <w:r w:rsidR="00C423C5">
        <w:rPr>
          <w:rStyle w:val="Hyperlink"/>
          <w:rFonts w:ascii="Arial" w:hAnsi="Arial" w:cs="Arial"/>
          <w:color w:val="0000FC"/>
          <w:sz w:val="18"/>
          <w:szCs w:val="18"/>
          <w:u w:val="none"/>
        </w:rPr>
        <w:t xml:space="preserve">made </w:t>
      </w:r>
      <w:r>
        <w:rPr>
          <w:rStyle w:val="Hyperlink"/>
          <w:rFonts w:ascii="Arial" w:hAnsi="Arial" w:cs="Arial"/>
          <w:color w:val="0000FC"/>
          <w:sz w:val="18"/>
          <w:szCs w:val="18"/>
          <w:u w:val="none"/>
        </w:rPr>
        <w:t>during the relevant intake period where ATAR was a factor in th</w:t>
      </w:r>
      <w:r w:rsidR="00C423C5">
        <w:rPr>
          <w:rStyle w:val="Hyperlink"/>
          <w:rFonts w:ascii="Arial" w:hAnsi="Arial" w:cs="Arial"/>
          <w:color w:val="0000FC"/>
          <w:sz w:val="18"/>
          <w:szCs w:val="18"/>
          <w:u w:val="none"/>
        </w:rPr>
        <w:t>e</w:t>
      </w:r>
      <w:r>
        <w:rPr>
          <w:rStyle w:val="Hyperlink"/>
          <w:rFonts w:ascii="Arial" w:hAnsi="Arial" w:cs="Arial"/>
          <w:color w:val="0000FC"/>
          <w:sz w:val="18"/>
          <w:szCs w:val="18"/>
          <w:u w:val="none"/>
        </w:rPr>
        <w:t xml:space="preserve"> </w:t>
      </w:r>
      <w:r w:rsidR="00C423C5">
        <w:rPr>
          <w:rStyle w:val="Hyperlink"/>
          <w:rFonts w:ascii="Arial" w:hAnsi="Arial" w:cs="Arial"/>
          <w:color w:val="0000FC"/>
          <w:sz w:val="18"/>
          <w:szCs w:val="18"/>
          <w:u w:val="none"/>
        </w:rPr>
        <w:t>selection</w:t>
      </w:r>
      <w:r w:rsidRPr="00135B51">
        <w:rPr>
          <w:rStyle w:val="Hyperlink"/>
          <w:rFonts w:ascii="Arial" w:hAnsi="Arial" w:cs="Arial"/>
          <w:color w:val="0000FC"/>
          <w:sz w:val="18"/>
          <w:szCs w:val="18"/>
          <w:u w:val="none"/>
        </w:rPr>
        <w:t>.</w:t>
      </w:r>
      <w:r w:rsidRPr="00537ABC">
        <w:rPr>
          <w:rStyle w:val="Hyperlink"/>
          <w:rFonts w:ascii="Arial" w:hAnsi="Arial"/>
          <w:color w:val="0000FC"/>
          <w:sz w:val="18"/>
          <w:u w:val="none"/>
        </w:rPr>
        <w:t xml:space="preserve"> If year-to-date figures are used – e.g. following the conclusion of first semester intake – the data must include any offers </w:t>
      </w:r>
      <w:r w:rsidRPr="00135B51">
        <w:rPr>
          <w:rStyle w:val="Hyperlink"/>
          <w:rFonts w:ascii="Arial" w:hAnsi="Arial" w:cs="Arial"/>
          <w:color w:val="0000FC"/>
          <w:sz w:val="18"/>
          <w:szCs w:val="18"/>
          <w:u w:val="none"/>
        </w:rPr>
        <w:t>made in the previous calendar year that relate to that intake.</w:t>
      </w:r>
    </w:p>
    <w:p w:rsidR="00A4243F" w:rsidRPr="00E77D30" w:rsidRDefault="00A4243F" w:rsidP="00E77D30">
      <w:pPr>
        <w:spacing w:after="240"/>
        <w:ind w:left="720"/>
        <w:rPr>
          <w:rStyle w:val="Hyperlink"/>
          <w:rFonts w:ascii="Arial" w:hAnsi="Arial" w:cs="Arial"/>
          <w:color w:val="0000FC"/>
          <w:sz w:val="18"/>
          <w:szCs w:val="18"/>
          <w:u w:val="none"/>
        </w:rPr>
      </w:pPr>
      <w:r>
        <w:rPr>
          <w:rStyle w:val="Hyperlink"/>
          <w:rFonts w:ascii="Arial" w:hAnsi="Arial" w:cs="Arial"/>
          <w:color w:val="0000FC"/>
          <w:sz w:val="18"/>
          <w:szCs w:val="18"/>
          <w:u w:val="none"/>
        </w:rPr>
        <w:t xml:space="preserve">If less than </w:t>
      </w:r>
      <w:r w:rsidR="00E44061">
        <w:rPr>
          <w:rStyle w:val="Hyperlink"/>
          <w:rFonts w:ascii="Arial" w:hAnsi="Arial" w:cs="Arial"/>
          <w:color w:val="0000FC"/>
          <w:sz w:val="18"/>
          <w:szCs w:val="18"/>
          <w:u w:val="none"/>
        </w:rPr>
        <w:t xml:space="preserve">25 </w:t>
      </w:r>
      <w:r>
        <w:rPr>
          <w:rStyle w:val="Hyperlink"/>
          <w:rFonts w:ascii="Arial" w:hAnsi="Arial" w:cs="Arial"/>
          <w:color w:val="0000FC"/>
          <w:sz w:val="18"/>
          <w:szCs w:val="18"/>
          <w:u w:val="none"/>
        </w:rPr>
        <w:t xml:space="preserve">offers were made wholly or partly on the basis of ATAR, only the lowest </w:t>
      </w:r>
      <w:r w:rsidR="00AF7806">
        <w:rPr>
          <w:rStyle w:val="Hyperlink"/>
          <w:rFonts w:ascii="Arial" w:hAnsi="Arial" w:cs="Arial"/>
          <w:color w:val="0000FC"/>
          <w:sz w:val="18"/>
          <w:szCs w:val="18"/>
          <w:u w:val="none"/>
        </w:rPr>
        <w:t xml:space="preserve">and highest </w:t>
      </w:r>
      <w:r>
        <w:rPr>
          <w:rStyle w:val="Hyperlink"/>
          <w:rFonts w:ascii="Arial" w:hAnsi="Arial" w:cs="Arial"/>
          <w:color w:val="0000FC"/>
          <w:sz w:val="18"/>
          <w:szCs w:val="18"/>
          <w:u w:val="none"/>
        </w:rPr>
        <w:t>rank</w:t>
      </w:r>
      <w:r w:rsidR="00AF7806">
        <w:rPr>
          <w:rStyle w:val="Hyperlink"/>
          <w:rFonts w:ascii="Arial" w:hAnsi="Arial" w:cs="Arial"/>
          <w:color w:val="0000FC"/>
          <w:sz w:val="18"/>
          <w:szCs w:val="18"/>
          <w:u w:val="none"/>
        </w:rPr>
        <w:t>s</w:t>
      </w:r>
      <w:r>
        <w:rPr>
          <w:rStyle w:val="Hyperlink"/>
          <w:rFonts w:ascii="Arial" w:hAnsi="Arial" w:cs="Arial"/>
          <w:color w:val="0000FC"/>
          <w:sz w:val="18"/>
          <w:szCs w:val="18"/>
          <w:u w:val="none"/>
        </w:rPr>
        <w:t xml:space="preserve"> to receive an offer should be published. If less than 5 offers of places were made wholly or partly on the basis of ATAR, no figures should be published.]</w:t>
      </w:r>
    </w:p>
    <w:p w:rsidR="0028367E" w:rsidRDefault="0028367E">
      <w:pPr>
        <w:rPr>
          <w:rFonts w:ascii="Corbel" w:hAnsi="Corbel"/>
          <w:i/>
        </w:rPr>
      </w:pPr>
      <w:r>
        <w:rPr>
          <w:rFonts w:ascii="Corbel" w:hAnsi="Corbel"/>
          <w:i/>
        </w:rPr>
        <w:br w:type="page"/>
      </w:r>
    </w:p>
    <w:p w:rsidR="00BD32DA" w:rsidRPr="00135B51" w:rsidRDefault="00BD32DA" w:rsidP="00BD32DA">
      <w:pPr>
        <w:keepNext/>
        <w:spacing w:before="240" w:after="0"/>
        <w:ind w:left="720"/>
        <w:rPr>
          <w:rFonts w:ascii="Corbel" w:hAnsi="Corbel"/>
          <w:i/>
        </w:rPr>
      </w:pPr>
      <w:r w:rsidRPr="00135B51">
        <w:rPr>
          <w:rFonts w:ascii="Corbel" w:hAnsi="Corbel"/>
          <w:i/>
        </w:rPr>
        <w:t xml:space="preserve">Other admission options </w:t>
      </w:r>
      <w:r w:rsidRPr="00135B51">
        <w:rPr>
          <w:rFonts w:ascii="Corbel" w:hAnsi="Corbel" w:cs="Arial"/>
          <w:i/>
          <w:color w:val="0000FF"/>
        </w:rPr>
        <w:t>[Optional in 2017]</w:t>
      </w:r>
    </w:p>
    <w:p w:rsidR="00BD32DA" w:rsidRPr="00135B51" w:rsidRDefault="00BD32DA" w:rsidP="00BD32DA">
      <w:pPr>
        <w:keepNext/>
        <w:keepLines/>
        <w:spacing w:after="120"/>
        <w:ind w:left="329" w:firstLine="391"/>
        <w:outlineLvl w:val="2"/>
        <w:rPr>
          <w:rFonts w:ascii="Corbel" w:hAnsi="Corbel" w:cs="Arial"/>
          <w:i/>
          <w:sz w:val="18"/>
          <w:szCs w:val="18"/>
        </w:rPr>
      </w:pPr>
      <w:bookmarkStart w:id="265" w:name="_Toc480754912"/>
      <w:bookmarkStart w:id="266" w:name="_Toc482805088"/>
      <w:bookmarkStart w:id="267" w:name="_Toc483263600"/>
      <w:bookmarkStart w:id="268" w:name="_Toc483350240"/>
      <w:bookmarkStart w:id="269" w:name="_Toc483813656"/>
      <w:bookmarkStart w:id="270" w:name="_Toc484093526"/>
      <w:r w:rsidRPr="00135B51">
        <w:rPr>
          <w:rFonts w:ascii="Corbel" w:hAnsi="Corbel" w:cs="Arial"/>
          <w:i/>
          <w:sz w:val="18"/>
          <w:szCs w:val="18"/>
        </w:rPr>
        <w:t>(For applicants who will be selected on a basis other than ATAR)</w:t>
      </w:r>
      <w:bookmarkEnd w:id="265"/>
      <w:bookmarkEnd w:id="266"/>
      <w:bookmarkEnd w:id="267"/>
      <w:bookmarkEnd w:id="268"/>
      <w:bookmarkEnd w:id="269"/>
      <w:bookmarkEnd w:id="270"/>
    </w:p>
    <w:p w:rsidR="00BD32DA" w:rsidRPr="00537ABC" w:rsidRDefault="00BD32DA" w:rsidP="00BD32DA">
      <w:pPr>
        <w:spacing w:after="0"/>
        <w:ind w:left="720"/>
        <w:rPr>
          <w:rStyle w:val="Hyperlink"/>
          <w:rFonts w:ascii="Arial" w:hAnsi="Arial"/>
          <w:color w:val="0000FC"/>
          <w:sz w:val="18"/>
          <w:u w:val="none"/>
        </w:rPr>
      </w:pPr>
      <w:r w:rsidRPr="00135B51">
        <w:rPr>
          <w:rStyle w:val="Hyperlink"/>
          <w:rFonts w:ascii="Arial" w:hAnsi="Arial" w:cs="Arial"/>
          <w:color w:val="0000FC"/>
          <w:sz w:val="18"/>
          <w:szCs w:val="18"/>
          <w:u w:val="none"/>
        </w:rPr>
        <w:t>[Information on non-ATAR</w:t>
      </w:r>
      <w:r w:rsidRPr="00537ABC">
        <w:rPr>
          <w:rStyle w:val="Hyperlink"/>
          <w:rFonts w:ascii="Arial" w:hAnsi="Arial"/>
          <w:color w:val="0000FC"/>
          <w:sz w:val="18"/>
          <w:u w:val="none"/>
        </w:rPr>
        <w:t xml:space="preserve"> application pathways that may be suitable for recent secondary students, especially those who do not meet or are not required to meet specified ATAR </w:t>
      </w:r>
      <w:r w:rsidR="00AB3E40">
        <w:rPr>
          <w:rStyle w:val="Hyperlink"/>
          <w:rFonts w:ascii="Arial" w:hAnsi="Arial"/>
          <w:color w:val="0000FC"/>
          <w:sz w:val="18"/>
          <w:u w:val="none"/>
        </w:rPr>
        <w:t>criteria</w:t>
      </w:r>
      <w:r w:rsidRPr="00537ABC">
        <w:rPr>
          <w:rStyle w:val="Hyperlink"/>
          <w:rFonts w:ascii="Arial" w:hAnsi="Arial"/>
          <w:color w:val="0000FC"/>
          <w:sz w:val="18"/>
          <w:u w:val="none"/>
        </w:rPr>
        <w:t>.</w:t>
      </w:r>
      <w:r w:rsidR="00F5655F">
        <w:rPr>
          <w:rStyle w:val="Hyperlink"/>
          <w:rFonts w:ascii="Arial" w:hAnsi="Arial"/>
          <w:color w:val="0000FC"/>
          <w:sz w:val="18"/>
          <w:u w:val="none"/>
        </w:rPr>
        <w:t xml:space="preserve"> </w:t>
      </w:r>
    </w:p>
    <w:p w:rsidR="00BD32DA" w:rsidRPr="00537ABC" w:rsidRDefault="00BD32DA" w:rsidP="00BD32DA">
      <w:pPr>
        <w:pStyle w:val="ListParagraph"/>
        <w:numPr>
          <w:ilvl w:val="1"/>
          <w:numId w:val="18"/>
        </w:numPr>
        <w:spacing w:after="0"/>
        <w:rPr>
          <w:rStyle w:val="Hyperlink"/>
          <w:rFonts w:ascii="Arial" w:hAnsi="Arial"/>
          <w:color w:val="0000FC"/>
          <w:sz w:val="18"/>
          <w:u w:val="none"/>
        </w:rPr>
      </w:pPr>
      <w:r w:rsidRPr="00537ABC">
        <w:rPr>
          <w:rStyle w:val="Hyperlink"/>
          <w:rFonts w:ascii="Arial" w:hAnsi="Arial"/>
          <w:color w:val="0000FC"/>
          <w:sz w:val="18"/>
          <w:u w:val="none"/>
        </w:rPr>
        <w:t xml:space="preserve">Pathway 1 – e.g. pre-selection schemes </w:t>
      </w:r>
    </w:p>
    <w:p w:rsidR="00BD32DA" w:rsidRPr="00537ABC" w:rsidRDefault="00BD32DA" w:rsidP="00BD32DA">
      <w:pPr>
        <w:pStyle w:val="ListParagraph"/>
        <w:numPr>
          <w:ilvl w:val="1"/>
          <w:numId w:val="18"/>
        </w:numPr>
        <w:spacing w:after="0"/>
        <w:rPr>
          <w:rStyle w:val="Hyperlink"/>
          <w:rFonts w:ascii="Arial" w:hAnsi="Arial"/>
          <w:color w:val="0000FC"/>
          <w:sz w:val="18"/>
          <w:u w:val="none"/>
        </w:rPr>
      </w:pPr>
      <w:r w:rsidRPr="00537ABC">
        <w:rPr>
          <w:rStyle w:val="Hyperlink"/>
          <w:rFonts w:ascii="Arial" w:hAnsi="Arial"/>
          <w:color w:val="0000FC"/>
          <w:sz w:val="18"/>
          <w:u w:val="none"/>
        </w:rPr>
        <w:t>Pathway 2 – e.g. Indigenous admission scheme</w:t>
      </w:r>
    </w:p>
    <w:p w:rsidR="00BD32DA" w:rsidRPr="00537ABC" w:rsidRDefault="00BD32DA" w:rsidP="00BD32DA">
      <w:pPr>
        <w:pStyle w:val="ListParagraph"/>
        <w:numPr>
          <w:ilvl w:val="1"/>
          <w:numId w:val="18"/>
        </w:numPr>
        <w:spacing w:after="0"/>
        <w:rPr>
          <w:rStyle w:val="Hyperlink"/>
          <w:rFonts w:ascii="Arial" w:hAnsi="Arial"/>
          <w:color w:val="0000FC"/>
          <w:sz w:val="18"/>
          <w:u w:val="none"/>
        </w:rPr>
      </w:pPr>
      <w:r w:rsidRPr="00537ABC">
        <w:rPr>
          <w:rStyle w:val="Hyperlink"/>
          <w:rFonts w:ascii="Arial" w:hAnsi="Arial"/>
          <w:color w:val="0000FC"/>
          <w:sz w:val="18"/>
          <w:u w:val="none"/>
        </w:rPr>
        <w:t>Pathway 3 – e.g. disability admission scheme</w:t>
      </w:r>
    </w:p>
    <w:p w:rsidR="00BD32DA" w:rsidRPr="00135B51" w:rsidRDefault="00BD32DA" w:rsidP="00BD32DA">
      <w:pPr>
        <w:pStyle w:val="ListParagraph"/>
        <w:numPr>
          <w:ilvl w:val="1"/>
          <w:numId w:val="18"/>
        </w:numPr>
        <w:spacing w:after="0"/>
        <w:rPr>
          <w:rStyle w:val="Hyperlink"/>
          <w:rFonts w:ascii="Arial" w:hAnsi="Arial" w:cs="Arial"/>
          <w:color w:val="0000FC"/>
          <w:sz w:val="18"/>
          <w:szCs w:val="18"/>
          <w:u w:val="none"/>
        </w:rPr>
      </w:pPr>
      <w:r w:rsidRPr="00537ABC">
        <w:rPr>
          <w:rStyle w:val="Hyperlink"/>
          <w:rFonts w:ascii="Arial" w:hAnsi="Arial"/>
          <w:color w:val="0000FC"/>
          <w:sz w:val="18"/>
          <w:u w:val="none"/>
        </w:rPr>
        <w:t>Pathway 4 – e.g. elite sports or artistic performance admission scheme</w:t>
      </w:r>
      <w:r w:rsidR="00D12A91">
        <w:rPr>
          <w:rStyle w:val="Hyperlink"/>
          <w:rFonts w:ascii="Arial" w:hAnsi="Arial" w:cs="Arial"/>
          <w:color w:val="0000FC"/>
          <w:sz w:val="18"/>
          <w:szCs w:val="18"/>
          <w:u w:val="none"/>
        </w:rPr>
        <w:t>, community service</w:t>
      </w:r>
    </w:p>
    <w:p w:rsidR="00BD32DA" w:rsidRPr="00537ABC" w:rsidRDefault="00BD32DA" w:rsidP="00BD32DA">
      <w:pPr>
        <w:pStyle w:val="ListParagraph"/>
        <w:numPr>
          <w:ilvl w:val="1"/>
          <w:numId w:val="18"/>
        </w:numPr>
        <w:spacing w:after="0"/>
        <w:rPr>
          <w:rStyle w:val="Hyperlink"/>
          <w:rFonts w:ascii="Arial" w:hAnsi="Arial"/>
          <w:color w:val="0000FC"/>
          <w:sz w:val="18"/>
          <w:u w:val="none"/>
        </w:rPr>
      </w:pPr>
      <w:r w:rsidRPr="00537ABC">
        <w:rPr>
          <w:rStyle w:val="Hyperlink"/>
          <w:rFonts w:ascii="Arial" w:hAnsi="Arial"/>
          <w:color w:val="0000FC"/>
          <w:sz w:val="18"/>
          <w:u w:val="none"/>
        </w:rPr>
        <w:t>Pathway 5 – special consideration (for students whose ATAR achievement has been compromised by specific situations beyond the applicants’ control).]</w:t>
      </w:r>
    </w:p>
    <w:p w:rsidR="00BD32DA" w:rsidRPr="00135B51" w:rsidRDefault="00BD32DA" w:rsidP="005A565D">
      <w:pPr>
        <w:pStyle w:val="Recommendationwithspace"/>
        <w:numPr>
          <w:ilvl w:val="0"/>
          <w:numId w:val="22"/>
        </w:numPr>
        <w:pBdr>
          <w:top w:val="none" w:sz="0" w:space="0" w:color="auto"/>
        </w:pBdr>
        <w:shd w:val="clear" w:color="auto" w:fill="auto"/>
        <w:spacing w:line="240" w:lineRule="auto"/>
        <w:ind w:left="714" w:hanging="357"/>
        <w:rPr>
          <w:rFonts w:ascii="Corbel" w:hAnsi="Corbel" w:cs="Arial"/>
          <w:color w:val="auto"/>
        </w:rPr>
      </w:pPr>
      <w:bookmarkStart w:id="271" w:name="_Toc480754915"/>
      <w:bookmarkStart w:id="272" w:name="_Toc483263601"/>
      <w:bookmarkStart w:id="273" w:name="_Toc482805099"/>
      <w:bookmarkStart w:id="274" w:name="_Toc483350241"/>
      <w:bookmarkStart w:id="275" w:name="_Toc483813657"/>
      <w:bookmarkStart w:id="276" w:name="_Toc484093527"/>
      <w:r w:rsidRPr="00135B51">
        <w:rPr>
          <w:rFonts w:ascii="Corbel" w:hAnsi="Corbel" w:cs="Arial"/>
          <w:color w:val="auto"/>
        </w:rPr>
        <w:t>Applicants with work and life experience</w:t>
      </w:r>
      <w:bookmarkEnd w:id="271"/>
      <w:r w:rsidR="00961882">
        <w:rPr>
          <w:rFonts w:ascii="Corbel" w:hAnsi="Corbel" w:cs="Arial"/>
          <w:color w:val="auto"/>
        </w:rPr>
        <w:t xml:space="preserve"> </w:t>
      </w:r>
      <w:r w:rsidR="00961882" w:rsidRPr="00135B51">
        <w:rPr>
          <w:rFonts w:ascii="Corbel" w:hAnsi="Corbel" w:cs="Arial"/>
          <w:b w:val="0"/>
          <w:i/>
          <w:color w:val="0000FF"/>
        </w:rPr>
        <w:t>[Optional in 2017]</w:t>
      </w:r>
      <w:r w:rsidR="00961882">
        <w:rPr>
          <w:rFonts w:ascii="Corbel" w:hAnsi="Corbel" w:cs="Arial"/>
          <w:color w:val="auto"/>
        </w:rPr>
        <w:br/>
      </w:r>
      <w:r w:rsidR="00961882" w:rsidRPr="000111CE">
        <w:rPr>
          <w:rFonts w:ascii="Corbel" w:hAnsi="Corbel" w:cs="Arial"/>
          <w:b w:val="0"/>
          <w:color w:val="auto"/>
        </w:rPr>
        <w:t>(includes those who left secondary education more than 2 years ago)</w:t>
      </w:r>
      <w:bookmarkEnd w:id="272"/>
      <w:bookmarkEnd w:id="273"/>
      <w:bookmarkEnd w:id="274"/>
      <w:bookmarkEnd w:id="275"/>
      <w:bookmarkEnd w:id="276"/>
    </w:p>
    <w:p w:rsidR="00BD32DA" w:rsidRPr="00537ABC" w:rsidRDefault="00BD32DA" w:rsidP="00BD32DA">
      <w:pPr>
        <w:spacing w:after="240"/>
        <w:ind w:left="720"/>
        <w:rPr>
          <w:rStyle w:val="Hyperlink"/>
          <w:rFonts w:ascii="Arial" w:hAnsi="Arial"/>
          <w:color w:val="0000FC"/>
          <w:sz w:val="18"/>
          <w:u w:val="none"/>
        </w:rPr>
      </w:pPr>
      <w:r w:rsidRPr="00537ABC">
        <w:rPr>
          <w:rStyle w:val="Hyperlink"/>
          <w:rFonts w:ascii="Arial" w:hAnsi="Arial"/>
          <w:color w:val="0000FC"/>
          <w:sz w:val="18"/>
          <w:u w:val="none"/>
        </w:rPr>
        <w:t xml:space="preserve">[Information relevant to people applying not on the basis of prior education participation, including admission via the Special Tertiary Admissions Test or any other admission tests, </w:t>
      </w:r>
      <w:r w:rsidR="00565856">
        <w:rPr>
          <w:rStyle w:val="Hyperlink"/>
          <w:rFonts w:ascii="Arial" w:hAnsi="Arial"/>
          <w:color w:val="0000FC"/>
          <w:sz w:val="18"/>
          <w:u w:val="none"/>
        </w:rPr>
        <w:t>non-formal courses, other pathway programs, and/</w:t>
      </w:r>
      <w:r w:rsidRPr="00537ABC">
        <w:rPr>
          <w:rStyle w:val="Hyperlink"/>
          <w:rFonts w:ascii="Arial" w:hAnsi="Arial"/>
          <w:color w:val="0000FC"/>
          <w:sz w:val="18"/>
          <w:u w:val="none"/>
        </w:rPr>
        <w:t xml:space="preserve">or on the basis of relevant </w:t>
      </w:r>
      <w:r w:rsidR="00565856">
        <w:rPr>
          <w:rStyle w:val="Hyperlink"/>
          <w:rFonts w:ascii="Arial" w:hAnsi="Arial"/>
          <w:color w:val="0000FC"/>
          <w:sz w:val="18"/>
          <w:u w:val="none"/>
        </w:rPr>
        <w:t xml:space="preserve">community, </w:t>
      </w:r>
      <w:r w:rsidRPr="00537ABC">
        <w:rPr>
          <w:rStyle w:val="Hyperlink"/>
          <w:rFonts w:ascii="Arial" w:hAnsi="Arial"/>
          <w:color w:val="0000FC"/>
          <w:sz w:val="18"/>
          <w:u w:val="none"/>
        </w:rPr>
        <w:t xml:space="preserve">professional or </w:t>
      </w:r>
      <w:r w:rsidR="006C5597">
        <w:rPr>
          <w:rStyle w:val="Hyperlink"/>
          <w:rFonts w:ascii="Arial" w:hAnsi="Arial"/>
          <w:color w:val="0000FC"/>
          <w:sz w:val="18"/>
          <w:u w:val="none"/>
        </w:rPr>
        <w:t xml:space="preserve">work </w:t>
      </w:r>
      <w:r w:rsidRPr="00537ABC">
        <w:rPr>
          <w:rStyle w:val="Hyperlink"/>
          <w:rFonts w:ascii="Arial" w:hAnsi="Arial"/>
          <w:color w:val="0000FC"/>
          <w:sz w:val="18"/>
          <w:u w:val="none"/>
        </w:rPr>
        <w:t>experience.]</w:t>
      </w:r>
    </w:p>
    <w:p w:rsidR="00BD32DA" w:rsidRPr="005A565D" w:rsidRDefault="00BD32DA" w:rsidP="00537ABC">
      <w:pPr>
        <w:keepNext/>
        <w:keepLines/>
        <w:numPr>
          <w:ilvl w:val="0"/>
          <w:numId w:val="15"/>
        </w:numPr>
        <w:spacing w:before="240" w:after="0" w:line="240" w:lineRule="auto"/>
        <w:ind w:left="567" w:hanging="567"/>
        <w:outlineLvl w:val="0"/>
        <w:rPr>
          <w:rFonts w:ascii="Corbel" w:hAnsi="Corbel"/>
          <w:b/>
          <w:sz w:val="28"/>
        </w:rPr>
      </w:pPr>
      <w:bookmarkStart w:id="277" w:name="_Toc480754920"/>
      <w:bookmarkStart w:id="278" w:name="_Toc482805100"/>
      <w:bookmarkStart w:id="279" w:name="_Toc483263602"/>
      <w:bookmarkStart w:id="280" w:name="_Toc483350242"/>
      <w:bookmarkStart w:id="281" w:name="_Toc483813658"/>
      <w:bookmarkStart w:id="282" w:name="_Toc484093528"/>
      <w:bookmarkStart w:id="283" w:name="_Toc480754916"/>
      <w:r w:rsidRPr="005A565D">
        <w:rPr>
          <w:rFonts w:ascii="Corbel" w:hAnsi="Corbel"/>
          <w:b/>
          <w:sz w:val="28"/>
        </w:rPr>
        <w:t>How to apply</w:t>
      </w:r>
      <w:bookmarkEnd w:id="277"/>
      <w:r w:rsidRPr="005A565D">
        <w:rPr>
          <w:rFonts w:ascii="Corbel" w:hAnsi="Corbel"/>
          <w:b/>
          <w:sz w:val="28"/>
        </w:rPr>
        <w:t xml:space="preserve"> </w:t>
      </w:r>
      <w:r w:rsidRPr="00EA05C3">
        <w:rPr>
          <w:rFonts w:ascii="Corbel" w:hAnsi="Corbel" w:cs="Arial"/>
          <w:i/>
          <w:color w:val="0000FF"/>
        </w:rPr>
        <w:t>[CORE – Optional in 2017]</w:t>
      </w:r>
      <w:bookmarkEnd w:id="278"/>
      <w:bookmarkEnd w:id="279"/>
      <w:bookmarkEnd w:id="280"/>
      <w:bookmarkEnd w:id="281"/>
      <w:bookmarkEnd w:id="282"/>
    </w:p>
    <w:p w:rsidR="00BD32DA" w:rsidRPr="00537ABC" w:rsidRDefault="00BD32DA" w:rsidP="00BD32DA">
      <w:pPr>
        <w:keepNext/>
        <w:spacing w:after="0"/>
        <w:rPr>
          <w:rStyle w:val="Hyperlink"/>
          <w:rFonts w:ascii="Arial" w:hAnsi="Arial"/>
          <w:color w:val="0000FC"/>
          <w:sz w:val="18"/>
          <w:u w:val="none"/>
        </w:rPr>
      </w:pPr>
      <w:r w:rsidRPr="00537ABC">
        <w:rPr>
          <w:rStyle w:val="Hyperlink"/>
          <w:rFonts w:ascii="Arial" w:hAnsi="Arial"/>
          <w:color w:val="0000FC"/>
          <w:sz w:val="18"/>
          <w:u w:val="none"/>
        </w:rPr>
        <w:t>[Provide information on how to apply for courses (with links to further information as appropriate), including:</w:t>
      </w:r>
    </w:p>
    <w:p w:rsidR="00BD32DA" w:rsidRPr="00537ABC" w:rsidRDefault="00BD32DA" w:rsidP="00BD32DA">
      <w:pPr>
        <w:pStyle w:val="ListParagraph"/>
        <w:keepNext/>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Through a TAC</w:t>
      </w:r>
    </w:p>
    <w:p w:rsidR="00BD32DA" w:rsidRPr="00537ABC" w:rsidRDefault="00BD32DA" w:rsidP="00BD32DA">
      <w:pPr>
        <w:pStyle w:val="ListParagraph"/>
        <w:keepNext/>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Via direct application to the institution</w:t>
      </w:r>
    </w:p>
    <w:p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 xml:space="preserve">Via pre-selection (‘early </w:t>
      </w:r>
      <w:r w:rsidR="00FA372F">
        <w:rPr>
          <w:rStyle w:val="Hyperlink"/>
          <w:rFonts w:ascii="Arial" w:hAnsi="Arial"/>
          <w:color w:val="0000FC"/>
          <w:sz w:val="18"/>
          <w:u w:val="none"/>
        </w:rPr>
        <w:t>offer</w:t>
      </w:r>
      <w:r w:rsidRPr="00537ABC">
        <w:rPr>
          <w:rStyle w:val="Hyperlink"/>
          <w:rFonts w:ascii="Arial" w:hAnsi="Arial"/>
          <w:color w:val="0000FC"/>
          <w:sz w:val="18"/>
          <w:u w:val="none"/>
        </w:rPr>
        <w:t>’) arrangements.]</w:t>
      </w:r>
    </w:p>
    <w:p w:rsidR="00BD32DA" w:rsidRPr="005A565D" w:rsidRDefault="00BD32DA" w:rsidP="00BD32DA">
      <w:pPr>
        <w:keepNext/>
        <w:keepLines/>
        <w:numPr>
          <w:ilvl w:val="0"/>
          <w:numId w:val="15"/>
        </w:numPr>
        <w:spacing w:before="240" w:after="0" w:line="240" w:lineRule="auto"/>
        <w:ind w:left="567" w:hanging="567"/>
        <w:outlineLvl w:val="0"/>
        <w:rPr>
          <w:rFonts w:ascii="Corbel" w:hAnsi="Corbel"/>
          <w:b/>
          <w:sz w:val="28"/>
        </w:rPr>
      </w:pPr>
      <w:bookmarkStart w:id="284" w:name="_Toc480754917"/>
      <w:bookmarkStart w:id="285" w:name="_Toc482805101"/>
      <w:bookmarkStart w:id="286" w:name="_Toc483263603"/>
      <w:bookmarkStart w:id="287" w:name="_Toc483350243"/>
      <w:bookmarkStart w:id="288" w:name="_Toc483813659"/>
      <w:bookmarkStart w:id="289" w:name="_Toc484093529"/>
      <w:bookmarkEnd w:id="283"/>
      <w:r w:rsidRPr="005A565D">
        <w:rPr>
          <w:rFonts w:ascii="Corbel" w:hAnsi="Corbel"/>
          <w:b/>
          <w:sz w:val="28"/>
        </w:rPr>
        <w:t>Advanced standing/academic credit/recognition of prior learning</w:t>
      </w:r>
      <w:r w:rsidR="00EA05C3" w:rsidRPr="005A565D">
        <w:rPr>
          <w:rFonts w:ascii="Corbel" w:hAnsi="Corbel"/>
          <w:b/>
          <w:sz w:val="20"/>
        </w:rPr>
        <w:t xml:space="preserve"> </w:t>
      </w:r>
      <w:r w:rsidRPr="005A565D">
        <w:rPr>
          <w:rFonts w:ascii="Corbel" w:hAnsi="Corbel"/>
          <w:b/>
          <w:sz w:val="28"/>
        </w:rPr>
        <w:t>(RPL)</w:t>
      </w:r>
      <w:bookmarkEnd w:id="284"/>
      <w:r w:rsidR="00EA05C3">
        <w:rPr>
          <w:rFonts w:ascii="Corbel" w:hAnsi="Corbel"/>
          <w:b/>
          <w:sz w:val="28"/>
        </w:rPr>
        <w:br/>
      </w:r>
      <w:r w:rsidRPr="00EA05C3">
        <w:rPr>
          <w:rFonts w:ascii="Corbel" w:hAnsi="Corbel" w:cs="Arial"/>
          <w:i/>
          <w:color w:val="0000FF"/>
        </w:rPr>
        <w:t>[CORE – Optional in 2017]</w:t>
      </w:r>
      <w:bookmarkEnd w:id="285"/>
      <w:bookmarkEnd w:id="286"/>
      <w:bookmarkEnd w:id="287"/>
      <w:bookmarkEnd w:id="288"/>
      <w:bookmarkEnd w:id="289"/>
    </w:p>
    <w:p w:rsidR="00BD32DA" w:rsidRPr="00537ABC" w:rsidRDefault="00BD32DA" w:rsidP="00537ABC">
      <w:pPr>
        <w:spacing w:after="120"/>
        <w:rPr>
          <w:rStyle w:val="Hyperlink"/>
          <w:rFonts w:ascii="Corbel" w:hAnsi="Corbel"/>
          <w:color w:val="auto"/>
          <w:sz w:val="18"/>
          <w:u w:val="none"/>
        </w:rPr>
      </w:pPr>
      <w:r w:rsidRPr="00537ABC">
        <w:rPr>
          <w:rStyle w:val="Hyperlink"/>
          <w:rFonts w:ascii="Corbel" w:hAnsi="Corbel"/>
          <w:color w:val="auto"/>
          <w:sz w:val="18"/>
          <w:u w:val="none"/>
        </w:rPr>
        <w:t>You may be entitled to credit for prior learning, whether formal or informal. Formal learning can include previous study in higher education, vocational education, or adult and community education. Informal learning can include on the job learning or various kinds of work and life experience. Credit can reduce the amount of study needed to complete a degree.</w:t>
      </w:r>
    </w:p>
    <w:p w:rsidR="0028367E" w:rsidRDefault="00BD32DA" w:rsidP="00BD32DA">
      <w:pPr>
        <w:spacing w:after="240"/>
        <w:rPr>
          <w:rStyle w:val="Hyperlink"/>
          <w:rFonts w:ascii="Arial" w:hAnsi="Arial" w:cs="Arial"/>
          <w:color w:val="0000FC"/>
          <w:sz w:val="18"/>
          <w:szCs w:val="18"/>
          <w:u w:val="none"/>
        </w:rPr>
      </w:pPr>
      <w:r w:rsidRPr="00537ABC">
        <w:rPr>
          <w:rStyle w:val="Hyperlink"/>
          <w:rFonts w:ascii="Corbel" w:hAnsi="Corbel"/>
          <w:color w:val="auto"/>
          <w:sz w:val="18"/>
          <w:u w:val="none"/>
        </w:rPr>
        <w:t xml:space="preserve">For further information about credit and recognition of prior learning please see </w:t>
      </w:r>
      <w:r w:rsidRPr="00537ABC">
        <w:rPr>
          <w:rStyle w:val="Hyperlink"/>
          <w:rFonts w:ascii="Corbel" w:hAnsi="Corbel"/>
          <w:color w:val="0000FC"/>
          <w:sz w:val="18"/>
          <w:u w:val="none"/>
        </w:rPr>
        <w:t>[</w:t>
      </w:r>
      <w:r w:rsidRPr="00537ABC">
        <w:rPr>
          <w:rStyle w:val="Hyperlink"/>
          <w:rFonts w:ascii="Corbel" w:hAnsi="Corbel"/>
          <w:color w:val="0000FC"/>
          <w:sz w:val="18"/>
        </w:rPr>
        <w:t>Link to further information about advanced standing, RPL</w:t>
      </w:r>
      <w:r w:rsidRPr="00537ABC">
        <w:rPr>
          <w:rStyle w:val="Hyperlink"/>
          <w:rFonts w:ascii="Corbel" w:hAnsi="Corbel"/>
          <w:color w:val="0000FC"/>
          <w:sz w:val="18"/>
          <w:u w:val="none"/>
        </w:rPr>
        <w:t xml:space="preserve">] </w:t>
      </w:r>
      <w:r w:rsidRPr="00537ABC">
        <w:rPr>
          <w:rStyle w:val="Hyperlink"/>
          <w:rFonts w:ascii="Corbel" w:hAnsi="Corbel"/>
          <w:color w:val="auto"/>
          <w:sz w:val="18"/>
          <w:u w:val="none"/>
        </w:rPr>
        <w:t xml:space="preserve">or contact </w:t>
      </w:r>
      <w:r w:rsidRPr="00537ABC">
        <w:rPr>
          <w:rStyle w:val="Hyperlink"/>
          <w:rFonts w:ascii="Corbel" w:hAnsi="Corbel"/>
          <w:color w:val="0000FC"/>
          <w:sz w:val="18"/>
          <w:u w:val="none"/>
        </w:rPr>
        <w:t>[contact details for relevant credit arrangements]</w:t>
      </w:r>
      <w:r w:rsidRPr="00135B51">
        <w:rPr>
          <w:rStyle w:val="Hyperlink"/>
          <w:rFonts w:ascii="Corbel" w:hAnsi="Corbel"/>
          <w:color w:val="0000FC"/>
          <w:sz w:val="18"/>
          <w:szCs w:val="18"/>
          <w:u w:val="none"/>
        </w:rPr>
        <w:t xml:space="preserve"> </w:t>
      </w:r>
      <w:r w:rsidRPr="00135B51">
        <w:rPr>
          <w:rStyle w:val="Hyperlink"/>
          <w:rFonts w:ascii="Arial" w:hAnsi="Arial" w:cs="Arial"/>
          <w:color w:val="0000FC"/>
          <w:sz w:val="18"/>
          <w:szCs w:val="18"/>
          <w:u w:val="none"/>
        </w:rPr>
        <w:t>[A list of formal RPL agreements that lead into this course could be included or linked to at this point.]</w:t>
      </w:r>
    </w:p>
    <w:p w:rsidR="0028367E" w:rsidRDefault="0028367E">
      <w:pPr>
        <w:rPr>
          <w:rStyle w:val="Hyperlink"/>
          <w:rFonts w:ascii="Arial" w:hAnsi="Arial" w:cs="Arial"/>
          <w:color w:val="0000FC"/>
          <w:sz w:val="18"/>
          <w:szCs w:val="18"/>
          <w:u w:val="none"/>
        </w:rPr>
      </w:pPr>
      <w:r>
        <w:rPr>
          <w:rStyle w:val="Hyperlink"/>
          <w:rFonts w:ascii="Arial" w:hAnsi="Arial" w:cs="Arial"/>
          <w:color w:val="0000FC"/>
          <w:sz w:val="18"/>
          <w:szCs w:val="18"/>
          <w:u w:val="none"/>
        </w:rPr>
        <w:br w:type="page"/>
      </w:r>
    </w:p>
    <w:p w:rsidR="00BD32DA" w:rsidRPr="00EA05C3" w:rsidRDefault="0028367E" w:rsidP="00BD32DA">
      <w:pPr>
        <w:keepNext/>
        <w:keepLines/>
        <w:numPr>
          <w:ilvl w:val="0"/>
          <w:numId w:val="15"/>
        </w:numPr>
        <w:spacing w:before="240" w:after="0" w:line="240" w:lineRule="auto"/>
        <w:ind w:left="567" w:hanging="567"/>
        <w:outlineLvl w:val="0"/>
        <w:rPr>
          <w:rFonts w:ascii="Corbel" w:hAnsi="Corbel"/>
          <w:b/>
          <w:sz w:val="28"/>
        </w:rPr>
      </w:pPr>
      <w:bookmarkStart w:id="290" w:name="_Toc483263604"/>
      <w:bookmarkStart w:id="291" w:name="_Toc483350244"/>
      <w:bookmarkStart w:id="292" w:name="_Toc483813660"/>
      <w:bookmarkStart w:id="293" w:name="_Toc484093530"/>
      <w:r w:rsidRPr="006D7C3A">
        <w:rPr>
          <w:rStyle w:val="Hyperlink"/>
          <w:rFonts w:ascii="Corbel" w:hAnsi="Corbel" w:cs="Arial"/>
          <w:noProof/>
          <w:color w:val="0000FC"/>
          <w:sz w:val="18"/>
          <w:szCs w:val="18"/>
          <w:u w:val="none"/>
          <w:lang w:eastAsia="en-AU"/>
        </w:rPr>
        <mc:AlternateContent>
          <mc:Choice Requires="wps">
            <w:drawing>
              <wp:anchor distT="0" distB="0" distL="114300" distR="114300" simplePos="0" relativeHeight="251680768" behindDoc="1" locked="0" layoutInCell="1" allowOverlap="1" wp14:anchorId="335526B1" wp14:editId="64BA1FFA">
                <wp:simplePos x="0" y="0"/>
                <wp:positionH relativeFrom="column">
                  <wp:posOffset>-142875</wp:posOffset>
                </wp:positionH>
                <wp:positionV relativeFrom="paragraph">
                  <wp:posOffset>-165735</wp:posOffset>
                </wp:positionV>
                <wp:extent cx="6162675" cy="6877050"/>
                <wp:effectExtent l="0" t="0" r="952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6877050"/>
                        </a:xfrm>
                        <a:prstGeom prst="rect">
                          <a:avLst/>
                        </a:prstGeom>
                        <a:solidFill>
                          <a:srgbClr val="FFFFFF"/>
                        </a:solidFill>
                        <a:ln w="9525">
                          <a:noFill/>
                          <a:miter lim="800000"/>
                          <a:headEnd/>
                          <a:tailEnd/>
                        </a:ln>
                      </wps:spPr>
                      <wps:txbx>
                        <w:txbxContent>
                          <w:p w:rsidR="001910BA" w:rsidRDefault="001910BA" w:rsidP="00BD32DA">
                            <w:pPr>
                              <w:shd w:val="clear" w:color="auto" w:fill="EBECDB" w:themeFill="accent4"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position:absolute;left:0;text-align:left;margin-left:-11.25pt;margin-top:-13.05pt;width:485.25pt;height:54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kTJAIAACUEAAAOAAAAZHJzL2Uyb0RvYy54bWysU9uO2yAQfa/Uf0C8N3as3NaKs9pmm6rS&#10;9iLt9gMwxjEqMBRI7PTrO+AkjbZvVXlADDMcZs6ZWd8PWpGjcF6Cqeh0klMiDIdGmn1Fv7/s3q0o&#10;8YGZhikwoqIn4en95u2bdW9LUUAHqhGOIIjxZW8r2oVgyyzzvBOa+QlYYdDZgtMsoOn2WeNYj+ha&#10;ZUWeL7IeXGMdcOE93j6OTrpJ+G0rePjatl4EoiqKuYW0u7TXcc82a1buHbOd5Oc02D9koZk0+OkV&#10;6pEFRg5O/gWlJXfgoQ0TDjqDtpVcpBqwmmn+qprnjlmRakFyvL3S5P8fLP9y/OaIbFC7ghLDNGr0&#10;IoZA3sNA8Ar56a0vMezZYmAY8B5jU63ePgH/4YmBbcfMXjw4B30nWIP5TePL7ObpiOMjSN1/hgb/&#10;YYcACWhonY7kIR0E0VGn01WbmAvHy8V0USyWc0o4+har5TKfJ/UyVl6eW+fDRwGaxENFHYqf4Nnx&#10;yYeYDisvIfE3D0o2O6lUMty+3ipHjgwbZZdWquBVmDKkr+jdvJgnZAPxfeohLQM2spK6oqs8rrG1&#10;Ih0fTJNCApNqPGMmypz5iZSM5IShHpIUywvtNTQnJMzB2Lc4Z3jowP2ipMeeraj/eWBOUKI+GST9&#10;bjqbxSZPxmy+LNBwt5761sMMR6iKBkrG4zakwYh0GHhAcVqZaIsqjpmcU8ZeTGye5yY2+62dov5M&#10;9+Y3AAAA//8DAFBLAwQUAAYACAAAACEAgBTfl+AAAAAMAQAADwAAAGRycy9kb3ducmV2LnhtbEyP&#10;y26DMBBF95X6D9ZU6qZKTFAggWKitlKrbvP4gAFPABXbCDuB/H0nq3Y3ozm6c26xm00vrjT6zlkF&#10;q2UEgmztdGcbBafj52ILwge0GntnScGNPOzKx4cCc+0mu6frITSCQ6zPUUEbwpBL6euWDPqlG8jy&#10;7exGg4HXsZF6xInDTS/jKEqlwc7yhxYH+mip/jlcjILz9/SSZFP1FU6b/Tp9x25TuZtSz0/z2yuI&#10;QHP4g+Guz+pQslPlLlZ70StYxHHC6H1IVyCYyNZbblcxGiVpBrIs5P8S5S8AAAD//wMAUEsBAi0A&#10;FAAGAAgAAAAhALaDOJL+AAAA4QEAABMAAAAAAAAAAAAAAAAAAAAAAFtDb250ZW50X1R5cGVzXS54&#10;bWxQSwECLQAUAAYACAAAACEAOP0h/9YAAACUAQAACwAAAAAAAAAAAAAAAAAvAQAAX3JlbHMvLnJl&#10;bHNQSwECLQAUAAYACAAAACEAqbIZEyQCAAAlBAAADgAAAAAAAAAAAAAAAAAuAgAAZHJzL2Uyb0Rv&#10;Yy54bWxQSwECLQAUAAYACAAAACEAgBTfl+AAAAAMAQAADwAAAAAAAAAAAAAAAAB+BAAAZHJzL2Rv&#10;d25yZXYueG1sUEsFBgAAAAAEAAQA8wAAAIsFAAAAAA==&#10;" stroked="f">
                <v:textbox>
                  <w:txbxContent>
                    <w:p w:rsidR="001910BA" w:rsidRDefault="001910BA" w:rsidP="00BD32DA">
                      <w:pPr>
                        <w:shd w:val="clear" w:color="auto" w:fill="EBECDB" w:themeFill="accent4" w:themeFillTint="33"/>
                      </w:pPr>
                    </w:p>
                  </w:txbxContent>
                </v:textbox>
              </v:shape>
            </w:pict>
          </mc:Fallback>
        </mc:AlternateContent>
      </w:r>
      <w:bookmarkStart w:id="294" w:name="_Toc480754919"/>
      <w:bookmarkStart w:id="295" w:name="_Toc482805102"/>
      <w:bookmarkStart w:id="296" w:name="_Toc483263605"/>
      <w:bookmarkEnd w:id="290"/>
      <w:r w:rsidR="00BD32DA" w:rsidRPr="00EA05C3">
        <w:rPr>
          <w:rFonts w:ascii="Corbel" w:hAnsi="Corbel"/>
          <w:b/>
          <w:sz w:val="28"/>
        </w:rPr>
        <w:t>Student profile</w:t>
      </w:r>
      <w:bookmarkEnd w:id="294"/>
      <w:r w:rsidR="00BD32DA" w:rsidRPr="00EA05C3">
        <w:rPr>
          <w:rFonts w:ascii="Corbel" w:hAnsi="Corbel"/>
          <w:b/>
          <w:sz w:val="28"/>
        </w:rPr>
        <w:t xml:space="preserve"> </w:t>
      </w:r>
      <w:r w:rsidR="00BD32DA" w:rsidRPr="00EA05C3">
        <w:rPr>
          <w:rFonts w:ascii="Corbel" w:hAnsi="Corbel"/>
          <w:i/>
          <w:color w:val="FF0000"/>
          <w:sz w:val="28"/>
        </w:rPr>
        <w:t>[CORE - required in 2017]</w:t>
      </w:r>
      <w:bookmarkEnd w:id="291"/>
      <w:bookmarkEnd w:id="292"/>
      <w:bookmarkEnd w:id="293"/>
      <w:bookmarkEnd w:id="295"/>
      <w:bookmarkEnd w:id="296"/>
    </w:p>
    <w:p w:rsidR="003210E4" w:rsidRPr="006F1138" w:rsidRDefault="003210E4" w:rsidP="005A565D">
      <w:pPr>
        <w:keepNext/>
        <w:spacing w:after="0"/>
        <w:rPr>
          <w:rFonts w:ascii="Corbel" w:hAnsi="Corbel"/>
          <w:sz w:val="20"/>
        </w:rPr>
      </w:pPr>
      <w:r w:rsidRPr="006F1138">
        <w:rPr>
          <w:rFonts w:ascii="Corbel" w:hAnsi="Corbel"/>
          <w:sz w:val="20"/>
        </w:rPr>
        <w:t xml:space="preserve">The </w:t>
      </w:r>
      <w:r w:rsidRPr="006F1138">
        <w:rPr>
          <w:rFonts w:ascii="Corbel" w:hAnsi="Corbel" w:cs="Arial"/>
          <w:sz w:val="20"/>
          <w:szCs w:val="20"/>
        </w:rPr>
        <w:t>table</w:t>
      </w:r>
      <w:r w:rsidRPr="006F1138">
        <w:rPr>
          <w:rFonts w:ascii="Corbel" w:hAnsi="Corbel"/>
          <w:sz w:val="20"/>
        </w:rPr>
        <w:t xml:space="preserve"> below</w:t>
      </w:r>
      <w:r w:rsidRPr="006F1138">
        <w:rPr>
          <w:rFonts w:ascii="Corbel" w:hAnsi="Corbel" w:cs="Arial"/>
          <w:sz w:val="20"/>
          <w:szCs w:val="20"/>
        </w:rPr>
        <w:t xml:space="preserve"> </w:t>
      </w:r>
      <w:r w:rsidRPr="006F1138">
        <w:rPr>
          <w:rFonts w:ascii="Corbel" w:hAnsi="Corbel"/>
          <w:sz w:val="20"/>
          <w:szCs w:val="20"/>
        </w:rPr>
        <w:t>gives</w:t>
      </w:r>
      <w:r w:rsidRPr="006F1138">
        <w:rPr>
          <w:rFonts w:ascii="Corbel" w:hAnsi="Corbel"/>
          <w:sz w:val="20"/>
        </w:rPr>
        <w:t xml:space="preserve"> an indication of the </w:t>
      </w:r>
      <w:r w:rsidRPr="006F1138">
        <w:rPr>
          <w:rFonts w:ascii="Corbel" w:hAnsi="Corbel"/>
          <w:sz w:val="20"/>
          <w:szCs w:val="20"/>
        </w:rPr>
        <w:t>likely peer cohort</w:t>
      </w:r>
      <w:r w:rsidRPr="006F1138">
        <w:rPr>
          <w:rFonts w:ascii="Corbel" w:hAnsi="Corbel"/>
          <w:sz w:val="20"/>
        </w:rPr>
        <w:t xml:space="preserve"> for </w:t>
      </w:r>
      <w:r w:rsidRPr="006F1138">
        <w:rPr>
          <w:rFonts w:ascii="Corbel" w:hAnsi="Corbel"/>
          <w:sz w:val="20"/>
          <w:szCs w:val="20"/>
        </w:rPr>
        <w:t>new students at the institution.</w:t>
      </w:r>
      <w:r w:rsidRPr="006F1138">
        <w:rPr>
          <w:rFonts w:ascii="Corbel" w:hAnsi="Corbel"/>
          <w:sz w:val="20"/>
        </w:rPr>
        <w:t xml:space="preserve"> It </w:t>
      </w:r>
      <w:r w:rsidRPr="006F1138">
        <w:rPr>
          <w:rFonts w:ascii="Corbel" w:hAnsi="Corbel" w:cs="Arial"/>
          <w:sz w:val="20"/>
          <w:szCs w:val="20"/>
        </w:rPr>
        <w:t>provides</w:t>
      </w:r>
      <w:r w:rsidRPr="006F1138">
        <w:rPr>
          <w:rFonts w:ascii="Corbel" w:hAnsi="Corbel"/>
          <w:sz w:val="20"/>
        </w:rPr>
        <w:t xml:space="preserve"> data on students that commenced </w:t>
      </w:r>
      <w:r w:rsidRPr="006F1138">
        <w:rPr>
          <w:rFonts w:ascii="Corbel" w:hAnsi="Corbel" w:cs="Arial"/>
          <w:sz w:val="20"/>
          <w:szCs w:val="20"/>
        </w:rPr>
        <w:t>undergraduate study</w:t>
      </w:r>
      <w:r w:rsidRPr="006F1138">
        <w:rPr>
          <w:rFonts w:ascii="Corbel" w:hAnsi="Corbel"/>
          <w:sz w:val="20"/>
        </w:rPr>
        <w:t xml:space="preserve"> and passed the census date in the most relevant recent intake period for which data </w:t>
      </w:r>
      <w:r w:rsidR="00AE4D20">
        <w:rPr>
          <w:rFonts w:ascii="Corbel" w:hAnsi="Corbel"/>
          <w:sz w:val="20"/>
        </w:rPr>
        <w:t>are</w:t>
      </w:r>
      <w:r w:rsidR="00AE4D20" w:rsidRPr="006F1138">
        <w:rPr>
          <w:rFonts w:ascii="Corbel" w:hAnsi="Corbel"/>
          <w:sz w:val="20"/>
        </w:rPr>
        <w:t xml:space="preserve"> </w:t>
      </w:r>
      <w:r w:rsidRPr="006F1138">
        <w:rPr>
          <w:rFonts w:ascii="Corbel" w:hAnsi="Corbel"/>
          <w:sz w:val="20"/>
        </w:rPr>
        <w:t>available, including those admitted through all offer rounds and international students studying in Australia.</w:t>
      </w:r>
    </w:p>
    <w:p w:rsidR="00BD32DA" w:rsidRPr="003210E4" w:rsidRDefault="003210E4" w:rsidP="006F1138">
      <w:pPr>
        <w:keepNext/>
        <w:spacing w:after="240"/>
        <w:rPr>
          <w:rStyle w:val="Hyperlink"/>
          <w:rFonts w:ascii="Arial" w:hAnsi="Arial" w:cs="Arial"/>
          <w:color w:val="0000FC"/>
          <w:sz w:val="18"/>
          <w:szCs w:val="18"/>
          <w:u w:val="none"/>
        </w:rPr>
      </w:pPr>
      <w:r w:rsidRPr="003210E4">
        <w:rPr>
          <w:rStyle w:val="Hyperlink"/>
          <w:rFonts w:ascii="Arial" w:hAnsi="Arial"/>
          <w:color w:val="0000FC"/>
          <w:sz w:val="18"/>
          <w:u w:val="none"/>
        </w:rPr>
        <w:t xml:space="preserve">[See notes - Numbers less than five </w:t>
      </w:r>
      <w:r w:rsidRPr="003210E4">
        <w:rPr>
          <w:rStyle w:val="Hyperlink"/>
          <w:rFonts w:ascii="Arial" w:hAnsi="Arial" w:cs="Arial"/>
          <w:color w:val="0000FC"/>
          <w:sz w:val="18"/>
          <w:szCs w:val="18"/>
          <w:u w:val="none"/>
        </w:rPr>
        <w:t xml:space="preserve">should be </w:t>
      </w:r>
      <w:r w:rsidRPr="003210E4">
        <w:rPr>
          <w:rStyle w:val="Hyperlink"/>
          <w:rFonts w:ascii="Arial" w:hAnsi="Arial"/>
          <w:color w:val="0000FC"/>
          <w:sz w:val="18"/>
          <w:u w:val="none"/>
        </w:rPr>
        <w:t>masked to maintain privacy. Where necessary, an additional cell should also be masked to prevent derivation</w:t>
      </w:r>
      <w:r w:rsidRPr="003210E4">
        <w:rPr>
          <w:rStyle w:val="Hyperlink"/>
          <w:rFonts w:ascii="Arial" w:hAnsi="Arial" w:cs="Arial"/>
          <w:color w:val="0000FC"/>
          <w:sz w:val="18"/>
          <w:szCs w:val="18"/>
          <w:u w:val="none"/>
        </w:rPr>
        <w:t>.</w:t>
      </w:r>
      <w:r>
        <w:rPr>
          <w:rStyle w:val="Hyperlink"/>
          <w:rFonts w:ascii="Arial" w:hAnsi="Arial" w:cs="Arial"/>
          <w:color w:val="0000FC"/>
          <w:sz w:val="18"/>
          <w:szCs w:val="18"/>
          <w:u w:val="none"/>
        </w:rPr>
        <w:t xml:space="preserve"> </w:t>
      </w:r>
      <w:r w:rsidRPr="003210E4">
        <w:rPr>
          <w:rStyle w:val="Hyperlink"/>
          <w:rFonts w:ascii="Arial" w:hAnsi="Arial" w:cs="Arial"/>
          <w:color w:val="0000FC"/>
          <w:sz w:val="18"/>
          <w:szCs w:val="18"/>
          <w:u w:val="none"/>
        </w:rPr>
        <w:t xml:space="preserve">The most relevant recent intake period should be either first semester intake or the most recent full year of admissions, depending on which period data </w:t>
      </w:r>
      <w:r w:rsidR="00AE4D20">
        <w:rPr>
          <w:rStyle w:val="Hyperlink"/>
          <w:rFonts w:ascii="Arial" w:hAnsi="Arial" w:cs="Arial"/>
          <w:color w:val="0000FC"/>
          <w:sz w:val="18"/>
          <w:szCs w:val="18"/>
          <w:u w:val="none"/>
        </w:rPr>
        <w:t>are</w:t>
      </w:r>
      <w:r w:rsidR="00AE4D20" w:rsidRPr="003210E4">
        <w:rPr>
          <w:rStyle w:val="Hyperlink"/>
          <w:rFonts w:ascii="Arial" w:hAnsi="Arial" w:cs="Arial"/>
          <w:color w:val="0000FC"/>
          <w:sz w:val="18"/>
          <w:szCs w:val="18"/>
          <w:u w:val="none"/>
        </w:rPr>
        <w:t xml:space="preserve"> </w:t>
      </w:r>
      <w:r w:rsidRPr="003210E4">
        <w:rPr>
          <w:rStyle w:val="Hyperlink"/>
          <w:rFonts w:ascii="Arial" w:hAnsi="Arial" w:cs="Arial"/>
          <w:color w:val="0000FC"/>
          <w:sz w:val="18"/>
          <w:szCs w:val="18"/>
          <w:u w:val="none"/>
        </w:rPr>
        <w:t>available for.]</w:t>
      </w:r>
    </w:p>
    <w:tbl>
      <w:tblPr>
        <w:tblW w:w="9249" w:type="dxa"/>
        <w:tblInd w:w="1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353"/>
        <w:gridCol w:w="1985"/>
        <w:gridCol w:w="1911"/>
      </w:tblGrid>
      <w:tr w:rsidR="002C0C0D" w:rsidRPr="00135B51" w:rsidTr="00FA372F">
        <w:trPr>
          <w:trHeight w:val="216"/>
        </w:trPr>
        <w:tc>
          <w:tcPr>
            <w:tcW w:w="5353" w:type="dxa"/>
            <w:vMerge w:val="restart"/>
            <w:shd w:val="clear" w:color="auto" w:fill="auto"/>
            <w:vAlign w:val="center"/>
          </w:tcPr>
          <w:p w:rsidR="002C0C0D" w:rsidRPr="00135B51" w:rsidRDefault="002C0C0D" w:rsidP="00FA372F">
            <w:pPr>
              <w:keepNext/>
              <w:keepLines/>
              <w:spacing w:after="0"/>
              <w:jc w:val="center"/>
              <w:rPr>
                <w:rFonts w:ascii="Corbel" w:hAnsi="Corbel" w:cs="Arial"/>
                <w:sz w:val="15"/>
                <w:szCs w:val="15"/>
              </w:rPr>
            </w:pPr>
            <w:r>
              <w:rPr>
                <w:rFonts w:ascii="Corbel" w:hAnsi="Corbel" w:cs="Arial"/>
                <w:b/>
                <w:sz w:val="15"/>
                <w:szCs w:val="15"/>
              </w:rPr>
              <w:t>Applicant background</w:t>
            </w:r>
          </w:p>
        </w:tc>
        <w:tc>
          <w:tcPr>
            <w:tcW w:w="3896" w:type="dxa"/>
            <w:gridSpan w:val="2"/>
            <w:tcBorders>
              <w:bottom w:val="single" w:sz="2" w:space="0" w:color="auto"/>
            </w:tcBorders>
            <w:shd w:val="clear" w:color="auto" w:fill="auto"/>
          </w:tcPr>
          <w:p w:rsidR="002C0C0D" w:rsidRPr="000111CE" w:rsidRDefault="002C0C0D" w:rsidP="00FA372F">
            <w:pPr>
              <w:keepNext/>
              <w:keepLines/>
              <w:spacing w:after="0"/>
              <w:jc w:val="center"/>
              <w:rPr>
                <w:rFonts w:ascii="Corbel" w:hAnsi="Corbel" w:cs="Arial"/>
                <w:b/>
                <w:color w:val="0000FF"/>
                <w:sz w:val="15"/>
                <w:szCs w:val="15"/>
              </w:rPr>
            </w:pPr>
            <w:r>
              <w:rPr>
                <w:rFonts w:ascii="Corbel" w:hAnsi="Corbel" w:cs="Arial"/>
                <w:b/>
                <w:sz w:val="15"/>
                <w:szCs w:val="15"/>
              </w:rPr>
              <w:t xml:space="preserve">Semester one / Full year intake </w:t>
            </w:r>
            <w:r w:rsidRPr="000111CE">
              <w:rPr>
                <w:rFonts w:ascii="Corbel" w:hAnsi="Corbel" w:cs="Arial"/>
                <w:b/>
                <w:color w:val="0000FF"/>
                <w:sz w:val="15"/>
                <w:szCs w:val="15"/>
              </w:rPr>
              <w:t>[year]</w:t>
            </w:r>
          </w:p>
          <w:p w:rsidR="002C0C0D" w:rsidRPr="000111CE" w:rsidRDefault="002C0C0D" w:rsidP="00FA372F">
            <w:pPr>
              <w:keepNext/>
              <w:keepLines/>
              <w:spacing w:after="0"/>
              <w:jc w:val="center"/>
              <w:rPr>
                <w:rFonts w:ascii="Corbel" w:hAnsi="Corbel" w:cs="Arial"/>
                <w:sz w:val="15"/>
                <w:szCs w:val="15"/>
              </w:rPr>
            </w:pPr>
            <w:r>
              <w:rPr>
                <w:rFonts w:ascii="Corbel" w:hAnsi="Corbel" w:cs="Arial"/>
                <w:color w:val="0000FF"/>
                <w:sz w:val="15"/>
                <w:szCs w:val="15"/>
              </w:rPr>
              <w:t>[i.e. the m</w:t>
            </w:r>
            <w:r w:rsidRPr="000111CE">
              <w:rPr>
                <w:rFonts w:ascii="Corbel" w:hAnsi="Corbel" w:cs="Arial"/>
                <w:color w:val="0000FF"/>
                <w:sz w:val="15"/>
                <w:szCs w:val="15"/>
              </w:rPr>
              <w:t>ost relevant recent intake period</w:t>
            </w:r>
            <w:r>
              <w:rPr>
                <w:rFonts w:ascii="Corbel" w:hAnsi="Corbel" w:cs="Arial"/>
                <w:color w:val="0000FF"/>
                <w:sz w:val="15"/>
                <w:szCs w:val="15"/>
              </w:rPr>
              <w:t>]</w:t>
            </w:r>
          </w:p>
        </w:tc>
      </w:tr>
      <w:tr w:rsidR="002C0C0D" w:rsidRPr="00135B51" w:rsidTr="00FA372F">
        <w:trPr>
          <w:trHeight w:val="418"/>
        </w:trPr>
        <w:tc>
          <w:tcPr>
            <w:tcW w:w="5353" w:type="dxa"/>
            <w:vMerge/>
            <w:tcBorders>
              <w:bottom w:val="single" w:sz="4" w:space="0" w:color="auto"/>
            </w:tcBorders>
            <w:shd w:val="clear" w:color="auto" w:fill="auto"/>
            <w:vAlign w:val="center"/>
          </w:tcPr>
          <w:p w:rsidR="002C0C0D" w:rsidRPr="00135B51" w:rsidRDefault="002C0C0D" w:rsidP="00FA372F">
            <w:pPr>
              <w:keepNext/>
              <w:keepLines/>
              <w:spacing w:after="0"/>
              <w:jc w:val="center"/>
              <w:rPr>
                <w:rFonts w:ascii="Corbel" w:hAnsi="Corbel" w:cs="Arial"/>
                <w:b/>
                <w:sz w:val="15"/>
                <w:szCs w:val="15"/>
              </w:rPr>
            </w:pPr>
          </w:p>
        </w:tc>
        <w:tc>
          <w:tcPr>
            <w:tcW w:w="1985" w:type="dxa"/>
            <w:tcBorders>
              <w:bottom w:val="single" w:sz="4" w:space="0" w:color="auto"/>
            </w:tcBorders>
            <w:shd w:val="clear" w:color="auto" w:fill="auto"/>
            <w:vAlign w:val="center"/>
          </w:tcPr>
          <w:p w:rsidR="002C0C0D" w:rsidRPr="00135B51" w:rsidRDefault="002C0C0D" w:rsidP="00FA372F">
            <w:pPr>
              <w:keepNext/>
              <w:keepLines/>
              <w:spacing w:after="0"/>
              <w:jc w:val="center"/>
              <w:rPr>
                <w:rFonts w:ascii="Corbel" w:hAnsi="Corbel" w:cs="Arial"/>
                <w:b/>
                <w:sz w:val="15"/>
                <w:szCs w:val="15"/>
              </w:rPr>
            </w:pPr>
            <w:r w:rsidRPr="00135B51">
              <w:rPr>
                <w:rFonts w:ascii="Corbel" w:hAnsi="Corbel" w:cs="Arial"/>
                <w:b/>
                <w:sz w:val="15"/>
                <w:szCs w:val="15"/>
              </w:rPr>
              <w:t>Number of students</w:t>
            </w:r>
          </w:p>
        </w:tc>
        <w:tc>
          <w:tcPr>
            <w:tcW w:w="1911" w:type="dxa"/>
            <w:tcBorders>
              <w:bottom w:val="single" w:sz="4" w:space="0" w:color="auto"/>
            </w:tcBorders>
            <w:shd w:val="clear" w:color="auto" w:fill="auto"/>
            <w:vAlign w:val="center"/>
          </w:tcPr>
          <w:p w:rsidR="002C0C0D" w:rsidRPr="00135B51" w:rsidRDefault="002C0C0D" w:rsidP="00FA372F">
            <w:pPr>
              <w:keepNext/>
              <w:keepLines/>
              <w:spacing w:after="0"/>
              <w:jc w:val="center"/>
              <w:rPr>
                <w:rFonts w:ascii="Corbel" w:hAnsi="Corbel" w:cs="Arial"/>
                <w:b/>
                <w:sz w:val="15"/>
                <w:szCs w:val="15"/>
              </w:rPr>
            </w:pPr>
            <w:r w:rsidRPr="00135B51">
              <w:rPr>
                <w:rFonts w:ascii="Corbel" w:hAnsi="Corbel" w:cs="Arial"/>
                <w:b/>
                <w:sz w:val="15"/>
                <w:szCs w:val="15"/>
              </w:rPr>
              <w:t>Percentage of all students</w:t>
            </w:r>
          </w:p>
        </w:tc>
      </w:tr>
      <w:tr w:rsidR="002C0C0D" w:rsidRPr="00135B51" w:rsidTr="00FA372F">
        <w:trPr>
          <w:trHeight w:val="446"/>
        </w:trPr>
        <w:tc>
          <w:tcPr>
            <w:tcW w:w="5353" w:type="dxa"/>
            <w:tcBorders>
              <w:top w:val="single" w:sz="4" w:space="0" w:color="auto"/>
              <w:left w:val="single" w:sz="4" w:space="0" w:color="auto"/>
              <w:bottom w:val="single" w:sz="4" w:space="0" w:color="auto"/>
              <w:right w:val="single" w:sz="4" w:space="0" w:color="auto"/>
            </w:tcBorders>
            <w:shd w:val="clear" w:color="auto" w:fill="auto"/>
          </w:tcPr>
          <w:p w:rsidR="002C0C0D" w:rsidRPr="00885315" w:rsidRDefault="002C0C0D" w:rsidP="000C2FC2">
            <w:pPr>
              <w:keepNext/>
              <w:keepLines/>
              <w:spacing w:after="0"/>
              <w:rPr>
                <w:rFonts w:ascii="Corbel" w:hAnsi="Corbel" w:cs="Arial"/>
                <w:b/>
                <w:sz w:val="15"/>
                <w:szCs w:val="15"/>
              </w:rPr>
            </w:pPr>
            <w:r>
              <w:rPr>
                <w:rFonts w:ascii="Corbel" w:hAnsi="Corbel" w:cs="Arial"/>
                <w:b/>
                <w:sz w:val="15"/>
                <w:szCs w:val="15"/>
              </w:rPr>
              <w:t xml:space="preserve">(A) </w:t>
            </w:r>
            <w:r w:rsidR="000C2FC2">
              <w:rPr>
                <w:rFonts w:ascii="Corbel" w:hAnsi="Corbel" w:cs="Arial"/>
                <w:b/>
                <w:sz w:val="15"/>
                <w:szCs w:val="15"/>
              </w:rPr>
              <w:t>H</w:t>
            </w:r>
            <w:r w:rsidRPr="00885315">
              <w:rPr>
                <w:rFonts w:ascii="Corbel" w:hAnsi="Corbel" w:cs="Arial"/>
                <w:b/>
                <w:sz w:val="15"/>
                <w:szCs w:val="15"/>
              </w:rPr>
              <w:t>igher education study</w:t>
            </w:r>
            <w:r w:rsidRPr="00885315">
              <w:rPr>
                <w:rFonts w:ascii="Corbel" w:hAnsi="Corbel" w:cs="Arial"/>
                <w:sz w:val="15"/>
                <w:szCs w:val="15"/>
              </w:rPr>
              <w:br/>
              <w:t>(includes a bridging or enabling course)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C0C0D" w:rsidRPr="00135B51" w:rsidRDefault="002C0C0D" w:rsidP="00FA372F">
            <w:pPr>
              <w:keepNext/>
              <w:keepLines/>
              <w:spacing w:after="0"/>
              <w:jc w:val="center"/>
              <w:rPr>
                <w:rFonts w:ascii="Corbel" w:hAnsi="Corbel" w:cs="Arial"/>
                <w:sz w:val="15"/>
                <w:szCs w:val="15"/>
              </w:rPr>
            </w:pPr>
            <w:r>
              <w:rPr>
                <w:rFonts w:ascii="Corbel" w:hAnsi="Corbel" w:cs="Arial"/>
                <w:sz w:val="15"/>
                <w:szCs w:val="15"/>
              </w:rPr>
              <w:t>n</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rsidR="002C0C0D" w:rsidRPr="00135B51" w:rsidRDefault="002C0C0D" w:rsidP="00FA372F">
            <w:pPr>
              <w:keepNext/>
              <w:keepLines/>
              <w:spacing w:after="0"/>
              <w:jc w:val="center"/>
              <w:rPr>
                <w:rFonts w:ascii="Corbel" w:hAnsi="Corbel" w:cs="Arial"/>
                <w:sz w:val="15"/>
                <w:szCs w:val="15"/>
              </w:rPr>
            </w:pPr>
            <w:r>
              <w:rPr>
                <w:rFonts w:ascii="Corbel" w:hAnsi="Corbel" w:cs="Arial"/>
                <w:sz w:val="15"/>
                <w:szCs w:val="15"/>
              </w:rPr>
              <w:t>%</w:t>
            </w:r>
          </w:p>
        </w:tc>
      </w:tr>
      <w:tr w:rsidR="002C0C0D" w:rsidRPr="00135B51" w:rsidTr="00FA372F">
        <w:trPr>
          <w:trHeight w:val="453"/>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2C0C0D" w:rsidRPr="00885315" w:rsidRDefault="002C0C0D" w:rsidP="000C2FC2">
            <w:pPr>
              <w:keepNext/>
              <w:keepLines/>
              <w:spacing w:after="0"/>
              <w:rPr>
                <w:rFonts w:ascii="Corbel" w:hAnsi="Corbel" w:cs="Arial"/>
                <w:b/>
                <w:sz w:val="15"/>
                <w:szCs w:val="15"/>
              </w:rPr>
            </w:pPr>
            <w:r>
              <w:rPr>
                <w:rFonts w:ascii="Corbel" w:hAnsi="Corbel" w:cs="Arial"/>
                <w:b/>
                <w:sz w:val="15"/>
                <w:szCs w:val="15"/>
              </w:rPr>
              <w:t xml:space="preserve">(B) </w:t>
            </w:r>
            <w:r w:rsidR="000C2FC2">
              <w:rPr>
                <w:rFonts w:ascii="Corbel" w:hAnsi="Corbel" w:cs="Arial"/>
                <w:b/>
                <w:sz w:val="15"/>
                <w:szCs w:val="15"/>
              </w:rPr>
              <w:t>V</w:t>
            </w:r>
            <w:r w:rsidRPr="00885315">
              <w:rPr>
                <w:rFonts w:ascii="Corbel" w:hAnsi="Corbel" w:cs="Arial"/>
                <w:b/>
                <w:sz w:val="15"/>
                <w:szCs w:val="15"/>
              </w:rPr>
              <w:t>ocational education and training (VET) study</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C0C0D" w:rsidRPr="00135B51" w:rsidRDefault="002C0C0D" w:rsidP="00FA372F">
            <w:pPr>
              <w:keepNext/>
              <w:keepLines/>
              <w:spacing w:after="0"/>
              <w:jc w:val="center"/>
              <w:rPr>
                <w:rFonts w:ascii="Corbel" w:hAnsi="Corbel" w:cs="Arial"/>
                <w:sz w:val="15"/>
                <w:szCs w:val="15"/>
              </w:rPr>
            </w:pPr>
            <w:r>
              <w:rPr>
                <w:rFonts w:ascii="Corbel" w:hAnsi="Corbel" w:cs="Arial"/>
                <w:sz w:val="15"/>
                <w:szCs w:val="15"/>
              </w:rPr>
              <w:t>n</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rsidR="002C0C0D" w:rsidRPr="00135B51" w:rsidRDefault="002C0C0D" w:rsidP="00FA372F">
            <w:pPr>
              <w:keepNext/>
              <w:keepLines/>
              <w:spacing w:after="0"/>
              <w:jc w:val="center"/>
              <w:rPr>
                <w:rFonts w:ascii="Corbel" w:hAnsi="Corbel" w:cs="Arial"/>
                <w:sz w:val="15"/>
                <w:szCs w:val="15"/>
              </w:rPr>
            </w:pPr>
            <w:r>
              <w:rPr>
                <w:rFonts w:ascii="Corbel" w:hAnsi="Corbel" w:cs="Arial"/>
                <w:sz w:val="15"/>
                <w:szCs w:val="15"/>
              </w:rPr>
              <w:t>%</w:t>
            </w:r>
          </w:p>
        </w:tc>
      </w:tr>
      <w:tr w:rsidR="002C0C0D" w:rsidRPr="00135B51" w:rsidTr="00FA372F">
        <w:trPr>
          <w:trHeight w:val="406"/>
        </w:trPr>
        <w:tc>
          <w:tcPr>
            <w:tcW w:w="5353" w:type="dxa"/>
            <w:tcBorders>
              <w:top w:val="single" w:sz="4" w:space="0" w:color="auto"/>
              <w:left w:val="single" w:sz="4" w:space="0" w:color="auto"/>
              <w:bottom w:val="nil"/>
              <w:right w:val="single" w:sz="4" w:space="0" w:color="auto"/>
            </w:tcBorders>
            <w:shd w:val="clear" w:color="auto" w:fill="auto"/>
          </w:tcPr>
          <w:p w:rsidR="002C0C0D" w:rsidRPr="00885315" w:rsidRDefault="002C0C0D" w:rsidP="00FA372F">
            <w:pPr>
              <w:keepNext/>
              <w:keepLines/>
              <w:spacing w:after="0"/>
              <w:rPr>
                <w:rFonts w:ascii="Corbel" w:hAnsi="Corbel" w:cs="Arial"/>
                <w:b/>
                <w:sz w:val="15"/>
                <w:szCs w:val="15"/>
              </w:rPr>
            </w:pPr>
            <w:r>
              <w:rPr>
                <w:rFonts w:ascii="Corbel" w:hAnsi="Corbel" w:cs="Arial"/>
                <w:b/>
                <w:sz w:val="15"/>
                <w:szCs w:val="15"/>
              </w:rPr>
              <w:t xml:space="preserve">(C) </w:t>
            </w:r>
            <w:r w:rsidRPr="00885315">
              <w:rPr>
                <w:rFonts w:ascii="Corbel" w:hAnsi="Corbel" w:cs="Arial"/>
                <w:b/>
                <w:sz w:val="15"/>
                <w:szCs w:val="15"/>
              </w:rPr>
              <w:t>Recent secondary education:</w:t>
            </w:r>
          </w:p>
          <w:p w:rsidR="002C0C0D" w:rsidRPr="00135B51" w:rsidRDefault="002C0C0D" w:rsidP="00FA372F">
            <w:pPr>
              <w:pStyle w:val="ListParagraph"/>
              <w:keepNext/>
              <w:keepLines/>
              <w:numPr>
                <w:ilvl w:val="0"/>
                <w:numId w:val="16"/>
              </w:numPr>
              <w:spacing w:after="0"/>
              <w:rPr>
                <w:rFonts w:ascii="Corbel" w:hAnsi="Corbel" w:cs="Arial"/>
                <w:sz w:val="15"/>
                <w:szCs w:val="15"/>
              </w:rPr>
            </w:pPr>
            <w:r>
              <w:rPr>
                <w:rFonts w:ascii="Corbel" w:hAnsi="Corbel" w:cs="Arial"/>
                <w:sz w:val="15"/>
                <w:szCs w:val="15"/>
              </w:rPr>
              <w:t>A</w:t>
            </w:r>
            <w:r w:rsidRPr="00135B51">
              <w:rPr>
                <w:rFonts w:ascii="Corbel" w:hAnsi="Corbel" w:cs="Arial"/>
                <w:sz w:val="15"/>
                <w:szCs w:val="15"/>
              </w:rPr>
              <w:t xml:space="preserve">dmitted solely on the basis of ATAR </w:t>
            </w:r>
            <w:r>
              <w:rPr>
                <w:rFonts w:ascii="Corbel" w:hAnsi="Corbel" w:cs="Arial"/>
                <w:sz w:val="15"/>
                <w:szCs w:val="15"/>
              </w:rPr>
              <w:br/>
            </w:r>
            <w:r w:rsidRPr="00135B51">
              <w:rPr>
                <w:rFonts w:ascii="Corbel" w:hAnsi="Corbel" w:cs="Arial"/>
                <w:sz w:val="15"/>
                <w:szCs w:val="15"/>
              </w:rPr>
              <w:t>(</w:t>
            </w:r>
            <w:r>
              <w:rPr>
                <w:rFonts w:ascii="Corbel" w:hAnsi="Corbel" w:cs="Arial"/>
                <w:sz w:val="15"/>
                <w:szCs w:val="15"/>
              </w:rPr>
              <w:t xml:space="preserve">regardless of whether this includes the impact of </w:t>
            </w:r>
            <w:r>
              <w:rPr>
                <w:rFonts w:ascii="Corbel" w:hAnsi="Corbel" w:cs="Arial"/>
                <w:sz w:val="15"/>
                <w:szCs w:val="15"/>
              </w:rPr>
              <w:br/>
              <w:t xml:space="preserve">adjustment factors such as </w:t>
            </w:r>
            <w:r w:rsidR="00FA372F">
              <w:rPr>
                <w:rFonts w:ascii="Corbel" w:hAnsi="Corbel" w:cs="Arial"/>
                <w:sz w:val="15"/>
                <w:szCs w:val="15"/>
              </w:rPr>
              <w:t xml:space="preserve">equity or subject </w:t>
            </w:r>
            <w:r w:rsidRPr="00135B51">
              <w:rPr>
                <w:rFonts w:ascii="Corbel" w:hAnsi="Corbel" w:cs="Arial"/>
                <w:sz w:val="15"/>
                <w:szCs w:val="15"/>
              </w:rPr>
              <w:t>bonus points)</w:t>
            </w:r>
          </w:p>
        </w:tc>
        <w:tc>
          <w:tcPr>
            <w:tcW w:w="1985" w:type="dxa"/>
            <w:tcBorders>
              <w:top w:val="single" w:sz="4" w:space="0" w:color="auto"/>
              <w:left w:val="single" w:sz="4" w:space="0" w:color="auto"/>
              <w:bottom w:val="nil"/>
              <w:right w:val="single" w:sz="4" w:space="0" w:color="auto"/>
            </w:tcBorders>
            <w:shd w:val="clear" w:color="auto" w:fill="auto"/>
            <w:vAlign w:val="center"/>
          </w:tcPr>
          <w:p w:rsidR="002C0C0D" w:rsidRPr="00135B51" w:rsidRDefault="002C0C0D" w:rsidP="00FA372F">
            <w:pPr>
              <w:keepNext/>
              <w:keepLines/>
              <w:spacing w:after="0"/>
              <w:jc w:val="center"/>
              <w:rPr>
                <w:rFonts w:ascii="Corbel" w:hAnsi="Corbel" w:cs="Arial"/>
                <w:sz w:val="15"/>
                <w:szCs w:val="15"/>
              </w:rPr>
            </w:pPr>
            <w:r>
              <w:rPr>
                <w:rFonts w:ascii="Corbel" w:hAnsi="Corbel" w:cs="Arial"/>
                <w:sz w:val="15"/>
                <w:szCs w:val="15"/>
              </w:rPr>
              <w:t>n</w:t>
            </w:r>
          </w:p>
        </w:tc>
        <w:tc>
          <w:tcPr>
            <w:tcW w:w="1911" w:type="dxa"/>
            <w:tcBorders>
              <w:top w:val="single" w:sz="4" w:space="0" w:color="auto"/>
              <w:left w:val="single" w:sz="4" w:space="0" w:color="auto"/>
              <w:bottom w:val="nil"/>
              <w:right w:val="single" w:sz="4" w:space="0" w:color="auto"/>
            </w:tcBorders>
            <w:shd w:val="clear" w:color="auto" w:fill="auto"/>
            <w:vAlign w:val="center"/>
          </w:tcPr>
          <w:p w:rsidR="002C0C0D" w:rsidRPr="00135B51" w:rsidRDefault="002C0C0D" w:rsidP="00FA372F">
            <w:pPr>
              <w:keepNext/>
              <w:keepLines/>
              <w:spacing w:after="0"/>
              <w:jc w:val="center"/>
              <w:rPr>
                <w:rFonts w:ascii="Corbel" w:hAnsi="Corbel" w:cs="Arial"/>
                <w:sz w:val="15"/>
                <w:szCs w:val="15"/>
              </w:rPr>
            </w:pPr>
            <w:r>
              <w:rPr>
                <w:rFonts w:ascii="Corbel" w:hAnsi="Corbel" w:cs="Arial"/>
                <w:sz w:val="15"/>
                <w:szCs w:val="15"/>
              </w:rPr>
              <w:t>%</w:t>
            </w:r>
          </w:p>
        </w:tc>
      </w:tr>
      <w:tr w:rsidR="002C0C0D" w:rsidRPr="00135B51" w:rsidTr="00FA372F">
        <w:trPr>
          <w:trHeight w:val="418"/>
        </w:trPr>
        <w:tc>
          <w:tcPr>
            <w:tcW w:w="5353" w:type="dxa"/>
            <w:tcBorders>
              <w:top w:val="nil"/>
              <w:left w:val="single" w:sz="4" w:space="0" w:color="auto"/>
              <w:bottom w:val="nil"/>
              <w:right w:val="single" w:sz="4" w:space="0" w:color="auto"/>
            </w:tcBorders>
            <w:shd w:val="clear" w:color="auto" w:fill="auto"/>
          </w:tcPr>
          <w:p w:rsidR="002C0C0D" w:rsidRPr="00135B51" w:rsidRDefault="002C0C0D" w:rsidP="00FA372F">
            <w:pPr>
              <w:pStyle w:val="ListParagraph"/>
              <w:keepNext/>
              <w:keepLines/>
              <w:numPr>
                <w:ilvl w:val="0"/>
                <w:numId w:val="16"/>
              </w:numPr>
              <w:spacing w:after="0"/>
              <w:rPr>
                <w:rFonts w:ascii="Corbel" w:hAnsi="Corbel" w:cs="Arial"/>
                <w:sz w:val="15"/>
                <w:szCs w:val="15"/>
              </w:rPr>
            </w:pPr>
            <w:r>
              <w:rPr>
                <w:rFonts w:ascii="Corbel" w:hAnsi="Corbel" w:cs="Arial"/>
                <w:sz w:val="15"/>
                <w:szCs w:val="15"/>
              </w:rPr>
              <w:t>A</w:t>
            </w:r>
            <w:r w:rsidRPr="00135B51">
              <w:rPr>
                <w:rFonts w:ascii="Corbel" w:hAnsi="Corbel" w:cs="Arial"/>
                <w:sz w:val="15"/>
                <w:szCs w:val="15"/>
              </w:rPr>
              <w:t xml:space="preserve">dmitted where </w:t>
            </w:r>
            <w:r>
              <w:rPr>
                <w:rFonts w:ascii="Corbel" w:hAnsi="Corbel" w:cs="Arial"/>
                <w:sz w:val="15"/>
                <w:szCs w:val="15"/>
              </w:rPr>
              <w:t xml:space="preserve">both </w:t>
            </w:r>
            <w:r w:rsidRPr="00135B51">
              <w:rPr>
                <w:rFonts w:ascii="Corbel" w:hAnsi="Corbel" w:cs="Arial"/>
                <w:sz w:val="15"/>
                <w:szCs w:val="15"/>
              </w:rPr>
              <w:t xml:space="preserve">ATAR </w:t>
            </w:r>
            <w:r>
              <w:rPr>
                <w:rFonts w:ascii="Corbel" w:hAnsi="Corbel" w:cs="Arial"/>
                <w:sz w:val="15"/>
                <w:szCs w:val="15"/>
              </w:rPr>
              <w:t>and additional criteria</w:t>
            </w:r>
            <w:r w:rsidRPr="00135B51">
              <w:rPr>
                <w:rFonts w:ascii="Corbel" w:hAnsi="Corbel" w:cs="Arial"/>
                <w:sz w:val="15"/>
                <w:szCs w:val="15"/>
              </w:rPr>
              <w:t xml:space="preserve"> </w:t>
            </w:r>
            <w:r>
              <w:rPr>
                <w:rFonts w:ascii="Corbel" w:hAnsi="Corbel" w:cs="Arial"/>
                <w:sz w:val="15"/>
                <w:szCs w:val="15"/>
              </w:rPr>
              <w:t xml:space="preserve">were </w:t>
            </w:r>
            <w:r w:rsidRPr="00135B51">
              <w:rPr>
                <w:rFonts w:ascii="Corbel" w:hAnsi="Corbel" w:cs="Arial"/>
                <w:sz w:val="15"/>
                <w:szCs w:val="15"/>
              </w:rPr>
              <w:t>considered</w:t>
            </w:r>
            <w:r w:rsidRPr="00135B51">
              <w:rPr>
                <w:rFonts w:ascii="Corbel" w:hAnsi="Corbel" w:cs="Arial"/>
                <w:sz w:val="15"/>
                <w:szCs w:val="15"/>
              </w:rPr>
              <w:br/>
              <w:t xml:space="preserve">(e.g. portfolio, audition, </w:t>
            </w:r>
            <w:r>
              <w:rPr>
                <w:rFonts w:ascii="Corbel" w:hAnsi="Corbel" w:cs="Arial"/>
                <w:sz w:val="15"/>
                <w:szCs w:val="15"/>
              </w:rPr>
              <w:t xml:space="preserve">extra </w:t>
            </w:r>
            <w:r w:rsidRPr="00135B51">
              <w:rPr>
                <w:rFonts w:ascii="Corbel" w:hAnsi="Corbel" w:cs="Arial"/>
                <w:sz w:val="15"/>
                <w:szCs w:val="15"/>
              </w:rPr>
              <w:t>test, early offer</w:t>
            </w:r>
            <w:r>
              <w:rPr>
                <w:rFonts w:ascii="Corbel" w:hAnsi="Corbel" w:cs="Arial"/>
                <w:sz w:val="15"/>
                <w:szCs w:val="15"/>
              </w:rPr>
              <w:t xml:space="preserve"> conditional on minimum ATAR</w:t>
            </w:r>
            <w:r w:rsidRPr="00135B51">
              <w:rPr>
                <w:rFonts w:ascii="Corbel" w:hAnsi="Corbel" w:cs="Arial"/>
                <w:sz w:val="15"/>
                <w:szCs w:val="15"/>
              </w:rPr>
              <w:t>)</w:t>
            </w:r>
          </w:p>
        </w:tc>
        <w:tc>
          <w:tcPr>
            <w:tcW w:w="1985" w:type="dxa"/>
            <w:tcBorders>
              <w:top w:val="nil"/>
              <w:left w:val="single" w:sz="4" w:space="0" w:color="auto"/>
              <w:bottom w:val="nil"/>
              <w:right w:val="single" w:sz="4" w:space="0" w:color="auto"/>
            </w:tcBorders>
            <w:shd w:val="clear" w:color="auto" w:fill="auto"/>
            <w:vAlign w:val="center"/>
          </w:tcPr>
          <w:p w:rsidR="002C0C0D" w:rsidRPr="00135B51" w:rsidRDefault="002C0C0D" w:rsidP="00FA372F">
            <w:pPr>
              <w:keepNext/>
              <w:keepLines/>
              <w:spacing w:after="0"/>
              <w:jc w:val="center"/>
              <w:rPr>
                <w:rFonts w:ascii="Corbel" w:hAnsi="Corbel" w:cs="Arial"/>
                <w:sz w:val="15"/>
                <w:szCs w:val="15"/>
              </w:rPr>
            </w:pPr>
            <w:r>
              <w:rPr>
                <w:rFonts w:ascii="Corbel" w:hAnsi="Corbel" w:cs="Arial"/>
                <w:sz w:val="15"/>
                <w:szCs w:val="15"/>
              </w:rPr>
              <w:t>n</w:t>
            </w:r>
          </w:p>
        </w:tc>
        <w:tc>
          <w:tcPr>
            <w:tcW w:w="1911" w:type="dxa"/>
            <w:tcBorders>
              <w:top w:val="nil"/>
              <w:left w:val="single" w:sz="4" w:space="0" w:color="auto"/>
              <w:bottom w:val="nil"/>
              <w:right w:val="single" w:sz="4" w:space="0" w:color="auto"/>
            </w:tcBorders>
            <w:shd w:val="clear" w:color="auto" w:fill="auto"/>
            <w:vAlign w:val="center"/>
          </w:tcPr>
          <w:p w:rsidR="002C0C0D" w:rsidRPr="00135B51" w:rsidRDefault="002C0C0D" w:rsidP="00FA372F">
            <w:pPr>
              <w:keepNext/>
              <w:keepLines/>
              <w:spacing w:after="0"/>
              <w:jc w:val="center"/>
              <w:rPr>
                <w:rFonts w:ascii="Corbel" w:hAnsi="Corbel" w:cs="Arial"/>
                <w:sz w:val="15"/>
                <w:szCs w:val="15"/>
              </w:rPr>
            </w:pPr>
            <w:r>
              <w:rPr>
                <w:rFonts w:ascii="Corbel" w:hAnsi="Corbel" w:cs="Arial"/>
                <w:sz w:val="15"/>
                <w:szCs w:val="15"/>
              </w:rPr>
              <w:t>%</w:t>
            </w:r>
          </w:p>
        </w:tc>
      </w:tr>
      <w:tr w:rsidR="002C0C0D" w:rsidRPr="00135B51" w:rsidTr="00FA372F">
        <w:trPr>
          <w:trHeight w:val="499"/>
        </w:trPr>
        <w:tc>
          <w:tcPr>
            <w:tcW w:w="5353" w:type="dxa"/>
            <w:tcBorders>
              <w:top w:val="nil"/>
              <w:left w:val="single" w:sz="4" w:space="0" w:color="auto"/>
              <w:bottom w:val="single" w:sz="4" w:space="0" w:color="auto"/>
              <w:right w:val="single" w:sz="4" w:space="0" w:color="auto"/>
            </w:tcBorders>
            <w:shd w:val="clear" w:color="auto" w:fill="auto"/>
          </w:tcPr>
          <w:p w:rsidR="002C0C0D" w:rsidRPr="00135B51" w:rsidRDefault="002C0C0D" w:rsidP="00FA372F">
            <w:pPr>
              <w:pStyle w:val="ListParagraph"/>
              <w:keepNext/>
              <w:keepLines/>
              <w:numPr>
                <w:ilvl w:val="0"/>
                <w:numId w:val="16"/>
              </w:numPr>
              <w:spacing w:after="0"/>
              <w:ind w:left="357" w:hanging="357"/>
              <w:rPr>
                <w:rFonts w:ascii="Corbel" w:hAnsi="Corbel" w:cs="Arial"/>
                <w:sz w:val="15"/>
                <w:szCs w:val="15"/>
              </w:rPr>
            </w:pPr>
            <w:r>
              <w:rPr>
                <w:rFonts w:ascii="Corbel" w:hAnsi="Corbel" w:cs="Arial"/>
                <w:sz w:val="15"/>
                <w:szCs w:val="15"/>
              </w:rPr>
              <w:t>A</w:t>
            </w:r>
            <w:r w:rsidRPr="00135B51">
              <w:rPr>
                <w:rFonts w:ascii="Corbel" w:hAnsi="Corbel" w:cs="Arial"/>
                <w:sz w:val="15"/>
                <w:szCs w:val="15"/>
              </w:rPr>
              <w:t xml:space="preserve">dmitted on the basis of other criteria </w:t>
            </w:r>
            <w:r>
              <w:rPr>
                <w:rFonts w:ascii="Corbel" w:hAnsi="Corbel" w:cs="Arial"/>
                <w:sz w:val="15"/>
                <w:szCs w:val="15"/>
              </w:rPr>
              <w:t xml:space="preserve">only </w:t>
            </w:r>
            <w:r w:rsidRPr="00135B51">
              <w:rPr>
                <w:rFonts w:ascii="Corbel" w:hAnsi="Corbel" w:cs="Arial"/>
                <w:sz w:val="15"/>
                <w:szCs w:val="15"/>
              </w:rPr>
              <w:t xml:space="preserve">and ATAR was </w:t>
            </w:r>
            <w:r w:rsidRPr="00135B51">
              <w:rPr>
                <w:rFonts w:ascii="Corbel" w:hAnsi="Corbel" w:cs="Arial"/>
                <w:b/>
                <w:i/>
                <w:sz w:val="15"/>
                <w:szCs w:val="15"/>
                <w:u w:val="single"/>
              </w:rPr>
              <w:t>not</w:t>
            </w:r>
            <w:r w:rsidRPr="00135B51">
              <w:rPr>
                <w:rFonts w:ascii="Corbel" w:hAnsi="Corbel" w:cs="Arial"/>
                <w:sz w:val="15"/>
                <w:szCs w:val="15"/>
              </w:rPr>
              <w:t xml:space="preserve"> a factor</w:t>
            </w:r>
            <w:r w:rsidRPr="00135B51">
              <w:rPr>
                <w:rFonts w:ascii="Corbel" w:hAnsi="Corbel" w:cs="Arial"/>
                <w:sz w:val="15"/>
                <w:szCs w:val="15"/>
              </w:rPr>
              <w:br/>
              <w:t>(e.g. special consideration, audition alone, schools recommendation scheme</w:t>
            </w:r>
            <w:r>
              <w:rPr>
                <w:rFonts w:ascii="Corbel" w:hAnsi="Corbel" w:cs="Arial"/>
                <w:sz w:val="15"/>
                <w:szCs w:val="15"/>
              </w:rPr>
              <w:t xml:space="preserve"> with no minimum ATAR requirement</w:t>
            </w:r>
            <w:r w:rsidRPr="00135B51">
              <w:rPr>
                <w:rFonts w:ascii="Corbel" w:hAnsi="Corbel" w:cs="Arial"/>
                <w:sz w:val="15"/>
                <w:szCs w:val="15"/>
              </w:rPr>
              <w:t>)</w:t>
            </w:r>
          </w:p>
        </w:tc>
        <w:tc>
          <w:tcPr>
            <w:tcW w:w="1985" w:type="dxa"/>
            <w:tcBorders>
              <w:top w:val="nil"/>
              <w:left w:val="single" w:sz="4" w:space="0" w:color="auto"/>
              <w:bottom w:val="single" w:sz="4" w:space="0" w:color="auto"/>
              <w:right w:val="single" w:sz="4" w:space="0" w:color="auto"/>
            </w:tcBorders>
            <w:shd w:val="clear" w:color="auto" w:fill="auto"/>
            <w:vAlign w:val="center"/>
          </w:tcPr>
          <w:p w:rsidR="002C0C0D" w:rsidRPr="00135B51" w:rsidRDefault="002C0C0D" w:rsidP="00FA372F">
            <w:pPr>
              <w:keepNext/>
              <w:keepLines/>
              <w:spacing w:after="0"/>
              <w:jc w:val="center"/>
              <w:rPr>
                <w:rFonts w:ascii="Corbel" w:hAnsi="Corbel" w:cs="Arial"/>
                <w:sz w:val="15"/>
                <w:szCs w:val="15"/>
              </w:rPr>
            </w:pPr>
            <w:r>
              <w:rPr>
                <w:rFonts w:ascii="Corbel" w:hAnsi="Corbel" w:cs="Arial"/>
                <w:sz w:val="15"/>
                <w:szCs w:val="15"/>
              </w:rPr>
              <w:t>n</w:t>
            </w:r>
          </w:p>
        </w:tc>
        <w:tc>
          <w:tcPr>
            <w:tcW w:w="1911" w:type="dxa"/>
            <w:tcBorders>
              <w:top w:val="nil"/>
              <w:left w:val="single" w:sz="4" w:space="0" w:color="auto"/>
              <w:bottom w:val="single" w:sz="4" w:space="0" w:color="auto"/>
              <w:right w:val="single" w:sz="4" w:space="0" w:color="auto"/>
            </w:tcBorders>
            <w:shd w:val="clear" w:color="auto" w:fill="auto"/>
            <w:vAlign w:val="center"/>
          </w:tcPr>
          <w:p w:rsidR="002C0C0D" w:rsidRPr="00135B51" w:rsidRDefault="002C0C0D" w:rsidP="00FA372F">
            <w:pPr>
              <w:keepNext/>
              <w:keepLines/>
              <w:spacing w:after="0"/>
              <w:jc w:val="center"/>
              <w:rPr>
                <w:rFonts w:ascii="Corbel" w:hAnsi="Corbel" w:cs="Arial"/>
                <w:sz w:val="15"/>
                <w:szCs w:val="15"/>
              </w:rPr>
            </w:pPr>
            <w:r>
              <w:rPr>
                <w:rFonts w:ascii="Corbel" w:hAnsi="Corbel" w:cs="Arial"/>
                <w:sz w:val="15"/>
                <w:szCs w:val="15"/>
              </w:rPr>
              <w:t>%</w:t>
            </w:r>
          </w:p>
        </w:tc>
      </w:tr>
      <w:tr w:rsidR="002C0C0D" w:rsidRPr="00135B51" w:rsidTr="00FA372F">
        <w:trPr>
          <w:trHeight w:val="444"/>
        </w:trPr>
        <w:tc>
          <w:tcPr>
            <w:tcW w:w="5353" w:type="dxa"/>
            <w:tcBorders>
              <w:top w:val="single" w:sz="4" w:space="0" w:color="auto"/>
            </w:tcBorders>
            <w:shd w:val="clear" w:color="auto" w:fill="auto"/>
          </w:tcPr>
          <w:p w:rsidR="002C0C0D" w:rsidRPr="00135B51" w:rsidRDefault="002C0C0D" w:rsidP="00FA372F">
            <w:pPr>
              <w:spacing w:after="100" w:afterAutospacing="1"/>
            </w:pPr>
            <w:r>
              <w:rPr>
                <w:rFonts w:ascii="Corbel" w:hAnsi="Corbel" w:cs="Arial"/>
                <w:b/>
                <w:sz w:val="15"/>
                <w:szCs w:val="15"/>
              </w:rPr>
              <w:t xml:space="preserve">(D) </w:t>
            </w:r>
            <w:r w:rsidRPr="00885315">
              <w:rPr>
                <w:rFonts w:ascii="Corbel" w:hAnsi="Corbel" w:cs="Arial"/>
                <w:b/>
                <w:sz w:val="15"/>
                <w:szCs w:val="15"/>
              </w:rPr>
              <w:t>Work and life experience</w:t>
            </w:r>
            <w:r w:rsidRPr="00A571A0">
              <w:rPr>
                <w:rFonts w:ascii="Corbel" w:hAnsi="Corbel" w:cs="Arial"/>
                <w:sz w:val="15"/>
                <w:szCs w:val="15"/>
              </w:rPr>
              <w:br/>
            </w:r>
            <w:r w:rsidRPr="00885315">
              <w:rPr>
                <w:rFonts w:ascii="Corbel" w:hAnsi="Corbel" w:cs="Arial"/>
                <w:sz w:val="15"/>
                <w:szCs w:val="15"/>
              </w:rPr>
              <w:t>(</w:t>
            </w:r>
            <w:r w:rsidRPr="00A571A0">
              <w:rPr>
                <w:rFonts w:ascii="Corbel" w:hAnsi="Corbel" w:cs="Arial"/>
                <w:sz w:val="15"/>
                <w:szCs w:val="15"/>
              </w:rPr>
              <w:t>A</w:t>
            </w:r>
            <w:r w:rsidRPr="00885315">
              <w:rPr>
                <w:rFonts w:ascii="Corbel" w:hAnsi="Corbel" w:cs="Arial"/>
                <w:sz w:val="15"/>
                <w:szCs w:val="15"/>
              </w:rPr>
              <w:t>dmitted on the basis of previous achievement other than the above)</w:t>
            </w:r>
          </w:p>
        </w:tc>
        <w:tc>
          <w:tcPr>
            <w:tcW w:w="1985" w:type="dxa"/>
            <w:tcBorders>
              <w:top w:val="single" w:sz="4" w:space="0" w:color="auto"/>
            </w:tcBorders>
            <w:shd w:val="clear" w:color="auto" w:fill="auto"/>
            <w:vAlign w:val="center"/>
          </w:tcPr>
          <w:p w:rsidR="002C0C0D" w:rsidRPr="00135B51" w:rsidRDefault="002C0C0D" w:rsidP="00FA372F">
            <w:pPr>
              <w:keepNext/>
              <w:keepLines/>
              <w:spacing w:after="0"/>
              <w:jc w:val="center"/>
              <w:rPr>
                <w:rFonts w:ascii="Corbel" w:hAnsi="Corbel" w:cs="Arial"/>
                <w:sz w:val="15"/>
                <w:szCs w:val="15"/>
              </w:rPr>
            </w:pPr>
            <w:r>
              <w:rPr>
                <w:rFonts w:ascii="Corbel" w:hAnsi="Corbel" w:cs="Arial"/>
                <w:sz w:val="15"/>
                <w:szCs w:val="15"/>
              </w:rPr>
              <w:t>n</w:t>
            </w:r>
          </w:p>
        </w:tc>
        <w:tc>
          <w:tcPr>
            <w:tcW w:w="1911" w:type="dxa"/>
            <w:tcBorders>
              <w:top w:val="single" w:sz="4" w:space="0" w:color="auto"/>
            </w:tcBorders>
            <w:shd w:val="clear" w:color="auto" w:fill="auto"/>
            <w:vAlign w:val="center"/>
          </w:tcPr>
          <w:p w:rsidR="002C0C0D" w:rsidRPr="00135B51" w:rsidRDefault="002C0C0D" w:rsidP="00FA372F">
            <w:pPr>
              <w:keepNext/>
              <w:keepLines/>
              <w:spacing w:after="0"/>
              <w:jc w:val="center"/>
              <w:rPr>
                <w:rFonts w:ascii="Corbel" w:hAnsi="Corbel" w:cs="Arial"/>
                <w:sz w:val="15"/>
                <w:szCs w:val="15"/>
              </w:rPr>
            </w:pPr>
            <w:r>
              <w:rPr>
                <w:rFonts w:ascii="Corbel" w:hAnsi="Corbel" w:cs="Arial"/>
                <w:sz w:val="15"/>
                <w:szCs w:val="15"/>
              </w:rPr>
              <w:t>%</w:t>
            </w:r>
          </w:p>
        </w:tc>
      </w:tr>
      <w:tr w:rsidR="002C0C0D" w:rsidRPr="00135B51" w:rsidTr="00FA372F">
        <w:trPr>
          <w:trHeight w:val="442"/>
        </w:trPr>
        <w:tc>
          <w:tcPr>
            <w:tcW w:w="5353" w:type="dxa"/>
            <w:shd w:val="clear" w:color="auto" w:fill="auto"/>
            <w:vAlign w:val="center"/>
          </w:tcPr>
          <w:p w:rsidR="002C0C0D" w:rsidRPr="00135B51" w:rsidRDefault="002C0C0D" w:rsidP="00FA372F">
            <w:pPr>
              <w:keepNext/>
              <w:keepLines/>
              <w:spacing w:after="0"/>
              <w:rPr>
                <w:rFonts w:ascii="Corbel" w:hAnsi="Corbel" w:cs="Arial"/>
                <w:b/>
                <w:i/>
                <w:sz w:val="15"/>
                <w:szCs w:val="15"/>
              </w:rPr>
            </w:pPr>
            <w:r w:rsidRPr="00885315">
              <w:rPr>
                <w:rFonts w:ascii="Corbel" w:hAnsi="Corbel" w:cs="Arial"/>
                <w:b/>
                <w:sz w:val="15"/>
                <w:szCs w:val="15"/>
              </w:rPr>
              <w:t>International students</w:t>
            </w:r>
          </w:p>
        </w:tc>
        <w:tc>
          <w:tcPr>
            <w:tcW w:w="1985" w:type="dxa"/>
            <w:shd w:val="clear" w:color="auto" w:fill="auto"/>
            <w:vAlign w:val="center"/>
          </w:tcPr>
          <w:p w:rsidR="002C0C0D" w:rsidRPr="00135B51" w:rsidRDefault="002C0C0D" w:rsidP="00FA372F">
            <w:pPr>
              <w:keepNext/>
              <w:keepLines/>
              <w:spacing w:after="0"/>
              <w:jc w:val="center"/>
              <w:rPr>
                <w:rFonts w:ascii="Corbel" w:hAnsi="Corbel" w:cs="Arial"/>
                <w:sz w:val="15"/>
                <w:szCs w:val="15"/>
              </w:rPr>
            </w:pPr>
            <w:r>
              <w:rPr>
                <w:rFonts w:ascii="Corbel" w:hAnsi="Corbel" w:cs="Arial"/>
                <w:sz w:val="15"/>
                <w:szCs w:val="15"/>
              </w:rPr>
              <w:t>n</w:t>
            </w:r>
          </w:p>
        </w:tc>
        <w:tc>
          <w:tcPr>
            <w:tcW w:w="1911" w:type="dxa"/>
            <w:shd w:val="clear" w:color="auto" w:fill="auto"/>
            <w:vAlign w:val="center"/>
          </w:tcPr>
          <w:p w:rsidR="002C0C0D" w:rsidRPr="00135B51" w:rsidRDefault="002C0C0D" w:rsidP="00FA372F">
            <w:pPr>
              <w:keepNext/>
              <w:keepLines/>
              <w:spacing w:after="0"/>
              <w:jc w:val="center"/>
              <w:rPr>
                <w:rFonts w:ascii="Corbel" w:hAnsi="Corbel" w:cs="Arial"/>
                <w:sz w:val="15"/>
                <w:szCs w:val="15"/>
              </w:rPr>
            </w:pPr>
            <w:r>
              <w:rPr>
                <w:rFonts w:ascii="Corbel" w:hAnsi="Corbel" w:cs="Arial"/>
                <w:sz w:val="15"/>
                <w:szCs w:val="15"/>
              </w:rPr>
              <w:t>%</w:t>
            </w:r>
          </w:p>
        </w:tc>
      </w:tr>
      <w:tr w:rsidR="002C0C0D" w:rsidRPr="00885315" w:rsidTr="00FA372F">
        <w:trPr>
          <w:trHeight w:val="406"/>
        </w:trPr>
        <w:tc>
          <w:tcPr>
            <w:tcW w:w="5353" w:type="dxa"/>
            <w:shd w:val="clear" w:color="auto" w:fill="auto"/>
            <w:vAlign w:val="center"/>
          </w:tcPr>
          <w:p w:rsidR="002C0C0D" w:rsidRPr="00885315" w:rsidRDefault="002C0C0D" w:rsidP="00FA372F">
            <w:pPr>
              <w:keepLines/>
              <w:spacing w:after="0"/>
              <w:rPr>
                <w:rFonts w:ascii="Corbel" w:hAnsi="Corbel" w:cs="Arial"/>
                <w:b/>
                <w:i/>
                <w:sz w:val="15"/>
                <w:szCs w:val="15"/>
              </w:rPr>
            </w:pPr>
            <w:r w:rsidRPr="00885315">
              <w:rPr>
                <w:rFonts w:ascii="Corbel" w:hAnsi="Corbel" w:cs="Arial"/>
                <w:b/>
                <w:i/>
                <w:sz w:val="15"/>
                <w:szCs w:val="15"/>
              </w:rPr>
              <w:t>All students</w:t>
            </w:r>
          </w:p>
        </w:tc>
        <w:tc>
          <w:tcPr>
            <w:tcW w:w="1985" w:type="dxa"/>
            <w:shd w:val="clear" w:color="auto" w:fill="auto"/>
            <w:vAlign w:val="center"/>
          </w:tcPr>
          <w:p w:rsidR="002C0C0D" w:rsidRPr="00885315" w:rsidRDefault="002C0C0D" w:rsidP="00FA372F">
            <w:pPr>
              <w:keepLines/>
              <w:spacing w:after="0"/>
              <w:jc w:val="center"/>
              <w:rPr>
                <w:rFonts w:ascii="Corbel" w:hAnsi="Corbel" w:cs="Arial"/>
                <w:b/>
                <w:i/>
                <w:sz w:val="15"/>
                <w:szCs w:val="15"/>
              </w:rPr>
            </w:pPr>
            <w:r>
              <w:rPr>
                <w:rFonts w:ascii="Corbel" w:hAnsi="Corbel" w:cs="Arial"/>
                <w:b/>
                <w:i/>
                <w:sz w:val="15"/>
                <w:szCs w:val="15"/>
              </w:rPr>
              <w:t>nn</w:t>
            </w:r>
          </w:p>
        </w:tc>
        <w:tc>
          <w:tcPr>
            <w:tcW w:w="1911" w:type="dxa"/>
            <w:shd w:val="clear" w:color="auto" w:fill="auto"/>
            <w:vAlign w:val="center"/>
          </w:tcPr>
          <w:p w:rsidR="002C0C0D" w:rsidRPr="00885315" w:rsidRDefault="002C0C0D" w:rsidP="00FA372F">
            <w:pPr>
              <w:keepLines/>
              <w:spacing w:after="0"/>
              <w:jc w:val="center"/>
              <w:rPr>
                <w:rFonts w:ascii="Corbel" w:hAnsi="Corbel" w:cs="Arial"/>
                <w:b/>
                <w:i/>
                <w:sz w:val="15"/>
                <w:szCs w:val="15"/>
              </w:rPr>
            </w:pPr>
            <w:r w:rsidRPr="00885315">
              <w:rPr>
                <w:rFonts w:ascii="Corbel" w:hAnsi="Corbel" w:cs="Arial"/>
                <w:b/>
                <w:i/>
                <w:sz w:val="15"/>
                <w:szCs w:val="15"/>
              </w:rPr>
              <w:t>100.0%</w:t>
            </w:r>
          </w:p>
        </w:tc>
      </w:tr>
    </w:tbl>
    <w:p w:rsidR="00BD32DA" w:rsidRPr="00135B51" w:rsidRDefault="00BD32DA" w:rsidP="00BD32DA">
      <w:pPr>
        <w:spacing w:after="0" w:line="240" w:lineRule="auto"/>
        <w:contextualSpacing/>
        <w:rPr>
          <w:rFonts w:ascii="Corbel" w:eastAsiaTheme="minorHAnsi" w:hAnsi="Corbel" w:cs="Arial"/>
          <w:sz w:val="15"/>
          <w:szCs w:val="15"/>
        </w:rPr>
      </w:pPr>
      <w:r w:rsidRPr="00135B51">
        <w:rPr>
          <w:rFonts w:ascii="Corbel" w:eastAsiaTheme="minorHAnsi" w:hAnsi="Corbel" w:cs="Arial"/>
          <w:sz w:val="15"/>
          <w:szCs w:val="15"/>
        </w:rPr>
        <w:t>Notes:</w:t>
      </w:r>
      <w:r w:rsidRPr="00135B51">
        <w:rPr>
          <w:rFonts w:ascii="Corbel" w:eastAsiaTheme="minorHAnsi" w:hAnsi="Corbel" w:cs="Arial"/>
          <w:sz w:val="15"/>
          <w:szCs w:val="15"/>
        </w:rPr>
        <w:tab/>
        <w:t>L/N - Low numbers: the number of students is less than 5.</w:t>
      </w:r>
    </w:p>
    <w:p w:rsidR="00BD32DA" w:rsidRPr="00135B51" w:rsidRDefault="00BD32DA" w:rsidP="00BD32DA">
      <w:pPr>
        <w:spacing w:after="0" w:line="240" w:lineRule="auto"/>
        <w:contextualSpacing/>
        <w:rPr>
          <w:rFonts w:ascii="Corbel" w:eastAsiaTheme="minorHAnsi" w:hAnsi="Corbel" w:cs="Arial"/>
          <w:sz w:val="15"/>
          <w:szCs w:val="15"/>
        </w:rPr>
      </w:pPr>
      <w:r w:rsidRPr="00135B51">
        <w:rPr>
          <w:rFonts w:ascii="Corbel" w:eastAsiaTheme="minorHAnsi" w:hAnsi="Corbel" w:cs="Arial"/>
          <w:sz w:val="15"/>
          <w:szCs w:val="15"/>
        </w:rPr>
        <w:tab/>
        <w:t>N/A - Data not available for this item.</w:t>
      </w:r>
    </w:p>
    <w:p w:rsidR="00BD32DA" w:rsidRPr="00135B51" w:rsidRDefault="00BD32DA" w:rsidP="00BD32DA">
      <w:pPr>
        <w:spacing w:after="0" w:line="240" w:lineRule="auto"/>
        <w:contextualSpacing/>
        <w:rPr>
          <w:rFonts w:ascii="Corbel" w:eastAsiaTheme="minorHAnsi" w:hAnsi="Corbel" w:cs="Arial"/>
          <w:sz w:val="15"/>
          <w:szCs w:val="15"/>
        </w:rPr>
      </w:pPr>
      <w:r w:rsidRPr="00135B51">
        <w:rPr>
          <w:rFonts w:ascii="Corbel" w:eastAsiaTheme="minorHAnsi" w:hAnsi="Corbel" w:cs="Arial"/>
          <w:sz w:val="15"/>
          <w:szCs w:val="15"/>
        </w:rPr>
        <w:tab/>
        <w:t>N/P – Not published: the number is hidden to prevent calculation of numbers in cells with less than 5 students.</w:t>
      </w:r>
    </w:p>
    <w:p w:rsidR="00BD32DA" w:rsidRDefault="00BD32DA" w:rsidP="00BD32DA">
      <w:pPr>
        <w:spacing w:after="0" w:line="240" w:lineRule="auto"/>
        <w:ind w:left="720"/>
        <w:contextualSpacing/>
        <w:rPr>
          <w:rFonts w:ascii="Corbel" w:eastAsiaTheme="minorHAnsi" w:hAnsi="Corbel"/>
          <w:color w:val="0000FC"/>
          <w:sz w:val="15"/>
          <w:szCs w:val="15"/>
        </w:rPr>
      </w:pPr>
      <w:r w:rsidRPr="00135B51">
        <w:rPr>
          <w:rFonts w:ascii="Corbel" w:eastAsiaTheme="minorHAnsi" w:hAnsi="Corbel"/>
          <w:color w:val="0000FC"/>
          <w:sz w:val="15"/>
          <w:szCs w:val="15"/>
        </w:rPr>
        <w:t>[The values of suppressed cells can be approximated by using the totals and subtracting the values of some other cells, but only to within 5 students of the actual number, thereby retaining the confidentiality of the cells marked "L/N".]</w:t>
      </w:r>
    </w:p>
    <w:p w:rsidR="00BD32DA" w:rsidRPr="005A565D" w:rsidRDefault="00BD32DA" w:rsidP="00BD32DA">
      <w:pPr>
        <w:keepNext/>
        <w:keepLines/>
        <w:numPr>
          <w:ilvl w:val="0"/>
          <w:numId w:val="15"/>
        </w:numPr>
        <w:spacing w:before="240" w:after="0" w:line="240" w:lineRule="auto"/>
        <w:ind w:left="567" w:hanging="567"/>
        <w:outlineLvl w:val="0"/>
        <w:rPr>
          <w:rFonts w:ascii="Corbel" w:hAnsi="Corbel"/>
          <w:b/>
          <w:sz w:val="28"/>
        </w:rPr>
      </w:pPr>
      <w:bookmarkStart w:id="297" w:name="_Toc483263606"/>
      <w:bookmarkStart w:id="298" w:name="_Toc482805103"/>
      <w:bookmarkStart w:id="299" w:name="_Toc483263607"/>
      <w:bookmarkStart w:id="300" w:name="_Toc483350245"/>
      <w:bookmarkStart w:id="301" w:name="_Toc483813661"/>
      <w:bookmarkStart w:id="302" w:name="_Toc484093531"/>
      <w:bookmarkEnd w:id="297"/>
      <w:r w:rsidRPr="005A565D">
        <w:rPr>
          <w:rFonts w:ascii="Corbel" w:hAnsi="Corbel"/>
          <w:b/>
          <w:sz w:val="28"/>
        </w:rPr>
        <w:t xml:space="preserve">Where to get further information </w:t>
      </w:r>
      <w:r w:rsidRPr="00EA05C3">
        <w:rPr>
          <w:rFonts w:ascii="Corbel" w:hAnsi="Corbel"/>
          <w:i/>
          <w:color w:val="FF0000"/>
          <w:sz w:val="28"/>
        </w:rPr>
        <w:t>[CORE - required in 2017]</w:t>
      </w:r>
      <w:bookmarkEnd w:id="298"/>
      <w:bookmarkEnd w:id="299"/>
      <w:bookmarkEnd w:id="300"/>
      <w:bookmarkEnd w:id="301"/>
      <w:bookmarkEnd w:id="302"/>
    </w:p>
    <w:p w:rsidR="00BD32DA" w:rsidRPr="00537ABC" w:rsidRDefault="00BD32DA" w:rsidP="00BD32DA">
      <w:pPr>
        <w:spacing w:after="240"/>
        <w:rPr>
          <w:rStyle w:val="Hyperlink"/>
          <w:rFonts w:ascii="Arial" w:hAnsi="Arial"/>
          <w:color w:val="0000FC"/>
          <w:sz w:val="18"/>
          <w:u w:val="none"/>
        </w:rPr>
      </w:pPr>
      <w:r w:rsidRPr="00537ABC">
        <w:rPr>
          <w:rStyle w:val="Hyperlink"/>
          <w:rFonts w:ascii="Arial" w:hAnsi="Arial"/>
          <w:color w:val="0000FC"/>
          <w:sz w:val="18"/>
          <w:u w:val="none"/>
        </w:rPr>
        <w:t xml:space="preserve">[Directions and links to other relevant information – e.g. </w:t>
      </w:r>
      <w:r w:rsidRPr="00135B51">
        <w:rPr>
          <w:rStyle w:val="Hyperlink"/>
          <w:rFonts w:ascii="Arial" w:hAnsi="Arial" w:cs="Arial"/>
          <w:color w:val="0000FC"/>
          <w:sz w:val="18"/>
          <w:szCs w:val="18"/>
          <w:u w:val="none"/>
        </w:rPr>
        <w:t xml:space="preserve">the institution’s homepage, the relevant </w:t>
      </w:r>
      <w:r w:rsidR="00FC7661">
        <w:rPr>
          <w:rStyle w:val="Hyperlink"/>
          <w:rFonts w:ascii="Arial" w:hAnsi="Arial" w:cs="Arial"/>
          <w:color w:val="0000FC"/>
          <w:sz w:val="18"/>
          <w:szCs w:val="18"/>
          <w:u w:val="none"/>
        </w:rPr>
        <w:t>TAC</w:t>
      </w:r>
      <w:r w:rsidRPr="00537ABC">
        <w:rPr>
          <w:rStyle w:val="Hyperlink"/>
          <w:rFonts w:ascii="Arial" w:hAnsi="Arial"/>
          <w:color w:val="0000FC"/>
          <w:sz w:val="18"/>
          <w:u w:val="none"/>
        </w:rPr>
        <w:t>/s, the Quality Indicators for Learning and Teaching (QILT) website, the National Admission Information Platform (when available).]</w:t>
      </w:r>
    </w:p>
    <w:p w:rsidR="00BD32DA" w:rsidRPr="00537ABC" w:rsidRDefault="00BD32DA" w:rsidP="00BD32DA">
      <w:pPr>
        <w:spacing w:after="240"/>
        <w:rPr>
          <w:rStyle w:val="Hyperlink"/>
          <w:rFonts w:ascii="Arial" w:hAnsi="Arial"/>
          <w:color w:val="0000FC"/>
          <w:sz w:val="18"/>
          <w:u w:val="none"/>
        </w:rPr>
      </w:pPr>
      <w:r w:rsidRPr="00537ABC">
        <w:rPr>
          <w:rStyle w:val="Hyperlink"/>
          <w:rFonts w:ascii="Arial" w:hAnsi="Arial"/>
          <w:color w:val="0000FC"/>
          <w:sz w:val="18"/>
          <w:u w:val="none"/>
        </w:rPr>
        <w:t>[Applicants with atypical application pathways not outlined above (e.g. Baccalaureate or international schooling) should be assisted here.]</w:t>
      </w:r>
    </w:p>
    <w:p w:rsidR="00F0165C" w:rsidRPr="00EB34CF" w:rsidRDefault="00F0165C" w:rsidP="00F0165C">
      <w:pPr>
        <w:pStyle w:val="HERNormal"/>
        <w:rPr>
          <w:noProof w:val="0"/>
        </w:rPr>
      </w:pPr>
    </w:p>
    <w:sectPr w:rsidR="00F0165C" w:rsidRPr="00EB34CF" w:rsidSect="00C3101F">
      <w:pgSz w:w="11906" w:h="16838"/>
      <w:pgMar w:top="1372" w:right="1440" w:bottom="1440" w:left="1440" w:header="709" w:footer="510" w:gutter="0"/>
      <w:cols w:space="567"/>
      <w:titlePg/>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DA1664F" w15:done="0"/>
  <w15:commentEx w15:paraId="27907D8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0DA9" w:rsidRDefault="00A20DA9" w:rsidP="00130923">
      <w:pPr>
        <w:spacing w:after="0" w:line="240" w:lineRule="auto"/>
      </w:pPr>
      <w:r>
        <w:separator/>
      </w:r>
    </w:p>
  </w:endnote>
  <w:endnote w:type="continuationSeparator" w:id="0">
    <w:p w:rsidR="00A20DA9" w:rsidRDefault="00A20DA9" w:rsidP="00130923">
      <w:pPr>
        <w:spacing w:after="0" w:line="240" w:lineRule="auto"/>
      </w:pPr>
      <w:r>
        <w:continuationSeparator/>
      </w:r>
    </w:p>
  </w:endnote>
  <w:endnote w:type="continuationNotice" w:id="1">
    <w:p w:rsidR="00A20DA9" w:rsidRDefault="00A20D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DilleniaUPC">
    <w:altName w:val="Arial Unicode MS"/>
    <w:panose1 w:val="02020603050405020304"/>
    <w:charset w:val="00"/>
    <w:family w:val="roman"/>
    <w:pitch w:val="variable"/>
    <w:sig w:usb0="81000027" w:usb1="00000002" w:usb2="00000000" w:usb3="00000000" w:csb0="00010001" w:csb1="00000000"/>
  </w:font>
  <w:font w:name="Arial">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BA" w:rsidRDefault="001910BA" w:rsidP="00E23645">
    <w:pPr>
      <w:pStyle w:val="Footer"/>
      <w:jc w:val="right"/>
    </w:pPr>
    <w:r>
      <w:rPr>
        <w:noProof/>
        <w:lang w:eastAsia="en-AU"/>
      </w:rPr>
      <w:drawing>
        <wp:anchor distT="0" distB="0" distL="114300" distR="114300" simplePos="0" relativeHeight="251665408" behindDoc="1" locked="0" layoutInCell="1" allowOverlap="1" wp14:anchorId="69134FFC" wp14:editId="24F052B6">
          <wp:simplePos x="0" y="0"/>
          <wp:positionH relativeFrom="column">
            <wp:posOffset>-931545</wp:posOffset>
          </wp:positionH>
          <wp:positionV relativeFrom="paragraph">
            <wp:posOffset>-201930</wp:posOffset>
          </wp:positionV>
          <wp:extent cx="7620000" cy="725170"/>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_Education\ED16-0006 Higher Education Reform Consultation Paper\links\ED16-0006 Higher Education Reform Consultation Paper_Left.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620000" cy="72517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95863475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4</w:t>
        </w:r>
        <w:r>
          <w:rPr>
            <w:noProof/>
          </w:rPr>
          <w:fldChar w:fldCharType="end"/>
        </w:r>
      </w:sdtContent>
    </w:sdt>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6350063"/>
      <w:docPartObj>
        <w:docPartGallery w:val="Page Numbers (Bottom of Page)"/>
        <w:docPartUnique/>
      </w:docPartObj>
    </w:sdtPr>
    <w:sdtEndPr>
      <w:rPr>
        <w:noProof/>
      </w:rPr>
    </w:sdtEndPr>
    <w:sdtContent>
      <w:p w:rsidR="001910BA" w:rsidRDefault="001910BA" w:rsidP="00AD148B">
        <w:pPr>
          <w:pStyle w:val="Footer"/>
          <w:jc w:val="right"/>
        </w:pPr>
        <w:r>
          <w:fldChar w:fldCharType="begin"/>
        </w:r>
        <w:r>
          <w:instrText xml:space="preserve"> PAGE   \* MERGEFORMAT </w:instrText>
        </w:r>
        <w:r>
          <w:fldChar w:fldCharType="separate"/>
        </w:r>
        <w:r>
          <w:rPr>
            <w:noProof/>
          </w:rPr>
          <w:t>25</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BA" w:rsidRDefault="001910BA" w:rsidP="00AD148B">
    <w:pPr>
      <w:pStyle w:val="Footer"/>
    </w:pPr>
    <w:r>
      <w:rPr>
        <w:noProof/>
        <w:lang w:eastAsia="en-AU"/>
      </w:rPr>
      <w:drawing>
        <wp:anchor distT="0" distB="0" distL="114300" distR="114300" simplePos="0" relativeHeight="251724800" behindDoc="1" locked="0" layoutInCell="1" allowOverlap="1" wp14:anchorId="1E4F2199" wp14:editId="5CC8AEEA">
          <wp:simplePos x="0" y="0"/>
          <wp:positionH relativeFrom="column">
            <wp:posOffset>-914400</wp:posOffset>
          </wp:positionH>
          <wp:positionV relativeFrom="paragraph">
            <wp:posOffset>-224790</wp:posOffset>
          </wp:positionV>
          <wp:extent cx="7562850" cy="72390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_Education\ED16-0006 Higher Education Reform Consultation Paper\links\ED16-0006 Higher Education Reform Consultation Paper_Left.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2850" cy="72390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32035629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C3BAE">
          <w:rPr>
            <w:noProof/>
          </w:rPr>
          <w:t>40</w:t>
        </w:r>
        <w:r>
          <w:rPr>
            <w:noProof/>
          </w:rPr>
          <w:fldChar w:fldCharType="end"/>
        </w:r>
      </w:sdtContent>
    </w:sdt>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09012"/>
      <w:docPartObj>
        <w:docPartGallery w:val="Page Numbers (Bottom of Page)"/>
        <w:docPartUnique/>
      </w:docPartObj>
    </w:sdtPr>
    <w:sdtEndPr>
      <w:rPr>
        <w:noProof/>
      </w:rPr>
    </w:sdtEndPr>
    <w:sdtContent>
      <w:p w:rsidR="001910BA" w:rsidRDefault="001910BA" w:rsidP="00AD148B">
        <w:pPr>
          <w:pStyle w:val="Footer"/>
          <w:jc w:val="right"/>
        </w:pPr>
        <w:r>
          <w:rPr>
            <w:noProof/>
            <w:lang w:eastAsia="en-AU"/>
          </w:rPr>
          <w:drawing>
            <wp:anchor distT="0" distB="0" distL="114300" distR="114300" simplePos="0" relativeHeight="251742208" behindDoc="1" locked="0" layoutInCell="1" allowOverlap="1" wp14:anchorId="21F83805" wp14:editId="4A89EC8F">
              <wp:simplePos x="0" y="0"/>
              <wp:positionH relativeFrom="column">
                <wp:posOffset>-914400</wp:posOffset>
              </wp:positionH>
              <wp:positionV relativeFrom="paragraph">
                <wp:posOffset>-224790</wp:posOffset>
              </wp:positionV>
              <wp:extent cx="7562850" cy="72390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_Education\ED16-0006 Higher Education Reform Consultation Paper\links\ED16-0006 Higher Education Reform Consultation Paper_Left.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2850" cy="7239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3C3BAE">
          <w:rPr>
            <w:noProof/>
          </w:rPr>
          <w:t>25</w:t>
        </w:r>
        <w:r>
          <w:rPr>
            <w:noProof/>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BA" w:rsidRDefault="001910BA" w:rsidP="005A565D">
    <w:pPr>
      <w:pStyle w:val="Footer"/>
      <w:jc w:val="right"/>
    </w:pPr>
    <w:r>
      <w:rPr>
        <w:noProof/>
        <w:lang w:eastAsia="en-AU"/>
      </w:rPr>
      <w:drawing>
        <wp:anchor distT="0" distB="0" distL="114300" distR="114300" simplePos="0" relativeHeight="251722752" behindDoc="1" locked="0" layoutInCell="1" allowOverlap="1" wp14:anchorId="01ACCDC5" wp14:editId="5D5EA6BA">
          <wp:simplePos x="0" y="0"/>
          <wp:positionH relativeFrom="column">
            <wp:posOffset>-933450</wp:posOffset>
          </wp:positionH>
          <wp:positionV relativeFrom="paragraph">
            <wp:posOffset>-223520</wp:posOffset>
          </wp:positionV>
          <wp:extent cx="7620000" cy="72517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_Education\ED16-0006 Higher Education Reform Consultation Paper\links\ED16-0006 Higher Education Reform Consultation Paper_Left.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620000" cy="72517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50165833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C3BAE">
          <w:rPr>
            <w:noProof/>
          </w:rPr>
          <w:t>37</w:t>
        </w:r>
        <w:r>
          <w:rPr>
            <w:noProof/>
          </w:rPr>
          <w:fldChar w:fldCharType="end"/>
        </w:r>
      </w:sdtContent>
    </w:sdt>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4107131"/>
      <w:docPartObj>
        <w:docPartGallery w:val="Page Numbers (Bottom of Page)"/>
        <w:docPartUnique/>
      </w:docPartObj>
    </w:sdtPr>
    <w:sdtEndPr>
      <w:rPr>
        <w:noProof/>
      </w:rPr>
    </w:sdtEndPr>
    <w:sdtContent>
      <w:p w:rsidR="001910BA" w:rsidRDefault="001910BA" w:rsidP="005A565D">
        <w:pPr>
          <w:pStyle w:val="Footer"/>
          <w:jc w:val="right"/>
        </w:pPr>
        <w:r>
          <w:rPr>
            <w:noProof/>
            <w:lang w:eastAsia="en-AU"/>
          </w:rPr>
          <w:drawing>
            <wp:anchor distT="0" distB="0" distL="114300" distR="114300" simplePos="0" relativeHeight="251728896" behindDoc="1" locked="0" layoutInCell="1" allowOverlap="1" wp14:anchorId="54A9F4E1" wp14:editId="1724410B">
              <wp:simplePos x="0" y="0"/>
              <wp:positionH relativeFrom="column">
                <wp:posOffset>-914400</wp:posOffset>
              </wp:positionH>
              <wp:positionV relativeFrom="paragraph">
                <wp:posOffset>-215265</wp:posOffset>
              </wp:positionV>
              <wp:extent cx="7562850" cy="72390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_Education\ED16-0006 Higher Education Reform Consultation Paper\links\ED16-0006 Higher Education Reform Consultation Paper_Left.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2850" cy="7239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3C3BAE">
          <w:rPr>
            <w:noProof/>
          </w:rPr>
          <w:t>41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3315271"/>
      <w:docPartObj>
        <w:docPartGallery w:val="Page Numbers (Bottom of Page)"/>
        <w:docPartUnique/>
      </w:docPartObj>
    </w:sdtPr>
    <w:sdtEndPr>
      <w:rPr>
        <w:noProof/>
      </w:rPr>
    </w:sdtEndPr>
    <w:sdtContent>
      <w:p w:rsidR="001910BA" w:rsidRDefault="001910BA" w:rsidP="00E23645">
        <w:pPr>
          <w:pStyle w:val="Footer"/>
          <w:jc w:val="right"/>
        </w:pPr>
        <w:r>
          <w:rPr>
            <w:noProof/>
            <w:lang w:eastAsia="en-AU"/>
          </w:rPr>
          <w:drawing>
            <wp:anchor distT="0" distB="0" distL="114300" distR="114300" simplePos="0" relativeHeight="251661312" behindDoc="1" locked="0" layoutInCell="1" allowOverlap="1" wp14:anchorId="25D738A6" wp14:editId="4CA4F06D">
              <wp:simplePos x="0" y="0"/>
              <wp:positionH relativeFrom="column">
                <wp:posOffset>-1005839</wp:posOffset>
              </wp:positionH>
              <wp:positionV relativeFrom="paragraph">
                <wp:posOffset>-227384</wp:posOffset>
              </wp:positionV>
              <wp:extent cx="7760070" cy="738342"/>
              <wp:effectExtent l="0" t="0" r="0" b="5080"/>
              <wp:wrapNone/>
              <wp:docPr id="8" name="Picture 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_Education\ED16-0006 Higher Education Reform Consultation Paper\links\ED16-0006 Higher Education Reform Consultation Paper_Left.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98284" cy="741978"/>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3</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BA" w:rsidRDefault="001910BA" w:rsidP="001D2233">
    <w:pPr>
      <w:pStyle w:val="Footer"/>
      <w:tabs>
        <w:tab w:val="clear" w:pos="4513"/>
        <w:tab w:val="clear" w:pos="9026"/>
        <w:tab w:val="left" w:pos="4197"/>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1750505"/>
      <w:docPartObj>
        <w:docPartGallery w:val="Page Numbers (Bottom of Page)"/>
        <w:docPartUnique/>
      </w:docPartObj>
    </w:sdtPr>
    <w:sdtEndPr>
      <w:rPr>
        <w:noProof/>
      </w:rPr>
    </w:sdtEndPr>
    <w:sdtContent>
      <w:p w:rsidR="001910BA" w:rsidRDefault="001910BA" w:rsidP="00AD148B">
        <w:pPr>
          <w:pStyle w:val="Footer"/>
          <w:jc w:val="right"/>
        </w:pPr>
        <w:r>
          <w:rPr>
            <w:noProof/>
            <w:lang w:eastAsia="en-AU"/>
          </w:rPr>
          <w:drawing>
            <wp:anchor distT="0" distB="0" distL="114300" distR="114300" simplePos="0" relativeHeight="251663360" behindDoc="1" locked="0" layoutInCell="1" allowOverlap="1" wp14:anchorId="45CD4DBA" wp14:editId="702BBB40">
              <wp:simplePos x="0" y="0"/>
              <wp:positionH relativeFrom="column">
                <wp:posOffset>-914400</wp:posOffset>
              </wp:positionH>
              <wp:positionV relativeFrom="paragraph">
                <wp:posOffset>-223741</wp:posOffset>
              </wp:positionV>
              <wp:extent cx="7620000" cy="72517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_Education\ED16-0006 Higher Education Reform Consultation Paper\links\ED16-0006 Higher Education Reform Consultation Paper_Left.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620000" cy="72517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3C3BAE">
          <w:rPr>
            <w:noProof/>
          </w:rPr>
          <w:t>3</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3933593"/>
      <w:docPartObj>
        <w:docPartGallery w:val="Page Numbers (Bottom of Page)"/>
        <w:docPartUnique/>
      </w:docPartObj>
    </w:sdtPr>
    <w:sdtEndPr>
      <w:rPr>
        <w:noProof/>
      </w:rPr>
    </w:sdtEndPr>
    <w:sdtContent>
      <w:p w:rsidR="001910BA" w:rsidRDefault="001910BA" w:rsidP="00AD148B">
        <w:pPr>
          <w:pStyle w:val="Footer"/>
          <w:jc w:val="right"/>
        </w:pPr>
        <w:r>
          <w:rPr>
            <w:noProof/>
            <w:lang w:eastAsia="en-AU"/>
          </w:rPr>
          <w:drawing>
            <wp:anchor distT="0" distB="0" distL="114300" distR="114300" simplePos="0" relativeHeight="251667456" behindDoc="1" locked="0" layoutInCell="1" allowOverlap="1" wp14:anchorId="308C7AF7" wp14:editId="1856132D">
              <wp:simplePos x="0" y="0"/>
              <wp:positionH relativeFrom="column">
                <wp:posOffset>-892810</wp:posOffset>
              </wp:positionH>
              <wp:positionV relativeFrom="paragraph">
                <wp:posOffset>233680</wp:posOffset>
              </wp:positionV>
              <wp:extent cx="7588250" cy="795020"/>
              <wp:effectExtent l="0" t="0" r="0" b="5080"/>
              <wp:wrapThrough wrapText="bothSides">
                <wp:wrapPolygon edited="0">
                  <wp:start x="0" y="0"/>
                  <wp:lineTo x="0" y="21220"/>
                  <wp:lineTo x="21528" y="21220"/>
                  <wp:lineTo x="21528" y="0"/>
                  <wp:lineTo x="0" y="0"/>
                </wp:wrapPolygon>
              </wp:wrapThrough>
              <wp:docPr id="299" name="Picture 29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_Education\ED16-0006 Higher Education Reform Consultation Paper\links\ED16-0006 Higher Education Reform Consultation Paper_Left.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88250" cy="79502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38</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BA" w:rsidRDefault="001910BA" w:rsidP="00AD148B">
    <w:pPr>
      <w:pStyle w:val="Footer"/>
    </w:pPr>
    <w:r>
      <w:rPr>
        <w:noProof/>
        <w:lang w:eastAsia="en-AU"/>
      </w:rPr>
      <w:drawing>
        <wp:anchor distT="0" distB="0" distL="114300" distR="114300" simplePos="0" relativeHeight="251692032" behindDoc="1" locked="0" layoutInCell="1" allowOverlap="1" wp14:anchorId="3CD2337F" wp14:editId="670E5A36">
          <wp:simplePos x="0" y="0"/>
          <wp:positionH relativeFrom="column">
            <wp:posOffset>-942975</wp:posOffset>
          </wp:positionH>
          <wp:positionV relativeFrom="paragraph">
            <wp:posOffset>-223520</wp:posOffset>
          </wp:positionV>
          <wp:extent cx="7620000" cy="72517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_Education\ED16-0006 Higher Education Reform Consultation Paper\links\ED16-0006 Higher Education Reform Consultation Paper_Left.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620000" cy="72517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791205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C3BAE">
          <w:rPr>
            <w:noProof/>
          </w:rPr>
          <w:t>16</w:t>
        </w:r>
        <w:r>
          <w:rPr>
            <w:noProof/>
          </w:rPr>
          <w:fldChar w:fldCharType="end"/>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1166224"/>
      <w:docPartObj>
        <w:docPartGallery w:val="Page Numbers (Bottom of Page)"/>
        <w:docPartUnique/>
      </w:docPartObj>
    </w:sdtPr>
    <w:sdtEndPr>
      <w:rPr>
        <w:noProof/>
      </w:rPr>
    </w:sdtEndPr>
    <w:sdtContent>
      <w:p w:rsidR="001910BA" w:rsidRDefault="001910BA" w:rsidP="00AD148B">
        <w:pPr>
          <w:pStyle w:val="Footer"/>
          <w:jc w:val="right"/>
        </w:pPr>
        <w:r>
          <w:rPr>
            <w:noProof/>
            <w:lang w:eastAsia="en-AU"/>
          </w:rPr>
          <w:drawing>
            <wp:anchor distT="0" distB="0" distL="114300" distR="114300" simplePos="0" relativeHeight="251694080" behindDoc="1" locked="0" layoutInCell="1" allowOverlap="1" wp14:anchorId="7C7B2086" wp14:editId="1A9BA9DF">
              <wp:simplePos x="0" y="0"/>
              <wp:positionH relativeFrom="column">
                <wp:posOffset>-942975</wp:posOffset>
              </wp:positionH>
              <wp:positionV relativeFrom="paragraph">
                <wp:posOffset>-223520</wp:posOffset>
              </wp:positionV>
              <wp:extent cx="7620000" cy="7251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_Education\ED16-0006 Higher Education Reform Consultation Paper\links\ED16-0006 Higher Education Reform Consultation Paper_Left.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620000" cy="72517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3C3BAE">
          <w:rPr>
            <w:noProof/>
          </w:rPr>
          <w:t>15</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BA" w:rsidRDefault="001910BA" w:rsidP="00AD148B">
    <w:pPr>
      <w:pStyle w:val="Footer"/>
    </w:pPr>
    <w:r>
      <w:rPr>
        <w:noProof/>
        <w:lang w:eastAsia="en-AU"/>
      </w:rPr>
      <w:drawing>
        <wp:anchor distT="0" distB="0" distL="114300" distR="114300" simplePos="0" relativeHeight="251700224" behindDoc="1" locked="0" layoutInCell="1" allowOverlap="1" wp14:anchorId="0B4FF34A" wp14:editId="153511A9">
          <wp:simplePos x="0" y="0"/>
          <wp:positionH relativeFrom="column">
            <wp:posOffset>-942975</wp:posOffset>
          </wp:positionH>
          <wp:positionV relativeFrom="paragraph">
            <wp:posOffset>-217170</wp:posOffset>
          </wp:positionV>
          <wp:extent cx="10734675" cy="72390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_Education\ED16-0006 Higher Education Reform Consultation Paper\links\ED16-0006 Higher Education Reform Consultation Paper_Left.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753508" cy="72517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208136536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C3BAE">
          <w:rPr>
            <w:noProof/>
          </w:rPr>
          <w:t>22</w:t>
        </w:r>
        <w:r>
          <w:rPr>
            <w:noProof/>
          </w:rPr>
          <w:fldChar w:fldCharType="end"/>
        </w:r>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1124443"/>
      <w:docPartObj>
        <w:docPartGallery w:val="Page Numbers (Bottom of Page)"/>
        <w:docPartUnique/>
      </w:docPartObj>
    </w:sdtPr>
    <w:sdtEndPr>
      <w:rPr>
        <w:noProof/>
      </w:rPr>
    </w:sdtEndPr>
    <w:sdtContent>
      <w:p w:rsidR="001910BA" w:rsidRDefault="001910BA" w:rsidP="00AD148B">
        <w:pPr>
          <w:pStyle w:val="Footer"/>
          <w:jc w:val="right"/>
        </w:pPr>
        <w:r>
          <w:rPr>
            <w:noProof/>
            <w:lang w:eastAsia="en-AU"/>
          </w:rPr>
          <w:drawing>
            <wp:anchor distT="0" distB="0" distL="114300" distR="114300" simplePos="0" relativeHeight="251698176" behindDoc="1" locked="0" layoutInCell="1" allowOverlap="1" wp14:anchorId="1E8A561F" wp14:editId="3C16AC2B">
              <wp:simplePos x="0" y="0"/>
              <wp:positionH relativeFrom="column">
                <wp:posOffset>-933450</wp:posOffset>
              </wp:positionH>
              <wp:positionV relativeFrom="paragraph">
                <wp:posOffset>-217170</wp:posOffset>
              </wp:positionV>
              <wp:extent cx="10725150" cy="7239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_Education\ED16-0006 Higher Education Reform Consultation Paper\links\ED16-0006 Higher Education Reform Consultation Paper_Left.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725150" cy="7239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3C3BAE">
          <w:rPr>
            <w:noProof/>
          </w:rPr>
          <w:t>21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0DA9" w:rsidRDefault="00A20DA9" w:rsidP="00130923">
      <w:pPr>
        <w:spacing w:after="0" w:line="240" w:lineRule="auto"/>
      </w:pPr>
      <w:r>
        <w:separator/>
      </w:r>
    </w:p>
  </w:footnote>
  <w:footnote w:type="continuationSeparator" w:id="0">
    <w:p w:rsidR="00A20DA9" w:rsidRDefault="00A20DA9" w:rsidP="00130923">
      <w:pPr>
        <w:spacing w:after="0" w:line="240" w:lineRule="auto"/>
      </w:pPr>
      <w:r>
        <w:continuationSeparator/>
      </w:r>
    </w:p>
  </w:footnote>
  <w:footnote w:type="continuationNotice" w:id="1">
    <w:p w:rsidR="00A20DA9" w:rsidRDefault="00A20DA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BA" w:rsidRPr="00A6068D" w:rsidRDefault="001910BA" w:rsidP="00E23645">
    <w:pPr>
      <w:pStyle w:val="Header"/>
      <w:rPr>
        <w:sz w:val="20"/>
        <w:szCs w:val="18"/>
      </w:rPr>
    </w:pPr>
    <w:r w:rsidRPr="00A6068D">
      <w:rPr>
        <w:rFonts w:ascii="Calibri" w:hAnsi="Calibri" w:cs="Calibri"/>
        <w:bCs/>
        <w:sz w:val="20"/>
        <w:szCs w:val="18"/>
      </w:rPr>
      <w:t>Improving the transparency of higher education admissions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BA" w:rsidRDefault="001910B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BA" w:rsidRDefault="001910B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BA" w:rsidRDefault="001910BA">
    <w:pPr>
      <w:pStyle w:val="Header"/>
    </w:pPr>
    <w:r>
      <w:t>Admissions transparency implementation plan</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BA" w:rsidRDefault="001910BA">
    <w:pPr>
      <w:pStyle w:val="Header"/>
    </w:pPr>
    <w:r>
      <w:t>Admissions transparency implementation plan</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BA" w:rsidRDefault="001910BA" w:rsidP="005668BB">
    <w:pPr>
      <w:pStyle w:val="Header"/>
      <w:jc w:val="left"/>
    </w:pPr>
    <w:r>
      <w:t>Admissions transparency implementation plan</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BA" w:rsidRDefault="001910BA">
    <w:pPr>
      <w:pStyle w:val="Header"/>
    </w:pPr>
    <w:r>
      <w:t>Admissions transparency implementation plan</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BA" w:rsidRDefault="001910BA">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BA" w:rsidRDefault="001910BA" w:rsidP="002F7C59">
    <w:pPr>
      <w:pStyle w:val="Header"/>
      <w:jc w:val="left"/>
    </w:pPr>
    <w:r>
      <w:t>Admissions transparency implementation plan</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BA" w:rsidRDefault="001910BA">
    <w:pPr>
      <w:pStyle w:val="Header"/>
    </w:pPr>
    <w:r>
      <w:t>Admissions transparency implementation plan</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BA" w:rsidRDefault="001910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BA" w:rsidRDefault="001910BA">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BA" w:rsidRDefault="001910BA" w:rsidP="00236E9E">
    <w:pPr>
      <w:pStyle w:val="Header"/>
      <w:jc w:val="left"/>
    </w:pPr>
    <w:r>
      <w:t>Admissions transparency implementation plan</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BA" w:rsidRDefault="001910BA">
    <w:pPr>
      <w:pStyle w:val="Header"/>
    </w:pPr>
    <w:r>
      <w:t>Admissions transparency implementation plan</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BA" w:rsidRDefault="001910BA">
    <w:pPr>
      <w:pStyle w:val="Header"/>
    </w:pPr>
    <w:r>
      <w:t>Admissions transparency implementation plan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BA" w:rsidRPr="00A6068D" w:rsidRDefault="001910BA" w:rsidP="00A6068D">
    <w:pPr>
      <w:pStyle w:val="Header"/>
      <w:rPr>
        <w:sz w:val="20"/>
        <w:szCs w:val="18"/>
      </w:rPr>
    </w:pPr>
    <w:r w:rsidRPr="00A6068D">
      <w:rPr>
        <w:rFonts w:ascii="Calibri" w:hAnsi="Calibri" w:cs="Calibri"/>
        <w:bCs/>
        <w:sz w:val="20"/>
        <w:szCs w:val="18"/>
      </w:rPr>
      <w:t>Improving the transparency of higher education admissions</w:t>
    </w:r>
  </w:p>
  <w:p w:rsidR="001910BA" w:rsidRPr="00A6068D" w:rsidRDefault="001910BA" w:rsidP="00A6068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BA" w:rsidRDefault="001910B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BA" w:rsidRDefault="001910B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BA" w:rsidRDefault="001910B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BA" w:rsidRDefault="001910B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BA" w:rsidRDefault="001910B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BA" w:rsidRDefault="001910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A79AE"/>
    <w:multiLevelType w:val="hybridMultilevel"/>
    <w:tmpl w:val="0216548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01DA3D98"/>
    <w:multiLevelType w:val="hybridMultilevel"/>
    <w:tmpl w:val="7F30DABA"/>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046C59E0"/>
    <w:multiLevelType w:val="hybridMultilevel"/>
    <w:tmpl w:val="B5B09BE0"/>
    <w:lvl w:ilvl="0" w:tplc="62A4C5DA">
      <w:start w:val="1"/>
      <w:numFmt w:val="decimal"/>
      <w:pStyle w:val="Numberhead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0AAA560A"/>
    <w:multiLevelType w:val="hybridMultilevel"/>
    <w:tmpl w:val="0428F5EE"/>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D22083B"/>
    <w:multiLevelType w:val="hybridMultilevel"/>
    <w:tmpl w:val="D0A4D650"/>
    <w:lvl w:ilvl="0" w:tplc="9F94668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45406EA"/>
    <w:multiLevelType w:val="hybridMultilevel"/>
    <w:tmpl w:val="825455D2"/>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4BC23EC"/>
    <w:multiLevelType w:val="hybridMultilevel"/>
    <w:tmpl w:val="BD1E9936"/>
    <w:lvl w:ilvl="0" w:tplc="0C090015">
      <w:start w:val="1"/>
      <w:numFmt w:val="upp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EE03CF8"/>
    <w:multiLevelType w:val="hybridMultilevel"/>
    <w:tmpl w:val="55C2810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1FBA5C77"/>
    <w:multiLevelType w:val="multilevel"/>
    <w:tmpl w:val="EA90483C"/>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nsid w:val="24482982"/>
    <w:multiLevelType w:val="hybridMultilevel"/>
    <w:tmpl w:val="377CD7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261A7A73"/>
    <w:multiLevelType w:val="hybridMultilevel"/>
    <w:tmpl w:val="7F30DABA"/>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2A2176BE"/>
    <w:multiLevelType w:val="hybridMultilevel"/>
    <w:tmpl w:val="5B5C5B9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2B2B40B8"/>
    <w:multiLevelType w:val="hybridMultilevel"/>
    <w:tmpl w:val="0D48D316"/>
    <w:lvl w:ilvl="0" w:tplc="D9ECDDD2">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2E831354"/>
    <w:multiLevelType w:val="hybridMultilevel"/>
    <w:tmpl w:val="6E66C596"/>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079455A"/>
    <w:multiLevelType w:val="multilevel"/>
    <w:tmpl w:val="64F4757C"/>
    <w:lvl w:ilvl="0">
      <w:start w:val="1"/>
      <w:numFmt w:val="decimal"/>
      <w:pStyle w:val="HERHeading1Numbered"/>
      <w:suff w:val="space"/>
      <w:lvlText w:val="%1."/>
      <w:lvlJc w:val="left"/>
      <w:pPr>
        <w:ind w:left="363" w:hanging="363"/>
      </w:pPr>
      <w:rPr>
        <w:rFonts w:hint="default"/>
      </w:rPr>
    </w:lvl>
    <w:lvl w:ilvl="1">
      <w:start w:val="1"/>
      <w:numFmt w:val="lowerLetter"/>
      <w:lvlText w:val="%2)"/>
      <w:lvlJc w:val="left"/>
      <w:pPr>
        <w:ind w:left="527" w:hanging="170"/>
      </w:pPr>
      <w:rPr>
        <w:rFonts w:hint="default"/>
      </w:rPr>
    </w:lvl>
    <w:lvl w:ilvl="2">
      <w:start w:val="1"/>
      <w:numFmt w:val="lowerRoman"/>
      <w:lvlText w:val="%3)"/>
      <w:lvlJc w:val="left"/>
      <w:pPr>
        <w:ind w:left="884" w:hanging="170"/>
      </w:pPr>
      <w:rPr>
        <w:rFonts w:hint="default"/>
      </w:rPr>
    </w:lvl>
    <w:lvl w:ilvl="3">
      <w:start w:val="1"/>
      <w:numFmt w:val="decimal"/>
      <w:lvlText w:val="(%4)"/>
      <w:lvlJc w:val="left"/>
      <w:pPr>
        <w:ind w:left="1241" w:hanging="170"/>
      </w:pPr>
      <w:rPr>
        <w:rFonts w:hint="default"/>
      </w:rPr>
    </w:lvl>
    <w:lvl w:ilvl="4">
      <w:start w:val="1"/>
      <w:numFmt w:val="lowerLetter"/>
      <w:lvlText w:val="(%5)"/>
      <w:lvlJc w:val="left"/>
      <w:pPr>
        <w:ind w:left="1598" w:hanging="170"/>
      </w:pPr>
      <w:rPr>
        <w:rFonts w:hint="default"/>
      </w:rPr>
    </w:lvl>
    <w:lvl w:ilvl="5">
      <w:start w:val="1"/>
      <w:numFmt w:val="lowerRoman"/>
      <w:lvlText w:val="(%6)"/>
      <w:lvlJc w:val="left"/>
      <w:pPr>
        <w:ind w:left="1955" w:hanging="170"/>
      </w:pPr>
      <w:rPr>
        <w:rFonts w:hint="default"/>
      </w:rPr>
    </w:lvl>
    <w:lvl w:ilvl="6">
      <w:start w:val="1"/>
      <w:numFmt w:val="decimal"/>
      <w:lvlText w:val="%7."/>
      <w:lvlJc w:val="left"/>
      <w:pPr>
        <w:ind w:left="2312" w:hanging="170"/>
      </w:pPr>
      <w:rPr>
        <w:rFonts w:hint="default"/>
      </w:rPr>
    </w:lvl>
    <w:lvl w:ilvl="7">
      <w:start w:val="1"/>
      <w:numFmt w:val="lowerLetter"/>
      <w:lvlText w:val="%8."/>
      <w:lvlJc w:val="left"/>
      <w:pPr>
        <w:ind w:left="2669" w:hanging="170"/>
      </w:pPr>
      <w:rPr>
        <w:rFonts w:hint="default"/>
      </w:rPr>
    </w:lvl>
    <w:lvl w:ilvl="8">
      <w:start w:val="1"/>
      <w:numFmt w:val="lowerRoman"/>
      <w:lvlText w:val="%9."/>
      <w:lvlJc w:val="left"/>
      <w:pPr>
        <w:ind w:left="3026" w:hanging="170"/>
      </w:pPr>
      <w:rPr>
        <w:rFonts w:hint="default"/>
      </w:rPr>
    </w:lvl>
  </w:abstractNum>
  <w:abstractNum w:abstractNumId="15">
    <w:nsid w:val="36BC01BC"/>
    <w:multiLevelType w:val="hybridMultilevel"/>
    <w:tmpl w:val="DC60D130"/>
    <w:lvl w:ilvl="0" w:tplc="B330D714">
      <w:start w:val="1"/>
      <w:numFmt w:val="decimal"/>
      <w:lvlText w:val="(%1)"/>
      <w:lvlJc w:val="left"/>
      <w:pPr>
        <w:ind w:left="360" w:hanging="360"/>
      </w:pPr>
      <w:rPr>
        <w:rFonts w:hint="default"/>
      </w:rPr>
    </w:lvl>
    <w:lvl w:ilvl="1" w:tplc="D9F4F422">
      <w:start w:val="1"/>
      <w:numFmt w:val="lowerRoman"/>
      <w:lvlText w:val="%2."/>
      <w:lvlJc w:val="left"/>
      <w:pPr>
        <w:ind w:left="1440" w:hanging="72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3A6E4869"/>
    <w:multiLevelType w:val="hybridMultilevel"/>
    <w:tmpl w:val="5A5E5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0DE4AA9"/>
    <w:multiLevelType w:val="hybridMultilevel"/>
    <w:tmpl w:val="E2103C96"/>
    <w:lvl w:ilvl="0" w:tplc="2BCA313A">
      <w:start w:val="1"/>
      <w:numFmt w:val="lowerLetter"/>
      <w:pStyle w:val="numberpara"/>
      <w:lvlText w:val="%1."/>
      <w:lvlJc w:val="left"/>
      <w:pPr>
        <w:ind w:left="360" w:hanging="360"/>
      </w:pPr>
    </w:lvl>
    <w:lvl w:ilvl="1" w:tplc="BC9646BA">
      <w:start w:val="1"/>
      <w:numFmt w:val="lowerRoman"/>
      <w:pStyle w:val="numberpara2"/>
      <w:lvlText w:val="%2."/>
      <w:lvlJc w:val="righ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43EE5264"/>
    <w:multiLevelType w:val="hybridMultilevel"/>
    <w:tmpl w:val="11506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9131DD7"/>
    <w:multiLevelType w:val="hybridMultilevel"/>
    <w:tmpl w:val="F91A0D5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E137950"/>
    <w:multiLevelType w:val="hybridMultilevel"/>
    <w:tmpl w:val="55C2810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51B73210"/>
    <w:multiLevelType w:val="multilevel"/>
    <w:tmpl w:val="2C4CE3A4"/>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nsid w:val="51F202DE"/>
    <w:multiLevelType w:val="hybridMultilevel"/>
    <w:tmpl w:val="3E3CF3CE"/>
    <w:lvl w:ilvl="0" w:tplc="0C09001B">
      <w:start w:val="1"/>
      <w:numFmt w:val="lowerRoman"/>
      <w:lvlText w:val="%1."/>
      <w:lvlJc w:val="right"/>
      <w:pPr>
        <w:ind w:left="720" w:hanging="360"/>
      </w:pPr>
    </w:lvl>
    <w:lvl w:ilvl="1" w:tplc="BC9646BA">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94E4483"/>
    <w:multiLevelType w:val="multilevel"/>
    <w:tmpl w:val="13422F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5CBC7271"/>
    <w:multiLevelType w:val="hybridMultilevel"/>
    <w:tmpl w:val="75221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CE92C41"/>
    <w:multiLevelType w:val="hybridMultilevel"/>
    <w:tmpl w:val="DFE85E9E"/>
    <w:lvl w:ilvl="0" w:tplc="427CFC3E">
      <w:start w:val="1"/>
      <w:numFmt w:val="lowerRoman"/>
      <w:pStyle w:val="Style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EF1029D"/>
    <w:multiLevelType w:val="hybridMultilevel"/>
    <w:tmpl w:val="D9DAF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3D3526F"/>
    <w:multiLevelType w:val="hybridMultilevel"/>
    <w:tmpl w:val="65608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B2C57F6"/>
    <w:multiLevelType w:val="hybridMultilevel"/>
    <w:tmpl w:val="82DA7B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D9F39ED"/>
    <w:multiLevelType w:val="hybridMultilevel"/>
    <w:tmpl w:val="0216548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6DCD26AE"/>
    <w:multiLevelType w:val="hybridMultilevel"/>
    <w:tmpl w:val="469E8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FDB6DB3"/>
    <w:multiLevelType w:val="hybridMultilevel"/>
    <w:tmpl w:val="8AF8C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56B5C50"/>
    <w:multiLevelType w:val="hybridMultilevel"/>
    <w:tmpl w:val="6974FB8E"/>
    <w:lvl w:ilvl="0" w:tplc="0C090019">
      <w:start w:val="1"/>
      <w:numFmt w:val="lowerLetter"/>
      <w:lvlText w:val="%1."/>
      <w:lvlJc w:val="left"/>
      <w:pPr>
        <w:ind w:left="360" w:hanging="360"/>
      </w:pPr>
    </w:lvl>
    <w:lvl w:ilvl="1" w:tplc="0C09001B">
      <w:start w:val="1"/>
      <w:numFmt w:val="lowerRoman"/>
      <w:lvlText w:val="%2."/>
      <w:lvlJc w:val="righ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nsid w:val="75883AB2"/>
    <w:multiLevelType w:val="hybridMultilevel"/>
    <w:tmpl w:val="098CAF4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75994E39"/>
    <w:multiLevelType w:val="multilevel"/>
    <w:tmpl w:val="729EA9C4"/>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5">
    <w:nsid w:val="7BC338C3"/>
    <w:multiLevelType w:val="hybridMultilevel"/>
    <w:tmpl w:val="BF20C1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7E7E7E42"/>
    <w:multiLevelType w:val="hybridMultilevel"/>
    <w:tmpl w:val="CCC670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ED63288"/>
    <w:multiLevelType w:val="multilevel"/>
    <w:tmpl w:val="B0CAC5A8"/>
    <w:lvl w:ilvl="0">
      <w:start w:val="1"/>
      <w:numFmt w:val="decimal"/>
      <w:lvlText w:val="%1"/>
      <w:lvlJc w:val="left"/>
      <w:pPr>
        <w:ind w:left="360" w:hanging="360"/>
      </w:pPr>
      <w:rPr>
        <w:rFonts w:hint="default"/>
      </w:rPr>
    </w:lvl>
    <w:lvl w:ilvl="1">
      <w:start w:val="1"/>
      <w:numFmt w:val="lowerLetter"/>
      <w:lvlText w:val="%2."/>
      <w:lvlJc w:val="left"/>
      <w:pPr>
        <w:ind w:left="851" w:hanging="491"/>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num w:numId="1">
    <w:abstractNumId w:val="8"/>
  </w:num>
  <w:num w:numId="2">
    <w:abstractNumId w:val="21"/>
  </w:num>
  <w:num w:numId="3">
    <w:abstractNumId w:val="25"/>
  </w:num>
  <w:num w:numId="4">
    <w:abstractNumId w:val="14"/>
  </w:num>
  <w:num w:numId="5">
    <w:abstractNumId w:val="37"/>
  </w:num>
  <w:num w:numId="6">
    <w:abstractNumId w:val="15"/>
  </w:num>
  <w:num w:numId="7">
    <w:abstractNumId w:val="33"/>
  </w:num>
  <w:num w:numId="8">
    <w:abstractNumId w:val="11"/>
  </w:num>
  <w:num w:numId="9">
    <w:abstractNumId w:val="7"/>
  </w:num>
  <w:num w:numId="10">
    <w:abstractNumId w:val="34"/>
  </w:num>
  <w:num w:numId="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4"/>
  </w:num>
  <w:num w:numId="14">
    <w:abstractNumId w:val="36"/>
  </w:num>
  <w:num w:numId="15">
    <w:abstractNumId w:val="29"/>
  </w:num>
  <w:num w:numId="16">
    <w:abstractNumId w:val="9"/>
  </w:num>
  <w:num w:numId="17">
    <w:abstractNumId w:val="19"/>
  </w:num>
  <w:num w:numId="18">
    <w:abstractNumId w:val="28"/>
  </w:num>
  <w:num w:numId="19">
    <w:abstractNumId w:val="27"/>
  </w:num>
  <w:num w:numId="20">
    <w:abstractNumId w:val="13"/>
  </w:num>
  <w:num w:numId="21">
    <w:abstractNumId w:val="26"/>
  </w:num>
  <w:num w:numId="22">
    <w:abstractNumId w:val="5"/>
  </w:num>
  <w:num w:numId="23">
    <w:abstractNumId w:val="2"/>
  </w:num>
  <w:num w:numId="24">
    <w:abstractNumId w:val="17"/>
  </w:num>
  <w:num w:numId="25">
    <w:abstractNumId w:val="17"/>
    <w:lvlOverride w:ilvl="0">
      <w:startOverride w:val="1"/>
    </w:lvlOverride>
  </w:num>
  <w:num w:numId="26">
    <w:abstractNumId w:val="1"/>
  </w:num>
  <w:num w:numId="27">
    <w:abstractNumId w:val="32"/>
  </w:num>
  <w:num w:numId="28">
    <w:abstractNumId w:val="0"/>
  </w:num>
  <w:num w:numId="29">
    <w:abstractNumId w:val="10"/>
  </w:num>
  <w:num w:numId="30">
    <w:abstractNumId w:val="35"/>
  </w:num>
  <w:num w:numId="31">
    <w:abstractNumId w:val="20"/>
  </w:num>
  <w:num w:numId="32">
    <w:abstractNumId w:val="23"/>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num>
  <w:num w:numId="43">
    <w:abstractNumId w:val="31"/>
  </w:num>
  <w:num w:numId="44">
    <w:abstractNumId w:val="3"/>
  </w:num>
  <w:num w:numId="45">
    <w:abstractNumId w:val="12"/>
  </w:num>
  <w:num w:numId="46">
    <w:abstractNumId w:val="16"/>
  </w:num>
  <w:num w:numId="47">
    <w:abstractNumId w:val="30"/>
  </w:num>
  <w:num w:numId="48">
    <w:abstractNumId w:val="22"/>
  </w:num>
  <w:num w:numId="49">
    <w:abstractNumId w:val="6"/>
  </w:num>
  <w:numIdMacAtCleanup w:val="31"/>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SortMethod w:val="000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C10C19"/>
    <w:rsid w:val="0000163C"/>
    <w:rsid w:val="00002721"/>
    <w:rsid w:val="00002D1D"/>
    <w:rsid w:val="00003066"/>
    <w:rsid w:val="0000324A"/>
    <w:rsid w:val="000036D9"/>
    <w:rsid w:val="00003FCE"/>
    <w:rsid w:val="00006245"/>
    <w:rsid w:val="00010A79"/>
    <w:rsid w:val="0001174A"/>
    <w:rsid w:val="0001197E"/>
    <w:rsid w:val="00011A70"/>
    <w:rsid w:val="0001267A"/>
    <w:rsid w:val="000133DB"/>
    <w:rsid w:val="00015ED8"/>
    <w:rsid w:val="000207DF"/>
    <w:rsid w:val="00024131"/>
    <w:rsid w:val="0002466D"/>
    <w:rsid w:val="00024E24"/>
    <w:rsid w:val="0003124E"/>
    <w:rsid w:val="00033214"/>
    <w:rsid w:val="000339D0"/>
    <w:rsid w:val="00034578"/>
    <w:rsid w:val="00034EAA"/>
    <w:rsid w:val="0003587A"/>
    <w:rsid w:val="00035C95"/>
    <w:rsid w:val="00036C61"/>
    <w:rsid w:val="00037356"/>
    <w:rsid w:val="000377F2"/>
    <w:rsid w:val="0003780A"/>
    <w:rsid w:val="00037C50"/>
    <w:rsid w:val="00037DFF"/>
    <w:rsid w:val="000400BA"/>
    <w:rsid w:val="00040136"/>
    <w:rsid w:val="000429E4"/>
    <w:rsid w:val="000442F3"/>
    <w:rsid w:val="0004436D"/>
    <w:rsid w:val="00046FB5"/>
    <w:rsid w:val="00053432"/>
    <w:rsid w:val="00055B56"/>
    <w:rsid w:val="000567AD"/>
    <w:rsid w:val="0006043D"/>
    <w:rsid w:val="00062F97"/>
    <w:rsid w:val="0007044C"/>
    <w:rsid w:val="00070A3C"/>
    <w:rsid w:val="0007137A"/>
    <w:rsid w:val="00072FD3"/>
    <w:rsid w:val="000737F2"/>
    <w:rsid w:val="00080C24"/>
    <w:rsid w:val="000825F8"/>
    <w:rsid w:val="000833AF"/>
    <w:rsid w:val="00083DDC"/>
    <w:rsid w:val="00084629"/>
    <w:rsid w:val="000857AF"/>
    <w:rsid w:val="000861A6"/>
    <w:rsid w:val="00087705"/>
    <w:rsid w:val="00087BE2"/>
    <w:rsid w:val="000905A4"/>
    <w:rsid w:val="0009169B"/>
    <w:rsid w:val="000928ED"/>
    <w:rsid w:val="000A0B49"/>
    <w:rsid w:val="000A20FA"/>
    <w:rsid w:val="000A27DC"/>
    <w:rsid w:val="000A54CD"/>
    <w:rsid w:val="000A7AF3"/>
    <w:rsid w:val="000B31CF"/>
    <w:rsid w:val="000B4F41"/>
    <w:rsid w:val="000B6CE4"/>
    <w:rsid w:val="000B756B"/>
    <w:rsid w:val="000B7B00"/>
    <w:rsid w:val="000C0ED2"/>
    <w:rsid w:val="000C1A35"/>
    <w:rsid w:val="000C2FAB"/>
    <w:rsid w:val="000C2FC2"/>
    <w:rsid w:val="000C7222"/>
    <w:rsid w:val="000D099C"/>
    <w:rsid w:val="000D0F80"/>
    <w:rsid w:val="000D3B89"/>
    <w:rsid w:val="000D6BC4"/>
    <w:rsid w:val="000D6D71"/>
    <w:rsid w:val="000D7DD6"/>
    <w:rsid w:val="000E11CA"/>
    <w:rsid w:val="000E2891"/>
    <w:rsid w:val="000E50D0"/>
    <w:rsid w:val="000E52A0"/>
    <w:rsid w:val="000E7E7B"/>
    <w:rsid w:val="000F0631"/>
    <w:rsid w:val="000F1875"/>
    <w:rsid w:val="000F3BA2"/>
    <w:rsid w:val="000F4BE5"/>
    <w:rsid w:val="000F4C9D"/>
    <w:rsid w:val="000F4DC6"/>
    <w:rsid w:val="000F6AD5"/>
    <w:rsid w:val="000F7C23"/>
    <w:rsid w:val="000F7D2E"/>
    <w:rsid w:val="00100FA3"/>
    <w:rsid w:val="00101D6A"/>
    <w:rsid w:val="00104FA3"/>
    <w:rsid w:val="00111CB1"/>
    <w:rsid w:val="00115467"/>
    <w:rsid w:val="00116691"/>
    <w:rsid w:val="00116C27"/>
    <w:rsid w:val="001175BF"/>
    <w:rsid w:val="00120558"/>
    <w:rsid w:val="00122F6C"/>
    <w:rsid w:val="0012581C"/>
    <w:rsid w:val="00125DC7"/>
    <w:rsid w:val="00126580"/>
    <w:rsid w:val="00130923"/>
    <w:rsid w:val="00132246"/>
    <w:rsid w:val="0013453F"/>
    <w:rsid w:val="001366B1"/>
    <w:rsid w:val="0014069C"/>
    <w:rsid w:val="001414F3"/>
    <w:rsid w:val="00143FCD"/>
    <w:rsid w:val="001467D5"/>
    <w:rsid w:val="00150FB0"/>
    <w:rsid w:val="00152CBB"/>
    <w:rsid w:val="00153B85"/>
    <w:rsid w:val="00154023"/>
    <w:rsid w:val="001541BA"/>
    <w:rsid w:val="00160B00"/>
    <w:rsid w:val="001670AC"/>
    <w:rsid w:val="00167AEB"/>
    <w:rsid w:val="001716BD"/>
    <w:rsid w:val="00173B6E"/>
    <w:rsid w:val="0017450D"/>
    <w:rsid w:val="0017772D"/>
    <w:rsid w:val="00185068"/>
    <w:rsid w:val="001910BA"/>
    <w:rsid w:val="0019281C"/>
    <w:rsid w:val="00193A88"/>
    <w:rsid w:val="001A6217"/>
    <w:rsid w:val="001B1D58"/>
    <w:rsid w:val="001B5A4C"/>
    <w:rsid w:val="001B6467"/>
    <w:rsid w:val="001C1F19"/>
    <w:rsid w:val="001C1F68"/>
    <w:rsid w:val="001C3215"/>
    <w:rsid w:val="001C498D"/>
    <w:rsid w:val="001C53CD"/>
    <w:rsid w:val="001C5D05"/>
    <w:rsid w:val="001C7AEC"/>
    <w:rsid w:val="001C7B7F"/>
    <w:rsid w:val="001D0A20"/>
    <w:rsid w:val="001D1256"/>
    <w:rsid w:val="001D1682"/>
    <w:rsid w:val="001D2173"/>
    <w:rsid w:val="001D2233"/>
    <w:rsid w:val="001D330C"/>
    <w:rsid w:val="001D3ADE"/>
    <w:rsid w:val="001E0AE3"/>
    <w:rsid w:val="001E225E"/>
    <w:rsid w:val="001E23C1"/>
    <w:rsid w:val="001E3037"/>
    <w:rsid w:val="001E5D42"/>
    <w:rsid w:val="001F0B06"/>
    <w:rsid w:val="001F2249"/>
    <w:rsid w:val="001F24B0"/>
    <w:rsid w:val="001F37B5"/>
    <w:rsid w:val="001F46FD"/>
    <w:rsid w:val="001F55DE"/>
    <w:rsid w:val="001F6CA0"/>
    <w:rsid w:val="00201252"/>
    <w:rsid w:val="002023FA"/>
    <w:rsid w:val="00204422"/>
    <w:rsid w:val="00206E64"/>
    <w:rsid w:val="00207274"/>
    <w:rsid w:val="002137A6"/>
    <w:rsid w:val="0021468D"/>
    <w:rsid w:val="00215836"/>
    <w:rsid w:val="00217A60"/>
    <w:rsid w:val="00223EB1"/>
    <w:rsid w:val="00225046"/>
    <w:rsid w:val="0022518E"/>
    <w:rsid w:val="00226985"/>
    <w:rsid w:val="002272C6"/>
    <w:rsid w:val="0022758D"/>
    <w:rsid w:val="00230986"/>
    <w:rsid w:val="00231AFD"/>
    <w:rsid w:val="00232D36"/>
    <w:rsid w:val="00233015"/>
    <w:rsid w:val="002331DB"/>
    <w:rsid w:val="00233C43"/>
    <w:rsid w:val="00236917"/>
    <w:rsid w:val="00236E9E"/>
    <w:rsid w:val="002421B9"/>
    <w:rsid w:val="00243455"/>
    <w:rsid w:val="00243D29"/>
    <w:rsid w:val="00243D6B"/>
    <w:rsid w:val="00245798"/>
    <w:rsid w:val="00245FA4"/>
    <w:rsid w:val="0024666A"/>
    <w:rsid w:val="0025192A"/>
    <w:rsid w:val="00256BEA"/>
    <w:rsid w:val="00261FEC"/>
    <w:rsid w:val="00263185"/>
    <w:rsid w:val="00264BBA"/>
    <w:rsid w:val="00267197"/>
    <w:rsid w:val="00271C64"/>
    <w:rsid w:val="00273F0E"/>
    <w:rsid w:val="002752E9"/>
    <w:rsid w:val="002756A3"/>
    <w:rsid w:val="002775F3"/>
    <w:rsid w:val="002804AE"/>
    <w:rsid w:val="0028189F"/>
    <w:rsid w:val="00282333"/>
    <w:rsid w:val="0028367E"/>
    <w:rsid w:val="00283778"/>
    <w:rsid w:val="00290837"/>
    <w:rsid w:val="00291CE3"/>
    <w:rsid w:val="002924FB"/>
    <w:rsid w:val="00292F93"/>
    <w:rsid w:val="00293ACF"/>
    <w:rsid w:val="00294E3B"/>
    <w:rsid w:val="00297583"/>
    <w:rsid w:val="002A25E6"/>
    <w:rsid w:val="002A3B7A"/>
    <w:rsid w:val="002A3D62"/>
    <w:rsid w:val="002A548A"/>
    <w:rsid w:val="002A7D1B"/>
    <w:rsid w:val="002B06E6"/>
    <w:rsid w:val="002B1208"/>
    <w:rsid w:val="002B2A27"/>
    <w:rsid w:val="002B4E5B"/>
    <w:rsid w:val="002C0C0D"/>
    <w:rsid w:val="002C2D97"/>
    <w:rsid w:val="002C482D"/>
    <w:rsid w:val="002C4BBA"/>
    <w:rsid w:val="002C5034"/>
    <w:rsid w:val="002D0FBB"/>
    <w:rsid w:val="002D1AB4"/>
    <w:rsid w:val="002D271F"/>
    <w:rsid w:val="002D36E8"/>
    <w:rsid w:val="002D5A07"/>
    <w:rsid w:val="002D6386"/>
    <w:rsid w:val="002D7414"/>
    <w:rsid w:val="002D7A1F"/>
    <w:rsid w:val="002E0B06"/>
    <w:rsid w:val="002E2830"/>
    <w:rsid w:val="002E35F2"/>
    <w:rsid w:val="002E79B7"/>
    <w:rsid w:val="002F093D"/>
    <w:rsid w:val="002F6D85"/>
    <w:rsid w:val="002F7C59"/>
    <w:rsid w:val="00305856"/>
    <w:rsid w:val="00305B35"/>
    <w:rsid w:val="00305BB4"/>
    <w:rsid w:val="00306AE1"/>
    <w:rsid w:val="00310F1B"/>
    <w:rsid w:val="00314AED"/>
    <w:rsid w:val="003154F4"/>
    <w:rsid w:val="003166C5"/>
    <w:rsid w:val="003210E4"/>
    <w:rsid w:val="0032156F"/>
    <w:rsid w:val="003242B9"/>
    <w:rsid w:val="00327673"/>
    <w:rsid w:val="003329D6"/>
    <w:rsid w:val="00347BD2"/>
    <w:rsid w:val="003507B6"/>
    <w:rsid w:val="00350D5E"/>
    <w:rsid w:val="00351CA9"/>
    <w:rsid w:val="0035384E"/>
    <w:rsid w:val="0035467D"/>
    <w:rsid w:val="00354AFA"/>
    <w:rsid w:val="00357ECE"/>
    <w:rsid w:val="0036059F"/>
    <w:rsid w:val="003620DB"/>
    <w:rsid w:val="00366B83"/>
    <w:rsid w:val="00371C24"/>
    <w:rsid w:val="00373D11"/>
    <w:rsid w:val="003809E9"/>
    <w:rsid w:val="00381B4D"/>
    <w:rsid w:val="00382DD4"/>
    <w:rsid w:val="00382F89"/>
    <w:rsid w:val="0038311B"/>
    <w:rsid w:val="00383B1D"/>
    <w:rsid w:val="00384226"/>
    <w:rsid w:val="00386209"/>
    <w:rsid w:val="00393D8A"/>
    <w:rsid w:val="00396957"/>
    <w:rsid w:val="00397088"/>
    <w:rsid w:val="003975CB"/>
    <w:rsid w:val="003A35B6"/>
    <w:rsid w:val="003A3CD8"/>
    <w:rsid w:val="003A43F0"/>
    <w:rsid w:val="003B1A48"/>
    <w:rsid w:val="003B3028"/>
    <w:rsid w:val="003B6D05"/>
    <w:rsid w:val="003B6E89"/>
    <w:rsid w:val="003B6FF4"/>
    <w:rsid w:val="003B7936"/>
    <w:rsid w:val="003C1B99"/>
    <w:rsid w:val="003C3540"/>
    <w:rsid w:val="003C3BAE"/>
    <w:rsid w:val="003C4793"/>
    <w:rsid w:val="003C7368"/>
    <w:rsid w:val="003D23E9"/>
    <w:rsid w:val="003D50E2"/>
    <w:rsid w:val="003D58DD"/>
    <w:rsid w:val="003D67FC"/>
    <w:rsid w:val="003E2C49"/>
    <w:rsid w:val="003E75DE"/>
    <w:rsid w:val="003E7A68"/>
    <w:rsid w:val="003E7E58"/>
    <w:rsid w:val="003F00F6"/>
    <w:rsid w:val="003F346F"/>
    <w:rsid w:val="003F38C2"/>
    <w:rsid w:val="003F443B"/>
    <w:rsid w:val="00403C6D"/>
    <w:rsid w:val="00403F54"/>
    <w:rsid w:val="0040478C"/>
    <w:rsid w:val="0040587B"/>
    <w:rsid w:val="00406894"/>
    <w:rsid w:val="00406E5A"/>
    <w:rsid w:val="0041269F"/>
    <w:rsid w:val="00417587"/>
    <w:rsid w:val="00417DC9"/>
    <w:rsid w:val="00417F6C"/>
    <w:rsid w:val="00422CCE"/>
    <w:rsid w:val="00423FED"/>
    <w:rsid w:val="00426E32"/>
    <w:rsid w:val="00432267"/>
    <w:rsid w:val="00434B29"/>
    <w:rsid w:val="00436B34"/>
    <w:rsid w:val="00436C2A"/>
    <w:rsid w:val="00437687"/>
    <w:rsid w:val="00440E69"/>
    <w:rsid w:val="00441F5C"/>
    <w:rsid w:val="00442CB1"/>
    <w:rsid w:val="00445911"/>
    <w:rsid w:val="00452522"/>
    <w:rsid w:val="00453058"/>
    <w:rsid w:val="00454A3B"/>
    <w:rsid w:val="00454D18"/>
    <w:rsid w:val="004555B1"/>
    <w:rsid w:val="00455B34"/>
    <w:rsid w:val="00455F52"/>
    <w:rsid w:val="00456E76"/>
    <w:rsid w:val="0045726E"/>
    <w:rsid w:val="00460E0C"/>
    <w:rsid w:val="004634F4"/>
    <w:rsid w:val="00472BC7"/>
    <w:rsid w:val="004730A2"/>
    <w:rsid w:val="00475A95"/>
    <w:rsid w:val="00475C78"/>
    <w:rsid w:val="004764DA"/>
    <w:rsid w:val="004773CD"/>
    <w:rsid w:val="00477D58"/>
    <w:rsid w:val="00482AFE"/>
    <w:rsid w:val="00482BF2"/>
    <w:rsid w:val="00485CCE"/>
    <w:rsid w:val="00486084"/>
    <w:rsid w:val="00486CFF"/>
    <w:rsid w:val="0048762C"/>
    <w:rsid w:val="00487ED4"/>
    <w:rsid w:val="00490F19"/>
    <w:rsid w:val="004919EA"/>
    <w:rsid w:val="00491B2E"/>
    <w:rsid w:val="00494D20"/>
    <w:rsid w:val="004A010E"/>
    <w:rsid w:val="004A1E58"/>
    <w:rsid w:val="004A5A33"/>
    <w:rsid w:val="004B048D"/>
    <w:rsid w:val="004B066A"/>
    <w:rsid w:val="004B1CCE"/>
    <w:rsid w:val="004B256F"/>
    <w:rsid w:val="004B50B1"/>
    <w:rsid w:val="004B50D9"/>
    <w:rsid w:val="004B5669"/>
    <w:rsid w:val="004B5A54"/>
    <w:rsid w:val="004B64FA"/>
    <w:rsid w:val="004B71B5"/>
    <w:rsid w:val="004B7719"/>
    <w:rsid w:val="004C12E4"/>
    <w:rsid w:val="004C193D"/>
    <w:rsid w:val="004C2B41"/>
    <w:rsid w:val="004C375B"/>
    <w:rsid w:val="004C39C6"/>
    <w:rsid w:val="004C54C0"/>
    <w:rsid w:val="004C661F"/>
    <w:rsid w:val="004C6956"/>
    <w:rsid w:val="004C6B70"/>
    <w:rsid w:val="004C725F"/>
    <w:rsid w:val="004D0D94"/>
    <w:rsid w:val="004D1B1A"/>
    <w:rsid w:val="004D4264"/>
    <w:rsid w:val="004D7A21"/>
    <w:rsid w:val="004E0459"/>
    <w:rsid w:val="004E235F"/>
    <w:rsid w:val="004E48E6"/>
    <w:rsid w:val="004E5A27"/>
    <w:rsid w:val="004E5C0C"/>
    <w:rsid w:val="004E608E"/>
    <w:rsid w:val="004E6610"/>
    <w:rsid w:val="004E69A8"/>
    <w:rsid w:val="004E7FEC"/>
    <w:rsid w:val="004F0C06"/>
    <w:rsid w:val="004F2E72"/>
    <w:rsid w:val="00500A4D"/>
    <w:rsid w:val="00501DB7"/>
    <w:rsid w:val="00502D80"/>
    <w:rsid w:val="005036A4"/>
    <w:rsid w:val="005057BF"/>
    <w:rsid w:val="005057D3"/>
    <w:rsid w:val="005113B6"/>
    <w:rsid w:val="00513C7B"/>
    <w:rsid w:val="005142B4"/>
    <w:rsid w:val="00522E62"/>
    <w:rsid w:val="0052478B"/>
    <w:rsid w:val="00524F37"/>
    <w:rsid w:val="0052510D"/>
    <w:rsid w:val="0052661F"/>
    <w:rsid w:val="0052714E"/>
    <w:rsid w:val="00527A1B"/>
    <w:rsid w:val="005306CE"/>
    <w:rsid w:val="00531709"/>
    <w:rsid w:val="00531817"/>
    <w:rsid w:val="005329C9"/>
    <w:rsid w:val="00535272"/>
    <w:rsid w:val="00535E53"/>
    <w:rsid w:val="0053702F"/>
    <w:rsid w:val="005377E5"/>
    <w:rsid w:val="00537ABC"/>
    <w:rsid w:val="00537CBC"/>
    <w:rsid w:val="005402B6"/>
    <w:rsid w:val="0054363B"/>
    <w:rsid w:val="005447EF"/>
    <w:rsid w:val="00550758"/>
    <w:rsid w:val="00551256"/>
    <w:rsid w:val="005517B1"/>
    <w:rsid w:val="00553D67"/>
    <w:rsid w:val="0055793A"/>
    <w:rsid w:val="00560CA0"/>
    <w:rsid w:val="005624F3"/>
    <w:rsid w:val="00562FA8"/>
    <w:rsid w:val="00565856"/>
    <w:rsid w:val="005668BB"/>
    <w:rsid w:val="00566A8A"/>
    <w:rsid w:val="00566CE9"/>
    <w:rsid w:val="005725BC"/>
    <w:rsid w:val="005766C0"/>
    <w:rsid w:val="0058007C"/>
    <w:rsid w:val="005811EF"/>
    <w:rsid w:val="005818AE"/>
    <w:rsid w:val="00581F42"/>
    <w:rsid w:val="00582187"/>
    <w:rsid w:val="00582F3D"/>
    <w:rsid w:val="005877D8"/>
    <w:rsid w:val="00590E9B"/>
    <w:rsid w:val="00591BEA"/>
    <w:rsid w:val="00597C02"/>
    <w:rsid w:val="00597DA2"/>
    <w:rsid w:val="005A192D"/>
    <w:rsid w:val="005A1EB5"/>
    <w:rsid w:val="005A4472"/>
    <w:rsid w:val="005A4C9D"/>
    <w:rsid w:val="005A565D"/>
    <w:rsid w:val="005B0878"/>
    <w:rsid w:val="005B209D"/>
    <w:rsid w:val="005B53B2"/>
    <w:rsid w:val="005C09A6"/>
    <w:rsid w:val="005C15C0"/>
    <w:rsid w:val="005C1652"/>
    <w:rsid w:val="005C28EE"/>
    <w:rsid w:val="005C33CE"/>
    <w:rsid w:val="005C358E"/>
    <w:rsid w:val="005C3AE9"/>
    <w:rsid w:val="005C49D0"/>
    <w:rsid w:val="005D570B"/>
    <w:rsid w:val="005D5B9E"/>
    <w:rsid w:val="005D7534"/>
    <w:rsid w:val="005D7CB5"/>
    <w:rsid w:val="005E1B42"/>
    <w:rsid w:val="005E2CC5"/>
    <w:rsid w:val="005E2F51"/>
    <w:rsid w:val="005E6A72"/>
    <w:rsid w:val="005F0670"/>
    <w:rsid w:val="005F2969"/>
    <w:rsid w:val="005F48A9"/>
    <w:rsid w:val="005F504B"/>
    <w:rsid w:val="005F5290"/>
    <w:rsid w:val="005F529A"/>
    <w:rsid w:val="005F7146"/>
    <w:rsid w:val="005F75D2"/>
    <w:rsid w:val="00601171"/>
    <w:rsid w:val="00603D9D"/>
    <w:rsid w:val="00603E38"/>
    <w:rsid w:val="006045FC"/>
    <w:rsid w:val="00607755"/>
    <w:rsid w:val="00610654"/>
    <w:rsid w:val="00610A0D"/>
    <w:rsid w:val="00612D04"/>
    <w:rsid w:val="00613096"/>
    <w:rsid w:val="00613977"/>
    <w:rsid w:val="00613A1F"/>
    <w:rsid w:val="00614C0D"/>
    <w:rsid w:val="00614F80"/>
    <w:rsid w:val="0061539D"/>
    <w:rsid w:val="00615C40"/>
    <w:rsid w:val="00615FEA"/>
    <w:rsid w:val="0061729C"/>
    <w:rsid w:val="00617FBA"/>
    <w:rsid w:val="006228A9"/>
    <w:rsid w:val="00630D7D"/>
    <w:rsid w:val="006318B9"/>
    <w:rsid w:val="00631CB4"/>
    <w:rsid w:val="00632E07"/>
    <w:rsid w:val="00633121"/>
    <w:rsid w:val="00637D2C"/>
    <w:rsid w:val="006409AD"/>
    <w:rsid w:val="00640AE5"/>
    <w:rsid w:val="00644664"/>
    <w:rsid w:val="006465F2"/>
    <w:rsid w:val="0065072D"/>
    <w:rsid w:val="0065172E"/>
    <w:rsid w:val="006526B3"/>
    <w:rsid w:val="00654ECD"/>
    <w:rsid w:val="00655E64"/>
    <w:rsid w:val="006568B9"/>
    <w:rsid w:val="006569CE"/>
    <w:rsid w:val="00657C31"/>
    <w:rsid w:val="00662A97"/>
    <w:rsid w:val="00664716"/>
    <w:rsid w:val="00664DE3"/>
    <w:rsid w:val="00665987"/>
    <w:rsid w:val="00666BDA"/>
    <w:rsid w:val="0067026C"/>
    <w:rsid w:val="0067188F"/>
    <w:rsid w:val="0067375A"/>
    <w:rsid w:val="00673844"/>
    <w:rsid w:val="00675CB4"/>
    <w:rsid w:val="0067735C"/>
    <w:rsid w:val="0068426D"/>
    <w:rsid w:val="00685CE7"/>
    <w:rsid w:val="00687B01"/>
    <w:rsid w:val="00693986"/>
    <w:rsid w:val="00697580"/>
    <w:rsid w:val="006A1962"/>
    <w:rsid w:val="006A2129"/>
    <w:rsid w:val="006A4667"/>
    <w:rsid w:val="006A7108"/>
    <w:rsid w:val="006B4053"/>
    <w:rsid w:val="006B5148"/>
    <w:rsid w:val="006B577E"/>
    <w:rsid w:val="006B5BC2"/>
    <w:rsid w:val="006B654E"/>
    <w:rsid w:val="006B6BD2"/>
    <w:rsid w:val="006B7AEA"/>
    <w:rsid w:val="006C2E40"/>
    <w:rsid w:val="006C3DF5"/>
    <w:rsid w:val="006C44B1"/>
    <w:rsid w:val="006C5597"/>
    <w:rsid w:val="006C5835"/>
    <w:rsid w:val="006D1BFB"/>
    <w:rsid w:val="006D3733"/>
    <w:rsid w:val="006D465A"/>
    <w:rsid w:val="006D693C"/>
    <w:rsid w:val="006D721E"/>
    <w:rsid w:val="006D7C3A"/>
    <w:rsid w:val="006E030E"/>
    <w:rsid w:val="006E10EC"/>
    <w:rsid w:val="006E1232"/>
    <w:rsid w:val="006E2D49"/>
    <w:rsid w:val="006E3E95"/>
    <w:rsid w:val="006E5273"/>
    <w:rsid w:val="006E68AF"/>
    <w:rsid w:val="006E6B06"/>
    <w:rsid w:val="006F1138"/>
    <w:rsid w:val="006F51B5"/>
    <w:rsid w:val="006F64A2"/>
    <w:rsid w:val="006F7508"/>
    <w:rsid w:val="006F778D"/>
    <w:rsid w:val="006F7F52"/>
    <w:rsid w:val="00701B6F"/>
    <w:rsid w:val="00702252"/>
    <w:rsid w:val="00705ACF"/>
    <w:rsid w:val="00705F06"/>
    <w:rsid w:val="0071110A"/>
    <w:rsid w:val="0071171C"/>
    <w:rsid w:val="00720045"/>
    <w:rsid w:val="00720339"/>
    <w:rsid w:val="0072124E"/>
    <w:rsid w:val="00722553"/>
    <w:rsid w:val="00725E57"/>
    <w:rsid w:val="0072761E"/>
    <w:rsid w:val="00733483"/>
    <w:rsid w:val="007353F6"/>
    <w:rsid w:val="007375D5"/>
    <w:rsid w:val="00737C17"/>
    <w:rsid w:val="00740CB0"/>
    <w:rsid w:val="007417BD"/>
    <w:rsid w:val="007468FC"/>
    <w:rsid w:val="00747103"/>
    <w:rsid w:val="00755367"/>
    <w:rsid w:val="0076277C"/>
    <w:rsid w:val="00762D18"/>
    <w:rsid w:val="007660F9"/>
    <w:rsid w:val="007661E5"/>
    <w:rsid w:val="007667EF"/>
    <w:rsid w:val="00771AC5"/>
    <w:rsid w:val="00776016"/>
    <w:rsid w:val="00781C18"/>
    <w:rsid w:val="00785B16"/>
    <w:rsid w:val="00785D1E"/>
    <w:rsid w:val="007902C1"/>
    <w:rsid w:val="00792269"/>
    <w:rsid w:val="00792CA3"/>
    <w:rsid w:val="007930D3"/>
    <w:rsid w:val="007938AD"/>
    <w:rsid w:val="00797A41"/>
    <w:rsid w:val="007A11F7"/>
    <w:rsid w:val="007A1BFE"/>
    <w:rsid w:val="007A2177"/>
    <w:rsid w:val="007A2FD5"/>
    <w:rsid w:val="007A478F"/>
    <w:rsid w:val="007A5458"/>
    <w:rsid w:val="007A5BAC"/>
    <w:rsid w:val="007B10A0"/>
    <w:rsid w:val="007B14C1"/>
    <w:rsid w:val="007B2FDD"/>
    <w:rsid w:val="007B3D2B"/>
    <w:rsid w:val="007B4EB4"/>
    <w:rsid w:val="007B675E"/>
    <w:rsid w:val="007B6902"/>
    <w:rsid w:val="007C2C38"/>
    <w:rsid w:val="007C3031"/>
    <w:rsid w:val="007C3646"/>
    <w:rsid w:val="007C4427"/>
    <w:rsid w:val="007C46FB"/>
    <w:rsid w:val="007C57B8"/>
    <w:rsid w:val="007C6461"/>
    <w:rsid w:val="007D01AF"/>
    <w:rsid w:val="007D07D4"/>
    <w:rsid w:val="007D49BE"/>
    <w:rsid w:val="007D5522"/>
    <w:rsid w:val="007D58FB"/>
    <w:rsid w:val="007E12F6"/>
    <w:rsid w:val="007E2E20"/>
    <w:rsid w:val="007E54B1"/>
    <w:rsid w:val="007E5845"/>
    <w:rsid w:val="007E6E46"/>
    <w:rsid w:val="007E7193"/>
    <w:rsid w:val="007F0591"/>
    <w:rsid w:val="007F1E93"/>
    <w:rsid w:val="007F3A47"/>
    <w:rsid w:val="007F4D61"/>
    <w:rsid w:val="007F4FC5"/>
    <w:rsid w:val="007F65DA"/>
    <w:rsid w:val="007F6718"/>
    <w:rsid w:val="008025D2"/>
    <w:rsid w:val="00802FB1"/>
    <w:rsid w:val="00815AEF"/>
    <w:rsid w:val="00820958"/>
    <w:rsid w:val="00820EC0"/>
    <w:rsid w:val="0082192D"/>
    <w:rsid w:val="00821E4B"/>
    <w:rsid w:val="008265CE"/>
    <w:rsid w:val="0082715E"/>
    <w:rsid w:val="0083042F"/>
    <w:rsid w:val="008313B5"/>
    <w:rsid w:val="00832DA4"/>
    <w:rsid w:val="00833BC3"/>
    <w:rsid w:val="0083468A"/>
    <w:rsid w:val="00836D51"/>
    <w:rsid w:val="0083737F"/>
    <w:rsid w:val="00842D43"/>
    <w:rsid w:val="00845888"/>
    <w:rsid w:val="00845ED3"/>
    <w:rsid w:val="00850276"/>
    <w:rsid w:val="008523E0"/>
    <w:rsid w:val="0085496E"/>
    <w:rsid w:val="00856D1C"/>
    <w:rsid w:val="008579CD"/>
    <w:rsid w:val="008601BE"/>
    <w:rsid w:val="008645EE"/>
    <w:rsid w:val="00865601"/>
    <w:rsid w:val="008673CB"/>
    <w:rsid w:val="00871E7E"/>
    <w:rsid w:val="00874404"/>
    <w:rsid w:val="00875F2A"/>
    <w:rsid w:val="00876AC0"/>
    <w:rsid w:val="00877F27"/>
    <w:rsid w:val="00880A64"/>
    <w:rsid w:val="00885315"/>
    <w:rsid w:val="00885E97"/>
    <w:rsid w:val="00887565"/>
    <w:rsid w:val="008922C4"/>
    <w:rsid w:val="00894002"/>
    <w:rsid w:val="00894410"/>
    <w:rsid w:val="0089527E"/>
    <w:rsid w:val="00896D71"/>
    <w:rsid w:val="008A027D"/>
    <w:rsid w:val="008B0D55"/>
    <w:rsid w:val="008B2543"/>
    <w:rsid w:val="008B2DF7"/>
    <w:rsid w:val="008B3189"/>
    <w:rsid w:val="008B6C31"/>
    <w:rsid w:val="008C5610"/>
    <w:rsid w:val="008C5DE3"/>
    <w:rsid w:val="008C7772"/>
    <w:rsid w:val="008D0422"/>
    <w:rsid w:val="008D27F8"/>
    <w:rsid w:val="008D51C1"/>
    <w:rsid w:val="008D5BE9"/>
    <w:rsid w:val="008D752B"/>
    <w:rsid w:val="008D7B70"/>
    <w:rsid w:val="008E1771"/>
    <w:rsid w:val="008E27DE"/>
    <w:rsid w:val="008E2997"/>
    <w:rsid w:val="008E2D64"/>
    <w:rsid w:val="008E3771"/>
    <w:rsid w:val="008E3E86"/>
    <w:rsid w:val="008F002D"/>
    <w:rsid w:val="008F109A"/>
    <w:rsid w:val="008F1A67"/>
    <w:rsid w:val="008F72E9"/>
    <w:rsid w:val="008F7543"/>
    <w:rsid w:val="00901E92"/>
    <w:rsid w:val="00902C86"/>
    <w:rsid w:val="009032E7"/>
    <w:rsid w:val="00903408"/>
    <w:rsid w:val="00905202"/>
    <w:rsid w:val="00906D57"/>
    <w:rsid w:val="00910FD2"/>
    <w:rsid w:val="0091118D"/>
    <w:rsid w:val="009116EA"/>
    <w:rsid w:val="009143BA"/>
    <w:rsid w:val="00914507"/>
    <w:rsid w:val="00915AF0"/>
    <w:rsid w:val="00916493"/>
    <w:rsid w:val="009165E3"/>
    <w:rsid w:val="00916658"/>
    <w:rsid w:val="0091676E"/>
    <w:rsid w:val="00921F52"/>
    <w:rsid w:val="00924596"/>
    <w:rsid w:val="00924A76"/>
    <w:rsid w:val="0092582D"/>
    <w:rsid w:val="009315F4"/>
    <w:rsid w:val="00933671"/>
    <w:rsid w:val="00934BE3"/>
    <w:rsid w:val="00935189"/>
    <w:rsid w:val="009353EB"/>
    <w:rsid w:val="00935D0D"/>
    <w:rsid w:val="009416E3"/>
    <w:rsid w:val="0094468D"/>
    <w:rsid w:val="009470F1"/>
    <w:rsid w:val="0095154D"/>
    <w:rsid w:val="00952DC6"/>
    <w:rsid w:val="0095313E"/>
    <w:rsid w:val="009545F5"/>
    <w:rsid w:val="009553E8"/>
    <w:rsid w:val="0095542F"/>
    <w:rsid w:val="009602E7"/>
    <w:rsid w:val="00961882"/>
    <w:rsid w:val="0096356C"/>
    <w:rsid w:val="00965D97"/>
    <w:rsid w:val="00972BF7"/>
    <w:rsid w:val="00972DD5"/>
    <w:rsid w:val="009734D1"/>
    <w:rsid w:val="009745BD"/>
    <w:rsid w:val="009757D8"/>
    <w:rsid w:val="00975E12"/>
    <w:rsid w:val="00976461"/>
    <w:rsid w:val="00981578"/>
    <w:rsid w:val="009834BC"/>
    <w:rsid w:val="00984879"/>
    <w:rsid w:val="00985632"/>
    <w:rsid w:val="00986ACC"/>
    <w:rsid w:val="00991B63"/>
    <w:rsid w:val="0099627A"/>
    <w:rsid w:val="009967C8"/>
    <w:rsid w:val="00997C75"/>
    <w:rsid w:val="009A3547"/>
    <w:rsid w:val="009A3671"/>
    <w:rsid w:val="009A6DB4"/>
    <w:rsid w:val="009B225B"/>
    <w:rsid w:val="009B2428"/>
    <w:rsid w:val="009B308D"/>
    <w:rsid w:val="009B47F9"/>
    <w:rsid w:val="009B5CB7"/>
    <w:rsid w:val="009B697A"/>
    <w:rsid w:val="009B7808"/>
    <w:rsid w:val="009B7840"/>
    <w:rsid w:val="009C199B"/>
    <w:rsid w:val="009C3A1E"/>
    <w:rsid w:val="009C5CA7"/>
    <w:rsid w:val="009C6141"/>
    <w:rsid w:val="009C748F"/>
    <w:rsid w:val="009D0261"/>
    <w:rsid w:val="009D06B7"/>
    <w:rsid w:val="009D2077"/>
    <w:rsid w:val="009D2F6E"/>
    <w:rsid w:val="009E1F2C"/>
    <w:rsid w:val="009E3EA2"/>
    <w:rsid w:val="009E7129"/>
    <w:rsid w:val="009E76F7"/>
    <w:rsid w:val="009F0E8A"/>
    <w:rsid w:val="009F1301"/>
    <w:rsid w:val="009F7BA8"/>
    <w:rsid w:val="00A000FF"/>
    <w:rsid w:val="00A01F3D"/>
    <w:rsid w:val="00A02F1A"/>
    <w:rsid w:val="00A032D7"/>
    <w:rsid w:val="00A03CEF"/>
    <w:rsid w:val="00A042D3"/>
    <w:rsid w:val="00A05DAC"/>
    <w:rsid w:val="00A119E8"/>
    <w:rsid w:val="00A12A12"/>
    <w:rsid w:val="00A208F2"/>
    <w:rsid w:val="00A20DA9"/>
    <w:rsid w:val="00A2393B"/>
    <w:rsid w:val="00A25429"/>
    <w:rsid w:val="00A264C7"/>
    <w:rsid w:val="00A271B7"/>
    <w:rsid w:val="00A31242"/>
    <w:rsid w:val="00A319D5"/>
    <w:rsid w:val="00A3286A"/>
    <w:rsid w:val="00A33D10"/>
    <w:rsid w:val="00A34A73"/>
    <w:rsid w:val="00A36EB6"/>
    <w:rsid w:val="00A42067"/>
    <w:rsid w:val="00A42316"/>
    <w:rsid w:val="00A4243F"/>
    <w:rsid w:val="00A42D20"/>
    <w:rsid w:val="00A44327"/>
    <w:rsid w:val="00A44631"/>
    <w:rsid w:val="00A44E47"/>
    <w:rsid w:val="00A46BC4"/>
    <w:rsid w:val="00A517D4"/>
    <w:rsid w:val="00A51A36"/>
    <w:rsid w:val="00A52530"/>
    <w:rsid w:val="00A52CE5"/>
    <w:rsid w:val="00A531C6"/>
    <w:rsid w:val="00A5393A"/>
    <w:rsid w:val="00A551BF"/>
    <w:rsid w:val="00A571A0"/>
    <w:rsid w:val="00A602C2"/>
    <w:rsid w:val="00A6068D"/>
    <w:rsid w:val="00A60C37"/>
    <w:rsid w:val="00A60E26"/>
    <w:rsid w:val="00A62C38"/>
    <w:rsid w:val="00A70524"/>
    <w:rsid w:val="00A70B3C"/>
    <w:rsid w:val="00A73406"/>
    <w:rsid w:val="00A842D2"/>
    <w:rsid w:val="00A84335"/>
    <w:rsid w:val="00A86FF3"/>
    <w:rsid w:val="00A90198"/>
    <w:rsid w:val="00A91D9E"/>
    <w:rsid w:val="00A92E76"/>
    <w:rsid w:val="00A93C18"/>
    <w:rsid w:val="00A945F8"/>
    <w:rsid w:val="00AA0045"/>
    <w:rsid w:val="00AA32FA"/>
    <w:rsid w:val="00AA4EB3"/>
    <w:rsid w:val="00AA5C3D"/>
    <w:rsid w:val="00AA7303"/>
    <w:rsid w:val="00AA7DF8"/>
    <w:rsid w:val="00AB0686"/>
    <w:rsid w:val="00AB0EB8"/>
    <w:rsid w:val="00AB3E40"/>
    <w:rsid w:val="00AB54F2"/>
    <w:rsid w:val="00AB5999"/>
    <w:rsid w:val="00AB6ED4"/>
    <w:rsid w:val="00AC55B4"/>
    <w:rsid w:val="00AC65DA"/>
    <w:rsid w:val="00AD148B"/>
    <w:rsid w:val="00AD226B"/>
    <w:rsid w:val="00AD2804"/>
    <w:rsid w:val="00AD52DC"/>
    <w:rsid w:val="00AD74A7"/>
    <w:rsid w:val="00AE047C"/>
    <w:rsid w:val="00AE0665"/>
    <w:rsid w:val="00AE4A80"/>
    <w:rsid w:val="00AE4D20"/>
    <w:rsid w:val="00AE594E"/>
    <w:rsid w:val="00AF064D"/>
    <w:rsid w:val="00AF27A6"/>
    <w:rsid w:val="00AF3D7E"/>
    <w:rsid w:val="00AF7806"/>
    <w:rsid w:val="00AF7951"/>
    <w:rsid w:val="00B0012E"/>
    <w:rsid w:val="00B04222"/>
    <w:rsid w:val="00B045DC"/>
    <w:rsid w:val="00B04C2F"/>
    <w:rsid w:val="00B1234F"/>
    <w:rsid w:val="00B14479"/>
    <w:rsid w:val="00B161C2"/>
    <w:rsid w:val="00B16298"/>
    <w:rsid w:val="00B173F1"/>
    <w:rsid w:val="00B17444"/>
    <w:rsid w:val="00B209B2"/>
    <w:rsid w:val="00B20DAF"/>
    <w:rsid w:val="00B214F2"/>
    <w:rsid w:val="00B21C92"/>
    <w:rsid w:val="00B23996"/>
    <w:rsid w:val="00B243D3"/>
    <w:rsid w:val="00B2722A"/>
    <w:rsid w:val="00B31B6A"/>
    <w:rsid w:val="00B343A0"/>
    <w:rsid w:val="00B34FA7"/>
    <w:rsid w:val="00B4246A"/>
    <w:rsid w:val="00B44126"/>
    <w:rsid w:val="00B451D8"/>
    <w:rsid w:val="00B45B6E"/>
    <w:rsid w:val="00B47948"/>
    <w:rsid w:val="00B51AE9"/>
    <w:rsid w:val="00B52321"/>
    <w:rsid w:val="00B53B1D"/>
    <w:rsid w:val="00B542FE"/>
    <w:rsid w:val="00B57B54"/>
    <w:rsid w:val="00B57D88"/>
    <w:rsid w:val="00B61062"/>
    <w:rsid w:val="00B618BA"/>
    <w:rsid w:val="00B635E1"/>
    <w:rsid w:val="00B6431A"/>
    <w:rsid w:val="00B64D95"/>
    <w:rsid w:val="00B64FF7"/>
    <w:rsid w:val="00B65EE2"/>
    <w:rsid w:val="00B70FD2"/>
    <w:rsid w:val="00B72ECE"/>
    <w:rsid w:val="00B73248"/>
    <w:rsid w:val="00B757B0"/>
    <w:rsid w:val="00B77CB0"/>
    <w:rsid w:val="00B822C5"/>
    <w:rsid w:val="00B82F76"/>
    <w:rsid w:val="00B904AC"/>
    <w:rsid w:val="00B90820"/>
    <w:rsid w:val="00B91075"/>
    <w:rsid w:val="00B95471"/>
    <w:rsid w:val="00B96CF4"/>
    <w:rsid w:val="00B97908"/>
    <w:rsid w:val="00BA1C25"/>
    <w:rsid w:val="00BA282D"/>
    <w:rsid w:val="00BA2AFF"/>
    <w:rsid w:val="00BA3D4F"/>
    <w:rsid w:val="00BA6702"/>
    <w:rsid w:val="00BA740C"/>
    <w:rsid w:val="00BB5AB0"/>
    <w:rsid w:val="00BB6260"/>
    <w:rsid w:val="00BC1116"/>
    <w:rsid w:val="00BC1696"/>
    <w:rsid w:val="00BC3282"/>
    <w:rsid w:val="00BC50DA"/>
    <w:rsid w:val="00BC5BF2"/>
    <w:rsid w:val="00BC7A39"/>
    <w:rsid w:val="00BD16A7"/>
    <w:rsid w:val="00BD32AE"/>
    <w:rsid w:val="00BD32DA"/>
    <w:rsid w:val="00BE0F6A"/>
    <w:rsid w:val="00BE1EA1"/>
    <w:rsid w:val="00BE508C"/>
    <w:rsid w:val="00BE7259"/>
    <w:rsid w:val="00BF18A8"/>
    <w:rsid w:val="00BF318A"/>
    <w:rsid w:val="00BF353B"/>
    <w:rsid w:val="00BF359C"/>
    <w:rsid w:val="00BF3ACD"/>
    <w:rsid w:val="00BF3B04"/>
    <w:rsid w:val="00C00191"/>
    <w:rsid w:val="00C03131"/>
    <w:rsid w:val="00C05BD9"/>
    <w:rsid w:val="00C05E74"/>
    <w:rsid w:val="00C0675A"/>
    <w:rsid w:val="00C07173"/>
    <w:rsid w:val="00C07279"/>
    <w:rsid w:val="00C10C19"/>
    <w:rsid w:val="00C11F95"/>
    <w:rsid w:val="00C1266B"/>
    <w:rsid w:val="00C143B8"/>
    <w:rsid w:val="00C1442D"/>
    <w:rsid w:val="00C15459"/>
    <w:rsid w:val="00C17D02"/>
    <w:rsid w:val="00C17EA3"/>
    <w:rsid w:val="00C2338E"/>
    <w:rsid w:val="00C242F6"/>
    <w:rsid w:val="00C24694"/>
    <w:rsid w:val="00C246DF"/>
    <w:rsid w:val="00C26425"/>
    <w:rsid w:val="00C26831"/>
    <w:rsid w:val="00C27433"/>
    <w:rsid w:val="00C27DD4"/>
    <w:rsid w:val="00C30726"/>
    <w:rsid w:val="00C3101F"/>
    <w:rsid w:val="00C32171"/>
    <w:rsid w:val="00C32197"/>
    <w:rsid w:val="00C328F2"/>
    <w:rsid w:val="00C34831"/>
    <w:rsid w:val="00C35E2C"/>
    <w:rsid w:val="00C3673A"/>
    <w:rsid w:val="00C36C50"/>
    <w:rsid w:val="00C4058D"/>
    <w:rsid w:val="00C414B1"/>
    <w:rsid w:val="00C423C5"/>
    <w:rsid w:val="00C428D4"/>
    <w:rsid w:val="00C43C4E"/>
    <w:rsid w:val="00C518EE"/>
    <w:rsid w:val="00C529D5"/>
    <w:rsid w:val="00C52DCC"/>
    <w:rsid w:val="00C53A81"/>
    <w:rsid w:val="00C5649C"/>
    <w:rsid w:val="00C56F37"/>
    <w:rsid w:val="00C62274"/>
    <w:rsid w:val="00C6716A"/>
    <w:rsid w:val="00C67D4B"/>
    <w:rsid w:val="00C704DF"/>
    <w:rsid w:val="00C75437"/>
    <w:rsid w:val="00C75486"/>
    <w:rsid w:val="00C75960"/>
    <w:rsid w:val="00C8105F"/>
    <w:rsid w:val="00C8202C"/>
    <w:rsid w:val="00C82379"/>
    <w:rsid w:val="00C827E6"/>
    <w:rsid w:val="00C82FC0"/>
    <w:rsid w:val="00C841C5"/>
    <w:rsid w:val="00C84251"/>
    <w:rsid w:val="00C85D64"/>
    <w:rsid w:val="00C86524"/>
    <w:rsid w:val="00C928EA"/>
    <w:rsid w:val="00C92A5B"/>
    <w:rsid w:val="00C93C9B"/>
    <w:rsid w:val="00C94C81"/>
    <w:rsid w:val="00CA46EC"/>
    <w:rsid w:val="00CA6FC1"/>
    <w:rsid w:val="00CB04F8"/>
    <w:rsid w:val="00CB30E4"/>
    <w:rsid w:val="00CB41C2"/>
    <w:rsid w:val="00CC0EF5"/>
    <w:rsid w:val="00CC2C5B"/>
    <w:rsid w:val="00CC6160"/>
    <w:rsid w:val="00CC76A5"/>
    <w:rsid w:val="00CD0FCF"/>
    <w:rsid w:val="00CD190C"/>
    <w:rsid w:val="00CD39A0"/>
    <w:rsid w:val="00CD5D3E"/>
    <w:rsid w:val="00CD73DD"/>
    <w:rsid w:val="00CD7CA0"/>
    <w:rsid w:val="00CE1551"/>
    <w:rsid w:val="00CE201E"/>
    <w:rsid w:val="00CE2822"/>
    <w:rsid w:val="00CE3871"/>
    <w:rsid w:val="00CE6C16"/>
    <w:rsid w:val="00CF0E9F"/>
    <w:rsid w:val="00CF32FE"/>
    <w:rsid w:val="00CF428B"/>
    <w:rsid w:val="00CF4EF0"/>
    <w:rsid w:val="00CF5375"/>
    <w:rsid w:val="00CF5593"/>
    <w:rsid w:val="00CF5BD1"/>
    <w:rsid w:val="00D01542"/>
    <w:rsid w:val="00D018CC"/>
    <w:rsid w:val="00D0271E"/>
    <w:rsid w:val="00D03DD2"/>
    <w:rsid w:val="00D05B29"/>
    <w:rsid w:val="00D0654A"/>
    <w:rsid w:val="00D100D4"/>
    <w:rsid w:val="00D1109F"/>
    <w:rsid w:val="00D11979"/>
    <w:rsid w:val="00D12A91"/>
    <w:rsid w:val="00D1394D"/>
    <w:rsid w:val="00D14F20"/>
    <w:rsid w:val="00D17D45"/>
    <w:rsid w:val="00D20DEB"/>
    <w:rsid w:val="00D2263C"/>
    <w:rsid w:val="00D24652"/>
    <w:rsid w:val="00D2617F"/>
    <w:rsid w:val="00D31C48"/>
    <w:rsid w:val="00D34846"/>
    <w:rsid w:val="00D34C13"/>
    <w:rsid w:val="00D43235"/>
    <w:rsid w:val="00D46581"/>
    <w:rsid w:val="00D47740"/>
    <w:rsid w:val="00D51B0C"/>
    <w:rsid w:val="00D52FA9"/>
    <w:rsid w:val="00D53990"/>
    <w:rsid w:val="00D5505D"/>
    <w:rsid w:val="00D5516D"/>
    <w:rsid w:val="00D5542D"/>
    <w:rsid w:val="00D55C5A"/>
    <w:rsid w:val="00D579B0"/>
    <w:rsid w:val="00D6001D"/>
    <w:rsid w:val="00D600CF"/>
    <w:rsid w:val="00D6454F"/>
    <w:rsid w:val="00D65524"/>
    <w:rsid w:val="00D6565E"/>
    <w:rsid w:val="00D67ADB"/>
    <w:rsid w:val="00D67F56"/>
    <w:rsid w:val="00D704ED"/>
    <w:rsid w:val="00D705E7"/>
    <w:rsid w:val="00D72627"/>
    <w:rsid w:val="00D73399"/>
    <w:rsid w:val="00D7664F"/>
    <w:rsid w:val="00D77D6A"/>
    <w:rsid w:val="00D8058D"/>
    <w:rsid w:val="00D812B9"/>
    <w:rsid w:val="00D903FD"/>
    <w:rsid w:val="00D90943"/>
    <w:rsid w:val="00D937C0"/>
    <w:rsid w:val="00D94BC5"/>
    <w:rsid w:val="00D95A16"/>
    <w:rsid w:val="00D96C08"/>
    <w:rsid w:val="00D96D72"/>
    <w:rsid w:val="00D97900"/>
    <w:rsid w:val="00D97C8A"/>
    <w:rsid w:val="00DA2244"/>
    <w:rsid w:val="00DA5374"/>
    <w:rsid w:val="00DA63ED"/>
    <w:rsid w:val="00DB12E9"/>
    <w:rsid w:val="00DB14E7"/>
    <w:rsid w:val="00DB5129"/>
    <w:rsid w:val="00DC0CED"/>
    <w:rsid w:val="00DC2831"/>
    <w:rsid w:val="00DC3052"/>
    <w:rsid w:val="00DC4963"/>
    <w:rsid w:val="00DD0701"/>
    <w:rsid w:val="00DD0B39"/>
    <w:rsid w:val="00DD2A36"/>
    <w:rsid w:val="00DD5B1C"/>
    <w:rsid w:val="00DE01B9"/>
    <w:rsid w:val="00DE0247"/>
    <w:rsid w:val="00DE0825"/>
    <w:rsid w:val="00DE1335"/>
    <w:rsid w:val="00DE5214"/>
    <w:rsid w:val="00DF1A30"/>
    <w:rsid w:val="00DF4613"/>
    <w:rsid w:val="00DF46C4"/>
    <w:rsid w:val="00E00240"/>
    <w:rsid w:val="00E00F65"/>
    <w:rsid w:val="00E013F2"/>
    <w:rsid w:val="00E01D9E"/>
    <w:rsid w:val="00E03872"/>
    <w:rsid w:val="00E166BA"/>
    <w:rsid w:val="00E16B4B"/>
    <w:rsid w:val="00E20031"/>
    <w:rsid w:val="00E21FFE"/>
    <w:rsid w:val="00E23645"/>
    <w:rsid w:val="00E26A1E"/>
    <w:rsid w:val="00E2797B"/>
    <w:rsid w:val="00E31A7C"/>
    <w:rsid w:val="00E34A21"/>
    <w:rsid w:val="00E35535"/>
    <w:rsid w:val="00E36EFE"/>
    <w:rsid w:val="00E37831"/>
    <w:rsid w:val="00E41483"/>
    <w:rsid w:val="00E42A54"/>
    <w:rsid w:val="00E43825"/>
    <w:rsid w:val="00E44061"/>
    <w:rsid w:val="00E523DE"/>
    <w:rsid w:val="00E52FA1"/>
    <w:rsid w:val="00E537F9"/>
    <w:rsid w:val="00E53896"/>
    <w:rsid w:val="00E549FB"/>
    <w:rsid w:val="00E6149B"/>
    <w:rsid w:val="00E62276"/>
    <w:rsid w:val="00E64408"/>
    <w:rsid w:val="00E645E3"/>
    <w:rsid w:val="00E662B7"/>
    <w:rsid w:val="00E71C2B"/>
    <w:rsid w:val="00E726DA"/>
    <w:rsid w:val="00E74A09"/>
    <w:rsid w:val="00E77D30"/>
    <w:rsid w:val="00E83929"/>
    <w:rsid w:val="00E84B88"/>
    <w:rsid w:val="00E84B90"/>
    <w:rsid w:val="00E90D56"/>
    <w:rsid w:val="00E923A0"/>
    <w:rsid w:val="00E94284"/>
    <w:rsid w:val="00E9563E"/>
    <w:rsid w:val="00E96646"/>
    <w:rsid w:val="00EA05C3"/>
    <w:rsid w:val="00EB039D"/>
    <w:rsid w:val="00EB27C2"/>
    <w:rsid w:val="00EB34CF"/>
    <w:rsid w:val="00EB3F34"/>
    <w:rsid w:val="00EB6568"/>
    <w:rsid w:val="00EC03F3"/>
    <w:rsid w:val="00EC048A"/>
    <w:rsid w:val="00EC106E"/>
    <w:rsid w:val="00EC11BA"/>
    <w:rsid w:val="00EC14D4"/>
    <w:rsid w:val="00EC1BB7"/>
    <w:rsid w:val="00EC33A9"/>
    <w:rsid w:val="00EC4888"/>
    <w:rsid w:val="00EC4CCE"/>
    <w:rsid w:val="00EC4D23"/>
    <w:rsid w:val="00EC78E7"/>
    <w:rsid w:val="00EC7B82"/>
    <w:rsid w:val="00ED2BD0"/>
    <w:rsid w:val="00ED2C73"/>
    <w:rsid w:val="00ED2F5F"/>
    <w:rsid w:val="00ED43D2"/>
    <w:rsid w:val="00ED447F"/>
    <w:rsid w:val="00EE054E"/>
    <w:rsid w:val="00EE1667"/>
    <w:rsid w:val="00EE1A89"/>
    <w:rsid w:val="00EE375B"/>
    <w:rsid w:val="00EE3B8C"/>
    <w:rsid w:val="00EE3D2F"/>
    <w:rsid w:val="00EE4D65"/>
    <w:rsid w:val="00EE6161"/>
    <w:rsid w:val="00EF04B6"/>
    <w:rsid w:val="00EF0ECA"/>
    <w:rsid w:val="00EF40F4"/>
    <w:rsid w:val="00EF4A38"/>
    <w:rsid w:val="00F0098C"/>
    <w:rsid w:val="00F011D9"/>
    <w:rsid w:val="00F0165C"/>
    <w:rsid w:val="00F021E3"/>
    <w:rsid w:val="00F02A2F"/>
    <w:rsid w:val="00F02B65"/>
    <w:rsid w:val="00F02CCA"/>
    <w:rsid w:val="00F04789"/>
    <w:rsid w:val="00F04B66"/>
    <w:rsid w:val="00F0652F"/>
    <w:rsid w:val="00F101FB"/>
    <w:rsid w:val="00F1103A"/>
    <w:rsid w:val="00F11B8F"/>
    <w:rsid w:val="00F1427C"/>
    <w:rsid w:val="00F1540B"/>
    <w:rsid w:val="00F1727D"/>
    <w:rsid w:val="00F225D7"/>
    <w:rsid w:val="00F253B3"/>
    <w:rsid w:val="00F270FA"/>
    <w:rsid w:val="00F31372"/>
    <w:rsid w:val="00F31F25"/>
    <w:rsid w:val="00F33456"/>
    <w:rsid w:val="00F41047"/>
    <w:rsid w:val="00F418B7"/>
    <w:rsid w:val="00F42AB6"/>
    <w:rsid w:val="00F45265"/>
    <w:rsid w:val="00F46B92"/>
    <w:rsid w:val="00F46D2D"/>
    <w:rsid w:val="00F47E0D"/>
    <w:rsid w:val="00F50A22"/>
    <w:rsid w:val="00F51803"/>
    <w:rsid w:val="00F523AC"/>
    <w:rsid w:val="00F5415C"/>
    <w:rsid w:val="00F548C2"/>
    <w:rsid w:val="00F5655F"/>
    <w:rsid w:val="00F633CC"/>
    <w:rsid w:val="00F63F54"/>
    <w:rsid w:val="00F677E0"/>
    <w:rsid w:val="00F70BAA"/>
    <w:rsid w:val="00F74011"/>
    <w:rsid w:val="00F7486A"/>
    <w:rsid w:val="00F77A0E"/>
    <w:rsid w:val="00F80FA7"/>
    <w:rsid w:val="00F849A4"/>
    <w:rsid w:val="00F84D5B"/>
    <w:rsid w:val="00F91ACE"/>
    <w:rsid w:val="00F91E82"/>
    <w:rsid w:val="00F92479"/>
    <w:rsid w:val="00F95B91"/>
    <w:rsid w:val="00F95F30"/>
    <w:rsid w:val="00F9655F"/>
    <w:rsid w:val="00F9681C"/>
    <w:rsid w:val="00FA13CC"/>
    <w:rsid w:val="00FA3473"/>
    <w:rsid w:val="00FA372F"/>
    <w:rsid w:val="00FA45FF"/>
    <w:rsid w:val="00FA5245"/>
    <w:rsid w:val="00FA5251"/>
    <w:rsid w:val="00FA570A"/>
    <w:rsid w:val="00FA78DF"/>
    <w:rsid w:val="00FB0C0B"/>
    <w:rsid w:val="00FB10CB"/>
    <w:rsid w:val="00FB14A5"/>
    <w:rsid w:val="00FB445B"/>
    <w:rsid w:val="00FB489F"/>
    <w:rsid w:val="00FC1880"/>
    <w:rsid w:val="00FC2EAA"/>
    <w:rsid w:val="00FC6AB3"/>
    <w:rsid w:val="00FC7661"/>
    <w:rsid w:val="00FD1542"/>
    <w:rsid w:val="00FD22C7"/>
    <w:rsid w:val="00FD4785"/>
    <w:rsid w:val="00FD5644"/>
    <w:rsid w:val="00FE016B"/>
    <w:rsid w:val="00FE1A71"/>
    <w:rsid w:val="00FE2395"/>
    <w:rsid w:val="00FE38F2"/>
    <w:rsid w:val="00FE529D"/>
    <w:rsid w:val="00FE6184"/>
    <w:rsid w:val="00FF1E20"/>
    <w:rsid w:val="00FF427F"/>
    <w:rsid w:val="00FF46BF"/>
    <w:rsid w:val="00FF49AE"/>
    <w:rsid w:val="00FF650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w:unhideWhenUsed="0"/>
    <w:lsdException w:name="List 2" w:unhideWhenUsed="0"/>
    <w:lsdException w:name="List 3" w:unhideWhenUsed="0"/>
    <w:lsdException w:name="List 4" w:unhideWhenUsed="0"/>
    <w:lsdException w:name="List 5" w:unhideWhenUsed="0"/>
    <w:lsdException w:name="List Bullet 5" w:unhideWhenUsed="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nhideWhenUsed="0"/>
    <w:lsdException w:name="Body Text Indent 2" w:unhideWhenUsed="0"/>
    <w:lsdException w:name="Body Text Indent 3" w:unhideWhenUsed="0"/>
    <w:lsdException w:name="Block Text"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unhideWhenUsed="0"/>
    <w:lsdException w:name="TOC Heading" w:uiPriority="39" w:qFormat="1"/>
  </w:latentStyles>
  <w:style w:type="paragraph" w:default="1" w:styleId="Normal">
    <w:name w:val="Normal"/>
    <w:semiHidden/>
    <w:qFormat/>
    <w:rsid w:val="006E10EC"/>
  </w:style>
  <w:style w:type="paragraph" w:styleId="Heading1">
    <w:name w:val="heading 1"/>
    <w:basedOn w:val="Normal"/>
    <w:next w:val="Normal"/>
    <w:link w:val="Heading1Char"/>
    <w:uiPriority w:val="9"/>
    <w:qFormat/>
    <w:rsid w:val="003166C5"/>
    <w:pPr>
      <w:spacing w:after="240" w:line="240" w:lineRule="auto"/>
      <w:contextualSpacing/>
      <w:outlineLvl w:val="0"/>
    </w:pPr>
    <w:rPr>
      <w:rFonts w:ascii="Calibri" w:eastAsiaTheme="majorEastAsia" w:hAnsi="Calibri" w:cstheme="majorBidi"/>
      <w:b/>
      <w:bCs/>
      <w:color w:val="000000" w:themeColor="text1"/>
      <w:sz w:val="36"/>
      <w:szCs w:val="28"/>
    </w:rPr>
  </w:style>
  <w:style w:type="paragraph" w:styleId="Heading2">
    <w:name w:val="heading 2"/>
    <w:basedOn w:val="Normal"/>
    <w:next w:val="Normal"/>
    <w:link w:val="Heading2Char"/>
    <w:uiPriority w:val="9"/>
    <w:qFormat/>
    <w:rsid w:val="00A31242"/>
    <w:pPr>
      <w:spacing w:before="200" w:after="0"/>
      <w:outlineLvl w:val="1"/>
    </w:pPr>
    <w:rPr>
      <w:rFonts w:ascii="Calibri" w:eastAsiaTheme="majorEastAsia" w:hAnsi="Calibri" w:cstheme="majorBidi"/>
      <w:b/>
      <w:bCs/>
      <w:sz w:val="28"/>
      <w:szCs w:val="26"/>
    </w:rPr>
  </w:style>
  <w:style w:type="paragraph" w:styleId="Heading3">
    <w:name w:val="heading 3"/>
    <w:basedOn w:val="Normal"/>
    <w:next w:val="Normal"/>
    <w:link w:val="Heading3Char"/>
    <w:uiPriority w:val="9"/>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semiHidden/>
    <w:qFormat/>
    <w:rsid w:val="00DC4963"/>
    <w:rPr>
      <w:b w:val="0"/>
      <w:bCs/>
      <w:i/>
      <w:iCs/>
      <w:spacing w:val="0"/>
      <w:bdr w:val="none" w:sz="0" w:space="0" w:color="auto"/>
      <w:shd w:val="clear" w:color="auto" w:fill="auto"/>
    </w:rPr>
  </w:style>
  <w:style w:type="character" w:styleId="BookTitle">
    <w:name w:val="Book Title"/>
    <w:uiPriority w:val="33"/>
    <w:semiHidden/>
    <w:qFormat/>
    <w:rsid w:val="009116EA"/>
    <w:rPr>
      <w:i/>
      <w:iCs/>
      <w:caps w:val="0"/>
      <w:smallCaps w:val="0"/>
      <w:spacing w:val="5"/>
    </w:rPr>
  </w:style>
  <w:style w:type="paragraph" w:styleId="Quote">
    <w:name w:val="Quote"/>
    <w:basedOn w:val="Normal"/>
    <w:next w:val="Normal"/>
    <w:link w:val="QuoteChar"/>
    <w:uiPriority w:val="29"/>
    <w:semiHidden/>
    <w:qFormat/>
    <w:rsid w:val="00C05E74"/>
    <w:pPr>
      <w:spacing w:after="120"/>
      <w:ind w:left="369" w:right="369"/>
    </w:pPr>
    <w:rPr>
      <w:i/>
      <w:iCs/>
    </w:rPr>
  </w:style>
  <w:style w:type="character" w:customStyle="1" w:styleId="QuoteChar">
    <w:name w:val="Quote Char"/>
    <w:basedOn w:val="DefaultParagraphFont"/>
    <w:link w:val="Quote"/>
    <w:uiPriority w:val="29"/>
    <w:semiHidden/>
    <w:rsid w:val="00EE3D2F"/>
    <w:rPr>
      <w:i/>
      <w:iCs/>
    </w:rPr>
  </w:style>
  <w:style w:type="character" w:customStyle="1" w:styleId="Heading1Char">
    <w:name w:val="Heading 1 Char"/>
    <w:basedOn w:val="DefaultParagraphFont"/>
    <w:link w:val="Heading1"/>
    <w:uiPriority w:val="9"/>
    <w:rsid w:val="00EE3D2F"/>
    <w:rPr>
      <w:rFonts w:ascii="Calibri" w:eastAsiaTheme="majorEastAsia" w:hAnsi="Calibri" w:cstheme="majorBidi"/>
      <w:b/>
      <w:bCs/>
      <w:color w:val="000000" w:themeColor="text1"/>
      <w:sz w:val="36"/>
      <w:szCs w:val="28"/>
    </w:rPr>
  </w:style>
  <w:style w:type="character" w:customStyle="1" w:styleId="Heading2Char">
    <w:name w:val="Heading 2 Char"/>
    <w:basedOn w:val="DefaultParagraphFont"/>
    <w:link w:val="Heading2"/>
    <w:uiPriority w:val="9"/>
    <w:rsid w:val="00EE3D2F"/>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EE3D2F"/>
    <w:rPr>
      <w:rFonts w:ascii="Calibri" w:eastAsiaTheme="majorEastAsia" w:hAnsi="Calibri" w:cstheme="majorBidi"/>
      <w:b/>
      <w:bCs/>
    </w:rPr>
  </w:style>
  <w:style w:type="character" w:customStyle="1" w:styleId="Heading4Char">
    <w:name w:val="Heading 4 Char"/>
    <w:basedOn w:val="DefaultParagraphFont"/>
    <w:link w:val="Heading4"/>
    <w:uiPriority w:val="9"/>
    <w:rsid w:val="00EE3D2F"/>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EE3D2F"/>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EE3D2F"/>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rsid w:val="00EE3D2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E3D2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E3D2F"/>
    <w:rPr>
      <w:rFonts w:asciiTheme="majorHAnsi" w:eastAsiaTheme="majorEastAsia" w:hAnsiTheme="majorHAnsi" w:cstheme="majorBidi"/>
      <w:i/>
      <w:iCs/>
      <w:spacing w:val="5"/>
      <w:sz w:val="20"/>
      <w:szCs w:val="20"/>
    </w:rPr>
  </w:style>
  <w:style w:type="paragraph" w:customStyle="1" w:styleId="HERSource">
    <w:name w:val="HER_Source"/>
    <w:basedOn w:val="HERNormal"/>
    <w:qFormat/>
    <w:rsid w:val="00015ED8"/>
    <w:pPr>
      <w:spacing w:before="120"/>
    </w:pPr>
    <w:rPr>
      <w:i/>
      <w:sz w:val="18"/>
    </w:rPr>
  </w:style>
  <w:style w:type="paragraph" w:customStyle="1" w:styleId="HERHeading1Numbered">
    <w:name w:val="HER_Heading 1 Numbered"/>
    <w:basedOn w:val="HERHeading1"/>
    <w:qFormat/>
    <w:rsid w:val="003D23E9"/>
    <w:pPr>
      <w:numPr>
        <w:numId w:val="4"/>
      </w:numPr>
    </w:pPr>
  </w:style>
  <w:style w:type="paragraph" w:styleId="Footer">
    <w:name w:val="footer"/>
    <w:basedOn w:val="Normal"/>
    <w:link w:val="FooterChar"/>
    <w:uiPriority w:val="99"/>
    <w:rsid w:val="007C57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0EC"/>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aliases w:val="L,List Paragraph1,List Paragraph11,Recommendation,bullet point list,Bullet point,DDM Gen Text,List Paragraph - bullets,NFP GP Bulleted List,List Paragraph Number,0Bullet,Body text,Bullet Point,Bullets,Content descriptions,Indented bullet"/>
    <w:basedOn w:val="Normal"/>
    <w:link w:val="ListParagraphChar"/>
    <w:uiPriority w:val="34"/>
    <w:qFormat/>
    <w:rsid w:val="00AC65DA"/>
    <w:pPr>
      <w:ind w:left="720"/>
      <w:contextualSpacing/>
    </w:pPr>
  </w:style>
  <w:style w:type="paragraph" w:styleId="IntenseQuote">
    <w:name w:val="Intense Quote"/>
    <w:basedOn w:val="Normal"/>
    <w:next w:val="Normal"/>
    <w:link w:val="IntenseQuoteChar"/>
    <w:uiPriority w:val="30"/>
    <w:semiHidden/>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semiHidden/>
    <w:rsid w:val="00EE3D2F"/>
    <w:rPr>
      <w:b/>
      <w:bCs/>
      <w:i/>
      <w:iCs/>
    </w:rPr>
  </w:style>
  <w:style w:type="character" w:styleId="SubtleEmphasis">
    <w:name w:val="Subtle Emphasis"/>
    <w:uiPriority w:val="19"/>
    <w:semiHidden/>
    <w:qFormat/>
    <w:rsid w:val="00AC65DA"/>
    <w:rPr>
      <w:i/>
      <w:iCs/>
    </w:rPr>
  </w:style>
  <w:style w:type="character" w:styleId="IntenseEmphasis">
    <w:name w:val="Intense Emphasis"/>
    <w:uiPriority w:val="21"/>
    <w:semiHidden/>
    <w:qFormat/>
    <w:rsid w:val="00DC4963"/>
    <w:rPr>
      <w:b/>
      <w:bCs/>
      <w:i/>
    </w:rPr>
  </w:style>
  <w:style w:type="character" w:styleId="SubtleReference">
    <w:name w:val="Subtle Reference"/>
    <w:uiPriority w:val="31"/>
    <w:semiHidden/>
    <w:qFormat/>
    <w:rsid w:val="00AC65DA"/>
    <w:rPr>
      <w:smallCaps/>
    </w:rPr>
  </w:style>
  <w:style w:type="character" w:styleId="IntenseReference">
    <w:name w:val="Intense Reference"/>
    <w:uiPriority w:val="32"/>
    <w:semiHidden/>
    <w:qFormat/>
    <w:rsid w:val="00AC65DA"/>
    <w:rPr>
      <w:smallCaps/>
      <w:spacing w:val="5"/>
      <w:u w:val="single"/>
    </w:rPr>
  </w:style>
  <w:style w:type="paragraph" w:styleId="ListNumber">
    <w:name w:val="List Number"/>
    <w:basedOn w:val="Normal"/>
    <w:uiPriority w:val="99"/>
    <w:semiHidden/>
    <w:rsid w:val="00537ABC"/>
    <w:pPr>
      <w:spacing w:after="120"/>
      <w:contextualSpacing/>
    </w:pPr>
  </w:style>
  <w:style w:type="paragraph" w:styleId="ListNumber2">
    <w:name w:val="List Number 2"/>
    <w:basedOn w:val="Normal"/>
    <w:uiPriority w:val="99"/>
    <w:semiHidden/>
    <w:rsid w:val="00537ABC"/>
    <w:pPr>
      <w:tabs>
        <w:tab w:val="left" w:pos="1134"/>
      </w:tabs>
      <w:spacing w:after="120"/>
      <w:contextualSpacing/>
    </w:pPr>
  </w:style>
  <w:style w:type="paragraph" w:styleId="ListNumber3">
    <w:name w:val="List Number 3"/>
    <w:basedOn w:val="Normal"/>
    <w:uiPriority w:val="99"/>
    <w:semiHidden/>
    <w:rsid w:val="00537ABC"/>
    <w:pPr>
      <w:spacing w:after="120"/>
      <w:contextualSpacing/>
    </w:pPr>
  </w:style>
  <w:style w:type="paragraph" w:styleId="ListNumber4">
    <w:name w:val="List Number 4"/>
    <w:basedOn w:val="Normal"/>
    <w:uiPriority w:val="99"/>
    <w:semiHidden/>
    <w:rsid w:val="00537ABC"/>
    <w:pPr>
      <w:spacing w:after="120"/>
      <w:contextualSpacing/>
    </w:pPr>
  </w:style>
  <w:style w:type="paragraph" w:styleId="ListBullet">
    <w:name w:val="List Bullet"/>
    <w:basedOn w:val="Normal"/>
    <w:uiPriority w:val="99"/>
    <w:semiHidden/>
    <w:rsid w:val="00CA46EC"/>
    <w:pPr>
      <w:spacing w:after="120"/>
      <w:contextualSpacing/>
    </w:pPr>
  </w:style>
  <w:style w:type="paragraph" w:styleId="ListBullet2">
    <w:name w:val="List Bullet 2"/>
    <w:basedOn w:val="Normal"/>
    <w:uiPriority w:val="99"/>
    <w:semiHidden/>
    <w:rsid w:val="00CA46EC"/>
    <w:pPr>
      <w:spacing w:after="120"/>
      <w:contextualSpacing/>
    </w:pPr>
  </w:style>
  <w:style w:type="paragraph" w:styleId="ListBullet3">
    <w:name w:val="List Bullet 3"/>
    <w:basedOn w:val="Normal"/>
    <w:uiPriority w:val="99"/>
    <w:semiHidden/>
    <w:rsid w:val="00CA46EC"/>
    <w:pPr>
      <w:spacing w:after="120"/>
      <w:contextualSpacing/>
    </w:pPr>
  </w:style>
  <w:style w:type="paragraph" w:styleId="ListBullet4">
    <w:name w:val="List Bullet 4"/>
    <w:basedOn w:val="Normal"/>
    <w:uiPriority w:val="99"/>
    <w:semiHidden/>
    <w:rsid w:val="00CA46EC"/>
    <w:pPr>
      <w:spacing w:after="120"/>
      <w:contextualSpacing/>
    </w:pPr>
  </w:style>
  <w:style w:type="table" w:styleId="TableGrid">
    <w:name w:val="Table Grid"/>
    <w:aliases w:val="INT_Glossary"/>
    <w:basedOn w:val="TableNormal"/>
    <w:uiPriority w:val="59"/>
    <w:rsid w:val="00306AE1"/>
    <w:pPr>
      <w:spacing w:after="0" w:line="240" w:lineRule="auto"/>
    </w:pPr>
    <w:tblPr>
      <w:tbl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insideH w:val="single" w:sz="4" w:space="0" w:color="B2B2B2" w:themeColor="background1" w:themeTint="99"/>
        <w:insideV w:val="single" w:sz="4" w:space="0" w:color="B2B2B2" w:themeColor="background1" w:themeTint="99"/>
      </w:tblBorders>
    </w:tblPr>
    <w:tcPr>
      <w:tcMar>
        <w:top w:w="28" w:type="dxa"/>
        <w:bottom w:w="28" w:type="dxa"/>
      </w:tcMar>
    </w:tcPr>
  </w:style>
  <w:style w:type="paragraph" w:customStyle="1" w:styleId="BasicParagraph">
    <w:name w:val="[Basic Paragraph]"/>
    <w:basedOn w:val="Normal"/>
    <w:uiPriority w:val="99"/>
    <w:rsid w:val="00EB34CF"/>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BodyText">
    <w:name w:val="Body Text"/>
    <w:basedOn w:val="Normal"/>
    <w:link w:val="BodyTextChar"/>
    <w:semiHidden/>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semiHidden/>
    <w:rsid w:val="00EE3D2F"/>
    <w:rPr>
      <w:rFonts w:eastAsia="Times New Roman" w:cs="Times New Roman"/>
      <w:szCs w:val="24"/>
      <w:lang w:eastAsia="en-AU"/>
    </w:rPr>
  </w:style>
  <w:style w:type="paragraph" w:styleId="TOCHeading">
    <w:name w:val="TOC Heading"/>
    <w:basedOn w:val="Heading1"/>
    <w:next w:val="Normal"/>
    <w:uiPriority w:val="39"/>
    <w:unhideWhenUsed/>
    <w:qFormat/>
    <w:rsid w:val="001366B1"/>
    <w:pPr>
      <w:keepNext/>
      <w:keepLines/>
      <w:spacing w:before="480" w:after="0" w:line="276" w:lineRule="auto"/>
      <w:contextualSpacing w:val="0"/>
      <w:outlineLvl w:val="9"/>
    </w:pPr>
    <w:rPr>
      <w:rFonts w:asciiTheme="majorHAnsi" w:hAnsiTheme="majorHAnsi"/>
      <w:color w:val="104165" w:themeColor="accent1" w:themeShade="BF"/>
      <w:sz w:val="28"/>
      <w:lang w:val="en-US" w:eastAsia="ja-JP"/>
    </w:rPr>
  </w:style>
  <w:style w:type="paragraph" w:styleId="BalloonText">
    <w:name w:val="Balloon Text"/>
    <w:basedOn w:val="Normal"/>
    <w:link w:val="BalloonTextChar"/>
    <w:uiPriority w:val="99"/>
    <w:semiHidden/>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D2F"/>
    <w:rPr>
      <w:rFonts w:ascii="Tahoma" w:hAnsi="Tahoma" w:cs="Tahoma"/>
      <w:sz w:val="16"/>
      <w:szCs w:val="16"/>
    </w:rPr>
  </w:style>
  <w:style w:type="character" w:customStyle="1" w:styleId="NoSpacingChar">
    <w:name w:val="No Spacing Char"/>
    <w:basedOn w:val="DefaultParagraphFont"/>
    <w:link w:val="NoSpacing"/>
    <w:uiPriority w:val="1"/>
    <w:semiHidden/>
    <w:rsid w:val="00EE3D2F"/>
  </w:style>
  <w:style w:type="paragraph" w:styleId="Header">
    <w:name w:val="header"/>
    <w:basedOn w:val="Normal"/>
    <w:link w:val="HeaderChar"/>
    <w:uiPriority w:val="99"/>
    <w:rsid w:val="00F92479"/>
    <w:pPr>
      <w:tabs>
        <w:tab w:val="center" w:pos="4513"/>
        <w:tab w:val="right" w:pos="9026"/>
      </w:tabs>
      <w:spacing w:after="0" w:line="240" w:lineRule="auto"/>
      <w:jc w:val="right"/>
    </w:pPr>
  </w:style>
  <w:style w:type="character" w:customStyle="1" w:styleId="HeaderChar">
    <w:name w:val="Header Char"/>
    <w:basedOn w:val="DefaultParagraphFont"/>
    <w:link w:val="Header"/>
    <w:uiPriority w:val="99"/>
    <w:rsid w:val="00EE3D2F"/>
  </w:style>
  <w:style w:type="paragraph" w:styleId="Caption">
    <w:name w:val="caption"/>
    <w:basedOn w:val="Heading4"/>
    <w:next w:val="Normal"/>
    <w:uiPriority w:val="35"/>
    <w:rsid w:val="00B2722A"/>
    <w:rPr>
      <w:i w:val="0"/>
    </w:rPr>
  </w:style>
  <w:style w:type="paragraph" w:customStyle="1" w:styleId="Source">
    <w:name w:val="Source"/>
    <w:basedOn w:val="Normal"/>
    <w:semiHidden/>
    <w:qFormat/>
    <w:rsid w:val="00B2722A"/>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HERNormal">
    <w:name w:val="HER_Normal"/>
    <w:basedOn w:val="Normal"/>
    <w:qFormat/>
    <w:rsid w:val="003A35B6"/>
    <w:rPr>
      <w:noProof/>
    </w:rPr>
  </w:style>
  <w:style w:type="paragraph" w:customStyle="1" w:styleId="HERTitle">
    <w:name w:val="HER_Title"/>
    <w:basedOn w:val="Normal"/>
    <w:qFormat/>
    <w:rsid w:val="006F778D"/>
    <w:pPr>
      <w:spacing w:before="1320" w:after="120" w:line="720" w:lineRule="exact"/>
      <w:contextualSpacing/>
    </w:pPr>
    <w:rPr>
      <w:rFonts w:ascii="Calibri" w:eastAsiaTheme="majorEastAsia" w:hAnsi="Calibri" w:cstheme="majorBidi"/>
      <w:b/>
      <w:color w:val="000000" w:themeColor="text1"/>
      <w:spacing w:val="5"/>
      <w:sz w:val="76"/>
      <w:szCs w:val="52"/>
    </w:rPr>
  </w:style>
  <w:style w:type="paragraph" w:customStyle="1" w:styleId="HERSubtitle">
    <w:name w:val="HER_Subtitle"/>
    <w:basedOn w:val="Normal"/>
    <w:qFormat/>
    <w:rsid w:val="00046FB5"/>
    <w:pPr>
      <w:spacing w:before="240" w:after="8280" w:line="400" w:lineRule="exact"/>
    </w:pPr>
    <w:rPr>
      <w:rFonts w:ascii="Calibri" w:eastAsiaTheme="majorEastAsia" w:hAnsi="Calibri" w:cstheme="majorBidi"/>
      <w:iCs/>
      <w:color w:val="000000" w:themeColor="text1"/>
      <w:spacing w:val="13"/>
      <w:sz w:val="42"/>
      <w:szCs w:val="24"/>
    </w:rPr>
  </w:style>
  <w:style w:type="paragraph" w:customStyle="1" w:styleId="HERDeleteText">
    <w:name w:val="HER_Delete Text"/>
    <w:basedOn w:val="Normal"/>
    <w:qFormat/>
    <w:rsid w:val="009470F1"/>
    <w:rPr>
      <w:color w:val="7030A0"/>
    </w:rPr>
  </w:style>
  <w:style w:type="paragraph" w:customStyle="1" w:styleId="HERHeading1">
    <w:name w:val="HER_Heading 1"/>
    <w:basedOn w:val="Heading1"/>
    <w:qFormat/>
    <w:rsid w:val="00154023"/>
    <w:pPr>
      <w:spacing w:before="240"/>
    </w:pPr>
    <w:rPr>
      <w:color w:val="5376A8"/>
    </w:rPr>
  </w:style>
  <w:style w:type="paragraph" w:customStyle="1" w:styleId="HERHeading2">
    <w:name w:val="HER_Heading 2"/>
    <w:basedOn w:val="Heading2"/>
    <w:qFormat/>
    <w:rsid w:val="003D23E9"/>
    <w:rPr>
      <w:color w:val="5376A8"/>
    </w:rPr>
  </w:style>
  <w:style w:type="paragraph" w:customStyle="1" w:styleId="HERHeading3">
    <w:name w:val="HER_Heading 3"/>
    <w:basedOn w:val="Heading3"/>
    <w:qFormat/>
    <w:rsid w:val="00EC7B82"/>
    <w:rPr>
      <w:sz w:val="25"/>
    </w:rPr>
  </w:style>
  <w:style w:type="paragraph" w:customStyle="1" w:styleId="HERHeading4FigureHeading">
    <w:name w:val="HER_Heading 4/Figure Heading"/>
    <w:basedOn w:val="Heading4"/>
    <w:qFormat/>
    <w:rsid w:val="000036D9"/>
  </w:style>
  <w:style w:type="paragraph" w:customStyle="1" w:styleId="HERHeading5">
    <w:name w:val="HER_Heading 5"/>
    <w:basedOn w:val="Heading5"/>
    <w:qFormat/>
    <w:rsid w:val="000036D9"/>
  </w:style>
  <w:style w:type="paragraph" w:customStyle="1" w:styleId="HERHeading6">
    <w:name w:val="HER_Heading 6"/>
    <w:basedOn w:val="Heading6"/>
    <w:qFormat/>
    <w:rsid w:val="000036D9"/>
  </w:style>
  <w:style w:type="paragraph" w:customStyle="1" w:styleId="HERListBullet">
    <w:name w:val="HER_List Bullet"/>
    <w:basedOn w:val="ListBullet"/>
    <w:qFormat/>
    <w:rsid w:val="003A35B6"/>
    <w:pPr>
      <w:spacing w:after="200"/>
    </w:pPr>
  </w:style>
  <w:style w:type="paragraph" w:customStyle="1" w:styleId="Style1">
    <w:name w:val="Style1"/>
    <w:basedOn w:val="Normal"/>
    <w:semiHidden/>
    <w:qFormat/>
    <w:rsid w:val="000036D9"/>
    <w:pPr>
      <w:numPr>
        <w:numId w:val="3"/>
      </w:numPr>
      <w:spacing w:after="120"/>
      <w:ind w:left="426" w:hanging="369"/>
      <w:contextualSpacing/>
    </w:pPr>
  </w:style>
  <w:style w:type="paragraph" w:customStyle="1" w:styleId="HERListBullet2">
    <w:name w:val="HER_List Bullet 2"/>
    <w:basedOn w:val="ListBullet2"/>
    <w:qFormat/>
    <w:rsid w:val="00EB34CF"/>
    <w:pPr>
      <w:spacing w:after="200"/>
    </w:pPr>
  </w:style>
  <w:style w:type="paragraph" w:customStyle="1" w:styleId="HERListNumber">
    <w:name w:val="HER_List Number"/>
    <w:basedOn w:val="ListNumber"/>
    <w:qFormat/>
    <w:rsid w:val="00537ABC"/>
    <w:pPr>
      <w:spacing w:after="200"/>
    </w:pPr>
  </w:style>
  <w:style w:type="paragraph" w:customStyle="1" w:styleId="HERListNumber2">
    <w:name w:val="HER_List Number 2"/>
    <w:basedOn w:val="ListNumber2"/>
    <w:qFormat/>
    <w:rsid w:val="00537ABC"/>
    <w:pPr>
      <w:spacing w:after="200"/>
    </w:pPr>
  </w:style>
  <w:style w:type="character" w:customStyle="1" w:styleId="HERBold">
    <w:name w:val="*HER_Bold"/>
    <w:basedOn w:val="Strong"/>
    <w:uiPriority w:val="1"/>
    <w:qFormat/>
    <w:rsid w:val="00B90820"/>
    <w:rPr>
      <w:b/>
      <w:bCs/>
    </w:rPr>
  </w:style>
  <w:style w:type="character" w:customStyle="1" w:styleId="HERBoldItalic">
    <w:name w:val="*HER_Bold Italic"/>
    <w:basedOn w:val="IntenseEmphasis"/>
    <w:uiPriority w:val="1"/>
    <w:qFormat/>
    <w:rsid w:val="00B90820"/>
    <w:rPr>
      <w:b/>
      <w:bCs/>
      <w:i/>
    </w:rPr>
  </w:style>
  <w:style w:type="character" w:customStyle="1" w:styleId="HERItalic">
    <w:name w:val="*HER_Italic"/>
    <w:basedOn w:val="Emphasis"/>
    <w:uiPriority w:val="1"/>
    <w:qFormat/>
    <w:rsid w:val="00DC4963"/>
    <w:rPr>
      <w:b w:val="0"/>
      <w:bCs/>
      <w:i/>
      <w:iCs/>
      <w:spacing w:val="0"/>
      <w:bdr w:val="none" w:sz="0" w:space="0" w:color="auto"/>
      <w:shd w:val="clear" w:color="auto" w:fill="auto"/>
    </w:rPr>
  </w:style>
  <w:style w:type="character" w:customStyle="1" w:styleId="HERHyperlink">
    <w:name w:val="*HER_Hyperlink"/>
    <w:basedOn w:val="DefaultParagraphFont"/>
    <w:uiPriority w:val="1"/>
    <w:qFormat/>
    <w:rsid w:val="00EC7B82"/>
    <w:rPr>
      <w:color w:val="5376A8"/>
      <w:u w:val="single"/>
    </w:rPr>
  </w:style>
  <w:style w:type="table" w:customStyle="1" w:styleId="Style2">
    <w:name w:val="Style2"/>
    <w:basedOn w:val="TableNormal"/>
    <w:uiPriority w:val="99"/>
    <w:rsid w:val="007D07D4"/>
    <w:pPr>
      <w:spacing w:after="0" w:line="240" w:lineRule="auto"/>
    </w:pPr>
    <w:tblPr/>
  </w:style>
  <w:style w:type="paragraph" w:customStyle="1" w:styleId="Heading2FeatureBox">
    <w:name w:val="Heading 2 Feature Box"/>
    <w:basedOn w:val="Heading2"/>
    <w:semiHidden/>
    <w:qFormat/>
    <w:rsid w:val="00B904AC"/>
    <w:pPr>
      <w:spacing w:line="240" w:lineRule="auto"/>
    </w:pPr>
  </w:style>
  <w:style w:type="paragraph" w:styleId="FootnoteText">
    <w:name w:val="footnote text"/>
    <w:basedOn w:val="Normal"/>
    <w:link w:val="FootnoteTextChar"/>
    <w:uiPriority w:val="99"/>
    <w:rsid w:val="005818AE"/>
    <w:pPr>
      <w:spacing w:after="0" w:line="240" w:lineRule="auto"/>
    </w:pPr>
    <w:rPr>
      <w:sz w:val="20"/>
      <w:szCs w:val="20"/>
    </w:rPr>
  </w:style>
  <w:style w:type="character" w:customStyle="1" w:styleId="FootnoteTextChar">
    <w:name w:val="Footnote Text Char"/>
    <w:basedOn w:val="DefaultParagraphFont"/>
    <w:link w:val="FootnoteText"/>
    <w:uiPriority w:val="99"/>
    <w:rsid w:val="00EE3D2F"/>
    <w:rPr>
      <w:sz w:val="20"/>
      <w:szCs w:val="20"/>
    </w:rPr>
  </w:style>
  <w:style w:type="character" w:styleId="FootnoteReference">
    <w:name w:val="footnote reference"/>
    <w:aliases w:val="(NECG) Footnote Reference"/>
    <w:basedOn w:val="DefaultParagraphFont"/>
    <w:uiPriority w:val="99"/>
    <w:rsid w:val="005818AE"/>
    <w:rPr>
      <w:vertAlign w:val="superscript"/>
    </w:rPr>
  </w:style>
  <w:style w:type="paragraph" w:styleId="TOC2">
    <w:name w:val="toc 2"/>
    <w:basedOn w:val="Normal"/>
    <w:next w:val="Normal"/>
    <w:autoRedefine/>
    <w:uiPriority w:val="39"/>
    <w:unhideWhenUsed/>
    <w:qFormat/>
    <w:rsid w:val="00C56F37"/>
    <w:pPr>
      <w:spacing w:after="100"/>
      <w:ind w:left="220"/>
    </w:pPr>
  </w:style>
  <w:style w:type="paragraph" w:styleId="TOC1">
    <w:name w:val="toc 1"/>
    <w:basedOn w:val="Normal"/>
    <w:next w:val="Normal"/>
    <w:autoRedefine/>
    <w:uiPriority w:val="39"/>
    <w:unhideWhenUsed/>
    <w:qFormat/>
    <w:rsid w:val="00C56F37"/>
    <w:pPr>
      <w:spacing w:after="100"/>
    </w:pPr>
  </w:style>
  <w:style w:type="paragraph" w:styleId="TOC3">
    <w:name w:val="toc 3"/>
    <w:basedOn w:val="Normal"/>
    <w:next w:val="Normal"/>
    <w:autoRedefine/>
    <w:uiPriority w:val="39"/>
    <w:unhideWhenUsed/>
    <w:qFormat/>
    <w:rsid w:val="00C56F37"/>
    <w:pPr>
      <w:spacing w:after="100"/>
      <w:ind w:left="440"/>
    </w:pPr>
  </w:style>
  <w:style w:type="character" w:styleId="Hyperlink">
    <w:name w:val="Hyperlink"/>
    <w:basedOn w:val="DefaultParagraphFont"/>
    <w:uiPriority w:val="99"/>
    <w:unhideWhenUsed/>
    <w:rsid w:val="00EC7B82"/>
    <w:rPr>
      <w:color w:val="5376A8"/>
      <w:u w:val="single"/>
    </w:rPr>
  </w:style>
  <w:style w:type="table" w:customStyle="1" w:styleId="Bluewithalternatingrows">
    <w:name w:val="Blue with alternating rows"/>
    <w:basedOn w:val="TableNormal"/>
    <w:uiPriority w:val="99"/>
    <w:rsid w:val="007D07D4"/>
    <w:pPr>
      <w:spacing w:after="0" w:line="240" w:lineRule="auto"/>
    </w:pPr>
    <w:tblPr>
      <w:tblStyleRowBandSize w:val="1"/>
      <w:tblCellMar>
        <w:top w:w="28" w:type="dxa"/>
        <w:bottom w:w="28" w:type="dxa"/>
      </w:tblCellMar>
    </w:tblPr>
    <w:tblStylePr w:type="firstRow">
      <w:rPr>
        <w:rFonts w:ascii="Calibri" w:hAnsi="Calibri"/>
        <w:b/>
        <w:color w:val="FFFFFF" w:themeColor="background2"/>
        <w:sz w:val="22"/>
      </w:rPr>
      <w:tblPr/>
      <w:tcPr>
        <w:shd w:val="clear" w:color="auto" w:fill="5376A8"/>
      </w:tcPr>
    </w:tblStylePr>
    <w:tblStylePr w:type="band2Horz">
      <w:tblPr/>
      <w:tcPr>
        <w:shd w:val="clear" w:color="auto" w:fill="DEE1EE"/>
      </w:tcPr>
    </w:tblStylePr>
  </w:style>
  <w:style w:type="table" w:customStyle="1" w:styleId="Pulloutboxes">
    <w:name w:val="Pull out boxes"/>
    <w:basedOn w:val="TableNormal"/>
    <w:uiPriority w:val="99"/>
    <w:rsid w:val="00610A0D"/>
    <w:pPr>
      <w:spacing w:before="120" w:after="120" w:line="240" w:lineRule="auto"/>
      <w:ind w:left="113" w:right="113"/>
    </w:pPr>
    <w:tblPr>
      <w:tblBorders>
        <w:top w:val="single" w:sz="4" w:space="0" w:color="5376A8"/>
        <w:left w:val="single" w:sz="4" w:space="0" w:color="5376A8"/>
        <w:bottom w:val="single" w:sz="4" w:space="0" w:color="5376A8"/>
        <w:right w:val="single" w:sz="4" w:space="0" w:color="5376A8"/>
      </w:tblBorders>
    </w:tblPr>
    <w:tcPr>
      <w:shd w:val="clear" w:color="auto" w:fill="DEE1EE"/>
    </w:tcPr>
  </w:style>
  <w:style w:type="table" w:customStyle="1" w:styleId="BlueTablenoshadedrows">
    <w:name w:val="Blue Table no shaded rows"/>
    <w:basedOn w:val="TableNormal"/>
    <w:uiPriority w:val="99"/>
    <w:rsid w:val="002D7A1F"/>
    <w:pPr>
      <w:spacing w:after="0" w:line="240" w:lineRule="auto"/>
    </w:pPr>
    <w:tblPr>
      <w:tblStyleRowBandSize w:val="1"/>
      <w:tblCellMar>
        <w:top w:w="28" w:type="dxa"/>
        <w:bottom w:w="28" w:type="dxa"/>
      </w:tblCellMar>
    </w:tblPr>
    <w:tblStylePr w:type="firstRow">
      <w:pPr>
        <w:jc w:val="left"/>
      </w:pPr>
      <w:rPr>
        <w:b/>
        <w:color w:val="FFFFFF" w:themeColor="background2"/>
      </w:rPr>
      <w:tblPr/>
      <w:tcPr>
        <w:shd w:val="clear" w:color="auto" w:fill="5376A8"/>
      </w:tcPr>
    </w:tblStylePr>
    <w:tblStylePr w:type="lastRow">
      <w:tblPr/>
      <w:tcPr>
        <w:tcBorders>
          <w:bottom w:val="single" w:sz="4" w:space="0" w:color="5376A8"/>
        </w:tcBorders>
      </w:tcPr>
    </w:tblStylePr>
  </w:style>
  <w:style w:type="paragraph" w:customStyle="1" w:styleId="HERDatePublished">
    <w:name w:val="HER_Date Published"/>
    <w:basedOn w:val="HERSubtitle"/>
    <w:qFormat/>
    <w:rsid w:val="00F1427C"/>
    <w:rPr>
      <w:b/>
      <w:sz w:val="34"/>
    </w:rPr>
  </w:style>
  <w:style w:type="paragraph" w:customStyle="1" w:styleId="HERNormalafterpulloutbox">
    <w:name w:val="HER_Normal after pull out box"/>
    <w:basedOn w:val="HERNormal"/>
    <w:qFormat/>
    <w:rsid w:val="00610A0D"/>
    <w:pPr>
      <w:spacing w:before="120"/>
    </w:pPr>
  </w:style>
  <w:style w:type="paragraph" w:styleId="EndnoteText">
    <w:name w:val="endnote text"/>
    <w:basedOn w:val="Normal"/>
    <w:link w:val="EndnoteTextChar"/>
    <w:uiPriority w:val="99"/>
    <w:rsid w:val="005668BB"/>
    <w:pPr>
      <w:spacing w:after="0" w:line="240" w:lineRule="auto"/>
    </w:pPr>
    <w:rPr>
      <w:sz w:val="20"/>
      <w:szCs w:val="20"/>
    </w:rPr>
  </w:style>
  <w:style w:type="character" w:customStyle="1" w:styleId="EndnoteTextChar">
    <w:name w:val="Endnote Text Char"/>
    <w:basedOn w:val="DefaultParagraphFont"/>
    <w:link w:val="EndnoteText"/>
    <w:uiPriority w:val="99"/>
    <w:rsid w:val="005668BB"/>
    <w:rPr>
      <w:sz w:val="20"/>
      <w:szCs w:val="20"/>
    </w:rPr>
  </w:style>
  <w:style w:type="character" w:styleId="EndnoteReference">
    <w:name w:val="endnote reference"/>
    <w:basedOn w:val="DefaultParagraphFont"/>
    <w:uiPriority w:val="99"/>
    <w:semiHidden/>
    <w:rsid w:val="005668BB"/>
    <w:rPr>
      <w:vertAlign w:val="superscript"/>
    </w:rPr>
  </w:style>
  <w:style w:type="paragraph" w:customStyle="1" w:styleId="HEREndnotes">
    <w:name w:val="HER_Endnotes"/>
    <w:basedOn w:val="HERNormal"/>
    <w:qFormat/>
    <w:rsid w:val="00EB039D"/>
    <w:rPr>
      <w:sz w:val="18"/>
    </w:rPr>
  </w:style>
  <w:style w:type="paragraph" w:styleId="NormalWeb">
    <w:name w:val="Normal (Web)"/>
    <w:basedOn w:val="Normal"/>
    <w:uiPriority w:val="99"/>
    <w:semiHidden/>
    <w:unhideWhenUsed/>
    <w:rsid w:val="00B04C2F"/>
    <w:pPr>
      <w:spacing w:before="240" w:after="240" w:line="240" w:lineRule="auto"/>
    </w:pPr>
    <w:rPr>
      <w:rFonts w:ascii="Times New Roman" w:eastAsia="Times New Roman" w:hAnsi="Times New Roman" w:cs="Times New Roman"/>
      <w:sz w:val="24"/>
      <w:szCs w:val="24"/>
      <w:lang w:eastAsia="en-AU"/>
    </w:rPr>
  </w:style>
  <w:style w:type="character" w:customStyle="1" w:styleId="ListParagraphChar">
    <w:name w:val="List Paragraph Char"/>
    <w:aliases w:val="L Char,List Paragraph1 Char,List Paragraph11 Char,Recommendation Char,bullet point list Char,Bullet point Char,DDM Gen Text Char,List Paragraph - bullets Char,NFP GP Bulleted List Char,List Paragraph Number Char,0Bullet Char"/>
    <w:basedOn w:val="DefaultParagraphFont"/>
    <w:link w:val="ListParagraph"/>
    <w:uiPriority w:val="34"/>
    <w:locked/>
    <w:rsid w:val="00B04C2F"/>
  </w:style>
  <w:style w:type="character" w:customStyle="1" w:styleId="lexicon-term">
    <w:name w:val="lexicon-term"/>
    <w:basedOn w:val="DefaultParagraphFont"/>
    <w:rsid w:val="00B04C2F"/>
    <w:rPr>
      <w:strike w:val="0"/>
      <w:dstrike w:val="0"/>
      <w:u w:val="none"/>
      <w:effect w:val="none"/>
    </w:rPr>
  </w:style>
  <w:style w:type="character" w:styleId="CommentReference">
    <w:name w:val="annotation reference"/>
    <w:basedOn w:val="DefaultParagraphFont"/>
    <w:uiPriority w:val="99"/>
    <w:semiHidden/>
    <w:rsid w:val="00B04C2F"/>
    <w:rPr>
      <w:sz w:val="16"/>
      <w:szCs w:val="16"/>
    </w:rPr>
  </w:style>
  <w:style w:type="paragraph" w:styleId="CommentText">
    <w:name w:val="annotation text"/>
    <w:basedOn w:val="Normal"/>
    <w:link w:val="CommentTextChar"/>
    <w:uiPriority w:val="99"/>
    <w:semiHidden/>
    <w:rsid w:val="00B04C2F"/>
    <w:pPr>
      <w:spacing w:line="240" w:lineRule="auto"/>
    </w:pPr>
    <w:rPr>
      <w:sz w:val="20"/>
      <w:szCs w:val="20"/>
    </w:rPr>
  </w:style>
  <w:style w:type="character" w:customStyle="1" w:styleId="CommentTextChar">
    <w:name w:val="Comment Text Char"/>
    <w:basedOn w:val="DefaultParagraphFont"/>
    <w:link w:val="CommentText"/>
    <w:uiPriority w:val="99"/>
    <w:semiHidden/>
    <w:rsid w:val="00B04C2F"/>
    <w:rPr>
      <w:sz w:val="20"/>
      <w:szCs w:val="20"/>
    </w:rPr>
  </w:style>
  <w:style w:type="paragraph" w:styleId="CommentSubject">
    <w:name w:val="annotation subject"/>
    <w:basedOn w:val="CommentText"/>
    <w:next w:val="CommentText"/>
    <w:link w:val="CommentSubjectChar"/>
    <w:uiPriority w:val="99"/>
    <w:semiHidden/>
    <w:rsid w:val="00B04C2F"/>
    <w:rPr>
      <w:b/>
      <w:bCs/>
    </w:rPr>
  </w:style>
  <w:style w:type="character" w:customStyle="1" w:styleId="CommentSubjectChar">
    <w:name w:val="Comment Subject Char"/>
    <w:basedOn w:val="CommentTextChar"/>
    <w:link w:val="CommentSubject"/>
    <w:uiPriority w:val="99"/>
    <w:semiHidden/>
    <w:rsid w:val="00B04C2F"/>
    <w:rPr>
      <w:b/>
      <w:bCs/>
      <w:sz w:val="20"/>
      <w:szCs w:val="20"/>
    </w:rPr>
  </w:style>
  <w:style w:type="paragraph" w:customStyle="1" w:styleId="Rectextwithspace">
    <w:name w:val="Rec text with space"/>
    <w:basedOn w:val="Normal"/>
    <w:link w:val="RectextwithspaceChar"/>
    <w:qFormat/>
    <w:rsid w:val="00B04C2F"/>
    <w:pPr>
      <w:shd w:val="clear" w:color="auto" w:fill="F5EAD8" w:themeFill="accent5" w:themeFillTint="33"/>
      <w:spacing w:line="240" w:lineRule="auto"/>
    </w:pPr>
    <w:rPr>
      <w:rFonts w:eastAsiaTheme="minorHAnsi"/>
    </w:rPr>
  </w:style>
  <w:style w:type="character" w:customStyle="1" w:styleId="RectextwithspaceChar">
    <w:name w:val="Rec text with space Char"/>
    <w:basedOn w:val="DefaultParagraphFont"/>
    <w:link w:val="Rectextwithspace"/>
    <w:rsid w:val="00B04C2F"/>
    <w:rPr>
      <w:rFonts w:eastAsiaTheme="minorHAnsi"/>
      <w:shd w:val="clear" w:color="auto" w:fill="F5EAD8" w:themeFill="accent5" w:themeFillTint="33"/>
    </w:rPr>
  </w:style>
  <w:style w:type="paragraph" w:customStyle="1" w:styleId="Default">
    <w:name w:val="Default"/>
    <w:rsid w:val="00B04C2F"/>
    <w:pPr>
      <w:autoSpaceDE w:val="0"/>
      <w:autoSpaceDN w:val="0"/>
      <w:adjustRightInd w:val="0"/>
      <w:spacing w:after="0" w:line="240" w:lineRule="auto"/>
    </w:pPr>
    <w:rPr>
      <w:rFonts w:ascii="Calibri" w:eastAsiaTheme="minorHAnsi" w:hAnsi="Calibri" w:cs="Calibri"/>
      <w:color w:val="000000"/>
      <w:sz w:val="24"/>
      <w:szCs w:val="24"/>
    </w:rPr>
  </w:style>
  <w:style w:type="paragraph" w:customStyle="1" w:styleId="gmail-msonormal">
    <w:name w:val="gmail-msonormal"/>
    <w:basedOn w:val="Normal"/>
    <w:uiPriority w:val="99"/>
    <w:rsid w:val="00B04C2F"/>
    <w:pPr>
      <w:spacing w:before="100" w:beforeAutospacing="1" w:after="100" w:afterAutospacing="1" w:line="240" w:lineRule="auto"/>
    </w:pPr>
    <w:rPr>
      <w:rFonts w:ascii="Times New Roman" w:eastAsiaTheme="minorHAnsi" w:hAnsi="Times New Roman" w:cs="Times New Roman"/>
      <w:sz w:val="24"/>
      <w:szCs w:val="24"/>
      <w:lang w:eastAsia="en-AU"/>
    </w:rPr>
  </w:style>
  <w:style w:type="paragraph" w:customStyle="1" w:styleId="gmail-msolistparagraph">
    <w:name w:val="gmail-msolistparagraph"/>
    <w:basedOn w:val="Normal"/>
    <w:uiPriority w:val="99"/>
    <w:rsid w:val="00B04C2F"/>
    <w:pPr>
      <w:spacing w:before="100" w:beforeAutospacing="1" w:after="100" w:afterAutospacing="1" w:line="240" w:lineRule="auto"/>
    </w:pPr>
    <w:rPr>
      <w:rFonts w:ascii="Times New Roman" w:eastAsiaTheme="minorHAnsi" w:hAnsi="Times New Roman" w:cs="Times New Roman"/>
      <w:sz w:val="24"/>
      <w:szCs w:val="24"/>
      <w:lang w:eastAsia="en-AU"/>
    </w:rPr>
  </w:style>
  <w:style w:type="paragraph" w:styleId="Revision">
    <w:name w:val="Revision"/>
    <w:hidden/>
    <w:uiPriority w:val="99"/>
    <w:semiHidden/>
    <w:rsid w:val="00B04C2F"/>
    <w:pPr>
      <w:spacing w:after="0" w:line="240" w:lineRule="auto"/>
    </w:pPr>
    <w:rPr>
      <w:rFonts w:eastAsiaTheme="minorHAnsi"/>
    </w:rPr>
  </w:style>
  <w:style w:type="paragraph" w:customStyle="1" w:styleId="subsection">
    <w:name w:val="subsection"/>
    <w:aliases w:val="ss"/>
    <w:basedOn w:val="Normal"/>
    <w:link w:val="subsectionChar"/>
    <w:rsid w:val="00B04C2F"/>
    <w:pPr>
      <w:tabs>
        <w:tab w:val="right" w:pos="1021"/>
      </w:tabs>
      <w:spacing w:before="180" w:after="0" w:line="240" w:lineRule="auto"/>
      <w:ind w:left="1134" w:hanging="1134"/>
    </w:pPr>
    <w:rPr>
      <w:rFonts w:ascii="Times New Roman" w:eastAsia="Times New Roman" w:hAnsi="Times New Roman" w:cs="Times New Roman"/>
      <w:szCs w:val="20"/>
      <w:lang w:eastAsia="en-AU"/>
    </w:rPr>
  </w:style>
  <w:style w:type="character" w:customStyle="1" w:styleId="subsectionChar">
    <w:name w:val="subsection Char"/>
    <w:aliases w:val="ss Char"/>
    <w:basedOn w:val="DefaultParagraphFont"/>
    <w:link w:val="subsection"/>
    <w:rsid w:val="00B04C2F"/>
    <w:rPr>
      <w:rFonts w:ascii="Times New Roman" w:eastAsia="Times New Roman" w:hAnsi="Times New Roman" w:cs="Times New Roman"/>
      <w:szCs w:val="20"/>
      <w:lang w:eastAsia="en-AU"/>
    </w:rPr>
  </w:style>
  <w:style w:type="character" w:styleId="HTMLAcronym">
    <w:name w:val="HTML Acronym"/>
    <w:basedOn w:val="DefaultParagraphFont"/>
    <w:uiPriority w:val="99"/>
    <w:semiHidden/>
    <w:unhideWhenUsed/>
    <w:rsid w:val="00B04C2F"/>
  </w:style>
  <w:style w:type="character" w:styleId="PageNumber">
    <w:name w:val="page number"/>
    <w:basedOn w:val="DefaultParagraphFont"/>
    <w:uiPriority w:val="99"/>
    <w:semiHidden/>
    <w:unhideWhenUsed/>
    <w:rsid w:val="00B04C2F"/>
  </w:style>
  <w:style w:type="paragraph" w:styleId="TOC4">
    <w:name w:val="toc 4"/>
    <w:basedOn w:val="Normal"/>
    <w:next w:val="Normal"/>
    <w:autoRedefine/>
    <w:uiPriority w:val="39"/>
    <w:unhideWhenUsed/>
    <w:rsid w:val="00B04C2F"/>
    <w:pPr>
      <w:spacing w:after="0"/>
      <w:ind w:left="660"/>
    </w:pPr>
    <w:rPr>
      <w:rFonts w:eastAsiaTheme="minorHAnsi" w:cstheme="minorHAnsi"/>
      <w:sz w:val="20"/>
      <w:szCs w:val="20"/>
    </w:rPr>
  </w:style>
  <w:style w:type="paragraph" w:styleId="TOC5">
    <w:name w:val="toc 5"/>
    <w:basedOn w:val="Normal"/>
    <w:next w:val="Normal"/>
    <w:autoRedefine/>
    <w:uiPriority w:val="39"/>
    <w:unhideWhenUsed/>
    <w:rsid w:val="00B04C2F"/>
    <w:pPr>
      <w:spacing w:after="0"/>
      <w:ind w:left="880"/>
    </w:pPr>
    <w:rPr>
      <w:rFonts w:eastAsiaTheme="minorHAnsi" w:cstheme="minorHAnsi"/>
      <w:sz w:val="20"/>
      <w:szCs w:val="20"/>
    </w:rPr>
  </w:style>
  <w:style w:type="paragraph" w:styleId="TOC6">
    <w:name w:val="toc 6"/>
    <w:basedOn w:val="Normal"/>
    <w:next w:val="Normal"/>
    <w:autoRedefine/>
    <w:uiPriority w:val="39"/>
    <w:unhideWhenUsed/>
    <w:rsid w:val="00B04C2F"/>
    <w:pPr>
      <w:spacing w:after="0"/>
      <w:ind w:left="1100"/>
    </w:pPr>
    <w:rPr>
      <w:rFonts w:eastAsiaTheme="minorHAnsi" w:cstheme="minorHAnsi"/>
      <w:sz w:val="20"/>
      <w:szCs w:val="20"/>
    </w:rPr>
  </w:style>
  <w:style w:type="paragraph" w:styleId="TOC7">
    <w:name w:val="toc 7"/>
    <w:basedOn w:val="Normal"/>
    <w:next w:val="Normal"/>
    <w:autoRedefine/>
    <w:uiPriority w:val="39"/>
    <w:unhideWhenUsed/>
    <w:rsid w:val="00B04C2F"/>
    <w:pPr>
      <w:spacing w:after="0"/>
      <w:ind w:left="1320"/>
    </w:pPr>
    <w:rPr>
      <w:rFonts w:eastAsiaTheme="minorHAnsi" w:cstheme="minorHAnsi"/>
      <w:sz w:val="20"/>
      <w:szCs w:val="20"/>
    </w:rPr>
  </w:style>
  <w:style w:type="paragraph" w:styleId="TOC8">
    <w:name w:val="toc 8"/>
    <w:basedOn w:val="Normal"/>
    <w:next w:val="Normal"/>
    <w:autoRedefine/>
    <w:uiPriority w:val="39"/>
    <w:unhideWhenUsed/>
    <w:rsid w:val="00B04C2F"/>
    <w:pPr>
      <w:spacing w:after="0"/>
      <w:ind w:left="1540"/>
    </w:pPr>
    <w:rPr>
      <w:rFonts w:eastAsiaTheme="minorHAnsi" w:cstheme="minorHAnsi"/>
      <w:sz w:val="20"/>
      <w:szCs w:val="20"/>
    </w:rPr>
  </w:style>
  <w:style w:type="paragraph" w:styleId="TOC9">
    <w:name w:val="toc 9"/>
    <w:basedOn w:val="Normal"/>
    <w:next w:val="Normal"/>
    <w:autoRedefine/>
    <w:uiPriority w:val="39"/>
    <w:unhideWhenUsed/>
    <w:rsid w:val="00B04C2F"/>
    <w:pPr>
      <w:spacing w:after="0"/>
      <w:ind w:left="1760"/>
    </w:pPr>
    <w:rPr>
      <w:rFonts w:eastAsiaTheme="minorHAnsi" w:cstheme="minorHAnsi"/>
      <w:sz w:val="20"/>
      <w:szCs w:val="20"/>
    </w:rPr>
  </w:style>
  <w:style w:type="table" w:customStyle="1" w:styleId="TableGrid2">
    <w:name w:val="Table Grid2"/>
    <w:basedOn w:val="TableNormal"/>
    <w:next w:val="TableGrid"/>
    <w:uiPriority w:val="59"/>
    <w:rsid w:val="00B04C2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TBHeading">
    <w:name w:val="QTBHeading"/>
    <w:basedOn w:val="Normal"/>
    <w:rsid w:val="00B04C2F"/>
    <w:pPr>
      <w:spacing w:after="240" w:line="240" w:lineRule="auto"/>
    </w:pPr>
    <w:rPr>
      <w:rFonts w:ascii="Garamond" w:eastAsia="Times New Roman" w:hAnsi="Garamond" w:cs="Times New Roman"/>
      <w:b/>
      <w:caps/>
      <w:sz w:val="28"/>
      <w:szCs w:val="20"/>
      <w:lang w:eastAsia="en-AU"/>
    </w:rPr>
  </w:style>
  <w:style w:type="paragraph" w:styleId="Title">
    <w:name w:val="Title"/>
    <w:basedOn w:val="Normal"/>
    <w:next w:val="Normal"/>
    <w:link w:val="TitleChar"/>
    <w:uiPriority w:val="10"/>
    <w:qFormat/>
    <w:rsid w:val="00B04C2F"/>
    <w:pPr>
      <w:jc w:val="center"/>
    </w:pPr>
    <w:rPr>
      <w:rFonts w:eastAsiaTheme="minorHAnsi"/>
      <w:b/>
      <w:sz w:val="40"/>
    </w:rPr>
  </w:style>
  <w:style w:type="character" w:customStyle="1" w:styleId="TitleChar">
    <w:name w:val="Title Char"/>
    <w:basedOn w:val="DefaultParagraphFont"/>
    <w:link w:val="Title"/>
    <w:uiPriority w:val="10"/>
    <w:rsid w:val="00B04C2F"/>
    <w:rPr>
      <w:rFonts w:eastAsiaTheme="minorHAnsi"/>
      <w:b/>
      <w:sz w:val="40"/>
    </w:rPr>
  </w:style>
  <w:style w:type="paragraph" w:styleId="Subtitle">
    <w:name w:val="Subtitle"/>
    <w:basedOn w:val="Normal"/>
    <w:next w:val="Normal"/>
    <w:link w:val="SubtitleChar"/>
    <w:uiPriority w:val="11"/>
    <w:qFormat/>
    <w:rsid w:val="00B04C2F"/>
    <w:pPr>
      <w:jc w:val="center"/>
    </w:pPr>
    <w:rPr>
      <w:rFonts w:eastAsiaTheme="minorHAnsi"/>
      <w:b/>
      <w:sz w:val="40"/>
    </w:rPr>
  </w:style>
  <w:style w:type="character" w:customStyle="1" w:styleId="SubtitleChar">
    <w:name w:val="Subtitle Char"/>
    <w:basedOn w:val="DefaultParagraphFont"/>
    <w:link w:val="Subtitle"/>
    <w:uiPriority w:val="11"/>
    <w:rsid w:val="00B04C2F"/>
    <w:rPr>
      <w:rFonts w:eastAsiaTheme="minorHAnsi"/>
      <w:b/>
      <w:sz w:val="40"/>
    </w:rPr>
  </w:style>
  <w:style w:type="paragraph" w:customStyle="1" w:styleId="Recommendationwithspace">
    <w:name w:val="Recommendation with space"/>
    <w:basedOn w:val="Heading3"/>
    <w:link w:val="RecommendationwithspaceChar"/>
    <w:qFormat/>
    <w:rsid w:val="00B04C2F"/>
    <w:pPr>
      <w:keepNext/>
      <w:keepLines/>
      <w:pBdr>
        <w:top w:val="single" w:sz="48" w:space="1" w:color="7F7F7F" w:themeColor="background1"/>
      </w:pBdr>
      <w:shd w:val="clear" w:color="auto" w:fill="F5EAD8" w:themeFill="accent5" w:themeFillTint="33"/>
    </w:pPr>
    <w:rPr>
      <w:rFonts w:asciiTheme="majorHAnsi" w:hAnsiTheme="majorHAnsi"/>
      <w:color w:val="000000" w:themeColor="text1"/>
    </w:rPr>
  </w:style>
  <w:style w:type="character" w:customStyle="1" w:styleId="RecommendationwithspaceChar">
    <w:name w:val="Recommendation with space Char"/>
    <w:basedOn w:val="Heading3Char"/>
    <w:link w:val="Recommendationwithspace"/>
    <w:rsid w:val="00B04C2F"/>
    <w:rPr>
      <w:rFonts w:asciiTheme="majorHAnsi" w:eastAsiaTheme="majorEastAsia" w:hAnsiTheme="majorHAnsi" w:cstheme="majorBidi"/>
      <w:b/>
      <w:bCs/>
      <w:color w:val="000000" w:themeColor="text1"/>
      <w:shd w:val="clear" w:color="auto" w:fill="F5EAD8" w:themeFill="accent5" w:themeFillTint="33"/>
    </w:rPr>
  </w:style>
  <w:style w:type="character" w:styleId="FollowedHyperlink">
    <w:name w:val="FollowedHyperlink"/>
    <w:basedOn w:val="DefaultParagraphFont"/>
    <w:uiPriority w:val="99"/>
    <w:semiHidden/>
    <w:unhideWhenUsed/>
    <w:rsid w:val="00B04C2F"/>
    <w:rPr>
      <w:color w:val="000000" w:themeColor="followedHyperlink"/>
      <w:u w:val="single"/>
    </w:rPr>
  </w:style>
  <w:style w:type="paragraph" w:customStyle="1" w:styleId="Numberheading">
    <w:name w:val="Number heading"/>
    <w:basedOn w:val="Heading2"/>
    <w:next w:val="Normal"/>
    <w:link w:val="NumberheadingChar"/>
    <w:qFormat/>
    <w:rsid w:val="00F0165C"/>
    <w:pPr>
      <w:keepNext/>
      <w:keepLines/>
      <w:numPr>
        <w:numId w:val="23"/>
      </w:numPr>
      <w:autoSpaceDE w:val="0"/>
      <w:autoSpaceDN w:val="0"/>
      <w:adjustRightInd w:val="0"/>
      <w:spacing w:before="120" w:after="120" w:line="240" w:lineRule="auto"/>
    </w:pPr>
    <w:rPr>
      <w:rFonts w:eastAsiaTheme="minorEastAsia" w:cs="Times New Roman"/>
      <w:color w:val="C00000"/>
      <w:sz w:val="26"/>
      <w:lang w:val="en-US"/>
    </w:rPr>
  </w:style>
  <w:style w:type="character" w:customStyle="1" w:styleId="NumberheadingChar">
    <w:name w:val="Number heading Char"/>
    <w:basedOn w:val="DefaultParagraphFont"/>
    <w:link w:val="Numberheading"/>
    <w:rsid w:val="00F0165C"/>
    <w:rPr>
      <w:rFonts w:ascii="Calibri" w:hAnsi="Calibri" w:cs="Times New Roman"/>
      <w:b/>
      <w:bCs/>
      <w:color w:val="C00000"/>
      <w:sz w:val="26"/>
      <w:szCs w:val="26"/>
      <w:lang w:val="en-US"/>
    </w:rPr>
  </w:style>
  <w:style w:type="paragraph" w:customStyle="1" w:styleId="Indentpara">
    <w:name w:val="Indent para"/>
    <w:basedOn w:val="Normal"/>
    <w:qFormat/>
    <w:rsid w:val="00F0165C"/>
    <w:pPr>
      <w:spacing w:before="120" w:after="120" w:line="260" w:lineRule="exact"/>
      <w:ind w:left="720"/>
    </w:pPr>
    <w:rPr>
      <w:rFonts w:ascii="Calibri" w:eastAsia="Times New Roman" w:hAnsi="Calibri" w:cs="Times New Roman"/>
      <w:szCs w:val="24"/>
      <w:lang w:val="en-US" w:eastAsia="en-AU"/>
    </w:rPr>
  </w:style>
  <w:style w:type="paragraph" w:customStyle="1" w:styleId="numberpara">
    <w:name w:val="number para"/>
    <w:basedOn w:val="ListParagraph"/>
    <w:link w:val="numberparaChar"/>
    <w:qFormat/>
    <w:rsid w:val="00F0165C"/>
    <w:pPr>
      <w:numPr>
        <w:numId w:val="24"/>
      </w:numPr>
      <w:autoSpaceDE w:val="0"/>
      <w:autoSpaceDN w:val="0"/>
      <w:adjustRightInd w:val="0"/>
      <w:spacing w:before="120" w:after="120" w:line="240" w:lineRule="auto"/>
      <w:contextualSpacing w:val="0"/>
    </w:pPr>
    <w:rPr>
      <w:rFonts w:eastAsia="Times New Roman" w:cs="Times New Roman"/>
      <w:szCs w:val="24"/>
      <w:lang w:eastAsia="en-AU"/>
    </w:rPr>
  </w:style>
  <w:style w:type="character" w:customStyle="1" w:styleId="numberparaChar">
    <w:name w:val="number para Char"/>
    <w:basedOn w:val="ListParagraphChar"/>
    <w:link w:val="numberpara"/>
    <w:rsid w:val="00F0165C"/>
    <w:rPr>
      <w:rFonts w:eastAsia="Times New Roman" w:cs="Times New Roman"/>
      <w:szCs w:val="24"/>
      <w:lang w:eastAsia="en-AU"/>
    </w:rPr>
  </w:style>
  <w:style w:type="paragraph" w:customStyle="1" w:styleId="numberpara2">
    <w:name w:val="number para 2"/>
    <w:basedOn w:val="numberpara"/>
    <w:link w:val="numberpara2Char"/>
    <w:qFormat/>
    <w:rsid w:val="00F0165C"/>
    <w:pPr>
      <w:numPr>
        <w:ilvl w:val="1"/>
      </w:numPr>
    </w:pPr>
  </w:style>
  <w:style w:type="character" w:customStyle="1" w:styleId="numberpara2Char">
    <w:name w:val="number para 2 Char"/>
    <w:basedOn w:val="numberparaChar"/>
    <w:link w:val="numberpara2"/>
    <w:rsid w:val="00F0165C"/>
    <w:rPr>
      <w:rFonts w:eastAsia="Times New Roman" w:cs="Times New Roman"/>
      <w:szCs w:val="24"/>
      <w:lang w:eastAsia="en-AU"/>
    </w:rPr>
  </w:style>
  <w:style w:type="character" w:customStyle="1" w:styleId="st1">
    <w:name w:val="st1"/>
    <w:basedOn w:val="DefaultParagraphFont"/>
    <w:rsid w:val="002466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w:unhideWhenUsed="0"/>
    <w:lsdException w:name="List 2" w:unhideWhenUsed="0"/>
    <w:lsdException w:name="List 3" w:unhideWhenUsed="0"/>
    <w:lsdException w:name="List 4" w:unhideWhenUsed="0"/>
    <w:lsdException w:name="List 5" w:unhideWhenUsed="0"/>
    <w:lsdException w:name="List Bullet 5" w:unhideWhenUsed="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nhideWhenUsed="0"/>
    <w:lsdException w:name="Body Text Indent 2" w:unhideWhenUsed="0"/>
    <w:lsdException w:name="Body Text Indent 3" w:unhideWhenUsed="0"/>
    <w:lsdException w:name="Block Text"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unhideWhenUsed="0"/>
    <w:lsdException w:name="TOC Heading" w:uiPriority="39" w:qFormat="1"/>
  </w:latentStyles>
  <w:style w:type="paragraph" w:default="1" w:styleId="Normal">
    <w:name w:val="Normal"/>
    <w:semiHidden/>
    <w:qFormat/>
    <w:rsid w:val="006E10EC"/>
  </w:style>
  <w:style w:type="paragraph" w:styleId="Heading1">
    <w:name w:val="heading 1"/>
    <w:basedOn w:val="Normal"/>
    <w:next w:val="Normal"/>
    <w:link w:val="Heading1Char"/>
    <w:uiPriority w:val="9"/>
    <w:qFormat/>
    <w:rsid w:val="003166C5"/>
    <w:pPr>
      <w:spacing w:after="240" w:line="240" w:lineRule="auto"/>
      <w:contextualSpacing/>
      <w:outlineLvl w:val="0"/>
    </w:pPr>
    <w:rPr>
      <w:rFonts w:ascii="Calibri" w:eastAsiaTheme="majorEastAsia" w:hAnsi="Calibri" w:cstheme="majorBidi"/>
      <w:b/>
      <w:bCs/>
      <w:color w:val="000000" w:themeColor="text1"/>
      <w:sz w:val="36"/>
      <w:szCs w:val="28"/>
    </w:rPr>
  </w:style>
  <w:style w:type="paragraph" w:styleId="Heading2">
    <w:name w:val="heading 2"/>
    <w:basedOn w:val="Normal"/>
    <w:next w:val="Normal"/>
    <w:link w:val="Heading2Char"/>
    <w:uiPriority w:val="9"/>
    <w:qFormat/>
    <w:rsid w:val="00A31242"/>
    <w:pPr>
      <w:spacing w:before="200" w:after="0"/>
      <w:outlineLvl w:val="1"/>
    </w:pPr>
    <w:rPr>
      <w:rFonts w:ascii="Calibri" w:eastAsiaTheme="majorEastAsia" w:hAnsi="Calibri" w:cstheme="majorBidi"/>
      <w:b/>
      <w:bCs/>
      <w:sz w:val="28"/>
      <w:szCs w:val="26"/>
    </w:rPr>
  </w:style>
  <w:style w:type="paragraph" w:styleId="Heading3">
    <w:name w:val="heading 3"/>
    <w:basedOn w:val="Normal"/>
    <w:next w:val="Normal"/>
    <w:link w:val="Heading3Char"/>
    <w:uiPriority w:val="9"/>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semiHidden/>
    <w:qFormat/>
    <w:rsid w:val="00DC4963"/>
    <w:rPr>
      <w:b w:val="0"/>
      <w:bCs/>
      <w:i/>
      <w:iCs/>
      <w:spacing w:val="0"/>
      <w:bdr w:val="none" w:sz="0" w:space="0" w:color="auto"/>
      <w:shd w:val="clear" w:color="auto" w:fill="auto"/>
    </w:rPr>
  </w:style>
  <w:style w:type="character" w:styleId="BookTitle">
    <w:name w:val="Book Title"/>
    <w:uiPriority w:val="33"/>
    <w:semiHidden/>
    <w:qFormat/>
    <w:rsid w:val="009116EA"/>
    <w:rPr>
      <w:i/>
      <w:iCs/>
      <w:caps w:val="0"/>
      <w:smallCaps w:val="0"/>
      <w:spacing w:val="5"/>
    </w:rPr>
  </w:style>
  <w:style w:type="paragraph" w:styleId="Quote">
    <w:name w:val="Quote"/>
    <w:basedOn w:val="Normal"/>
    <w:next w:val="Normal"/>
    <w:link w:val="QuoteChar"/>
    <w:uiPriority w:val="29"/>
    <w:semiHidden/>
    <w:qFormat/>
    <w:rsid w:val="00C05E74"/>
    <w:pPr>
      <w:spacing w:after="120"/>
      <w:ind w:left="369" w:right="369"/>
    </w:pPr>
    <w:rPr>
      <w:i/>
      <w:iCs/>
    </w:rPr>
  </w:style>
  <w:style w:type="character" w:customStyle="1" w:styleId="QuoteChar">
    <w:name w:val="Quote Char"/>
    <w:basedOn w:val="DefaultParagraphFont"/>
    <w:link w:val="Quote"/>
    <w:uiPriority w:val="29"/>
    <w:semiHidden/>
    <w:rsid w:val="00EE3D2F"/>
    <w:rPr>
      <w:i/>
      <w:iCs/>
    </w:rPr>
  </w:style>
  <w:style w:type="character" w:customStyle="1" w:styleId="Heading1Char">
    <w:name w:val="Heading 1 Char"/>
    <w:basedOn w:val="DefaultParagraphFont"/>
    <w:link w:val="Heading1"/>
    <w:uiPriority w:val="9"/>
    <w:rsid w:val="00EE3D2F"/>
    <w:rPr>
      <w:rFonts w:ascii="Calibri" w:eastAsiaTheme="majorEastAsia" w:hAnsi="Calibri" w:cstheme="majorBidi"/>
      <w:b/>
      <w:bCs/>
      <w:color w:val="000000" w:themeColor="text1"/>
      <w:sz w:val="36"/>
      <w:szCs w:val="28"/>
    </w:rPr>
  </w:style>
  <w:style w:type="character" w:customStyle="1" w:styleId="Heading2Char">
    <w:name w:val="Heading 2 Char"/>
    <w:basedOn w:val="DefaultParagraphFont"/>
    <w:link w:val="Heading2"/>
    <w:uiPriority w:val="9"/>
    <w:rsid w:val="00EE3D2F"/>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EE3D2F"/>
    <w:rPr>
      <w:rFonts w:ascii="Calibri" w:eastAsiaTheme="majorEastAsia" w:hAnsi="Calibri" w:cstheme="majorBidi"/>
      <w:b/>
      <w:bCs/>
    </w:rPr>
  </w:style>
  <w:style w:type="character" w:customStyle="1" w:styleId="Heading4Char">
    <w:name w:val="Heading 4 Char"/>
    <w:basedOn w:val="DefaultParagraphFont"/>
    <w:link w:val="Heading4"/>
    <w:uiPriority w:val="9"/>
    <w:rsid w:val="00EE3D2F"/>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EE3D2F"/>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EE3D2F"/>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rsid w:val="00EE3D2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E3D2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E3D2F"/>
    <w:rPr>
      <w:rFonts w:asciiTheme="majorHAnsi" w:eastAsiaTheme="majorEastAsia" w:hAnsiTheme="majorHAnsi" w:cstheme="majorBidi"/>
      <w:i/>
      <w:iCs/>
      <w:spacing w:val="5"/>
      <w:sz w:val="20"/>
      <w:szCs w:val="20"/>
    </w:rPr>
  </w:style>
  <w:style w:type="paragraph" w:customStyle="1" w:styleId="HERSource">
    <w:name w:val="HER_Source"/>
    <w:basedOn w:val="HERNormal"/>
    <w:qFormat/>
    <w:rsid w:val="00015ED8"/>
    <w:pPr>
      <w:spacing w:before="120"/>
    </w:pPr>
    <w:rPr>
      <w:i/>
      <w:sz w:val="18"/>
    </w:rPr>
  </w:style>
  <w:style w:type="paragraph" w:customStyle="1" w:styleId="HERHeading1Numbered">
    <w:name w:val="HER_Heading 1 Numbered"/>
    <w:basedOn w:val="HERHeading1"/>
    <w:qFormat/>
    <w:rsid w:val="003D23E9"/>
    <w:pPr>
      <w:numPr>
        <w:numId w:val="4"/>
      </w:numPr>
    </w:pPr>
  </w:style>
  <w:style w:type="paragraph" w:styleId="Footer">
    <w:name w:val="footer"/>
    <w:basedOn w:val="Normal"/>
    <w:link w:val="FooterChar"/>
    <w:uiPriority w:val="99"/>
    <w:rsid w:val="007C57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0EC"/>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aliases w:val="L,List Paragraph1,List Paragraph11,Recommendation,bullet point list,Bullet point,DDM Gen Text,List Paragraph - bullets,NFP GP Bulleted List,List Paragraph Number,0Bullet,Body text,Bullet Point,Bullets,Content descriptions,Indented bullet"/>
    <w:basedOn w:val="Normal"/>
    <w:link w:val="ListParagraphChar"/>
    <w:uiPriority w:val="34"/>
    <w:qFormat/>
    <w:rsid w:val="00AC65DA"/>
    <w:pPr>
      <w:ind w:left="720"/>
      <w:contextualSpacing/>
    </w:pPr>
  </w:style>
  <w:style w:type="paragraph" w:styleId="IntenseQuote">
    <w:name w:val="Intense Quote"/>
    <w:basedOn w:val="Normal"/>
    <w:next w:val="Normal"/>
    <w:link w:val="IntenseQuoteChar"/>
    <w:uiPriority w:val="30"/>
    <w:semiHidden/>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semiHidden/>
    <w:rsid w:val="00EE3D2F"/>
    <w:rPr>
      <w:b/>
      <w:bCs/>
      <w:i/>
      <w:iCs/>
    </w:rPr>
  </w:style>
  <w:style w:type="character" w:styleId="SubtleEmphasis">
    <w:name w:val="Subtle Emphasis"/>
    <w:uiPriority w:val="19"/>
    <w:semiHidden/>
    <w:qFormat/>
    <w:rsid w:val="00AC65DA"/>
    <w:rPr>
      <w:i/>
      <w:iCs/>
    </w:rPr>
  </w:style>
  <w:style w:type="character" w:styleId="IntenseEmphasis">
    <w:name w:val="Intense Emphasis"/>
    <w:uiPriority w:val="21"/>
    <w:semiHidden/>
    <w:qFormat/>
    <w:rsid w:val="00DC4963"/>
    <w:rPr>
      <w:b/>
      <w:bCs/>
      <w:i/>
    </w:rPr>
  </w:style>
  <w:style w:type="character" w:styleId="SubtleReference">
    <w:name w:val="Subtle Reference"/>
    <w:uiPriority w:val="31"/>
    <w:semiHidden/>
    <w:qFormat/>
    <w:rsid w:val="00AC65DA"/>
    <w:rPr>
      <w:smallCaps/>
    </w:rPr>
  </w:style>
  <w:style w:type="character" w:styleId="IntenseReference">
    <w:name w:val="Intense Reference"/>
    <w:uiPriority w:val="32"/>
    <w:semiHidden/>
    <w:qFormat/>
    <w:rsid w:val="00AC65DA"/>
    <w:rPr>
      <w:smallCaps/>
      <w:spacing w:val="5"/>
      <w:u w:val="single"/>
    </w:rPr>
  </w:style>
  <w:style w:type="paragraph" w:styleId="ListNumber">
    <w:name w:val="List Number"/>
    <w:basedOn w:val="Normal"/>
    <w:uiPriority w:val="99"/>
    <w:semiHidden/>
    <w:rsid w:val="00537ABC"/>
    <w:pPr>
      <w:spacing w:after="120"/>
      <w:contextualSpacing/>
    </w:pPr>
  </w:style>
  <w:style w:type="paragraph" w:styleId="ListNumber2">
    <w:name w:val="List Number 2"/>
    <w:basedOn w:val="Normal"/>
    <w:uiPriority w:val="99"/>
    <w:semiHidden/>
    <w:rsid w:val="00537ABC"/>
    <w:pPr>
      <w:tabs>
        <w:tab w:val="left" w:pos="1134"/>
      </w:tabs>
      <w:spacing w:after="120"/>
      <w:contextualSpacing/>
    </w:pPr>
  </w:style>
  <w:style w:type="paragraph" w:styleId="ListNumber3">
    <w:name w:val="List Number 3"/>
    <w:basedOn w:val="Normal"/>
    <w:uiPriority w:val="99"/>
    <w:semiHidden/>
    <w:rsid w:val="00537ABC"/>
    <w:pPr>
      <w:spacing w:after="120"/>
      <w:contextualSpacing/>
    </w:pPr>
  </w:style>
  <w:style w:type="paragraph" w:styleId="ListNumber4">
    <w:name w:val="List Number 4"/>
    <w:basedOn w:val="Normal"/>
    <w:uiPriority w:val="99"/>
    <w:semiHidden/>
    <w:rsid w:val="00537ABC"/>
    <w:pPr>
      <w:spacing w:after="120"/>
      <w:contextualSpacing/>
    </w:pPr>
  </w:style>
  <w:style w:type="paragraph" w:styleId="ListBullet">
    <w:name w:val="List Bullet"/>
    <w:basedOn w:val="Normal"/>
    <w:uiPriority w:val="99"/>
    <w:semiHidden/>
    <w:rsid w:val="00CA46EC"/>
    <w:pPr>
      <w:spacing w:after="120"/>
      <w:contextualSpacing/>
    </w:pPr>
  </w:style>
  <w:style w:type="paragraph" w:styleId="ListBullet2">
    <w:name w:val="List Bullet 2"/>
    <w:basedOn w:val="Normal"/>
    <w:uiPriority w:val="99"/>
    <w:semiHidden/>
    <w:rsid w:val="00CA46EC"/>
    <w:pPr>
      <w:spacing w:after="120"/>
      <w:contextualSpacing/>
    </w:pPr>
  </w:style>
  <w:style w:type="paragraph" w:styleId="ListBullet3">
    <w:name w:val="List Bullet 3"/>
    <w:basedOn w:val="Normal"/>
    <w:uiPriority w:val="99"/>
    <w:semiHidden/>
    <w:rsid w:val="00CA46EC"/>
    <w:pPr>
      <w:spacing w:after="120"/>
      <w:contextualSpacing/>
    </w:pPr>
  </w:style>
  <w:style w:type="paragraph" w:styleId="ListBullet4">
    <w:name w:val="List Bullet 4"/>
    <w:basedOn w:val="Normal"/>
    <w:uiPriority w:val="99"/>
    <w:semiHidden/>
    <w:rsid w:val="00CA46EC"/>
    <w:pPr>
      <w:spacing w:after="120"/>
      <w:contextualSpacing/>
    </w:pPr>
  </w:style>
  <w:style w:type="table" w:styleId="TableGrid">
    <w:name w:val="Table Grid"/>
    <w:aliases w:val="INT_Glossary"/>
    <w:basedOn w:val="TableNormal"/>
    <w:uiPriority w:val="59"/>
    <w:rsid w:val="00306AE1"/>
    <w:pPr>
      <w:spacing w:after="0" w:line="240" w:lineRule="auto"/>
    </w:pPr>
    <w:tblPr>
      <w:tbl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insideH w:val="single" w:sz="4" w:space="0" w:color="B2B2B2" w:themeColor="background1" w:themeTint="99"/>
        <w:insideV w:val="single" w:sz="4" w:space="0" w:color="B2B2B2" w:themeColor="background1" w:themeTint="99"/>
      </w:tblBorders>
    </w:tblPr>
    <w:tcPr>
      <w:tcMar>
        <w:top w:w="28" w:type="dxa"/>
        <w:bottom w:w="28" w:type="dxa"/>
      </w:tcMar>
    </w:tcPr>
  </w:style>
  <w:style w:type="paragraph" w:customStyle="1" w:styleId="BasicParagraph">
    <w:name w:val="[Basic Paragraph]"/>
    <w:basedOn w:val="Normal"/>
    <w:uiPriority w:val="99"/>
    <w:rsid w:val="00EB34CF"/>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BodyText">
    <w:name w:val="Body Text"/>
    <w:basedOn w:val="Normal"/>
    <w:link w:val="BodyTextChar"/>
    <w:semiHidden/>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semiHidden/>
    <w:rsid w:val="00EE3D2F"/>
    <w:rPr>
      <w:rFonts w:eastAsia="Times New Roman" w:cs="Times New Roman"/>
      <w:szCs w:val="24"/>
      <w:lang w:eastAsia="en-AU"/>
    </w:rPr>
  </w:style>
  <w:style w:type="paragraph" w:styleId="TOCHeading">
    <w:name w:val="TOC Heading"/>
    <w:basedOn w:val="Heading1"/>
    <w:next w:val="Normal"/>
    <w:uiPriority w:val="39"/>
    <w:unhideWhenUsed/>
    <w:qFormat/>
    <w:rsid w:val="001366B1"/>
    <w:pPr>
      <w:keepNext/>
      <w:keepLines/>
      <w:spacing w:before="480" w:after="0" w:line="276" w:lineRule="auto"/>
      <w:contextualSpacing w:val="0"/>
      <w:outlineLvl w:val="9"/>
    </w:pPr>
    <w:rPr>
      <w:rFonts w:asciiTheme="majorHAnsi" w:hAnsiTheme="majorHAnsi"/>
      <w:color w:val="104165" w:themeColor="accent1" w:themeShade="BF"/>
      <w:sz w:val="28"/>
      <w:lang w:val="en-US" w:eastAsia="ja-JP"/>
    </w:rPr>
  </w:style>
  <w:style w:type="paragraph" w:styleId="BalloonText">
    <w:name w:val="Balloon Text"/>
    <w:basedOn w:val="Normal"/>
    <w:link w:val="BalloonTextChar"/>
    <w:uiPriority w:val="99"/>
    <w:semiHidden/>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D2F"/>
    <w:rPr>
      <w:rFonts w:ascii="Tahoma" w:hAnsi="Tahoma" w:cs="Tahoma"/>
      <w:sz w:val="16"/>
      <w:szCs w:val="16"/>
    </w:rPr>
  </w:style>
  <w:style w:type="character" w:customStyle="1" w:styleId="NoSpacingChar">
    <w:name w:val="No Spacing Char"/>
    <w:basedOn w:val="DefaultParagraphFont"/>
    <w:link w:val="NoSpacing"/>
    <w:uiPriority w:val="1"/>
    <w:semiHidden/>
    <w:rsid w:val="00EE3D2F"/>
  </w:style>
  <w:style w:type="paragraph" w:styleId="Header">
    <w:name w:val="header"/>
    <w:basedOn w:val="Normal"/>
    <w:link w:val="HeaderChar"/>
    <w:uiPriority w:val="99"/>
    <w:rsid w:val="00F92479"/>
    <w:pPr>
      <w:tabs>
        <w:tab w:val="center" w:pos="4513"/>
        <w:tab w:val="right" w:pos="9026"/>
      </w:tabs>
      <w:spacing w:after="0" w:line="240" w:lineRule="auto"/>
      <w:jc w:val="right"/>
    </w:pPr>
  </w:style>
  <w:style w:type="character" w:customStyle="1" w:styleId="HeaderChar">
    <w:name w:val="Header Char"/>
    <w:basedOn w:val="DefaultParagraphFont"/>
    <w:link w:val="Header"/>
    <w:uiPriority w:val="99"/>
    <w:rsid w:val="00EE3D2F"/>
  </w:style>
  <w:style w:type="paragraph" w:styleId="Caption">
    <w:name w:val="caption"/>
    <w:basedOn w:val="Heading4"/>
    <w:next w:val="Normal"/>
    <w:uiPriority w:val="35"/>
    <w:rsid w:val="00B2722A"/>
    <w:rPr>
      <w:i w:val="0"/>
    </w:rPr>
  </w:style>
  <w:style w:type="paragraph" w:customStyle="1" w:styleId="Source">
    <w:name w:val="Source"/>
    <w:basedOn w:val="Normal"/>
    <w:semiHidden/>
    <w:qFormat/>
    <w:rsid w:val="00B2722A"/>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HERNormal">
    <w:name w:val="HER_Normal"/>
    <w:basedOn w:val="Normal"/>
    <w:qFormat/>
    <w:rsid w:val="003A35B6"/>
    <w:rPr>
      <w:noProof/>
    </w:rPr>
  </w:style>
  <w:style w:type="paragraph" w:customStyle="1" w:styleId="HERTitle">
    <w:name w:val="HER_Title"/>
    <w:basedOn w:val="Normal"/>
    <w:qFormat/>
    <w:rsid w:val="006F778D"/>
    <w:pPr>
      <w:spacing w:before="1320" w:after="120" w:line="720" w:lineRule="exact"/>
      <w:contextualSpacing/>
    </w:pPr>
    <w:rPr>
      <w:rFonts w:ascii="Calibri" w:eastAsiaTheme="majorEastAsia" w:hAnsi="Calibri" w:cstheme="majorBidi"/>
      <w:b/>
      <w:color w:val="000000" w:themeColor="text1"/>
      <w:spacing w:val="5"/>
      <w:sz w:val="76"/>
      <w:szCs w:val="52"/>
    </w:rPr>
  </w:style>
  <w:style w:type="paragraph" w:customStyle="1" w:styleId="HERSubtitle">
    <w:name w:val="HER_Subtitle"/>
    <w:basedOn w:val="Normal"/>
    <w:qFormat/>
    <w:rsid w:val="00046FB5"/>
    <w:pPr>
      <w:spacing w:before="240" w:after="8280" w:line="400" w:lineRule="exact"/>
    </w:pPr>
    <w:rPr>
      <w:rFonts w:ascii="Calibri" w:eastAsiaTheme="majorEastAsia" w:hAnsi="Calibri" w:cstheme="majorBidi"/>
      <w:iCs/>
      <w:color w:val="000000" w:themeColor="text1"/>
      <w:spacing w:val="13"/>
      <w:sz w:val="42"/>
      <w:szCs w:val="24"/>
    </w:rPr>
  </w:style>
  <w:style w:type="paragraph" w:customStyle="1" w:styleId="HERDeleteText">
    <w:name w:val="HER_Delete Text"/>
    <w:basedOn w:val="Normal"/>
    <w:qFormat/>
    <w:rsid w:val="009470F1"/>
    <w:rPr>
      <w:color w:val="7030A0"/>
    </w:rPr>
  </w:style>
  <w:style w:type="paragraph" w:customStyle="1" w:styleId="HERHeading1">
    <w:name w:val="HER_Heading 1"/>
    <w:basedOn w:val="Heading1"/>
    <w:qFormat/>
    <w:rsid w:val="00154023"/>
    <w:pPr>
      <w:spacing w:before="240"/>
    </w:pPr>
    <w:rPr>
      <w:color w:val="5376A8"/>
    </w:rPr>
  </w:style>
  <w:style w:type="paragraph" w:customStyle="1" w:styleId="HERHeading2">
    <w:name w:val="HER_Heading 2"/>
    <w:basedOn w:val="Heading2"/>
    <w:qFormat/>
    <w:rsid w:val="003D23E9"/>
    <w:rPr>
      <w:color w:val="5376A8"/>
    </w:rPr>
  </w:style>
  <w:style w:type="paragraph" w:customStyle="1" w:styleId="HERHeading3">
    <w:name w:val="HER_Heading 3"/>
    <w:basedOn w:val="Heading3"/>
    <w:qFormat/>
    <w:rsid w:val="00EC7B82"/>
    <w:rPr>
      <w:sz w:val="25"/>
    </w:rPr>
  </w:style>
  <w:style w:type="paragraph" w:customStyle="1" w:styleId="HERHeading4FigureHeading">
    <w:name w:val="HER_Heading 4/Figure Heading"/>
    <w:basedOn w:val="Heading4"/>
    <w:qFormat/>
    <w:rsid w:val="000036D9"/>
  </w:style>
  <w:style w:type="paragraph" w:customStyle="1" w:styleId="HERHeading5">
    <w:name w:val="HER_Heading 5"/>
    <w:basedOn w:val="Heading5"/>
    <w:qFormat/>
    <w:rsid w:val="000036D9"/>
  </w:style>
  <w:style w:type="paragraph" w:customStyle="1" w:styleId="HERHeading6">
    <w:name w:val="HER_Heading 6"/>
    <w:basedOn w:val="Heading6"/>
    <w:qFormat/>
    <w:rsid w:val="000036D9"/>
  </w:style>
  <w:style w:type="paragraph" w:customStyle="1" w:styleId="HERListBullet">
    <w:name w:val="HER_List Bullet"/>
    <w:basedOn w:val="ListBullet"/>
    <w:qFormat/>
    <w:rsid w:val="003A35B6"/>
    <w:pPr>
      <w:spacing w:after="200"/>
    </w:pPr>
  </w:style>
  <w:style w:type="paragraph" w:customStyle="1" w:styleId="Style1">
    <w:name w:val="Style1"/>
    <w:basedOn w:val="Normal"/>
    <w:semiHidden/>
    <w:qFormat/>
    <w:rsid w:val="000036D9"/>
    <w:pPr>
      <w:numPr>
        <w:numId w:val="3"/>
      </w:numPr>
      <w:spacing w:after="120"/>
      <w:ind w:left="426" w:hanging="369"/>
      <w:contextualSpacing/>
    </w:pPr>
  </w:style>
  <w:style w:type="paragraph" w:customStyle="1" w:styleId="HERListBullet2">
    <w:name w:val="HER_List Bullet 2"/>
    <w:basedOn w:val="ListBullet2"/>
    <w:qFormat/>
    <w:rsid w:val="00EB34CF"/>
    <w:pPr>
      <w:spacing w:after="200"/>
    </w:pPr>
  </w:style>
  <w:style w:type="paragraph" w:customStyle="1" w:styleId="HERListNumber">
    <w:name w:val="HER_List Number"/>
    <w:basedOn w:val="ListNumber"/>
    <w:qFormat/>
    <w:rsid w:val="00537ABC"/>
    <w:pPr>
      <w:spacing w:after="200"/>
    </w:pPr>
  </w:style>
  <w:style w:type="paragraph" w:customStyle="1" w:styleId="HERListNumber2">
    <w:name w:val="HER_List Number 2"/>
    <w:basedOn w:val="ListNumber2"/>
    <w:qFormat/>
    <w:rsid w:val="00537ABC"/>
    <w:pPr>
      <w:spacing w:after="200"/>
    </w:pPr>
  </w:style>
  <w:style w:type="character" w:customStyle="1" w:styleId="HERBold">
    <w:name w:val="*HER_Bold"/>
    <w:basedOn w:val="Strong"/>
    <w:uiPriority w:val="1"/>
    <w:qFormat/>
    <w:rsid w:val="00B90820"/>
    <w:rPr>
      <w:b/>
      <w:bCs/>
    </w:rPr>
  </w:style>
  <w:style w:type="character" w:customStyle="1" w:styleId="HERBoldItalic">
    <w:name w:val="*HER_Bold Italic"/>
    <w:basedOn w:val="IntenseEmphasis"/>
    <w:uiPriority w:val="1"/>
    <w:qFormat/>
    <w:rsid w:val="00B90820"/>
    <w:rPr>
      <w:b/>
      <w:bCs/>
      <w:i/>
    </w:rPr>
  </w:style>
  <w:style w:type="character" w:customStyle="1" w:styleId="HERItalic">
    <w:name w:val="*HER_Italic"/>
    <w:basedOn w:val="Emphasis"/>
    <w:uiPriority w:val="1"/>
    <w:qFormat/>
    <w:rsid w:val="00DC4963"/>
    <w:rPr>
      <w:b w:val="0"/>
      <w:bCs/>
      <w:i/>
      <w:iCs/>
      <w:spacing w:val="0"/>
      <w:bdr w:val="none" w:sz="0" w:space="0" w:color="auto"/>
      <w:shd w:val="clear" w:color="auto" w:fill="auto"/>
    </w:rPr>
  </w:style>
  <w:style w:type="character" w:customStyle="1" w:styleId="HERHyperlink">
    <w:name w:val="*HER_Hyperlink"/>
    <w:basedOn w:val="DefaultParagraphFont"/>
    <w:uiPriority w:val="1"/>
    <w:qFormat/>
    <w:rsid w:val="00EC7B82"/>
    <w:rPr>
      <w:color w:val="5376A8"/>
      <w:u w:val="single"/>
    </w:rPr>
  </w:style>
  <w:style w:type="table" w:customStyle="1" w:styleId="Style2">
    <w:name w:val="Style2"/>
    <w:basedOn w:val="TableNormal"/>
    <w:uiPriority w:val="99"/>
    <w:rsid w:val="007D07D4"/>
    <w:pPr>
      <w:spacing w:after="0" w:line="240" w:lineRule="auto"/>
    </w:pPr>
    <w:tblPr/>
  </w:style>
  <w:style w:type="paragraph" w:customStyle="1" w:styleId="Heading2FeatureBox">
    <w:name w:val="Heading 2 Feature Box"/>
    <w:basedOn w:val="Heading2"/>
    <w:semiHidden/>
    <w:qFormat/>
    <w:rsid w:val="00B904AC"/>
    <w:pPr>
      <w:spacing w:line="240" w:lineRule="auto"/>
    </w:pPr>
  </w:style>
  <w:style w:type="paragraph" w:styleId="FootnoteText">
    <w:name w:val="footnote text"/>
    <w:basedOn w:val="Normal"/>
    <w:link w:val="FootnoteTextChar"/>
    <w:uiPriority w:val="99"/>
    <w:rsid w:val="005818AE"/>
    <w:pPr>
      <w:spacing w:after="0" w:line="240" w:lineRule="auto"/>
    </w:pPr>
    <w:rPr>
      <w:sz w:val="20"/>
      <w:szCs w:val="20"/>
    </w:rPr>
  </w:style>
  <w:style w:type="character" w:customStyle="1" w:styleId="FootnoteTextChar">
    <w:name w:val="Footnote Text Char"/>
    <w:basedOn w:val="DefaultParagraphFont"/>
    <w:link w:val="FootnoteText"/>
    <w:uiPriority w:val="99"/>
    <w:rsid w:val="00EE3D2F"/>
    <w:rPr>
      <w:sz w:val="20"/>
      <w:szCs w:val="20"/>
    </w:rPr>
  </w:style>
  <w:style w:type="character" w:styleId="FootnoteReference">
    <w:name w:val="footnote reference"/>
    <w:aliases w:val="(NECG) Footnote Reference"/>
    <w:basedOn w:val="DefaultParagraphFont"/>
    <w:uiPriority w:val="99"/>
    <w:rsid w:val="005818AE"/>
    <w:rPr>
      <w:vertAlign w:val="superscript"/>
    </w:rPr>
  </w:style>
  <w:style w:type="paragraph" w:styleId="TOC2">
    <w:name w:val="toc 2"/>
    <w:basedOn w:val="Normal"/>
    <w:next w:val="Normal"/>
    <w:autoRedefine/>
    <w:uiPriority w:val="39"/>
    <w:unhideWhenUsed/>
    <w:qFormat/>
    <w:rsid w:val="00C56F37"/>
    <w:pPr>
      <w:spacing w:after="100"/>
      <w:ind w:left="220"/>
    </w:pPr>
  </w:style>
  <w:style w:type="paragraph" w:styleId="TOC1">
    <w:name w:val="toc 1"/>
    <w:basedOn w:val="Normal"/>
    <w:next w:val="Normal"/>
    <w:autoRedefine/>
    <w:uiPriority w:val="39"/>
    <w:unhideWhenUsed/>
    <w:qFormat/>
    <w:rsid w:val="00C56F37"/>
    <w:pPr>
      <w:spacing w:after="100"/>
    </w:pPr>
  </w:style>
  <w:style w:type="paragraph" w:styleId="TOC3">
    <w:name w:val="toc 3"/>
    <w:basedOn w:val="Normal"/>
    <w:next w:val="Normal"/>
    <w:autoRedefine/>
    <w:uiPriority w:val="39"/>
    <w:unhideWhenUsed/>
    <w:qFormat/>
    <w:rsid w:val="00C56F37"/>
    <w:pPr>
      <w:spacing w:after="100"/>
      <w:ind w:left="440"/>
    </w:pPr>
  </w:style>
  <w:style w:type="character" w:styleId="Hyperlink">
    <w:name w:val="Hyperlink"/>
    <w:basedOn w:val="DefaultParagraphFont"/>
    <w:uiPriority w:val="99"/>
    <w:unhideWhenUsed/>
    <w:rsid w:val="00EC7B82"/>
    <w:rPr>
      <w:color w:val="5376A8"/>
      <w:u w:val="single"/>
    </w:rPr>
  </w:style>
  <w:style w:type="table" w:customStyle="1" w:styleId="Bluewithalternatingrows">
    <w:name w:val="Blue with alternating rows"/>
    <w:basedOn w:val="TableNormal"/>
    <w:uiPriority w:val="99"/>
    <w:rsid w:val="007D07D4"/>
    <w:pPr>
      <w:spacing w:after="0" w:line="240" w:lineRule="auto"/>
    </w:pPr>
    <w:tblPr>
      <w:tblStyleRowBandSize w:val="1"/>
      <w:tblCellMar>
        <w:top w:w="28" w:type="dxa"/>
        <w:bottom w:w="28" w:type="dxa"/>
      </w:tblCellMar>
    </w:tblPr>
    <w:tblStylePr w:type="firstRow">
      <w:rPr>
        <w:rFonts w:ascii="Calibri" w:hAnsi="Calibri"/>
        <w:b/>
        <w:color w:val="FFFFFF" w:themeColor="background2"/>
        <w:sz w:val="22"/>
      </w:rPr>
      <w:tblPr/>
      <w:tcPr>
        <w:shd w:val="clear" w:color="auto" w:fill="5376A8"/>
      </w:tcPr>
    </w:tblStylePr>
    <w:tblStylePr w:type="band2Horz">
      <w:tblPr/>
      <w:tcPr>
        <w:shd w:val="clear" w:color="auto" w:fill="DEE1EE"/>
      </w:tcPr>
    </w:tblStylePr>
  </w:style>
  <w:style w:type="table" w:customStyle="1" w:styleId="Pulloutboxes">
    <w:name w:val="Pull out boxes"/>
    <w:basedOn w:val="TableNormal"/>
    <w:uiPriority w:val="99"/>
    <w:rsid w:val="00610A0D"/>
    <w:pPr>
      <w:spacing w:before="120" w:after="120" w:line="240" w:lineRule="auto"/>
      <w:ind w:left="113" w:right="113"/>
    </w:pPr>
    <w:tblPr>
      <w:tblBorders>
        <w:top w:val="single" w:sz="4" w:space="0" w:color="5376A8"/>
        <w:left w:val="single" w:sz="4" w:space="0" w:color="5376A8"/>
        <w:bottom w:val="single" w:sz="4" w:space="0" w:color="5376A8"/>
        <w:right w:val="single" w:sz="4" w:space="0" w:color="5376A8"/>
      </w:tblBorders>
    </w:tblPr>
    <w:tcPr>
      <w:shd w:val="clear" w:color="auto" w:fill="DEE1EE"/>
    </w:tcPr>
  </w:style>
  <w:style w:type="table" w:customStyle="1" w:styleId="BlueTablenoshadedrows">
    <w:name w:val="Blue Table no shaded rows"/>
    <w:basedOn w:val="TableNormal"/>
    <w:uiPriority w:val="99"/>
    <w:rsid w:val="002D7A1F"/>
    <w:pPr>
      <w:spacing w:after="0" w:line="240" w:lineRule="auto"/>
    </w:pPr>
    <w:tblPr>
      <w:tblStyleRowBandSize w:val="1"/>
      <w:tblCellMar>
        <w:top w:w="28" w:type="dxa"/>
        <w:bottom w:w="28" w:type="dxa"/>
      </w:tblCellMar>
    </w:tblPr>
    <w:tblStylePr w:type="firstRow">
      <w:pPr>
        <w:jc w:val="left"/>
      </w:pPr>
      <w:rPr>
        <w:b/>
        <w:color w:val="FFFFFF" w:themeColor="background2"/>
      </w:rPr>
      <w:tblPr/>
      <w:tcPr>
        <w:shd w:val="clear" w:color="auto" w:fill="5376A8"/>
      </w:tcPr>
    </w:tblStylePr>
    <w:tblStylePr w:type="lastRow">
      <w:tblPr/>
      <w:tcPr>
        <w:tcBorders>
          <w:bottom w:val="single" w:sz="4" w:space="0" w:color="5376A8"/>
        </w:tcBorders>
      </w:tcPr>
    </w:tblStylePr>
  </w:style>
  <w:style w:type="paragraph" w:customStyle="1" w:styleId="HERDatePublished">
    <w:name w:val="HER_Date Published"/>
    <w:basedOn w:val="HERSubtitle"/>
    <w:qFormat/>
    <w:rsid w:val="00F1427C"/>
    <w:rPr>
      <w:b/>
      <w:sz w:val="34"/>
    </w:rPr>
  </w:style>
  <w:style w:type="paragraph" w:customStyle="1" w:styleId="HERNormalafterpulloutbox">
    <w:name w:val="HER_Normal after pull out box"/>
    <w:basedOn w:val="HERNormal"/>
    <w:qFormat/>
    <w:rsid w:val="00610A0D"/>
    <w:pPr>
      <w:spacing w:before="120"/>
    </w:pPr>
  </w:style>
  <w:style w:type="paragraph" w:styleId="EndnoteText">
    <w:name w:val="endnote text"/>
    <w:basedOn w:val="Normal"/>
    <w:link w:val="EndnoteTextChar"/>
    <w:uiPriority w:val="99"/>
    <w:rsid w:val="005668BB"/>
    <w:pPr>
      <w:spacing w:after="0" w:line="240" w:lineRule="auto"/>
    </w:pPr>
    <w:rPr>
      <w:sz w:val="20"/>
      <w:szCs w:val="20"/>
    </w:rPr>
  </w:style>
  <w:style w:type="character" w:customStyle="1" w:styleId="EndnoteTextChar">
    <w:name w:val="Endnote Text Char"/>
    <w:basedOn w:val="DefaultParagraphFont"/>
    <w:link w:val="EndnoteText"/>
    <w:uiPriority w:val="99"/>
    <w:rsid w:val="005668BB"/>
    <w:rPr>
      <w:sz w:val="20"/>
      <w:szCs w:val="20"/>
    </w:rPr>
  </w:style>
  <w:style w:type="character" w:styleId="EndnoteReference">
    <w:name w:val="endnote reference"/>
    <w:basedOn w:val="DefaultParagraphFont"/>
    <w:uiPriority w:val="99"/>
    <w:semiHidden/>
    <w:rsid w:val="005668BB"/>
    <w:rPr>
      <w:vertAlign w:val="superscript"/>
    </w:rPr>
  </w:style>
  <w:style w:type="paragraph" w:customStyle="1" w:styleId="HEREndnotes">
    <w:name w:val="HER_Endnotes"/>
    <w:basedOn w:val="HERNormal"/>
    <w:qFormat/>
    <w:rsid w:val="00EB039D"/>
    <w:rPr>
      <w:sz w:val="18"/>
    </w:rPr>
  </w:style>
  <w:style w:type="paragraph" w:styleId="NormalWeb">
    <w:name w:val="Normal (Web)"/>
    <w:basedOn w:val="Normal"/>
    <w:uiPriority w:val="99"/>
    <w:semiHidden/>
    <w:unhideWhenUsed/>
    <w:rsid w:val="00B04C2F"/>
    <w:pPr>
      <w:spacing w:before="240" w:after="240" w:line="240" w:lineRule="auto"/>
    </w:pPr>
    <w:rPr>
      <w:rFonts w:ascii="Times New Roman" w:eastAsia="Times New Roman" w:hAnsi="Times New Roman" w:cs="Times New Roman"/>
      <w:sz w:val="24"/>
      <w:szCs w:val="24"/>
      <w:lang w:eastAsia="en-AU"/>
    </w:rPr>
  </w:style>
  <w:style w:type="character" w:customStyle="1" w:styleId="ListParagraphChar">
    <w:name w:val="List Paragraph Char"/>
    <w:aliases w:val="L Char,List Paragraph1 Char,List Paragraph11 Char,Recommendation Char,bullet point list Char,Bullet point Char,DDM Gen Text Char,List Paragraph - bullets Char,NFP GP Bulleted List Char,List Paragraph Number Char,0Bullet Char"/>
    <w:basedOn w:val="DefaultParagraphFont"/>
    <w:link w:val="ListParagraph"/>
    <w:uiPriority w:val="34"/>
    <w:locked/>
    <w:rsid w:val="00B04C2F"/>
  </w:style>
  <w:style w:type="character" w:customStyle="1" w:styleId="lexicon-term">
    <w:name w:val="lexicon-term"/>
    <w:basedOn w:val="DefaultParagraphFont"/>
    <w:rsid w:val="00B04C2F"/>
    <w:rPr>
      <w:strike w:val="0"/>
      <w:dstrike w:val="0"/>
      <w:u w:val="none"/>
      <w:effect w:val="none"/>
    </w:rPr>
  </w:style>
  <w:style w:type="character" w:styleId="CommentReference">
    <w:name w:val="annotation reference"/>
    <w:basedOn w:val="DefaultParagraphFont"/>
    <w:uiPriority w:val="99"/>
    <w:semiHidden/>
    <w:rsid w:val="00B04C2F"/>
    <w:rPr>
      <w:sz w:val="16"/>
      <w:szCs w:val="16"/>
    </w:rPr>
  </w:style>
  <w:style w:type="paragraph" w:styleId="CommentText">
    <w:name w:val="annotation text"/>
    <w:basedOn w:val="Normal"/>
    <w:link w:val="CommentTextChar"/>
    <w:uiPriority w:val="99"/>
    <w:semiHidden/>
    <w:rsid w:val="00B04C2F"/>
    <w:pPr>
      <w:spacing w:line="240" w:lineRule="auto"/>
    </w:pPr>
    <w:rPr>
      <w:sz w:val="20"/>
      <w:szCs w:val="20"/>
    </w:rPr>
  </w:style>
  <w:style w:type="character" w:customStyle="1" w:styleId="CommentTextChar">
    <w:name w:val="Comment Text Char"/>
    <w:basedOn w:val="DefaultParagraphFont"/>
    <w:link w:val="CommentText"/>
    <w:uiPriority w:val="99"/>
    <w:semiHidden/>
    <w:rsid w:val="00B04C2F"/>
    <w:rPr>
      <w:sz w:val="20"/>
      <w:szCs w:val="20"/>
    </w:rPr>
  </w:style>
  <w:style w:type="paragraph" w:styleId="CommentSubject">
    <w:name w:val="annotation subject"/>
    <w:basedOn w:val="CommentText"/>
    <w:next w:val="CommentText"/>
    <w:link w:val="CommentSubjectChar"/>
    <w:uiPriority w:val="99"/>
    <w:semiHidden/>
    <w:rsid w:val="00B04C2F"/>
    <w:rPr>
      <w:b/>
      <w:bCs/>
    </w:rPr>
  </w:style>
  <w:style w:type="character" w:customStyle="1" w:styleId="CommentSubjectChar">
    <w:name w:val="Comment Subject Char"/>
    <w:basedOn w:val="CommentTextChar"/>
    <w:link w:val="CommentSubject"/>
    <w:uiPriority w:val="99"/>
    <w:semiHidden/>
    <w:rsid w:val="00B04C2F"/>
    <w:rPr>
      <w:b/>
      <w:bCs/>
      <w:sz w:val="20"/>
      <w:szCs w:val="20"/>
    </w:rPr>
  </w:style>
  <w:style w:type="paragraph" w:customStyle="1" w:styleId="Rectextwithspace">
    <w:name w:val="Rec text with space"/>
    <w:basedOn w:val="Normal"/>
    <w:link w:val="RectextwithspaceChar"/>
    <w:qFormat/>
    <w:rsid w:val="00B04C2F"/>
    <w:pPr>
      <w:shd w:val="clear" w:color="auto" w:fill="F5EAD8" w:themeFill="accent5" w:themeFillTint="33"/>
      <w:spacing w:line="240" w:lineRule="auto"/>
    </w:pPr>
    <w:rPr>
      <w:rFonts w:eastAsiaTheme="minorHAnsi"/>
    </w:rPr>
  </w:style>
  <w:style w:type="character" w:customStyle="1" w:styleId="RectextwithspaceChar">
    <w:name w:val="Rec text with space Char"/>
    <w:basedOn w:val="DefaultParagraphFont"/>
    <w:link w:val="Rectextwithspace"/>
    <w:rsid w:val="00B04C2F"/>
    <w:rPr>
      <w:rFonts w:eastAsiaTheme="minorHAnsi"/>
      <w:shd w:val="clear" w:color="auto" w:fill="F5EAD8" w:themeFill="accent5" w:themeFillTint="33"/>
    </w:rPr>
  </w:style>
  <w:style w:type="paragraph" w:customStyle="1" w:styleId="Default">
    <w:name w:val="Default"/>
    <w:rsid w:val="00B04C2F"/>
    <w:pPr>
      <w:autoSpaceDE w:val="0"/>
      <w:autoSpaceDN w:val="0"/>
      <w:adjustRightInd w:val="0"/>
      <w:spacing w:after="0" w:line="240" w:lineRule="auto"/>
    </w:pPr>
    <w:rPr>
      <w:rFonts w:ascii="Calibri" w:eastAsiaTheme="minorHAnsi" w:hAnsi="Calibri" w:cs="Calibri"/>
      <w:color w:val="000000"/>
      <w:sz w:val="24"/>
      <w:szCs w:val="24"/>
    </w:rPr>
  </w:style>
  <w:style w:type="paragraph" w:customStyle="1" w:styleId="gmail-msonormal">
    <w:name w:val="gmail-msonormal"/>
    <w:basedOn w:val="Normal"/>
    <w:uiPriority w:val="99"/>
    <w:rsid w:val="00B04C2F"/>
    <w:pPr>
      <w:spacing w:before="100" w:beforeAutospacing="1" w:after="100" w:afterAutospacing="1" w:line="240" w:lineRule="auto"/>
    </w:pPr>
    <w:rPr>
      <w:rFonts w:ascii="Times New Roman" w:eastAsiaTheme="minorHAnsi" w:hAnsi="Times New Roman" w:cs="Times New Roman"/>
      <w:sz w:val="24"/>
      <w:szCs w:val="24"/>
      <w:lang w:eastAsia="en-AU"/>
    </w:rPr>
  </w:style>
  <w:style w:type="paragraph" w:customStyle="1" w:styleId="gmail-msolistparagraph">
    <w:name w:val="gmail-msolistparagraph"/>
    <w:basedOn w:val="Normal"/>
    <w:uiPriority w:val="99"/>
    <w:rsid w:val="00B04C2F"/>
    <w:pPr>
      <w:spacing w:before="100" w:beforeAutospacing="1" w:after="100" w:afterAutospacing="1" w:line="240" w:lineRule="auto"/>
    </w:pPr>
    <w:rPr>
      <w:rFonts w:ascii="Times New Roman" w:eastAsiaTheme="minorHAnsi" w:hAnsi="Times New Roman" w:cs="Times New Roman"/>
      <w:sz w:val="24"/>
      <w:szCs w:val="24"/>
      <w:lang w:eastAsia="en-AU"/>
    </w:rPr>
  </w:style>
  <w:style w:type="paragraph" w:styleId="Revision">
    <w:name w:val="Revision"/>
    <w:hidden/>
    <w:uiPriority w:val="99"/>
    <w:semiHidden/>
    <w:rsid w:val="00B04C2F"/>
    <w:pPr>
      <w:spacing w:after="0" w:line="240" w:lineRule="auto"/>
    </w:pPr>
    <w:rPr>
      <w:rFonts w:eastAsiaTheme="minorHAnsi"/>
    </w:rPr>
  </w:style>
  <w:style w:type="paragraph" w:customStyle="1" w:styleId="subsection">
    <w:name w:val="subsection"/>
    <w:aliases w:val="ss"/>
    <w:basedOn w:val="Normal"/>
    <w:link w:val="subsectionChar"/>
    <w:rsid w:val="00B04C2F"/>
    <w:pPr>
      <w:tabs>
        <w:tab w:val="right" w:pos="1021"/>
      </w:tabs>
      <w:spacing w:before="180" w:after="0" w:line="240" w:lineRule="auto"/>
      <w:ind w:left="1134" w:hanging="1134"/>
    </w:pPr>
    <w:rPr>
      <w:rFonts w:ascii="Times New Roman" w:eastAsia="Times New Roman" w:hAnsi="Times New Roman" w:cs="Times New Roman"/>
      <w:szCs w:val="20"/>
      <w:lang w:eastAsia="en-AU"/>
    </w:rPr>
  </w:style>
  <w:style w:type="character" w:customStyle="1" w:styleId="subsectionChar">
    <w:name w:val="subsection Char"/>
    <w:aliases w:val="ss Char"/>
    <w:basedOn w:val="DefaultParagraphFont"/>
    <w:link w:val="subsection"/>
    <w:rsid w:val="00B04C2F"/>
    <w:rPr>
      <w:rFonts w:ascii="Times New Roman" w:eastAsia="Times New Roman" w:hAnsi="Times New Roman" w:cs="Times New Roman"/>
      <w:szCs w:val="20"/>
      <w:lang w:eastAsia="en-AU"/>
    </w:rPr>
  </w:style>
  <w:style w:type="character" w:styleId="HTMLAcronym">
    <w:name w:val="HTML Acronym"/>
    <w:basedOn w:val="DefaultParagraphFont"/>
    <w:uiPriority w:val="99"/>
    <w:semiHidden/>
    <w:unhideWhenUsed/>
    <w:rsid w:val="00B04C2F"/>
  </w:style>
  <w:style w:type="character" w:styleId="PageNumber">
    <w:name w:val="page number"/>
    <w:basedOn w:val="DefaultParagraphFont"/>
    <w:uiPriority w:val="99"/>
    <w:semiHidden/>
    <w:unhideWhenUsed/>
    <w:rsid w:val="00B04C2F"/>
  </w:style>
  <w:style w:type="paragraph" w:styleId="TOC4">
    <w:name w:val="toc 4"/>
    <w:basedOn w:val="Normal"/>
    <w:next w:val="Normal"/>
    <w:autoRedefine/>
    <w:uiPriority w:val="39"/>
    <w:unhideWhenUsed/>
    <w:rsid w:val="00B04C2F"/>
    <w:pPr>
      <w:spacing w:after="0"/>
      <w:ind w:left="660"/>
    </w:pPr>
    <w:rPr>
      <w:rFonts w:eastAsiaTheme="minorHAnsi" w:cstheme="minorHAnsi"/>
      <w:sz w:val="20"/>
      <w:szCs w:val="20"/>
    </w:rPr>
  </w:style>
  <w:style w:type="paragraph" w:styleId="TOC5">
    <w:name w:val="toc 5"/>
    <w:basedOn w:val="Normal"/>
    <w:next w:val="Normal"/>
    <w:autoRedefine/>
    <w:uiPriority w:val="39"/>
    <w:unhideWhenUsed/>
    <w:rsid w:val="00B04C2F"/>
    <w:pPr>
      <w:spacing w:after="0"/>
      <w:ind w:left="880"/>
    </w:pPr>
    <w:rPr>
      <w:rFonts w:eastAsiaTheme="minorHAnsi" w:cstheme="minorHAnsi"/>
      <w:sz w:val="20"/>
      <w:szCs w:val="20"/>
    </w:rPr>
  </w:style>
  <w:style w:type="paragraph" w:styleId="TOC6">
    <w:name w:val="toc 6"/>
    <w:basedOn w:val="Normal"/>
    <w:next w:val="Normal"/>
    <w:autoRedefine/>
    <w:uiPriority w:val="39"/>
    <w:unhideWhenUsed/>
    <w:rsid w:val="00B04C2F"/>
    <w:pPr>
      <w:spacing w:after="0"/>
      <w:ind w:left="1100"/>
    </w:pPr>
    <w:rPr>
      <w:rFonts w:eastAsiaTheme="minorHAnsi" w:cstheme="minorHAnsi"/>
      <w:sz w:val="20"/>
      <w:szCs w:val="20"/>
    </w:rPr>
  </w:style>
  <w:style w:type="paragraph" w:styleId="TOC7">
    <w:name w:val="toc 7"/>
    <w:basedOn w:val="Normal"/>
    <w:next w:val="Normal"/>
    <w:autoRedefine/>
    <w:uiPriority w:val="39"/>
    <w:unhideWhenUsed/>
    <w:rsid w:val="00B04C2F"/>
    <w:pPr>
      <w:spacing w:after="0"/>
      <w:ind w:left="1320"/>
    </w:pPr>
    <w:rPr>
      <w:rFonts w:eastAsiaTheme="minorHAnsi" w:cstheme="minorHAnsi"/>
      <w:sz w:val="20"/>
      <w:szCs w:val="20"/>
    </w:rPr>
  </w:style>
  <w:style w:type="paragraph" w:styleId="TOC8">
    <w:name w:val="toc 8"/>
    <w:basedOn w:val="Normal"/>
    <w:next w:val="Normal"/>
    <w:autoRedefine/>
    <w:uiPriority w:val="39"/>
    <w:unhideWhenUsed/>
    <w:rsid w:val="00B04C2F"/>
    <w:pPr>
      <w:spacing w:after="0"/>
      <w:ind w:left="1540"/>
    </w:pPr>
    <w:rPr>
      <w:rFonts w:eastAsiaTheme="minorHAnsi" w:cstheme="minorHAnsi"/>
      <w:sz w:val="20"/>
      <w:szCs w:val="20"/>
    </w:rPr>
  </w:style>
  <w:style w:type="paragraph" w:styleId="TOC9">
    <w:name w:val="toc 9"/>
    <w:basedOn w:val="Normal"/>
    <w:next w:val="Normal"/>
    <w:autoRedefine/>
    <w:uiPriority w:val="39"/>
    <w:unhideWhenUsed/>
    <w:rsid w:val="00B04C2F"/>
    <w:pPr>
      <w:spacing w:after="0"/>
      <w:ind w:left="1760"/>
    </w:pPr>
    <w:rPr>
      <w:rFonts w:eastAsiaTheme="minorHAnsi" w:cstheme="minorHAnsi"/>
      <w:sz w:val="20"/>
      <w:szCs w:val="20"/>
    </w:rPr>
  </w:style>
  <w:style w:type="table" w:customStyle="1" w:styleId="TableGrid2">
    <w:name w:val="Table Grid2"/>
    <w:basedOn w:val="TableNormal"/>
    <w:next w:val="TableGrid"/>
    <w:uiPriority w:val="59"/>
    <w:rsid w:val="00B04C2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TBHeading">
    <w:name w:val="QTBHeading"/>
    <w:basedOn w:val="Normal"/>
    <w:rsid w:val="00B04C2F"/>
    <w:pPr>
      <w:spacing w:after="240" w:line="240" w:lineRule="auto"/>
    </w:pPr>
    <w:rPr>
      <w:rFonts w:ascii="Garamond" w:eastAsia="Times New Roman" w:hAnsi="Garamond" w:cs="Times New Roman"/>
      <w:b/>
      <w:caps/>
      <w:sz w:val="28"/>
      <w:szCs w:val="20"/>
      <w:lang w:eastAsia="en-AU"/>
    </w:rPr>
  </w:style>
  <w:style w:type="paragraph" w:styleId="Title">
    <w:name w:val="Title"/>
    <w:basedOn w:val="Normal"/>
    <w:next w:val="Normal"/>
    <w:link w:val="TitleChar"/>
    <w:uiPriority w:val="10"/>
    <w:qFormat/>
    <w:rsid w:val="00B04C2F"/>
    <w:pPr>
      <w:jc w:val="center"/>
    </w:pPr>
    <w:rPr>
      <w:rFonts w:eastAsiaTheme="minorHAnsi"/>
      <w:b/>
      <w:sz w:val="40"/>
    </w:rPr>
  </w:style>
  <w:style w:type="character" w:customStyle="1" w:styleId="TitleChar">
    <w:name w:val="Title Char"/>
    <w:basedOn w:val="DefaultParagraphFont"/>
    <w:link w:val="Title"/>
    <w:uiPriority w:val="10"/>
    <w:rsid w:val="00B04C2F"/>
    <w:rPr>
      <w:rFonts w:eastAsiaTheme="minorHAnsi"/>
      <w:b/>
      <w:sz w:val="40"/>
    </w:rPr>
  </w:style>
  <w:style w:type="paragraph" w:styleId="Subtitle">
    <w:name w:val="Subtitle"/>
    <w:basedOn w:val="Normal"/>
    <w:next w:val="Normal"/>
    <w:link w:val="SubtitleChar"/>
    <w:uiPriority w:val="11"/>
    <w:qFormat/>
    <w:rsid w:val="00B04C2F"/>
    <w:pPr>
      <w:jc w:val="center"/>
    </w:pPr>
    <w:rPr>
      <w:rFonts w:eastAsiaTheme="minorHAnsi"/>
      <w:b/>
      <w:sz w:val="40"/>
    </w:rPr>
  </w:style>
  <w:style w:type="character" w:customStyle="1" w:styleId="SubtitleChar">
    <w:name w:val="Subtitle Char"/>
    <w:basedOn w:val="DefaultParagraphFont"/>
    <w:link w:val="Subtitle"/>
    <w:uiPriority w:val="11"/>
    <w:rsid w:val="00B04C2F"/>
    <w:rPr>
      <w:rFonts w:eastAsiaTheme="minorHAnsi"/>
      <w:b/>
      <w:sz w:val="40"/>
    </w:rPr>
  </w:style>
  <w:style w:type="paragraph" w:customStyle="1" w:styleId="Recommendationwithspace">
    <w:name w:val="Recommendation with space"/>
    <w:basedOn w:val="Heading3"/>
    <w:link w:val="RecommendationwithspaceChar"/>
    <w:qFormat/>
    <w:rsid w:val="00B04C2F"/>
    <w:pPr>
      <w:keepNext/>
      <w:keepLines/>
      <w:pBdr>
        <w:top w:val="single" w:sz="48" w:space="1" w:color="7F7F7F" w:themeColor="background1"/>
      </w:pBdr>
      <w:shd w:val="clear" w:color="auto" w:fill="F5EAD8" w:themeFill="accent5" w:themeFillTint="33"/>
    </w:pPr>
    <w:rPr>
      <w:rFonts w:asciiTheme="majorHAnsi" w:hAnsiTheme="majorHAnsi"/>
      <w:color w:val="000000" w:themeColor="text1"/>
    </w:rPr>
  </w:style>
  <w:style w:type="character" w:customStyle="1" w:styleId="RecommendationwithspaceChar">
    <w:name w:val="Recommendation with space Char"/>
    <w:basedOn w:val="Heading3Char"/>
    <w:link w:val="Recommendationwithspace"/>
    <w:rsid w:val="00B04C2F"/>
    <w:rPr>
      <w:rFonts w:asciiTheme="majorHAnsi" w:eastAsiaTheme="majorEastAsia" w:hAnsiTheme="majorHAnsi" w:cstheme="majorBidi"/>
      <w:b/>
      <w:bCs/>
      <w:color w:val="000000" w:themeColor="text1"/>
      <w:shd w:val="clear" w:color="auto" w:fill="F5EAD8" w:themeFill="accent5" w:themeFillTint="33"/>
    </w:rPr>
  </w:style>
  <w:style w:type="character" w:styleId="FollowedHyperlink">
    <w:name w:val="FollowedHyperlink"/>
    <w:basedOn w:val="DefaultParagraphFont"/>
    <w:uiPriority w:val="99"/>
    <w:semiHidden/>
    <w:unhideWhenUsed/>
    <w:rsid w:val="00B04C2F"/>
    <w:rPr>
      <w:color w:val="000000" w:themeColor="followedHyperlink"/>
      <w:u w:val="single"/>
    </w:rPr>
  </w:style>
  <w:style w:type="paragraph" w:customStyle="1" w:styleId="Numberheading">
    <w:name w:val="Number heading"/>
    <w:basedOn w:val="Heading2"/>
    <w:next w:val="Normal"/>
    <w:link w:val="NumberheadingChar"/>
    <w:qFormat/>
    <w:rsid w:val="00F0165C"/>
    <w:pPr>
      <w:keepNext/>
      <w:keepLines/>
      <w:numPr>
        <w:numId w:val="23"/>
      </w:numPr>
      <w:autoSpaceDE w:val="0"/>
      <w:autoSpaceDN w:val="0"/>
      <w:adjustRightInd w:val="0"/>
      <w:spacing w:before="120" w:after="120" w:line="240" w:lineRule="auto"/>
    </w:pPr>
    <w:rPr>
      <w:rFonts w:eastAsiaTheme="minorEastAsia" w:cs="Times New Roman"/>
      <w:color w:val="C00000"/>
      <w:sz w:val="26"/>
      <w:lang w:val="en-US"/>
    </w:rPr>
  </w:style>
  <w:style w:type="character" w:customStyle="1" w:styleId="NumberheadingChar">
    <w:name w:val="Number heading Char"/>
    <w:basedOn w:val="DefaultParagraphFont"/>
    <w:link w:val="Numberheading"/>
    <w:rsid w:val="00F0165C"/>
    <w:rPr>
      <w:rFonts w:ascii="Calibri" w:hAnsi="Calibri" w:cs="Times New Roman"/>
      <w:b/>
      <w:bCs/>
      <w:color w:val="C00000"/>
      <w:sz w:val="26"/>
      <w:szCs w:val="26"/>
      <w:lang w:val="en-US"/>
    </w:rPr>
  </w:style>
  <w:style w:type="paragraph" w:customStyle="1" w:styleId="Indentpara">
    <w:name w:val="Indent para"/>
    <w:basedOn w:val="Normal"/>
    <w:qFormat/>
    <w:rsid w:val="00F0165C"/>
    <w:pPr>
      <w:spacing w:before="120" w:after="120" w:line="260" w:lineRule="exact"/>
      <w:ind w:left="720"/>
    </w:pPr>
    <w:rPr>
      <w:rFonts w:ascii="Calibri" w:eastAsia="Times New Roman" w:hAnsi="Calibri" w:cs="Times New Roman"/>
      <w:szCs w:val="24"/>
      <w:lang w:val="en-US" w:eastAsia="en-AU"/>
    </w:rPr>
  </w:style>
  <w:style w:type="paragraph" w:customStyle="1" w:styleId="numberpara">
    <w:name w:val="number para"/>
    <w:basedOn w:val="ListParagraph"/>
    <w:link w:val="numberparaChar"/>
    <w:qFormat/>
    <w:rsid w:val="00F0165C"/>
    <w:pPr>
      <w:numPr>
        <w:numId w:val="24"/>
      </w:numPr>
      <w:autoSpaceDE w:val="0"/>
      <w:autoSpaceDN w:val="0"/>
      <w:adjustRightInd w:val="0"/>
      <w:spacing w:before="120" w:after="120" w:line="240" w:lineRule="auto"/>
      <w:contextualSpacing w:val="0"/>
    </w:pPr>
    <w:rPr>
      <w:rFonts w:eastAsia="Times New Roman" w:cs="Times New Roman"/>
      <w:szCs w:val="24"/>
      <w:lang w:eastAsia="en-AU"/>
    </w:rPr>
  </w:style>
  <w:style w:type="character" w:customStyle="1" w:styleId="numberparaChar">
    <w:name w:val="number para Char"/>
    <w:basedOn w:val="ListParagraphChar"/>
    <w:link w:val="numberpara"/>
    <w:rsid w:val="00F0165C"/>
    <w:rPr>
      <w:rFonts w:eastAsia="Times New Roman" w:cs="Times New Roman"/>
      <w:szCs w:val="24"/>
      <w:lang w:eastAsia="en-AU"/>
    </w:rPr>
  </w:style>
  <w:style w:type="paragraph" w:customStyle="1" w:styleId="numberpara2">
    <w:name w:val="number para 2"/>
    <w:basedOn w:val="numberpara"/>
    <w:link w:val="numberpara2Char"/>
    <w:qFormat/>
    <w:rsid w:val="00F0165C"/>
    <w:pPr>
      <w:numPr>
        <w:ilvl w:val="1"/>
      </w:numPr>
    </w:pPr>
  </w:style>
  <w:style w:type="character" w:customStyle="1" w:styleId="numberpara2Char">
    <w:name w:val="number para 2 Char"/>
    <w:basedOn w:val="numberparaChar"/>
    <w:link w:val="numberpara2"/>
    <w:rsid w:val="00F0165C"/>
    <w:rPr>
      <w:rFonts w:eastAsia="Times New Roman" w:cs="Times New Roman"/>
      <w:szCs w:val="24"/>
      <w:lang w:eastAsia="en-AU"/>
    </w:rPr>
  </w:style>
  <w:style w:type="character" w:customStyle="1" w:styleId="st1">
    <w:name w:val="st1"/>
    <w:basedOn w:val="DefaultParagraphFont"/>
    <w:rsid w:val="002466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42457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cid:image001.png@01CC5B5E.C6C84990" TargetMode="External"/><Relationship Id="rId26" Type="http://schemas.openxmlformats.org/officeDocument/2006/relationships/header" Target="header9.xml"/><Relationship Id="rId39" Type="http://schemas.openxmlformats.org/officeDocument/2006/relationships/image" Target="media/image9.png"/><Relationship Id="rId21" Type="http://schemas.openxmlformats.org/officeDocument/2006/relationships/header" Target="header5.xml"/><Relationship Id="rId34" Type="http://schemas.openxmlformats.org/officeDocument/2006/relationships/hyperlink" Target="http://www.acpet.edu.au/" TargetMode="External"/><Relationship Id="rId42" Type="http://schemas.openxmlformats.org/officeDocument/2006/relationships/hyperlink" Target="http://www.teqsa.gov.au/" TargetMode="External"/><Relationship Id="rId47" Type="http://schemas.openxmlformats.org/officeDocument/2006/relationships/footer" Target="footer6.xml"/><Relationship Id="rId50" Type="http://schemas.openxmlformats.org/officeDocument/2006/relationships/header" Target="header17.xml"/><Relationship Id="rId55" Type="http://schemas.openxmlformats.org/officeDocument/2006/relationships/footer" Target="footer10.xml"/><Relationship Id="rId63" Type="http://schemas.openxmlformats.org/officeDocument/2006/relationships/hyperlink" Target="https://en.wikipedia.org/wiki/Geneva"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3.xml"/><Relationship Id="rId32" Type="http://schemas.openxmlformats.org/officeDocument/2006/relationships/footer" Target="footer5.xml"/><Relationship Id="rId37" Type="http://schemas.openxmlformats.org/officeDocument/2006/relationships/image" Target="media/image8.png"/><Relationship Id="rId40" Type="http://schemas.openxmlformats.org/officeDocument/2006/relationships/image" Target="media/image10.jpeg"/><Relationship Id="rId45" Type="http://schemas.openxmlformats.org/officeDocument/2006/relationships/header" Target="header14.xml"/><Relationship Id="rId53" Type="http://schemas.openxmlformats.org/officeDocument/2006/relationships/footer" Target="footer9.xml"/><Relationship Id="rId58" Type="http://schemas.openxmlformats.org/officeDocument/2006/relationships/footer" Target="footer11.xml"/><Relationship Id="rId66" Type="http://schemas.openxmlformats.org/officeDocument/2006/relationships/fontTable" Target="fontTable.xml"/><Relationship Id="rId7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footer" Target="footer4.xml"/><Relationship Id="rId36" Type="http://schemas.openxmlformats.org/officeDocument/2006/relationships/hyperlink" Target="http://cophe.edu.au/" TargetMode="External"/><Relationship Id="rId49" Type="http://schemas.openxmlformats.org/officeDocument/2006/relationships/header" Target="header16.xml"/><Relationship Id="rId57" Type="http://schemas.openxmlformats.org/officeDocument/2006/relationships/header" Target="header21.xml"/><Relationship Id="rId61" Type="http://schemas.openxmlformats.org/officeDocument/2006/relationships/footer" Target="footer13.xml"/><Relationship Id="rId10" Type="http://schemas.openxmlformats.org/officeDocument/2006/relationships/footer" Target="footer1.xml"/><Relationship Id="rId19" Type="http://schemas.openxmlformats.org/officeDocument/2006/relationships/hyperlink" Target="http://creativecommons.org/licenses/by/3.0/au/" TargetMode="External"/><Relationship Id="rId31" Type="http://schemas.openxmlformats.org/officeDocument/2006/relationships/header" Target="header13.xml"/><Relationship Id="rId44" Type="http://schemas.openxmlformats.org/officeDocument/2006/relationships/image" Target="media/image13.jpg"/><Relationship Id="rId52" Type="http://schemas.openxmlformats.org/officeDocument/2006/relationships/footer" Target="footer8.xml"/><Relationship Id="rId60" Type="http://schemas.openxmlformats.org/officeDocument/2006/relationships/header" Target="header22.xml"/><Relationship Id="rId65" Type="http://schemas.openxmlformats.org/officeDocument/2006/relationships/footer" Target="footer14.xml"/><Relationship Id="rId73" Type="http://schemas.microsoft.com/office/2011/relationships/people" Target="peop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image" Target="media/image7.png"/><Relationship Id="rId43" Type="http://schemas.openxmlformats.org/officeDocument/2006/relationships/image" Target="media/image12.png"/><Relationship Id="rId48" Type="http://schemas.openxmlformats.org/officeDocument/2006/relationships/footer" Target="footer7.xml"/><Relationship Id="rId56" Type="http://schemas.openxmlformats.org/officeDocument/2006/relationships/header" Target="header20.xml"/><Relationship Id="rId64" Type="http://schemas.openxmlformats.org/officeDocument/2006/relationships/hyperlink" Target="https://en.wikipedia.org/wiki/Switzerland" TargetMode="External"/><Relationship Id="rId8" Type="http://schemas.openxmlformats.org/officeDocument/2006/relationships/endnotes" Target="endnotes.xml"/><Relationship Id="rId51" Type="http://schemas.openxmlformats.org/officeDocument/2006/relationships/header" Target="header18.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4.png"/><Relationship Id="rId25" Type="http://schemas.openxmlformats.org/officeDocument/2006/relationships/header" Target="header8.xml"/><Relationship Id="rId33" Type="http://schemas.openxmlformats.org/officeDocument/2006/relationships/image" Target="media/image6.png"/><Relationship Id="rId38" Type="http://schemas.openxmlformats.org/officeDocument/2006/relationships/hyperlink" Target="http://www.tda.edu.au/" TargetMode="External"/><Relationship Id="rId46" Type="http://schemas.openxmlformats.org/officeDocument/2006/relationships/header" Target="header15.xml"/><Relationship Id="rId59" Type="http://schemas.openxmlformats.org/officeDocument/2006/relationships/footer" Target="footer12.xml"/><Relationship Id="rId67" Type="http://schemas.openxmlformats.org/officeDocument/2006/relationships/theme" Target="theme/theme1.xml"/><Relationship Id="rId20" Type="http://schemas.openxmlformats.org/officeDocument/2006/relationships/hyperlink" Target="http://creativecommons.org/licenses/by/3.0/au/legalcode" TargetMode="External"/><Relationship Id="rId41" Type="http://schemas.openxmlformats.org/officeDocument/2006/relationships/image" Target="media/image11.png"/><Relationship Id="rId54" Type="http://schemas.openxmlformats.org/officeDocument/2006/relationships/header" Target="header19.xml"/><Relationship Id="rId62" Type="http://schemas.openxmlformats.org/officeDocument/2006/relationships/hyperlink" Target="https://en.wikipedia.org/wiki/Foundation_(charit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11.xml.rels><?xml version="1.0" encoding="UTF-8" standalone="yes"?>
<Relationships xmlns="http://schemas.openxmlformats.org/package/2006/relationships"><Relationship Id="rId1" Type="http://schemas.openxmlformats.org/officeDocument/2006/relationships/image" Target="media/image1.jpg"/></Relationships>
</file>

<file path=word/_rels/footer12.xml.rels><?xml version="1.0" encoding="UTF-8" standalone="yes"?>
<Relationships xmlns="http://schemas.openxmlformats.org/package/2006/relationships"><Relationship Id="rId1" Type="http://schemas.openxmlformats.org/officeDocument/2006/relationships/image" Target="media/image1.jpg"/></Relationships>
</file>

<file path=word/_rels/footer13.xml.rels><?xml version="1.0" encoding="UTF-8" standalone="yes"?>
<Relationships xmlns="http://schemas.openxmlformats.org/package/2006/relationships"><Relationship Id="rId1" Type="http://schemas.openxmlformats.org/officeDocument/2006/relationships/image" Target="media/image1.jpg"/></Relationships>
</file>

<file path=word/_rels/footer14.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_rels/footer6.xml.rels><?xml version="1.0" encoding="UTF-8" standalone="yes"?>
<Relationships xmlns="http://schemas.openxmlformats.org/package/2006/relationships"><Relationship Id="rId1" Type="http://schemas.openxmlformats.org/officeDocument/2006/relationships/image" Target="media/image1.jpg"/></Relationships>
</file>

<file path=word/_rels/footer7.xml.rels><?xml version="1.0" encoding="UTF-8" standalone="yes"?>
<Relationships xmlns="http://schemas.openxmlformats.org/package/2006/relationships"><Relationship Id="rId1" Type="http://schemas.openxmlformats.org/officeDocument/2006/relationships/image" Target="media/image1.jpg"/></Relationships>
</file>

<file path=word/_rels/footer8.xml.rels><?xml version="1.0" encoding="UTF-8" standalone="yes"?>
<Relationships xmlns="http://schemas.openxmlformats.org/package/2006/relationships"><Relationship Id="rId1" Type="http://schemas.openxmlformats.org/officeDocument/2006/relationships/image" Target="media/image1.jpg"/></Relationships>
</file>

<file path=word/_rels/footer9.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E9C42-3F96-4A04-9ED8-A733668AB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15334</Words>
  <Characters>87405</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The Australian Research Data Infrastructure Strategy</vt:lpstr>
    </vt:vector>
  </TitlesOfParts>
  <Company>Australian Government</Company>
  <LinksUpToDate>false</LinksUpToDate>
  <CharactersWithSpaces>102534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Australian Research Data Infrastructure Strategy</dc:title>
  <dc:creator>Danny Thomas</dc:creator>
  <cp:lastModifiedBy>Qaz</cp:lastModifiedBy>
  <cp:revision>2</cp:revision>
  <cp:lastPrinted>2017-06-08T02:42:00Z</cp:lastPrinted>
  <dcterms:created xsi:type="dcterms:W3CDTF">2017-06-16T05:00:00Z</dcterms:created>
  <dcterms:modified xsi:type="dcterms:W3CDTF">2017-06-16T05:00:00Z</dcterms:modified>
</cp:coreProperties>
</file>