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D1EEF" w14:textId="77777777" w:rsidR="0019508E" w:rsidRDefault="00CB32EE" w:rsidP="00AA615C">
      <w:pPr>
        <w:spacing w:after="0"/>
        <w:sectPr w:rsidR="0019508E" w:rsidSect="00681479">
          <w:footerReference w:type="default" r:id="rId12"/>
          <w:footerReference w:type="first" r:id="rId13"/>
          <w:pgSz w:w="11907" w:h="16839" w:code="9"/>
          <w:pgMar w:top="0" w:right="1440" w:bottom="1440" w:left="0" w:header="0" w:footer="283" w:gutter="0"/>
          <w:cols w:space="708"/>
          <w:titlePg/>
          <w:docGrid w:linePitch="360"/>
        </w:sectPr>
      </w:pPr>
      <w:r>
        <w:rPr>
          <w:lang w:eastAsia="en-AU"/>
        </w:rPr>
        <w:drawing>
          <wp:inline distT="0" distB="0" distL="0" distR="0" wp14:anchorId="0ABD1F0A" wp14:editId="0ABD1F0B">
            <wp:extent cx="7596000" cy="2238982"/>
            <wp:effectExtent l="0" t="0" r="5080" b="9525"/>
            <wp:docPr id="3" name="Picture 3" descr="Australian Government. Qualit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130 - SCH - Pre-Budget announcement factsheets and social media tiles\ED17-0130 - SCH - Quality Schools, Quality Outcomes Factsheet Template\links\ED17-0130 - SCH -Quality Schools Template_Header_01.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96000" cy="2238982"/>
                    </a:xfrm>
                    <a:prstGeom prst="rect">
                      <a:avLst/>
                    </a:prstGeom>
                    <a:noFill/>
                    <a:ln>
                      <a:noFill/>
                    </a:ln>
                  </pic:spPr>
                </pic:pic>
              </a:graphicData>
            </a:graphic>
          </wp:inline>
        </w:drawing>
      </w:r>
    </w:p>
    <w:p w14:paraId="0ABD1EF0" w14:textId="77777777" w:rsidR="003C6FE2" w:rsidRDefault="000022EE" w:rsidP="009F53EB">
      <w:pPr>
        <w:pStyle w:val="Title"/>
        <w:spacing w:before="200"/>
      </w:pPr>
      <w:r>
        <w:lastRenderedPageBreak/>
        <w:t>The case for change</w:t>
      </w:r>
    </w:p>
    <w:p w14:paraId="0ABD1EF1" w14:textId="4582A29D" w:rsidR="000022EE" w:rsidRPr="009F53EB" w:rsidRDefault="000022EE" w:rsidP="000022EE">
      <w:pPr>
        <w:pStyle w:val="Heading1"/>
        <w:rPr>
          <w:sz w:val="32"/>
          <w:szCs w:val="32"/>
        </w:rPr>
      </w:pPr>
      <w:r w:rsidRPr="009F53EB">
        <w:rPr>
          <w:sz w:val="32"/>
          <w:szCs w:val="32"/>
        </w:rPr>
        <w:t xml:space="preserve">While schools funding has been growing, results </w:t>
      </w:r>
      <w:r w:rsidR="00C32834">
        <w:rPr>
          <w:sz w:val="32"/>
          <w:szCs w:val="32"/>
        </w:rPr>
        <w:t xml:space="preserve">are declining </w:t>
      </w:r>
    </w:p>
    <w:p w14:paraId="17FC7F97" w14:textId="5F57ED3E" w:rsidR="009F53EB" w:rsidRPr="009F53EB" w:rsidRDefault="009F53EB" w:rsidP="009F53EB">
      <w:pPr>
        <w:spacing w:after="200"/>
      </w:pPr>
      <w:r w:rsidRPr="009F53EB">
        <w:t>The Government is growing its record levels of recurrent funding for schools from $</w:t>
      </w:r>
      <w:r w:rsidR="00EE4203">
        <w:t>17.5</w:t>
      </w:r>
      <w:r w:rsidRPr="009F53EB">
        <w:t xml:space="preserve"> billion in 2017 to $</w:t>
      </w:r>
      <w:r w:rsidR="00EE4203">
        <w:t>30.6</w:t>
      </w:r>
      <w:r w:rsidRPr="009F53EB">
        <w:t> billion in 2027.</w:t>
      </w:r>
      <w:r>
        <w:t xml:space="preserve"> </w:t>
      </w:r>
      <w:r w:rsidRPr="009F53EB">
        <w:t>Total combined Commonwealth and state Government funding has grown in real terms by 15.4 p</w:t>
      </w:r>
      <w:r w:rsidR="00C855B8">
        <w:t>er cent per student over the 10</w:t>
      </w:r>
      <w:bookmarkStart w:id="0" w:name="_GoBack"/>
      <w:bookmarkEnd w:id="0"/>
      <w:r w:rsidRPr="009F53EB">
        <w:t xml:space="preserve"> year period from 2005-06 to 2014-15.</w:t>
      </w:r>
    </w:p>
    <w:p w14:paraId="4CB78ABD" w14:textId="554848EB" w:rsidR="009F53EB" w:rsidRPr="009F53EB" w:rsidRDefault="009F53EB" w:rsidP="009F53EB">
      <w:pPr>
        <w:spacing w:after="200"/>
      </w:pPr>
      <w:r w:rsidRPr="009F53EB">
        <w:t xml:space="preserve">Over this period, Commonwealth funding </w:t>
      </w:r>
      <w:r w:rsidRPr="009F53EB">
        <w:rPr>
          <w:bCs/>
        </w:rPr>
        <w:t>per student</w:t>
      </w:r>
      <w:r w:rsidRPr="009F53EB">
        <w:t xml:space="preserve"> has increased in real terms by 72.4 per cent for government schools and 25.7 per cent for non-government schools while comparable </w:t>
      </w:r>
      <w:r w:rsidR="00D459B3" w:rsidRPr="009F53EB">
        <w:t xml:space="preserve">state </w:t>
      </w:r>
      <w:r w:rsidRPr="009F53EB">
        <w:t xml:space="preserve">and </w:t>
      </w:r>
      <w:r w:rsidR="00D459B3" w:rsidRPr="009F53EB">
        <w:t xml:space="preserve">territory </w:t>
      </w:r>
      <w:r w:rsidRPr="009F53EB">
        <w:t>funding has grown by only 9.4 per cent to their own government schools and by 10.6 per cent to non-government schools.</w:t>
      </w:r>
    </w:p>
    <w:p w14:paraId="47A3214B" w14:textId="0C974ECF" w:rsidR="009F53EB" w:rsidRPr="009F53EB" w:rsidRDefault="009F53EB" w:rsidP="009F53EB">
      <w:pPr>
        <w:spacing w:after="240"/>
      </w:pPr>
      <w:r w:rsidRPr="009F53EB">
        <w:t>According to independent analysis, Australia is now among the highest investors in school education in the Organisation for Economic Co-operation and Development (OECD).</w:t>
      </w:r>
      <w:r>
        <w:t xml:space="preserve"> </w:t>
      </w:r>
      <w:r w:rsidRPr="009F53EB">
        <w:t xml:space="preserve">However, Australia’s performance in international testing has declined both relative to other countries and in real terms. </w:t>
      </w:r>
    </w:p>
    <w:p w14:paraId="58411CC7" w14:textId="77777777" w:rsidR="009F53EB" w:rsidRPr="009F53EB" w:rsidRDefault="009F53EB" w:rsidP="009F53EB">
      <w:pPr>
        <w:spacing w:after="240"/>
      </w:pPr>
      <w:r w:rsidRPr="009F53EB">
        <w:t>The 2015 Programme for International Student Assessment (PISA) report showed that:</w:t>
      </w:r>
    </w:p>
    <w:p w14:paraId="54F9D2A9" w14:textId="77777777" w:rsidR="009F53EB" w:rsidRPr="009F53EB" w:rsidRDefault="009F53EB" w:rsidP="007C3123">
      <w:pPr>
        <w:numPr>
          <w:ilvl w:val="0"/>
          <w:numId w:val="37"/>
        </w:numPr>
        <w:ind w:left="714" w:hanging="357"/>
      </w:pPr>
      <w:r w:rsidRPr="009F53EB">
        <w:t>Australian science students are seven months behind where they were in 2006</w:t>
      </w:r>
    </w:p>
    <w:p w14:paraId="0F138B78" w14:textId="77777777" w:rsidR="009F53EB" w:rsidRPr="009F53EB" w:rsidRDefault="009F53EB" w:rsidP="007C3123">
      <w:pPr>
        <w:numPr>
          <w:ilvl w:val="0"/>
          <w:numId w:val="37"/>
        </w:numPr>
        <w:ind w:left="714" w:hanging="357"/>
      </w:pPr>
      <w:r w:rsidRPr="009F53EB">
        <w:t>Australian maths students are a year of schooling behind where they were in 2003</w:t>
      </w:r>
    </w:p>
    <w:p w14:paraId="7BDA278C" w14:textId="2AB16A81" w:rsidR="009F53EB" w:rsidRPr="009F53EB" w:rsidRDefault="009F53EB" w:rsidP="009F53EB">
      <w:pPr>
        <w:numPr>
          <w:ilvl w:val="0"/>
          <w:numId w:val="37"/>
        </w:numPr>
        <w:spacing w:after="240"/>
      </w:pPr>
      <w:r w:rsidRPr="009F53EB">
        <w:t>Australian students’ reading abilities</w:t>
      </w:r>
      <w:r w:rsidR="00D459B3">
        <w:t xml:space="preserve"> have dropped a year since 2000</w:t>
      </w:r>
    </w:p>
    <w:p w14:paraId="7B2C2575" w14:textId="4EFD601D" w:rsidR="009F53EB" w:rsidRPr="009F53EB" w:rsidRDefault="009F53EB" w:rsidP="009F53EB">
      <w:pPr>
        <w:spacing w:after="240"/>
      </w:pPr>
      <w:r w:rsidRPr="009F53EB">
        <w:t xml:space="preserve">Evidence from the OECD is clear that simply providing more funding does not in itself improve student outcomes. The OECD has found that for high-income countries like Australia it matters more </w:t>
      </w:r>
      <w:r w:rsidRPr="009F53EB">
        <w:rPr>
          <w:iCs/>
        </w:rPr>
        <w:t>how</w:t>
      </w:r>
      <w:r w:rsidRPr="009F53EB">
        <w:t xml:space="preserve"> money is spent, than </w:t>
      </w:r>
      <w:r w:rsidRPr="009F53EB">
        <w:rPr>
          <w:iCs/>
        </w:rPr>
        <w:t>how much</w:t>
      </w:r>
      <w:r w:rsidRPr="009F53EB">
        <w:t xml:space="preserve"> is spent. </w:t>
      </w:r>
    </w:p>
    <w:p w14:paraId="0ABD1EFC" w14:textId="77777777" w:rsidR="000022EE" w:rsidRPr="00891739" w:rsidRDefault="000022EE" w:rsidP="000022EE">
      <w:pPr>
        <w:jc w:val="center"/>
      </w:pPr>
      <w:r>
        <w:rPr>
          <w:lang w:eastAsia="en-AU"/>
        </w:rPr>
        <w:drawing>
          <wp:inline distT="0" distB="0" distL="0" distR="0" wp14:anchorId="0ABD1F0C" wp14:editId="249920CB">
            <wp:extent cx="3495602" cy="2192839"/>
            <wp:effectExtent l="0" t="0" r="0" b="0"/>
            <wp:docPr id="2" name="Picture 2" descr="Chart depicting the trends as discuss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o2566\AppData\Local\Microsoft\Windows\Temporary Internet Files\Content.Word\ED17-0034 Quality Schools PISA Graph Updates_Graph_0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0361"/>
                    <a:stretch/>
                  </pic:blipFill>
                  <pic:spPr bwMode="auto">
                    <a:xfrm>
                      <a:off x="0" y="0"/>
                      <a:ext cx="3515996" cy="2205632"/>
                    </a:xfrm>
                    <a:prstGeom prst="rect">
                      <a:avLst/>
                    </a:prstGeom>
                    <a:noFill/>
                    <a:ln>
                      <a:noFill/>
                    </a:ln>
                    <a:extLst>
                      <a:ext uri="{53640926-AAD7-44D8-BBD7-CCE9431645EC}">
                        <a14:shadowObscured xmlns:a14="http://schemas.microsoft.com/office/drawing/2010/main"/>
                      </a:ext>
                    </a:extLst>
                  </pic:spPr>
                </pic:pic>
              </a:graphicData>
            </a:graphic>
          </wp:inline>
        </w:drawing>
      </w:r>
    </w:p>
    <w:p w14:paraId="0ABD1EFD" w14:textId="5DC1681B" w:rsidR="00D47CA9" w:rsidRPr="00D47CA9" w:rsidRDefault="00D47CA9" w:rsidP="00540F43">
      <w:pPr>
        <w:spacing w:line="170" w:lineRule="exact"/>
        <w:ind w:left="624" w:hanging="624"/>
        <w:rPr>
          <w:i/>
          <w:iCs/>
          <w:sz w:val="16"/>
          <w:szCs w:val="16"/>
        </w:rPr>
      </w:pPr>
      <w:r w:rsidRPr="00D47CA9">
        <w:rPr>
          <w:i/>
          <w:iCs/>
          <w:sz w:val="16"/>
          <w:szCs w:val="16"/>
        </w:rPr>
        <w:t xml:space="preserve">Source:  PISA 2015: Reporting Australia’s results (ACER) Report </w:t>
      </w:r>
      <w:r w:rsidR="003079CE">
        <w:rPr>
          <w:i/>
          <w:iCs/>
          <w:sz w:val="16"/>
          <w:szCs w:val="16"/>
        </w:rPr>
        <w:t>on Government Services, (1999 –</w:t>
      </w:r>
      <w:r w:rsidRPr="00D47CA9">
        <w:rPr>
          <w:i/>
          <w:iCs/>
          <w:sz w:val="16"/>
          <w:szCs w:val="16"/>
        </w:rPr>
        <w:t>2017), Australian Productivity Commission</w:t>
      </w:r>
    </w:p>
    <w:p w14:paraId="0ABD1EFF" w14:textId="77777777" w:rsidR="000022EE" w:rsidRPr="00891739" w:rsidRDefault="000022EE" w:rsidP="00891739">
      <w:pPr>
        <w:pStyle w:val="Heading1"/>
        <w:rPr>
          <w:sz w:val="32"/>
          <w:szCs w:val="32"/>
        </w:rPr>
      </w:pPr>
      <w:r w:rsidRPr="00891739">
        <w:rPr>
          <w:sz w:val="32"/>
          <w:szCs w:val="32"/>
        </w:rPr>
        <w:lastRenderedPageBreak/>
        <w:t>Current school funding arrangements are not fair and must change</w:t>
      </w:r>
    </w:p>
    <w:p w14:paraId="4E251EEA" w14:textId="77777777" w:rsidR="009F53EB" w:rsidRPr="009F53EB" w:rsidRDefault="009F53EB" w:rsidP="008371B7">
      <w:pPr>
        <w:spacing w:after="200"/>
      </w:pPr>
      <w:r w:rsidRPr="009F53EB">
        <w:t>Commonwealth funding for schools is currently determined based on history and special deals.</w:t>
      </w:r>
    </w:p>
    <w:p w14:paraId="011FDDE3" w14:textId="77777777" w:rsidR="009F53EB" w:rsidRPr="009F53EB" w:rsidRDefault="009F53EB" w:rsidP="008371B7">
      <w:pPr>
        <w:spacing w:after="200"/>
      </w:pPr>
      <w:r w:rsidRPr="009F53EB">
        <w:t xml:space="preserve">As a result, a student with the same need in the same sector attracts a different amount of Commonwealth funding in each state.  </w:t>
      </w:r>
    </w:p>
    <w:p w14:paraId="3E901000" w14:textId="77777777" w:rsidR="009F53EB" w:rsidRPr="009F53EB" w:rsidRDefault="009F53EB" w:rsidP="008371B7">
      <w:pPr>
        <w:spacing w:after="200"/>
      </w:pPr>
      <w:r w:rsidRPr="009F53EB">
        <w:t>For example, a government school in South Australia gets around two-thirds of what the same school would get from the Commonwealth if it was just over the border in the Northern Territory.</w:t>
      </w:r>
    </w:p>
    <w:p w14:paraId="37C2B53B" w14:textId="77777777" w:rsidR="009F53EB" w:rsidRPr="009F53EB" w:rsidRDefault="009F53EB" w:rsidP="008371B7">
      <w:pPr>
        <w:spacing w:after="200"/>
      </w:pPr>
      <w:r w:rsidRPr="009F53EB">
        <w:t xml:space="preserve">This inequity affects all sectors. For example, Commonwealth funding for an independent school in Tasmania is less than 90 per cent of what its funding would be for an identical school in Victoria. </w:t>
      </w:r>
    </w:p>
    <w:p w14:paraId="2A4C1A72" w14:textId="0BD29BC8" w:rsidR="00135246" w:rsidRDefault="00135246" w:rsidP="00135246">
      <w:pPr>
        <w:spacing w:after="200"/>
      </w:pPr>
      <w:r>
        <w:t>If</w:t>
      </w:r>
      <w:r w:rsidRPr="00E753D7">
        <w:t xml:space="preserve"> current arrangements were to continue, </w:t>
      </w:r>
      <w:r>
        <w:t>by 2019 it is estimated that there would have been:</w:t>
      </w:r>
    </w:p>
    <w:p w14:paraId="449F5677" w14:textId="77777777" w:rsidR="00135246" w:rsidRDefault="00135246" w:rsidP="00135246">
      <w:pPr>
        <w:numPr>
          <w:ilvl w:val="0"/>
          <w:numId w:val="38"/>
        </w:numPr>
        <w:ind w:left="714" w:hanging="357"/>
      </w:pPr>
      <w:r>
        <w:t>only 116 schools that had managed to reach 100 per cent of the Schooling Resource Standard, with 9,018 schools still being funded below</w:t>
      </w:r>
    </w:p>
    <w:p w14:paraId="2FC4DEE9" w14:textId="77777777" w:rsidR="00135246" w:rsidRDefault="00135246" w:rsidP="00135246">
      <w:pPr>
        <w:numPr>
          <w:ilvl w:val="0"/>
          <w:numId w:val="38"/>
        </w:numPr>
        <w:ind w:left="714" w:hanging="357"/>
      </w:pPr>
      <w:r>
        <w:t>5,524 schools still left below the funding target of 95 per cent of the Schooling Resource Standard by 2019, underfunded by an average of almost $458,000 for every school</w:t>
      </w:r>
    </w:p>
    <w:p w14:paraId="2EA855A8" w14:textId="77777777" w:rsidR="00135246" w:rsidRDefault="00135246" w:rsidP="00135246">
      <w:pPr>
        <w:numPr>
          <w:ilvl w:val="0"/>
          <w:numId w:val="38"/>
        </w:numPr>
        <w:ind w:left="714" w:hanging="357"/>
      </w:pPr>
      <w:r>
        <w:t>around 256 schools receiving more than the full Schooling Resource Standard by an average of $1.2 million</w:t>
      </w:r>
    </w:p>
    <w:p w14:paraId="0AEACCAD" w14:textId="77777777" w:rsidR="00135246" w:rsidRDefault="00135246" w:rsidP="00135246">
      <w:pPr>
        <w:spacing w:after="200"/>
      </w:pPr>
      <w:r>
        <w:t>By 2027, 6,966 schools would still have been below the full Schooling Resource Standard by an average of approximately $690,000.</w:t>
      </w:r>
    </w:p>
    <w:p w14:paraId="6F446CE4" w14:textId="1D817E2F" w:rsidR="009F53EB" w:rsidRPr="009F53EB" w:rsidRDefault="00135246" w:rsidP="00135246">
      <w:pPr>
        <w:spacing w:after="200"/>
      </w:pPr>
      <w:r>
        <w:t>Under current arrangements, e</w:t>
      </w:r>
      <w:r w:rsidRPr="00E753D7">
        <w:t>ven the most overfunded of schools get a guaranteed three per cent growth in funding each and every year under the current arrangements, regardless of need.</w:t>
      </w:r>
      <w:r>
        <w:t xml:space="preserve"> </w:t>
      </w:r>
      <w:r w:rsidRPr="00E753D7">
        <w:t>Many of these schools will remain overfunded for decades – more than 150 years in the worst case.</w:t>
      </w:r>
      <w:r w:rsidR="009F53EB" w:rsidRPr="009F53EB">
        <w:t xml:space="preserve"> This is not sustainable.</w:t>
      </w:r>
    </w:p>
    <w:p w14:paraId="0ABD1F06" w14:textId="77777777" w:rsidR="000022EE" w:rsidRPr="00891739" w:rsidRDefault="000022EE" w:rsidP="00891739">
      <w:pPr>
        <w:pStyle w:val="Heading1"/>
        <w:rPr>
          <w:sz w:val="32"/>
          <w:szCs w:val="32"/>
        </w:rPr>
      </w:pPr>
      <w:r w:rsidRPr="00891739">
        <w:rPr>
          <w:sz w:val="32"/>
          <w:szCs w:val="32"/>
        </w:rPr>
        <w:t>The Australian Government is moving to a fair, needs-based funding model that is tied to reforms</w:t>
      </w:r>
    </w:p>
    <w:p w14:paraId="39401823" w14:textId="38766E37" w:rsidR="003079CE" w:rsidRDefault="009F53EB" w:rsidP="008371B7">
      <w:pPr>
        <w:spacing w:after="200"/>
      </w:pPr>
      <w:r w:rsidRPr="009F53EB">
        <w:t>From 2018, the Government will be introducing new arrangements for funding schools which will be fair, transparent and tied to reforms that will boost education outcomes—moving all schools and states to truly needs b</w:t>
      </w:r>
      <w:r w:rsidR="00891739">
        <w:t>ased funding in just ten years.</w:t>
      </w:r>
    </w:p>
    <w:p w14:paraId="151A75AC" w14:textId="1031A6A4" w:rsidR="003079CE" w:rsidRDefault="009F53EB" w:rsidP="008371B7">
      <w:pPr>
        <w:spacing w:after="200"/>
      </w:pPr>
      <w:r w:rsidRPr="009F53EB">
        <w:t xml:space="preserve">To support efforts to lift outcomes, the Government has also commissioned a </w:t>
      </w:r>
      <w:r w:rsidRPr="00916249">
        <w:rPr>
          <w:i/>
        </w:rPr>
        <w:t>Review to Achieve Educational Excellence in Australian Schools</w:t>
      </w:r>
      <w:r w:rsidRPr="009F53EB">
        <w:t>, to be chaired by Mr David Gonski A</w:t>
      </w:r>
      <w:r w:rsidR="00527E37">
        <w:t>C</w:t>
      </w:r>
      <w:r w:rsidRPr="009F53EB">
        <w:t>.</w:t>
      </w:r>
    </w:p>
    <w:p w14:paraId="0ABD1F08" w14:textId="610ECF40" w:rsidR="000022EE" w:rsidRPr="000022EE" w:rsidRDefault="009F53EB" w:rsidP="00891739">
      <w:pPr>
        <w:spacing w:after="200"/>
      </w:pPr>
      <w:r w:rsidRPr="009F53EB">
        <w:t>The Review will provide advice on how the extra Commonwealth funding provided in the 2017 Budget should be invested to improve Australian schools’ performance, and grow student achievement.</w:t>
      </w:r>
    </w:p>
    <w:sectPr w:rsidR="000022EE" w:rsidRPr="000022EE" w:rsidSect="00C958F3">
      <w:type w:val="continuous"/>
      <w:pgSz w:w="11907" w:h="16839" w:code="9"/>
      <w:pgMar w:top="1440" w:right="964" w:bottom="851" w:left="96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31AF9" w14:textId="77777777" w:rsidR="00C91975" w:rsidRDefault="00C91975" w:rsidP="00A04F7E">
      <w:r>
        <w:separator/>
      </w:r>
    </w:p>
    <w:p w14:paraId="4FBEA909" w14:textId="77777777" w:rsidR="00C91975" w:rsidRDefault="00C91975"/>
  </w:endnote>
  <w:endnote w:type="continuationSeparator" w:id="0">
    <w:p w14:paraId="7F57B1F4" w14:textId="77777777" w:rsidR="00C91975" w:rsidRDefault="00C91975" w:rsidP="00A04F7E">
      <w:r>
        <w:continuationSeparator/>
      </w:r>
    </w:p>
    <w:p w14:paraId="6252EB8E" w14:textId="77777777" w:rsidR="00C91975" w:rsidRDefault="00C91975"/>
  </w:endnote>
  <w:endnote w:type="continuationNotice" w:id="1">
    <w:p w14:paraId="472AE575" w14:textId="77777777" w:rsidR="00C91975" w:rsidRDefault="00C919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1F16" w14:textId="77777777" w:rsidR="00C91975" w:rsidRPr="00E63482" w:rsidRDefault="00C91975" w:rsidP="00681479">
    <w:pPr>
      <w:pStyle w:val="Footer"/>
    </w:pPr>
    <w:r w:rsidRPr="00E63482">
      <w:rPr>
        <w:lang w:eastAsia="en-AU"/>
      </w:rPr>
      <w:drawing>
        <wp:anchor distT="0" distB="0" distL="114300" distR="114300" simplePos="0" relativeHeight="251658241" behindDoc="1" locked="0" layoutInCell="1" allowOverlap="1" wp14:anchorId="0ABD1F18" wp14:editId="0ABD1F19">
          <wp:simplePos x="0" y="0"/>
          <wp:positionH relativeFrom="column">
            <wp:posOffset>-621665</wp:posOffset>
          </wp:positionH>
          <wp:positionV relativeFrom="paragraph">
            <wp:posOffset>-146598</wp:posOffset>
          </wp:positionV>
          <wp:extent cx="7668000" cy="478800"/>
          <wp:effectExtent l="0" t="0" r="9525"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788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63482">
        <w:rPr>
          <w:rStyle w:val="Hyperlink"/>
          <w:color w:val="FFFFFF" w:themeColor="background2"/>
          <w:u w:val="none"/>
        </w:rPr>
        <w:t>www.education.gov.au/qualityschools</w:t>
      </w:r>
    </w:hyperlink>
    <w:r w:rsidRPr="00E6348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D1F17" w14:textId="77777777" w:rsidR="00C91975" w:rsidRPr="00E63482" w:rsidRDefault="00C91975" w:rsidP="00681479">
    <w:pPr>
      <w:pStyle w:val="Footer"/>
      <w:ind w:left="964"/>
    </w:pPr>
    <w:r w:rsidRPr="00E63482">
      <w:rPr>
        <w:lang w:eastAsia="en-AU"/>
      </w:rPr>
      <w:drawing>
        <wp:anchor distT="0" distB="0" distL="114300" distR="114300" simplePos="0" relativeHeight="251658240" behindDoc="1" locked="0" layoutInCell="1" allowOverlap="1" wp14:anchorId="0ABD1F1A" wp14:editId="0ABD1F1B">
          <wp:simplePos x="0" y="0"/>
          <wp:positionH relativeFrom="column">
            <wp:posOffset>-3810</wp:posOffset>
          </wp:positionH>
          <wp:positionV relativeFrom="paragraph">
            <wp:posOffset>-137452</wp:posOffset>
          </wp:positionV>
          <wp:extent cx="7668000" cy="478800"/>
          <wp:effectExtent l="0" t="0" r="9525" b="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78800"/>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E63482">
        <w:rPr>
          <w:rStyle w:val="Hyperlink"/>
          <w:color w:val="FFFFFF" w:themeColor="background2"/>
          <w:u w:val="none"/>
        </w:rPr>
        <w:t>www.education.gov.au/qualityschools</w:t>
      </w:r>
    </w:hyperlink>
    <w:r w:rsidRPr="00E6348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926BE" w14:textId="77777777" w:rsidR="00C91975" w:rsidRDefault="00C91975" w:rsidP="00A04F7E">
      <w:r>
        <w:separator/>
      </w:r>
    </w:p>
    <w:p w14:paraId="710010C0" w14:textId="77777777" w:rsidR="00C91975" w:rsidRDefault="00C91975"/>
  </w:footnote>
  <w:footnote w:type="continuationSeparator" w:id="0">
    <w:p w14:paraId="5FF194F9" w14:textId="77777777" w:rsidR="00C91975" w:rsidRDefault="00C91975" w:rsidP="00A04F7E">
      <w:r>
        <w:continuationSeparator/>
      </w:r>
    </w:p>
    <w:p w14:paraId="51ED0C31" w14:textId="77777777" w:rsidR="00C91975" w:rsidRDefault="00C91975"/>
  </w:footnote>
  <w:footnote w:type="continuationNotice" w:id="1">
    <w:p w14:paraId="3B3CCCEC" w14:textId="77777777" w:rsidR="00C91975" w:rsidRDefault="00C9197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CE3F80"/>
    <w:multiLevelType w:val="hybridMultilevel"/>
    <w:tmpl w:val="981E5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A784D04"/>
    <w:multiLevelType w:val="hybridMultilevel"/>
    <w:tmpl w:val="AB1E254E"/>
    <w:lvl w:ilvl="0" w:tplc="78CCB112">
      <w:start w:val="1"/>
      <w:numFmt w:val="lowerLetter"/>
      <w:lvlText w:val="(%1)"/>
      <w:lvlJc w:val="left"/>
      <w:pPr>
        <w:ind w:left="720" w:hanging="360"/>
      </w:pPr>
      <w:rPr>
        <w:rFonts w:ascii="Calibri" w:hAnsi="Calibri" w:cs="Calibri" w:hint="default"/>
        <w:color w:val="auto"/>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AF04FC5"/>
    <w:multiLevelType w:val="hybridMultilevel"/>
    <w:tmpl w:val="4092A1FC"/>
    <w:lvl w:ilvl="0" w:tplc="58CC0F1C">
      <w:start w:val="1"/>
      <w:numFmt w:val="bullet"/>
      <w:lvlText w:val=""/>
      <w:lvlJc w:val="left"/>
      <w:pPr>
        <w:ind w:left="720" w:hanging="360"/>
      </w:pPr>
      <w:rPr>
        <w:rFonts w:ascii="Symbol" w:hAnsi="Symbol" w:hint="default"/>
        <w:color w:val="005D9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B515A43"/>
    <w:multiLevelType w:val="multilevel"/>
    <w:tmpl w:val="E1FAB08A"/>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3E5736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1B1B106D"/>
    <w:multiLevelType w:val="multilevel"/>
    <w:tmpl w:val="1922AB32"/>
    <w:lvl w:ilvl="0">
      <w:start w:val="1"/>
      <w:numFmt w:val="decimal"/>
      <w:lvlText w:val="%1."/>
      <w:lvlJc w:val="left"/>
      <w:pPr>
        <w:ind w:left="482" w:hanging="482"/>
      </w:pPr>
      <w:rPr>
        <w:rFonts w:hint="default"/>
      </w:rPr>
    </w:lvl>
    <w:lvl w:ilvl="1">
      <w:start w:val="1"/>
      <w:numFmt w:val="decimal"/>
      <w:lvlText w:val="%1.%2"/>
      <w:lvlJc w:val="left"/>
      <w:pPr>
        <w:ind w:left="482" w:hanging="48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nsid w:val="26414EFD"/>
    <w:multiLevelType w:val="multilevel"/>
    <w:tmpl w:val="8A7C60F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79455A"/>
    <w:multiLevelType w:val="multilevel"/>
    <w:tmpl w:val="240AE6FC"/>
    <w:lvl w:ilvl="0">
      <w:start w:val="1"/>
      <w:numFmt w:val="decimal"/>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24">
    <w:nsid w:val="4F302CCD"/>
    <w:multiLevelType w:val="multilevel"/>
    <w:tmpl w:val="1BA01A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3AF169C"/>
    <w:multiLevelType w:val="hybridMultilevel"/>
    <w:tmpl w:val="2CB2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2">
    <w:nsid w:val="7FAA6E70"/>
    <w:multiLevelType w:val="hybridMultilevel"/>
    <w:tmpl w:val="6CD48978"/>
    <w:lvl w:ilvl="0" w:tplc="5C965486">
      <w:start w:val="1"/>
      <w:numFmt w:val="bullet"/>
      <w:lvlText w:val=""/>
      <w:lvlJc w:val="left"/>
      <w:pPr>
        <w:ind w:left="360" w:hanging="360"/>
      </w:pPr>
      <w:rPr>
        <w:rFonts w:ascii="Symbol" w:hAnsi="Symbol" w:hint="default"/>
        <w:color w:val="0A598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0"/>
  </w:num>
  <w:num w:numId="15">
    <w:abstractNumId w:val="17"/>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9"/>
  </w:num>
  <w:num w:numId="21">
    <w:abstractNumId w:val="11"/>
  </w:num>
  <w:num w:numId="22">
    <w:abstractNumId w:val="31"/>
  </w:num>
  <w:num w:numId="23">
    <w:abstractNumId w:val="22"/>
  </w:num>
  <w:num w:numId="24">
    <w:abstractNumId w:val="26"/>
  </w:num>
  <w:num w:numId="25">
    <w:abstractNumId w:val="9"/>
  </w:num>
  <w:num w:numId="26">
    <w:abstractNumId w:val="23"/>
  </w:num>
  <w:num w:numId="27">
    <w:abstractNumId w:val="13"/>
  </w:num>
  <w:num w:numId="28">
    <w:abstractNumId w:val="14"/>
  </w:num>
  <w:num w:numId="29">
    <w:abstractNumId w:val="32"/>
  </w:num>
  <w:num w:numId="30">
    <w:abstractNumId w:val="24"/>
  </w:num>
  <w:num w:numId="31">
    <w:abstractNumId w:val="19"/>
  </w:num>
  <w:num w:numId="32">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357" w:hanging="35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6"/>
  </w:num>
  <w:num w:numId="35">
    <w:abstractNumId w:val="21"/>
  </w:num>
  <w:num w:numId="36">
    <w:abstractNumId w:val="15"/>
  </w:num>
  <w:num w:numId="37">
    <w:abstractNumId w:val="1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stylePaneSortMethod w:val="00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2EE"/>
    <w:rsid w:val="00002721"/>
    <w:rsid w:val="000036D9"/>
    <w:rsid w:val="00003FCE"/>
    <w:rsid w:val="000133DB"/>
    <w:rsid w:val="00024E24"/>
    <w:rsid w:val="0002670E"/>
    <w:rsid w:val="00034EAA"/>
    <w:rsid w:val="000429E4"/>
    <w:rsid w:val="00062F97"/>
    <w:rsid w:val="0006500D"/>
    <w:rsid w:val="000769B1"/>
    <w:rsid w:val="0008191F"/>
    <w:rsid w:val="000861A6"/>
    <w:rsid w:val="000905A4"/>
    <w:rsid w:val="00095D52"/>
    <w:rsid w:val="000C13AD"/>
    <w:rsid w:val="000D016D"/>
    <w:rsid w:val="000E50D0"/>
    <w:rsid w:val="000E7E7B"/>
    <w:rsid w:val="000F3BA2"/>
    <w:rsid w:val="000F4DC6"/>
    <w:rsid w:val="000F6AD5"/>
    <w:rsid w:val="00101D6A"/>
    <w:rsid w:val="00115635"/>
    <w:rsid w:val="001175BF"/>
    <w:rsid w:val="00130923"/>
    <w:rsid w:val="00135246"/>
    <w:rsid w:val="001414F3"/>
    <w:rsid w:val="00143FCD"/>
    <w:rsid w:val="0019508E"/>
    <w:rsid w:val="001A3DAF"/>
    <w:rsid w:val="001B6467"/>
    <w:rsid w:val="001D3ADE"/>
    <w:rsid w:val="001F44D0"/>
    <w:rsid w:val="00211062"/>
    <w:rsid w:val="00217A60"/>
    <w:rsid w:val="00223EB1"/>
    <w:rsid w:val="00233015"/>
    <w:rsid w:val="00233EC8"/>
    <w:rsid w:val="00236917"/>
    <w:rsid w:val="00243D6B"/>
    <w:rsid w:val="00245FA4"/>
    <w:rsid w:val="00254238"/>
    <w:rsid w:val="002804AE"/>
    <w:rsid w:val="00286F39"/>
    <w:rsid w:val="002A25E6"/>
    <w:rsid w:val="002A3B7A"/>
    <w:rsid w:val="002B06E6"/>
    <w:rsid w:val="002D271F"/>
    <w:rsid w:val="002D2EBE"/>
    <w:rsid w:val="002D6386"/>
    <w:rsid w:val="002E0B06"/>
    <w:rsid w:val="00305B35"/>
    <w:rsid w:val="00306AE1"/>
    <w:rsid w:val="003079CE"/>
    <w:rsid w:val="003166C5"/>
    <w:rsid w:val="003242B9"/>
    <w:rsid w:val="003307EF"/>
    <w:rsid w:val="003362A4"/>
    <w:rsid w:val="00345441"/>
    <w:rsid w:val="00370FDF"/>
    <w:rsid w:val="003711F8"/>
    <w:rsid w:val="003805D4"/>
    <w:rsid w:val="003A2DB7"/>
    <w:rsid w:val="003A35B6"/>
    <w:rsid w:val="003A43F0"/>
    <w:rsid w:val="003B1A48"/>
    <w:rsid w:val="003C4BD0"/>
    <w:rsid w:val="003C6FE2"/>
    <w:rsid w:val="003D67FC"/>
    <w:rsid w:val="00403F54"/>
    <w:rsid w:val="00406894"/>
    <w:rsid w:val="00406E5A"/>
    <w:rsid w:val="004412D9"/>
    <w:rsid w:val="004459F7"/>
    <w:rsid w:val="004516D7"/>
    <w:rsid w:val="00453733"/>
    <w:rsid w:val="004540B5"/>
    <w:rsid w:val="00454576"/>
    <w:rsid w:val="00455B34"/>
    <w:rsid w:val="00462B2A"/>
    <w:rsid w:val="00472ECB"/>
    <w:rsid w:val="00472F88"/>
    <w:rsid w:val="00475A95"/>
    <w:rsid w:val="0048762C"/>
    <w:rsid w:val="00490500"/>
    <w:rsid w:val="00490F19"/>
    <w:rsid w:val="004A45F8"/>
    <w:rsid w:val="004B256F"/>
    <w:rsid w:val="004C2B41"/>
    <w:rsid w:val="00501DB7"/>
    <w:rsid w:val="00503E36"/>
    <w:rsid w:val="005113B6"/>
    <w:rsid w:val="00515897"/>
    <w:rsid w:val="0052661F"/>
    <w:rsid w:val="00527E37"/>
    <w:rsid w:val="00531817"/>
    <w:rsid w:val="00540F43"/>
    <w:rsid w:val="00543436"/>
    <w:rsid w:val="00550011"/>
    <w:rsid w:val="00560CA0"/>
    <w:rsid w:val="005624F3"/>
    <w:rsid w:val="005811EF"/>
    <w:rsid w:val="005818AE"/>
    <w:rsid w:val="005B0878"/>
    <w:rsid w:val="005B62F0"/>
    <w:rsid w:val="005C15C0"/>
    <w:rsid w:val="005C402E"/>
    <w:rsid w:val="005C7E1F"/>
    <w:rsid w:val="005F5878"/>
    <w:rsid w:val="00610654"/>
    <w:rsid w:val="006318B9"/>
    <w:rsid w:val="0063729C"/>
    <w:rsid w:val="006645C6"/>
    <w:rsid w:val="00664716"/>
    <w:rsid w:val="006661D6"/>
    <w:rsid w:val="0067026C"/>
    <w:rsid w:val="00673CAD"/>
    <w:rsid w:val="00681479"/>
    <w:rsid w:val="00687B27"/>
    <w:rsid w:val="006D3733"/>
    <w:rsid w:val="006E10EC"/>
    <w:rsid w:val="006E2D49"/>
    <w:rsid w:val="006E68AF"/>
    <w:rsid w:val="00705F06"/>
    <w:rsid w:val="0072124E"/>
    <w:rsid w:val="00746247"/>
    <w:rsid w:val="007468FC"/>
    <w:rsid w:val="00747B86"/>
    <w:rsid w:val="00762D18"/>
    <w:rsid w:val="007658A7"/>
    <w:rsid w:val="00792CA3"/>
    <w:rsid w:val="00793A53"/>
    <w:rsid w:val="00797F9C"/>
    <w:rsid w:val="007B2FDD"/>
    <w:rsid w:val="007B6902"/>
    <w:rsid w:val="007C3123"/>
    <w:rsid w:val="007C57B8"/>
    <w:rsid w:val="007D58FB"/>
    <w:rsid w:val="007F18DA"/>
    <w:rsid w:val="007F20DD"/>
    <w:rsid w:val="00806D54"/>
    <w:rsid w:val="00820EC0"/>
    <w:rsid w:val="00831423"/>
    <w:rsid w:val="0083468A"/>
    <w:rsid w:val="008371B7"/>
    <w:rsid w:val="00842D43"/>
    <w:rsid w:val="00856D1C"/>
    <w:rsid w:val="00865601"/>
    <w:rsid w:val="00876AC0"/>
    <w:rsid w:val="00882C4B"/>
    <w:rsid w:val="00891739"/>
    <w:rsid w:val="00894410"/>
    <w:rsid w:val="008C1641"/>
    <w:rsid w:val="008D187E"/>
    <w:rsid w:val="008E1771"/>
    <w:rsid w:val="00903408"/>
    <w:rsid w:val="009116EA"/>
    <w:rsid w:val="009146EC"/>
    <w:rsid w:val="00916249"/>
    <w:rsid w:val="009301CA"/>
    <w:rsid w:val="00933671"/>
    <w:rsid w:val="009468D4"/>
    <w:rsid w:val="009470F1"/>
    <w:rsid w:val="009472A2"/>
    <w:rsid w:val="0095644C"/>
    <w:rsid w:val="00972BF7"/>
    <w:rsid w:val="00972DD5"/>
    <w:rsid w:val="00976D09"/>
    <w:rsid w:val="00984879"/>
    <w:rsid w:val="00985632"/>
    <w:rsid w:val="00991B63"/>
    <w:rsid w:val="009A10D4"/>
    <w:rsid w:val="009A3CD8"/>
    <w:rsid w:val="009B2428"/>
    <w:rsid w:val="009B5CB7"/>
    <w:rsid w:val="009F53EB"/>
    <w:rsid w:val="00A04F7E"/>
    <w:rsid w:val="00A076BA"/>
    <w:rsid w:val="00A12A12"/>
    <w:rsid w:val="00A31242"/>
    <w:rsid w:val="00A52530"/>
    <w:rsid w:val="00A551BF"/>
    <w:rsid w:val="00A70524"/>
    <w:rsid w:val="00A73406"/>
    <w:rsid w:val="00AA1B6B"/>
    <w:rsid w:val="00AA615C"/>
    <w:rsid w:val="00AB6ED4"/>
    <w:rsid w:val="00AC65DA"/>
    <w:rsid w:val="00AE70B6"/>
    <w:rsid w:val="00B2722A"/>
    <w:rsid w:val="00B5406F"/>
    <w:rsid w:val="00B57D88"/>
    <w:rsid w:val="00B618BA"/>
    <w:rsid w:val="00B635E1"/>
    <w:rsid w:val="00B6431A"/>
    <w:rsid w:val="00B904AC"/>
    <w:rsid w:val="00B90820"/>
    <w:rsid w:val="00BA08D5"/>
    <w:rsid w:val="00BA282D"/>
    <w:rsid w:val="00BB6260"/>
    <w:rsid w:val="00BB68B0"/>
    <w:rsid w:val="00BD7E83"/>
    <w:rsid w:val="00BF5643"/>
    <w:rsid w:val="00C00191"/>
    <w:rsid w:val="00C05E74"/>
    <w:rsid w:val="00C078E3"/>
    <w:rsid w:val="00C10C19"/>
    <w:rsid w:val="00C143B8"/>
    <w:rsid w:val="00C17D02"/>
    <w:rsid w:val="00C27DD4"/>
    <w:rsid w:val="00C30726"/>
    <w:rsid w:val="00C32834"/>
    <w:rsid w:val="00C5649C"/>
    <w:rsid w:val="00C56F37"/>
    <w:rsid w:val="00C67FC9"/>
    <w:rsid w:val="00C75486"/>
    <w:rsid w:val="00C8202C"/>
    <w:rsid w:val="00C855B8"/>
    <w:rsid w:val="00C91975"/>
    <w:rsid w:val="00C92A5B"/>
    <w:rsid w:val="00C958F3"/>
    <w:rsid w:val="00CA46EC"/>
    <w:rsid w:val="00CB09EC"/>
    <w:rsid w:val="00CB32EE"/>
    <w:rsid w:val="00CC4402"/>
    <w:rsid w:val="00CC6F03"/>
    <w:rsid w:val="00CF32FE"/>
    <w:rsid w:val="00D05B29"/>
    <w:rsid w:val="00D0654A"/>
    <w:rsid w:val="00D1394D"/>
    <w:rsid w:val="00D26E18"/>
    <w:rsid w:val="00D459B3"/>
    <w:rsid w:val="00D471A9"/>
    <w:rsid w:val="00D47740"/>
    <w:rsid w:val="00D47CA9"/>
    <w:rsid w:val="00D65524"/>
    <w:rsid w:val="00D704ED"/>
    <w:rsid w:val="00D742DE"/>
    <w:rsid w:val="00D77EC2"/>
    <w:rsid w:val="00D812B9"/>
    <w:rsid w:val="00D903FD"/>
    <w:rsid w:val="00D94BC5"/>
    <w:rsid w:val="00D96C08"/>
    <w:rsid w:val="00DC3052"/>
    <w:rsid w:val="00DC4963"/>
    <w:rsid w:val="00DD15A2"/>
    <w:rsid w:val="00DE01B9"/>
    <w:rsid w:val="00DF46C4"/>
    <w:rsid w:val="00E00F65"/>
    <w:rsid w:val="00E41483"/>
    <w:rsid w:val="00E63482"/>
    <w:rsid w:val="00E84B90"/>
    <w:rsid w:val="00EA6133"/>
    <w:rsid w:val="00EC1BB7"/>
    <w:rsid w:val="00EC78E7"/>
    <w:rsid w:val="00ED2C73"/>
    <w:rsid w:val="00ED2E05"/>
    <w:rsid w:val="00ED43D2"/>
    <w:rsid w:val="00EE3B8C"/>
    <w:rsid w:val="00EE3D2F"/>
    <w:rsid w:val="00EE4203"/>
    <w:rsid w:val="00EE4BE7"/>
    <w:rsid w:val="00EE7F1D"/>
    <w:rsid w:val="00EF4A38"/>
    <w:rsid w:val="00F064E4"/>
    <w:rsid w:val="00F11B8F"/>
    <w:rsid w:val="00F1540B"/>
    <w:rsid w:val="00F170E0"/>
    <w:rsid w:val="00F31372"/>
    <w:rsid w:val="00F340E1"/>
    <w:rsid w:val="00F4110B"/>
    <w:rsid w:val="00F41A5C"/>
    <w:rsid w:val="00F523AC"/>
    <w:rsid w:val="00F56AC7"/>
    <w:rsid w:val="00F74011"/>
    <w:rsid w:val="00F91E82"/>
    <w:rsid w:val="00F92479"/>
    <w:rsid w:val="00FB0C0B"/>
    <w:rsid w:val="00FB10CB"/>
    <w:rsid w:val="00FB7D3A"/>
    <w:rsid w:val="00FC6AB3"/>
    <w:rsid w:val="00FD56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ABD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8C1641"/>
    <w:pPr>
      <w:spacing w:after="120" w:line="240" w:lineRule="auto"/>
    </w:pPr>
    <w:rPr>
      <w:rFonts w:ascii="Calibri" w:hAnsi="Calibri"/>
      <w:noProof/>
    </w:rPr>
  </w:style>
  <w:style w:type="paragraph" w:styleId="Heading1">
    <w:name w:val="heading 1"/>
    <w:basedOn w:val="Normal"/>
    <w:next w:val="Normal"/>
    <w:link w:val="Heading1Char"/>
    <w:uiPriority w:val="9"/>
    <w:qFormat/>
    <w:rsid w:val="003805D4"/>
    <w:pPr>
      <w:spacing w:before="180"/>
      <w:outlineLvl w:val="0"/>
    </w:pPr>
    <w:rPr>
      <w:rFonts w:eastAsiaTheme="majorEastAsia" w:cstheme="majorBidi"/>
      <w:b/>
      <w:bCs/>
      <w:color w:val="27426F"/>
      <w:sz w:val="36"/>
      <w:szCs w:val="28"/>
    </w:rPr>
  </w:style>
  <w:style w:type="paragraph" w:styleId="Heading2">
    <w:name w:val="heading 2"/>
    <w:basedOn w:val="Normal"/>
    <w:next w:val="Normal"/>
    <w:link w:val="Heading2Char"/>
    <w:uiPriority w:val="9"/>
    <w:qFormat/>
    <w:rsid w:val="008C1641"/>
    <w:pPr>
      <w:outlineLvl w:val="1"/>
    </w:pPr>
    <w:rPr>
      <w:rFonts w:eastAsiaTheme="majorEastAsia" w:cstheme="majorBidi"/>
      <w:b/>
      <w:bCs/>
      <w:color w:val="27426F"/>
      <w:sz w:val="28"/>
      <w:szCs w:val="26"/>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3805D4"/>
    <w:rPr>
      <w:rFonts w:ascii="Calibri" w:eastAsiaTheme="majorEastAsia" w:hAnsi="Calibri" w:cstheme="majorBidi"/>
      <w:b/>
      <w:bCs/>
      <w:noProof/>
      <w:color w:val="27426F"/>
      <w:sz w:val="36"/>
      <w:szCs w:val="28"/>
    </w:rPr>
  </w:style>
  <w:style w:type="character" w:customStyle="1" w:styleId="Heading2Char">
    <w:name w:val="Heading 2 Char"/>
    <w:basedOn w:val="DefaultParagraphFont"/>
    <w:link w:val="Heading2"/>
    <w:uiPriority w:val="9"/>
    <w:rsid w:val="008C1641"/>
    <w:rPr>
      <w:rFonts w:ascii="Calibri" w:eastAsiaTheme="majorEastAsia" w:hAnsi="Calibri" w:cstheme="majorBidi"/>
      <w:b/>
      <w:bCs/>
      <w:noProof/>
      <w:color w:val="27426F"/>
      <w:sz w:val="28"/>
      <w:szCs w:val="26"/>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noProof w:val="0"/>
      <w:color w:val="7030A0"/>
    </w:rPr>
  </w:style>
  <w:style w:type="paragraph" w:customStyle="1" w:styleId="NormalafterTable">
    <w:name w:val="Normal after Table"/>
    <w:basedOn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FFFFFF" w:themeColor="background2"/>
      <w:sz w:val="19"/>
    </w:rPr>
  </w:style>
  <w:style w:type="character" w:customStyle="1" w:styleId="FooterChar">
    <w:name w:val="Footer Char"/>
    <w:basedOn w:val="DefaultParagraphFont"/>
    <w:link w:val="Footer"/>
    <w:uiPriority w:val="99"/>
    <w:rsid w:val="0008191F"/>
    <w:rPr>
      <w:noProof/>
      <w:color w:val="FFFFFF"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table" w:styleId="TableGrid">
    <w:name w:val="Table Grid"/>
    <w:aliases w:val="HELP_Table Style 2"/>
    <w:basedOn w:val="TableNormal"/>
    <w:uiPriority w:val="59"/>
    <w:rsid w:val="008C1641"/>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7426F"/>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CB32EE"/>
    <w:pPr>
      <w:spacing w:before="360" w:after="180"/>
      <w:contextualSpacing/>
    </w:pPr>
    <w:rPr>
      <w:rFonts w:eastAsiaTheme="majorEastAsia" w:cstheme="majorBidi"/>
      <w:color w:val="27426F"/>
      <w:spacing w:val="5"/>
      <w:kern w:val="28"/>
      <w:sz w:val="58"/>
      <w:szCs w:val="52"/>
    </w:rPr>
  </w:style>
  <w:style w:type="character" w:customStyle="1" w:styleId="TitleChar">
    <w:name w:val="Title Char"/>
    <w:basedOn w:val="DefaultParagraphFont"/>
    <w:link w:val="Title"/>
    <w:uiPriority w:val="10"/>
    <w:rsid w:val="00CB32EE"/>
    <w:rPr>
      <w:rFonts w:ascii="Calibri" w:eastAsiaTheme="majorEastAsia" w:hAnsi="Calibri" w:cstheme="majorBidi"/>
      <w:noProof/>
      <w:color w:val="27426F"/>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0022EE"/>
    <w:rPr>
      <w:rFonts w:ascii="Calibri" w:hAnsi="Calibri"/>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semiHidden="0" w:uiPriority="10" w:qFormat="1"/>
    <w:lsdException w:name="Default Paragraph Font" w:uiPriority="1" w:unhideWhenUsed="1"/>
    <w:lsdException w:name="Body Text" w:uiPriority="0" w:unhideWhenUsed="1"/>
    <w:lsdException w:name="Subtitle" w:semiHidden="0"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8C1641"/>
    <w:pPr>
      <w:spacing w:after="120" w:line="240" w:lineRule="auto"/>
    </w:pPr>
    <w:rPr>
      <w:rFonts w:ascii="Calibri" w:hAnsi="Calibri"/>
      <w:noProof/>
    </w:rPr>
  </w:style>
  <w:style w:type="paragraph" w:styleId="Heading1">
    <w:name w:val="heading 1"/>
    <w:basedOn w:val="Normal"/>
    <w:next w:val="Normal"/>
    <w:link w:val="Heading1Char"/>
    <w:uiPriority w:val="9"/>
    <w:qFormat/>
    <w:rsid w:val="003805D4"/>
    <w:pPr>
      <w:spacing w:before="180"/>
      <w:outlineLvl w:val="0"/>
    </w:pPr>
    <w:rPr>
      <w:rFonts w:eastAsiaTheme="majorEastAsia" w:cstheme="majorBidi"/>
      <w:b/>
      <w:bCs/>
      <w:color w:val="27426F"/>
      <w:sz w:val="36"/>
      <w:szCs w:val="28"/>
    </w:rPr>
  </w:style>
  <w:style w:type="paragraph" w:styleId="Heading2">
    <w:name w:val="heading 2"/>
    <w:basedOn w:val="Normal"/>
    <w:next w:val="Normal"/>
    <w:link w:val="Heading2Char"/>
    <w:uiPriority w:val="9"/>
    <w:qFormat/>
    <w:rsid w:val="008C1641"/>
    <w:pPr>
      <w:outlineLvl w:val="1"/>
    </w:pPr>
    <w:rPr>
      <w:rFonts w:eastAsiaTheme="majorEastAsia" w:cstheme="majorBidi"/>
      <w:b/>
      <w:bCs/>
      <w:color w:val="27426F"/>
      <w:sz w:val="28"/>
      <w:szCs w:val="26"/>
    </w:rPr>
  </w:style>
  <w:style w:type="paragraph" w:styleId="Heading3">
    <w:name w:val="heading 3"/>
    <w:basedOn w:val="Normal"/>
    <w:next w:val="Normal"/>
    <w:link w:val="Heading3Char"/>
    <w:uiPriority w:val="9"/>
    <w:qFormat/>
    <w:rsid w:val="004540B5"/>
    <w:pPr>
      <w:spacing w:before="200" w:after="60"/>
      <w:outlineLvl w:val="2"/>
    </w:pPr>
    <w:rPr>
      <w:rFonts w:eastAsiaTheme="majorEastAsia" w:cstheme="majorBidi"/>
      <w:b/>
      <w:bCs/>
      <w:sz w:val="28"/>
    </w:rPr>
  </w:style>
  <w:style w:type="paragraph" w:styleId="Heading4">
    <w:name w:val="heading 4"/>
    <w:basedOn w:val="Normal"/>
    <w:next w:val="Normal"/>
    <w:link w:val="Heading4Char"/>
    <w:uiPriority w:val="9"/>
    <w:qFormat/>
    <w:rsid w:val="004540B5"/>
    <w:pPr>
      <w:spacing w:before="200" w:after="60"/>
      <w:outlineLvl w:val="3"/>
    </w:pPr>
    <w:rPr>
      <w:rFonts w:eastAsiaTheme="majorEastAsia" w:cstheme="majorBidi"/>
      <w:b/>
      <w:bCs/>
      <w:i/>
      <w:iCs/>
      <w:sz w:val="26"/>
    </w:rPr>
  </w:style>
  <w:style w:type="paragraph" w:styleId="Heading5">
    <w:name w:val="heading 5"/>
    <w:basedOn w:val="Normal"/>
    <w:next w:val="Normal"/>
    <w:link w:val="Heading5Char"/>
    <w:uiPriority w:val="9"/>
    <w:semiHidden/>
    <w:qFormat/>
    <w:rsid w:val="001B6467"/>
    <w:pPr>
      <w:spacing w:before="200"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3805D4"/>
    <w:rPr>
      <w:rFonts w:ascii="Calibri" w:eastAsiaTheme="majorEastAsia" w:hAnsi="Calibri" w:cstheme="majorBidi"/>
      <w:b/>
      <w:bCs/>
      <w:noProof/>
      <w:color w:val="27426F"/>
      <w:sz w:val="36"/>
      <w:szCs w:val="28"/>
    </w:rPr>
  </w:style>
  <w:style w:type="character" w:customStyle="1" w:styleId="Heading2Char">
    <w:name w:val="Heading 2 Char"/>
    <w:basedOn w:val="DefaultParagraphFont"/>
    <w:link w:val="Heading2"/>
    <w:uiPriority w:val="9"/>
    <w:rsid w:val="008C1641"/>
    <w:rPr>
      <w:rFonts w:ascii="Calibri" w:eastAsiaTheme="majorEastAsia" w:hAnsi="Calibri" w:cstheme="majorBidi"/>
      <w:b/>
      <w:bCs/>
      <w:noProof/>
      <w:color w:val="27426F"/>
      <w:sz w:val="28"/>
      <w:szCs w:val="26"/>
    </w:rPr>
  </w:style>
  <w:style w:type="character" w:customStyle="1" w:styleId="Heading3Char">
    <w:name w:val="Heading 3 Char"/>
    <w:basedOn w:val="DefaultParagraphFont"/>
    <w:link w:val="Heading3"/>
    <w:uiPriority w:val="9"/>
    <w:rsid w:val="004540B5"/>
    <w:rPr>
      <w:rFonts w:ascii="Calibri" w:eastAsiaTheme="majorEastAsia" w:hAnsi="Calibri" w:cstheme="majorBidi"/>
      <w:b/>
      <w:bCs/>
      <w:noProof/>
      <w:sz w:val="28"/>
    </w:rPr>
  </w:style>
  <w:style w:type="character" w:customStyle="1" w:styleId="Heading4Char">
    <w:name w:val="Heading 4 Char"/>
    <w:basedOn w:val="DefaultParagraphFont"/>
    <w:link w:val="Heading4"/>
    <w:uiPriority w:val="9"/>
    <w:rsid w:val="004540B5"/>
    <w:rPr>
      <w:rFonts w:ascii="Calibri" w:eastAsiaTheme="majorEastAsia" w:hAnsi="Calibri" w:cstheme="majorBidi"/>
      <w:b/>
      <w:bCs/>
      <w:i/>
      <w:iCs/>
      <w:noProof/>
      <w:sz w:val="26"/>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after="200" w:line="276" w:lineRule="auto"/>
    </w:pPr>
    <w:rPr>
      <w:rFonts w:asciiTheme="minorHAnsi" w:hAnsiTheme="minorHAnsi"/>
      <w:noProof w:val="0"/>
      <w:color w:val="7030A0"/>
    </w:rPr>
  </w:style>
  <w:style w:type="paragraph" w:customStyle="1" w:styleId="NormalafterTable">
    <w:name w:val="Normal after Table"/>
    <w:basedOn w:val="Normal"/>
    <w:qFormat/>
    <w:rsid w:val="00F4110B"/>
    <w:pPr>
      <w:spacing w:before="240" w:line="276" w:lineRule="auto"/>
    </w:pPr>
  </w:style>
  <w:style w:type="paragraph" w:styleId="Footer">
    <w:name w:val="footer"/>
    <w:basedOn w:val="Normal"/>
    <w:link w:val="FooterChar"/>
    <w:uiPriority w:val="99"/>
    <w:rsid w:val="0008191F"/>
    <w:pPr>
      <w:tabs>
        <w:tab w:val="center" w:pos="4513"/>
        <w:tab w:val="right" w:pos="9026"/>
      </w:tabs>
      <w:spacing w:after="0"/>
    </w:pPr>
    <w:rPr>
      <w:rFonts w:asciiTheme="minorHAnsi" w:hAnsiTheme="minorHAnsi"/>
      <w:color w:val="FFFFFF" w:themeColor="background2"/>
      <w:sz w:val="19"/>
    </w:rPr>
  </w:style>
  <w:style w:type="character" w:customStyle="1" w:styleId="FooterChar">
    <w:name w:val="Footer Char"/>
    <w:basedOn w:val="DefaultParagraphFont"/>
    <w:link w:val="Footer"/>
    <w:uiPriority w:val="99"/>
    <w:rsid w:val="0008191F"/>
    <w:rPr>
      <w:noProof/>
      <w:color w:val="FFFFFF" w:themeColor="background2"/>
      <w:sz w:val="19"/>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1"/>
      </w:numPr>
      <w:ind w:left="369" w:hanging="369"/>
      <w:contextualSpacing/>
    </w:pPr>
  </w:style>
  <w:style w:type="paragraph" w:styleId="ListNumber2">
    <w:name w:val="List Number 2"/>
    <w:basedOn w:val="Normal"/>
    <w:uiPriority w:val="99"/>
    <w:rsid w:val="005C402E"/>
    <w:pPr>
      <w:numPr>
        <w:ilvl w:val="1"/>
        <w:numId w:val="11"/>
      </w:numPr>
      <w:tabs>
        <w:tab w:val="left" w:pos="1134"/>
      </w:tabs>
      <w:ind w:left="936" w:hanging="567"/>
      <w:contextualSpacing/>
    </w:pPr>
  </w:style>
  <w:style w:type="paragraph" w:styleId="ListBullet">
    <w:name w:val="List Bullet"/>
    <w:basedOn w:val="Normal"/>
    <w:uiPriority w:val="99"/>
    <w:rsid w:val="00AA615C"/>
    <w:pPr>
      <w:numPr>
        <w:numId w:val="16"/>
      </w:numPr>
      <w:ind w:left="369" w:hanging="369"/>
      <w:contextualSpacing/>
    </w:pPr>
  </w:style>
  <w:style w:type="paragraph" w:styleId="ListBullet2">
    <w:name w:val="List Bullet 2"/>
    <w:basedOn w:val="Normal"/>
    <w:uiPriority w:val="99"/>
    <w:rsid w:val="00AA615C"/>
    <w:pPr>
      <w:numPr>
        <w:ilvl w:val="1"/>
        <w:numId w:val="16"/>
      </w:numPr>
      <w:ind w:left="766" w:hanging="369"/>
      <w:contextualSpacing/>
    </w:pPr>
  </w:style>
  <w:style w:type="table" w:styleId="TableGrid">
    <w:name w:val="Table Grid"/>
    <w:aliases w:val="HELP_Table Style 2"/>
    <w:basedOn w:val="TableNormal"/>
    <w:uiPriority w:val="59"/>
    <w:rsid w:val="008C1641"/>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7426F"/>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CB32EE"/>
    <w:pPr>
      <w:spacing w:before="360" w:after="180"/>
      <w:contextualSpacing/>
    </w:pPr>
    <w:rPr>
      <w:rFonts w:eastAsiaTheme="majorEastAsia" w:cstheme="majorBidi"/>
      <w:color w:val="27426F"/>
      <w:spacing w:val="5"/>
      <w:kern w:val="28"/>
      <w:sz w:val="58"/>
      <w:szCs w:val="52"/>
    </w:rPr>
  </w:style>
  <w:style w:type="character" w:customStyle="1" w:styleId="TitleChar">
    <w:name w:val="Title Char"/>
    <w:basedOn w:val="DefaultParagraphFont"/>
    <w:link w:val="Title"/>
    <w:uiPriority w:val="10"/>
    <w:rsid w:val="00CB32EE"/>
    <w:rPr>
      <w:rFonts w:ascii="Calibri" w:eastAsiaTheme="majorEastAsia" w:hAnsi="Calibri" w:cstheme="majorBidi"/>
      <w:noProof/>
      <w:color w:val="27426F"/>
      <w:spacing w:val="5"/>
      <w:kern w:val="28"/>
      <w:sz w:val="58"/>
      <w:szCs w:val="52"/>
    </w:rPr>
  </w:style>
  <w:style w:type="paragraph" w:styleId="Subtitle">
    <w:name w:val="Subtitle"/>
    <w:basedOn w:val="Normal"/>
    <w:next w:val="Normal"/>
    <w:link w:val="SubtitleChar"/>
    <w:uiPriority w:val="11"/>
    <w:qFormat/>
    <w:rsid w:val="0019508E"/>
    <w:pPr>
      <w:numPr>
        <w:ilvl w:val="1"/>
      </w:numPr>
    </w:pPr>
    <w:rPr>
      <w:rFonts w:eastAsiaTheme="majorEastAsia" w:cstheme="majorBidi"/>
      <w:iCs/>
      <w:color w:val="404A9A"/>
      <w:spacing w:val="15"/>
      <w:sz w:val="24"/>
      <w:szCs w:val="24"/>
    </w:rPr>
  </w:style>
  <w:style w:type="character" w:customStyle="1" w:styleId="SubtitleChar">
    <w:name w:val="Subtitle Char"/>
    <w:basedOn w:val="DefaultParagraphFont"/>
    <w:link w:val="Subtitle"/>
    <w:uiPriority w:val="11"/>
    <w:rsid w:val="0019508E"/>
    <w:rPr>
      <w:rFonts w:ascii="Calibri" w:eastAsiaTheme="majorEastAsia" w:hAnsi="Calibri" w:cstheme="majorBidi"/>
      <w:iCs/>
      <w:noProof/>
      <w:color w:val="404A9A"/>
      <w:spacing w:val="15"/>
      <w:sz w:val="24"/>
      <w:szCs w:val="24"/>
    </w:rPr>
  </w:style>
  <w:style w:type="paragraph" w:customStyle="1" w:styleId="Style1">
    <w:name w:val="Style1"/>
    <w:basedOn w:val="Normal"/>
    <w:semiHidden/>
    <w:qFormat/>
    <w:rsid w:val="000036D9"/>
    <w:pPr>
      <w:numPr>
        <w:numId w:val="20"/>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550011"/>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0022EE"/>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728">
      <w:bodyDiv w:val="1"/>
      <w:marLeft w:val="0"/>
      <w:marRight w:val="0"/>
      <w:marTop w:val="0"/>
      <w:marBottom w:val="0"/>
      <w:divBdr>
        <w:top w:val="none" w:sz="0" w:space="0" w:color="auto"/>
        <w:left w:val="none" w:sz="0" w:space="0" w:color="auto"/>
        <w:bottom w:val="none" w:sz="0" w:space="0" w:color="auto"/>
        <w:right w:val="none" w:sz="0" w:space="0" w:color="auto"/>
      </w:divBdr>
    </w:div>
    <w:div w:id="67963234">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815269273">
      <w:bodyDiv w:val="1"/>
      <w:marLeft w:val="0"/>
      <w:marRight w:val="0"/>
      <w:marTop w:val="0"/>
      <w:marBottom w:val="0"/>
      <w:divBdr>
        <w:top w:val="none" w:sz="0" w:space="0" w:color="auto"/>
        <w:left w:val="none" w:sz="0" w:space="0" w:color="auto"/>
        <w:bottom w:val="none" w:sz="0" w:space="0" w:color="auto"/>
        <w:right w:val="none" w:sz="0" w:space="0" w:color="auto"/>
      </w:divBdr>
    </w:div>
    <w:div w:id="1052533833">
      <w:bodyDiv w:val="1"/>
      <w:marLeft w:val="0"/>
      <w:marRight w:val="0"/>
      <w:marTop w:val="0"/>
      <w:marBottom w:val="0"/>
      <w:divBdr>
        <w:top w:val="none" w:sz="0" w:space="0" w:color="auto"/>
        <w:left w:val="none" w:sz="0" w:space="0" w:color="auto"/>
        <w:bottom w:val="none" w:sz="0" w:space="0" w:color="auto"/>
        <w:right w:val="none" w:sz="0" w:space="0" w:color="auto"/>
      </w:divBdr>
    </w:div>
    <w:div w:id="1234051126">
      <w:bodyDiv w:val="1"/>
      <w:marLeft w:val="0"/>
      <w:marRight w:val="0"/>
      <w:marTop w:val="0"/>
      <w:marBottom w:val="0"/>
      <w:divBdr>
        <w:top w:val="none" w:sz="0" w:space="0" w:color="auto"/>
        <w:left w:val="none" w:sz="0" w:space="0" w:color="auto"/>
        <w:bottom w:val="none" w:sz="0" w:space="0" w:color="auto"/>
        <w:right w:val="none" w:sz="0" w:space="0" w:color="auto"/>
      </w:divBdr>
    </w:div>
    <w:div w:id="17929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education.gov.au/qualityschools"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education.gov.au/qualityschool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510F9DB411A44C9F073D54A67E1232" ma:contentTypeVersion="2" ma:contentTypeDescription="Create a new document." ma:contentTypeScope="" ma:versionID="94f9c8d6e5023133f82aa5a41b84406c">
  <xsd:schema xmlns:xsd="http://www.w3.org/2001/XMLSchema" xmlns:xs="http://www.w3.org/2001/XMLSchema" xmlns:p="http://schemas.microsoft.com/office/2006/metadata/properties" xmlns:ns2="c69e1866-5b01-442c-a77b-da4089b45352" targetNamespace="http://schemas.microsoft.com/office/2006/metadata/properties" ma:root="true" ma:fieldsID="ac856976e193c32beb61c902b2fa26d3" ns2:_="">
    <xsd:import namespace="c69e1866-5b01-442c-a77b-da4089b45352"/>
    <xsd:element name="properties">
      <xsd:complexType>
        <xsd:sequence>
          <xsd:element name="documentManagement">
            <xsd:complexType>
              <xsd:all>
                <xsd:element ref="ns2:Comments" minOccurs="0"/>
                <xsd:element ref="ns2:Folder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e1866-5b01-442c-a77b-da4089b45352" elementFormDefault="qualified">
    <xsd:import namespace="http://schemas.microsoft.com/office/2006/documentManagement/types"/>
    <xsd:import namespace="http://schemas.microsoft.com/office/infopath/2007/PartnerControls"/>
    <xsd:element name="Comments" ma:index="8" nillable="true" ma:displayName="Comments" ma:description="Section allows for description of document, including who provided it, or to where it has been used." ma:internalName="Comments">
      <xsd:simpleType>
        <xsd:restriction base="dms:Note">
          <xsd:maxLength value="255"/>
        </xsd:restriction>
      </xsd:simpleType>
    </xsd:element>
    <xsd:element name="Folder_x0020_description" ma:index="9" nillable="true" ma:displayName="Folder description" ma:description="Describe type of documents to go into the folder" ma:internalName="Folder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c69e1866-5b01-442c-a77b-da4089b45352" xsi:nil="true"/>
    <Folder_x0020_description xmlns="c69e1866-5b01-442c-a77b-da4089b4535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2934-2BAC-424C-8EBF-89E264BFFB4A}">
  <ds:schemaRefs>
    <ds:schemaRef ds:uri="http://schemas.microsoft.com/sharepoint/v3/contenttype/forms"/>
  </ds:schemaRefs>
</ds:datastoreItem>
</file>

<file path=customXml/itemProps2.xml><?xml version="1.0" encoding="utf-8"?>
<ds:datastoreItem xmlns:ds="http://schemas.openxmlformats.org/officeDocument/2006/customXml" ds:itemID="{1D032A87-A837-42D3-92E0-0D05700C8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e1866-5b01-442c-a77b-da4089b45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DC50BB-01C3-455A-8185-3575097BD970}">
  <ds:schemaRefs>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c69e1866-5b01-442c-a77b-da4089b45352"/>
    <ds:schemaRef ds:uri="http://schemas.microsoft.com/office/2006/metadata/properties"/>
  </ds:schemaRefs>
</ds:datastoreItem>
</file>

<file path=customXml/itemProps4.xml><?xml version="1.0" encoding="utf-8"?>
<ds:datastoreItem xmlns:ds="http://schemas.openxmlformats.org/officeDocument/2006/customXml" ds:itemID="{358680F0-C06A-4DA5-9B06-F584F4DD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4EDA5486.dotm</Template>
  <TotalTime>0</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keywords>[SEC=]</cp:keywords>
  <cp:lastModifiedBy>Emma O'Connor</cp:lastModifiedBy>
  <cp:revision>2</cp:revision>
  <cp:lastPrinted>2017-05-01T23:35:00Z</cp:lastPrinted>
  <dcterms:created xsi:type="dcterms:W3CDTF">2017-05-02T03:07:00Z</dcterms:created>
  <dcterms:modified xsi:type="dcterms:W3CDTF">2017-05-02T03:07:00Z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0x01010052510F9DB411A44C9F073D54A67E1232</vt:lpwstr>
  </property>
</Properties>
</file>