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1D" w:rsidRPr="0019781D" w:rsidRDefault="0019781D" w:rsidP="0019781D">
      <w:pPr>
        <w:pStyle w:val="HERHeading2"/>
        <w:keepNext/>
        <w:jc w:val="center"/>
        <w:rPr>
          <w:rFonts w:ascii="Times New Roman" w:hAnsi="Times New Roman" w:cs="Times New Roman"/>
          <w:color w:val="auto"/>
          <w:sz w:val="22"/>
          <w:szCs w:val="24"/>
        </w:rPr>
      </w:pPr>
      <w:r w:rsidRPr="0019781D">
        <w:rPr>
          <w:rFonts w:ascii="Times New Roman" w:hAnsi="Times New Roman" w:cs="Times New Roman"/>
          <w:color w:val="auto"/>
          <w:sz w:val="22"/>
          <w:szCs w:val="24"/>
        </w:rPr>
        <w:t>Terms of Reference – Expert Advisory Panel</w:t>
      </w:r>
    </w:p>
    <w:p w:rsidR="0019781D" w:rsidRPr="0019781D" w:rsidRDefault="0019781D" w:rsidP="0019781D">
      <w:pPr>
        <w:pStyle w:val="HERHeading2"/>
        <w:keepNext/>
        <w:jc w:val="center"/>
        <w:rPr>
          <w:rFonts w:ascii="Times New Roman" w:hAnsi="Times New Roman" w:cs="Times New Roman"/>
          <w:color w:val="auto"/>
          <w:sz w:val="22"/>
          <w:szCs w:val="24"/>
        </w:rPr>
      </w:pPr>
      <w:r w:rsidRPr="0019781D">
        <w:rPr>
          <w:rFonts w:ascii="Times New Roman" w:hAnsi="Times New Roman" w:cs="Times New Roman"/>
          <w:color w:val="auto"/>
          <w:sz w:val="22"/>
          <w:szCs w:val="24"/>
        </w:rPr>
        <w:t>National Year 1 Literacy and Numeracy Check (Year 1 check)</w:t>
      </w:r>
    </w:p>
    <w:p w:rsidR="0019781D" w:rsidRPr="0019781D" w:rsidRDefault="0019781D" w:rsidP="0019781D">
      <w:pPr>
        <w:pStyle w:val="Header"/>
        <w:spacing w:before="120" w:after="120"/>
        <w:rPr>
          <w:rFonts w:ascii="Times New Roman" w:hAnsi="Times New Roman" w:cs="Times New Roman"/>
          <w:b/>
          <w:szCs w:val="24"/>
        </w:rPr>
      </w:pPr>
      <w:r w:rsidRPr="0019781D">
        <w:rPr>
          <w:rFonts w:ascii="Times New Roman" w:hAnsi="Times New Roman" w:cs="Times New Roman"/>
          <w:b/>
          <w:szCs w:val="24"/>
        </w:rPr>
        <w:t xml:space="preserve">Background </w:t>
      </w:r>
    </w:p>
    <w:p w:rsidR="0019781D" w:rsidRPr="0019781D" w:rsidRDefault="0019781D" w:rsidP="0019781D">
      <w:pPr>
        <w:pStyle w:val="Header"/>
        <w:spacing w:before="120" w:after="120"/>
        <w:rPr>
          <w:rFonts w:ascii="Times New Roman" w:hAnsi="Times New Roman" w:cs="Times New Roman"/>
          <w:szCs w:val="24"/>
        </w:rPr>
      </w:pPr>
      <w:r w:rsidRPr="0019781D">
        <w:rPr>
          <w:rFonts w:ascii="Times New Roman" w:hAnsi="Times New Roman" w:cs="Times New Roman"/>
          <w:szCs w:val="24"/>
        </w:rPr>
        <w:t xml:space="preserve">In May 2016, the Australian Government released </w:t>
      </w:r>
      <w:r w:rsidRPr="0019781D">
        <w:rPr>
          <w:rFonts w:ascii="Times New Roman" w:hAnsi="Times New Roman" w:cs="Times New Roman"/>
          <w:i/>
          <w:szCs w:val="24"/>
        </w:rPr>
        <w:t>Quality Schools, Quality Outcomes (QSQO)</w:t>
      </w:r>
      <w:r w:rsidRPr="0019781D">
        <w:rPr>
          <w:rFonts w:ascii="Times New Roman" w:hAnsi="Times New Roman" w:cs="Times New Roman"/>
          <w:szCs w:val="24"/>
        </w:rPr>
        <w:t xml:space="preserve">, </w:t>
      </w:r>
      <w:proofErr w:type="gramStart"/>
      <w:r w:rsidRPr="0019781D">
        <w:rPr>
          <w:rFonts w:ascii="Times New Roman" w:hAnsi="Times New Roman" w:cs="Times New Roman"/>
          <w:szCs w:val="24"/>
        </w:rPr>
        <w:t>an</w:t>
      </w:r>
      <w:proofErr w:type="gramEnd"/>
      <w:r w:rsidRPr="0019781D">
        <w:rPr>
          <w:rFonts w:ascii="Times New Roman" w:hAnsi="Times New Roman" w:cs="Times New Roman"/>
          <w:szCs w:val="24"/>
        </w:rPr>
        <w:t xml:space="preserve"> evidence-based approach to schools reform to improve learning outcomes for all Australian students. </w:t>
      </w:r>
    </w:p>
    <w:p w:rsidR="0019781D" w:rsidRPr="0019781D" w:rsidRDefault="0019781D" w:rsidP="0019781D">
      <w:pPr>
        <w:pStyle w:val="Header"/>
        <w:spacing w:before="120" w:after="120"/>
        <w:rPr>
          <w:rFonts w:ascii="Times New Roman" w:hAnsi="Times New Roman" w:cs="Times New Roman"/>
          <w:szCs w:val="24"/>
        </w:rPr>
      </w:pPr>
      <w:r w:rsidRPr="0019781D">
        <w:rPr>
          <w:rFonts w:ascii="Times New Roman" w:hAnsi="Times New Roman" w:cs="Times New Roman"/>
          <w:szCs w:val="24"/>
        </w:rPr>
        <w:t xml:space="preserve">As part of this reform, a national Year 1 check of all children in the areas of reading, phonics and numeracy was announced. This reform aims to ensure that students who are behind in their schooling are identified early and can receive the extra support they need. </w:t>
      </w:r>
    </w:p>
    <w:p w:rsidR="0019781D" w:rsidRPr="0019781D" w:rsidRDefault="0019781D" w:rsidP="0019781D">
      <w:pPr>
        <w:pStyle w:val="Header"/>
        <w:spacing w:before="120" w:after="120"/>
        <w:rPr>
          <w:rFonts w:ascii="Times New Roman" w:hAnsi="Times New Roman" w:cs="Times New Roman"/>
          <w:szCs w:val="24"/>
        </w:rPr>
      </w:pPr>
      <w:r w:rsidRPr="0019781D">
        <w:rPr>
          <w:rFonts w:ascii="Times New Roman" w:hAnsi="Times New Roman" w:cs="Times New Roman"/>
          <w:szCs w:val="24"/>
        </w:rPr>
        <w:t xml:space="preserve">QSQO stated: </w:t>
      </w:r>
    </w:p>
    <w:p w:rsidR="0019781D" w:rsidRPr="0019781D" w:rsidRDefault="0019781D" w:rsidP="0019781D">
      <w:pPr>
        <w:pStyle w:val="HERNormal"/>
        <w:spacing w:before="120" w:after="120" w:line="240" w:lineRule="auto"/>
        <w:ind w:left="720"/>
        <w:rPr>
          <w:rFonts w:ascii="Times New Roman" w:hAnsi="Times New Roman" w:cs="Times New Roman"/>
          <w:i/>
          <w:noProof w:val="0"/>
          <w:szCs w:val="24"/>
        </w:rPr>
      </w:pPr>
      <w:r w:rsidRPr="0019781D">
        <w:rPr>
          <w:rFonts w:ascii="Times New Roman" w:hAnsi="Times New Roman" w:cs="Times New Roman"/>
          <w:i/>
          <w:noProof w:val="0"/>
          <w:szCs w:val="24"/>
        </w:rPr>
        <w:t xml:space="preserve">Reforms such as assessing children in reading, phonics and numeracy during Year 1 and reporting annually to parents against agreed national literacy and numeracy standards for every year of </w:t>
      </w:r>
      <w:proofErr w:type="gramStart"/>
      <w:r w:rsidRPr="0019781D">
        <w:rPr>
          <w:rFonts w:ascii="Times New Roman" w:hAnsi="Times New Roman" w:cs="Times New Roman"/>
          <w:i/>
          <w:noProof w:val="0"/>
          <w:szCs w:val="24"/>
        </w:rPr>
        <w:t>schooling,</w:t>
      </w:r>
      <w:proofErr w:type="gramEnd"/>
      <w:r w:rsidRPr="0019781D">
        <w:rPr>
          <w:rFonts w:ascii="Times New Roman" w:hAnsi="Times New Roman" w:cs="Times New Roman"/>
          <w:i/>
          <w:noProof w:val="0"/>
          <w:szCs w:val="24"/>
        </w:rPr>
        <w:t xml:space="preserve"> will ensure students who are behind are identified early and can be targeted with interventions before the achievement gap grows. </w:t>
      </w:r>
    </w:p>
    <w:p w:rsidR="0019781D" w:rsidRPr="0019781D" w:rsidRDefault="0019781D" w:rsidP="0019781D">
      <w:pPr>
        <w:pStyle w:val="HERHeading2"/>
        <w:spacing w:before="120" w:after="120" w:line="240" w:lineRule="auto"/>
        <w:rPr>
          <w:rFonts w:ascii="Times New Roman" w:hAnsi="Times New Roman" w:cs="Times New Roman"/>
          <w:color w:val="auto"/>
          <w:sz w:val="22"/>
          <w:szCs w:val="24"/>
        </w:rPr>
      </w:pPr>
      <w:r w:rsidRPr="0019781D">
        <w:rPr>
          <w:rFonts w:ascii="Times New Roman" w:hAnsi="Times New Roman" w:cs="Times New Roman"/>
          <w:color w:val="auto"/>
          <w:sz w:val="22"/>
          <w:szCs w:val="24"/>
        </w:rPr>
        <w:t xml:space="preserve">Purpose </w:t>
      </w:r>
    </w:p>
    <w:p w:rsidR="0019781D" w:rsidRPr="0019781D" w:rsidRDefault="0019781D" w:rsidP="0019781D">
      <w:pPr>
        <w:pStyle w:val="HERHeading2"/>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auto"/>
          <w:sz w:val="22"/>
          <w:szCs w:val="24"/>
        </w:rPr>
        <w:t xml:space="preserve">The purpose of the Panel is to provide advice to the Minister for Education and Training to inform the development and implementation of a national Year 1 check. </w:t>
      </w:r>
    </w:p>
    <w:p w:rsidR="0019781D" w:rsidRPr="0019781D" w:rsidRDefault="0019781D" w:rsidP="0019781D">
      <w:pPr>
        <w:pStyle w:val="HERHeading2"/>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auto"/>
          <w:sz w:val="22"/>
          <w:szCs w:val="24"/>
        </w:rPr>
        <w:t>The advice will include:</w:t>
      </w:r>
    </w:p>
    <w:p w:rsidR="0019781D" w:rsidRPr="0019781D" w:rsidRDefault="0019781D" w:rsidP="0019781D">
      <w:pPr>
        <w:pStyle w:val="HERHeading2"/>
        <w:numPr>
          <w:ilvl w:val="0"/>
          <w:numId w:val="1"/>
        </w:numPr>
        <w:spacing w:before="120" w:line="240" w:lineRule="auto"/>
        <w:rPr>
          <w:rFonts w:ascii="Times New Roman" w:hAnsi="Times New Roman" w:cs="Times New Roman"/>
          <w:b w:val="0"/>
          <w:color w:val="auto"/>
          <w:sz w:val="22"/>
          <w:szCs w:val="24"/>
        </w:rPr>
      </w:pPr>
      <w:r w:rsidRPr="0019781D">
        <w:rPr>
          <w:rFonts w:ascii="Times New Roman" w:hAnsi="Times New Roman" w:cs="Times New Roman"/>
          <w:b w:val="0"/>
          <w:color w:val="231F20"/>
          <w:sz w:val="22"/>
          <w:szCs w:val="24"/>
        </w:rPr>
        <w:t xml:space="preserve">a summary of recent national and international research of </w:t>
      </w:r>
      <w:r w:rsidRPr="0019781D">
        <w:rPr>
          <w:rFonts w:ascii="Times New Roman" w:hAnsi="Times New Roman" w:cs="Times New Roman"/>
          <w:b w:val="0"/>
          <w:color w:val="auto"/>
          <w:sz w:val="22"/>
          <w:szCs w:val="24"/>
        </w:rPr>
        <w:t>best practice in early years assessments covering reading, phonics and numeracy</w:t>
      </w:r>
    </w:p>
    <w:p w:rsidR="0019781D" w:rsidRPr="0019781D" w:rsidRDefault="0019781D" w:rsidP="0019781D">
      <w:pPr>
        <w:pStyle w:val="HERHeading2"/>
        <w:numPr>
          <w:ilvl w:val="0"/>
          <w:numId w:val="1"/>
        </w:numPr>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231F20"/>
          <w:sz w:val="22"/>
          <w:szCs w:val="24"/>
        </w:rPr>
        <w:t>a summary of literacy (including phonics)</w:t>
      </w:r>
      <w:r w:rsidRPr="0019781D">
        <w:rPr>
          <w:rFonts w:ascii="Times New Roman" w:hAnsi="Times New Roman" w:cs="Times New Roman"/>
          <w:b w:val="0"/>
          <w:color w:val="auto"/>
          <w:sz w:val="22"/>
          <w:szCs w:val="24"/>
        </w:rPr>
        <w:t xml:space="preserve"> and numeracy a</w:t>
      </w:r>
      <w:bookmarkStart w:id="0" w:name="_GoBack"/>
      <w:bookmarkEnd w:id="0"/>
      <w:r w:rsidRPr="0019781D">
        <w:rPr>
          <w:rFonts w:ascii="Times New Roman" w:hAnsi="Times New Roman" w:cs="Times New Roman"/>
          <w:b w:val="0"/>
          <w:color w:val="auto"/>
          <w:sz w:val="22"/>
          <w:szCs w:val="24"/>
        </w:rPr>
        <w:t>ssessments that are currently used in Australia and internationally in the early years and on-entry to school</w:t>
      </w:r>
    </w:p>
    <w:p w:rsidR="0019781D" w:rsidRPr="0019781D" w:rsidRDefault="0019781D" w:rsidP="0019781D">
      <w:pPr>
        <w:pStyle w:val="HERHeading2"/>
        <w:numPr>
          <w:ilvl w:val="0"/>
          <w:numId w:val="1"/>
        </w:numPr>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231F20"/>
          <w:sz w:val="22"/>
          <w:szCs w:val="24"/>
        </w:rPr>
        <w:t xml:space="preserve">recommendations on the implementation of a Year 1 check, including </w:t>
      </w:r>
      <w:r w:rsidRPr="0019781D">
        <w:rPr>
          <w:rFonts w:ascii="Times New Roman" w:hAnsi="Times New Roman" w:cs="Times New Roman"/>
          <w:b w:val="0"/>
          <w:color w:val="auto"/>
          <w:sz w:val="22"/>
          <w:szCs w:val="24"/>
        </w:rPr>
        <w:t xml:space="preserve">frequency, timing, prioritising of core skills assessed and reporting </w:t>
      </w:r>
    </w:p>
    <w:p w:rsidR="0019781D" w:rsidRPr="0019781D" w:rsidRDefault="0019781D" w:rsidP="0019781D">
      <w:pPr>
        <w:pStyle w:val="HERHeading2"/>
        <w:numPr>
          <w:ilvl w:val="0"/>
          <w:numId w:val="1"/>
        </w:numPr>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231F20"/>
          <w:sz w:val="22"/>
          <w:szCs w:val="24"/>
        </w:rPr>
        <w:t>options for staggered implementation of a national Year 1 check, including an initial pilot study that could be scaled up to a national assessment</w:t>
      </w:r>
    </w:p>
    <w:p w:rsidR="0019781D" w:rsidRPr="0019781D" w:rsidRDefault="0019781D" w:rsidP="0019781D">
      <w:pPr>
        <w:pStyle w:val="HERHeading2"/>
        <w:numPr>
          <w:ilvl w:val="0"/>
          <w:numId w:val="1"/>
        </w:numPr>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auto"/>
          <w:sz w:val="22"/>
          <w:szCs w:val="24"/>
        </w:rPr>
        <w:t xml:space="preserve">recommendations on further reforms that may follow the implementation of a national early years check such as specific teacher development programs to support the teaching of early years reading, phonics or numeracy. </w:t>
      </w:r>
    </w:p>
    <w:p w:rsidR="0019781D" w:rsidRPr="0019781D" w:rsidRDefault="0019781D" w:rsidP="0019781D">
      <w:pPr>
        <w:spacing w:before="120" w:after="120" w:line="240" w:lineRule="auto"/>
        <w:outlineLvl w:val="2"/>
        <w:rPr>
          <w:rFonts w:ascii="Times New Roman" w:eastAsia="Times New Roman" w:hAnsi="Times New Roman" w:cs="Times New Roman"/>
          <w:b/>
          <w:bCs/>
          <w:szCs w:val="24"/>
          <w:lang w:eastAsia="en-AU"/>
        </w:rPr>
      </w:pPr>
      <w:r w:rsidRPr="0019781D">
        <w:rPr>
          <w:rFonts w:ascii="Times New Roman" w:eastAsia="Times New Roman" w:hAnsi="Times New Roman" w:cs="Times New Roman"/>
          <w:b/>
          <w:bCs/>
          <w:szCs w:val="24"/>
          <w:lang w:eastAsia="en-AU"/>
        </w:rPr>
        <w:t>Consultation</w:t>
      </w:r>
    </w:p>
    <w:p w:rsidR="0019781D" w:rsidRPr="0019781D" w:rsidRDefault="0019781D" w:rsidP="0019781D">
      <w:pPr>
        <w:spacing w:before="120" w:after="120" w:line="240" w:lineRule="auto"/>
        <w:rPr>
          <w:rFonts w:ascii="Times New Roman" w:eastAsia="Times New Roman" w:hAnsi="Times New Roman" w:cs="Times New Roman"/>
          <w:szCs w:val="24"/>
          <w:lang w:eastAsia="en-AU"/>
        </w:rPr>
      </w:pPr>
      <w:r w:rsidRPr="0019781D">
        <w:rPr>
          <w:rFonts w:ascii="Times New Roman" w:eastAsia="Times New Roman" w:hAnsi="Times New Roman" w:cs="Times New Roman"/>
          <w:szCs w:val="24"/>
          <w:lang w:eastAsia="en-AU"/>
        </w:rPr>
        <w:t>The Panel will undertake consultations with key stakeholders to inform its advice.</w:t>
      </w:r>
    </w:p>
    <w:p w:rsidR="0019781D" w:rsidRPr="0019781D" w:rsidRDefault="0019781D" w:rsidP="0019781D">
      <w:pPr>
        <w:spacing w:before="120" w:after="120" w:line="240" w:lineRule="auto"/>
        <w:rPr>
          <w:rFonts w:ascii="Times New Roman" w:eastAsia="Times New Roman" w:hAnsi="Times New Roman" w:cs="Times New Roman"/>
          <w:szCs w:val="24"/>
          <w:lang w:eastAsia="en-AU"/>
        </w:rPr>
      </w:pPr>
      <w:r w:rsidRPr="0019781D">
        <w:rPr>
          <w:rFonts w:ascii="Times New Roman" w:eastAsia="Times New Roman" w:hAnsi="Times New Roman" w:cs="Times New Roman"/>
          <w:szCs w:val="24"/>
          <w:lang w:eastAsia="en-AU"/>
        </w:rPr>
        <w:t>The Panel will consult with, at a minimum:</w:t>
      </w:r>
    </w:p>
    <w:p w:rsidR="0019781D" w:rsidRPr="0019781D" w:rsidRDefault="0019781D" w:rsidP="0019781D">
      <w:pPr>
        <w:numPr>
          <w:ilvl w:val="0"/>
          <w:numId w:val="2"/>
        </w:numPr>
        <w:spacing w:before="120" w:after="120" w:line="240" w:lineRule="auto"/>
        <w:ind w:left="714" w:hanging="357"/>
        <w:rPr>
          <w:rFonts w:ascii="Times New Roman" w:eastAsia="Times New Roman" w:hAnsi="Times New Roman" w:cs="Times New Roman"/>
          <w:szCs w:val="24"/>
          <w:lang w:eastAsia="en-AU"/>
        </w:rPr>
      </w:pPr>
      <w:r w:rsidRPr="0019781D">
        <w:rPr>
          <w:rFonts w:ascii="Times New Roman" w:eastAsia="Times New Roman" w:hAnsi="Times New Roman" w:cs="Times New Roman"/>
          <w:szCs w:val="24"/>
          <w:lang w:eastAsia="en-AU"/>
        </w:rPr>
        <w:t>teacher employers</w:t>
      </w:r>
    </w:p>
    <w:p w:rsidR="0019781D" w:rsidRPr="0019781D" w:rsidRDefault="0019781D" w:rsidP="0019781D">
      <w:pPr>
        <w:numPr>
          <w:ilvl w:val="0"/>
          <w:numId w:val="2"/>
        </w:numPr>
        <w:spacing w:before="120" w:after="120" w:line="240" w:lineRule="auto"/>
        <w:ind w:left="714" w:hanging="357"/>
        <w:rPr>
          <w:rFonts w:ascii="Times New Roman" w:eastAsia="Times New Roman" w:hAnsi="Times New Roman" w:cs="Times New Roman"/>
          <w:szCs w:val="24"/>
          <w:lang w:eastAsia="en-AU"/>
        </w:rPr>
      </w:pPr>
      <w:r w:rsidRPr="0019781D">
        <w:rPr>
          <w:rFonts w:ascii="Times New Roman" w:eastAsia="Times New Roman" w:hAnsi="Times New Roman" w:cs="Times New Roman"/>
          <w:szCs w:val="24"/>
          <w:lang w:eastAsia="en-AU"/>
        </w:rPr>
        <w:t>key representative bodies of the education sector, including principal and key subject professional associations</w:t>
      </w:r>
    </w:p>
    <w:p w:rsidR="0019781D" w:rsidRPr="0019781D" w:rsidRDefault="0019781D" w:rsidP="0019781D">
      <w:pPr>
        <w:numPr>
          <w:ilvl w:val="0"/>
          <w:numId w:val="2"/>
        </w:numPr>
        <w:spacing w:before="120" w:after="120" w:line="240" w:lineRule="auto"/>
        <w:ind w:left="714" w:hanging="357"/>
        <w:contextualSpacing/>
        <w:rPr>
          <w:rFonts w:ascii="Times New Roman" w:eastAsia="Times New Roman" w:hAnsi="Times New Roman" w:cs="Times New Roman"/>
          <w:szCs w:val="24"/>
          <w:lang w:eastAsia="en-AU"/>
        </w:rPr>
      </w:pPr>
      <w:proofErr w:type="gramStart"/>
      <w:r w:rsidRPr="0019781D">
        <w:rPr>
          <w:rFonts w:ascii="Times New Roman" w:eastAsia="Times New Roman" w:hAnsi="Times New Roman" w:cs="Times New Roman"/>
          <w:szCs w:val="24"/>
          <w:lang w:eastAsia="en-AU"/>
        </w:rPr>
        <w:t>teachers</w:t>
      </w:r>
      <w:proofErr w:type="gramEnd"/>
      <w:r w:rsidRPr="0019781D">
        <w:rPr>
          <w:rFonts w:ascii="Times New Roman" w:eastAsia="Times New Roman" w:hAnsi="Times New Roman" w:cs="Times New Roman"/>
          <w:szCs w:val="24"/>
          <w:lang w:eastAsia="en-AU"/>
        </w:rPr>
        <w:t xml:space="preserve"> and relevant education experts.</w:t>
      </w:r>
    </w:p>
    <w:p w:rsidR="0019781D" w:rsidRPr="0019781D" w:rsidRDefault="0019781D" w:rsidP="0019781D">
      <w:pPr>
        <w:pStyle w:val="HERHeading2"/>
        <w:spacing w:before="120" w:after="120" w:line="240" w:lineRule="auto"/>
        <w:rPr>
          <w:rFonts w:ascii="Times New Roman" w:hAnsi="Times New Roman" w:cs="Times New Roman"/>
          <w:color w:val="auto"/>
          <w:sz w:val="22"/>
          <w:szCs w:val="24"/>
        </w:rPr>
      </w:pPr>
      <w:r w:rsidRPr="0019781D">
        <w:rPr>
          <w:rFonts w:ascii="Times New Roman" w:hAnsi="Times New Roman" w:cs="Times New Roman"/>
          <w:color w:val="auto"/>
          <w:sz w:val="22"/>
          <w:szCs w:val="24"/>
        </w:rPr>
        <w:t xml:space="preserve">Roles and responsibilities </w:t>
      </w:r>
    </w:p>
    <w:p w:rsidR="0019781D" w:rsidRPr="0019781D" w:rsidRDefault="0019781D" w:rsidP="0019781D">
      <w:pPr>
        <w:pStyle w:val="HERHeading2"/>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auto"/>
          <w:sz w:val="22"/>
          <w:szCs w:val="24"/>
        </w:rPr>
        <w:t xml:space="preserve">The Panel will report to the Minister for Education and Training by the end of April 2017. </w:t>
      </w:r>
    </w:p>
    <w:p w:rsidR="0019781D" w:rsidRPr="0019781D" w:rsidRDefault="0019781D" w:rsidP="0019781D">
      <w:pPr>
        <w:pStyle w:val="HERHeading2"/>
        <w:spacing w:before="120" w:after="120" w:line="240" w:lineRule="auto"/>
        <w:rPr>
          <w:rFonts w:ascii="Times New Roman" w:hAnsi="Times New Roman" w:cs="Times New Roman"/>
          <w:b w:val="0"/>
          <w:color w:val="auto"/>
          <w:sz w:val="22"/>
          <w:szCs w:val="24"/>
        </w:rPr>
      </w:pPr>
      <w:r w:rsidRPr="0019781D">
        <w:rPr>
          <w:rFonts w:ascii="Times New Roman" w:hAnsi="Times New Roman" w:cs="Times New Roman"/>
          <w:b w:val="0"/>
          <w:color w:val="auto"/>
          <w:sz w:val="22"/>
          <w:szCs w:val="24"/>
        </w:rPr>
        <w:t>The Department of Education and Training will provide secretariat support to the Panel.</w:t>
      </w:r>
    </w:p>
    <w:p w:rsidR="0019781D" w:rsidRPr="0019781D" w:rsidRDefault="0019781D" w:rsidP="0019781D">
      <w:pPr>
        <w:pStyle w:val="HERHeading2"/>
        <w:spacing w:before="120" w:after="120" w:line="240" w:lineRule="auto"/>
        <w:rPr>
          <w:rFonts w:ascii="Times New Roman" w:hAnsi="Times New Roman" w:cs="Times New Roman"/>
          <w:color w:val="auto"/>
          <w:sz w:val="22"/>
          <w:szCs w:val="24"/>
        </w:rPr>
      </w:pPr>
      <w:r w:rsidRPr="0019781D">
        <w:rPr>
          <w:rFonts w:ascii="Times New Roman" w:hAnsi="Times New Roman" w:cs="Times New Roman"/>
          <w:color w:val="auto"/>
          <w:sz w:val="22"/>
          <w:szCs w:val="24"/>
        </w:rPr>
        <w:t>Constitution</w:t>
      </w:r>
    </w:p>
    <w:p w:rsidR="0019781D" w:rsidRPr="0019781D" w:rsidRDefault="0019781D" w:rsidP="0019781D">
      <w:pPr>
        <w:spacing w:before="120" w:after="120" w:line="240" w:lineRule="auto"/>
        <w:rPr>
          <w:rFonts w:ascii="Times New Roman" w:hAnsi="Times New Roman" w:cs="Times New Roman"/>
          <w:szCs w:val="24"/>
        </w:rPr>
      </w:pPr>
      <w:r w:rsidRPr="0019781D">
        <w:rPr>
          <w:rFonts w:ascii="Times New Roman" w:hAnsi="Times New Roman" w:cs="Times New Roman"/>
          <w:szCs w:val="24"/>
        </w:rPr>
        <w:t>The Panel will comprise five to seven members.</w:t>
      </w:r>
    </w:p>
    <w:p w:rsidR="00EB490F" w:rsidRDefault="00EB490F"/>
    <w:sectPr w:rsidR="00EB490F" w:rsidSect="0019781D">
      <w:pgSz w:w="11906" w:h="16838"/>
      <w:pgMar w:top="567"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B67"/>
    <w:multiLevelType w:val="hybridMultilevel"/>
    <w:tmpl w:val="6D6E842E"/>
    <w:lvl w:ilvl="0" w:tplc="BE52091A">
      <w:start w:val="1"/>
      <w:numFmt w:val="bullet"/>
      <w:lvlText w:val=""/>
      <w:lvlJc w:val="left"/>
      <w:pPr>
        <w:ind w:left="720" w:hanging="360"/>
      </w:pPr>
      <w:rPr>
        <w:rFonts w:ascii="Symbol" w:hAnsi="Symbol" w:hint="default"/>
      </w:rPr>
    </w:lvl>
    <w:lvl w:ilvl="1" w:tplc="9A2E7460">
      <w:start w:val="1"/>
      <w:numFmt w:val="bullet"/>
      <w:lvlText w:val="o"/>
      <w:lvlJc w:val="left"/>
      <w:pPr>
        <w:ind w:left="1440" w:hanging="360"/>
      </w:pPr>
      <w:rPr>
        <w:rFonts w:ascii="Courier New" w:hAnsi="Courier New" w:cs="Courier New" w:hint="default"/>
      </w:rPr>
    </w:lvl>
    <w:lvl w:ilvl="2" w:tplc="FF62E4C2" w:tentative="1">
      <w:start w:val="1"/>
      <w:numFmt w:val="bullet"/>
      <w:lvlText w:val=""/>
      <w:lvlJc w:val="left"/>
      <w:pPr>
        <w:ind w:left="2160" w:hanging="360"/>
      </w:pPr>
      <w:rPr>
        <w:rFonts w:ascii="Wingdings" w:hAnsi="Wingdings" w:hint="default"/>
      </w:rPr>
    </w:lvl>
    <w:lvl w:ilvl="3" w:tplc="95EC09AE" w:tentative="1">
      <w:start w:val="1"/>
      <w:numFmt w:val="bullet"/>
      <w:lvlText w:val=""/>
      <w:lvlJc w:val="left"/>
      <w:pPr>
        <w:ind w:left="2880" w:hanging="360"/>
      </w:pPr>
      <w:rPr>
        <w:rFonts w:ascii="Symbol" w:hAnsi="Symbol" w:hint="default"/>
      </w:rPr>
    </w:lvl>
    <w:lvl w:ilvl="4" w:tplc="91C839C8" w:tentative="1">
      <w:start w:val="1"/>
      <w:numFmt w:val="bullet"/>
      <w:lvlText w:val="o"/>
      <w:lvlJc w:val="left"/>
      <w:pPr>
        <w:ind w:left="3600" w:hanging="360"/>
      </w:pPr>
      <w:rPr>
        <w:rFonts w:ascii="Courier New" w:hAnsi="Courier New" w:cs="Courier New" w:hint="default"/>
      </w:rPr>
    </w:lvl>
    <w:lvl w:ilvl="5" w:tplc="1FA8D8E4" w:tentative="1">
      <w:start w:val="1"/>
      <w:numFmt w:val="bullet"/>
      <w:lvlText w:val=""/>
      <w:lvlJc w:val="left"/>
      <w:pPr>
        <w:ind w:left="4320" w:hanging="360"/>
      </w:pPr>
      <w:rPr>
        <w:rFonts w:ascii="Wingdings" w:hAnsi="Wingdings" w:hint="default"/>
      </w:rPr>
    </w:lvl>
    <w:lvl w:ilvl="6" w:tplc="56BCC614" w:tentative="1">
      <w:start w:val="1"/>
      <w:numFmt w:val="bullet"/>
      <w:lvlText w:val=""/>
      <w:lvlJc w:val="left"/>
      <w:pPr>
        <w:ind w:left="5040" w:hanging="360"/>
      </w:pPr>
      <w:rPr>
        <w:rFonts w:ascii="Symbol" w:hAnsi="Symbol" w:hint="default"/>
      </w:rPr>
    </w:lvl>
    <w:lvl w:ilvl="7" w:tplc="7E841772" w:tentative="1">
      <w:start w:val="1"/>
      <w:numFmt w:val="bullet"/>
      <w:lvlText w:val="o"/>
      <w:lvlJc w:val="left"/>
      <w:pPr>
        <w:ind w:left="5760" w:hanging="360"/>
      </w:pPr>
      <w:rPr>
        <w:rFonts w:ascii="Courier New" w:hAnsi="Courier New" w:cs="Courier New" w:hint="default"/>
      </w:rPr>
    </w:lvl>
    <w:lvl w:ilvl="8" w:tplc="B3E83DCE" w:tentative="1">
      <w:start w:val="1"/>
      <w:numFmt w:val="bullet"/>
      <w:lvlText w:val=""/>
      <w:lvlJc w:val="left"/>
      <w:pPr>
        <w:ind w:left="6480" w:hanging="360"/>
      </w:pPr>
      <w:rPr>
        <w:rFonts w:ascii="Wingdings" w:hAnsi="Wingdings" w:hint="default"/>
      </w:rPr>
    </w:lvl>
  </w:abstractNum>
  <w:abstractNum w:abstractNumId="1">
    <w:nsid w:val="60987AD7"/>
    <w:multiLevelType w:val="multilevel"/>
    <w:tmpl w:val="CB946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1D"/>
    <w:rsid w:val="0019781D"/>
    <w:rsid w:val="003977D4"/>
    <w:rsid w:val="00EB4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1D"/>
  </w:style>
  <w:style w:type="paragraph" w:styleId="Heading2">
    <w:name w:val="heading 2"/>
    <w:basedOn w:val="Normal"/>
    <w:next w:val="Normal"/>
    <w:link w:val="Heading2Char"/>
    <w:uiPriority w:val="9"/>
    <w:semiHidden/>
    <w:unhideWhenUsed/>
    <w:qFormat/>
    <w:rsid w:val="001978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81D"/>
  </w:style>
  <w:style w:type="paragraph" w:customStyle="1" w:styleId="HERHeading2">
    <w:name w:val="HER_Heading 2"/>
    <w:basedOn w:val="Heading2"/>
    <w:qFormat/>
    <w:rsid w:val="0019781D"/>
    <w:pPr>
      <w:keepNext w:val="0"/>
      <w:keepLines w:val="0"/>
    </w:pPr>
    <w:rPr>
      <w:rFonts w:ascii="Calibri" w:hAnsi="Calibri"/>
      <w:color w:val="5376A8"/>
      <w:sz w:val="28"/>
    </w:rPr>
  </w:style>
  <w:style w:type="paragraph" w:customStyle="1" w:styleId="HERNormal">
    <w:name w:val="HER_Normal"/>
    <w:basedOn w:val="Normal"/>
    <w:qFormat/>
    <w:rsid w:val="0019781D"/>
    <w:rPr>
      <w:rFonts w:eastAsiaTheme="minorEastAsia"/>
      <w:noProof/>
    </w:rPr>
  </w:style>
  <w:style w:type="character" w:customStyle="1" w:styleId="Heading2Char">
    <w:name w:val="Heading 2 Char"/>
    <w:basedOn w:val="DefaultParagraphFont"/>
    <w:link w:val="Heading2"/>
    <w:uiPriority w:val="9"/>
    <w:semiHidden/>
    <w:rsid w:val="0019781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1D"/>
  </w:style>
  <w:style w:type="paragraph" w:styleId="Heading2">
    <w:name w:val="heading 2"/>
    <w:basedOn w:val="Normal"/>
    <w:next w:val="Normal"/>
    <w:link w:val="Heading2Char"/>
    <w:uiPriority w:val="9"/>
    <w:semiHidden/>
    <w:unhideWhenUsed/>
    <w:qFormat/>
    <w:rsid w:val="001978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81D"/>
  </w:style>
  <w:style w:type="paragraph" w:customStyle="1" w:styleId="HERHeading2">
    <w:name w:val="HER_Heading 2"/>
    <w:basedOn w:val="Heading2"/>
    <w:qFormat/>
    <w:rsid w:val="0019781D"/>
    <w:pPr>
      <w:keepNext w:val="0"/>
      <w:keepLines w:val="0"/>
    </w:pPr>
    <w:rPr>
      <w:rFonts w:ascii="Calibri" w:hAnsi="Calibri"/>
      <w:color w:val="5376A8"/>
      <w:sz w:val="28"/>
    </w:rPr>
  </w:style>
  <w:style w:type="paragraph" w:customStyle="1" w:styleId="HERNormal">
    <w:name w:val="HER_Normal"/>
    <w:basedOn w:val="Normal"/>
    <w:qFormat/>
    <w:rsid w:val="0019781D"/>
    <w:rPr>
      <w:rFonts w:eastAsiaTheme="minorEastAsia"/>
      <w:noProof/>
    </w:rPr>
  </w:style>
  <w:style w:type="character" w:customStyle="1" w:styleId="Heading2Char">
    <w:name w:val="Heading 2 Char"/>
    <w:basedOn w:val="DefaultParagraphFont"/>
    <w:link w:val="Heading2"/>
    <w:uiPriority w:val="9"/>
    <w:semiHidden/>
    <w:rsid w:val="001978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56477E22.dotm</Template>
  <TotalTime>27</TotalTime>
  <Pages>1</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BONIC-GOODWIN,Daniel</dc:creator>
  <cp:lastModifiedBy>Danny Thomas</cp:lastModifiedBy>
  <cp:revision>2</cp:revision>
  <dcterms:created xsi:type="dcterms:W3CDTF">2017-01-27T10:04:00Z</dcterms:created>
  <dcterms:modified xsi:type="dcterms:W3CDTF">2017-01-27T10:04:00Z</dcterms:modified>
</cp:coreProperties>
</file>