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8E" w:rsidRDefault="00D80A20" w:rsidP="004975E3">
      <w:pPr>
        <w:pStyle w:val="NormalafterTable"/>
        <w:sectPr w:rsidR="0019508E" w:rsidSect="00DB6C39">
          <w:footerReference w:type="default" r:id="rId12"/>
          <w:pgSz w:w="11907" w:h="16839" w:code="9"/>
          <w:pgMar w:top="0" w:right="1304" w:bottom="1440" w:left="0" w:header="0" w:footer="1191" w:gutter="0"/>
          <w:cols w:space="708"/>
          <w:docGrid w:linePitch="360"/>
        </w:sectPr>
      </w:pPr>
      <w:bookmarkStart w:id="0" w:name="_GoBack"/>
      <w:bookmarkEnd w:id="0"/>
      <w:r>
        <w:rPr>
          <w:lang w:eastAsia="en-AU"/>
        </w:rPr>
        <w:drawing>
          <wp:inline distT="0" distB="0" distL="0" distR="0" wp14:anchorId="5BFC51BD" wp14:editId="79D8A423">
            <wp:extent cx="7628400" cy="1468800"/>
            <wp:effectExtent l="0" t="0" r="0" b="0"/>
            <wp:docPr id="1" name="Picture 1" descr="Australian Government. 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ork in Progress\_Education\ED16-0222 - 815068 - VET Student Loan Factsheets\links\ED16-0222 - 815068 - VET Student Loan Factsheets_Header Blue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8400" cy="1468800"/>
                    </a:xfrm>
                    <a:prstGeom prst="rect">
                      <a:avLst/>
                    </a:prstGeom>
                    <a:noFill/>
                    <a:ln>
                      <a:noFill/>
                    </a:ln>
                  </pic:spPr>
                </pic:pic>
              </a:graphicData>
            </a:graphic>
          </wp:inline>
        </w:drawing>
      </w:r>
    </w:p>
    <w:p w:rsidR="009C3CAA" w:rsidRDefault="009C3CAA" w:rsidP="009C3CAA">
      <w:pPr>
        <w:pStyle w:val="Title"/>
      </w:pPr>
      <w:bookmarkStart w:id="1" w:name="_Toc443656203"/>
      <w:r>
        <w:lastRenderedPageBreak/>
        <w:t>New compliance powers</w:t>
      </w:r>
    </w:p>
    <w:p w:rsidR="009C3CAA" w:rsidRDefault="009E0380" w:rsidP="009C3CAA">
      <w:r>
        <w:t>On 1 January 2017, VET Student Loans commenced and VET FEE-HELP closed for all new students</w:t>
      </w:r>
      <w:r w:rsidR="00B56F21">
        <w:t xml:space="preserve">. </w:t>
      </w:r>
      <w:r w:rsidR="009C3CAA">
        <w:t xml:space="preserve">VET Student Loans </w:t>
      </w:r>
      <w:r w:rsidR="009B12B2">
        <w:t>offers</w:t>
      </w:r>
      <w:r w:rsidR="00952B78">
        <w:t xml:space="preserve"> greater protections for students and provide</w:t>
      </w:r>
      <w:r w:rsidR="009B12B2">
        <w:t>s</w:t>
      </w:r>
      <w:r w:rsidR="00952B78">
        <w:t xml:space="preserve"> </w:t>
      </w:r>
      <w:r w:rsidR="009C3CAA">
        <w:t xml:space="preserve">access to quality higher level VET qualifications that address industry needs and create better opportunities for employment. VET Student Loans </w:t>
      </w:r>
      <w:r w:rsidR="009B12B2">
        <w:t>is</w:t>
      </w:r>
      <w:r w:rsidR="009C3CAA">
        <w:t xml:space="preserve"> underpinned by strong legislation and hard hitting compliance measures.</w:t>
      </w:r>
    </w:p>
    <w:p w:rsidR="009C3CAA" w:rsidRDefault="009C3CAA" w:rsidP="009C3CAA">
      <w:pPr>
        <w:pStyle w:val="Heading1"/>
      </w:pPr>
      <w:r>
        <w:t>Key compliance and regulatory measures enacted through new legislation</w:t>
      </w:r>
    </w:p>
    <w:p w:rsidR="009C3CAA" w:rsidRDefault="009B12B2" w:rsidP="009C3CAA">
      <w:r>
        <w:t>Legislation</w:t>
      </w:r>
      <w:r w:rsidR="009C3CAA">
        <w:t xml:space="preserve"> </w:t>
      </w:r>
      <w:r w:rsidR="003615B7">
        <w:t>gives</w:t>
      </w:r>
      <w:r w:rsidR="00614355">
        <w:t xml:space="preserve"> the Government greater power to take action against training providers who breach requirements of the program and its associated guidelines. This </w:t>
      </w:r>
      <w:r w:rsidR="009C3CAA">
        <w:t xml:space="preserve">includes escalating actions ranging from warnings to simplified provider suspension and revocation powers. </w:t>
      </w:r>
    </w:p>
    <w:p w:rsidR="009C3CAA" w:rsidRDefault="009C3CAA" w:rsidP="009C3CAA">
      <w:r>
        <w:t>The legislation provide</w:t>
      </w:r>
      <w:r w:rsidR="009B12B2">
        <w:t>s</w:t>
      </w:r>
      <w:r>
        <w:t xml:space="preserve"> for: </w:t>
      </w:r>
    </w:p>
    <w:p w:rsidR="009C3CAA" w:rsidRDefault="009C3CAA" w:rsidP="009C3CAA">
      <w:pPr>
        <w:pStyle w:val="ListParagraph"/>
        <w:numPr>
          <w:ilvl w:val="0"/>
          <w:numId w:val="38"/>
        </w:numPr>
      </w:pPr>
      <w:r>
        <w:t>expanded monitoring and regulatory powers</w:t>
      </w:r>
    </w:p>
    <w:p w:rsidR="009C3CAA" w:rsidRDefault="009C3CAA" w:rsidP="009C3CAA">
      <w:pPr>
        <w:pStyle w:val="ListParagraph"/>
        <w:numPr>
          <w:ilvl w:val="0"/>
          <w:numId w:val="38"/>
        </w:numPr>
      </w:pPr>
      <w:r>
        <w:t>the power to freeze payments to providers in the event of poor performance, non-compliance or suspected non-compliance</w:t>
      </w:r>
    </w:p>
    <w:p w:rsidR="009C3CAA" w:rsidRDefault="009C3CAA" w:rsidP="009C3CAA">
      <w:pPr>
        <w:pStyle w:val="ListParagraph"/>
        <w:numPr>
          <w:ilvl w:val="0"/>
          <w:numId w:val="38"/>
        </w:numPr>
      </w:pPr>
      <w:r>
        <w:t>a lower threshold by which to suspend a provider’s approval on the basis of poor performance or reasonable satisfaction that there has been non-compliance</w:t>
      </w:r>
    </w:p>
    <w:p w:rsidR="009C3CAA" w:rsidRDefault="009C3CAA" w:rsidP="009C3CAA">
      <w:pPr>
        <w:pStyle w:val="ListParagraph"/>
        <w:numPr>
          <w:ilvl w:val="0"/>
          <w:numId w:val="38"/>
        </w:numPr>
      </w:pPr>
      <w:r>
        <w:t>the ability to re-credit all student debts that have arisen where a particular enrolment or cohort of enrolments have been deemed non-genuine</w:t>
      </w:r>
    </w:p>
    <w:p w:rsidR="009C3CAA" w:rsidRDefault="009C3CAA" w:rsidP="009C3CAA">
      <w:pPr>
        <w:pStyle w:val="ListParagraph"/>
        <w:numPr>
          <w:ilvl w:val="0"/>
          <w:numId w:val="38"/>
        </w:numPr>
      </w:pPr>
      <w:r>
        <w:t>the ability to cap individual provider loan amounts on a case by case basis as a result of compliance activity or to control non-genuine growth in enrolments or unreasonable fee increases</w:t>
      </w:r>
    </w:p>
    <w:p w:rsidR="009C3CAA" w:rsidRDefault="009C3CAA" w:rsidP="009C3CAA">
      <w:pPr>
        <w:pStyle w:val="ListParagraph"/>
        <w:numPr>
          <w:ilvl w:val="0"/>
          <w:numId w:val="38"/>
        </w:numPr>
      </w:pPr>
      <w:r>
        <w:t xml:space="preserve">capacity to place conditions on providers, such as restricting the scope of delivery of courses a provider can offer under the </w:t>
      </w:r>
      <w:r w:rsidR="008864D3">
        <w:t>program</w:t>
      </w:r>
      <w:r>
        <w:t>, and greater protection for students by prohibiting providers from seeking outstanding fees from students if a provider’s approval is suspended or revoked, or its payments frozen.</w:t>
      </w:r>
    </w:p>
    <w:p w:rsidR="009C3CAA" w:rsidRDefault="009C3CAA" w:rsidP="009C3CAA">
      <w:pPr>
        <w:pStyle w:val="Heading1"/>
      </w:pPr>
      <w:r>
        <w:t>What about brokers and third party delivery?</w:t>
      </w:r>
    </w:p>
    <w:p w:rsidR="009C3CAA" w:rsidRDefault="009C3CAA" w:rsidP="009C3CAA">
      <w:pPr>
        <w:pStyle w:val="Heading2"/>
      </w:pPr>
      <w:r>
        <w:t>Brokers and marketing agents</w:t>
      </w:r>
    </w:p>
    <w:p w:rsidR="009C3CAA" w:rsidRDefault="009C3CAA" w:rsidP="009C3CAA">
      <w:r>
        <w:t>Providers will be prohibited from using brokers or marketing agents to interact or engage with students at the time of enrolment, or any other time throughout their training, ensuring enrolment processes and student engagement are the sole responsibility of approved providers.</w:t>
      </w:r>
    </w:p>
    <w:p w:rsidR="009C3CAA" w:rsidRDefault="009C3CAA" w:rsidP="009C3CAA">
      <w:pPr>
        <w:pStyle w:val="Heading2"/>
      </w:pPr>
      <w:r>
        <w:t>Third part</w:t>
      </w:r>
      <w:r w:rsidR="008864D3">
        <w:t>y</w:t>
      </w:r>
      <w:r>
        <w:t xml:space="preserve"> delivery</w:t>
      </w:r>
    </w:p>
    <w:p w:rsidR="009C3CAA" w:rsidRDefault="009C3CAA" w:rsidP="009C3CAA">
      <w:r>
        <w:t>Providers will only be permitted to subcontract training to other approved VET Student Loans providers or higher education providers accredited by the Tertiary Education Quality and Standards Agency (TE</w:t>
      </w:r>
      <w:r w:rsidR="00973A6B">
        <w:t>QS</w:t>
      </w:r>
      <w:r>
        <w:t>A).</w:t>
      </w:r>
    </w:p>
    <w:p w:rsidR="009C3CAA" w:rsidRDefault="009C3CAA" w:rsidP="009C3CAA"/>
    <w:p w:rsidR="009C3CAA" w:rsidRDefault="009C3CAA" w:rsidP="009C3CAA">
      <w:pPr>
        <w:pStyle w:val="Heading1"/>
      </w:pPr>
      <w:r>
        <w:t>Other key measures</w:t>
      </w:r>
    </w:p>
    <w:p w:rsidR="009C3CAA" w:rsidRDefault="009C3CAA" w:rsidP="009C3CAA">
      <w:pPr>
        <w:pStyle w:val="Heading2"/>
      </w:pPr>
      <w:r>
        <w:t>Student engagement requirements</w:t>
      </w:r>
    </w:p>
    <w:p w:rsidR="009C3CAA" w:rsidRPr="00B566A1" w:rsidRDefault="007A5038" w:rsidP="003267D8">
      <w:pPr>
        <w:pStyle w:val="CommentText"/>
      </w:pPr>
      <w:r w:rsidRPr="007A5038">
        <w:rPr>
          <w:sz w:val="22"/>
          <w:szCs w:val="22"/>
        </w:rPr>
        <w:t>From 1 July 2017, students must log in to an online system to demonstrate they are engaged with their training.</w:t>
      </w:r>
      <w:r w:rsidR="00526A08">
        <w:rPr>
          <w:sz w:val="22"/>
          <w:szCs w:val="22"/>
        </w:rPr>
        <w:t xml:space="preserve"> </w:t>
      </w:r>
      <w:r w:rsidR="009C3CAA" w:rsidRPr="00B566A1">
        <w:rPr>
          <w:sz w:val="22"/>
          <w:szCs w:val="22"/>
        </w:rPr>
        <w:t xml:space="preserve">Confirmation of engagement will occur at the beginning of at least two fee periods to demonstrate engagement with their course and understand of the loan accrual for that fee period. </w:t>
      </w:r>
    </w:p>
    <w:p w:rsidR="009C3CAA" w:rsidRDefault="009C3CAA" w:rsidP="009C3CAA">
      <w:r>
        <w:t xml:space="preserve">The absence of student engagement will be monitored through compliance procedures and may prompt an investigation of student ‘genuineness’ and the possible re-crediting of debts. </w:t>
      </w:r>
    </w:p>
    <w:p w:rsidR="009C3CAA" w:rsidRDefault="009C3CAA" w:rsidP="009C3CAA">
      <w:pPr>
        <w:pStyle w:val="Heading2"/>
      </w:pPr>
      <w:r>
        <w:t>Payments to providers</w:t>
      </w:r>
    </w:p>
    <w:p w:rsidR="009C3CAA" w:rsidRDefault="009C3CAA" w:rsidP="009C3CAA">
      <w:r>
        <w:t>Providers delivering eligible courses under VET Student Loans will be paid monthly in arrears based on Chief Financial Officer (CFO) authorised and verified student data.</w:t>
      </w:r>
    </w:p>
    <w:p w:rsidR="009C3CAA" w:rsidRDefault="009C3CAA" w:rsidP="009C3CAA">
      <w:pPr>
        <w:pStyle w:val="Heading2"/>
      </w:pPr>
      <w:r>
        <w:t>Provider reporting requirements</w:t>
      </w:r>
    </w:p>
    <w:p w:rsidR="009C3CAA" w:rsidRDefault="009C3CAA" w:rsidP="009C3CAA">
      <w:r>
        <w:t>Under VET Student Loans timely reporting of unit and course completion data will be required.</w:t>
      </w:r>
      <w:r w:rsidRPr="00A02B14">
        <w:t xml:space="preserve"> </w:t>
      </w:r>
      <w:r>
        <w:t>It will be a requirement that all submitted data be accompanied by a statutory declaration (signed by a senior officer) attesting to its validity.</w:t>
      </w:r>
    </w:p>
    <w:p w:rsidR="009C3CAA" w:rsidRDefault="009C3CAA" w:rsidP="009C3CAA">
      <w:r>
        <w:t>As an ongoing annual requirement, approved providers will be required to submit an estimate of likely loans and delivery for that coming year, including:</w:t>
      </w:r>
    </w:p>
    <w:p w:rsidR="009C3CAA" w:rsidRDefault="009C3CAA" w:rsidP="009C3CAA">
      <w:pPr>
        <w:pStyle w:val="ListParagraph"/>
        <w:numPr>
          <w:ilvl w:val="0"/>
          <w:numId w:val="39"/>
        </w:numPr>
      </w:pPr>
      <w:r>
        <w:t>estimated number of student enrolments for the following year</w:t>
      </w:r>
    </w:p>
    <w:p w:rsidR="009C3CAA" w:rsidRDefault="009C3CAA" w:rsidP="009C3CAA">
      <w:pPr>
        <w:pStyle w:val="ListParagraph"/>
        <w:numPr>
          <w:ilvl w:val="0"/>
          <w:numId w:val="39"/>
        </w:numPr>
      </w:pPr>
      <w:r>
        <w:t>estimated number of student enrolments within each course being offered</w:t>
      </w:r>
    </w:p>
    <w:p w:rsidR="009C3CAA" w:rsidRDefault="009C3CAA" w:rsidP="009C3CAA">
      <w:pPr>
        <w:pStyle w:val="ListParagraph"/>
        <w:numPr>
          <w:ilvl w:val="0"/>
          <w:numId w:val="39"/>
        </w:numPr>
      </w:pPr>
      <w:r>
        <w:t>courses to be offered (including mode of delivery for each course and whether any courses ‘nest’ lower AQF level courses</w:t>
      </w:r>
      <w:r w:rsidR="008A3028" w:rsidRPr="003267D8">
        <w:rPr>
          <w:bCs/>
        </w:rPr>
        <w:t>, such as a Certificate IV level course within a Diploma</w:t>
      </w:r>
      <w:r>
        <w:t>)</w:t>
      </w:r>
    </w:p>
    <w:p w:rsidR="009C3CAA" w:rsidRDefault="009C3CAA" w:rsidP="009C3CAA">
      <w:pPr>
        <w:pStyle w:val="ListParagraph"/>
        <w:numPr>
          <w:ilvl w:val="0"/>
          <w:numId w:val="39"/>
        </w:numPr>
      </w:pPr>
      <w:r>
        <w:t>fees for courses, and</w:t>
      </w:r>
    </w:p>
    <w:p w:rsidR="009C3CAA" w:rsidRDefault="009C3CAA" w:rsidP="009C3CAA">
      <w:pPr>
        <w:pStyle w:val="ListParagraph"/>
        <w:numPr>
          <w:ilvl w:val="0"/>
          <w:numId w:val="39"/>
        </w:numPr>
      </w:pPr>
      <w:r>
        <w:t>arrangements regarding the offering of multiple enrolments for individual students.</w:t>
      </w:r>
    </w:p>
    <w:p w:rsidR="009C3CAA" w:rsidRDefault="009C3CAA" w:rsidP="009C3CAA">
      <w:r>
        <w:t>All providers will be paid monthly in arrears based on Chief Financial Officer (CFO) authorised and verified student data.</w:t>
      </w:r>
    </w:p>
    <w:p w:rsidR="009C3CAA" w:rsidRDefault="009C3CAA" w:rsidP="009C3CAA">
      <w:pPr>
        <w:pStyle w:val="Heading2"/>
      </w:pPr>
      <w:r>
        <w:t>Tuition assurance</w:t>
      </w:r>
    </w:p>
    <w:p w:rsidR="009C3CAA" w:rsidRDefault="009C3CAA" w:rsidP="009C3CAA">
      <w:r>
        <w:t>Strengthened tuition assurance obligations for providers are to be introduced to better protect students.</w:t>
      </w:r>
    </w:p>
    <w:p w:rsidR="00125DED" w:rsidRDefault="009C3CAA" w:rsidP="00125DED">
      <w:pPr>
        <w:pStyle w:val="Heading4"/>
      </w:pPr>
      <w:r>
        <w:t xml:space="preserve">For more information on compliance powers, visit </w:t>
      </w:r>
      <w:hyperlink r:id="rId14" w:history="1">
        <w:r w:rsidR="005A18AD" w:rsidRPr="00F57667">
          <w:rPr>
            <w:rStyle w:val="Hyperlink"/>
          </w:rPr>
          <w:t>www.education.gov.au/vet-student-loans</w:t>
        </w:r>
      </w:hyperlink>
      <w:r w:rsidR="005A18AD">
        <w:t xml:space="preserve"> </w:t>
      </w:r>
      <w:r>
        <w:t xml:space="preserve"> </w:t>
      </w:r>
      <w:r w:rsidR="005A18AD">
        <w:t xml:space="preserve"> </w:t>
      </w:r>
    </w:p>
    <w:p w:rsidR="009C3CAA" w:rsidRPr="00F84CDF" w:rsidRDefault="00125DED" w:rsidP="0056399E">
      <w:pPr>
        <w:pStyle w:val="ListParagraph"/>
        <w:numPr>
          <w:ilvl w:val="0"/>
          <w:numId w:val="40"/>
        </w:numPr>
        <w:rPr>
          <w:i/>
        </w:rPr>
      </w:pPr>
      <w:r w:rsidRPr="00F84CDF">
        <w:rPr>
          <w:i/>
        </w:rPr>
        <w:t>If you have questions you may contact the HELP Student Enquiry line on 1800 020 108 or ema</w:t>
      </w:r>
      <w:r w:rsidR="00F84CDF" w:rsidRPr="00F84CDF">
        <w:rPr>
          <w:i/>
        </w:rPr>
        <w:t xml:space="preserve">il </w:t>
      </w:r>
      <w:hyperlink r:id="rId15" w:history="1">
        <w:r w:rsidR="00E25BB2">
          <w:rPr>
            <w:rStyle w:val="Hyperlink"/>
            <w:i/>
          </w:rPr>
          <w:t>VETStudentLoans@education.gov.au</w:t>
        </w:r>
      </w:hyperlink>
    </w:p>
    <w:p w:rsidR="009C3CAA" w:rsidRDefault="009C3CAA" w:rsidP="009C3CAA"/>
    <w:p w:rsidR="008E1CDA" w:rsidRDefault="008E1CDA" w:rsidP="009C3CAA"/>
    <w:p w:rsidR="008E1CDA" w:rsidRDefault="008E1CDA" w:rsidP="009C3CAA"/>
    <w:p w:rsidR="008E1CDA" w:rsidRPr="002F08BB" w:rsidRDefault="008E1CDA" w:rsidP="008E1CDA">
      <w:pPr>
        <w:rPr>
          <w:i/>
        </w:rPr>
      </w:pPr>
      <w:r w:rsidRPr="002F08BB">
        <w:rPr>
          <w:b/>
          <w:i/>
        </w:rPr>
        <w:t>Please note:</w:t>
      </w:r>
      <w:r w:rsidRPr="002F08BB">
        <w:rPr>
          <w:i/>
        </w:rPr>
        <w:t xml:space="preserve"> The purpose of this information factsheet is to give you a snapshot of t</w:t>
      </w:r>
      <w:r>
        <w:rPr>
          <w:i/>
        </w:rPr>
        <w:t xml:space="preserve">he new VET Student Loans </w:t>
      </w:r>
      <w:r w:rsidR="008864D3">
        <w:rPr>
          <w:i/>
        </w:rPr>
        <w:t>program</w:t>
      </w:r>
      <w:r>
        <w:rPr>
          <w:i/>
        </w:rPr>
        <w:t xml:space="preserve">. It </w:t>
      </w:r>
      <w:r w:rsidRPr="002F08BB">
        <w:rPr>
          <w:i/>
        </w:rPr>
        <w:t xml:space="preserve">is not inclusive of all requirements of the new </w:t>
      </w:r>
      <w:r w:rsidR="008864D3">
        <w:rPr>
          <w:i/>
        </w:rPr>
        <w:t>program</w:t>
      </w:r>
      <w:r w:rsidRPr="002F08BB">
        <w:rPr>
          <w:i/>
        </w:rPr>
        <w:t xml:space="preserve">. </w:t>
      </w:r>
    </w:p>
    <w:p w:rsidR="00B87D49" w:rsidRDefault="00B87D49" w:rsidP="00B87D49">
      <w:pPr>
        <w:rPr>
          <w:i/>
        </w:rPr>
      </w:pPr>
      <w:r w:rsidRPr="007B0DEA">
        <w:rPr>
          <w:i/>
        </w:rPr>
        <w:t>Legislation to suppor</w:t>
      </w:r>
      <w:r>
        <w:rPr>
          <w:i/>
        </w:rPr>
        <w:t xml:space="preserve">t </w:t>
      </w:r>
      <w:r w:rsidRPr="002F08BB">
        <w:rPr>
          <w:i/>
        </w:rPr>
        <w:t xml:space="preserve">VET Student Loans </w:t>
      </w:r>
      <w:r>
        <w:rPr>
          <w:i/>
        </w:rPr>
        <w:t>has now passed</w:t>
      </w:r>
      <w:r w:rsidRPr="002F08BB">
        <w:rPr>
          <w:i/>
        </w:rPr>
        <w:t xml:space="preserve"> through parliament.</w:t>
      </w:r>
    </w:p>
    <w:bookmarkEnd w:id="1"/>
    <w:p w:rsidR="009C3CAA" w:rsidRPr="008E1CDA" w:rsidRDefault="009C3CAA" w:rsidP="00B87D49">
      <w:pPr>
        <w:rPr>
          <w:i/>
        </w:rPr>
      </w:pPr>
    </w:p>
    <w:sectPr w:rsidR="009C3CAA" w:rsidRPr="008E1CDA" w:rsidSect="00DB6C39">
      <w:footerReference w:type="default" r:id="rId16"/>
      <w:type w:val="continuous"/>
      <w:pgSz w:w="11907" w:h="16839" w:code="9"/>
      <w:pgMar w:top="1440" w:right="1304" w:bottom="1440" w:left="1304"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CF" w:rsidRDefault="001877CF" w:rsidP="00A04F7E">
      <w:r>
        <w:separator/>
      </w:r>
    </w:p>
    <w:p w:rsidR="001877CF" w:rsidRDefault="001877CF"/>
  </w:endnote>
  <w:endnote w:type="continuationSeparator" w:id="0">
    <w:p w:rsidR="001877CF" w:rsidRDefault="001877CF" w:rsidP="00A04F7E">
      <w:r>
        <w:continuationSeparator/>
      </w:r>
    </w:p>
    <w:p w:rsidR="001877CF" w:rsidRDefault="00187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450707852"/>
      <w:docPartObj>
        <w:docPartGallery w:val="Page Numbers (Bottom of Page)"/>
        <w:docPartUnique/>
      </w:docPartObj>
    </w:sdtPr>
    <w:sdtEndPr>
      <w:rPr>
        <w:noProof/>
      </w:rPr>
    </w:sdtEndPr>
    <w:sdtContent>
      <w:p w:rsidR="00BF5643" w:rsidRPr="003005E0" w:rsidRDefault="00DB6C39" w:rsidP="00DB6C39">
        <w:pPr>
          <w:pStyle w:val="Footer"/>
          <w:ind w:left="1304"/>
          <w:jc w:val="center"/>
        </w:pPr>
        <w:r>
          <w:rPr>
            <w:lang w:eastAsia="en-AU"/>
          </w:rPr>
          <w:drawing>
            <wp:anchor distT="0" distB="0" distL="114300" distR="114300" simplePos="0" relativeHeight="251658240" behindDoc="1" locked="0" layoutInCell="1" allowOverlap="1" wp14:anchorId="17D831EE" wp14:editId="5C003F77">
              <wp:simplePos x="0" y="0"/>
              <wp:positionH relativeFrom="column">
                <wp:posOffset>0</wp:posOffset>
              </wp:positionH>
              <wp:positionV relativeFrom="paragraph">
                <wp:posOffset>271944</wp:posOffset>
              </wp:positionV>
              <wp:extent cx="7624445" cy="636395"/>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3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val="0"/>
            </w:rPr>
            <w:id w:val="-1664919562"/>
            <w:docPartObj>
              <w:docPartGallery w:val="Page Numbers (Bottom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394520">
              <w:t>1</w:t>
            </w:r>
            <w: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59485981"/>
      <w:docPartObj>
        <w:docPartGallery w:val="Page Numbers (Bottom of Page)"/>
        <w:docPartUnique/>
      </w:docPartObj>
    </w:sdtPr>
    <w:sdtEndPr>
      <w:rPr>
        <w:noProof/>
      </w:rPr>
    </w:sdtEndPr>
    <w:sdtContent>
      <w:p w:rsidR="00DB6C39" w:rsidRPr="003005E0" w:rsidRDefault="00D80A20" w:rsidP="00DB6C39">
        <w:pPr>
          <w:pStyle w:val="Footer"/>
          <w:jc w:val="center"/>
        </w:pPr>
        <w:r>
          <w:rPr>
            <w:lang w:eastAsia="en-AU"/>
          </w:rPr>
          <w:drawing>
            <wp:anchor distT="0" distB="0" distL="114300" distR="114300" simplePos="0" relativeHeight="251660288" behindDoc="1" locked="0" layoutInCell="1" allowOverlap="1" wp14:anchorId="722F97A7" wp14:editId="26D9E252">
              <wp:simplePos x="0" y="0"/>
              <wp:positionH relativeFrom="column">
                <wp:posOffset>-828040</wp:posOffset>
              </wp:positionH>
              <wp:positionV relativeFrom="paragraph">
                <wp:posOffset>282575</wp:posOffset>
              </wp:positionV>
              <wp:extent cx="7624445" cy="63627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val="0"/>
            </w:rPr>
            <w:id w:val="-434671876"/>
            <w:docPartObj>
              <w:docPartGallery w:val="Page Numbers (Bottom of Page)"/>
              <w:docPartUnique/>
            </w:docPartObj>
          </w:sdtPr>
          <w:sdtEndPr>
            <w:rPr>
              <w:noProof/>
            </w:rPr>
          </w:sdtEndPr>
          <w:sdtContent>
            <w:r w:rsidR="00DB6C39">
              <w:rPr>
                <w:noProof w:val="0"/>
              </w:rPr>
              <w:fldChar w:fldCharType="begin"/>
            </w:r>
            <w:r w:rsidR="00DB6C39">
              <w:instrText xml:space="preserve"> PAGE   \* MERGEFORMAT </w:instrText>
            </w:r>
            <w:r w:rsidR="00DB6C39">
              <w:rPr>
                <w:noProof w:val="0"/>
              </w:rPr>
              <w:fldChar w:fldCharType="separate"/>
            </w:r>
            <w:r w:rsidR="00394520">
              <w:t>2</w:t>
            </w:r>
            <w:r w:rsidR="00DB6C39">
              <w:fldChar w:fldCharType="end"/>
            </w:r>
          </w:sdtContent>
        </w:sdt>
        <w:r w:rsidR="00DB6C39">
          <w:rPr>
            <w:lang w:eastAsia="en-AU"/>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CF" w:rsidRDefault="001877CF" w:rsidP="00A04F7E">
      <w:r>
        <w:separator/>
      </w:r>
    </w:p>
    <w:p w:rsidR="001877CF" w:rsidRDefault="001877CF"/>
  </w:footnote>
  <w:footnote w:type="continuationSeparator" w:id="0">
    <w:p w:rsidR="001877CF" w:rsidRDefault="001877CF" w:rsidP="00A04F7E">
      <w:r>
        <w:continuationSeparator/>
      </w:r>
    </w:p>
    <w:p w:rsidR="001877CF" w:rsidRDefault="001877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1410306A"/>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2CC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2C77BE"/>
    <w:lvl w:ilvl="0">
      <w:start w:val="1"/>
      <w:numFmt w:val="decimal"/>
      <w:lvlText w:val="%1."/>
      <w:lvlJc w:val="left"/>
      <w:pPr>
        <w:tabs>
          <w:tab w:val="num" w:pos="360"/>
        </w:tabs>
        <w:ind w:left="360" w:hanging="360"/>
      </w:pPr>
    </w:lvl>
  </w:abstractNum>
  <w:abstractNum w:abstractNumId="9">
    <w:nsid w:val="FFFFFF89"/>
    <w:multiLevelType w:val="singleLevel"/>
    <w:tmpl w:val="022A860E"/>
    <w:lvl w:ilvl="0">
      <w:start w:val="1"/>
      <w:numFmt w:val="bullet"/>
      <w:lvlText w:val=""/>
      <w:lvlJc w:val="left"/>
      <w:pPr>
        <w:tabs>
          <w:tab w:val="num" w:pos="360"/>
        </w:tabs>
        <w:ind w:left="360" w:hanging="360"/>
      </w:pPr>
      <w:rPr>
        <w:rFonts w:ascii="Symbol" w:hAnsi="Symbol" w:hint="default"/>
      </w:rPr>
    </w:lvl>
  </w:abstractNum>
  <w:abstractNum w:abstractNumId="1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4">
    <w:nsid w:val="43B40298"/>
    <w:multiLevelType w:val="hybridMultilevel"/>
    <w:tmpl w:val="50FA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51451E0"/>
    <w:multiLevelType w:val="hybridMultilevel"/>
    <w:tmpl w:val="69A8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3">
    <w:nsid w:val="7F302EE8"/>
    <w:multiLevelType w:val="hybridMultilevel"/>
    <w:tmpl w:val="505E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1"/>
  </w:num>
  <w:num w:numId="15">
    <w:abstractNumId w:val="17"/>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11"/>
  </w:num>
  <w:num w:numId="22">
    <w:abstractNumId w:val="32"/>
  </w:num>
  <w:num w:numId="23">
    <w:abstractNumId w:val="22"/>
  </w:num>
  <w:num w:numId="24">
    <w:abstractNumId w:val="27"/>
  </w:num>
  <w:num w:numId="25">
    <w:abstractNumId w:val="10"/>
  </w:num>
  <w:num w:numId="26">
    <w:abstractNumId w:val="23"/>
  </w:num>
  <w:num w:numId="27">
    <w:abstractNumId w:val="13"/>
  </w:num>
  <w:num w:numId="28">
    <w:abstractNumId w:val="14"/>
  </w:num>
  <w:num w:numId="29">
    <w:abstractNumId w:val="34"/>
  </w:num>
  <w:num w:numId="30">
    <w:abstractNumId w:val="25"/>
  </w:num>
  <w:num w:numId="31">
    <w:abstractNumId w:val="19"/>
  </w:num>
  <w:num w:numId="32">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6"/>
  </w:num>
  <w:num w:numId="35">
    <w:abstractNumId w:val="21"/>
  </w:num>
  <w:num w:numId="36">
    <w:abstractNumId w:val="15"/>
  </w:num>
  <w:num w:numId="37">
    <w:abstractNumId w:val="9"/>
  </w:num>
  <w:num w:numId="38">
    <w:abstractNumId w:val="30"/>
  </w:num>
  <w:num w:numId="39">
    <w:abstractNumId w:val="3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a3b13f1-8d50-4aac-8cf4-bfb4a32479ce"/>
    <w:docVar w:name="_AMO_XmlVersion" w:val="Empty"/>
  </w:docVars>
  <w:rsids>
    <w:rsidRoot w:val="00C10C19"/>
    <w:rsid w:val="00002721"/>
    <w:rsid w:val="000036D9"/>
    <w:rsid w:val="00003FCE"/>
    <w:rsid w:val="000133DB"/>
    <w:rsid w:val="000167FA"/>
    <w:rsid w:val="00024E24"/>
    <w:rsid w:val="0002670E"/>
    <w:rsid w:val="00034EAA"/>
    <w:rsid w:val="000429E4"/>
    <w:rsid w:val="00062F97"/>
    <w:rsid w:val="0006500D"/>
    <w:rsid w:val="000769B1"/>
    <w:rsid w:val="000861A6"/>
    <w:rsid w:val="000905A4"/>
    <w:rsid w:val="00095D52"/>
    <w:rsid w:val="000C13AD"/>
    <w:rsid w:val="000D016D"/>
    <w:rsid w:val="000E50D0"/>
    <w:rsid w:val="000E7E7B"/>
    <w:rsid w:val="000F3BA2"/>
    <w:rsid w:val="000F4DC6"/>
    <w:rsid w:val="000F6AD5"/>
    <w:rsid w:val="00101D6A"/>
    <w:rsid w:val="00115635"/>
    <w:rsid w:val="001175BF"/>
    <w:rsid w:val="00125DED"/>
    <w:rsid w:val="00130923"/>
    <w:rsid w:val="001414F3"/>
    <w:rsid w:val="00143FCD"/>
    <w:rsid w:val="001803D2"/>
    <w:rsid w:val="001877CF"/>
    <w:rsid w:val="0019508E"/>
    <w:rsid w:val="001A3DAF"/>
    <w:rsid w:val="001B6467"/>
    <w:rsid w:val="001D3ADE"/>
    <w:rsid w:val="001F44D0"/>
    <w:rsid w:val="00217A60"/>
    <w:rsid w:val="00223EB1"/>
    <w:rsid w:val="00233015"/>
    <w:rsid w:val="00236917"/>
    <w:rsid w:val="00243D6B"/>
    <w:rsid w:val="00245FA4"/>
    <w:rsid w:val="002804AE"/>
    <w:rsid w:val="002A25E6"/>
    <w:rsid w:val="002A3B7A"/>
    <w:rsid w:val="002A598B"/>
    <w:rsid w:val="002B06E6"/>
    <w:rsid w:val="002D271F"/>
    <w:rsid w:val="002D2EBE"/>
    <w:rsid w:val="002D6386"/>
    <w:rsid w:val="002E0B06"/>
    <w:rsid w:val="002F2951"/>
    <w:rsid w:val="003005E0"/>
    <w:rsid w:val="00305B35"/>
    <w:rsid w:val="00306AE1"/>
    <w:rsid w:val="003166C5"/>
    <w:rsid w:val="003242B9"/>
    <w:rsid w:val="003267D8"/>
    <w:rsid w:val="003307EF"/>
    <w:rsid w:val="003362A4"/>
    <w:rsid w:val="00345441"/>
    <w:rsid w:val="003615B7"/>
    <w:rsid w:val="00365895"/>
    <w:rsid w:val="003711F8"/>
    <w:rsid w:val="00394520"/>
    <w:rsid w:val="003A2DB7"/>
    <w:rsid w:val="003A35B6"/>
    <w:rsid w:val="003A43F0"/>
    <w:rsid w:val="003B1A48"/>
    <w:rsid w:val="003C6FE2"/>
    <w:rsid w:val="003D67FC"/>
    <w:rsid w:val="00403F54"/>
    <w:rsid w:val="00406894"/>
    <w:rsid w:val="00406E5A"/>
    <w:rsid w:val="004412D9"/>
    <w:rsid w:val="004459F7"/>
    <w:rsid w:val="004540B5"/>
    <w:rsid w:val="00455B34"/>
    <w:rsid w:val="00462B2A"/>
    <w:rsid w:val="00472ECB"/>
    <w:rsid w:val="00472F88"/>
    <w:rsid w:val="00475A95"/>
    <w:rsid w:val="0048762C"/>
    <w:rsid w:val="00490500"/>
    <w:rsid w:val="00490F19"/>
    <w:rsid w:val="004975E3"/>
    <w:rsid w:val="004A45F8"/>
    <w:rsid w:val="004B256F"/>
    <w:rsid w:val="004C2B41"/>
    <w:rsid w:val="004C7CFE"/>
    <w:rsid w:val="00501DB7"/>
    <w:rsid w:val="005113B6"/>
    <w:rsid w:val="0052661F"/>
    <w:rsid w:val="00526A08"/>
    <w:rsid w:val="00531817"/>
    <w:rsid w:val="00550011"/>
    <w:rsid w:val="00560CA0"/>
    <w:rsid w:val="005624F3"/>
    <w:rsid w:val="0056399E"/>
    <w:rsid w:val="005811EF"/>
    <w:rsid w:val="005818AE"/>
    <w:rsid w:val="005A18AD"/>
    <w:rsid w:val="005B0878"/>
    <w:rsid w:val="005C15C0"/>
    <w:rsid w:val="005C402E"/>
    <w:rsid w:val="005C5AAB"/>
    <w:rsid w:val="00610654"/>
    <w:rsid w:val="00613615"/>
    <w:rsid w:val="00614355"/>
    <w:rsid w:val="006318B9"/>
    <w:rsid w:val="00664716"/>
    <w:rsid w:val="0067026C"/>
    <w:rsid w:val="006D3733"/>
    <w:rsid w:val="006E10EC"/>
    <w:rsid w:val="006E2D49"/>
    <w:rsid w:val="006E68AF"/>
    <w:rsid w:val="00705F06"/>
    <w:rsid w:val="0072124E"/>
    <w:rsid w:val="00746247"/>
    <w:rsid w:val="007468FC"/>
    <w:rsid w:val="00750C37"/>
    <w:rsid w:val="00762D18"/>
    <w:rsid w:val="007658A7"/>
    <w:rsid w:val="00792CA3"/>
    <w:rsid w:val="007A5038"/>
    <w:rsid w:val="007B2FDD"/>
    <w:rsid w:val="007B6902"/>
    <w:rsid w:val="007C57B8"/>
    <w:rsid w:val="007D58FB"/>
    <w:rsid w:val="007F18DA"/>
    <w:rsid w:val="007F20DD"/>
    <w:rsid w:val="00806D54"/>
    <w:rsid w:val="00820EC0"/>
    <w:rsid w:val="00831423"/>
    <w:rsid w:val="0083468A"/>
    <w:rsid w:val="00842D43"/>
    <w:rsid w:val="00856D1C"/>
    <w:rsid w:val="00865601"/>
    <w:rsid w:val="00876AC0"/>
    <w:rsid w:val="008864D3"/>
    <w:rsid w:val="00894410"/>
    <w:rsid w:val="008A3028"/>
    <w:rsid w:val="008D187E"/>
    <w:rsid w:val="008D72C7"/>
    <w:rsid w:val="008E1771"/>
    <w:rsid w:val="008E1CDA"/>
    <w:rsid w:val="00903408"/>
    <w:rsid w:val="0090677D"/>
    <w:rsid w:val="009116EA"/>
    <w:rsid w:val="009146EC"/>
    <w:rsid w:val="009301CA"/>
    <w:rsid w:val="00933671"/>
    <w:rsid w:val="009376BD"/>
    <w:rsid w:val="009468D4"/>
    <w:rsid w:val="009470F1"/>
    <w:rsid w:val="009472A2"/>
    <w:rsid w:val="00952B78"/>
    <w:rsid w:val="0095644C"/>
    <w:rsid w:val="00972BF7"/>
    <w:rsid w:val="00972DD5"/>
    <w:rsid w:val="00973A6B"/>
    <w:rsid w:val="00984879"/>
    <w:rsid w:val="00985632"/>
    <w:rsid w:val="00991B63"/>
    <w:rsid w:val="009A3CD8"/>
    <w:rsid w:val="009B12B2"/>
    <w:rsid w:val="009B2428"/>
    <w:rsid w:val="009B5CB7"/>
    <w:rsid w:val="009C3CAA"/>
    <w:rsid w:val="009E0380"/>
    <w:rsid w:val="00A04F7E"/>
    <w:rsid w:val="00A076BA"/>
    <w:rsid w:val="00A12A12"/>
    <w:rsid w:val="00A31242"/>
    <w:rsid w:val="00A52530"/>
    <w:rsid w:val="00A551BF"/>
    <w:rsid w:val="00A70524"/>
    <w:rsid w:val="00A73406"/>
    <w:rsid w:val="00AA1B6B"/>
    <w:rsid w:val="00AA615C"/>
    <w:rsid w:val="00AB6ED4"/>
    <w:rsid w:val="00AC65DA"/>
    <w:rsid w:val="00AE70B6"/>
    <w:rsid w:val="00B2722A"/>
    <w:rsid w:val="00B566A1"/>
    <w:rsid w:val="00B56F21"/>
    <w:rsid w:val="00B57D88"/>
    <w:rsid w:val="00B618BA"/>
    <w:rsid w:val="00B635E1"/>
    <w:rsid w:val="00B6431A"/>
    <w:rsid w:val="00B87D49"/>
    <w:rsid w:val="00B904AC"/>
    <w:rsid w:val="00B90820"/>
    <w:rsid w:val="00BA08D5"/>
    <w:rsid w:val="00BA282D"/>
    <w:rsid w:val="00BB6260"/>
    <w:rsid w:val="00BB68B0"/>
    <w:rsid w:val="00BD7E83"/>
    <w:rsid w:val="00BF5643"/>
    <w:rsid w:val="00C00191"/>
    <w:rsid w:val="00C05E74"/>
    <w:rsid w:val="00C10C19"/>
    <w:rsid w:val="00C143B8"/>
    <w:rsid w:val="00C17D02"/>
    <w:rsid w:val="00C27DD4"/>
    <w:rsid w:val="00C30726"/>
    <w:rsid w:val="00C5649C"/>
    <w:rsid w:val="00C56F37"/>
    <w:rsid w:val="00C67FC9"/>
    <w:rsid w:val="00C72BCD"/>
    <w:rsid w:val="00C75486"/>
    <w:rsid w:val="00C8202C"/>
    <w:rsid w:val="00C92A5B"/>
    <w:rsid w:val="00CA46EC"/>
    <w:rsid w:val="00CB09EC"/>
    <w:rsid w:val="00CC4402"/>
    <w:rsid w:val="00CC5327"/>
    <w:rsid w:val="00CC6F03"/>
    <w:rsid w:val="00CF32FE"/>
    <w:rsid w:val="00D03A09"/>
    <w:rsid w:val="00D05B29"/>
    <w:rsid w:val="00D0654A"/>
    <w:rsid w:val="00D1394D"/>
    <w:rsid w:val="00D26E18"/>
    <w:rsid w:val="00D4599B"/>
    <w:rsid w:val="00D471A9"/>
    <w:rsid w:val="00D47740"/>
    <w:rsid w:val="00D65524"/>
    <w:rsid w:val="00D704ED"/>
    <w:rsid w:val="00D742DE"/>
    <w:rsid w:val="00D77EC2"/>
    <w:rsid w:val="00D80A20"/>
    <w:rsid w:val="00D812B9"/>
    <w:rsid w:val="00D82FFF"/>
    <w:rsid w:val="00D903FD"/>
    <w:rsid w:val="00D94BC5"/>
    <w:rsid w:val="00D96C08"/>
    <w:rsid w:val="00DB6C39"/>
    <w:rsid w:val="00DC3052"/>
    <w:rsid w:val="00DC4963"/>
    <w:rsid w:val="00DE01B9"/>
    <w:rsid w:val="00DF46C4"/>
    <w:rsid w:val="00E00F65"/>
    <w:rsid w:val="00E10C7C"/>
    <w:rsid w:val="00E25BB2"/>
    <w:rsid w:val="00E41483"/>
    <w:rsid w:val="00E41A0C"/>
    <w:rsid w:val="00E621DE"/>
    <w:rsid w:val="00E84B90"/>
    <w:rsid w:val="00E96CD5"/>
    <w:rsid w:val="00EA6133"/>
    <w:rsid w:val="00EB1AC8"/>
    <w:rsid w:val="00EC1BB7"/>
    <w:rsid w:val="00EC78E7"/>
    <w:rsid w:val="00ED2C73"/>
    <w:rsid w:val="00ED43D2"/>
    <w:rsid w:val="00EE3B8C"/>
    <w:rsid w:val="00EE3D2F"/>
    <w:rsid w:val="00EE7F1D"/>
    <w:rsid w:val="00EF4A38"/>
    <w:rsid w:val="00F064E4"/>
    <w:rsid w:val="00F11B8F"/>
    <w:rsid w:val="00F1540B"/>
    <w:rsid w:val="00F170E0"/>
    <w:rsid w:val="00F31372"/>
    <w:rsid w:val="00F41A5C"/>
    <w:rsid w:val="00F523AC"/>
    <w:rsid w:val="00F56AC7"/>
    <w:rsid w:val="00F74011"/>
    <w:rsid w:val="00F84CDF"/>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qFormat="1"/>
    <w:lsdException w:name="List Number" w:unhideWhenUsed="1" w:qFormat="1"/>
    <w:lsdException w:name="List Bullet 2" w:unhideWhenUsed="1" w:qFormat="1"/>
    <w:lsdException w:name="List Bullet 3" w:unhideWhenUsed="1"/>
    <w:lsdException w:name="List Bullet 4" w:unhideWhenUsed="1"/>
    <w:lsdException w:name="List Number 2" w:unhideWhenUsed="1" w:qFormat="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9508E"/>
    <w:pPr>
      <w:spacing w:after="120" w:line="240" w:lineRule="auto"/>
    </w:pPr>
    <w:rPr>
      <w:rFonts w:ascii="Calibri" w:hAnsi="Calibri"/>
      <w:noProof/>
    </w:rPr>
  </w:style>
  <w:style w:type="paragraph" w:styleId="Heading1">
    <w:name w:val="heading 1"/>
    <w:basedOn w:val="Normal"/>
    <w:next w:val="Normal"/>
    <w:link w:val="Heading1Char"/>
    <w:uiPriority w:val="9"/>
    <w:qFormat/>
    <w:rsid w:val="00D80A20"/>
    <w:pPr>
      <w:spacing w:before="180"/>
      <w:outlineLvl w:val="0"/>
    </w:pPr>
    <w:rPr>
      <w:rFonts w:eastAsiaTheme="majorEastAsia" w:cstheme="majorBidi"/>
      <w:b/>
      <w:bCs/>
      <w:color w:val="24206C"/>
      <w:sz w:val="36"/>
      <w:szCs w:val="28"/>
    </w:rPr>
  </w:style>
  <w:style w:type="paragraph" w:styleId="Heading2">
    <w:name w:val="heading 2"/>
    <w:basedOn w:val="Normal"/>
    <w:next w:val="Normal"/>
    <w:link w:val="Heading2Char"/>
    <w:uiPriority w:val="9"/>
    <w:qFormat/>
    <w:rsid w:val="00D80A20"/>
    <w:pPr>
      <w:outlineLvl w:val="1"/>
    </w:pPr>
    <w:rPr>
      <w:rFonts w:eastAsiaTheme="majorEastAsia" w:cstheme="majorBidi"/>
      <w:b/>
      <w:bCs/>
      <w:color w:val="24206C"/>
      <w:sz w:val="28"/>
      <w:szCs w:val="26"/>
    </w:rPr>
  </w:style>
  <w:style w:type="paragraph" w:styleId="Heading3">
    <w:name w:val="heading 3"/>
    <w:basedOn w:val="Normal"/>
    <w:next w:val="Normal"/>
    <w:link w:val="Heading3Char"/>
    <w:uiPriority w:val="9"/>
    <w:qFormat/>
    <w:rsid w:val="002A598B"/>
    <w:pPr>
      <w:spacing w:before="200" w:after="60"/>
      <w:outlineLvl w:val="2"/>
    </w:pPr>
    <w:rPr>
      <w:rFonts w:eastAsiaTheme="majorEastAsia" w:cstheme="majorBidi"/>
      <w:b/>
      <w:bCs/>
      <w:sz w:val="26"/>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D80A20"/>
    <w:rPr>
      <w:rFonts w:ascii="Calibri" w:eastAsiaTheme="majorEastAsia" w:hAnsi="Calibri" w:cstheme="majorBidi"/>
      <w:b/>
      <w:bCs/>
      <w:noProof/>
      <w:color w:val="24206C"/>
      <w:sz w:val="36"/>
      <w:szCs w:val="28"/>
    </w:rPr>
  </w:style>
  <w:style w:type="character" w:customStyle="1" w:styleId="Heading2Char">
    <w:name w:val="Heading 2 Char"/>
    <w:basedOn w:val="DefaultParagraphFont"/>
    <w:link w:val="Heading2"/>
    <w:uiPriority w:val="9"/>
    <w:rsid w:val="00D80A20"/>
    <w:rPr>
      <w:rFonts w:ascii="Calibri" w:eastAsiaTheme="majorEastAsia" w:hAnsi="Calibri" w:cstheme="majorBidi"/>
      <w:b/>
      <w:bCs/>
      <w:noProof/>
      <w:color w:val="24206C"/>
      <w:sz w:val="28"/>
      <w:szCs w:val="26"/>
    </w:rPr>
  </w:style>
  <w:style w:type="character" w:customStyle="1" w:styleId="Heading3Char">
    <w:name w:val="Heading 3 Char"/>
    <w:basedOn w:val="DefaultParagraphFont"/>
    <w:link w:val="Heading3"/>
    <w:uiPriority w:val="9"/>
    <w:rsid w:val="002A598B"/>
    <w:rPr>
      <w:rFonts w:ascii="Calibri" w:eastAsiaTheme="majorEastAsia" w:hAnsi="Calibri" w:cstheme="majorBidi"/>
      <w:b/>
      <w:bCs/>
      <w:noProof/>
      <w:sz w:val="26"/>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NormalafterTable">
    <w:name w:val="Normal after Table"/>
    <w:basedOn w:val="Normal"/>
    <w:qFormat/>
    <w:rsid w:val="004540B5"/>
    <w:pPr>
      <w:spacing w:before="120" w:line="276" w:lineRule="auto"/>
    </w:pPr>
  </w:style>
  <w:style w:type="paragraph" w:styleId="Footer">
    <w:name w:val="footer"/>
    <w:basedOn w:val="Normal"/>
    <w:link w:val="FooterChar"/>
    <w:uiPriority w:val="99"/>
    <w:rsid w:val="00D26E18"/>
    <w:pPr>
      <w:tabs>
        <w:tab w:val="center" w:pos="4513"/>
        <w:tab w:val="right" w:pos="9026"/>
      </w:tabs>
      <w:spacing w:after="0"/>
    </w:pPr>
    <w:rPr>
      <w:rFonts w:ascii="Arial" w:hAnsi="Arial"/>
    </w:rPr>
  </w:style>
  <w:style w:type="character" w:customStyle="1" w:styleId="FooterChar">
    <w:name w:val="Footer Char"/>
    <w:basedOn w:val="DefaultParagraphFont"/>
    <w:link w:val="Footer"/>
    <w:uiPriority w:val="99"/>
    <w:rsid w:val="00D26E18"/>
    <w:rPr>
      <w:rFonts w:ascii="Arial" w:hAnsi="Arial"/>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qFormat/>
    <w:rsid w:val="005C402E"/>
    <w:pPr>
      <w:numPr>
        <w:numId w:val="11"/>
      </w:numPr>
      <w:ind w:left="369" w:hanging="369"/>
      <w:contextualSpacing/>
    </w:pPr>
  </w:style>
  <w:style w:type="paragraph" w:styleId="ListNumber2">
    <w:name w:val="List Number 2"/>
    <w:basedOn w:val="Normal"/>
    <w:uiPriority w:val="99"/>
    <w:qFormat/>
    <w:rsid w:val="005C402E"/>
    <w:pPr>
      <w:numPr>
        <w:ilvl w:val="1"/>
        <w:numId w:val="11"/>
      </w:numPr>
      <w:tabs>
        <w:tab w:val="left" w:pos="1134"/>
      </w:tabs>
      <w:ind w:left="936" w:hanging="567"/>
      <w:contextualSpacing/>
    </w:pPr>
  </w:style>
  <w:style w:type="paragraph" w:styleId="ListNumber3">
    <w:name w:val="List Number 3"/>
    <w:basedOn w:val="Normal"/>
    <w:uiPriority w:val="99"/>
    <w:semiHidden/>
    <w:rsid w:val="00985632"/>
    <w:pPr>
      <w:numPr>
        <w:ilvl w:val="2"/>
        <w:numId w:val="11"/>
      </w:numPr>
      <w:ind w:left="1701" w:hanging="765"/>
      <w:contextualSpacing/>
    </w:pPr>
  </w:style>
  <w:style w:type="paragraph" w:styleId="ListNumber4">
    <w:name w:val="List Number 4"/>
    <w:basedOn w:val="Normal"/>
    <w:uiPriority w:val="99"/>
    <w:semiHidden/>
    <w:rsid w:val="00406E5A"/>
    <w:pPr>
      <w:numPr>
        <w:ilvl w:val="3"/>
        <w:numId w:val="11"/>
      </w:numPr>
      <w:ind w:left="2637" w:hanging="936"/>
      <w:contextualSpacing/>
    </w:pPr>
  </w:style>
  <w:style w:type="paragraph" w:styleId="ListBullet">
    <w:name w:val="List Bullet"/>
    <w:basedOn w:val="Normal"/>
    <w:uiPriority w:val="99"/>
    <w:qFormat/>
    <w:rsid w:val="00AA615C"/>
    <w:pPr>
      <w:numPr>
        <w:numId w:val="16"/>
      </w:numPr>
      <w:ind w:left="369" w:hanging="369"/>
      <w:contextualSpacing/>
    </w:pPr>
  </w:style>
  <w:style w:type="paragraph" w:styleId="ListBullet2">
    <w:name w:val="List Bullet 2"/>
    <w:basedOn w:val="Normal"/>
    <w:uiPriority w:val="99"/>
    <w:qFormat/>
    <w:rsid w:val="00AA615C"/>
    <w:pPr>
      <w:numPr>
        <w:ilvl w:val="1"/>
        <w:numId w:val="16"/>
      </w:numPr>
      <w:ind w:left="766" w:hanging="369"/>
      <w:contextualSpacing/>
    </w:pPr>
  </w:style>
  <w:style w:type="paragraph" w:styleId="ListBullet3">
    <w:name w:val="List Bullet 3"/>
    <w:basedOn w:val="Normal"/>
    <w:uiPriority w:val="99"/>
    <w:semiHidden/>
    <w:rsid w:val="00CA46EC"/>
    <w:pPr>
      <w:numPr>
        <w:ilvl w:val="2"/>
        <w:numId w:val="16"/>
      </w:numPr>
      <w:ind w:left="1163" w:hanging="369"/>
      <w:contextualSpacing/>
    </w:pPr>
  </w:style>
  <w:style w:type="paragraph" w:styleId="ListBullet4">
    <w:name w:val="List Bullet 4"/>
    <w:basedOn w:val="Normal"/>
    <w:uiPriority w:val="99"/>
    <w:semiHidden/>
    <w:rsid w:val="00CA46EC"/>
    <w:pPr>
      <w:numPr>
        <w:ilvl w:val="3"/>
        <w:numId w:val="16"/>
      </w:numPr>
      <w:ind w:left="1503" w:hanging="369"/>
      <w:contextualSpacing/>
    </w:pPr>
  </w:style>
  <w:style w:type="table" w:styleId="TableGrid">
    <w:name w:val="Table Grid"/>
    <w:aliases w:val="HELP_Table Style 2"/>
    <w:basedOn w:val="TableNormal"/>
    <w:uiPriority w:val="59"/>
    <w:rsid w:val="00D80A20"/>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D80A20"/>
    <w:pPr>
      <w:spacing w:before="720" w:after="180"/>
      <w:contextualSpacing/>
    </w:pPr>
    <w:rPr>
      <w:rFonts w:eastAsiaTheme="majorEastAsia" w:cstheme="majorBidi"/>
      <w:color w:val="24206C"/>
      <w:spacing w:val="5"/>
      <w:kern w:val="28"/>
      <w:sz w:val="58"/>
      <w:szCs w:val="52"/>
    </w:rPr>
  </w:style>
  <w:style w:type="character" w:customStyle="1" w:styleId="TitleChar">
    <w:name w:val="Title Char"/>
    <w:basedOn w:val="DefaultParagraphFont"/>
    <w:link w:val="Title"/>
    <w:uiPriority w:val="10"/>
    <w:rsid w:val="00D80A20"/>
    <w:rPr>
      <w:rFonts w:ascii="Calibri" w:eastAsiaTheme="majorEastAsia" w:hAnsi="Calibri" w:cstheme="majorBidi"/>
      <w:noProof/>
      <w:color w:val="24206C"/>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character" w:styleId="Hyperlink">
    <w:name w:val="Hyperlink"/>
    <w:basedOn w:val="DefaultParagraphFont"/>
    <w:uiPriority w:val="99"/>
    <w:unhideWhenUsed/>
    <w:qFormat/>
    <w:rsid w:val="00D77EC2"/>
    <w:rPr>
      <w:b/>
      <w:color w:val="auto"/>
      <w:u w:val="none"/>
    </w:rPr>
  </w:style>
  <w:style w:type="character" w:styleId="CommentReference">
    <w:name w:val="annotation reference"/>
    <w:basedOn w:val="DefaultParagraphFont"/>
    <w:uiPriority w:val="99"/>
    <w:semiHidden/>
    <w:rsid w:val="00952B78"/>
    <w:rPr>
      <w:sz w:val="16"/>
      <w:szCs w:val="16"/>
    </w:rPr>
  </w:style>
  <w:style w:type="paragraph" w:styleId="CommentText">
    <w:name w:val="annotation text"/>
    <w:basedOn w:val="Normal"/>
    <w:link w:val="CommentTextChar"/>
    <w:uiPriority w:val="99"/>
    <w:semiHidden/>
    <w:rsid w:val="00952B78"/>
    <w:rPr>
      <w:sz w:val="20"/>
      <w:szCs w:val="20"/>
    </w:rPr>
  </w:style>
  <w:style w:type="character" w:customStyle="1" w:styleId="CommentTextChar">
    <w:name w:val="Comment Text Char"/>
    <w:basedOn w:val="DefaultParagraphFont"/>
    <w:link w:val="CommentText"/>
    <w:uiPriority w:val="99"/>
    <w:semiHidden/>
    <w:rsid w:val="00952B78"/>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952B78"/>
    <w:rPr>
      <w:b/>
      <w:bCs/>
    </w:rPr>
  </w:style>
  <w:style w:type="character" w:customStyle="1" w:styleId="CommentSubjectChar">
    <w:name w:val="Comment Subject Char"/>
    <w:basedOn w:val="CommentTextChar"/>
    <w:link w:val="CommentSubject"/>
    <w:uiPriority w:val="99"/>
    <w:semiHidden/>
    <w:rsid w:val="00952B78"/>
    <w:rPr>
      <w:rFonts w:ascii="Calibri" w:hAnsi="Calibri"/>
      <w:b/>
      <w:bCs/>
      <w:noProof/>
      <w:sz w:val="20"/>
      <w:szCs w:val="20"/>
    </w:rPr>
  </w:style>
  <w:style w:type="paragraph" w:styleId="Revision">
    <w:name w:val="Revision"/>
    <w:hidden/>
    <w:uiPriority w:val="99"/>
    <w:semiHidden/>
    <w:rsid w:val="00614355"/>
    <w:pPr>
      <w:spacing w:after="0" w:line="240" w:lineRule="auto"/>
    </w:pPr>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qFormat="1"/>
    <w:lsdException w:name="List Number" w:unhideWhenUsed="1" w:qFormat="1"/>
    <w:lsdException w:name="List Bullet 2" w:unhideWhenUsed="1" w:qFormat="1"/>
    <w:lsdException w:name="List Bullet 3" w:unhideWhenUsed="1"/>
    <w:lsdException w:name="List Bullet 4" w:unhideWhenUsed="1"/>
    <w:lsdException w:name="List Number 2" w:unhideWhenUsed="1" w:qFormat="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qFormat="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qFormat/>
    <w:rsid w:val="0019508E"/>
    <w:pPr>
      <w:spacing w:after="120" w:line="240" w:lineRule="auto"/>
    </w:pPr>
    <w:rPr>
      <w:rFonts w:ascii="Calibri" w:hAnsi="Calibri"/>
      <w:noProof/>
    </w:rPr>
  </w:style>
  <w:style w:type="paragraph" w:styleId="Heading1">
    <w:name w:val="heading 1"/>
    <w:basedOn w:val="Normal"/>
    <w:next w:val="Normal"/>
    <w:link w:val="Heading1Char"/>
    <w:uiPriority w:val="9"/>
    <w:qFormat/>
    <w:rsid w:val="00D80A20"/>
    <w:pPr>
      <w:spacing w:before="180"/>
      <w:outlineLvl w:val="0"/>
    </w:pPr>
    <w:rPr>
      <w:rFonts w:eastAsiaTheme="majorEastAsia" w:cstheme="majorBidi"/>
      <w:b/>
      <w:bCs/>
      <w:color w:val="24206C"/>
      <w:sz w:val="36"/>
      <w:szCs w:val="28"/>
    </w:rPr>
  </w:style>
  <w:style w:type="paragraph" w:styleId="Heading2">
    <w:name w:val="heading 2"/>
    <w:basedOn w:val="Normal"/>
    <w:next w:val="Normal"/>
    <w:link w:val="Heading2Char"/>
    <w:uiPriority w:val="9"/>
    <w:qFormat/>
    <w:rsid w:val="00D80A20"/>
    <w:pPr>
      <w:outlineLvl w:val="1"/>
    </w:pPr>
    <w:rPr>
      <w:rFonts w:eastAsiaTheme="majorEastAsia" w:cstheme="majorBidi"/>
      <w:b/>
      <w:bCs/>
      <w:color w:val="24206C"/>
      <w:sz w:val="28"/>
      <w:szCs w:val="26"/>
    </w:rPr>
  </w:style>
  <w:style w:type="paragraph" w:styleId="Heading3">
    <w:name w:val="heading 3"/>
    <w:basedOn w:val="Normal"/>
    <w:next w:val="Normal"/>
    <w:link w:val="Heading3Char"/>
    <w:uiPriority w:val="9"/>
    <w:qFormat/>
    <w:rsid w:val="002A598B"/>
    <w:pPr>
      <w:spacing w:before="200" w:after="60"/>
      <w:outlineLvl w:val="2"/>
    </w:pPr>
    <w:rPr>
      <w:rFonts w:eastAsiaTheme="majorEastAsia" w:cstheme="majorBidi"/>
      <w:b/>
      <w:bCs/>
      <w:sz w:val="26"/>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D80A20"/>
    <w:rPr>
      <w:rFonts w:ascii="Calibri" w:eastAsiaTheme="majorEastAsia" w:hAnsi="Calibri" w:cstheme="majorBidi"/>
      <w:b/>
      <w:bCs/>
      <w:noProof/>
      <w:color w:val="24206C"/>
      <w:sz w:val="36"/>
      <w:szCs w:val="28"/>
    </w:rPr>
  </w:style>
  <w:style w:type="character" w:customStyle="1" w:styleId="Heading2Char">
    <w:name w:val="Heading 2 Char"/>
    <w:basedOn w:val="DefaultParagraphFont"/>
    <w:link w:val="Heading2"/>
    <w:uiPriority w:val="9"/>
    <w:rsid w:val="00D80A20"/>
    <w:rPr>
      <w:rFonts w:ascii="Calibri" w:eastAsiaTheme="majorEastAsia" w:hAnsi="Calibri" w:cstheme="majorBidi"/>
      <w:b/>
      <w:bCs/>
      <w:noProof/>
      <w:color w:val="24206C"/>
      <w:sz w:val="28"/>
      <w:szCs w:val="26"/>
    </w:rPr>
  </w:style>
  <w:style w:type="character" w:customStyle="1" w:styleId="Heading3Char">
    <w:name w:val="Heading 3 Char"/>
    <w:basedOn w:val="DefaultParagraphFont"/>
    <w:link w:val="Heading3"/>
    <w:uiPriority w:val="9"/>
    <w:rsid w:val="002A598B"/>
    <w:rPr>
      <w:rFonts w:ascii="Calibri" w:eastAsiaTheme="majorEastAsia" w:hAnsi="Calibri" w:cstheme="majorBidi"/>
      <w:b/>
      <w:bCs/>
      <w:noProof/>
      <w:sz w:val="26"/>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NormalafterTable">
    <w:name w:val="Normal after Table"/>
    <w:basedOn w:val="Normal"/>
    <w:qFormat/>
    <w:rsid w:val="004540B5"/>
    <w:pPr>
      <w:spacing w:before="120" w:line="276" w:lineRule="auto"/>
    </w:pPr>
  </w:style>
  <w:style w:type="paragraph" w:styleId="Footer">
    <w:name w:val="footer"/>
    <w:basedOn w:val="Normal"/>
    <w:link w:val="FooterChar"/>
    <w:uiPriority w:val="99"/>
    <w:rsid w:val="00D26E18"/>
    <w:pPr>
      <w:tabs>
        <w:tab w:val="center" w:pos="4513"/>
        <w:tab w:val="right" w:pos="9026"/>
      </w:tabs>
      <w:spacing w:after="0"/>
    </w:pPr>
    <w:rPr>
      <w:rFonts w:ascii="Arial" w:hAnsi="Arial"/>
    </w:rPr>
  </w:style>
  <w:style w:type="character" w:customStyle="1" w:styleId="FooterChar">
    <w:name w:val="Footer Char"/>
    <w:basedOn w:val="DefaultParagraphFont"/>
    <w:link w:val="Footer"/>
    <w:uiPriority w:val="99"/>
    <w:rsid w:val="00D26E18"/>
    <w:rPr>
      <w:rFonts w:ascii="Arial" w:hAnsi="Arial"/>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qFormat/>
    <w:rsid w:val="005C402E"/>
    <w:pPr>
      <w:numPr>
        <w:numId w:val="11"/>
      </w:numPr>
      <w:ind w:left="369" w:hanging="369"/>
      <w:contextualSpacing/>
    </w:pPr>
  </w:style>
  <w:style w:type="paragraph" w:styleId="ListNumber2">
    <w:name w:val="List Number 2"/>
    <w:basedOn w:val="Normal"/>
    <w:uiPriority w:val="99"/>
    <w:qFormat/>
    <w:rsid w:val="005C402E"/>
    <w:pPr>
      <w:numPr>
        <w:ilvl w:val="1"/>
        <w:numId w:val="11"/>
      </w:numPr>
      <w:tabs>
        <w:tab w:val="left" w:pos="1134"/>
      </w:tabs>
      <w:ind w:left="936" w:hanging="567"/>
      <w:contextualSpacing/>
    </w:pPr>
  </w:style>
  <w:style w:type="paragraph" w:styleId="ListNumber3">
    <w:name w:val="List Number 3"/>
    <w:basedOn w:val="Normal"/>
    <w:uiPriority w:val="99"/>
    <w:semiHidden/>
    <w:rsid w:val="00985632"/>
    <w:pPr>
      <w:numPr>
        <w:ilvl w:val="2"/>
        <w:numId w:val="11"/>
      </w:numPr>
      <w:ind w:left="1701" w:hanging="765"/>
      <w:contextualSpacing/>
    </w:pPr>
  </w:style>
  <w:style w:type="paragraph" w:styleId="ListNumber4">
    <w:name w:val="List Number 4"/>
    <w:basedOn w:val="Normal"/>
    <w:uiPriority w:val="99"/>
    <w:semiHidden/>
    <w:rsid w:val="00406E5A"/>
    <w:pPr>
      <w:numPr>
        <w:ilvl w:val="3"/>
        <w:numId w:val="11"/>
      </w:numPr>
      <w:ind w:left="2637" w:hanging="936"/>
      <w:contextualSpacing/>
    </w:pPr>
  </w:style>
  <w:style w:type="paragraph" w:styleId="ListBullet">
    <w:name w:val="List Bullet"/>
    <w:basedOn w:val="Normal"/>
    <w:uiPriority w:val="99"/>
    <w:qFormat/>
    <w:rsid w:val="00AA615C"/>
    <w:pPr>
      <w:numPr>
        <w:numId w:val="16"/>
      </w:numPr>
      <w:ind w:left="369" w:hanging="369"/>
      <w:contextualSpacing/>
    </w:pPr>
  </w:style>
  <w:style w:type="paragraph" w:styleId="ListBullet2">
    <w:name w:val="List Bullet 2"/>
    <w:basedOn w:val="Normal"/>
    <w:uiPriority w:val="99"/>
    <w:qFormat/>
    <w:rsid w:val="00AA615C"/>
    <w:pPr>
      <w:numPr>
        <w:ilvl w:val="1"/>
        <w:numId w:val="16"/>
      </w:numPr>
      <w:ind w:left="766" w:hanging="369"/>
      <w:contextualSpacing/>
    </w:pPr>
  </w:style>
  <w:style w:type="paragraph" w:styleId="ListBullet3">
    <w:name w:val="List Bullet 3"/>
    <w:basedOn w:val="Normal"/>
    <w:uiPriority w:val="99"/>
    <w:semiHidden/>
    <w:rsid w:val="00CA46EC"/>
    <w:pPr>
      <w:numPr>
        <w:ilvl w:val="2"/>
        <w:numId w:val="16"/>
      </w:numPr>
      <w:ind w:left="1163" w:hanging="369"/>
      <w:contextualSpacing/>
    </w:pPr>
  </w:style>
  <w:style w:type="paragraph" w:styleId="ListBullet4">
    <w:name w:val="List Bullet 4"/>
    <w:basedOn w:val="Normal"/>
    <w:uiPriority w:val="99"/>
    <w:semiHidden/>
    <w:rsid w:val="00CA46EC"/>
    <w:pPr>
      <w:numPr>
        <w:ilvl w:val="3"/>
        <w:numId w:val="16"/>
      </w:numPr>
      <w:ind w:left="1503" w:hanging="369"/>
      <w:contextualSpacing/>
    </w:pPr>
  </w:style>
  <w:style w:type="table" w:styleId="TableGrid">
    <w:name w:val="Table Grid"/>
    <w:aliases w:val="HELP_Table Style 2"/>
    <w:basedOn w:val="TableNormal"/>
    <w:uiPriority w:val="59"/>
    <w:rsid w:val="00D80A20"/>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D80A20"/>
    <w:pPr>
      <w:spacing w:before="720" w:after="180"/>
      <w:contextualSpacing/>
    </w:pPr>
    <w:rPr>
      <w:rFonts w:eastAsiaTheme="majorEastAsia" w:cstheme="majorBidi"/>
      <w:color w:val="24206C"/>
      <w:spacing w:val="5"/>
      <w:kern w:val="28"/>
      <w:sz w:val="58"/>
      <w:szCs w:val="52"/>
    </w:rPr>
  </w:style>
  <w:style w:type="character" w:customStyle="1" w:styleId="TitleChar">
    <w:name w:val="Title Char"/>
    <w:basedOn w:val="DefaultParagraphFont"/>
    <w:link w:val="Title"/>
    <w:uiPriority w:val="10"/>
    <w:rsid w:val="00D80A20"/>
    <w:rPr>
      <w:rFonts w:ascii="Calibri" w:eastAsiaTheme="majorEastAsia" w:hAnsi="Calibri" w:cstheme="majorBidi"/>
      <w:noProof/>
      <w:color w:val="24206C"/>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character" w:styleId="Hyperlink">
    <w:name w:val="Hyperlink"/>
    <w:basedOn w:val="DefaultParagraphFont"/>
    <w:uiPriority w:val="99"/>
    <w:unhideWhenUsed/>
    <w:qFormat/>
    <w:rsid w:val="00D77EC2"/>
    <w:rPr>
      <w:b/>
      <w:color w:val="auto"/>
      <w:u w:val="none"/>
    </w:rPr>
  </w:style>
  <w:style w:type="character" w:styleId="CommentReference">
    <w:name w:val="annotation reference"/>
    <w:basedOn w:val="DefaultParagraphFont"/>
    <w:uiPriority w:val="99"/>
    <w:semiHidden/>
    <w:rsid w:val="00952B78"/>
    <w:rPr>
      <w:sz w:val="16"/>
      <w:szCs w:val="16"/>
    </w:rPr>
  </w:style>
  <w:style w:type="paragraph" w:styleId="CommentText">
    <w:name w:val="annotation text"/>
    <w:basedOn w:val="Normal"/>
    <w:link w:val="CommentTextChar"/>
    <w:uiPriority w:val="99"/>
    <w:semiHidden/>
    <w:rsid w:val="00952B78"/>
    <w:rPr>
      <w:sz w:val="20"/>
      <w:szCs w:val="20"/>
    </w:rPr>
  </w:style>
  <w:style w:type="character" w:customStyle="1" w:styleId="CommentTextChar">
    <w:name w:val="Comment Text Char"/>
    <w:basedOn w:val="DefaultParagraphFont"/>
    <w:link w:val="CommentText"/>
    <w:uiPriority w:val="99"/>
    <w:semiHidden/>
    <w:rsid w:val="00952B78"/>
    <w:rPr>
      <w:rFonts w:ascii="Calibri" w:hAnsi="Calibri"/>
      <w:noProof/>
      <w:sz w:val="20"/>
      <w:szCs w:val="20"/>
    </w:rPr>
  </w:style>
  <w:style w:type="paragraph" w:styleId="CommentSubject">
    <w:name w:val="annotation subject"/>
    <w:basedOn w:val="CommentText"/>
    <w:next w:val="CommentText"/>
    <w:link w:val="CommentSubjectChar"/>
    <w:uiPriority w:val="99"/>
    <w:semiHidden/>
    <w:rsid w:val="00952B78"/>
    <w:rPr>
      <w:b/>
      <w:bCs/>
    </w:rPr>
  </w:style>
  <w:style w:type="character" w:customStyle="1" w:styleId="CommentSubjectChar">
    <w:name w:val="Comment Subject Char"/>
    <w:basedOn w:val="CommentTextChar"/>
    <w:link w:val="CommentSubject"/>
    <w:uiPriority w:val="99"/>
    <w:semiHidden/>
    <w:rsid w:val="00952B78"/>
    <w:rPr>
      <w:rFonts w:ascii="Calibri" w:hAnsi="Calibri"/>
      <w:b/>
      <w:bCs/>
      <w:noProof/>
      <w:sz w:val="20"/>
      <w:szCs w:val="20"/>
    </w:rPr>
  </w:style>
  <w:style w:type="paragraph" w:styleId="Revision">
    <w:name w:val="Revision"/>
    <w:hidden/>
    <w:uiPriority w:val="99"/>
    <w:semiHidden/>
    <w:rsid w:val="00614355"/>
    <w:pPr>
      <w:spacing w:after="0" w:line="240" w:lineRule="auto"/>
    </w:pPr>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249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VETStudentLoans@education.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gov.au/vet-student-loa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247F-1878-415D-8D93-9E40C848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6FD324-752E-4CCE-88B5-581BD5C5B9D0}">
  <ds:schemaRef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BE3C11C-0B11-4349-B468-9F481B1B151C}">
  <ds:schemaRefs>
    <ds:schemaRef ds:uri="http://schemas.microsoft.com/sharepoint/v3/contenttype/forms"/>
  </ds:schemaRefs>
</ds:datastoreItem>
</file>

<file path=customXml/itemProps4.xml><?xml version="1.0" encoding="utf-8"?>
<ds:datastoreItem xmlns:ds="http://schemas.openxmlformats.org/officeDocument/2006/customXml" ds:itemID="{86A04C94-136A-4DDB-B75E-BCD5F959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F69EEAFF.dotm</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2017-04-12T05:34:00Z</dcterms:created>
  <dcterms:modified xsi:type="dcterms:W3CDTF">2017-04-12T23:14:00Z</dcterms:modified>
</cp:coreProperties>
</file>