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5F6641" w14:textId="77777777" w:rsidR="000E13C3" w:rsidRPr="00590786" w:rsidRDefault="000E13C3" w:rsidP="000E13C3">
      <w:pPr>
        <w:spacing w:after="0"/>
        <w:jc w:val="center"/>
        <w:rPr>
          <w:rFonts w:ascii="Arial" w:hAnsi="Arial" w:cs="Arial"/>
          <w:b/>
          <w:sz w:val="24"/>
          <w:szCs w:val="24"/>
        </w:rPr>
      </w:pPr>
      <w:r w:rsidRPr="00590786">
        <w:rPr>
          <w:rFonts w:ascii="Arial" w:hAnsi="Arial" w:cs="Arial"/>
          <w:b/>
          <w:sz w:val="24"/>
          <w:szCs w:val="24"/>
        </w:rPr>
        <w:t>Turnbull Government response</w:t>
      </w:r>
    </w:p>
    <w:p w14:paraId="035F6642" w14:textId="77777777" w:rsidR="000E13C3" w:rsidRPr="00590786" w:rsidRDefault="000E13C3" w:rsidP="000E13C3">
      <w:pPr>
        <w:spacing w:after="0"/>
        <w:jc w:val="center"/>
        <w:rPr>
          <w:rFonts w:ascii="Arial" w:hAnsi="Arial" w:cs="Arial"/>
          <w:b/>
          <w:sz w:val="24"/>
          <w:szCs w:val="24"/>
        </w:rPr>
      </w:pPr>
      <w:r w:rsidRPr="00590786">
        <w:rPr>
          <w:rFonts w:ascii="Arial" w:hAnsi="Arial" w:cs="Arial"/>
          <w:b/>
          <w:sz w:val="24"/>
          <w:szCs w:val="24"/>
        </w:rPr>
        <w:t>Review of Research Policy and Funding Arrangements</w:t>
      </w:r>
    </w:p>
    <w:tbl>
      <w:tblPr>
        <w:tblStyle w:val="LightList-Accent1"/>
        <w:tblW w:w="10740" w:type="dxa"/>
        <w:tblLook w:val="04A0" w:firstRow="1" w:lastRow="0" w:firstColumn="1" w:lastColumn="0" w:noHBand="0" w:noVBand="1"/>
      </w:tblPr>
      <w:tblGrid>
        <w:gridCol w:w="8046"/>
        <w:gridCol w:w="2694"/>
      </w:tblGrid>
      <w:tr w:rsidR="002B1830" w:rsidRPr="00590786" w14:paraId="035F6645" w14:textId="77777777" w:rsidTr="005907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46" w:type="dxa"/>
          </w:tcPr>
          <w:p w14:paraId="035F6643" w14:textId="77777777" w:rsidR="002B1830" w:rsidRPr="00590786" w:rsidRDefault="00340711" w:rsidP="000E13C3">
            <w:pPr>
              <w:rPr>
                <w:rFonts w:ascii="Arial" w:hAnsi="Arial" w:cs="Arial"/>
                <w:sz w:val="24"/>
              </w:rPr>
            </w:pPr>
            <w:r w:rsidRPr="00590786">
              <w:rPr>
                <w:rFonts w:ascii="Arial" w:hAnsi="Arial" w:cs="Arial"/>
                <w:sz w:val="24"/>
              </w:rPr>
              <w:t xml:space="preserve">Watt Review </w:t>
            </w:r>
            <w:r w:rsidR="002B1830" w:rsidRPr="00590786">
              <w:rPr>
                <w:rFonts w:ascii="Arial" w:hAnsi="Arial" w:cs="Arial"/>
                <w:sz w:val="24"/>
              </w:rPr>
              <w:t>Recommendations</w:t>
            </w:r>
          </w:p>
        </w:tc>
        <w:tc>
          <w:tcPr>
            <w:tcW w:w="2694" w:type="dxa"/>
          </w:tcPr>
          <w:p w14:paraId="035F6644" w14:textId="77777777" w:rsidR="002B1830" w:rsidRPr="00590786" w:rsidRDefault="00340711" w:rsidP="000E13C3">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90786">
              <w:rPr>
                <w:rFonts w:ascii="Arial" w:hAnsi="Arial" w:cs="Arial"/>
                <w:sz w:val="24"/>
                <w:szCs w:val="20"/>
              </w:rPr>
              <w:t>Turnbull Government response</w:t>
            </w:r>
          </w:p>
        </w:tc>
      </w:tr>
      <w:tr w:rsidR="00A10D56" w:rsidRPr="00590786" w14:paraId="035F6647" w14:textId="77777777" w:rsidTr="002B18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40" w:type="dxa"/>
            <w:gridSpan w:val="2"/>
          </w:tcPr>
          <w:p w14:paraId="035F6646" w14:textId="77777777" w:rsidR="00A10D56" w:rsidRPr="00590786" w:rsidRDefault="00A10D56" w:rsidP="000E13C3">
            <w:pPr>
              <w:rPr>
                <w:rFonts w:ascii="Arial" w:hAnsi="Arial" w:cs="Arial"/>
                <w:sz w:val="20"/>
                <w:szCs w:val="20"/>
              </w:rPr>
            </w:pPr>
            <w:r w:rsidRPr="00590786">
              <w:rPr>
                <w:rFonts w:ascii="Arial" w:hAnsi="Arial" w:cs="Arial"/>
                <w:sz w:val="20"/>
                <w:szCs w:val="20"/>
              </w:rPr>
              <w:t>Chapter 2 — Research Block Grants</w:t>
            </w:r>
          </w:p>
        </w:tc>
      </w:tr>
      <w:tr w:rsidR="002B1830" w:rsidRPr="00590786" w14:paraId="035F6655" w14:textId="77777777" w:rsidTr="00590786">
        <w:tc>
          <w:tcPr>
            <w:cnfStyle w:val="001000000000" w:firstRow="0" w:lastRow="0" w:firstColumn="1" w:lastColumn="0" w:oddVBand="0" w:evenVBand="0" w:oddHBand="0" w:evenHBand="0" w:firstRowFirstColumn="0" w:firstRowLastColumn="0" w:lastRowFirstColumn="0" w:lastRowLastColumn="0"/>
            <w:tcW w:w="8046" w:type="dxa"/>
          </w:tcPr>
          <w:p w14:paraId="035F6648" w14:textId="77777777" w:rsidR="002B1830" w:rsidRPr="00590786" w:rsidRDefault="002B1830" w:rsidP="000E13C3">
            <w:pPr>
              <w:rPr>
                <w:rFonts w:ascii="Arial" w:hAnsi="Arial" w:cs="Arial"/>
                <w:b w:val="0"/>
                <w:sz w:val="20"/>
                <w:szCs w:val="20"/>
              </w:rPr>
            </w:pPr>
            <w:r w:rsidRPr="00590786">
              <w:rPr>
                <w:rFonts w:ascii="Arial" w:hAnsi="Arial" w:cs="Arial"/>
                <w:b w:val="0"/>
                <w:sz w:val="20"/>
                <w:szCs w:val="20"/>
              </w:rPr>
              <w:t>The review recommends that, commencing in the 2017 calendar year, the Australian Government should introduce the following arrangements to simplify the Research Block Grants and to provide greater encouragement of engagement and innovation in research and research training:</w:t>
            </w:r>
          </w:p>
          <w:p w14:paraId="035F6649" w14:textId="77777777" w:rsidR="000E13C3" w:rsidRPr="00590786" w:rsidRDefault="000E13C3" w:rsidP="000E13C3">
            <w:pPr>
              <w:rPr>
                <w:rFonts w:ascii="Arial" w:hAnsi="Arial" w:cs="Arial"/>
                <w:b w:val="0"/>
                <w:sz w:val="20"/>
                <w:szCs w:val="20"/>
              </w:rPr>
            </w:pPr>
          </w:p>
          <w:p w14:paraId="035F664A" w14:textId="77777777" w:rsidR="002B1830" w:rsidRPr="00590786" w:rsidRDefault="002B1830" w:rsidP="000E13C3">
            <w:pPr>
              <w:rPr>
                <w:rFonts w:ascii="Arial" w:hAnsi="Arial" w:cs="Arial"/>
                <w:b w:val="0"/>
                <w:sz w:val="20"/>
                <w:szCs w:val="20"/>
              </w:rPr>
            </w:pPr>
            <w:r w:rsidRPr="00590786">
              <w:rPr>
                <w:rFonts w:ascii="Arial" w:hAnsi="Arial" w:cs="Arial"/>
                <w:b w:val="0"/>
                <w:sz w:val="20"/>
                <w:szCs w:val="20"/>
              </w:rPr>
              <w:t>1. Simplify arrangements for research support and increase incentives for business and other research end-user engagement by combining the three schemes which provide research support, using drivers which equally reward excellence and end-user engagement:</w:t>
            </w:r>
          </w:p>
          <w:p w14:paraId="035F664B" w14:textId="77777777" w:rsidR="002B1830" w:rsidRPr="00590786" w:rsidRDefault="002B1830" w:rsidP="000E13C3">
            <w:pPr>
              <w:pStyle w:val="ListParagraph"/>
              <w:numPr>
                <w:ilvl w:val="0"/>
                <w:numId w:val="10"/>
              </w:numPr>
              <w:ind w:left="357" w:hanging="357"/>
              <w:rPr>
                <w:rFonts w:ascii="Arial" w:hAnsi="Arial" w:cs="Arial"/>
                <w:b w:val="0"/>
                <w:sz w:val="20"/>
                <w:szCs w:val="20"/>
              </w:rPr>
            </w:pPr>
            <w:r w:rsidRPr="00590786">
              <w:rPr>
                <w:rFonts w:ascii="Arial" w:hAnsi="Arial" w:cs="Arial"/>
                <w:b w:val="0"/>
                <w:sz w:val="20"/>
                <w:szCs w:val="20"/>
              </w:rPr>
              <w:t>50 per cent based on Category 1 research income to support the indirect costs of Australian competitive grants</w:t>
            </w:r>
          </w:p>
          <w:p w14:paraId="035F664C" w14:textId="77777777" w:rsidR="002B1830" w:rsidRPr="00590786" w:rsidRDefault="002B1830" w:rsidP="000E13C3">
            <w:pPr>
              <w:pStyle w:val="ListParagraph"/>
              <w:numPr>
                <w:ilvl w:val="0"/>
                <w:numId w:val="10"/>
              </w:numPr>
              <w:ind w:left="357" w:hanging="357"/>
              <w:rPr>
                <w:rFonts w:ascii="Arial" w:hAnsi="Arial" w:cs="Arial"/>
                <w:b w:val="0"/>
                <w:sz w:val="20"/>
                <w:szCs w:val="20"/>
              </w:rPr>
            </w:pPr>
            <w:r w:rsidRPr="00590786">
              <w:rPr>
                <w:rFonts w:ascii="Arial" w:hAnsi="Arial" w:cs="Arial"/>
                <w:b w:val="0"/>
                <w:sz w:val="20"/>
                <w:szCs w:val="20"/>
              </w:rPr>
              <w:t>50 per cent based on Categories 2, 3 and 4 research income to support business and other research end-user engagement.</w:t>
            </w:r>
          </w:p>
        </w:tc>
        <w:tc>
          <w:tcPr>
            <w:tcW w:w="2694" w:type="dxa"/>
            <w:vMerge w:val="restart"/>
          </w:tcPr>
          <w:p w14:paraId="035F664D" w14:textId="77777777" w:rsidR="002B1830" w:rsidRPr="00590786" w:rsidRDefault="000E13C3" w:rsidP="000E13C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90786">
              <w:rPr>
                <w:rFonts w:ascii="Arial" w:hAnsi="Arial" w:cs="Arial"/>
                <w:sz w:val="20"/>
                <w:szCs w:val="20"/>
              </w:rPr>
              <w:t>Agreed,</w:t>
            </w:r>
            <w:r w:rsidR="002B1830" w:rsidRPr="00590786">
              <w:rPr>
                <w:rFonts w:ascii="Arial" w:hAnsi="Arial" w:cs="Arial"/>
                <w:sz w:val="20"/>
                <w:szCs w:val="20"/>
              </w:rPr>
              <w:t xml:space="preserve"> announced as part of the package of measures under the  National Innovati</w:t>
            </w:r>
            <w:r w:rsidRPr="00590786">
              <w:rPr>
                <w:rFonts w:ascii="Arial" w:hAnsi="Arial" w:cs="Arial"/>
                <w:sz w:val="20"/>
                <w:szCs w:val="20"/>
              </w:rPr>
              <w:t xml:space="preserve">on and Science </w:t>
            </w:r>
            <w:r w:rsidR="00F41C8B" w:rsidRPr="00590786">
              <w:rPr>
                <w:rFonts w:ascii="Arial" w:hAnsi="Arial" w:cs="Arial"/>
                <w:sz w:val="20"/>
                <w:szCs w:val="20"/>
              </w:rPr>
              <w:t xml:space="preserve">Agenda </w:t>
            </w:r>
            <w:r w:rsidR="00340711" w:rsidRPr="00590786">
              <w:rPr>
                <w:rFonts w:ascii="Arial" w:hAnsi="Arial" w:cs="Arial"/>
                <w:sz w:val="20"/>
                <w:szCs w:val="20"/>
              </w:rPr>
              <w:t>(NISA)</w:t>
            </w:r>
          </w:p>
          <w:p w14:paraId="035F664E" w14:textId="77777777" w:rsidR="002B1830" w:rsidRPr="00590786" w:rsidRDefault="002B1830" w:rsidP="000E13C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35F664F" w14:textId="77777777" w:rsidR="00E54E10" w:rsidRPr="00590786" w:rsidRDefault="00E54E10" w:rsidP="00812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90786">
              <w:rPr>
                <w:rFonts w:ascii="Arial" w:hAnsi="Arial" w:cs="Arial"/>
                <w:sz w:val="20"/>
                <w:szCs w:val="20"/>
              </w:rPr>
              <w:t>Department held initial discussions with university reference group on new model and transitional arrangements</w:t>
            </w:r>
          </w:p>
          <w:p w14:paraId="035F6650" w14:textId="77777777" w:rsidR="00E54E10" w:rsidRPr="00590786" w:rsidRDefault="00E54E10" w:rsidP="00812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35F6651" w14:textId="77777777" w:rsidR="002B1830" w:rsidRPr="00590786" w:rsidRDefault="002B1830" w:rsidP="000E13C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90786">
              <w:rPr>
                <w:rFonts w:ascii="Arial" w:hAnsi="Arial" w:cs="Arial"/>
                <w:sz w:val="20"/>
                <w:szCs w:val="20"/>
              </w:rPr>
              <w:t>Next steps</w:t>
            </w:r>
          </w:p>
          <w:p w14:paraId="035F6652" w14:textId="77777777" w:rsidR="002B1830" w:rsidRPr="00590786" w:rsidRDefault="0075439D" w:rsidP="00812C5B">
            <w:pPr>
              <w:pStyle w:val="ListParagraph"/>
              <w:numPr>
                <w:ilvl w:val="0"/>
                <w:numId w:val="1"/>
              </w:numPr>
              <w:ind w:left="170" w:hanging="17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90786">
              <w:rPr>
                <w:rFonts w:ascii="Arial" w:hAnsi="Arial" w:cs="Arial"/>
                <w:sz w:val="20"/>
                <w:szCs w:val="20"/>
              </w:rPr>
              <w:t>Discussion paper to be released to the sector for consultations and feedback with final guidelines to be released mid 2016</w:t>
            </w:r>
          </w:p>
          <w:p w14:paraId="035F6653" w14:textId="77777777" w:rsidR="002B1830" w:rsidRPr="00590786" w:rsidRDefault="002B1830" w:rsidP="000E13C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35F6654" w14:textId="77777777" w:rsidR="002B1830" w:rsidRPr="00590786" w:rsidRDefault="002B1830" w:rsidP="000E13C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B1830" w:rsidRPr="00590786" w14:paraId="035F665B" w14:textId="77777777" w:rsidTr="00590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6" w:type="dxa"/>
          </w:tcPr>
          <w:p w14:paraId="035F6656" w14:textId="77777777" w:rsidR="002B1830" w:rsidRPr="00590786" w:rsidRDefault="002B1830" w:rsidP="000E13C3">
            <w:pPr>
              <w:rPr>
                <w:rFonts w:ascii="Arial" w:hAnsi="Arial" w:cs="Arial"/>
                <w:b w:val="0"/>
                <w:i/>
                <w:sz w:val="20"/>
                <w:szCs w:val="20"/>
              </w:rPr>
            </w:pPr>
            <w:r w:rsidRPr="00590786">
              <w:rPr>
                <w:rFonts w:ascii="Arial" w:hAnsi="Arial" w:cs="Arial"/>
                <w:b w:val="0"/>
                <w:i/>
                <w:sz w:val="20"/>
                <w:szCs w:val="20"/>
              </w:rPr>
              <w:t>Research Training</w:t>
            </w:r>
          </w:p>
          <w:p w14:paraId="035F6657" w14:textId="77777777" w:rsidR="002B1830" w:rsidRPr="00590786" w:rsidRDefault="002B1830" w:rsidP="000E13C3">
            <w:pPr>
              <w:rPr>
                <w:rFonts w:ascii="Arial" w:hAnsi="Arial" w:cs="Arial"/>
                <w:b w:val="0"/>
                <w:sz w:val="20"/>
                <w:szCs w:val="20"/>
              </w:rPr>
            </w:pPr>
            <w:r w:rsidRPr="00590786">
              <w:rPr>
                <w:rFonts w:ascii="Arial" w:hAnsi="Arial" w:cs="Arial"/>
                <w:b w:val="0"/>
                <w:sz w:val="20"/>
                <w:szCs w:val="20"/>
              </w:rPr>
              <w:t>2. Simplify arrangements for research training funding by combining the three schemes which support this function, using the following drivers:</w:t>
            </w:r>
          </w:p>
          <w:p w14:paraId="035F6658" w14:textId="77777777" w:rsidR="002B1830" w:rsidRPr="00590786" w:rsidRDefault="002B1830" w:rsidP="000E13C3">
            <w:pPr>
              <w:pStyle w:val="ListParagraph"/>
              <w:numPr>
                <w:ilvl w:val="0"/>
                <w:numId w:val="16"/>
              </w:numPr>
              <w:rPr>
                <w:rFonts w:ascii="Arial" w:hAnsi="Arial" w:cs="Arial"/>
                <w:b w:val="0"/>
                <w:sz w:val="20"/>
                <w:szCs w:val="20"/>
              </w:rPr>
            </w:pPr>
            <w:r w:rsidRPr="00590786">
              <w:rPr>
                <w:rFonts w:ascii="Arial" w:hAnsi="Arial" w:cs="Arial"/>
                <w:b w:val="0"/>
                <w:sz w:val="20"/>
                <w:szCs w:val="20"/>
              </w:rPr>
              <w:t>50 per cent student completions</w:t>
            </w:r>
          </w:p>
          <w:p w14:paraId="035F6659" w14:textId="77777777" w:rsidR="002B1830" w:rsidRPr="00590786" w:rsidRDefault="002B1830" w:rsidP="000E13C3">
            <w:pPr>
              <w:pStyle w:val="ListParagraph"/>
              <w:numPr>
                <w:ilvl w:val="0"/>
                <w:numId w:val="16"/>
              </w:numPr>
              <w:ind w:left="357" w:hanging="357"/>
              <w:rPr>
                <w:rFonts w:ascii="Arial" w:hAnsi="Arial" w:cs="Arial"/>
                <w:b w:val="0"/>
                <w:sz w:val="20"/>
                <w:szCs w:val="20"/>
              </w:rPr>
            </w:pPr>
            <w:r w:rsidRPr="00590786">
              <w:rPr>
                <w:rFonts w:ascii="Arial" w:hAnsi="Arial" w:cs="Arial"/>
                <w:b w:val="0"/>
                <w:sz w:val="20"/>
                <w:szCs w:val="20"/>
              </w:rPr>
              <w:t>50 per cent Categories 1 to 4 research income, with equal weighting to be given to Category 1 income and Category 2-4 income.</w:t>
            </w:r>
          </w:p>
        </w:tc>
        <w:tc>
          <w:tcPr>
            <w:tcW w:w="2694" w:type="dxa"/>
            <w:vMerge/>
          </w:tcPr>
          <w:p w14:paraId="035F665A" w14:textId="77777777" w:rsidR="002B1830" w:rsidRPr="00590786" w:rsidRDefault="002B1830" w:rsidP="000E13C3">
            <w:pPr>
              <w:pStyle w:val="ListParagraph"/>
              <w:numPr>
                <w:ilvl w:val="0"/>
                <w:numId w:val="1"/>
              </w:numPr>
              <w:ind w:left="170" w:hanging="17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2B1830" w:rsidRPr="00590786" w14:paraId="035F6661" w14:textId="77777777" w:rsidTr="00590786">
        <w:tc>
          <w:tcPr>
            <w:cnfStyle w:val="001000000000" w:firstRow="0" w:lastRow="0" w:firstColumn="1" w:lastColumn="0" w:oddVBand="0" w:evenVBand="0" w:oddHBand="0" w:evenHBand="0" w:firstRowFirstColumn="0" w:firstRowLastColumn="0" w:lastRowFirstColumn="0" w:lastRowLastColumn="0"/>
            <w:tcW w:w="8046" w:type="dxa"/>
          </w:tcPr>
          <w:p w14:paraId="035F665C" w14:textId="77777777" w:rsidR="002B1830" w:rsidRPr="00590786" w:rsidRDefault="002B1830" w:rsidP="000E13C3">
            <w:pPr>
              <w:rPr>
                <w:rFonts w:ascii="Arial" w:hAnsi="Arial" w:cs="Arial"/>
                <w:b w:val="0"/>
                <w:i/>
                <w:sz w:val="20"/>
                <w:szCs w:val="20"/>
              </w:rPr>
            </w:pPr>
            <w:r w:rsidRPr="00590786">
              <w:rPr>
                <w:rFonts w:ascii="Arial" w:hAnsi="Arial" w:cs="Arial"/>
                <w:b w:val="0"/>
                <w:i/>
                <w:sz w:val="20"/>
                <w:szCs w:val="20"/>
              </w:rPr>
              <w:t>Transition to new arrangements</w:t>
            </w:r>
          </w:p>
          <w:p w14:paraId="035F665D" w14:textId="77777777" w:rsidR="002B1830" w:rsidRPr="00590786" w:rsidRDefault="002B1830" w:rsidP="000E13C3">
            <w:pPr>
              <w:rPr>
                <w:rFonts w:ascii="Arial" w:hAnsi="Arial" w:cs="Arial"/>
                <w:b w:val="0"/>
                <w:sz w:val="20"/>
                <w:szCs w:val="20"/>
              </w:rPr>
            </w:pPr>
            <w:r w:rsidRPr="00590786">
              <w:rPr>
                <w:rFonts w:ascii="Arial" w:hAnsi="Arial" w:cs="Arial"/>
                <w:b w:val="0"/>
                <w:sz w:val="20"/>
                <w:szCs w:val="20"/>
              </w:rPr>
              <w:t xml:space="preserve">3. To allow an orderly transition to the new arrangements: </w:t>
            </w:r>
          </w:p>
          <w:p w14:paraId="035F665E" w14:textId="77777777" w:rsidR="002B1830" w:rsidRPr="00590786" w:rsidRDefault="002B1830" w:rsidP="000E13C3">
            <w:pPr>
              <w:pStyle w:val="ListParagraph"/>
              <w:numPr>
                <w:ilvl w:val="0"/>
                <w:numId w:val="15"/>
              </w:numPr>
              <w:rPr>
                <w:rFonts w:ascii="Arial" w:hAnsi="Arial" w:cs="Arial"/>
                <w:b w:val="0"/>
                <w:sz w:val="20"/>
                <w:szCs w:val="20"/>
              </w:rPr>
            </w:pPr>
            <w:r w:rsidRPr="00590786">
              <w:rPr>
                <w:rFonts w:ascii="Arial" w:hAnsi="Arial" w:cs="Arial"/>
                <w:b w:val="0"/>
                <w:sz w:val="20"/>
                <w:szCs w:val="20"/>
              </w:rPr>
              <w:t xml:space="preserve">Introduce a safety net for Research Support funding, for the first four years of operation, so that no university receives less than 95 per cent of its funding for the prior year, indexed </w:t>
            </w:r>
          </w:p>
          <w:p w14:paraId="035F665F" w14:textId="77777777" w:rsidR="002B1830" w:rsidRPr="00590786" w:rsidRDefault="002B1830" w:rsidP="000E13C3">
            <w:pPr>
              <w:pStyle w:val="ListParagraph"/>
              <w:numPr>
                <w:ilvl w:val="0"/>
                <w:numId w:val="15"/>
              </w:numPr>
              <w:ind w:left="357" w:hanging="357"/>
              <w:rPr>
                <w:rFonts w:ascii="Arial" w:hAnsi="Arial" w:cs="Arial"/>
                <w:b w:val="0"/>
                <w:sz w:val="20"/>
                <w:szCs w:val="20"/>
              </w:rPr>
            </w:pPr>
            <w:r w:rsidRPr="00590786">
              <w:rPr>
                <w:rFonts w:ascii="Arial" w:hAnsi="Arial" w:cs="Arial"/>
                <w:b w:val="0"/>
                <w:sz w:val="20"/>
                <w:szCs w:val="20"/>
              </w:rPr>
              <w:t>progressively increasing the influence of the new Research Training funding formula by applying it to 25 per cent of the pool in each of years 2017 to 2020, with the balance being based on the previous year’s allocations.</w:t>
            </w:r>
          </w:p>
        </w:tc>
        <w:tc>
          <w:tcPr>
            <w:tcW w:w="2694" w:type="dxa"/>
            <w:vMerge/>
          </w:tcPr>
          <w:p w14:paraId="035F6660" w14:textId="77777777" w:rsidR="002B1830" w:rsidRPr="00590786" w:rsidRDefault="002B1830" w:rsidP="000E13C3">
            <w:pPr>
              <w:pStyle w:val="ListParagraph"/>
              <w:numPr>
                <w:ilvl w:val="0"/>
                <w:numId w:val="1"/>
              </w:numPr>
              <w:ind w:left="170" w:hanging="17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B1830" w:rsidRPr="00590786" w14:paraId="035F6666" w14:textId="77777777" w:rsidTr="00590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6" w:type="dxa"/>
          </w:tcPr>
          <w:p w14:paraId="035F6662" w14:textId="77777777" w:rsidR="002B1830" w:rsidRPr="00590786" w:rsidRDefault="002B1830" w:rsidP="000E13C3">
            <w:pPr>
              <w:rPr>
                <w:rFonts w:ascii="Arial" w:hAnsi="Arial" w:cs="Arial"/>
                <w:b w:val="0"/>
                <w:i/>
                <w:sz w:val="20"/>
                <w:szCs w:val="20"/>
              </w:rPr>
            </w:pPr>
            <w:r w:rsidRPr="00590786">
              <w:rPr>
                <w:rFonts w:ascii="Arial" w:hAnsi="Arial" w:cs="Arial"/>
                <w:b w:val="0"/>
                <w:i/>
                <w:sz w:val="20"/>
                <w:szCs w:val="20"/>
              </w:rPr>
              <w:t>Additional funding to further incentivise engagement</w:t>
            </w:r>
          </w:p>
          <w:p w14:paraId="035F6663" w14:textId="77777777" w:rsidR="002B1830" w:rsidRPr="00590786" w:rsidRDefault="002B1830" w:rsidP="000E13C3">
            <w:pPr>
              <w:rPr>
                <w:rFonts w:ascii="Arial" w:hAnsi="Arial" w:cs="Arial"/>
                <w:b w:val="0"/>
                <w:sz w:val="20"/>
                <w:szCs w:val="20"/>
              </w:rPr>
            </w:pPr>
            <w:r w:rsidRPr="00590786">
              <w:rPr>
                <w:rFonts w:ascii="Arial" w:hAnsi="Arial" w:cs="Arial"/>
                <w:b w:val="0"/>
                <w:sz w:val="20"/>
                <w:szCs w:val="20"/>
              </w:rPr>
              <w:t xml:space="preserve">4. Additional funding of $50 million per annum, ongoing, should be provided, commencing 2018, to further increase incentives to universities for business and end-user engagement. </w:t>
            </w:r>
          </w:p>
          <w:p w14:paraId="035F6664" w14:textId="77777777" w:rsidR="002B1830" w:rsidRPr="00590786" w:rsidRDefault="002B1830" w:rsidP="000E13C3">
            <w:pPr>
              <w:rPr>
                <w:rFonts w:ascii="Arial" w:hAnsi="Arial" w:cs="Arial"/>
                <w:b w:val="0"/>
                <w:sz w:val="20"/>
                <w:szCs w:val="20"/>
              </w:rPr>
            </w:pPr>
            <w:r w:rsidRPr="00590786">
              <w:rPr>
                <w:rFonts w:ascii="Arial" w:hAnsi="Arial" w:cs="Arial"/>
                <w:b w:val="0"/>
                <w:sz w:val="20"/>
                <w:szCs w:val="20"/>
              </w:rPr>
              <w:t>Should fiscal circumstances permit, a modest down payment should be made in 2017.</w:t>
            </w:r>
          </w:p>
        </w:tc>
        <w:tc>
          <w:tcPr>
            <w:tcW w:w="2694" w:type="dxa"/>
          </w:tcPr>
          <w:p w14:paraId="035F6665" w14:textId="77777777" w:rsidR="002B1830" w:rsidRPr="00590786" w:rsidRDefault="002B1830" w:rsidP="00F41C8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90786">
              <w:rPr>
                <w:rFonts w:ascii="Arial" w:hAnsi="Arial" w:cs="Arial"/>
                <w:sz w:val="20"/>
                <w:szCs w:val="20"/>
              </w:rPr>
              <w:t xml:space="preserve">Agreed, </w:t>
            </w:r>
            <w:r w:rsidR="00F41C8B" w:rsidRPr="00590786">
              <w:rPr>
                <w:rFonts w:ascii="Arial" w:hAnsi="Arial" w:cs="Arial"/>
                <w:sz w:val="20"/>
                <w:szCs w:val="20"/>
              </w:rPr>
              <w:t>new funding commencing 2017 under the NISA</w:t>
            </w:r>
          </w:p>
        </w:tc>
      </w:tr>
      <w:tr w:rsidR="002B1830" w:rsidRPr="00590786" w14:paraId="035F666F" w14:textId="77777777" w:rsidTr="00590786">
        <w:tc>
          <w:tcPr>
            <w:cnfStyle w:val="001000000000" w:firstRow="0" w:lastRow="0" w:firstColumn="1" w:lastColumn="0" w:oddVBand="0" w:evenVBand="0" w:oddHBand="0" w:evenHBand="0" w:firstRowFirstColumn="0" w:firstRowLastColumn="0" w:lastRowFirstColumn="0" w:lastRowLastColumn="0"/>
            <w:tcW w:w="8046" w:type="dxa"/>
            <w:shd w:val="clear" w:color="auto" w:fill="auto"/>
          </w:tcPr>
          <w:p w14:paraId="035F6667" w14:textId="77777777" w:rsidR="002B1830" w:rsidRPr="00590786" w:rsidRDefault="002B1830" w:rsidP="000E13C3">
            <w:pPr>
              <w:rPr>
                <w:rFonts w:ascii="Arial" w:hAnsi="Arial" w:cs="Arial"/>
                <w:b w:val="0"/>
                <w:i/>
                <w:sz w:val="20"/>
                <w:szCs w:val="20"/>
              </w:rPr>
            </w:pPr>
            <w:r w:rsidRPr="00590786">
              <w:rPr>
                <w:rFonts w:ascii="Arial" w:hAnsi="Arial" w:cs="Arial"/>
                <w:b w:val="0"/>
                <w:i/>
                <w:sz w:val="20"/>
                <w:szCs w:val="20"/>
              </w:rPr>
              <w:t>Review of RBG engagement data</w:t>
            </w:r>
          </w:p>
          <w:p w14:paraId="035F6668" w14:textId="77777777" w:rsidR="002B1830" w:rsidRPr="00590786" w:rsidRDefault="002B1830" w:rsidP="000E13C3">
            <w:pPr>
              <w:rPr>
                <w:rFonts w:ascii="Arial" w:hAnsi="Arial" w:cs="Arial"/>
                <w:b w:val="0"/>
                <w:sz w:val="20"/>
                <w:szCs w:val="20"/>
              </w:rPr>
            </w:pPr>
            <w:r w:rsidRPr="00590786">
              <w:rPr>
                <w:rFonts w:ascii="Arial" w:hAnsi="Arial" w:cs="Arial"/>
                <w:b w:val="0"/>
                <w:sz w:val="20"/>
                <w:szCs w:val="20"/>
              </w:rPr>
              <w:t>5. In consultation with Universities Australia</w:t>
            </w:r>
            <w:r w:rsidR="00340711" w:rsidRPr="00590786">
              <w:rPr>
                <w:rFonts w:ascii="Arial" w:hAnsi="Arial" w:cs="Arial"/>
                <w:b w:val="0"/>
                <w:sz w:val="20"/>
                <w:szCs w:val="20"/>
              </w:rPr>
              <w:t xml:space="preserve"> (UA)</w:t>
            </w:r>
            <w:r w:rsidRPr="00590786">
              <w:rPr>
                <w:rFonts w:ascii="Arial" w:hAnsi="Arial" w:cs="Arial"/>
                <w:b w:val="0"/>
                <w:sz w:val="20"/>
                <w:szCs w:val="20"/>
              </w:rPr>
              <w:t>, the Department of Education and Training and the A</w:t>
            </w:r>
            <w:r w:rsidR="00340711" w:rsidRPr="00590786">
              <w:rPr>
                <w:rFonts w:ascii="Arial" w:hAnsi="Arial" w:cs="Arial"/>
                <w:b w:val="0"/>
                <w:sz w:val="20"/>
                <w:szCs w:val="20"/>
              </w:rPr>
              <w:t xml:space="preserve">ustralian </w:t>
            </w:r>
            <w:r w:rsidRPr="00590786">
              <w:rPr>
                <w:rFonts w:ascii="Arial" w:hAnsi="Arial" w:cs="Arial"/>
                <w:b w:val="0"/>
                <w:sz w:val="20"/>
                <w:szCs w:val="20"/>
              </w:rPr>
              <w:t>R</w:t>
            </w:r>
            <w:r w:rsidR="00340711" w:rsidRPr="00590786">
              <w:rPr>
                <w:rFonts w:ascii="Arial" w:hAnsi="Arial" w:cs="Arial"/>
                <w:b w:val="0"/>
                <w:sz w:val="20"/>
                <w:szCs w:val="20"/>
              </w:rPr>
              <w:t xml:space="preserve">esearch </w:t>
            </w:r>
            <w:r w:rsidRPr="00590786">
              <w:rPr>
                <w:rFonts w:ascii="Arial" w:hAnsi="Arial" w:cs="Arial"/>
                <w:b w:val="0"/>
                <w:sz w:val="20"/>
                <w:szCs w:val="20"/>
              </w:rPr>
              <w:t>C</w:t>
            </w:r>
            <w:r w:rsidR="00340711" w:rsidRPr="00590786">
              <w:rPr>
                <w:rFonts w:ascii="Arial" w:hAnsi="Arial" w:cs="Arial"/>
                <w:b w:val="0"/>
                <w:sz w:val="20"/>
                <w:szCs w:val="20"/>
              </w:rPr>
              <w:t>ouncil (ARC)</w:t>
            </w:r>
            <w:r w:rsidRPr="00590786">
              <w:rPr>
                <w:rFonts w:ascii="Arial" w:hAnsi="Arial" w:cs="Arial"/>
                <w:b w:val="0"/>
                <w:sz w:val="20"/>
                <w:szCs w:val="20"/>
              </w:rPr>
              <w:t xml:space="preserve"> should examine research income counted in Categories 2, 3 and 4 and, by mid-2016, determine which data provide the most appropriate measures of end-user contributions.</w:t>
            </w:r>
          </w:p>
          <w:p w14:paraId="035F6669" w14:textId="77777777" w:rsidR="002B1830" w:rsidRPr="00590786" w:rsidRDefault="002B1830" w:rsidP="000E13C3">
            <w:pPr>
              <w:rPr>
                <w:rFonts w:ascii="Arial" w:hAnsi="Arial" w:cs="Arial"/>
                <w:b w:val="0"/>
                <w:sz w:val="20"/>
                <w:szCs w:val="20"/>
              </w:rPr>
            </w:pPr>
          </w:p>
        </w:tc>
        <w:tc>
          <w:tcPr>
            <w:tcW w:w="2694" w:type="dxa"/>
            <w:shd w:val="clear" w:color="auto" w:fill="auto"/>
          </w:tcPr>
          <w:p w14:paraId="035F666A" w14:textId="77777777" w:rsidR="0075439D" w:rsidRPr="00590786" w:rsidRDefault="002B1830" w:rsidP="00812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90786">
              <w:rPr>
                <w:rFonts w:ascii="Arial" w:hAnsi="Arial" w:cs="Arial"/>
                <w:sz w:val="20"/>
                <w:szCs w:val="20"/>
              </w:rPr>
              <w:t>Agreed</w:t>
            </w:r>
            <w:r w:rsidR="00E54E10" w:rsidRPr="00590786">
              <w:rPr>
                <w:rFonts w:ascii="Arial" w:hAnsi="Arial" w:cs="Arial"/>
                <w:sz w:val="20"/>
                <w:szCs w:val="20"/>
              </w:rPr>
              <w:t xml:space="preserve">, </w:t>
            </w:r>
            <w:r w:rsidR="0075439D" w:rsidRPr="00590786">
              <w:rPr>
                <w:rFonts w:ascii="Arial" w:hAnsi="Arial" w:cs="Arial"/>
                <w:sz w:val="20"/>
                <w:szCs w:val="20"/>
              </w:rPr>
              <w:t>Department held initial discussions with university reference group</w:t>
            </w:r>
          </w:p>
          <w:p w14:paraId="035F666B" w14:textId="77777777" w:rsidR="00E54E10" w:rsidRPr="00590786" w:rsidRDefault="00E54E10" w:rsidP="00812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35F666C" w14:textId="77777777" w:rsidR="009153F6" w:rsidRPr="00590786" w:rsidRDefault="009153F6" w:rsidP="009153F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90786">
              <w:rPr>
                <w:rFonts w:ascii="Arial" w:hAnsi="Arial" w:cs="Arial"/>
                <w:sz w:val="20"/>
                <w:szCs w:val="20"/>
              </w:rPr>
              <w:t>Next steps</w:t>
            </w:r>
          </w:p>
          <w:p w14:paraId="035F666D" w14:textId="77777777" w:rsidR="0075439D" w:rsidRPr="00590786" w:rsidRDefault="0075439D" w:rsidP="0075439D">
            <w:pPr>
              <w:pStyle w:val="ListParagraph"/>
              <w:numPr>
                <w:ilvl w:val="0"/>
                <w:numId w:val="1"/>
              </w:numPr>
              <w:ind w:left="170" w:hanging="17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90786">
              <w:rPr>
                <w:rFonts w:ascii="Arial" w:hAnsi="Arial" w:cs="Arial"/>
                <w:sz w:val="20"/>
                <w:szCs w:val="20"/>
              </w:rPr>
              <w:t>Discussion paper to be released to the sector for consultations and feedback</w:t>
            </w:r>
          </w:p>
          <w:p w14:paraId="035F666E" w14:textId="77777777" w:rsidR="002B1830" w:rsidRPr="00590786" w:rsidRDefault="002B1830" w:rsidP="00812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01721" w:rsidRPr="00590786" w14:paraId="035F6671" w14:textId="77777777" w:rsidTr="002B18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40" w:type="dxa"/>
            <w:gridSpan w:val="2"/>
          </w:tcPr>
          <w:p w14:paraId="035F6670" w14:textId="77777777" w:rsidR="00401721" w:rsidRPr="00590786" w:rsidRDefault="00401721" w:rsidP="000E13C3">
            <w:pPr>
              <w:rPr>
                <w:rFonts w:ascii="Arial" w:hAnsi="Arial" w:cs="Arial"/>
                <w:sz w:val="20"/>
                <w:szCs w:val="20"/>
              </w:rPr>
            </w:pPr>
            <w:r w:rsidRPr="00590786">
              <w:rPr>
                <w:rFonts w:ascii="Arial" w:hAnsi="Arial" w:cs="Arial"/>
                <w:sz w:val="20"/>
                <w:szCs w:val="20"/>
              </w:rPr>
              <w:t>Chapter 3 — Competitive grant programmes</w:t>
            </w:r>
          </w:p>
        </w:tc>
      </w:tr>
      <w:tr w:rsidR="002B1830" w:rsidRPr="00590786" w14:paraId="035F6678" w14:textId="77777777" w:rsidTr="00590786">
        <w:tc>
          <w:tcPr>
            <w:cnfStyle w:val="001000000000" w:firstRow="0" w:lastRow="0" w:firstColumn="1" w:lastColumn="0" w:oddVBand="0" w:evenVBand="0" w:oddHBand="0" w:evenHBand="0" w:firstRowFirstColumn="0" w:firstRowLastColumn="0" w:lastRowFirstColumn="0" w:lastRowLastColumn="0"/>
            <w:tcW w:w="8046" w:type="dxa"/>
          </w:tcPr>
          <w:p w14:paraId="035F6672" w14:textId="77777777" w:rsidR="002B1830" w:rsidRPr="00590786" w:rsidRDefault="002B1830" w:rsidP="000E13C3">
            <w:pPr>
              <w:rPr>
                <w:rFonts w:ascii="Arial" w:hAnsi="Arial" w:cs="Arial"/>
                <w:b w:val="0"/>
                <w:sz w:val="20"/>
                <w:szCs w:val="20"/>
              </w:rPr>
            </w:pPr>
            <w:r w:rsidRPr="00590786">
              <w:rPr>
                <w:rFonts w:ascii="Arial" w:hAnsi="Arial" w:cs="Arial"/>
                <w:b w:val="0"/>
                <w:sz w:val="20"/>
                <w:szCs w:val="20"/>
              </w:rPr>
              <w:t>6. The review recommends that:</w:t>
            </w:r>
          </w:p>
          <w:p w14:paraId="035F6673" w14:textId="77777777" w:rsidR="002B1830" w:rsidRPr="00590786" w:rsidRDefault="002B1830" w:rsidP="000E13C3">
            <w:pPr>
              <w:pStyle w:val="ListParagraph"/>
              <w:numPr>
                <w:ilvl w:val="0"/>
                <w:numId w:val="14"/>
              </w:numPr>
              <w:rPr>
                <w:rFonts w:ascii="Arial" w:hAnsi="Arial" w:cs="Arial"/>
                <w:b w:val="0"/>
                <w:sz w:val="20"/>
                <w:szCs w:val="20"/>
              </w:rPr>
            </w:pPr>
            <w:r w:rsidRPr="00590786">
              <w:rPr>
                <w:rFonts w:ascii="Arial" w:hAnsi="Arial" w:cs="Arial"/>
                <w:b w:val="0"/>
                <w:sz w:val="20"/>
                <w:szCs w:val="20"/>
              </w:rPr>
              <w:t>the ARC Linkage Projects scheme moves from one round per year to a continuous application and peer assessment process from 1 July 2016, with strong applications to be progressed immediately for ministerial approval, and the remaining applications to be considered in one of three selection meetings per year</w:t>
            </w:r>
          </w:p>
          <w:p w14:paraId="035F6674" w14:textId="77777777" w:rsidR="002B1830" w:rsidRPr="00590786" w:rsidRDefault="002B1830" w:rsidP="000E13C3">
            <w:pPr>
              <w:pStyle w:val="ListParagraph"/>
              <w:numPr>
                <w:ilvl w:val="0"/>
                <w:numId w:val="14"/>
              </w:numPr>
              <w:ind w:left="357" w:hanging="357"/>
              <w:rPr>
                <w:rFonts w:ascii="Arial" w:hAnsi="Arial" w:cs="Arial"/>
                <w:b w:val="0"/>
                <w:sz w:val="20"/>
                <w:szCs w:val="20"/>
              </w:rPr>
            </w:pPr>
            <w:r w:rsidRPr="00590786">
              <w:rPr>
                <w:rFonts w:ascii="Arial" w:hAnsi="Arial" w:cs="Arial"/>
                <w:b w:val="0"/>
                <w:sz w:val="20"/>
                <w:szCs w:val="20"/>
              </w:rPr>
              <w:t>grant outcomes should be announced within a maximum of six months from the submission of applications</w:t>
            </w:r>
          </w:p>
          <w:p w14:paraId="035F6675" w14:textId="77777777" w:rsidR="002B1830" w:rsidRPr="00590786" w:rsidRDefault="002B1830" w:rsidP="000E13C3">
            <w:pPr>
              <w:pStyle w:val="ListParagraph"/>
              <w:numPr>
                <w:ilvl w:val="0"/>
                <w:numId w:val="14"/>
              </w:numPr>
              <w:ind w:left="357" w:hanging="357"/>
              <w:rPr>
                <w:rFonts w:ascii="Arial" w:hAnsi="Arial" w:cs="Arial"/>
                <w:b w:val="0"/>
                <w:sz w:val="20"/>
                <w:szCs w:val="20"/>
              </w:rPr>
            </w:pPr>
            <w:r w:rsidRPr="00590786">
              <w:rPr>
                <w:rFonts w:ascii="Arial" w:hAnsi="Arial" w:cs="Arial"/>
                <w:b w:val="0"/>
                <w:sz w:val="20"/>
                <w:szCs w:val="20"/>
              </w:rPr>
              <w:t>the ARC revises its guidance for selection advisory committees for the Linkage Projects scheme to ensure that high quality proposals that involve business partner organisations are given greater priority</w:t>
            </w:r>
          </w:p>
          <w:p w14:paraId="035F6676" w14:textId="77777777" w:rsidR="002B1830" w:rsidRPr="00590786" w:rsidRDefault="002B1830" w:rsidP="000E13C3">
            <w:pPr>
              <w:pStyle w:val="ListParagraph"/>
              <w:numPr>
                <w:ilvl w:val="0"/>
                <w:numId w:val="14"/>
              </w:numPr>
              <w:ind w:left="357" w:hanging="357"/>
              <w:rPr>
                <w:rFonts w:ascii="Arial" w:hAnsi="Arial" w:cs="Arial"/>
                <w:b w:val="0"/>
                <w:sz w:val="20"/>
                <w:szCs w:val="20"/>
              </w:rPr>
            </w:pPr>
            <w:r w:rsidRPr="00590786">
              <w:rPr>
                <w:rFonts w:ascii="Arial" w:hAnsi="Arial" w:cs="Arial"/>
                <w:b w:val="0"/>
                <w:sz w:val="20"/>
                <w:szCs w:val="20"/>
              </w:rPr>
              <w:t>the Education and Training portfolio, in consultation with the Department of Finance, assess whether additional resources are required by the ARC to undertake continuous Linkage Projects rounds, and provide advice to government accordingly.</w:t>
            </w:r>
          </w:p>
        </w:tc>
        <w:tc>
          <w:tcPr>
            <w:tcW w:w="2694" w:type="dxa"/>
          </w:tcPr>
          <w:p w14:paraId="035F6677" w14:textId="77777777" w:rsidR="00903D36" w:rsidRPr="00590786" w:rsidRDefault="002B183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90786">
              <w:rPr>
                <w:rFonts w:ascii="Arial" w:hAnsi="Arial" w:cs="Arial"/>
                <w:sz w:val="20"/>
                <w:szCs w:val="20"/>
              </w:rPr>
              <w:t xml:space="preserve">Agreed, announced as part of the package of measures under the NISA </w:t>
            </w:r>
          </w:p>
        </w:tc>
      </w:tr>
      <w:tr w:rsidR="002B1830" w:rsidRPr="00590786" w14:paraId="035F667B" w14:textId="77777777" w:rsidTr="00590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6" w:type="dxa"/>
          </w:tcPr>
          <w:p w14:paraId="035F6679" w14:textId="77777777" w:rsidR="002B1830" w:rsidRPr="00590786" w:rsidRDefault="002B1830" w:rsidP="000E13C3">
            <w:pPr>
              <w:rPr>
                <w:rFonts w:ascii="Arial" w:hAnsi="Arial" w:cs="Arial"/>
                <w:b w:val="0"/>
                <w:sz w:val="20"/>
                <w:szCs w:val="20"/>
              </w:rPr>
            </w:pPr>
            <w:r w:rsidRPr="00590786">
              <w:rPr>
                <w:rFonts w:ascii="Arial" w:hAnsi="Arial" w:cs="Arial"/>
                <w:b w:val="0"/>
                <w:sz w:val="20"/>
                <w:szCs w:val="20"/>
              </w:rPr>
              <w:t>7. The review recommends that businesses with up to 20 employees be exempt from the requirement for partner organisations to provide cash contributions under the ARC Linkage Projects scheme.</w:t>
            </w:r>
          </w:p>
        </w:tc>
        <w:tc>
          <w:tcPr>
            <w:tcW w:w="2694" w:type="dxa"/>
          </w:tcPr>
          <w:p w14:paraId="035F667A" w14:textId="77777777" w:rsidR="009153F6" w:rsidRPr="00590786" w:rsidRDefault="002B1830" w:rsidP="000E13C3">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90786">
              <w:rPr>
                <w:rFonts w:ascii="Arial" w:hAnsi="Arial" w:cs="Arial"/>
                <w:sz w:val="20"/>
                <w:szCs w:val="20"/>
              </w:rPr>
              <w:t xml:space="preserve">Agreed, ARC to implement the change for </w:t>
            </w:r>
            <w:r w:rsidR="00AE0C74" w:rsidRPr="00590786">
              <w:rPr>
                <w:rFonts w:ascii="Arial" w:hAnsi="Arial" w:cs="Arial"/>
                <w:sz w:val="20"/>
                <w:szCs w:val="20"/>
              </w:rPr>
              <w:t xml:space="preserve">the next </w:t>
            </w:r>
            <w:r w:rsidRPr="00590786">
              <w:rPr>
                <w:rFonts w:ascii="Arial" w:hAnsi="Arial" w:cs="Arial"/>
                <w:sz w:val="20"/>
                <w:szCs w:val="20"/>
              </w:rPr>
              <w:t>round</w:t>
            </w:r>
          </w:p>
        </w:tc>
      </w:tr>
      <w:tr w:rsidR="002B1830" w:rsidRPr="00590786" w14:paraId="035F6681" w14:textId="77777777" w:rsidTr="00590786">
        <w:tc>
          <w:tcPr>
            <w:cnfStyle w:val="001000000000" w:firstRow="0" w:lastRow="0" w:firstColumn="1" w:lastColumn="0" w:oddVBand="0" w:evenVBand="0" w:oddHBand="0" w:evenHBand="0" w:firstRowFirstColumn="0" w:firstRowLastColumn="0" w:lastRowFirstColumn="0" w:lastRowLastColumn="0"/>
            <w:tcW w:w="8046" w:type="dxa"/>
          </w:tcPr>
          <w:p w14:paraId="035F667C" w14:textId="77777777" w:rsidR="002B1830" w:rsidRPr="00590786" w:rsidRDefault="002B1830" w:rsidP="000E13C3">
            <w:pPr>
              <w:rPr>
                <w:rFonts w:ascii="Arial" w:hAnsi="Arial" w:cs="Arial"/>
                <w:b w:val="0"/>
                <w:sz w:val="20"/>
                <w:szCs w:val="20"/>
              </w:rPr>
            </w:pPr>
            <w:r w:rsidRPr="00590786">
              <w:rPr>
                <w:rFonts w:ascii="Arial" w:hAnsi="Arial" w:cs="Arial"/>
                <w:b w:val="0"/>
                <w:sz w:val="20"/>
                <w:szCs w:val="20"/>
              </w:rPr>
              <w:lastRenderedPageBreak/>
              <w:t>8. The review recommends the establishment of expert panels to assess the elements of ARC grant proposals that relate specifically to commercialisation potential and collaboration with businesses and other end-users.</w:t>
            </w:r>
          </w:p>
          <w:p w14:paraId="035F667D" w14:textId="77777777" w:rsidR="004B0C50" w:rsidRPr="00590786" w:rsidRDefault="004B0C50" w:rsidP="000E13C3">
            <w:pPr>
              <w:rPr>
                <w:rFonts w:ascii="Arial" w:hAnsi="Arial" w:cs="Arial"/>
                <w:b w:val="0"/>
                <w:sz w:val="20"/>
                <w:szCs w:val="20"/>
              </w:rPr>
            </w:pPr>
          </w:p>
          <w:p w14:paraId="035F667E" w14:textId="77777777" w:rsidR="004B0C50" w:rsidRPr="00590786" w:rsidRDefault="004B0C50" w:rsidP="000E13C3">
            <w:pPr>
              <w:rPr>
                <w:rFonts w:ascii="Arial" w:hAnsi="Arial" w:cs="Arial"/>
                <w:b w:val="0"/>
                <w:sz w:val="20"/>
                <w:szCs w:val="20"/>
              </w:rPr>
            </w:pPr>
          </w:p>
          <w:p w14:paraId="035F667F" w14:textId="77777777" w:rsidR="004B0C50" w:rsidRPr="00590786" w:rsidRDefault="004B0C50" w:rsidP="000E13C3">
            <w:pPr>
              <w:rPr>
                <w:rFonts w:ascii="Arial" w:hAnsi="Arial" w:cs="Arial"/>
                <w:b w:val="0"/>
                <w:sz w:val="20"/>
                <w:szCs w:val="20"/>
              </w:rPr>
            </w:pPr>
          </w:p>
        </w:tc>
        <w:tc>
          <w:tcPr>
            <w:tcW w:w="2694" w:type="dxa"/>
          </w:tcPr>
          <w:p w14:paraId="035F6680" w14:textId="77777777" w:rsidR="002B1830" w:rsidRPr="00590786" w:rsidRDefault="002B1830" w:rsidP="000E13C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90786">
              <w:rPr>
                <w:rFonts w:ascii="Arial" w:hAnsi="Arial" w:cs="Arial"/>
                <w:sz w:val="20"/>
                <w:szCs w:val="20"/>
              </w:rPr>
              <w:t xml:space="preserve">Agreed, ARC to implement the change for the </w:t>
            </w:r>
            <w:r w:rsidR="00AE0C74" w:rsidRPr="00590786">
              <w:rPr>
                <w:rFonts w:ascii="Arial" w:hAnsi="Arial" w:cs="Arial"/>
                <w:sz w:val="20"/>
                <w:szCs w:val="20"/>
              </w:rPr>
              <w:t xml:space="preserve">next </w:t>
            </w:r>
            <w:r w:rsidRPr="00590786">
              <w:rPr>
                <w:rFonts w:ascii="Arial" w:hAnsi="Arial" w:cs="Arial"/>
                <w:sz w:val="20"/>
                <w:szCs w:val="20"/>
              </w:rPr>
              <w:t>round</w:t>
            </w:r>
          </w:p>
        </w:tc>
      </w:tr>
      <w:tr w:rsidR="002B1830" w:rsidRPr="00590786" w14:paraId="035F6687" w14:textId="77777777" w:rsidTr="00590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6" w:type="dxa"/>
          </w:tcPr>
          <w:p w14:paraId="035F6682" w14:textId="77777777" w:rsidR="002B1830" w:rsidRPr="00590786" w:rsidRDefault="002B1830" w:rsidP="000E13C3">
            <w:pPr>
              <w:rPr>
                <w:rFonts w:ascii="Arial" w:hAnsi="Arial" w:cs="Arial"/>
                <w:b w:val="0"/>
                <w:sz w:val="20"/>
                <w:szCs w:val="20"/>
              </w:rPr>
            </w:pPr>
            <w:r w:rsidRPr="00590786">
              <w:rPr>
                <w:rFonts w:ascii="Arial" w:hAnsi="Arial" w:cs="Arial"/>
                <w:b w:val="0"/>
                <w:sz w:val="20"/>
                <w:szCs w:val="20"/>
              </w:rPr>
              <w:t>9. The review recommends that:</w:t>
            </w:r>
          </w:p>
          <w:p w14:paraId="035F6683" w14:textId="77777777" w:rsidR="002B1830" w:rsidRPr="00590786" w:rsidRDefault="002B1830" w:rsidP="000E13C3">
            <w:pPr>
              <w:pStyle w:val="ListParagraph"/>
              <w:numPr>
                <w:ilvl w:val="0"/>
                <w:numId w:val="13"/>
              </w:numPr>
              <w:rPr>
                <w:rFonts w:ascii="Arial" w:hAnsi="Arial" w:cs="Arial"/>
                <w:b w:val="0"/>
                <w:sz w:val="20"/>
                <w:szCs w:val="20"/>
              </w:rPr>
            </w:pPr>
            <w:r w:rsidRPr="00590786">
              <w:rPr>
                <w:rFonts w:ascii="Arial" w:hAnsi="Arial" w:cs="Arial"/>
                <w:b w:val="0"/>
                <w:sz w:val="20"/>
                <w:szCs w:val="20"/>
              </w:rPr>
              <w:t>universities take a more active role in scrutinising applications for competitive research grant funding to filter out those potential applications which are less competitive</w:t>
            </w:r>
          </w:p>
          <w:p w14:paraId="035F6684" w14:textId="77777777" w:rsidR="002B1830" w:rsidRPr="00590786" w:rsidRDefault="002B1830" w:rsidP="000E13C3">
            <w:pPr>
              <w:pStyle w:val="ListParagraph"/>
              <w:numPr>
                <w:ilvl w:val="0"/>
                <w:numId w:val="13"/>
              </w:numPr>
              <w:ind w:left="357" w:hanging="357"/>
              <w:rPr>
                <w:rFonts w:ascii="Arial" w:hAnsi="Arial" w:cs="Arial"/>
                <w:b w:val="0"/>
                <w:sz w:val="20"/>
                <w:szCs w:val="20"/>
              </w:rPr>
            </w:pPr>
            <w:r w:rsidRPr="00590786">
              <w:rPr>
                <w:rFonts w:ascii="Arial" w:hAnsi="Arial" w:cs="Arial"/>
                <w:b w:val="0"/>
                <w:sz w:val="20"/>
                <w:szCs w:val="20"/>
              </w:rPr>
              <w:t>greater prominence should be given to the ARC’s and NHMRC’s measures of success by institutions when considering the submission of grant applications</w:t>
            </w:r>
          </w:p>
          <w:p w14:paraId="035F6685" w14:textId="77777777" w:rsidR="002B1830" w:rsidRPr="00590786" w:rsidRDefault="002B1830" w:rsidP="000E13C3">
            <w:pPr>
              <w:pStyle w:val="ListParagraph"/>
              <w:numPr>
                <w:ilvl w:val="0"/>
                <w:numId w:val="13"/>
              </w:numPr>
              <w:ind w:left="357" w:hanging="357"/>
              <w:rPr>
                <w:rFonts w:ascii="Arial" w:hAnsi="Arial" w:cs="Arial"/>
                <w:b w:val="0"/>
                <w:sz w:val="20"/>
                <w:szCs w:val="20"/>
              </w:rPr>
            </w:pPr>
            <w:r w:rsidRPr="00590786">
              <w:rPr>
                <w:rFonts w:ascii="Arial" w:hAnsi="Arial" w:cs="Arial"/>
                <w:b w:val="0"/>
                <w:sz w:val="20"/>
                <w:szCs w:val="20"/>
              </w:rPr>
              <w:t>universities should also revise any policies that may encourage the submission of applications without due regard to quality.</w:t>
            </w:r>
          </w:p>
        </w:tc>
        <w:tc>
          <w:tcPr>
            <w:tcW w:w="2694" w:type="dxa"/>
          </w:tcPr>
          <w:p w14:paraId="035F6686" w14:textId="77777777" w:rsidR="00F41C8B" w:rsidRPr="00590786" w:rsidRDefault="002B1830" w:rsidP="006D78F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90786">
              <w:rPr>
                <w:rFonts w:ascii="Arial" w:hAnsi="Arial" w:cs="Arial"/>
                <w:sz w:val="20"/>
                <w:szCs w:val="20"/>
              </w:rPr>
              <w:t xml:space="preserve">Supported, </w:t>
            </w:r>
            <w:r w:rsidR="006D78FF">
              <w:rPr>
                <w:rFonts w:ascii="Arial" w:hAnsi="Arial" w:cs="Arial"/>
                <w:sz w:val="20"/>
                <w:szCs w:val="20"/>
              </w:rPr>
              <w:t xml:space="preserve">an increased focus on </w:t>
            </w:r>
            <w:r w:rsidR="006D78FF" w:rsidRPr="006D78FF">
              <w:rPr>
                <w:rFonts w:ascii="Arial" w:hAnsi="Arial" w:cs="Arial"/>
                <w:sz w:val="20"/>
                <w:szCs w:val="20"/>
              </w:rPr>
              <w:t>universities improving their success rates in competitive research grant</w:t>
            </w:r>
            <w:r w:rsidR="006D78FF">
              <w:rPr>
                <w:rFonts w:ascii="Arial" w:hAnsi="Arial" w:cs="Arial"/>
                <w:sz w:val="20"/>
                <w:szCs w:val="20"/>
              </w:rPr>
              <w:t>s</w:t>
            </w:r>
            <w:r w:rsidR="006D78FF" w:rsidRPr="006D78FF">
              <w:rPr>
                <w:rFonts w:ascii="Arial" w:hAnsi="Arial" w:cs="Arial"/>
                <w:sz w:val="20"/>
                <w:szCs w:val="20"/>
              </w:rPr>
              <w:t xml:space="preserve"> </w:t>
            </w:r>
            <w:r w:rsidRPr="00590786">
              <w:rPr>
                <w:rFonts w:ascii="Arial" w:hAnsi="Arial" w:cs="Arial"/>
                <w:sz w:val="20"/>
                <w:szCs w:val="20"/>
              </w:rPr>
              <w:t>to be promoted through engagement with UA and universities</w:t>
            </w:r>
          </w:p>
        </w:tc>
      </w:tr>
      <w:tr w:rsidR="00401721" w:rsidRPr="00590786" w14:paraId="035F6689" w14:textId="77777777" w:rsidTr="002B1830">
        <w:tc>
          <w:tcPr>
            <w:cnfStyle w:val="001000000000" w:firstRow="0" w:lastRow="0" w:firstColumn="1" w:lastColumn="0" w:oddVBand="0" w:evenVBand="0" w:oddHBand="0" w:evenHBand="0" w:firstRowFirstColumn="0" w:firstRowLastColumn="0" w:lastRowFirstColumn="0" w:lastRowLastColumn="0"/>
            <w:tcW w:w="10740" w:type="dxa"/>
            <w:gridSpan w:val="2"/>
          </w:tcPr>
          <w:p w14:paraId="035F6688" w14:textId="77777777" w:rsidR="00401721" w:rsidRPr="00590786" w:rsidRDefault="00401721" w:rsidP="000E13C3">
            <w:pPr>
              <w:rPr>
                <w:rFonts w:ascii="Arial" w:hAnsi="Arial" w:cs="Arial"/>
                <w:sz w:val="20"/>
                <w:szCs w:val="20"/>
              </w:rPr>
            </w:pPr>
            <w:r w:rsidRPr="00590786">
              <w:rPr>
                <w:rFonts w:ascii="Arial" w:hAnsi="Arial" w:cs="Arial"/>
                <w:sz w:val="20"/>
                <w:szCs w:val="20"/>
              </w:rPr>
              <w:t>Chapter 4 — Business focused research collaboration programmes</w:t>
            </w:r>
          </w:p>
        </w:tc>
      </w:tr>
      <w:tr w:rsidR="002B1830" w:rsidRPr="00590786" w14:paraId="035F668D" w14:textId="77777777" w:rsidTr="00590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6" w:type="dxa"/>
          </w:tcPr>
          <w:p w14:paraId="035F668A" w14:textId="77777777" w:rsidR="002B1830" w:rsidRPr="00590786" w:rsidRDefault="002B1830" w:rsidP="000E13C3">
            <w:pPr>
              <w:rPr>
                <w:rFonts w:ascii="Arial" w:hAnsi="Arial" w:cs="Arial"/>
                <w:b w:val="0"/>
                <w:sz w:val="20"/>
                <w:szCs w:val="20"/>
              </w:rPr>
            </w:pPr>
            <w:r w:rsidRPr="00590786">
              <w:rPr>
                <w:rFonts w:ascii="Arial" w:hAnsi="Arial" w:cs="Arial"/>
                <w:b w:val="0"/>
                <w:sz w:val="20"/>
                <w:szCs w:val="20"/>
              </w:rPr>
              <w:t>10. Australian Government funding of around $25 million over four years from 2016-17 be provided to expand Research Connections.</w:t>
            </w:r>
          </w:p>
        </w:tc>
        <w:tc>
          <w:tcPr>
            <w:tcW w:w="2694" w:type="dxa"/>
          </w:tcPr>
          <w:p w14:paraId="035F668B" w14:textId="77777777" w:rsidR="00F41C8B" w:rsidRPr="00590786" w:rsidRDefault="002B1830" w:rsidP="00E54E1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90786">
              <w:rPr>
                <w:rFonts w:ascii="Arial" w:hAnsi="Arial" w:cs="Arial"/>
                <w:sz w:val="20"/>
                <w:szCs w:val="20"/>
              </w:rPr>
              <w:t>Agreed,</w:t>
            </w:r>
            <w:r w:rsidR="0075439D" w:rsidRPr="00590786">
              <w:rPr>
                <w:rFonts w:ascii="Arial" w:hAnsi="Arial" w:cs="Arial"/>
                <w:sz w:val="20"/>
                <w:szCs w:val="20"/>
              </w:rPr>
              <w:t xml:space="preserve"> additional investment of $18 million over the forward estimates committed </w:t>
            </w:r>
            <w:r w:rsidRPr="00590786">
              <w:rPr>
                <w:rFonts w:ascii="Arial" w:hAnsi="Arial" w:cs="Arial"/>
                <w:sz w:val="20"/>
                <w:szCs w:val="20"/>
              </w:rPr>
              <w:t>as part of the package of measures under the NISA</w:t>
            </w:r>
          </w:p>
          <w:p w14:paraId="035F668C" w14:textId="77777777" w:rsidR="009153F6" w:rsidRPr="00590786" w:rsidRDefault="009153F6" w:rsidP="00E54E1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2B1830" w:rsidRPr="00590786" w14:paraId="035F6691" w14:textId="77777777" w:rsidTr="00590786">
        <w:tc>
          <w:tcPr>
            <w:cnfStyle w:val="001000000000" w:firstRow="0" w:lastRow="0" w:firstColumn="1" w:lastColumn="0" w:oddVBand="0" w:evenVBand="0" w:oddHBand="0" w:evenHBand="0" w:firstRowFirstColumn="0" w:firstRowLastColumn="0" w:lastRowFirstColumn="0" w:lastRowLastColumn="0"/>
            <w:tcW w:w="8046" w:type="dxa"/>
          </w:tcPr>
          <w:p w14:paraId="035F668E" w14:textId="77777777" w:rsidR="002B1830" w:rsidRPr="00590786" w:rsidRDefault="002B1830" w:rsidP="000E13C3">
            <w:pPr>
              <w:rPr>
                <w:rFonts w:ascii="Arial" w:hAnsi="Arial" w:cs="Arial"/>
                <w:b w:val="0"/>
                <w:sz w:val="20"/>
                <w:szCs w:val="20"/>
              </w:rPr>
            </w:pPr>
            <w:r w:rsidRPr="00590786">
              <w:rPr>
                <w:rFonts w:ascii="Arial" w:hAnsi="Arial" w:cs="Arial"/>
                <w:b w:val="0"/>
                <w:sz w:val="20"/>
                <w:szCs w:val="20"/>
              </w:rPr>
              <w:t>11. Australian Government funding of $12.5 million per annum be provided to create a small programme to support universities to increase numbers of industry placements for PhD students. The programme should commence in 2017 and the Department of Education and Training should develop the details of the new programme arrangements in consultation with the university and business sectors.</w:t>
            </w:r>
          </w:p>
        </w:tc>
        <w:tc>
          <w:tcPr>
            <w:tcW w:w="2694" w:type="dxa"/>
          </w:tcPr>
          <w:p w14:paraId="035F668F" w14:textId="77777777" w:rsidR="009153F6" w:rsidRPr="00590786" w:rsidRDefault="009153F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90786">
              <w:rPr>
                <w:rFonts w:ascii="Arial" w:hAnsi="Arial" w:cs="Arial"/>
                <w:sz w:val="20"/>
                <w:szCs w:val="20"/>
              </w:rPr>
              <w:t>Under consideration,</w:t>
            </w:r>
            <w:r w:rsidR="006D78FF">
              <w:rPr>
                <w:rFonts w:ascii="Arial" w:hAnsi="Arial" w:cs="Arial"/>
                <w:sz w:val="20"/>
                <w:szCs w:val="20"/>
              </w:rPr>
              <w:t xml:space="preserve"> options</w:t>
            </w:r>
            <w:r w:rsidRPr="00590786">
              <w:rPr>
                <w:rFonts w:ascii="Arial" w:hAnsi="Arial" w:cs="Arial"/>
                <w:sz w:val="20"/>
                <w:szCs w:val="20"/>
              </w:rPr>
              <w:t xml:space="preserve"> to be considered as part of </w:t>
            </w:r>
            <w:r w:rsidR="0075439D" w:rsidRPr="00590786">
              <w:rPr>
                <w:rFonts w:ascii="Arial" w:hAnsi="Arial" w:cs="Arial"/>
                <w:sz w:val="20"/>
                <w:szCs w:val="20"/>
              </w:rPr>
              <w:t xml:space="preserve">response to </w:t>
            </w:r>
            <w:r w:rsidR="002B1830" w:rsidRPr="00590786">
              <w:rPr>
                <w:rFonts w:ascii="Arial" w:hAnsi="Arial" w:cs="Arial"/>
                <w:sz w:val="20"/>
                <w:szCs w:val="20"/>
              </w:rPr>
              <w:t>the ACOLA-led review of Australia’s Research Training System</w:t>
            </w:r>
            <w:r w:rsidR="00C4012A" w:rsidRPr="00590786">
              <w:rPr>
                <w:rFonts w:ascii="Arial" w:hAnsi="Arial" w:cs="Arial"/>
                <w:sz w:val="20"/>
                <w:szCs w:val="20"/>
              </w:rPr>
              <w:t xml:space="preserve"> released on 14 April 2016</w:t>
            </w:r>
          </w:p>
          <w:p w14:paraId="035F6690" w14:textId="77777777" w:rsidR="002B1830" w:rsidRPr="00590786" w:rsidRDefault="002B183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B1830" w:rsidRPr="00590786" w14:paraId="035F6695" w14:textId="77777777" w:rsidTr="00590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6" w:type="dxa"/>
          </w:tcPr>
          <w:p w14:paraId="035F6692" w14:textId="77777777" w:rsidR="002B1830" w:rsidRPr="00590786" w:rsidRDefault="002B1830" w:rsidP="000E13C3">
            <w:pPr>
              <w:rPr>
                <w:rFonts w:ascii="Arial" w:hAnsi="Arial" w:cs="Arial"/>
                <w:b w:val="0"/>
                <w:sz w:val="20"/>
                <w:szCs w:val="20"/>
              </w:rPr>
            </w:pPr>
            <w:r w:rsidRPr="00590786">
              <w:rPr>
                <w:rFonts w:ascii="Arial" w:hAnsi="Arial" w:cs="Arial"/>
                <w:b w:val="0"/>
                <w:sz w:val="20"/>
                <w:szCs w:val="20"/>
              </w:rPr>
              <w:t>12. The Department of Industry, Innovation and Science should implement, as a priority action in 2016, an online access point which will assist businesses to connect with business relevant research and researchers.</w:t>
            </w:r>
          </w:p>
        </w:tc>
        <w:tc>
          <w:tcPr>
            <w:tcW w:w="2694" w:type="dxa"/>
          </w:tcPr>
          <w:p w14:paraId="035F6693" w14:textId="77777777" w:rsidR="002B1830" w:rsidRPr="00590786" w:rsidRDefault="002B1830" w:rsidP="000E13C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90786">
              <w:rPr>
                <w:rFonts w:ascii="Arial" w:hAnsi="Arial" w:cs="Arial"/>
                <w:sz w:val="20"/>
                <w:szCs w:val="20"/>
              </w:rPr>
              <w:t xml:space="preserve">Ongoing, part of the actions under the </w:t>
            </w:r>
            <w:r w:rsidR="00590786">
              <w:rPr>
                <w:rFonts w:ascii="Arial" w:hAnsi="Arial" w:cs="Arial"/>
                <w:sz w:val="20"/>
                <w:szCs w:val="20"/>
              </w:rPr>
              <w:t>‘</w:t>
            </w:r>
            <w:r w:rsidRPr="00590786">
              <w:rPr>
                <w:rFonts w:ascii="Arial" w:hAnsi="Arial" w:cs="Arial"/>
                <w:sz w:val="20"/>
                <w:szCs w:val="20"/>
              </w:rPr>
              <w:t>Boosting the Commercial Returns from Research</w:t>
            </w:r>
            <w:r w:rsidR="00590786">
              <w:rPr>
                <w:rFonts w:ascii="Arial" w:hAnsi="Arial" w:cs="Arial"/>
                <w:sz w:val="20"/>
                <w:szCs w:val="20"/>
              </w:rPr>
              <w:t>’</w:t>
            </w:r>
            <w:r w:rsidRPr="00590786">
              <w:rPr>
                <w:rFonts w:ascii="Arial" w:hAnsi="Arial" w:cs="Arial"/>
                <w:sz w:val="20"/>
                <w:szCs w:val="20"/>
              </w:rPr>
              <w:t xml:space="preserve"> agenda</w:t>
            </w:r>
          </w:p>
          <w:p w14:paraId="035F6694" w14:textId="77777777" w:rsidR="009153F6" w:rsidRPr="00590786" w:rsidRDefault="009153F6" w:rsidP="000E13C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2B1830" w:rsidRPr="00590786" w14:paraId="035F6699" w14:textId="77777777" w:rsidTr="00590786">
        <w:tc>
          <w:tcPr>
            <w:cnfStyle w:val="001000000000" w:firstRow="0" w:lastRow="0" w:firstColumn="1" w:lastColumn="0" w:oddVBand="0" w:evenVBand="0" w:oddHBand="0" w:evenHBand="0" w:firstRowFirstColumn="0" w:firstRowLastColumn="0" w:lastRowFirstColumn="0" w:lastRowLastColumn="0"/>
            <w:tcW w:w="8046" w:type="dxa"/>
            <w:shd w:val="clear" w:color="auto" w:fill="auto"/>
          </w:tcPr>
          <w:p w14:paraId="035F6696" w14:textId="77777777" w:rsidR="002B1830" w:rsidRPr="00590786" w:rsidRDefault="002B1830" w:rsidP="000E13C3">
            <w:pPr>
              <w:rPr>
                <w:rFonts w:ascii="Arial" w:hAnsi="Arial" w:cs="Arial"/>
                <w:b w:val="0"/>
                <w:sz w:val="20"/>
                <w:szCs w:val="20"/>
              </w:rPr>
            </w:pPr>
            <w:r w:rsidRPr="00590786">
              <w:rPr>
                <w:rFonts w:ascii="Arial" w:hAnsi="Arial" w:cs="Arial"/>
                <w:b w:val="0"/>
                <w:sz w:val="20"/>
                <w:szCs w:val="20"/>
              </w:rPr>
              <w:t>13. Universities revise their appointment and promotion policies where necessary to ensure that the value of business experience is recognised and that individuals who have spent time in business are not disadvantaged in the selection process.</w:t>
            </w:r>
          </w:p>
        </w:tc>
        <w:tc>
          <w:tcPr>
            <w:tcW w:w="2694" w:type="dxa"/>
            <w:shd w:val="clear" w:color="auto" w:fill="auto"/>
          </w:tcPr>
          <w:p w14:paraId="035F6697" w14:textId="77777777" w:rsidR="002B1830" w:rsidRPr="00590786" w:rsidRDefault="002B1830" w:rsidP="000E13C3">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90786">
              <w:rPr>
                <w:rFonts w:ascii="Arial" w:hAnsi="Arial" w:cs="Arial"/>
                <w:sz w:val="20"/>
                <w:szCs w:val="20"/>
              </w:rPr>
              <w:t>Supported, to be promoted through engagement with UA and universities</w:t>
            </w:r>
          </w:p>
          <w:p w14:paraId="035F6698" w14:textId="77777777" w:rsidR="009153F6" w:rsidRPr="00590786" w:rsidRDefault="009153F6" w:rsidP="000E13C3">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01721" w:rsidRPr="00590786" w14:paraId="035F669B" w14:textId="77777777" w:rsidTr="002B18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40" w:type="dxa"/>
            <w:gridSpan w:val="2"/>
          </w:tcPr>
          <w:p w14:paraId="035F669A" w14:textId="77777777" w:rsidR="00401721" w:rsidRPr="00590786" w:rsidRDefault="00401721" w:rsidP="000E13C3">
            <w:pPr>
              <w:rPr>
                <w:rFonts w:ascii="Arial" w:hAnsi="Arial" w:cs="Arial"/>
                <w:sz w:val="20"/>
                <w:szCs w:val="20"/>
              </w:rPr>
            </w:pPr>
            <w:r w:rsidRPr="00590786">
              <w:rPr>
                <w:rFonts w:ascii="Arial" w:hAnsi="Arial" w:cs="Arial"/>
                <w:sz w:val="20"/>
                <w:szCs w:val="20"/>
              </w:rPr>
              <w:t>Chapter 5 — Improved management of intellectual property (IP)</w:t>
            </w:r>
          </w:p>
        </w:tc>
      </w:tr>
      <w:tr w:rsidR="002B1830" w:rsidRPr="00590786" w14:paraId="035F66A2" w14:textId="77777777" w:rsidTr="00590786">
        <w:tc>
          <w:tcPr>
            <w:cnfStyle w:val="001000000000" w:firstRow="0" w:lastRow="0" w:firstColumn="1" w:lastColumn="0" w:oddVBand="0" w:evenVBand="0" w:oddHBand="0" w:evenHBand="0" w:firstRowFirstColumn="0" w:firstRowLastColumn="0" w:lastRowFirstColumn="0" w:lastRowLastColumn="0"/>
            <w:tcW w:w="8046" w:type="dxa"/>
          </w:tcPr>
          <w:p w14:paraId="035F669C" w14:textId="77777777" w:rsidR="002B1830" w:rsidRPr="00590786" w:rsidRDefault="002B1830" w:rsidP="000E13C3">
            <w:pPr>
              <w:rPr>
                <w:rFonts w:ascii="Arial" w:hAnsi="Arial" w:cs="Arial"/>
                <w:b w:val="0"/>
                <w:sz w:val="20"/>
                <w:szCs w:val="20"/>
              </w:rPr>
            </w:pPr>
            <w:r w:rsidRPr="00590786">
              <w:rPr>
                <w:rFonts w:ascii="Arial" w:hAnsi="Arial" w:cs="Arial"/>
                <w:b w:val="0"/>
                <w:sz w:val="20"/>
                <w:szCs w:val="20"/>
              </w:rPr>
              <w:t>14. The PC inquiry into Australia’s IP arrangements should be asked to consider the feasibility of a ‘use it or lose it’ arrangement, including whatever wider policy changes would be necessary to support this approach.</w:t>
            </w:r>
          </w:p>
        </w:tc>
        <w:tc>
          <w:tcPr>
            <w:tcW w:w="2694" w:type="dxa"/>
          </w:tcPr>
          <w:p w14:paraId="035F669D" w14:textId="77777777" w:rsidR="00903D36" w:rsidRPr="00590786" w:rsidRDefault="002B1830" w:rsidP="00903D3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90786">
              <w:rPr>
                <w:rFonts w:ascii="Arial" w:hAnsi="Arial" w:cs="Arial"/>
                <w:sz w:val="20"/>
                <w:szCs w:val="20"/>
              </w:rPr>
              <w:t>Agreed</w:t>
            </w:r>
            <w:r w:rsidR="0075439D" w:rsidRPr="00590786">
              <w:rPr>
                <w:rFonts w:ascii="Arial" w:hAnsi="Arial" w:cs="Arial"/>
                <w:sz w:val="20"/>
                <w:szCs w:val="20"/>
              </w:rPr>
              <w:t xml:space="preserve">. Letter </w:t>
            </w:r>
            <w:r w:rsidR="00E54E10" w:rsidRPr="00590786">
              <w:rPr>
                <w:rFonts w:ascii="Arial" w:hAnsi="Arial" w:cs="Arial"/>
                <w:sz w:val="20"/>
                <w:szCs w:val="20"/>
              </w:rPr>
              <w:t xml:space="preserve">of 1 February 2016 </w:t>
            </w:r>
            <w:r w:rsidR="0075439D" w:rsidRPr="00590786">
              <w:rPr>
                <w:rFonts w:ascii="Arial" w:hAnsi="Arial" w:cs="Arial"/>
                <w:sz w:val="20"/>
                <w:szCs w:val="20"/>
              </w:rPr>
              <w:t>from Minister to Treasurer</w:t>
            </w:r>
            <w:r w:rsidR="00903D36" w:rsidRPr="00590786">
              <w:rPr>
                <w:rFonts w:ascii="Arial" w:hAnsi="Arial" w:cs="Arial"/>
                <w:sz w:val="20"/>
                <w:szCs w:val="20"/>
              </w:rPr>
              <w:t xml:space="preserve"> </w:t>
            </w:r>
            <w:r w:rsidR="0075439D" w:rsidRPr="00590786">
              <w:rPr>
                <w:rFonts w:ascii="Arial" w:hAnsi="Arial" w:cs="Arial"/>
                <w:sz w:val="20"/>
                <w:szCs w:val="20"/>
              </w:rPr>
              <w:t xml:space="preserve">asked the current </w:t>
            </w:r>
            <w:r w:rsidR="00F41C8B" w:rsidRPr="00590786">
              <w:rPr>
                <w:rFonts w:ascii="Arial" w:hAnsi="Arial" w:cs="Arial"/>
                <w:sz w:val="20"/>
                <w:szCs w:val="20"/>
              </w:rPr>
              <w:t>Productivity Commission (PC) inquiry</w:t>
            </w:r>
            <w:r w:rsidR="0075439D" w:rsidRPr="00590786">
              <w:rPr>
                <w:rFonts w:ascii="Arial" w:hAnsi="Arial" w:cs="Arial"/>
                <w:sz w:val="20"/>
                <w:szCs w:val="20"/>
              </w:rPr>
              <w:t xml:space="preserve"> on Australia’s IP arrangements address the issue</w:t>
            </w:r>
            <w:r w:rsidR="00F41C8B" w:rsidRPr="00590786">
              <w:rPr>
                <w:rFonts w:ascii="Arial" w:hAnsi="Arial" w:cs="Arial"/>
                <w:sz w:val="20"/>
                <w:szCs w:val="20"/>
              </w:rPr>
              <w:t xml:space="preserve">. </w:t>
            </w:r>
          </w:p>
          <w:p w14:paraId="035F669E" w14:textId="77777777" w:rsidR="00903D36" w:rsidRPr="00590786" w:rsidRDefault="00903D36" w:rsidP="00903D3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35F669F" w14:textId="77777777" w:rsidR="00F41C8B" w:rsidRPr="00590786" w:rsidRDefault="00F41C8B" w:rsidP="0075439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90786">
              <w:rPr>
                <w:rFonts w:ascii="Arial" w:hAnsi="Arial" w:cs="Arial"/>
                <w:sz w:val="20"/>
                <w:szCs w:val="20"/>
              </w:rPr>
              <w:t xml:space="preserve">Draft PC report </w:t>
            </w:r>
            <w:r w:rsidR="0075439D" w:rsidRPr="00590786">
              <w:rPr>
                <w:rFonts w:ascii="Arial" w:hAnsi="Arial" w:cs="Arial"/>
                <w:sz w:val="20"/>
                <w:szCs w:val="20"/>
              </w:rPr>
              <w:t>released on 29 April</w:t>
            </w:r>
            <w:r w:rsidR="00E54E10" w:rsidRPr="00590786">
              <w:rPr>
                <w:rFonts w:ascii="Arial" w:hAnsi="Arial" w:cs="Arial"/>
                <w:sz w:val="20"/>
                <w:szCs w:val="20"/>
              </w:rPr>
              <w:t xml:space="preserve"> 2016</w:t>
            </w:r>
            <w:r w:rsidR="0075439D" w:rsidRPr="00590786">
              <w:rPr>
                <w:rFonts w:ascii="Arial" w:hAnsi="Arial" w:cs="Arial"/>
                <w:sz w:val="20"/>
                <w:szCs w:val="20"/>
              </w:rPr>
              <w:t xml:space="preserve">. It does not support adoption of ‘use it or lose it’ provision for patents owned by universities and proposes </w:t>
            </w:r>
            <w:r w:rsidRPr="00590786">
              <w:rPr>
                <w:rFonts w:ascii="Arial" w:hAnsi="Arial" w:cs="Arial"/>
                <w:sz w:val="20"/>
                <w:szCs w:val="20"/>
              </w:rPr>
              <w:t>existing measures such as Easy Access IP and Source IP</w:t>
            </w:r>
            <w:r w:rsidR="0075439D" w:rsidRPr="00590786">
              <w:rPr>
                <w:rFonts w:ascii="Arial" w:hAnsi="Arial" w:cs="Arial"/>
                <w:sz w:val="20"/>
                <w:szCs w:val="20"/>
              </w:rPr>
              <w:t xml:space="preserve">, which are still in their infancy, </w:t>
            </w:r>
            <w:r w:rsidRPr="00590786">
              <w:rPr>
                <w:rFonts w:ascii="Arial" w:hAnsi="Arial" w:cs="Arial"/>
                <w:sz w:val="20"/>
                <w:szCs w:val="20"/>
              </w:rPr>
              <w:t xml:space="preserve">should be given time to work before </w:t>
            </w:r>
            <w:r w:rsidR="0075439D" w:rsidRPr="00590786">
              <w:rPr>
                <w:rFonts w:ascii="Arial" w:hAnsi="Arial" w:cs="Arial"/>
                <w:sz w:val="20"/>
                <w:szCs w:val="20"/>
              </w:rPr>
              <w:t xml:space="preserve">additional </w:t>
            </w:r>
            <w:r w:rsidRPr="00590786">
              <w:rPr>
                <w:rFonts w:ascii="Arial" w:hAnsi="Arial" w:cs="Arial"/>
                <w:sz w:val="20"/>
                <w:szCs w:val="20"/>
              </w:rPr>
              <w:t>policy responses are considered.</w:t>
            </w:r>
          </w:p>
          <w:p w14:paraId="035F66A0" w14:textId="77777777" w:rsidR="009153F6" w:rsidRDefault="009153F6" w:rsidP="0075439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35F66A1" w14:textId="77777777" w:rsidR="00590786" w:rsidRPr="00590786" w:rsidRDefault="00590786" w:rsidP="0075439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B1830" w:rsidRPr="00590786" w14:paraId="035F66A6" w14:textId="77777777" w:rsidTr="00590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6" w:type="dxa"/>
          </w:tcPr>
          <w:p w14:paraId="035F66A3" w14:textId="77777777" w:rsidR="002B1830" w:rsidRPr="00590786" w:rsidRDefault="002B1830" w:rsidP="000E13C3">
            <w:pPr>
              <w:rPr>
                <w:rFonts w:ascii="Arial" w:hAnsi="Arial" w:cs="Arial"/>
                <w:b w:val="0"/>
                <w:sz w:val="20"/>
                <w:szCs w:val="20"/>
              </w:rPr>
            </w:pPr>
            <w:r w:rsidRPr="00590786">
              <w:rPr>
                <w:rFonts w:ascii="Arial" w:hAnsi="Arial" w:cs="Arial"/>
                <w:b w:val="0"/>
                <w:sz w:val="20"/>
                <w:szCs w:val="20"/>
              </w:rPr>
              <w:lastRenderedPageBreak/>
              <w:t>15. The ARC should require all future Linkage Project applications, and progress reports, to identify actual and potential IP to be generated through the project and the intended IP management arrangements.</w:t>
            </w:r>
          </w:p>
        </w:tc>
        <w:tc>
          <w:tcPr>
            <w:tcW w:w="2694" w:type="dxa"/>
          </w:tcPr>
          <w:p w14:paraId="035F66A4" w14:textId="77777777" w:rsidR="0075439D" w:rsidRPr="00590786" w:rsidRDefault="002B1830" w:rsidP="0075439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90786">
              <w:rPr>
                <w:rFonts w:ascii="Arial" w:hAnsi="Arial" w:cs="Arial"/>
                <w:sz w:val="20"/>
                <w:szCs w:val="20"/>
              </w:rPr>
              <w:t>Agreed</w:t>
            </w:r>
            <w:r w:rsidR="00590786">
              <w:rPr>
                <w:rFonts w:ascii="Arial" w:hAnsi="Arial" w:cs="Arial"/>
                <w:sz w:val="20"/>
                <w:szCs w:val="20"/>
              </w:rPr>
              <w:t>, w</w:t>
            </w:r>
            <w:r w:rsidR="0075439D" w:rsidRPr="00590786">
              <w:rPr>
                <w:rFonts w:ascii="Arial" w:hAnsi="Arial" w:cs="Arial"/>
                <w:sz w:val="20"/>
                <w:szCs w:val="20"/>
              </w:rPr>
              <w:t>ork is underway to implement these arrangements</w:t>
            </w:r>
          </w:p>
          <w:p w14:paraId="035F66A5" w14:textId="77777777" w:rsidR="009153F6" w:rsidRPr="00590786" w:rsidRDefault="009153F6" w:rsidP="0075439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2B1830" w:rsidRPr="00590786" w14:paraId="035F66AB" w14:textId="77777777" w:rsidTr="00590786">
        <w:tc>
          <w:tcPr>
            <w:cnfStyle w:val="001000000000" w:firstRow="0" w:lastRow="0" w:firstColumn="1" w:lastColumn="0" w:oddVBand="0" w:evenVBand="0" w:oddHBand="0" w:evenHBand="0" w:firstRowFirstColumn="0" w:firstRowLastColumn="0" w:lastRowFirstColumn="0" w:lastRowLastColumn="0"/>
            <w:tcW w:w="8046" w:type="dxa"/>
          </w:tcPr>
          <w:p w14:paraId="035F66A7" w14:textId="77777777" w:rsidR="002B1830" w:rsidRPr="00590786" w:rsidRDefault="002B1830" w:rsidP="000E13C3">
            <w:pPr>
              <w:rPr>
                <w:rFonts w:ascii="Arial" w:hAnsi="Arial" w:cs="Arial"/>
                <w:b w:val="0"/>
                <w:sz w:val="20"/>
                <w:szCs w:val="20"/>
              </w:rPr>
            </w:pPr>
            <w:r w:rsidRPr="00590786">
              <w:rPr>
                <w:rFonts w:ascii="Arial" w:hAnsi="Arial" w:cs="Arial"/>
                <w:b w:val="0"/>
                <w:sz w:val="20"/>
                <w:szCs w:val="20"/>
              </w:rPr>
              <w:t>16. The ARC and NHMRC amend funding agreements and funding policies as relevant to:</w:t>
            </w:r>
          </w:p>
          <w:p w14:paraId="035F66A8" w14:textId="77777777" w:rsidR="002B1830" w:rsidRPr="00590786" w:rsidRDefault="002B1830" w:rsidP="000E13C3">
            <w:pPr>
              <w:pStyle w:val="ListParagraph"/>
              <w:numPr>
                <w:ilvl w:val="0"/>
                <w:numId w:val="17"/>
              </w:numPr>
              <w:rPr>
                <w:rFonts w:ascii="Arial" w:hAnsi="Arial" w:cs="Arial"/>
                <w:b w:val="0"/>
                <w:sz w:val="20"/>
                <w:szCs w:val="20"/>
              </w:rPr>
            </w:pPr>
            <w:r w:rsidRPr="00590786">
              <w:rPr>
                <w:rFonts w:ascii="Arial" w:hAnsi="Arial" w:cs="Arial"/>
                <w:b w:val="0"/>
                <w:sz w:val="20"/>
                <w:szCs w:val="20"/>
              </w:rPr>
              <w:t>require institutions to list the IP generated by public funding on Source IP from 2017</w:t>
            </w:r>
          </w:p>
          <w:p w14:paraId="035F66A9" w14:textId="77777777" w:rsidR="002B1830" w:rsidRPr="00590786" w:rsidRDefault="002B1830" w:rsidP="000E13C3">
            <w:pPr>
              <w:pStyle w:val="ListParagraph"/>
              <w:numPr>
                <w:ilvl w:val="0"/>
                <w:numId w:val="17"/>
              </w:numPr>
              <w:ind w:left="357" w:hanging="357"/>
              <w:rPr>
                <w:rFonts w:ascii="Arial" w:hAnsi="Arial" w:cs="Arial"/>
                <w:b w:val="0"/>
                <w:sz w:val="20"/>
                <w:szCs w:val="20"/>
              </w:rPr>
            </w:pPr>
            <w:r w:rsidRPr="00590786">
              <w:rPr>
                <w:rFonts w:ascii="Arial" w:hAnsi="Arial" w:cs="Arial"/>
                <w:b w:val="0"/>
                <w:sz w:val="20"/>
                <w:szCs w:val="20"/>
              </w:rPr>
              <w:t>require institutions to offer, and utilise if requested, the IP Toolkit model contract and term sheet where collaborative research arrangements with business are involved</w:t>
            </w:r>
          </w:p>
        </w:tc>
        <w:tc>
          <w:tcPr>
            <w:tcW w:w="2694" w:type="dxa"/>
          </w:tcPr>
          <w:p w14:paraId="035F66AA" w14:textId="77777777" w:rsidR="002B1830" w:rsidRPr="00590786" w:rsidRDefault="002B1830" w:rsidP="0075439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90786">
              <w:rPr>
                <w:rFonts w:ascii="Arial" w:hAnsi="Arial" w:cs="Arial"/>
                <w:sz w:val="20"/>
                <w:szCs w:val="20"/>
              </w:rPr>
              <w:t xml:space="preserve">Agreed, ARC </w:t>
            </w:r>
            <w:r w:rsidR="0075439D" w:rsidRPr="00590786">
              <w:rPr>
                <w:rFonts w:ascii="Arial" w:hAnsi="Arial" w:cs="Arial"/>
                <w:sz w:val="20"/>
                <w:szCs w:val="20"/>
              </w:rPr>
              <w:t xml:space="preserve">will </w:t>
            </w:r>
            <w:r w:rsidRPr="00590786">
              <w:rPr>
                <w:rFonts w:ascii="Arial" w:hAnsi="Arial" w:cs="Arial"/>
                <w:sz w:val="20"/>
                <w:szCs w:val="20"/>
              </w:rPr>
              <w:t>implement from 2017</w:t>
            </w:r>
          </w:p>
        </w:tc>
      </w:tr>
      <w:tr w:rsidR="002B1830" w:rsidRPr="00590786" w14:paraId="035F66AF" w14:textId="77777777" w:rsidTr="00590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6" w:type="dxa"/>
          </w:tcPr>
          <w:p w14:paraId="035F66AC" w14:textId="77777777" w:rsidR="002B1830" w:rsidRPr="00590786" w:rsidRDefault="002B1830" w:rsidP="000E13C3">
            <w:pPr>
              <w:rPr>
                <w:rFonts w:ascii="Arial" w:hAnsi="Arial" w:cs="Arial"/>
                <w:b w:val="0"/>
                <w:sz w:val="20"/>
                <w:szCs w:val="20"/>
              </w:rPr>
            </w:pPr>
            <w:r w:rsidRPr="00590786">
              <w:rPr>
                <w:rFonts w:ascii="Arial" w:hAnsi="Arial" w:cs="Arial"/>
                <w:b w:val="0"/>
                <w:sz w:val="20"/>
                <w:szCs w:val="20"/>
              </w:rPr>
              <w:t>17. The Department of Education and Training, in consultation with other relevant policy departments, the publicly funded research organisations and universities, should provide advice to Government by June 2016 on the merits of the broader application of Easy Access IP or similar arrangements across the publicly funded research sector and, if relevant, proposed implementation arrangements.</w:t>
            </w:r>
          </w:p>
        </w:tc>
        <w:tc>
          <w:tcPr>
            <w:tcW w:w="2694" w:type="dxa"/>
          </w:tcPr>
          <w:p w14:paraId="035F66AD" w14:textId="77777777" w:rsidR="0075439D" w:rsidRPr="00590786" w:rsidRDefault="002B183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90786">
              <w:rPr>
                <w:rFonts w:ascii="Arial" w:hAnsi="Arial" w:cs="Arial"/>
                <w:sz w:val="20"/>
                <w:szCs w:val="20"/>
              </w:rPr>
              <w:t>Agreed</w:t>
            </w:r>
            <w:r w:rsidR="00E54E10" w:rsidRPr="00590786">
              <w:rPr>
                <w:rFonts w:ascii="Arial" w:hAnsi="Arial" w:cs="Arial"/>
                <w:sz w:val="20"/>
                <w:szCs w:val="20"/>
              </w:rPr>
              <w:t xml:space="preserve">, Department will consult </w:t>
            </w:r>
            <w:r w:rsidR="0075439D" w:rsidRPr="00590786">
              <w:rPr>
                <w:rFonts w:ascii="Arial" w:hAnsi="Arial" w:cs="Arial"/>
                <w:sz w:val="20"/>
                <w:szCs w:val="20"/>
              </w:rPr>
              <w:t xml:space="preserve">with relevant departments, universities and publicly funded research agencies </w:t>
            </w:r>
          </w:p>
          <w:p w14:paraId="035F66AE" w14:textId="77777777" w:rsidR="009153F6" w:rsidRPr="00590786" w:rsidRDefault="009153F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2B1830" w:rsidRPr="00590786" w14:paraId="035F66B2" w14:textId="77777777" w:rsidTr="00590786">
        <w:tc>
          <w:tcPr>
            <w:cnfStyle w:val="001000000000" w:firstRow="0" w:lastRow="0" w:firstColumn="1" w:lastColumn="0" w:oddVBand="0" w:evenVBand="0" w:oddHBand="0" w:evenHBand="0" w:firstRowFirstColumn="0" w:firstRowLastColumn="0" w:lastRowFirstColumn="0" w:lastRowLastColumn="0"/>
            <w:tcW w:w="8046" w:type="dxa"/>
          </w:tcPr>
          <w:p w14:paraId="035F66B0" w14:textId="77777777" w:rsidR="002B1830" w:rsidRPr="00590786" w:rsidRDefault="002B1830" w:rsidP="000E13C3">
            <w:pPr>
              <w:rPr>
                <w:rFonts w:ascii="Arial" w:hAnsi="Arial" w:cs="Arial"/>
                <w:b w:val="0"/>
                <w:sz w:val="20"/>
                <w:szCs w:val="20"/>
              </w:rPr>
            </w:pPr>
            <w:r w:rsidRPr="00590786">
              <w:rPr>
                <w:rFonts w:ascii="Arial" w:hAnsi="Arial" w:cs="Arial"/>
                <w:b w:val="0"/>
                <w:sz w:val="20"/>
                <w:szCs w:val="20"/>
              </w:rPr>
              <w:t>18. The 2018 E</w:t>
            </w:r>
            <w:r w:rsidR="00812C5B" w:rsidRPr="00590786">
              <w:rPr>
                <w:rFonts w:ascii="Arial" w:hAnsi="Arial" w:cs="Arial"/>
                <w:b w:val="0"/>
                <w:sz w:val="20"/>
                <w:szCs w:val="20"/>
              </w:rPr>
              <w:t xml:space="preserve">xcellence in </w:t>
            </w:r>
            <w:r w:rsidRPr="00590786">
              <w:rPr>
                <w:rFonts w:ascii="Arial" w:hAnsi="Arial" w:cs="Arial"/>
                <w:b w:val="0"/>
                <w:sz w:val="20"/>
                <w:szCs w:val="20"/>
              </w:rPr>
              <w:t>R</w:t>
            </w:r>
            <w:r w:rsidR="00812C5B" w:rsidRPr="00590786">
              <w:rPr>
                <w:rFonts w:ascii="Arial" w:hAnsi="Arial" w:cs="Arial"/>
                <w:b w:val="0"/>
                <w:sz w:val="20"/>
                <w:szCs w:val="20"/>
              </w:rPr>
              <w:t xml:space="preserve">esearch </w:t>
            </w:r>
            <w:r w:rsidRPr="00590786">
              <w:rPr>
                <w:rFonts w:ascii="Arial" w:hAnsi="Arial" w:cs="Arial"/>
                <w:b w:val="0"/>
                <w:sz w:val="20"/>
                <w:szCs w:val="20"/>
              </w:rPr>
              <w:t>A</w:t>
            </w:r>
            <w:r w:rsidR="00812C5B" w:rsidRPr="00590786">
              <w:rPr>
                <w:rFonts w:ascii="Arial" w:hAnsi="Arial" w:cs="Arial"/>
                <w:b w:val="0"/>
                <w:sz w:val="20"/>
                <w:szCs w:val="20"/>
              </w:rPr>
              <w:t>ustralia</w:t>
            </w:r>
            <w:r w:rsidRPr="00590786">
              <w:rPr>
                <w:rFonts w:ascii="Arial" w:hAnsi="Arial" w:cs="Arial"/>
                <w:b w:val="0"/>
                <w:sz w:val="20"/>
                <w:szCs w:val="20"/>
              </w:rPr>
              <w:t xml:space="preserve"> should take into account the relative share of research output made available through publication, open source repositories and exploited through IP arrangements in the assessment process.</w:t>
            </w:r>
          </w:p>
        </w:tc>
        <w:tc>
          <w:tcPr>
            <w:tcW w:w="2694" w:type="dxa"/>
          </w:tcPr>
          <w:p w14:paraId="035F66B1" w14:textId="77777777" w:rsidR="002B1830" w:rsidRPr="00590786" w:rsidRDefault="002B1830" w:rsidP="0075439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90786">
              <w:rPr>
                <w:rFonts w:ascii="Arial" w:hAnsi="Arial" w:cs="Arial"/>
                <w:sz w:val="20"/>
                <w:szCs w:val="20"/>
              </w:rPr>
              <w:t xml:space="preserve">Agreed, ARC </w:t>
            </w:r>
            <w:r w:rsidR="0075439D" w:rsidRPr="00590786">
              <w:rPr>
                <w:rFonts w:ascii="Arial" w:hAnsi="Arial" w:cs="Arial"/>
                <w:sz w:val="20"/>
                <w:szCs w:val="20"/>
              </w:rPr>
              <w:t xml:space="preserve">will </w:t>
            </w:r>
            <w:r w:rsidRPr="00590786">
              <w:rPr>
                <w:rFonts w:ascii="Arial" w:hAnsi="Arial" w:cs="Arial"/>
                <w:sz w:val="20"/>
                <w:szCs w:val="20"/>
              </w:rPr>
              <w:t>implement</w:t>
            </w:r>
          </w:p>
        </w:tc>
      </w:tr>
      <w:tr w:rsidR="00AE2640" w:rsidRPr="00590786" w14:paraId="035F66B4" w14:textId="77777777" w:rsidTr="002B18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40" w:type="dxa"/>
            <w:gridSpan w:val="2"/>
          </w:tcPr>
          <w:p w14:paraId="035F66B3" w14:textId="77777777" w:rsidR="00AE2640" w:rsidRPr="00590786" w:rsidRDefault="00AE2640" w:rsidP="000E13C3">
            <w:pPr>
              <w:rPr>
                <w:rFonts w:ascii="Arial" w:hAnsi="Arial" w:cs="Arial"/>
                <w:sz w:val="20"/>
                <w:szCs w:val="20"/>
              </w:rPr>
            </w:pPr>
            <w:r w:rsidRPr="00590786">
              <w:rPr>
                <w:rFonts w:ascii="Arial" w:hAnsi="Arial" w:cs="Arial"/>
                <w:sz w:val="20"/>
                <w:szCs w:val="20"/>
              </w:rPr>
              <w:t>Chapter 6 — Assessment of impact and engagement</w:t>
            </w:r>
          </w:p>
        </w:tc>
      </w:tr>
      <w:tr w:rsidR="002B1830" w:rsidRPr="00590786" w14:paraId="035F66CF" w14:textId="77777777" w:rsidTr="00590786">
        <w:tc>
          <w:tcPr>
            <w:cnfStyle w:val="001000000000" w:firstRow="0" w:lastRow="0" w:firstColumn="1" w:lastColumn="0" w:oddVBand="0" w:evenVBand="0" w:oddHBand="0" w:evenHBand="0" w:firstRowFirstColumn="0" w:firstRowLastColumn="0" w:lastRowFirstColumn="0" w:lastRowLastColumn="0"/>
            <w:tcW w:w="8046" w:type="dxa"/>
          </w:tcPr>
          <w:p w14:paraId="035F66B5" w14:textId="77777777" w:rsidR="002B1830" w:rsidRPr="00590786" w:rsidRDefault="002B1830" w:rsidP="000E13C3">
            <w:pPr>
              <w:rPr>
                <w:rFonts w:ascii="Arial" w:hAnsi="Arial" w:cs="Arial"/>
                <w:b w:val="0"/>
                <w:sz w:val="20"/>
                <w:szCs w:val="20"/>
              </w:rPr>
            </w:pPr>
            <w:r w:rsidRPr="00590786">
              <w:rPr>
                <w:rFonts w:ascii="Arial" w:hAnsi="Arial" w:cs="Arial"/>
                <w:b w:val="0"/>
                <w:sz w:val="20"/>
                <w:szCs w:val="20"/>
              </w:rPr>
              <w:t>19. The Australian Government commit to the assessment of the economic, social and other benefits of university research through an impact and engagement assessment framework, which will have an impact on future research funding.</w:t>
            </w:r>
          </w:p>
        </w:tc>
        <w:tc>
          <w:tcPr>
            <w:tcW w:w="2694" w:type="dxa"/>
            <w:vMerge w:val="restart"/>
          </w:tcPr>
          <w:p w14:paraId="035F66B6" w14:textId="77777777" w:rsidR="002B1830" w:rsidRPr="00590786" w:rsidRDefault="002B1830" w:rsidP="000E13C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90786">
              <w:rPr>
                <w:rFonts w:ascii="Arial" w:hAnsi="Arial" w:cs="Arial"/>
                <w:sz w:val="20"/>
                <w:szCs w:val="20"/>
              </w:rPr>
              <w:t>Agreed, announced as part of the package of measures under the NISA</w:t>
            </w:r>
            <w:r w:rsidR="00E54E10" w:rsidRPr="00590786">
              <w:rPr>
                <w:rFonts w:ascii="Arial" w:hAnsi="Arial" w:cs="Arial"/>
                <w:sz w:val="20"/>
                <w:szCs w:val="20"/>
              </w:rPr>
              <w:t>.</w:t>
            </w:r>
          </w:p>
          <w:p w14:paraId="035F66B7" w14:textId="77777777" w:rsidR="002B1830" w:rsidRPr="00590786" w:rsidRDefault="002B1830" w:rsidP="000E13C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35F66B8" w14:textId="77777777" w:rsidR="00E54E10" w:rsidRPr="00590786" w:rsidRDefault="00E54E10" w:rsidP="000E13C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90786">
              <w:rPr>
                <w:rFonts w:ascii="Arial" w:hAnsi="Arial" w:cs="Arial"/>
                <w:sz w:val="20"/>
                <w:szCs w:val="20"/>
              </w:rPr>
              <w:t>Department and the ARC have convened a working group to develop framework.</w:t>
            </w:r>
          </w:p>
          <w:p w14:paraId="035F66B9" w14:textId="77777777" w:rsidR="00C4012A" w:rsidRPr="00590786" w:rsidRDefault="00C4012A" w:rsidP="00C4012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35F66BA" w14:textId="77777777" w:rsidR="00C4012A" w:rsidRPr="00590786" w:rsidRDefault="00C4012A" w:rsidP="00C4012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90786">
              <w:rPr>
                <w:rFonts w:ascii="Arial" w:hAnsi="Arial" w:cs="Arial"/>
                <w:sz w:val="20"/>
                <w:szCs w:val="20"/>
              </w:rPr>
              <w:t>The ARC and the department have released a consultation paper. Submissions are due by 24 June 2016.</w:t>
            </w:r>
          </w:p>
          <w:p w14:paraId="035F66BB" w14:textId="77777777" w:rsidR="00C4012A" w:rsidRPr="00590786" w:rsidRDefault="00C4012A" w:rsidP="000E13C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35F66BC" w14:textId="77777777" w:rsidR="002B1830" w:rsidRPr="00590786" w:rsidRDefault="002B1830" w:rsidP="000E13C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90786">
              <w:rPr>
                <w:rFonts w:ascii="Arial" w:hAnsi="Arial" w:cs="Arial"/>
                <w:sz w:val="20"/>
                <w:szCs w:val="20"/>
              </w:rPr>
              <w:t>Next steps</w:t>
            </w:r>
          </w:p>
          <w:p w14:paraId="035F66BD" w14:textId="77777777" w:rsidR="00903D36" w:rsidRPr="00590786" w:rsidRDefault="00903D36" w:rsidP="00812C5B">
            <w:pPr>
              <w:pStyle w:val="ListParagraph"/>
              <w:numPr>
                <w:ilvl w:val="0"/>
                <w:numId w:val="1"/>
              </w:numPr>
              <w:ind w:left="170" w:hanging="17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90786">
              <w:rPr>
                <w:rFonts w:ascii="Arial" w:hAnsi="Arial" w:cs="Arial"/>
                <w:sz w:val="20"/>
                <w:szCs w:val="20"/>
              </w:rPr>
              <w:t>September 2016: Consultation outcomes reported to the Minister</w:t>
            </w:r>
          </w:p>
          <w:p w14:paraId="035F66BE" w14:textId="77777777" w:rsidR="00903D36" w:rsidRPr="00590786" w:rsidRDefault="00903D36" w:rsidP="00812C5B">
            <w:pPr>
              <w:pStyle w:val="ListParagraph"/>
              <w:numPr>
                <w:ilvl w:val="0"/>
                <w:numId w:val="1"/>
              </w:numPr>
              <w:ind w:left="170" w:hanging="17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90786">
              <w:rPr>
                <w:rFonts w:ascii="Arial" w:hAnsi="Arial" w:cs="Arial"/>
                <w:sz w:val="20"/>
                <w:szCs w:val="20"/>
              </w:rPr>
              <w:t>End 2016: Design of pilot assessment</w:t>
            </w:r>
          </w:p>
          <w:p w14:paraId="035F66BF" w14:textId="77777777" w:rsidR="00903D36" w:rsidRPr="00590786" w:rsidRDefault="00903D36" w:rsidP="00812C5B">
            <w:pPr>
              <w:pStyle w:val="ListParagraph"/>
              <w:numPr>
                <w:ilvl w:val="0"/>
                <w:numId w:val="1"/>
              </w:numPr>
              <w:ind w:left="170" w:hanging="17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90786">
              <w:rPr>
                <w:rFonts w:ascii="Arial" w:hAnsi="Arial" w:cs="Arial"/>
                <w:sz w:val="20"/>
                <w:szCs w:val="20"/>
              </w:rPr>
              <w:t>2017: Pilot assessment takes place</w:t>
            </w:r>
          </w:p>
          <w:p w14:paraId="035F66C0" w14:textId="77777777" w:rsidR="002B1830" w:rsidRPr="00590786" w:rsidRDefault="002B1830" w:rsidP="00812C5B">
            <w:pPr>
              <w:pStyle w:val="ListParagraph"/>
              <w:numPr>
                <w:ilvl w:val="0"/>
                <w:numId w:val="1"/>
              </w:numPr>
              <w:ind w:left="170" w:hanging="17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90786">
              <w:rPr>
                <w:rFonts w:ascii="Arial" w:hAnsi="Arial" w:cs="Arial"/>
                <w:sz w:val="20"/>
                <w:szCs w:val="20"/>
              </w:rPr>
              <w:t xml:space="preserve">late 2017: </w:t>
            </w:r>
            <w:r w:rsidR="00340711" w:rsidRPr="00590786">
              <w:rPr>
                <w:rFonts w:ascii="Arial" w:hAnsi="Arial" w:cs="Arial"/>
                <w:sz w:val="20"/>
                <w:szCs w:val="20"/>
              </w:rPr>
              <w:t xml:space="preserve">Adjustments made for learnings </w:t>
            </w:r>
            <w:r w:rsidR="00AE0C74" w:rsidRPr="00590786">
              <w:rPr>
                <w:rFonts w:ascii="Arial" w:hAnsi="Arial" w:cs="Arial"/>
                <w:sz w:val="20"/>
                <w:szCs w:val="20"/>
              </w:rPr>
              <w:t xml:space="preserve">and framework </w:t>
            </w:r>
            <w:r w:rsidRPr="00590786">
              <w:rPr>
                <w:rFonts w:ascii="Arial" w:hAnsi="Arial" w:cs="Arial"/>
                <w:sz w:val="20"/>
                <w:szCs w:val="20"/>
              </w:rPr>
              <w:t xml:space="preserve">finalised </w:t>
            </w:r>
          </w:p>
          <w:p w14:paraId="035F66C1" w14:textId="77777777" w:rsidR="00E54E10" w:rsidRPr="00590786" w:rsidRDefault="00903D36" w:rsidP="00812C5B">
            <w:pPr>
              <w:pStyle w:val="ListParagraph"/>
              <w:numPr>
                <w:ilvl w:val="0"/>
                <w:numId w:val="1"/>
              </w:numPr>
              <w:ind w:left="170" w:hanging="17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90786">
              <w:rPr>
                <w:rFonts w:ascii="Arial" w:hAnsi="Arial" w:cs="Arial"/>
                <w:sz w:val="20"/>
                <w:szCs w:val="20"/>
              </w:rPr>
              <w:t>2018: First full assessment exercise</w:t>
            </w:r>
          </w:p>
          <w:p w14:paraId="035F66CE" w14:textId="3294E595" w:rsidR="00590786" w:rsidRPr="001E493E" w:rsidRDefault="00E54E10" w:rsidP="001E493E">
            <w:pPr>
              <w:pStyle w:val="ListParagraph"/>
              <w:numPr>
                <w:ilvl w:val="0"/>
                <w:numId w:val="19"/>
              </w:numPr>
              <w:spacing w:after="2520"/>
              <w:ind w:left="340" w:hanging="17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90786">
              <w:rPr>
                <w:rFonts w:ascii="Arial" w:hAnsi="Arial" w:cs="Arial"/>
                <w:sz w:val="20"/>
                <w:szCs w:val="20"/>
              </w:rPr>
              <w:t>Assessment of funding implications to be considered for future block grant allocations</w:t>
            </w:r>
            <w:bookmarkStart w:id="0" w:name="_GoBack"/>
            <w:bookmarkEnd w:id="0"/>
          </w:p>
        </w:tc>
      </w:tr>
      <w:tr w:rsidR="002B1830" w:rsidRPr="00590786" w14:paraId="035F66D5" w14:textId="77777777" w:rsidTr="00590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6" w:type="dxa"/>
          </w:tcPr>
          <w:p w14:paraId="035F66D0" w14:textId="77777777" w:rsidR="002B1830" w:rsidRPr="00590786" w:rsidRDefault="002B1830" w:rsidP="000E13C3">
            <w:pPr>
              <w:rPr>
                <w:rFonts w:ascii="Arial" w:hAnsi="Arial" w:cs="Arial"/>
                <w:b w:val="0"/>
                <w:sz w:val="20"/>
                <w:szCs w:val="20"/>
              </w:rPr>
            </w:pPr>
            <w:r w:rsidRPr="00590786">
              <w:rPr>
                <w:rFonts w:ascii="Arial" w:hAnsi="Arial" w:cs="Arial"/>
                <w:b w:val="0"/>
                <w:sz w:val="20"/>
                <w:szCs w:val="20"/>
              </w:rPr>
              <w:t>20. The framework include both quantitative and qualitative measures, moderated by expert review, with:</w:t>
            </w:r>
          </w:p>
          <w:p w14:paraId="035F66D1" w14:textId="77777777" w:rsidR="002B1830" w:rsidRPr="00590786" w:rsidRDefault="002B1830" w:rsidP="000E13C3">
            <w:pPr>
              <w:pStyle w:val="ListParagraph"/>
              <w:numPr>
                <w:ilvl w:val="0"/>
                <w:numId w:val="18"/>
              </w:numPr>
              <w:rPr>
                <w:rFonts w:ascii="Arial" w:hAnsi="Arial" w:cs="Arial"/>
                <w:b w:val="0"/>
                <w:sz w:val="20"/>
                <w:szCs w:val="20"/>
              </w:rPr>
            </w:pPr>
            <w:r w:rsidRPr="00590786">
              <w:rPr>
                <w:rFonts w:ascii="Arial" w:hAnsi="Arial" w:cs="Arial"/>
                <w:b w:val="0"/>
                <w:sz w:val="20"/>
                <w:szCs w:val="20"/>
              </w:rPr>
              <w:t>the metrics proposed by ATSE as the starting point for the development of quantitative measures, and other potential measures also considered</w:t>
            </w:r>
          </w:p>
          <w:p w14:paraId="035F66D2" w14:textId="77777777" w:rsidR="002B1830" w:rsidRPr="00590786" w:rsidRDefault="002B1830" w:rsidP="000E13C3">
            <w:pPr>
              <w:pStyle w:val="ListParagraph"/>
              <w:numPr>
                <w:ilvl w:val="0"/>
                <w:numId w:val="18"/>
              </w:numPr>
              <w:ind w:left="357" w:hanging="357"/>
              <w:rPr>
                <w:rFonts w:ascii="Arial" w:hAnsi="Arial" w:cs="Arial"/>
                <w:b w:val="0"/>
                <w:sz w:val="20"/>
                <w:szCs w:val="20"/>
              </w:rPr>
            </w:pPr>
            <w:r w:rsidRPr="00590786">
              <w:rPr>
                <w:rFonts w:ascii="Arial" w:hAnsi="Arial" w:cs="Arial"/>
                <w:b w:val="0"/>
                <w:sz w:val="20"/>
                <w:szCs w:val="20"/>
              </w:rPr>
              <w:t>the lessons of the 2014 UK REF, the 2012 EIA and the 2010 UK REF pilot drawn on to measure the extent and cost of the approach to qualitative measurement and minimise the burden imposed on universities and others by the assessment methodology</w:t>
            </w:r>
          </w:p>
          <w:p w14:paraId="035F66D3" w14:textId="77777777" w:rsidR="002B1830" w:rsidRPr="00590786" w:rsidRDefault="002B1830" w:rsidP="000E13C3">
            <w:pPr>
              <w:pStyle w:val="ListParagraph"/>
              <w:numPr>
                <w:ilvl w:val="0"/>
                <w:numId w:val="18"/>
              </w:numPr>
              <w:rPr>
                <w:rFonts w:ascii="Arial" w:hAnsi="Arial" w:cs="Arial"/>
                <w:b w:val="0"/>
                <w:sz w:val="20"/>
                <w:szCs w:val="20"/>
              </w:rPr>
            </w:pPr>
            <w:r w:rsidRPr="00590786">
              <w:rPr>
                <w:rFonts w:ascii="Arial" w:hAnsi="Arial" w:cs="Arial"/>
                <w:b w:val="0"/>
                <w:sz w:val="20"/>
                <w:szCs w:val="20"/>
              </w:rPr>
              <w:t>an expert working group, convened by the Department of Education and Training and comprising representatives from the research sector, government and end-users (including business) established to provide advice by the end of June 2016 on the specific approach to be used, the measures to be adopted and the implementation path to be followed.</w:t>
            </w:r>
          </w:p>
        </w:tc>
        <w:tc>
          <w:tcPr>
            <w:tcW w:w="2694" w:type="dxa"/>
            <w:vMerge/>
          </w:tcPr>
          <w:p w14:paraId="035F66D4" w14:textId="77777777" w:rsidR="002B1830" w:rsidRPr="00590786" w:rsidRDefault="002B1830" w:rsidP="000E13C3">
            <w:pPr>
              <w:pStyle w:val="ListParagraph"/>
              <w:ind w:left="17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2B1830" w:rsidRPr="00590786" w14:paraId="035F66D9" w14:textId="77777777" w:rsidTr="00590786">
        <w:tc>
          <w:tcPr>
            <w:cnfStyle w:val="001000000000" w:firstRow="0" w:lastRow="0" w:firstColumn="1" w:lastColumn="0" w:oddVBand="0" w:evenVBand="0" w:oddHBand="0" w:evenHBand="0" w:firstRowFirstColumn="0" w:firstRowLastColumn="0" w:lastRowFirstColumn="0" w:lastRowLastColumn="0"/>
            <w:tcW w:w="8046" w:type="dxa"/>
          </w:tcPr>
          <w:p w14:paraId="035F66D6" w14:textId="77777777" w:rsidR="002B1830" w:rsidRPr="00590786" w:rsidRDefault="002B1830" w:rsidP="000E13C3">
            <w:pPr>
              <w:rPr>
                <w:rFonts w:ascii="Arial" w:hAnsi="Arial" w:cs="Arial"/>
                <w:b w:val="0"/>
                <w:sz w:val="20"/>
                <w:szCs w:val="20"/>
              </w:rPr>
            </w:pPr>
            <w:r w:rsidRPr="00590786">
              <w:rPr>
                <w:rFonts w:ascii="Arial" w:hAnsi="Arial" w:cs="Arial"/>
                <w:b w:val="0"/>
                <w:sz w:val="20"/>
                <w:szCs w:val="20"/>
              </w:rPr>
              <w:t>21. The impact and engagement assessment model should be piloted in 2017, with the lessons from the pilot to be finalised by the end of 2017.</w:t>
            </w:r>
          </w:p>
          <w:p w14:paraId="035F66D7" w14:textId="77777777" w:rsidR="004B0C50" w:rsidRPr="00590786" w:rsidRDefault="004B0C50" w:rsidP="000E13C3">
            <w:pPr>
              <w:rPr>
                <w:rFonts w:ascii="Arial" w:hAnsi="Arial" w:cs="Arial"/>
                <w:b w:val="0"/>
                <w:sz w:val="20"/>
                <w:szCs w:val="20"/>
              </w:rPr>
            </w:pPr>
          </w:p>
        </w:tc>
        <w:tc>
          <w:tcPr>
            <w:tcW w:w="2694" w:type="dxa"/>
            <w:vMerge/>
          </w:tcPr>
          <w:p w14:paraId="035F66D8" w14:textId="77777777" w:rsidR="002B1830" w:rsidRPr="00590786" w:rsidRDefault="002B1830" w:rsidP="000E13C3">
            <w:pPr>
              <w:pStyle w:val="ListParagraph"/>
              <w:numPr>
                <w:ilvl w:val="0"/>
                <w:numId w:val="1"/>
              </w:numPr>
              <w:ind w:left="170" w:hanging="17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B1830" w:rsidRPr="00590786" w14:paraId="035F66DE" w14:textId="77777777" w:rsidTr="00590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6" w:type="dxa"/>
          </w:tcPr>
          <w:p w14:paraId="035F66DA" w14:textId="77777777" w:rsidR="002B1830" w:rsidRPr="00590786" w:rsidRDefault="002B1830" w:rsidP="000E13C3">
            <w:pPr>
              <w:rPr>
                <w:rFonts w:ascii="Arial" w:hAnsi="Arial" w:cs="Arial"/>
                <w:b w:val="0"/>
                <w:sz w:val="20"/>
                <w:szCs w:val="20"/>
              </w:rPr>
            </w:pPr>
            <w:r w:rsidRPr="00590786">
              <w:rPr>
                <w:rFonts w:ascii="Arial" w:hAnsi="Arial" w:cs="Arial"/>
                <w:b w:val="0"/>
                <w:sz w:val="20"/>
                <w:szCs w:val="20"/>
              </w:rPr>
              <w:t>22. The new framework should:</w:t>
            </w:r>
          </w:p>
          <w:p w14:paraId="035F66DB" w14:textId="77777777" w:rsidR="002B1830" w:rsidRPr="00590786" w:rsidRDefault="002B1830" w:rsidP="000E13C3">
            <w:pPr>
              <w:pStyle w:val="ListParagraph"/>
              <w:numPr>
                <w:ilvl w:val="0"/>
                <w:numId w:val="12"/>
              </w:numPr>
              <w:rPr>
                <w:rFonts w:ascii="Arial" w:hAnsi="Arial" w:cs="Arial"/>
                <w:b w:val="0"/>
                <w:sz w:val="20"/>
                <w:szCs w:val="20"/>
              </w:rPr>
            </w:pPr>
            <w:r w:rsidRPr="00590786">
              <w:rPr>
                <w:rFonts w:ascii="Arial" w:hAnsi="Arial" w:cs="Arial"/>
                <w:b w:val="0"/>
                <w:sz w:val="20"/>
                <w:szCs w:val="20"/>
              </w:rPr>
              <w:t>be implemented as a companion to ERA in 2018, so that quality and impact and engagement can be assessed at the same time on a three year cycle</w:t>
            </w:r>
          </w:p>
          <w:p w14:paraId="035F66DC" w14:textId="77777777" w:rsidR="002B1830" w:rsidRPr="00590786" w:rsidRDefault="002B1830" w:rsidP="000E13C3">
            <w:pPr>
              <w:pStyle w:val="ListParagraph"/>
              <w:numPr>
                <w:ilvl w:val="0"/>
                <w:numId w:val="12"/>
              </w:numPr>
              <w:rPr>
                <w:rFonts w:ascii="Arial" w:hAnsi="Arial" w:cs="Arial"/>
                <w:b w:val="0"/>
                <w:sz w:val="20"/>
                <w:szCs w:val="20"/>
              </w:rPr>
            </w:pPr>
            <w:r w:rsidRPr="00590786">
              <w:rPr>
                <w:rFonts w:ascii="Arial" w:hAnsi="Arial" w:cs="Arial"/>
                <w:b w:val="0"/>
                <w:sz w:val="20"/>
                <w:szCs w:val="20"/>
              </w:rPr>
              <w:t>be implemented so that any additional burden on universities is minimised by using existing sources of data and evidence and reducing data and information required for ERA and/or other reporting.</w:t>
            </w:r>
          </w:p>
        </w:tc>
        <w:tc>
          <w:tcPr>
            <w:tcW w:w="2694" w:type="dxa"/>
            <w:vMerge/>
          </w:tcPr>
          <w:p w14:paraId="035F66DD" w14:textId="77777777" w:rsidR="002B1830" w:rsidRPr="00590786" w:rsidRDefault="002B1830" w:rsidP="000E13C3">
            <w:pPr>
              <w:pStyle w:val="ListParagraph"/>
              <w:numPr>
                <w:ilvl w:val="0"/>
                <w:numId w:val="1"/>
              </w:numPr>
              <w:ind w:left="170" w:hanging="17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2B1830" w:rsidRPr="00590786" w14:paraId="035F66E1" w14:textId="77777777" w:rsidTr="00590786">
        <w:tc>
          <w:tcPr>
            <w:cnfStyle w:val="001000000000" w:firstRow="0" w:lastRow="0" w:firstColumn="1" w:lastColumn="0" w:oddVBand="0" w:evenVBand="0" w:oddHBand="0" w:evenHBand="0" w:firstRowFirstColumn="0" w:firstRowLastColumn="0" w:lastRowFirstColumn="0" w:lastRowLastColumn="0"/>
            <w:tcW w:w="8046" w:type="dxa"/>
          </w:tcPr>
          <w:p w14:paraId="035F66DF" w14:textId="77777777" w:rsidR="002B1830" w:rsidRPr="00590786" w:rsidRDefault="002B1830" w:rsidP="000E13C3">
            <w:pPr>
              <w:rPr>
                <w:rFonts w:ascii="Arial" w:hAnsi="Arial" w:cs="Arial"/>
                <w:b w:val="0"/>
                <w:sz w:val="20"/>
                <w:szCs w:val="20"/>
              </w:rPr>
            </w:pPr>
            <w:r w:rsidRPr="00590786">
              <w:rPr>
                <w:rFonts w:ascii="Arial" w:hAnsi="Arial" w:cs="Arial"/>
                <w:b w:val="0"/>
                <w:sz w:val="20"/>
                <w:szCs w:val="20"/>
              </w:rPr>
              <w:t>23. Following the 2017 pilot, the Australian Government should consider whether a specific level of funding should be influenced by the impact and engagement assessment, with 10 to 20 per cent of RBG research support from 2019 being a possible starting point.</w:t>
            </w:r>
          </w:p>
        </w:tc>
        <w:tc>
          <w:tcPr>
            <w:tcW w:w="2694" w:type="dxa"/>
            <w:vMerge/>
          </w:tcPr>
          <w:p w14:paraId="035F66E0" w14:textId="77777777" w:rsidR="002B1830" w:rsidRPr="00590786" w:rsidRDefault="002B1830" w:rsidP="000E13C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B1830" w:rsidRPr="00590786" w14:paraId="035F66E4" w14:textId="77777777" w:rsidTr="00590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6" w:type="dxa"/>
          </w:tcPr>
          <w:p w14:paraId="035F66E2" w14:textId="77777777" w:rsidR="002B1830" w:rsidRPr="00590786" w:rsidRDefault="002B1830" w:rsidP="000E13C3">
            <w:pPr>
              <w:rPr>
                <w:rFonts w:ascii="Arial" w:hAnsi="Arial" w:cs="Arial"/>
                <w:b w:val="0"/>
                <w:sz w:val="20"/>
                <w:szCs w:val="20"/>
              </w:rPr>
            </w:pPr>
            <w:r w:rsidRPr="00590786">
              <w:rPr>
                <w:rFonts w:ascii="Arial" w:hAnsi="Arial" w:cs="Arial"/>
                <w:b w:val="0"/>
                <w:sz w:val="20"/>
                <w:szCs w:val="20"/>
              </w:rPr>
              <w:t>24. The ARC be provided with sufficient ongoing funding (around $10 million over the three year assessment cycle) to manage the development and i</w:t>
            </w:r>
            <w:r w:rsidR="004B0C50" w:rsidRPr="00590786">
              <w:rPr>
                <w:rFonts w:ascii="Arial" w:hAnsi="Arial" w:cs="Arial"/>
                <w:b w:val="0"/>
                <w:sz w:val="20"/>
                <w:szCs w:val="20"/>
              </w:rPr>
              <w:t>mplementation of the assessment.</w:t>
            </w:r>
          </w:p>
        </w:tc>
        <w:tc>
          <w:tcPr>
            <w:tcW w:w="2694" w:type="dxa"/>
            <w:vMerge/>
          </w:tcPr>
          <w:p w14:paraId="035F66E3" w14:textId="77777777" w:rsidR="002B1830" w:rsidRPr="00590786" w:rsidRDefault="002B1830" w:rsidP="000E13C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AE2640" w:rsidRPr="00590786" w14:paraId="035F66E6" w14:textId="77777777" w:rsidTr="002B1830">
        <w:tc>
          <w:tcPr>
            <w:cnfStyle w:val="001000000000" w:firstRow="0" w:lastRow="0" w:firstColumn="1" w:lastColumn="0" w:oddVBand="0" w:evenVBand="0" w:oddHBand="0" w:evenHBand="0" w:firstRowFirstColumn="0" w:firstRowLastColumn="0" w:lastRowFirstColumn="0" w:lastRowLastColumn="0"/>
            <w:tcW w:w="10740" w:type="dxa"/>
            <w:gridSpan w:val="2"/>
          </w:tcPr>
          <w:p w14:paraId="035F66E5" w14:textId="77777777" w:rsidR="00AE2640" w:rsidRPr="00590786" w:rsidRDefault="00AE2640" w:rsidP="000E13C3">
            <w:pPr>
              <w:rPr>
                <w:rFonts w:ascii="Arial" w:hAnsi="Arial" w:cs="Arial"/>
                <w:sz w:val="20"/>
                <w:szCs w:val="20"/>
              </w:rPr>
            </w:pPr>
            <w:r w:rsidRPr="00590786">
              <w:rPr>
                <w:rFonts w:ascii="Arial" w:hAnsi="Arial" w:cs="Arial"/>
                <w:sz w:val="20"/>
                <w:szCs w:val="20"/>
              </w:rPr>
              <w:lastRenderedPageBreak/>
              <w:t>Chapter 7 — Assessing Australia’s research system</w:t>
            </w:r>
          </w:p>
        </w:tc>
      </w:tr>
      <w:tr w:rsidR="00E54E10" w:rsidRPr="00590786" w14:paraId="035F66F1" w14:textId="77777777" w:rsidTr="00590786">
        <w:trPr>
          <w:cnfStyle w:val="000000100000" w:firstRow="0" w:lastRow="0" w:firstColumn="0" w:lastColumn="0" w:oddVBand="0" w:evenVBand="0" w:oddHBand="1" w:evenHBand="0" w:firstRowFirstColumn="0" w:firstRowLastColumn="0" w:lastRowFirstColumn="0" w:lastRowLastColumn="0"/>
          <w:trHeight w:val="4001"/>
        </w:trPr>
        <w:tc>
          <w:tcPr>
            <w:cnfStyle w:val="001000000000" w:firstRow="0" w:lastRow="0" w:firstColumn="1" w:lastColumn="0" w:oddVBand="0" w:evenVBand="0" w:oddHBand="0" w:evenHBand="0" w:firstRowFirstColumn="0" w:firstRowLastColumn="0" w:lastRowFirstColumn="0" w:lastRowLastColumn="0"/>
            <w:tcW w:w="8046" w:type="dxa"/>
          </w:tcPr>
          <w:p w14:paraId="035F66E7" w14:textId="77777777" w:rsidR="00E54E10" w:rsidRPr="00590786" w:rsidRDefault="00E54E10" w:rsidP="000E13C3">
            <w:pPr>
              <w:rPr>
                <w:rFonts w:ascii="Arial" w:hAnsi="Arial" w:cs="Arial"/>
                <w:b w:val="0"/>
                <w:sz w:val="20"/>
                <w:szCs w:val="20"/>
              </w:rPr>
            </w:pPr>
            <w:r w:rsidRPr="00590786">
              <w:rPr>
                <w:rFonts w:ascii="Arial" w:hAnsi="Arial" w:cs="Arial"/>
                <w:b w:val="0"/>
                <w:sz w:val="20"/>
                <w:szCs w:val="20"/>
              </w:rPr>
              <w:t>25. The Minister for Education and Training, in consultation with the Minister for Industry, Innovation and Science, the Minister for Health and other relevant ministers, should take the lead on assessing and reporting on the performance of the publicly funded research system through:</w:t>
            </w:r>
          </w:p>
          <w:p w14:paraId="035F66E8" w14:textId="77777777" w:rsidR="00E54E10" w:rsidRPr="00590786" w:rsidRDefault="00E54E10" w:rsidP="000E13C3">
            <w:pPr>
              <w:pStyle w:val="ListParagraph"/>
              <w:numPr>
                <w:ilvl w:val="0"/>
                <w:numId w:val="11"/>
              </w:numPr>
              <w:rPr>
                <w:rFonts w:ascii="Arial" w:hAnsi="Arial" w:cs="Arial"/>
                <w:b w:val="0"/>
                <w:sz w:val="20"/>
                <w:szCs w:val="20"/>
              </w:rPr>
            </w:pPr>
            <w:r w:rsidRPr="00590786">
              <w:rPr>
                <w:rFonts w:ascii="Arial" w:hAnsi="Arial" w:cs="Arial"/>
                <w:b w:val="0"/>
                <w:sz w:val="20"/>
                <w:szCs w:val="20"/>
              </w:rPr>
              <w:t>an annual public assessment of the perfo</w:t>
            </w:r>
            <w:r w:rsidRPr="00590786">
              <w:rPr>
                <w:rFonts w:ascii="Arial" w:hAnsi="Arial" w:cs="Arial"/>
                <w:sz w:val="20"/>
                <w:szCs w:val="20"/>
              </w:rPr>
              <w:t xml:space="preserve">rmance of the Australian research system </w:t>
            </w:r>
          </w:p>
          <w:p w14:paraId="035F66E9" w14:textId="77777777" w:rsidR="00E54E10" w:rsidRPr="00590786" w:rsidRDefault="00E54E10" w:rsidP="000E13C3">
            <w:pPr>
              <w:pStyle w:val="ListParagraph"/>
              <w:numPr>
                <w:ilvl w:val="0"/>
                <w:numId w:val="11"/>
              </w:numPr>
              <w:rPr>
                <w:rFonts w:ascii="Arial" w:hAnsi="Arial" w:cs="Arial"/>
                <w:b w:val="0"/>
                <w:bCs w:val="0"/>
                <w:sz w:val="20"/>
                <w:szCs w:val="20"/>
              </w:rPr>
            </w:pPr>
            <w:r w:rsidRPr="00590786">
              <w:rPr>
                <w:rFonts w:ascii="Arial" w:hAnsi="Arial" w:cs="Arial"/>
                <w:sz w:val="20"/>
                <w:szCs w:val="20"/>
              </w:rPr>
              <w:t>advice to the Cabinet annually on current and emerging policy implications to inform policy consideration at both the whole of government and portfolio by portfolio levels public release of the results of the assessment after the Cabinet’s consideration.</w:t>
            </w:r>
          </w:p>
          <w:p w14:paraId="035F66EA" w14:textId="77777777" w:rsidR="00E54E10" w:rsidRPr="00590786" w:rsidRDefault="00E54E10" w:rsidP="00812C5B">
            <w:pPr>
              <w:pStyle w:val="ListParagraph"/>
              <w:ind w:left="360"/>
              <w:rPr>
                <w:rFonts w:ascii="Arial" w:hAnsi="Arial" w:cs="Arial"/>
                <w:bCs w:val="0"/>
                <w:sz w:val="20"/>
                <w:szCs w:val="20"/>
              </w:rPr>
            </w:pPr>
          </w:p>
          <w:p w14:paraId="035F66EB" w14:textId="77777777" w:rsidR="00E54E10" w:rsidRPr="00590786" w:rsidRDefault="00E54E10" w:rsidP="000E13C3">
            <w:pPr>
              <w:rPr>
                <w:rFonts w:ascii="Arial" w:hAnsi="Arial" w:cs="Arial"/>
                <w:b w:val="0"/>
                <w:sz w:val="20"/>
                <w:szCs w:val="20"/>
              </w:rPr>
            </w:pPr>
            <w:r w:rsidRPr="00590786">
              <w:rPr>
                <w:rFonts w:ascii="Arial" w:hAnsi="Arial" w:cs="Arial"/>
                <w:b w:val="0"/>
                <w:sz w:val="20"/>
                <w:szCs w:val="20"/>
              </w:rPr>
              <w:t>26. Early work currently underway by the Departments of Education and Training and Innovation, Industry and Science to develop system-level performance measures should be accelerated and developed in consultation with the business and the university sectors.</w:t>
            </w:r>
          </w:p>
          <w:p w14:paraId="035F66EC" w14:textId="77777777" w:rsidR="00E54E10" w:rsidRPr="00590786" w:rsidRDefault="00E54E10" w:rsidP="000E13C3">
            <w:pPr>
              <w:rPr>
                <w:rFonts w:ascii="Arial" w:hAnsi="Arial" w:cs="Arial"/>
                <w:bCs w:val="0"/>
                <w:sz w:val="20"/>
                <w:szCs w:val="20"/>
              </w:rPr>
            </w:pPr>
          </w:p>
          <w:p w14:paraId="035F66ED" w14:textId="77777777" w:rsidR="00E54E10" w:rsidRPr="00590786" w:rsidRDefault="00E54E10" w:rsidP="000E13C3">
            <w:pPr>
              <w:rPr>
                <w:rFonts w:ascii="Arial" w:hAnsi="Arial" w:cs="Arial"/>
                <w:b w:val="0"/>
                <w:sz w:val="20"/>
                <w:szCs w:val="20"/>
              </w:rPr>
            </w:pPr>
            <w:r w:rsidRPr="00590786">
              <w:rPr>
                <w:rFonts w:ascii="Arial" w:hAnsi="Arial" w:cs="Arial"/>
                <w:b w:val="0"/>
                <w:sz w:val="20"/>
                <w:szCs w:val="20"/>
              </w:rPr>
              <w:t xml:space="preserve">27. The first assessment of the performance of the publicly funded research system should be produced by the end of 2016 using existing data collections. </w:t>
            </w:r>
          </w:p>
          <w:p w14:paraId="035F66EE" w14:textId="77777777" w:rsidR="009153F6" w:rsidRPr="00590786" w:rsidRDefault="009153F6" w:rsidP="000E13C3">
            <w:pPr>
              <w:rPr>
                <w:rFonts w:ascii="Arial" w:hAnsi="Arial" w:cs="Arial"/>
                <w:b w:val="0"/>
                <w:sz w:val="20"/>
                <w:szCs w:val="20"/>
              </w:rPr>
            </w:pPr>
          </w:p>
        </w:tc>
        <w:tc>
          <w:tcPr>
            <w:tcW w:w="2694" w:type="dxa"/>
          </w:tcPr>
          <w:p w14:paraId="035F66EF" w14:textId="77777777" w:rsidR="00E54E10" w:rsidRPr="00590786" w:rsidRDefault="00E54E10" w:rsidP="000E13C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90786">
              <w:rPr>
                <w:rFonts w:ascii="Arial" w:hAnsi="Arial" w:cs="Arial"/>
                <w:sz w:val="20"/>
                <w:szCs w:val="20"/>
              </w:rPr>
              <w:t xml:space="preserve">Agreed, Department has commenced developing a plan for the annual assessment. First assessment to be published late 2016. </w:t>
            </w:r>
          </w:p>
          <w:p w14:paraId="035F66F0" w14:textId="77777777" w:rsidR="00E54E10" w:rsidRPr="00590786" w:rsidRDefault="00E54E10" w:rsidP="00812C5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AE2640" w:rsidRPr="00590786" w14:paraId="035F66F3" w14:textId="77777777" w:rsidTr="002B1830">
        <w:tc>
          <w:tcPr>
            <w:cnfStyle w:val="001000000000" w:firstRow="0" w:lastRow="0" w:firstColumn="1" w:lastColumn="0" w:oddVBand="0" w:evenVBand="0" w:oddHBand="0" w:evenHBand="0" w:firstRowFirstColumn="0" w:firstRowLastColumn="0" w:lastRowFirstColumn="0" w:lastRowLastColumn="0"/>
            <w:tcW w:w="10740" w:type="dxa"/>
            <w:gridSpan w:val="2"/>
          </w:tcPr>
          <w:p w14:paraId="035F66F2" w14:textId="77777777" w:rsidR="00AE2640" w:rsidRPr="00590786" w:rsidRDefault="00AE2640" w:rsidP="000E13C3">
            <w:pPr>
              <w:rPr>
                <w:rFonts w:ascii="Arial" w:hAnsi="Arial" w:cs="Arial"/>
                <w:sz w:val="20"/>
                <w:szCs w:val="20"/>
              </w:rPr>
            </w:pPr>
            <w:r w:rsidRPr="00590786">
              <w:rPr>
                <w:rFonts w:ascii="Arial" w:hAnsi="Arial" w:cs="Arial"/>
                <w:sz w:val="20"/>
                <w:szCs w:val="20"/>
              </w:rPr>
              <w:t>Chapter 8 — Global university ranking systems: an Australian developed system?</w:t>
            </w:r>
          </w:p>
        </w:tc>
      </w:tr>
      <w:tr w:rsidR="002B1830" w:rsidRPr="00590786" w14:paraId="035F66F7" w14:textId="77777777" w:rsidTr="00590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6" w:type="dxa"/>
          </w:tcPr>
          <w:p w14:paraId="035F66F4" w14:textId="77777777" w:rsidR="002B1830" w:rsidRPr="00590786" w:rsidRDefault="002B1830" w:rsidP="000E13C3">
            <w:pPr>
              <w:rPr>
                <w:rFonts w:ascii="Arial" w:hAnsi="Arial" w:cs="Arial"/>
                <w:b w:val="0"/>
                <w:sz w:val="20"/>
                <w:szCs w:val="20"/>
              </w:rPr>
            </w:pPr>
            <w:r w:rsidRPr="00590786">
              <w:rPr>
                <w:rFonts w:ascii="Arial" w:hAnsi="Arial" w:cs="Arial"/>
                <w:b w:val="0"/>
                <w:sz w:val="20"/>
                <w:szCs w:val="20"/>
              </w:rPr>
              <w:t>28. Australia should seek to influence the initiatives of existing and possibly new global ranking systems moving to incorporate innovation and industry engagement measures</w:t>
            </w:r>
            <w:r w:rsidR="004B0C50" w:rsidRPr="00590786">
              <w:rPr>
                <w:rFonts w:ascii="Arial" w:hAnsi="Arial" w:cs="Arial"/>
                <w:b w:val="0"/>
                <w:sz w:val="20"/>
                <w:szCs w:val="20"/>
              </w:rPr>
              <w:t>.</w:t>
            </w:r>
          </w:p>
        </w:tc>
        <w:tc>
          <w:tcPr>
            <w:tcW w:w="2694" w:type="dxa"/>
          </w:tcPr>
          <w:p w14:paraId="035F66F5" w14:textId="77777777" w:rsidR="002B1830" w:rsidRPr="00590786" w:rsidRDefault="002B1830" w:rsidP="00E54E1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90786">
              <w:rPr>
                <w:rFonts w:ascii="Arial" w:hAnsi="Arial" w:cs="Arial"/>
                <w:sz w:val="20"/>
                <w:szCs w:val="20"/>
              </w:rPr>
              <w:t>Agreed</w:t>
            </w:r>
            <w:r w:rsidR="00E54E10" w:rsidRPr="00590786">
              <w:rPr>
                <w:rFonts w:ascii="Arial" w:hAnsi="Arial" w:cs="Arial"/>
                <w:sz w:val="20"/>
                <w:szCs w:val="20"/>
              </w:rPr>
              <w:t xml:space="preserve">, </w:t>
            </w:r>
            <w:r w:rsidRPr="00590786">
              <w:rPr>
                <w:rFonts w:ascii="Arial" w:hAnsi="Arial" w:cs="Arial"/>
                <w:sz w:val="20"/>
                <w:szCs w:val="20"/>
              </w:rPr>
              <w:t xml:space="preserve">Department to </w:t>
            </w:r>
            <w:r w:rsidR="00E54E10" w:rsidRPr="00590786">
              <w:rPr>
                <w:rFonts w:ascii="Arial" w:hAnsi="Arial" w:cs="Arial"/>
                <w:sz w:val="20"/>
                <w:szCs w:val="20"/>
              </w:rPr>
              <w:t xml:space="preserve">identify </w:t>
            </w:r>
            <w:r w:rsidR="00903D36" w:rsidRPr="00590786">
              <w:rPr>
                <w:rFonts w:ascii="Arial" w:hAnsi="Arial" w:cs="Arial"/>
                <w:sz w:val="20"/>
                <w:szCs w:val="20"/>
              </w:rPr>
              <w:t xml:space="preserve">opportunities </w:t>
            </w:r>
            <w:r w:rsidR="00E54E10" w:rsidRPr="00590786">
              <w:rPr>
                <w:rFonts w:ascii="Arial" w:hAnsi="Arial" w:cs="Arial"/>
                <w:sz w:val="20"/>
                <w:szCs w:val="20"/>
              </w:rPr>
              <w:t>to engage international rankings organisations through 2016-17</w:t>
            </w:r>
            <w:r w:rsidR="00903D36" w:rsidRPr="00590786">
              <w:rPr>
                <w:rFonts w:ascii="Arial" w:hAnsi="Arial" w:cs="Arial"/>
                <w:sz w:val="20"/>
                <w:szCs w:val="20"/>
              </w:rPr>
              <w:t>.</w:t>
            </w:r>
          </w:p>
          <w:p w14:paraId="035F66F6" w14:textId="77777777" w:rsidR="009153F6" w:rsidRPr="00590786" w:rsidRDefault="009153F6" w:rsidP="00E54E1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14:paraId="035F66F8" w14:textId="77777777" w:rsidR="006A0D5F" w:rsidRPr="00590786" w:rsidRDefault="006A0D5F" w:rsidP="000E13C3">
      <w:pPr>
        <w:spacing w:after="0"/>
        <w:rPr>
          <w:rFonts w:ascii="Arial" w:hAnsi="Arial" w:cs="Arial"/>
        </w:rPr>
      </w:pPr>
    </w:p>
    <w:sectPr w:rsidR="006A0D5F" w:rsidRPr="00590786" w:rsidSect="002B183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5F66FB" w14:textId="77777777" w:rsidR="008516A4" w:rsidRDefault="008516A4" w:rsidP="000E13C3">
      <w:pPr>
        <w:spacing w:after="0" w:line="240" w:lineRule="auto"/>
      </w:pPr>
      <w:r>
        <w:separator/>
      </w:r>
    </w:p>
  </w:endnote>
  <w:endnote w:type="continuationSeparator" w:id="0">
    <w:p w14:paraId="035F66FC" w14:textId="77777777" w:rsidR="008516A4" w:rsidRDefault="008516A4" w:rsidP="000E1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5F66F9" w14:textId="77777777" w:rsidR="008516A4" w:rsidRDefault="008516A4" w:rsidP="000E13C3">
      <w:pPr>
        <w:spacing w:after="0" w:line="240" w:lineRule="auto"/>
      </w:pPr>
      <w:r>
        <w:separator/>
      </w:r>
    </w:p>
  </w:footnote>
  <w:footnote w:type="continuationSeparator" w:id="0">
    <w:p w14:paraId="035F66FA" w14:textId="77777777" w:rsidR="008516A4" w:rsidRDefault="008516A4" w:rsidP="000E13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64E9"/>
    <w:multiLevelType w:val="hybridMultilevel"/>
    <w:tmpl w:val="152A2DD6"/>
    <w:lvl w:ilvl="0" w:tplc="567A1084">
      <w:start w:val="8"/>
      <w:numFmt w:val="bullet"/>
      <w:lvlText w:val="-"/>
      <w:lvlJc w:val="left"/>
      <w:pPr>
        <w:ind w:left="530" w:hanging="360"/>
      </w:pPr>
      <w:rPr>
        <w:rFonts w:ascii="Arial" w:eastAsiaTheme="minorHAnsi" w:hAnsi="Arial" w:cs="Aria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1">
    <w:nsid w:val="030512F5"/>
    <w:multiLevelType w:val="hybridMultilevel"/>
    <w:tmpl w:val="2B5CBEEE"/>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03C709F7"/>
    <w:multiLevelType w:val="hybridMultilevel"/>
    <w:tmpl w:val="E0F81CF2"/>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60069D0"/>
    <w:multiLevelType w:val="hybridMultilevel"/>
    <w:tmpl w:val="2B5CBEEE"/>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0E3238C1"/>
    <w:multiLevelType w:val="hybridMultilevel"/>
    <w:tmpl w:val="2B3CE59A"/>
    <w:lvl w:ilvl="0" w:tplc="0C090019">
      <w:start w:val="9"/>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E955E6F"/>
    <w:multiLevelType w:val="hybridMultilevel"/>
    <w:tmpl w:val="373EA7AE"/>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25D17B24"/>
    <w:multiLevelType w:val="hybridMultilevel"/>
    <w:tmpl w:val="2B5CBEEE"/>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271637F8"/>
    <w:multiLevelType w:val="hybridMultilevel"/>
    <w:tmpl w:val="2B5CBEEE"/>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2B07782F"/>
    <w:multiLevelType w:val="hybridMultilevel"/>
    <w:tmpl w:val="01FC7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1C169B5"/>
    <w:multiLevelType w:val="hybridMultilevel"/>
    <w:tmpl w:val="2B5CBEEE"/>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33324650"/>
    <w:multiLevelType w:val="hybridMultilevel"/>
    <w:tmpl w:val="2B5CBEEE"/>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38FB2459"/>
    <w:multiLevelType w:val="hybridMultilevel"/>
    <w:tmpl w:val="2B5CBEEE"/>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3A67470E"/>
    <w:multiLevelType w:val="hybridMultilevel"/>
    <w:tmpl w:val="2B5CBEEE"/>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42DE121E"/>
    <w:multiLevelType w:val="hybridMultilevel"/>
    <w:tmpl w:val="F60E0BF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495E6461"/>
    <w:multiLevelType w:val="hybridMultilevel"/>
    <w:tmpl w:val="7C04251A"/>
    <w:lvl w:ilvl="0" w:tplc="0C09000F">
      <w:start w:val="1"/>
      <w:numFmt w:val="decimal"/>
      <w:lvlText w:val="%1."/>
      <w:lvlJc w:val="left"/>
      <w:pPr>
        <w:ind w:left="720" w:hanging="360"/>
      </w:pPr>
    </w:lvl>
    <w:lvl w:ilvl="1" w:tplc="C6D0B20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FB5613B"/>
    <w:multiLevelType w:val="hybridMultilevel"/>
    <w:tmpl w:val="DA964E6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705F3157"/>
    <w:multiLevelType w:val="hybridMultilevel"/>
    <w:tmpl w:val="CE3C5FFC"/>
    <w:lvl w:ilvl="0" w:tplc="14BCE668">
      <w:start w:val="1"/>
      <w:numFmt w:val="decimal"/>
      <w:lvlText w:val="%1."/>
      <w:lvlJc w:val="left"/>
      <w:pPr>
        <w:ind w:left="7165" w:hanging="360"/>
      </w:pPr>
      <w:rPr>
        <w:b w:val="0"/>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7AC10ED3"/>
    <w:multiLevelType w:val="hybridMultilevel"/>
    <w:tmpl w:val="ACDE3518"/>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7B5B3116"/>
    <w:multiLevelType w:val="hybridMultilevel"/>
    <w:tmpl w:val="2B5CBEEE"/>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3"/>
  </w:num>
  <w:num w:numId="2">
    <w:abstractNumId w:val="2"/>
  </w:num>
  <w:num w:numId="3">
    <w:abstractNumId w:val="16"/>
  </w:num>
  <w:num w:numId="4">
    <w:abstractNumId w:val="14"/>
  </w:num>
  <w:num w:numId="5">
    <w:abstractNumId w:val="4"/>
  </w:num>
  <w:num w:numId="6">
    <w:abstractNumId w:val="15"/>
  </w:num>
  <w:num w:numId="7">
    <w:abstractNumId w:val="8"/>
  </w:num>
  <w:num w:numId="8">
    <w:abstractNumId w:val="17"/>
  </w:num>
  <w:num w:numId="9">
    <w:abstractNumId w:val="5"/>
  </w:num>
  <w:num w:numId="10">
    <w:abstractNumId w:val="3"/>
  </w:num>
  <w:num w:numId="11">
    <w:abstractNumId w:val="12"/>
  </w:num>
  <w:num w:numId="12">
    <w:abstractNumId w:val="9"/>
  </w:num>
  <w:num w:numId="13">
    <w:abstractNumId w:val="1"/>
  </w:num>
  <w:num w:numId="14">
    <w:abstractNumId w:val="11"/>
  </w:num>
  <w:num w:numId="15">
    <w:abstractNumId w:val="7"/>
  </w:num>
  <w:num w:numId="16">
    <w:abstractNumId w:val="6"/>
  </w:num>
  <w:num w:numId="17">
    <w:abstractNumId w:val="18"/>
  </w:num>
  <w:num w:numId="18">
    <w:abstractNumId w:val="10"/>
  </w:num>
  <w:num w:numId="1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anne Harvey">
    <w15:presenceInfo w15:providerId="AD" w15:userId="S-1-5-21-1990545660-563939218-3019458267-29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B80"/>
    <w:rsid w:val="0000585E"/>
    <w:rsid w:val="000123B9"/>
    <w:rsid w:val="00070BAB"/>
    <w:rsid w:val="000D2B80"/>
    <w:rsid w:val="000E13C3"/>
    <w:rsid w:val="00105E81"/>
    <w:rsid w:val="001126D0"/>
    <w:rsid w:val="001E2204"/>
    <w:rsid w:val="001E493E"/>
    <w:rsid w:val="0024223D"/>
    <w:rsid w:val="002B1830"/>
    <w:rsid w:val="00340711"/>
    <w:rsid w:val="0039316B"/>
    <w:rsid w:val="00401721"/>
    <w:rsid w:val="0045417C"/>
    <w:rsid w:val="004643EA"/>
    <w:rsid w:val="00472F20"/>
    <w:rsid w:val="004B0C50"/>
    <w:rsid w:val="004B316F"/>
    <w:rsid w:val="004E2954"/>
    <w:rsid w:val="00590786"/>
    <w:rsid w:val="006A0D5F"/>
    <w:rsid w:val="006D78FF"/>
    <w:rsid w:val="0075439D"/>
    <w:rsid w:val="007F4ED4"/>
    <w:rsid w:val="00812C5B"/>
    <w:rsid w:val="008300B1"/>
    <w:rsid w:val="00831D7E"/>
    <w:rsid w:val="00851582"/>
    <w:rsid w:val="008516A4"/>
    <w:rsid w:val="0087153B"/>
    <w:rsid w:val="00903D36"/>
    <w:rsid w:val="009153F6"/>
    <w:rsid w:val="00A10D56"/>
    <w:rsid w:val="00A151EF"/>
    <w:rsid w:val="00A86897"/>
    <w:rsid w:val="00AE0C74"/>
    <w:rsid w:val="00AE2640"/>
    <w:rsid w:val="00B01EBA"/>
    <w:rsid w:val="00B84592"/>
    <w:rsid w:val="00C06948"/>
    <w:rsid w:val="00C373A4"/>
    <w:rsid w:val="00C4012A"/>
    <w:rsid w:val="00C4742D"/>
    <w:rsid w:val="00CE7172"/>
    <w:rsid w:val="00D13627"/>
    <w:rsid w:val="00DD1134"/>
    <w:rsid w:val="00E54E10"/>
    <w:rsid w:val="00EC17A4"/>
    <w:rsid w:val="00EE79DD"/>
    <w:rsid w:val="00F122D0"/>
    <w:rsid w:val="00F41C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5F6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2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Recommendation,List Paragraph11,L,bullet point list,0Bullet,Bullet point,Bullets,Content descriptions,DDM Gen Text,Dot point 1.5 line spacing,List Paragraph - bullets,List Paragraph Number,NAST Quote,NFP GP Bulleted List"/>
    <w:basedOn w:val="Normal"/>
    <w:link w:val="ListParagraphChar"/>
    <w:uiPriority w:val="34"/>
    <w:qFormat/>
    <w:rsid w:val="000D2B80"/>
    <w:pPr>
      <w:ind w:left="720"/>
      <w:contextualSpacing/>
    </w:pPr>
  </w:style>
  <w:style w:type="character" w:customStyle="1" w:styleId="ListParagraphChar">
    <w:name w:val="List Paragraph Char"/>
    <w:aliases w:val="List Paragraph1 Char,Recommendation Char,List Paragraph11 Char,L Char,bullet point list Char,0Bullet Char,Bullet point Char,Bullets Char,Content descriptions Char,DDM Gen Text Char,Dot point 1.5 line spacing Char,NAST Quote Char"/>
    <w:basedOn w:val="DefaultParagraphFont"/>
    <w:link w:val="ListParagraph"/>
    <w:uiPriority w:val="34"/>
    <w:locked/>
    <w:rsid w:val="00C373A4"/>
    <w:rPr>
      <w:lang w:val="en-AU"/>
    </w:rPr>
  </w:style>
  <w:style w:type="paragraph" w:styleId="BalloonText">
    <w:name w:val="Balloon Text"/>
    <w:basedOn w:val="Normal"/>
    <w:link w:val="BalloonTextChar"/>
    <w:uiPriority w:val="99"/>
    <w:semiHidden/>
    <w:unhideWhenUsed/>
    <w:rsid w:val="002422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23D"/>
    <w:rPr>
      <w:rFonts w:ascii="Tahoma" w:hAnsi="Tahoma" w:cs="Tahoma"/>
      <w:sz w:val="16"/>
      <w:szCs w:val="16"/>
      <w:lang w:val="en-AU"/>
    </w:rPr>
  </w:style>
  <w:style w:type="table" w:styleId="LightList-Accent1">
    <w:name w:val="Light List Accent 1"/>
    <w:basedOn w:val="TableNormal"/>
    <w:uiPriority w:val="61"/>
    <w:rsid w:val="00A10D5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eader">
    <w:name w:val="header"/>
    <w:basedOn w:val="Normal"/>
    <w:link w:val="HeaderChar"/>
    <w:uiPriority w:val="99"/>
    <w:unhideWhenUsed/>
    <w:rsid w:val="000E13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13C3"/>
    <w:rPr>
      <w:lang w:val="en-AU"/>
    </w:rPr>
  </w:style>
  <w:style w:type="paragraph" w:styleId="Footer">
    <w:name w:val="footer"/>
    <w:basedOn w:val="Normal"/>
    <w:link w:val="FooterChar"/>
    <w:uiPriority w:val="99"/>
    <w:unhideWhenUsed/>
    <w:rsid w:val="000E13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13C3"/>
    <w:rPr>
      <w:lang w:val="en-AU"/>
    </w:rPr>
  </w:style>
  <w:style w:type="character" w:styleId="CommentReference">
    <w:name w:val="annotation reference"/>
    <w:basedOn w:val="DefaultParagraphFont"/>
    <w:unhideWhenUsed/>
    <w:rsid w:val="00340711"/>
    <w:rPr>
      <w:sz w:val="16"/>
      <w:szCs w:val="16"/>
    </w:rPr>
  </w:style>
  <w:style w:type="paragraph" w:styleId="CommentText">
    <w:name w:val="annotation text"/>
    <w:basedOn w:val="Normal"/>
    <w:link w:val="CommentTextChar"/>
    <w:unhideWhenUsed/>
    <w:rsid w:val="00340711"/>
    <w:pPr>
      <w:spacing w:line="240" w:lineRule="auto"/>
    </w:pPr>
    <w:rPr>
      <w:sz w:val="20"/>
      <w:szCs w:val="20"/>
    </w:rPr>
  </w:style>
  <w:style w:type="character" w:customStyle="1" w:styleId="CommentTextChar">
    <w:name w:val="Comment Text Char"/>
    <w:basedOn w:val="DefaultParagraphFont"/>
    <w:link w:val="CommentText"/>
    <w:rsid w:val="00340711"/>
    <w:rPr>
      <w:sz w:val="20"/>
      <w:szCs w:val="20"/>
      <w:lang w:val="en-AU"/>
    </w:rPr>
  </w:style>
  <w:style w:type="paragraph" w:styleId="CommentSubject">
    <w:name w:val="annotation subject"/>
    <w:basedOn w:val="CommentText"/>
    <w:next w:val="CommentText"/>
    <w:link w:val="CommentSubjectChar"/>
    <w:uiPriority w:val="99"/>
    <w:semiHidden/>
    <w:unhideWhenUsed/>
    <w:rsid w:val="00340711"/>
    <w:rPr>
      <w:b/>
      <w:bCs/>
    </w:rPr>
  </w:style>
  <w:style w:type="character" w:customStyle="1" w:styleId="CommentSubjectChar">
    <w:name w:val="Comment Subject Char"/>
    <w:basedOn w:val="CommentTextChar"/>
    <w:link w:val="CommentSubject"/>
    <w:uiPriority w:val="99"/>
    <w:semiHidden/>
    <w:rsid w:val="00340711"/>
    <w:rPr>
      <w:b/>
      <w:bCs/>
      <w:sz w:val="20"/>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2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Recommendation,List Paragraph11,L,bullet point list,0Bullet,Bullet point,Bullets,Content descriptions,DDM Gen Text,Dot point 1.5 line spacing,List Paragraph - bullets,List Paragraph Number,NAST Quote,NFP GP Bulleted List"/>
    <w:basedOn w:val="Normal"/>
    <w:link w:val="ListParagraphChar"/>
    <w:uiPriority w:val="34"/>
    <w:qFormat/>
    <w:rsid w:val="000D2B80"/>
    <w:pPr>
      <w:ind w:left="720"/>
      <w:contextualSpacing/>
    </w:pPr>
  </w:style>
  <w:style w:type="character" w:customStyle="1" w:styleId="ListParagraphChar">
    <w:name w:val="List Paragraph Char"/>
    <w:aliases w:val="List Paragraph1 Char,Recommendation Char,List Paragraph11 Char,L Char,bullet point list Char,0Bullet Char,Bullet point Char,Bullets Char,Content descriptions Char,DDM Gen Text Char,Dot point 1.5 line spacing Char,NAST Quote Char"/>
    <w:basedOn w:val="DefaultParagraphFont"/>
    <w:link w:val="ListParagraph"/>
    <w:uiPriority w:val="34"/>
    <w:locked/>
    <w:rsid w:val="00C373A4"/>
    <w:rPr>
      <w:lang w:val="en-AU"/>
    </w:rPr>
  </w:style>
  <w:style w:type="paragraph" w:styleId="BalloonText">
    <w:name w:val="Balloon Text"/>
    <w:basedOn w:val="Normal"/>
    <w:link w:val="BalloonTextChar"/>
    <w:uiPriority w:val="99"/>
    <w:semiHidden/>
    <w:unhideWhenUsed/>
    <w:rsid w:val="002422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23D"/>
    <w:rPr>
      <w:rFonts w:ascii="Tahoma" w:hAnsi="Tahoma" w:cs="Tahoma"/>
      <w:sz w:val="16"/>
      <w:szCs w:val="16"/>
      <w:lang w:val="en-AU"/>
    </w:rPr>
  </w:style>
  <w:style w:type="table" w:styleId="LightList-Accent1">
    <w:name w:val="Light List Accent 1"/>
    <w:basedOn w:val="TableNormal"/>
    <w:uiPriority w:val="61"/>
    <w:rsid w:val="00A10D5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eader">
    <w:name w:val="header"/>
    <w:basedOn w:val="Normal"/>
    <w:link w:val="HeaderChar"/>
    <w:uiPriority w:val="99"/>
    <w:unhideWhenUsed/>
    <w:rsid w:val="000E13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13C3"/>
    <w:rPr>
      <w:lang w:val="en-AU"/>
    </w:rPr>
  </w:style>
  <w:style w:type="paragraph" w:styleId="Footer">
    <w:name w:val="footer"/>
    <w:basedOn w:val="Normal"/>
    <w:link w:val="FooterChar"/>
    <w:uiPriority w:val="99"/>
    <w:unhideWhenUsed/>
    <w:rsid w:val="000E13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13C3"/>
    <w:rPr>
      <w:lang w:val="en-AU"/>
    </w:rPr>
  </w:style>
  <w:style w:type="character" w:styleId="CommentReference">
    <w:name w:val="annotation reference"/>
    <w:basedOn w:val="DefaultParagraphFont"/>
    <w:unhideWhenUsed/>
    <w:rsid w:val="00340711"/>
    <w:rPr>
      <w:sz w:val="16"/>
      <w:szCs w:val="16"/>
    </w:rPr>
  </w:style>
  <w:style w:type="paragraph" w:styleId="CommentText">
    <w:name w:val="annotation text"/>
    <w:basedOn w:val="Normal"/>
    <w:link w:val="CommentTextChar"/>
    <w:unhideWhenUsed/>
    <w:rsid w:val="00340711"/>
    <w:pPr>
      <w:spacing w:line="240" w:lineRule="auto"/>
    </w:pPr>
    <w:rPr>
      <w:sz w:val="20"/>
      <w:szCs w:val="20"/>
    </w:rPr>
  </w:style>
  <w:style w:type="character" w:customStyle="1" w:styleId="CommentTextChar">
    <w:name w:val="Comment Text Char"/>
    <w:basedOn w:val="DefaultParagraphFont"/>
    <w:link w:val="CommentText"/>
    <w:rsid w:val="00340711"/>
    <w:rPr>
      <w:sz w:val="20"/>
      <w:szCs w:val="20"/>
      <w:lang w:val="en-AU"/>
    </w:rPr>
  </w:style>
  <w:style w:type="paragraph" w:styleId="CommentSubject">
    <w:name w:val="annotation subject"/>
    <w:basedOn w:val="CommentText"/>
    <w:next w:val="CommentText"/>
    <w:link w:val="CommentSubjectChar"/>
    <w:uiPriority w:val="99"/>
    <w:semiHidden/>
    <w:unhideWhenUsed/>
    <w:rsid w:val="00340711"/>
    <w:rPr>
      <w:b/>
      <w:bCs/>
    </w:rPr>
  </w:style>
  <w:style w:type="character" w:customStyle="1" w:styleId="CommentSubjectChar">
    <w:name w:val="Comment Subject Char"/>
    <w:basedOn w:val="CommentTextChar"/>
    <w:link w:val="CommentSubject"/>
    <w:uiPriority w:val="99"/>
    <w:semiHidden/>
    <w:rsid w:val="00340711"/>
    <w:rPr>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44193D363F643749B257055BABFB202C" ma:contentTypeVersion="" ma:contentTypeDescription="PDMS Documentation Content Type" ma:contentTypeScope="" ma:versionID="099377a58aa0760b57f3774ba0ef91b4">
  <xsd:schema xmlns:xsd="http://www.w3.org/2001/XMLSchema" xmlns:xs="http://www.w3.org/2001/XMLSchema" xmlns:p="http://schemas.microsoft.com/office/2006/metadata/properties" xmlns:ns2="2F7BD17D-B3B3-45D9-A69A-296CE5AB3680" targetNamespace="http://schemas.microsoft.com/office/2006/metadata/properties" ma:root="true" ma:fieldsID="e074efad447d0ebf54bf420f2d79144d" ns2:_="">
    <xsd:import namespace="2F7BD17D-B3B3-45D9-A69A-296CE5AB3680"/>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BD17D-B3B3-45D9-A69A-296CE5AB368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dms_DocumentType xmlns="2F7BD17D-B3B3-45D9-A69A-296CE5AB3680" xsi:nil="true"/>
    <pdms_Reason xmlns="2F7BD17D-B3B3-45D9-A69A-296CE5AB3680" xsi:nil="true"/>
    <pdms_SecurityClassification xmlns="2F7BD17D-B3B3-45D9-A69A-296CE5AB3680" xsi:nil="true"/>
    <SecurityClassification xmlns="2F7BD17D-B3B3-45D9-A69A-296CE5AB3680" xsi:nil="true"/>
    <pdms_AttachedBy xmlns="2F7BD17D-B3B3-45D9-A69A-296CE5AB368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4A5F8-2E5A-4088-95B5-AA284CC3FA88}">
  <ds:schemaRefs>
    <ds:schemaRef ds:uri="http://schemas.microsoft.com/sharepoint/v3/contenttype/forms"/>
  </ds:schemaRefs>
</ds:datastoreItem>
</file>

<file path=customXml/itemProps2.xml><?xml version="1.0" encoding="utf-8"?>
<ds:datastoreItem xmlns:ds="http://schemas.openxmlformats.org/officeDocument/2006/customXml" ds:itemID="{ABF858BB-D0A8-4F8F-A005-086205D65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7BD17D-B3B3-45D9-A69A-296CE5AB3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8880B3-E4FE-41F0-988F-1C174E87614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F7BD17D-B3B3-45D9-A69A-296CE5AB3680"/>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37EA169C-53C0-427B-8220-EC6BBD073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CED9500E.dotm</Template>
  <TotalTime>1</TotalTime>
  <Pages>4</Pages>
  <Words>1953</Words>
  <Characters>11136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Drew Menzies-McVey</dc:creator>
  <cp:lastModifiedBy>JAMNIK,Mark</cp:lastModifiedBy>
  <cp:revision>2</cp:revision>
  <cp:lastPrinted>2016-05-03T01:46:00Z</cp:lastPrinted>
  <dcterms:created xsi:type="dcterms:W3CDTF">2016-05-05T09:52:00Z</dcterms:created>
  <dcterms:modified xsi:type="dcterms:W3CDTF">2016-05-05T09:52:00Z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0x010100266966F133664895A6EE3632470D45F5010044193D363F643749B257055BABFB202C</vt:lpwstr>
  </property>
</Properties>
</file>