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CA" w:rsidRPr="00FE1A64" w:rsidRDefault="00F47809" w:rsidP="00A4227A">
      <w:pPr>
        <w:pStyle w:val="Title"/>
      </w:pPr>
      <w:r>
        <w:t>2014 NCRIS Survey</w:t>
      </w:r>
    </w:p>
    <w:p w:rsidR="00FE1A64" w:rsidRPr="00FE1A64" w:rsidRDefault="00FE1A64" w:rsidP="00A4227A">
      <w:pPr>
        <w:pStyle w:val="Heading1"/>
      </w:pPr>
      <w:r>
        <w:t>BACKGROUND</w:t>
      </w:r>
    </w:p>
    <w:p w:rsidR="00FE1A64" w:rsidRDefault="00A01F31">
      <w:r>
        <w:t>In 2014, the D</w:t>
      </w:r>
      <w:r w:rsidR="00FE1A64">
        <w:t xml:space="preserve">epartment </w:t>
      </w:r>
      <w:r>
        <w:t xml:space="preserve">of Education and Training </w:t>
      </w:r>
      <w:r w:rsidR="006A447F">
        <w:t xml:space="preserve">undertook formal data collection across </w:t>
      </w:r>
      <w:r w:rsidR="00785249">
        <w:t>the 27 </w:t>
      </w:r>
      <w:r w:rsidR="00FE1A64">
        <w:t xml:space="preserve">projects </w:t>
      </w:r>
      <w:r w:rsidR="006A447F">
        <w:t xml:space="preserve">currently in </w:t>
      </w:r>
      <w:r w:rsidR="00FE1A64">
        <w:t xml:space="preserve">the National Collaborative Research Infrastructure </w:t>
      </w:r>
      <w:r w:rsidR="001F0D78">
        <w:t xml:space="preserve">Strategy (NCRIS) </w:t>
      </w:r>
      <w:r w:rsidR="006A447F">
        <w:t>network</w:t>
      </w:r>
      <w:r w:rsidR="00FE1A64">
        <w:t>.</w:t>
      </w:r>
    </w:p>
    <w:p w:rsidR="006A447F" w:rsidRDefault="006A447F">
      <w:r>
        <w:t>The survey collected data in the following areas:</w:t>
      </w:r>
      <w:r w:rsidR="00FE1A64">
        <w:t xml:space="preserve"> </w:t>
      </w:r>
    </w:p>
    <w:p w:rsidR="00FE1A64" w:rsidRDefault="00FE1A64" w:rsidP="00FE1A64">
      <w:pPr>
        <w:pStyle w:val="ListParagraph"/>
        <w:numPr>
          <w:ilvl w:val="0"/>
          <w:numId w:val="1"/>
        </w:numPr>
      </w:pPr>
      <w:r>
        <w:t>Utilisation of infrastructure</w:t>
      </w:r>
    </w:p>
    <w:p w:rsidR="00FE1A64" w:rsidRDefault="00785249" w:rsidP="00FE1A64">
      <w:pPr>
        <w:pStyle w:val="ListParagraph"/>
        <w:numPr>
          <w:ilvl w:val="0"/>
          <w:numId w:val="1"/>
        </w:numPr>
      </w:pPr>
      <w:r>
        <w:t>Governance m</w:t>
      </w:r>
      <w:r w:rsidR="00FE1A64">
        <w:t>echanisms</w:t>
      </w:r>
    </w:p>
    <w:p w:rsidR="00FE1A64" w:rsidRDefault="00FE1A64" w:rsidP="00FE1A64">
      <w:pPr>
        <w:pStyle w:val="ListParagraph"/>
        <w:numPr>
          <w:ilvl w:val="0"/>
          <w:numId w:val="1"/>
        </w:numPr>
      </w:pPr>
      <w:r>
        <w:t>Outward focus</w:t>
      </w:r>
    </w:p>
    <w:p w:rsidR="00FE1A64" w:rsidRDefault="00FE1A64" w:rsidP="00FE1A64">
      <w:pPr>
        <w:pStyle w:val="ListParagraph"/>
        <w:numPr>
          <w:ilvl w:val="0"/>
          <w:numId w:val="1"/>
        </w:numPr>
      </w:pPr>
      <w:r>
        <w:t>International engagement</w:t>
      </w:r>
    </w:p>
    <w:p w:rsidR="00FE1A64" w:rsidRDefault="00FE1A64" w:rsidP="00FE1A64">
      <w:pPr>
        <w:pStyle w:val="ListParagraph"/>
        <w:numPr>
          <w:ilvl w:val="0"/>
          <w:numId w:val="1"/>
        </w:numPr>
      </w:pPr>
      <w:r>
        <w:t>Linkages to researchers</w:t>
      </w:r>
    </w:p>
    <w:p w:rsidR="00491813" w:rsidRDefault="00491813" w:rsidP="00FE1A64">
      <w:pPr>
        <w:pStyle w:val="ListParagraph"/>
        <w:numPr>
          <w:ilvl w:val="0"/>
          <w:numId w:val="1"/>
        </w:numPr>
      </w:pPr>
      <w:r>
        <w:t>National footprint of NCRIS projects</w:t>
      </w:r>
    </w:p>
    <w:p w:rsidR="00FE1A64" w:rsidRDefault="00FE1A64" w:rsidP="00FE1A64">
      <w:pPr>
        <w:pStyle w:val="ListParagraph"/>
        <w:numPr>
          <w:ilvl w:val="0"/>
          <w:numId w:val="1"/>
        </w:numPr>
      </w:pPr>
      <w:r>
        <w:t>Resources</w:t>
      </w:r>
    </w:p>
    <w:p w:rsidR="00FE1A64" w:rsidRDefault="00FE1A64" w:rsidP="003E2EB1">
      <w:pPr>
        <w:pStyle w:val="ListParagraph"/>
        <w:numPr>
          <w:ilvl w:val="0"/>
          <w:numId w:val="1"/>
        </w:numPr>
      </w:pPr>
      <w:r>
        <w:t>Outcomes and benefits for Australia.</w:t>
      </w:r>
    </w:p>
    <w:p w:rsidR="00FE1A64" w:rsidRPr="00FE1A64" w:rsidRDefault="00FE1A64" w:rsidP="00E015E0">
      <w:pPr>
        <w:pStyle w:val="Heading1"/>
        <w:spacing w:before="600"/>
      </w:pPr>
      <w:r w:rsidRPr="00FE1A64">
        <w:t>FINDINGS</w:t>
      </w:r>
    </w:p>
    <w:p w:rsidR="00FE1A64" w:rsidRDefault="00FE1A64">
      <w:r>
        <w:t xml:space="preserve">The broad findings of the survey </w:t>
      </w:r>
      <w:r w:rsidR="006A447F">
        <w:t>are as follows</w:t>
      </w:r>
      <w:r>
        <w:t>:</w:t>
      </w:r>
    </w:p>
    <w:p w:rsidR="00FE1A64" w:rsidRPr="00F24831" w:rsidRDefault="00FE1A64" w:rsidP="00E015E0">
      <w:pPr>
        <w:pStyle w:val="Heading2"/>
      </w:pPr>
      <w:r w:rsidRPr="00F24831">
        <w:t>Utilisation of infrastructure</w:t>
      </w:r>
    </w:p>
    <w:p w:rsidR="00DB166A" w:rsidRDefault="00DB166A" w:rsidP="00FE1A64">
      <w:r>
        <w:t xml:space="preserve">Levels of NCRIS infrastructure </w:t>
      </w:r>
      <w:r w:rsidR="006A447F">
        <w:t xml:space="preserve">utilisation </w:t>
      </w:r>
      <w:r>
        <w:t>were high.</w:t>
      </w:r>
      <w:r w:rsidR="009F5AEC">
        <w:t xml:space="preserve"> A total of 35,949 researchers</w:t>
      </w:r>
      <w:r w:rsidR="009F5AEC">
        <w:rPr>
          <w:rStyle w:val="FootnoteReference"/>
        </w:rPr>
        <w:footnoteReference w:id="1"/>
      </w:r>
      <w:r w:rsidR="009F5AEC">
        <w:t xml:space="preserve"> </w:t>
      </w:r>
      <w:r w:rsidR="00A01F31">
        <w:t>utilised NCRIS research infrastructure</w:t>
      </w:r>
      <w:r w:rsidR="00785249">
        <w:t xml:space="preserve"> across 21 projects</w:t>
      </w:r>
      <w:r w:rsidR="00A01F31">
        <w:t>.</w:t>
      </w:r>
    </w:p>
    <w:p w:rsidR="00DB166A" w:rsidRDefault="00DB166A" w:rsidP="004B3244">
      <w:r>
        <w:t>NCRIS infrastructure is used by Australian researchers from universities, publicly funded research agencies and companies; researchers from overseas; by Commonwealth State and Territory agencies for a variety of purposes; secondary education institutions</w:t>
      </w:r>
      <w:r w:rsidR="00D50F54">
        <w:t>;</w:t>
      </w:r>
      <w:r>
        <w:t xml:space="preserve"> and</w:t>
      </w:r>
      <w:r w:rsidR="006A447F">
        <w:t xml:space="preserve"> </w:t>
      </w:r>
      <w:r>
        <w:t>the general public.</w:t>
      </w:r>
    </w:p>
    <w:p w:rsidR="00FE1A64" w:rsidRDefault="004B3244" w:rsidP="004B3244">
      <w:r>
        <w:t xml:space="preserve">Researchers were able to access the infrastructure through mechanisms appropriate to each project. For example, the </w:t>
      </w:r>
      <w:r w:rsidRPr="00A375A1">
        <w:rPr>
          <w:i/>
        </w:rPr>
        <w:t>Atlas of Living Australia</w:t>
      </w:r>
      <w:r w:rsidR="006A447F">
        <w:t xml:space="preserve"> is free to access via the web</w:t>
      </w:r>
      <w:r w:rsidR="00A01F31">
        <w:t xml:space="preserve"> while other</w:t>
      </w:r>
      <w:r>
        <w:t xml:space="preserve"> projects used merit allocation processes to</w:t>
      </w:r>
      <w:r w:rsidR="00A01F31">
        <w:t xml:space="preserve"> allocate</w:t>
      </w:r>
      <w:r>
        <w:t xml:space="preserve"> access to the most meritorious projects.</w:t>
      </w:r>
    </w:p>
    <w:p w:rsidR="00632910" w:rsidRPr="00632910" w:rsidRDefault="00632910" w:rsidP="004B3244">
      <w:r w:rsidRPr="00A01F31">
        <w:t>Figure 1</w:t>
      </w:r>
      <w:r>
        <w:rPr>
          <w:b/>
        </w:rPr>
        <w:t xml:space="preserve"> </w:t>
      </w:r>
      <w:r>
        <w:t>demonstrates the number of researchers</w:t>
      </w:r>
      <w:r w:rsidR="007A1543">
        <w:rPr>
          <w:rStyle w:val="FootnoteReference"/>
        </w:rPr>
        <w:footnoteReference w:id="2"/>
      </w:r>
      <w:r>
        <w:t xml:space="preserve"> accessing infrastructure by location</w:t>
      </w:r>
      <w:r w:rsidR="00ED6CDD">
        <w:t>.</w:t>
      </w:r>
    </w:p>
    <w:p w:rsidR="005A7316" w:rsidRDefault="005A7316" w:rsidP="005A7316">
      <w:pPr>
        <w:pStyle w:val="Caption"/>
        <w:rPr>
          <w:b w:val="0"/>
        </w:rPr>
      </w:pPr>
      <w:bookmarkStart w:id="0" w:name="_Ref404852285"/>
      <w:r>
        <w:lastRenderedPageBreak/>
        <w:t xml:space="preserve">Figure </w:t>
      </w:r>
      <w:r w:rsidR="00307F30">
        <w:fldChar w:fldCharType="begin"/>
      </w:r>
      <w:r w:rsidR="00307F30">
        <w:instrText xml:space="preserve"> SEQ Figure \* ARABIC </w:instrText>
      </w:r>
      <w:r w:rsidR="00307F30">
        <w:fldChar w:fldCharType="separate"/>
      </w:r>
      <w:r w:rsidR="008260D5">
        <w:rPr>
          <w:noProof/>
        </w:rPr>
        <w:t>1</w:t>
      </w:r>
      <w:r w:rsidR="00307F30">
        <w:rPr>
          <w:noProof/>
        </w:rPr>
        <w:fldChar w:fldCharType="end"/>
      </w:r>
      <w:bookmarkEnd w:id="0"/>
      <w:r>
        <w:t>: Number of resea</w:t>
      </w:r>
      <w:r w:rsidR="00A01F31">
        <w:t xml:space="preserve">rchers accessing infrastructure </w:t>
      </w:r>
      <w:r>
        <w:t>by location</w:t>
      </w:r>
      <w:r>
        <w:rPr>
          <w:b w:val="0"/>
        </w:rPr>
        <w:br/>
      </w:r>
      <w:r>
        <w:rPr>
          <w:b w:val="0"/>
          <w:sz w:val="22"/>
        </w:rPr>
        <w:t>All projects with single-researcher data available (n=21)</w:t>
      </w:r>
    </w:p>
    <w:p w:rsidR="005A7316" w:rsidRDefault="005A7316" w:rsidP="005A7316">
      <w:pPr>
        <w:pStyle w:val="Style1"/>
        <w:tabs>
          <w:tab w:val="left" w:pos="1778"/>
        </w:tabs>
        <w:jc w:val="center"/>
      </w:pPr>
      <w:r w:rsidRPr="00ED6CDD">
        <w:rPr>
          <w:noProof/>
          <w:sz w:val="16"/>
          <w:szCs w:val="16"/>
          <w:lang w:eastAsia="en-AU"/>
        </w:rPr>
        <w:drawing>
          <wp:inline distT="0" distB="0" distL="0" distR="0" wp14:anchorId="54A5AAA2" wp14:editId="728FF26C">
            <wp:extent cx="5202456" cy="2962141"/>
            <wp:effectExtent l="0" t="0" r="0" b="0"/>
            <wp:docPr id="3" name="Picture 3" descr="This graph demonstrates the number of researchers accessing infrastructure by location. The results are as follows:&#10;8% (2,927) from the Lead Agent;&#10;29% (10,525) from other institutional partners to NCRIS projects;&#10;44% (15,757) from institutions located in Australia;&#10;10% (3,513) from industry overseas;&#10;5%t (1,651) from Industry in Australia;&#10;4% (1,576) from institutions overseas.&#10;" title="Number of researchers accessing infrastrucure by lo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626" cy="296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64" w:rsidRPr="00A4227A" w:rsidRDefault="00FE1A64" w:rsidP="00E015E0">
      <w:pPr>
        <w:pStyle w:val="Heading2"/>
      </w:pPr>
      <w:r w:rsidRPr="00A4227A">
        <w:t xml:space="preserve">Governance </w:t>
      </w:r>
      <w:r w:rsidR="00644E5E" w:rsidRPr="00A4227A">
        <w:t>m</w:t>
      </w:r>
      <w:r w:rsidRPr="00A4227A">
        <w:t>echanisms</w:t>
      </w:r>
    </w:p>
    <w:p w:rsidR="00FE1A64" w:rsidRDefault="00D50F54" w:rsidP="00FE1A64">
      <w:r>
        <w:t xml:space="preserve">Overwhelmingly, </w:t>
      </w:r>
      <w:r w:rsidR="00192182">
        <w:t>sound</w:t>
      </w:r>
      <w:r>
        <w:t xml:space="preserve"> governance arrangements were in place. Additionally, a substantial majority of projects had initiated external reviews</w:t>
      </w:r>
      <w:r w:rsidR="008D44E8">
        <w:t xml:space="preserve"> aimed at </w:t>
      </w:r>
      <w:r w:rsidR="00192182">
        <w:t>improving overall performance</w:t>
      </w:r>
      <w:r>
        <w:t>.</w:t>
      </w:r>
    </w:p>
    <w:p w:rsidR="00ED6CDD" w:rsidRDefault="00ED6CDD" w:rsidP="00FE1A64">
      <w:r w:rsidRPr="00644E5E">
        <w:t>Figure 2</w:t>
      </w:r>
      <w:r>
        <w:t xml:space="preserve"> shows the extent to which governance documents were in place across the NCRIS projects surveyed. </w:t>
      </w:r>
    </w:p>
    <w:p w:rsidR="00ED6CDD" w:rsidRDefault="00ED6CDD" w:rsidP="00ED6CDD">
      <w:pPr>
        <w:pStyle w:val="Caption"/>
        <w:rPr>
          <w:b w:val="0"/>
        </w:rPr>
      </w:pPr>
      <w:bookmarkStart w:id="1" w:name="_Ref402261483"/>
      <w:r>
        <w:t xml:space="preserve">Figure </w:t>
      </w:r>
      <w:r w:rsidR="00307F30">
        <w:fldChar w:fldCharType="begin"/>
      </w:r>
      <w:r w:rsidR="00307F30">
        <w:instrText xml:space="preserve"> SEQ Figure \* ARABIC </w:instrText>
      </w:r>
      <w:r w:rsidR="00307F30">
        <w:fldChar w:fldCharType="separate"/>
      </w:r>
      <w:r w:rsidR="008260D5">
        <w:rPr>
          <w:noProof/>
        </w:rPr>
        <w:t>2</w:t>
      </w:r>
      <w:r w:rsidR="00307F30">
        <w:rPr>
          <w:noProof/>
        </w:rPr>
        <w:fldChar w:fldCharType="end"/>
      </w:r>
      <w:bookmarkEnd w:id="1"/>
      <w:r>
        <w:t>: Governance documents in place</w:t>
      </w:r>
      <w:r>
        <w:rPr>
          <w:b w:val="0"/>
        </w:rPr>
        <w:br/>
      </w:r>
      <w:r>
        <w:rPr>
          <w:b w:val="0"/>
          <w:sz w:val="22"/>
        </w:rPr>
        <w:t>All projects (n=27)</w:t>
      </w:r>
    </w:p>
    <w:p w:rsidR="00ED6CDD" w:rsidRDefault="00ED6CDD" w:rsidP="00ED6CDD">
      <w:pPr>
        <w:pStyle w:val="Style1"/>
        <w:rPr>
          <w:highlight w:val="yellow"/>
        </w:rPr>
      </w:pPr>
      <w:bookmarkStart w:id="2" w:name="_GoBack"/>
      <w:r w:rsidRPr="00ED6CDD">
        <w:rPr>
          <w:noProof/>
          <w:sz w:val="16"/>
          <w:szCs w:val="16"/>
          <w:vertAlign w:val="subscript"/>
          <w:lang w:eastAsia="en-AU"/>
        </w:rPr>
        <w:drawing>
          <wp:inline distT="0" distB="0" distL="0" distR="0" wp14:anchorId="2261107D" wp14:editId="00C25452">
            <wp:extent cx="5329280" cy="3245398"/>
            <wp:effectExtent l="0" t="0" r="0" b="0"/>
            <wp:docPr id="4" name="Picture 4" descr="The graph demonstrates the following governance documents were in place across the 27 NCRIS projects surveyed:&#10;Terms of Reference for board/management committees were in place across 25 project. 2 projects did not have these documents in place at time of survey;&#10;Project-level governance and reporting frameworks were in place across 24 projects. 3 projects did not have these documents in place at time of survey;&#10; Project-level risk management plans were in place across 21 projects. 1  project was in the process of developing these document and 5 projects did not have these documents in place at time of survey;&#10;Detailed Project Implementation Plans were in place across 17 projects. 10 projects did not have these documents in place at time of survey;&#10;Document specifying long-term strategic direction of the project were in place across 16 projects. 3 projects were in the process of developing these documents. 8 projects did not have these documents in place at time of survey.&#10;" title="Figure 2 : Governance documents in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072" cy="324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FE1A64" w:rsidRPr="00A4227A" w:rsidRDefault="00FE1A64" w:rsidP="00E015E0">
      <w:pPr>
        <w:pStyle w:val="Heading2"/>
      </w:pPr>
      <w:r w:rsidRPr="00A4227A">
        <w:lastRenderedPageBreak/>
        <w:t>Outward focus</w:t>
      </w:r>
    </w:p>
    <w:p w:rsidR="008260D5" w:rsidRPr="0016253F" w:rsidRDefault="00D50F54" w:rsidP="008260D5">
      <w:r>
        <w:t>All 27 NCRIS projects promoted their facilities to the research sector. This was supplemented by activities such as consultations on (intra-project) priorities, user training, and user feedback survey</w:t>
      </w:r>
      <w:r w:rsidR="008260D5">
        <w:t>s which included industry users.</w:t>
      </w:r>
      <w:r w:rsidR="008260D5" w:rsidRPr="0016253F">
        <w:t xml:space="preserve"> </w:t>
      </w:r>
    </w:p>
    <w:p w:rsidR="00E7695A" w:rsidRPr="0016253F" w:rsidRDefault="00E7695A" w:rsidP="00E7695A">
      <w:pPr>
        <w:pStyle w:val="Style1"/>
        <w:rPr>
          <w:sz w:val="22"/>
        </w:rPr>
      </w:pPr>
      <w:r w:rsidRPr="0016253F">
        <w:rPr>
          <w:sz w:val="22"/>
        </w:rPr>
        <w:t>The activities m</w:t>
      </w:r>
      <w:r w:rsidR="008260D5">
        <w:rPr>
          <w:sz w:val="22"/>
        </w:rPr>
        <w:t>ost likely to be undertaken in 2013-2014 were</w:t>
      </w:r>
      <w:r w:rsidRPr="0016253F">
        <w:rPr>
          <w:sz w:val="22"/>
        </w:rPr>
        <w:t>:</w:t>
      </w:r>
    </w:p>
    <w:p w:rsidR="00E7695A" w:rsidRPr="0016253F" w:rsidRDefault="00E7695A" w:rsidP="00E7695A">
      <w:pPr>
        <w:pStyle w:val="Bullets"/>
        <w:spacing w:line="240" w:lineRule="auto"/>
        <w:ind w:left="714" w:hanging="357"/>
        <w:rPr>
          <w:sz w:val="22"/>
        </w:rPr>
      </w:pPr>
      <w:r w:rsidRPr="0016253F">
        <w:rPr>
          <w:sz w:val="22"/>
        </w:rPr>
        <w:t>training researchers and other relevant researchers to use or familiarise themselves with the infrastructure (70% of projects did this at least monthly, 93% at least once);</w:t>
      </w:r>
    </w:p>
    <w:p w:rsidR="00E7695A" w:rsidRPr="0016253F" w:rsidRDefault="00E7695A" w:rsidP="00E7695A">
      <w:pPr>
        <w:pStyle w:val="Bullets"/>
        <w:spacing w:line="240" w:lineRule="auto"/>
        <w:ind w:left="714" w:hanging="357"/>
        <w:rPr>
          <w:sz w:val="22"/>
        </w:rPr>
      </w:pPr>
      <w:r w:rsidRPr="0016253F">
        <w:rPr>
          <w:sz w:val="22"/>
        </w:rPr>
        <w:t>updating the project website or blog (67% did this at least monthly, 100% at least once); and</w:t>
      </w:r>
    </w:p>
    <w:p w:rsidR="00AC50C1" w:rsidRPr="00E015E0" w:rsidRDefault="00E7695A" w:rsidP="00E015E0">
      <w:pPr>
        <w:pStyle w:val="Bullets"/>
        <w:spacing w:after="360" w:line="240" w:lineRule="auto"/>
        <w:ind w:left="714" w:hanging="357"/>
        <w:rPr>
          <w:sz w:val="22"/>
        </w:rPr>
      </w:pPr>
      <w:r w:rsidRPr="0016253F">
        <w:rPr>
          <w:sz w:val="22"/>
        </w:rPr>
        <w:t>updating social media sites (55% did this at least monthly, 74% at least once).</w:t>
      </w:r>
      <w:bookmarkStart w:id="3" w:name="_Ref404954105"/>
      <w:bookmarkStart w:id="4" w:name="_Ref404959210"/>
    </w:p>
    <w:bookmarkEnd w:id="3"/>
    <w:bookmarkEnd w:id="4"/>
    <w:p w:rsidR="00FE1A64" w:rsidRPr="00A4227A" w:rsidRDefault="00FE1A64" w:rsidP="00E015E0">
      <w:pPr>
        <w:pStyle w:val="Heading2"/>
      </w:pPr>
      <w:r w:rsidRPr="00A4227A">
        <w:t>International engagement</w:t>
      </w:r>
    </w:p>
    <w:p w:rsidR="00FE1A64" w:rsidRDefault="001F0D78" w:rsidP="00FE1A64">
      <w:r>
        <w:t>International researchers can, and do, access the infrastructure of NCRIS projects on an appropriate basis through access and pricing arrangements.</w:t>
      </w:r>
      <w:r w:rsidR="00E7695A">
        <w:t xml:space="preserve"> </w:t>
      </w:r>
      <w:r w:rsidR="00491813">
        <w:t xml:space="preserve">NCRIS projects also complement their infrastructure offerings through arrangements under which Australian researchers can benefit from complementary research infrastructure facilities located overseas. </w:t>
      </w:r>
      <w:r w:rsidR="001E1656">
        <w:t xml:space="preserve"> See </w:t>
      </w:r>
      <w:r w:rsidR="00E428B4" w:rsidRPr="0067514D">
        <w:t xml:space="preserve">Figure </w:t>
      </w:r>
      <w:r w:rsidR="005C73A9" w:rsidRPr="0067514D">
        <w:t>4</w:t>
      </w:r>
      <w:r w:rsidR="001E1656" w:rsidRPr="0067514D">
        <w:t xml:space="preserve"> </w:t>
      </w:r>
      <w:r w:rsidR="001E1656">
        <w:t>for more details</w:t>
      </w:r>
      <w:r w:rsidR="003A0E63">
        <w:t>.</w:t>
      </w:r>
    </w:p>
    <w:p w:rsidR="00FE1A64" w:rsidRPr="00A4227A" w:rsidRDefault="00FE1A64" w:rsidP="00E015E0">
      <w:pPr>
        <w:pStyle w:val="Heading2"/>
      </w:pPr>
      <w:r w:rsidRPr="00A4227A">
        <w:t>Linkages to researchers</w:t>
      </w:r>
    </w:p>
    <w:p w:rsidR="004123E6" w:rsidRDefault="003A0E63" w:rsidP="00FE1A64">
      <w:r>
        <w:t xml:space="preserve">The data collection indicates that </w:t>
      </w:r>
      <w:r w:rsidR="003A4534">
        <w:t>NCRIS projects used formal collaborative arrangements to improve services to researchers.</w:t>
      </w:r>
      <w:r w:rsidR="001E5CA2">
        <w:t xml:space="preserve"> </w:t>
      </w:r>
      <w:r w:rsidR="005C73A9" w:rsidRPr="0067514D">
        <w:t>Figure</w:t>
      </w:r>
      <w:r w:rsidR="00E428B4" w:rsidRPr="0067514D">
        <w:t xml:space="preserve"> </w:t>
      </w:r>
      <w:r w:rsidR="001D3520">
        <w:t>3</w:t>
      </w:r>
      <w:r w:rsidR="00E428B4">
        <w:t xml:space="preserve"> shows that i</w:t>
      </w:r>
      <w:r w:rsidR="001E5CA2">
        <w:t>n 2013, NCRIS projects</w:t>
      </w:r>
      <w:r w:rsidR="00E428B4">
        <w:t xml:space="preserve"> ha</w:t>
      </w:r>
      <w:r>
        <w:t>d</w:t>
      </w:r>
      <w:r w:rsidR="00E428B4">
        <w:t xml:space="preserve"> an average of 34</w:t>
      </w:r>
      <w:r w:rsidR="001E5CA2">
        <w:t xml:space="preserve"> </w:t>
      </w:r>
      <w:r w:rsidR="00E428B4">
        <w:t xml:space="preserve">formal collaborative arrangements in place with other parties. On average, 14 arrangements </w:t>
      </w:r>
      <w:r>
        <w:t>were</w:t>
      </w:r>
      <w:r w:rsidR="00E428B4">
        <w:t xml:space="preserve"> in the form </w:t>
      </w:r>
      <w:r>
        <w:t>of memoranda</w:t>
      </w:r>
      <w:r w:rsidR="001E5CA2">
        <w:t xml:space="preserve"> of und</w:t>
      </w:r>
      <w:r w:rsidR="00E428B4">
        <w:t>erstanding (MOUs).</w:t>
      </w:r>
    </w:p>
    <w:p w:rsidR="004123E6" w:rsidRPr="001C5FD1" w:rsidRDefault="00E428B4" w:rsidP="004123E6">
      <w:pPr>
        <w:pStyle w:val="Caption"/>
        <w:spacing w:before="120" w:after="120"/>
        <w:rPr>
          <w:b w:val="0"/>
        </w:rPr>
      </w:pPr>
      <w:bookmarkStart w:id="5" w:name="_Ref404959226"/>
      <w:bookmarkStart w:id="6" w:name="_Ref404959223"/>
      <w:r>
        <w:t>Figure</w:t>
      </w:r>
      <w:r w:rsidR="004123E6" w:rsidRPr="00972A31">
        <w:t xml:space="preserve"> </w:t>
      </w:r>
      <w:bookmarkEnd w:id="5"/>
      <w:r w:rsidR="001D3520">
        <w:t>3</w:t>
      </w:r>
      <w:r w:rsidR="004123E6" w:rsidRPr="00972A31">
        <w:t xml:space="preserve">: </w:t>
      </w:r>
      <w:r w:rsidR="004123E6">
        <w:t>Formal collaborative arrangements</w:t>
      </w:r>
      <w:bookmarkEnd w:id="6"/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  <w:tblDescription w:val="Information detailed in table"/>
      </w:tblPr>
      <w:tblGrid>
        <w:gridCol w:w="3653"/>
        <w:gridCol w:w="1863"/>
        <w:gridCol w:w="1863"/>
        <w:gridCol w:w="1863"/>
      </w:tblGrid>
      <w:tr w:rsidR="004123E6" w:rsidRPr="00065498" w:rsidTr="00FD07CA">
        <w:trPr>
          <w:trHeight w:val="255"/>
        </w:trPr>
        <w:tc>
          <w:tcPr>
            <w:tcW w:w="1976" w:type="pct"/>
            <w:tcBorders>
              <w:bottom w:val="single" w:sz="4" w:space="0" w:color="000000" w:themeColor="text1"/>
            </w:tcBorders>
            <w:shd w:val="clear" w:color="auto" w:fill="244061" w:themeFill="accent1" w:themeFillShade="80"/>
            <w:noWrap/>
            <w:vAlign w:val="bottom"/>
            <w:hideMark/>
          </w:tcPr>
          <w:p w:rsidR="004123E6" w:rsidRPr="00065498" w:rsidRDefault="004123E6" w:rsidP="00FD07CA">
            <w:pPr>
              <w:spacing w:before="60" w:after="60"/>
              <w:rPr>
                <w:rFonts w:eastAsia="Times New Roman" w:cs="Arial"/>
                <w:b/>
                <w:sz w:val="24"/>
                <w:szCs w:val="20"/>
              </w:rPr>
            </w:pPr>
            <w:r w:rsidRPr="001C5FD1">
              <w:rPr>
                <w:rFonts w:eastAsia="Times New Roman" w:cs="Arial"/>
                <w:b/>
                <w:sz w:val="24"/>
                <w:szCs w:val="20"/>
              </w:rPr>
              <w:t>Type of arrangement</w:t>
            </w:r>
          </w:p>
        </w:tc>
        <w:tc>
          <w:tcPr>
            <w:tcW w:w="1008" w:type="pct"/>
            <w:tcBorders>
              <w:bottom w:val="single" w:sz="4" w:space="0" w:color="000000" w:themeColor="text1"/>
            </w:tcBorders>
            <w:shd w:val="clear" w:color="auto" w:fill="244061" w:themeFill="accent1" w:themeFillShade="80"/>
            <w:noWrap/>
            <w:vAlign w:val="bottom"/>
            <w:hideMark/>
          </w:tcPr>
          <w:p w:rsidR="004123E6" w:rsidRPr="00065498" w:rsidRDefault="004123E6" w:rsidP="00FD07CA">
            <w:pPr>
              <w:spacing w:before="60" w:after="60"/>
              <w:jc w:val="center"/>
              <w:rPr>
                <w:rFonts w:eastAsia="Times New Roman" w:cs="Arial"/>
                <w:b/>
                <w:sz w:val="24"/>
                <w:szCs w:val="20"/>
              </w:rPr>
            </w:pPr>
            <w:r w:rsidRPr="00065498">
              <w:rPr>
                <w:rFonts w:eastAsia="Times New Roman" w:cs="Arial"/>
                <w:b/>
                <w:sz w:val="24"/>
                <w:szCs w:val="20"/>
              </w:rPr>
              <w:t>Number of projects</w:t>
            </w:r>
            <w:r w:rsidRPr="001C5FD1">
              <w:rPr>
                <w:rFonts w:eastAsia="Times New Roman" w:cs="Arial"/>
                <w:b/>
                <w:sz w:val="24"/>
                <w:szCs w:val="20"/>
              </w:rPr>
              <w:t xml:space="preserve"> with this arrangement</w:t>
            </w:r>
          </w:p>
        </w:tc>
        <w:tc>
          <w:tcPr>
            <w:tcW w:w="1008" w:type="pct"/>
            <w:tcBorders>
              <w:bottom w:val="single" w:sz="4" w:space="0" w:color="000000" w:themeColor="text1"/>
            </w:tcBorders>
            <w:shd w:val="clear" w:color="auto" w:fill="244061" w:themeFill="accent1" w:themeFillShade="80"/>
            <w:noWrap/>
            <w:vAlign w:val="bottom"/>
            <w:hideMark/>
          </w:tcPr>
          <w:p w:rsidR="004123E6" w:rsidRPr="00065498" w:rsidRDefault="004123E6" w:rsidP="00FD07CA">
            <w:pPr>
              <w:spacing w:before="60" w:after="60"/>
              <w:jc w:val="center"/>
              <w:rPr>
                <w:rFonts w:eastAsia="Times New Roman" w:cs="Arial"/>
                <w:b/>
                <w:sz w:val="24"/>
                <w:szCs w:val="20"/>
              </w:rPr>
            </w:pPr>
            <w:r w:rsidRPr="001C5FD1">
              <w:rPr>
                <w:rFonts w:eastAsia="Times New Roman" w:cs="Arial"/>
                <w:b/>
                <w:sz w:val="24"/>
                <w:szCs w:val="20"/>
              </w:rPr>
              <w:t>Average number</w:t>
            </w:r>
            <w:r>
              <w:rPr>
                <w:rFonts w:eastAsia="Times New Roman" w:cs="Arial"/>
                <w:b/>
                <w:sz w:val="24"/>
                <w:szCs w:val="20"/>
              </w:rPr>
              <w:br/>
            </w:r>
            <w:r w:rsidRPr="001C5FD1">
              <w:rPr>
                <w:rFonts w:eastAsia="Times New Roman" w:cs="Arial"/>
                <w:szCs w:val="20"/>
              </w:rPr>
              <w:t>(per project with this arrangement)</w:t>
            </w:r>
          </w:p>
        </w:tc>
        <w:tc>
          <w:tcPr>
            <w:tcW w:w="1008" w:type="pct"/>
            <w:tcBorders>
              <w:bottom w:val="single" w:sz="4" w:space="0" w:color="000000" w:themeColor="text1"/>
            </w:tcBorders>
            <w:shd w:val="clear" w:color="auto" w:fill="244061" w:themeFill="accent1" w:themeFillShade="80"/>
            <w:noWrap/>
            <w:vAlign w:val="bottom"/>
            <w:hideMark/>
          </w:tcPr>
          <w:p w:rsidR="004123E6" w:rsidRPr="00065498" w:rsidRDefault="004123E6" w:rsidP="00FD07CA">
            <w:pPr>
              <w:spacing w:before="60" w:after="60"/>
              <w:jc w:val="center"/>
              <w:rPr>
                <w:rFonts w:eastAsia="Times New Roman" w:cs="Arial"/>
                <w:b/>
                <w:sz w:val="24"/>
                <w:szCs w:val="20"/>
              </w:rPr>
            </w:pPr>
            <w:r w:rsidRPr="001C5FD1">
              <w:rPr>
                <w:rFonts w:eastAsia="Times New Roman" w:cs="Arial"/>
                <w:b/>
                <w:sz w:val="24"/>
                <w:szCs w:val="20"/>
              </w:rPr>
              <w:t>Average number (all 27 projects</w:t>
            </w:r>
            <w:r w:rsidRPr="00065498">
              <w:rPr>
                <w:rFonts w:eastAsia="Times New Roman" w:cs="Arial"/>
                <w:b/>
                <w:sz w:val="24"/>
                <w:szCs w:val="20"/>
              </w:rPr>
              <w:t>)</w:t>
            </w:r>
          </w:p>
        </w:tc>
      </w:tr>
      <w:tr w:rsidR="004123E6" w:rsidRPr="00065498" w:rsidTr="00FD07CA">
        <w:trPr>
          <w:trHeight w:val="255"/>
        </w:trPr>
        <w:tc>
          <w:tcPr>
            <w:tcW w:w="1976" w:type="pct"/>
            <w:tcBorders>
              <w:bottom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23E6" w:rsidRPr="00065498" w:rsidRDefault="004123E6" w:rsidP="00FD07CA">
            <w:pPr>
              <w:spacing w:before="60" w:after="60"/>
              <w:rPr>
                <w:rFonts w:eastAsia="Times New Roman" w:cs="Arial"/>
                <w:sz w:val="24"/>
                <w:szCs w:val="20"/>
              </w:rPr>
            </w:pPr>
            <w:r>
              <w:rPr>
                <w:rFonts w:eastAsia="Times New Roman" w:cs="Arial"/>
                <w:sz w:val="24"/>
                <w:szCs w:val="20"/>
              </w:rPr>
              <w:t>MOUs with other NCRI</w:t>
            </w:r>
            <w:r w:rsidRPr="00065498">
              <w:rPr>
                <w:rFonts w:eastAsia="Times New Roman" w:cs="Arial"/>
                <w:sz w:val="24"/>
                <w:szCs w:val="20"/>
              </w:rPr>
              <w:t>S projects</w:t>
            </w:r>
          </w:p>
        </w:tc>
        <w:tc>
          <w:tcPr>
            <w:tcW w:w="1008" w:type="pct"/>
            <w:tcBorders>
              <w:bottom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23E6" w:rsidRPr="00065498" w:rsidRDefault="004123E6" w:rsidP="00FD07CA">
            <w:pPr>
              <w:spacing w:before="60" w:after="60"/>
              <w:jc w:val="center"/>
              <w:rPr>
                <w:rFonts w:eastAsia="Times New Roman" w:cs="Arial"/>
                <w:sz w:val="24"/>
                <w:szCs w:val="20"/>
              </w:rPr>
            </w:pPr>
            <w:r w:rsidRPr="00065498">
              <w:rPr>
                <w:rFonts w:eastAsia="Times New Roman" w:cs="Arial"/>
                <w:sz w:val="24"/>
                <w:szCs w:val="20"/>
              </w:rPr>
              <w:t>13</w:t>
            </w:r>
          </w:p>
        </w:tc>
        <w:tc>
          <w:tcPr>
            <w:tcW w:w="1008" w:type="pct"/>
            <w:tcBorders>
              <w:bottom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23E6" w:rsidRPr="00065498" w:rsidRDefault="004123E6" w:rsidP="00FD07CA">
            <w:pPr>
              <w:spacing w:before="60" w:after="60"/>
              <w:jc w:val="center"/>
              <w:rPr>
                <w:rFonts w:eastAsia="Times New Roman" w:cs="Arial"/>
                <w:sz w:val="24"/>
                <w:szCs w:val="20"/>
              </w:rPr>
            </w:pPr>
            <w:r w:rsidRPr="00065498">
              <w:rPr>
                <w:rFonts w:eastAsia="Times New Roman" w:cs="Arial"/>
                <w:sz w:val="24"/>
                <w:szCs w:val="20"/>
              </w:rPr>
              <w:t>2.0</w:t>
            </w:r>
          </w:p>
        </w:tc>
        <w:tc>
          <w:tcPr>
            <w:tcW w:w="1008" w:type="pct"/>
            <w:tcBorders>
              <w:bottom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23E6" w:rsidRPr="00065498" w:rsidRDefault="004123E6" w:rsidP="00FD07CA">
            <w:pPr>
              <w:spacing w:before="60" w:after="60"/>
              <w:jc w:val="center"/>
              <w:rPr>
                <w:rFonts w:eastAsia="Times New Roman" w:cs="Arial"/>
                <w:sz w:val="24"/>
                <w:szCs w:val="20"/>
              </w:rPr>
            </w:pPr>
            <w:r w:rsidRPr="00065498">
              <w:rPr>
                <w:rFonts w:eastAsia="Times New Roman" w:cs="Arial"/>
                <w:sz w:val="24"/>
                <w:szCs w:val="20"/>
              </w:rPr>
              <w:t>1.0</w:t>
            </w:r>
          </w:p>
        </w:tc>
      </w:tr>
      <w:tr w:rsidR="004123E6" w:rsidRPr="00065498" w:rsidTr="00FD07CA">
        <w:trPr>
          <w:trHeight w:val="255"/>
        </w:trPr>
        <w:tc>
          <w:tcPr>
            <w:tcW w:w="1976" w:type="pct"/>
            <w:tcBorders>
              <w:top w:val="nil"/>
              <w:bottom w:val="nil"/>
            </w:tcBorders>
            <w:shd w:val="clear" w:color="auto" w:fill="EDF2F9"/>
            <w:noWrap/>
            <w:vAlign w:val="center"/>
            <w:hideMark/>
          </w:tcPr>
          <w:p w:rsidR="004123E6" w:rsidRPr="00065498" w:rsidRDefault="004123E6" w:rsidP="00FD07CA">
            <w:pPr>
              <w:spacing w:before="60" w:after="60"/>
              <w:rPr>
                <w:rFonts w:eastAsia="Times New Roman" w:cs="Arial"/>
                <w:sz w:val="24"/>
                <w:szCs w:val="20"/>
              </w:rPr>
            </w:pPr>
            <w:r w:rsidRPr="00065498">
              <w:rPr>
                <w:rFonts w:eastAsia="Times New Roman" w:cs="Arial"/>
                <w:sz w:val="24"/>
                <w:szCs w:val="20"/>
              </w:rPr>
              <w:t>MOUs with other domestic parties</w:t>
            </w:r>
          </w:p>
        </w:tc>
        <w:tc>
          <w:tcPr>
            <w:tcW w:w="1008" w:type="pct"/>
            <w:tcBorders>
              <w:top w:val="nil"/>
              <w:bottom w:val="nil"/>
            </w:tcBorders>
            <w:shd w:val="clear" w:color="auto" w:fill="EDF2F9"/>
            <w:noWrap/>
            <w:vAlign w:val="center"/>
            <w:hideMark/>
          </w:tcPr>
          <w:p w:rsidR="004123E6" w:rsidRPr="00065498" w:rsidRDefault="004123E6" w:rsidP="00FD07CA">
            <w:pPr>
              <w:spacing w:before="60" w:after="60"/>
              <w:jc w:val="center"/>
              <w:rPr>
                <w:rFonts w:eastAsia="Times New Roman" w:cs="Arial"/>
                <w:sz w:val="24"/>
                <w:szCs w:val="20"/>
              </w:rPr>
            </w:pPr>
            <w:r w:rsidRPr="00065498">
              <w:rPr>
                <w:rFonts w:eastAsia="Times New Roman" w:cs="Arial"/>
                <w:sz w:val="24"/>
                <w:szCs w:val="20"/>
              </w:rPr>
              <w:t>11</w:t>
            </w:r>
          </w:p>
        </w:tc>
        <w:tc>
          <w:tcPr>
            <w:tcW w:w="1008" w:type="pct"/>
            <w:tcBorders>
              <w:top w:val="nil"/>
              <w:bottom w:val="nil"/>
            </w:tcBorders>
            <w:shd w:val="clear" w:color="auto" w:fill="EDF2F9"/>
            <w:noWrap/>
            <w:vAlign w:val="center"/>
            <w:hideMark/>
          </w:tcPr>
          <w:p w:rsidR="004123E6" w:rsidRPr="00065498" w:rsidRDefault="004123E6" w:rsidP="00FD07CA">
            <w:pPr>
              <w:spacing w:before="60" w:after="60"/>
              <w:jc w:val="center"/>
              <w:rPr>
                <w:rFonts w:eastAsia="Times New Roman" w:cs="Arial"/>
                <w:sz w:val="24"/>
                <w:szCs w:val="20"/>
              </w:rPr>
            </w:pPr>
            <w:r w:rsidRPr="00065498">
              <w:rPr>
                <w:rFonts w:eastAsia="Times New Roman" w:cs="Arial"/>
                <w:sz w:val="24"/>
                <w:szCs w:val="20"/>
              </w:rPr>
              <w:t>7.9</w:t>
            </w:r>
          </w:p>
        </w:tc>
        <w:tc>
          <w:tcPr>
            <w:tcW w:w="1008" w:type="pct"/>
            <w:tcBorders>
              <w:top w:val="nil"/>
              <w:bottom w:val="nil"/>
            </w:tcBorders>
            <w:shd w:val="clear" w:color="auto" w:fill="EDF2F9"/>
            <w:noWrap/>
            <w:vAlign w:val="center"/>
            <w:hideMark/>
          </w:tcPr>
          <w:p w:rsidR="004123E6" w:rsidRPr="00065498" w:rsidRDefault="004123E6" w:rsidP="00FD07CA">
            <w:pPr>
              <w:spacing w:before="60" w:after="60"/>
              <w:jc w:val="center"/>
              <w:rPr>
                <w:rFonts w:eastAsia="Times New Roman" w:cs="Arial"/>
                <w:sz w:val="24"/>
                <w:szCs w:val="20"/>
              </w:rPr>
            </w:pPr>
            <w:r w:rsidRPr="00065498">
              <w:rPr>
                <w:rFonts w:eastAsia="Times New Roman" w:cs="Arial"/>
                <w:sz w:val="24"/>
                <w:szCs w:val="20"/>
              </w:rPr>
              <w:t>3.2</w:t>
            </w:r>
          </w:p>
        </w:tc>
      </w:tr>
      <w:tr w:rsidR="004123E6" w:rsidRPr="00065498" w:rsidTr="00FD07CA">
        <w:trPr>
          <w:trHeight w:val="255"/>
        </w:trPr>
        <w:tc>
          <w:tcPr>
            <w:tcW w:w="1976" w:type="pct"/>
            <w:tcBorders>
              <w:top w:val="nil"/>
              <w:bottom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23E6" w:rsidRPr="00065498" w:rsidRDefault="004123E6" w:rsidP="00FD07CA">
            <w:pPr>
              <w:spacing w:before="60" w:after="60"/>
              <w:rPr>
                <w:rFonts w:eastAsia="Times New Roman" w:cs="Arial"/>
                <w:sz w:val="24"/>
                <w:szCs w:val="20"/>
              </w:rPr>
            </w:pPr>
            <w:r w:rsidRPr="00065498">
              <w:rPr>
                <w:rFonts w:eastAsia="Times New Roman" w:cs="Arial"/>
                <w:sz w:val="24"/>
                <w:szCs w:val="20"/>
              </w:rPr>
              <w:t>MOUs with overseas parties</w:t>
            </w:r>
          </w:p>
        </w:tc>
        <w:tc>
          <w:tcPr>
            <w:tcW w:w="1008" w:type="pct"/>
            <w:tcBorders>
              <w:top w:val="nil"/>
              <w:bottom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23E6" w:rsidRPr="00065498" w:rsidRDefault="004123E6" w:rsidP="00FD07CA">
            <w:pPr>
              <w:spacing w:before="60" w:after="60"/>
              <w:jc w:val="center"/>
              <w:rPr>
                <w:rFonts w:eastAsia="Times New Roman" w:cs="Arial"/>
                <w:sz w:val="24"/>
                <w:szCs w:val="20"/>
              </w:rPr>
            </w:pPr>
            <w:r w:rsidRPr="00065498">
              <w:rPr>
                <w:rFonts w:eastAsia="Times New Roman" w:cs="Arial"/>
                <w:sz w:val="24"/>
                <w:szCs w:val="20"/>
              </w:rPr>
              <w:t>15</w:t>
            </w:r>
          </w:p>
        </w:tc>
        <w:tc>
          <w:tcPr>
            <w:tcW w:w="1008" w:type="pct"/>
            <w:tcBorders>
              <w:top w:val="nil"/>
              <w:bottom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23E6" w:rsidRPr="00065498" w:rsidRDefault="004123E6" w:rsidP="00FD07CA">
            <w:pPr>
              <w:spacing w:before="60" w:after="60"/>
              <w:jc w:val="center"/>
              <w:rPr>
                <w:rFonts w:eastAsia="Times New Roman" w:cs="Arial"/>
                <w:sz w:val="24"/>
                <w:szCs w:val="20"/>
              </w:rPr>
            </w:pPr>
            <w:r w:rsidRPr="00065498">
              <w:rPr>
                <w:rFonts w:eastAsia="Times New Roman" w:cs="Arial"/>
                <w:sz w:val="24"/>
                <w:szCs w:val="20"/>
              </w:rPr>
              <w:t>4.3</w:t>
            </w:r>
          </w:p>
        </w:tc>
        <w:tc>
          <w:tcPr>
            <w:tcW w:w="1008" w:type="pct"/>
            <w:tcBorders>
              <w:top w:val="nil"/>
              <w:bottom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23E6" w:rsidRPr="00065498" w:rsidRDefault="004123E6" w:rsidP="00FD07CA">
            <w:pPr>
              <w:spacing w:before="60" w:after="60"/>
              <w:jc w:val="center"/>
              <w:rPr>
                <w:rFonts w:eastAsia="Times New Roman" w:cs="Arial"/>
                <w:sz w:val="24"/>
                <w:szCs w:val="20"/>
              </w:rPr>
            </w:pPr>
            <w:r w:rsidRPr="00065498">
              <w:rPr>
                <w:rFonts w:eastAsia="Times New Roman" w:cs="Arial"/>
                <w:sz w:val="24"/>
                <w:szCs w:val="20"/>
              </w:rPr>
              <w:t>2.4</w:t>
            </w:r>
          </w:p>
        </w:tc>
      </w:tr>
      <w:tr w:rsidR="004123E6" w:rsidRPr="00065498" w:rsidTr="00FD07CA">
        <w:trPr>
          <w:trHeight w:val="255"/>
        </w:trPr>
        <w:tc>
          <w:tcPr>
            <w:tcW w:w="1976" w:type="pct"/>
            <w:tcBorders>
              <w:top w:val="nil"/>
              <w:bottom w:val="nil"/>
            </w:tcBorders>
            <w:shd w:val="clear" w:color="auto" w:fill="EDF2F9"/>
            <w:noWrap/>
            <w:vAlign w:val="center"/>
            <w:hideMark/>
          </w:tcPr>
          <w:p w:rsidR="004123E6" w:rsidRPr="00065498" w:rsidRDefault="004123E6" w:rsidP="00FD07CA">
            <w:pPr>
              <w:spacing w:before="60" w:after="60"/>
              <w:rPr>
                <w:rFonts w:eastAsia="Times New Roman" w:cs="Arial"/>
                <w:sz w:val="24"/>
                <w:szCs w:val="20"/>
              </w:rPr>
            </w:pPr>
            <w:r w:rsidRPr="00065498">
              <w:rPr>
                <w:rFonts w:eastAsia="Times New Roman" w:cs="Arial"/>
                <w:sz w:val="24"/>
                <w:szCs w:val="20"/>
              </w:rPr>
              <w:t>Other formal arrangements with other NCRIS projects</w:t>
            </w:r>
          </w:p>
        </w:tc>
        <w:tc>
          <w:tcPr>
            <w:tcW w:w="1008" w:type="pct"/>
            <w:tcBorders>
              <w:top w:val="nil"/>
              <w:bottom w:val="nil"/>
            </w:tcBorders>
            <w:shd w:val="clear" w:color="auto" w:fill="EDF2F9"/>
            <w:noWrap/>
            <w:vAlign w:val="center"/>
            <w:hideMark/>
          </w:tcPr>
          <w:p w:rsidR="004123E6" w:rsidRPr="00065498" w:rsidRDefault="004123E6" w:rsidP="00FD07CA">
            <w:pPr>
              <w:spacing w:before="60" w:after="60"/>
              <w:jc w:val="center"/>
              <w:rPr>
                <w:rFonts w:eastAsia="Times New Roman" w:cs="Arial"/>
                <w:sz w:val="24"/>
                <w:szCs w:val="20"/>
              </w:rPr>
            </w:pPr>
            <w:r w:rsidRPr="00065498">
              <w:rPr>
                <w:rFonts w:eastAsia="Times New Roman" w:cs="Arial"/>
                <w:sz w:val="24"/>
                <w:szCs w:val="20"/>
              </w:rPr>
              <w:t>12</w:t>
            </w:r>
          </w:p>
        </w:tc>
        <w:tc>
          <w:tcPr>
            <w:tcW w:w="1008" w:type="pct"/>
            <w:tcBorders>
              <w:top w:val="nil"/>
              <w:bottom w:val="nil"/>
            </w:tcBorders>
            <w:shd w:val="clear" w:color="auto" w:fill="EDF2F9"/>
            <w:noWrap/>
            <w:vAlign w:val="center"/>
            <w:hideMark/>
          </w:tcPr>
          <w:p w:rsidR="004123E6" w:rsidRPr="00065498" w:rsidRDefault="004123E6" w:rsidP="00FD07CA">
            <w:pPr>
              <w:spacing w:before="60" w:after="60"/>
              <w:jc w:val="center"/>
              <w:rPr>
                <w:rFonts w:eastAsia="Times New Roman" w:cs="Arial"/>
                <w:sz w:val="24"/>
                <w:szCs w:val="20"/>
              </w:rPr>
            </w:pPr>
            <w:r w:rsidRPr="00065498">
              <w:rPr>
                <w:rFonts w:eastAsia="Times New Roman" w:cs="Arial"/>
                <w:sz w:val="24"/>
                <w:szCs w:val="20"/>
              </w:rPr>
              <w:t>5.8</w:t>
            </w:r>
          </w:p>
        </w:tc>
        <w:tc>
          <w:tcPr>
            <w:tcW w:w="1008" w:type="pct"/>
            <w:tcBorders>
              <w:top w:val="nil"/>
              <w:bottom w:val="nil"/>
            </w:tcBorders>
            <w:shd w:val="clear" w:color="auto" w:fill="EDF2F9"/>
            <w:noWrap/>
            <w:vAlign w:val="center"/>
            <w:hideMark/>
          </w:tcPr>
          <w:p w:rsidR="004123E6" w:rsidRPr="00065498" w:rsidRDefault="004123E6" w:rsidP="00FD07CA">
            <w:pPr>
              <w:spacing w:before="60" w:after="60"/>
              <w:jc w:val="center"/>
              <w:rPr>
                <w:rFonts w:eastAsia="Times New Roman" w:cs="Arial"/>
                <w:sz w:val="24"/>
                <w:szCs w:val="20"/>
              </w:rPr>
            </w:pPr>
            <w:r w:rsidRPr="00065498">
              <w:rPr>
                <w:rFonts w:eastAsia="Times New Roman" w:cs="Arial"/>
                <w:sz w:val="24"/>
                <w:szCs w:val="20"/>
              </w:rPr>
              <w:t>2.6</w:t>
            </w:r>
          </w:p>
        </w:tc>
      </w:tr>
      <w:tr w:rsidR="004123E6" w:rsidRPr="00065498" w:rsidTr="00FD07CA">
        <w:trPr>
          <w:trHeight w:val="255"/>
        </w:trPr>
        <w:tc>
          <w:tcPr>
            <w:tcW w:w="1976" w:type="pct"/>
            <w:tcBorders>
              <w:top w:val="nil"/>
              <w:bottom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23E6" w:rsidRPr="00065498" w:rsidRDefault="004123E6" w:rsidP="00FD07CA">
            <w:pPr>
              <w:spacing w:before="60" w:after="60"/>
              <w:rPr>
                <w:rFonts w:eastAsia="Times New Roman" w:cs="Arial"/>
                <w:sz w:val="24"/>
                <w:szCs w:val="20"/>
              </w:rPr>
            </w:pPr>
            <w:r w:rsidRPr="00065498">
              <w:rPr>
                <w:rFonts w:eastAsia="Times New Roman" w:cs="Arial"/>
                <w:sz w:val="24"/>
                <w:szCs w:val="20"/>
              </w:rPr>
              <w:t>Other formal arrangements with other domestic parties</w:t>
            </w:r>
          </w:p>
        </w:tc>
        <w:tc>
          <w:tcPr>
            <w:tcW w:w="1008" w:type="pct"/>
            <w:tcBorders>
              <w:top w:val="nil"/>
              <w:bottom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23E6" w:rsidRPr="00065498" w:rsidRDefault="004123E6" w:rsidP="00FD07CA">
            <w:pPr>
              <w:spacing w:before="60" w:after="60"/>
              <w:jc w:val="center"/>
              <w:rPr>
                <w:rFonts w:eastAsia="Times New Roman" w:cs="Arial"/>
                <w:sz w:val="24"/>
                <w:szCs w:val="20"/>
              </w:rPr>
            </w:pPr>
            <w:r w:rsidRPr="00065498">
              <w:rPr>
                <w:rFonts w:eastAsia="Times New Roman" w:cs="Arial"/>
                <w:sz w:val="24"/>
                <w:szCs w:val="20"/>
              </w:rPr>
              <w:t>17</w:t>
            </w:r>
          </w:p>
        </w:tc>
        <w:tc>
          <w:tcPr>
            <w:tcW w:w="1008" w:type="pct"/>
            <w:tcBorders>
              <w:top w:val="nil"/>
              <w:bottom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23E6" w:rsidRPr="00065498" w:rsidRDefault="004123E6" w:rsidP="00FD07CA">
            <w:pPr>
              <w:spacing w:before="60" w:after="60"/>
              <w:jc w:val="center"/>
              <w:rPr>
                <w:rFonts w:eastAsia="Times New Roman" w:cs="Arial"/>
                <w:sz w:val="24"/>
                <w:szCs w:val="20"/>
              </w:rPr>
            </w:pPr>
            <w:r w:rsidRPr="00065498">
              <w:rPr>
                <w:rFonts w:eastAsia="Times New Roman" w:cs="Arial"/>
                <w:sz w:val="24"/>
                <w:szCs w:val="20"/>
              </w:rPr>
              <w:t>31.0</w:t>
            </w:r>
          </w:p>
        </w:tc>
        <w:tc>
          <w:tcPr>
            <w:tcW w:w="1008" w:type="pct"/>
            <w:tcBorders>
              <w:top w:val="nil"/>
              <w:bottom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23E6" w:rsidRPr="00065498" w:rsidRDefault="004123E6" w:rsidP="00FD07CA">
            <w:pPr>
              <w:spacing w:before="60" w:after="60"/>
              <w:jc w:val="center"/>
              <w:rPr>
                <w:rFonts w:eastAsia="Times New Roman" w:cs="Arial"/>
                <w:sz w:val="24"/>
                <w:szCs w:val="20"/>
              </w:rPr>
            </w:pPr>
            <w:r w:rsidRPr="00065498">
              <w:rPr>
                <w:rFonts w:eastAsia="Times New Roman" w:cs="Arial"/>
                <w:sz w:val="24"/>
                <w:szCs w:val="20"/>
              </w:rPr>
              <w:t>19.5</w:t>
            </w:r>
          </w:p>
        </w:tc>
      </w:tr>
      <w:tr w:rsidR="004123E6" w:rsidRPr="00065498" w:rsidTr="00FD07CA">
        <w:trPr>
          <w:trHeight w:val="255"/>
        </w:trPr>
        <w:tc>
          <w:tcPr>
            <w:tcW w:w="1976" w:type="pct"/>
            <w:tcBorders>
              <w:top w:val="nil"/>
              <w:bottom w:val="single" w:sz="4" w:space="0" w:color="000000" w:themeColor="text1"/>
            </w:tcBorders>
            <w:shd w:val="clear" w:color="auto" w:fill="EDF2F9"/>
            <w:noWrap/>
            <w:vAlign w:val="center"/>
            <w:hideMark/>
          </w:tcPr>
          <w:p w:rsidR="004123E6" w:rsidRPr="00065498" w:rsidRDefault="004123E6" w:rsidP="00FD07CA">
            <w:pPr>
              <w:spacing w:before="60" w:after="60"/>
              <w:rPr>
                <w:rFonts w:eastAsia="Times New Roman" w:cs="Arial"/>
                <w:sz w:val="24"/>
                <w:szCs w:val="20"/>
              </w:rPr>
            </w:pPr>
            <w:r w:rsidRPr="00065498">
              <w:rPr>
                <w:rFonts w:eastAsia="Times New Roman" w:cs="Arial"/>
                <w:sz w:val="24"/>
                <w:szCs w:val="20"/>
              </w:rPr>
              <w:t>Other formal arrangements with overseas parties</w:t>
            </w:r>
          </w:p>
        </w:tc>
        <w:tc>
          <w:tcPr>
            <w:tcW w:w="1008" w:type="pct"/>
            <w:tcBorders>
              <w:top w:val="nil"/>
              <w:bottom w:val="single" w:sz="4" w:space="0" w:color="000000" w:themeColor="text1"/>
            </w:tcBorders>
            <w:shd w:val="clear" w:color="auto" w:fill="EDF2F9"/>
            <w:noWrap/>
            <w:vAlign w:val="center"/>
            <w:hideMark/>
          </w:tcPr>
          <w:p w:rsidR="004123E6" w:rsidRPr="00065498" w:rsidRDefault="004123E6" w:rsidP="00FD07CA">
            <w:pPr>
              <w:spacing w:before="60" w:after="60"/>
              <w:jc w:val="center"/>
              <w:rPr>
                <w:rFonts w:eastAsia="Times New Roman" w:cs="Arial"/>
                <w:sz w:val="24"/>
                <w:szCs w:val="20"/>
              </w:rPr>
            </w:pPr>
            <w:r w:rsidRPr="00065498">
              <w:rPr>
                <w:rFonts w:eastAsia="Times New Roman" w:cs="Arial"/>
                <w:sz w:val="24"/>
                <w:szCs w:val="20"/>
              </w:rPr>
              <w:t>4</w:t>
            </w:r>
          </w:p>
        </w:tc>
        <w:tc>
          <w:tcPr>
            <w:tcW w:w="1008" w:type="pct"/>
            <w:tcBorders>
              <w:top w:val="nil"/>
              <w:bottom w:val="single" w:sz="4" w:space="0" w:color="000000" w:themeColor="text1"/>
            </w:tcBorders>
            <w:shd w:val="clear" w:color="auto" w:fill="EDF2F9"/>
            <w:noWrap/>
            <w:vAlign w:val="center"/>
            <w:hideMark/>
          </w:tcPr>
          <w:p w:rsidR="004123E6" w:rsidRPr="00065498" w:rsidRDefault="004123E6" w:rsidP="00FD07CA">
            <w:pPr>
              <w:spacing w:before="60" w:after="60"/>
              <w:jc w:val="center"/>
              <w:rPr>
                <w:rFonts w:eastAsia="Times New Roman" w:cs="Arial"/>
                <w:sz w:val="24"/>
                <w:szCs w:val="20"/>
              </w:rPr>
            </w:pPr>
            <w:r w:rsidRPr="00065498">
              <w:rPr>
                <w:rFonts w:eastAsia="Times New Roman" w:cs="Arial"/>
                <w:sz w:val="24"/>
                <w:szCs w:val="20"/>
              </w:rPr>
              <w:t>11.8</w:t>
            </w:r>
          </w:p>
        </w:tc>
        <w:tc>
          <w:tcPr>
            <w:tcW w:w="1008" w:type="pct"/>
            <w:tcBorders>
              <w:top w:val="nil"/>
              <w:bottom w:val="single" w:sz="4" w:space="0" w:color="000000" w:themeColor="text1"/>
            </w:tcBorders>
            <w:shd w:val="clear" w:color="auto" w:fill="EDF2F9"/>
            <w:noWrap/>
            <w:vAlign w:val="center"/>
            <w:hideMark/>
          </w:tcPr>
          <w:p w:rsidR="004123E6" w:rsidRPr="00065498" w:rsidRDefault="004123E6" w:rsidP="00FD07CA">
            <w:pPr>
              <w:spacing w:before="60" w:after="60"/>
              <w:jc w:val="center"/>
              <w:rPr>
                <w:rFonts w:eastAsia="Times New Roman" w:cs="Arial"/>
                <w:sz w:val="24"/>
                <w:szCs w:val="20"/>
              </w:rPr>
            </w:pPr>
            <w:r w:rsidRPr="00065498">
              <w:rPr>
                <w:rFonts w:eastAsia="Times New Roman" w:cs="Arial"/>
                <w:sz w:val="24"/>
                <w:szCs w:val="20"/>
              </w:rPr>
              <w:t>1.7</w:t>
            </w:r>
          </w:p>
        </w:tc>
      </w:tr>
    </w:tbl>
    <w:p w:rsidR="00E015E0" w:rsidRPr="00E015E0" w:rsidRDefault="00E015E0" w:rsidP="00E015E0">
      <w:r>
        <w:br w:type="page"/>
      </w:r>
    </w:p>
    <w:p w:rsidR="005C73A9" w:rsidRPr="00A4227A" w:rsidRDefault="005C73A9" w:rsidP="00E015E0">
      <w:pPr>
        <w:pStyle w:val="Heading2"/>
      </w:pPr>
      <w:r w:rsidRPr="00A4227A">
        <w:lastRenderedPageBreak/>
        <w:t>National footprint of NCRIS projects</w:t>
      </w:r>
    </w:p>
    <w:p w:rsidR="00FE1A64" w:rsidRDefault="005C73A9" w:rsidP="00FE1A64">
      <w:r>
        <w:t>Over 1700 highly skilled STEM workers are employed as a result of NCRIS. They are located around Australian in proportions broadly similar to the overall Australian population</w:t>
      </w:r>
      <w:r w:rsidRPr="00692459">
        <w:t xml:space="preserve">. </w:t>
      </w:r>
      <w:r w:rsidR="001D3520">
        <w:t>Figure 4</w:t>
      </w:r>
      <w:r>
        <w:t xml:space="preserve"> shows that nearly three-quarters of NCRIS project staff were employed in technical capacities (74%), with the majority of the remainder </w:t>
      </w:r>
      <w:r w:rsidR="00692459">
        <w:t xml:space="preserve">(16%) </w:t>
      </w:r>
      <w:r>
        <w:t>in management</w:t>
      </w:r>
      <w:r w:rsidR="00692459">
        <w:t>/administration.</w:t>
      </w:r>
    </w:p>
    <w:p w:rsidR="005C73A9" w:rsidRDefault="005C73A9" w:rsidP="005C73A9">
      <w:pPr>
        <w:ind w:left="720" w:firstLine="720"/>
        <w:rPr>
          <w:rFonts w:eastAsiaTheme="minorEastAsia"/>
          <w:b/>
          <w:bCs/>
          <w:sz w:val="24"/>
          <w:szCs w:val="24"/>
          <w:lang w:eastAsia="en-AU"/>
        </w:rPr>
      </w:pPr>
      <w:r w:rsidRPr="005C73A9">
        <w:rPr>
          <w:rFonts w:eastAsiaTheme="minorEastAsia"/>
          <w:b/>
          <w:bCs/>
          <w:sz w:val="24"/>
          <w:szCs w:val="24"/>
          <w:lang w:eastAsia="en-AU"/>
        </w:rPr>
        <w:t xml:space="preserve">Figure </w:t>
      </w:r>
      <w:r w:rsidR="001D3520">
        <w:rPr>
          <w:rFonts w:eastAsiaTheme="minorEastAsia"/>
          <w:b/>
          <w:bCs/>
          <w:sz w:val="24"/>
          <w:szCs w:val="24"/>
          <w:lang w:eastAsia="en-AU"/>
        </w:rPr>
        <w:t>4</w:t>
      </w:r>
      <w:r w:rsidRPr="005C73A9">
        <w:rPr>
          <w:rFonts w:eastAsiaTheme="minorEastAsia"/>
          <w:b/>
          <w:bCs/>
          <w:sz w:val="24"/>
          <w:szCs w:val="24"/>
          <w:lang w:eastAsia="en-AU"/>
        </w:rPr>
        <w:t xml:space="preserve">: </w:t>
      </w:r>
      <w:r w:rsidR="000E4C7A">
        <w:rPr>
          <w:rFonts w:eastAsiaTheme="minorEastAsia"/>
          <w:b/>
          <w:bCs/>
          <w:sz w:val="24"/>
          <w:szCs w:val="24"/>
          <w:lang w:eastAsia="en-AU"/>
        </w:rPr>
        <w:t>National footprint of staff employed by</w:t>
      </w:r>
      <w:r w:rsidRPr="005C73A9">
        <w:rPr>
          <w:rFonts w:eastAsiaTheme="minorEastAsia"/>
          <w:b/>
          <w:bCs/>
          <w:sz w:val="24"/>
          <w:szCs w:val="24"/>
          <w:lang w:eastAsia="en-AU"/>
        </w:rPr>
        <w:t xml:space="preserve"> </w:t>
      </w:r>
      <w:r w:rsidR="00D75984" w:rsidRPr="005C73A9">
        <w:rPr>
          <w:rFonts w:eastAsiaTheme="minorEastAsia"/>
          <w:b/>
          <w:bCs/>
          <w:sz w:val="24"/>
          <w:szCs w:val="24"/>
          <w:lang w:eastAsia="en-AU"/>
        </w:rPr>
        <w:t xml:space="preserve">NCRIS </w:t>
      </w:r>
      <w:r w:rsidR="00D75984">
        <w:rPr>
          <w:rFonts w:eastAsiaTheme="minorEastAsia"/>
          <w:b/>
          <w:bCs/>
          <w:sz w:val="24"/>
          <w:szCs w:val="24"/>
          <w:lang w:eastAsia="en-AU"/>
        </w:rPr>
        <w:t>projects</w:t>
      </w:r>
    </w:p>
    <w:p w:rsidR="005C73A9" w:rsidRDefault="005C73A9" w:rsidP="005C73A9">
      <w:pPr>
        <w:jc w:val="center"/>
      </w:pPr>
      <w:r w:rsidRPr="005C73A9">
        <w:rPr>
          <w:noProof/>
          <w:lang w:eastAsia="en-AU"/>
        </w:rPr>
        <w:drawing>
          <wp:inline distT="0" distB="0" distL="0" distR="0" wp14:anchorId="4CA21F47" wp14:editId="0296CFD9">
            <wp:extent cx="4215740" cy="2375065"/>
            <wp:effectExtent l="0" t="0" r="13970" b="25400"/>
            <wp:docPr id="1" name="Chart 1" descr="The graph shows NCRIS project staff were employed in the following capacities:&#10;Technical (47%)&#10;Governance (3%)&#10;Management/administration (16%)&#10;All other activities (7%)." title="National footprint of staff employed by NCRIS project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E1A64" w:rsidRPr="00A4227A" w:rsidRDefault="00FE1A64" w:rsidP="00E015E0">
      <w:pPr>
        <w:pStyle w:val="Heading2"/>
      </w:pPr>
      <w:r w:rsidRPr="00A4227A">
        <w:t>Resources</w:t>
      </w:r>
    </w:p>
    <w:p w:rsidR="0016253F" w:rsidRDefault="002E556F" w:rsidP="0016253F">
      <w:r>
        <w:t>As well as funding from NCRIS, projects were supported by funding from state and territory governments, industry and private donations (philanthropy).</w:t>
      </w:r>
      <w:r w:rsidR="00EE08B1">
        <w:t xml:space="preserve"> </w:t>
      </w:r>
    </w:p>
    <w:p w:rsidR="005C73A9" w:rsidRDefault="004E4386" w:rsidP="00FE1A64">
      <w:r>
        <w:t>The largest single category of expenditure across NCRIS projects in the 2013-14 financial year was the maintenance of existing infrastructure, which consumed 50% of funding available to the 27 NCRIS projects surveyed.</w:t>
      </w:r>
    </w:p>
    <w:p w:rsidR="002E556F" w:rsidRDefault="002E556F" w:rsidP="00FE1A64">
      <w:r>
        <w:t>A large number of projects indicated that they faced at least some level of skill shortage when looking to fill vacancies.</w:t>
      </w:r>
      <w:r w:rsidR="004E4386">
        <w:t xml:space="preserve"> These shortages mostly took the form of a lack of relevant experience and/or technical support knowledge.</w:t>
      </w:r>
    </w:p>
    <w:p w:rsidR="00FE1A64" w:rsidRPr="00A4227A" w:rsidRDefault="00FE1A64" w:rsidP="00E015E0">
      <w:pPr>
        <w:pStyle w:val="Heading2"/>
      </w:pPr>
      <w:r w:rsidRPr="00A4227A">
        <w:t>Outcomes and benefits for Australia</w:t>
      </w:r>
    </w:p>
    <w:p w:rsidR="002E556F" w:rsidRDefault="00D200C8" w:rsidP="002E556F">
      <w:r w:rsidRPr="00E60290">
        <w:t xml:space="preserve">Figure </w:t>
      </w:r>
      <w:r w:rsidR="001D3520">
        <w:t>5</w:t>
      </w:r>
      <w:r>
        <w:t xml:space="preserve"> shows that </w:t>
      </w:r>
      <w:r w:rsidR="002C7A0F">
        <w:t xml:space="preserve">NCRIS projects </w:t>
      </w:r>
      <w:r>
        <w:t>were able to quantify the number of scientific journal publications produced as a direct result of researchers making use of project infrastructure</w:t>
      </w:r>
      <w:r w:rsidR="0066790A">
        <w:t xml:space="preserve">. </w:t>
      </w:r>
      <w:r w:rsidR="002E556F">
        <w:t xml:space="preserve">Outcomes and benefits included academic outcomes (scientific journal publications and associated citations; conference papers and other </w:t>
      </w:r>
      <w:r w:rsidR="006C0AB2">
        <w:t>publications, etc</w:t>
      </w:r>
      <w:r w:rsidR="002E556F">
        <w:t>), as well as industry/commercia</w:t>
      </w:r>
      <w:r w:rsidR="006C0AB2">
        <w:t>lisa</w:t>
      </w:r>
      <w:r w:rsidR="002E556F">
        <w:t>tion outcomes (</w:t>
      </w:r>
      <w:r w:rsidR="006C0AB2">
        <w:t>new and improved products, processes and services introduced to the market; proof of concept products; clinical trials; etc) and intellectual property outcomes (copyrighted materials; patents; invention disclosures; plant breeders rights; licences)</w:t>
      </w:r>
      <w:r>
        <w:t>.</w:t>
      </w:r>
    </w:p>
    <w:p w:rsidR="00D200C8" w:rsidRDefault="00D200C8" w:rsidP="00D200C8">
      <w:pPr>
        <w:pStyle w:val="Caption"/>
        <w:rPr>
          <w:b w:val="0"/>
        </w:rPr>
      </w:pPr>
      <w:bookmarkStart w:id="7" w:name="_Ref402247430"/>
      <w:r>
        <w:lastRenderedPageBreak/>
        <w:t xml:space="preserve">Figure </w:t>
      </w:r>
      <w:bookmarkEnd w:id="7"/>
      <w:r w:rsidR="001D3520">
        <w:t>5</w:t>
      </w:r>
      <w:r>
        <w:t>: Research outcomes produced as a direct result of project infrastructure</w:t>
      </w:r>
      <w:r>
        <w:rPr>
          <w:b w:val="0"/>
        </w:rPr>
        <w:br/>
      </w:r>
      <w:r>
        <w:rPr>
          <w:b w:val="0"/>
          <w:sz w:val="22"/>
        </w:rPr>
        <w:t>All projects (n=27)</w:t>
      </w:r>
    </w:p>
    <w:p w:rsidR="00D200C8" w:rsidRDefault="00D200C8" w:rsidP="00D200C8">
      <w:pPr>
        <w:pStyle w:val="Style1"/>
      </w:pPr>
      <w:r>
        <w:rPr>
          <w:noProof/>
          <w:lang w:eastAsia="en-AU"/>
        </w:rPr>
        <w:drawing>
          <wp:inline distT="0" distB="0" distL="0" distR="0" wp14:anchorId="6FBD7314" wp14:editId="51F4CB43">
            <wp:extent cx="5735955" cy="3040380"/>
            <wp:effectExtent l="0" t="0" r="0" b="0"/>
            <wp:docPr id="6" name="Picture 6" descr="Figure 6 shows the following results for the 27 NCRIS projects surveyed: &#10;20 were able to quantify the number of scientific journal publications produced; 2 projects were unable to quantify; 1 project did not produce publications at the time of the survey; and the information was not available by four projects.&#10;9 projects produced citations of these publications; 12 produced, but were unable to quantify; 1 project produce none; the information was not available for four projects; and for 1 project this question was not applicable.  &#10;6 projects produced other publications citing project; 15 produced but unable to quantify; this information was not available by 4 projects; and 2 projects recorded none.&#10;14 projects produced conference papers; 9 projects produced, but were unable to quantify; and this informaiton was not available at four projects.&#10;" title="Figure 6: Research outcomes produced as a direct result of project infra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64" w:rsidRPr="00A4227A" w:rsidRDefault="00FE1A64" w:rsidP="00E015E0">
      <w:pPr>
        <w:pStyle w:val="Heading2"/>
      </w:pPr>
      <w:r w:rsidRPr="00A4227A">
        <w:t>FUTURE ACTION</w:t>
      </w:r>
    </w:p>
    <w:p w:rsidR="00DB166A" w:rsidRDefault="00A01F31">
      <w:r>
        <w:t>The D</w:t>
      </w:r>
      <w:r w:rsidR="001F0D78" w:rsidRPr="0016253F">
        <w:t xml:space="preserve">epartment </w:t>
      </w:r>
      <w:r w:rsidR="0016253F">
        <w:t>will</w:t>
      </w:r>
      <w:r w:rsidR="001F0D78" w:rsidRPr="0016253F">
        <w:t xml:space="preserve"> conduct </w:t>
      </w:r>
      <w:r w:rsidR="0016253F">
        <w:t xml:space="preserve">a </w:t>
      </w:r>
      <w:r w:rsidR="001F0D78" w:rsidRPr="0016253F">
        <w:t xml:space="preserve">survey </w:t>
      </w:r>
      <w:r w:rsidR="0016253F">
        <w:t>to collect 2015 data and begin longitudinal data capture and reporting on NCRIS.</w:t>
      </w:r>
      <w:r w:rsidR="001F0D78">
        <w:t xml:space="preserve"> </w:t>
      </w:r>
    </w:p>
    <w:sectPr w:rsidR="00DB16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543" w:rsidRDefault="007A1543" w:rsidP="007A1543">
      <w:r>
        <w:separator/>
      </w:r>
    </w:p>
  </w:endnote>
  <w:endnote w:type="continuationSeparator" w:id="0">
    <w:p w:rsidR="007A1543" w:rsidRDefault="007A1543" w:rsidP="007A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EB1" w:rsidRDefault="003E2E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0515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CDD" w:rsidRDefault="00ED6C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F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D6CDD" w:rsidRDefault="00ED6C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EB1" w:rsidRDefault="003E2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543" w:rsidRDefault="007A1543" w:rsidP="007A1543">
      <w:r>
        <w:separator/>
      </w:r>
    </w:p>
  </w:footnote>
  <w:footnote w:type="continuationSeparator" w:id="0">
    <w:p w:rsidR="007A1543" w:rsidRDefault="007A1543" w:rsidP="007A1543">
      <w:r>
        <w:continuationSeparator/>
      </w:r>
    </w:p>
  </w:footnote>
  <w:footnote w:id="1">
    <w:p w:rsidR="009F5AEC" w:rsidRDefault="009F5AEC">
      <w:pPr>
        <w:pStyle w:val="FootnoteText"/>
      </w:pPr>
      <w:r>
        <w:rPr>
          <w:rStyle w:val="FootnoteReference"/>
        </w:rPr>
        <w:footnoteRef/>
      </w:r>
      <w:r>
        <w:t xml:space="preserve"> A “researcher” is defined as an identifiable individual making use of project infrastructure for a specified project. Some individuals may be double-counted in this figure (for instance, if the same individual made use of infrastructure at two different projects, this would count as two different “researchers”)—however, individuals may also be </w:t>
      </w:r>
      <w:r>
        <w:rPr>
          <w:i/>
        </w:rPr>
        <w:t>under</w:t>
      </w:r>
      <w:r>
        <w:t xml:space="preserve"> counted (for instance, when one applicant gains access to infrastructure on behalf of others, or makes use of one of the 6 projects where records were not kept).</w:t>
      </w:r>
    </w:p>
  </w:footnote>
  <w:footnote w:id="2">
    <w:p w:rsidR="007A1543" w:rsidRPr="009F5AEC" w:rsidRDefault="007A1543" w:rsidP="009F5AE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EB1" w:rsidRDefault="003E2E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EB1" w:rsidRDefault="003E2E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EB1" w:rsidRDefault="003E2E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1B7"/>
    <w:multiLevelType w:val="hybridMultilevel"/>
    <w:tmpl w:val="0CF0B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B5F86"/>
    <w:multiLevelType w:val="hybridMultilevel"/>
    <w:tmpl w:val="DA663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32262"/>
    <w:multiLevelType w:val="hybridMultilevel"/>
    <w:tmpl w:val="A754BA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842A5"/>
    <w:multiLevelType w:val="hybridMultilevel"/>
    <w:tmpl w:val="C418542A"/>
    <w:lvl w:ilvl="0" w:tplc="0B86993A">
      <w:start w:val="1"/>
      <w:numFmt w:val="bullet"/>
      <w:pStyle w:val="Bullets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A770DFD0">
      <w:start w:val="1"/>
      <w:numFmt w:val="bullet"/>
      <w:pStyle w:val="Sub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64"/>
    <w:rsid w:val="000D3946"/>
    <w:rsid w:val="000E4C7A"/>
    <w:rsid w:val="000E50A5"/>
    <w:rsid w:val="000F32B3"/>
    <w:rsid w:val="0014105E"/>
    <w:rsid w:val="0016253F"/>
    <w:rsid w:val="00182B61"/>
    <w:rsid w:val="00192182"/>
    <w:rsid w:val="001D08E5"/>
    <w:rsid w:val="001D3520"/>
    <w:rsid w:val="001E1656"/>
    <w:rsid w:val="001E5CA2"/>
    <w:rsid w:val="001F0D78"/>
    <w:rsid w:val="002121D1"/>
    <w:rsid w:val="002263C2"/>
    <w:rsid w:val="0023341A"/>
    <w:rsid w:val="00283D40"/>
    <w:rsid w:val="002C7A0F"/>
    <w:rsid w:val="002E556F"/>
    <w:rsid w:val="00307F30"/>
    <w:rsid w:val="00322393"/>
    <w:rsid w:val="003246C7"/>
    <w:rsid w:val="00387226"/>
    <w:rsid w:val="003A0E63"/>
    <w:rsid w:val="003A4534"/>
    <w:rsid w:val="003C167D"/>
    <w:rsid w:val="003C5402"/>
    <w:rsid w:val="003E2EB1"/>
    <w:rsid w:val="004123E6"/>
    <w:rsid w:val="004558BA"/>
    <w:rsid w:val="00457B85"/>
    <w:rsid w:val="00491813"/>
    <w:rsid w:val="004B3244"/>
    <w:rsid w:val="004B4823"/>
    <w:rsid w:val="004E4386"/>
    <w:rsid w:val="005A7316"/>
    <w:rsid w:val="005B4FDA"/>
    <w:rsid w:val="005C73A9"/>
    <w:rsid w:val="005D4E00"/>
    <w:rsid w:val="005D6825"/>
    <w:rsid w:val="005F6E26"/>
    <w:rsid w:val="00632910"/>
    <w:rsid w:val="00644E5E"/>
    <w:rsid w:val="0066790A"/>
    <w:rsid w:val="0067514D"/>
    <w:rsid w:val="00692459"/>
    <w:rsid w:val="006A447F"/>
    <w:rsid w:val="006B2B9A"/>
    <w:rsid w:val="006C0AB2"/>
    <w:rsid w:val="00716F43"/>
    <w:rsid w:val="00764271"/>
    <w:rsid w:val="00774975"/>
    <w:rsid w:val="00785249"/>
    <w:rsid w:val="00796DAD"/>
    <w:rsid w:val="007A1543"/>
    <w:rsid w:val="007A67BF"/>
    <w:rsid w:val="007C6F3E"/>
    <w:rsid w:val="007C7511"/>
    <w:rsid w:val="007C78C2"/>
    <w:rsid w:val="00816EED"/>
    <w:rsid w:val="008260D5"/>
    <w:rsid w:val="00842C8E"/>
    <w:rsid w:val="00846C4A"/>
    <w:rsid w:val="008553BB"/>
    <w:rsid w:val="00881B2C"/>
    <w:rsid w:val="008D44E8"/>
    <w:rsid w:val="00932482"/>
    <w:rsid w:val="00955648"/>
    <w:rsid w:val="00991065"/>
    <w:rsid w:val="009978A9"/>
    <w:rsid w:val="009B57CD"/>
    <w:rsid w:val="009E5240"/>
    <w:rsid w:val="009F5AEC"/>
    <w:rsid w:val="00A01F31"/>
    <w:rsid w:val="00A375A1"/>
    <w:rsid w:val="00A4227A"/>
    <w:rsid w:val="00A64D9A"/>
    <w:rsid w:val="00A67A5B"/>
    <w:rsid w:val="00AC50C1"/>
    <w:rsid w:val="00AD064C"/>
    <w:rsid w:val="00B0337A"/>
    <w:rsid w:val="00B71AA9"/>
    <w:rsid w:val="00BD17AF"/>
    <w:rsid w:val="00C51155"/>
    <w:rsid w:val="00C80BD1"/>
    <w:rsid w:val="00C84059"/>
    <w:rsid w:val="00CE1947"/>
    <w:rsid w:val="00CF2A62"/>
    <w:rsid w:val="00D200C8"/>
    <w:rsid w:val="00D35D98"/>
    <w:rsid w:val="00D50F54"/>
    <w:rsid w:val="00D75984"/>
    <w:rsid w:val="00D81047"/>
    <w:rsid w:val="00DB166A"/>
    <w:rsid w:val="00DF1B82"/>
    <w:rsid w:val="00E0125C"/>
    <w:rsid w:val="00E015E0"/>
    <w:rsid w:val="00E428B4"/>
    <w:rsid w:val="00E50800"/>
    <w:rsid w:val="00E60290"/>
    <w:rsid w:val="00E7695A"/>
    <w:rsid w:val="00E95A20"/>
    <w:rsid w:val="00ED6CDD"/>
    <w:rsid w:val="00EE08B1"/>
    <w:rsid w:val="00EF1C24"/>
    <w:rsid w:val="00F134CC"/>
    <w:rsid w:val="00F15A8B"/>
    <w:rsid w:val="00F24831"/>
    <w:rsid w:val="00F319E1"/>
    <w:rsid w:val="00F47809"/>
    <w:rsid w:val="00FA5FF0"/>
    <w:rsid w:val="00FC4B42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B1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2E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E015E0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A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0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D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D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D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7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154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15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A154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15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15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154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73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316"/>
  </w:style>
  <w:style w:type="paragraph" w:styleId="Footer">
    <w:name w:val="footer"/>
    <w:basedOn w:val="Normal"/>
    <w:link w:val="FooterChar"/>
    <w:uiPriority w:val="99"/>
    <w:unhideWhenUsed/>
    <w:rsid w:val="005A73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316"/>
  </w:style>
  <w:style w:type="paragraph" w:styleId="Caption">
    <w:name w:val="caption"/>
    <w:basedOn w:val="Normal"/>
    <w:next w:val="Normal"/>
    <w:uiPriority w:val="35"/>
    <w:unhideWhenUsed/>
    <w:qFormat/>
    <w:rsid w:val="005A7316"/>
    <w:pPr>
      <w:keepNext/>
      <w:spacing w:before="60"/>
      <w:jc w:val="center"/>
    </w:pPr>
    <w:rPr>
      <w:rFonts w:eastAsiaTheme="minorEastAsia"/>
      <w:b/>
      <w:bCs/>
      <w:sz w:val="24"/>
      <w:szCs w:val="24"/>
      <w:lang w:eastAsia="en-AU"/>
    </w:rPr>
  </w:style>
  <w:style w:type="character" w:customStyle="1" w:styleId="Style1Char">
    <w:name w:val="Style1 Char"/>
    <w:basedOn w:val="DefaultParagraphFont"/>
    <w:link w:val="Style1"/>
    <w:uiPriority w:val="99"/>
    <w:locked/>
    <w:rsid w:val="005A7316"/>
    <w:rPr>
      <w:sz w:val="24"/>
    </w:rPr>
  </w:style>
  <w:style w:type="paragraph" w:customStyle="1" w:styleId="Style1">
    <w:name w:val="Style1"/>
    <w:basedOn w:val="NoSpacing"/>
    <w:link w:val="Style1Char"/>
    <w:uiPriority w:val="99"/>
    <w:qFormat/>
    <w:rsid w:val="005A7316"/>
    <w:pPr>
      <w:spacing w:before="120" w:after="120"/>
    </w:pPr>
    <w:rPr>
      <w:sz w:val="24"/>
    </w:rPr>
  </w:style>
  <w:style w:type="paragraph" w:styleId="NoSpacing">
    <w:name w:val="No Spacing"/>
    <w:uiPriority w:val="1"/>
    <w:qFormat/>
    <w:rsid w:val="005A7316"/>
  </w:style>
  <w:style w:type="character" w:customStyle="1" w:styleId="BulletsChar">
    <w:name w:val="Bullets Char"/>
    <w:basedOn w:val="DefaultParagraphFont"/>
    <w:link w:val="Bullets"/>
    <w:locked/>
    <w:rsid w:val="00E7695A"/>
    <w:rPr>
      <w:rFonts w:ascii="Calibri" w:hAnsi="Calibri" w:cs="Calibri"/>
      <w:sz w:val="24"/>
    </w:rPr>
  </w:style>
  <w:style w:type="paragraph" w:customStyle="1" w:styleId="Bullets">
    <w:name w:val="Bullets"/>
    <w:basedOn w:val="ListParagraph"/>
    <w:link w:val="BulletsChar"/>
    <w:qFormat/>
    <w:rsid w:val="00E7695A"/>
    <w:pPr>
      <w:numPr>
        <w:numId w:val="4"/>
      </w:numPr>
      <w:spacing w:after="60" w:line="276" w:lineRule="auto"/>
      <w:ind w:right="709"/>
    </w:pPr>
    <w:rPr>
      <w:rFonts w:ascii="Calibri" w:hAnsi="Calibri" w:cs="Calibri"/>
      <w:sz w:val="24"/>
    </w:rPr>
  </w:style>
  <w:style w:type="paragraph" w:customStyle="1" w:styleId="Subbullet">
    <w:name w:val="Sub bullet"/>
    <w:basedOn w:val="Bullets"/>
    <w:qFormat/>
    <w:rsid w:val="00E7695A"/>
    <w:pPr>
      <w:numPr>
        <w:ilvl w:val="1"/>
      </w:numPr>
      <w:tabs>
        <w:tab w:val="num" w:pos="360"/>
      </w:tabs>
      <w:ind w:right="567"/>
    </w:pPr>
  </w:style>
  <w:style w:type="paragraph" w:styleId="Title">
    <w:name w:val="Title"/>
    <w:basedOn w:val="Normal"/>
    <w:next w:val="Normal"/>
    <w:link w:val="TitleChar"/>
    <w:uiPriority w:val="10"/>
    <w:qFormat/>
    <w:rsid w:val="003E2EB1"/>
    <w:pPr>
      <w:pBdr>
        <w:bottom w:val="single" w:sz="8" w:space="4" w:color="4F81BD" w:themeColor="accent1"/>
      </w:pBdr>
      <w:spacing w:after="48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2E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E2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8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24831"/>
    <w:rPr>
      <w:rFonts w:asciiTheme="majorHAnsi" w:eastAsiaTheme="majorEastAsia" w:hAnsiTheme="majorHAnsi" w:cstheme="majorBidi"/>
      <w:i/>
      <w:iCs/>
      <w:color w:val="4F81BD" w:themeColor="accent1"/>
      <w:spacing w:val="1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15E0"/>
    <w:rPr>
      <w:rFonts w:asciiTheme="majorHAnsi" w:eastAsiaTheme="majorEastAsia" w:hAnsiTheme="majorHAnsi" w:cstheme="majorBidi"/>
      <w:i/>
      <w:iCs/>
      <w:color w:val="4F81BD" w:themeColor="accent1"/>
      <w:spacing w:val="1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B1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2E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E015E0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A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0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D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D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D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7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154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15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A154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15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15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154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73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316"/>
  </w:style>
  <w:style w:type="paragraph" w:styleId="Footer">
    <w:name w:val="footer"/>
    <w:basedOn w:val="Normal"/>
    <w:link w:val="FooterChar"/>
    <w:uiPriority w:val="99"/>
    <w:unhideWhenUsed/>
    <w:rsid w:val="005A73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316"/>
  </w:style>
  <w:style w:type="paragraph" w:styleId="Caption">
    <w:name w:val="caption"/>
    <w:basedOn w:val="Normal"/>
    <w:next w:val="Normal"/>
    <w:uiPriority w:val="35"/>
    <w:unhideWhenUsed/>
    <w:qFormat/>
    <w:rsid w:val="005A7316"/>
    <w:pPr>
      <w:keepNext/>
      <w:spacing w:before="60"/>
      <w:jc w:val="center"/>
    </w:pPr>
    <w:rPr>
      <w:rFonts w:eastAsiaTheme="minorEastAsia"/>
      <w:b/>
      <w:bCs/>
      <w:sz w:val="24"/>
      <w:szCs w:val="24"/>
      <w:lang w:eastAsia="en-AU"/>
    </w:rPr>
  </w:style>
  <w:style w:type="character" w:customStyle="1" w:styleId="Style1Char">
    <w:name w:val="Style1 Char"/>
    <w:basedOn w:val="DefaultParagraphFont"/>
    <w:link w:val="Style1"/>
    <w:uiPriority w:val="99"/>
    <w:locked/>
    <w:rsid w:val="005A7316"/>
    <w:rPr>
      <w:sz w:val="24"/>
    </w:rPr>
  </w:style>
  <w:style w:type="paragraph" w:customStyle="1" w:styleId="Style1">
    <w:name w:val="Style1"/>
    <w:basedOn w:val="NoSpacing"/>
    <w:link w:val="Style1Char"/>
    <w:uiPriority w:val="99"/>
    <w:qFormat/>
    <w:rsid w:val="005A7316"/>
    <w:pPr>
      <w:spacing w:before="120" w:after="120"/>
    </w:pPr>
    <w:rPr>
      <w:sz w:val="24"/>
    </w:rPr>
  </w:style>
  <w:style w:type="paragraph" w:styleId="NoSpacing">
    <w:name w:val="No Spacing"/>
    <w:uiPriority w:val="1"/>
    <w:qFormat/>
    <w:rsid w:val="005A7316"/>
  </w:style>
  <w:style w:type="character" w:customStyle="1" w:styleId="BulletsChar">
    <w:name w:val="Bullets Char"/>
    <w:basedOn w:val="DefaultParagraphFont"/>
    <w:link w:val="Bullets"/>
    <w:locked/>
    <w:rsid w:val="00E7695A"/>
    <w:rPr>
      <w:rFonts w:ascii="Calibri" w:hAnsi="Calibri" w:cs="Calibri"/>
      <w:sz w:val="24"/>
    </w:rPr>
  </w:style>
  <w:style w:type="paragraph" w:customStyle="1" w:styleId="Bullets">
    <w:name w:val="Bullets"/>
    <w:basedOn w:val="ListParagraph"/>
    <w:link w:val="BulletsChar"/>
    <w:qFormat/>
    <w:rsid w:val="00E7695A"/>
    <w:pPr>
      <w:numPr>
        <w:numId w:val="4"/>
      </w:numPr>
      <w:spacing w:after="60" w:line="276" w:lineRule="auto"/>
      <w:ind w:right="709"/>
    </w:pPr>
    <w:rPr>
      <w:rFonts w:ascii="Calibri" w:hAnsi="Calibri" w:cs="Calibri"/>
      <w:sz w:val="24"/>
    </w:rPr>
  </w:style>
  <w:style w:type="paragraph" w:customStyle="1" w:styleId="Subbullet">
    <w:name w:val="Sub bullet"/>
    <w:basedOn w:val="Bullets"/>
    <w:qFormat/>
    <w:rsid w:val="00E7695A"/>
    <w:pPr>
      <w:numPr>
        <w:ilvl w:val="1"/>
      </w:numPr>
      <w:tabs>
        <w:tab w:val="num" w:pos="360"/>
      </w:tabs>
      <w:ind w:right="567"/>
    </w:pPr>
  </w:style>
  <w:style w:type="paragraph" w:styleId="Title">
    <w:name w:val="Title"/>
    <w:basedOn w:val="Normal"/>
    <w:next w:val="Normal"/>
    <w:link w:val="TitleChar"/>
    <w:uiPriority w:val="10"/>
    <w:qFormat/>
    <w:rsid w:val="003E2EB1"/>
    <w:pPr>
      <w:pBdr>
        <w:bottom w:val="single" w:sz="8" w:space="4" w:color="4F81BD" w:themeColor="accent1"/>
      </w:pBdr>
      <w:spacing w:after="48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2E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E2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8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24831"/>
    <w:rPr>
      <w:rFonts w:asciiTheme="majorHAnsi" w:eastAsiaTheme="majorEastAsia" w:hAnsiTheme="majorHAnsi" w:cstheme="majorBidi"/>
      <w:i/>
      <w:iCs/>
      <w:color w:val="4F81BD" w:themeColor="accent1"/>
      <w:spacing w:val="1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15E0"/>
    <w:rPr>
      <w:rFonts w:asciiTheme="majorHAnsi" w:eastAsiaTheme="majorEastAsia" w:hAnsiTheme="majorHAnsi" w:cstheme="majorBidi"/>
      <w:i/>
      <w:iCs/>
      <w:color w:val="4F81BD" w:themeColor="accent1"/>
      <w:spacing w:val="1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CBRDC02\Client_Folders_1\Department%20of%20Education\%232707%20NCRIS%20Evaluation%20Survey\8%20Charting%20&amp;%20Analysis\Overall%20charting%20(some%20template%20stuff)_4-11-1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20"/>
      <c:rotY val="34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ln>
                <a:solidFill>
                  <a:schemeClr val="accent1">
                    <a:lumMod val="50000"/>
                  </a:schemeClr>
                </a:solidFill>
              </a:ln>
            </c:spPr>
          </c:dPt>
          <c:dPt>
            <c:idx val="1"/>
            <c:bubble3D val="0"/>
            <c:spPr>
              <a:ln>
                <a:solidFill>
                  <a:schemeClr val="accent2">
                    <a:lumMod val="50000"/>
                  </a:schemeClr>
                </a:solidFill>
              </a:ln>
            </c:spPr>
          </c:dPt>
          <c:dPt>
            <c:idx val="2"/>
            <c:bubble3D val="0"/>
            <c:spPr>
              <a:ln>
                <a:solidFill>
                  <a:schemeClr val="accent3">
                    <a:lumMod val="5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>
                    <a:lumMod val="85000"/>
                    <a:lumOff val="1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6.3098692316864741E-2"/>
                  <c:y val="0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4.166666666666666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Calibri" panose="020F050202020403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employment!$P$50:$P$53</c:f>
              <c:strCache>
                <c:ptCount val="4"/>
                <c:pt idx="0">
                  <c:v>Governance</c:v>
                </c:pt>
                <c:pt idx="1">
                  <c:v>Management/ administration</c:v>
                </c:pt>
                <c:pt idx="2">
                  <c:v>Technical</c:v>
                </c:pt>
                <c:pt idx="3">
                  <c:v>All other activities</c:v>
                </c:pt>
              </c:strCache>
            </c:strRef>
          </c:cat>
          <c:val>
            <c:numRef>
              <c:f>employment!$Q$50:$Q$53</c:f>
              <c:numCache>
                <c:formatCode>0%</c:formatCode>
                <c:ptCount val="4"/>
                <c:pt idx="0">
                  <c:v>3.0660377358490566E-2</c:v>
                </c:pt>
                <c:pt idx="1">
                  <c:v>0.16037735849056603</c:v>
                </c:pt>
                <c:pt idx="2">
                  <c:v>0.73938679245283023</c:v>
                </c:pt>
                <c:pt idx="3">
                  <c:v>6.9575471698113206E-2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D2863-3477-4F36-9DE6-40080EDE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BD4C169.dotm</Template>
  <TotalTime>0</TotalTime>
  <Pages>5</Pages>
  <Words>868</Words>
  <Characters>4953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2016-04-26T04:34:00Z</dcterms:created>
  <dcterms:modified xsi:type="dcterms:W3CDTF">2016-04-26T04:34:00Z</dcterms:modified>
</cp:coreProperties>
</file>