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CB" w:rsidRDefault="00983D6E" w:rsidP="00B614CB">
      <w:pPr>
        <w:pStyle w:val="NormalWeb"/>
        <w:shd w:val="clear" w:color="auto" w:fill="FFFFFF"/>
        <w:jc w:val="center"/>
        <w:rPr>
          <w:rFonts w:ascii="Arial" w:hAnsi="Arial" w:cs="Arial"/>
          <w:color w:val="333333"/>
          <w:sz w:val="21"/>
          <w:szCs w:val="21"/>
          <w:lang w:val="en"/>
        </w:rPr>
      </w:pPr>
      <w:bookmarkStart w:id="0" w:name="_GoBack"/>
      <w:bookmarkEnd w:id="0"/>
      <w:r>
        <w:rPr>
          <w:noProof/>
        </w:rPr>
        <w:drawing>
          <wp:inline distT="0" distB="0" distL="0" distR="0">
            <wp:extent cx="2876550" cy="561975"/>
            <wp:effectExtent l="0" t="0" r="0" b="9525"/>
            <wp:docPr id="1" name="Picture 1"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and Trai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p>
    <w:p w:rsidR="00665091" w:rsidRPr="00EF06EC" w:rsidRDefault="00665091" w:rsidP="008E4BDB">
      <w:pPr>
        <w:pStyle w:val="Title"/>
      </w:pPr>
      <w:r w:rsidRPr="00EF06EC">
        <w:t>The Process for Determining Sustainable Research Excellence (SRE) Scheme Grant Amounts</w:t>
      </w:r>
      <w:r w:rsidR="001F0DAD" w:rsidRPr="00EF06EC">
        <w:t xml:space="preserve"> </w:t>
      </w:r>
      <w:r w:rsidR="008E4BDB">
        <w:t>-</w:t>
      </w:r>
      <w:r w:rsidR="008E4BDB" w:rsidRPr="00EF06EC">
        <w:t xml:space="preserve"> </w:t>
      </w:r>
      <w:r w:rsidR="00097D71">
        <w:t>201</w:t>
      </w:r>
      <w:r w:rsidR="0057421A">
        <w:t>6</w:t>
      </w:r>
      <w:r w:rsidR="00097D71" w:rsidRPr="00EF06EC">
        <w:t xml:space="preserve"> </w:t>
      </w:r>
      <w:r w:rsidR="005C22A2" w:rsidRPr="00EF06EC">
        <w:t>Allocations</w:t>
      </w:r>
    </w:p>
    <w:p w:rsidR="00665091" w:rsidRPr="00EF06EC" w:rsidRDefault="00665091" w:rsidP="00BD5AD2">
      <w:pPr>
        <w:pStyle w:val="Heading1"/>
      </w:pPr>
      <w:r w:rsidRPr="00EF06EC">
        <w:t>Purpose</w:t>
      </w:r>
    </w:p>
    <w:p w:rsidR="00665091" w:rsidRPr="00EF06EC" w:rsidRDefault="00665091" w:rsidP="00752357">
      <w:pPr>
        <w:pStyle w:val="BodyText"/>
      </w:pPr>
      <w:r w:rsidRPr="00EF06EC">
        <w:t>This document sets out the process by wh</w:t>
      </w:r>
      <w:r w:rsidR="0092677E">
        <w:t xml:space="preserve">ich the Department of </w:t>
      </w:r>
      <w:r w:rsidR="007D29B0">
        <w:t>Education</w:t>
      </w:r>
      <w:r w:rsidR="0057421A">
        <w:t xml:space="preserve"> and Training</w:t>
      </w:r>
      <w:r w:rsidR="007D29B0">
        <w:t xml:space="preserve"> </w:t>
      </w:r>
      <w:r w:rsidR="00B614CB">
        <w:t xml:space="preserve">(Education) </w:t>
      </w:r>
      <w:r w:rsidRPr="00EF06EC">
        <w:t xml:space="preserve">determines grant amounts for eligible </w:t>
      </w:r>
      <w:r w:rsidR="00316C4F" w:rsidRPr="00EF06EC">
        <w:t xml:space="preserve">Higher Education Providers </w:t>
      </w:r>
      <w:r w:rsidRPr="00EF06EC">
        <w:t xml:space="preserve">(HEPs) under the Sustainable Research Excellence </w:t>
      </w:r>
      <w:r w:rsidR="00BD5AD2">
        <w:t xml:space="preserve">for Universities </w:t>
      </w:r>
      <w:r w:rsidRPr="00EF06EC">
        <w:t xml:space="preserve">(SRE) </w:t>
      </w:r>
      <w:r w:rsidR="005C22A2" w:rsidRPr="00EF06EC">
        <w:t>s</w:t>
      </w:r>
      <w:r w:rsidRPr="00EF06EC">
        <w:t>cheme.</w:t>
      </w:r>
    </w:p>
    <w:p w:rsidR="00665091" w:rsidRPr="00EF06EC" w:rsidRDefault="00665091" w:rsidP="008E4BDB">
      <w:pPr>
        <w:pStyle w:val="BodyText"/>
      </w:pPr>
      <w:r w:rsidRPr="00EF06EC">
        <w:t xml:space="preserve">The SRE </w:t>
      </w:r>
      <w:r w:rsidR="005C22A2" w:rsidRPr="00EF06EC">
        <w:t>s</w:t>
      </w:r>
      <w:r w:rsidRPr="00EF06EC">
        <w:t xml:space="preserve">cheme is a </w:t>
      </w:r>
      <w:r w:rsidR="005C22A2" w:rsidRPr="00EF06EC">
        <w:t xml:space="preserve">Research Block Grant (RBG) </w:t>
      </w:r>
      <w:r w:rsidRPr="00EF06EC">
        <w:t xml:space="preserve">program under which grants can be paid for the purpose of supporting research by, and the research capability of, HEPs. </w:t>
      </w:r>
      <w:r w:rsidR="008E4BDB" w:rsidRPr="006D5E38">
        <w:t xml:space="preserve">The SRE Grant is made to support </w:t>
      </w:r>
      <w:r w:rsidR="008E4BDB">
        <w:t>HEP</w:t>
      </w:r>
      <w:r w:rsidR="005F7B92">
        <w:t>’</w:t>
      </w:r>
      <w:r w:rsidR="008E4BDB" w:rsidRPr="006D5E38">
        <w:t xml:space="preserve">s Australian </w:t>
      </w:r>
      <w:r w:rsidR="008E4BDB">
        <w:t>c</w:t>
      </w:r>
      <w:r w:rsidR="008E4BDB" w:rsidRPr="006D5E38">
        <w:t xml:space="preserve">ompetitive </w:t>
      </w:r>
      <w:r w:rsidR="008E4BDB">
        <w:t>g</w:t>
      </w:r>
      <w:r w:rsidR="008E4BDB" w:rsidRPr="006D5E38">
        <w:t>rant</w:t>
      </w:r>
      <w:r w:rsidR="008E4BDB">
        <w:t xml:space="preserve"> (ACG)</w:t>
      </w:r>
      <w:r w:rsidR="008E4BDB" w:rsidRPr="006D5E38">
        <w:t xml:space="preserve"> </w:t>
      </w:r>
      <w:r w:rsidR="008E4BDB">
        <w:t>r</w:t>
      </w:r>
      <w:r w:rsidR="008E4BDB" w:rsidRPr="006D5E38">
        <w:t>esearch.</w:t>
      </w:r>
      <w:r w:rsidR="008E4BDB">
        <w:t xml:space="preserve"> </w:t>
      </w:r>
      <w:r w:rsidRPr="00EF06EC">
        <w:t>The process for determining SRE grant amounts</w:t>
      </w:r>
      <w:r w:rsidR="001F0DAD" w:rsidRPr="00EF06EC">
        <w:t xml:space="preserve"> </w:t>
      </w:r>
      <w:r w:rsidRPr="00EF06EC">
        <w:t xml:space="preserve">is set out in this document. </w:t>
      </w:r>
    </w:p>
    <w:p w:rsidR="00665091" w:rsidRPr="00EF06EC" w:rsidRDefault="00665091" w:rsidP="00EF06EC">
      <w:pPr>
        <w:pStyle w:val="BodyText"/>
      </w:pPr>
      <w:r w:rsidRPr="00EF06EC">
        <w:t xml:space="preserve">Guidelines for the SRE Scheme are contained in Chapter 1 of the </w:t>
      </w:r>
      <w:r w:rsidRPr="004B319F">
        <w:rPr>
          <w:i/>
        </w:rPr>
        <w:t>Other Grant Guidelines (Research)</w:t>
      </w:r>
      <w:r w:rsidR="00AF66F0" w:rsidRPr="004B319F">
        <w:rPr>
          <w:i/>
        </w:rPr>
        <w:t xml:space="preserve"> 2012</w:t>
      </w:r>
      <w:r w:rsidRPr="004B319F">
        <w:rPr>
          <w:i/>
        </w:rPr>
        <w:t xml:space="preserve"> </w:t>
      </w:r>
      <w:r w:rsidRPr="00EF06EC">
        <w:t>and can be downloaded from the Federal Register of Legislative Instruments at:</w:t>
      </w:r>
    </w:p>
    <w:p w:rsidR="00665091" w:rsidRPr="00EF06EC" w:rsidRDefault="00847B21" w:rsidP="00EF06EC">
      <w:pPr>
        <w:pStyle w:val="BodyText"/>
      </w:pPr>
      <w:hyperlink r:id="rId9" w:history="1">
        <w:r w:rsidR="00D31C4B" w:rsidRPr="0064307D">
          <w:rPr>
            <w:rStyle w:val="Hyperlink"/>
          </w:rPr>
          <w:t>www.comlaw.gov.au/Details/F2012L02010</w:t>
        </w:r>
      </w:hyperlink>
      <w:r w:rsidR="00497B0B" w:rsidRPr="00EF06EC">
        <w:t xml:space="preserve"> </w:t>
      </w:r>
    </w:p>
    <w:p w:rsidR="00665091" w:rsidRPr="00EF06EC" w:rsidRDefault="00665091" w:rsidP="00EF06EC">
      <w:pPr>
        <w:pStyle w:val="BodyText"/>
      </w:pPr>
      <w:r w:rsidRPr="00EF06EC">
        <w:t xml:space="preserve">The SRE </w:t>
      </w:r>
      <w:r w:rsidR="00CE5CB1" w:rsidRPr="00EF06EC">
        <w:t xml:space="preserve">final grant amount </w:t>
      </w:r>
      <w:r w:rsidRPr="00EF06EC">
        <w:t>is comprised of three elements, each of which has a funding amount set as a percentage of the SRE total funding for the Grant Year:</w:t>
      </w:r>
    </w:p>
    <w:p w:rsidR="00665091" w:rsidRPr="00EF06EC" w:rsidRDefault="00665091" w:rsidP="00BD5AD2">
      <w:pPr>
        <w:pStyle w:val="ListBullet"/>
        <w:numPr>
          <w:ilvl w:val="0"/>
          <w:numId w:val="4"/>
        </w:numPr>
        <w:ind w:left="1077" w:hanging="340"/>
      </w:pPr>
      <w:r w:rsidRPr="00EF06EC">
        <w:t>SRE Base (20%)</w:t>
      </w:r>
    </w:p>
    <w:p w:rsidR="00665091" w:rsidRPr="00EF06EC" w:rsidRDefault="00665091" w:rsidP="00BD5AD2">
      <w:pPr>
        <w:pStyle w:val="ListBullet"/>
        <w:numPr>
          <w:ilvl w:val="0"/>
          <w:numId w:val="4"/>
        </w:numPr>
        <w:ind w:left="1077" w:hanging="340"/>
      </w:pPr>
      <w:r w:rsidRPr="00EF06EC">
        <w:t>SRE Threshold 1 (13%)</w:t>
      </w:r>
    </w:p>
    <w:p w:rsidR="00665091" w:rsidRPr="00EF06EC" w:rsidRDefault="00665091" w:rsidP="00BD5AD2">
      <w:pPr>
        <w:pStyle w:val="ListBullet"/>
        <w:numPr>
          <w:ilvl w:val="0"/>
          <w:numId w:val="4"/>
        </w:numPr>
        <w:ind w:left="1077" w:hanging="340"/>
      </w:pPr>
      <w:r w:rsidRPr="00EF06EC">
        <w:t>SRE Threshold 2 (67%)</w:t>
      </w:r>
    </w:p>
    <w:p w:rsidR="00665091" w:rsidRPr="00EF06EC" w:rsidRDefault="005E5542" w:rsidP="005E5542">
      <w:pPr>
        <w:pStyle w:val="Heading1"/>
      </w:pPr>
      <w:r>
        <w:t>Definition of</w:t>
      </w:r>
      <w:r w:rsidRPr="00EF06EC">
        <w:t xml:space="preserve"> </w:t>
      </w:r>
      <w:r w:rsidR="00665091" w:rsidRPr="00EF06EC">
        <w:t>a Performance Index</w:t>
      </w:r>
    </w:p>
    <w:p w:rsidR="00665091" w:rsidRPr="00EF06EC" w:rsidRDefault="005E5542" w:rsidP="005E5542">
      <w:pPr>
        <w:pStyle w:val="BodyText"/>
      </w:pPr>
      <w:r>
        <w:t>Within RBG programs, a</w:t>
      </w:r>
      <w:r w:rsidR="00665091" w:rsidRPr="00EF06EC">
        <w:t xml:space="preserve"> performance index is a list of the relative performances of a group of </w:t>
      </w:r>
      <w:r w:rsidR="00AE71FC" w:rsidRPr="00EF06EC">
        <w:t>HEPs</w:t>
      </w:r>
      <w:r w:rsidR="00665091" w:rsidRPr="00EF06EC">
        <w:t xml:space="preserve"> defined for a particular purpose. The relative performance</w:t>
      </w:r>
      <w:r w:rsidR="00AE71FC" w:rsidRPr="00EF06EC">
        <w:t>s of HEP</w:t>
      </w:r>
      <w:r w:rsidR="00665091" w:rsidRPr="00EF06EC">
        <w:t xml:space="preserve">s are expressed as a percentage of the sum of all performances within the defined group.  Each </w:t>
      </w:r>
      <w:r w:rsidR="00AE71FC" w:rsidRPr="00EF06EC">
        <w:t>HEP’s</w:t>
      </w:r>
      <w:r w:rsidR="00665091" w:rsidRPr="00EF06EC">
        <w:t xml:space="preserve"> percentage is known as a share.</w:t>
      </w:r>
    </w:p>
    <w:p w:rsidR="00665091" w:rsidRPr="00EF06EC" w:rsidRDefault="00752357" w:rsidP="00752357">
      <w:pPr>
        <w:pStyle w:val="Heading1"/>
      </w:pPr>
      <w:r>
        <w:t>SRE</w:t>
      </w:r>
      <w:r w:rsidR="00665091" w:rsidRPr="00EF06EC">
        <w:t xml:space="preserve"> Base </w:t>
      </w:r>
      <w:r w:rsidR="00AE71FC" w:rsidRPr="00EF06EC">
        <w:t>E</w:t>
      </w:r>
      <w:r w:rsidR="00665091" w:rsidRPr="00EF06EC">
        <w:t>lement</w:t>
      </w:r>
    </w:p>
    <w:p w:rsidR="001301F1" w:rsidRDefault="00665091" w:rsidP="001301F1">
      <w:pPr>
        <w:pStyle w:val="BodyText"/>
        <w:keepNext/>
      </w:pPr>
      <w:r w:rsidRPr="00EF06EC">
        <w:t xml:space="preserve">All HEPs are eligible for inclusion in the Base performance index.  </w:t>
      </w:r>
    </w:p>
    <w:p w:rsidR="00665091" w:rsidRPr="00EF06EC" w:rsidRDefault="00B614CB" w:rsidP="00F41560">
      <w:pPr>
        <w:pStyle w:val="BodyText"/>
      </w:pPr>
      <w:r>
        <w:t xml:space="preserve">Education </w:t>
      </w:r>
      <w:r w:rsidR="00665091" w:rsidRPr="00EF06EC">
        <w:t xml:space="preserve">determines each HEP’s SRE Base </w:t>
      </w:r>
      <w:r w:rsidR="00C0397B">
        <w:t xml:space="preserve">grant </w:t>
      </w:r>
      <w:r w:rsidR="00665091" w:rsidRPr="00EF06EC">
        <w:t xml:space="preserve">amount on the basis of the Base performance index applied against the </w:t>
      </w:r>
      <w:r w:rsidR="00C0397B" w:rsidRPr="00EF06EC">
        <w:t xml:space="preserve">SRE </w:t>
      </w:r>
      <w:r w:rsidR="00665091" w:rsidRPr="00EF06EC">
        <w:t xml:space="preserve">Base </w:t>
      </w:r>
      <w:r w:rsidR="00C0397B">
        <w:t>funding</w:t>
      </w:r>
      <w:r w:rsidR="007A1466" w:rsidRPr="00EF06EC">
        <w:t xml:space="preserve"> amount</w:t>
      </w:r>
      <w:r w:rsidR="005E5542">
        <w:t xml:space="preserve"> </w:t>
      </w:r>
      <w:r w:rsidR="0010390C">
        <w:t>for</w:t>
      </w:r>
      <w:r w:rsidR="00665091" w:rsidRPr="00EF06EC">
        <w:t xml:space="preserve"> </w:t>
      </w:r>
      <w:r w:rsidR="003B2DEB">
        <w:t>the grant year.</w:t>
      </w:r>
    </w:p>
    <w:p w:rsidR="00442D4E" w:rsidRDefault="00665091" w:rsidP="005F7B92">
      <w:pPr>
        <w:pStyle w:val="BodyText"/>
      </w:pPr>
      <w:r w:rsidRPr="00EF06EC">
        <w:t xml:space="preserve">The Base </w:t>
      </w:r>
      <w:r w:rsidR="00AE71FC" w:rsidRPr="00EF06EC">
        <w:t>performance index is</w:t>
      </w:r>
      <w:r w:rsidRPr="00EF06EC">
        <w:t xml:space="preserve"> </w:t>
      </w:r>
      <w:r w:rsidR="00AE71FC" w:rsidRPr="00EF06EC">
        <w:t xml:space="preserve">the relative share of </w:t>
      </w:r>
      <w:r w:rsidR="0076443C" w:rsidRPr="00EF06EC">
        <w:t>Category 1</w:t>
      </w:r>
      <w:r w:rsidR="00752357">
        <w:t xml:space="preserve"> ACG research</w:t>
      </w:r>
      <w:r w:rsidR="0076443C" w:rsidRPr="00EF06EC">
        <w:t xml:space="preserve"> </w:t>
      </w:r>
      <w:r w:rsidR="00D3568C" w:rsidRPr="00EF06EC">
        <w:t>income</w:t>
      </w:r>
      <w:r w:rsidRPr="00EF06EC">
        <w:t xml:space="preserve">.  </w:t>
      </w:r>
    </w:p>
    <w:p w:rsidR="00665091" w:rsidRPr="00EF06EC" w:rsidRDefault="0076443C" w:rsidP="00752357">
      <w:pPr>
        <w:pStyle w:val="BodyText"/>
      </w:pPr>
      <w:r w:rsidRPr="00EF06EC">
        <w:t>Category 1</w:t>
      </w:r>
      <w:r w:rsidR="00752357">
        <w:t xml:space="preserve"> ACG </w:t>
      </w:r>
      <w:r w:rsidR="00C0397B">
        <w:t>research</w:t>
      </w:r>
      <w:r w:rsidRPr="00EF06EC">
        <w:t xml:space="preserve"> i</w:t>
      </w:r>
      <w:r w:rsidR="00665091" w:rsidRPr="00EF06EC">
        <w:t>ncome</w:t>
      </w:r>
      <w:r w:rsidR="005E5542">
        <w:t xml:space="preserve"> data</w:t>
      </w:r>
      <w:r w:rsidR="00665091" w:rsidRPr="00EF06EC">
        <w:t xml:space="preserve"> is the average of the most recent two years for which data is available and is sourced from the Higher Education Research Data Collection</w:t>
      </w:r>
      <w:r w:rsidR="00D3568C" w:rsidRPr="00EF06EC">
        <w:t xml:space="preserve"> (HERDC)</w:t>
      </w:r>
      <w:r w:rsidR="00665091" w:rsidRPr="00EF06EC">
        <w:t>.</w:t>
      </w:r>
      <w:r w:rsidR="005E737E" w:rsidRPr="005E737E">
        <w:t xml:space="preserve"> </w:t>
      </w:r>
      <w:r w:rsidR="005E737E" w:rsidRPr="00EF06EC">
        <w:t>The income data is unweighted.</w:t>
      </w:r>
    </w:p>
    <w:p w:rsidR="00665091" w:rsidRPr="00EF06EC" w:rsidRDefault="00665091" w:rsidP="00EF06EC">
      <w:pPr>
        <w:pStyle w:val="BodyText"/>
      </w:pPr>
      <w:r w:rsidRPr="00EF06EC">
        <w:t xml:space="preserve">For all </w:t>
      </w:r>
      <w:r w:rsidR="00316C4F" w:rsidRPr="00EF06EC">
        <w:t>HEPs</w:t>
      </w:r>
      <w:r w:rsidRPr="00EF06EC">
        <w:t xml:space="preserve">, their allocation for the </w:t>
      </w:r>
      <w:r w:rsidR="00FD7695">
        <w:t xml:space="preserve">SRE </w:t>
      </w:r>
      <w:r w:rsidRPr="00EF06EC">
        <w:t xml:space="preserve">Base element is rounded down to the next whole dollar. The difference between a </w:t>
      </w:r>
      <w:r w:rsidR="00CE5CB1" w:rsidRPr="00EF06EC">
        <w:t xml:space="preserve">HEP’s </w:t>
      </w:r>
      <w:r w:rsidRPr="00EF06EC">
        <w:t xml:space="preserve">rounded and unrounded SRE Base </w:t>
      </w:r>
      <w:r w:rsidR="00FD7695">
        <w:t xml:space="preserve">grant </w:t>
      </w:r>
      <w:r w:rsidR="00D3568C" w:rsidRPr="00EF06EC">
        <w:t xml:space="preserve">amount </w:t>
      </w:r>
      <w:r w:rsidRPr="00EF06EC">
        <w:t xml:space="preserve">is the remainder. The sum of all remainders is the unallocated dollars of the </w:t>
      </w:r>
      <w:r w:rsidR="00FD7695">
        <w:t xml:space="preserve">SRE </w:t>
      </w:r>
      <w:r w:rsidRPr="00EF06EC">
        <w:t>Base element.</w:t>
      </w:r>
    </w:p>
    <w:p w:rsidR="00665091" w:rsidRPr="00EF06EC" w:rsidRDefault="00665091" w:rsidP="00EF06EC">
      <w:pPr>
        <w:pStyle w:val="BodyText"/>
      </w:pPr>
      <w:r w:rsidRPr="00EF06EC">
        <w:lastRenderedPageBreak/>
        <w:t xml:space="preserve">Each </w:t>
      </w:r>
      <w:r w:rsidR="005C22A2" w:rsidRPr="00EF06EC">
        <w:t>HEP’s</w:t>
      </w:r>
      <w:r w:rsidRPr="00EF06EC">
        <w:t xml:space="preserve"> remainder is ranked in descending order based on its remainder’s closeness to one. One dollar is assigned to each </w:t>
      </w:r>
      <w:r w:rsidR="005C22A2" w:rsidRPr="00EF06EC">
        <w:t>HEP</w:t>
      </w:r>
      <w:r w:rsidRPr="00EF06EC">
        <w:t xml:space="preserve"> according to its ranking until all unallocated dollars are exhausted.</w:t>
      </w:r>
    </w:p>
    <w:p w:rsidR="00665091" w:rsidRPr="00EF06EC" w:rsidRDefault="00665091" w:rsidP="00880897">
      <w:pPr>
        <w:pStyle w:val="BodyText"/>
      </w:pPr>
      <w:r w:rsidRPr="00EF06EC">
        <w:t xml:space="preserve">Each HEP’s </w:t>
      </w:r>
      <w:r w:rsidR="00FD7695">
        <w:t xml:space="preserve">SRE </w:t>
      </w:r>
      <w:r w:rsidRPr="00EF06EC">
        <w:t>Base</w:t>
      </w:r>
      <w:r w:rsidR="00FD7695">
        <w:t xml:space="preserve"> grant</w:t>
      </w:r>
      <w:r w:rsidRPr="00EF06EC">
        <w:t xml:space="preserve"> </w:t>
      </w:r>
      <w:r w:rsidR="00D3568C" w:rsidRPr="00EF06EC">
        <w:t xml:space="preserve">amount </w:t>
      </w:r>
      <w:r w:rsidRPr="00EF06EC">
        <w:t xml:space="preserve">is equal to the rounded </w:t>
      </w:r>
      <w:r w:rsidR="00FD7695">
        <w:t xml:space="preserve">SRE </w:t>
      </w:r>
      <w:r w:rsidRPr="00EF06EC">
        <w:t xml:space="preserve">Base </w:t>
      </w:r>
      <w:r w:rsidR="00880897">
        <w:t>allocation</w:t>
      </w:r>
      <w:r w:rsidR="00D3568C" w:rsidRPr="00EF06EC">
        <w:t xml:space="preserve"> </w:t>
      </w:r>
      <w:r w:rsidRPr="00EF06EC">
        <w:t>plus any whole dollars assigned.</w:t>
      </w:r>
    </w:p>
    <w:p w:rsidR="00665091" w:rsidRPr="00EF06EC" w:rsidRDefault="00752357" w:rsidP="00752357">
      <w:pPr>
        <w:pStyle w:val="Heading1"/>
      </w:pPr>
      <w:r>
        <w:t xml:space="preserve">SRE </w:t>
      </w:r>
      <w:r w:rsidR="00665091" w:rsidRPr="00EF06EC">
        <w:t>Threshold 1 Element</w:t>
      </w:r>
    </w:p>
    <w:p w:rsidR="00020CD4" w:rsidRPr="00EF06EC" w:rsidRDefault="00020CD4" w:rsidP="00FD7695">
      <w:pPr>
        <w:pStyle w:val="BodyText"/>
      </w:pPr>
      <w:bookmarkStart w:id="1" w:name="OLE_LINK3"/>
      <w:r w:rsidRPr="00EF06EC">
        <w:t xml:space="preserve">Only HEPs that agree to </w:t>
      </w:r>
      <w:r w:rsidR="00B67BA6" w:rsidRPr="00EF06EC">
        <w:t xml:space="preserve">comply with the Excellence in Research for Australia (ERA) process and to </w:t>
      </w:r>
      <w:r w:rsidRPr="00EF06EC">
        <w:t>participate in</w:t>
      </w:r>
      <w:r w:rsidR="00B67BA6" w:rsidRPr="00EF06EC">
        <w:t xml:space="preserve"> the </w:t>
      </w:r>
      <w:r w:rsidR="00FD7695">
        <w:t>T</w:t>
      </w:r>
      <w:r w:rsidRPr="00EF06EC">
        <w:t xml:space="preserve">ransparent </w:t>
      </w:r>
      <w:r w:rsidR="00FD7695">
        <w:t>C</w:t>
      </w:r>
      <w:r w:rsidRPr="00EF06EC">
        <w:t xml:space="preserve">osting </w:t>
      </w:r>
      <w:r w:rsidR="00FD7695">
        <w:t>(TC) process</w:t>
      </w:r>
      <w:r w:rsidR="00B67BA6" w:rsidRPr="00EF06EC">
        <w:t xml:space="preserve">, including compliance with requirements set out in the </w:t>
      </w:r>
      <w:r w:rsidR="00B67BA6" w:rsidRPr="004B319F">
        <w:rPr>
          <w:i/>
        </w:rPr>
        <w:t>Other Grants Guidelines (Research) 201</w:t>
      </w:r>
      <w:r w:rsidR="00AF66F0" w:rsidRPr="004B319F">
        <w:rPr>
          <w:i/>
        </w:rPr>
        <w:t>2</w:t>
      </w:r>
      <w:r w:rsidR="00B67BA6" w:rsidRPr="00EF06EC">
        <w:t>,</w:t>
      </w:r>
      <w:r w:rsidRPr="00EF06EC">
        <w:t xml:space="preserve"> are eligible for funding under the Threshold 1 element of SRE. </w:t>
      </w:r>
    </w:p>
    <w:bookmarkEnd w:id="1"/>
    <w:p w:rsidR="00665091" w:rsidRPr="00EF06EC" w:rsidRDefault="00B614CB" w:rsidP="00F41560">
      <w:pPr>
        <w:pStyle w:val="BodyText"/>
      </w:pPr>
      <w:r>
        <w:t>Education</w:t>
      </w:r>
      <w:r w:rsidR="00665091" w:rsidRPr="00EF06EC">
        <w:t xml:space="preserve"> determines each HEP’s </w:t>
      </w:r>
      <w:r w:rsidR="001301F1">
        <w:t xml:space="preserve">SRE </w:t>
      </w:r>
      <w:r w:rsidR="00D3568C" w:rsidRPr="00EF06EC">
        <w:t xml:space="preserve">Threshold </w:t>
      </w:r>
      <w:r w:rsidR="00665091" w:rsidRPr="00EF06EC">
        <w:t xml:space="preserve">1 </w:t>
      </w:r>
      <w:r w:rsidR="001301F1">
        <w:t xml:space="preserve">grant </w:t>
      </w:r>
      <w:r w:rsidR="00665091" w:rsidRPr="00EF06EC">
        <w:t xml:space="preserve">amount on the basis of the </w:t>
      </w:r>
      <w:r w:rsidR="001301F1" w:rsidRPr="00EF06EC">
        <w:t>Threshold</w:t>
      </w:r>
      <w:r w:rsidR="001301F1">
        <w:t> </w:t>
      </w:r>
      <w:r w:rsidR="00665091" w:rsidRPr="00EF06EC">
        <w:t xml:space="preserve">1 performance index applied against the </w:t>
      </w:r>
      <w:r w:rsidR="001301F1">
        <w:t xml:space="preserve">SRE </w:t>
      </w:r>
      <w:r w:rsidR="00D3568C" w:rsidRPr="00EF06EC">
        <w:t xml:space="preserve">Threshold </w:t>
      </w:r>
      <w:r w:rsidR="00665091" w:rsidRPr="00EF06EC">
        <w:t xml:space="preserve">1 </w:t>
      </w:r>
      <w:r w:rsidR="001301F1">
        <w:t>funding</w:t>
      </w:r>
      <w:r w:rsidR="001301F1" w:rsidRPr="00EF06EC">
        <w:t xml:space="preserve"> </w:t>
      </w:r>
      <w:r w:rsidR="007A1466" w:rsidRPr="00EF06EC">
        <w:t>amount</w:t>
      </w:r>
      <w:r w:rsidR="00665091" w:rsidRPr="00EF06EC">
        <w:t xml:space="preserve"> </w:t>
      </w:r>
      <w:r w:rsidR="0010390C">
        <w:t>for</w:t>
      </w:r>
      <w:r w:rsidR="00665091" w:rsidRPr="00EF06EC">
        <w:t xml:space="preserve"> </w:t>
      </w:r>
      <w:r w:rsidR="003B2DEB">
        <w:t>the grant year</w:t>
      </w:r>
    </w:p>
    <w:p w:rsidR="00665091" w:rsidRPr="00EF06EC" w:rsidRDefault="00665091" w:rsidP="005F7B92">
      <w:pPr>
        <w:pStyle w:val="BodyText"/>
      </w:pPr>
      <w:r w:rsidRPr="00EF06EC">
        <w:t xml:space="preserve">The </w:t>
      </w:r>
      <w:r w:rsidR="00D3568C" w:rsidRPr="00EF06EC">
        <w:t xml:space="preserve">Threshold </w:t>
      </w:r>
      <w:r w:rsidRPr="00EF06EC">
        <w:t xml:space="preserve">1 performance index </w:t>
      </w:r>
      <w:r w:rsidR="0076443C" w:rsidRPr="00EF06EC">
        <w:t>is the relative share of the</w:t>
      </w:r>
      <w:r w:rsidR="001301F1">
        <w:t xml:space="preserve"> </w:t>
      </w:r>
      <w:r w:rsidRPr="00EF06EC">
        <w:t>Category 1</w:t>
      </w:r>
      <w:r w:rsidR="001301F1">
        <w:t xml:space="preserve"> ACG research</w:t>
      </w:r>
      <w:r w:rsidRPr="00EF06EC">
        <w:t xml:space="preserve"> </w:t>
      </w:r>
      <w:r w:rsidR="0076443C" w:rsidRPr="00EF06EC">
        <w:t>i</w:t>
      </w:r>
      <w:r w:rsidRPr="00EF06EC">
        <w:t xml:space="preserve">ncome up to and including the </w:t>
      </w:r>
      <w:r w:rsidR="00D3568C" w:rsidRPr="00EF06EC">
        <w:t xml:space="preserve">Threshold </w:t>
      </w:r>
      <w:r w:rsidRPr="00EF06EC">
        <w:t xml:space="preserve">1 threshold of $2,500,000.  </w:t>
      </w:r>
    </w:p>
    <w:p w:rsidR="00665091" w:rsidRPr="00EF06EC" w:rsidRDefault="0076443C" w:rsidP="001301F1">
      <w:pPr>
        <w:pStyle w:val="BodyText"/>
      </w:pPr>
      <w:r w:rsidRPr="00EF06EC">
        <w:t>Category 1</w:t>
      </w:r>
      <w:r w:rsidR="001301F1">
        <w:t xml:space="preserve"> ACG research</w:t>
      </w:r>
      <w:r w:rsidRPr="00EF06EC">
        <w:t xml:space="preserve"> i</w:t>
      </w:r>
      <w:r w:rsidR="00665091" w:rsidRPr="00EF06EC">
        <w:t xml:space="preserve">ncome </w:t>
      </w:r>
      <w:r w:rsidR="001301F1">
        <w:t xml:space="preserve">data </w:t>
      </w:r>
      <w:r w:rsidR="00665091" w:rsidRPr="00EF06EC">
        <w:t xml:space="preserve">is the average of the most recent two years for which data is available and is sourced from the </w:t>
      </w:r>
      <w:r w:rsidR="00D3568C" w:rsidRPr="00EF06EC">
        <w:t>HERDC</w:t>
      </w:r>
      <w:r w:rsidR="00665091" w:rsidRPr="00EF06EC">
        <w:t xml:space="preserve">. </w:t>
      </w:r>
      <w:r w:rsidR="005E737E" w:rsidRPr="00EF06EC">
        <w:t>The income data is unweighted.</w:t>
      </w:r>
    </w:p>
    <w:p w:rsidR="000D268A" w:rsidRPr="00EF06EC" w:rsidRDefault="000D268A" w:rsidP="00EF06EC">
      <w:pPr>
        <w:pStyle w:val="BodyText"/>
      </w:pPr>
      <w:bookmarkStart w:id="2" w:name="OLE_LINK1"/>
      <w:r w:rsidRPr="00EF06EC">
        <w:t xml:space="preserve">For all </w:t>
      </w:r>
      <w:r w:rsidR="00316C4F" w:rsidRPr="00EF06EC">
        <w:t>eligible HEPs</w:t>
      </w:r>
      <w:r w:rsidRPr="00EF06EC">
        <w:t xml:space="preserve">, their allocation for the </w:t>
      </w:r>
      <w:r w:rsidR="001301F1">
        <w:t xml:space="preserve">SRE </w:t>
      </w:r>
      <w:r w:rsidR="00D3568C" w:rsidRPr="00EF06EC">
        <w:t xml:space="preserve">Threshold </w:t>
      </w:r>
      <w:r w:rsidRPr="00EF06EC">
        <w:t xml:space="preserve">1 element is rounded down to the next whole dollar. The difference between a </w:t>
      </w:r>
      <w:r w:rsidR="00316C4F" w:rsidRPr="00EF06EC">
        <w:t xml:space="preserve">HEP’s </w:t>
      </w:r>
      <w:r w:rsidRPr="00EF06EC">
        <w:t xml:space="preserve">rounded and unrounded SRE </w:t>
      </w:r>
      <w:r w:rsidR="00D3568C" w:rsidRPr="00EF06EC">
        <w:t xml:space="preserve">Threshold </w:t>
      </w:r>
      <w:r w:rsidRPr="00EF06EC">
        <w:t xml:space="preserve">1 </w:t>
      </w:r>
      <w:r w:rsidR="00316C4F" w:rsidRPr="00EF06EC">
        <w:t xml:space="preserve">amount </w:t>
      </w:r>
      <w:r w:rsidRPr="00EF06EC">
        <w:t xml:space="preserve">is the remainder. The sum of all remainders is the unallocated dollars of the </w:t>
      </w:r>
      <w:r w:rsidR="001301F1">
        <w:t xml:space="preserve">SRE </w:t>
      </w:r>
      <w:r w:rsidR="00D3568C" w:rsidRPr="00EF06EC">
        <w:t xml:space="preserve">Threshold </w:t>
      </w:r>
      <w:r w:rsidRPr="00EF06EC">
        <w:t>1 element.</w:t>
      </w:r>
    </w:p>
    <w:p w:rsidR="000D268A" w:rsidRPr="00EF06EC" w:rsidRDefault="000D268A" w:rsidP="00EF06EC">
      <w:pPr>
        <w:pStyle w:val="BodyText"/>
      </w:pPr>
      <w:r w:rsidRPr="00EF06EC">
        <w:t xml:space="preserve">Each </w:t>
      </w:r>
      <w:r w:rsidR="006F06E3" w:rsidRPr="00EF06EC">
        <w:t>HEP</w:t>
      </w:r>
      <w:r w:rsidRPr="00EF06EC">
        <w:t xml:space="preserve">’s remainder is ranked in descending order based on its remainder’s closeness to one. One dollar is assigned to each </w:t>
      </w:r>
      <w:r w:rsidR="006F06E3" w:rsidRPr="00EF06EC">
        <w:t>HEP</w:t>
      </w:r>
      <w:r w:rsidRPr="00EF06EC">
        <w:t xml:space="preserve"> according to its ranking until all unallocated dollars are exhausted.</w:t>
      </w:r>
    </w:p>
    <w:p w:rsidR="00665091" w:rsidRPr="00EF06EC" w:rsidRDefault="000D268A" w:rsidP="00880897">
      <w:pPr>
        <w:pStyle w:val="BodyText"/>
      </w:pPr>
      <w:r w:rsidRPr="00EF06EC">
        <w:t xml:space="preserve">Each HEP’s </w:t>
      </w:r>
      <w:r w:rsidR="001301F1">
        <w:t xml:space="preserve">SRE </w:t>
      </w:r>
      <w:r w:rsidR="00D3568C" w:rsidRPr="00EF06EC">
        <w:t xml:space="preserve">Threshold </w:t>
      </w:r>
      <w:r w:rsidRPr="00EF06EC">
        <w:t xml:space="preserve">1 </w:t>
      </w:r>
      <w:r w:rsidR="001301F1">
        <w:t xml:space="preserve">grant </w:t>
      </w:r>
      <w:r w:rsidR="00F70329" w:rsidRPr="00EF06EC">
        <w:t xml:space="preserve">amount </w:t>
      </w:r>
      <w:r w:rsidRPr="00EF06EC">
        <w:t xml:space="preserve">is equal to the rounded </w:t>
      </w:r>
      <w:r w:rsidR="001301F1">
        <w:t xml:space="preserve">SRE </w:t>
      </w:r>
      <w:r w:rsidR="00D3568C" w:rsidRPr="00EF06EC">
        <w:t xml:space="preserve">Threshold </w:t>
      </w:r>
      <w:r w:rsidRPr="00EF06EC">
        <w:t xml:space="preserve">1 </w:t>
      </w:r>
      <w:r w:rsidR="00880897">
        <w:t>allocation</w:t>
      </w:r>
      <w:r w:rsidR="00F70329" w:rsidRPr="00EF06EC">
        <w:t xml:space="preserve"> </w:t>
      </w:r>
      <w:r w:rsidRPr="00EF06EC">
        <w:t>plus any whole dollars assigned.</w:t>
      </w:r>
    </w:p>
    <w:bookmarkEnd w:id="2"/>
    <w:p w:rsidR="00666064" w:rsidRPr="00EF06EC" w:rsidRDefault="00666064" w:rsidP="00666064">
      <w:pPr>
        <w:pStyle w:val="Heading1"/>
      </w:pPr>
      <w:r>
        <w:t xml:space="preserve">SRE </w:t>
      </w:r>
      <w:r w:rsidRPr="00EF06EC">
        <w:t>Threshold </w:t>
      </w:r>
      <w:r>
        <w:t>2</w:t>
      </w:r>
      <w:r w:rsidRPr="00EF06EC">
        <w:t xml:space="preserve"> Element</w:t>
      </w:r>
    </w:p>
    <w:p w:rsidR="00B67BA6" w:rsidRDefault="00B67BA6" w:rsidP="00666064">
      <w:pPr>
        <w:pStyle w:val="BodyText"/>
      </w:pPr>
      <w:r w:rsidRPr="00EF06EC">
        <w:t xml:space="preserve">Only HEPs that agree to comply with the Excellence in Research for Australia (ERA) process and to participate in the </w:t>
      </w:r>
      <w:r w:rsidR="00666064">
        <w:t>T</w:t>
      </w:r>
      <w:r w:rsidRPr="00EF06EC">
        <w:t xml:space="preserve">ransparent </w:t>
      </w:r>
      <w:r w:rsidR="00666064">
        <w:t>C</w:t>
      </w:r>
      <w:r w:rsidR="00666064" w:rsidRPr="00EF06EC">
        <w:t>osting</w:t>
      </w:r>
      <w:r w:rsidR="00666064">
        <w:t xml:space="preserve"> (TC) process</w:t>
      </w:r>
      <w:r w:rsidRPr="00EF06EC">
        <w:t xml:space="preserve">, including compliance with requirements set out in the </w:t>
      </w:r>
      <w:r w:rsidRPr="004B319F">
        <w:rPr>
          <w:i/>
        </w:rPr>
        <w:t>Other Grants Guidelines (Research) 201</w:t>
      </w:r>
      <w:r w:rsidR="00AF66F0" w:rsidRPr="004B319F">
        <w:rPr>
          <w:i/>
        </w:rPr>
        <w:t>2</w:t>
      </w:r>
      <w:r w:rsidRPr="00EF06EC">
        <w:t xml:space="preserve">, are eligible for funding under the Threshold 2 element of SRE. </w:t>
      </w:r>
    </w:p>
    <w:p w:rsidR="00666064" w:rsidRDefault="00666064" w:rsidP="00666064">
      <w:pPr>
        <w:pStyle w:val="BodyText"/>
      </w:pPr>
      <w:r>
        <w:t xml:space="preserve">From 2012, the Threshold 2 element of SRE has two pools: the Transparent Costing (TC) pool and the Excellence Index (Ei) pool. </w:t>
      </w:r>
    </w:p>
    <w:p w:rsidR="006E2E68" w:rsidRDefault="00666064" w:rsidP="00666064">
      <w:pPr>
        <w:pStyle w:val="BodyText"/>
      </w:pPr>
      <w:r>
        <w:t xml:space="preserve">The SRE Threshold 2 </w:t>
      </w:r>
      <w:r w:rsidR="006E2E68">
        <w:t>funding amount is split between the two pools:</w:t>
      </w:r>
    </w:p>
    <w:p w:rsidR="00666064" w:rsidRDefault="00666064" w:rsidP="006E2E68">
      <w:pPr>
        <w:pStyle w:val="ListBullet"/>
        <w:numPr>
          <w:ilvl w:val="0"/>
          <w:numId w:val="4"/>
        </w:numPr>
        <w:ind w:left="1077" w:hanging="340"/>
      </w:pPr>
      <w:r>
        <w:t>TC pool is equal to 40% of the Threshold 2 funding amount.</w:t>
      </w:r>
    </w:p>
    <w:p w:rsidR="00666064" w:rsidRDefault="00666064" w:rsidP="006E2E68">
      <w:pPr>
        <w:pStyle w:val="ListBullet"/>
        <w:numPr>
          <w:ilvl w:val="0"/>
          <w:numId w:val="4"/>
        </w:numPr>
        <w:ind w:left="1077" w:hanging="340"/>
      </w:pPr>
      <w:r>
        <w:t>Ei pool is equal to 60% of the Threshold 2 funding amount.</w:t>
      </w:r>
    </w:p>
    <w:p w:rsidR="0060450B" w:rsidRDefault="00B614CB" w:rsidP="00880897">
      <w:pPr>
        <w:pStyle w:val="BodyText"/>
      </w:pPr>
      <w:r>
        <w:t>Education</w:t>
      </w:r>
      <w:r w:rsidR="0060450B" w:rsidRPr="00EF06EC">
        <w:t xml:space="preserve"> determines each HEP’s </w:t>
      </w:r>
      <w:r w:rsidR="0060450B">
        <w:t xml:space="preserve">SRE </w:t>
      </w:r>
      <w:r w:rsidR="0060450B" w:rsidRPr="00EF06EC">
        <w:t xml:space="preserve">Threshold 2 </w:t>
      </w:r>
      <w:r w:rsidR="0060450B">
        <w:t xml:space="preserve">grant </w:t>
      </w:r>
      <w:r w:rsidR="0060450B" w:rsidRPr="00EF06EC">
        <w:t xml:space="preserve">amount </w:t>
      </w:r>
      <w:r w:rsidR="0060450B">
        <w:t xml:space="preserve">by summing each HEP’s </w:t>
      </w:r>
      <w:r w:rsidR="00880897">
        <w:t xml:space="preserve">final </w:t>
      </w:r>
      <w:r w:rsidR="0060450B">
        <w:t xml:space="preserve">Threshold 2 TC grant amount and </w:t>
      </w:r>
      <w:r w:rsidR="00880897">
        <w:t xml:space="preserve">final </w:t>
      </w:r>
      <w:r w:rsidR="0060450B">
        <w:t>Threshold 2 Ei grant amount.</w:t>
      </w:r>
    </w:p>
    <w:p w:rsidR="0060450B" w:rsidRPr="00EF06EC" w:rsidRDefault="00880897" w:rsidP="00880897">
      <w:pPr>
        <w:pStyle w:val="Heading2"/>
      </w:pPr>
      <w:r>
        <w:t xml:space="preserve">Threshold 2 </w:t>
      </w:r>
      <w:r w:rsidR="009E528C" w:rsidRPr="00EF06EC">
        <w:t>Transparent Costing (</w:t>
      </w:r>
      <w:r>
        <w:t>TC</w:t>
      </w:r>
      <w:r w:rsidR="009E528C">
        <w:t>)</w:t>
      </w:r>
      <w:r>
        <w:t xml:space="preserve"> Pool</w:t>
      </w:r>
    </w:p>
    <w:p w:rsidR="00456D55" w:rsidRDefault="00456D55" w:rsidP="00012FCF">
      <w:pPr>
        <w:pStyle w:val="BodyText"/>
      </w:pPr>
      <w:r>
        <w:t xml:space="preserve">There are </w:t>
      </w:r>
      <w:r w:rsidR="00012FCF">
        <w:t>five</w:t>
      </w:r>
      <w:r>
        <w:t xml:space="preserve"> key steps to determining each HEP’s final Threshold 2 TC grant amount.</w:t>
      </w:r>
    </w:p>
    <w:p w:rsidR="00456D55" w:rsidRDefault="00F81578" w:rsidP="008B1932">
      <w:pPr>
        <w:pStyle w:val="Heading3"/>
      </w:pPr>
      <w:r>
        <w:lastRenderedPageBreak/>
        <w:t xml:space="preserve">1. </w:t>
      </w:r>
      <w:r w:rsidR="008B1932">
        <w:t>Initial Threshold 2 TC grant amount</w:t>
      </w:r>
    </w:p>
    <w:p w:rsidR="00665091" w:rsidRPr="00EF06EC" w:rsidRDefault="00B614CB" w:rsidP="00F41560">
      <w:pPr>
        <w:pStyle w:val="BodyText"/>
      </w:pPr>
      <w:r>
        <w:t>Education</w:t>
      </w:r>
      <w:r w:rsidR="00665091" w:rsidRPr="00EF06EC">
        <w:t xml:space="preserve"> determines each HEP’s </w:t>
      </w:r>
      <w:r w:rsidR="00D3568C" w:rsidRPr="00EF06EC">
        <w:t>i</w:t>
      </w:r>
      <w:r w:rsidR="00665091" w:rsidRPr="00EF06EC">
        <w:t xml:space="preserve">nitial </w:t>
      </w:r>
      <w:r w:rsidR="00C37783" w:rsidRPr="00EF06EC">
        <w:t xml:space="preserve">Threshold </w:t>
      </w:r>
      <w:r w:rsidR="00665091" w:rsidRPr="00EF06EC">
        <w:t xml:space="preserve">2 </w:t>
      </w:r>
      <w:r w:rsidR="008B1932">
        <w:t xml:space="preserve">TC grant </w:t>
      </w:r>
      <w:r w:rsidR="00D3568C" w:rsidRPr="00EF06EC">
        <w:t xml:space="preserve">amount </w:t>
      </w:r>
      <w:r w:rsidR="00665091" w:rsidRPr="00EF06EC">
        <w:t xml:space="preserve">on the basis of the </w:t>
      </w:r>
      <w:r w:rsidR="00D3568C" w:rsidRPr="00EF06EC">
        <w:t>i</w:t>
      </w:r>
      <w:r w:rsidR="00665091" w:rsidRPr="00EF06EC">
        <w:t xml:space="preserve">nitial </w:t>
      </w:r>
      <w:r w:rsidR="00C37783" w:rsidRPr="00EF06EC">
        <w:t xml:space="preserve">Threshold </w:t>
      </w:r>
      <w:r w:rsidR="00665091" w:rsidRPr="00EF06EC">
        <w:t xml:space="preserve">2 performance index applied against the </w:t>
      </w:r>
      <w:r w:rsidR="00C37783" w:rsidRPr="00EF06EC">
        <w:t xml:space="preserve">Threshold </w:t>
      </w:r>
      <w:r w:rsidR="00665091" w:rsidRPr="00EF06EC">
        <w:t>2</w:t>
      </w:r>
      <w:r w:rsidR="00F41560">
        <w:t xml:space="preserve"> TC pool funding</w:t>
      </w:r>
      <w:r w:rsidR="007A1466" w:rsidRPr="00EF06EC">
        <w:t xml:space="preserve"> amount</w:t>
      </w:r>
      <w:r w:rsidR="00665091" w:rsidRPr="00EF06EC">
        <w:t xml:space="preserve"> </w:t>
      </w:r>
      <w:r w:rsidR="0010390C">
        <w:t>for</w:t>
      </w:r>
      <w:r w:rsidR="00665091" w:rsidRPr="00EF06EC">
        <w:t xml:space="preserve"> </w:t>
      </w:r>
      <w:r w:rsidR="003B2DEB">
        <w:t>the grant year</w:t>
      </w:r>
      <w:r w:rsidR="00665091" w:rsidRPr="00EF06EC">
        <w:t>.</w:t>
      </w:r>
    </w:p>
    <w:p w:rsidR="00665091" w:rsidRPr="00EF06EC" w:rsidRDefault="00665091" w:rsidP="005F7B92">
      <w:pPr>
        <w:pStyle w:val="BodyText"/>
      </w:pPr>
      <w:r w:rsidRPr="00EF06EC">
        <w:t xml:space="preserve">The </w:t>
      </w:r>
      <w:r w:rsidR="00D3568C" w:rsidRPr="00EF06EC">
        <w:t>i</w:t>
      </w:r>
      <w:r w:rsidRPr="00EF06EC">
        <w:t xml:space="preserve">nitial </w:t>
      </w:r>
      <w:r w:rsidR="00C37783" w:rsidRPr="00EF06EC">
        <w:t xml:space="preserve">Threshold </w:t>
      </w:r>
      <w:r w:rsidRPr="00EF06EC">
        <w:t xml:space="preserve">2 performance index </w:t>
      </w:r>
      <w:r w:rsidR="0076443C" w:rsidRPr="00EF06EC">
        <w:t>is the relative share of the</w:t>
      </w:r>
      <w:r w:rsidRPr="00EF06EC">
        <w:t xml:space="preserve"> </w:t>
      </w:r>
      <w:r w:rsidR="00D3568C" w:rsidRPr="00EF06EC">
        <w:t>Category</w:t>
      </w:r>
      <w:r w:rsidR="0076443C" w:rsidRPr="00EF06EC">
        <w:t> </w:t>
      </w:r>
      <w:r w:rsidR="00D3568C" w:rsidRPr="00EF06EC">
        <w:t>1</w:t>
      </w:r>
      <w:r w:rsidR="00F41560">
        <w:t xml:space="preserve"> ACG research</w:t>
      </w:r>
      <w:r w:rsidRPr="00EF06EC">
        <w:t xml:space="preserve"> </w:t>
      </w:r>
      <w:r w:rsidR="00D3568C" w:rsidRPr="00EF06EC">
        <w:t>income</w:t>
      </w:r>
      <w:r w:rsidRPr="00EF06EC">
        <w:t xml:space="preserve"> </w:t>
      </w:r>
      <w:r w:rsidR="00F41560">
        <w:t xml:space="preserve">data </w:t>
      </w:r>
      <w:r w:rsidRPr="00EF06EC">
        <w:t xml:space="preserve">in excess of the threshold of $2,500,000.  </w:t>
      </w:r>
    </w:p>
    <w:p w:rsidR="00665091" w:rsidRPr="00EF06EC" w:rsidRDefault="00F41560" w:rsidP="005F7B92">
      <w:pPr>
        <w:pStyle w:val="BodyText"/>
      </w:pPr>
      <w:r w:rsidRPr="00EF06EC">
        <w:t>Category 1</w:t>
      </w:r>
      <w:r>
        <w:t xml:space="preserve"> ACG research</w:t>
      </w:r>
      <w:r w:rsidRPr="00EF06EC">
        <w:t xml:space="preserve"> income </w:t>
      </w:r>
      <w:r w:rsidR="005F7B92">
        <w:t xml:space="preserve">data </w:t>
      </w:r>
      <w:r w:rsidR="00665091" w:rsidRPr="00EF06EC">
        <w:t xml:space="preserve">is the average of the most recent two years for which data is available and is sourced from the </w:t>
      </w:r>
      <w:r w:rsidR="00D3568C" w:rsidRPr="00EF06EC">
        <w:t>HERDC</w:t>
      </w:r>
      <w:r w:rsidR="00665091" w:rsidRPr="00EF06EC">
        <w:t xml:space="preserve">. </w:t>
      </w:r>
      <w:r w:rsidR="005E737E" w:rsidRPr="00EF06EC">
        <w:t>The income data is unweighted.</w:t>
      </w:r>
    </w:p>
    <w:p w:rsidR="00665091" w:rsidRPr="00EF06EC" w:rsidRDefault="00665091" w:rsidP="00EF06EC">
      <w:pPr>
        <w:pStyle w:val="BodyText"/>
      </w:pPr>
      <w:r w:rsidRPr="00EF06EC">
        <w:t xml:space="preserve">For all </w:t>
      </w:r>
      <w:r w:rsidR="00316C4F" w:rsidRPr="00EF06EC">
        <w:t>HEPs</w:t>
      </w:r>
      <w:r w:rsidRPr="00EF06EC">
        <w:t xml:space="preserve">, their </w:t>
      </w:r>
      <w:r w:rsidR="00D3568C" w:rsidRPr="00EF06EC">
        <w:t xml:space="preserve">initial Threshold </w:t>
      </w:r>
      <w:r w:rsidRPr="00EF06EC">
        <w:t>2</w:t>
      </w:r>
      <w:r w:rsidR="009E528C">
        <w:t xml:space="preserve"> TC grant</w:t>
      </w:r>
      <w:r w:rsidRPr="00EF06EC">
        <w:t xml:space="preserve"> </w:t>
      </w:r>
      <w:r w:rsidR="00F70329" w:rsidRPr="00EF06EC">
        <w:t xml:space="preserve">amount </w:t>
      </w:r>
      <w:r w:rsidRPr="00EF06EC">
        <w:t>remains unrounded.</w:t>
      </w:r>
    </w:p>
    <w:p w:rsidR="00F44556" w:rsidRPr="00EF06EC" w:rsidRDefault="00F81578" w:rsidP="00301743">
      <w:pPr>
        <w:pStyle w:val="Heading3"/>
      </w:pPr>
      <w:r>
        <w:t xml:space="preserve">2. </w:t>
      </w:r>
      <w:bookmarkStart w:id="3" w:name="OLE_LINK2"/>
      <w:r w:rsidR="00BA1F35">
        <w:t xml:space="preserve">TC </w:t>
      </w:r>
      <w:r w:rsidR="00301743">
        <w:t>r</w:t>
      </w:r>
      <w:r w:rsidR="00012FCF">
        <w:t>atio</w:t>
      </w:r>
    </w:p>
    <w:bookmarkEnd w:id="3"/>
    <w:p w:rsidR="00EC6AE2" w:rsidRPr="00EF06EC" w:rsidRDefault="00EC6AE2" w:rsidP="009E528C">
      <w:pPr>
        <w:pStyle w:val="BodyText"/>
      </w:pPr>
      <w:r w:rsidRPr="00EF06EC">
        <w:t>Each HEP is assigned a TC ratio.</w:t>
      </w:r>
    </w:p>
    <w:p w:rsidR="00BF33D7" w:rsidRPr="00EF06EC" w:rsidRDefault="00FE32D3" w:rsidP="00DB0BAA">
      <w:pPr>
        <w:pStyle w:val="BodyText"/>
      </w:pPr>
      <w:r w:rsidRPr="00EF06EC">
        <w:t xml:space="preserve">The TC </w:t>
      </w:r>
      <w:r w:rsidR="006C43D1" w:rsidRPr="00EF06EC">
        <w:t>r</w:t>
      </w:r>
      <w:r w:rsidRPr="00EF06EC">
        <w:t>atio</w:t>
      </w:r>
      <w:r w:rsidR="004B5E25" w:rsidRPr="00EF06EC">
        <w:t xml:space="preserve"> </w:t>
      </w:r>
      <w:r w:rsidR="00AE0A53" w:rsidRPr="00EF06EC">
        <w:t>uses</w:t>
      </w:r>
      <w:r w:rsidR="004B5E25" w:rsidRPr="00EF06EC">
        <w:t xml:space="preserve"> cents expended </w:t>
      </w:r>
      <w:r w:rsidR="00EC6AE2" w:rsidRPr="00EF06EC">
        <w:t xml:space="preserve">on indirect costs of </w:t>
      </w:r>
      <w:r w:rsidR="00CE2BCA" w:rsidRPr="00EF06EC">
        <w:t xml:space="preserve">ACG </w:t>
      </w:r>
      <w:r w:rsidR="00EC6AE2" w:rsidRPr="00EF06EC">
        <w:t xml:space="preserve">research </w:t>
      </w:r>
      <w:r w:rsidR="004B5E25" w:rsidRPr="00EF06EC">
        <w:t>for each ACG dollar</w:t>
      </w:r>
      <w:r w:rsidR="00404CDE" w:rsidRPr="00EF06EC">
        <w:t xml:space="preserve"> of income</w:t>
      </w:r>
      <w:r w:rsidR="00171E61" w:rsidRPr="00EF06EC">
        <w:t xml:space="preserve"> won</w:t>
      </w:r>
      <w:r w:rsidR="00404CDE" w:rsidRPr="00EF06EC">
        <w:t>. This</w:t>
      </w:r>
      <w:r w:rsidR="004B5E25" w:rsidRPr="00EF06EC">
        <w:t xml:space="preserve"> </w:t>
      </w:r>
      <w:r w:rsidRPr="00EF06EC">
        <w:t xml:space="preserve">is calculated by </w:t>
      </w:r>
      <w:r w:rsidR="00360C7E" w:rsidRPr="00EF06EC">
        <w:t xml:space="preserve">applying the proportion of </w:t>
      </w:r>
      <w:r w:rsidR="00404CDE" w:rsidRPr="00EF06EC">
        <w:t xml:space="preserve">a HEP’s </w:t>
      </w:r>
      <w:r w:rsidR="00360C7E" w:rsidRPr="00EF06EC">
        <w:t>ACG</w:t>
      </w:r>
      <w:r w:rsidR="002A7462" w:rsidRPr="00EF06EC">
        <w:t xml:space="preserve"> </w:t>
      </w:r>
      <w:r w:rsidR="009E528C">
        <w:t xml:space="preserve">research </w:t>
      </w:r>
      <w:r w:rsidR="002A7462" w:rsidRPr="00EF06EC">
        <w:t>effort</w:t>
      </w:r>
      <w:r w:rsidR="00360C7E" w:rsidRPr="00EF06EC">
        <w:t xml:space="preserve"> to</w:t>
      </w:r>
      <w:r w:rsidR="00404CDE" w:rsidRPr="00EF06EC">
        <w:t xml:space="preserve"> </w:t>
      </w:r>
      <w:r w:rsidR="00FA3156" w:rsidRPr="00EF06EC">
        <w:t>t</w:t>
      </w:r>
      <w:r w:rsidR="00404CDE" w:rsidRPr="00EF06EC">
        <w:t xml:space="preserve">otal </w:t>
      </w:r>
      <w:r w:rsidR="00FA3156" w:rsidRPr="00EF06EC">
        <w:t>a</w:t>
      </w:r>
      <w:r w:rsidR="00404CDE" w:rsidRPr="00EF06EC">
        <w:t>cademic effort to</w:t>
      </w:r>
      <w:r w:rsidR="00360C7E" w:rsidRPr="00EF06EC">
        <w:t xml:space="preserve"> the total </w:t>
      </w:r>
      <w:r w:rsidR="009E528C">
        <w:t>allowable</w:t>
      </w:r>
      <w:r w:rsidR="009E528C" w:rsidRPr="00EF06EC">
        <w:t xml:space="preserve"> </w:t>
      </w:r>
      <w:r w:rsidR="00497B0B" w:rsidRPr="00EF06EC">
        <w:t>i</w:t>
      </w:r>
      <w:r w:rsidR="00360C7E" w:rsidRPr="00EF06EC">
        <w:t>ndirect costs</w:t>
      </w:r>
      <w:r w:rsidR="009E528C">
        <w:t xml:space="preserve"> </w:t>
      </w:r>
      <w:r w:rsidR="004B5E25" w:rsidRPr="00EF06EC">
        <w:t xml:space="preserve">claimed, dividing by </w:t>
      </w:r>
      <w:r w:rsidR="0046440E" w:rsidRPr="00EF06EC">
        <w:t xml:space="preserve">total </w:t>
      </w:r>
      <w:r w:rsidR="004B5E25" w:rsidRPr="00EF06EC">
        <w:t>Category 1</w:t>
      </w:r>
      <w:r w:rsidR="00CA1D4E">
        <w:t xml:space="preserve"> ACG</w:t>
      </w:r>
      <w:r w:rsidR="0056032B">
        <w:t xml:space="preserve"> research</w:t>
      </w:r>
      <w:r w:rsidR="004B5E25" w:rsidRPr="00EF06EC">
        <w:t xml:space="preserve"> income and then multiplying by 100.</w:t>
      </w:r>
      <w:r w:rsidR="00360C7E" w:rsidRPr="00EF06EC">
        <w:t xml:space="preserve"> </w:t>
      </w:r>
    </w:p>
    <w:p w:rsidR="00BD29FC" w:rsidRPr="00EF06EC" w:rsidRDefault="00404CDE" w:rsidP="00012FCF">
      <w:pPr>
        <w:pStyle w:val="BodyText"/>
      </w:pPr>
      <w:r w:rsidRPr="00EF06EC">
        <w:t>Each HEP</w:t>
      </w:r>
      <w:r w:rsidR="003B32C2">
        <w:t>’</w:t>
      </w:r>
      <w:r w:rsidRPr="00EF06EC">
        <w:t>s</w:t>
      </w:r>
      <w:r w:rsidR="002A7462" w:rsidRPr="00EF06EC">
        <w:t xml:space="preserve"> proportion of</w:t>
      </w:r>
      <w:r w:rsidRPr="00EF06EC">
        <w:t xml:space="preserve"> </w:t>
      </w:r>
      <w:r w:rsidR="00BD29FC" w:rsidRPr="00EF06EC">
        <w:t xml:space="preserve">ACG </w:t>
      </w:r>
      <w:r w:rsidR="00CA1D4E">
        <w:t xml:space="preserve">research </w:t>
      </w:r>
      <w:r w:rsidR="002A7462" w:rsidRPr="00EF06EC">
        <w:t xml:space="preserve">effort to </w:t>
      </w:r>
      <w:r w:rsidR="00FA3156" w:rsidRPr="00EF06EC">
        <w:t>t</w:t>
      </w:r>
      <w:r w:rsidR="002A7462" w:rsidRPr="00EF06EC">
        <w:t xml:space="preserve">otal </w:t>
      </w:r>
      <w:r w:rsidR="00FA3156" w:rsidRPr="00EF06EC">
        <w:t>a</w:t>
      </w:r>
      <w:r w:rsidR="002A7462" w:rsidRPr="00EF06EC">
        <w:t>cademic effort</w:t>
      </w:r>
      <w:r w:rsidR="00BD29FC" w:rsidRPr="00EF06EC">
        <w:t xml:space="preserve"> is calculated </w:t>
      </w:r>
      <w:r w:rsidR="00394FAD" w:rsidRPr="00EF06EC">
        <w:t xml:space="preserve">by </w:t>
      </w:r>
      <w:r w:rsidRPr="00EF06EC">
        <w:t>multiplying</w:t>
      </w:r>
      <w:r w:rsidR="00394FAD" w:rsidRPr="00EF06EC">
        <w:t xml:space="preserve"> </w:t>
      </w:r>
      <w:r w:rsidR="00BD29FC" w:rsidRPr="00EF06EC">
        <w:t xml:space="preserve">the </w:t>
      </w:r>
      <w:r w:rsidR="00FA3156" w:rsidRPr="00EF06EC">
        <w:t>a</w:t>
      </w:r>
      <w:r w:rsidR="00BD29FC" w:rsidRPr="00EF06EC">
        <w:t xml:space="preserve">verage ACG </w:t>
      </w:r>
      <w:r w:rsidR="00D80C67" w:rsidRPr="00EF06EC">
        <w:t xml:space="preserve">FTE spent on ACG research </w:t>
      </w:r>
      <w:r w:rsidRPr="00EF06EC">
        <w:t>by</w:t>
      </w:r>
      <w:r w:rsidR="00BD29FC" w:rsidRPr="00EF06EC">
        <w:t xml:space="preserve"> the </w:t>
      </w:r>
      <w:r w:rsidR="00345235" w:rsidRPr="00EF06EC">
        <w:t xml:space="preserve">total </w:t>
      </w:r>
      <w:r w:rsidR="00CA1D4E">
        <w:t>target</w:t>
      </w:r>
      <w:r w:rsidR="00CA1D4E" w:rsidRPr="00EF06EC">
        <w:t xml:space="preserve"> </w:t>
      </w:r>
      <w:r w:rsidR="00345235" w:rsidRPr="00EF06EC">
        <w:t>population</w:t>
      </w:r>
      <w:r w:rsidR="002A7462" w:rsidRPr="00EF06EC">
        <w:t>, then dividing by</w:t>
      </w:r>
      <w:r w:rsidR="00CA1D4E">
        <w:t xml:space="preserve"> the greater of</w:t>
      </w:r>
      <w:r w:rsidR="002A7462" w:rsidRPr="00EF06EC">
        <w:t xml:space="preserve"> total </w:t>
      </w:r>
      <w:r w:rsidR="00FA3156" w:rsidRPr="00EF06EC">
        <w:t>a</w:t>
      </w:r>
      <w:r w:rsidR="002A7462" w:rsidRPr="00EF06EC">
        <w:t>cademic FTE</w:t>
      </w:r>
      <w:r w:rsidR="00CA1D4E">
        <w:t xml:space="preserve"> or target population FTE</w:t>
      </w:r>
      <w:r w:rsidR="002A7462" w:rsidRPr="00EF06EC">
        <w:t>.</w:t>
      </w:r>
    </w:p>
    <w:p w:rsidR="00D80C67" w:rsidRPr="00EF06EC" w:rsidRDefault="00D80C67" w:rsidP="00EF06EC">
      <w:pPr>
        <w:pStyle w:val="BodyText"/>
      </w:pPr>
      <w:r w:rsidRPr="00EF06EC">
        <w:t>Average FTE spent on ACG research is the proportion of time reported as spent on ACG research for each valid respondent converted to FTE totalled for the HEP then divided by the total number of valid survey responses</w:t>
      </w:r>
      <w:r w:rsidR="00012FCF">
        <w:t xml:space="preserve"> from the HEP</w:t>
      </w:r>
      <w:r w:rsidRPr="00EF06EC">
        <w:t xml:space="preserve">. </w:t>
      </w:r>
    </w:p>
    <w:p w:rsidR="007D16FE" w:rsidRDefault="002418A0" w:rsidP="00DB0BAA">
      <w:pPr>
        <w:pStyle w:val="BodyText"/>
      </w:pPr>
      <w:r w:rsidRPr="00EF06EC">
        <w:t xml:space="preserve">ACG </w:t>
      </w:r>
      <w:r w:rsidR="00862515" w:rsidRPr="00EF06EC">
        <w:t>effort</w:t>
      </w:r>
      <w:r w:rsidRPr="00EF06EC">
        <w:t xml:space="preserve"> uses information supplied by each HEP </w:t>
      </w:r>
      <w:r w:rsidR="00CA1D4E">
        <w:t>from</w:t>
      </w:r>
      <w:r w:rsidRPr="00EF06EC">
        <w:t xml:space="preserve"> the staff hours survey </w:t>
      </w:r>
      <w:r w:rsidR="005E737E">
        <w:t>(</w:t>
      </w:r>
      <w:r w:rsidRPr="00EF06EC">
        <w:t xml:space="preserve">conducted between </w:t>
      </w:r>
      <w:r w:rsidR="00CA1D4E">
        <w:t>May and July 2011</w:t>
      </w:r>
      <w:r w:rsidR="005E737E">
        <w:t>)</w:t>
      </w:r>
      <w:r w:rsidR="00CA1D4E">
        <w:t xml:space="preserve"> and is sourced from the Research Hours Data Collection</w:t>
      </w:r>
      <w:r w:rsidR="007D16FE" w:rsidRPr="00EF06EC">
        <w:t>.</w:t>
      </w:r>
    </w:p>
    <w:p w:rsidR="00CA1D4E" w:rsidRDefault="00CA1D4E" w:rsidP="006B0F61">
      <w:pPr>
        <w:pStyle w:val="BodyText"/>
      </w:pPr>
      <w:r>
        <w:t xml:space="preserve">The target population and target population FTE </w:t>
      </w:r>
      <w:r w:rsidR="006B0F61">
        <w:t>is at the time of conducting the staff hours survey and is</w:t>
      </w:r>
      <w:r>
        <w:t xml:space="preserve"> sourced from the Research Hours Data Collection. </w:t>
      </w:r>
    </w:p>
    <w:p w:rsidR="00CA1D4E" w:rsidRPr="005F7B92" w:rsidRDefault="00CA1D4E" w:rsidP="005F68B4">
      <w:pPr>
        <w:pStyle w:val="BodyText"/>
      </w:pPr>
      <w:r>
        <w:t xml:space="preserve">The target population is defined as </w:t>
      </w:r>
      <w:r w:rsidR="00012FCF">
        <w:t>all employees of a HEP whose continuing or fixed-term employment contract contains a research component</w:t>
      </w:r>
      <w:r w:rsidR="006B0F61">
        <w:t>. This includes all academic staff with a research only or teaching and research classification and any professional or general staff for whom</w:t>
      </w:r>
      <w:r w:rsidR="005F68B4">
        <w:t xml:space="preserve"> ‘undertaking</w:t>
      </w:r>
      <w:r w:rsidR="006B0F61">
        <w:t xml:space="preserve"> research</w:t>
      </w:r>
      <w:r w:rsidR="005F68B4">
        <w:t>’</w:t>
      </w:r>
      <w:r w:rsidR="006B0F61">
        <w:t xml:space="preserve"> forms a material part of their contract. </w:t>
      </w:r>
      <w:r w:rsidR="005F7B92">
        <w:t xml:space="preserve">‘Undertaking research’ is defined in the </w:t>
      </w:r>
      <w:r w:rsidR="005F7B92" w:rsidRPr="005F7B92">
        <w:rPr>
          <w:i/>
          <w:iCs/>
        </w:rPr>
        <w:t>Instructions for the Administration of the Staff Hours Survey 2011</w:t>
      </w:r>
      <w:r w:rsidR="005F7B92">
        <w:t>.</w:t>
      </w:r>
    </w:p>
    <w:p w:rsidR="007D16FE" w:rsidRPr="00EF06EC" w:rsidRDefault="007D16FE" w:rsidP="00EF06EC">
      <w:pPr>
        <w:pStyle w:val="BodyText"/>
      </w:pPr>
      <w:r w:rsidRPr="00EF06EC">
        <w:t xml:space="preserve">Academic FTE is the year </w:t>
      </w:r>
      <w:r w:rsidR="00B94493">
        <w:t>which matches the most recent Research Hours Data Collection</w:t>
      </w:r>
      <w:r w:rsidRPr="00EF06EC">
        <w:t xml:space="preserve"> and is sourced from the Higher Education Staff Collecti</w:t>
      </w:r>
      <w:r w:rsidR="00D31C4B">
        <w:t>on</w:t>
      </w:r>
      <w:r w:rsidRPr="00EF06EC">
        <w:t>.</w:t>
      </w:r>
    </w:p>
    <w:p w:rsidR="00747644" w:rsidRPr="00EF06EC" w:rsidRDefault="00747644" w:rsidP="00DB0BAA">
      <w:pPr>
        <w:pStyle w:val="BodyText"/>
      </w:pPr>
      <w:r w:rsidRPr="00EF06EC">
        <w:t xml:space="preserve">Academic staff </w:t>
      </w:r>
      <w:r w:rsidR="00DB0BAA">
        <w:t>is</w:t>
      </w:r>
      <w:r w:rsidR="00DB0BAA" w:rsidRPr="00EF06EC">
        <w:t xml:space="preserve"> </w:t>
      </w:r>
      <w:r w:rsidRPr="00EF06EC">
        <w:t xml:space="preserve">defined as those </w:t>
      </w:r>
      <w:r w:rsidR="00A7222D">
        <w:t>identified</w:t>
      </w:r>
      <w:r w:rsidR="00A7222D" w:rsidRPr="00EF06EC">
        <w:t xml:space="preserve"> </w:t>
      </w:r>
      <w:r w:rsidRPr="00EF06EC">
        <w:t xml:space="preserve">under Element </w:t>
      </w:r>
      <w:r w:rsidR="00A7222D">
        <w:t>509</w:t>
      </w:r>
      <w:r w:rsidR="00A7222D" w:rsidRPr="00EF06EC">
        <w:t xml:space="preserve"> </w:t>
      </w:r>
      <w:r w:rsidR="003C53F9" w:rsidRPr="00EF06EC">
        <w:t xml:space="preserve">of the Higher Education Staff Collection </w:t>
      </w:r>
      <w:r w:rsidRPr="00EF06EC">
        <w:t xml:space="preserve">as </w:t>
      </w:r>
      <w:r w:rsidR="00A7222D">
        <w:t>having an Academic classification level code (Level A and above, all increments)</w:t>
      </w:r>
      <w:r w:rsidR="00DB0BAA">
        <w:t xml:space="preserve"> </w:t>
      </w:r>
      <w:r w:rsidR="005E737E">
        <w:t xml:space="preserve">with respect to their current duties </w:t>
      </w:r>
      <w:r w:rsidRPr="00EF06EC">
        <w:t xml:space="preserve">in the Full-Time and </w:t>
      </w:r>
      <w:bookmarkStart w:id="4" w:name="OLE_LINK5"/>
      <w:bookmarkStart w:id="5" w:name="OLE_LINK6"/>
      <w:r w:rsidRPr="00EF06EC">
        <w:t>Fractional Full-Time Staff input file</w:t>
      </w:r>
      <w:bookmarkEnd w:id="4"/>
      <w:bookmarkEnd w:id="5"/>
      <w:r w:rsidRPr="00EF06EC">
        <w:t xml:space="preserve">. The staff data </w:t>
      </w:r>
      <w:r w:rsidR="00FD4BE2" w:rsidRPr="00EF06EC">
        <w:t>is</w:t>
      </w:r>
      <w:r w:rsidRPr="00EF06EC">
        <w:t xml:space="preserve"> unweighted. </w:t>
      </w:r>
    </w:p>
    <w:p w:rsidR="003316BD" w:rsidRPr="00EF06EC" w:rsidRDefault="003316BD" w:rsidP="00652EB3">
      <w:pPr>
        <w:pStyle w:val="BodyText"/>
      </w:pPr>
      <w:r w:rsidRPr="00EF06EC">
        <w:t>The total</w:t>
      </w:r>
      <w:r w:rsidR="00404CDE" w:rsidRPr="00EF06EC">
        <w:t xml:space="preserve"> </w:t>
      </w:r>
      <w:r w:rsidR="005E737E">
        <w:t>allowable</w:t>
      </w:r>
      <w:r w:rsidR="005E737E" w:rsidRPr="00EF06EC">
        <w:t xml:space="preserve"> </w:t>
      </w:r>
      <w:r w:rsidRPr="00EF06EC">
        <w:t>indirect cost</w:t>
      </w:r>
      <w:r w:rsidR="00B257B6" w:rsidRPr="00EF06EC">
        <w:t>s</w:t>
      </w:r>
      <w:r w:rsidR="005E737E">
        <w:t xml:space="preserve"> claimed</w:t>
      </w:r>
      <w:r w:rsidRPr="00EF06EC">
        <w:t xml:space="preserve"> </w:t>
      </w:r>
      <w:r w:rsidR="005E737E">
        <w:t xml:space="preserve">is </w:t>
      </w:r>
      <w:r w:rsidR="00652EB3">
        <w:t>disaggregated</w:t>
      </w:r>
      <w:r w:rsidR="005E737E">
        <w:t xml:space="preserve"> from audited financial statements and is sourced from the </w:t>
      </w:r>
      <w:r w:rsidR="00097D71">
        <w:t xml:space="preserve">most recent </w:t>
      </w:r>
      <w:r w:rsidR="005E737E">
        <w:t>SRE Financial Data Collection.</w:t>
      </w:r>
    </w:p>
    <w:p w:rsidR="003316BD" w:rsidRPr="00EF06EC" w:rsidRDefault="005F7B92" w:rsidP="00EF06EC">
      <w:pPr>
        <w:pStyle w:val="BodyText"/>
      </w:pPr>
      <w:r w:rsidRPr="00EF06EC">
        <w:t>Category 1</w:t>
      </w:r>
      <w:r>
        <w:t xml:space="preserve"> ACG research</w:t>
      </w:r>
      <w:r w:rsidRPr="00EF06EC">
        <w:t xml:space="preserve"> income</w:t>
      </w:r>
      <w:r w:rsidR="003316BD" w:rsidRPr="00EF06EC">
        <w:t xml:space="preserve"> is the most recent year for which data is available and is sourced from the HERDC. </w:t>
      </w:r>
      <w:r w:rsidR="00DB0BAA" w:rsidRPr="00EF06EC">
        <w:t>The income data is unweighted.</w:t>
      </w:r>
    </w:p>
    <w:p w:rsidR="00012FCF" w:rsidRPr="00EF06EC" w:rsidRDefault="00F81578" w:rsidP="0010390C">
      <w:pPr>
        <w:pStyle w:val="Heading3"/>
      </w:pPr>
      <w:r>
        <w:t xml:space="preserve">3. </w:t>
      </w:r>
      <w:r w:rsidR="00012FCF" w:rsidRPr="00EF06EC">
        <w:t xml:space="preserve">TC </w:t>
      </w:r>
      <w:r w:rsidR="00301743">
        <w:t>m</w:t>
      </w:r>
      <w:r w:rsidR="00012FCF" w:rsidRPr="00EF06EC">
        <w:t>oderator</w:t>
      </w:r>
    </w:p>
    <w:p w:rsidR="00DB0BAA" w:rsidRDefault="00DB0BAA" w:rsidP="003B32C2">
      <w:pPr>
        <w:pStyle w:val="BodyText"/>
      </w:pPr>
      <w:r>
        <w:t xml:space="preserve">A TC </w:t>
      </w:r>
      <w:r w:rsidR="00301743">
        <w:t>m</w:t>
      </w:r>
      <w:r>
        <w:t xml:space="preserve">oderator is calculated for all </w:t>
      </w:r>
      <w:r w:rsidR="002C0DB2">
        <w:t>HEPs</w:t>
      </w:r>
      <w:r>
        <w:t xml:space="preserve"> eligible for Threshold 2</w:t>
      </w:r>
      <w:r w:rsidR="002C0DB2">
        <w:t xml:space="preserve"> funding</w:t>
      </w:r>
      <w:r>
        <w:t xml:space="preserve">, </w:t>
      </w:r>
      <w:r w:rsidR="002C0DB2">
        <w:t>i.e. </w:t>
      </w:r>
      <w:r>
        <w:t xml:space="preserve">those with an </w:t>
      </w:r>
      <w:r w:rsidRPr="00EF06EC">
        <w:t>initial Threshold 2 performance index</w:t>
      </w:r>
      <w:r>
        <w:t xml:space="preserve"> greater than zero (0.00</w:t>
      </w:r>
      <w:r w:rsidR="002C0DB2">
        <w:t>%</w:t>
      </w:r>
      <w:r>
        <w:t>).</w:t>
      </w:r>
    </w:p>
    <w:p w:rsidR="0046440E" w:rsidRDefault="00F44556" w:rsidP="00DB0BAA">
      <w:pPr>
        <w:pStyle w:val="BodyText"/>
      </w:pPr>
      <w:r w:rsidRPr="00EF06EC">
        <w:t xml:space="preserve">Using statistical methods, the </w:t>
      </w:r>
      <w:r w:rsidR="0046440E" w:rsidRPr="00EF06EC">
        <w:t xml:space="preserve">TC ratio </w:t>
      </w:r>
      <w:r w:rsidR="002C0DB2">
        <w:t xml:space="preserve">for Threshold 2 eligible HEPs </w:t>
      </w:r>
      <w:r w:rsidR="0046440E" w:rsidRPr="00EF06EC">
        <w:t>is divided into quartiles. Assignment to a band is determined by these quartiles. Band A equates to the first quartile, Band B to the second and third quartiles and Band C to the fourth quartile.</w:t>
      </w:r>
    </w:p>
    <w:p w:rsidR="0046440E" w:rsidRPr="00EF06EC" w:rsidRDefault="002C0DB2" w:rsidP="00AC2354">
      <w:pPr>
        <w:pStyle w:val="BodyText"/>
      </w:pPr>
      <w:r>
        <w:t>For the first quartile, Band A, t</w:t>
      </w:r>
      <w:r w:rsidR="0046440E" w:rsidRPr="00EF06EC">
        <w:t>he TC moderator</w:t>
      </w:r>
      <w:r>
        <w:t xml:space="preserve"> is </w:t>
      </w:r>
      <w:r w:rsidR="00AD129D" w:rsidRPr="00EF06EC">
        <w:t>set</w:t>
      </w:r>
      <w:r w:rsidR="0046440E" w:rsidRPr="00EF06EC">
        <w:t xml:space="preserve"> to the </w:t>
      </w:r>
      <w:r w:rsidR="00353EF0" w:rsidRPr="00EF06EC">
        <w:t>lower</w:t>
      </w:r>
      <w:r w:rsidR="0046440E" w:rsidRPr="00EF06EC">
        <w:t xml:space="preserve"> </w:t>
      </w:r>
      <w:r w:rsidR="00353EF0" w:rsidRPr="00EF06EC">
        <w:t>cap</w:t>
      </w:r>
      <w:r w:rsidR="0046440E" w:rsidRPr="00EF06EC">
        <w:t xml:space="preserve"> of 1</w:t>
      </w:r>
      <w:r>
        <w:t>.0. In the fourth quartile</w:t>
      </w:r>
      <w:r w:rsidR="0046440E" w:rsidRPr="00EF06EC">
        <w:t xml:space="preserve">, </w:t>
      </w:r>
      <w:r w:rsidR="00353EF0" w:rsidRPr="00EF06EC">
        <w:t>Band C</w:t>
      </w:r>
      <w:r>
        <w:t xml:space="preserve">, </w:t>
      </w:r>
      <w:r w:rsidR="00AC2354">
        <w:t xml:space="preserve">for </w:t>
      </w:r>
      <w:r>
        <w:t>those HEPs</w:t>
      </w:r>
      <w:r w:rsidR="00353EF0" w:rsidRPr="00EF06EC">
        <w:t xml:space="preserve"> </w:t>
      </w:r>
      <w:r w:rsidR="009A41EE" w:rsidRPr="00EF06EC">
        <w:t xml:space="preserve">with </w:t>
      </w:r>
      <w:r w:rsidR="00AD129D" w:rsidRPr="00EF06EC">
        <w:t>markedly</w:t>
      </w:r>
      <w:r w:rsidR="009A41EE" w:rsidRPr="00EF06EC">
        <w:t xml:space="preserve"> higher TC ratios</w:t>
      </w:r>
      <w:r w:rsidR="006605F4" w:rsidRPr="00EF06EC">
        <w:t xml:space="preserve"> </w:t>
      </w:r>
      <w:r w:rsidR="00AC2354">
        <w:t xml:space="preserve">when </w:t>
      </w:r>
      <w:r>
        <w:t xml:space="preserve">compared to others </w:t>
      </w:r>
      <w:r w:rsidR="006605F4" w:rsidRPr="00EF06EC">
        <w:t xml:space="preserve">(1.5 standard deviations above the mathematical mean of all </w:t>
      </w:r>
      <w:r w:rsidR="00AC2354" w:rsidRPr="00EF06EC">
        <w:t>T</w:t>
      </w:r>
      <w:r w:rsidR="00AC2354">
        <w:t xml:space="preserve">hreshold </w:t>
      </w:r>
      <w:r w:rsidR="006605F4" w:rsidRPr="00EF06EC">
        <w:t>2 eligible TC ratios)</w:t>
      </w:r>
      <w:r w:rsidR="0046440E" w:rsidRPr="00EF06EC">
        <w:t xml:space="preserve"> </w:t>
      </w:r>
      <w:r w:rsidR="00AC2354">
        <w:t xml:space="preserve">the TC moderator is set </w:t>
      </w:r>
      <w:r w:rsidR="00353EF0" w:rsidRPr="00EF06EC">
        <w:t>to the upper cap of 1</w:t>
      </w:r>
      <w:r w:rsidR="002418A0" w:rsidRPr="00EF06EC">
        <w:t>.2</w:t>
      </w:r>
      <w:r w:rsidR="00AC2354">
        <w:t>.</w:t>
      </w:r>
      <w:r w:rsidR="00AC2354" w:rsidRPr="00AC2354">
        <w:t xml:space="preserve"> </w:t>
      </w:r>
      <w:r w:rsidR="00AC2354">
        <w:t xml:space="preserve">Individual TC moderator scores are then calculated for all remaining </w:t>
      </w:r>
      <w:r w:rsidR="002418A0" w:rsidRPr="00EF06EC">
        <w:t xml:space="preserve">uncapped </w:t>
      </w:r>
      <w:r w:rsidR="009A41EE" w:rsidRPr="00EF06EC">
        <w:t xml:space="preserve">HEPs in Band B and </w:t>
      </w:r>
      <w:r w:rsidR="009C7524" w:rsidRPr="00EF06EC">
        <w:t xml:space="preserve">Band </w:t>
      </w:r>
      <w:r w:rsidR="002418A0" w:rsidRPr="00EF06EC">
        <w:t>C</w:t>
      </w:r>
      <w:r w:rsidR="00AC2354">
        <w:t xml:space="preserve"> by</w:t>
      </w:r>
      <w:r w:rsidR="00AC2354" w:rsidRPr="00EF06EC">
        <w:t xml:space="preserve"> add</w:t>
      </w:r>
      <w:r w:rsidR="00AC2354">
        <w:t>ing</w:t>
      </w:r>
      <w:r w:rsidR="00AC2354" w:rsidRPr="00EF06EC">
        <w:t xml:space="preserve"> 1 to the TC multiplier</w:t>
      </w:r>
      <w:r w:rsidR="00AC2354">
        <w:t>.</w:t>
      </w:r>
    </w:p>
    <w:p w:rsidR="00F44556" w:rsidRPr="00EF06EC" w:rsidRDefault="009A41EE" w:rsidP="00E43535">
      <w:pPr>
        <w:pStyle w:val="BodyText"/>
      </w:pPr>
      <w:r w:rsidRPr="00EF06EC">
        <w:t>The TC multiplier is a scaled individual rate</w:t>
      </w:r>
      <w:r w:rsidR="00353EF0" w:rsidRPr="00EF06EC">
        <w:t xml:space="preserve"> for those uncapped Band B and Band C HEPs. The TC multiplier is calculated based on their proportion of the total of all uncapped Threshold 2</w:t>
      </w:r>
      <w:r w:rsidR="00E43535">
        <w:t xml:space="preserve"> eligible</w:t>
      </w:r>
      <w:r w:rsidR="00353EF0" w:rsidRPr="00EF06EC">
        <w:t xml:space="preserve"> TC ratios</w:t>
      </w:r>
      <w:r w:rsidR="003E3BC3" w:rsidRPr="00EF06EC">
        <w:t xml:space="preserve"> </w:t>
      </w:r>
      <w:r w:rsidR="002418A0" w:rsidRPr="00EF06EC">
        <w:t xml:space="preserve">applied to 0.2 and rescaled by </w:t>
      </w:r>
      <w:r w:rsidR="00AD129D" w:rsidRPr="00EF06EC">
        <w:t>multiplying</w:t>
      </w:r>
      <w:r w:rsidR="002418A0" w:rsidRPr="00EF06EC">
        <w:t xml:space="preserve"> </w:t>
      </w:r>
      <w:r w:rsidR="003E3BC3" w:rsidRPr="00EF06EC">
        <w:t>by 10</w:t>
      </w:r>
      <w:r w:rsidR="002418A0" w:rsidRPr="00EF06EC">
        <w:t>.</w:t>
      </w:r>
      <w:r w:rsidR="00F44556" w:rsidRPr="00EF06EC">
        <w:t xml:space="preserve"> </w:t>
      </w:r>
    </w:p>
    <w:p w:rsidR="00665091" w:rsidRPr="00EF06EC" w:rsidRDefault="00F81578" w:rsidP="00AC2354">
      <w:pPr>
        <w:pStyle w:val="Heading3"/>
      </w:pPr>
      <w:r>
        <w:t xml:space="preserve">4. </w:t>
      </w:r>
      <w:r w:rsidR="00665091" w:rsidRPr="00EF06EC">
        <w:t xml:space="preserve">Moderated Threshold 2 </w:t>
      </w:r>
      <w:r w:rsidR="00AC2354">
        <w:t>TC grant amount</w:t>
      </w:r>
    </w:p>
    <w:p w:rsidR="00665091" w:rsidRDefault="00665091" w:rsidP="000F7F98">
      <w:pPr>
        <w:pStyle w:val="BodyText"/>
      </w:pPr>
      <w:r w:rsidRPr="00EF06EC">
        <w:t xml:space="preserve">The </w:t>
      </w:r>
      <w:r w:rsidR="00497B0B" w:rsidRPr="00EF06EC">
        <w:t>m</w:t>
      </w:r>
      <w:r w:rsidRPr="00EF06EC">
        <w:t xml:space="preserve">oderated </w:t>
      </w:r>
      <w:r w:rsidR="00467C7F" w:rsidRPr="00EF06EC">
        <w:t xml:space="preserve">Threshold </w:t>
      </w:r>
      <w:r w:rsidRPr="00EF06EC">
        <w:t xml:space="preserve">2 </w:t>
      </w:r>
      <w:r w:rsidR="00AC2354">
        <w:t xml:space="preserve">TC grant </w:t>
      </w:r>
      <w:r w:rsidR="00497B0B" w:rsidRPr="00EF06EC">
        <w:t xml:space="preserve">amount </w:t>
      </w:r>
      <w:r w:rsidRPr="00EF06EC">
        <w:t xml:space="preserve">is calculated by multiplying the </w:t>
      </w:r>
      <w:r w:rsidR="003E3BC3" w:rsidRPr="00EF06EC">
        <w:t>i</w:t>
      </w:r>
      <w:r w:rsidRPr="00EF06EC">
        <w:t xml:space="preserve">nitial </w:t>
      </w:r>
      <w:r w:rsidR="00467C7F" w:rsidRPr="00EF06EC">
        <w:t>Threshold</w:t>
      </w:r>
      <w:r w:rsidR="00775393" w:rsidRPr="00EF06EC">
        <w:t> </w:t>
      </w:r>
      <w:r w:rsidRPr="00EF06EC">
        <w:t>2</w:t>
      </w:r>
      <w:r w:rsidR="000F7F98">
        <w:t xml:space="preserve"> TC grant</w:t>
      </w:r>
      <w:r w:rsidRPr="00EF06EC">
        <w:t xml:space="preserve"> </w:t>
      </w:r>
      <w:r w:rsidR="003E3BC3" w:rsidRPr="00EF06EC">
        <w:t xml:space="preserve">amount </w:t>
      </w:r>
      <w:r w:rsidRPr="00EF06EC">
        <w:t xml:space="preserve">by the </w:t>
      </w:r>
      <w:r w:rsidR="000F7F98">
        <w:t>TC moderator</w:t>
      </w:r>
      <w:r w:rsidR="00775393" w:rsidRPr="00EF06EC">
        <w:t>.</w:t>
      </w:r>
    </w:p>
    <w:p w:rsidR="00F81578" w:rsidRPr="00EF06EC" w:rsidRDefault="00F81578" w:rsidP="00F81578">
      <w:pPr>
        <w:pStyle w:val="BodyText"/>
      </w:pPr>
      <w:r w:rsidRPr="00EF06EC">
        <w:t xml:space="preserve">For all HEPs, their </w:t>
      </w:r>
      <w:r>
        <w:t>moderated</w:t>
      </w:r>
      <w:r w:rsidRPr="00EF06EC">
        <w:t xml:space="preserve"> Threshold 2</w:t>
      </w:r>
      <w:r>
        <w:t xml:space="preserve"> TC grant</w:t>
      </w:r>
      <w:r w:rsidRPr="00EF06EC">
        <w:t xml:space="preserve"> amount remains unrounded.</w:t>
      </w:r>
    </w:p>
    <w:p w:rsidR="00665091" w:rsidRPr="00EF06EC" w:rsidRDefault="00F81578" w:rsidP="00F81578">
      <w:pPr>
        <w:pStyle w:val="Heading3"/>
      </w:pPr>
      <w:r>
        <w:t xml:space="preserve">5. </w:t>
      </w:r>
      <w:r w:rsidR="00665091" w:rsidRPr="00EF06EC">
        <w:t xml:space="preserve">Final Threshold 2 </w:t>
      </w:r>
      <w:r w:rsidR="00301743">
        <w:t xml:space="preserve">TC </w:t>
      </w:r>
      <w:r>
        <w:t>grant amount</w:t>
      </w:r>
    </w:p>
    <w:p w:rsidR="00665091" w:rsidRPr="00EF06EC" w:rsidRDefault="00B614CB" w:rsidP="006E2E68">
      <w:pPr>
        <w:pStyle w:val="BodyText"/>
      </w:pPr>
      <w:r>
        <w:t>Education</w:t>
      </w:r>
      <w:r w:rsidR="00665091" w:rsidRPr="00EF06EC">
        <w:t xml:space="preserve"> determines each HEP’s </w:t>
      </w:r>
      <w:r w:rsidR="003E3BC3" w:rsidRPr="00EF06EC">
        <w:t>f</w:t>
      </w:r>
      <w:r w:rsidR="00665091" w:rsidRPr="00EF06EC">
        <w:t xml:space="preserve">inal </w:t>
      </w:r>
      <w:r w:rsidR="00467C7F" w:rsidRPr="00EF06EC">
        <w:t xml:space="preserve">Threshold </w:t>
      </w:r>
      <w:r w:rsidR="00665091" w:rsidRPr="00EF06EC">
        <w:t xml:space="preserve">2 </w:t>
      </w:r>
      <w:r w:rsidR="00F81578">
        <w:t xml:space="preserve">TC grant </w:t>
      </w:r>
      <w:r w:rsidR="00665091" w:rsidRPr="00EF06EC">
        <w:t xml:space="preserve">amount on the basis of the </w:t>
      </w:r>
      <w:r w:rsidR="00F81578">
        <w:t xml:space="preserve">TC </w:t>
      </w:r>
      <w:r w:rsidR="00665091" w:rsidRPr="00EF06EC">
        <w:t xml:space="preserve">performance index applied against the </w:t>
      </w:r>
      <w:r w:rsidR="00467C7F" w:rsidRPr="00EF06EC">
        <w:t xml:space="preserve">Threshold </w:t>
      </w:r>
      <w:r w:rsidR="00665091" w:rsidRPr="00EF06EC">
        <w:t xml:space="preserve">2 </w:t>
      </w:r>
      <w:r w:rsidR="00F81578">
        <w:t xml:space="preserve">TC pool funding </w:t>
      </w:r>
      <w:r w:rsidR="007A1466" w:rsidRPr="00EF06EC">
        <w:t>amount</w:t>
      </w:r>
      <w:r w:rsidR="00665091" w:rsidRPr="00EF06EC">
        <w:t xml:space="preserve"> </w:t>
      </w:r>
      <w:r w:rsidR="0010390C">
        <w:t>for</w:t>
      </w:r>
      <w:r w:rsidR="00665091" w:rsidRPr="00EF06EC">
        <w:t xml:space="preserve"> </w:t>
      </w:r>
      <w:r w:rsidR="00F81578">
        <w:t>2012</w:t>
      </w:r>
      <w:r w:rsidR="00F904C5">
        <w:t>.</w:t>
      </w:r>
    </w:p>
    <w:p w:rsidR="00665091" w:rsidRPr="00EF06EC" w:rsidRDefault="00665091" w:rsidP="00CC093D">
      <w:pPr>
        <w:pStyle w:val="BodyText"/>
      </w:pPr>
      <w:r w:rsidRPr="00EF06EC">
        <w:t xml:space="preserve">The </w:t>
      </w:r>
      <w:r w:rsidR="006E2E68">
        <w:t xml:space="preserve">TC </w:t>
      </w:r>
      <w:r w:rsidRPr="00EF06EC">
        <w:t xml:space="preserve">performance index </w:t>
      </w:r>
      <w:r w:rsidR="00FD4BE2" w:rsidRPr="00EF06EC">
        <w:t>is</w:t>
      </w:r>
      <w:r w:rsidR="00CC093D">
        <w:t xml:space="preserve"> </w:t>
      </w:r>
      <w:r w:rsidR="00CC093D" w:rsidRPr="00EF06EC">
        <w:t xml:space="preserve">based on </w:t>
      </w:r>
      <w:r w:rsidR="00CC093D">
        <w:t>the relative share of</w:t>
      </w:r>
      <w:r w:rsidR="00CC093D" w:rsidRPr="00EF06EC">
        <w:t xml:space="preserve"> moderated Threshold 2 </w:t>
      </w:r>
      <w:r w:rsidR="00CC093D">
        <w:t xml:space="preserve">TC grant </w:t>
      </w:r>
      <w:r w:rsidR="00CC093D" w:rsidRPr="00EF06EC">
        <w:t>amounts.</w:t>
      </w:r>
      <w:r w:rsidRPr="00EF06EC">
        <w:t xml:space="preserve"> </w:t>
      </w:r>
    </w:p>
    <w:p w:rsidR="004B319F" w:rsidRPr="00EF06EC" w:rsidRDefault="00F81578" w:rsidP="004B319F">
      <w:pPr>
        <w:pStyle w:val="BodyText"/>
      </w:pPr>
      <w:r w:rsidRPr="00EF06EC">
        <w:t xml:space="preserve">For all HEPs, </w:t>
      </w:r>
      <w:r w:rsidR="004B319F" w:rsidRPr="00EF06EC">
        <w:t>their</w:t>
      </w:r>
      <w:r w:rsidR="004B319F">
        <w:t xml:space="preserve"> unrounded</w:t>
      </w:r>
      <w:r w:rsidRPr="00EF06EC">
        <w:t xml:space="preserve"> Threshold 2</w:t>
      </w:r>
      <w:r>
        <w:t xml:space="preserve"> TC grant</w:t>
      </w:r>
      <w:r w:rsidRPr="00EF06EC">
        <w:t xml:space="preserve"> amount </w:t>
      </w:r>
      <w:r w:rsidR="004B319F">
        <w:t>i</w:t>
      </w:r>
      <w:r w:rsidR="004B319F" w:rsidRPr="00EF06EC">
        <w:t xml:space="preserve">s rounded down to the next whole dollar. The difference between a HEP’s rounded and unrounded SRE Threshold 2 </w:t>
      </w:r>
      <w:r w:rsidR="004B319F">
        <w:t xml:space="preserve">TC </w:t>
      </w:r>
      <w:r w:rsidR="004B319F" w:rsidRPr="00EF06EC">
        <w:t xml:space="preserve">amount is the remainder. The sum of all remainders is the unallocated dollars of the </w:t>
      </w:r>
      <w:r w:rsidR="004B319F">
        <w:t>SRE</w:t>
      </w:r>
      <w:r w:rsidR="004B319F" w:rsidRPr="00EF06EC">
        <w:t xml:space="preserve"> Threshold 2 </w:t>
      </w:r>
      <w:r w:rsidR="004B319F">
        <w:t>TC pool</w:t>
      </w:r>
      <w:r w:rsidR="004B319F" w:rsidRPr="00EF06EC">
        <w:t>.</w:t>
      </w:r>
    </w:p>
    <w:p w:rsidR="004B319F" w:rsidRPr="00EF06EC" w:rsidRDefault="004B319F" w:rsidP="004B319F">
      <w:pPr>
        <w:pStyle w:val="BodyText"/>
      </w:pPr>
      <w:r w:rsidRPr="00EF06EC">
        <w:t>Each HEP’s remainder is ranked in descending order based on closeness to one. One dollar is assigned to each HEP according to its ranking until all unallocated dollars are exhausted.</w:t>
      </w:r>
    </w:p>
    <w:p w:rsidR="004B319F" w:rsidRDefault="004B319F" w:rsidP="004B319F">
      <w:pPr>
        <w:pStyle w:val="BodyText"/>
      </w:pPr>
      <w:r w:rsidRPr="00EF06EC">
        <w:t xml:space="preserve">Each HEP’s </w:t>
      </w:r>
      <w:r>
        <w:t>SRE</w:t>
      </w:r>
      <w:r w:rsidRPr="00EF06EC">
        <w:t xml:space="preserve"> Threshold 2 </w:t>
      </w:r>
      <w:r>
        <w:t xml:space="preserve">TC final grant </w:t>
      </w:r>
      <w:r w:rsidRPr="00EF06EC">
        <w:t xml:space="preserve">amount is equal to the rounded </w:t>
      </w:r>
      <w:r>
        <w:t>SRE</w:t>
      </w:r>
      <w:r w:rsidRPr="00EF06EC">
        <w:t xml:space="preserve"> Threshold 2 </w:t>
      </w:r>
      <w:r>
        <w:t>TC allocation</w:t>
      </w:r>
      <w:r w:rsidRPr="00EF06EC">
        <w:t xml:space="preserve"> plus any whole dollars assigned.</w:t>
      </w:r>
    </w:p>
    <w:p w:rsidR="00F81578" w:rsidRPr="00EF06EC" w:rsidRDefault="00F81578" w:rsidP="00F81578">
      <w:pPr>
        <w:pStyle w:val="BodyText"/>
      </w:pPr>
    </w:p>
    <w:p w:rsidR="00F81578" w:rsidRPr="00EF06EC" w:rsidRDefault="00F81578" w:rsidP="00F81578">
      <w:pPr>
        <w:pStyle w:val="Heading2"/>
      </w:pPr>
      <w:r>
        <w:t>Threshold 2 Excellence Index</w:t>
      </w:r>
      <w:r w:rsidRPr="00EF06EC">
        <w:t xml:space="preserve"> (</w:t>
      </w:r>
      <w:r>
        <w:t>Ei) Pool</w:t>
      </w:r>
    </w:p>
    <w:p w:rsidR="00F81578" w:rsidRDefault="00F81578" w:rsidP="00301743">
      <w:pPr>
        <w:pStyle w:val="BodyText"/>
      </w:pPr>
      <w:r>
        <w:t xml:space="preserve">There are </w:t>
      </w:r>
      <w:r w:rsidR="00301743">
        <w:t>four</w:t>
      </w:r>
      <w:r>
        <w:t xml:space="preserve"> key steps to determining each HEP’s final Threshold 2 </w:t>
      </w:r>
      <w:r w:rsidR="00301743">
        <w:t>Ei</w:t>
      </w:r>
      <w:r>
        <w:t xml:space="preserve"> grant amount.</w:t>
      </w:r>
    </w:p>
    <w:p w:rsidR="00F81578" w:rsidRDefault="0010390C" w:rsidP="00301743">
      <w:pPr>
        <w:pStyle w:val="Heading3"/>
      </w:pPr>
      <w:r>
        <w:t xml:space="preserve">1. </w:t>
      </w:r>
      <w:r w:rsidR="00F81578">
        <w:t xml:space="preserve">Initial Threshold 2 </w:t>
      </w:r>
      <w:r w:rsidR="00301743">
        <w:t>Ei</w:t>
      </w:r>
      <w:r w:rsidR="00F81578">
        <w:t xml:space="preserve"> grant amount</w:t>
      </w:r>
    </w:p>
    <w:p w:rsidR="00F81578" w:rsidRPr="00EF06EC" w:rsidRDefault="00B614CB" w:rsidP="00301743">
      <w:pPr>
        <w:pStyle w:val="BodyText"/>
      </w:pPr>
      <w:r>
        <w:t>Education</w:t>
      </w:r>
      <w:r w:rsidR="00F81578" w:rsidRPr="00EF06EC">
        <w:t xml:space="preserve"> determines each HEP’s initial Threshold 2 </w:t>
      </w:r>
      <w:r w:rsidR="00301743">
        <w:t>Ei</w:t>
      </w:r>
      <w:r w:rsidR="00F81578">
        <w:t xml:space="preserve"> grant </w:t>
      </w:r>
      <w:r w:rsidR="00F81578" w:rsidRPr="00EF06EC">
        <w:t>amount on the basis of the initial Threshold 2 performance index applied against the Threshold 2</w:t>
      </w:r>
      <w:r w:rsidR="00F81578">
        <w:t xml:space="preserve"> </w:t>
      </w:r>
      <w:r w:rsidR="00301743">
        <w:t>Ei</w:t>
      </w:r>
      <w:r w:rsidR="00F81578">
        <w:t xml:space="preserve"> pool funding</w:t>
      </w:r>
      <w:r w:rsidR="00F81578" w:rsidRPr="00EF06EC">
        <w:t xml:space="preserve"> amount </w:t>
      </w:r>
      <w:r w:rsidR="0010390C">
        <w:t>for</w:t>
      </w:r>
      <w:r w:rsidR="00F81578" w:rsidRPr="00EF06EC">
        <w:t xml:space="preserve"> </w:t>
      </w:r>
      <w:r w:rsidR="003B2DEB">
        <w:t>the grant year</w:t>
      </w:r>
      <w:r w:rsidR="00F81578" w:rsidRPr="00EF06EC">
        <w:t>.</w:t>
      </w:r>
    </w:p>
    <w:p w:rsidR="00F81578" w:rsidRPr="00EF06EC" w:rsidRDefault="00F81578" w:rsidP="00F81578">
      <w:pPr>
        <w:pStyle w:val="BodyText"/>
      </w:pPr>
      <w:r w:rsidRPr="00EF06EC">
        <w:t>The initial Threshold 2 performance index is the relative share of the Category 1</w:t>
      </w:r>
      <w:r>
        <w:t xml:space="preserve"> ACG research</w:t>
      </w:r>
      <w:r w:rsidRPr="00EF06EC">
        <w:t xml:space="preserve"> income </w:t>
      </w:r>
      <w:r>
        <w:t xml:space="preserve">data </w:t>
      </w:r>
      <w:r w:rsidRPr="00EF06EC">
        <w:t xml:space="preserve">in excess of the Threshold 1 threshold of $2,500,000.  </w:t>
      </w:r>
    </w:p>
    <w:p w:rsidR="00F81578" w:rsidRPr="00EF06EC" w:rsidRDefault="00F81578" w:rsidP="00F81578">
      <w:pPr>
        <w:pStyle w:val="BodyText"/>
      </w:pPr>
      <w:r w:rsidRPr="00EF06EC">
        <w:t>Category 1</w:t>
      </w:r>
      <w:r>
        <w:t xml:space="preserve"> ACG research</w:t>
      </w:r>
      <w:r w:rsidRPr="00EF06EC">
        <w:t xml:space="preserve"> income </w:t>
      </w:r>
      <w:r>
        <w:t>data</w:t>
      </w:r>
      <w:r w:rsidRPr="00EF06EC">
        <w:t xml:space="preserve"> is the average of the most recent two years for which data is available and is sourced from the HERDC. The income data is unweighted.</w:t>
      </w:r>
    </w:p>
    <w:p w:rsidR="00F81578" w:rsidRPr="00EF06EC" w:rsidRDefault="00F81578" w:rsidP="00301743">
      <w:pPr>
        <w:pStyle w:val="BodyText"/>
      </w:pPr>
      <w:r w:rsidRPr="00EF06EC">
        <w:t>For all HEPs, their initial Threshold 2</w:t>
      </w:r>
      <w:r>
        <w:t xml:space="preserve"> </w:t>
      </w:r>
      <w:r w:rsidR="00301743">
        <w:t>Ei</w:t>
      </w:r>
      <w:r>
        <w:t xml:space="preserve"> grant</w:t>
      </w:r>
      <w:r w:rsidRPr="00EF06EC">
        <w:t xml:space="preserve"> amount remains unrounded.</w:t>
      </w:r>
    </w:p>
    <w:p w:rsidR="00F81578" w:rsidRPr="00EF06EC" w:rsidRDefault="0010390C" w:rsidP="00301743">
      <w:pPr>
        <w:pStyle w:val="Heading3"/>
      </w:pPr>
      <w:r>
        <w:t xml:space="preserve">2. </w:t>
      </w:r>
      <w:r w:rsidR="00301743">
        <w:t>Ei Score</w:t>
      </w:r>
    </w:p>
    <w:p w:rsidR="00F81578" w:rsidRPr="00EF06EC" w:rsidRDefault="00F81578" w:rsidP="00301743">
      <w:pPr>
        <w:pStyle w:val="BodyText"/>
      </w:pPr>
      <w:r w:rsidRPr="00EF06EC">
        <w:t>Each HEP is assigned a</w:t>
      </w:r>
      <w:r w:rsidR="00301743">
        <w:t>n</w:t>
      </w:r>
      <w:r w:rsidRPr="00EF06EC">
        <w:t xml:space="preserve"> </w:t>
      </w:r>
      <w:r w:rsidR="00301743">
        <w:t>Ei score</w:t>
      </w:r>
      <w:r w:rsidRPr="00EF06EC">
        <w:t>.</w:t>
      </w:r>
    </w:p>
    <w:p w:rsidR="0056032B" w:rsidRDefault="00CA53F0" w:rsidP="005F7B92">
      <w:pPr>
        <w:pStyle w:val="BodyText"/>
        <w:rPr>
          <w:szCs w:val="19"/>
        </w:rPr>
      </w:pPr>
      <w:r>
        <w:t xml:space="preserve">The Ei score </w:t>
      </w:r>
      <w:r w:rsidR="00513F81">
        <w:t xml:space="preserve">is </w:t>
      </w:r>
      <w:r>
        <w:t>calculate</w:t>
      </w:r>
      <w:r w:rsidR="00513F81">
        <w:t>d</w:t>
      </w:r>
      <w:r>
        <w:t xml:space="preserve"> for each </w:t>
      </w:r>
      <w:r w:rsidR="00513F81">
        <w:t xml:space="preserve">HEP by creating a </w:t>
      </w:r>
      <w:r w:rsidR="00513F81" w:rsidRPr="006F6EC2">
        <w:rPr>
          <w:szCs w:val="19"/>
        </w:rPr>
        <w:t xml:space="preserve">composite score </w:t>
      </w:r>
      <w:r w:rsidR="005F7B92">
        <w:rPr>
          <w:szCs w:val="19"/>
        </w:rPr>
        <w:t>of assessed</w:t>
      </w:r>
      <w:r w:rsidR="0056032B">
        <w:rPr>
          <w:szCs w:val="19"/>
        </w:rPr>
        <w:t xml:space="preserve"> 4-digit Field</w:t>
      </w:r>
      <w:r w:rsidR="005F7B92">
        <w:rPr>
          <w:szCs w:val="19"/>
        </w:rPr>
        <w:t>s</w:t>
      </w:r>
      <w:r w:rsidR="0056032B">
        <w:rPr>
          <w:szCs w:val="19"/>
        </w:rPr>
        <w:t xml:space="preserve"> of Research (FoR).</w:t>
      </w:r>
      <w:r w:rsidR="00156BC5">
        <w:rPr>
          <w:szCs w:val="19"/>
        </w:rPr>
        <w:t xml:space="preserve"> Each </w:t>
      </w:r>
      <w:r w:rsidR="005F7B92">
        <w:rPr>
          <w:szCs w:val="19"/>
        </w:rPr>
        <w:t>FoR’s</w:t>
      </w:r>
      <w:r w:rsidR="00156BC5">
        <w:rPr>
          <w:szCs w:val="19"/>
        </w:rPr>
        <w:t xml:space="preserve"> contribution to the Ei Score is the Weighted Rating applied to the Volume Measure. The </w:t>
      </w:r>
      <w:r w:rsidR="0035583C">
        <w:rPr>
          <w:szCs w:val="19"/>
        </w:rPr>
        <w:t xml:space="preserve">HEPs Ei Score is the </w:t>
      </w:r>
      <w:r w:rsidR="00156BC5">
        <w:rPr>
          <w:szCs w:val="19"/>
        </w:rPr>
        <w:t xml:space="preserve">sum of each </w:t>
      </w:r>
      <w:r w:rsidR="005F7B92">
        <w:rPr>
          <w:szCs w:val="19"/>
        </w:rPr>
        <w:t>FoR</w:t>
      </w:r>
      <w:r w:rsidR="00156BC5">
        <w:rPr>
          <w:szCs w:val="19"/>
        </w:rPr>
        <w:t>’s contribution to the Ei Score.</w:t>
      </w:r>
    </w:p>
    <w:p w:rsidR="0056032B" w:rsidRPr="003E2210" w:rsidRDefault="0056032B" w:rsidP="005F7B92">
      <w:pPr>
        <w:pStyle w:val="BodyText"/>
        <w:rPr>
          <w:szCs w:val="19"/>
        </w:rPr>
      </w:pPr>
      <w:r>
        <w:rPr>
          <w:szCs w:val="19"/>
        </w:rPr>
        <w:t xml:space="preserve">Weighted </w:t>
      </w:r>
      <w:r w:rsidR="00156BC5">
        <w:rPr>
          <w:szCs w:val="19"/>
        </w:rPr>
        <w:t>R</w:t>
      </w:r>
      <w:r>
        <w:rPr>
          <w:szCs w:val="19"/>
        </w:rPr>
        <w:t>atings are</w:t>
      </w:r>
      <w:r w:rsidR="00513F81" w:rsidRPr="006F6EC2">
        <w:rPr>
          <w:szCs w:val="19"/>
        </w:rPr>
        <w:t xml:space="preserve"> calculated for the </w:t>
      </w:r>
      <w:r w:rsidR="00513F81">
        <w:rPr>
          <w:szCs w:val="19"/>
        </w:rPr>
        <w:t>HEP</w:t>
      </w:r>
      <w:r w:rsidR="00513F81" w:rsidRPr="006F6EC2">
        <w:rPr>
          <w:szCs w:val="19"/>
        </w:rPr>
        <w:t xml:space="preserve"> by </w:t>
      </w:r>
      <w:r w:rsidR="005F7B92">
        <w:rPr>
          <w:szCs w:val="19"/>
        </w:rPr>
        <w:t>replacing</w:t>
      </w:r>
      <w:r w:rsidR="00513F81" w:rsidRPr="006F6EC2">
        <w:rPr>
          <w:szCs w:val="19"/>
        </w:rPr>
        <w:t xml:space="preserve"> each </w:t>
      </w:r>
      <w:r w:rsidR="00D92E97">
        <w:t>Excellence in Research for Australia</w:t>
      </w:r>
      <w:r w:rsidR="00D92E97" w:rsidRPr="006F6EC2">
        <w:rPr>
          <w:szCs w:val="19"/>
        </w:rPr>
        <w:t xml:space="preserve"> </w:t>
      </w:r>
      <w:r w:rsidR="00D92E97">
        <w:rPr>
          <w:szCs w:val="19"/>
        </w:rPr>
        <w:t>(</w:t>
      </w:r>
      <w:r w:rsidR="00513F81" w:rsidRPr="006F6EC2">
        <w:rPr>
          <w:szCs w:val="19"/>
        </w:rPr>
        <w:t>ERA</w:t>
      </w:r>
      <w:r w:rsidR="00D92E97">
        <w:rPr>
          <w:szCs w:val="19"/>
        </w:rPr>
        <w:t>)</w:t>
      </w:r>
      <w:r w:rsidR="00513F81" w:rsidRPr="006F6EC2">
        <w:rPr>
          <w:szCs w:val="19"/>
        </w:rPr>
        <w:t xml:space="preserve"> rating of 3 or </w:t>
      </w:r>
      <w:r>
        <w:rPr>
          <w:szCs w:val="19"/>
        </w:rPr>
        <w:t xml:space="preserve">above </w:t>
      </w:r>
      <w:r w:rsidR="005F7B92">
        <w:rPr>
          <w:szCs w:val="19"/>
        </w:rPr>
        <w:t>with</w:t>
      </w:r>
      <w:r>
        <w:rPr>
          <w:szCs w:val="19"/>
        </w:rPr>
        <w:t xml:space="preserve"> the relevant weighting. </w:t>
      </w:r>
      <w:r w:rsidR="003E2210">
        <w:rPr>
          <w:szCs w:val="19"/>
        </w:rPr>
        <w:t xml:space="preserve">ERA Ratings for each </w:t>
      </w:r>
      <w:r w:rsidR="005F7B92">
        <w:rPr>
          <w:szCs w:val="19"/>
        </w:rPr>
        <w:t>FoR</w:t>
      </w:r>
      <w:r w:rsidR="003E2210">
        <w:rPr>
          <w:szCs w:val="19"/>
        </w:rPr>
        <w:t xml:space="preserve"> are weighted such that </w:t>
      </w:r>
      <w:r w:rsidR="0035583C">
        <w:rPr>
          <w:szCs w:val="19"/>
        </w:rPr>
        <w:t>the ratings 5, 4, 3, 2, 1 have a weighting of 7, 3, 1, 0, 0, respectively. A Weighted Rating is not applicable to FoRs that did not meet the output threshold for assessment.</w:t>
      </w:r>
    </w:p>
    <w:p w:rsidR="003E2210" w:rsidRDefault="003E2210" w:rsidP="005F7B92">
      <w:pPr>
        <w:pStyle w:val="BodyText"/>
        <w:rPr>
          <w:szCs w:val="19"/>
        </w:rPr>
      </w:pPr>
      <w:r>
        <w:rPr>
          <w:szCs w:val="19"/>
        </w:rPr>
        <w:t xml:space="preserve">The </w:t>
      </w:r>
      <w:r w:rsidR="00156BC5">
        <w:rPr>
          <w:szCs w:val="19"/>
        </w:rPr>
        <w:t>V</w:t>
      </w:r>
      <w:r>
        <w:rPr>
          <w:szCs w:val="19"/>
        </w:rPr>
        <w:t xml:space="preserve">olume </w:t>
      </w:r>
      <w:r w:rsidR="00156BC5">
        <w:rPr>
          <w:szCs w:val="19"/>
        </w:rPr>
        <w:t>M</w:t>
      </w:r>
      <w:r>
        <w:rPr>
          <w:szCs w:val="19"/>
        </w:rPr>
        <w:t xml:space="preserve">easure for each </w:t>
      </w:r>
      <w:r w:rsidR="005F7B92">
        <w:rPr>
          <w:szCs w:val="19"/>
        </w:rPr>
        <w:t>FoR</w:t>
      </w:r>
      <w:r>
        <w:rPr>
          <w:szCs w:val="19"/>
        </w:rPr>
        <w:t xml:space="preserve"> is the </w:t>
      </w:r>
      <w:r w:rsidR="00156BC5">
        <w:t>relative internal proportion of</w:t>
      </w:r>
      <w:r w:rsidR="005F7B92">
        <w:t xml:space="preserve"> assessed</w:t>
      </w:r>
      <w:r>
        <w:rPr>
          <w:szCs w:val="19"/>
        </w:rPr>
        <w:t xml:space="preserve"> research outputs as a share of the total outputs assessed for the HEP. FoRs that did not meet the output threshold for assessment have a</w:t>
      </w:r>
      <w:r w:rsidR="005F7B92">
        <w:rPr>
          <w:szCs w:val="19"/>
        </w:rPr>
        <w:t xml:space="preserve"> volume measure of zero (0.00%), and do not form part of the calculation.</w:t>
      </w:r>
    </w:p>
    <w:p w:rsidR="003E2210" w:rsidRDefault="00D92E97" w:rsidP="00CC3AF2">
      <w:pPr>
        <w:pStyle w:val="BodyText"/>
      </w:pPr>
      <w:r>
        <w:t xml:space="preserve">The </w:t>
      </w:r>
      <w:r w:rsidR="003E2210">
        <w:t xml:space="preserve">Field of Research (FoR) </w:t>
      </w:r>
      <w:r w:rsidR="00CC3AF2">
        <w:t xml:space="preserve">codes </w:t>
      </w:r>
      <w:r w:rsidR="003E2210">
        <w:t>are</w:t>
      </w:r>
      <w:r>
        <w:t xml:space="preserve"> defined under the Australian Bureau of Statistic’s (ABS) Australian and New Zealand Standard Research </w:t>
      </w:r>
      <w:r w:rsidR="00CC3AF2">
        <w:t>Classification</w:t>
      </w:r>
      <w:r>
        <w:t xml:space="preserve"> (ANZSRC)</w:t>
      </w:r>
      <w:r w:rsidR="00CC3AF2">
        <w:t>.</w:t>
      </w:r>
    </w:p>
    <w:p w:rsidR="00CA53F0" w:rsidRDefault="005F7B92" w:rsidP="005F7B92">
      <w:pPr>
        <w:pStyle w:val="BodyText"/>
      </w:pPr>
      <w:r>
        <w:t>FoR</w:t>
      </w:r>
      <w:r w:rsidR="00CA53F0">
        <w:t xml:space="preserve"> </w:t>
      </w:r>
      <w:r w:rsidR="00D92E97">
        <w:t xml:space="preserve">data is from </w:t>
      </w:r>
      <w:r w:rsidR="00CA53F0">
        <w:t xml:space="preserve">the </w:t>
      </w:r>
      <w:r w:rsidR="0057421A">
        <w:t>2015</w:t>
      </w:r>
      <w:r w:rsidR="00CA53F0">
        <w:t xml:space="preserve"> ERA exercise</w:t>
      </w:r>
      <w:r w:rsidR="00D92E97">
        <w:t xml:space="preserve"> and was provided to the department by the Australian Research Council (ARC).</w:t>
      </w:r>
    </w:p>
    <w:p w:rsidR="00F81578" w:rsidRPr="00EF06EC" w:rsidRDefault="0010390C" w:rsidP="00301743">
      <w:pPr>
        <w:pStyle w:val="Heading3"/>
      </w:pPr>
      <w:r>
        <w:t xml:space="preserve">3. </w:t>
      </w:r>
      <w:r w:rsidR="00F81578" w:rsidRPr="00EF06EC">
        <w:t xml:space="preserve">Moderated Threshold 2 </w:t>
      </w:r>
      <w:r w:rsidR="00301743">
        <w:t>Ei</w:t>
      </w:r>
      <w:r w:rsidR="00F81578">
        <w:t xml:space="preserve"> grant amount</w:t>
      </w:r>
    </w:p>
    <w:p w:rsidR="00F81578" w:rsidRDefault="00F81578" w:rsidP="00301743">
      <w:pPr>
        <w:pStyle w:val="BodyText"/>
      </w:pPr>
      <w:r w:rsidRPr="00EF06EC">
        <w:t xml:space="preserve">The moderated Threshold 2 </w:t>
      </w:r>
      <w:r w:rsidR="00301743">
        <w:t>Ei</w:t>
      </w:r>
      <w:r>
        <w:t xml:space="preserve"> grant </w:t>
      </w:r>
      <w:r w:rsidRPr="00EF06EC">
        <w:t>amount is calculated by multiplying the initial Threshold 2</w:t>
      </w:r>
      <w:r>
        <w:t xml:space="preserve"> </w:t>
      </w:r>
      <w:r w:rsidR="00301743">
        <w:t>Ei</w:t>
      </w:r>
      <w:r>
        <w:t xml:space="preserve"> grant</w:t>
      </w:r>
      <w:r w:rsidRPr="00EF06EC">
        <w:t xml:space="preserve"> amount by the </w:t>
      </w:r>
      <w:r w:rsidR="00301743">
        <w:t>Ei score</w:t>
      </w:r>
      <w:r w:rsidRPr="00EF06EC">
        <w:t>.</w:t>
      </w:r>
    </w:p>
    <w:p w:rsidR="00F81578" w:rsidRPr="00EF06EC" w:rsidRDefault="00F81578" w:rsidP="00301743">
      <w:pPr>
        <w:pStyle w:val="BodyText"/>
      </w:pPr>
      <w:r w:rsidRPr="00EF06EC">
        <w:t xml:space="preserve">For all HEPs, their </w:t>
      </w:r>
      <w:r>
        <w:t>moderated</w:t>
      </w:r>
      <w:r w:rsidRPr="00EF06EC">
        <w:t xml:space="preserve"> Threshold 2</w:t>
      </w:r>
      <w:r>
        <w:t xml:space="preserve"> </w:t>
      </w:r>
      <w:r w:rsidR="00301743">
        <w:t>Ei</w:t>
      </w:r>
      <w:r>
        <w:t xml:space="preserve"> grant</w:t>
      </w:r>
      <w:r w:rsidRPr="00EF06EC">
        <w:t xml:space="preserve"> amount remains unrounded.</w:t>
      </w:r>
    </w:p>
    <w:p w:rsidR="00F81578" w:rsidRPr="00EF06EC" w:rsidRDefault="0010390C" w:rsidP="0010390C">
      <w:pPr>
        <w:pStyle w:val="Heading3"/>
      </w:pPr>
      <w:r>
        <w:t xml:space="preserve">4. </w:t>
      </w:r>
      <w:r w:rsidR="00F81578" w:rsidRPr="00EF06EC">
        <w:t xml:space="preserve">Final Threshold 2 </w:t>
      </w:r>
      <w:r>
        <w:t>Ei grant amount</w:t>
      </w:r>
    </w:p>
    <w:p w:rsidR="00F81578" w:rsidRPr="00EF06EC" w:rsidRDefault="00B614CB" w:rsidP="00F904C5">
      <w:pPr>
        <w:pStyle w:val="BodyText"/>
      </w:pPr>
      <w:r>
        <w:t>Education</w:t>
      </w:r>
      <w:r w:rsidR="00F81578" w:rsidRPr="00EF06EC">
        <w:t xml:space="preserve"> determines each HEP’s final Threshold 2 </w:t>
      </w:r>
      <w:r w:rsidR="00F904C5">
        <w:t>Ei</w:t>
      </w:r>
      <w:r w:rsidR="00F81578">
        <w:t xml:space="preserve"> grant </w:t>
      </w:r>
      <w:r w:rsidR="00F81578" w:rsidRPr="00EF06EC">
        <w:t xml:space="preserve">amount on the basis of the </w:t>
      </w:r>
      <w:r w:rsidR="00F904C5">
        <w:t>Ei</w:t>
      </w:r>
      <w:r w:rsidR="00F81578">
        <w:t xml:space="preserve"> </w:t>
      </w:r>
      <w:r w:rsidR="00F81578" w:rsidRPr="00EF06EC">
        <w:t xml:space="preserve">performance index applied against the Threshold 2 </w:t>
      </w:r>
      <w:r w:rsidR="00F904C5">
        <w:t>Ei</w:t>
      </w:r>
      <w:r w:rsidR="00F81578">
        <w:t xml:space="preserve"> pool funding </w:t>
      </w:r>
      <w:r w:rsidR="00F81578" w:rsidRPr="00EF06EC">
        <w:t xml:space="preserve">amount </w:t>
      </w:r>
      <w:r w:rsidR="0010390C">
        <w:t>for</w:t>
      </w:r>
      <w:r w:rsidR="00F81578" w:rsidRPr="00EF06EC">
        <w:t xml:space="preserve"> </w:t>
      </w:r>
      <w:r w:rsidR="003B2DEB">
        <w:t>the grant year</w:t>
      </w:r>
      <w:r w:rsidR="00F904C5">
        <w:t>.</w:t>
      </w:r>
    </w:p>
    <w:p w:rsidR="00F81578" w:rsidRPr="00EF06EC" w:rsidRDefault="00F81578" w:rsidP="00CC093D">
      <w:pPr>
        <w:pStyle w:val="BodyText"/>
      </w:pPr>
      <w:r w:rsidRPr="00EF06EC">
        <w:t xml:space="preserve">The </w:t>
      </w:r>
      <w:r w:rsidR="00F904C5">
        <w:t xml:space="preserve">Ei </w:t>
      </w:r>
      <w:r w:rsidRPr="00EF06EC">
        <w:t xml:space="preserve">performance index </w:t>
      </w:r>
      <w:r w:rsidR="00CC093D" w:rsidRPr="00EF06EC">
        <w:t>is</w:t>
      </w:r>
      <w:r w:rsidR="00CC093D">
        <w:t xml:space="preserve"> </w:t>
      </w:r>
      <w:r w:rsidR="00CC093D" w:rsidRPr="00EF06EC">
        <w:t xml:space="preserve">based on </w:t>
      </w:r>
      <w:r w:rsidR="00CC093D">
        <w:t>the relative share of</w:t>
      </w:r>
      <w:r w:rsidR="00CC093D" w:rsidRPr="00EF06EC">
        <w:t xml:space="preserve"> </w:t>
      </w:r>
      <w:r w:rsidRPr="00EF06EC">
        <w:t>moderated Threshold</w:t>
      </w:r>
      <w:r w:rsidR="00F904C5">
        <w:t> </w:t>
      </w:r>
      <w:r w:rsidRPr="00EF06EC">
        <w:t xml:space="preserve">2 </w:t>
      </w:r>
      <w:r w:rsidR="00F904C5">
        <w:t>Ei</w:t>
      </w:r>
      <w:r>
        <w:t xml:space="preserve"> grant </w:t>
      </w:r>
      <w:r w:rsidRPr="00EF06EC">
        <w:t>amounts.</w:t>
      </w:r>
    </w:p>
    <w:p w:rsidR="004B319F" w:rsidRPr="00EF06EC" w:rsidRDefault="004B319F" w:rsidP="004B319F">
      <w:pPr>
        <w:pStyle w:val="BodyText"/>
      </w:pPr>
      <w:r w:rsidRPr="00EF06EC">
        <w:t>For all HEPs, their</w:t>
      </w:r>
      <w:r>
        <w:t xml:space="preserve"> unrounded</w:t>
      </w:r>
      <w:r w:rsidRPr="00EF06EC">
        <w:t xml:space="preserve"> Threshold 2</w:t>
      </w:r>
      <w:r>
        <w:t xml:space="preserve"> Ei grant</w:t>
      </w:r>
      <w:r w:rsidRPr="00EF06EC">
        <w:t xml:space="preserve"> amount </w:t>
      </w:r>
      <w:r>
        <w:t>i</w:t>
      </w:r>
      <w:r w:rsidRPr="00EF06EC">
        <w:t xml:space="preserve">s rounded down to the next whole dollar. The difference between a HEP’s rounded and unrounded SRE Threshold 2 </w:t>
      </w:r>
      <w:r>
        <w:t xml:space="preserve">Ei </w:t>
      </w:r>
      <w:r w:rsidRPr="00EF06EC">
        <w:t xml:space="preserve">amount is the remainder. The sum of all remainders is the unallocated dollars of the </w:t>
      </w:r>
      <w:r>
        <w:t>SRE</w:t>
      </w:r>
      <w:r w:rsidRPr="00EF06EC">
        <w:t xml:space="preserve"> Threshold 2 </w:t>
      </w:r>
      <w:r>
        <w:t>Ei pool</w:t>
      </w:r>
      <w:r w:rsidRPr="00EF06EC">
        <w:t>.</w:t>
      </w:r>
    </w:p>
    <w:p w:rsidR="004B319F" w:rsidRPr="00EF06EC" w:rsidRDefault="004B319F" w:rsidP="004B319F">
      <w:pPr>
        <w:pStyle w:val="BodyText"/>
      </w:pPr>
      <w:r w:rsidRPr="00EF06EC">
        <w:t>Each HEP’s remainder is ranked in descending order based on closeness to one. One dollar is assigned to each HEP according to its ranking until all unallocated dollars are exhausted.</w:t>
      </w:r>
    </w:p>
    <w:p w:rsidR="004B319F" w:rsidRDefault="004B319F" w:rsidP="004B319F">
      <w:pPr>
        <w:pStyle w:val="BodyText"/>
      </w:pPr>
      <w:r w:rsidRPr="00EF06EC">
        <w:t xml:space="preserve">Each HEP’s </w:t>
      </w:r>
      <w:r>
        <w:t>SRE</w:t>
      </w:r>
      <w:r w:rsidRPr="00EF06EC">
        <w:t xml:space="preserve"> Threshold 2 </w:t>
      </w:r>
      <w:r>
        <w:t xml:space="preserve">Ei final grant </w:t>
      </w:r>
      <w:r w:rsidRPr="00EF06EC">
        <w:t xml:space="preserve">amount is equal to the rounded </w:t>
      </w:r>
      <w:r>
        <w:t>SRE</w:t>
      </w:r>
      <w:r w:rsidRPr="00EF06EC">
        <w:t xml:space="preserve"> Threshold 2 </w:t>
      </w:r>
      <w:r>
        <w:t>Ei allocation</w:t>
      </w:r>
      <w:r w:rsidRPr="00EF06EC">
        <w:t xml:space="preserve"> plus any whole dollars assigned.</w:t>
      </w:r>
    </w:p>
    <w:p w:rsidR="00665091" w:rsidRPr="00EF06EC" w:rsidRDefault="00665091" w:rsidP="00F81578">
      <w:pPr>
        <w:pStyle w:val="Heading1"/>
      </w:pPr>
      <w:r w:rsidRPr="00EF06EC">
        <w:t xml:space="preserve">Calculate SRE </w:t>
      </w:r>
      <w:r w:rsidR="00467C7F" w:rsidRPr="00EF06EC">
        <w:t xml:space="preserve">Final </w:t>
      </w:r>
      <w:r w:rsidRPr="00EF06EC">
        <w:t>Grant Amount</w:t>
      </w:r>
    </w:p>
    <w:p w:rsidR="00665091" w:rsidRPr="00EF06EC" w:rsidRDefault="00665091" w:rsidP="00EF06EC">
      <w:pPr>
        <w:pStyle w:val="BodyText"/>
      </w:pPr>
      <w:r w:rsidRPr="00EF06EC">
        <w:t xml:space="preserve">The SRE </w:t>
      </w:r>
      <w:r w:rsidR="0083631A" w:rsidRPr="00EF06EC">
        <w:t xml:space="preserve">grant amount </w:t>
      </w:r>
      <w:r w:rsidRPr="00EF06EC">
        <w:t xml:space="preserve">is calculated </w:t>
      </w:r>
      <w:r w:rsidR="003B2DEB">
        <w:t>by summing the rounded SRE elements as follows:</w:t>
      </w:r>
    </w:p>
    <w:p w:rsidR="006F79D3" w:rsidRPr="00EF06EC" w:rsidRDefault="00665091" w:rsidP="00EF06EC">
      <w:pPr>
        <w:pStyle w:val="BodyText"/>
      </w:pPr>
      <w:r w:rsidRPr="00EF06EC">
        <w:t xml:space="preserve">SRE </w:t>
      </w:r>
      <w:r w:rsidR="0083631A" w:rsidRPr="00EF06EC">
        <w:t xml:space="preserve">grant amount </w:t>
      </w:r>
      <w:r w:rsidRPr="00EF06EC">
        <w:t xml:space="preserve">= Base </w:t>
      </w:r>
      <w:r w:rsidR="0083631A" w:rsidRPr="00EF06EC">
        <w:t xml:space="preserve">amount </w:t>
      </w:r>
      <w:r w:rsidRPr="00EF06EC">
        <w:t xml:space="preserve">+ </w:t>
      </w:r>
      <w:r w:rsidR="00467C7F" w:rsidRPr="00EF06EC">
        <w:t xml:space="preserve">Threshold </w:t>
      </w:r>
      <w:r w:rsidRPr="00EF06EC">
        <w:t xml:space="preserve">1 </w:t>
      </w:r>
      <w:r w:rsidR="0083631A" w:rsidRPr="00EF06EC">
        <w:t xml:space="preserve">amount </w:t>
      </w:r>
      <w:r w:rsidRPr="00EF06EC">
        <w:t xml:space="preserve">+ </w:t>
      </w:r>
      <w:r w:rsidR="003B2DEB">
        <w:t>Threshold 2 amount</w:t>
      </w:r>
      <w:r w:rsidRPr="00EF06EC">
        <w:t>.</w:t>
      </w:r>
    </w:p>
    <w:sectPr w:rsidR="006F79D3" w:rsidRPr="00EF06EC" w:rsidSect="002C5C7C">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08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21" w:rsidRDefault="00847B21" w:rsidP="00847B21">
      <w:pPr>
        <w:spacing w:before="0" w:after="0"/>
      </w:pPr>
      <w:r>
        <w:separator/>
      </w:r>
    </w:p>
  </w:endnote>
  <w:endnote w:type="continuationSeparator" w:id="0">
    <w:p w:rsidR="00847B21" w:rsidRDefault="00847B21" w:rsidP="00847B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21" w:rsidRDefault="00847B21" w:rsidP="00847B21">
      <w:pPr>
        <w:spacing w:before="0" w:after="0"/>
      </w:pPr>
      <w:r>
        <w:separator/>
      </w:r>
    </w:p>
  </w:footnote>
  <w:footnote w:type="continuationSeparator" w:id="0">
    <w:p w:rsidR="00847B21" w:rsidRDefault="00847B21" w:rsidP="00847B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21" w:rsidRDefault="00847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4032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B2C1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ACAF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FA6C3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A7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6ACF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6092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7CCF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98B9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6844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E08AE"/>
    <w:multiLevelType w:val="hybridMultilevel"/>
    <w:tmpl w:val="373C7BD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91"/>
    <w:rsid w:val="00012FCF"/>
    <w:rsid w:val="000163A5"/>
    <w:rsid w:val="00020CD4"/>
    <w:rsid w:val="00051A61"/>
    <w:rsid w:val="000561AE"/>
    <w:rsid w:val="00097D71"/>
    <w:rsid w:val="000D268A"/>
    <w:rsid w:val="000F7F98"/>
    <w:rsid w:val="0010390C"/>
    <w:rsid w:val="00107721"/>
    <w:rsid w:val="00112B99"/>
    <w:rsid w:val="001301F1"/>
    <w:rsid w:val="00156BC5"/>
    <w:rsid w:val="001643A8"/>
    <w:rsid w:val="00171E61"/>
    <w:rsid w:val="001B4155"/>
    <w:rsid w:val="001B6855"/>
    <w:rsid w:val="001D1C4D"/>
    <w:rsid w:val="001D77F9"/>
    <w:rsid w:val="001F0DAD"/>
    <w:rsid w:val="001F6BF7"/>
    <w:rsid w:val="00205ACA"/>
    <w:rsid w:val="002418A0"/>
    <w:rsid w:val="002540D6"/>
    <w:rsid w:val="002703DF"/>
    <w:rsid w:val="00291274"/>
    <w:rsid w:val="002A7462"/>
    <w:rsid w:val="002C0DB2"/>
    <w:rsid w:val="002C5C7C"/>
    <w:rsid w:val="00301743"/>
    <w:rsid w:val="00316C4F"/>
    <w:rsid w:val="003316BD"/>
    <w:rsid w:val="00345235"/>
    <w:rsid w:val="00353EF0"/>
    <w:rsid w:val="0035583C"/>
    <w:rsid w:val="00360C7E"/>
    <w:rsid w:val="00394FAD"/>
    <w:rsid w:val="003B2DEB"/>
    <w:rsid w:val="003B32C2"/>
    <w:rsid w:val="003C53F9"/>
    <w:rsid w:val="003E2210"/>
    <w:rsid w:val="003E3BC3"/>
    <w:rsid w:val="003F5990"/>
    <w:rsid w:val="00404CDE"/>
    <w:rsid w:val="0041480E"/>
    <w:rsid w:val="00415740"/>
    <w:rsid w:val="004262B5"/>
    <w:rsid w:val="00442D4E"/>
    <w:rsid w:val="004544FE"/>
    <w:rsid w:val="00456D55"/>
    <w:rsid w:val="004637BF"/>
    <w:rsid w:val="0046440E"/>
    <w:rsid w:val="00466FA2"/>
    <w:rsid w:val="00467C7F"/>
    <w:rsid w:val="00491E67"/>
    <w:rsid w:val="00497B0B"/>
    <w:rsid w:val="004B319F"/>
    <w:rsid w:val="004B3EC1"/>
    <w:rsid w:val="004B4ED2"/>
    <w:rsid w:val="004B5E25"/>
    <w:rsid w:val="004E475B"/>
    <w:rsid w:val="004F4FDD"/>
    <w:rsid w:val="005072EB"/>
    <w:rsid w:val="00513F81"/>
    <w:rsid w:val="005258A1"/>
    <w:rsid w:val="0056032B"/>
    <w:rsid w:val="0057421A"/>
    <w:rsid w:val="005C22A2"/>
    <w:rsid w:val="005E5542"/>
    <w:rsid w:val="005E737E"/>
    <w:rsid w:val="005F68B4"/>
    <w:rsid w:val="005F7B92"/>
    <w:rsid w:val="00603816"/>
    <w:rsid w:val="0060450B"/>
    <w:rsid w:val="00620F89"/>
    <w:rsid w:val="00652EB3"/>
    <w:rsid w:val="006605F4"/>
    <w:rsid w:val="00665091"/>
    <w:rsid w:val="00666064"/>
    <w:rsid w:val="006702EC"/>
    <w:rsid w:val="006A37BD"/>
    <w:rsid w:val="006B0F61"/>
    <w:rsid w:val="006C43D1"/>
    <w:rsid w:val="006D5E38"/>
    <w:rsid w:val="006E2E68"/>
    <w:rsid w:val="006F06E3"/>
    <w:rsid w:val="006F6EC2"/>
    <w:rsid w:val="006F79D3"/>
    <w:rsid w:val="007101CC"/>
    <w:rsid w:val="007466B3"/>
    <w:rsid w:val="00747644"/>
    <w:rsid w:val="00752357"/>
    <w:rsid w:val="0076443C"/>
    <w:rsid w:val="00775393"/>
    <w:rsid w:val="007832C9"/>
    <w:rsid w:val="00794348"/>
    <w:rsid w:val="00795315"/>
    <w:rsid w:val="007A1466"/>
    <w:rsid w:val="007A1C8A"/>
    <w:rsid w:val="007A401C"/>
    <w:rsid w:val="007B1E1D"/>
    <w:rsid w:val="007B3CB9"/>
    <w:rsid w:val="007B4CBD"/>
    <w:rsid w:val="007D16FE"/>
    <w:rsid w:val="007D29B0"/>
    <w:rsid w:val="007E5381"/>
    <w:rsid w:val="007E70A9"/>
    <w:rsid w:val="007F3992"/>
    <w:rsid w:val="00800D73"/>
    <w:rsid w:val="008128DC"/>
    <w:rsid w:val="008279B6"/>
    <w:rsid w:val="00833F60"/>
    <w:rsid w:val="0083631A"/>
    <w:rsid w:val="008451B7"/>
    <w:rsid w:val="00847B21"/>
    <w:rsid w:val="00856D4E"/>
    <w:rsid w:val="00862515"/>
    <w:rsid w:val="00871CD2"/>
    <w:rsid w:val="00880897"/>
    <w:rsid w:val="00892363"/>
    <w:rsid w:val="008A7F30"/>
    <w:rsid w:val="008B1932"/>
    <w:rsid w:val="008C6FA0"/>
    <w:rsid w:val="008E08D0"/>
    <w:rsid w:val="008E4BDB"/>
    <w:rsid w:val="008F1258"/>
    <w:rsid w:val="0092677E"/>
    <w:rsid w:val="0093569C"/>
    <w:rsid w:val="0094626C"/>
    <w:rsid w:val="00982AEE"/>
    <w:rsid w:val="00983D6E"/>
    <w:rsid w:val="00985147"/>
    <w:rsid w:val="009A41EE"/>
    <w:rsid w:val="009C7524"/>
    <w:rsid w:val="009D5122"/>
    <w:rsid w:val="009E528C"/>
    <w:rsid w:val="009F5067"/>
    <w:rsid w:val="00A05FE0"/>
    <w:rsid w:val="00A3261C"/>
    <w:rsid w:val="00A50664"/>
    <w:rsid w:val="00A6615D"/>
    <w:rsid w:val="00A7222D"/>
    <w:rsid w:val="00A74F05"/>
    <w:rsid w:val="00AC2354"/>
    <w:rsid w:val="00AD129D"/>
    <w:rsid w:val="00AD5F55"/>
    <w:rsid w:val="00AE0A53"/>
    <w:rsid w:val="00AE71FC"/>
    <w:rsid w:val="00AF66F0"/>
    <w:rsid w:val="00B15BDD"/>
    <w:rsid w:val="00B257B6"/>
    <w:rsid w:val="00B614CB"/>
    <w:rsid w:val="00B67A6D"/>
    <w:rsid w:val="00B67BA6"/>
    <w:rsid w:val="00B8086F"/>
    <w:rsid w:val="00B94493"/>
    <w:rsid w:val="00BA1F35"/>
    <w:rsid w:val="00BD29FC"/>
    <w:rsid w:val="00BD5AD2"/>
    <w:rsid w:val="00BF33D7"/>
    <w:rsid w:val="00BF4B23"/>
    <w:rsid w:val="00BF6C6B"/>
    <w:rsid w:val="00C0397B"/>
    <w:rsid w:val="00C37783"/>
    <w:rsid w:val="00C559DC"/>
    <w:rsid w:val="00C72132"/>
    <w:rsid w:val="00C73E68"/>
    <w:rsid w:val="00C76E04"/>
    <w:rsid w:val="00C96723"/>
    <w:rsid w:val="00CA1D4E"/>
    <w:rsid w:val="00CA53F0"/>
    <w:rsid w:val="00CC093D"/>
    <w:rsid w:val="00CC3AF2"/>
    <w:rsid w:val="00CC50CF"/>
    <w:rsid w:val="00CE2BCA"/>
    <w:rsid w:val="00CE5CB1"/>
    <w:rsid w:val="00D01794"/>
    <w:rsid w:val="00D037EA"/>
    <w:rsid w:val="00D20B20"/>
    <w:rsid w:val="00D31C4B"/>
    <w:rsid w:val="00D3568C"/>
    <w:rsid w:val="00D40866"/>
    <w:rsid w:val="00D478A2"/>
    <w:rsid w:val="00D80C67"/>
    <w:rsid w:val="00D82E08"/>
    <w:rsid w:val="00D92E97"/>
    <w:rsid w:val="00D9598E"/>
    <w:rsid w:val="00D95BD0"/>
    <w:rsid w:val="00DA7D7D"/>
    <w:rsid w:val="00DB0BAA"/>
    <w:rsid w:val="00DC1FAC"/>
    <w:rsid w:val="00DE43E1"/>
    <w:rsid w:val="00DF062C"/>
    <w:rsid w:val="00E0309C"/>
    <w:rsid w:val="00E32734"/>
    <w:rsid w:val="00E43535"/>
    <w:rsid w:val="00E74ED7"/>
    <w:rsid w:val="00E77253"/>
    <w:rsid w:val="00E87DBA"/>
    <w:rsid w:val="00EC0BF9"/>
    <w:rsid w:val="00EC6AE2"/>
    <w:rsid w:val="00EE07B4"/>
    <w:rsid w:val="00EF06EC"/>
    <w:rsid w:val="00F23483"/>
    <w:rsid w:val="00F41560"/>
    <w:rsid w:val="00F44556"/>
    <w:rsid w:val="00F44760"/>
    <w:rsid w:val="00F536C7"/>
    <w:rsid w:val="00F70329"/>
    <w:rsid w:val="00F71A3C"/>
    <w:rsid w:val="00F7252E"/>
    <w:rsid w:val="00F774DB"/>
    <w:rsid w:val="00F81578"/>
    <w:rsid w:val="00F904C5"/>
    <w:rsid w:val="00F925AD"/>
    <w:rsid w:val="00FA3156"/>
    <w:rsid w:val="00FB1396"/>
    <w:rsid w:val="00FD4BE2"/>
    <w:rsid w:val="00FD6B33"/>
    <w:rsid w:val="00FD7695"/>
    <w:rsid w:val="00FE32D3"/>
    <w:rsid w:val="00FE4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61"/>
    <w:pPr>
      <w:spacing w:before="120" w:after="120"/>
    </w:pPr>
    <w:rPr>
      <w:sz w:val="24"/>
    </w:rPr>
  </w:style>
  <w:style w:type="paragraph" w:styleId="Heading1">
    <w:name w:val="heading 1"/>
    <w:basedOn w:val="Normal"/>
    <w:next w:val="Normal"/>
    <w:link w:val="Heading1Char"/>
    <w:uiPriority w:val="9"/>
    <w:qFormat/>
    <w:rsid w:val="005072EB"/>
    <w:pPr>
      <w:keepNext/>
      <w:spacing w:before="240"/>
      <w:outlineLvl w:val="0"/>
    </w:pPr>
    <w:rPr>
      <w:rFonts w:ascii="Arial" w:hAnsi="Arial"/>
      <w:b/>
      <w:bCs/>
      <w:kern w:val="32"/>
      <w:szCs w:val="32"/>
    </w:rPr>
  </w:style>
  <w:style w:type="paragraph" w:styleId="Heading2">
    <w:name w:val="heading 2"/>
    <w:basedOn w:val="Normal"/>
    <w:next w:val="Normal"/>
    <w:link w:val="Heading2Char"/>
    <w:uiPriority w:val="9"/>
    <w:qFormat/>
    <w:rsid w:val="005072EB"/>
    <w:pPr>
      <w:keepNext/>
      <w:spacing w:before="240"/>
      <w:outlineLvl w:val="1"/>
    </w:pPr>
    <w:rPr>
      <w:rFonts w:ascii="Arial Bold" w:hAnsi="Arial Bold"/>
      <w:b/>
      <w:bCs/>
      <w:iCs/>
      <w:sz w:val="22"/>
      <w:szCs w:val="28"/>
      <w:u w:val="single"/>
    </w:rPr>
  </w:style>
  <w:style w:type="paragraph" w:styleId="Heading3">
    <w:name w:val="heading 3"/>
    <w:basedOn w:val="Normal"/>
    <w:next w:val="Normal"/>
    <w:link w:val="Heading3Char"/>
    <w:uiPriority w:val="9"/>
    <w:qFormat/>
    <w:rsid w:val="008B1932"/>
    <w:pPr>
      <w:keepNext/>
      <w:spacing w:before="240"/>
      <w:outlineLvl w:val="2"/>
    </w:pPr>
    <w:rPr>
      <w:rFonts w:ascii="Arial Bold" w:hAnsi="Arial Bold"/>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72EB"/>
    <w:rPr>
      <w:rFonts w:ascii="Arial" w:hAnsi="Arial" w:cs="Times New Roman"/>
      <w:b/>
      <w:bCs/>
      <w:kern w:val="32"/>
      <w:sz w:val="32"/>
      <w:szCs w:val="32"/>
      <w:lang w:val="en-AU" w:eastAsia="en-AU" w:bidi="ar-SA"/>
    </w:rPr>
  </w:style>
  <w:style w:type="character" w:customStyle="1" w:styleId="Heading2Char">
    <w:name w:val="Heading 2 Char"/>
    <w:link w:val="Heading2"/>
    <w:uiPriority w:val="9"/>
    <w:locked/>
    <w:rsid w:val="005072EB"/>
    <w:rPr>
      <w:rFonts w:ascii="Arial Bold" w:hAnsi="Arial Bold" w:cs="Times New Roman"/>
      <w:b/>
      <w:bCs/>
      <w:iCs/>
      <w:sz w:val="28"/>
      <w:szCs w:val="28"/>
      <w:u w:val="single"/>
      <w:lang w:val="en-AU" w:eastAsia="en-AU" w:bidi="ar-SA"/>
    </w:rPr>
  </w:style>
  <w:style w:type="character" w:customStyle="1" w:styleId="Heading3Char">
    <w:name w:val="Heading 3 Char"/>
    <w:link w:val="Heading3"/>
    <w:uiPriority w:val="9"/>
    <w:locked/>
    <w:rsid w:val="008B1932"/>
    <w:rPr>
      <w:rFonts w:ascii="Arial Bold" w:hAnsi="Arial Bold" w:cs="Times New Roman"/>
      <w:b/>
      <w:bCs/>
      <w:i/>
      <w:sz w:val="26"/>
      <w:szCs w:val="26"/>
      <w:lang w:val="en-AU" w:eastAsia="en-AU" w:bidi="ar-SA"/>
    </w:rPr>
  </w:style>
  <w:style w:type="character" w:styleId="FollowedHyperlink">
    <w:name w:val="FollowedHyperlink"/>
    <w:uiPriority w:val="99"/>
    <w:rsid w:val="00665091"/>
    <w:rPr>
      <w:rFonts w:cs="Times New Roman"/>
      <w:color w:val="800080"/>
      <w:u w:val="single"/>
    </w:rPr>
  </w:style>
  <w:style w:type="character" w:styleId="Hyperlink">
    <w:name w:val="Hyperlink"/>
    <w:uiPriority w:val="99"/>
    <w:rsid w:val="00EF06EC"/>
    <w:rPr>
      <w:rFonts w:ascii="Arial" w:hAnsi="Arial" w:cs="Times New Roman"/>
      <w:color w:val="0000FF"/>
      <w:sz w:val="22"/>
      <w:u w:val="single"/>
    </w:rPr>
  </w:style>
  <w:style w:type="paragraph" w:styleId="BalloonText">
    <w:name w:val="Balloon Text"/>
    <w:basedOn w:val="Normal"/>
    <w:link w:val="BalloonTextChar"/>
    <w:uiPriority w:val="99"/>
    <w:semiHidden/>
    <w:rsid w:val="0060381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sid w:val="001F0DAD"/>
    <w:rPr>
      <w:rFonts w:cs="Times New Roman"/>
      <w:sz w:val="16"/>
      <w:szCs w:val="16"/>
    </w:rPr>
  </w:style>
  <w:style w:type="paragraph" w:styleId="CommentText">
    <w:name w:val="annotation text"/>
    <w:basedOn w:val="Normal"/>
    <w:link w:val="CommentTextChar"/>
    <w:uiPriority w:val="99"/>
    <w:semiHidden/>
    <w:rsid w:val="001F0DAD"/>
    <w:rPr>
      <w:sz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1F0DAD"/>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Bullet">
    <w:name w:val="List Bullet"/>
    <w:basedOn w:val="Normal"/>
    <w:uiPriority w:val="99"/>
    <w:unhideWhenUsed/>
    <w:rsid w:val="00BD5AD2"/>
    <w:pPr>
      <w:numPr>
        <w:numId w:val="2"/>
      </w:numPr>
      <w:ind w:left="1077" w:hanging="340"/>
    </w:pPr>
    <w:rPr>
      <w:rFonts w:ascii="Arial" w:hAnsi="Arial"/>
      <w:sz w:val="22"/>
    </w:rPr>
  </w:style>
  <w:style w:type="paragraph" w:styleId="BodyText">
    <w:name w:val="Body Text"/>
    <w:basedOn w:val="Normal"/>
    <w:link w:val="BodyTextChar"/>
    <w:uiPriority w:val="99"/>
    <w:rsid w:val="005E5542"/>
    <w:pPr>
      <w:keepLines/>
    </w:pPr>
    <w:rPr>
      <w:rFonts w:ascii="Arial" w:hAnsi="Arial"/>
      <w:sz w:val="22"/>
    </w:rPr>
  </w:style>
  <w:style w:type="character" w:customStyle="1" w:styleId="BodyTextChar">
    <w:name w:val="Body Text Char"/>
    <w:link w:val="BodyText"/>
    <w:uiPriority w:val="99"/>
    <w:semiHidden/>
    <w:locked/>
    <w:rPr>
      <w:rFonts w:cs="Times New Roman"/>
      <w:sz w:val="24"/>
    </w:rPr>
  </w:style>
  <w:style w:type="paragraph" w:styleId="Title">
    <w:name w:val="Title"/>
    <w:basedOn w:val="Normal"/>
    <w:link w:val="TitleChar"/>
    <w:uiPriority w:val="10"/>
    <w:qFormat/>
    <w:rsid w:val="00BD5AD2"/>
    <w:pPr>
      <w:spacing w:before="240" w:after="60"/>
      <w:jc w:val="center"/>
      <w:outlineLvl w:val="0"/>
    </w:pPr>
    <w:rPr>
      <w:rFonts w:ascii="Arial" w:hAnsi="Arial" w:cs="Arial"/>
      <w:b/>
      <w:bCs/>
      <w:kern w:val="28"/>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B614CB"/>
    <w:pPr>
      <w:spacing w:before="100" w:beforeAutospacing="1" w:after="100" w:afterAutospacing="1"/>
    </w:pPr>
    <w:rPr>
      <w:szCs w:val="24"/>
    </w:rPr>
  </w:style>
  <w:style w:type="paragraph" w:styleId="Header">
    <w:name w:val="header"/>
    <w:basedOn w:val="Normal"/>
    <w:link w:val="HeaderChar"/>
    <w:uiPriority w:val="99"/>
    <w:unhideWhenUsed/>
    <w:rsid w:val="00847B21"/>
    <w:pPr>
      <w:tabs>
        <w:tab w:val="center" w:pos="4513"/>
        <w:tab w:val="right" w:pos="9026"/>
      </w:tabs>
      <w:spacing w:before="0" w:after="0"/>
    </w:pPr>
  </w:style>
  <w:style w:type="character" w:customStyle="1" w:styleId="HeaderChar">
    <w:name w:val="Header Char"/>
    <w:basedOn w:val="DefaultParagraphFont"/>
    <w:link w:val="Header"/>
    <w:uiPriority w:val="99"/>
    <w:rsid w:val="00847B21"/>
    <w:rPr>
      <w:sz w:val="24"/>
    </w:rPr>
  </w:style>
  <w:style w:type="paragraph" w:styleId="Footer">
    <w:name w:val="footer"/>
    <w:basedOn w:val="Normal"/>
    <w:link w:val="FooterChar"/>
    <w:uiPriority w:val="99"/>
    <w:unhideWhenUsed/>
    <w:rsid w:val="00847B21"/>
    <w:pPr>
      <w:tabs>
        <w:tab w:val="center" w:pos="4513"/>
        <w:tab w:val="right" w:pos="9026"/>
      </w:tabs>
      <w:spacing w:before="0" w:after="0"/>
    </w:pPr>
  </w:style>
  <w:style w:type="character" w:customStyle="1" w:styleId="FooterChar">
    <w:name w:val="Footer Char"/>
    <w:basedOn w:val="DefaultParagraphFont"/>
    <w:link w:val="Footer"/>
    <w:uiPriority w:val="99"/>
    <w:rsid w:val="00847B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61"/>
    <w:pPr>
      <w:spacing w:before="120" w:after="120"/>
    </w:pPr>
    <w:rPr>
      <w:sz w:val="24"/>
    </w:rPr>
  </w:style>
  <w:style w:type="paragraph" w:styleId="Heading1">
    <w:name w:val="heading 1"/>
    <w:basedOn w:val="Normal"/>
    <w:next w:val="Normal"/>
    <w:link w:val="Heading1Char"/>
    <w:uiPriority w:val="9"/>
    <w:qFormat/>
    <w:rsid w:val="005072EB"/>
    <w:pPr>
      <w:keepNext/>
      <w:spacing w:before="240"/>
      <w:outlineLvl w:val="0"/>
    </w:pPr>
    <w:rPr>
      <w:rFonts w:ascii="Arial" w:hAnsi="Arial"/>
      <w:b/>
      <w:bCs/>
      <w:kern w:val="32"/>
      <w:szCs w:val="32"/>
    </w:rPr>
  </w:style>
  <w:style w:type="paragraph" w:styleId="Heading2">
    <w:name w:val="heading 2"/>
    <w:basedOn w:val="Normal"/>
    <w:next w:val="Normal"/>
    <w:link w:val="Heading2Char"/>
    <w:uiPriority w:val="9"/>
    <w:qFormat/>
    <w:rsid w:val="005072EB"/>
    <w:pPr>
      <w:keepNext/>
      <w:spacing w:before="240"/>
      <w:outlineLvl w:val="1"/>
    </w:pPr>
    <w:rPr>
      <w:rFonts w:ascii="Arial Bold" w:hAnsi="Arial Bold"/>
      <w:b/>
      <w:bCs/>
      <w:iCs/>
      <w:sz w:val="22"/>
      <w:szCs w:val="28"/>
      <w:u w:val="single"/>
    </w:rPr>
  </w:style>
  <w:style w:type="paragraph" w:styleId="Heading3">
    <w:name w:val="heading 3"/>
    <w:basedOn w:val="Normal"/>
    <w:next w:val="Normal"/>
    <w:link w:val="Heading3Char"/>
    <w:uiPriority w:val="9"/>
    <w:qFormat/>
    <w:rsid w:val="008B1932"/>
    <w:pPr>
      <w:keepNext/>
      <w:spacing w:before="240"/>
      <w:outlineLvl w:val="2"/>
    </w:pPr>
    <w:rPr>
      <w:rFonts w:ascii="Arial Bold" w:hAnsi="Arial Bold"/>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72EB"/>
    <w:rPr>
      <w:rFonts w:ascii="Arial" w:hAnsi="Arial" w:cs="Times New Roman"/>
      <w:b/>
      <w:bCs/>
      <w:kern w:val="32"/>
      <w:sz w:val="32"/>
      <w:szCs w:val="32"/>
      <w:lang w:val="en-AU" w:eastAsia="en-AU" w:bidi="ar-SA"/>
    </w:rPr>
  </w:style>
  <w:style w:type="character" w:customStyle="1" w:styleId="Heading2Char">
    <w:name w:val="Heading 2 Char"/>
    <w:link w:val="Heading2"/>
    <w:uiPriority w:val="9"/>
    <w:locked/>
    <w:rsid w:val="005072EB"/>
    <w:rPr>
      <w:rFonts w:ascii="Arial Bold" w:hAnsi="Arial Bold" w:cs="Times New Roman"/>
      <w:b/>
      <w:bCs/>
      <w:iCs/>
      <w:sz w:val="28"/>
      <w:szCs w:val="28"/>
      <w:u w:val="single"/>
      <w:lang w:val="en-AU" w:eastAsia="en-AU" w:bidi="ar-SA"/>
    </w:rPr>
  </w:style>
  <w:style w:type="character" w:customStyle="1" w:styleId="Heading3Char">
    <w:name w:val="Heading 3 Char"/>
    <w:link w:val="Heading3"/>
    <w:uiPriority w:val="9"/>
    <w:locked/>
    <w:rsid w:val="008B1932"/>
    <w:rPr>
      <w:rFonts w:ascii="Arial Bold" w:hAnsi="Arial Bold" w:cs="Times New Roman"/>
      <w:b/>
      <w:bCs/>
      <w:i/>
      <w:sz w:val="26"/>
      <w:szCs w:val="26"/>
      <w:lang w:val="en-AU" w:eastAsia="en-AU" w:bidi="ar-SA"/>
    </w:rPr>
  </w:style>
  <w:style w:type="character" w:styleId="FollowedHyperlink">
    <w:name w:val="FollowedHyperlink"/>
    <w:uiPriority w:val="99"/>
    <w:rsid w:val="00665091"/>
    <w:rPr>
      <w:rFonts w:cs="Times New Roman"/>
      <w:color w:val="800080"/>
      <w:u w:val="single"/>
    </w:rPr>
  </w:style>
  <w:style w:type="character" w:styleId="Hyperlink">
    <w:name w:val="Hyperlink"/>
    <w:uiPriority w:val="99"/>
    <w:rsid w:val="00EF06EC"/>
    <w:rPr>
      <w:rFonts w:ascii="Arial" w:hAnsi="Arial" w:cs="Times New Roman"/>
      <w:color w:val="0000FF"/>
      <w:sz w:val="22"/>
      <w:u w:val="single"/>
    </w:rPr>
  </w:style>
  <w:style w:type="paragraph" w:styleId="BalloonText">
    <w:name w:val="Balloon Text"/>
    <w:basedOn w:val="Normal"/>
    <w:link w:val="BalloonTextChar"/>
    <w:uiPriority w:val="99"/>
    <w:semiHidden/>
    <w:rsid w:val="0060381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sid w:val="001F0DAD"/>
    <w:rPr>
      <w:rFonts w:cs="Times New Roman"/>
      <w:sz w:val="16"/>
      <w:szCs w:val="16"/>
    </w:rPr>
  </w:style>
  <w:style w:type="paragraph" w:styleId="CommentText">
    <w:name w:val="annotation text"/>
    <w:basedOn w:val="Normal"/>
    <w:link w:val="CommentTextChar"/>
    <w:uiPriority w:val="99"/>
    <w:semiHidden/>
    <w:rsid w:val="001F0DAD"/>
    <w:rPr>
      <w:sz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1F0DAD"/>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Bullet">
    <w:name w:val="List Bullet"/>
    <w:basedOn w:val="Normal"/>
    <w:uiPriority w:val="99"/>
    <w:unhideWhenUsed/>
    <w:rsid w:val="00BD5AD2"/>
    <w:pPr>
      <w:numPr>
        <w:numId w:val="2"/>
      </w:numPr>
      <w:ind w:left="1077" w:hanging="340"/>
    </w:pPr>
    <w:rPr>
      <w:rFonts w:ascii="Arial" w:hAnsi="Arial"/>
      <w:sz w:val="22"/>
    </w:rPr>
  </w:style>
  <w:style w:type="paragraph" w:styleId="BodyText">
    <w:name w:val="Body Text"/>
    <w:basedOn w:val="Normal"/>
    <w:link w:val="BodyTextChar"/>
    <w:uiPriority w:val="99"/>
    <w:rsid w:val="005E5542"/>
    <w:pPr>
      <w:keepLines/>
    </w:pPr>
    <w:rPr>
      <w:rFonts w:ascii="Arial" w:hAnsi="Arial"/>
      <w:sz w:val="22"/>
    </w:rPr>
  </w:style>
  <w:style w:type="character" w:customStyle="1" w:styleId="BodyTextChar">
    <w:name w:val="Body Text Char"/>
    <w:link w:val="BodyText"/>
    <w:uiPriority w:val="99"/>
    <w:semiHidden/>
    <w:locked/>
    <w:rPr>
      <w:rFonts w:cs="Times New Roman"/>
      <w:sz w:val="24"/>
    </w:rPr>
  </w:style>
  <w:style w:type="paragraph" w:styleId="Title">
    <w:name w:val="Title"/>
    <w:basedOn w:val="Normal"/>
    <w:link w:val="TitleChar"/>
    <w:uiPriority w:val="10"/>
    <w:qFormat/>
    <w:rsid w:val="00BD5AD2"/>
    <w:pPr>
      <w:spacing w:before="240" w:after="60"/>
      <w:jc w:val="center"/>
      <w:outlineLvl w:val="0"/>
    </w:pPr>
    <w:rPr>
      <w:rFonts w:ascii="Arial" w:hAnsi="Arial" w:cs="Arial"/>
      <w:b/>
      <w:bCs/>
      <w:kern w:val="28"/>
      <w:szCs w:val="32"/>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B614CB"/>
    <w:pPr>
      <w:spacing w:before="100" w:beforeAutospacing="1" w:after="100" w:afterAutospacing="1"/>
    </w:pPr>
    <w:rPr>
      <w:szCs w:val="24"/>
    </w:rPr>
  </w:style>
  <w:style w:type="paragraph" w:styleId="Header">
    <w:name w:val="header"/>
    <w:basedOn w:val="Normal"/>
    <w:link w:val="HeaderChar"/>
    <w:uiPriority w:val="99"/>
    <w:unhideWhenUsed/>
    <w:rsid w:val="00847B21"/>
    <w:pPr>
      <w:tabs>
        <w:tab w:val="center" w:pos="4513"/>
        <w:tab w:val="right" w:pos="9026"/>
      </w:tabs>
      <w:spacing w:before="0" w:after="0"/>
    </w:pPr>
  </w:style>
  <w:style w:type="character" w:customStyle="1" w:styleId="HeaderChar">
    <w:name w:val="Header Char"/>
    <w:basedOn w:val="DefaultParagraphFont"/>
    <w:link w:val="Header"/>
    <w:uiPriority w:val="99"/>
    <w:rsid w:val="00847B21"/>
    <w:rPr>
      <w:sz w:val="24"/>
    </w:rPr>
  </w:style>
  <w:style w:type="paragraph" w:styleId="Footer">
    <w:name w:val="footer"/>
    <w:basedOn w:val="Normal"/>
    <w:link w:val="FooterChar"/>
    <w:uiPriority w:val="99"/>
    <w:unhideWhenUsed/>
    <w:rsid w:val="00847B21"/>
    <w:pPr>
      <w:tabs>
        <w:tab w:val="center" w:pos="4513"/>
        <w:tab w:val="right" w:pos="9026"/>
      </w:tabs>
      <w:spacing w:before="0" w:after="0"/>
    </w:pPr>
  </w:style>
  <w:style w:type="character" w:customStyle="1" w:styleId="FooterChar">
    <w:name w:val="Footer Char"/>
    <w:basedOn w:val="DefaultParagraphFont"/>
    <w:link w:val="Footer"/>
    <w:uiPriority w:val="99"/>
    <w:rsid w:val="00847B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1209">
      <w:bodyDiv w:val="1"/>
      <w:marLeft w:val="0"/>
      <w:marRight w:val="0"/>
      <w:marTop w:val="0"/>
      <w:marBottom w:val="0"/>
      <w:divBdr>
        <w:top w:val="none" w:sz="0" w:space="0" w:color="auto"/>
        <w:left w:val="none" w:sz="0" w:space="0" w:color="auto"/>
        <w:bottom w:val="none" w:sz="0" w:space="0" w:color="auto"/>
        <w:right w:val="none" w:sz="0" w:space="0" w:color="auto"/>
      </w:divBdr>
      <w:divsChild>
        <w:div w:id="1133406916">
          <w:marLeft w:val="0"/>
          <w:marRight w:val="0"/>
          <w:marTop w:val="0"/>
          <w:marBottom w:val="0"/>
          <w:divBdr>
            <w:top w:val="none" w:sz="0" w:space="0" w:color="auto"/>
            <w:left w:val="none" w:sz="0" w:space="0" w:color="auto"/>
            <w:bottom w:val="none" w:sz="0" w:space="0" w:color="auto"/>
            <w:right w:val="none" w:sz="0" w:space="0" w:color="auto"/>
          </w:divBdr>
          <w:divsChild>
            <w:div w:id="1885828349">
              <w:marLeft w:val="0"/>
              <w:marRight w:val="0"/>
              <w:marTop w:val="0"/>
              <w:marBottom w:val="0"/>
              <w:divBdr>
                <w:top w:val="none" w:sz="0" w:space="0" w:color="auto"/>
                <w:left w:val="none" w:sz="0" w:space="0" w:color="auto"/>
                <w:bottom w:val="none" w:sz="0" w:space="0" w:color="auto"/>
                <w:right w:val="none" w:sz="0" w:space="0" w:color="auto"/>
              </w:divBdr>
              <w:divsChild>
                <w:div w:id="1343899225">
                  <w:marLeft w:val="0"/>
                  <w:marRight w:val="0"/>
                  <w:marTop w:val="0"/>
                  <w:marBottom w:val="0"/>
                  <w:divBdr>
                    <w:top w:val="none" w:sz="0" w:space="0" w:color="auto"/>
                    <w:left w:val="none" w:sz="0" w:space="0" w:color="auto"/>
                    <w:bottom w:val="none" w:sz="0" w:space="0" w:color="auto"/>
                    <w:right w:val="none" w:sz="0" w:space="0" w:color="auto"/>
                  </w:divBdr>
                  <w:divsChild>
                    <w:div w:id="1231844375">
                      <w:marLeft w:val="0"/>
                      <w:marRight w:val="0"/>
                      <w:marTop w:val="0"/>
                      <w:marBottom w:val="0"/>
                      <w:divBdr>
                        <w:top w:val="none" w:sz="0" w:space="0" w:color="auto"/>
                        <w:left w:val="none" w:sz="0" w:space="0" w:color="auto"/>
                        <w:bottom w:val="none" w:sz="0" w:space="0" w:color="auto"/>
                        <w:right w:val="none" w:sz="0" w:space="0" w:color="auto"/>
                      </w:divBdr>
                      <w:divsChild>
                        <w:div w:id="1761439904">
                          <w:marLeft w:val="0"/>
                          <w:marRight w:val="0"/>
                          <w:marTop w:val="0"/>
                          <w:marBottom w:val="0"/>
                          <w:divBdr>
                            <w:top w:val="none" w:sz="0" w:space="0" w:color="auto"/>
                            <w:left w:val="none" w:sz="0" w:space="0" w:color="auto"/>
                            <w:bottom w:val="none" w:sz="0" w:space="0" w:color="auto"/>
                            <w:right w:val="none" w:sz="0" w:space="0" w:color="auto"/>
                          </w:divBdr>
                          <w:divsChild>
                            <w:div w:id="1114985591">
                              <w:marLeft w:val="0"/>
                              <w:marRight w:val="0"/>
                              <w:marTop w:val="0"/>
                              <w:marBottom w:val="75"/>
                              <w:divBdr>
                                <w:top w:val="none" w:sz="0" w:space="0" w:color="auto"/>
                                <w:left w:val="none" w:sz="0" w:space="0" w:color="auto"/>
                                <w:bottom w:val="single" w:sz="6" w:space="11" w:color="F0F0F0"/>
                                <w:right w:val="none" w:sz="0" w:space="0" w:color="auto"/>
                              </w:divBdr>
                              <w:divsChild>
                                <w:div w:id="20598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law.gov.au/Details/F2012L020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2308</Words>
  <Characters>11495</Characters>
  <Application>Microsoft Office Word</Application>
  <DocSecurity>0</DocSecurity>
  <Lines>95</Lines>
  <Paragraphs>27</Paragraphs>
  <ScaleCrop>false</ScaleCrop>
  <Company/>
  <LinksUpToDate>false</LinksUpToDate>
  <CharactersWithSpaces>13776</CharactersWithSpaces>
  <SharedDoc>false</SharedDoc>
  <HLinks>
    <vt:vector size="6" baseType="variant">
      <vt:variant>
        <vt:i4>80</vt:i4>
      </vt:variant>
      <vt:variant>
        <vt:i4>0</vt:i4>
      </vt:variant>
      <vt:variant>
        <vt:i4>0</vt:i4>
      </vt:variant>
      <vt:variant>
        <vt:i4>5</vt:i4>
      </vt:variant>
      <vt:variant>
        <vt:lpwstr>http://www.comlaw.gov.au/Details/F2012L02010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2015-12-02T04:26:00Z</dcterms:created>
  <dcterms:modified xsi:type="dcterms:W3CDTF">2015-12-02T04:26:00Z</dcterms:modified>
</cp:coreProperties>
</file>