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A1C" w:rsidRPr="00DE2B7E" w:rsidRDefault="009A40C9" w:rsidP="00DE2B7E">
      <w:pPr>
        <w:pStyle w:val="Title"/>
      </w:pPr>
      <w:proofErr w:type="spellStart"/>
      <w:r w:rsidRPr="00DE2B7E">
        <w:t>ATSIHEAC</w:t>
      </w:r>
      <w:proofErr w:type="spellEnd"/>
      <w:r w:rsidRPr="00DE2B7E">
        <w:t xml:space="preserve"> </w:t>
      </w:r>
      <w:r w:rsidR="00E02993" w:rsidRPr="00DE2B7E">
        <w:t xml:space="preserve">Background Paper: </w:t>
      </w:r>
      <w:r w:rsidRPr="00DE2B7E">
        <w:t>Indigenous Science, Technology, Engineering, and Mathematics (STEM).</w:t>
      </w:r>
    </w:p>
    <w:p w:rsidR="007D16E9" w:rsidRDefault="009A40C9" w:rsidP="00DE2B7E">
      <w:pPr>
        <w:pStyle w:val="Heading1"/>
      </w:pPr>
      <w:r w:rsidRPr="007D16E9">
        <w:t>Issue</w:t>
      </w:r>
      <w:r>
        <w:t xml:space="preserve">: </w:t>
      </w:r>
    </w:p>
    <w:p w:rsidR="009A40C9" w:rsidRDefault="00B0610C">
      <w:r w:rsidRPr="00B0610C">
        <w:rPr>
          <w:i/>
        </w:rPr>
        <w:t>In higher education</w:t>
      </w:r>
      <w:proofErr w:type="gramStart"/>
      <w:r>
        <w:t>:</w:t>
      </w:r>
      <w:proofErr w:type="gramEnd"/>
      <w:r>
        <w:br/>
      </w:r>
      <w:r w:rsidR="009A40C9">
        <w:t xml:space="preserve">Despite strong growth in recent years, Indigenous students’ participation in STEM subjects in higher education needs to accelerate rapidly to reach parity </w:t>
      </w:r>
      <w:r w:rsidR="002C6280">
        <w:t xml:space="preserve">with </w:t>
      </w:r>
      <w:r w:rsidR="007D16E9">
        <w:t xml:space="preserve">other fields of study and </w:t>
      </w:r>
      <w:r w:rsidR="009A40C9">
        <w:t>with non-Indigenous students.</w:t>
      </w:r>
      <w:r>
        <w:t xml:space="preserve"> </w:t>
      </w:r>
    </w:p>
    <w:p w:rsidR="009A40C9" w:rsidRPr="005A68B2" w:rsidRDefault="009A40C9">
      <w:pPr>
        <w:rPr>
          <w:i/>
        </w:rPr>
      </w:pPr>
      <w:r w:rsidRPr="0051115D">
        <w:rPr>
          <w:rFonts w:cstheme="minorHAnsi"/>
          <w:noProof/>
          <w:sz w:val="18"/>
          <w:szCs w:val="18"/>
          <w:lang w:eastAsia="en-AU"/>
        </w:rPr>
        <mc:AlternateContent>
          <mc:Choice Requires="wps">
            <w:drawing>
              <wp:anchor distT="0" distB="0" distL="114300" distR="114300" simplePos="0" relativeHeight="251659264" behindDoc="0" locked="0" layoutInCell="1" allowOverlap="1" wp14:anchorId="04AD5D66" wp14:editId="09E4B533">
                <wp:simplePos x="0" y="0"/>
                <wp:positionH relativeFrom="column">
                  <wp:posOffset>3622675</wp:posOffset>
                </wp:positionH>
                <wp:positionV relativeFrom="paragraph">
                  <wp:posOffset>337185</wp:posOffset>
                </wp:positionV>
                <wp:extent cx="2067560" cy="208915"/>
                <wp:effectExtent l="0" t="0" r="2794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208915"/>
                        </a:xfrm>
                        <a:prstGeom prst="rect">
                          <a:avLst/>
                        </a:prstGeom>
                        <a:solidFill>
                          <a:srgbClr val="FFFFFF"/>
                        </a:solidFill>
                        <a:ln w="9525">
                          <a:solidFill>
                            <a:schemeClr val="bg1">
                              <a:lumMod val="75000"/>
                            </a:schemeClr>
                          </a:solidFill>
                          <a:miter lim="800000"/>
                          <a:headEnd/>
                          <a:tailEnd/>
                        </a:ln>
                      </wps:spPr>
                      <wps:txbx>
                        <w:txbxContent>
                          <w:p w:rsidR="009A40C9" w:rsidRPr="00616ED5" w:rsidRDefault="009A40C9" w:rsidP="009A40C9">
                            <w:pPr>
                              <w:rPr>
                                <w:color w:val="A6A6A6" w:themeColor="background1" w:themeShade="A6"/>
                                <w:sz w:val="16"/>
                                <w:szCs w:val="16"/>
                              </w:rPr>
                            </w:pPr>
                            <w:r>
                              <w:rPr>
                                <w:color w:val="A6A6A6" w:themeColor="background1" w:themeShade="A6"/>
                                <w:sz w:val="16"/>
                                <w:szCs w:val="16"/>
                              </w:rPr>
                              <w:t>Total</w:t>
                            </w:r>
                            <w:r w:rsidRPr="00616ED5">
                              <w:rPr>
                                <w:color w:val="A6A6A6" w:themeColor="background1" w:themeShade="A6"/>
                                <w:sz w:val="16"/>
                                <w:szCs w:val="16"/>
                              </w:rPr>
                              <w:t xml:space="preserve"> Indigenous share of enrolments: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25pt;margin-top:26.55pt;width:162.8pt;height:1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" strokecolor="#bfbfbf [2412]">
                <v:textbox>
                  <w:txbxContent>
                    <w:p w:rsidR="009A40C9" w:rsidRPr="00616ED5" w:rsidRDefault="009A40C9" w:rsidP="009A40C9">
                      <w:pPr>
                        <w:rPr>
                          <w:color w:val="A6A6A6" w:themeColor="background1" w:themeShade="A6"/>
                          <w:sz w:val="16"/>
                          <w:szCs w:val="16"/>
                        </w:rPr>
                      </w:pPr>
                      <w:r>
                        <w:rPr>
                          <w:color w:val="A6A6A6" w:themeColor="background1" w:themeShade="A6"/>
                          <w:sz w:val="16"/>
                          <w:szCs w:val="16"/>
                        </w:rPr>
                        <w:t>Total</w:t>
                      </w:r>
                      <w:r w:rsidRPr="00616ED5">
                        <w:rPr>
                          <w:color w:val="A6A6A6" w:themeColor="background1" w:themeShade="A6"/>
                          <w:sz w:val="16"/>
                          <w:szCs w:val="16"/>
                        </w:rPr>
                        <w:t xml:space="preserve"> Indigenous share of enrolments: 1.4%</w:t>
                      </w:r>
                    </w:p>
                  </w:txbxContent>
                </v:textbox>
              </v:shape>
            </w:pict>
          </mc:Fallback>
        </mc:AlternateContent>
      </w:r>
      <w:r w:rsidR="00DE2B7E">
        <w:rPr>
          <w:i/>
          <w:noProof/>
          <w:sz w:val="16"/>
          <w:szCs w:val="16"/>
          <w:lang w:eastAsia="en-AU"/>
        </w:rPr>
        <w:drawing>
          <wp:inline distT="0" distB="0" distL="0" distR="0" wp14:anchorId="3CA294E8">
            <wp:extent cx="6572250" cy="1969135"/>
            <wp:effectExtent l="0" t="0" r="0" b="0"/>
            <wp:docPr id="3" name="Picture 3" descr="Indigenous share of domestic enrolments by broad field of education: 2013 chart as described in the 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0" cy="1969135"/>
                    </a:xfrm>
                    <a:prstGeom prst="rect">
                      <a:avLst/>
                    </a:prstGeom>
                    <a:noFill/>
                  </pic:spPr>
                </pic:pic>
              </a:graphicData>
            </a:graphic>
          </wp:inline>
        </w:drawing>
      </w:r>
      <w:r w:rsidR="009F43B5">
        <w:br/>
      </w:r>
      <w:r w:rsidR="009F43B5" w:rsidRPr="005A68B2">
        <w:rPr>
          <w:i/>
          <w:sz w:val="16"/>
          <w:szCs w:val="16"/>
        </w:rPr>
        <w:t>Source: Department of Education and Training: Higher Education Statistics</w:t>
      </w:r>
    </w:p>
    <w:p w:rsidR="00B0610C" w:rsidRDefault="00B0610C">
      <w:r w:rsidRPr="00B0610C">
        <w:rPr>
          <w:i/>
        </w:rPr>
        <w:t>In schools</w:t>
      </w:r>
      <w:proofErr w:type="gramStart"/>
      <w:r w:rsidRPr="00B0610C">
        <w:rPr>
          <w:i/>
        </w:rPr>
        <w:t>:</w:t>
      </w:r>
      <w:proofErr w:type="gramEnd"/>
      <w:r>
        <w:br/>
      </w:r>
      <w:r w:rsidRPr="00B0610C">
        <w:t xml:space="preserve">Data from </w:t>
      </w:r>
      <w:r>
        <w:t xml:space="preserve">standardised testing shows Indigenous students in schools are performing significantly worse than their non-Indigenous peers. </w:t>
      </w:r>
      <w:r w:rsidR="006E72E3">
        <w:t xml:space="preserve">While the Government’s agenda for increasing school attendance for Indigenous school students is an important part of improving outcomes, there is more work to be done on improving what happens inside the schools to ensure better performance in STEM for Aboriginal and Torres Strait Islander school students. </w:t>
      </w:r>
      <w:r w:rsidR="001A48ED">
        <w:t>Teachers need to be better prepared for teaching maths and science to Indigenous school students, and more Indigenous teachers are essential.</w:t>
      </w:r>
    </w:p>
    <w:p w:rsidR="00AA5076" w:rsidRPr="00C51D99" w:rsidRDefault="00AA5076" w:rsidP="00AA5076">
      <w:pPr>
        <w:spacing w:after="120"/>
        <w:rPr>
          <w:i/>
          <w:sz w:val="18"/>
          <w:szCs w:val="18"/>
        </w:rPr>
      </w:pPr>
      <w:r w:rsidRPr="00AA5076">
        <w:rPr>
          <w:i/>
        </w:rPr>
        <w:t>In the workplace</w:t>
      </w:r>
      <w:proofErr w:type="gramStart"/>
      <w:r w:rsidRPr="00AA5076">
        <w:rPr>
          <w:i/>
        </w:rPr>
        <w:t>:</w:t>
      </w:r>
      <w:proofErr w:type="gramEnd"/>
      <w:r>
        <w:rPr>
          <w:i/>
        </w:rPr>
        <w:br/>
      </w:r>
      <w:r w:rsidR="006E72E3">
        <w:t>We know that higher education is a key to economic development for Indigenous Australians. Employment outcomes are vastly better for Indigenous Australians with degree-level qualifications</w:t>
      </w:r>
      <w:proofErr w:type="gramStart"/>
      <w:r w:rsidR="006E72E3">
        <w:t>:</w:t>
      </w:r>
      <w:proofErr w:type="gramEnd"/>
      <w:r>
        <w:rPr>
          <w:i/>
        </w:rPr>
        <w:br/>
      </w:r>
      <w:r>
        <w:rPr>
          <w:i/>
        </w:rPr>
        <w:br/>
      </w:r>
      <w:r w:rsidR="00DE2B7E">
        <w:rPr>
          <w:i/>
          <w:noProof/>
          <w:lang w:eastAsia="en-AU"/>
        </w:rPr>
        <w:drawing>
          <wp:inline distT="0" distB="0" distL="0" distR="0" wp14:anchorId="1F092608">
            <wp:extent cx="6108700" cy="1329055"/>
            <wp:effectExtent l="0" t="0" r="6350" b="4445"/>
            <wp:docPr id="7" name="Picture 7" descr="Employment status of Indigenous Australians by educational attainment chart as described in the 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8700" cy="1329055"/>
                    </a:xfrm>
                    <a:prstGeom prst="rect">
                      <a:avLst/>
                    </a:prstGeom>
                    <a:noFill/>
                  </pic:spPr>
                </pic:pic>
              </a:graphicData>
            </a:graphic>
          </wp:inline>
        </w:drawing>
      </w:r>
      <w:r>
        <w:rPr>
          <w:sz w:val="18"/>
          <w:szCs w:val="18"/>
        </w:rPr>
        <w:br/>
      </w:r>
      <w:r w:rsidR="005A68B2">
        <w:rPr>
          <w:i/>
          <w:sz w:val="16"/>
          <w:szCs w:val="16"/>
        </w:rPr>
        <w:br/>
      </w:r>
      <w:r w:rsidRPr="005A68B2">
        <w:rPr>
          <w:i/>
          <w:sz w:val="16"/>
          <w:szCs w:val="16"/>
        </w:rPr>
        <w:t>Source: ABS Cat 2076.0: Census of Population and Housing: Characteristics of Aboriginal and Torres Strait Islander Australians, 2011</w:t>
      </w:r>
    </w:p>
    <w:p w:rsidR="006E72E3" w:rsidRDefault="006E72E3" w:rsidP="006E72E3">
      <w:pPr>
        <w:pStyle w:val="ListParagraph"/>
        <w:spacing w:after="120"/>
        <w:ind w:left="0"/>
      </w:pPr>
    </w:p>
    <w:p w:rsidR="006E72E3" w:rsidRDefault="006E72E3" w:rsidP="006E72E3">
      <w:pPr>
        <w:pStyle w:val="ListParagraph"/>
        <w:spacing w:after="120"/>
        <w:ind w:left="0"/>
      </w:pPr>
      <w:r>
        <w:t>An important part of addressing the income disparities that exist between Indigenous and non-Indig</w:t>
      </w:r>
      <w:r w:rsidR="000D3228">
        <w:t>enous Australians is to increase the size of the</w:t>
      </w:r>
      <w:r>
        <w:t xml:space="preserve"> Indigenous professional class. A strong Indigenous presence in the professions will provide the role models for subsequent generations of Indigenous school students and the champions for future professional advancement by Indigenous graduates.</w:t>
      </w:r>
      <w:r w:rsidR="001A48ED">
        <w:t xml:space="preserve"> Building the visibility pathways from school maths and science to real jobs that Indigenous people are excelling in will help to drive the pipeline forward.</w:t>
      </w:r>
    </w:p>
    <w:p w:rsidR="007E1561" w:rsidRDefault="007E1561">
      <w:pPr>
        <w:rPr>
          <w:b/>
        </w:rPr>
      </w:pPr>
      <w:r>
        <w:rPr>
          <w:b/>
        </w:rPr>
        <w:br w:type="page"/>
      </w:r>
    </w:p>
    <w:p w:rsidR="009A40C9" w:rsidRPr="007E1561" w:rsidRDefault="007D16E9" w:rsidP="00DE2B7E">
      <w:pPr>
        <w:pStyle w:val="Heading1"/>
      </w:pPr>
      <w:r w:rsidRPr="007E1561">
        <w:lastRenderedPageBreak/>
        <w:t>Recommendations:</w:t>
      </w:r>
    </w:p>
    <w:p w:rsidR="000E739C" w:rsidRPr="00DE2B7E" w:rsidRDefault="000E739C" w:rsidP="00DE2B7E">
      <w:pPr>
        <w:pStyle w:val="Heading2"/>
      </w:pPr>
      <w:r w:rsidRPr="00DE2B7E">
        <w:t xml:space="preserve">1. </w:t>
      </w:r>
      <w:r w:rsidR="00533EC3" w:rsidRPr="00DE2B7E">
        <w:t xml:space="preserve">The government should convene an </w:t>
      </w:r>
      <w:r w:rsidR="00293B1D" w:rsidRPr="00DE2B7E">
        <w:t>a group of experts in Indigenous STEM education</w:t>
      </w:r>
    </w:p>
    <w:p w:rsidR="009677F3" w:rsidRDefault="009677F3" w:rsidP="009677F3">
      <w:pPr>
        <w:pStyle w:val="ListParagraph"/>
        <w:numPr>
          <w:ilvl w:val="0"/>
          <w:numId w:val="2"/>
        </w:numPr>
      </w:pPr>
      <w:r>
        <w:t>Indigenous enrolments in higher education have been increasing steadily. Over the period 2003 to 2013, enrolments increased by 53 per cent from 8,964 to 13,723:</w:t>
      </w:r>
    </w:p>
    <w:p w:rsidR="009677F3" w:rsidRDefault="00DE2B7E" w:rsidP="009677F3">
      <w:pPr>
        <w:ind w:left="360" w:hanging="66"/>
      </w:pPr>
      <w:r>
        <w:rPr>
          <w:noProof/>
          <w:lang w:eastAsia="en-AU"/>
        </w:rPr>
        <w:drawing>
          <wp:inline distT="0" distB="0" distL="0" distR="0" wp14:anchorId="4EC2E2E7">
            <wp:extent cx="6023610" cy="2103120"/>
            <wp:effectExtent l="0" t="0" r="0" b="0"/>
            <wp:docPr id="9" name="Picture 9" descr="Commencing and all Indigenous students: 2003 - 2013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3610" cy="2103120"/>
                    </a:xfrm>
                    <a:prstGeom prst="rect">
                      <a:avLst/>
                    </a:prstGeom>
                    <a:noFill/>
                  </pic:spPr>
                </pic:pic>
              </a:graphicData>
            </a:graphic>
          </wp:inline>
        </w:drawing>
      </w:r>
    </w:p>
    <w:p w:rsidR="009677F3" w:rsidRDefault="009677F3" w:rsidP="009677F3">
      <w:pPr>
        <w:pStyle w:val="ListParagraph"/>
        <w:numPr>
          <w:ilvl w:val="0"/>
          <w:numId w:val="2"/>
        </w:numPr>
      </w:pPr>
      <w:r>
        <w:t>This is strong growth, greater than the growth in all domestic students over the same period (37 per cent).</w:t>
      </w:r>
    </w:p>
    <w:p w:rsidR="009677F3" w:rsidRDefault="009677F3" w:rsidP="009677F3">
      <w:pPr>
        <w:pStyle w:val="ListParagraph"/>
        <w:numPr>
          <w:ilvl w:val="0"/>
          <w:numId w:val="2"/>
        </w:numPr>
      </w:pPr>
      <w:r w:rsidRPr="004403F8">
        <w:t xml:space="preserve">However, </w:t>
      </w:r>
      <w:r>
        <w:t xml:space="preserve">in 2013 </w:t>
      </w:r>
      <w:r w:rsidRPr="004403F8">
        <w:t xml:space="preserve">those 13,723 students </w:t>
      </w:r>
      <w:r>
        <w:t>represented</w:t>
      </w:r>
      <w:r w:rsidRPr="002700F0">
        <w:t xml:space="preserve"> just 1.4 per cent </w:t>
      </w:r>
      <w:r>
        <w:t>of all domestic enrolments:</w:t>
      </w:r>
      <w:r>
        <w:br/>
      </w:r>
    </w:p>
    <w:p w:rsidR="009677F3" w:rsidRDefault="00DE2B7E" w:rsidP="009677F3">
      <w:pPr>
        <w:pStyle w:val="ListParagraph"/>
        <w:ind w:left="426"/>
      </w:pPr>
      <w:r>
        <w:rPr>
          <w:noProof/>
          <w:lang w:eastAsia="en-AU"/>
        </w:rPr>
        <w:drawing>
          <wp:inline distT="0" distB="0" distL="0" distR="0" wp14:anchorId="3837F98F">
            <wp:extent cx="6139180" cy="1969135"/>
            <wp:effectExtent l="0" t="0" r="0" b="0"/>
            <wp:docPr id="10" name="Picture 10" descr="Indigenous higher education students as a proportion of all domestic students chart as described abo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9180" cy="1969135"/>
                    </a:xfrm>
                    <a:prstGeom prst="rect">
                      <a:avLst/>
                    </a:prstGeom>
                    <a:noFill/>
                  </pic:spPr>
                </pic:pic>
              </a:graphicData>
            </a:graphic>
          </wp:inline>
        </w:drawing>
      </w:r>
    </w:p>
    <w:p w:rsidR="009677F3" w:rsidRPr="009677F3" w:rsidRDefault="009677F3" w:rsidP="009677F3">
      <w:pPr>
        <w:pStyle w:val="ListParagraph"/>
        <w:ind w:left="426"/>
        <w:rPr>
          <w:sz w:val="16"/>
          <w:szCs w:val="16"/>
        </w:rPr>
      </w:pPr>
      <w:r w:rsidRPr="009677F3">
        <w:rPr>
          <w:sz w:val="16"/>
          <w:szCs w:val="16"/>
        </w:rPr>
        <w:t>(</w:t>
      </w:r>
      <w:proofErr w:type="gramStart"/>
      <w:r w:rsidRPr="009677F3">
        <w:rPr>
          <w:sz w:val="16"/>
          <w:szCs w:val="16"/>
        </w:rPr>
        <w:t>source</w:t>
      </w:r>
      <w:proofErr w:type="gramEnd"/>
      <w:r w:rsidRPr="009677F3">
        <w:rPr>
          <w:sz w:val="16"/>
          <w:szCs w:val="16"/>
        </w:rPr>
        <w:t xml:space="preserve">: 2013 Equity Groups data set, available at </w:t>
      </w:r>
      <w:hyperlink r:id="rId13" w:history="1">
        <w:r w:rsidRPr="00CA4504">
          <w:rPr>
            <w:rStyle w:val="Hyperlink"/>
            <w:sz w:val="16"/>
            <w:szCs w:val="16"/>
          </w:rPr>
          <w:t>http://docs.education.gov.au/documents/2013-appendix-2-equity-groups</w:t>
        </w:r>
      </w:hyperlink>
      <w:r>
        <w:rPr>
          <w:sz w:val="16"/>
          <w:szCs w:val="16"/>
        </w:rPr>
        <w:t>.</w:t>
      </w:r>
      <w:r w:rsidRPr="009677F3">
        <w:rPr>
          <w:sz w:val="16"/>
          <w:szCs w:val="16"/>
        </w:rPr>
        <w:t>)</w:t>
      </w:r>
      <w:r w:rsidRPr="009677F3">
        <w:rPr>
          <w:sz w:val="16"/>
          <w:szCs w:val="16"/>
        </w:rPr>
        <w:br/>
      </w:r>
    </w:p>
    <w:p w:rsidR="009677F3" w:rsidRPr="009677F3" w:rsidRDefault="009677F3" w:rsidP="00885DBC">
      <w:pPr>
        <w:pStyle w:val="ListParagraph"/>
        <w:numPr>
          <w:ilvl w:val="0"/>
          <w:numId w:val="2"/>
        </w:numPr>
        <w:rPr>
          <w:rFonts w:cstheme="minorHAnsi"/>
        </w:rPr>
      </w:pPr>
      <w:r>
        <w:rPr>
          <w:rFonts w:cstheme="minorHAnsi"/>
        </w:rPr>
        <w:t>Indigenous students continue to prefer to study a small number of fields, particularly society and culture, health, and education:</w:t>
      </w:r>
    </w:p>
    <w:p w:rsidR="000E739C" w:rsidRDefault="00DE2B7E" w:rsidP="000E739C">
      <w:pPr>
        <w:rPr>
          <w:rFonts w:cstheme="minorHAnsi"/>
        </w:rPr>
      </w:pPr>
      <w:r>
        <w:rPr>
          <w:i/>
          <w:noProof/>
          <w:sz w:val="16"/>
          <w:szCs w:val="16"/>
          <w:lang w:eastAsia="en-AU"/>
        </w:rPr>
        <w:drawing>
          <wp:inline distT="0" distB="0" distL="0" distR="0" wp14:anchorId="747DC8E7">
            <wp:extent cx="6431915" cy="2243455"/>
            <wp:effectExtent l="0" t="0" r="6985" b="4445"/>
            <wp:docPr id="11" name="Picture 11" descr="Award course completions for Indigenous Students by broad field of education chart as described in the 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31915" cy="2243455"/>
                    </a:xfrm>
                    <a:prstGeom prst="rect">
                      <a:avLst/>
                    </a:prstGeom>
                    <a:noFill/>
                  </pic:spPr>
                </pic:pic>
              </a:graphicData>
            </a:graphic>
          </wp:inline>
        </w:drawing>
      </w:r>
      <w:r w:rsidR="00B23BB1">
        <w:rPr>
          <w:rFonts w:cstheme="minorHAnsi"/>
        </w:rPr>
        <w:br/>
      </w:r>
      <w:r w:rsidR="00B23BB1" w:rsidRPr="005A68B2">
        <w:rPr>
          <w:i/>
          <w:sz w:val="16"/>
          <w:szCs w:val="16"/>
        </w:rPr>
        <w:t>Source: Department of Education and Training: Higher Education Statistics</w:t>
      </w:r>
    </w:p>
    <w:p w:rsidR="00885DBC" w:rsidRDefault="00885DBC" w:rsidP="00885DBC">
      <w:pPr>
        <w:pStyle w:val="ListParagraph"/>
        <w:numPr>
          <w:ilvl w:val="0"/>
          <w:numId w:val="2"/>
        </w:numPr>
      </w:pPr>
      <w:r>
        <w:lastRenderedPageBreak/>
        <w:t xml:space="preserve">The Indigenous share of enrolments in STEM subjects is </w:t>
      </w:r>
      <w:proofErr w:type="gramStart"/>
      <w:r>
        <w:t>lower</w:t>
      </w:r>
      <w:proofErr w:type="gramEnd"/>
      <w:r>
        <w:t xml:space="preserve"> still – under one per cent in the natural and physical sciences, IT, and engineering disciplines in 2013.</w:t>
      </w:r>
    </w:p>
    <w:p w:rsidR="00BA69DE" w:rsidRDefault="009677F3" w:rsidP="00885DBC">
      <w:pPr>
        <w:pStyle w:val="ListParagraph"/>
        <w:numPr>
          <w:ilvl w:val="0"/>
          <w:numId w:val="2"/>
        </w:numPr>
      </w:pPr>
      <w:r w:rsidRPr="00885DBC">
        <w:t xml:space="preserve">Growth in </w:t>
      </w:r>
      <w:r w:rsidR="00BA69DE">
        <w:t>Indigenous participation in</w:t>
      </w:r>
      <w:r w:rsidRPr="00885DBC">
        <w:t xml:space="preserve"> STEM disciplines</w:t>
      </w:r>
      <w:r w:rsidR="00BA69DE">
        <w:t xml:space="preserve"> in higher education</w:t>
      </w:r>
      <w:r w:rsidRPr="00885DBC">
        <w:t xml:space="preserve"> is strong</w:t>
      </w:r>
      <w:r w:rsidR="007A2E84">
        <w:t xml:space="preserve"> but</w:t>
      </w:r>
      <w:r w:rsidRPr="00885DBC">
        <w:t xml:space="preserve"> is coming off a very low base</w:t>
      </w:r>
      <w:r w:rsidR="00BA69DE">
        <w:t xml:space="preserve">. </w:t>
      </w:r>
    </w:p>
    <w:p w:rsidR="000E739C" w:rsidRDefault="00BA69DE" w:rsidP="00885DBC">
      <w:pPr>
        <w:pStyle w:val="ListParagraph"/>
        <w:numPr>
          <w:ilvl w:val="0"/>
          <w:numId w:val="2"/>
        </w:numPr>
      </w:pPr>
      <w:r>
        <w:t>Between 2001 and 2013, enrolments in STEM disciplines for Indigenous bachelor and postgraduate by coursework students increased by 146 per cent, from 473 to 1,163:</w:t>
      </w:r>
      <w:r w:rsidR="007A2E84">
        <w:br/>
      </w:r>
    </w:p>
    <w:p w:rsidR="0040611C" w:rsidRDefault="00DE2B7E" w:rsidP="007A2E84">
      <w:pPr>
        <w:pStyle w:val="ListParagraph"/>
        <w:ind w:left="0"/>
        <w:rPr>
          <w:i/>
          <w:sz w:val="16"/>
          <w:szCs w:val="16"/>
        </w:rPr>
      </w:pPr>
      <w:r>
        <w:rPr>
          <w:i/>
          <w:noProof/>
          <w:sz w:val="16"/>
          <w:szCs w:val="16"/>
          <w:lang w:eastAsia="en-AU"/>
        </w:rPr>
        <w:drawing>
          <wp:inline distT="0" distB="0" distL="0" distR="0" wp14:anchorId="6BD259FF">
            <wp:extent cx="6663690" cy="2365375"/>
            <wp:effectExtent l="0" t="0" r="3810" b="0"/>
            <wp:docPr id="12" name="Picture 12" descr="Indigenous Enrolments, commencements, completions in STEM* fields as described abo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3690" cy="2365375"/>
                    </a:xfrm>
                    <a:prstGeom prst="rect">
                      <a:avLst/>
                    </a:prstGeom>
                    <a:noFill/>
                  </pic:spPr>
                </pic:pic>
              </a:graphicData>
            </a:graphic>
          </wp:inline>
        </w:drawing>
      </w:r>
      <w:r w:rsidR="007A2E84">
        <w:br/>
      </w:r>
      <w:r w:rsidR="007A2E84" w:rsidRPr="007A2E84">
        <w:rPr>
          <w:i/>
          <w:sz w:val="16"/>
          <w:szCs w:val="16"/>
        </w:rPr>
        <w:t>*Includes natural and physical sciences; IT; and engineering and related technologies</w:t>
      </w:r>
      <w:r w:rsidR="00BA69DE">
        <w:rPr>
          <w:i/>
          <w:sz w:val="16"/>
          <w:szCs w:val="16"/>
        </w:rPr>
        <w:t>, Bachelor and postgraduate by coursework students</w:t>
      </w:r>
      <w:r w:rsidR="007A2E84" w:rsidRPr="007A2E84">
        <w:rPr>
          <w:i/>
          <w:sz w:val="16"/>
          <w:szCs w:val="16"/>
        </w:rPr>
        <w:t>.</w:t>
      </w:r>
      <w:r w:rsidR="007A2E84">
        <w:br/>
      </w:r>
      <w:r w:rsidR="007A2E84" w:rsidRPr="005A68B2">
        <w:rPr>
          <w:i/>
          <w:sz w:val="16"/>
          <w:szCs w:val="16"/>
        </w:rPr>
        <w:t>Source: Department of Education and Training: Higher Education Statistics</w:t>
      </w:r>
    </w:p>
    <w:p w:rsidR="00BA69DE" w:rsidRDefault="00BA69DE" w:rsidP="007A2E84">
      <w:pPr>
        <w:pStyle w:val="ListParagraph"/>
        <w:ind w:left="0"/>
      </w:pPr>
    </w:p>
    <w:p w:rsidR="000C4651" w:rsidRDefault="00BA69DE" w:rsidP="00BA69DE">
      <w:pPr>
        <w:pStyle w:val="ListParagraph"/>
        <w:numPr>
          <w:ilvl w:val="0"/>
          <w:numId w:val="2"/>
        </w:numPr>
      </w:pPr>
      <w:r>
        <w:t>This growth is higher than that for Indigenous students in all fields over the same period (101 per cent).</w:t>
      </w:r>
    </w:p>
    <w:p w:rsidR="00B1729A" w:rsidRDefault="00B1729A" w:rsidP="00BA69DE">
      <w:pPr>
        <w:pStyle w:val="ListParagraph"/>
        <w:numPr>
          <w:ilvl w:val="0"/>
          <w:numId w:val="2"/>
        </w:numPr>
      </w:pPr>
      <w:r>
        <w:t>However the number of Indigenous students required for population parity in these fields is around 5,000 so at the current rate of growth it will still require many years to reach this level.</w:t>
      </w:r>
    </w:p>
    <w:p w:rsidR="00903659" w:rsidRDefault="007C7995" w:rsidP="00903659">
      <w:pPr>
        <w:pStyle w:val="ListParagraph"/>
        <w:numPr>
          <w:ilvl w:val="0"/>
          <w:numId w:val="2"/>
        </w:numPr>
      </w:pPr>
      <w:r w:rsidRPr="00C52950">
        <w:rPr>
          <w:b/>
        </w:rPr>
        <w:t>It is therefore recommende</w:t>
      </w:r>
      <w:r w:rsidR="0073549C">
        <w:rPr>
          <w:b/>
        </w:rPr>
        <w:t xml:space="preserve">d that the government </w:t>
      </w:r>
      <w:r w:rsidR="00BC503F">
        <w:rPr>
          <w:b/>
        </w:rPr>
        <w:t xml:space="preserve">convene </w:t>
      </w:r>
      <w:r w:rsidR="00293B1D">
        <w:rPr>
          <w:b/>
        </w:rPr>
        <w:t>groups of e</w:t>
      </w:r>
      <w:bookmarkStart w:id="0" w:name="_GoBack"/>
      <w:bookmarkEnd w:id="0"/>
      <w:r w:rsidR="00293B1D">
        <w:rPr>
          <w:b/>
        </w:rPr>
        <w:t>xperts in Indigenous STEM education</w:t>
      </w:r>
      <w:r>
        <w:t>.</w:t>
      </w:r>
    </w:p>
    <w:p w:rsidR="00BC503F" w:rsidRPr="007E0A65" w:rsidRDefault="00BC503F" w:rsidP="00903659">
      <w:pPr>
        <w:pStyle w:val="ListParagraph"/>
        <w:numPr>
          <w:ilvl w:val="0"/>
          <w:numId w:val="2"/>
        </w:numPr>
      </w:pPr>
      <w:r w:rsidRPr="007E0A65">
        <w:t xml:space="preserve">The Expert Working Group would </w:t>
      </w:r>
      <w:r w:rsidR="00293B1D">
        <w:t>provide advice</w:t>
      </w:r>
      <w:r w:rsidRPr="007E0A65">
        <w:t xml:space="preserve"> on</w:t>
      </w:r>
      <w:r w:rsidR="007E0A65" w:rsidRPr="007E0A65">
        <w:t>:</w:t>
      </w:r>
      <w:r w:rsidRPr="007E0A65">
        <w:t xml:space="preserve"> </w:t>
      </w:r>
    </w:p>
    <w:p w:rsidR="00BC503F" w:rsidRPr="007E0A65" w:rsidRDefault="00BC503F" w:rsidP="00BC503F">
      <w:pPr>
        <w:pStyle w:val="ListParagraph"/>
        <w:numPr>
          <w:ilvl w:val="1"/>
          <w:numId w:val="2"/>
        </w:numPr>
      </w:pPr>
      <w:r w:rsidRPr="007E0A65">
        <w:t>Integration of Indigenous STEM priorities into the broader STEM agenda;</w:t>
      </w:r>
    </w:p>
    <w:p w:rsidR="00BC503F" w:rsidRPr="007E0A65" w:rsidRDefault="00BC503F" w:rsidP="00BC503F">
      <w:pPr>
        <w:pStyle w:val="ListParagraph"/>
        <w:numPr>
          <w:ilvl w:val="1"/>
          <w:numId w:val="2"/>
        </w:numPr>
      </w:pPr>
      <w:r w:rsidRPr="007E0A65">
        <w:t xml:space="preserve">Strategies to </w:t>
      </w:r>
      <w:r w:rsidR="007E0A65" w:rsidRPr="007E0A65">
        <w:t>make highly qualified STEM teachers available to schools with high numbers of Indigenous students; and</w:t>
      </w:r>
    </w:p>
    <w:p w:rsidR="007E0A65" w:rsidRPr="007E0A65" w:rsidRDefault="007E0A65" w:rsidP="00BC503F">
      <w:pPr>
        <w:pStyle w:val="ListParagraph"/>
        <w:numPr>
          <w:ilvl w:val="1"/>
          <w:numId w:val="2"/>
        </w:numPr>
      </w:pPr>
      <w:r w:rsidRPr="007E0A65">
        <w:t>Opportunities to leverage efforts of bodies such as the Aboriginal and Torres Strait Islander Mathematics Alliance, and the Australian Council of Deans of Education.</w:t>
      </w:r>
    </w:p>
    <w:p w:rsidR="00B1729A" w:rsidRDefault="00B1729A" w:rsidP="00BA69DE">
      <w:pPr>
        <w:pStyle w:val="ListParagraph"/>
        <w:numPr>
          <w:ilvl w:val="0"/>
          <w:numId w:val="2"/>
        </w:numPr>
      </w:pPr>
      <w:r>
        <w:t xml:space="preserve">In line with the recommendations of the Review of Higher Education Access and Outcomes for Aboriginal and Torres Strait Islander people, and with the suggested actions from the STEM Roundtable, the </w:t>
      </w:r>
      <w:r w:rsidR="00293B1D">
        <w:t xml:space="preserve">group of experts </w:t>
      </w:r>
      <w:r w:rsidR="007E0A65">
        <w:t>c</w:t>
      </w:r>
      <w:r w:rsidR="007C7995">
        <w:t xml:space="preserve">ould </w:t>
      </w:r>
      <w:r w:rsidR="007E0A65">
        <w:t>develop</w:t>
      </w:r>
      <w:r w:rsidR="007C7995">
        <w:t xml:space="preserve"> the following:</w:t>
      </w:r>
    </w:p>
    <w:p w:rsidR="0050630F" w:rsidRDefault="0050630F" w:rsidP="0050630F">
      <w:pPr>
        <w:pStyle w:val="ListParagraph"/>
        <w:numPr>
          <w:ilvl w:val="1"/>
          <w:numId w:val="2"/>
        </w:numPr>
      </w:pPr>
      <w:r>
        <w:t>An articulation of pathways from</w:t>
      </w:r>
      <w:r w:rsidR="009351C8">
        <w:t xml:space="preserve"> school through to professions</w:t>
      </w:r>
    </w:p>
    <w:p w:rsidR="001534D2" w:rsidRPr="001534D2" w:rsidRDefault="001534D2" w:rsidP="001534D2">
      <w:pPr>
        <w:pStyle w:val="ListParagraph"/>
        <w:numPr>
          <w:ilvl w:val="1"/>
          <w:numId w:val="2"/>
        </w:numPr>
      </w:pPr>
      <w:r w:rsidRPr="001534D2">
        <w:t xml:space="preserve">strategies for the particular challenges of different localities with large Indigenous populations, </w:t>
      </w:r>
      <w:r w:rsidR="00D93337" w:rsidRPr="001534D2">
        <w:t>i.e.</w:t>
      </w:r>
      <w:r w:rsidRPr="001534D2">
        <w:t xml:space="preserve"> regional/metropolitan and rural/remote; </w:t>
      </w:r>
    </w:p>
    <w:p w:rsidR="001534D2" w:rsidRPr="001534D2" w:rsidRDefault="001534D2" w:rsidP="001534D2">
      <w:pPr>
        <w:pStyle w:val="ListParagraph"/>
        <w:numPr>
          <w:ilvl w:val="1"/>
          <w:numId w:val="2"/>
        </w:numPr>
      </w:pPr>
      <w:r>
        <w:t>developing</w:t>
      </w:r>
      <w:r w:rsidRPr="001534D2">
        <w:t xml:space="preserve"> strategies for Indigenous school students in specific achievement groups, </w:t>
      </w:r>
      <w:proofErr w:type="spellStart"/>
      <w:r w:rsidRPr="001534D2">
        <w:t>ie</w:t>
      </w:r>
      <w:proofErr w:type="spellEnd"/>
      <w:r w:rsidRPr="001534D2">
        <w:t xml:space="preserve"> low, middle and high performance bands; and </w:t>
      </w:r>
    </w:p>
    <w:p w:rsidR="007E1561" w:rsidRDefault="001534D2" w:rsidP="00BA69DE">
      <w:pPr>
        <w:pStyle w:val="ListParagraph"/>
        <w:numPr>
          <w:ilvl w:val="1"/>
          <w:numId w:val="2"/>
        </w:numPr>
      </w:pPr>
      <w:proofErr w:type="gramStart"/>
      <w:r w:rsidRPr="001534D2">
        <w:t>examining</w:t>
      </w:r>
      <w:proofErr w:type="gramEnd"/>
      <w:r w:rsidRPr="001534D2">
        <w:t xml:space="preserve"> leading practice in </w:t>
      </w:r>
      <w:r>
        <w:t>Indigenous higher</w:t>
      </w:r>
      <w:r w:rsidRPr="001534D2">
        <w:t xml:space="preserve"> education to identify critical success factors and challenges.</w:t>
      </w:r>
    </w:p>
    <w:p w:rsidR="00BA69DE" w:rsidRDefault="007E1561" w:rsidP="007E1561">
      <w:r>
        <w:br w:type="page"/>
      </w:r>
    </w:p>
    <w:p w:rsidR="00717324" w:rsidRPr="00903659" w:rsidRDefault="00717324" w:rsidP="00DE2B7E">
      <w:pPr>
        <w:pStyle w:val="Heading2"/>
      </w:pPr>
      <w:r>
        <w:lastRenderedPageBreak/>
        <w:t>2</w:t>
      </w:r>
      <w:r w:rsidRPr="00903659">
        <w:t xml:space="preserve">. </w:t>
      </w:r>
      <w:r w:rsidR="00E30FF7">
        <w:t xml:space="preserve">The government should invest in </w:t>
      </w:r>
      <w:r w:rsidR="007E1561">
        <w:t>informing</w:t>
      </w:r>
      <w:r w:rsidR="00E30FF7">
        <w:t xml:space="preserve"> e</w:t>
      </w:r>
      <w:r>
        <w:t>vidence-based pedagogical practice</w:t>
      </w:r>
    </w:p>
    <w:p w:rsidR="00CD0F1F" w:rsidRDefault="00CD0F1F" w:rsidP="00CD0F1F">
      <w:pPr>
        <w:pStyle w:val="ListParagraph"/>
        <w:numPr>
          <w:ilvl w:val="0"/>
          <w:numId w:val="4"/>
        </w:numPr>
        <w:rPr>
          <w:rFonts w:cstheme="minorHAnsi"/>
        </w:rPr>
      </w:pPr>
      <w:r>
        <w:rPr>
          <w:rFonts w:cstheme="minorHAnsi"/>
        </w:rPr>
        <w:t xml:space="preserve">A key to engaging Indigenous students in science and maths in classrooms is </w:t>
      </w:r>
      <w:r w:rsidR="0079226C">
        <w:rPr>
          <w:rFonts w:cstheme="minorHAnsi"/>
        </w:rPr>
        <w:t>making science and maths exciting and relevant.</w:t>
      </w:r>
    </w:p>
    <w:p w:rsidR="00F5334A" w:rsidRDefault="00CD0F1F" w:rsidP="00CD0F1F">
      <w:pPr>
        <w:pStyle w:val="ListParagraph"/>
        <w:numPr>
          <w:ilvl w:val="0"/>
          <w:numId w:val="4"/>
        </w:numPr>
        <w:rPr>
          <w:rFonts w:cstheme="minorHAnsi"/>
        </w:rPr>
      </w:pPr>
      <w:r>
        <w:rPr>
          <w:rFonts w:cstheme="minorHAnsi"/>
        </w:rPr>
        <w:t xml:space="preserve">There is a growing body of evidence on what works in Indigenous STEM education in the classroom. </w:t>
      </w:r>
    </w:p>
    <w:p w:rsidR="00CD0F1F" w:rsidRDefault="0079226C" w:rsidP="00CD0F1F">
      <w:pPr>
        <w:pStyle w:val="ListParagraph"/>
        <w:numPr>
          <w:ilvl w:val="0"/>
          <w:numId w:val="4"/>
        </w:numPr>
        <w:rPr>
          <w:rFonts w:cstheme="minorHAnsi"/>
        </w:rPr>
      </w:pPr>
      <w:r>
        <w:rPr>
          <w:rFonts w:cstheme="minorHAnsi"/>
        </w:rPr>
        <w:t xml:space="preserve">For example, </w:t>
      </w:r>
      <w:r w:rsidR="00F5334A">
        <w:rPr>
          <w:rFonts w:cstheme="minorHAnsi"/>
        </w:rPr>
        <w:t>the Australian Council of Learned Academies examined international experiences of Indigenous students</w:t>
      </w:r>
      <w:r w:rsidR="00F5334A">
        <w:rPr>
          <w:rStyle w:val="EndnoteReference"/>
          <w:rFonts w:cstheme="minorHAnsi"/>
        </w:rPr>
        <w:endnoteReference w:id="1"/>
      </w:r>
      <w:r w:rsidR="00F5334A">
        <w:rPr>
          <w:rFonts w:cstheme="minorHAnsi"/>
        </w:rPr>
        <w:t>, and found some common themes in what was effective:</w:t>
      </w:r>
    </w:p>
    <w:p w:rsidR="00F5334A" w:rsidRDefault="00F5334A" w:rsidP="00F5334A">
      <w:pPr>
        <w:pStyle w:val="ListParagraph"/>
        <w:numPr>
          <w:ilvl w:val="1"/>
          <w:numId w:val="4"/>
        </w:numPr>
        <w:rPr>
          <w:rFonts w:cstheme="minorHAnsi"/>
        </w:rPr>
      </w:pPr>
      <w:r>
        <w:rPr>
          <w:rFonts w:cstheme="minorHAnsi"/>
        </w:rPr>
        <w:t xml:space="preserve">Developing culturally responsive curriculum and teaching approaches: including specific attention to the learning needs of Indigenous students; integrating Indigenous </w:t>
      </w:r>
      <w:proofErr w:type="spellStart"/>
      <w:r>
        <w:rPr>
          <w:rFonts w:cstheme="minorHAnsi"/>
        </w:rPr>
        <w:t>knowledges</w:t>
      </w:r>
      <w:proofErr w:type="spellEnd"/>
      <w:r>
        <w:rPr>
          <w:rFonts w:cstheme="minorHAnsi"/>
        </w:rPr>
        <w:t xml:space="preserve">; and assessment involving culturally valid </w:t>
      </w:r>
      <w:r w:rsidR="00B63024">
        <w:rPr>
          <w:rFonts w:cstheme="minorHAnsi"/>
        </w:rPr>
        <w:t>ways of communication.</w:t>
      </w:r>
    </w:p>
    <w:p w:rsidR="00B63024" w:rsidRDefault="00B63024" w:rsidP="00F5334A">
      <w:pPr>
        <w:pStyle w:val="ListParagraph"/>
        <w:numPr>
          <w:ilvl w:val="1"/>
          <w:numId w:val="4"/>
        </w:numPr>
        <w:rPr>
          <w:rFonts w:cstheme="minorHAnsi"/>
        </w:rPr>
      </w:pPr>
      <w:r>
        <w:rPr>
          <w:rFonts w:cstheme="minorHAnsi"/>
        </w:rPr>
        <w:t>Developing support structures</w:t>
      </w:r>
      <w:r w:rsidR="007E0A65">
        <w:rPr>
          <w:rFonts w:cstheme="minorHAnsi"/>
        </w:rPr>
        <w:t xml:space="preserve"> </w:t>
      </w:r>
      <w:r w:rsidR="0053228C">
        <w:rPr>
          <w:rFonts w:cstheme="minorHAnsi"/>
        </w:rPr>
        <w:t>in higher education</w:t>
      </w:r>
    </w:p>
    <w:p w:rsidR="0053228C" w:rsidRDefault="0053228C" w:rsidP="00F5334A">
      <w:pPr>
        <w:pStyle w:val="ListParagraph"/>
        <w:numPr>
          <w:ilvl w:val="1"/>
          <w:numId w:val="4"/>
        </w:numPr>
        <w:rPr>
          <w:rFonts w:cstheme="minorHAnsi"/>
        </w:rPr>
      </w:pPr>
      <w:r>
        <w:rPr>
          <w:rFonts w:cstheme="minorHAnsi"/>
        </w:rPr>
        <w:t>Developing community outreach.</w:t>
      </w:r>
    </w:p>
    <w:p w:rsidR="0053228C" w:rsidRDefault="0053228C" w:rsidP="0053228C">
      <w:pPr>
        <w:pStyle w:val="ListParagraph"/>
        <w:numPr>
          <w:ilvl w:val="0"/>
          <w:numId w:val="4"/>
        </w:numPr>
        <w:rPr>
          <w:rFonts w:cstheme="minorHAnsi"/>
        </w:rPr>
      </w:pPr>
      <w:r>
        <w:rPr>
          <w:rFonts w:cstheme="minorHAnsi"/>
        </w:rPr>
        <w:t>Elements of this body of evidence dovetail with recent research at Monash University</w:t>
      </w:r>
      <w:r>
        <w:rPr>
          <w:rStyle w:val="EndnoteReference"/>
          <w:rFonts w:cstheme="minorHAnsi"/>
        </w:rPr>
        <w:endnoteReference w:id="2"/>
      </w:r>
      <w:r>
        <w:rPr>
          <w:rFonts w:cstheme="minorHAnsi"/>
        </w:rPr>
        <w:t>, which emphasised the importance of culturally sensitive methods of assessment.</w:t>
      </w:r>
    </w:p>
    <w:p w:rsidR="0053228C" w:rsidRDefault="0053228C" w:rsidP="0053228C">
      <w:pPr>
        <w:pStyle w:val="ListParagraph"/>
        <w:numPr>
          <w:ilvl w:val="0"/>
          <w:numId w:val="4"/>
        </w:numPr>
        <w:rPr>
          <w:rFonts w:cstheme="minorHAnsi"/>
        </w:rPr>
      </w:pPr>
      <w:r>
        <w:rPr>
          <w:rFonts w:cstheme="minorHAnsi"/>
        </w:rPr>
        <w:t>Recent research</w:t>
      </w:r>
      <w:r>
        <w:rPr>
          <w:rStyle w:val="EndnoteReference"/>
          <w:rFonts w:cstheme="minorHAnsi"/>
        </w:rPr>
        <w:endnoteReference w:id="3"/>
      </w:r>
      <w:r>
        <w:rPr>
          <w:rFonts w:cstheme="minorHAnsi"/>
        </w:rPr>
        <w:t xml:space="preserve"> showed that an innovative approach to science pedagogy had positive outcomes </w:t>
      </w:r>
      <w:r w:rsidR="002056EF">
        <w:rPr>
          <w:rFonts w:cstheme="minorHAnsi"/>
        </w:rPr>
        <w:t>for Indigenous students, Approaches included:</w:t>
      </w:r>
    </w:p>
    <w:p w:rsidR="002056EF" w:rsidRDefault="002056EF" w:rsidP="002056EF">
      <w:pPr>
        <w:pStyle w:val="ListParagraph"/>
        <w:numPr>
          <w:ilvl w:val="1"/>
          <w:numId w:val="4"/>
        </w:numPr>
        <w:rPr>
          <w:rFonts w:cstheme="minorHAnsi"/>
        </w:rPr>
      </w:pPr>
      <w:r>
        <w:rPr>
          <w:rFonts w:cstheme="minorHAnsi"/>
        </w:rPr>
        <w:t>Relationship building through cultural competency</w:t>
      </w:r>
    </w:p>
    <w:p w:rsidR="002056EF" w:rsidRDefault="002056EF" w:rsidP="002056EF">
      <w:pPr>
        <w:pStyle w:val="ListParagraph"/>
        <w:numPr>
          <w:ilvl w:val="1"/>
          <w:numId w:val="4"/>
        </w:numPr>
        <w:rPr>
          <w:rFonts w:cstheme="minorHAnsi"/>
        </w:rPr>
      </w:pPr>
      <w:r>
        <w:rPr>
          <w:rFonts w:cstheme="minorHAnsi"/>
        </w:rPr>
        <w:t>Student ownership: presenters gave students the role of scientists (a student-led approach)</w:t>
      </w:r>
    </w:p>
    <w:p w:rsidR="002056EF" w:rsidRDefault="002056EF" w:rsidP="002056EF">
      <w:pPr>
        <w:pStyle w:val="ListParagraph"/>
        <w:numPr>
          <w:ilvl w:val="1"/>
          <w:numId w:val="4"/>
        </w:numPr>
        <w:rPr>
          <w:rFonts w:cstheme="minorHAnsi"/>
        </w:rPr>
      </w:pPr>
      <w:r>
        <w:rPr>
          <w:rFonts w:cstheme="minorHAnsi"/>
        </w:rPr>
        <w:t>Focus on vocabulary building.</w:t>
      </w:r>
    </w:p>
    <w:p w:rsidR="000C5FF2" w:rsidRPr="000C5FF2" w:rsidRDefault="000C5FF2" w:rsidP="0079226C">
      <w:pPr>
        <w:pStyle w:val="ListParagraph"/>
        <w:numPr>
          <w:ilvl w:val="0"/>
          <w:numId w:val="4"/>
        </w:numPr>
      </w:pPr>
      <w:r>
        <w:t xml:space="preserve">This research is in line with </w:t>
      </w:r>
      <w:r w:rsidRPr="000C5FF2">
        <w:t>the Chief Scientist</w:t>
      </w:r>
      <w:r>
        <w:t>’s 2014 report</w:t>
      </w:r>
      <w:r w:rsidRPr="000C5FF2">
        <w:t xml:space="preserve"> </w:t>
      </w:r>
      <w:r w:rsidRPr="000C5FF2">
        <w:rPr>
          <w:i/>
        </w:rPr>
        <w:t>Science, Technology. Engineering and Mathematics: Australia’s Future</w:t>
      </w:r>
      <w:r>
        <w:t>, which recommended an inquiry-based approach to science education.</w:t>
      </w:r>
    </w:p>
    <w:p w:rsidR="0079226C" w:rsidRPr="0079226C" w:rsidRDefault="00CD0F1F" w:rsidP="0079226C">
      <w:pPr>
        <w:pStyle w:val="ListParagraph"/>
        <w:numPr>
          <w:ilvl w:val="0"/>
          <w:numId w:val="4"/>
        </w:numPr>
      </w:pPr>
      <w:r>
        <w:rPr>
          <w:rFonts w:cstheme="minorHAnsi"/>
        </w:rPr>
        <w:t xml:space="preserve">However some </w:t>
      </w:r>
      <w:r w:rsidR="002056EF">
        <w:rPr>
          <w:rFonts w:cstheme="minorHAnsi"/>
        </w:rPr>
        <w:t>other</w:t>
      </w:r>
      <w:r>
        <w:rPr>
          <w:rFonts w:cstheme="minorHAnsi"/>
        </w:rPr>
        <w:t xml:space="preserve"> </w:t>
      </w:r>
      <w:r w:rsidR="002056EF">
        <w:rPr>
          <w:rFonts w:cstheme="minorHAnsi"/>
        </w:rPr>
        <w:t>evidence conflicts with these findings</w:t>
      </w:r>
      <w:r>
        <w:rPr>
          <w:rFonts w:cstheme="minorHAnsi"/>
        </w:rPr>
        <w:t>, with different pedagogical approaches identified as effective in different studies.</w:t>
      </w:r>
      <w:r w:rsidR="0079226C">
        <w:rPr>
          <w:rFonts w:cstheme="minorHAnsi"/>
        </w:rPr>
        <w:t xml:space="preserve"> </w:t>
      </w:r>
    </w:p>
    <w:p w:rsidR="002056EF" w:rsidRDefault="0079226C" w:rsidP="002056EF">
      <w:pPr>
        <w:pStyle w:val="ListParagraph"/>
        <w:numPr>
          <w:ilvl w:val="0"/>
          <w:numId w:val="15"/>
        </w:numPr>
        <w:spacing w:line="240" w:lineRule="auto"/>
        <w:ind w:right="-24"/>
        <w:jc w:val="both"/>
      </w:pPr>
      <w:r>
        <w:rPr>
          <w:rFonts w:cstheme="minorHAnsi"/>
        </w:rPr>
        <w:t xml:space="preserve">For example, </w:t>
      </w:r>
      <w:r>
        <w:t xml:space="preserve">Amanda Woods-McConney and Andrew McConney from Murdoch University were commissioned </w:t>
      </w:r>
      <w:r w:rsidR="00F375C0">
        <w:t xml:space="preserve">by ATSIHEAC </w:t>
      </w:r>
      <w:r>
        <w:t xml:space="preserve">to analyse Indigenous student academic performance in science, as measure by Programme for International Student Assessment (PISA) in 2006. </w:t>
      </w:r>
    </w:p>
    <w:p w:rsidR="0079226C" w:rsidRDefault="0079226C" w:rsidP="002056EF">
      <w:pPr>
        <w:pStyle w:val="ListParagraph"/>
        <w:numPr>
          <w:ilvl w:val="0"/>
          <w:numId w:val="15"/>
        </w:numPr>
        <w:spacing w:line="240" w:lineRule="auto"/>
        <w:ind w:right="-24"/>
        <w:jc w:val="both"/>
      </w:pPr>
      <w:r>
        <w:t>Their paper provides an assessment of the statistical impact of non-school based interventions on Indigenous student outcomes. It showed that when SES and outside-of-school activities are controlled for, teacher-led strategies had a more positive association with science literacy than student-led (investigation) strategies</w:t>
      </w:r>
      <w:r>
        <w:rPr>
          <w:rStyle w:val="EndnoteReference"/>
        </w:rPr>
        <w:endnoteReference w:id="4"/>
      </w:r>
      <w:r>
        <w:t>.</w:t>
      </w:r>
    </w:p>
    <w:p w:rsidR="0079226C" w:rsidRDefault="004F0505" w:rsidP="0079226C">
      <w:pPr>
        <w:pStyle w:val="ListParagraph"/>
        <w:numPr>
          <w:ilvl w:val="0"/>
          <w:numId w:val="4"/>
        </w:numPr>
      </w:pPr>
      <w:r>
        <w:t>This shows that more research is needed to understand what works for Indigenous students in the maths and science classroom.</w:t>
      </w:r>
    </w:p>
    <w:p w:rsidR="004F0505" w:rsidRDefault="004F0505" w:rsidP="0079226C">
      <w:pPr>
        <w:pStyle w:val="ListParagraph"/>
        <w:numPr>
          <w:ilvl w:val="0"/>
          <w:numId w:val="4"/>
        </w:numPr>
      </w:pPr>
      <w:r>
        <w:t>There are existing research centres focussed on better equipping teachers for the challenges of STEM education. These centres would be well placed to pick up an Indigenous focus to their research and professional learning activities.</w:t>
      </w:r>
    </w:p>
    <w:p w:rsidR="004F0505" w:rsidRDefault="004F0505" w:rsidP="0079226C">
      <w:pPr>
        <w:pStyle w:val="ListParagraph"/>
        <w:numPr>
          <w:ilvl w:val="0"/>
          <w:numId w:val="4"/>
        </w:numPr>
      </w:pPr>
      <w:r>
        <w:t>For example, Monash University has established a National</w:t>
      </w:r>
      <w:r>
        <w:rPr>
          <w:rFonts w:cstheme="minorHAnsi"/>
        </w:rPr>
        <w:t xml:space="preserve"> Institute for</w:t>
      </w:r>
      <w:r w:rsidRPr="00E11525">
        <w:rPr>
          <w:rFonts w:cstheme="minorHAnsi"/>
        </w:rPr>
        <w:t xml:space="preserve"> S</w:t>
      </w:r>
      <w:r>
        <w:rPr>
          <w:rFonts w:cstheme="minorHAnsi"/>
        </w:rPr>
        <w:t>TEM</w:t>
      </w:r>
      <w:r w:rsidRPr="00E11525">
        <w:rPr>
          <w:rFonts w:cstheme="minorHAnsi"/>
        </w:rPr>
        <w:t xml:space="preserve"> </w:t>
      </w:r>
      <w:r>
        <w:rPr>
          <w:rFonts w:cstheme="minorHAnsi"/>
        </w:rPr>
        <w:t>Education, and University of Sydney maintains a STEM Teacher Enrichment Academy. These centres are focussed on building the evidence base in STEM education and providing professional learning material for teacher development.</w:t>
      </w:r>
    </w:p>
    <w:p w:rsidR="007E1561" w:rsidRDefault="004F0505" w:rsidP="0079226C">
      <w:pPr>
        <w:pStyle w:val="ListParagraph"/>
        <w:numPr>
          <w:ilvl w:val="0"/>
          <w:numId w:val="4"/>
        </w:numPr>
        <w:rPr>
          <w:b/>
        </w:rPr>
      </w:pPr>
      <w:r w:rsidRPr="004F0505">
        <w:rPr>
          <w:b/>
        </w:rPr>
        <w:t xml:space="preserve">It is therefore recommended that the </w:t>
      </w:r>
      <w:r w:rsidR="00293B1D">
        <w:rPr>
          <w:b/>
        </w:rPr>
        <w:t>group of experts</w:t>
      </w:r>
      <w:r w:rsidRPr="004F0505">
        <w:rPr>
          <w:b/>
        </w:rPr>
        <w:t xml:space="preserve"> </w:t>
      </w:r>
      <w:r w:rsidR="00E30FF7">
        <w:rPr>
          <w:b/>
        </w:rPr>
        <w:t xml:space="preserve">consider </w:t>
      </w:r>
      <w:r w:rsidRPr="004F0505">
        <w:rPr>
          <w:b/>
        </w:rPr>
        <w:t>partner</w:t>
      </w:r>
      <w:r w:rsidR="00E30FF7">
        <w:rPr>
          <w:b/>
        </w:rPr>
        <w:t>ing</w:t>
      </w:r>
      <w:r w:rsidR="00293B1D">
        <w:rPr>
          <w:b/>
        </w:rPr>
        <w:t>, through roundtable fora and other mechanisms,</w:t>
      </w:r>
      <w:r w:rsidRPr="004F0505">
        <w:rPr>
          <w:b/>
        </w:rPr>
        <w:t xml:space="preserve"> with </w:t>
      </w:r>
      <w:r w:rsidR="007E1561">
        <w:rPr>
          <w:b/>
        </w:rPr>
        <w:t>existing STEM research centres</w:t>
      </w:r>
      <w:r w:rsidRPr="004F0505">
        <w:rPr>
          <w:b/>
        </w:rPr>
        <w:t xml:space="preserve"> to establish an Indigenous STEM </w:t>
      </w:r>
      <w:r w:rsidR="007E1561">
        <w:rPr>
          <w:b/>
        </w:rPr>
        <w:t>education focus in research</w:t>
      </w:r>
      <w:r w:rsidRPr="004F0505">
        <w:rPr>
          <w:b/>
        </w:rPr>
        <w:t>.</w:t>
      </w:r>
    </w:p>
    <w:p w:rsidR="004F0505" w:rsidRPr="007E1561" w:rsidRDefault="007E1561" w:rsidP="007E1561">
      <w:pPr>
        <w:rPr>
          <w:b/>
        </w:rPr>
      </w:pPr>
      <w:r>
        <w:rPr>
          <w:b/>
        </w:rPr>
        <w:br w:type="page"/>
      </w:r>
    </w:p>
    <w:p w:rsidR="00A17869" w:rsidRPr="00A17869" w:rsidRDefault="00717324" w:rsidP="00DE2B7E">
      <w:pPr>
        <w:pStyle w:val="Heading2"/>
      </w:pPr>
      <w:r>
        <w:lastRenderedPageBreak/>
        <w:t>3</w:t>
      </w:r>
      <w:r w:rsidR="00903659">
        <w:t xml:space="preserve">. </w:t>
      </w:r>
      <w:r w:rsidR="00A17869" w:rsidRPr="00A17869">
        <w:t>More Indigenous content in curricula, and bet</w:t>
      </w:r>
      <w:r w:rsidR="009B6ED6">
        <w:t>ter cultural competency</w:t>
      </w:r>
      <w:r w:rsidR="00A17869" w:rsidRPr="00A17869">
        <w:t xml:space="preserve"> </w:t>
      </w:r>
      <w:r w:rsidR="007E1561">
        <w:t>for</w:t>
      </w:r>
      <w:r w:rsidR="00A17869" w:rsidRPr="00A17869">
        <w:t xml:space="preserve"> teachers.</w:t>
      </w:r>
    </w:p>
    <w:p w:rsidR="00A9280E" w:rsidRDefault="00A9280E" w:rsidP="00A9280E">
      <w:pPr>
        <w:pStyle w:val="ListParagraph"/>
        <w:numPr>
          <w:ilvl w:val="0"/>
          <w:numId w:val="2"/>
        </w:numPr>
        <w:rPr>
          <w:rFonts w:cstheme="minorHAnsi"/>
        </w:rPr>
      </w:pPr>
      <w:r>
        <w:rPr>
          <w:rFonts w:cstheme="minorHAnsi"/>
        </w:rPr>
        <w:t>Our extensive consultation with Deans of STEM faculties to date has identified a number of strategies that can make a difference</w:t>
      </w:r>
      <w:r w:rsidR="00C52950">
        <w:rPr>
          <w:rFonts w:cstheme="minorHAnsi"/>
        </w:rPr>
        <w:t xml:space="preserve"> for Indigenous students in </w:t>
      </w:r>
      <w:r w:rsidR="007E1561">
        <w:rPr>
          <w:rFonts w:cstheme="minorHAnsi"/>
        </w:rPr>
        <w:t>STEM</w:t>
      </w:r>
      <w:r w:rsidR="00C52950">
        <w:rPr>
          <w:rFonts w:cstheme="minorHAnsi"/>
        </w:rPr>
        <w:t xml:space="preserve"> disciplines.</w:t>
      </w:r>
    </w:p>
    <w:p w:rsidR="00A9280E" w:rsidRDefault="00A9280E" w:rsidP="00A9280E">
      <w:pPr>
        <w:pStyle w:val="ListParagraph"/>
        <w:numPr>
          <w:ilvl w:val="0"/>
          <w:numId w:val="2"/>
        </w:numPr>
        <w:rPr>
          <w:rFonts w:cstheme="minorHAnsi"/>
        </w:rPr>
      </w:pPr>
      <w:r>
        <w:rPr>
          <w:rFonts w:cstheme="minorHAnsi"/>
        </w:rPr>
        <w:t xml:space="preserve">The ATSIHEAC STEM Roundtable, held in December 2013, identified a number of actions for Deans of faculties that </w:t>
      </w:r>
      <w:r w:rsidR="00C52950">
        <w:rPr>
          <w:rFonts w:cstheme="minorHAnsi"/>
        </w:rPr>
        <w:t>c</w:t>
      </w:r>
      <w:r>
        <w:rPr>
          <w:rFonts w:cstheme="minorHAnsi"/>
        </w:rPr>
        <w:t>ould improve access and outcome</w:t>
      </w:r>
      <w:r w:rsidR="00C52950">
        <w:rPr>
          <w:rFonts w:cstheme="minorHAnsi"/>
        </w:rPr>
        <w:t>s</w:t>
      </w:r>
      <w:r>
        <w:rPr>
          <w:rFonts w:cstheme="minorHAnsi"/>
        </w:rPr>
        <w:t>. These included:</w:t>
      </w:r>
    </w:p>
    <w:p w:rsidR="00A9280E" w:rsidRPr="000C4651" w:rsidRDefault="00A9280E" w:rsidP="00A9280E">
      <w:pPr>
        <w:pStyle w:val="ListParagraph"/>
        <w:numPr>
          <w:ilvl w:val="1"/>
          <w:numId w:val="2"/>
        </w:numPr>
      </w:pPr>
      <w:r w:rsidRPr="000C4651">
        <w:rPr>
          <w:rFonts w:ascii="Calibri" w:eastAsia="Times New Roman" w:hAnsi="Calibri" w:cs="Calibri"/>
          <w:color w:val="000000" w:themeColor="text1"/>
        </w:rPr>
        <w:t>build</w:t>
      </w:r>
      <w:r w:rsidR="00C52950">
        <w:rPr>
          <w:rFonts w:ascii="Calibri" w:eastAsia="Times New Roman" w:hAnsi="Calibri" w:cs="Calibri"/>
          <w:color w:val="000000" w:themeColor="text1"/>
        </w:rPr>
        <w:t>ing</w:t>
      </w:r>
      <w:r w:rsidRPr="000C4651">
        <w:rPr>
          <w:rFonts w:ascii="Calibri" w:eastAsia="Times New Roman" w:hAnsi="Calibri" w:cs="Calibri"/>
          <w:color w:val="000000" w:themeColor="text1"/>
        </w:rPr>
        <w:t xml:space="preserve"> the next generation of culturally competent and informed STEM faculty; </w:t>
      </w:r>
    </w:p>
    <w:p w:rsidR="00A9280E" w:rsidRPr="000C4651" w:rsidRDefault="00A9280E" w:rsidP="00A9280E">
      <w:pPr>
        <w:pStyle w:val="ListParagraph"/>
        <w:numPr>
          <w:ilvl w:val="1"/>
          <w:numId w:val="2"/>
        </w:numPr>
      </w:pPr>
      <w:r w:rsidRPr="000C4651">
        <w:rPr>
          <w:rFonts w:ascii="Calibri" w:eastAsia="Times New Roman" w:hAnsi="Calibri" w:cs="Calibri"/>
          <w:color w:val="000000" w:themeColor="text1"/>
        </w:rPr>
        <w:t>embed</w:t>
      </w:r>
      <w:r w:rsidR="00C52950">
        <w:rPr>
          <w:rFonts w:ascii="Calibri" w:eastAsia="Times New Roman" w:hAnsi="Calibri" w:cs="Calibri"/>
          <w:color w:val="000000" w:themeColor="text1"/>
        </w:rPr>
        <w:t>ding</w:t>
      </w:r>
      <w:r w:rsidRPr="000C4651">
        <w:rPr>
          <w:rFonts w:ascii="Calibri" w:eastAsia="Times New Roman" w:hAnsi="Calibri" w:cs="Calibri"/>
          <w:color w:val="000000" w:themeColor="text1"/>
        </w:rPr>
        <w:t xml:space="preserve"> Indigenous world views and </w:t>
      </w:r>
      <w:proofErr w:type="spellStart"/>
      <w:r w:rsidRPr="000C4651">
        <w:rPr>
          <w:rFonts w:ascii="Calibri" w:eastAsia="Times New Roman" w:hAnsi="Calibri" w:cs="Calibri"/>
          <w:color w:val="000000" w:themeColor="text1"/>
        </w:rPr>
        <w:t>knowledges</w:t>
      </w:r>
      <w:proofErr w:type="spellEnd"/>
      <w:r w:rsidRPr="000C4651">
        <w:rPr>
          <w:rFonts w:ascii="Calibri" w:eastAsia="Times New Roman" w:hAnsi="Calibri" w:cs="Calibri"/>
          <w:color w:val="000000" w:themeColor="text1"/>
        </w:rPr>
        <w:t xml:space="preserve"> into the </w:t>
      </w:r>
      <w:r w:rsidR="00C52950">
        <w:rPr>
          <w:rFonts w:ascii="Calibri" w:eastAsia="Times New Roman" w:hAnsi="Calibri" w:cs="Calibri"/>
          <w:color w:val="000000" w:themeColor="text1"/>
        </w:rPr>
        <w:t>curriculum and pedagogy for pre</w:t>
      </w:r>
      <w:r w:rsidR="00C52950">
        <w:rPr>
          <w:rFonts w:ascii="Calibri" w:eastAsia="Times New Roman" w:hAnsi="Calibri" w:cs="Calibri"/>
          <w:color w:val="000000" w:themeColor="text1"/>
        </w:rPr>
        <w:noBreakHyphen/>
      </w:r>
      <w:r w:rsidRPr="000C4651">
        <w:rPr>
          <w:rFonts w:ascii="Calibri" w:eastAsia="Times New Roman" w:hAnsi="Calibri" w:cs="Calibri"/>
          <w:color w:val="000000" w:themeColor="text1"/>
        </w:rPr>
        <w:t xml:space="preserve">service STEM teachers; </w:t>
      </w:r>
    </w:p>
    <w:p w:rsidR="00A9280E" w:rsidRPr="000C4651" w:rsidRDefault="00A9280E" w:rsidP="00A9280E">
      <w:pPr>
        <w:pStyle w:val="ListParagraph"/>
        <w:numPr>
          <w:ilvl w:val="1"/>
          <w:numId w:val="2"/>
        </w:numPr>
      </w:pPr>
      <w:r w:rsidRPr="000C4651">
        <w:rPr>
          <w:rFonts w:ascii="Calibri" w:eastAsia="Times New Roman" w:hAnsi="Calibri" w:cs="Calibri"/>
          <w:color w:val="000000" w:themeColor="text1"/>
        </w:rPr>
        <w:t>provid</w:t>
      </w:r>
      <w:r w:rsidR="00C52950">
        <w:rPr>
          <w:rFonts w:ascii="Calibri" w:eastAsia="Times New Roman" w:hAnsi="Calibri" w:cs="Calibri"/>
          <w:color w:val="000000" w:themeColor="text1"/>
        </w:rPr>
        <w:t>ing</w:t>
      </w:r>
      <w:r w:rsidRPr="000C4651">
        <w:rPr>
          <w:rFonts w:ascii="Calibri" w:eastAsia="Times New Roman" w:hAnsi="Calibri" w:cs="Calibri"/>
          <w:color w:val="000000" w:themeColor="text1"/>
        </w:rPr>
        <w:t xml:space="preserve"> second chance pathways into STEM education</w:t>
      </w:r>
      <w:r w:rsidR="00C52950">
        <w:rPr>
          <w:rFonts w:ascii="Calibri" w:eastAsia="Times New Roman" w:hAnsi="Calibri" w:cs="Calibri"/>
          <w:color w:val="000000" w:themeColor="text1"/>
        </w:rPr>
        <w:t xml:space="preserve"> for Indigenous students</w:t>
      </w:r>
      <w:r w:rsidRPr="000C4651">
        <w:rPr>
          <w:rFonts w:ascii="Calibri" w:eastAsia="Times New Roman" w:hAnsi="Calibri" w:cs="Calibri"/>
          <w:color w:val="000000" w:themeColor="text1"/>
        </w:rPr>
        <w:t xml:space="preserve">; </w:t>
      </w:r>
    </w:p>
    <w:p w:rsidR="00A9280E" w:rsidRPr="000C4651" w:rsidRDefault="00A9280E" w:rsidP="00A9280E">
      <w:pPr>
        <w:pStyle w:val="ListParagraph"/>
        <w:numPr>
          <w:ilvl w:val="1"/>
          <w:numId w:val="2"/>
        </w:numPr>
      </w:pPr>
      <w:r w:rsidRPr="000C4651">
        <w:rPr>
          <w:rFonts w:ascii="Calibri" w:eastAsia="Times New Roman" w:hAnsi="Calibri" w:cs="Calibri"/>
          <w:color w:val="000000" w:themeColor="text1"/>
        </w:rPr>
        <w:t>support</w:t>
      </w:r>
      <w:r w:rsidR="00C52950">
        <w:rPr>
          <w:rFonts w:ascii="Calibri" w:eastAsia="Times New Roman" w:hAnsi="Calibri" w:cs="Calibri"/>
          <w:color w:val="000000" w:themeColor="text1"/>
        </w:rPr>
        <w:t>ing</w:t>
      </w:r>
      <w:r w:rsidRPr="000C4651">
        <w:rPr>
          <w:rFonts w:ascii="Calibri" w:eastAsia="Times New Roman" w:hAnsi="Calibri" w:cs="Calibri"/>
          <w:color w:val="000000" w:themeColor="text1"/>
        </w:rPr>
        <w:t xml:space="preserve"> change through sharing resources and expertise across faculties and the sector as a whole, including through the utilisation of online technologies; </w:t>
      </w:r>
      <w:r>
        <w:rPr>
          <w:rFonts w:ascii="Calibri" w:eastAsia="Times New Roman" w:hAnsi="Calibri" w:cs="Calibri"/>
          <w:color w:val="000000" w:themeColor="text1"/>
        </w:rPr>
        <w:t>and</w:t>
      </w:r>
    </w:p>
    <w:p w:rsidR="00A9280E" w:rsidRPr="000C4651" w:rsidRDefault="00A9280E" w:rsidP="00A9280E">
      <w:pPr>
        <w:pStyle w:val="ListParagraph"/>
        <w:numPr>
          <w:ilvl w:val="1"/>
          <w:numId w:val="2"/>
        </w:numPr>
      </w:pPr>
      <w:r w:rsidRPr="000C4651">
        <w:rPr>
          <w:rFonts w:ascii="Calibri" w:eastAsia="Times New Roman" w:hAnsi="Calibri" w:cs="Calibri"/>
          <w:color w:val="000000" w:themeColor="text1"/>
        </w:rPr>
        <w:t xml:space="preserve">embed Indigenous targets into faculty-level accountability mechanisms; </w:t>
      </w:r>
    </w:p>
    <w:p w:rsidR="00C4659C" w:rsidRDefault="00A9280E" w:rsidP="00A9280E">
      <w:pPr>
        <w:pStyle w:val="ListParagraph"/>
        <w:numPr>
          <w:ilvl w:val="0"/>
          <w:numId w:val="2"/>
        </w:numPr>
        <w:rPr>
          <w:rFonts w:cstheme="minorHAnsi"/>
        </w:rPr>
      </w:pPr>
      <w:r>
        <w:rPr>
          <w:rFonts w:cstheme="minorHAnsi"/>
        </w:rPr>
        <w:t>ATSIHEAC consultation with Deans from STEM and Education faculties</w:t>
      </w:r>
      <w:r w:rsidR="00C4659C">
        <w:rPr>
          <w:rFonts w:cstheme="minorHAnsi"/>
        </w:rPr>
        <w:t xml:space="preserve"> and other important stakeholders</w:t>
      </w:r>
      <w:r>
        <w:rPr>
          <w:rFonts w:cstheme="minorHAnsi"/>
        </w:rPr>
        <w:t xml:space="preserve"> following the Roundtable </w:t>
      </w:r>
      <w:r w:rsidR="00C4659C">
        <w:rPr>
          <w:rFonts w:cstheme="minorHAnsi"/>
        </w:rPr>
        <w:t xml:space="preserve">sought to establish a dialogue on actions to improve Indigenous STEM outcomes. </w:t>
      </w:r>
    </w:p>
    <w:p w:rsidR="00C4659C" w:rsidRPr="007E1561" w:rsidRDefault="00C4659C" w:rsidP="007E1561">
      <w:pPr>
        <w:pStyle w:val="ListParagraph"/>
        <w:numPr>
          <w:ilvl w:val="0"/>
          <w:numId w:val="2"/>
        </w:numPr>
        <w:rPr>
          <w:rFonts w:cstheme="minorHAnsi"/>
        </w:rPr>
      </w:pPr>
      <w:r>
        <w:rPr>
          <w:rFonts w:cstheme="minorHAnsi"/>
        </w:rPr>
        <w:t xml:space="preserve">These consultations included </w:t>
      </w:r>
      <w:r w:rsidR="006037D2">
        <w:rPr>
          <w:rFonts w:cstheme="minorHAnsi"/>
        </w:rPr>
        <w:t>discussions</w:t>
      </w:r>
      <w:r w:rsidR="007E1561">
        <w:rPr>
          <w:rFonts w:cstheme="minorHAnsi"/>
        </w:rPr>
        <w:t xml:space="preserve"> with </w:t>
      </w:r>
      <w:r>
        <w:t>Universities Australia</w:t>
      </w:r>
      <w:r w:rsidRPr="007E1561">
        <w:rPr>
          <w:color w:val="000000"/>
        </w:rPr>
        <w:t xml:space="preserve"> (Feb 2014)</w:t>
      </w:r>
      <w:r>
        <w:t>;</w:t>
      </w:r>
      <w:r w:rsidR="007E1561">
        <w:t xml:space="preserve"> </w:t>
      </w:r>
      <w:proofErr w:type="spellStart"/>
      <w:r>
        <w:t>Go8</w:t>
      </w:r>
      <w:proofErr w:type="spellEnd"/>
      <w:r>
        <w:t xml:space="preserve"> and Deans of Engineering</w:t>
      </w:r>
      <w:r w:rsidRPr="007E1561">
        <w:rPr>
          <w:color w:val="000000"/>
        </w:rPr>
        <w:t xml:space="preserve"> (May 2014)</w:t>
      </w:r>
      <w:r>
        <w:t>;</w:t>
      </w:r>
      <w:r w:rsidR="007E1561">
        <w:t xml:space="preserve"> </w:t>
      </w:r>
      <w:r>
        <w:t>Australian Council of Deans of ICT</w:t>
      </w:r>
      <w:r w:rsidRPr="007E1561">
        <w:rPr>
          <w:color w:val="000000"/>
        </w:rPr>
        <w:t xml:space="preserve"> (Jul 2014)</w:t>
      </w:r>
      <w:r>
        <w:t>;</w:t>
      </w:r>
      <w:r w:rsidR="007E1561">
        <w:t xml:space="preserve"> </w:t>
      </w:r>
      <w:r>
        <w:t>Professor Ian Chubb AC, Chief Scientist for Australia</w:t>
      </w:r>
      <w:r w:rsidRPr="007E1561">
        <w:rPr>
          <w:color w:val="000000"/>
        </w:rPr>
        <w:t xml:space="preserve"> (Jul 2014)</w:t>
      </w:r>
      <w:r>
        <w:t>;</w:t>
      </w:r>
      <w:r w:rsidR="007E1561">
        <w:t xml:space="preserve"> </w:t>
      </w:r>
      <w:r>
        <w:t>Australian Mathematical Sciences Institute</w:t>
      </w:r>
      <w:r w:rsidRPr="007E1561">
        <w:rPr>
          <w:color w:val="000000"/>
        </w:rPr>
        <w:t xml:space="preserve"> (Aug &amp; Oct 2014)</w:t>
      </w:r>
      <w:r>
        <w:t>;</w:t>
      </w:r>
      <w:r w:rsidR="007E1561">
        <w:t xml:space="preserve"> </w:t>
      </w:r>
      <w:r>
        <w:t>Australian Council of Deans of Education</w:t>
      </w:r>
      <w:r w:rsidRPr="007E1561">
        <w:rPr>
          <w:color w:val="000000"/>
        </w:rPr>
        <w:t xml:space="preserve"> (Sep 2014)</w:t>
      </w:r>
      <w:r>
        <w:t>;</w:t>
      </w:r>
      <w:r w:rsidR="007E1561">
        <w:t xml:space="preserve"> </w:t>
      </w:r>
      <w:r>
        <w:t>Australian Council of Deans of Science</w:t>
      </w:r>
      <w:r w:rsidRPr="007E1561">
        <w:rPr>
          <w:color w:val="000000"/>
        </w:rPr>
        <w:t xml:space="preserve"> (Sep 2014)</w:t>
      </w:r>
      <w:r>
        <w:t>; and</w:t>
      </w:r>
      <w:r w:rsidR="007E1561">
        <w:t xml:space="preserve"> </w:t>
      </w:r>
      <w:r>
        <w:t>Aboriginal and Torres Strait Islander Mathematics Alliance</w:t>
      </w:r>
      <w:r w:rsidRPr="007E1561">
        <w:rPr>
          <w:color w:val="000000"/>
        </w:rPr>
        <w:t xml:space="preserve"> (Nov 2014)</w:t>
      </w:r>
      <w:r>
        <w:t>.</w:t>
      </w:r>
    </w:p>
    <w:p w:rsidR="00D15F50" w:rsidRDefault="00C52950" w:rsidP="00D15F50">
      <w:pPr>
        <w:pStyle w:val="ListParagraph"/>
        <w:numPr>
          <w:ilvl w:val="0"/>
          <w:numId w:val="2"/>
        </w:numPr>
        <w:rPr>
          <w:rFonts w:cstheme="minorHAnsi"/>
        </w:rPr>
      </w:pPr>
      <w:r>
        <w:rPr>
          <w:rFonts w:cstheme="minorHAnsi"/>
        </w:rPr>
        <w:t>Great progress has been made</w:t>
      </w:r>
      <w:r w:rsidR="00903659">
        <w:rPr>
          <w:rFonts w:cstheme="minorHAnsi"/>
        </w:rPr>
        <w:t xml:space="preserve"> in raising the profile of Indigenous STEM participation and success among a diverse group of stakeholders</w:t>
      </w:r>
      <w:r>
        <w:rPr>
          <w:rFonts w:cstheme="minorHAnsi"/>
        </w:rPr>
        <w:t xml:space="preserve">, but </w:t>
      </w:r>
      <w:r w:rsidR="0090478E">
        <w:rPr>
          <w:rFonts w:cstheme="minorHAnsi"/>
        </w:rPr>
        <w:t>this is a long-term project and will require concerted effort by the Department to build the relationships necessary to make the case for change in faculties.</w:t>
      </w:r>
    </w:p>
    <w:p w:rsidR="0090478E" w:rsidRPr="00903659" w:rsidRDefault="0090478E" w:rsidP="00903659">
      <w:pPr>
        <w:ind w:left="360"/>
        <w:rPr>
          <w:rFonts w:cstheme="minorHAnsi"/>
          <w:i/>
        </w:rPr>
      </w:pPr>
      <w:r w:rsidRPr="00903659">
        <w:rPr>
          <w:rFonts w:cstheme="minorHAnsi"/>
          <w:i/>
        </w:rPr>
        <w:t xml:space="preserve">A blueprint for reform exists in the work done in Indigenous </w:t>
      </w:r>
      <w:r w:rsidR="00903659">
        <w:rPr>
          <w:rFonts w:cstheme="minorHAnsi"/>
          <w:i/>
        </w:rPr>
        <w:t>medical education</w:t>
      </w:r>
      <w:r w:rsidRPr="00903659">
        <w:rPr>
          <w:rFonts w:cstheme="minorHAnsi"/>
          <w:i/>
        </w:rPr>
        <w:t>.</w:t>
      </w:r>
    </w:p>
    <w:p w:rsidR="00C346BE" w:rsidRDefault="00C346BE" w:rsidP="00D15F50">
      <w:pPr>
        <w:pStyle w:val="ListParagraph"/>
        <w:numPr>
          <w:ilvl w:val="0"/>
          <w:numId w:val="2"/>
        </w:numPr>
        <w:rPr>
          <w:rFonts w:cstheme="minorHAnsi"/>
        </w:rPr>
      </w:pPr>
      <w:r>
        <w:rPr>
          <w:rFonts w:cstheme="minorHAnsi"/>
        </w:rPr>
        <w:t xml:space="preserve">By 1995, there had only been 15 Aboriginal and Torres Strait Islander medical graduates. In 2011, 11 Indigenous </w:t>
      </w:r>
      <w:r w:rsidR="00336050">
        <w:rPr>
          <w:rFonts w:cstheme="minorHAnsi"/>
        </w:rPr>
        <w:t xml:space="preserve">medical </w:t>
      </w:r>
      <w:r>
        <w:rPr>
          <w:rFonts w:cstheme="minorHAnsi"/>
        </w:rPr>
        <w:t>students graduated, and 80 Indigenous students commenced in medical degrees</w:t>
      </w:r>
      <w:r>
        <w:rPr>
          <w:rStyle w:val="EndnoteReference"/>
          <w:rFonts w:cstheme="minorHAnsi"/>
        </w:rPr>
        <w:endnoteReference w:id="5"/>
      </w:r>
      <w:r>
        <w:rPr>
          <w:rFonts w:cstheme="minorHAnsi"/>
        </w:rPr>
        <w:t>.</w:t>
      </w:r>
    </w:p>
    <w:p w:rsidR="001E3263" w:rsidRDefault="001E3263" w:rsidP="00D15F50">
      <w:pPr>
        <w:pStyle w:val="ListParagraph"/>
        <w:numPr>
          <w:ilvl w:val="0"/>
          <w:numId w:val="2"/>
        </w:numPr>
        <w:rPr>
          <w:rFonts w:cstheme="minorHAnsi"/>
        </w:rPr>
      </w:pPr>
      <w:r>
        <w:rPr>
          <w:rFonts w:cstheme="minorHAnsi"/>
        </w:rPr>
        <w:t>A key part of reforming medical curricula in Australian medical schools was the Indigenous Health Curriculum Framework project. The four key parts of that project, commissioned by the Australian Government in partnership with the Committee of Deans of Australian Medical Schools in 2002, were:</w:t>
      </w:r>
    </w:p>
    <w:p w:rsidR="001E3263" w:rsidRPr="001E3263" w:rsidRDefault="00336050" w:rsidP="001E3263">
      <w:pPr>
        <w:pStyle w:val="ListParagraph"/>
        <w:numPr>
          <w:ilvl w:val="1"/>
          <w:numId w:val="13"/>
        </w:numPr>
        <w:rPr>
          <w:rFonts w:cstheme="minorHAnsi"/>
        </w:rPr>
      </w:pPr>
      <w:r>
        <w:rPr>
          <w:rFonts w:cstheme="minorHAnsi"/>
        </w:rPr>
        <w:t>An a</w:t>
      </w:r>
      <w:r w:rsidR="001E3263" w:rsidRPr="001E3263">
        <w:rPr>
          <w:rFonts w:cstheme="minorHAnsi"/>
        </w:rPr>
        <w:t>udit existing Indigenous health co</w:t>
      </w:r>
      <w:r w:rsidR="001E3263">
        <w:rPr>
          <w:rFonts w:cstheme="minorHAnsi"/>
        </w:rPr>
        <w:t>ntent in core medical education</w:t>
      </w:r>
    </w:p>
    <w:p w:rsidR="001E3263" w:rsidRPr="001E3263" w:rsidRDefault="001E3263" w:rsidP="001E3263">
      <w:pPr>
        <w:pStyle w:val="ListParagraph"/>
        <w:numPr>
          <w:ilvl w:val="1"/>
          <w:numId w:val="13"/>
        </w:numPr>
        <w:rPr>
          <w:rFonts w:cstheme="minorHAnsi"/>
        </w:rPr>
      </w:pPr>
      <w:r w:rsidRPr="001E3263">
        <w:rPr>
          <w:rFonts w:cstheme="minorHAnsi"/>
        </w:rPr>
        <w:t>Develop</w:t>
      </w:r>
      <w:r w:rsidR="00336050">
        <w:rPr>
          <w:rFonts w:cstheme="minorHAnsi"/>
        </w:rPr>
        <w:t>ment of</w:t>
      </w:r>
      <w:r w:rsidRPr="001E3263">
        <w:rPr>
          <w:rFonts w:cstheme="minorHAnsi"/>
        </w:rPr>
        <w:t xml:space="preserve"> a nationally agreed curriculum framework for the inclusion of Indigenous health in core</w:t>
      </w:r>
      <w:r>
        <w:rPr>
          <w:rFonts w:cstheme="minorHAnsi"/>
        </w:rPr>
        <w:t xml:space="preserve"> medical curricula</w:t>
      </w:r>
    </w:p>
    <w:p w:rsidR="001E3263" w:rsidRDefault="001E3263" w:rsidP="001E3263">
      <w:pPr>
        <w:pStyle w:val="ListParagraph"/>
        <w:numPr>
          <w:ilvl w:val="1"/>
          <w:numId w:val="13"/>
        </w:numPr>
        <w:rPr>
          <w:rFonts w:cstheme="minorHAnsi"/>
        </w:rPr>
      </w:pPr>
      <w:r w:rsidRPr="001E3263">
        <w:rPr>
          <w:rFonts w:cstheme="minorHAnsi"/>
        </w:rPr>
        <w:t>Develop</w:t>
      </w:r>
      <w:r w:rsidR="00336050">
        <w:rPr>
          <w:rFonts w:cstheme="minorHAnsi"/>
        </w:rPr>
        <w:t>ment of</w:t>
      </w:r>
      <w:r w:rsidRPr="001E3263">
        <w:rPr>
          <w:rFonts w:cstheme="minorHAnsi"/>
        </w:rPr>
        <w:t xml:space="preserve"> a network of Indigenous and non-Indigenous medical educators concerned with</w:t>
      </w:r>
      <w:r>
        <w:rPr>
          <w:rFonts w:cstheme="minorHAnsi"/>
        </w:rPr>
        <w:t xml:space="preserve"> Indigenous health</w:t>
      </w:r>
      <w:r w:rsidR="00336050">
        <w:rPr>
          <w:rFonts w:cstheme="minorHAnsi"/>
        </w:rPr>
        <w:t xml:space="preserve"> (now the LIME Network)</w:t>
      </w:r>
    </w:p>
    <w:p w:rsidR="001E3263" w:rsidRPr="001E3263" w:rsidRDefault="00336050" w:rsidP="001E3263">
      <w:pPr>
        <w:pStyle w:val="ListParagraph"/>
        <w:numPr>
          <w:ilvl w:val="1"/>
          <w:numId w:val="13"/>
        </w:numPr>
        <w:rPr>
          <w:rFonts w:cstheme="minorHAnsi"/>
        </w:rPr>
      </w:pPr>
      <w:r>
        <w:rPr>
          <w:rFonts w:cstheme="minorHAnsi"/>
        </w:rPr>
        <w:t>A</w:t>
      </w:r>
      <w:r w:rsidR="001E3263" w:rsidRPr="001E3263">
        <w:rPr>
          <w:rFonts w:cstheme="minorHAnsi"/>
        </w:rPr>
        <w:t>ccreditation of the curriculum framework by the Australian Medical Council (AMC).</w:t>
      </w:r>
    </w:p>
    <w:p w:rsidR="001E3263" w:rsidRDefault="001E3263" w:rsidP="001E3263">
      <w:pPr>
        <w:pStyle w:val="ListParagraph"/>
        <w:numPr>
          <w:ilvl w:val="0"/>
          <w:numId w:val="13"/>
        </w:numPr>
        <w:rPr>
          <w:rFonts w:cstheme="minorHAnsi"/>
        </w:rPr>
      </w:pPr>
      <w:r>
        <w:rPr>
          <w:rFonts w:cstheme="minorHAnsi"/>
        </w:rPr>
        <w:t>This four-pronged process of reform is ideal to build consensus on the need for change,</w:t>
      </w:r>
      <w:r w:rsidR="008F1E16">
        <w:rPr>
          <w:rFonts w:cstheme="minorHAnsi"/>
        </w:rPr>
        <w:t xml:space="preserve"> and should be adopted in STEM education.</w:t>
      </w:r>
    </w:p>
    <w:p w:rsidR="000C4651" w:rsidRPr="007E1561" w:rsidRDefault="008F1E16" w:rsidP="007E1561">
      <w:pPr>
        <w:pStyle w:val="ListParagraph"/>
        <w:numPr>
          <w:ilvl w:val="0"/>
          <w:numId w:val="13"/>
        </w:numPr>
        <w:rPr>
          <w:rFonts w:cstheme="minorHAnsi"/>
          <w:b/>
        </w:rPr>
      </w:pPr>
      <w:r w:rsidRPr="008F1E16">
        <w:rPr>
          <w:rFonts w:cstheme="minorHAnsi"/>
          <w:b/>
        </w:rPr>
        <w:t xml:space="preserve">Therefore, it is recommended that the </w:t>
      </w:r>
      <w:r w:rsidR="00293B1D">
        <w:rPr>
          <w:rFonts w:cstheme="minorHAnsi"/>
          <w:b/>
        </w:rPr>
        <w:t>group of experts</w:t>
      </w:r>
      <w:r w:rsidR="007E1561">
        <w:rPr>
          <w:rFonts w:cstheme="minorHAnsi"/>
          <w:b/>
        </w:rPr>
        <w:t xml:space="preserve"> conduct</w:t>
      </w:r>
      <w:r w:rsidRPr="008F1E16">
        <w:rPr>
          <w:rFonts w:cstheme="minorHAnsi"/>
          <w:b/>
        </w:rPr>
        <w:t xml:space="preserve"> an audit of Indigenous content and learning and teaching strategies in STEM curricula.</w:t>
      </w:r>
      <w:r w:rsidR="007E1561">
        <w:rPr>
          <w:rFonts w:cstheme="minorHAnsi"/>
          <w:b/>
        </w:rPr>
        <w:t xml:space="preserve"> </w:t>
      </w:r>
      <w:r w:rsidRPr="007E1561">
        <w:rPr>
          <w:rFonts w:cstheme="minorHAnsi"/>
        </w:rPr>
        <w:t>The results of the audit would inform best-practice</w:t>
      </w:r>
      <w:r w:rsidR="00336050" w:rsidRPr="007E1561">
        <w:rPr>
          <w:rFonts w:cstheme="minorHAnsi"/>
        </w:rPr>
        <w:t xml:space="preserve"> models</w:t>
      </w:r>
      <w:r w:rsidRPr="007E1561">
        <w:rPr>
          <w:rFonts w:cstheme="minorHAnsi"/>
        </w:rPr>
        <w:t xml:space="preserve"> for inclusion in a</w:t>
      </w:r>
      <w:r w:rsidR="007E1561" w:rsidRPr="007E1561">
        <w:rPr>
          <w:rFonts w:cstheme="minorHAnsi"/>
        </w:rPr>
        <w:t>n</w:t>
      </w:r>
      <w:r w:rsidRPr="007E1561">
        <w:rPr>
          <w:rFonts w:cstheme="minorHAnsi"/>
        </w:rPr>
        <w:t xml:space="preserve"> </w:t>
      </w:r>
      <w:r w:rsidR="007E1561" w:rsidRPr="007E1561">
        <w:rPr>
          <w:rFonts w:cstheme="minorHAnsi"/>
          <w:b/>
        </w:rPr>
        <w:t>Indigenous</w:t>
      </w:r>
      <w:r w:rsidR="007E1561" w:rsidRPr="007E1561">
        <w:rPr>
          <w:rFonts w:cstheme="minorHAnsi"/>
        </w:rPr>
        <w:t xml:space="preserve"> </w:t>
      </w:r>
      <w:r w:rsidRPr="007E1561">
        <w:rPr>
          <w:rFonts w:cstheme="minorHAnsi"/>
          <w:b/>
        </w:rPr>
        <w:t>STEM Curriculum Framework</w:t>
      </w:r>
      <w:r w:rsidRPr="007E1561">
        <w:rPr>
          <w:rFonts w:cstheme="minorHAnsi"/>
        </w:rPr>
        <w:t>.</w:t>
      </w:r>
      <w:r w:rsidR="009E092B" w:rsidRPr="007E1561">
        <w:rPr>
          <w:rFonts w:cstheme="minorHAnsi"/>
        </w:rPr>
        <w:br/>
      </w:r>
    </w:p>
    <w:sectPr w:rsidR="000C4651" w:rsidRPr="007E1561" w:rsidSect="009A40C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6BE" w:rsidRDefault="00C346BE" w:rsidP="00C346BE">
      <w:pPr>
        <w:spacing w:after="0" w:line="240" w:lineRule="auto"/>
      </w:pPr>
      <w:r>
        <w:separator/>
      </w:r>
    </w:p>
  </w:endnote>
  <w:endnote w:type="continuationSeparator" w:id="0">
    <w:p w:rsidR="00C346BE" w:rsidRDefault="00C346BE" w:rsidP="00C346BE">
      <w:pPr>
        <w:spacing w:after="0" w:line="240" w:lineRule="auto"/>
      </w:pPr>
      <w:r>
        <w:continuationSeparator/>
      </w:r>
    </w:p>
  </w:endnote>
  <w:endnote w:id="1">
    <w:p w:rsidR="00F5334A" w:rsidRDefault="00F5334A">
      <w:pPr>
        <w:pStyle w:val="EndnoteText"/>
      </w:pPr>
      <w:r>
        <w:rPr>
          <w:rStyle w:val="EndnoteReference"/>
        </w:rPr>
        <w:endnoteRef/>
      </w:r>
      <w:r>
        <w:t xml:space="preserve"> </w:t>
      </w:r>
      <w:r w:rsidRPr="00F5334A">
        <w:rPr>
          <w:sz w:val="18"/>
          <w:szCs w:val="18"/>
        </w:rPr>
        <w:t>Australian Council of Learned Academies, 2013, STEM: Country Comparisons</w:t>
      </w:r>
    </w:p>
  </w:endnote>
  <w:endnote w:id="2">
    <w:p w:rsidR="0053228C" w:rsidRDefault="0053228C">
      <w:pPr>
        <w:pStyle w:val="EndnoteText"/>
      </w:pPr>
      <w:r>
        <w:rPr>
          <w:rStyle w:val="EndnoteReference"/>
        </w:rPr>
        <w:endnoteRef/>
      </w:r>
      <w:r>
        <w:t xml:space="preserve"> </w:t>
      </w:r>
      <w:r w:rsidRPr="0053228C">
        <w:rPr>
          <w:sz w:val="18"/>
          <w:szCs w:val="18"/>
        </w:rPr>
        <w:t>Personal correspondence with Professor Deb Corrigan</w:t>
      </w:r>
    </w:p>
  </w:endnote>
  <w:endnote w:id="3">
    <w:p w:rsidR="0053228C" w:rsidRDefault="0053228C">
      <w:pPr>
        <w:pStyle w:val="EndnoteText"/>
      </w:pPr>
      <w:r>
        <w:rPr>
          <w:rStyle w:val="EndnoteReference"/>
        </w:rPr>
        <w:endnoteRef/>
      </w:r>
      <w:r>
        <w:t xml:space="preserve"> </w:t>
      </w:r>
      <w:r w:rsidRPr="0053228C">
        <w:rPr>
          <w:sz w:val="18"/>
          <w:szCs w:val="18"/>
        </w:rPr>
        <w:t xml:space="preserve">Hackling, Byrne, Gower, Anderson, 2015, </w:t>
      </w:r>
      <w:r w:rsidRPr="0053228C">
        <w:rPr>
          <w:i/>
          <w:sz w:val="18"/>
          <w:szCs w:val="18"/>
        </w:rPr>
        <w:t>A pedagogical model for engaging Aboriginal children with science and learning</w:t>
      </w:r>
      <w:r w:rsidRPr="0053228C">
        <w:rPr>
          <w:sz w:val="18"/>
          <w:szCs w:val="18"/>
        </w:rPr>
        <w:t xml:space="preserve">, Teaching Science </w:t>
      </w:r>
      <w:proofErr w:type="spellStart"/>
      <w:r w:rsidRPr="0053228C">
        <w:rPr>
          <w:sz w:val="18"/>
          <w:szCs w:val="18"/>
        </w:rPr>
        <w:t>Vol</w:t>
      </w:r>
      <w:proofErr w:type="spellEnd"/>
      <w:r w:rsidRPr="0053228C">
        <w:rPr>
          <w:sz w:val="18"/>
          <w:szCs w:val="18"/>
        </w:rPr>
        <w:t xml:space="preserve"> 61, number 1, </w:t>
      </w:r>
      <w:proofErr w:type="spellStart"/>
      <w:r w:rsidRPr="0053228C">
        <w:rPr>
          <w:sz w:val="18"/>
          <w:szCs w:val="18"/>
        </w:rPr>
        <w:t>pp27</w:t>
      </w:r>
      <w:proofErr w:type="spellEnd"/>
      <w:r w:rsidRPr="0053228C">
        <w:rPr>
          <w:sz w:val="18"/>
          <w:szCs w:val="18"/>
        </w:rPr>
        <w:t>-39.</w:t>
      </w:r>
    </w:p>
  </w:endnote>
  <w:endnote w:id="4">
    <w:p w:rsidR="0079226C" w:rsidRDefault="0079226C">
      <w:pPr>
        <w:pStyle w:val="EndnoteText"/>
      </w:pPr>
      <w:r>
        <w:rPr>
          <w:rStyle w:val="EndnoteReference"/>
        </w:rPr>
        <w:endnoteRef/>
      </w:r>
      <w:r>
        <w:t xml:space="preserve"> </w:t>
      </w:r>
      <w:proofErr w:type="gramStart"/>
      <w:r w:rsidRPr="0079226C">
        <w:rPr>
          <w:sz w:val="18"/>
          <w:szCs w:val="18"/>
        </w:rPr>
        <w:t>Woods-McConney, A, and McConney, A, 2015</w:t>
      </w:r>
      <w:r w:rsidRPr="0079226C">
        <w:rPr>
          <w:i/>
          <w:sz w:val="18"/>
          <w:szCs w:val="18"/>
        </w:rPr>
        <w:t>, Indigenous Australian Student Success in Science</w:t>
      </w:r>
      <w:r w:rsidRPr="0079226C">
        <w:rPr>
          <w:sz w:val="18"/>
          <w:szCs w:val="18"/>
        </w:rPr>
        <w:t>, Murdoch University, NP.</w:t>
      </w:r>
      <w:proofErr w:type="gramEnd"/>
    </w:p>
  </w:endnote>
  <w:endnote w:id="5">
    <w:p w:rsidR="00C346BE" w:rsidRPr="00D50A71" w:rsidRDefault="00C346BE" w:rsidP="00D50A71">
      <w:pPr>
        <w:autoSpaceDE w:val="0"/>
        <w:autoSpaceDN w:val="0"/>
        <w:adjustRightInd w:val="0"/>
        <w:spacing w:after="0" w:line="240" w:lineRule="auto"/>
        <w:rPr>
          <w:rFonts w:cstheme="minorHAnsi"/>
          <w:bCs/>
          <w:iCs/>
          <w:sz w:val="18"/>
          <w:szCs w:val="18"/>
        </w:rPr>
      </w:pPr>
      <w:r w:rsidRPr="00D50A71">
        <w:rPr>
          <w:rStyle w:val="EndnoteReference"/>
          <w:rFonts w:cstheme="minorHAnsi"/>
          <w:sz w:val="18"/>
          <w:szCs w:val="18"/>
        </w:rPr>
        <w:endnoteRef/>
      </w:r>
      <w:r w:rsidRPr="00D50A71">
        <w:rPr>
          <w:rFonts w:cstheme="minorHAnsi"/>
          <w:sz w:val="18"/>
          <w:szCs w:val="18"/>
        </w:rPr>
        <w:t xml:space="preserve"> </w:t>
      </w:r>
      <w:proofErr w:type="gramStart"/>
      <w:r w:rsidRPr="00D50A71">
        <w:rPr>
          <w:rFonts w:cstheme="minorHAnsi"/>
          <w:bCs/>
          <w:iCs/>
          <w:sz w:val="18"/>
          <w:szCs w:val="18"/>
        </w:rPr>
        <w:t>Submission from Medical Dea</w:t>
      </w:r>
      <w:r w:rsidR="00D50A71" w:rsidRPr="00D50A71">
        <w:rPr>
          <w:rFonts w:cstheme="minorHAnsi"/>
          <w:bCs/>
          <w:iCs/>
          <w:sz w:val="18"/>
          <w:szCs w:val="18"/>
        </w:rPr>
        <w:t xml:space="preserve">ns Australia and New Zealand </w:t>
      </w:r>
      <w:r w:rsidRPr="00D50A71">
        <w:rPr>
          <w:rFonts w:cstheme="minorHAnsi"/>
          <w:bCs/>
          <w:iCs/>
          <w:sz w:val="18"/>
          <w:szCs w:val="18"/>
        </w:rPr>
        <w:t xml:space="preserve">to </w:t>
      </w:r>
      <w:r w:rsidR="00D50A71" w:rsidRPr="00D50A71">
        <w:rPr>
          <w:rFonts w:cstheme="minorHAnsi"/>
          <w:bCs/>
          <w:iCs/>
          <w:sz w:val="18"/>
          <w:szCs w:val="18"/>
        </w:rPr>
        <w:t xml:space="preserve">the </w:t>
      </w:r>
      <w:r w:rsidRPr="00D50A71">
        <w:rPr>
          <w:rFonts w:cstheme="minorHAnsi"/>
          <w:bCs/>
          <w:iCs/>
          <w:sz w:val="18"/>
          <w:szCs w:val="18"/>
        </w:rPr>
        <w:t>Review of Higher Education Access and Outcomes for Aborig</w:t>
      </w:r>
      <w:r w:rsidR="00D50A71" w:rsidRPr="00D50A71">
        <w:rPr>
          <w:rFonts w:cstheme="minorHAnsi"/>
          <w:bCs/>
          <w:iCs/>
          <w:sz w:val="18"/>
          <w:szCs w:val="18"/>
        </w:rPr>
        <w:t xml:space="preserve">inal and Torres Strait Islander </w:t>
      </w:r>
      <w:r w:rsidRPr="00D50A71">
        <w:rPr>
          <w:rFonts w:cstheme="minorHAnsi"/>
          <w:bCs/>
          <w:iCs/>
          <w:sz w:val="18"/>
          <w:szCs w:val="18"/>
        </w:rPr>
        <w:t>People</w:t>
      </w:r>
      <w:r w:rsidR="00D50A71" w:rsidRPr="00D50A71">
        <w:rPr>
          <w:rFonts w:cstheme="minorHAnsi"/>
          <w:bCs/>
          <w:iCs/>
          <w:sz w:val="18"/>
          <w:szCs w:val="18"/>
        </w:rPr>
        <w:t>.</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6BE" w:rsidRDefault="00C346BE" w:rsidP="00C346BE">
      <w:pPr>
        <w:spacing w:after="0" w:line="240" w:lineRule="auto"/>
      </w:pPr>
      <w:r>
        <w:separator/>
      </w:r>
    </w:p>
  </w:footnote>
  <w:footnote w:type="continuationSeparator" w:id="0">
    <w:p w:rsidR="00C346BE" w:rsidRDefault="00C346BE" w:rsidP="00C346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E9A"/>
    <w:multiLevelType w:val="multilevel"/>
    <w:tmpl w:val="B50070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83F1CC0"/>
    <w:multiLevelType w:val="hybridMultilevel"/>
    <w:tmpl w:val="380EC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0E4578"/>
    <w:multiLevelType w:val="hybridMultilevel"/>
    <w:tmpl w:val="991C6D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766AB8"/>
    <w:multiLevelType w:val="hybridMultilevel"/>
    <w:tmpl w:val="B8D8CCAA"/>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
    <w:nsid w:val="257E14E0"/>
    <w:multiLevelType w:val="hybridMultilevel"/>
    <w:tmpl w:val="25DCB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2A23A12"/>
    <w:multiLevelType w:val="hybridMultilevel"/>
    <w:tmpl w:val="EC4490E2"/>
    <w:lvl w:ilvl="0" w:tplc="D700D1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8014A13"/>
    <w:multiLevelType w:val="hybridMultilevel"/>
    <w:tmpl w:val="D7C681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55E6489"/>
    <w:multiLevelType w:val="hybridMultilevel"/>
    <w:tmpl w:val="E6C4AA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F2D472B"/>
    <w:multiLevelType w:val="hybridMultilevel"/>
    <w:tmpl w:val="81980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F50755E"/>
    <w:multiLevelType w:val="hybridMultilevel"/>
    <w:tmpl w:val="CBFAC7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0A807F9"/>
    <w:multiLevelType w:val="hybridMultilevel"/>
    <w:tmpl w:val="2E2A7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2B36D84"/>
    <w:multiLevelType w:val="hybridMultilevel"/>
    <w:tmpl w:val="200013F8"/>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85450D8"/>
    <w:multiLevelType w:val="hybridMultilevel"/>
    <w:tmpl w:val="72988A40"/>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E4C5093"/>
    <w:multiLevelType w:val="hybridMultilevel"/>
    <w:tmpl w:val="D6565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8FD76C4"/>
    <w:multiLevelType w:val="multilevel"/>
    <w:tmpl w:val="ED8C9F70"/>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Courier New" w:hAnsi="Courier New" w:cs="Times New Roman"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1361" w:hanging="340"/>
      </w:pPr>
      <w:rPr>
        <w:rFonts w:ascii="Symbol" w:hAnsi="Symbol" w:hint="default"/>
        <w:color w:val="00000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7516308E"/>
    <w:multiLevelType w:val="hybridMultilevel"/>
    <w:tmpl w:val="D3EA7654"/>
    <w:lvl w:ilvl="0" w:tplc="30FA4B7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7A753426"/>
    <w:multiLevelType w:val="hybridMultilevel"/>
    <w:tmpl w:val="A3E06058"/>
    <w:lvl w:ilvl="0" w:tplc="0C090001">
      <w:start w:val="1"/>
      <w:numFmt w:val="bullet"/>
      <w:lvlText w:val=""/>
      <w:lvlJc w:val="left"/>
      <w:pPr>
        <w:ind w:left="720" w:hanging="360"/>
      </w:pPr>
      <w:rPr>
        <w:rFonts w:ascii="Symbol" w:hAnsi="Symbol" w:hint="default"/>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6"/>
  </w:num>
  <w:num w:numId="2">
    <w:abstractNumId w:val="9"/>
  </w:num>
  <w:num w:numId="3">
    <w:abstractNumId w:val="7"/>
  </w:num>
  <w:num w:numId="4">
    <w:abstractNumId w:val="2"/>
  </w:num>
  <w:num w:numId="5">
    <w:abstractNumId w:val="13"/>
  </w:num>
  <w:num w:numId="6">
    <w:abstractNumId w:val="15"/>
  </w:num>
  <w:num w:numId="7">
    <w:abstractNumId w:val="8"/>
  </w:num>
  <w:num w:numId="8">
    <w:abstractNumId w:val="5"/>
  </w:num>
  <w:num w:numId="9">
    <w:abstractNumId w:val="4"/>
  </w:num>
  <w:num w:numId="10">
    <w:abstractNumId w:val="1"/>
  </w:num>
  <w:num w:numId="11">
    <w:abstractNumId w:val="10"/>
  </w:num>
  <w:num w:numId="12">
    <w:abstractNumId w:val="3"/>
  </w:num>
  <w:num w:numId="13">
    <w:abstractNumId w:val="12"/>
  </w:num>
  <w:num w:numId="14">
    <w:abstractNumId w:val="14"/>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5A"/>
    <w:rsid w:val="00015214"/>
    <w:rsid w:val="00030DC7"/>
    <w:rsid w:val="00051373"/>
    <w:rsid w:val="000C0697"/>
    <w:rsid w:val="000C4651"/>
    <w:rsid w:val="000C56AF"/>
    <w:rsid w:val="000C5FF2"/>
    <w:rsid w:val="000D3228"/>
    <w:rsid w:val="000E739C"/>
    <w:rsid w:val="00125C09"/>
    <w:rsid w:val="001534D2"/>
    <w:rsid w:val="001A48ED"/>
    <w:rsid w:val="001C3B38"/>
    <w:rsid w:val="001E3263"/>
    <w:rsid w:val="001E58A7"/>
    <w:rsid w:val="002056EF"/>
    <w:rsid w:val="00276C95"/>
    <w:rsid w:val="00293B1D"/>
    <w:rsid w:val="002C6280"/>
    <w:rsid w:val="002E6B31"/>
    <w:rsid w:val="00326D29"/>
    <w:rsid w:val="00336050"/>
    <w:rsid w:val="0040611C"/>
    <w:rsid w:val="00411F2A"/>
    <w:rsid w:val="0045269F"/>
    <w:rsid w:val="004A4FF1"/>
    <w:rsid w:val="004E276B"/>
    <w:rsid w:val="004F0505"/>
    <w:rsid w:val="005015F7"/>
    <w:rsid w:val="0050630F"/>
    <w:rsid w:val="0053228C"/>
    <w:rsid w:val="00533EC3"/>
    <w:rsid w:val="00540DCD"/>
    <w:rsid w:val="005476B1"/>
    <w:rsid w:val="00590381"/>
    <w:rsid w:val="005A68B2"/>
    <w:rsid w:val="005C716C"/>
    <w:rsid w:val="005D3900"/>
    <w:rsid w:val="006037D2"/>
    <w:rsid w:val="00666A1C"/>
    <w:rsid w:val="00677AAD"/>
    <w:rsid w:val="006E72E3"/>
    <w:rsid w:val="00717324"/>
    <w:rsid w:val="00731DAC"/>
    <w:rsid w:val="0073549C"/>
    <w:rsid w:val="007452A6"/>
    <w:rsid w:val="00784565"/>
    <w:rsid w:val="00785FB6"/>
    <w:rsid w:val="0079226C"/>
    <w:rsid w:val="00797581"/>
    <w:rsid w:val="007A2E84"/>
    <w:rsid w:val="007C7995"/>
    <w:rsid w:val="007D16E9"/>
    <w:rsid w:val="007E0A65"/>
    <w:rsid w:val="007E1561"/>
    <w:rsid w:val="00801E6E"/>
    <w:rsid w:val="00863362"/>
    <w:rsid w:val="00885DBC"/>
    <w:rsid w:val="00887FF9"/>
    <w:rsid w:val="008930D9"/>
    <w:rsid w:val="008C1339"/>
    <w:rsid w:val="008F1E16"/>
    <w:rsid w:val="008F31FA"/>
    <w:rsid w:val="00903659"/>
    <w:rsid w:val="0090478E"/>
    <w:rsid w:val="009351C8"/>
    <w:rsid w:val="00944763"/>
    <w:rsid w:val="009677F3"/>
    <w:rsid w:val="009A40C9"/>
    <w:rsid w:val="009B6ED6"/>
    <w:rsid w:val="009C6D59"/>
    <w:rsid w:val="009E092B"/>
    <w:rsid w:val="009F43B5"/>
    <w:rsid w:val="00A17869"/>
    <w:rsid w:val="00A9280E"/>
    <w:rsid w:val="00AA5076"/>
    <w:rsid w:val="00AB026A"/>
    <w:rsid w:val="00AC73D6"/>
    <w:rsid w:val="00B0610C"/>
    <w:rsid w:val="00B14EE4"/>
    <w:rsid w:val="00B1729A"/>
    <w:rsid w:val="00B23BB1"/>
    <w:rsid w:val="00B313A9"/>
    <w:rsid w:val="00B63024"/>
    <w:rsid w:val="00B83E5F"/>
    <w:rsid w:val="00BA69DE"/>
    <w:rsid w:val="00BB3333"/>
    <w:rsid w:val="00BC503F"/>
    <w:rsid w:val="00BC635D"/>
    <w:rsid w:val="00C326E7"/>
    <w:rsid w:val="00C346BE"/>
    <w:rsid w:val="00C44A20"/>
    <w:rsid w:val="00C4659C"/>
    <w:rsid w:val="00C52950"/>
    <w:rsid w:val="00C5325A"/>
    <w:rsid w:val="00C836CD"/>
    <w:rsid w:val="00CD0F1F"/>
    <w:rsid w:val="00D01BE4"/>
    <w:rsid w:val="00D15F50"/>
    <w:rsid w:val="00D50A71"/>
    <w:rsid w:val="00D93337"/>
    <w:rsid w:val="00DE2451"/>
    <w:rsid w:val="00DE2B7E"/>
    <w:rsid w:val="00E02993"/>
    <w:rsid w:val="00E11525"/>
    <w:rsid w:val="00E30FF7"/>
    <w:rsid w:val="00E36B8B"/>
    <w:rsid w:val="00F375C0"/>
    <w:rsid w:val="00F533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2B7E"/>
    <w:pPr>
      <w:outlineLvl w:val="0"/>
    </w:pPr>
    <w:rPr>
      <w:b/>
    </w:rPr>
  </w:style>
  <w:style w:type="paragraph" w:styleId="Heading2">
    <w:name w:val="heading 2"/>
    <w:basedOn w:val="Normal"/>
    <w:next w:val="Normal"/>
    <w:link w:val="Heading2Char"/>
    <w:uiPriority w:val="9"/>
    <w:unhideWhenUsed/>
    <w:qFormat/>
    <w:rsid w:val="00DE2B7E"/>
    <w:pPr>
      <w:pBdr>
        <w:top w:val="single" w:sz="4" w:space="1" w:color="auto"/>
        <w:left w:val="single" w:sz="4" w:space="4" w:color="auto"/>
        <w:bottom w:val="single" w:sz="4" w:space="1" w:color="auto"/>
        <w:right w:val="single" w:sz="4" w:space="4" w:color="auto"/>
      </w:pBdr>
      <w:shd w:val="clear" w:color="auto" w:fill="31849B" w:themeFill="accent5" w:themeFillShade="BF"/>
      <w:jc w:val="center"/>
      <w:outlineLvl w:val="1"/>
    </w:pPr>
    <w:rPr>
      <w:b/>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0C9"/>
    <w:rPr>
      <w:rFonts w:ascii="Tahoma" w:hAnsi="Tahoma" w:cs="Tahoma"/>
      <w:sz w:val="16"/>
      <w:szCs w:val="16"/>
    </w:rPr>
  </w:style>
  <w:style w:type="paragraph" w:styleId="ListParagraph">
    <w:name w:val="List Paragraph"/>
    <w:basedOn w:val="Normal"/>
    <w:link w:val="ListParagraphChar"/>
    <w:uiPriority w:val="34"/>
    <w:qFormat/>
    <w:rsid w:val="005476B1"/>
    <w:pPr>
      <w:ind w:left="720"/>
      <w:contextualSpacing/>
    </w:pPr>
  </w:style>
  <w:style w:type="table" w:styleId="TableGrid">
    <w:name w:val="Table Grid"/>
    <w:basedOn w:val="TableNormal"/>
    <w:uiPriority w:val="59"/>
    <w:rsid w:val="00C44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677F3"/>
  </w:style>
  <w:style w:type="character" w:styleId="Hyperlink">
    <w:name w:val="Hyperlink"/>
    <w:basedOn w:val="DefaultParagraphFont"/>
    <w:uiPriority w:val="99"/>
    <w:unhideWhenUsed/>
    <w:rsid w:val="009677F3"/>
    <w:rPr>
      <w:color w:val="0000FF" w:themeColor="hyperlink"/>
      <w:u w:val="single"/>
    </w:rPr>
  </w:style>
  <w:style w:type="paragraph" w:styleId="EndnoteText">
    <w:name w:val="endnote text"/>
    <w:basedOn w:val="Normal"/>
    <w:link w:val="EndnoteTextChar"/>
    <w:uiPriority w:val="99"/>
    <w:semiHidden/>
    <w:unhideWhenUsed/>
    <w:rsid w:val="00C346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46BE"/>
    <w:rPr>
      <w:sz w:val="20"/>
      <w:szCs w:val="20"/>
    </w:rPr>
  </w:style>
  <w:style w:type="character" w:styleId="EndnoteReference">
    <w:name w:val="endnote reference"/>
    <w:basedOn w:val="DefaultParagraphFont"/>
    <w:uiPriority w:val="99"/>
    <w:semiHidden/>
    <w:unhideWhenUsed/>
    <w:rsid w:val="00C346BE"/>
    <w:rPr>
      <w:vertAlign w:val="superscript"/>
    </w:rPr>
  </w:style>
  <w:style w:type="paragraph" w:styleId="Title">
    <w:name w:val="Title"/>
    <w:basedOn w:val="Normal"/>
    <w:next w:val="Normal"/>
    <w:link w:val="TitleChar"/>
    <w:uiPriority w:val="10"/>
    <w:qFormat/>
    <w:rsid w:val="00DE2B7E"/>
    <w:pPr>
      <w:pBdr>
        <w:top w:val="single" w:sz="4" w:space="1" w:color="auto"/>
        <w:left w:val="single" w:sz="4" w:space="4" w:color="auto"/>
        <w:bottom w:val="single" w:sz="4" w:space="1" w:color="auto"/>
        <w:right w:val="single" w:sz="4" w:space="4" w:color="auto"/>
      </w:pBdr>
      <w:shd w:val="clear" w:color="auto" w:fill="31849B" w:themeFill="accent5" w:themeFillShade="BF"/>
      <w:jc w:val="center"/>
    </w:pPr>
    <w:rPr>
      <w:b/>
      <w:color w:val="FFFFFF" w:themeColor="background1"/>
      <w:sz w:val="28"/>
      <w:szCs w:val="28"/>
    </w:rPr>
  </w:style>
  <w:style w:type="character" w:customStyle="1" w:styleId="TitleChar">
    <w:name w:val="Title Char"/>
    <w:basedOn w:val="DefaultParagraphFont"/>
    <w:link w:val="Title"/>
    <w:uiPriority w:val="10"/>
    <w:rsid w:val="00DE2B7E"/>
    <w:rPr>
      <w:b/>
      <w:color w:val="FFFFFF" w:themeColor="background1"/>
      <w:sz w:val="28"/>
      <w:szCs w:val="28"/>
      <w:shd w:val="clear" w:color="auto" w:fill="31849B" w:themeFill="accent5" w:themeFillShade="BF"/>
    </w:rPr>
  </w:style>
  <w:style w:type="character" w:customStyle="1" w:styleId="Heading1Char">
    <w:name w:val="Heading 1 Char"/>
    <w:basedOn w:val="DefaultParagraphFont"/>
    <w:link w:val="Heading1"/>
    <w:uiPriority w:val="9"/>
    <w:rsid w:val="00DE2B7E"/>
    <w:rPr>
      <w:b/>
    </w:rPr>
  </w:style>
  <w:style w:type="character" w:customStyle="1" w:styleId="Heading2Char">
    <w:name w:val="Heading 2 Char"/>
    <w:basedOn w:val="DefaultParagraphFont"/>
    <w:link w:val="Heading2"/>
    <w:uiPriority w:val="9"/>
    <w:rsid w:val="00DE2B7E"/>
    <w:rPr>
      <w:b/>
      <w:color w:val="FFFFFF" w:themeColor="background1"/>
      <w:sz w:val="28"/>
      <w:szCs w:val="28"/>
      <w:shd w:val="clear" w:color="auto" w:fill="31849B" w:themeFill="accent5" w:themeFill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2B7E"/>
    <w:pPr>
      <w:outlineLvl w:val="0"/>
    </w:pPr>
    <w:rPr>
      <w:b/>
    </w:rPr>
  </w:style>
  <w:style w:type="paragraph" w:styleId="Heading2">
    <w:name w:val="heading 2"/>
    <w:basedOn w:val="Normal"/>
    <w:next w:val="Normal"/>
    <w:link w:val="Heading2Char"/>
    <w:uiPriority w:val="9"/>
    <w:unhideWhenUsed/>
    <w:qFormat/>
    <w:rsid w:val="00DE2B7E"/>
    <w:pPr>
      <w:pBdr>
        <w:top w:val="single" w:sz="4" w:space="1" w:color="auto"/>
        <w:left w:val="single" w:sz="4" w:space="4" w:color="auto"/>
        <w:bottom w:val="single" w:sz="4" w:space="1" w:color="auto"/>
        <w:right w:val="single" w:sz="4" w:space="4" w:color="auto"/>
      </w:pBdr>
      <w:shd w:val="clear" w:color="auto" w:fill="31849B" w:themeFill="accent5" w:themeFillShade="BF"/>
      <w:jc w:val="center"/>
      <w:outlineLvl w:val="1"/>
    </w:pPr>
    <w:rPr>
      <w:b/>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0C9"/>
    <w:rPr>
      <w:rFonts w:ascii="Tahoma" w:hAnsi="Tahoma" w:cs="Tahoma"/>
      <w:sz w:val="16"/>
      <w:szCs w:val="16"/>
    </w:rPr>
  </w:style>
  <w:style w:type="paragraph" w:styleId="ListParagraph">
    <w:name w:val="List Paragraph"/>
    <w:basedOn w:val="Normal"/>
    <w:link w:val="ListParagraphChar"/>
    <w:uiPriority w:val="34"/>
    <w:qFormat/>
    <w:rsid w:val="005476B1"/>
    <w:pPr>
      <w:ind w:left="720"/>
      <w:contextualSpacing/>
    </w:pPr>
  </w:style>
  <w:style w:type="table" w:styleId="TableGrid">
    <w:name w:val="Table Grid"/>
    <w:basedOn w:val="TableNormal"/>
    <w:uiPriority w:val="59"/>
    <w:rsid w:val="00C44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677F3"/>
  </w:style>
  <w:style w:type="character" w:styleId="Hyperlink">
    <w:name w:val="Hyperlink"/>
    <w:basedOn w:val="DefaultParagraphFont"/>
    <w:uiPriority w:val="99"/>
    <w:unhideWhenUsed/>
    <w:rsid w:val="009677F3"/>
    <w:rPr>
      <w:color w:val="0000FF" w:themeColor="hyperlink"/>
      <w:u w:val="single"/>
    </w:rPr>
  </w:style>
  <w:style w:type="paragraph" w:styleId="EndnoteText">
    <w:name w:val="endnote text"/>
    <w:basedOn w:val="Normal"/>
    <w:link w:val="EndnoteTextChar"/>
    <w:uiPriority w:val="99"/>
    <w:semiHidden/>
    <w:unhideWhenUsed/>
    <w:rsid w:val="00C346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46BE"/>
    <w:rPr>
      <w:sz w:val="20"/>
      <w:szCs w:val="20"/>
    </w:rPr>
  </w:style>
  <w:style w:type="character" w:styleId="EndnoteReference">
    <w:name w:val="endnote reference"/>
    <w:basedOn w:val="DefaultParagraphFont"/>
    <w:uiPriority w:val="99"/>
    <w:semiHidden/>
    <w:unhideWhenUsed/>
    <w:rsid w:val="00C346BE"/>
    <w:rPr>
      <w:vertAlign w:val="superscript"/>
    </w:rPr>
  </w:style>
  <w:style w:type="paragraph" w:styleId="Title">
    <w:name w:val="Title"/>
    <w:basedOn w:val="Normal"/>
    <w:next w:val="Normal"/>
    <w:link w:val="TitleChar"/>
    <w:uiPriority w:val="10"/>
    <w:qFormat/>
    <w:rsid w:val="00DE2B7E"/>
    <w:pPr>
      <w:pBdr>
        <w:top w:val="single" w:sz="4" w:space="1" w:color="auto"/>
        <w:left w:val="single" w:sz="4" w:space="4" w:color="auto"/>
        <w:bottom w:val="single" w:sz="4" w:space="1" w:color="auto"/>
        <w:right w:val="single" w:sz="4" w:space="4" w:color="auto"/>
      </w:pBdr>
      <w:shd w:val="clear" w:color="auto" w:fill="31849B" w:themeFill="accent5" w:themeFillShade="BF"/>
      <w:jc w:val="center"/>
    </w:pPr>
    <w:rPr>
      <w:b/>
      <w:color w:val="FFFFFF" w:themeColor="background1"/>
      <w:sz w:val="28"/>
      <w:szCs w:val="28"/>
    </w:rPr>
  </w:style>
  <w:style w:type="character" w:customStyle="1" w:styleId="TitleChar">
    <w:name w:val="Title Char"/>
    <w:basedOn w:val="DefaultParagraphFont"/>
    <w:link w:val="Title"/>
    <w:uiPriority w:val="10"/>
    <w:rsid w:val="00DE2B7E"/>
    <w:rPr>
      <w:b/>
      <w:color w:val="FFFFFF" w:themeColor="background1"/>
      <w:sz w:val="28"/>
      <w:szCs w:val="28"/>
      <w:shd w:val="clear" w:color="auto" w:fill="31849B" w:themeFill="accent5" w:themeFillShade="BF"/>
    </w:rPr>
  </w:style>
  <w:style w:type="character" w:customStyle="1" w:styleId="Heading1Char">
    <w:name w:val="Heading 1 Char"/>
    <w:basedOn w:val="DefaultParagraphFont"/>
    <w:link w:val="Heading1"/>
    <w:uiPriority w:val="9"/>
    <w:rsid w:val="00DE2B7E"/>
    <w:rPr>
      <w:b/>
    </w:rPr>
  </w:style>
  <w:style w:type="character" w:customStyle="1" w:styleId="Heading2Char">
    <w:name w:val="Heading 2 Char"/>
    <w:basedOn w:val="DefaultParagraphFont"/>
    <w:link w:val="Heading2"/>
    <w:uiPriority w:val="9"/>
    <w:rsid w:val="00DE2B7E"/>
    <w:rPr>
      <w:b/>
      <w:color w:val="FFFFFF" w:themeColor="background1"/>
      <w:sz w:val="28"/>
      <w:szCs w:val="28"/>
      <w:shd w:val="clear" w:color="auto" w:fill="31849B" w:themeFill="accent5"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07072">
      <w:bodyDiv w:val="1"/>
      <w:marLeft w:val="0"/>
      <w:marRight w:val="0"/>
      <w:marTop w:val="0"/>
      <w:marBottom w:val="0"/>
      <w:divBdr>
        <w:top w:val="none" w:sz="0" w:space="0" w:color="auto"/>
        <w:left w:val="none" w:sz="0" w:space="0" w:color="auto"/>
        <w:bottom w:val="none" w:sz="0" w:space="0" w:color="auto"/>
        <w:right w:val="none" w:sz="0" w:space="0" w:color="auto"/>
      </w:divBdr>
    </w:div>
    <w:div w:id="333844237">
      <w:bodyDiv w:val="1"/>
      <w:marLeft w:val="0"/>
      <w:marRight w:val="0"/>
      <w:marTop w:val="0"/>
      <w:marBottom w:val="0"/>
      <w:divBdr>
        <w:top w:val="none" w:sz="0" w:space="0" w:color="auto"/>
        <w:left w:val="none" w:sz="0" w:space="0" w:color="auto"/>
        <w:bottom w:val="none" w:sz="0" w:space="0" w:color="auto"/>
        <w:right w:val="none" w:sz="0" w:space="0" w:color="auto"/>
      </w:divBdr>
      <w:divsChild>
        <w:div w:id="103817152">
          <w:marLeft w:val="547"/>
          <w:marRight w:val="0"/>
          <w:marTop w:val="0"/>
          <w:marBottom w:val="0"/>
          <w:divBdr>
            <w:top w:val="none" w:sz="0" w:space="0" w:color="auto"/>
            <w:left w:val="none" w:sz="0" w:space="0" w:color="auto"/>
            <w:bottom w:val="none" w:sz="0" w:space="0" w:color="auto"/>
            <w:right w:val="none" w:sz="0" w:space="0" w:color="auto"/>
          </w:divBdr>
        </w:div>
      </w:divsChild>
    </w:div>
    <w:div w:id="737627124">
      <w:bodyDiv w:val="1"/>
      <w:marLeft w:val="0"/>
      <w:marRight w:val="0"/>
      <w:marTop w:val="0"/>
      <w:marBottom w:val="0"/>
      <w:divBdr>
        <w:top w:val="none" w:sz="0" w:space="0" w:color="auto"/>
        <w:left w:val="none" w:sz="0" w:space="0" w:color="auto"/>
        <w:bottom w:val="none" w:sz="0" w:space="0" w:color="auto"/>
        <w:right w:val="none" w:sz="0" w:space="0" w:color="auto"/>
      </w:divBdr>
    </w:div>
    <w:div w:id="184339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education.gov.au/documents/2013-appendix-2-equity-group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DC0F6-DB91-4B09-8AED-211CF35D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AA0F06B.dotm</Template>
  <TotalTime>6</TotalTime>
  <Pages>5</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Harders</dc:creator>
  <cp:lastModifiedBy>Mark Jamnik</cp:lastModifiedBy>
  <cp:revision>3</cp:revision>
  <dcterms:created xsi:type="dcterms:W3CDTF">2015-12-10T01:33:00Z</dcterms:created>
  <dcterms:modified xsi:type="dcterms:W3CDTF">2015-12-10T04:38:00Z</dcterms:modified>
</cp:coreProperties>
</file>