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6D4" w:rsidRPr="00D127DD" w:rsidRDefault="00BC56D4" w:rsidP="00EF1F8A">
      <w:pPr>
        <w:pStyle w:val="Title"/>
        <w:spacing w:before="840"/>
      </w:pPr>
      <w:r w:rsidRPr="00D127DD">
        <w:rPr>
          <w:noProof/>
          <w:lang w:eastAsia="en-AU"/>
        </w:rPr>
        <w:drawing>
          <wp:anchor distT="0" distB="0" distL="114300" distR="114300" simplePos="0" relativeHeight="251658240" behindDoc="1" locked="0" layoutInCell="1" allowOverlap="1" wp14:anchorId="35CD59F2" wp14:editId="24151FD9">
            <wp:simplePos x="0" y="0"/>
            <wp:positionH relativeFrom="page">
              <wp:align>left</wp:align>
            </wp:positionH>
            <wp:positionV relativeFrom="page">
              <wp:align>top</wp:align>
            </wp:positionV>
            <wp:extent cx="7538400" cy="10652400"/>
            <wp:effectExtent l="0" t="0" r="5715" b="0"/>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esign Team\Work in Progress\_Education\ED15-0294 The Review of Research Policy and Funding Arrangements Template\links\ED15-0294 The Review of Research Policy and Funding Arrangements Template_Cover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38400" cy="1065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DD">
        <w:t xml:space="preserve">Review of Research Policy </w:t>
      </w:r>
      <w:r w:rsidRPr="00D127DD">
        <w:br/>
        <w:t>and Funding Arrangements</w:t>
      </w:r>
    </w:p>
    <w:p w:rsidR="0019192D" w:rsidRPr="00D127DD" w:rsidRDefault="00BC56D4" w:rsidP="00BC56D4">
      <w:pPr>
        <w:pStyle w:val="Subtitle"/>
      </w:pPr>
      <w:r w:rsidRPr="00D127DD">
        <w:rPr>
          <w:rStyle w:val="Strong"/>
        </w:rPr>
        <w:t>Report</w:t>
      </w:r>
      <w:r w:rsidRPr="00D127DD">
        <w:br/>
        <w:t>November 2015</w:t>
      </w:r>
    </w:p>
    <w:p w:rsidR="00BC56D4" w:rsidRDefault="00BC56D4" w:rsidP="00BC56D4">
      <w:pPr>
        <w:pStyle w:val="Subtitle"/>
      </w:pPr>
      <w:r w:rsidRPr="00D127DD">
        <w:t xml:space="preserve"> </w:t>
      </w:r>
      <w:r w:rsidRPr="00D127DD">
        <w:br w:type="page"/>
      </w:r>
    </w:p>
    <w:p w:rsidR="001F0FAB" w:rsidRPr="001F0FAB" w:rsidRDefault="001F0FAB" w:rsidP="001F0FAB"/>
    <w:p w:rsidR="00130923" w:rsidRPr="00D127DD" w:rsidRDefault="00130923" w:rsidP="00985E6E">
      <w:r w:rsidRPr="00D127DD">
        <w:t>ISBN</w:t>
      </w:r>
    </w:p>
    <w:p w:rsidR="00130923" w:rsidRPr="00D127DD" w:rsidRDefault="00F306C4" w:rsidP="00985E6E">
      <w:proofErr w:type="gramStart"/>
      <w:r>
        <w:rPr>
          <w:rFonts w:ascii="Arial" w:hAnsi="Arial" w:cs="Arial"/>
          <w:sz w:val="20"/>
          <w:szCs w:val="20"/>
        </w:rPr>
        <w:t>978-1-76028-508-1</w:t>
      </w:r>
      <w:proofErr w:type="gramEnd"/>
      <w:r w:rsidRPr="00D127DD">
        <w:t xml:space="preserve"> </w:t>
      </w:r>
      <w:r w:rsidR="00130923" w:rsidRPr="00D127DD">
        <w:t>PDF</w:t>
      </w:r>
      <w:r w:rsidR="00130923" w:rsidRPr="00D127DD">
        <w:br/>
      </w:r>
      <w:r>
        <w:rPr>
          <w:rFonts w:ascii="Arial" w:hAnsi="Arial" w:cs="Arial"/>
          <w:sz w:val="20"/>
          <w:szCs w:val="20"/>
        </w:rPr>
        <w:t>978-1-76028-509-8</w:t>
      </w:r>
      <w:r w:rsidRPr="00D127DD">
        <w:t xml:space="preserve"> </w:t>
      </w:r>
      <w:proofErr w:type="spellStart"/>
      <w:r w:rsidR="00130923" w:rsidRPr="00D127DD">
        <w:t>DOCX</w:t>
      </w:r>
      <w:proofErr w:type="spellEnd"/>
    </w:p>
    <w:p w:rsidR="00130923" w:rsidRPr="00D127DD" w:rsidRDefault="00130923" w:rsidP="00985E6E">
      <w:r w:rsidRPr="00D127DD">
        <w:rPr>
          <w:noProof/>
          <w:lang w:eastAsia="en-AU"/>
        </w:rPr>
        <w:drawing>
          <wp:inline distT="0" distB="0" distL="0" distR="0" wp14:anchorId="35CD59F4" wp14:editId="35CD59F5">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3" r:link="rId14"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rsidR="00130923" w:rsidRPr="00D127DD" w:rsidRDefault="00130923" w:rsidP="00985E6E">
      <w:r w:rsidRPr="00D127DD">
        <w:t xml:space="preserve">With the exception of the Commonwealth Coat of Arms, the Department’s logo, any material protected by a </w:t>
      </w:r>
      <w:proofErr w:type="gramStart"/>
      <w:r w:rsidRPr="00D127DD">
        <w:t>trade mark</w:t>
      </w:r>
      <w:proofErr w:type="gramEnd"/>
      <w:r w:rsidRPr="00D127DD">
        <w:t xml:space="preserve"> and where otherwise noted all material presented in this document is provided under a </w:t>
      </w:r>
      <w:hyperlink r:id="rId15" w:history="1">
        <w:r w:rsidRPr="00D127DD">
          <w:rPr>
            <w:rStyle w:val="Hyperlink"/>
            <w:color w:val="1F355E"/>
            <w:u w:val="none"/>
          </w:rPr>
          <w:t>Creative Co</w:t>
        </w:r>
        <w:r w:rsidR="007D58FB" w:rsidRPr="00D127DD">
          <w:rPr>
            <w:rStyle w:val="Hyperlink"/>
            <w:color w:val="1F355E"/>
            <w:u w:val="none"/>
          </w:rPr>
          <w:t>mmons Attribution 3.0 Australia</w:t>
        </w:r>
      </w:hyperlink>
      <w:r w:rsidR="007D58FB" w:rsidRPr="00D127DD">
        <w:t xml:space="preserve"> </w:t>
      </w:r>
      <w:r w:rsidRPr="00D127DD">
        <w:t xml:space="preserve">(http://creativecommons.org/licenses/by/3.0/au/) licence. </w:t>
      </w:r>
    </w:p>
    <w:p w:rsidR="00130923" w:rsidRPr="00D127DD" w:rsidRDefault="00130923" w:rsidP="00985E6E">
      <w:r w:rsidRPr="00D127DD">
        <w:t xml:space="preserve">The details of the relevant licence conditions are available on the Creative Commons website (accessible using the links provided) as is the full legal code for the </w:t>
      </w:r>
      <w:hyperlink r:id="rId16" w:history="1">
        <w:r w:rsidRPr="00D127DD">
          <w:rPr>
            <w:rStyle w:val="Hyperlink"/>
            <w:color w:val="1F355E"/>
            <w:u w:val="none"/>
          </w:rPr>
          <w:t>CC BY 3.0 AU licence</w:t>
        </w:r>
      </w:hyperlink>
      <w:r w:rsidRPr="00D127DD">
        <w:t xml:space="preserve"> (http://creativecommons.org/licenses/by/3.0/au/legalcode). </w:t>
      </w:r>
    </w:p>
    <w:p w:rsidR="001F0FAB" w:rsidRDefault="00130923" w:rsidP="00985E6E">
      <w:r w:rsidRPr="00D127DD">
        <w:t xml:space="preserve">The document </w:t>
      </w:r>
      <w:proofErr w:type="gramStart"/>
      <w:r w:rsidRPr="00D127DD">
        <w:t>must be attributed</w:t>
      </w:r>
      <w:proofErr w:type="gramEnd"/>
      <w:r w:rsidRPr="00D127DD">
        <w:t xml:space="preserve"> as the (</w:t>
      </w:r>
      <w:r w:rsidR="002D6DEB">
        <w:t>Report of the Review of Research Policy and Funding Arrangements</w:t>
      </w:r>
      <w:r w:rsidRPr="00D127DD">
        <w:t>).</w:t>
      </w:r>
    </w:p>
    <w:p w:rsidR="001F0FAB" w:rsidRDefault="001F0FAB">
      <w:pPr>
        <w:spacing w:before="0" w:after="200" w:line="276" w:lineRule="auto"/>
      </w:pPr>
      <w:r>
        <w:br w:type="page"/>
      </w:r>
    </w:p>
    <w:p w:rsidR="007B1B56" w:rsidRPr="00D127DD" w:rsidRDefault="007B1B56" w:rsidP="00985E6E">
      <w:pPr>
        <w:sectPr w:rsidR="007B1B56" w:rsidRPr="00D127DD" w:rsidSect="00DE743A">
          <w:pgSz w:w="11906" w:h="16838"/>
          <w:pgMar w:top="9498" w:right="1440" w:bottom="1440" w:left="1440" w:header="709" w:footer="709" w:gutter="0"/>
          <w:cols w:space="708"/>
          <w:titlePg/>
          <w:docGrid w:linePitch="360"/>
        </w:sectPr>
      </w:pPr>
    </w:p>
    <w:p w:rsidR="007B1B56" w:rsidRPr="00D127DD" w:rsidRDefault="007B1B56" w:rsidP="007B1B56">
      <w:r w:rsidRPr="00D127DD">
        <w:rPr>
          <w:noProof/>
          <w:lang w:eastAsia="en-AU"/>
        </w:rPr>
        <mc:AlternateContent>
          <mc:Choice Requires="wps">
            <w:drawing>
              <wp:anchor distT="0" distB="0" distL="114300" distR="114300" simplePos="0" relativeHeight="251658242" behindDoc="1" locked="0" layoutInCell="1" allowOverlap="1" wp14:anchorId="50522498" wp14:editId="384CA25D">
                <wp:simplePos x="0" y="0"/>
                <wp:positionH relativeFrom="column">
                  <wp:posOffset>-751840</wp:posOffset>
                </wp:positionH>
                <wp:positionV relativeFrom="paragraph">
                  <wp:posOffset>-732790</wp:posOffset>
                </wp:positionV>
                <wp:extent cx="194945" cy="1943735"/>
                <wp:effectExtent l="0" t="0" r="0" b="0"/>
                <wp:wrapNone/>
                <wp:docPr id="8" name="Rectangle 8" descr="Decorative"/>
                <wp:cNvGraphicFramePr/>
                <a:graphic xmlns:a="http://schemas.openxmlformats.org/drawingml/2006/main">
                  <a:graphicData uri="http://schemas.microsoft.com/office/word/2010/wordprocessingShape">
                    <wps:wsp>
                      <wps:cNvSpPr/>
                      <wps:spPr>
                        <a:xfrm>
                          <a:off x="0" y="0"/>
                          <a:ext cx="194945" cy="1943735"/>
                        </a:xfrm>
                        <a:prstGeom prst="rect">
                          <a:avLst/>
                        </a:prstGeom>
                        <a:solidFill>
                          <a:srgbClr val="FFC65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3592" w:rsidRDefault="00AC3592" w:rsidP="007B1B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alt="Decorative" style="position:absolute;margin-left:-59.2pt;margin-top:-57.7pt;width:15.35pt;height:153.0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" fillcolor="#ffc656" stroked="f" strokeweight="2pt">
                <v:textbox>
                  <w:txbxContent>
                    <w:p w:rsidR="00AC3592" w:rsidRDefault="00AC3592" w:rsidP="007B1B56">
                      <w:pPr>
                        <w:jc w:val="center"/>
                      </w:pPr>
                    </w:p>
                  </w:txbxContent>
                </v:textbox>
              </v:rect>
            </w:pict>
          </mc:Fallback>
        </mc:AlternateContent>
      </w:r>
    </w:p>
    <w:p w:rsidR="00130923" w:rsidRPr="00962C66" w:rsidRDefault="007B1B56" w:rsidP="00962C66">
      <w:pPr>
        <w:pStyle w:val="Heading1Reversed"/>
      </w:pPr>
      <w:r w:rsidRPr="00962C66">
        <mc:AlternateContent>
          <mc:Choice Requires="wps">
            <w:drawing>
              <wp:anchor distT="0" distB="0" distL="114300" distR="114300" simplePos="0" relativeHeight="251658241" behindDoc="1" locked="0" layoutInCell="1" allowOverlap="1" wp14:anchorId="03E19EA5" wp14:editId="018FE255">
                <wp:simplePos x="0" y="0"/>
                <wp:positionH relativeFrom="margin">
                  <wp:posOffset>-553085</wp:posOffset>
                </wp:positionH>
                <wp:positionV relativeFrom="margin">
                  <wp:posOffset>-733425</wp:posOffset>
                </wp:positionV>
                <wp:extent cx="7350760" cy="1944000"/>
                <wp:effectExtent l="0" t="0" r="2540" b="0"/>
                <wp:wrapNone/>
                <wp:docPr id="7" name="Rectangle 7" descr="Decorative"/>
                <wp:cNvGraphicFramePr/>
                <a:graphic xmlns:a="http://schemas.openxmlformats.org/drawingml/2006/main">
                  <a:graphicData uri="http://schemas.microsoft.com/office/word/2010/wordprocessingShape">
                    <wps:wsp>
                      <wps:cNvSpPr/>
                      <wps:spPr>
                        <a:xfrm>
                          <a:off x="0" y="0"/>
                          <a:ext cx="7350760" cy="194400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3592" w:rsidRDefault="00AC3592" w:rsidP="00962C66"/>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7" alt="Decorative" style="position:absolute;margin-left:-43.55pt;margin-top:-57.75pt;width:578.8pt;height:153.0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" fillcolor="#104165 [2415]" stroked="f" strokeweight="2pt">
                <v:textbox>
                  <w:txbxContent>
                    <w:p w:rsidR="00AC3592" w:rsidRDefault="00AC3592" w:rsidP="00962C66"/>
                  </w:txbxContent>
                </v:textbox>
                <w10:wrap anchorx="margin" anchory="margin"/>
              </v:rect>
            </w:pict>
          </mc:Fallback>
        </mc:AlternateContent>
      </w:r>
      <w:bookmarkStart w:id="0" w:name="_Toc436659607"/>
      <w:bookmarkStart w:id="1" w:name="_Toc436660105"/>
      <w:r w:rsidRPr="00962C66">
        <w:t>Letter of Transmittal</w:t>
      </w:r>
      <w:bookmarkEnd w:id="0"/>
      <w:bookmarkEnd w:id="1"/>
    </w:p>
    <w:p w:rsidR="007B1B56" w:rsidRPr="00D127DD" w:rsidRDefault="007B1B56" w:rsidP="007B1B56">
      <w:pPr>
        <w:pStyle w:val="RIHeading1"/>
      </w:pPr>
    </w:p>
    <w:p w:rsidR="007B1B56" w:rsidRPr="004A1196" w:rsidRDefault="007B1B56" w:rsidP="007B1B56">
      <w:pPr>
        <w:spacing w:before="0" w:after="0"/>
        <w:rPr>
          <w:rFonts w:eastAsiaTheme="minorHAnsi" w:cs="Calibri"/>
          <w:color w:val="0B2B43" w:themeColor="text2" w:themeShade="80"/>
          <w:lang w:eastAsia="en-AU"/>
        </w:rPr>
      </w:pPr>
      <w:r w:rsidRPr="004A1196">
        <w:rPr>
          <w:color w:val="0B2B43" w:themeColor="text2" w:themeShade="80"/>
        </w:rPr>
        <w:t xml:space="preserve">Senator </w:t>
      </w:r>
      <w:proofErr w:type="gramStart"/>
      <w:r w:rsidRPr="004A1196">
        <w:rPr>
          <w:color w:val="0B2B43" w:themeColor="text2" w:themeShade="80"/>
        </w:rPr>
        <w:t>The</w:t>
      </w:r>
      <w:proofErr w:type="gramEnd"/>
      <w:r w:rsidRPr="004A1196">
        <w:rPr>
          <w:color w:val="0B2B43" w:themeColor="text2" w:themeShade="80"/>
        </w:rPr>
        <w:t xml:space="preserve"> Hon</w:t>
      </w:r>
      <w:r w:rsidRPr="004A1196">
        <w:rPr>
          <w:rFonts w:eastAsiaTheme="minorHAnsi" w:cs="Calibri"/>
          <w:color w:val="0B2B43" w:themeColor="text2" w:themeShade="80"/>
          <w:lang w:eastAsia="en-AU"/>
        </w:rPr>
        <w:t xml:space="preserve"> Simon Birmingham</w:t>
      </w:r>
    </w:p>
    <w:p w:rsidR="007B1B56" w:rsidRPr="004A1196" w:rsidRDefault="007B1B56" w:rsidP="007B1B56">
      <w:pPr>
        <w:spacing w:before="0" w:after="0"/>
        <w:rPr>
          <w:rFonts w:eastAsiaTheme="minorHAnsi" w:cs="Calibri"/>
          <w:color w:val="0B2B43" w:themeColor="text2" w:themeShade="80"/>
          <w:lang w:eastAsia="en-AU"/>
        </w:rPr>
      </w:pPr>
      <w:r w:rsidRPr="004A1196">
        <w:rPr>
          <w:rFonts w:eastAsiaTheme="minorHAnsi" w:cs="Calibri"/>
          <w:color w:val="0B2B43" w:themeColor="text2" w:themeShade="80"/>
          <w:lang w:eastAsia="en-AU"/>
        </w:rPr>
        <w:t>Minister for Education and Training</w:t>
      </w:r>
    </w:p>
    <w:p w:rsidR="007B1B56" w:rsidRPr="004A1196" w:rsidRDefault="007B1B56" w:rsidP="007B1B56">
      <w:pPr>
        <w:spacing w:before="0" w:after="0"/>
        <w:rPr>
          <w:rFonts w:eastAsiaTheme="minorHAnsi" w:cs="Calibri"/>
          <w:color w:val="0B2B43" w:themeColor="text2" w:themeShade="80"/>
          <w:lang w:eastAsia="en-AU"/>
        </w:rPr>
      </w:pPr>
      <w:r w:rsidRPr="004A1196">
        <w:rPr>
          <w:rFonts w:eastAsiaTheme="minorHAnsi" w:cs="Calibri"/>
          <w:color w:val="0B2B43" w:themeColor="text2" w:themeShade="80"/>
          <w:lang w:eastAsia="en-AU"/>
        </w:rPr>
        <w:t>Parliament House</w:t>
      </w:r>
    </w:p>
    <w:p w:rsidR="007B1B56" w:rsidRPr="004A1196" w:rsidRDefault="007B1B56" w:rsidP="007B1B56">
      <w:pPr>
        <w:spacing w:before="0" w:after="0"/>
        <w:rPr>
          <w:rFonts w:eastAsiaTheme="minorHAnsi" w:cs="Calibri"/>
          <w:color w:val="0B2B43" w:themeColor="text2" w:themeShade="80"/>
          <w:lang w:eastAsia="en-AU"/>
        </w:rPr>
      </w:pPr>
      <w:r w:rsidRPr="004A1196">
        <w:rPr>
          <w:rFonts w:eastAsiaTheme="minorHAnsi" w:cs="Calibri"/>
          <w:color w:val="0B2B43" w:themeColor="text2" w:themeShade="80"/>
          <w:lang w:eastAsia="en-AU"/>
        </w:rPr>
        <w:t>CANBERRA ACT 2600</w:t>
      </w:r>
    </w:p>
    <w:p w:rsidR="007B1B56" w:rsidRPr="004A1196" w:rsidRDefault="007B1B56" w:rsidP="007B1B56">
      <w:pPr>
        <w:spacing w:before="0" w:after="0"/>
        <w:rPr>
          <w:rFonts w:eastAsiaTheme="minorHAnsi" w:cs="Calibri"/>
          <w:color w:val="0B2B43" w:themeColor="text2" w:themeShade="80"/>
          <w:lang w:eastAsia="en-AU"/>
        </w:rPr>
      </w:pPr>
    </w:p>
    <w:p w:rsidR="007B1B56" w:rsidRPr="004A1196" w:rsidRDefault="007B1B56" w:rsidP="007B1B56">
      <w:pPr>
        <w:spacing w:before="0" w:after="0"/>
        <w:rPr>
          <w:rFonts w:eastAsiaTheme="minorHAnsi" w:cs="Calibri"/>
          <w:color w:val="0B2B43" w:themeColor="text2" w:themeShade="80"/>
          <w:lang w:eastAsia="en-AU"/>
        </w:rPr>
      </w:pPr>
    </w:p>
    <w:p w:rsidR="007B1B56" w:rsidRPr="004A1196" w:rsidRDefault="007B1B56" w:rsidP="007B1B56">
      <w:pPr>
        <w:spacing w:before="0" w:after="0"/>
        <w:rPr>
          <w:rFonts w:eastAsiaTheme="minorHAnsi" w:cs="Calibri"/>
          <w:color w:val="0B2B43" w:themeColor="text2" w:themeShade="80"/>
          <w:lang w:eastAsia="en-AU"/>
        </w:rPr>
      </w:pPr>
      <w:r w:rsidRPr="004A1196">
        <w:rPr>
          <w:rFonts w:eastAsiaTheme="minorHAnsi" w:cs="Calibri"/>
          <w:color w:val="0B2B43" w:themeColor="text2" w:themeShade="80"/>
          <w:lang w:eastAsia="en-AU"/>
        </w:rPr>
        <w:t>Dear Minister</w:t>
      </w:r>
    </w:p>
    <w:p w:rsidR="007B1B56" w:rsidRPr="004A1196" w:rsidRDefault="007B1B56" w:rsidP="007B1B56">
      <w:pPr>
        <w:spacing w:before="0" w:after="0"/>
        <w:rPr>
          <w:rFonts w:eastAsiaTheme="minorHAnsi" w:cs="Calibri"/>
          <w:color w:val="0B2B43" w:themeColor="text2" w:themeShade="80"/>
          <w:lang w:eastAsia="en-AU"/>
        </w:rPr>
      </w:pPr>
    </w:p>
    <w:p w:rsidR="007B1B56" w:rsidRPr="004A1196" w:rsidRDefault="007B1B56" w:rsidP="007B1B56">
      <w:pPr>
        <w:rPr>
          <w:color w:val="0B2B43" w:themeColor="text2" w:themeShade="80"/>
        </w:rPr>
      </w:pPr>
      <w:r w:rsidRPr="004A1196">
        <w:rPr>
          <w:color w:val="0B2B43" w:themeColor="text2" w:themeShade="80"/>
        </w:rPr>
        <w:t xml:space="preserve">I am pleased to present the report of the Review of Research </w:t>
      </w:r>
      <w:r w:rsidR="0079549A">
        <w:rPr>
          <w:color w:val="0B2B43" w:themeColor="text2" w:themeShade="80"/>
        </w:rPr>
        <w:t>Policy</w:t>
      </w:r>
      <w:r w:rsidRPr="004A1196">
        <w:rPr>
          <w:color w:val="0B2B43" w:themeColor="text2" w:themeShade="80"/>
        </w:rPr>
        <w:t xml:space="preserve"> and Funding Arrangements.</w:t>
      </w:r>
    </w:p>
    <w:p w:rsidR="007B1B56" w:rsidRPr="004A1196" w:rsidRDefault="007B1B56" w:rsidP="007B1B56">
      <w:pPr>
        <w:rPr>
          <w:color w:val="0B2B43" w:themeColor="text2" w:themeShade="80"/>
        </w:rPr>
      </w:pPr>
      <w:r w:rsidRPr="004A1196">
        <w:rPr>
          <w:color w:val="0B2B43" w:themeColor="text2" w:themeShade="80"/>
        </w:rPr>
        <w:t xml:space="preserve">On 7 July 2015, the then Minister for Education and Training, the Hon Christopher Pyne MP, appointed me to undertake the review. </w:t>
      </w:r>
      <w:proofErr w:type="gramStart"/>
      <w:r w:rsidRPr="004A1196">
        <w:rPr>
          <w:color w:val="0B2B43" w:themeColor="text2" w:themeShade="80"/>
        </w:rPr>
        <w:t xml:space="preserve">I have been ably supported by an expert working group comprised of Professor Peter </w:t>
      </w:r>
      <w:proofErr w:type="spellStart"/>
      <w:r w:rsidRPr="004A1196">
        <w:rPr>
          <w:color w:val="0B2B43" w:themeColor="text2" w:themeShade="80"/>
        </w:rPr>
        <w:t>Coaldrake</w:t>
      </w:r>
      <w:proofErr w:type="spellEnd"/>
      <w:r w:rsidRPr="004A1196">
        <w:rPr>
          <w:color w:val="0B2B43" w:themeColor="text2" w:themeShade="80"/>
        </w:rPr>
        <w:t xml:space="preserve"> AO, Professor Edwina Cornish AO, Professor Sandra Harding, Mr Conor King and Professor Steven Schwartz AM</w:t>
      </w:r>
      <w:proofErr w:type="gramEnd"/>
      <w:r w:rsidRPr="004A1196">
        <w:rPr>
          <w:color w:val="0B2B43" w:themeColor="text2" w:themeShade="80"/>
        </w:rPr>
        <w:t xml:space="preserve">. </w:t>
      </w:r>
    </w:p>
    <w:p w:rsidR="007B1B56" w:rsidRPr="004A1196" w:rsidRDefault="007B1B56" w:rsidP="007B1B56">
      <w:pPr>
        <w:rPr>
          <w:color w:val="0B2B43" w:themeColor="text2" w:themeShade="80"/>
        </w:rPr>
      </w:pPr>
      <w:r w:rsidRPr="004A1196">
        <w:rPr>
          <w:color w:val="0B2B43" w:themeColor="text2" w:themeShade="80"/>
        </w:rPr>
        <w:t xml:space="preserve">The overarching objective of the review was to identify opportunities for the reform of research policy and funding arrangements within the Education and Training portfolio, </w:t>
      </w:r>
      <w:r w:rsidR="00513A34">
        <w:rPr>
          <w:color w:val="0B2B43" w:themeColor="text2" w:themeShade="80"/>
        </w:rPr>
        <w:t xml:space="preserve">and </w:t>
      </w:r>
      <w:r w:rsidRPr="004A1196">
        <w:rPr>
          <w:color w:val="0B2B43" w:themeColor="text2" w:themeShade="80"/>
        </w:rPr>
        <w:t xml:space="preserve">to deliver on the Australian Government’s Agenda for Action under the Boosting the Commercial Returns from Research Strategy. </w:t>
      </w:r>
    </w:p>
    <w:p w:rsidR="007B1B56" w:rsidRPr="004A1196" w:rsidRDefault="007B1B56" w:rsidP="007B1B56">
      <w:pPr>
        <w:rPr>
          <w:color w:val="0B2B43" w:themeColor="text2" w:themeShade="80"/>
        </w:rPr>
      </w:pPr>
      <w:r w:rsidRPr="004A1196">
        <w:rPr>
          <w:color w:val="0B2B43" w:themeColor="text2" w:themeShade="80"/>
        </w:rPr>
        <w:t xml:space="preserve">An extensive consultation process took place following the release of an issues paper in August 2015. Seventy-six written submissions </w:t>
      </w:r>
      <w:proofErr w:type="gramStart"/>
      <w:r w:rsidRPr="004A1196">
        <w:rPr>
          <w:color w:val="0B2B43" w:themeColor="text2" w:themeShade="80"/>
        </w:rPr>
        <w:t>were received</w:t>
      </w:r>
      <w:proofErr w:type="gramEnd"/>
      <w:r w:rsidRPr="004A1196">
        <w:rPr>
          <w:color w:val="0B2B43" w:themeColor="text2" w:themeShade="80"/>
        </w:rPr>
        <w:t xml:space="preserve"> and I met with representatives from universities, research bodies, business and industry leaders and government representatives. </w:t>
      </w:r>
    </w:p>
    <w:p w:rsidR="007B1B56" w:rsidRPr="004A1196" w:rsidRDefault="007B1B56" w:rsidP="007B1B56">
      <w:pPr>
        <w:rPr>
          <w:color w:val="0B2B43" w:themeColor="text2" w:themeShade="80"/>
        </w:rPr>
      </w:pPr>
      <w:r w:rsidRPr="004A1196">
        <w:rPr>
          <w:color w:val="0B2B43" w:themeColor="text2" w:themeShade="80"/>
        </w:rPr>
        <w:t xml:space="preserve">The consultations demonstrated the high level of interest in the future of research policy and funding. They also showed that there is widespread agreement that the review was timely in identifying opportunities for Australia to increase the benefit it receives for its investment in research in universities. </w:t>
      </w:r>
    </w:p>
    <w:p w:rsidR="007B1B56" w:rsidRPr="004A1196" w:rsidRDefault="007B1B56" w:rsidP="007B1B56">
      <w:pPr>
        <w:rPr>
          <w:color w:val="0B2B43" w:themeColor="text2" w:themeShade="80"/>
        </w:rPr>
      </w:pPr>
      <w:r w:rsidRPr="004A1196">
        <w:rPr>
          <w:color w:val="0B2B43" w:themeColor="text2" w:themeShade="80"/>
        </w:rPr>
        <w:t xml:space="preserve">In proposing these important reforms, the review recognised the importance of research income to universities and recommended a time-limited transition to stage the introduction of the new Research Block Grant arrangements to allow universities time to adjust. </w:t>
      </w:r>
    </w:p>
    <w:p w:rsidR="007B1B56" w:rsidRPr="004A1196" w:rsidRDefault="007B1B56" w:rsidP="007B1B56">
      <w:pPr>
        <w:rPr>
          <w:color w:val="0B2B43" w:themeColor="text2" w:themeShade="80"/>
        </w:rPr>
      </w:pPr>
      <w:r w:rsidRPr="004A1196">
        <w:rPr>
          <w:color w:val="0B2B43" w:themeColor="text2" w:themeShade="80"/>
        </w:rPr>
        <w:t xml:space="preserve">The review considered the current funding arrangements for university research including Research Block Grants, competitive grants programmes and business focused research collaboration programmes. It identified considerable current good practice, but importantly highlighted opportunities to streamline programme arrangements and increase the incentives for universities to engage with business and other </w:t>
      </w:r>
      <w:r w:rsidR="003904BC">
        <w:rPr>
          <w:color w:val="0B2B43" w:themeColor="text2" w:themeShade="80"/>
        </w:rPr>
        <w:t>end user</w:t>
      </w:r>
      <w:r w:rsidRPr="004A1196">
        <w:rPr>
          <w:color w:val="0B2B43" w:themeColor="text2" w:themeShade="80"/>
        </w:rPr>
        <w:t xml:space="preserve">s of research. </w:t>
      </w:r>
    </w:p>
    <w:p w:rsidR="007B1B56" w:rsidRPr="004A1196" w:rsidRDefault="007B1B56" w:rsidP="007B1B56">
      <w:pPr>
        <w:rPr>
          <w:color w:val="0B2B43" w:themeColor="text2" w:themeShade="80"/>
        </w:rPr>
      </w:pPr>
      <w:r w:rsidRPr="004A1196">
        <w:rPr>
          <w:color w:val="0B2B43" w:themeColor="text2" w:themeShade="80"/>
        </w:rPr>
        <w:t>The review acknowledged the important work universities and other publicly</w:t>
      </w:r>
      <w:r w:rsidR="00DD75F6">
        <w:rPr>
          <w:color w:val="0B2B43" w:themeColor="text2" w:themeShade="80"/>
        </w:rPr>
        <w:t xml:space="preserve"> </w:t>
      </w:r>
      <w:r w:rsidRPr="004A1196">
        <w:rPr>
          <w:color w:val="0B2B43" w:themeColor="text2" w:themeShade="80"/>
        </w:rPr>
        <w:t xml:space="preserve">funded research organisations are already undertaking, for example in approaches to intellectual property and the placement of research </w:t>
      </w:r>
      <w:r w:rsidR="00546141">
        <w:rPr>
          <w:color w:val="0B2B43" w:themeColor="text2" w:themeShade="80"/>
        </w:rPr>
        <w:t xml:space="preserve">students </w:t>
      </w:r>
      <w:r w:rsidRPr="004A1196">
        <w:rPr>
          <w:color w:val="0B2B43" w:themeColor="text2" w:themeShade="80"/>
        </w:rPr>
        <w:t xml:space="preserve">with business, and makes recommendations for further actions. </w:t>
      </w:r>
    </w:p>
    <w:p w:rsidR="007B1B56" w:rsidRPr="004A1196" w:rsidRDefault="007B1B56" w:rsidP="007B1B56">
      <w:pPr>
        <w:rPr>
          <w:color w:val="0B2B43" w:themeColor="text2" w:themeShade="80"/>
        </w:rPr>
      </w:pPr>
      <w:r w:rsidRPr="004A1196">
        <w:rPr>
          <w:color w:val="0B2B43" w:themeColor="text2" w:themeShade="80"/>
        </w:rPr>
        <w:t xml:space="preserve">The review also looked at how we could ensure better stewardship and develop a better understanding of the health and effectiveness of our publicly funded research system, including </w:t>
      </w:r>
      <w:r w:rsidRPr="004A1196">
        <w:rPr>
          <w:rFonts w:cstheme="minorHAnsi"/>
          <w:color w:val="0B2B43" w:themeColor="text2" w:themeShade="80"/>
        </w:rPr>
        <w:t xml:space="preserve">how we could assess impact and engagement as well as quality. </w:t>
      </w:r>
    </w:p>
    <w:p w:rsidR="007B1B56" w:rsidRPr="004A1196" w:rsidRDefault="007B1B56" w:rsidP="007B1B56">
      <w:pPr>
        <w:rPr>
          <w:color w:val="0B2B43" w:themeColor="text2" w:themeShade="80"/>
        </w:rPr>
      </w:pPr>
      <w:r w:rsidRPr="004A1196">
        <w:rPr>
          <w:color w:val="0B2B43" w:themeColor="text2" w:themeShade="80"/>
        </w:rPr>
        <w:t>I would like to thank the members of the expert working group for their contributions as well as Professor Peter Lee for his contributions and advice. I would also like to thank</w:t>
      </w:r>
      <w:r w:rsidR="00603434" w:rsidRPr="004A1196">
        <w:rPr>
          <w:color w:val="0B2B43" w:themeColor="text2" w:themeShade="80"/>
        </w:rPr>
        <w:t xml:space="preserve"> </w:t>
      </w:r>
      <w:r w:rsidR="00603434" w:rsidRPr="004A1196">
        <w:rPr>
          <w:color w:val="0B2B43" w:themeColor="text2" w:themeShade="80"/>
        </w:rPr>
        <w:br/>
      </w:r>
      <w:r w:rsidRPr="004A1196">
        <w:rPr>
          <w:color w:val="0B2B43" w:themeColor="text2" w:themeShade="80"/>
        </w:rPr>
        <w:t xml:space="preserve">Ms Virginia Hart and the other members of the secretariat for supporting </w:t>
      </w:r>
      <w:proofErr w:type="gramStart"/>
      <w:r w:rsidRPr="004A1196">
        <w:rPr>
          <w:color w:val="0B2B43" w:themeColor="text2" w:themeShade="80"/>
        </w:rPr>
        <w:t>me and the working group in this important task</w:t>
      </w:r>
      <w:proofErr w:type="gramEnd"/>
      <w:r w:rsidRPr="004A1196">
        <w:rPr>
          <w:color w:val="0B2B43" w:themeColor="text2" w:themeShade="80"/>
        </w:rPr>
        <w:t>.</w:t>
      </w:r>
    </w:p>
    <w:p w:rsidR="007B1B56" w:rsidRPr="004A1196" w:rsidRDefault="007B1B56" w:rsidP="007B1B56">
      <w:pPr>
        <w:rPr>
          <w:color w:val="0B2B43" w:themeColor="text2" w:themeShade="80"/>
        </w:rPr>
      </w:pPr>
    </w:p>
    <w:p w:rsidR="007B1B56" w:rsidRPr="004A1196" w:rsidRDefault="007B1B56" w:rsidP="007B1B56">
      <w:pPr>
        <w:spacing w:before="0" w:after="0"/>
        <w:rPr>
          <w:rFonts w:eastAsiaTheme="minorHAnsi" w:cs="Calibri"/>
          <w:color w:val="0B2B43" w:themeColor="text2" w:themeShade="80"/>
          <w:lang w:eastAsia="en-AU"/>
        </w:rPr>
      </w:pPr>
    </w:p>
    <w:p w:rsidR="007B1B56" w:rsidRPr="004A1196" w:rsidRDefault="007B1B56" w:rsidP="007B1B56">
      <w:pPr>
        <w:spacing w:before="0" w:after="0"/>
        <w:rPr>
          <w:rFonts w:eastAsiaTheme="minorHAnsi" w:cs="Calibri"/>
          <w:color w:val="0B2B43" w:themeColor="text2" w:themeShade="80"/>
          <w:lang w:eastAsia="en-AU"/>
        </w:rPr>
      </w:pPr>
      <w:r w:rsidRPr="004A1196">
        <w:rPr>
          <w:rFonts w:eastAsiaTheme="minorHAnsi" w:cs="Calibri"/>
          <w:color w:val="0B2B43" w:themeColor="text2" w:themeShade="80"/>
          <w:lang w:eastAsia="en-AU"/>
        </w:rPr>
        <w:t>Yours sincerely</w:t>
      </w:r>
    </w:p>
    <w:p w:rsidR="007B1B56" w:rsidRPr="004A1196" w:rsidRDefault="007B1B56" w:rsidP="007B1B56">
      <w:pPr>
        <w:rPr>
          <w:color w:val="0B2B43" w:themeColor="text2" w:themeShade="80"/>
        </w:rPr>
      </w:pPr>
    </w:p>
    <w:p w:rsidR="007B1B56" w:rsidRPr="004A1196" w:rsidRDefault="007B1B56" w:rsidP="007B1B56">
      <w:pPr>
        <w:rPr>
          <w:color w:val="0B2B43" w:themeColor="text2" w:themeShade="80"/>
        </w:rPr>
      </w:pPr>
      <w:r w:rsidRPr="004A1196">
        <w:rPr>
          <w:noProof/>
          <w:color w:val="0B2B43" w:themeColor="text2" w:themeShade="80"/>
          <w:lang w:eastAsia="en-AU"/>
        </w:rPr>
        <w:drawing>
          <wp:inline distT="0" distB="0" distL="0" distR="0" wp14:anchorId="3556471F" wp14:editId="60ED5FCE">
            <wp:extent cx="1447800" cy="619125"/>
            <wp:effectExtent l="0" t="0" r="0" b="9525"/>
            <wp:docPr id="11" name="Picture 11" descr="the signature of the chair of the review, Dr I J Watt"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47800" cy="619125"/>
                    </a:xfrm>
                    <a:prstGeom prst="rect">
                      <a:avLst/>
                    </a:prstGeom>
                  </pic:spPr>
                </pic:pic>
              </a:graphicData>
            </a:graphic>
          </wp:inline>
        </w:drawing>
      </w:r>
    </w:p>
    <w:p w:rsidR="00CC72F7" w:rsidRPr="004A1196" w:rsidRDefault="007B1B56" w:rsidP="007B1B56">
      <w:pPr>
        <w:rPr>
          <w:color w:val="0B2B43" w:themeColor="text2" w:themeShade="80"/>
        </w:rPr>
      </w:pPr>
      <w:r w:rsidRPr="004A1196">
        <w:rPr>
          <w:color w:val="0B2B43" w:themeColor="text2" w:themeShade="80"/>
        </w:rPr>
        <w:t>30 November 2015</w:t>
      </w:r>
    </w:p>
    <w:p w:rsidR="00CC72F7" w:rsidRPr="004A1196" w:rsidRDefault="00CC72F7" w:rsidP="007B1B56">
      <w:pPr>
        <w:rPr>
          <w:color w:val="0B2B43" w:themeColor="text2" w:themeShade="80"/>
        </w:rPr>
      </w:pPr>
    </w:p>
    <w:p w:rsidR="00CC72F7" w:rsidRPr="004A1196" w:rsidRDefault="00CC72F7" w:rsidP="007B1B56">
      <w:pPr>
        <w:rPr>
          <w:color w:val="0B2B43" w:themeColor="text2" w:themeShade="80"/>
        </w:rPr>
      </w:pPr>
    </w:p>
    <w:p w:rsidR="00D37656" w:rsidRPr="004A1196" w:rsidRDefault="00D37656">
      <w:pPr>
        <w:spacing w:before="0" w:after="200" w:line="276" w:lineRule="auto"/>
        <w:rPr>
          <w:color w:val="0B2B43" w:themeColor="text2" w:themeShade="80"/>
        </w:rPr>
      </w:pPr>
      <w:r w:rsidRPr="004A1196">
        <w:rPr>
          <w:color w:val="0B2B43" w:themeColor="text2" w:themeShade="80"/>
        </w:rPr>
        <w:br w:type="page"/>
      </w:r>
    </w:p>
    <w:p w:rsidR="001F0FAB" w:rsidRDefault="001F0FAB">
      <w:pPr>
        <w:spacing w:before="0" w:after="200" w:line="276" w:lineRule="auto"/>
        <w:rPr>
          <w:b/>
          <w:color w:val="0B2B43" w:themeColor="text2" w:themeShade="80"/>
          <w:sz w:val="40"/>
        </w:rPr>
      </w:pPr>
      <w:r>
        <w:rPr>
          <w:b/>
          <w:color w:val="0B2B43" w:themeColor="text2" w:themeShade="80"/>
          <w:sz w:val="40"/>
        </w:rPr>
        <w:br w:type="page"/>
      </w:r>
    </w:p>
    <w:p w:rsidR="00D37656" w:rsidRPr="004A1196" w:rsidRDefault="00B54628" w:rsidP="00D37656">
      <w:pPr>
        <w:spacing w:before="0" w:after="0"/>
        <w:rPr>
          <w:b/>
          <w:color w:val="0B2B43" w:themeColor="text2" w:themeShade="80"/>
          <w:sz w:val="40"/>
        </w:rPr>
      </w:pPr>
      <w:r w:rsidRPr="004A1196">
        <w:rPr>
          <w:b/>
          <w:color w:val="0B2B43" w:themeColor="text2" w:themeShade="80"/>
          <w:sz w:val="40"/>
        </w:rPr>
        <w:t>Table of contents</w:t>
      </w:r>
    </w:p>
    <w:p w:rsidR="00521C1B" w:rsidRDefault="00CC72F7">
      <w:pPr>
        <w:pStyle w:val="TOC1"/>
        <w:rPr>
          <w:rFonts w:asciiTheme="minorHAnsi" w:hAnsiTheme="minorHAnsi" w:cstheme="minorBidi"/>
          <w:noProof/>
          <w:color w:val="auto"/>
          <w:sz w:val="22"/>
          <w:szCs w:val="22"/>
          <w:lang w:eastAsia="en-AU"/>
        </w:rPr>
      </w:pPr>
      <w:r w:rsidRPr="004A1196">
        <w:rPr>
          <w:color w:val="0B2B43" w:themeColor="text2" w:themeShade="80"/>
        </w:rPr>
        <w:fldChar w:fldCharType="begin"/>
      </w:r>
      <w:r w:rsidRPr="004A1196">
        <w:rPr>
          <w:color w:val="0B2B43" w:themeColor="text2" w:themeShade="80"/>
        </w:rPr>
        <w:instrText xml:space="preserve"> TOC \o "1-1" \h \z \u </w:instrText>
      </w:r>
      <w:r w:rsidRPr="004A1196">
        <w:rPr>
          <w:color w:val="0B2B43" w:themeColor="text2" w:themeShade="80"/>
        </w:rPr>
        <w:fldChar w:fldCharType="separate"/>
      </w:r>
      <w:hyperlink w:anchor="_Toc440378830" w:history="1">
        <w:r w:rsidR="00521C1B" w:rsidRPr="00937861">
          <w:rPr>
            <w:rStyle w:val="Hyperlink"/>
            <w:noProof/>
          </w:rPr>
          <w:t xml:space="preserve">Executive Summary </w:t>
        </w:r>
        <w:r w:rsidR="00521C1B">
          <w:rPr>
            <w:noProof/>
            <w:webHidden/>
          </w:rPr>
          <w:tab/>
        </w:r>
        <w:r w:rsidR="00521C1B">
          <w:rPr>
            <w:noProof/>
            <w:webHidden/>
          </w:rPr>
          <w:fldChar w:fldCharType="begin"/>
        </w:r>
        <w:r w:rsidR="00521C1B">
          <w:rPr>
            <w:noProof/>
            <w:webHidden/>
          </w:rPr>
          <w:instrText xml:space="preserve"> PAGEREF _Toc440378830 \h </w:instrText>
        </w:r>
        <w:r w:rsidR="00521C1B">
          <w:rPr>
            <w:noProof/>
            <w:webHidden/>
          </w:rPr>
        </w:r>
        <w:r w:rsidR="00521C1B">
          <w:rPr>
            <w:noProof/>
            <w:webHidden/>
          </w:rPr>
          <w:fldChar w:fldCharType="separate"/>
        </w:r>
        <w:r w:rsidR="00521C1B">
          <w:rPr>
            <w:noProof/>
            <w:webHidden/>
          </w:rPr>
          <w:t>i</w:t>
        </w:r>
        <w:r w:rsidR="00521C1B">
          <w:rPr>
            <w:noProof/>
            <w:webHidden/>
          </w:rPr>
          <w:fldChar w:fldCharType="end"/>
        </w:r>
      </w:hyperlink>
    </w:p>
    <w:p w:rsidR="00521C1B" w:rsidRDefault="00521C1B">
      <w:pPr>
        <w:pStyle w:val="TOC1"/>
        <w:rPr>
          <w:rFonts w:asciiTheme="minorHAnsi" w:hAnsiTheme="minorHAnsi" w:cstheme="minorBidi"/>
          <w:noProof/>
          <w:color w:val="auto"/>
          <w:sz w:val="22"/>
          <w:szCs w:val="22"/>
          <w:lang w:eastAsia="en-AU"/>
        </w:rPr>
      </w:pPr>
      <w:hyperlink w:anchor="_Toc440378831" w:history="1">
        <w:r w:rsidRPr="00937861">
          <w:rPr>
            <w:rStyle w:val="Hyperlink"/>
            <w:noProof/>
          </w:rPr>
          <w:t>Summary of recommendations</w:t>
        </w:r>
        <w:r>
          <w:rPr>
            <w:noProof/>
            <w:webHidden/>
          </w:rPr>
          <w:tab/>
        </w:r>
        <w:r>
          <w:rPr>
            <w:noProof/>
            <w:webHidden/>
          </w:rPr>
          <w:fldChar w:fldCharType="begin"/>
        </w:r>
        <w:r>
          <w:rPr>
            <w:noProof/>
            <w:webHidden/>
          </w:rPr>
          <w:instrText xml:space="preserve"> PAGEREF _Toc440378831 \h </w:instrText>
        </w:r>
        <w:r>
          <w:rPr>
            <w:noProof/>
            <w:webHidden/>
          </w:rPr>
        </w:r>
        <w:r>
          <w:rPr>
            <w:noProof/>
            <w:webHidden/>
          </w:rPr>
          <w:fldChar w:fldCharType="separate"/>
        </w:r>
        <w:r>
          <w:rPr>
            <w:noProof/>
            <w:webHidden/>
          </w:rPr>
          <w:t>v</w:t>
        </w:r>
        <w:r>
          <w:rPr>
            <w:noProof/>
            <w:webHidden/>
          </w:rPr>
          <w:fldChar w:fldCharType="end"/>
        </w:r>
      </w:hyperlink>
    </w:p>
    <w:p w:rsidR="00521C1B" w:rsidRDefault="00521C1B">
      <w:pPr>
        <w:pStyle w:val="TOC1"/>
        <w:rPr>
          <w:rFonts w:asciiTheme="minorHAnsi" w:hAnsiTheme="minorHAnsi" w:cstheme="minorBidi"/>
          <w:noProof/>
          <w:color w:val="auto"/>
          <w:sz w:val="22"/>
          <w:szCs w:val="22"/>
          <w:lang w:eastAsia="en-AU"/>
        </w:rPr>
      </w:pPr>
      <w:hyperlink w:anchor="_Toc440378832" w:history="1">
        <w:r w:rsidRPr="00937861">
          <w:rPr>
            <w:rStyle w:val="Hyperlink"/>
            <w:noProof/>
          </w:rPr>
          <w:t>Introduction</w:t>
        </w:r>
        <w:r>
          <w:rPr>
            <w:noProof/>
            <w:webHidden/>
          </w:rPr>
          <w:tab/>
        </w:r>
        <w:r>
          <w:rPr>
            <w:noProof/>
            <w:webHidden/>
          </w:rPr>
          <w:fldChar w:fldCharType="begin"/>
        </w:r>
        <w:r>
          <w:rPr>
            <w:noProof/>
            <w:webHidden/>
          </w:rPr>
          <w:instrText xml:space="preserve"> PAGEREF _Toc440378832 \h </w:instrText>
        </w:r>
        <w:r>
          <w:rPr>
            <w:noProof/>
            <w:webHidden/>
          </w:rPr>
        </w:r>
        <w:r>
          <w:rPr>
            <w:noProof/>
            <w:webHidden/>
          </w:rPr>
          <w:fldChar w:fldCharType="separate"/>
        </w:r>
        <w:r>
          <w:rPr>
            <w:noProof/>
            <w:webHidden/>
          </w:rPr>
          <w:t>1</w:t>
        </w:r>
        <w:r>
          <w:rPr>
            <w:noProof/>
            <w:webHidden/>
          </w:rPr>
          <w:fldChar w:fldCharType="end"/>
        </w:r>
      </w:hyperlink>
    </w:p>
    <w:p w:rsidR="00521C1B" w:rsidRDefault="00521C1B">
      <w:pPr>
        <w:pStyle w:val="TOC1"/>
        <w:tabs>
          <w:tab w:val="left" w:pos="440"/>
        </w:tabs>
        <w:rPr>
          <w:rFonts w:asciiTheme="minorHAnsi" w:hAnsiTheme="minorHAnsi" w:cstheme="minorBidi"/>
          <w:noProof/>
          <w:color w:val="auto"/>
          <w:sz w:val="22"/>
          <w:szCs w:val="22"/>
          <w:lang w:eastAsia="en-AU"/>
        </w:rPr>
      </w:pPr>
      <w:hyperlink w:anchor="_Toc440378833" w:history="1">
        <w:r w:rsidRPr="00937861">
          <w:rPr>
            <w:rStyle w:val="Hyperlink"/>
            <w:noProof/>
            <w:lang w:eastAsia="en-GB"/>
          </w:rPr>
          <w:t>1.</w:t>
        </w:r>
        <w:r>
          <w:rPr>
            <w:rFonts w:asciiTheme="minorHAnsi" w:hAnsiTheme="minorHAnsi" w:cstheme="minorBidi"/>
            <w:noProof/>
            <w:color w:val="auto"/>
            <w:sz w:val="22"/>
            <w:szCs w:val="22"/>
            <w:lang w:eastAsia="en-AU"/>
          </w:rPr>
          <w:tab/>
        </w:r>
        <w:r w:rsidRPr="00937861">
          <w:rPr>
            <w:rStyle w:val="Hyperlink"/>
            <w:noProof/>
            <w:lang w:eastAsia="en-GB"/>
          </w:rPr>
          <w:t>Australian Government funding for university research</w:t>
        </w:r>
        <w:r>
          <w:rPr>
            <w:noProof/>
            <w:webHidden/>
          </w:rPr>
          <w:tab/>
        </w:r>
        <w:r>
          <w:rPr>
            <w:noProof/>
            <w:webHidden/>
          </w:rPr>
          <w:fldChar w:fldCharType="begin"/>
        </w:r>
        <w:r>
          <w:rPr>
            <w:noProof/>
            <w:webHidden/>
          </w:rPr>
          <w:instrText xml:space="preserve"> PAGEREF _Toc440378833 \h </w:instrText>
        </w:r>
        <w:r>
          <w:rPr>
            <w:noProof/>
            <w:webHidden/>
          </w:rPr>
        </w:r>
        <w:r>
          <w:rPr>
            <w:noProof/>
            <w:webHidden/>
          </w:rPr>
          <w:fldChar w:fldCharType="separate"/>
        </w:r>
        <w:r>
          <w:rPr>
            <w:noProof/>
            <w:webHidden/>
          </w:rPr>
          <w:t>8</w:t>
        </w:r>
        <w:r>
          <w:rPr>
            <w:noProof/>
            <w:webHidden/>
          </w:rPr>
          <w:fldChar w:fldCharType="end"/>
        </w:r>
      </w:hyperlink>
    </w:p>
    <w:p w:rsidR="00521C1B" w:rsidRDefault="00521C1B">
      <w:pPr>
        <w:pStyle w:val="TOC1"/>
        <w:tabs>
          <w:tab w:val="left" w:pos="440"/>
        </w:tabs>
        <w:rPr>
          <w:rFonts w:asciiTheme="minorHAnsi" w:hAnsiTheme="minorHAnsi" w:cstheme="minorBidi"/>
          <w:noProof/>
          <w:color w:val="auto"/>
          <w:sz w:val="22"/>
          <w:szCs w:val="22"/>
          <w:lang w:eastAsia="en-AU"/>
        </w:rPr>
      </w:pPr>
      <w:hyperlink w:anchor="_Toc440378834" w:history="1">
        <w:r w:rsidRPr="00937861">
          <w:rPr>
            <w:rStyle w:val="Hyperlink"/>
            <w:rFonts w:eastAsia="Times New Roman"/>
            <w:noProof/>
            <w:lang w:eastAsia="en-GB"/>
          </w:rPr>
          <w:t>2.</w:t>
        </w:r>
        <w:r>
          <w:rPr>
            <w:rFonts w:asciiTheme="minorHAnsi" w:hAnsiTheme="minorHAnsi" w:cstheme="minorBidi"/>
            <w:noProof/>
            <w:color w:val="auto"/>
            <w:sz w:val="22"/>
            <w:szCs w:val="22"/>
            <w:lang w:eastAsia="en-AU"/>
          </w:rPr>
          <w:tab/>
        </w:r>
        <w:r w:rsidRPr="00937861">
          <w:rPr>
            <w:rStyle w:val="Hyperlink"/>
            <w:rFonts w:eastAsia="Times New Roman"/>
            <w:noProof/>
            <w:lang w:eastAsia="en-GB"/>
          </w:rPr>
          <w:t>Research Block Grants: A new approach</w:t>
        </w:r>
        <w:r>
          <w:rPr>
            <w:noProof/>
            <w:webHidden/>
          </w:rPr>
          <w:tab/>
        </w:r>
        <w:r>
          <w:rPr>
            <w:noProof/>
            <w:webHidden/>
          </w:rPr>
          <w:fldChar w:fldCharType="begin"/>
        </w:r>
        <w:r>
          <w:rPr>
            <w:noProof/>
            <w:webHidden/>
          </w:rPr>
          <w:instrText xml:space="preserve"> PAGEREF _Toc440378834 \h </w:instrText>
        </w:r>
        <w:r>
          <w:rPr>
            <w:noProof/>
            <w:webHidden/>
          </w:rPr>
        </w:r>
        <w:r>
          <w:rPr>
            <w:noProof/>
            <w:webHidden/>
          </w:rPr>
          <w:fldChar w:fldCharType="separate"/>
        </w:r>
        <w:r>
          <w:rPr>
            <w:noProof/>
            <w:webHidden/>
          </w:rPr>
          <w:t>16</w:t>
        </w:r>
        <w:r>
          <w:rPr>
            <w:noProof/>
            <w:webHidden/>
          </w:rPr>
          <w:fldChar w:fldCharType="end"/>
        </w:r>
      </w:hyperlink>
    </w:p>
    <w:p w:rsidR="00521C1B" w:rsidRDefault="00521C1B">
      <w:pPr>
        <w:pStyle w:val="TOC1"/>
        <w:tabs>
          <w:tab w:val="left" w:pos="440"/>
        </w:tabs>
        <w:rPr>
          <w:rFonts w:asciiTheme="minorHAnsi" w:hAnsiTheme="minorHAnsi" w:cstheme="minorBidi"/>
          <w:noProof/>
          <w:color w:val="auto"/>
          <w:sz w:val="22"/>
          <w:szCs w:val="22"/>
          <w:lang w:eastAsia="en-AU"/>
        </w:rPr>
      </w:pPr>
      <w:hyperlink w:anchor="_Toc440378835" w:history="1">
        <w:r w:rsidRPr="00937861">
          <w:rPr>
            <w:rStyle w:val="Hyperlink"/>
            <w:noProof/>
          </w:rPr>
          <w:t>3.</w:t>
        </w:r>
        <w:r>
          <w:rPr>
            <w:rFonts w:asciiTheme="minorHAnsi" w:hAnsiTheme="minorHAnsi" w:cstheme="minorBidi"/>
            <w:noProof/>
            <w:color w:val="auto"/>
            <w:sz w:val="22"/>
            <w:szCs w:val="22"/>
            <w:lang w:eastAsia="en-AU"/>
          </w:rPr>
          <w:tab/>
        </w:r>
        <w:r w:rsidRPr="00937861">
          <w:rPr>
            <w:rStyle w:val="Hyperlink"/>
            <w:noProof/>
          </w:rPr>
          <w:t>Competitive Grant Programmes</w:t>
        </w:r>
        <w:r>
          <w:rPr>
            <w:noProof/>
            <w:webHidden/>
          </w:rPr>
          <w:tab/>
        </w:r>
        <w:r>
          <w:rPr>
            <w:noProof/>
            <w:webHidden/>
          </w:rPr>
          <w:fldChar w:fldCharType="begin"/>
        </w:r>
        <w:r>
          <w:rPr>
            <w:noProof/>
            <w:webHidden/>
          </w:rPr>
          <w:instrText xml:space="preserve"> PAGEREF _Toc440378835 \h </w:instrText>
        </w:r>
        <w:r>
          <w:rPr>
            <w:noProof/>
            <w:webHidden/>
          </w:rPr>
        </w:r>
        <w:r>
          <w:rPr>
            <w:noProof/>
            <w:webHidden/>
          </w:rPr>
          <w:fldChar w:fldCharType="separate"/>
        </w:r>
        <w:r>
          <w:rPr>
            <w:noProof/>
            <w:webHidden/>
          </w:rPr>
          <w:t>36</w:t>
        </w:r>
        <w:r>
          <w:rPr>
            <w:noProof/>
            <w:webHidden/>
          </w:rPr>
          <w:fldChar w:fldCharType="end"/>
        </w:r>
      </w:hyperlink>
    </w:p>
    <w:p w:rsidR="00521C1B" w:rsidRDefault="00521C1B">
      <w:pPr>
        <w:pStyle w:val="TOC1"/>
        <w:tabs>
          <w:tab w:val="left" w:pos="440"/>
        </w:tabs>
        <w:rPr>
          <w:rFonts w:asciiTheme="minorHAnsi" w:hAnsiTheme="minorHAnsi" w:cstheme="minorBidi"/>
          <w:noProof/>
          <w:color w:val="auto"/>
          <w:sz w:val="22"/>
          <w:szCs w:val="22"/>
          <w:lang w:eastAsia="en-AU"/>
        </w:rPr>
      </w:pPr>
      <w:hyperlink w:anchor="_Toc440378836" w:history="1">
        <w:r w:rsidRPr="00937861">
          <w:rPr>
            <w:rStyle w:val="Hyperlink"/>
            <w:rFonts w:eastAsia="Times New Roman"/>
            <w:noProof/>
          </w:rPr>
          <w:t>4.</w:t>
        </w:r>
        <w:r>
          <w:rPr>
            <w:rFonts w:asciiTheme="minorHAnsi" w:hAnsiTheme="minorHAnsi" w:cstheme="minorBidi"/>
            <w:noProof/>
            <w:color w:val="auto"/>
            <w:sz w:val="22"/>
            <w:szCs w:val="22"/>
            <w:lang w:eastAsia="en-AU"/>
          </w:rPr>
          <w:tab/>
        </w:r>
        <w:r w:rsidRPr="00937861">
          <w:rPr>
            <w:rStyle w:val="Hyperlink"/>
            <w:rFonts w:eastAsia="Times New Roman"/>
            <w:noProof/>
          </w:rPr>
          <w:t xml:space="preserve">Business </w:t>
        </w:r>
        <w:r w:rsidRPr="00937861">
          <w:rPr>
            <w:rStyle w:val="Hyperlink"/>
            <w:noProof/>
          </w:rPr>
          <w:t>focused</w:t>
        </w:r>
        <w:r w:rsidRPr="00937861">
          <w:rPr>
            <w:rStyle w:val="Hyperlink"/>
            <w:rFonts w:eastAsia="Times New Roman"/>
            <w:noProof/>
          </w:rPr>
          <w:t xml:space="preserve"> research collaboration programmes</w:t>
        </w:r>
        <w:r>
          <w:rPr>
            <w:noProof/>
            <w:webHidden/>
          </w:rPr>
          <w:tab/>
        </w:r>
        <w:r>
          <w:rPr>
            <w:noProof/>
            <w:webHidden/>
          </w:rPr>
          <w:fldChar w:fldCharType="begin"/>
        </w:r>
        <w:r>
          <w:rPr>
            <w:noProof/>
            <w:webHidden/>
          </w:rPr>
          <w:instrText xml:space="preserve"> PAGEREF _Toc440378836 \h </w:instrText>
        </w:r>
        <w:r>
          <w:rPr>
            <w:noProof/>
            <w:webHidden/>
          </w:rPr>
        </w:r>
        <w:r>
          <w:rPr>
            <w:noProof/>
            <w:webHidden/>
          </w:rPr>
          <w:fldChar w:fldCharType="separate"/>
        </w:r>
        <w:r>
          <w:rPr>
            <w:noProof/>
            <w:webHidden/>
          </w:rPr>
          <w:t>47</w:t>
        </w:r>
        <w:r>
          <w:rPr>
            <w:noProof/>
            <w:webHidden/>
          </w:rPr>
          <w:fldChar w:fldCharType="end"/>
        </w:r>
      </w:hyperlink>
    </w:p>
    <w:p w:rsidR="00521C1B" w:rsidRDefault="00521C1B">
      <w:pPr>
        <w:pStyle w:val="TOC1"/>
        <w:tabs>
          <w:tab w:val="left" w:pos="440"/>
        </w:tabs>
        <w:rPr>
          <w:rFonts w:asciiTheme="minorHAnsi" w:hAnsiTheme="minorHAnsi" w:cstheme="minorBidi"/>
          <w:noProof/>
          <w:color w:val="auto"/>
          <w:sz w:val="22"/>
          <w:szCs w:val="22"/>
          <w:lang w:eastAsia="en-AU"/>
        </w:rPr>
      </w:pPr>
      <w:hyperlink w:anchor="_Toc440378837" w:history="1">
        <w:r w:rsidRPr="00937861">
          <w:rPr>
            <w:rStyle w:val="Hyperlink"/>
            <w:rFonts w:eastAsia="MS Mincho"/>
            <w:noProof/>
          </w:rPr>
          <w:t>5.</w:t>
        </w:r>
        <w:r>
          <w:rPr>
            <w:rFonts w:asciiTheme="minorHAnsi" w:hAnsiTheme="minorHAnsi" w:cstheme="minorBidi"/>
            <w:noProof/>
            <w:color w:val="auto"/>
            <w:sz w:val="22"/>
            <w:szCs w:val="22"/>
            <w:lang w:eastAsia="en-AU"/>
          </w:rPr>
          <w:tab/>
        </w:r>
        <w:r w:rsidRPr="00937861">
          <w:rPr>
            <w:rStyle w:val="Hyperlink"/>
            <w:rFonts w:eastAsia="MS Mincho"/>
            <w:noProof/>
          </w:rPr>
          <w:t>Improved management of intellectual property</w:t>
        </w:r>
        <w:r>
          <w:rPr>
            <w:noProof/>
            <w:webHidden/>
          </w:rPr>
          <w:tab/>
        </w:r>
        <w:r>
          <w:rPr>
            <w:noProof/>
            <w:webHidden/>
          </w:rPr>
          <w:fldChar w:fldCharType="begin"/>
        </w:r>
        <w:r>
          <w:rPr>
            <w:noProof/>
            <w:webHidden/>
          </w:rPr>
          <w:instrText xml:space="preserve"> PAGEREF _Toc440378837 \h </w:instrText>
        </w:r>
        <w:r>
          <w:rPr>
            <w:noProof/>
            <w:webHidden/>
          </w:rPr>
        </w:r>
        <w:r>
          <w:rPr>
            <w:noProof/>
            <w:webHidden/>
          </w:rPr>
          <w:fldChar w:fldCharType="separate"/>
        </w:r>
        <w:r>
          <w:rPr>
            <w:noProof/>
            <w:webHidden/>
          </w:rPr>
          <w:t>57</w:t>
        </w:r>
        <w:r>
          <w:rPr>
            <w:noProof/>
            <w:webHidden/>
          </w:rPr>
          <w:fldChar w:fldCharType="end"/>
        </w:r>
      </w:hyperlink>
    </w:p>
    <w:p w:rsidR="00521C1B" w:rsidRDefault="00521C1B">
      <w:pPr>
        <w:pStyle w:val="TOC1"/>
        <w:tabs>
          <w:tab w:val="left" w:pos="440"/>
        </w:tabs>
        <w:rPr>
          <w:rFonts w:asciiTheme="minorHAnsi" w:hAnsiTheme="minorHAnsi" w:cstheme="minorBidi"/>
          <w:noProof/>
          <w:color w:val="auto"/>
          <w:sz w:val="22"/>
          <w:szCs w:val="22"/>
          <w:lang w:eastAsia="en-AU"/>
        </w:rPr>
      </w:pPr>
      <w:hyperlink w:anchor="_Toc440378838" w:history="1">
        <w:r w:rsidRPr="00937861">
          <w:rPr>
            <w:rStyle w:val="Hyperlink"/>
            <w:noProof/>
          </w:rPr>
          <w:t>6.</w:t>
        </w:r>
        <w:r>
          <w:rPr>
            <w:rFonts w:asciiTheme="minorHAnsi" w:hAnsiTheme="minorHAnsi" w:cstheme="minorBidi"/>
            <w:noProof/>
            <w:color w:val="auto"/>
            <w:sz w:val="22"/>
            <w:szCs w:val="22"/>
            <w:lang w:eastAsia="en-AU"/>
          </w:rPr>
          <w:tab/>
        </w:r>
        <w:r w:rsidRPr="00937861">
          <w:rPr>
            <w:rStyle w:val="Hyperlink"/>
            <w:noProof/>
          </w:rPr>
          <w:t>Assessment of impact and engagement</w:t>
        </w:r>
        <w:r>
          <w:rPr>
            <w:noProof/>
            <w:webHidden/>
          </w:rPr>
          <w:tab/>
        </w:r>
        <w:r>
          <w:rPr>
            <w:noProof/>
            <w:webHidden/>
          </w:rPr>
          <w:fldChar w:fldCharType="begin"/>
        </w:r>
        <w:r>
          <w:rPr>
            <w:noProof/>
            <w:webHidden/>
          </w:rPr>
          <w:instrText xml:space="preserve"> PAGEREF _Toc440378838 \h </w:instrText>
        </w:r>
        <w:r>
          <w:rPr>
            <w:noProof/>
            <w:webHidden/>
          </w:rPr>
        </w:r>
        <w:r>
          <w:rPr>
            <w:noProof/>
            <w:webHidden/>
          </w:rPr>
          <w:fldChar w:fldCharType="separate"/>
        </w:r>
        <w:r>
          <w:rPr>
            <w:noProof/>
            <w:webHidden/>
          </w:rPr>
          <w:t>65</w:t>
        </w:r>
        <w:r>
          <w:rPr>
            <w:noProof/>
            <w:webHidden/>
          </w:rPr>
          <w:fldChar w:fldCharType="end"/>
        </w:r>
      </w:hyperlink>
    </w:p>
    <w:p w:rsidR="00521C1B" w:rsidRDefault="00521C1B">
      <w:pPr>
        <w:pStyle w:val="TOC1"/>
        <w:tabs>
          <w:tab w:val="left" w:pos="440"/>
        </w:tabs>
        <w:rPr>
          <w:rFonts w:asciiTheme="minorHAnsi" w:hAnsiTheme="minorHAnsi" w:cstheme="minorBidi"/>
          <w:noProof/>
          <w:color w:val="auto"/>
          <w:sz w:val="22"/>
          <w:szCs w:val="22"/>
          <w:lang w:eastAsia="en-AU"/>
        </w:rPr>
      </w:pPr>
      <w:hyperlink w:anchor="_Toc440378839" w:history="1">
        <w:r w:rsidRPr="00937861">
          <w:rPr>
            <w:rStyle w:val="Hyperlink"/>
            <w:noProof/>
          </w:rPr>
          <w:t>7.</w:t>
        </w:r>
        <w:r>
          <w:rPr>
            <w:rFonts w:asciiTheme="minorHAnsi" w:hAnsiTheme="minorHAnsi" w:cstheme="minorBidi"/>
            <w:noProof/>
            <w:color w:val="auto"/>
            <w:sz w:val="22"/>
            <w:szCs w:val="22"/>
            <w:lang w:eastAsia="en-AU"/>
          </w:rPr>
          <w:tab/>
        </w:r>
        <w:r w:rsidRPr="00937861">
          <w:rPr>
            <w:rStyle w:val="Hyperlink"/>
            <w:noProof/>
          </w:rPr>
          <w:t>Assessing Australia’s research system</w:t>
        </w:r>
        <w:r>
          <w:rPr>
            <w:noProof/>
            <w:webHidden/>
          </w:rPr>
          <w:tab/>
        </w:r>
        <w:r>
          <w:rPr>
            <w:noProof/>
            <w:webHidden/>
          </w:rPr>
          <w:fldChar w:fldCharType="begin"/>
        </w:r>
        <w:r>
          <w:rPr>
            <w:noProof/>
            <w:webHidden/>
          </w:rPr>
          <w:instrText xml:space="preserve"> PAGEREF _Toc440378839 \h </w:instrText>
        </w:r>
        <w:r>
          <w:rPr>
            <w:noProof/>
            <w:webHidden/>
          </w:rPr>
        </w:r>
        <w:r>
          <w:rPr>
            <w:noProof/>
            <w:webHidden/>
          </w:rPr>
          <w:fldChar w:fldCharType="separate"/>
        </w:r>
        <w:r>
          <w:rPr>
            <w:noProof/>
            <w:webHidden/>
          </w:rPr>
          <w:t>76</w:t>
        </w:r>
        <w:r>
          <w:rPr>
            <w:noProof/>
            <w:webHidden/>
          </w:rPr>
          <w:fldChar w:fldCharType="end"/>
        </w:r>
      </w:hyperlink>
    </w:p>
    <w:p w:rsidR="00521C1B" w:rsidRDefault="00521C1B">
      <w:pPr>
        <w:pStyle w:val="TOC1"/>
        <w:tabs>
          <w:tab w:val="left" w:pos="440"/>
        </w:tabs>
        <w:rPr>
          <w:rFonts w:asciiTheme="minorHAnsi" w:hAnsiTheme="minorHAnsi" w:cstheme="minorBidi"/>
          <w:noProof/>
          <w:color w:val="auto"/>
          <w:sz w:val="22"/>
          <w:szCs w:val="22"/>
          <w:lang w:eastAsia="en-AU"/>
        </w:rPr>
      </w:pPr>
      <w:hyperlink w:anchor="_Toc440378840" w:history="1">
        <w:r w:rsidRPr="00937861">
          <w:rPr>
            <w:rStyle w:val="Hyperlink"/>
            <w:noProof/>
          </w:rPr>
          <w:t>8.</w:t>
        </w:r>
        <w:r>
          <w:rPr>
            <w:rFonts w:asciiTheme="minorHAnsi" w:hAnsiTheme="minorHAnsi" w:cstheme="minorBidi"/>
            <w:noProof/>
            <w:color w:val="auto"/>
            <w:sz w:val="22"/>
            <w:szCs w:val="22"/>
            <w:lang w:eastAsia="en-AU"/>
          </w:rPr>
          <w:tab/>
        </w:r>
        <w:r w:rsidRPr="00937861">
          <w:rPr>
            <w:rStyle w:val="Hyperlink"/>
            <w:noProof/>
          </w:rPr>
          <w:t>Global university ranking systems: an Australian developed system?</w:t>
        </w:r>
        <w:r>
          <w:rPr>
            <w:noProof/>
            <w:webHidden/>
          </w:rPr>
          <w:tab/>
        </w:r>
        <w:r>
          <w:rPr>
            <w:noProof/>
            <w:webHidden/>
          </w:rPr>
          <w:fldChar w:fldCharType="begin"/>
        </w:r>
        <w:r>
          <w:rPr>
            <w:noProof/>
            <w:webHidden/>
          </w:rPr>
          <w:instrText xml:space="preserve"> PAGEREF _Toc440378840 \h </w:instrText>
        </w:r>
        <w:r>
          <w:rPr>
            <w:noProof/>
            <w:webHidden/>
          </w:rPr>
        </w:r>
        <w:r>
          <w:rPr>
            <w:noProof/>
            <w:webHidden/>
          </w:rPr>
          <w:fldChar w:fldCharType="separate"/>
        </w:r>
        <w:r>
          <w:rPr>
            <w:noProof/>
            <w:webHidden/>
          </w:rPr>
          <w:t>83</w:t>
        </w:r>
        <w:r>
          <w:rPr>
            <w:noProof/>
            <w:webHidden/>
          </w:rPr>
          <w:fldChar w:fldCharType="end"/>
        </w:r>
      </w:hyperlink>
    </w:p>
    <w:p w:rsidR="00521C1B" w:rsidRDefault="00521C1B">
      <w:pPr>
        <w:pStyle w:val="TOC1"/>
        <w:rPr>
          <w:rFonts w:asciiTheme="minorHAnsi" w:hAnsiTheme="minorHAnsi" w:cstheme="minorBidi"/>
          <w:noProof/>
          <w:color w:val="auto"/>
          <w:sz w:val="22"/>
          <w:szCs w:val="22"/>
          <w:lang w:eastAsia="en-AU"/>
        </w:rPr>
      </w:pPr>
      <w:hyperlink w:anchor="_Toc440378841" w:history="1">
        <w:r w:rsidRPr="00937861">
          <w:rPr>
            <w:rStyle w:val="Hyperlink"/>
            <w:noProof/>
          </w:rPr>
          <w:t>Appendices</w:t>
        </w:r>
        <w:r>
          <w:rPr>
            <w:noProof/>
            <w:webHidden/>
          </w:rPr>
          <w:tab/>
        </w:r>
        <w:r>
          <w:rPr>
            <w:noProof/>
            <w:webHidden/>
          </w:rPr>
          <w:fldChar w:fldCharType="begin"/>
        </w:r>
        <w:r>
          <w:rPr>
            <w:noProof/>
            <w:webHidden/>
          </w:rPr>
          <w:instrText xml:space="preserve"> PAGEREF _Toc440378841 \h </w:instrText>
        </w:r>
        <w:r>
          <w:rPr>
            <w:noProof/>
            <w:webHidden/>
          </w:rPr>
        </w:r>
        <w:r>
          <w:rPr>
            <w:noProof/>
            <w:webHidden/>
          </w:rPr>
          <w:fldChar w:fldCharType="separate"/>
        </w:r>
        <w:r>
          <w:rPr>
            <w:noProof/>
            <w:webHidden/>
          </w:rPr>
          <w:t>89</w:t>
        </w:r>
        <w:r>
          <w:rPr>
            <w:noProof/>
            <w:webHidden/>
          </w:rPr>
          <w:fldChar w:fldCharType="end"/>
        </w:r>
      </w:hyperlink>
    </w:p>
    <w:p w:rsidR="00521C1B" w:rsidRDefault="00521C1B">
      <w:pPr>
        <w:pStyle w:val="TOC1"/>
        <w:rPr>
          <w:rFonts w:asciiTheme="minorHAnsi" w:hAnsiTheme="minorHAnsi" w:cstheme="minorBidi"/>
          <w:noProof/>
          <w:color w:val="auto"/>
          <w:sz w:val="22"/>
          <w:szCs w:val="22"/>
          <w:lang w:eastAsia="en-AU"/>
        </w:rPr>
      </w:pPr>
      <w:hyperlink w:anchor="_Toc440378842" w:history="1">
        <w:r w:rsidRPr="00937861">
          <w:rPr>
            <w:rStyle w:val="Hyperlink"/>
            <w:noProof/>
          </w:rPr>
          <w:t>University approaches to research collaboration</w:t>
        </w:r>
        <w:r>
          <w:rPr>
            <w:noProof/>
            <w:webHidden/>
          </w:rPr>
          <w:tab/>
        </w:r>
        <w:r>
          <w:rPr>
            <w:noProof/>
            <w:webHidden/>
          </w:rPr>
          <w:fldChar w:fldCharType="begin"/>
        </w:r>
        <w:r>
          <w:rPr>
            <w:noProof/>
            <w:webHidden/>
          </w:rPr>
          <w:instrText xml:space="preserve"> PAGEREF _Toc440378842 \h </w:instrText>
        </w:r>
        <w:r>
          <w:rPr>
            <w:noProof/>
            <w:webHidden/>
          </w:rPr>
        </w:r>
        <w:r>
          <w:rPr>
            <w:noProof/>
            <w:webHidden/>
          </w:rPr>
          <w:fldChar w:fldCharType="separate"/>
        </w:r>
        <w:r>
          <w:rPr>
            <w:noProof/>
            <w:webHidden/>
          </w:rPr>
          <w:t>90</w:t>
        </w:r>
        <w:r>
          <w:rPr>
            <w:noProof/>
            <w:webHidden/>
          </w:rPr>
          <w:fldChar w:fldCharType="end"/>
        </w:r>
      </w:hyperlink>
    </w:p>
    <w:p w:rsidR="00521C1B" w:rsidRDefault="00521C1B">
      <w:pPr>
        <w:pStyle w:val="TOC1"/>
        <w:rPr>
          <w:rFonts w:asciiTheme="minorHAnsi" w:hAnsiTheme="minorHAnsi" w:cstheme="minorBidi"/>
          <w:noProof/>
          <w:color w:val="auto"/>
          <w:sz w:val="22"/>
          <w:szCs w:val="22"/>
          <w:lang w:eastAsia="en-AU"/>
        </w:rPr>
      </w:pPr>
      <w:hyperlink w:anchor="_Toc440378843" w:history="1">
        <w:r w:rsidRPr="00937861">
          <w:rPr>
            <w:rStyle w:val="Hyperlink"/>
            <w:noProof/>
          </w:rPr>
          <w:t>List of consultations</w:t>
        </w:r>
        <w:r>
          <w:rPr>
            <w:noProof/>
            <w:webHidden/>
          </w:rPr>
          <w:tab/>
        </w:r>
        <w:r>
          <w:rPr>
            <w:noProof/>
            <w:webHidden/>
          </w:rPr>
          <w:fldChar w:fldCharType="begin"/>
        </w:r>
        <w:r>
          <w:rPr>
            <w:noProof/>
            <w:webHidden/>
          </w:rPr>
          <w:instrText xml:space="preserve"> PAGEREF _Toc440378843 \h </w:instrText>
        </w:r>
        <w:r>
          <w:rPr>
            <w:noProof/>
            <w:webHidden/>
          </w:rPr>
        </w:r>
        <w:r>
          <w:rPr>
            <w:noProof/>
            <w:webHidden/>
          </w:rPr>
          <w:fldChar w:fldCharType="separate"/>
        </w:r>
        <w:r>
          <w:rPr>
            <w:noProof/>
            <w:webHidden/>
          </w:rPr>
          <w:t>95</w:t>
        </w:r>
        <w:r>
          <w:rPr>
            <w:noProof/>
            <w:webHidden/>
          </w:rPr>
          <w:fldChar w:fldCharType="end"/>
        </w:r>
      </w:hyperlink>
    </w:p>
    <w:p w:rsidR="00521C1B" w:rsidRDefault="00521C1B">
      <w:pPr>
        <w:pStyle w:val="TOC1"/>
        <w:rPr>
          <w:rFonts w:asciiTheme="minorHAnsi" w:hAnsiTheme="minorHAnsi" w:cstheme="minorBidi"/>
          <w:noProof/>
          <w:color w:val="auto"/>
          <w:sz w:val="22"/>
          <w:szCs w:val="22"/>
          <w:lang w:eastAsia="en-AU"/>
        </w:rPr>
      </w:pPr>
      <w:hyperlink w:anchor="_Toc440378844" w:history="1">
        <w:r w:rsidRPr="00937861">
          <w:rPr>
            <w:rStyle w:val="Hyperlink"/>
            <w:noProof/>
          </w:rPr>
          <w:t>List of submissions</w:t>
        </w:r>
        <w:r>
          <w:rPr>
            <w:noProof/>
            <w:webHidden/>
          </w:rPr>
          <w:tab/>
        </w:r>
        <w:r>
          <w:rPr>
            <w:noProof/>
            <w:webHidden/>
          </w:rPr>
          <w:fldChar w:fldCharType="begin"/>
        </w:r>
        <w:r>
          <w:rPr>
            <w:noProof/>
            <w:webHidden/>
          </w:rPr>
          <w:instrText xml:space="preserve"> PAGEREF _Toc440378844 \h </w:instrText>
        </w:r>
        <w:r>
          <w:rPr>
            <w:noProof/>
            <w:webHidden/>
          </w:rPr>
        </w:r>
        <w:r>
          <w:rPr>
            <w:noProof/>
            <w:webHidden/>
          </w:rPr>
          <w:fldChar w:fldCharType="separate"/>
        </w:r>
        <w:r>
          <w:rPr>
            <w:noProof/>
            <w:webHidden/>
          </w:rPr>
          <w:t>98</w:t>
        </w:r>
        <w:r>
          <w:rPr>
            <w:noProof/>
            <w:webHidden/>
          </w:rPr>
          <w:fldChar w:fldCharType="end"/>
        </w:r>
      </w:hyperlink>
    </w:p>
    <w:p w:rsidR="00521C1B" w:rsidRDefault="00521C1B">
      <w:pPr>
        <w:pStyle w:val="TOC1"/>
        <w:rPr>
          <w:rFonts w:asciiTheme="minorHAnsi" w:hAnsiTheme="minorHAnsi" w:cstheme="minorBidi"/>
          <w:noProof/>
          <w:color w:val="auto"/>
          <w:sz w:val="22"/>
          <w:szCs w:val="22"/>
          <w:lang w:eastAsia="en-AU"/>
        </w:rPr>
      </w:pPr>
      <w:hyperlink w:anchor="_Toc440378845" w:history="1">
        <w:r w:rsidRPr="00937861">
          <w:rPr>
            <w:rStyle w:val="Hyperlink"/>
            <w:noProof/>
          </w:rPr>
          <w:t>References</w:t>
        </w:r>
        <w:r>
          <w:rPr>
            <w:noProof/>
            <w:webHidden/>
          </w:rPr>
          <w:tab/>
        </w:r>
        <w:r>
          <w:rPr>
            <w:noProof/>
            <w:webHidden/>
          </w:rPr>
          <w:fldChar w:fldCharType="begin"/>
        </w:r>
        <w:r>
          <w:rPr>
            <w:noProof/>
            <w:webHidden/>
          </w:rPr>
          <w:instrText xml:space="preserve"> PAGEREF _Toc440378845 \h </w:instrText>
        </w:r>
        <w:r>
          <w:rPr>
            <w:noProof/>
            <w:webHidden/>
          </w:rPr>
        </w:r>
        <w:r>
          <w:rPr>
            <w:noProof/>
            <w:webHidden/>
          </w:rPr>
          <w:fldChar w:fldCharType="separate"/>
        </w:r>
        <w:r>
          <w:rPr>
            <w:noProof/>
            <w:webHidden/>
          </w:rPr>
          <w:t>100</w:t>
        </w:r>
        <w:r>
          <w:rPr>
            <w:noProof/>
            <w:webHidden/>
          </w:rPr>
          <w:fldChar w:fldCharType="end"/>
        </w:r>
      </w:hyperlink>
    </w:p>
    <w:p w:rsidR="00DA1515" w:rsidRDefault="00CC72F7" w:rsidP="007B1B56">
      <w:pPr>
        <w:rPr>
          <w:color w:val="0B2B43" w:themeColor="text2" w:themeShade="80"/>
        </w:rPr>
      </w:pPr>
      <w:r w:rsidRPr="004A1196">
        <w:rPr>
          <w:color w:val="0B2B43" w:themeColor="text2" w:themeShade="80"/>
        </w:rPr>
        <w:fldChar w:fldCharType="end"/>
      </w:r>
    </w:p>
    <w:p w:rsidR="00DA1515" w:rsidRPr="004A1196" w:rsidRDefault="00DA1515" w:rsidP="001F0FAB">
      <w:pPr>
        <w:spacing w:before="0" w:after="200" w:line="276" w:lineRule="auto"/>
        <w:rPr>
          <w:color w:val="0B2B43" w:themeColor="text2" w:themeShade="80"/>
        </w:rPr>
        <w:sectPr w:rsidR="00DA1515" w:rsidRPr="004A1196" w:rsidSect="00DA1515">
          <w:footerReference w:type="even" r:id="rId18"/>
          <w:footerReference w:type="default" r:id="rId19"/>
          <w:footerReference w:type="first" r:id="rId20"/>
          <w:pgSz w:w="11906" w:h="16838"/>
          <w:pgMar w:top="1440" w:right="1440" w:bottom="1440" w:left="1440" w:header="709" w:footer="709" w:gutter="0"/>
          <w:cols w:space="708"/>
          <w:docGrid w:linePitch="360"/>
        </w:sectPr>
      </w:pPr>
    </w:p>
    <w:p w:rsidR="00CC72F7" w:rsidRPr="00962C66" w:rsidRDefault="00962C66" w:rsidP="00437D83">
      <w:pPr>
        <w:pStyle w:val="RIHeading1"/>
        <w:spacing w:before="1680" w:after="720"/>
        <w:rPr>
          <w:color w:val="0B2B43" w:themeColor="text2" w:themeShade="80"/>
        </w:rPr>
      </w:pPr>
      <w:bookmarkStart w:id="2" w:name="_Toc440378830"/>
      <w:r w:rsidRPr="00437D83">
        <w:rPr>
          <w:color w:val="FFFFFF" w:themeColor="background2"/>
        </w:rPr>
        <w:t>Executive Summary</w:t>
      </w:r>
      <w:r w:rsidRPr="00962C66">
        <w:rPr>
          <w:color w:val="0B2B43" w:themeColor="text2" w:themeShade="80"/>
        </w:rPr>
        <w:t xml:space="preserve"> </w:t>
      </w:r>
      <w:r w:rsidR="00CC72F7" w:rsidRPr="00962C66">
        <w:rPr>
          <w:noProof/>
          <w:color w:val="0B2B43" w:themeColor="text2" w:themeShade="80"/>
          <w:lang w:eastAsia="en-AU"/>
        </w:rPr>
        <mc:AlternateContent>
          <mc:Choice Requires="wps">
            <w:drawing>
              <wp:anchor distT="0" distB="0" distL="114300" distR="114300" simplePos="0" relativeHeight="251658244" behindDoc="1" locked="0" layoutInCell="1" allowOverlap="1" wp14:anchorId="63952A3D" wp14:editId="6C824D56">
                <wp:simplePos x="0" y="0"/>
                <wp:positionH relativeFrom="column">
                  <wp:posOffset>-599440</wp:posOffset>
                </wp:positionH>
                <wp:positionV relativeFrom="paragraph">
                  <wp:posOffset>-580390</wp:posOffset>
                </wp:positionV>
                <wp:extent cx="194945" cy="1943735"/>
                <wp:effectExtent l="0" t="0" r="0" b="0"/>
                <wp:wrapNone/>
                <wp:docPr id="16" name="Rectangle 16" descr="Decorative"/>
                <wp:cNvGraphicFramePr/>
                <a:graphic xmlns:a="http://schemas.openxmlformats.org/drawingml/2006/main">
                  <a:graphicData uri="http://schemas.microsoft.com/office/word/2010/wordprocessingShape">
                    <wps:wsp>
                      <wps:cNvSpPr/>
                      <wps:spPr>
                        <a:xfrm>
                          <a:off x="0" y="0"/>
                          <a:ext cx="194945" cy="1943735"/>
                        </a:xfrm>
                        <a:prstGeom prst="rect">
                          <a:avLst/>
                        </a:prstGeom>
                        <a:solidFill>
                          <a:srgbClr val="FFC65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3592" w:rsidRDefault="00AC3592" w:rsidP="00CC72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8" alt="Decorative" style="position:absolute;margin-left:-47.2pt;margin-top:-45.7pt;width:15.35pt;height:153.0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" fillcolor="#ffc656" stroked="f" strokeweight="2pt">
                <v:textbox>
                  <w:txbxContent>
                    <w:p w:rsidR="00AC3592" w:rsidRDefault="00AC3592" w:rsidP="00CC72F7">
                      <w:pPr>
                        <w:jc w:val="center"/>
                      </w:pPr>
                    </w:p>
                  </w:txbxContent>
                </v:textbox>
              </v:rect>
            </w:pict>
          </mc:Fallback>
        </mc:AlternateContent>
      </w:r>
      <w:r w:rsidR="00CC72F7" w:rsidRPr="00962C66">
        <w:rPr>
          <w:noProof/>
          <w:color w:val="0B2B43" w:themeColor="text2" w:themeShade="80"/>
          <w:lang w:eastAsia="en-AU"/>
        </w:rPr>
        <mc:AlternateContent>
          <mc:Choice Requires="wps">
            <w:drawing>
              <wp:anchor distT="0" distB="0" distL="114300" distR="114300" simplePos="0" relativeHeight="251658243" behindDoc="1" locked="0" layoutInCell="1" allowOverlap="1" wp14:anchorId="5DDDBAA6" wp14:editId="1E4E6D6A">
                <wp:simplePos x="0" y="0"/>
                <wp:positionH relativeFrom="margin">
                  <wp:posOffset>-400050</wp:posOffset>
                </wp:positionH>
                <wp:positionV relativeFrom="margin">
                  <wp:posOffset>-581025</wp:posOffset>
                </wp:positionV>
                <wp:extent cx="7350760" cy="1943735"/>
                <wp:effectExtent l="0" t="0" r="2540" b="0"/>
                <wp:wrapNone/>
                <wp:docPr id="15" name="Rectangle 15" descr="Decorative"/>
                <wp:cNvGraphicFramePr/>
                <a:graphic xmlns:a="http://schemas.openxmlformats.org/drawingml/2006/main">
                  <a:graphicData uri="http://schemas.microsoft.com/office/word/2010/wordprocessingShape">
                    <wps:wsp>
                      <wps:cNvSpPr/>
                      <wps:spPr>
                        <a:xfrm>
                          <a:off x="0" y="0"/>
                          <a:ext cx="7350760" cy="194373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3592" w:rsidRPr="00CC72F7" w:rsidRDefault="00AC3592" w:rsidP="00CC72F7">
                            <w:pPr>
                              <w:pStyle w:val="RIHeading1"/>
                              <w:rPr>
                                <w:color w:val="FFFFFF" w:themeColor="background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9" alt="Decorative" style="position:absolute;margin-left:-31.5pt;margin-top:-45.75pt;width:578.8pt;height:153.0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" fillcolor="#104165 [2415]" stroked="f" strokeweight="2pt">
                <v:textbox>
                  <w:txbxContent>
                    <w:p w:rsidR="00AC3592" w:rsidRPr="00CC72F7" w:rsidRDefault="00AC3592" w:rsidP="00CC72F7">
                      <w:pPr>
                        <w:pStyle w:val="RIHeading1"/>
                        <w:rPr>
                          <w:color w:val="FFFFFF" w:themeColor="background2"/>
                        </w:rPr>
                      </w:pPr>
                    </w:p>
                  </w:txbxContent>
                </v:textbox>
                <w10:wrap anchorx="margin" anchory="margin"/>
              </v:rect>
            </w:pict>
          </mc:Fallback>
        </mc:AlternateContent>
      </w:r>
      <w:bookmarkEnd w:id="2"/>
    </w:p>
    <w:p w:rsidR="001F0FAB" w:rsidRPr="004A1196" w:rsidRDefault="001F0FAB" w:rsidP="007B1B56">
      <w:pPr>
        <w:rPr>
          <w:color w:val="0B2B43" w:themeColor="text2" w:themeShade="80"/>
        </w:rPr>
        <w:sectPr w:rsidR="001F0FAB" w:rsidRPr="004A1196" w:rsidSect="00C6639A">
          <w:footerReference w:type="even" r:id="rId21"/>
          <w:footerReference w:type="default" r:id="rId22"/>
          <w:footerReference w:type="first" r:id="rId23"/>
          <w:pgSz w:w="11906" w:h="16838"/>
          <w:pgMar w:top="1440" w:right="1440" w:bottom="1440" w:left="1440" w:header="709" w:footer="1009" w:gutter="0"/>
          <w:pgNumType w:fmt="lowerRoman" w:start="1"/>
          <w:cols w:space="708"/>
          <w:docGrid w:linePitch="360"/>
        </w:sectPr>
      </w:pPr>
    </w:p>
    <w:p w:rsidR="00CC72F7" w:rsidRPr="004A1196" w:rsidRDefault="00CC72F7" w:rsidP="00CC72F7">
      <w:pPr>
        <w:rPr>
          <w:color w:val="0B2B43" w:themeColor="text2" w:themeShade="80"/>
        </w:rPr>
      </w:pPr>
      <w:r w:rsidRPr="004A1196">
        <w:rPr>
          <w:color w:val="0B2B43" w:themeColor="text2" w:themeShade="80"/>
        </w:rPr>
        <w:t>The overall quality of the Australian research sector is high by OECD standards but Australia’s performance is poor when it comes to translating publicly funded research into collaboration with business. We rank last out of 26 OECD countries on the proportion of businesses collaborating with higher education and public research institutions on innovation.</w:t>
      </w:r>
    </w:p>
    <w:p w:rsidR="00CC72F7" w:rsidRPr="004A1196" w:rsidRDefault="00CC72F7" w:rsidP="00CC72F7">
      <w:pPr>
        <w:rPr>
          <w:color w:val="0B2B43" w:themeColor="text2" w:themeShade="80"/>
        </w:rPr>
      </w:pPr>
      <w:r w:rsidRPr="004A1196">
        <w:rPr>
          <w:color w:val="0B2B43" w:themeColor="text2" w:themeShade="80"/>
        </w:rPr>
        <w:t xml:space="preserve">On 7 July 2015, the then Minister for Education and Training, the Hon Christopher Pyne MP appointed Dr Ian Watt </w:t>
      </w:r>
      <w:r w:rsidR="005D41E2">
        <w:rPr>
          <w:color w:val="0B2B43" w:themeColor="text2" w:themeShade="80"/>
        </w:rPr>
        <w:t xml:space="preserve">AO </w:t>
      </w:r>
      <w:r w:rsidRPr="004A1196">
        <w:rPr>
          <w:color w:val="0B2B43" w:themeColor="text2" w:themeShade="80"/>
        </w:rPr>
        <w:t>to conduct a review of research policy and funding arrangements.</w:t>
      </w:r>
      <w:r w:rsidR="00603434" w:rsidRPr="004A1196">
        <w:rPr>
          <w:color w:val="0B2B43" w:themeColor="text2" w:themeShade="80"/>
        </w:rPr>
        <w:t xml:space="preserve"> </w:t>
      </w:r>
      <w:r w:rsidRPr="004A1196">
        <w:rPr>
          <w:color w:val="0B2B43" w:themeColor="text2" w:themeShade="80"/>
        </w:rPr>
        <w:t xml:space="preserve">The review </w:t>
      </w:r>
      <w:proofErr w:type="gramStart"/>
      <w:r w:rsidRPr="004A1196">
        <w:rPr>
          <w:color w:val="0B2B43" w:themeColor="text2" w:themeShade="80"/>
        </w:rPr>
        <w:t>was given</w:t>
      </w:r>
      <w:proofErr w:type="gramEnd"/>
      <w:r w:rsidRPr="004A1196">
        <w:rPr>
          <w:color w:val="0B2B43" w:themeColor="text2" w:themeShade="80"/>
        </w:rPr>
        <w:t xml:space="preserve"> the task of developing options to strengthen Australia’s research system and encourage greater collaboration between universities and </w:t>
      </w:r>
      <w:r w:rsidR="00E65513">
        <w:rPr>
          <w:color w:val="0B2B43" w:themeColor="text2" w:themeShade="80"/>
        </w:rPr>
        <w:t xml:space="preserve">business and other research </w:t>
      </w:r>
      <w:r w:rsidR="003904BC">
        <w:rPr>
          <w:color w:val="0B2B43" w:themeColor="text2" w:themeShade="80"/>
        </w:rPr>
        <w:t>end user</w:t>
      </w:r>
      <w:r w:rsidRPr="004A1196">
        <w:rPr>
          <w:color w:val="0B2B43" w:themeColor="text2" w:themeShade="80"/>
        </w:rPr>
        <w:t>s to enable Australia’s high quality research to be translated into economic and social benefits for the nation.</w:t>
      </w:r>
      <w:r w:rsidR="00603434" w:rsidRPr="004A1196">
        <w:rPr>
          <w:color w:val="0B2B43" w:themeColor="text2" w:themeShade="80"/>
        </w:rPr>
        <w:t xml:space="preserve"> </w:t>
      </w:r>
    </w:p>
    <w:p w:rsidR="00CC72F7" w:rsidRPr="004A1196" w:rsidRDefault="00CC72F7" w:rsidP="00CC72F7">
      <w:pPr>
        <w:rPr>
          <w:color w:val="0B2B43" w:themeColor="text2" w:themeShade="80"/>
        </w:rPr>
      </w:pPr>
      <w:r w:rsidRPr="004A1196">
        <w:rPr>
          <w:color w:val="0B2B43" w:themeColor="text2" w:themeShade="80"/>
        </w:rPr>
        <w:t xml:space="preserve">Extensive consultation with the university and business sector was a central feature of the review. Seventy-six submissions </w:t>
      </w:r>
      <w:proofErr w:type="gramStart"/>
      <w:r w:rsidRPr="004A1196">
        <w:rPr>
          <w:color w:val="0B2B43" w:themeColor="text2" w:themeShade="80"/>
        </w:rPr>
        <w:t>were received</w:t>
      </w:r>
      <w:proofErr w:type="gramEnd"/>
      <w:r w:rsidRPr="004A1196">
        <w:rPr>
          <w:color w:val="0B2B43" w:themeColor="text2" w:themeShade="80"/>
        </w:rPr>
        <w:t xml:space="preserve"> in response to the issues paper, </w:t>
      </w:r>
      <w:r w:rsidRPr="004A1196">
        <w:rPr>
          <w:i/>
          <w:color w:val="0B2B43" w:themeColor="text2" w:themeShade="80"/>
        </w:rPr>
        <w:t>Review of Research Policy and Funding Arrangements for Higher Education.</w:t>
      </w:r>
      <w:r w:rsidRPr="004A1196">
        <w:rPr>
          <w:color w:val="0B2B43" w:themeColor="text2" w:themeShade="80"/>
        </w:rPr>
        <w:t xml:space="preserve"> Dr Watt conducted roundtables and held meetings with universities, research bodies and institutes, business and industry leaders and government representatives over a period of four months to inform the recommendations of the review.</w:t>
      </w:r>
    </w:p>
    <w:p w:rsidR="00CC72F7" w:rsidRPr="004A1196" w:rsidRDefault="00CC72F7" w:rsidP="00CC72F7">
      <w:pPr>
        <w:rPr>
          <w:color w:val="0B2B43" w:themeColor="text2" w:themeShade="80"/>
        </w:rPr>
      </w:pPr>
      <w:r w:rsidRPr="004A1196">
        <w:rPr>
          <w:color w:val="0B2B43" w:themeColor="text2" w:themeShade="80"/>
        </w:rPr>
        <w:t>Higher education research ex</w:t>
      </w:r>
      <w:r w:rsidR="007A34D2">
        <w:rPr>
          <w:color w:val="0B2B43" w:themeColor="text2" w:themeShade="80"/>
        </w:rPr>
        <w:t>penditure is 30</w:t>
      </w:r>
      <w:r w:rsidR="00825334">
        <w:rPr>
          <w:color w:val="0B2B43" w:themeColor="text2" w:themeShade="80"/>
        </w:rPr>
        <w:t xml:space="preserve"> per cent of </w:t>
      </w:r>
      <w:r w:rsidRPr="004A1196">
        <w:rPr>
          <w:color w:val="0B2B43" w:themeColor="text2" w:themeShade="80"/>
        </w:rPr>
        <w:t xml:space="preserve">Australia’s gross expenditure on research and development (R&amp;D) and is therefore an important, but by no means dominant component of Australia’s R&amp;D spending. Change to policy settings for higher education research funding </w:t>
      </w:r>
      <w:proofErr w:type="gramStart"/>
      <w:r w:rsidRPr="004A1196">
        <w:rPr>
          <w:color w:val="0B2B43" w:themeColor="text2" w:themeShade="80"/>
        </w:rPr>
        <w:t>can be expected</w:t>
      </w:r>
      <w:proofErr w:type="gramEnd"/>
      <w:r w:rsidRPr="004A1196">
        <w:rPr>
          <w:color w:val="0B2B43" w:themeColor="text2" w:themeShade="80"/>
        </w:rPr>
        <w:t xml:space="preserve"> to yield improvements in Australia’s innovation performance but, alone, cannot transform that performance. In that context, the review developed </w:t>
      </w:r>
      <w:proofErr w:type="gramStart"/>
      <w:r w:rsidRPr="004A1196">
        <w:rPr>
          <w:color w:val="0B2B43" w:themeColor="text2" w:themeShade="80"/>
        </w:rPr>
        <w:t>recommendations which</w:t>
      </w:r>
      <w:proofErr w:type="gramEnd"/>
      <w:r w:rsidRPr="004A1196">
        <w:rPr>
          <w:color w:val="0B2B43" w:themeColor="text2" w:themeShade="80"/>
        </w:rPr>
        <w:t xml:space="preserve"> in broad terms aim to:</w:t>
      </w:r>
    </w:p>
    <w:p w:rsidR="00CC72F7" w:rsidRPr="004A1196" w:rsidRDefault="00CC72F7" w:rsidP="00CC72F7">
      <w:pPr>
        <w:pStyle w:val="ListParagraph"/>
        <w:numPr>
          <w:ilvl w:val="0"/>
          <w:numId w:val="61"/>
        </w:numPr>
        <w:rPr>
          <w:color w:val="0B2B43" w:themeColor="text2" w:themeShade="80"/>
        </w:rPr>
      </w:pPr>
      <w:r w:rsidRPr="004A1196">
        <w:rPr>
          <w:color w:val="0B2B43" w:themeColor="text2" w:themeShade="80"/>
        </w:rPr>
        <w:t>ensure the quality and excellence of Australian university research and research training</w:t>
      </w:r>
    </w:p>
    <w:p w:rsidR="00CC72F7" w:rsidRPr="004A1196" w:rsidRDefault="00CC72F7" w:rsidP="00CC72F7">
      <w:pPr>
        <w:pStyle w:val="ListParagraph"/>
        <w:numPr>
          <w:ilvl w:val="0"/>
          <w:numId w:val="61"/>
        </w:numPr>
        <w:rPr>
          <w:color w:val="0B2B43" w:themeColor="text2" w:themeShade="80"/>
        </w:rPr>
      </w:pPr>
      <w:r w:rsidRPr="004A1196">
        <w:rPr>
          <w:color w:val="0B2B43" w:themeColor="text2" w:themeShade="80"/>
        </w:rPr>
        <w:t>allocate funding through Research Block Grants (</w:t>
      </w:r>
      <w:proofErr w:type="spellStart"/>
      <w:r w:rsidRPr="004A1196">
        <w:rPr>
          <w:color w:val="0B2B43" w:themeColor="text2" w:themeShade="80"/>
        </w:rPr>
        <w:t>RBG</w:t>
      </w:r>
      <w:proofErr w:type="spellEnd"/>
      <w:r w:rsidRPr="004A1196">
        <w:rPr>
          <w:color w:val="0B2B43" w:themeColor="text2" w:themeShade="80"/>
        </w:rPr>
        <w:t>) in a simpler and more transparent manner</w:t>
      </w:r>
    </w:p>
    <w:p w:rsidR="00CC72F7" w:rsidRPr="004A1196" w:rsidRDefault="00CC72F7" w:rsidP="00CC72F7">
      <w:pPr>
        <w:pStyle w:val="ListParagraph"/>
        <w:numPr>
          <w:ilvl w:val="0"/>
          <w:numId w:val="61"/>
        </w:numPr>
        <w:rPr>
          <w:color w:val="0B2B43" w:themeColor="text2" w:themeShade="80"/>
        </w:rPr>
      </w:pPr>
      <w:r w:rsidRPr="004A1196">
        <w:rPr>
          <w:color w:val="0B2B43" w:themeColor="text2" w:themeShade="80"/>
        </w:rPr>
        <w:t xml:space="preserve">provide incentives to universities to increase and improve engagement and collaboration with business and other </w:t>
      </w:r>
      <w:r w:rsidR="003904BC">
        <w:rPr>
          <w:color w:val="0B2B43" w:themeColor="text2" w:themeShade="80"/>
        </w:rPr>
        <w:t>end user</w:t>
      </w:r>
      <w:r w:rsidRPr="004A1196">
        <w:rPr>
          <w:color w:val="0B2B43" w:themeColor="text2" w:themeShade="80"/>
        </w:rPr>
        <w:t>s</w:t>
      </w:r>
    </w:p>
    <w:p w:rsidR="00CC72F7" w:rsidRPr="004A1196" w:rsidRDefault="00CC72F7" w:rsidP="00CC72F7">
      <w:pPr>
        <w:pStyle w:val="ListParagraph"/>
        <w:numPr>
          <w:ilvl w:val="0"/>
          <w:numId w:val="61"/>
        </w:numPr>
        <w:rPr>
          <w:color w:val="0B2B43" w:themeColor="text2" w:themeShade="80"/>
        </w:rPr>
      </w:pPr>
      <w:r w:rsidRPr="004A1196">
        <w:rPr>
          <w:color w:val="0B2B43" w:themeColor="text2" w:themeShade="80"/>
        </w:rPr>
        <w:t>encourage universities to engage in research commercialisation and knowledge transfer with business and the broader community, including through funding incentives and a focus on more effective management of intellectual property (IP)</w:t>
      </w:r>
    </w:p>
    <w:p w:rsidR="00B54628" w:rsidRPr="004A1196" w:rsidRDefault="00CC72F7" w:rsidP="00CC72F7">
      <w:pPr>
        <w:pStyle w:val="ListParagraph"/>
        <w:numPr>
          <w:ilvl w:val="0"/>
          <w:numId w:val="61"/>
        </w:numPr>
        <w:rPr>
          <w:color w:val="0B2B43" w:themeColor="text2" w:themeShade="80"/>
        </w:rPr>
      </w:pPr>
      <w:proofErr w:type="gramStart"/>
      <w:r w:rsidRPr="004A1196">
        <w:rPr>
          <w:color w:val="0B2B43" w:themeColor="text2" w:themeShade="80"/>
        </w:rPr>
        <w:t>ensure</w:t>
      </w:r>
      <w:proofErr w:type="gramEnd"/>
      <w:r w:rsidRPr="004A1196">
        <w:rPr>
          <w:color w:val="0B2B43" w:themeColor="text2" w:themeShade="80"/>
        </w:rPr>
        <w:t xml:space="preserve"> that competitive grant criteria recognise the quality of the proposal and support the opportunities for commercialisation and collaboration with business.</w:t>
      </w:r>
    </w:p>
    <w:p w:rsidR="00CC72F7" w:rsidRPr="004A1196" w:rsidRDefault="00CC72F7" w:rsidP="00B54628">
      <w:pPr>
        <w:rPr>
          <w:color w:val="0B2B43" w:themeColor="text2" w:themeShade="80"/>
        </w:rPr>
      </w:pPr>
      <w:proofErr w:type="spellStart"/>
      <w:r w:rsidRPr="004A1196">
        <w:rPr>
          <w:color w:val="0B2B43" w:themeColor="text2" w:themeShade="80"/>
        </w:rPr>
        <w:t>RBG</w:t>
      </w:r>
      <w:proofErr w:type="spellEnd"/>
      <w:r w:rsidRPr="004A1196">
        <w:rPr>
          <w:color w:val="0B2B43" w:themeColor="text2" w:themeShade="80"/>
        </w:rPr>
        <w:t xml:space="preserve"> occupied a central place in this review. Funding through </w:t>
      </w:r>
      <w:proofErr w:type="spellStart"/>
      <w:r w:rsidRPr="004A1196">
        <w:rPr>
          <w:color w:val="0B2B43" w:themeColor="text2" w:themeShade="80"/>
        </w:rPr>
        <w:t>RBG</w:t>
      </w:r>
      <w:proofErr w:type="spellEnd"/>
      <w:r w:rsidRPr="004A1196">
        <w:rPr>
          <w:color w:val="0B2B43" w:themeColor="text2" w:themeShade="80"/>
        </w:rPr>
        <w:t xml:space="preserve"> makes an important contribution to supporting the </w:t>
      </w:r>
      <w:r w:rsidR="006314E6">
        <w:rPr>
          <w:color w:val="0B2B43" w:themeColor="text2" w:themeShade="80"/>
        </w:rPr>
        <w:t xml:space="preserve">indirect costs of research, </w:t>
      </w:r>
      <w:r w:rsidR="003904BC">
        <w:rPr>
          <w:color w:val="0B2B43" w:themeColor="text2" w:themeShade="80"/>
        </w:rPr>
        <w:t>end user</w:t>
      </w:r>
      <w:r w:rsidRPr="004A1196">
        <w:rPr>
          <w:color w:val="0B2B43" w:themeColor="text2" w:themeShade="80"/>
        </w:rPr>
        <w:t xml:space="preserve"> engagement and research training. Changes to the architecture over time have resulted in limited policy coherence, introduced unnecessary complexity for little benefit and failed </w:t>
      </w:r>
      <w:proofErr w:type="gramStart"/>
      <w:r w:rsidRPr="004A1196">
        <w:rPr>
          <w:color w:val="0B2B43" w:themeColor="text2" w:themeShade="80"/>
        </w:rPr>
        <w:t>to clearly incentivise</w:t>
      </w:r>
      <w:proofErr w:type="gramEnd"/>
      <w:r w:rsidRPr="004A1196">
        <w:rPr>
          <w:color w:val="0B2B43" w:themeColor="text2" w:themeShade="80"/>
        </w:rPr>
        <w:t xml:space="preserve"> the goal of increasing university engagement with business and other </w:t>
      </w:r>
      <w:r w:rsidR="003904BC">
        <w:rPr>
          <w:color w:val="0B2B43" w:themeColor="text2" w:themeShade="80"/>
        </w:rPr>
        <w:t>end user</w:t>
      </w:r>
      <w:r w:rsidRPr="004A1196">
        <w:rPr>
          <w:color w:val="0B2B43" w:themeColor="text2" w:themeShade="80"/>
        </w:rPr>
        <w:t xml:space="preserve">s. </w:t>
      </w:r>
    </w:p>
    <w:p w:rsidR="00CC72F7" w:rsidRPr="004A1196" w:rsidRDefault="00CC72F7" w:rsidP="00CC72F7">
      <w:pPr>
        <w:rPr>
          <w:color w:val="0B2B43" w:themeColor="text2" w:themeShade="80"/>
        </w:rPr>
      </w:pPr>
      <w:r w:rsidRPr="004A1196">
        <w:rPr>
          <w:color w:val="0B2B43" w:themeColor="text2" w:themeShade="80"/>
        </w:rPr>
        <w:t xml:space="preserve">The report sets out a new model, to commence in 2017, which substantially simplifies </w:t>
      </w:r>
      <w:proofErr w:type="spellStart"/>
      <w:r w:rsidRPr="004A1196">
        <w:rPr>
          <w:color w:val="0B2B43" w:themeColor="text2" w:themeShade="80"/>
        </w:rPr>
        <w:t>RBG</w:t>
      </w:r>
      <w:proofErr w:type="spellEnd"/>
      <w:r w:rsidRPr="004A1196">
        <w:rPr>
          <w:color w:val="0B2B43" w:themeColor="text2" w:themeShade="80"/>
        </w:rPr>
        <w:t xml:space="preserve"> by combining six schemes into two — a Research Support </w:t>
      </w:r>
      <w:r w:rsidR="00E06F4D" w:rsidRPr="004A1196">
        <w:rPr>
          <w:color w:val="0B2B43" w:themeColor="text2" w:themeShade="80"/>
        </w:rPr>
        <w:t xml:space="preserve">(RS) </w:t>
      </w:r>
      <w:r w:rsidR="00956568">
        <w:rPr>
          <w:color w:val="0B2B43" w:themeColor="text2" w:themeShade="80"/>
        </w:rPr>
        <w:t>programme</w:t>
      </w:r>
      <w:r w:rsidRPr="004A1196">
        <w:rPr>
          <w:color w:val="0B2B43" w:themeColor="text2" w:themeShade="80"/>
        </w:rPr>
        <w:t xml:space="preserve"> combining Research Infrastructure Block Grants, Sustainable Research Excellence and Joint Research Engagement</w:t>
      </w:r>
      <w:r w:rsidR="005D41E2">
        <w:rPr>
          <w:color w:val="0B2B43" w:themeColor="text2" w:themeShade="80"/>
        </w:rPr>
        <w:t>,</w:t>
      </w:r>
      <w:r w:rsidRPr="004A1196">
        <w:rPr>
          <w:color w:val="0B2B43" w:themeColor="text2" w:themeShade="80"/>
        </w:rPr>
        <w:t xml:space="preserve"> an</w:t>
      </w:r>
      <w:r w:rsidR="00956568">
        <w:rPr>
          <w:color w:val="0B2B43" w:themeColor="text2" w:themeShade="80"/>
        </w:rPr>
        <w:t xml:space="preserve">d a Research Training (RT) </w:t>
      </w:r>
      <w:proofErr w:type="gramStart"/>
      <w:r w:rsidR="00956568">
        <w:rPr>
          <w:color w:val="0B2B43" w:themeColor="text2" w:themeShade="80"/>
        </w:rPr>
        <w:t>programme</w:t>
      </w:r>
      <w:r w:rsidRPr="004A1196">
        <w:rPr>
          <w:color w:val="0B2B43" w:themeColor="text2" w:themeShade="80"/>
        </w:rPr>
        <w:t xml:space="preserve"> which</w:t>
      </w:r>
      <w:proofErr w:type="gramEnd"/>
      <w:r w:rsidRPr="004A1196">
        <w:rPr>
          <w:color w:val="0B2B43" w:themeColor="text2" w:themeShade="80"/>
        </w:rPr>
        <w:t xml:space="preserve"> combines the current Research Training Scheme, Australian Postgraduate Awards and the International Postgraduate Research Scheme. </w:t>
      </w:r>
    </w:p>
    <w:p w:rsidR="00CC72F7" w:rsidRPr="004A1196" w:rsidRDefault="00CC72F7" w:rsidP="00CC72F7">
      <w:pPr>
        <w:rPr>
          <w:color w:val="0B2B43" w:themeColor="text2" w:themeShade="80"/>
        </w:rPr>
      </w:pPr>
      <w:r w:rsidRPr="004A1196">
        <w:rPr>
          <w:color w:val="0B2B43" w:themeColor="text2" w:themeShade="80"/>
        </w:rPr>
        <w:t>The RS</w:t>
      </w:r>
      <w:r w:rsidR="00B83998">
        <w:rPr>
          <w:color w:val="0B2B43" w:themeColor="text2" w:themeShade="80"/>
        </w:rPr>
        <w:t xml:space="preserve"> programme</w:t>
      </w:r>
      <w:r w:rsidRPr="004A1196">
        <w:rPr>
          <w:color w:val="0B2B43" w:themeColor="text2" w:themeShade="80"/>
        </w:rPr>
        <w:t xml:space="preserve"> recognises that high quality research and </w:t>
      </w:r>
      <w:r w:rsidR="003904BC">
        <w:rPr>
          <w:color w:val="0B2B43" w:themeColor="text2" w:themeShade="80"/>
        </w:rPr>
        <w:t>end user</w:t>
      </w:r>
      <w:r w:rsidRPr="004A1196">
        <w:rPr>
          <w:color w:val="0B2B43" w:themeColor="text2" w:themeShade="80"/>
        </w:rPr>
        <w:t xml:space="preserve"> engagement are equally important goals for</w:t>
      </w:r>
      <w:r w:rsidR="00603434" w:rsidRPr="004A1196">
        <w:rPr>
          <w:color w:val="0B2B43" w:themeColor="text2" w:themeShade="80"/>
        </w:rPr>
        <w:t xml:space="preserve"> </w:t>
      </w:r>
      <w:r w:rsidRPr="004A1196">
        <w:rPr>
          <w:color w:val="0B2B43" w:themeColor="text2" w:themeShade="80"/>
        </w:rPr>
        <w:t xml:space="preserve">publicly funded research and proposes equal weighting be given to two funding drivers to reflect this — competitive grants (Category 1) and business and </w:t>
      </w:r>
      <w:r w:rsidR="003904BC">
        <w:rPr>
          <w:color w:val="0B2B43" w:themeColor="text2" w:themeShade="80"/>
        </w:rPr>
        <w:t>end user</w:t>
      </w:r>
      <w:r w:rsidRPr="004A1196">
        <w:rPr>
          <w:color w:val="0B2B43" w:themeColor="text2" w:themeShade="80"/>
        </w:rPr>
        <w:t xml:space="preserve"> research income (Categories 2, 3 and 4). In relation to the RT</w:t>
      </w:r>
      <w:r w:rsidR="00B83998">
        <w:rPr>
          <w:color w:val="0B2B43" w:themeColor="text2" w:themeShade="80"/>
        </w:rPr>
        <w:t xml:space="preserve"> programme</w:t>
      </w:r>
      <w:r w:rsidRPr="004A1196">
        <w:rPr>
          <w:color w:val="0B2B43" w:themeColor="text2" w:themeShade="80"/>
        </w:rPr>
        <w:t>, the model proposes equal weight be given to student completions, a key measure of the efficiency of the research training system, and research income across Categories 1-4.</w:t>
      </w:r>
      <w:r w:rsidR="00603434" w:rsidRPr="004A1196">
        <w:rPr>
          <w:color w:val="0B2B43" w:themeColor="text2" w:themeShade="80"/>
        </w:rPr>
        <w:t xml:space="preserve"> </w:t>
      </w:r>
    </w:p>
    <w:p w:rsidR="00CC72F7" w:rsidRPr="004A1196" w:rsidRDefault="00CC72F7" w:rsidP="00CC72F7">
      <w:pPr>
        <w:rPr>
          <w:color w:val="0B2B43" w:themeColor="text2" w:themeShade="80"/>
        </w:rPr>
      </w:pPr>
      <w:r w:rsidRPr="004A1196">
        <w:rPr>
          <w:color w:val="0B2B43" w:themeColor="text2" w:themeShade="80"/>
        </w:rPr>
        <w:t xml:space="preserve">Universities are agile institutions well able to respond to the new incentives, and </w:t>
      </w:r>
      <w:proofErr w:type="gramStart"/>
      <w:r w:rsidRPr="004A1196">
        <w:rPr>
          <w:color w:val="0B2B43" w:themeColor="text2" w:themeShade="80"/>
        </w:rPr>
        <w:t>are expected</w:t>
      </w:r>
      <w:proofErr w:type="gramEnd"/>
      <w:r w:rsidRPr="004A1196">
        <w:rPr>
          <w:color w:val="0B2B43" w:themeColor="text2" w:themeShade="80"/>
        </w:rPr>
        <w:t xml:space="preserve"> to start to do so from the start and well before the funding changes fully cut in. That said</w:t>
      </w:r>
      <w:proofErr w:type="gramStart"/>
      <w:r w:rsidRPr="004A1196">
        <w:rPr>
          <w:color w:val="0B2B43" w:themeColor="text2" w:themeShade="80"/>
        </w:rPr>
        <w:t>,</w:t>
      </w:r>
      <w:proofErr w:type="gramEnd"/>
      <w:r w:rsidRPr="004A1196">
        <w:rPr>
          <w:color w:val="0B2B43" w:themeColor="text2" w:themeShade="80"/>
        </w:rPr>
        <w:t xml:space="preserve"> it was recognised that there is a need for transition arrangements over the first four years, so that institutions can meet existing commitments and adjust to new incentives.</w:t>
      </w:r>
      <w:r w:rsidR="00603434" w:rsidRPr="004A1196">
        <w:rPr>
          <w:color w:val="0B2B43" w:themeColor="text2" w:themeShade="80"/>
        </w:rPr>
        <w:t xml:space="preserve"> </w:t>
      </w:r>
    </w:p>
    <w:p w:rsidR="00CC72F7" w:rsidRPr="004A1196" w:rsidRDefault="00CC72F7" w:rsidP="00CC72F7">
      <w:pPr>
        <w:rPr>
          <w:color w:val="0B2B43" w:themeColor="text2" w:themeShade="80"/>
        </w:rPr>
      </w:pPr>
      <w:r w:rsidRPr="004A1196">
        <w:rPr>
          <w:color w:val="0B2B43" w:themeColor="text2" w:themeShade="80"/>
        </w:rPr>
        <w:t xml:space="preserve">In recognition of the Government’s commitment to increasing collaboration between universities and business, the report recommends that modest additional funding of $50 million per annum from 2018 (or sooner if fiscal circumstances permit) be provided to increase the level of engagement incentives under the new </w:t>
      </w:r>
      <w:proofErr w:type="spellStart"/>
      <w:r w:rsidRPr="004A1196">
        <w:rPr>
          <w:color w:val="0B2B43" w:themeColor="text2" w:themeShade="80"/>
        </w:rPr>
        <w:t>RBG</w:t>
      </w:r>
      <w:proofErr w:type="spellEnd"/>
      <w:r w:rsidRPr="004A1196">
        <w:rPr>
          <w:color w:val="0B2B43" w:themeColor="text2" w:themeShade="80"/>
        </w:rPr>
        <w:t xml:space="preserve"> model.</w:t>
      </w:r>
    </w:p>
    <w:p w:rsidR="00CC72F7" w:rsidRPr="004A1196" w:rsidRDefault="00CC72F7" w:rsidP="00CC72F7">
      <w:pPr>
        <w:rPr>
          <w:color w:val="0B2B43" w:themeColor="text2" w:themeShade="80"/>
        </w:rPr>
      </w:pPr>
      <w:r w:rsidRPr="004A1196">
        <w:rPr>
          <w:color w:val="0B2B43" w:themeColor="text2" w:themeShade="80"/>
        </w:rPr>
        <w:t>The review also considered how competitive grants provided through the Australian Research Council (ARC) and the National Health and Medical Research Council (NHMRC) could better support research</w:t>
      </w:r>
      <w:r w:rsidR="00396E5F">
        <w:rPr>
          <w:color w:val="0B2B43" w:themeColor="text2" w:themeShade="80"/>
        </w:rPr>
        <w:t xml:space="preserve"> </w:t>
      </w:r>
      <w:r w:rsidR="003904BC">
        <w:rPr>
          <w:color w:val="0B2B43" w:themeColor="text2" w:themeShade="80"/>
        </w:rPr>
        <w:t>end user</w:t>
      </w:r>
      <w:r w:rsidRPr="004A1196">
        <w:rPr>
          <w:color w:val="0B2B43" w:themeColor="text2" w:themeShade="80"/>
        </w:rPr>
        <w:t xml:space="preserve"> engagement. Linkage Projects is the </w:t>
      </w:r>
      <w:proofErr w:type="spellStart"/>
      <w:r w:rsidRPr="004A1196">
        <w:rPr>
          <w:color w:val="0B2B43" w:themeColor="text2" w:themeShade="80"/>
        </w:rPr>
        <w:t>ARC’s</w:t>
      </w:r>
      <w:proofErr w:type="spellEnd"/>
      <w:r w:rsidRPr="004A1196">
        <w:rPr>
          <w:color w:val="0B2B43" w:themeColor="text2" w:themeShade="80"/>
        </w:rPr>
        <w:t xml:space="preserve"> flagship scheme designed for collaboration between universi</w:t>
      </w:r>
      <w:r w:rsidR="007A63BF">
        <w:rPr>
          <w:color w:val="0B2B43" w:themeColor="text2" w:themeShade="80"/>
        </w:rPr>
        <w:t xml:space="preserve">ties and business and other </w:t>
      </w:r>
      <w:r w:rsidR="003904BC">
        <w:rPr>
          <w:color w:val="0B2B43" w:themeColor="text2" w:themeShade="80"/>
        </w:rPr>
        <w:t>end user</w:t>
      </w:r>
      <w:r w:rsidRPr="004A1196">
        <w:rPr>
          <w:color w:val="0B2B43" w:themeColor="text2" w:themeShade="80"/>
        </w:rPr>
        <w:t>s.</w:t>
      </w:r>
      <w:r w:rsidR="00603434" w:rsidRPr="004A1196">
        <w:rPr>
          <w:color w:val="0B2B43" w:themeColor="text2" w:themeShade="80"/>
        </w:rPr>
        <w:t xml:space="preserve"> </w:t>
      </w:r>
      <w:r w:rsidRPr="004A1196">
        <w:rPr>
          <w:color w:val="0B2B43" w:themeColor="text2" w:themeShade="80"/>
        </w:rPr>
        <w:t xml:space="preserve">The restriction of annual grant rounds presents a barrier to </w:t>
      </w:r>
      <w:proofErr w:type="gramStart"/>
      <w:r w:rsidRPr="004A1196">
        <w:rPr>
          <w:color w:val="0B2B43" w:themeColor="text2" w:themeShade="80"/>
        </w:rPr>
        <w:t>businesses which</w:t>
      </w:r>
      <w:proofErr w:type="gramEnd"/>
      <w:r w:rsidRPr="004A1196">
        <w:rPr>
          <w:color w:val="0B2B43" w:themeColor="text2" w:themeShade="80"/>
        </w:rPr>
        <w:t xml:space="preserve"> need to respond to time critical market or innovation opportunities. The review recommends moving to a continuous round from 1 July 2016 to increase responsiveness to both researcher and business needs. The review also proposes that for businesses with fewer than 20 employees</w:t>
      </w:r>
      <w:r w:rsidR="005D41E2">
        <w:rPr>
          <w:color w:val="0B2B43" w:themeColor="text2" w:themeShade="80"/>
        </w:rPr>
        <w:t>,</w:t>
      </w:r>
      <w:r w:rsidRPr="004A1196">
        <w:rPr>
          <w:color w:val="0B2B43" w:themeColor="text2" w:themeShade="80"/>
        </w:rPr>
        <w:t xml:space="preserve"> the requirement for cash contributions to Linkage Projects </w:t>
      </w:r>
      <w:proofErr w:type="gramStart"/>
      <w:r w:rsidRPr="004A1196">
        <w:rPr>
          <w:color w:val="0B2B43" w:themeColor="text2" w:themeShade="80"/>
        </w:rPr>
        <w:t>be dropped</w:t>
      </w:r>
      <w:proofErr w:type="gramEnd"/>
      <w:r w:rsidRPr="004A1196">
        <w:rPr>
          <w:color w:val="0B2B43" w:themeColor="text2" w:themeShade="80"/>
        </w:rPr>
        <w:t xml:space="preserve">. </w:t>
      </w:r>
    </w:p>
    <w:p w:rsidR="00CC72F7" w:rsidRPr="004A1196" w:rsidRDefault="00CC72F7" w:rsidP="00CC72F7">
      <w:pPr>
        <w:rPr>
          <w:color w:val="0B2B43" w:themeColor="text2" w:themeShade="80"/>
        </w:rPr>
      </w:pPr>
      <w:r w:rsidRPr="004A1196">
        <w:rPr>
          <w:color w:val="0B2B43" w:themeColor="text2" w:themeShade="80"/>
        </w:rPr>
        <w:t>To further strengthen the assessment of ARC grant proposals that have commercialisation and business collaboration potential</w:t>
      </w:r>
      <w:r w:rsidR="005D41E2">
        <w:rPr>
          <w:color w:val="0B2B43" w:themeColor="text2" w:themeShade="80"/>
        </w:rPr>
        <w:t>,</w:t>
      </w:r>
      <w:r w:rsidRPr="004A1196">
        <w:rPr>
          <w:color w:val="0B2B43" w:themeColor="text2" w:themeShade="80"/>
        </w:rPr>
        <w:t xml:space="preserve"> the review recommends the establishment of panels made up of business and industry experts as part of the process of peer review of grants.</w:t>
      </w:r>
    </w:p>
    <w:p w:rsidR="00CC72F7" w:rsidRPr="004A1196" w:rsidRDefault="00CC72F7" w:rsidP="00CC72F7">
      <w:pPr>
        <w:rPr>
          <w:color w:val="0B2B43" w:themeColor="text2" w:themeShade="80"/>
        </w:rPr>
      </w:pPr>
      <w:r w:rsidRPr="004A1196">
        <w:rPr>
          <w:color w:val="0B2B43" w:themeColor="text2" w:themeShade="80"/>
        </w:rPr>
        <w:t xml:space="preserve">The review was concerned about the low and declining success rates across ARC and NHMRC grant programmes and the burden on universities, researchers and partner organisations resulting from these inevitably very high failure rates under currently available funding. The total number of grants submitted for assessment is something that the research councils do not control — it should be the responsibility of universities and research institutes to scrutinise and filter grant applications so that the levels of wasted effort in the system </w:t>
      </w:r>
      <w:proofErr w:type="gramStart"/>
      <w:r w:rsidRPr="004A1196">
        <w:rPr>
          <w:color w:val="0B2B43" w:themeColor="text2" w:themeShade="80"/>
        </w:rPr>
        <w:t>are significantly reduced</w:t>
      </w:r>
      <w:proofErr w:type="gramEnd"/>
      <w:r w:rsidRPr="004A1196">
        <w:rPr>
          <w:color w:val="0B2B43" w:themeColor="text2" w:themeShade="80"/>
        </w:rPr>
        <w:t xml:space="preserve">. Consequently, the review has recommended that institutions apply </w:t>
      </w:r>
      <w:proofErr w:type="gramStart"/>
      <w:r w:rsidRPr="004A1196">
        <w:rPr>
          <w:color w:val="0B2B43" w:themeColor="text2" w:themeShade="80"/>
        </w:rPr>
        <w:t>more stringent control on grant application numbers</w:t>
      </w:r>
      <w:proofErr w:type="gramEnd"/>
      <w:r w:rsidRPr="004A1196">
        <w:rPr>
          <w:color w:val="0B2B43" w:themeColor="text2" w:themeShade="80"/>
        </w:rPr>
        <w:t>.</w:t>
      </w:r>
      <w:r w:rsidR="00603434" w:rsidRPr="004A1196">
        <w:rPr>
          <w:color w:val="0B2B43" w:themeColor="text2" w:themeShade="80"/>
        </w:rPr>
        <w:t xml:space="preserve"> </w:t>
      </w:r>
    </w:p>
    <w:p w:rsidR="00CC72F7" w:rsidRPr="004A1196" w:rsidRDefault="00CC72F7" w:rsidP="00CC72F7">
      <w:pPr>
        <w:rPr>
          <w:color w:val="0B2B43" w:themeColor="text2" w:themeShade="80"/>
        </w:rPr>
      </w:pPr>
      <w:r w:rsidRPr="004A1196">
        <w:rPr>
          <w:color w:val="0B2B43" w:themeColor="text2" w:themeShade="80"/>
        </w:rPr>
        <w:t xml:space="preserve">Collaboration is a contact sport and requires that both university and business sectors improve their capacity to build and maintain productive relationships over time. The review, consistent with its terms of reference, has mainly </w:t>
      </w:r>
      <w:r w:rsidR="00284CE0">
        <w:rPr>
          <w:color w:val="0B2B43" w:themeColor="text2" w:themeShade="80"/>
        </w:rPr>
        <w:t>focused</w:t>
      </w:r>
      <w:r w:rsidRPr="004A1196">
        <w:rPr>
          <w:color w:val="0B2B43" w:themeColor="text2" w:themeShade="80"/>
        </w:rPr>
        <w:t xml:space="preserve"> on policy and programmes within the Education and Training portfolio but recognises the importance of programmes which support business to ‘reach in’ to universities to access business relevant research. Data show</w:t>
      </w:r>
      <w:r w:rsidR="00C87A7C">
        <w:rPr>
          <w:color w:val="0B2B43" w:themeColor="text2" w:themeShade="80"/>
        </w:rPr>
        <w:t>s</w:t>
      </w:r>
      <w:r w:rsidRPr="004A1196">
        <w:rPr>
          <w:color w:val="0B2B43" w:themeColor="text2" w:themeShade="80"/>
        </w:rPr>
        <w:t xml:space="preserve"> that collaboration with researchers, including universities, more than triples the likelihood of business productivity growth. Research Connections, administered by the Department of Industry, Innovation and Science, help</w:t>
      </w:r>
      <w:r w:rsidR="00953C70">
        <w:rPr>
          <w:color w:val="0B2B43" w:themeColor="text2" w:themeShade="80"/>
        </w:rPr>
        <w:t>s</w:t>
      </w:r>
      <w:r w:rsidR="00603434" w:rsidRPr="004A1196">
        <w:rPr>
          <w:color w:val="0B2B43" w:themeColor="text2" w:themeShade="80"/>
        </w:rPr>
        <w:t xml:space="preserve"> small and medium enterprises</w:t>
      </w:r>
      <w:r w:rsidRPr="004A1196">
        <w:rPr>
          <w:color w:val="0B2B43" w:themeColor="text2" w:themeShade="80"/>
        </w:rPr>
        <w:t xml:space="preserve"> </w:t>
      </w:r>
      <w:r w:rsidR="00603434" w:rsidRPr="004A1196">
        <w:rPr>
          <w:color w:val="0B2B43" w:themeColor="text2" w:themeShade="80"/>
        </w:rPr>
        <w:t>(</w:t>
      </w:r>
      <w:proofErr w:type="spellStart"/>
      <w:r w:rsidR="003904BC">
        <w:rPr>
          <w:color w:val="0B2B43" w:themeColor="text2" w:themeShade="80"/>
        </w:rPr>
        <w:t>SME</w:t>
      </w:r>
      <w:proofErr w:type="spellEnd"/>
      <w:r w:rsidR="00603434" w:rsidRPr="004A1196">
        <w:rPr>
          <w:color w:val="0B2B43" w:themeColor="text2" w:themeShade="80"/>
        </w:rPr>
        <w:t>)</w:t>
      </w:r>
      <w:r w:rsidRPr="004A1196">
        <w:rPr>
          <w:color w:val="0B2B43" w:themeColor="text2" w:themeShade="80"/>
        </w:rPr>
        <w:t xml:space="preserve"> to identify their research needs and purchase relevant research. There is evidence that this programme supports a valu</w:t>
      </w:r>
      <w:r w:rsidR="00513A34">
        <w:rPr>
          <w:color w:val="0B2B43" w:themeColor="text2" w:themeShade="80"/>
        </w:rPr>
        <w:t>able</w:t>
      </w:r>
      <w:r w:rsidRPr="004A1196">
        <w:rPr>
          <w:color w:val="0B2B43" w:themeColor="text2" w:themeShade="80"/>
        </w:rPr>
        <w:t xml:space="preserve"> first step in </w:t>
      </w:r>
      <w:proofErr w:type="gramStart"/>
      <w:r w:rsidRPr="004A1196">
        <w:rPr>
          <w:color w:val="0B2B43" w:themeColor="text2" w:themeShade="80"/>
        </w:rPr>
        <w:t>collaboration which</w:t>
      </w:r>
      <w:proofErr w:type="gramEnd"/>
      <w:r w:rsidRPr="004A1196">
        <w:rPr>
          <w:color w:val="0B2B43" w:themeColor="text2" w:themeShade="80"/>
        </w:rPr>
        <w:t xml:space="preserve"> provides the foundation for continuing engagement. The report therefore recommends that the current programme </w:t>
      </w:r>
      <w:proofErr w:type="gramStart"/>
      <w:r w:rsidRPr="004A1196">
        <w:rPr>
          <w:color w:val="0B2B43" w:themeColor="text2" w:themeShade="80"/>
        </w:rPr>
        <w:t>be expanded</w:t>
      </w:r>
      <w:proofErr w:type="gramEnd"/>
      <w:r w:rsidRPr="004A1196">
        <w:rPr>
          <w:color w:val="0B2B43" w:themeColor="text2" w:themeShade="80"/>
        </w:rPr>
        <w:t xml:space="preserve"> to provide new funding of around $25 million ove</w:t>
      </w:r>
      <w:r w:rsidR="00953C70">
        <w:rPr>
          <w:color w:val="0B2B43" w:themeColor="text2" w:themeShade="80"/>
        </w:rPr>
        <w:t>r the next four years from 2016</w:t>
      </w:r>
      <w:r w:rsidR="00953C70">
        <w:rPr>
          <w:color w:val="0B2B43" w:themeColor="text2" w:themeShade="80"/>
        </w:rPr>
        <w:noBreakHyphen/>
      </w:r>
      <w:r w:rsidRPr="004A1196">
        <w:rPr>
          <w:color w:val="0B2B43" w:themeColor="text2" w:themeShade="80"/>
        </w:rPr>
        <w:t>17. Businesses need to be able to access information about relevant research and connect with researchers. To assist this, the review supports speedy implementation of the Industry Department’s online access point, under development, which will provide this information.</w:t>
      </w:r>
    </w:p>
    <w:p w:rsidR="00CC72F7" w:rsidRPr="004A1196" w:rsidRDefault="00CC72F7" w:rsidP="00CC72F7">
      <w:pPr>
        <w:rPr>
          <w:color w:val="0B2B43" w:themeColor="text2" w:themeShade="80"/>
        </w:rPr>
      </w:pPr>
      <w:r w:rsidRPr="004A1196">
        <w:rPr>
          <w:color w:val="0B2B43" w:themeColor="text2" w:themeShade="80"/>
        </w:rPr>
        <w:t xml:space="preserve">Including business placements as part of PhD research training is an effective way of driving change. The business benefits from access to </w:t>
      </w:r>
      <w:proofErr w:type="gramStart"/>
      <w:r w:rsidRPr="004A1196">
        <w:rPr>
          <w:color w:val="0B2B43" w:themeColor="text2" w:themeShade="80"/>
        </w:rPr>
        <w:t>high level</w:t>
      </w:r>
      <w:proofErr w:type="gramEnd"/>
      <w:r w:rsidRPr="004A1196">
        <w:rPr>
          <w:color w:val="0B2B43" w:themeColor="text2" w:themeShade="80"/>
        </w:rPr>
        <w:t xml:space="preserve"> research skills applied to their specific needs and the student develops an understanding of the value of business relevant research and builds skills for future employment. The review commends university programmes already in </w:t>
      </w:r>
      <w:proofErr w:type="gramStart"/>
      <w:r w:rsidRPr="004A1196">
        <w:rPr>
          <w:color w:val="0B2B43" w:themeColor="text2" w:themeShade="80"/>
        </w:rPr>
        <w:t>operation which</w:t>
      </w:r>
      <w:proofErr w:type="gramEnd"/>
      <w:r w:rsidRPr="004A1196">
        <w:rPr>
          <w:color w:val="0B2B43" w:themeColor="text2" w:themeShade="80"/>
        </w:rPr>
        <w:t xml:space="preserve"> provide for business placements but concluded the scale of these is small.</w:t>
      </w:r>
      <w:r w:rsidR="00603434" w:rsidRPr="004A1196">
        <w:rPr>
          <w:color w:val="0B2B43" w:themeColor="text2" w:themeShade="80"/>
        </w:rPr>
        <w:t xml:space="preserve"> </w:t>
      </w:r>
      <w:r w:rsidRPr="004A1196">
        <w:rPr>
          <w:color w:val="0B2B43" w:themeColor="text2" w:themeShade="80"/>
        </w:rPr>
        <w:t xml:space="preserve">It therefore recommends funding for a new PhD business placement initiative to support an additional 700 </w:t>
      </w:r>
      <w:r w:rsidR="00513A34">
        <w:rPr>
          <w:color w:val="0B2B43" w:themeColor="text2" w:themeShade="80"/>
        </w:rPr>
        <w:t>placements</w:t>
      </w:r>
      <w:r w:rsidRPr="004A1196">
        <w:rPr>
          <w:color w:val="0B2B43" w:themeColor="text2" w:themeShade="80"/>
        </w:rPr>
        <w:t xml:space="preserve"> per year, at a cost of $12.5 million.</w:t>
      </w:r>
      <w:r w:rsidR="00603434" w:rsidRPr="004A1196">
        <w:rPr>
          <w:color w:val="0B2B43" w:themeColor="text2" w:themeShade="80"/>
        </w:rPr>
        <w:t xml:space="preserve"> </w:t>
      </w:r>
    </w:p>
    <w:p w:rsidR="00CC72F7" w:rsidRPr="004A1196" w:rsidRDefault="00CC72F7" w:rsidP="00CC72F7">
      <w:pPr>
        <w:rPr>
          <w:color w:val="0B2B43" w:themeColor="text2" w:themeShade="80"/>
        </w:rPr>
      </w:pPr>
      <w:r w:rsidRPr="004A1196">
        <w:rPr>
          <w:color w:val="0B2B43" w:themeColor="text2" w:themeShade="80"/>
        </w:rPr>
        <w:t xml:space="preserve">The report considered opportunities to improve the management of intellectual property created by university research. There are </w:t>
      </w:r>
      <w:proofErr w:type="gramStart"/>
      <w:r w:rsidRPr="004A1196">
        <w:rPr>
          <w:color w:val="0B2B43" w:themeColor="text2" w:themeShade="80"/>
        </w:rPr>
        <w:t>a range</w:t>
      </w:r>
      <w:proofErr w:type="gramEnd"/>
      <w:r w:rsidRPr="004A1196">
        <w:rPr>
          <w:color w:val="0B2B43" w:themeColor="text2" w:themeShade="80"/>
        </w:rPr>
        <w:t xml:space="preserve"> of initiatives underway which focus o</w:t>
      </w:r>
      <w:r w:rsidR="00513A34">
        <w:rPr>
          <w:color w:val="0B2B43" w:themeColor="text2" w:themeShade="80"/>
        </w:rPr>
        <w:t>n</w:t>
      </w:r>
      <w:r w:rsidRPr="004A1196">
        <w:rPr>
          <w:color w:val="0B2B43" w:themeColor="text2" w:themeShade="80"/>
        </w:rPr>
        <w:t xml:space="preserve"> making IP more openly available including Source IP, Easy Access IP and simplified contracting arrangements such as the IP Toolkit. The report proposes that the ARC and NHMRC require use of these arrangements as a condition of funding. Importantly, the Productivity Commission is conducting a broad ranging inquiry into Australia’s IP arrangements. The review assessed a ‘use it or lose it’ approach to IP which would require universities to either make IP from publicly funded research openly accessible or take steps to commercialise it within a specified timeframe. While it has attractions, given the complexities involved in this approach, the report recommends that the existing PC inquiry </w:t>
      </w:r>
      <w:proofErr w:type="gramStart"/>
      <w:r w:rsidRPr="004A1196">
        <w:rPr>
          <w:color w:val="0B2B43" w:themeColor="text2" w:themeShade="80"/>
        </w:rPr>
        <w:t>be asked</w:t>
      </w:r>
      <w:proofErr w:type="gramEnd"/>
      <w:r w:rsidRPr="004A1196">
        <w:rPr>
          <w:color w:val="0B2B43" w:themeColor="text2" w:themeShade="80"/>
        </w:rPr>
        <w:t xml:space="preserve"> to look into the feasibility of implementing this approach.</w:t>
      </w:r>
    </w:p>
    <w:p w:rsidR="00CC72F7" w:rsidRPr="004A1196" w:rsidRDefault="00CC72F7" w:rsidP="00CC72F7">
      <w:pPr>
        <w:rPr>
          <w:color w:val="0B2B43" w:themeColor="text2" w:themeShade="80"/>
        </w:rPr>
      </w:pPr>
      <w:r w:rsidRPr="004A1196">
        <w:rPr>
          <w:color w:val="0B2B43" w:themeColor="text2" w:themeShade="80"/>
        </w:rPr>
        <w:t xml:space="preserve">While Australia is globally recognised as producing high quality research we do not have a comprehensive approach to assessing the economic, social and other benefits of that research — commonly referred to as the ‘impact’ of research. The report recommends that Australia implement an impact and engagement framework, drawing on the lessons from the United Kingdom’s approach to </w:t>
      </w:r>
      <w:proofErr w:type="gramStart"/>
      <w:r w:rsidRPr="004A1196">
        <w:rPr>
          <w:color w:val="0B2B43" w:themeColor="text2" w:themeShade="80"/>
        </w:rPr>
        <w:t>impact</w:t>
      </w:r>
      <w:proofErr w:type="gramEnd"/>
      <w:r w:rsidRPr="004A1196">
        <w:rPr>
          <w:color w:val="0B2B43" w:themeColor="text2" w:themeShade="80"/>
        </w:rPr>
        <w:t xml:space="preserve"> assessment. The new initiative would sit alongside Excellence in Research for Australia (ERA), which measures quality. It would combine metrics, including the Research Engagement for Australia developed by the Australian Academy of Technology and Engineering, with case studies and expert review. Details of the assessment </w:t>
      </w:r>
      <w:proofErr w:type="gramStart"/>
      <w:r w:rsidRPr="004A1196">
        <w:rPr>
          <w:color w:val="0B2B43" w:themeColor="text2" w:themeShade="80"/>
        </w:rPr>
        <w:t>would be settled</w:t>
      </w:r>
      <w:proofErr w:type="gramEnd"/>
      <w:r w:rsidRPr="004A1196">
        <w:rPr>
          <w:color w:val="0B2B43" w:themeColor="text2" w:themeShade="80"/>
        </w:rPr>
        <w:t xml:space="preserve"> in 2016 and the approach piloted in 2017. ERA and the new impact and engagement assessment </w:t>
      </w:r>
      <w:proofErr w:type="gramStart"/>
      <w:r w:rsidRPr="004A1196">
        <w:rPr>
          <w:color w:val="0B2B43" w:themeColor="text2" w:themeShade="80"/>
        </w:rPr>
        <w:t>should be conducted</w:t>
      </w:r>
      <w:proofErr w:type="gramEnd"/>
      <w:r w:rsidRPr="004A1196">
        <w:rPr>
          <w:color w:val="0B2B43" w:themeColor="text2" w:themeShade="80"/>
        </w:rPr>
        <w:t xml:space="preserve"> every three years to provide a comprehensive assessment of the university research system.</w:t>
      </w:r>
      <w:r w:rsidR="00603434" w:rsidRPr="004A1196">
        <w:rPr>
          <w:color w:val="0B2B43" w:themeColor="text2" w:themeShade="80"/>
        </w:rPr>
        <w:t xml:space="preserve"> </w:t>
      </w:r>
    </w:p>
    <w:p w:rsidR="006327B5" w:rsidRPr="004A1196" w:rsidRDefault="00CC72F7" w:rsidP="00CC72F7">
      <w:pPr>
        <w:rPr>
          <w:color w:val="0B2B43" w:themeColor="text2" w:themeShade="80"/>
        </w:rPr>
      </w:pPr>
      <w:r w:rsidRPr="004A1196">
        <w:rPr>
          <w:color w:val="0B2B43" w:themeColor="text2" w:themeShade="80"/>
        </w:rPr>
        <w:t xml:space="preserve">The review noted work already underway to develop a whole of system assessment of the publicly funded research system and urges acceleration of this activity. Based on this work, the Minister for Education and Training, in consultation with the Minister for Industry, Innovation and Science and the Minister for Health, in addition to other relevant Ministers, </w:t>
      </w:r>
      <w:r w:rsidR="00D4159A">
        <w:rPr>
          <w:color w:val="0B2B43" w:themeColor="text2" w:themeShade="80"/>
        </w:rPr>
        <w:t xml:space="preserve">should </w:t>
      </w:r>
      <w:r w:rsidRPr="004A1196">
        <w:rPr>
          <w:color w:val="0B2B43" w:themeColor="text2" w:themeShade="80"/>
        </w:rPr>
        <w:t xml:space="preserve">take the lead on assessing the performance of the system annually and advise Government on current and emerging issues to inform future policy decisions. </w:t>
      </w:r>
    </w:p>
    <w:p w:rsidR="006327B5" w:rsidRPr="004A1196" w:rsidRDefault="006327B5" w:rsidP="0008103C">
      <w:pPr>
        <w:tabs>
          <w:tab w:val="left" w:pos="8364"/>
        </w:tabs>
        <w:spacing w:before="0" w:after="200" w:line="276" w:lineRule="auto"/>
        <w:rPr>
          <w:color w:val="0B2B43" w:themeColor="text2" w:themeShade="80"/>
        </w:rPr>
      </w:pPr>
      <w:r w:rsidRPr="004A1196">
        <w:rPr>
          <w:color w:val="0B2B43" w:themeColor="text2" w:themeShade="80"/>
        </w:rPr>
        <w:br w:type="page"/>
      </w:r>
    </w:p>
    <w:p w:rsidR="006327B5" w:rsidRPr="004A1196" w:rsidRDefault="006327B5" w:rsidP="00CC72F7">
      <w:pPr>
        <w:rPr>
          <w:color w:val="0B2B43" w:themeColor="text2" w:themeShade="80"/>
        </w:rPr>
        <w:sectPr w:rsidR="006327B5" w:rsidRPr="004A1196" w:rsidSect="00B31B2A">
          <w:headerReference w:type="default" r:id="rId24"/>
          <w:type w:val="continuous"/>
          <w:pgSz w:w="11906" w:h="16838"/>
          <w:pgMar w:top="1440" w:right="1416" w:bottom="1440" w:left="1440" w:header="709" w:footer="1009" w:gutter="0"/>
          <w:pgNumType w:fmt="lowerRoman"/>
          <w:cols w:space="708"/>
          <w:docGrid w:linePitch="360"/>
        </w:sectPr>
      </w:pPr>
    </w:p>
    <w:p w:rsidR="00CC72F7" w:rsidRPr="004A1196" w:rsidRDefault="006327B5" w:rsidP="006327B5">
      <w:pPr>
        <w:pStyle w:val="RIHeading1"/>
        <w:rPr>
          <w:color w:val="0B2B43" w:themeColor="text2" w:themeShade="80"/>
        </w:rPr>
      </w:pPr>
      <w:bookmarkStart w:id="3" w:name="_Toc436664669"/>
      <w:bookmarkStart w:id="4" w:name="_Toc436664811"/>
      <w:bookmarkStart w:id="5" w:name="_Toc436665026"/>
      <w:bookmarkStart w:id="6" w:name="_Toc436666143"/>
      <w:bookmarkStart w:id="7" w:name="_Toc436666850"/>
      <w:bookmarkStart w:id="8" w:name="_Toc436666968"/>
      <w:bookmarkStart w:id="9" w:name="_Toc440378831"/>
      <w:r w:rsidRPr="004A1196">
        <w:rPr>
          <w:color w:val="0B2B43" w:themeColor="text2" w:themeShade="80"/>
        </w:rPr>
        <w:t>Summary of recommendations</w:t>
      </w:r>
      <w:bookmarkEnd w:id="3"/>
      <w:bookmarkEnd w:id="4"/>
      <w:bookmarkEnd w:id="5"/>
      <w:bookmarkEnd w:id="6"/>
      <w:bookmarkEnd w:id="7"/>
      <w:bookmarkEnd w:id="8"/>
      <w:bookmarkEnd w:id="9"/>
    </w:p>
    <w:p w:rsidR="00CD34BE" w:rsidRDefault="00CD34BE" w:rsidP="00D85AA4">
      <w:pPr>
        <w:pStyle w:val="RIHeading2"/>
        <w:rPr>
          <w:rFonts w:eastAsia="Calibri"/>
        </w:rPr>
      </w:pPr>
      <w:r>
        <w:rPr>
          <w:rFonts w:eastAsia="Calibri"/>
        </w:rPr>
        <w:t>Research Block Grants</w:t>
      </w:r>
    </w:p>
    <w:p w:rsidR="00513A34" w:rsidRPr="00D85AA4" w:rsidRDefault="00513A34" w:rsidP="00D85AA4">
      <w:pPr>
        <w:pStyle w:val="RIHeading3"/>
        <w:spacing w:before="240"/>
        <w:rPr>
          <w:rFonts w:eastAsia="Calibri"/>
          <w:sz w:val="24"/>
          <w:szCs w:val="24"/>
        </w:rPr>
      </w:pPr>
      <w:r w:rsidRPr="00D85AA4">
        <w:rPr>
          <w:rFonts w:eastAsia="Calibri"/>
          <w:sz w:val="24"/>
          <w:szCs w:val="24"/>
        </w:rPr>
        <w:t>Research Support</w:t>
      </w:r>
    </w:p>
    <w:p w:rsidR="006327B5" w:rsidRPr="004A1196" w:rsidRDefault="006327B5" w:rsidP="00903575">
      <w:pPr>
        <w:pStyle w:val="ListParagraph"/>
        <w:numPr>
          <w:ilvl w:val="0"/>
          <w:numId w:val="34"/>
        </w:numPr>
        <w:spacing w:before="240" w:after="120"/>
        <w:ind w:left="357" w:hanging="357"/>
        <w:contextualSpacing w:val="0"/>
        <w:rPr>
          <w:rFonts w:eastAsia="Calibri"/>
          <w:color w:val="0B2B43" w:themeColor="text2" w:themeShade="80"/>
        </w:rPr>
      </w:pPr>
      <w:r w:rsidRPr="004A1196">
        <w:rPr>
          <w:rFonts w:eastAsia="Calibri"/>
          <w:color w:val="0B2B43" w:themeColor="text2" w:themeShade="80"/>
        </w:rPr>
        <w:t>The review recommends that, commencing in the 2017 calendar year, the Australian Government should introduce the following arrangements to simplify the Research Block Grants and to provide greater encouragement of engagement and innovation in research and research training:</w:t>
      </w:r>
    </w:p>
    <w:p w:rsidR="006327B5" w:rsidRPr="004A1196" w:rsidRDefault="006327B5" w:rsidP="005B6E3F">
      <w:pPr>
        <w:pStyle w:val="ListParagraph"/>
        <w:numPr>
          <w:ilvl w:val="1"/>
          <w:numId w:val="34"/>
        </w:numPr>
        <w:spacing w:after="120"/>
        <w:ind w:left="1077" w:hanging="357"/>
        <w:contextualSpacing w:val="0"/>
        <w:rPr>
          <w:rFonts w:eastAsia="Calibri"/>
          <w:color w:val="0B2B43" w:themeColor="text2" w:themeShade="80"/>
        </w:rPr>
      </w:pPr>
      <w:r w:rsidRPr="004A1196">
        <w:rPr>
          <w:rFonts w:eastAsia="Calibri"/>
          <w:color w:val="0B2B43" w:themeColor="text2" w:themeShade="80"/>
        </w:rPr>
        <w:t xml:space="preserve">Simplify arrangements for research support and increase incentives for business and other research </w:t>
      </w:r>
      <w:r w:rsidR="003904BC">
        <w:rPr>
          <w:rFonts w:eastAsia="Calibri"/>
          <w:color w:val="0B2B43" w:themeColor="text2" w:themeShade="80"/>
        </w:rPr>
        <w:t>end user</w:t>
      </w:r>
      <w:r w:rsidRPr="004A1196">
        <w:rPr>
          <w:rFonts w:eastAsia="Calibri"/>
          <w:color w:val="0B2B43" w:themeColor="text2" w:themeShade="80"/>
        </w:rPr>
        <w:t xml:space="preserve"> engagement by combining the three schemes which provide research support, using drivers which equally reward excellence and </w:t>
      </w:r>
      <w:r w:rsidR="003904BC">
        <w:rPr>
          <w:rFonts w:eastAsia="Calibri"/>
          <w:color w:val="0B2B43" w:themeColor="text2" w:themeShade="80"/>
        </w:rPr>
        <w:t>end user</w:t>
      </w:r>
      <w:r w:rsidRPr="004A1196">
        <w:rPr>
          <w:rFonts w:eastAsia="Calibri"/>
          <w:color w:val="0B2B43" w:themeColor="text2" w:themeShade="80"/>
        </w:rPr>
        <w:t xml:space="preserve"> engagement:</w:t>
      </w:r>
    </w:p>
    <w:p w:rsidR="006327B5" w:rsidRPr="004A1196" w:rsidRDefault="006327B5" w:rsidP="00903575">
      <w:pPr>
        <w:pStyle w:val="ListParagraph"/>
        <w:numPr>
          <w:ilvl w:val="2"/>
          <w:numId w:val="34"/>
        </w:numPr>
        <w:spacing w:after="120"/>
        <w:ind w:left="1803" w:hanging="181"/>
        <w:contextualSpacing w:val="0"/>
        <w:rPr>
          <w:rFonts w:eastAsia="Calibri"/>
          <w:color w:val="0B2B43" w:themeColor="text2" w:themeShade="80"/>
        </w:rPr>
      </w:pPr>
      <w:r w:rsidRPr="004A1196">
        <w:rPr>
          <w:rFonts w:eastAsia="Calibri"/>
          <w:color w:val="0B2B43" w:themeColor="text2" w:themeShade="80"/>
        </w:rPr>
        <w:t>50 per cent based on Category 1 research income to support the indirect costs of Australian competitive grants</w:t>
      </w:r>
    </w:p>
    <w:p w:rsidR="006327B5" w:rsidRPr="004A1196" w:rsidRDefault="00A22775" w:rsidP="00CD34BE">
      <w:pPr>
        <w:pStyle w:val="ListParagraph"/>
        <w:numPr>
          <w:ilvl w:val="2"/>
          <w:numId w:val="34"/>
        </w:numPr>
        <w:rPr>
          <w:rFonts w:eastAsia="Calibri"/>
          <w:color w:val="0B2B43" w:themeColor="text2" w:themeShade="80"/>
        </w:rPr>
      </w:pPr>
      <w:proofErr w:type="gramStart"/>
      <w:r>
        <w:rPr>
          <w:rFonts w:eastAsia="Calibri"/>
          <w:color w:val="0B2B43" w:themeColor="text2" w:themeShade="80"/>
        </w:rPr>
        <w:t>50 per cent</w:t>
      </w:r>
      <w:proofErr w:type="gramEnd"/>
      <w:r>
        <w:rPr>
          <w:rFonts w:eastAsia="Calibri"/>
          <w:color w:val="0B2B43" w:themeColor="text2" w:themeShade="80"/>
        </w:rPr>
        <w:t xml:space="preserve"> based on Category</w:t>
      </w:r>
      <w:r w:rsidR="006327B5" w:rsidRPr="004A1196">
        <w:rPr>
          <w:rFonts w:eastAsia="Calibri"/>
          <w:color w:val="0B2B43" w:themeColor="text2" w:themeShade="80"/>
        </w:rPr>
        <w:t xml:space="preserve"> 2</w:t>
      </w:r>
      <w:r>
        <w:rPr>
          <w:rFonts w:eastAsia="Calibri"/>
          <w:color w:val="0B2B43" w:themeColor="text2" w:themeShade="80"/>
        </w:rPr>
        <w:t>-</w:t>
      </w:r>
      <w:r w:rsidR="006327B5" w:rsidRPr="004A1196">
        <w:rPr>
          <w:rFonts w:eastAsia="Calibri"/>
          <w:color w:val="0B2B43" w:themeColor="text2" w:themeShade="80"/>
        </w:rPr>
        <w:t xml:space="preserve">4 research income to support business and other research </w:t>
      </w:r>
      <w:r w:rsidR="003904BC">
        <w:rPr>
          <w:rFonts w:eastAsia="Calibri"/>
          <w:color w:val="0B2B43" w:themeColor="text2" w:themeShade="80"/>
        </w:rPr>
        <w:t>end user</w:t>
      </w:r>
      <w:r w:rsidR="006327B5" w:rsidRPr="004A1196">
        <w:rPr>
          <w:rFonts w:eastAsia="Calibri"/>
          <w:color w:val="0B2B43" w:themeColor="text2" w:themeShade="80"/>
        </w:rPr>
        <w:t xml:space="preserve"> engagement</w:t>
      </w:r>
      <w:r w:rsidR="0054204A">
        <w:rPr>
          <w:rFonts w:eastAsia="Calibri"/>
          <w:color w:val="0B2B43" w:themeColor="text2" w:themeShade="80"/>
        </w:rPr>
        <w:t>.</w:t>
      </w:r>
    </w:p>
    <w:p w:rsidR="006327B5" w:rsidRPr="00D85AA4" w:rsidRDefault="006327B5" w:rsidP="00D85AA4">
      <w:pPr>
        <w:pStyle w:val="RIHeading3"/>
        <w:spacing w:before="240"/>
        <w:rPr>
          <w:rFonts w:eastAsia="Calibri"/>
          <w:sz w:val="24"/>
          <w:szCs w:val="24"/>
        </w:rPr>
      </w:pPr>
      <w:r w:rsidRPr="00D85AA4">
        <w:rPr>
          <w:rFonts w:eastAsia="Calibri"/>
          <w:sz w:val="24"/>
          <w:szCs w:val="24"/>
        </w:rPr>
        <w:t>Research Training</w:t>
      </w:r>
    </w:p>
    <w:p w:rsidR="006327B5" w:rsidRPr="004A1196" w:rsidRDefault="006327B5" w:rsidP="00903575">
      <w:pPr>
        <w:pStyle w:val="ListParagraph"/>
        <w:numPr>
          <w:ilvl w:val="0"/>
          <w:numId w:val="34"/>
        </w:numPr>
        <w:spacing w:before="240" w:after="120"/>
        <w:ind w:left="357" w:hanging="357"/>
        <w:contextualSpacing w:val="0"/>
        <w:rPr>
          <w:rFonts w:eastAsia="Calibri"/>
          <w:b/>
          <w:i/>
          <w:color w:val="0B2B43" w:themeColor="text2" w:themeShade="80"/>
        </w:rPr>
      </w:pPr>
      <w:r w:rsidRPr="004A1196">
        <w:rPr>
          <w:rFonts w:eastAsia="Calibri"/>
          <w:color w:val="0B2B43" w:themeColor="text2" w:themeShade="80"/>
        </w:rPr>
        <w:t xml:space="preserve">Simplify </w:t>
      </w:r>
      <w:r w:rsidRPr="00903575">
        <w:rPr>
          <w:color w:val="0B2B43" w:themeColor="text2" w:themeShade="80"/>
        </w:rPr>
        <w:t>arrangements</w:t>
      </w:r>
      <w:r w:rsidRPr="004A1196">
        <w:rPr>
          <w:rFonts w:eastAsia="Calibri"/>
          <w:color w:val="0B2B43" w:themeColor="text2" w:themeShade="80"/>
        </w:rPr>
        <w:t xml:space="preserve"> for research training funding by combining the three schemes which support this function, using the following drivers:</w:t>
      </w:r>
    </w:p>
    <w:p w:rsidR="006327B5" w:rsidRPr="004A1196" w:rsidRDefault="006327B5" w:rsidP="00903575">
      <w:pPr>
        <w:pStyle w:val="ListParagraph"/>
        <w:numPr>
          <w:ilvl w:val="1"/>
          <w:numId w:val="34"/>
        </w:numPr>
        <w:spacing w:after="120"/>
        <w:ind w:left="1077" w:hanging="357"/>
        <w:contextualSpacing w:val="0"/>
        <w:rPr>
          <w:rFonts w:eastAsia="Calibri"/>
          <w:color w:val="0B2B43" w:themeColor="text2" w:themeShade="80"/>
        </w:rPr>
      </w:pPr>
      <w:r w:rsidRPr="004A1196">
        <w:rPr>
          <w:rFonts w:eastAsia="Calibri"/>
          <w:color w:val="0B2B43" w:themeColor="text2" w:themeShade="80"/>
        </w:rPr>
        <w:t>50 per cent student completions</w:t>
      </w:r>
    </w:p>
    <w:p w:rsidR="006327B5" w:rsidRPr="004A1196" w:rsidRDefault="00A22775" w:rsidP="00903575">
      <w:pPr>
        <w:pStyle w:val="ListParagraph"/>
        <w:numPr>
          <w:ilvl w:val="1"/>
          <w:numId w:val="34"/>
        </w:numPr>
        <w:spacing w:after="120"/>
        <w:ind w:left="1077" w:hanging="357"/>
        <w:contextualSpacing w:val="0"/>
        <w:rPr>
          <w:rFonts w:eastAsia="Calibri"/>
          <w:color w:val="0B2B43" w:themeColor="text2" w:themeShade="80"/>
        </w:rPr>
      </w:pPr>
      <w:proofErr w:type="gramStart"/>
      <w:r>
        <w:rPr>
          <w:rFonts w:eastAsia="Calibri"/>
          <w:color w:val="0B2B43" w:themeColor="text2" w:themeShade="80"/>
        </w:rPr>
        <w:t>50 per cent</w:t>
      </w:r>
      <w:proofErr w:type="gramEnd"/>
      <w:r>
        <w:rPr>
          <w:rFonts w:eastAsia="Calibri"/>
          <w:color w:val="0B2B43" w:themeColor="text2" w:themeShade="80"/>
        </w:rPr>
        <w:t xml:space="preserve"> Category</w:t>
      </w:r>
      <w:r w:rsidR="003022F2">
        <w:rPr>
          <w:rFonts w:eastAsia="Calibri"/>
          <w:color w:val="0B2B43" w:themeColor="text2" w:themeShade="80"/>
        </w:rPr>
        <w:t xml:space="preserve"> 1-</w:t>
      </w:r>
      <w:r w:rsidR="006327B5" w:rsidRPr="004A1196">
        <w:rPr>
          <w:rFonts w:eastAsia="Calibri"/>
          <w:color w:val="0B2B43" w:themeColor="text2" w:themeShade="80"/>
        </w:rPr>
        <w:t>4 research income, with equal weighting to be given t</w:t>
      </w:r>
      <w:r w:rsidR="003022F2">
        <w:rPr>
          <w:rFonts w:eastAsia="Calibri"/>
          <w:color w:val="0B2B43" w:themeColor="text2" w:themeShade="80"/>
        </w:rPr>
        <w:t xml:space="preserve">o </w:t>
      </w:r>
      <w:r>
        <w:rPr>
          <w:rFonts w:eastAsia="Calibri"/>
          <w:color w:val="0B2B43" w:themeColor="text2" w:themeShade="80"/>
        </w:rPr>
        <w:t>Category 1 income and Category</w:t>
      </w:r>
      <w:r w:rsidR="006327B5" w:rsidRPr="004A1196">
        <w:rPr>
          <w:rFonts w:eastAsia="Calibri"/>
          <w:color w:val="0B2B43" w:themeColor="text2" w:themeShade="80"/>
        </w:rPr>
        <w:t xml:space="preserve"> 2-4 income</w:t>
      </w:r>
      <w:r w:rsidR="0054204A">
        <w:rPr>
          <w:rFonts w:eastAsia="Calibri"/>
          <w:color w:val="0B2B43" w:themeColor="text2" w:themeShade="80"/>
        </w:rPr>
        <w:t>.</w:t>
      </w:r>
    </w:p>
    <w:p w:rsidR="006327B5" w:rsidRPr="00D85AA4" w:rsidRDefault="006327B5" w:rsidP="00D85AA4">
      <w:pPr>
        <w:pStyle w:val="RIHeading3"/>
        <w:spacing w:before="240"/>
        <w:rPr>
          <w:rFonts w:eastAsia="Calibri" w:cs="Times New Roman"/>
          <w:sz w:val="24"/>
          <w:szCs w:val="24"/>
        </w:rPr>
      </w:pPr>
      <w:r w:rsidRPr="00D85AA4">
        <w:rPr>
          <w:rFonts w:eastAsia="Calibri"/>
          <w:sz w:val="24"/>
          <w:szCs w:val="24"/>
        </w:rPr>
        <w:t>Transition to new arrangements</w:t>
      </w:r>
    </w:p>
    <w:p w:rsidR="006327B5" w:rsidRPr="004A1196" w:rsidRDefault="006327B5" w:rsidP="00903575">
      <w:pPr>
        <w:pStyle w:val="ListParagraph"/>
        <w:numPr>
          <w:ilvl w:val="0"/>
          <w:numId w:val="34"/>
        </w:numPr>
        <w:spacing w:before="240" w:after="120"/>
        <w:ind w:left="357" w:hanging="357"/>
        <w:contextualSpacing w:val="0"/>
        <w:rPr>
          <w:rFonts w:eastAsia="Calibri"/>
          <w:color w:val="0B2B43" w:themeColor="text2" w:themeShade="80"/>
        </w:rPr>
      </w:pPr>
      <w:r w:rsidRPr="004A1196">
        <w:rPr>
          <w:rFonts w:eastAsia="Calibri"/>
          <w:color w:val="0B2B43" w:themeColor="text2" w:themeShade="80"/>
        </w:rPr>
        <w:t xml:space="preserve">To allow an orderly transition to the new arrangements: </w:t>
      </w:r>
    </w:p>
    <w:p w:rsidR="006327B5" w:rsidRPr="004A1196" w:rsidRDefault="0060090B" w:rsidP="00903575">
      <w:pPr>
        <w:pStyle w:val="ListParagraph"/>
        <w:numPr>
          <w:ilvl w:val="1"/>
          <w:numId w:val="34"/>
        </w:numPr>
        <w:spacing w:after="120"/>
        <w:ind w:left="1077" w:hanging="357"/>
        <w:contextualSpacing w:val="0"/>
        <w:rPr>
          <w:rFonts w:eastAsia="Calibri"/>
          <w:color w:val="0B2B43" w:themeColor="text2" w:themeShade="80"/>
        </w:rPr>
      </w:pPr>
      <w:r>
        <w:rPr>
          <w:rFonts w:eastAsia="Calibri"/>
          <w:color w:val="0B2B43" w:themeColor="text2" w:themeShade="80"/>
        </w:rPr>
        <w:t xml:space="preserve">introduce </w:t>
      </w:r>
      <w:r w:rsidR="004730EC" w:rsidRPr="004A1196">
        <w:rPr>
          <w:rFonts w:eastAsia="Calibri"/>
          <w:color w:val="0B2B43" w:themeColor="text2" w:themeShade="80"/>
        </w:rPr>
        <w:t xml:space="preserve">a safety net for Research Support funding, </w:t>
      </w:r>
      <w:r w:rsidR="006327B5" w:rsidRPr="004A1196">
        <w:rPr>
          <w:rFonts w:eastAsia="Calibri"/>
          <w:color w:val="0B2B43" w:themeColor="text2" w:themeShade="80"/>
        </w:rPr>
        <w:t>for the first four years of operation, so that no university receives less than 95 per cent of its funding for the prior year,</w:t>
      </w:r>
      <w:r w:rsidR="007A5D4B">
        <w:rPr>
          <w:rFonts w:eastAsia="Calibri"/>
          <w:color w:val="0B2B43" w:themeColor="text2" w:themeShade="80"/>
        </w:rPr>
        <w:t xml:space="preserve"> which is</w:t>
      </w:r>
      <w:r w:rsidR="006327B5" w:rsidRPr="004A1196">
        <w:rPr>
          <w:rFonts w:eastAsia="Calibri"/>
          <w:color w:val="0B2B43" w:themeColor="text2" w:themeShade="80"/>
        </w:rPr>
        <w:t xml:space="preserve"> indexed </w:t>
      </w:r>
    </w:p>
    <w:p w:rsidR="006327B5" w:rsidRPr="004A1196" w:rsidRDefault="006327B5" w:rsidP="00903575">
      <w:pPr>
        <w:pStyle w:val="ListParagraph"/>
        <w:numPr>
          <w:ilvl w:val="1"/>
          <w:numId w:val="34"/>
        </w:numPr>
        <w:spacing w:after="120"/>
        <w:ind w:left="1077" w:hanging="357"/>
        <w:contextualSpacing w:val="0"/>
        <w:rPr>
          <w:rFonts w:eastAsia="Calibri"/>
          <w:color w:val="0B2B43" w:themeColor="text2" w:themeShade="80"/>
        </w:rPr>
      </w:pPr>
      <w:proofErr w:type="gramStart"/>
      <w:r w:rsidRPr="004A1196">
        <w:rPr>
          <w:rFonts w:eastAsia="Calibri"/>
          <w:color w:val="0B2B43" w:themeColor="text2" w:themeShade="80"/>
        </w:rPr>
        <w:t>progressively</w:t>
      </w:r>
      <w:proofErr w:type="gramEnd"/>
      <w:r w:rsidRPr="004A1196">
        <w:rPr>
          <w:rFonts w:eastAsia="Calibri"/>
          <w:color w:val="0B2B43" w:themeColor="text2" w:themeShade="80"/>
        </w:rPr>
        <w:t xml:space="preserve"> increasing the influence of the new Research Training funding formula by applying it to 25 per cent of the pool in each of years 2017 to 2020, with the balance being based on the previous year’s allocations</w:t>
      </w:r>
      <w:r w:rsidR="0054204A">
        <w:rPr>
          <w:rFonts w:eastAsia="Calibri"/>
          <w:color w:val="0B2B43" w:themeColor="text2" w:themeShade="80"/>
        </w:rPr>
        <w:t>.</w:t>
      </w:r>
      <w:r w:rsidRPr="004A1196">
        <w:rPr>
          <w:rFonts w:eastAsia="Calibri"/>
          <w:color w:val="0B2B43" w:themeColor="text2" w:themeShade="80"/>
        </w:rPr>
        <w:t xml:space="preserve"> </w:t>
      </w:r>
    </w:p>
    <w:p w:rsidR="006327B5" w:rsidRPr="00D85AA4" w:rsidRDefault="006327B5" w:rsidP="00D85AA4">
      <w:pPr>
        <w:pStyle w:val="RIHeading3"/>
        <w:spacing w:before="240"/>
        <w:rPr>
          <w:rFonts w:eastAsia="Calibri"/>
          <w:sz w:val="24"/>
          <w:szCs w:val="24"/>
        </w:rPr>
      </w:pPr>
      <w:r w:rsidRPr="00D85AA4">
        <w:rPr>
          <w:rFonts w:eastAsia="Calibri"/>
          <w:sz w:val="24"/>
          <w:szCs w:val="24"/>
        </w:rPr>
        <w:t xml:space="preserve">Additional funding </w:t>
      </w:r>
      <w:proofErr w:type="gramStart"/>
      <w:r w:rsidRPr="00D85AA4">
        <w:rPr>
          <w:rFonts w:eastAsia="Calibri"/>
          <w:sz w:val="24"/>
          <w:szCs w:val="24"/>
        </w:rPr>
        <w:t>to further incentivise</w:t>
      </w:r>
      <w:proofErr w:type="gramEnd"/>
      <w:r w:rsidRPr="00D85AA4">
        <w:rPr>
          <w:rFonts w:eastAsia="Calibri"/>
          <w:sz w:val="24"/>
          <w:szCs w:val="24"/>
        </w:rPr>
        <w:t xml:space="preserve"> engagement</w:t>
      </w:r>
    </w:p>
    <w:p w:rsidR="006327B5" w:rsidRPr="004A1196" w:rsidRDefault="006327B5" w:rsidP="00903575">
      <w:pPr>
        <w:pStyle w:val="ListParagraph"/>
        <w:numPr>
          <w:ilvl w:val="0"/>
          <w:numId w:val="34"/>
        </w:numPr>
        <w:spacing w:before="240" w:after="120"/>
        <w:ind w:left="357" w:hanging="357"/>
        <w:contextualSpacing w:val="0"/>
        <w:rPr>
          <w:rFonts w:eastAsia="Calibri"/>
          <w:color w:val="0B2B43" w:themeColor="text2" w:themeShade="80"/>
        </w:rPr>
      </w:pPr>
      <w:r w:rsidRPr="004A1196">
        <w:rPr>
          <w:rFonts w:eastAsia="Calibri"/>
          <w:color w:val="0B2B43" w:themeColor="text2" w:themeShade="80"/>
        </w:rPr>
        <w:t xml:space="preserve">Additional funding of $50 million per annum, ongoing, </w:t>
      </w:r>
      <w:proofErr w:type="gramStart"/>
      <w:r w:rsidRPr="004A1196">
        <w:rPr>
          <w:rFonts w:eastAsia="Calibri"/>
          <w:color w:val="0B2B43" w:themeColor="text2" w:themeShade="80"/>
        </w:rPr>
        <w:t>should be provided</w:t>
      </w:r>
      <w:proofErr w:type="gramEnd"/>
      <w:r w:rsidRPr="004A1196">
        <w:rPr>
          <w:rFonts w:eastAsia="Calibri"/>
          <w:color w:val="0B2B43" w:themeColor="text2" w:themeShade="80"/>
        </w:rPr>
        <w:t xml:space="preserve">, commencing </w:t>
      </w:r>
      <w:r w:rsidR="0025070D">
        <w:rPr>
          <w:rFonts w:eastAsia="Calibri"/>
          <w:color w:val="0B2B43" w:themeColor="text2" w:themeShade="80"/>
        </w:rPr>
        <w:t xml:space="preserve">in </w:t>
      </w:r>
      <w:r w:rsidRPr="004A1196">
        <w:rPr>
          <w:rFonts w:eastAsia="Calibri"/>
          <w:color w:val="0B2B43" w:themeColor="text2" w:themeShade="80"/>
        </w:rPr>
        <w:t xml:space="preserve">2018, to further increase </w:t>
      </w:r>
      <w:r w:rsidRPr="00903575">
        <w:rPr>
          <w:color w:val="0B2B43" w:themeColor="text2" w:themeShade="80"/>
        </w:rPr>
        <w:t>incentives</w:t>
      </w:r>
      <w:r w:rsidRPr="004A1196">
        <w:rPr>
          <w:rFonts w:eastAsia="Calibri"/>
          <w:color w:val="0B2B43" w:themeColor="text2" w:themeShade="80"/>
        </w:rPr>
        <w:t xml:space="preserve"> to universities for business and </w:t>
      </w:r>
      <w:r w:rsidR="003904BC">
        <w:rPr>
          <w:rFonts w:eastAsia="Calibri"/>
          <w:color w:val="0B2B43" w:themeColor="text2" w:themeShade="80"/>
        </w:rPr>
        <w:t>end user</w:t>
      </w:r>
      <w:r w:rsidRPr="004A1196">
        <w:rPr>
          <w:rFonts w:eastAsia="Calibri"/>
          <w:color w:val="0B2B43" w:themeColor="text2" w:themeShade="80"/>
        </w:rPr>
        <w:t xml:space="preserve"> engagement. </w:t>
      </w:r>
    </w:p>
    <w:p w:rsidR="006327B5" w:rsidRPr="004A1196" w:rsidRDefault="006327B5" w:rsidP="006327B5">
      <w:pPr>
        <w:rPr>
          <w:rFonts w:eastAsia="Calibri"/>
          <w:color w:val="0B2B43" w:themeColor="text2" w:themeShade="80"/>
        </w:rPr>
      </w:pPr>
      <w:r w:rsidRPr="004A1196">
        <w:rPr>
          <w:rFonts w:eastAsia="Calibri"/>
          <w:color w:val="0B2B43" w:themeColor="text2" w:themeShade="80"/>
        </w:rPr>
        <w:t xml:space="preserve">Should fiscal circumstances permit, a modest down payment </w:t>
      </w:r>
      <w:proofErr w:type="gramStart"/>
      <w:r w:rsidRPr="004A1196">
        <w:rPr>
          <w:rFonts w:eastAsia="Calibri"/>
          <w:color w:val="0B2B43" w:themeColor="text2" w:themeShade="80"/>
        </w:rPr>
        <w:t>should be made</w:t>
      </w:r>
      <w:proofErr w:type="gramEnd"/>
      <w:r w:rsidRPr="004A1196">
        <w:rPr>
          <w:rFonts w:eastAsia="Calibri"/>
          <w:color w:val="0B2B43" w:themeColor="text2" w:themeShade="80"/>
        </w:rPr>
        <w:t xml:space="preserve"> in 2017. </w:t>
      </w:r>
    </w:p>
    <w:p w:rsidR="006327B5" w:rsidRPr="00D85AA4" w:rsidRDefault="006327B5" w:rsidP="00D85AA4">
      <w:pPr>
        <w:pStyle w:val="RIHeading3"/>
        <w:spacing w:before="240"/>
        <w:rPr>
          <w:rFonts w:eastAsia="Calibri"/>
          <w:sz w:val="24"/>
          <w:szCs w:val="24"/>
        </w:rPr>
      </w:pPr>
      <w:r w:rsidRPr="00D85AA4">
        <w:rPr>
          <w:rFonts w:eastAsia="Calibri"/>
          <w:sz w:val="24"/>
          <w:szCs w:val="24"/>
        </w:rPr>
        <w:t xml:space="preserve">Review of </w:t>
      </w:r>
      <w:proofErr w:type="spellStart"/>
      <w:r w:rsidRPr="00D85AA4">
        <w:rPr>
          <w:rFonts w:eastAsia="Calibri"/>
          <w:sz w:val="24"/>
          <w:szCs w:val="24"/>
        </w:rPr>
        <w:t>RBG</w:t>
      </w:r>
      <w:proofErr w:type="spellEnd"/>
      <w:r w:rsidRPr="00D85AA4">
        <w:rPr>
          <w:rFonts w:eastAsia="Calibri"/>
          <w:sz w:val="24"/>
          <w:szCs w:val="24"/>
        </w:rPr>
        <w:t xml:space="preserve"> engagement data</w:t>
      </w:r>
    </w:p>
    <w:p w:rsidR="006327B5" w:rsidRPr="004A1196" w:rsidRDefault="006327B5" w:rsidP="00903575">
      <w:pPr>
        <w:pStyle w:val="ListParagraph"/>
        <w:numPr>
          <w:ilvl w:val="0"/>
          <w:numId w:val="34"/>
        </w:numPr>
        <w:spacing w:before="240" w:after="120"/>
        <w:ind w:left="357" w:hanging="357"/>
        <w:contextualSpacing w:val="0"/>
        <w:rPr>
          <w:rFonts w:eastAsia="Calibri"/>
          <w:color w:val="0B2B43" w:themeColor="text2" w:themeShade="80"/>
        </w:rPr>
      </w:pPr>
      <w:r w:rsidRPr="004A1196">
        <w:rPr>
          <w:rFonts w:eastAsia="Calibri"/>
          <w:color w:val="0B2B43" w:themeColor="text2" w:themeShade="80"/>
        </w:rPr>
        <w:t xml:space="preserve">In consultation with Universities Australia, the Department of Education and Training and the ARC should examine </w:t>
      </w:r>
      <w:r w:rsidRPr="00903575">
        <w:rPr>
          <w:color w:val="0B2B43" w:themeColor="text2" w:themeShade="80"/>
        </w:rPr>
        <w:t>research</w:t>
      </w:r>
      <w:r w:rsidRPr="004A1196">
        <w:rPr>
          <w:rFonts w:eastAsia="Calibri"/>
          <w:color w:val="0B2B43" w:themeColor="text2" w:themeShade="80"/>
        </w:rPr>
        <w:t xml:space="preserve"> income counted in Categories 2, 3 and 4 and, by mid-2016, determine which data provide the most appropriate measures of </w:t>
      </w:r>
      <w:r w:rsidR="003904BC">
        <w:rPr>
          <w:rFonts w:eastAsia="Calibri"/>
          <w:color w:val="0B2B43" w:themeColor="text2" w:themeShade="80"/>
        </w:rPr>
        <w:t>end user</w:t>
      </w:r>
      <w:r w:rsidRPr="004A1196">
        <w:rPr>
          <w:rFonts w:eastAsia="Calibri"/>
          <w:color w:val="0B2B43" w:themeColor="text2" w:themeShade="80"/>
        </w:rPr>
        <w:t xml:space="preserve"> contributions.</w:t>
      </w:r>
    </w:p>
    <w:p w:rsidR="002A0B36" w:rsidRDefault="002A0B36" w:rsidP="00D85AA4">
      <w:pPr>
        <w:pStyle w:val="RIHeading2"/>
        <w:rPr>
          <w:rFonts w:eastAsia="Calibri"/>
        </w:rPr>
      </w:pPr>
      <w:r>
        <w:rPr>
          <w:rFonts w:eastAsia="Calibri"/>
        </w:rPr>
        <w:t>Competitive grant programmes</w:t>
      </w:r>
    </w:p>
    <w:p w:rsidR="006327B5" w:rsidRPr="004A1196" w:rsidRDefault="006327B5" w:rsidP="00903575">
      <w:pPr>
        <w:pStyle w:val="ListParagraph"/>
        <w:numPr>
          <w:ilvl w:val="0"/>
          <w:numId w:val="34"/>
        </w:numPr>
        <w:spacing w:before="240" w:after="120"/>
        <w:ind w:left="357" w:hanging="357"/>
        <w:contextualSpacing w:val="0"/>
        <w:rPr>
          <w:color w:val="0B2B43" w:themeColor="text2" w:themeShade="80"/>
        </w:rPr>
      </w:pPr>
      <w:r w:rsidRPr="004A1196">
        <w:rPr>
          <w:color w:val="0B2B43" w:themeColor="text2" w:themeShade="80"/>
        </w:rPr>
        <w:t xml:space="preserve">The review </w:t>
      </w:r>
      <w:r w:rsidRPr="00903575">
        <w:rPr>
          <w:rFonts w:eastAsia="Calibri"/>
          <w:color w:val="0B2B43" w:themeColor="text2" w:themeShade="80"/>
        </w:rPr>
        <w:t>recommends</w:t>
      </w:r>
      <w:r w:rsidRPr="004A1196">
        <w:rPr>
          <w:color w:val="0B2B43" w:themeColor="text2" w:themeShade="80"/>
        </w:rPr>
        <w:t xml:space="preserve"> that:</w:t>
      </w:r>
    </w:p>
    <w:p w:rsidR="006327B5" w:rsidRPr="004A1196" w:rsidRDefault="006327B5" w:rsidP="00903575">
      <w:pPr>
        <w:pStyle w:val="ListParagraph"/>
        <w:numPr>
          <w:ilvl w:val="1"/>
          <w:numId w:val="34"/>
        </w:numPr>
        <w:spacing w:after="120"/>
        <w:ind w:left="1077" w:hanging="357"/>
        <w:contextualSpacing w:val="0"/>
        <w:rPr>
          <w:color w:val="0B2B43" w:themeColor="text2" w:themeShade="80"/>
        </w:rPr>
      </w:pPr>
      <w:r w:rsidRPr="004A1196">
        <w:rPr>
          <w:color w:val="0B2B43" w:themeColor="text2" w:themeShade="80"/>
        </w:rPr>
        <w:t xml:space="preserve">the ARC Linkage Projects scheme moves from one round per year to a continuous application and peer assessment process from 1 July 2016, with strong applications to be progressed </w:t>
      </w:r>
      <w:r w:rsidRPr="00903575">
        <w:rPr>
          <w:rFonts w:eastAsia="Calibri"/>
          <w:color w:val="0B2B43" w:themeColor="text2" w:themeShade="80"/>
        </w:rPr>
        <w:t>immediately</w:t>
      </w:r>
      <w:r w:rsidRPr="004A1196">
        <w:rPr>
          <w:color w:val="0B2B43" w:themeColor="text2" w:themeShade="80"/>
        </w:rPr>
        <w:t xml:space="preserve"> for ministerial approval, and the remaining applications to be considered in one of three selection meetings per year</w:t>
      </w:r>
    </w:p>
    <w:p w:rsidR="006327B5" w:rsidRPr="004A1196" w:rsidRDefault="006327B5" w:rsidP="00903575">
      <w:pPr>
        <w:pStyle w:val="ListParagraph"/>
        <w:numPr>
          <w:ilvl w:val="1"/>
          <w:numId w:val="34"/>
        </w:numPr>
        <w:spacing w:after="120"/>
        <w:ind w:left="1077" w:hanging="357"/>
        <w:contextualSpacing w:val="0"/>
        <w:rPr>
          <w:color w:val="0B2B43" w:themeColor="text2" w:themeShade="80"/>
        </w:rPr>
      </w:pPr>
      <w:r w:rsidRPr="004A1196">
        <w:rPr>
          <w:color w:val="0B2B43" w:themeColor="text2" w:themeShade="80"/>
        </w:rPr>
        <w:t xml:space="preserve">grant outcomes should be </w:t>
      </w:r>
      <w:r w:rsidRPr="00903575">
        <w:rPr>
          <w:rFonts w:eastAsia="Calibri"/>
          <w:color w:val="0B2B43" w:themeColor="text2" w:themeShade="80"/>
        </w:rPr>
        <w:t>announced</w:t>
      </w:r>
      <w:r w:rsidRPr="004A1196">
        <w:rPr>
          <w:color w:val="0B2B43" w:themeColor="text2" w:themeShade="80"/>
        </w:rPr>
        <w:t xml:space="preserve"> within a maximum of six months from the submission of applications</w:t>
      </w:r>
    </w:p>
    <w:p w:rsidR="006327B5" w:rsidRPr="004A1196" w:rsidRDefault="006327B5" w:rsidP="00903575">
      <w:pPr>
        <w:pStyle w:val="ListParagraph"/>
        <w:numPr>
          <w:ilvl w:val="1"/>
          <w:numId w:val="34"/>
        </w:numPr>
        <w:spacing w:after="120"/>
        <w:ind w:left="1077" w:hanging="357"/>
        <w:contextualSpacing w:val="0"/>
        <w:rPr>
          <w:color w:val="0B2B43" w:themeColor="text2" w:themeShade="80"/>
        </w:rPr>
      </w:pPr>
      <w:r w:rsidRPr="004A1196">
        <w:rPr>
          <w:color w:val="0B2B43" w:themeColor="text2" w:themeShade="80"/>
        </w:rPr>
        <w:t xml:space="preserve">the ARC revises its guidance for selection advisory committees for the Linkage Projects scheme to ensure </w:t>
      </w:r>
      <w:r w:rsidRPr="00903575">
        <w:rPr>
          <w:rFonts w:eastAsia="Calibri"/>
          <w:color w:val="0B2B43" w:themeColor="text2" w:themeShade="80"/>
        </w:rPr>
        <w:t>that</w:t>
      </w:r>
      <w:r w:rsidRPr="004A1196">
        <w:rPr>
          <w:color w:val="0B2B43" w:themeColor="text2" w:themeShade="80"/>
        </w:rPr>
        <w:t xml:space="preserve"> high quality proposals that involve business partner organisations are given greater priority</w:t>
      </w:r>
    </w:p>
    <w:p w:rsidR="006327B5" w:rsidRPr="004A1196" w:rsidRDefault="006327B5" w:rsidP="00903575">
      <w:pPr>
        <w:pStyle w:val="ListParagraph"/>
        <w:numPr>
          <w:ilvl w:val="1"/>
          <w:numId w:val="34"/>
        </w:numPr>
        <w:spacing w:after="120"/>
        <w:ind w:left="1077" w:hanging="357"/>
        <w:contextualSpacing w:val="0"/>
        <w:rPr>
          <w:color w:val="0B2B43" w:themeColor="text2" w:themeShade="80"/>
        </w:rPr>
      </w:pPr>
      <w:proofErr w:type="gramStart"/>
      <w:r w:rsidRPr="004A1196">
        <w:rPr>
          <w:color w:val="0B2B43" w:themeColor="text2" w:themeShade="80"/>
        </w:rPr>
        <w:t>the</w:t>
      </w:r>
      <w:proofErr w:type="gramEnd"/>
      <w:r w:rsidRPr="004A1196">
        <w:rPr>
          <w:color w:val="0B2B43" w:themeColor="text2" w:themeShade="80"/>
        </w:rPr>
        <w:t xml:space="preserve"> Education and Training portfolio, in consultation with the Department of Finance, assess whether </w:t>
      </w:r>
      <w:r w:rsidRPr="00903575">
        <w:rPr>
          <w:rFonts w:eastAsia="Calibri"/>
          <w:color w:val="0B2B43" w:themeColor="text2" w:themeShade="80"/>
        </w:rPr>
        <w:t>additional</w:t>
      </w:r>
      <w:r w:rsidRPr="004A1196">
        <w:rPr>
          <w:color w:val="0B2B43" w:themeColor="text2" w:themeShade="80"/>
        </w:rPr>
        <w:t xml:space="preserve"> resources are required by the ARC to undertake continuous Linkage Projects rounds, and provide advice to government accordingly.</w:t>
      </w:r>
    </w:p>
    <w:p w:rsidR="006327B5" w:rsidRPr="004A1196" w:rsidRDefault="006327B5" w:rsidP="00903575">
      <w:pPr>
        <w:pStyle w:val="ListParagraph"/>
        <w:numPr>
          <w:ilvl w:val="0"/>
          <w:numId w:val="34"/>
        </w:numPr>
        <w:spacing w:before="240" w:after="120"/>
        <w:ind w:left="357" w:hanging="357"/>
        <w:contextualSpacing w:val="0"/>
        <w:rPr>
          <w:color w:val="0B2B43" w:themeColor="text2" w:themeShade="80"/>
        </w:rPr>
      </w:pPr>
      <w:r w:rsidRPr="004A1196">
        <w:rPr>
          <w:color w:val="0B2B43" w:themeColor="text2" w:themeShade="80"/>
        </w:rPr>
        <w:t xml:space="preserve">The review recommends that businesses with up to 20 employees be exempt from the requirement for partner organisations to provide cash contributions under the ARC Linkage Projects </w:t>
      </w:r>
      <w:r w:rsidRPr="00903575">
        <w:rPr>
          <w:rFonts w:eastAsia="Calibri"/>
          <w:color w:val="0B2B43" w:themeColor="text2" w:themeShade="80"/>
        </w:rPr>
        <w:t>scheme</w:t>
      </w:r>
      <w:r w:rsidRPr="004A1196">
        <w:rPr>
          <w:color w:val="0B2B43" w:themeColor="text2" w:themeShade="80"/>
        </w:rPr>
        <w:t>.</w:t>
      </w:r>
    </w:p>
    <w:p w:rsidR="006327B5" w:rsidRPr="004A1196" w:rsidRDefault="006327B5" w:rsidP="00903575">
      <w:pPr>
        <w:pStyle w:val="ListParagraph"/>
        <w:numPr>
          <w:ilvl w:val="0"/>
          <w:numId w:val="34"/>
        </w:numPr>
        <w:spacing w:before="240" w:after="120"/>
        <w:ind w:left="357" w:hanging="357"/>
        <w:contextualSpacing w:val="0"/>
        <w:rPr>
          <w:color w:val="0B2B43" w:themeColor="text2" w:themeShade="80"/>
        </w:rPr>
      </w:pPr>
      <w:r w:rsidRPr="004A1196">
        <w:rPr>
          <w:color w:val="0B2B43" w:themeColor="text2" w:themeShade="80"/>
        </w:rPr>
        <w:t xml:space="preserve">The review recommends the establishment of expert panels to assess the elements of ARC grant proposals </w:t>
      </w:r>
      <w:r w:rsidRPr="00903575">
        <w:rPr>
          <w:rFonts w:eastAsia="Calibri"/>
          <w:color w:val="0B2B43" w:themeColor="text2" w:themeShade="80"/>
        </w:rPr>
        <w:t>that</w:t>
      </w:r>
      <w:r w:rsidRPr="004A1196">
        <w:rPr>
          <w:color w:val="0B2B43" w:themeColor="text2" w:themeShade="80"/>
        </w:rPr>
        <w:t xml:space="preserve"> relate specifically to commercialisation potential and collaboration with businesses and other </w:t>
      </w:r>
      <w:r w:rsidR="003904BC">
        <w:rPr>
          <w:color w:val="0B2B43" w:themeColor="text2" w:themeShade="80"/>
        </w:rPr>
        <w:t>end user</w:t>
      </w:r>
      <w:r w:rsidRPr="004A1196">
        <w:rPr>
          <w:color w:val="0B2B43" w:themeColor="text2" w:themeShade="80"/>
        </w:rPr>
        <w:t>s.</w:t>
      </w:r>
    </w:p>
    <w:p w:rsidR="006327B5" w:rsidRPr="004A1196" w:rsidRDefault="006327B5" w:rsidP="00903575">
      <w:pPr>
        <w:pStyle w:val="ListParagraph"/>
        <w:numPr>
          <w:ilvl w:val="0"/>
          <w:numId w:val="34"/>
        </w:numPr>
        <w:spacing w:before="240" w:after="120"/>
        <w:ind w:left="357" w:hanging="357"/>
        <w:contextualSpacing w:val="0"/>
        <w:rPr>
          <w:color w:val="0B2B43" w:themeColor="text2" w:themeShade="80"/>
        </w:rPr>
      </w:pPr>
      <w:r w:rsidRPr="004A1196">
        <w:rPr>
          <w:color w:val="0B2B43" w:themeColor="text2" w:themeShade="80"/>
        </w:rPr>
        <w:t xml:space="preserve">The review </w:t>
      </w:r>
      <w:r w:rsidRPr="00903575">
        <w:rPr>
          <w:rFonts w:eastAsia="Calibri"/>
          <w:color w:val="0B2B43" w:themeColor="text2" w:themeShade="80"/>
        </w:rPr>
        <w:t>recommends</w:t>
      </w:r>
      <w:r w:rsidRPr="004A1196">
        <w:rPr>
          <w:color w:val="0B2B43" w:themeColor="text2" w:themeShade="80"/>
        </w:rPr>
        <w:t xml:space="preserve"> that:</w:t>
      </w:r>
    </w:p>
    <w:p w:rsidR="006327B5" w:rsidRPr="004A1196" w:rsidRDefault="006327B5" w:rsidP="00903575">
      <w:pPr>
        <w:pStyle w:val="ListParagraph"/>
        <w:numPr>
          <w:ilvl w:val="1"/>
          <w:numId w:val="34"/>
        </w:numPr>
        <w:spacing w:after="120"/>
        <w:ind w:left="1077" w:hanging="357"/>
        <w:contextualSpacing w:val="0"/>
        <w:rPr>
          <w:color w:val="0B2B43" w:themeColor="text2" w:themeShade="80"/>
        </w:rPr>
      </w:pPr>
      <w:r w:rsidRPr="004A1196">
        <w:rPr>
          <w:color w:val="0B2B43" w:themeColor="text2" w:themeShade="80"/>
        </w:rPr>
        <w:t>univers</w:t>
      </w:r>
      <w:r w:rsidR="00C24342">
        <w:rPr>
          <w:color w:val="0B2B43" w:themeColor="text2" w:themeShade="80"/>
        </w:rPr>
        <w:t>ities take a more active role in</w:t>
      </w:r>
      <w:r w:rsidRPr="004A1196">
        <w:rPr>
          <w:color w:val="0B2B43" w:themeColor="text2" w:themeShade="80"/>
        </w:rPr>
        <w:t xml:space="preserve"> scrutinis</w:t>
      </w:r>
      <w:r w:rsidR="00C24342">
        <w:rPr>
          <w:color w:val="0B2B43" w:themeColor="text2" w:themeShade="80"/>
        </w:rPr>
        <w:t>ing</w:t>
      </w:r>
      <w:r w:rsidRPr="004A1196">
        <w:rPr>
          <w:color w:val="0B2B43" w:themeColor="text2" w:themeShade="80"/>
        </w:rPr>
        <w:t xml:space="preserve"> applications for competitive research grant funding to filter </w:t>
      </w:r>
      <w:r w:rsidRPr="00903575">
        <w:rPr>
          <w:rFonts w:eastAsia="Calibri"/>
          <w:color w:val="0B2B43" w:themeColor="text2" w:themeShade="80"/>
        </w:rPr>
        <w:t>out</w:t>
      </w:r>
      <w:r w:rsidRPr="004A1196">
        <w:rPr>
          <w:color w:val="0B2B43" w:themeColor="text2" w:themeShade="80"/>
        </w:rPr>
        <w:t xml:space="preserve"> those potential applications which are less competitive</w:t>
      </w:r>
    </w:p>
    <w:p w:rsidR="006327B5" w:rsidRPr="004A1196" w:rsidRDefault="006327B5" w:rsidP="00903575">
      <w:pPr>
        <w:pStyle w:val="ListParagraph"/>
        <w:numPr>
          <w:ilvl w:val="1"/>
          <w:numId w:val="34"/>
        </w:numPr>
        <w:spacing w:after="120"/>
        <w:ind w:left="1077" w:hanging="357"/>
        <w:contextualSpacing w:val="0"/>
        <w:rPr>
          <w:color w:val="0B2B43" w:themeColor="text2" w:themeShade="80"/>
        </w:rPr>
      </w:pPr>
      <w:r w:rsidRPr="004A1196">
        <w:rPr>
          <w:color w:val="0B2B43" w:themeColor="text2" w:themeShade="80"/>
        </w:rPr>
        <w:t xml:space="preserve">greater prominence should be given to the </w:t>
      </w:r>
      <w:proofErr w:type="spellStart"/>
      <w:r w:rsidRPr="004A1196">
        <w:rPr>
          <w:color w:val="0B2B43" w:themeColor="text2" w:themeShade="80"/>
        </w:rPr>
        <w:t>ARC’s</w:t>
      </w:r>
      <w:proofErr w:type="spellEnd"/>
      <w:r w:rsidRPr="004A1196">
        <w:rPr>
          <w:color w:val="0B2B43" w:themeColor="text2" w:themeShade="80"/>
        </w:rPr>
        <w:t xml:space="preserve"> and </w:t>
      </w:r>
      <w:proofErr w:type="spellStart"/>
      <w:r w:rsidRPr="004A1196">
        <w:rPr>
          <w:color w:val="0B2B43" w:themeColor="text2" w:themeShade="80"/>
        </w:rPr>
        <w:t>NHMRC’s</w:t>
      </w:r>
      <w:proofErr w:type="spellEnd"/>
      <w:r w:rsidRPr="004A1196">
        <w:rPr>
          <w:color w:val="0B2B43" w:themeColor="text2" w:themeShade="80"/>
        </w:rPr>
        <w:t xml:space="preserve"> measures of success by institutions when considering the submission of grant applications</w:t>
      </w:r>
    </w:p>
    <w:p w:rsidR="006327B5" w:rsidRPr="004A1196" w:rsidRDefault="006327B5" w:rsidP="00903575">
      <w:pPr>
        <w:pStyle w:val="ListParagraph"/>
        <w:numPr>
          <w:ilvl w:val="1"/>
          <w:numId w:val="34"/>
        </w:numPr>
        <w:spacing w:after="120"/>
        <w:ind w:left="1077" w:hanging="357"/>
        <w:contextualSpacing w:val="0"/>
        <w:rPr>
          <w:color w:val="0B2B43" w:themeColor="text2" w:themeShade="80"/>
        </w:rPr>
      </w:pPr>
      <w:proofErr w:type="gramStart"/>
      <w:r w:rsidRPr="004A1196">
        <w:rPr>
          <w:color w:val="0B2B43" w:themeColor="text2" w:themeShade="80"/>
        </w:rPr>
        <w:t>universities</w:t>
      </w:r>
      <w:proofErr w:type="gramEnd"/>
      <w:r w:rsidRPr="004A1196">
        <w:rPr>
          <w:color w:val="0B2B43" w:themeColor="text2" w:themeShade="80"/>
        </w:rPr>
        <w:t xml:space="preserve"> should also revise any policies that may encourage the submission of applications without due regard to quality.</w:t>
      </w:r>
    </w:p>
    <w:p w:rsidR="0027032E" w:rsidRDefault="0027032E">
      <w:pPr>
        <w:spacing w:before="0" w:after="200" w:line="276" w:lineRule="auto"/>
      </w:pPr>
      <w:r>
        <w:br w:type="page"/>
      </w:r>
    </w:p>
    <w:p w:rsidR="00C37CCD" w:rsidRPr="004A1196" w:rsidRDefault="002D75B5" w:rsidP="00D85AA4">
      <w:pPr>
        <w:pStyle w:val="RIHeading2"/>
      </w:pPr>
      <w:r w:rsidRPr="002D75B5">
        <w:t>Business focused research collaboration programmes</w:t>
      </w:r>
    </w:p>
    <w:p w:rsidR="004D5407" w:rsidRPr="004A1196" w:rsidRDefault="004D5407" w:rsidP="00903575">
      <w:pPr>
        <w:pStyle w:val="ListParagraph"/>
        <w:numPr>
          <w:ilvl w:val="0"/>
          <w:numId w:val="34"/>
        </w:numPr>
        <w:spacing w:before="240" w:after="120"/>
        <w:ind w:left="357" w:hanging="357"/>
        <w:contextualSpacing w:val="0"/>
        <w:rPr>
          <w:color w:val="0B2B43" w:themeColor="text2" w:themeShade="80"/>
        </w:rPr>
      </w:pPr>
      <w:r w:rsidRPr="004A1196">
        <w:rPr>
          <w:color w:val="0B2B43" w:themeColor="text2" w:themeShade="80"/>
        </w:rPr>
        <w:t xml:space="preserve">Australian Government funding of around $25 million over four years from 2016-17 be provided to </w:t>
      </w:r>
      <w:r w:rsidRPr="00903575">
        <w:rPr>
          <w:rFonts w:eastAsia="Calibri"/>
          <w:color w:val="0B2B43" w:themeColor="text2" w:themeShade="80"/>
        </w:rPr>
        <w:t>expand</w:t>
      </w:r>
      <w:r w:rsidRPr="004A1196">
        <w:rPr>
          <w:color w:val="0B2B43" w:themeColor="text2" w:themeShade="80"/>
        </w:rPr>
        <w:t xml:space="preserve"> Research Connections. </w:t>
      </w:r>
    </w:p>
    <w:p w:rsidR="004D5407" w:rsidRPr="004A1196" w:rsidRDefault="004D5407" w:rsidP="00903575">
      <w:pPr>
        <w:pStyle w:val="ListParagraph"/>
        <w:numPr>
          <w:ilvl w:val="0"/>
          <w:numId w:val="34"/>
        </w:numPr>
        <w:spacing w:before="240" w:after="120"/>
        <w:ind w:left="357" w:hanging="357"/>
        <w:contextualSpacing w:val="0"/>
        <w:rPr>
          <w:color w:val="0B2B43" w:themeColor="text2" w:themeShade="80"/>
        </w:rPr>
      </w:pPr>
      <w:proofErr w:type="gramStart"/>
      <w:r w:rsidRPr="004A1196">
        <w:rPr>
          <w:color w:val="0B2B43" w:themeColor="text2" w:themeShade="80"/>
        </w:rPr>
        <w:t xml:space="preserve">Australian </w:t>
      </w:r>
      <w:r w:rsidRPr="00903575">
        <w:rPr>
          <w:rFonts w:eastAsia="Calibri"/>
          <w:color w:val="0B2B43" w:themeColor="text2" w:themeShade="80"/>
        </w:rPr>
        <w:t>Government</w:t>
      </w:r>
      <w:r w:rsidRPr="004A1196">
        <w:rPr>
          <w:color w:val="0B2B43" w:themeColor="text2" w:themeShade="80"/>
        </w:rPr>
        <w:t xml:space="preserve"> funding of $12.5 million per annum be provided</w:t>
      </w:r>
      <w:proofErr w:type="gramEnd"/>
      <w:r w:rsidRPr="004A1196">
        <w:rPr>
          <w:color w:val="0B2B43" w:themeColor="text2" w:themeShade="80"/>
        </w:rPr>
        <w:t xml:space="preserve"> </w:t>
      </w:r>
      <w:r w:rsidR="00FF5E57">
        <w:rPr>
          <w:color w:val="0B2B43" w:themeColor="text2" w:themeShade="80"/>
        </w:rPr>
        <w:t>to create a</w:t>
      </w:r>
      <w:r w:rsidR="00FF5E57" w:rsidRPr="004A1196">
        <w:rPr>
          <w:color w:val="0B2B43" w:themeColor="text2" w:themeShade="80"/>
        </w:rPr>
        <w:t xml:space="preserve"> </w:t>
      </w:r>
      <w:r w:rsidR="00FF5E57">
        <w:rPr>
          <w:color w:val="0B2B43" w:themeColor="text2" w:themeShade="80"/>
        </w:rPr>
        <w:t xml:space="preserve">small </w:t>
      </w:r>
      <w:r w:rsidRPr="004A1196">
        <w:rPr>
          <w:color w:val="0B2B43" w:themeColor="text2" w:themeShade="80"/>
        </w:rPr>
        <w:t>programme to support universities to increase numbers of industry placements for PhD students</w:t>
      </w:r>
      <w:r w:rsidR="001C2886" w:rsidRPr="004A1196">
        <w:rPr>
          <w:color w:val="0B2B43" w:themeColor="text2" w:themeShade="80"/>
        </w:rPr>
        <w:t xml:space="preserve">. </w:t>
      </w:r>
      <w:r w:rsidRPr="004A1196">
        <w:rPr>
          <w:color w:val="0B2B43" w:themeColor="text2" w:themeShade="80"/>
        </w:rPr>
        <w:t>The programme should commence in 2017 and the Department of Education and Training should develop the details of the new programme arrangements in consultation with the university and business sectors.</w:t>
      </w:r>
    </w:p>
    <w:p w:rsidR="004D5407" w:rsidRPr="004A1196" w:rsidRDefault="004D5407" w:rsidP="00903575">
      <w:pPr>
        <w:pStyle w:val="ListParagraph"/>
        <w:numPr>
          <w:ilvl w:val="0"/>
          <w:numId w:val="34"/>
        </w:numPr>
        <w:spacing w:before="240" w:after="120"/>
        <w:ind w:left="357" w:hanging="357"/>
        <w:contextualSpacing w:val="0"/>
        <w:rPr>
          <w:rFonts w:eastAsia="Calibri"/>
          <w:color w:val="0B2B43" w:themeColor="text2" w:themeShade="80"/>
        </w:rPr>
      </w:pPr>
      <w:r w:rsidRPr="004A1196">
        <w:rPr>
          <w:rFonts w:eastAsia="Calibri" w:cs="Calibri"/>
          <w:color w:val="0B2B43" w:themeColor="text2" w:themeShade="80"/>
        </w:rPr>
        <w:t xml:space="preserve">The Department of Industry, Innovation and Science should implement, as a priority action in 2016, </w:t>
      </w:r>
      <w:r w:rsidRPr="004A1196">
        <w:rPr>
          <w:rFonts w:eastAsia="Calibri"/>
          <w:color w:val="0B2B43" w:themeColor="text2" w:themeShade="80"/>
        </w:rPr>
        <w:t xml:space="preserve">an online access </w:t>
      </w:r>
      <w:proofErr w:type="gramStart"/>
      <w:r w:rsidRPr="004A1196">
        <w:rPr>
          <w:rFonts w:eastAsia="Calibri"/>
          <w:color w:val="0B2B43" w:themeColor="text2" w:themeShade="80"/>
        </w:rPr>
        <w:t>point which</w:t>
      </w:r>
      <w:proofErr w:type="gramEnd"/>
      <w:r w:rsidRPr="004A1196">
        <w:rPr>
          <w:rFonts w:eastAsia="Calibri"/>
          <w:color w:val="0B2B43" w:themeColor="text2" w:themeShade="80"/>
        </w:rPr>
        <w:t xml:space="preserve"> will assist businesses to connect with business relevant research and researchers. </w:t>
      </w:r>
    </w:p>
    <w:p w:rsidR="004D5407" w:rsidRPr="004A1196" w:rsidRDefault="004D5407" w:rsidP="00903575">
      <w:pPr>
        <w:pStyle w:val="ListParagraph"/>
        <w:numPr>
          <w:ilvl w:val="0"/>
          <w:numId w:val="34"/>
        </w:numPr>
        <w:spacing w:before="240" w:after="120"/>
        <w:ind w:left="357" w:hanging="357"/>
        <w:contextualSpacing w:val="0"/>
        <w:rPr>
          <w:rFonts w:eastAsia="Calibri" w:cs="Calibri"/>
          <w:color w:val="0B2B43" w:themeColor="text2" w:themeShade="80"/>
        </w:rPr>
      </w:pPr>
      <w:r w:rsidRPr="004A1196">
        <w:rPr>
          <w:rFonts w:eastAsia="Calibri" w:cs="Calibri"/>
          <w:color w:val="0B2B43" w:themeColor="text2" w:themeShade="80"/>
        </w:rPr>
        <w:t xml:space="preserve">Universities revise their appointment and promotion policies where necessary to ensure that the value of business experience is recognised and that individuals who have spent time in business are not disadvantaged in the selection process. </w:t>
      </w:r>
    </w:p>
    <w:p w:rsidR="00C37CCD" w:rsidRPr="004A1196" w:rsidRDefault="004222B5" w:rsidP="00D85AA4">
      <w:pPr>
        <w:pStyle w:val="RIHeading2"/>
        <w:rPr>
          <w:rFonts w:eastAsia="Calibri"/>
        </w:rPr>
      </w:pPr>
      <w:r w:rsidRPr="004222B5">
        <w:rPr>
          <w:rFonts w:eastAsia="Calibri"/>
        </w:rPr>
        <w:t>Improved management of intellectual property</w:t>
      </w:r>
    </w:p>
    <w:p w:rsidR="004D5407" w:rsidRPr="004A1196" w:rsidRDefault="004D5407" w:rsidP="00903575">
      <w:pPr>
        <w:pStyle w:val="ListParagraph"/>
        <w:numPr>
          <w:ilvl w:val="0"/>
          <w:numId w:val="34"/>
        </w:numPr>
        <w:spacing w:before="240" w:after="120"/>
        <w:ind w:left="357" w:hanging="357"/>
        <w:contextualSpacing w:val="0"/>
        <w:rPr>
          <w:color w:val="0B2B43" w:themeColor="text2" w:themeShade="80"/>
        </w:rPr>
      </w:pPr>
      <w:r w:rsidRPr="004A1196">
        <w:rPr>
          <w:color w:val="0B2B43" w:themeColor="text2" w:themeShade="80"/>
        </w:rPr>
        <w:t xml:space="preserve">The PC inquiry into </w:t>
      </w:r>
      <w:r w:rsidRPr="004A1196">
        <w:rPr>
          <w:rFonts w:eastAsia="MS Mincho" w:cstheme="minorHAnsi"/>
          <w:color w:val="0B2B43" w:themeColor="text2" w:themeShade="80"/>
        </w:rPr>
        <w:t>Australia’s IP arrangements</w:t>
      </w:r>
      <w:r w:rsidRPr="004A1196" w:rsidDel="001B7CC8">
        <w:rPr>
          <w:color w:val="0B2B43" w:themeColor="text2" w:themeShade="80"/>
        </w:rPr>
        <w:t xml:space="preserve"> </w:t>
      </w:r>
      <w:proofErr w:type="gramStart"/>
      <w:r w:rsidRPr="004A1196">
        <w:rPr>
          <w:color w:val="0B2B43" w:themeColor="text2" w:themeShade="80"/>
        </w:rPr>
        <w:t>should be asked</w:t>
      </w:r>
      <w:proofErr w:type="gramEnd"/>
      <w:r w:rsidRPr="004A1196">
        <w:rPr>
          <w:color w:val="0B2B43" w:themeColor="text2" w:themeShade="80"/>
        </w:rPr>
        <w:t xml:space="preserve"> to </w:t>
      </w:r>
      <w:r w:rsidRPr="004A1196">
        <w:rPr>
          <w:rFonts w:eastAsia="MS Mincho" w:cstheme="minorHAnsi"/>
          <w:color w:val="0B2B43" w:themeColor="text2" w:themeShade="80"/>
        </w:rPr>
        <w:t>consider</w:t>
      </w:r>
      <w:r w:rsidRPr="004A1196">
        <w:rPr>
          <w:color w:val="0B2B43" w:themeColor="text2" w:themeShade="80"/>
        </w:rPr>
        <w:t xml:space="preserve"> the feasibility of a ‘</w:t>
      </w:r>
      <w:r w:rsidRPr="00903575">
        <w:rPr>
          <w:rFonts w:eastAsia="Calibri"/>
          <w:color w:val="0B2B43" w:themeColor="text2" w:themeShade="80"/>
        </w:rPr>
        <w:t>use</w:t>
      </w:r>
      <w:r w:rsidRPr="004A1196">
        <w:rPr>
          <w:color w:val="0B2B43" w:themeColor="text2" w:themeShade="80"/>
        </w:rPr>
        <w:t xml:space="preserve"> it or lose it’ arrangement, including whatever wider policy changes would be necessary to support this approach. </w:t>
      </w:r>
    </w:p>
    <w:p w:rsidR="004D5407" w:rsidRPr="004A1196" w:rsidRDefault="004D5407" w:rsidP="00903575">
      <w:pPr>
        <w:pStyle w:val="ListParagraph"/>
        <w:numPr>
          <w:ilvl w:val="0"/>
          <w:numId w:val="34"/>
        </w:numPr>
        <w:spacing w:before="240" w:after="120"/>
        <w:ind w:left="357" w:hanging="357"/>
        <w:contextualSpacing w:val="0"/>
        <w:rPr>
          <w:color w:val="0B2B43" w:themeColor="text2" w:themeShade="80"/>
        </w:rPr>
      </w:pPr>
      <w:r w:rsidRPr="004A1196">
        <w:rPr>
          <w:color w:val="0B2B43" w:themeColor="text2" w:themeShade="80"/>
        </w:rPr>
        <w:t xml:space="preserve">The ARC should require all future Linkage Project applications, and progress reports, to identify actual and potential IP to </w:t>
      </w:r>
      <w:proofErr w:type="gramStart"/>
      <w:r w:rsidRPr="004A1196">
        <w:rPr>
          <w:color w:val="0B2B43" w:themeColor="text2" w:themeShade="80"/>
        </w:rPr>
        <w:t>be generated</w:t>
      </w:r>
      <w:proofErr w:type="gramEnd"/>
      <w:r w:rsidRPr="004A1196">
        <w:rPr>
          <w:color w:val="0B2B43" w:themeColor="text2" w:themeShade="80"/>
        </w:rPr>
        <w:t xml:space="preserve"> through the project and the intended IP management arrangements.</w:t>
      </w:r>
    </w:p>
    <w:p w:rsidR="004D5407" w:rsidRPr="004A1196" w:rsidRDefault="004D5407" w:rsidP="00903575">
      <w:pPr>
        <w:pStyle w:val="ListParagraph"/>
        <w:numPr>
          <w:ilvl w:val="0"/>
          <w:numId w:val="34"/>
        </w:numPr>
        <w:spacing w:before="240" w:after="120"/>
        <w:ind w:left="357" w:hanging="357"/>
        <w:contextualSpacing w:val="0"/>
        <w:rPr>
          <w:color w:val="0B2B43" w:themeColor="text2" w:themeShade="80"/>
        </w:rPr>
      </w:pPr>
      <w:r w:rsidRPr="004A1196">
        <w:rPr>
          <w:color w:val="0B2B43" w:themeColor="text2" w:themeShade="80"/>
        </w:rPr>
        <w:t>The ARC and NHMRC amend funding agreements and funding policies as relevant to:</w:t>
      </w:r>
    </w:p>
    <w:p w:rsidR="004D5407" w:rsidRPr="004A1196" w:rsidRDefault="004D5407" w:rsidP="00903575">
      <w:pPr>
        <w:pStyle w:val="ListParagraph"/>
        <w:numPr>
          <w:ilvl w:val="1"/>
          <w:numId w:val="34"/>
        </w:numPr>
        <w:spacing w:after="120"/>
        <w:ind w:left="1077" w:hanging="357"/>
        <w:contextualSpacing w:val="0"/>
        <w:rPr>
          <w:color w:val="0B2B43" w:themeColor="text2" w:themeShade="80"/>
        </w:rPr>
      </w:pPr>
      <w:r w:rsidRPr="004A1196">
        <w:rPr>
          <w:color w:val="0B2B43" w:themeColor="text2" w:themeShade="80"/>
        </w:rPr>
        <w:t>require institutions to list the IP generated by public funding on Source IP from 2017</w:t>
      </w:r>
    </w:p>
    <w:p w:rsidR="004D5407" w:rsidRPr="004A1196" w:rsidRDefault="004D5407" w:rsidP="00903575">
      <w:pPr>
        <w:pStyle w:val="ListParagraph"/>
        <w:numPr>
          <w:ilvl w:val="1"/>
          <w:numId w:val="34"/>
        </w:numPr>
        <w:spacing w:after="120"/>
        <w:ind w:left="1077" w:hanging="357"/>
        <w:contextualSpacing w:val="0"/>
        <w:rPr>
          <w:rFonts w:eastAsia="MS Mincho" w:cstheme="minorHAnsi"/>
          <w:color w:val="0B2B43" w:themeColor="text2" w:themeShade="80"/>
        </w:rPr>
      </w:pPr>
      <w:proofErr w:type="gramStart"/>
      <w:r w:rsidRPr="004A1196">
        <w:rPr>
          <w:color w:val="0B2B43" w:themeColor="text2" w:themeShade="80"/>
        </w:rPr>
        <w:t>require</w:t>
      </w:r>
      <w:proofErr w:type="gramEnd"/>
      <w:r w:rsidRPr="004A1196">
        <w:rPr>
          <w:color w:val="0B2B43" w:themeColor="text2" w:themeShade="80"/>
        </w:rPr>
        <w:t xml:space="preserve"> institutions to offer, and utilise if requested, the IP Toolkit model contract and term sheet where </w:t>
      </w:r>
      <w:r w:rsidRPr="00903575">
        <w:rPr>
          <w:rFonts w:eastAsia="Calibri"/>
          <w:color w:val="0B2B43" w:themeColor="text2" w:themeShade="80"/>
        </w:rPr>
        <w:t>collaborative</w:t>
      </w:r>
      <w:r w:rsidRPr="004A1196">
        <w:rPr>
          <w:color w:val="0B2B43" w:themeColor="text2" w:themeShade="80"/>
        </w:rPr>
        <w:t xml:space="preserve"> research arrangements with business are involved</w:t>
      </w:r>
      <w:r w:rsidR="00AF7555">
        <w:rPr>
          <w:color w:val="0B2B43" w:themeColor="text2" w:themeShade="80"/>
        </w:rPr>
        <w:t>.</w:t>
      </w:r>
    </w:p>
    <w:p w:rsidR="004D5407" w:rsidRPr="004A1196" w:rsidRDefault="004D5407" w:rsidP="00903575">
      <w:pPr>
        <w:pStyle w:val="ListParagraph"/>
        <w:numPr>
          <w:ilvl w:val="0"/>
          <w:numId w:val="34"/>
        </w:numPr>
        <w:spacing w:before="240" w:after="120"/>
        <w:ind w:left="357" w:hanging="357"/>
        <w:contextualSpacing w:val="0"/>
        <w:rPr>
          <w:rFonts w:eastAsia="MS Mincho"/>
          <w:color w:val="0B2B43" w:themeColor="text2" w:themeShade="80"/>
        </w:rPr>
      </w:pPr>
      <w:r w:rsidRPr="004A1196" w:rsidDel="00E729D4">
        <w:rPr>
          <w:rFonts w:eastAsia="MS Mincho"/>
          <w:color w:val="0B2B43" w:themeColor="text2" w:themeShade="80"/>
        </w:rPr>
        <w:t>The Department of Education and Training, in consultation with other relevant policy departments</w:t>
      </w:r>
      <w:r w:rsidRPr="004A1196">
        <w:rPr>
          <w:rFonts w:eastAsia="MS Mincho"/>
          <w:color w:val="0B2B43" w:themeColor="text2" w:themeShade="80"/>
        </w:rPr>
        <w:t>,</w:t>
      </w:r>
      <w:r w:rsidR="00236913">
        <w:rPr>
          <w:rFonts w:eastAsia="MS Mincho"/>
          <w:color w:val="0B2B43" w:themeColor="text2" w:themeShade="80"/>
        </w:rPr>
        <w:t xml:space="preserve"> </w:t>
      </w:r>
      <w:r w:rsidRPr="004A1196" w:rsidDel="00E729D4">
        <w:rPr>
          <w:rFonts w:eastAsia="MS Mincho"/>
          <w:color w:val="0B2B43" w:themeColor="text2" w:themeShade="80"/>
        </w:rPr>
        <w:t>public</w:t>
      </w:r>
      <w:r w:rsidRPr="004A1196">
        <w:rPr>
          <w:rFonts w:eastAsia="MS Mincho"/>
          <w:color w:val="0B2B43" w:themeColor="text2" w:themeShade="80"/>
        </w:rPr>
        <w:t>ly funded</w:t>
      </w:r>
      <w:r w:rsidRPr="004A1196" w:rsidDel="00E729D4">
        <w:rPr>
          <w:rFonts w:eastAsia="MS Mincho"/>
          <w:color w:val="0B2B43" w:themeColor="text2" w:themeShade="80"/>
        </w:rPr>
        <w:t xml:space="preserve"> research </w:t>
      </w:r>
      <w:r w:rsidRPr="004A1196">
        <w:rPr>
          <w:rFonts w:eastAsia="MS Mincho"/>
          <w:color w:val="0B2B43" w:themeColor="text2" w:themeShade="80"/>
        </w:rPr>
        <w:t xml:space="preserve">organisations </w:t>
      </w:r>
      <w:r w:rsidRPr="004A1196" w:rsidDel="00E729D4">
        <w:rPr>
          <w:rFonts w:eastAsia="MS Mincho"/>
          <w:color w:val="0B2B43" w:themeColor="text2" w:themeShade="80"/>
        </w:rPr>
        <w:t xml:space="preserve">and universities, should provide advice to </w:t>
      </w:r>
      <w:r w:rsidRPr="004A1196">
        <w:rPr>
          <w:rFonts w:eastAsia="MS Mincho"/>
          <w:color w:val="0B2B43" w:themeColor="text2" w:themeShade="80"/>
        </w:rPr>
        <w:t>Government</w:t>
      </w:r>
      <w:r w:rsidRPr="004A1196" w:rsidDel="00E729D4">
        <w:rPr>
          <w:rFonts w:eastAsia="MS Mincho"/>
          <w:color w:val="0B2B43" w:themeColor="text2" w:themeShade="80"/>
        </w:rPr>
        <w:t xml:space="preserve"> by June 2016 on the merits of the broader application of Easy Access IP or similar arrangements across the publicly</w:t>
      </w:r>
      <w:r w:rsidRPr="004A1196">
        <w:rPr>
          <w:rFonts w:eastAsia="MS Mincho"/>
          <w:color w:val="0B2B43" w:themeColor="text2" w:themeShade="80"/>
        </w:rPr>
        <w:t xml:space="preserve"> </w:t>
      </w:r>
      <w:r w:rsidRPr="004A1196" w:rsidDel="00E729D4">
        <w:rPr>
          <w:rFonts w:eastAsia="MS Mincho"/>
          <w:color w:val="0B2B43" w:themeColor="text2" w:themeShade="80"/>
        </w:rPr>
        <w:t>funded research sec</w:t>
      </w:r>
      <w:r w:rsidRPr="004A1196">
        <w:rPr>
          <w:rFonts w:eastAsia="MS Mincho"/>
          <w:color w:val="0B2B43" w:themeColor="text2" w:themeShade="80"/>
        </w:rPr>
        <w:t>tor</w:t>
      </w:r>
      <w:r w:rsidRPr="004A1196" w:rsidDel="00E729D4">
        <w:rPr>
          <w:rFonts w:eastAsia="MS Mincho"/>
          <w:color w:val="0B2B43" w:themeColor="text2" w:themeShade="80"/>
        </w:rPr>
        <w:t xml:space="preserve"> and, if relevant, proposed implementation arrangements.</w:t>
      </w:r>
    </w:p>
    <w:p w:rsidR="00950B4D" w:rsidRPr="004A1196" w:rsidRDefault="00950B4D" w:rsidP="00950B4D">
      <w:pPr>
        <w:pStyle w:val="ListParagraph"/>
        <w:numPr>
          <w:ilvl w:val="0"/>
          <w:numId w:val="34"/>
        </w:numPr>
        <w:spacing w:before="240" w:after="120"/>
        <w:ind w:left="357" w:hanging="357"/>
        <w:contextualSpacing w:val="0"/>
        <w:rPr>
          <w:rFonts w:eastAsia="MS Mincho"/>
          <w:color w:val="0B2B43" w:themeColor="text2" w:themeShade="80"/>
        </w:rPr>
      </w:pPr>
      <w:r w:rsidRPr="004A1196">
        <w:rPr>
          <w:color w:val="0B2B43" w:themeColor="text2" w:themeShade="80"/>
        </w:rPr>
        <w:t>The 2018 ERA should take into account the relative share of research output made available through publication</w:t>
      </w:r>
      <w:r>
        <w:rPr>
          <w:color w:val="0B2B43" w:themeColor="text2" w:themeShade="80"/>
        </w:rPr>
        <w:t>, open source repositories and</w:t>
      </w:r>
      <w:r w:rsidRPr="004A1196">
        <w:rPr>
          <w:color w:val="0B2B43" w:themeColor="text2" w:themeShade="80"/>
        </w:rPr>
        <w:t xml:space="preserve"> exploited through IP arrangements in the assessment </w:t>
      </w:r>
      <w:r w:rsidR="00C43173">
        <w:rPr>
          <w:color w:val="0B2B43" w:themeColor="text2" w:themeShade="80"/>
        </w:rPr>
        <w:t>process</w:t>
      </w:r>
      <w:r w:rsidRPr="004A1196">
        <w:rPr>
          <w:color w:val="0B2B43" w:themeColor="text2" w:themeShade="80"/>
        </w:rPr>
        <w:t>.</w:t>
      </w:r>
    </w:p>
    <w:p w:rsidR="004D5407" w:rsidRPr="004A1196" w:rsidRDefault="004222B5" w:rsidP="00D85AA4">
      <w:pPr>
        <w:pStyle w:val="RIHeading2"/>
        <w:rPr>
          <w:rFonts w:eastAsia="MS Mincho"/>
        </w:rPr>
      </w:pPr>
      <w:r w:rsidRPr="004222B5">
        <w:rPr>
          <w:rFonts w:eastAsia="MS Mincho"/>
        </w:rPr>
        <w:t>Assessment of impact and engagement</w:t>
      </w:r>
    </w:p>
    <w:p w:rsidR="004D5407" w:rsidRPr="004A1196" w:rsidRDefault="004D5407" w:rsidP="00903575">
      <w:pPr>
        <w:pStyle w:val="ListParagraph"/>
        <w:numPr>
          <w:ilvl w:val="0"/>
          <w:numId w:val="34"/>
        </w:numPr>
        <w:spacing w:before="240" w:after="120"/>
        <w:ind w:left="357" w:hanging="357"/>
        <w:contextualSpacing w:val="0"/>
        <w:rPr>
          <w:color w:val="0B2B43" w:themeColor="text2" w:themeShade="80"/>
        </w:rPr>
      </w:pPr>
      <w:proofErr w:type="gramStart"/>
      <w:r w:rsidRPr="004A1196">
        <w:rPr>
          <w:color w:val="0B2B43" w:themeColor="text2" w:themeShade="80"/>
        </w:rPr>
        <w:t>The Australian Government commit to the assessment of the economic, social and other benefits of university research through an impact and engagement assessment framework, which will have an impact on future research funding.</w:t>
      </w:r>
      <w:proofErr w:type="gramEnd"/>
      <w:r w:rsidRPr="004A1196">
        <w:rPr>
          <w:color w:val="0B2B43" w:themeColor="text2" w:themeShade="80"/>
        </w:rPr>
        <w:t xml:space="preserve"> </w:t>
      </w:r>
    </w:p>
    <w:p w:rsidR="004D5407" w:rsidRPr="004A1196" w:rsidRDefault="004D5407" w:rsidP="00903575">
      <w:pPr>
        <w:pStyle w:val="ListParagraph"/>
        <w:numPr>
          <w:ilvl w:val="0"/>
          <w:numId w:val="34"/>
        </w:numPr>
        <w:spacing w:before="240" w:after="120"/>
        <w:ind w:left="357" w:hanging="357"/>
        <w:contextualSpacing w:val="0"/>
        <w:rPr>
          <w:color w:val="0B2B43" w:themeColor="text2" w:themeShade="80"/>
        </w:rPr>
      </w:pPr>
      <w:r w:rsidRPr="004A1196">
        <w:rPr>
          <w:color w:val="0B2B43" w:themeColor="text2" w:themeShade="80"/>
        </w:rPr>
        <w:t xml:space="preserve">The framework include both quantitative and </w:t>
      </w:r>
      <w:r w:rsidRPr="00903575">
        <w:rPr>
          <w:rFonts w:eastAsia="Calibri"/>
          <w:color w:val="0B2B43" w:themeColor="text2" w:themeShade="80"/>
        </w:rPr>
        <w:t>qualitative</w:t>
      </w:r>
      <w:r w:rsidRPr="004A1196">
        <w:rPr>
          <w:color w:val="0B2B43" w:themeColor="text2" w:themeShade="80"/>
        </w:rPr>
        <w:t xml:space="preserve"> measures, moderated by expert review, with:</w:t>
      </w:r>
    </w:p>
    <w:p w:rsidR="004D5407" w:rsidRPr="00903575" w:rsidRDefault="004D5407" w:rsidP="00903575">
      <w:pPr>
        <w:pStyle w:val="ListParagraph"/>
        <w:numPr>
          <w:ilvl w:val="1"/>
          <w:numId w:val="34"/>
        </w:numPr>
        <w:spacing w:after="120"/>
        <w:ind w:left="1077" w:hanging="357"/>
        <w:contextualSpacing w:val="0"/>
        <w:rPr>
          <w:rFonts w:eastAsia="Calibri"/>
          <w:color w:val="0B2B43" w:themeColor="text2" w:themeShade="80"/>
        </w:rPr>
      </w:pPr>
      <w:r w:rsidRPr="004A1196">
        <w:rPr>
          <w:color w:val="0B2B43" w:themeColor="text2" w:themeShade="80"/>
        </w:rPr>
        <w:t>th</w:t>
      </w:r>
      <w:r w:rsidRPr="00903575">
        <w:rPr>
          <w:rFonts w:eastAsia="Calibri"/>
          <w:color w:val="0B2B43" w:themeColor="text2" w:themeShade="80"/>
        </w:rPr>
        <w:t xml:space="preserve">e metrics proposed by </w:t>
      </w:r>
      <w:proofErr w:type="spellStart"/>
      <w:r w:rsidRPr="00903575">
        <w:rPr>
          <w:rFonts w:eastAsia="Calibri"/>
          <w:color w:val="0B2B43" w:themeColor="text2" w:themeShade="80"/>
        </w:rPr>
        <w:t>ATSE</w:t>
      </w:r>
      <w:proofErr w:type="spellEnd"/>
      <w:r w:rsidRPr="00903575">
        <w:rPr>
          <w:rFonts w:eastAsia="Calibri"/>
          <w:color w:val="0B2B43" w:themeColor="text2" w:themeShade="80"/>
        </w:rPr>
        <w:t xml:space="preserve"> as the starting point for the development of quantitative measures, and other potential measures also considered</w:t>
      </w:r>
    </w:p>
    <w:p w:rsidR="004D5407" w:rsidRPr="00903575" w:rsidRDefault="004D5407" w:rsidP="00903575">
      <w:pPr>
        <w:pStyle w:val="ListParagraph"/>
        <w:numPr>
          <w:ilvl w:val="1"/>
          <w:numId w:val="34"/>
        </w:numPr>
        <w:spacing w:after="120"/>
        <w:ind w:left="1077" w:hanging="357"/>
        <w:contextualSpacing w:val="0"/>
        <w:rPr>
          <w:rFonts w:eastAsia="Calibri"/>
          <w:color w:val="0B2B43" w:themeColor="text2" w:themeShade="80"/>
        </w:rPr>
      </w:pPr>
      <w:r w:rsidRPr="00903575">
        <w:rPr>
          <w:rFonts w:eastAsia="Calibri"/>
          <w:color w:val="0B2B43" w:themeColor="text2" w:themeShade="80"/>
        </w:rPr>
        <w:t xml:space="preserve">the lessons of the 2014 UK REF, the 2012 </w:t>
      </w:r>
      <w:proofErr w:type="spellStart"/>
      <w:r w:rsidRPr="00903575">
        <w:rPr>
          <w:rFonts w:eastAsia="Calibri"/>
          <w:color w:val="0B2B43" w:themeColor="text2" w:themeShade="80"/>
        </w:rPr>
        <w:t>EIA</w:t>
      </w:r>
      <w:proofErr w:type="spellEnd"/>
      <w:r w:rsidRPr="00903575">
        <w:rPr>
          <w:rFonts w:eastAsia="Calibri"/>
          <w:color w:val="0B2B43" w:themeColor="text2" w:themeShade="80"/>
        </w:rPr>
        <w:t xml:space="preserve"> and the 2010 UK REF pilot drawn on to measure the extent and cost of the approach to qualitative measurement and minimise the burden imposed on universities and others by the assessment methodology</w:t>
      </w:r>
    </w:p>
    <w:p w:rsidR="004D5407" w:rsidRPr="00903575" w:rsidRDefault="004D5407" w:rsidP="00903575">
      <w:pPr>
        <w:pStyle w:val="ListParagraph"/>
        <w:numPr>
          <w:ilvl w:val="1"/>
          <w:numId w:val="34"/>
        </w:numPr>
        <w:spacing w:after="120"/>
        <w:ind w:left="1077" w:hanging="357"/>
        <w:contextualSpacing w:val="0"/>
        <w:rPr>
          <w:rFonts w:eastAsia="Calibri"/>
          <w:color w:val="0B2B43" w:themeColor="text2" w:themeShade="80"/>
        </w:rPr>
      </w:pPr>
      <w:proofErr w:type="gramStart"/>
      <w:r w:rsidRPr="00903575">
        <w:rPr>
          <w:rFonts w:eastAsia="Calibri"/>
          <w:color w:val="0B2B43" w:themeColor="text2" w:themeShade="80"/>
        </w:rPr>
        <w:t>an</w:t>
      </w:r>
      <w:proofErr w:type="gramEnd"/>
      <w:r w:rsidRPr="00903575">
        <w:rPr>
          <w:rFonts w:eastAsia="Calibri"/>
          <w:color w:val="0B2B43" w:themeColor="text2" w:themeShade="80"/>
        </w:rPr>
        <w:t xml:space="preserve"> expert working group, convened by the Department of Education and Training and comprising representatives from the research sector, government and </w:t>
      </w:r>
      <w:r w:rsidR="003904BC">
        <w:rPr>
          <w:rFonts w:eastAsia="Calibri"/>
          <w:color w:val="0B2B43" w:themeColor="text2" w:themeShade="80"/>
        </w:rPr>
        <w:t>end user</w:t>
      </w:r>
      <w:r w:rsidRPr="00903575">
        <w:rPr>
          <w:rFonts w:eastAsia="Calibri"/>
          <w:color w:val="0B2B43" w:themeColor="text2" w:themeShade="80"/>
        </w:rPr>
        <w:t xml:space="preserve">s (including business) </w:t>
      </w:r>
      <w:r w:rsidR="0081444B">
        <w:rPr>
          <w:rFonts w:eastAsia="Calibri"/>
          <w:color w:val="0B2B43" w:themeColor="text2" w:themeShade="80"/>
        </w:rPr>
        <w:t xml:space="preserve">be </w:t>
      </w:r>
      <w:r w:rsidRPr="00903575">
        <w:rPr>
          <w:rFonts w:eastAsia="Calibri"/>
          <w:color w:val="0B2B43" w:themeColor="text2" w:themeShade="80"/>
        </w:rPr>
        <w:t>established to provide advice by the end of June 2016 on the specific approach to be used, the measures to be adopted and the implementation path to be followed</w:t>
      </w:r>
      <w:r w:rsidR="008B3501" w:rsidRPr="00903575">
        <w:rPr>
          <w:rFonts w:eastAsia="Calibri"/>
          <w:color w:val="0B2B43" w:themeColor="text2" w:themeShade="80"/>
        </w:rPr>
        <w:t>.</w:t>
      </w:r>
    </w:p>
    <w:p w:rsidR="004D5407" w:rsidRPr="004A1196" w:rsidRDefault="004D5407" w:rsidP="00903575">
      <w:pPr>
        <w:pStyle w:val="ListParagraph"/>
        <w:numPr>
          <w:ilvl w:val="0"/>
          <w:numId w:val="34"/>
        </w:numPr>
        <w:spacing w:before="240" w:after="120"/>
        <w:ind w:left="357" w:hanging="357"/>
        <w:contextualSpacing w:val="0"/>
        <w:rPr>
          <w:color w:val="0B2B43" w:themeColor="text2" w:themeShade="80"/>
        </w:rPr>
      </w:pPr>
      <w:r w:rsidRPr="004A1196">
        <w:rPr>
          <w:color w:val="0B2B43" w:themeColor="text2" w:themeShade="80"/>
        </w:rPr>
        <w:t>The impact and engagement assessment</w:t>
      </w:r>
      <w:r w:rsidRPr="004A1196" w:rsidDel="008A1A09">
        <w:rPr>
          <w:color w:val="0B2B43" w:themeColor="text2" w:themeShade="80"/>
        </w:rPr>
        <w:t xml:space="preserve"> </w:t>
      </w:r>
      <w:r w:rsidRPr="004A1196">
        <w:rPr>
          <w:color w:val="0B2B43" w:themeColor="text2" w:themeShade="80"/>
        </w:rPr>
        <w:t xml:space="preserve">model </w:t>
      </w:r>
      <w:proofErr w:type="gramStart"/>
      <w:r w:rsidRPr="004A1196">
        <w:rPr>
          <w:color w:val="0B2B43" w:themeColor="text2" w:themeShade="80"/>
        </w:rPr>
        <w:t>should be piloted</w:t>
      </w:r>
      <w:proofErr w:type="gramEnd"/>
      <w:r w:rsidRPr="004A1196">
        <w:rPr>
          <w:color w:val="0B2B43" w:themeColor="text2" w:themeShade="80"/>
        </w:rPr>
        <w:t xml:space="preserve"> in 2017, with the lessons from the pilot to be finalised by </w:t>
      </w:r>
      <w:r w:rsidRPr="00903575">
        <w:rPr>
          <w:rFonts w:eastAsia="Calibri"/>
          <w:color w:val="0B2B43" w:themeColor="text2" w:themeShade="80"/>
        </w:rPr>
        <w:t>the</w:t>
      </w:r>
      <w:r w:rsidRPr="004A1196">
        <w:rPr>
          <w:color w:val="0B2B43" w:themeColor="text2" w:themeShade="80"/>
        </w:rPr>
        <w:t xml:space="preserve"> end of 2017.</w:t>
      </w:r>
    </w:p>
    <w:p w:rsidR="004D5407" w:rsidRPr="004A1196" w:rsidRDefault="004D5407" w:rsidP="00903575">
      <w:pPr>
        <w:pStyle w:val="ListParagraph"/>
        <w:numPr>
          <w:ilvl w:val="0"/>
          <w:numId w:val="34"/>
        </w:numPr>
        <w:spacing w:before="240" w:after="120"/>
        <w:ind w:left="357" w:hanging="357"/>
        <w:contextualSpacing w:val="0"/>
        <w:rPr>
          <w:color w:val="0B2B43" w:themeColor="text2" w:themeShade="80"/>
        </w:rPr>
      </w:pPr>
      <w:r w:rsidRPr="004A1196">
        <w:rPr>
          <w:color w:val="0B2B43" w:themeColor="text2" w:themeShade="80"/>
        </w:rPr>
        <w:t xml:space="preserve">The new framework </w:t>
      </w:r>
      <w:r w:rsidRPr="00903575">
        <w:rPr>
          <w:rFonts w:eastAsia="Calibri"/>
          <w:color w:val="0B2B43" w:themeColor="text2" w:themeShade="80"/>
        </w:rPr>
        <w:t>should</w:t>
      </w:r>
      <w:r w:rsidRPr="004A1196">
        <w:rPr>
          <w:color w:val="0B2B43" w:themeColor="text2" w:themeShade="80"/>
        </w:rPr>
        <w:t>:</w:t>
      </w:r>
    </w:p>
    <w:p w:rsidR="004D5407" w:rsidRPr="00903575" w:rsidRDefault="004D5407" w:rsidP="00903575">
      <w:pPr>
        <w:pStyle w:val="ListParagraph"/>
        <w:numPr>
          <w:ilvl w:val="1"/>
          <w:numId w:val="34"/>
        </w:numPr>
        <w:spacing w:after="120"/>
        <w:ind w:left="1077" w:hanging="357"/>
        <w:contextualSpacing w:val="0"/>
        <w:rPr>
          <w:rFonts w:eastAsia="Calibri"/>
          <w:color w:val="0B2B43" w:themeColor="text2" w:themeShade="80"/>
        </w:rPr>
      </w:pPr>
      <w:r w:rsidRPr="00903575">
        <w:rPr>
          <w:rFonts w:eastAsia="Calibri"/>
          <w:color w:val="0B2B43" w:themeColor="text2" w:themeShade="80"/>
        </w:rPr>
        <w:t>be implemented as a companion to ERA in 2018, so that quality and impact and engagement can be assessed at the same time on a three year cycle</w:t>
      </w:r>
    </w:p>
    <w:p w:rsidR="004D5407" w:rsidRPr="00903575" w:rsidRDefault="004D5407" w:rsidP="00903575">
      <w:pPr>
        <w:pStyle w:val="ListParagraph"/>
        <w:numPr>
          <w:ilvl w:val="1"/>
          <w:numId w:val="34"/>
        </w:numPr>
        <w:spacing w:after="120"/>
        <w:ind w:left="1077" w:hanging="357"/>
        <w:contextualSpacing w:val="0"/>
        <w:rPr>
          <w:rFonts w:eastAsia="Calibri"/>
          <w:color w:val="0B2B43" w:themeColor="text2" w:themeShade="80"/>
        </w:rPr>
      </w:pPr>
      <w:proofErr w:type="gramStart"/>
      <w:r w:rsidRPr="00903575">
        <w:rPr>
          <w:rFonts w:eastAsia="Calibri"/>
          <w:color w:val="0B2B43" w:themeColor="text2" w:themeShade="80"/>
        </w:rPr>
        <w:t>be</w:t>
      </w:r>
      <w:proofErr w:type="gramEnd"/>
      <w:r w:rsidRPr="00903575">
        <w:rPr>
          <w:rFonts w:eastAsia="Calibri"/>
          <w:color w:val="0B2B43" w:themeColor="text2" w:themeShade="80"/>
        </w:rPr>
        <w:t xml:space="preserve"> implemented so that any additional burden on universities is minimised by using existing sources of data and evidence and reducing data and information required for ERA and/or other reporting</w:t>
      </w:r>
      <w:r w:rsidR="008B3501" w:rsidRPr="00903575">
        <w:rPr>
          <w:rFonts w:eastAsia="Calibri"/>
          <w:color w:val="0B2B43" w:themeColor="text2" w:themeShade="80"/>
        </w:rPr>
        <w:t>.</w:t>
      </w:r>
    </w:p>
    <w:p w:rsidR="004D5407" w:rsidRPr="004A1196" w:rsidRDefault="004D5407" w:rsidP="00903575">
      <w:pPr>
        <w:pStyle w:val="ListParagraph"/>
        <w:numPr>
          <w:ilvl w:val="0"/>
          <w:numId w:val="34"/>
        </w:numPr>
        <w:spacing w:before="240" w:after="120"/>
        <w:ind w:left="357" w:hanging="357"/>
        <w:contextualSpacing w:val="0"/>
        <w:rPr>
          <w:color w:val="0B2B43" w:themeColor="text2" w:themeShade="80"/>
        </w:rPr>
      </w:pPr>
      <w:r w:rsidRPr="004A1196">
        <w:rPr>
          <w:color w:val="0B2B43" w:themeColor="text2" w:themeShade="80"/>
        </w:rPr>
        <w:t xml:space="preserve">Following the </w:t>
      </w:r>
      <w:r w:rsidRPr="00903575">
        <w:rPr>
          <w:rFonts w:eastAsia="Calibri"/>
          <w:color w:val="0B2B43" w:themeColor="text2" w:themeShade="80"/>
        </w:rPr>
        <w:t>2017</w:t>
      </w:r>
      <w:r w:rsidRPr="004A1196">
        <w:rPr>
          <w:color w:val="0B2B43" w:themeColor="text2" w:themeShade="80"/>
        </w:rPr>
        <w:t xml:space="preserve"> pilot, the Australian Government should consider whether a specific level of funding </w:t>
      </w:r>
      <w:proofErr w:type="gramStart"/>
      <w:r w:rsidRPr="004A1196">
        <w:rPr>
          <w:color w:val="0B2B43" w:themeColor="text2" w:themeShade="80"/>
        </w:rPr>
        <w:t>should be influenced</w:t>
      </w:r>
      <w:proofErr w:type="gramEnd"/>
      <w:r w:rsidRPr="004A1196">
        <w:rPr>
          <w:color w:val="0B2B43" w:themeColor="text2" w:themeShade="80"/>
        </w:rPr>
        <w:t xml:space="preserve"> by the impact and engagement assessment, with 10 to 20 per cent of </w:t>
      </w:r>
      <w:proofErr w:type="spellStart"/>
      <w:r w:rsidRPr="004A1196">
        <w:rPr>
          <w:color w:val="0B2B43" w:themeColor="text2" w:themeShade="80"/>
        </w:rPr>
        <w:t>RBG</w:t>
      </w:r>
      <w:proofErr w:type="spellEnd"/>
      <w:r w:rsidRPr="004A1196">
        <w:rPr>
          <w:color w:val="0B2B43" w:themeColor="text2" w:themeShade="80"/>
        </w:rPr>
        <w:t xml:space="preserve"> research support from 2019 being a possible starting point.</w:t>
      </w:r>
    </w:p>
    <w:p w:rsidR="004D5407" w:rsidRPr="004A1196" w:rsidRDefault="004D5407" w:rsidP="00903575">
      <w:pPr>
        <w:pStyle w:val="ListParagraph"/>
        <w:numPr>
          <w:ilvl w:val="0"/>
          <w:numId w:val="34"/>
        </w:numPr>
        <w:spacing w:before="240" w:after="120"/>
        <w:ind w:left="357" w:hanging="357"/>
        <w:contextualSpacing w:val="0"/>
        <w:rPr>
          <w:color w:val="0B2B43" w:themeColor="text2" w:themeShade="80"/>
        </w:rPr>
      </w:pPr>
      <w:r w:rsidRPr="004A1196">
        <w:rPr>
          <w:color w:val="0B2B43" w:themeColor="text2" w:themeShade="80"/>
        </w:rPr>
        <w:t xml:space="preserve">The ARC be provided with sufficient ongoing funding (around $10 million over the three year assessment cycle) </w:t>
      </w:r>
      <w:r w:rsidRPr="00903575">
        <w:rPr>
          <w:rFonts w:eastAsia="Calibri"/>
          <w:color w:val="0B2B43" w:themeColor="text2" w:themeShade="80"/>
        </w:rPr>
        <w:t>to</w:t>
      </w:r>
      <w:r w:rsidRPr="004A1196">
        <w:rPr>
          <w:color w:val="0B2B43" w:themeColor="text2" w:themeShade="80"/>
        </w:rPr>
        <w:t xml:space="preserve"> manage the development and implementation of the assessment.</w:t>
      </w:r>
    </w:p>
    <w:p w:rsidR="008B3501" w:rsidRPr="004A1196" w:rsidRDefault="008B3501" w:rsidP="00D85AA4">
      <w:pPr>
        <w:pStyle w:val="RIHeading2"/>
      </w:pPr>
      <w:r w:rsidRPr="004A1196">
        <w:t>Assessing Australia’s research system</w:t>
      </w:r>
    </w:p>
    <w:p w:rsidR="006775C6" w:rsidRPr="004A1196" w:rsidRDefault="006775C6" w:rsidP="00903575">
      <w:pPr>
        <w:pStyle w:val="ListParagraph"/>
        <w:numPr>
          <w:ilvl w:val="0"/>
          <w:numId w:val="34"/>
        </w:numPr>
        <w:spacing w:before="240" w:after="120"/>
        <w:ind w:left="357" w:hanging="357"/>
        <w:contextualSpacing w:val="0"/>
        <w:rPr>
          <w:color w:val="0B2B43" w:themeColor="text2" w:themeShade="80"/>
        </w:rPr>
      </w:pPr>
      <w:r w:rsidRPr="004A1196">
        <w:rPr>
          <w:color w:val="0B2B43" w:themeColor="text2" w:themeShade="80"/>
        </w:rPr>
        <w:t xml:space="preserve">The Minister for Education and Training, in consultation with the Minister for Industry, Innovation and Science, the Minister for Health and other relevant ministers, should take the </w:t>
      </w:r>
      <w:r w:rsidRPr="00903575">
        <w:rPr>
          <w:rFonts w:eastAsia="Calibri"/>
          <w:color w:val="0B2B43" w:themeColor="text2" w:themeShade="80"/>
        </w:rPr>
        <w:t>lead</w:t>
      </w:r>
      <w:r w:rsidRPr="004A1196">
        <w:rPr>
          <w:color w:val="0B2B43" w:themeColor="text2" w:themeShade="80"/>
        </w:rPr>
        <w:t xml:space="preserve"> on assessing and reporting on the performance of the publicly funded research system through:</w:t>
      </w:r>
    </w:p>
    <w:p w:rsidR="006775C6" w:rsidRPr="00903575" w:rsidRDefault="006775C6" w:rsidP="00903575">
      <w:pPr>
        <w:pStyle w:val="ListParagraph"/>
        <w:numPr>
          <w:ilvl w:val="1"/>
          <w:numId w:val="34"/>
        </w:numPr>
        <w:spacing w:after="120"/>
        <w:ind w:left="1077" w:hanging="357"/>
        <w:contextualSpacing w:val="0"/>
        <w:rPr>
          <w:rFonts w:eastAsia="Calibri"/>
          <w:color w:val="0B2B43" w:themeColor="text2" w:themeShade="80"/>
        </w:rPr>
      </w:pPr>
      <w:r w:rsidRPr="00903575">
        <w:rPr>
          <w:rFonts w:eastAsia="Calibri"/>
          <w:color w:val="0B2B43" w:themeColor="text2" w:themeShade="80"/>
        </w:rPr>
        <w:t>an annual public assessment of the performance of the Australian research system</w:t>
      </w:r>
    </w:p>
    <w:p w:rsidR="006775C6" w:rsidRPr="00903575" w:rsidRDefault="006775C6" w:rsidP="00903575">
      <w:pPr>
        <w:pStyle w:val="ListParagraph"/>
        <w:numPr>
          <w:ilvl w:val="1"/>
          <w:numId w:val="34"/>
        </w:numPr>
        <w:spacing w:after="120"/>
        <w:ind w:left="1077" w:hanging="357"/>
        <w:contextualSpacing w:val="0"/>
        <w:rPr>
          <w:rFonts w:eastAsia="Calibri"/>
          <w:color w:val="0B2B43" w:themeColor="text2" w:themeShade="80"/>
        </w:rPr>
      </w:pPr>
      <w:r w:rsidRPr="00903575">
        <w:rPr>
          <w:rFonts w:eastAsia="Calibri"/>
          <w:color w:val="0B2B43" w:themeColor="text2" w:themeShade="80"/>
        </w:rPr>
        <w:t>advice to the Cabinet annually on current and emerging policy implications to inform policy consideration at both the whole of government and portfolio by portfolio levels</w:t>
      </w:r>
    </w:p>
    <w:p w:rsidR="006775C6" w:rsidRPr="004A1196" w:rsidRDefault="006775C6" w:rsidP="00903575">
      <w:pPr>
        <w:pStyle w:val="ListParagraph"/>
        <w:numPr>
          <w:ilvl w:val="1"/>
          <w:numId w:val="34"/>
        </w:numPr>
        <w:spacing w:after="120"/>
        <w:ind w:left="1077" w:hanging="357"/>
        <w:contextualSpacing w:val="0"/>
        <w:rPr>
          <w:color w:val="0B2B43" w:themeColor="text2" w:themeShade="80"/>
        </w:rPr>
      </w:pPr>
      <w:proofErr w:type="gramStart"/>
      <w:r w:rsidRPr="00903575">
        <w:rPr>
          <w:rFonts w:eastAsia="Calibri"/>
          <w:color w:val="0B2B43" w:themeColor="text2" w:themeShade="80"/>
        </w:rPr>
        <w:t>public</w:t>
      </w:r>
      <w:proofErr w:type="gramEnd"/>
      <w:r w:rsidRPr="00903575">
        <w:rPr>
          <w:rFonts w:eastAsia="Calibri"/>
          <w:color w:val="0B2B43" w:themeColor="text2" w:themeShade="80"/>
        </w:rPr>
        <w:t xml:space="preserve"> release of the results of the assessment</w:t>
      </w:r>
      <w:r w:rsidRPr="004A1196">
        <w:rPr>
          <w:color w:val="0B2B43" w:themeColor="text2" w:themeShade="80"/>
        </w:rPr>
        <w:t xml:space="preserve"> after the Cabinet’s consideration</w:t>
      </w:r>
      <w:r w:rsidR="00903575">
        <w:rPr>
          <w:color w:val="0B2B43" w:themeColor="text2" w:themeShade="80"/>
        </w:rPr>
        <w:t>.</w:t>
      </w:r>
    </w:p>
    <w:p w:rsidR="006775C6" w:rsidRPr="004A1196" w:rsidRDefault="006775C6" w:rsidP="00903575">
      <w:pPr>
        <w:pStyle w:val="ListParagraph"/>
        <w:numPr>
          <w:ilvl w:val="0"/>
          <w:numId w:val="34"/>
        </w:numPr>
        <w:spacing w:before="240" w:after="120"/>
        <w:ind w:left="357" w:hanging="357"/>
        <w:contextualSpacing w:val="0"/>
        <w:rPr>
          <w:color w:val="0B2B43" w:themeColor="text2" w:themeShade="80"/>
        </w:rPr>
      </w:pPr>
      <w:r w:rsidRPr="004A1196">
        <w:rPr>
          <w:color w:val="0B2B43" w:themeColor="text2" w:themeShade="80"/>
        </w:rPr>
        <w:t xml:space="preserve">Early work currently underway by the Departments of Education and Training and Innovation, Industry and Science to develop system-level performance measures </w:t>
      </w:r>
      <w:proofErr w:type="gramStart"/>
      <w:r w:rsidRPr="004A1196">
        <w:rPr>
          <w:color w:val="0B2B43" w:themeColor="text2" w:themeShade="80"/>
        </w:rPr>
        <w:t xml:space="preserve">should be </w:t>
      </w:r>
      <w:r w:rsidRPr="00903575">
        <w:rPr>
          <w:rFonts w:eastAsia="Calibri"/>
          <w:color w:val="0B2B43" w:themeColor="text2" w:themeShade="80"/>
        </w:rPr>
        <w:t>accelerated</w:t>
      </w:r>
      <w:r w:rsidRPr="004A1196">
        <w:rPr>
          <w:color w:val="0B2B43" w:themeColor="text2" w:themeShade="80"/>
        </w:rPr>
        <w:t xml:space="preserve"> and developed in consultation with the business and the university sectors</w:t>
      </w:r>
      <w:proofErr w:type="gramEnd"/>
      <w:r w:rsidRPr="004A1196">
        <w:rPr>
          <w:color w:val="0B2B43" w:themeColor="text2" w:themeShade="80"/>
        </w:rPr>
        <w:t>.</w:t>
      </w:r>
    </w:p>
    <w:p w:rsidR="006775C6" w:rsidRPr="004A1196" w:rsidRDefault="006775C6" w:rsidP="00903575">
      <w:pPr>
        <w:pStyle w:val="ListParagraph"/>
        <w:numPr>
          <w:ilvl w:val="0"/>
          <w:numId w:val="34"/>
        </w:numPr>
        <w:spacing w:before="240" w:after="120"/>
        <w:ind w:left="357" w:hanging="357"/>
        <w:contextualSpacing w:val="0"/>
        <w:rPr>
          <w:color w:val="0B2B43" w:themeColor="text2" w:themeShade="80"/>
        </w:rPr>
      </w:pPr>
      <w:r w:rsidRPr="004A1196">
        <w:rPr>
          <w:color w:val="0B2B43" w:themeColor="text2" w:themeShade="80"/>
        </w:rPr>
        <w:t xml:space="preserve">The first assessment of the performance of the publicly funded research system </w:t>
      </w:r>
      <w:proofErr w:type="gramStart"/>
      <w:r w:rsidRPr="004A1196">
        <w:rPr>
          <w:color w:val="0B2B43" w:themeColor="text2" w:themeShade="80"/>
        </w:rPr>
        <w:t xml:space="preserve">should be </w:t>
      </w:r>
      <w:r w:rsidRPr="00903575">
        <w:rPr>
          <w:rFonts w:eastAsia="Calibri"/>
          <w:color w:val="0B2B43" w:themeColor="text2" w:themeShade="80"/>
        </w:rPr>
        <w:t>produced</w:t>
      </w:r>
      <w:proofErr w:type="gramEnd"/>
      <w:r w:rsidRPr="004A1196">
        <w:rPr>
          <w:color w:val="0B2B43" w:themeColor="text2" w:themeShade="80"/>
        </w:rPr>
        <w:t xml:space="preserve"> by the end of 2016 using existing data collections. </w:t>
      </w:r>
    </w:p>
    <w:p w:rsidR="002235BA" w:rsidRPr="004A1196" w:rsidRDefault="00903575" w:rsidP="00D85AA4">
      <w:pPr>
        <w:pStyle w:val="RIHeading2"/>
      </w:pPr>
      <w:r w:rsidRPr="00903575">
        <w:t xml:space="preserve">Global university ranking systems: an Australian developed </w:t>
      </w:r>
      <w:proofErr w:type="gramStart"/>
      <w:r w:rsidRPr="00903575">
        <w:t>system?</w:t>
      </w:r>
      <w:proofErr w:type="gramEnd"/>
    </w:p>
    <w:p w:rsidR="0008103C" w:rsidRPr="004A1196" w:rsidRDefault="002235BA" w:rsidP="00903575">
      <w:pPr>
        <w:pStyle w:val="ListParagraph"/>
        <w:numPr>
          <w:ilvl w:val="0"/>
          <w:numId w:val="34"/>
        </w:numPr>
        <w:spacing w:before="240" w:after="120"/>
        <w:ind w:left="357" w:hanging="357"/>
        <w:contextualSpacing w:val="0"/>
        <w:rPr>
          <w:color w:val="0B2B43" w:themeColor="text2" w:themeShade="80"/>
        </w:rPr>
        <w:sectPr w:rsidR="0008103C" w:rsidRPr="004A1196" w:rsidSect="0008103C">
          <w:headerReference w:type="default" r:id="rId25"/>
          <w:type w:val="continuous"/>
          <w:pgSz w:w="11906" w:h="16838"/>
          <w:pgMar w:top="1440" w:right="1416" w:bottom="1440" w:left="1440" w:header="709" w:footer="1009" w:gutter="0"/>
          <w:pgNumType w:fmt="lowerRoman"/>
          <w:cols w:space="708"/>
          <w:docGrid w:linePitch="360"/>
        </w:sectPr>
      </w:pPr>
      <w:r w:rsidRPr="004A1196">
        <w:rPr>
          <w:color w:val="0B2B43" w:themeColor="text2" w:themeShade="80"/>
        </w:rPr>
        <w:t xml:space="preserve">Australia should seek to influence the initiatives of existing and possibly new global </w:t>
      </w:r>
      <w:r w:rsidRPr="00903575">
        <w:rPr>
          <w:rFonts w:eastAsia="Calibri"/>
          <w:color w:val="0B2B43" w:themeColor="text2" w:themeShade="80"/>
        </w:rPr>
        <w:t>ranking</w:t>
      </w:r>
      <w:r w:rsidRPr="004A1196">
        <w:rPr>
          <w:color w:val="0B2B43" w:themeColor="text2" w:themeShade="80"/>
        </w:rPr>
        <w:t xml:space="preserve"> systems moving to incorporate innovation and industry engagement measures into their rankings. </w:t>
      </w:r>
    </w:p>
    <w:p w:rsidR="002C6039" w:rsidRPr="004A1196" w:rsidRDefault="002C6039" w:rsidP="003D1B08">
      <w:pPr>
        <w:pStyle w:val="RIHeading1"/>
        <w:rPr>
          <w:color w:val="0B2B43" w:themeColor="text2" w:themeShade="80"/>
        </w:rPr>
      </w:pPr>
      <w:bookmarkStart w:id="10" w:name="_Toc436228984"/>
      <w:bookmarkStart w:id="11" w:name="_Toc436392702"/>
      <w:bookmarkStart w:id="12" w:name="_Toc436563382"/>
      <w:bookmarkStart w:id="13" w:name="_Toc436574571"/>
      <w:bookmarkStart w:id="14" w:name="_Toc436579521"/>
      <w:bookmarkStart w:id="15" w:name="_Toc436579539"/>
      <w:bookmarkStart w:id="16" w:name="_Toc436651800"/>
      <w:bookmarkStart w:id="17" w:name="_Toc436659608"/>
      <w:bookmarkStart w:id="18" w:name="_Toc436660106"/>
      <w:bookmarkStart w:id="19" w:name="_Toc436663719"/>
      <w:bookmarkStart w:id="20" w:name="_Toc436664109"/>
      <w:bookmarkStart w:id="21" w:name="_Toc436664670"/>
      <w:bookmarkStart w:id="22" w:name="_Toc436664812"/>
      <w:bookmarkStart w:id="23" w:name="_Toc436665027"/>
      <w:bookmarkStart w:id="24" w:name="_Toc436666144"/>
      <w:bookmarkStart w:id="25" w:name="_Toc436666851"/>
      <w:bookmarkStart w:id="26" w:name="_Toc436666969"/>
      <w:bookmarkStart w:id="27" w:name="_Toc440378832"/>
      <w:r w:rsidRPr="004A1196">
        <w:rPr>
          <w:color w:val="0B2B43" w:themeColor="text2" w:themeShade="80"/>
        </w:rPr>
        <w:t>Introduction</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2C6039" w:rsidRPr="004A1196" w:rsidRDefault="002C6039" w:rsidP="002C6039">
      <w:pPr>
        <w:pStyle w:val="RIHeading2"/>
        <w:rPr>
          <w:color w:val="0B2B43" w:themeColor="text2" w:themeShade="80"/>
        </w:rPr>
      </w:pPr>
      <w:bookmarkStart w:id="28" w:name="_Toc436392703"/>
      <w:bookmarkStart w:id="29" w:name="_Toc436651801"/>
      <w:bookmarkStart w:id="30" w:name="_Toc436659609"/>
      <w:bookmarkStart w:id="31" w:name="_Toc436660107"/>
      <w:r w:rsidRPr="004A1196">
        <w:rPr>
          <w:color w:val="0B2B43" w:themeColor="text2" w:themeShade="80"/>
        </w:rPr>
        <w:t>The challenge</w:t>
      </w:r>
      <w:bookmarkEnd w:id="28"/>
      <w:bookmarkEnd w:id="29"/>
      <w:bookmarkEnd w:id="30"/>
      <w:bookmarkEnd w:id="31"/>
    </w:p>
    <w:p w:rsidR="002C6039" w:rsidRPr="004A1196" w:rsidRDefault="002C6039" w:rsidP="002C6039">
      <w:pPr>
        <w:rPr>
          <w:color w:val="0B2B43" w:themeColor="text2" w:themeShade="80"/>
        </w:rPr>
      </w:pPr>
      <w:r w:rsidRPr="004A1196">
        <w:rPr>
          <w:color w:val="0B2B43" w:themeColor="text2" w:themeShade="80"/>
        </w:rPr>
        <w:t>The overall quality of the Australian research sector is high by OECD standards.</w:t>
      </w:r>
    </w:p>
    <w:p w:rsidR="002C6039" w:rsidRPr="004A1196" w:rsidRDefault="002C6039" w:rsidP="002C6039">
      <w:pPr>
        <w:rPr>
          <w:color w:val="0B2B43" w:themeColor="text2" w:themeShade="80"/>
        </w:rPr>
      </w:pPr>
      <w:r w:rsidRPr="004A1196">
        <w:rPr>
          <w:color w:val="0B2B43" w:themeColor="text2" w:themeShade="80"/>
        </w:rPr>
        <w:t>Australia’s research output ranks in the top ten OECD countries, as assessed by most quality measures.</w:t>
      </w:r>
      <w:r w:rsidRPr="004A1196">
        <w:rPr>
          <w:rStyle w:val="FootnoteReference"/>
          <w:rFonts w:cstheme="minorHAnsi"/>
          <w:color w:val="0B2B43" w:themeColor="text2" w:themeShade="80"/>
        </w:rPr>
        <w:footnoteReference w:id="2"/>
      </w:r>
      <w:r w:rsidRPr="004A1196">
        <w:rPr>
          <w:color w:val="0B2B43" w:themeColor="text2" w:themeShade="80"/>
        </w:rPr>
        <w:t xml:space="preserve"> Australia also received the tenth highest ranking for research and development (R&amp;D), among 141 countries, in the Global Innovation Index 2015 Country Rankings,</w:t>
      </w:r>
      <w:r w:rsidR="00446B1F" w:rsidRPr="004A1196">
        <w:rPr>
          <w:rStyle w:val="FootnoteReference"/>
          <w:rFonts w:cstheme="minorHAnsi"/>
          <w:color w:val="0B2B43" w:themeColor="text2" w:themeShade="80"/>
        </w:rPr>
        <w:footnoteReference w:id="3"/>
      </w:r>
      <w:r w:rsidRPr="004A1196">
        <w:rPr>
          <w:color w:val="0B2B43" w:themeColor="text2" w:themeShade="80"/>
        </w:rPr>
        <w:t xml:space="preserve"> and Excellence in Research for Australia (ERA) assessments have confirmed that significant numbers of universities are producing research rated at world standard or higher across many, if not most, fields of research.</w:t>
      </w:r>
      <w:r w:rsidRPr="004A1196">
        <w:rPr>
          <w:rStyle w:val="FootnoteReference"/>
          <w:rFonts w:cstheme="minorHAnsi"/>
          <w:color w:val="0B2B43" w:themeColor="text2" w:themeShade="80"/>
        </w:rPr>
        <w:footnoteReference w:id="4"/>
      </w:r>
    </w:p>
    <w:p w:rsidR="002C6039" w:rsidRPr="004A1196" w:rsidRDefault="002C6039" w:rsidP="002C6039">
      <w:pPr>
        <w:rPr>
          <w:color w:val="0B2B43" w:themeColor="text2" w:themeShade="80"/>
        </w:rPr>
      </w:pPr>
      <w:r w:rsidRPr="004A1196">
        <w:rPr>
          <w:color w:val="0B2B43" w:themeColor="text2" w:themeShade="80"/>
        </w:rPr>
        <w:t xml:space="preserve">Australia’s expenditure on R&amp;D is not particularly high by comparable country standards, and was equal to 2.12 per cent of GDP in 2013-14, </w:t>
      </w:r>
      <w:r w:rsidR="009E5958" w:rsidRPr="004A1196">
        <w:rPr>
          <w:color w:val="0B2B43" w:themeColor="text2" w:themeShade="80"/>
        </w:rPr>
        <w:t>up from 1.73 per cent in 2004-05</w:t>
      </w:r>
      <w:r w:rsidRPr="004A1196">
        <w:rPr>
          <w:color w:val="0B2B43" w:themeColor="text2" w:themeShade="80"/>
        </w:rPr>
        <w:t>.</w:t>
      </w:r>
      <w:r w:rsidRPr="004A1196">
        <w:rPr>
          <w:rStyle w:val="FootnoteReference"/>
          <w:rFonts w:cstheme="minorHAnsi"/>
          <w:color w:val="0B2B43" w:themeColor="text2" w:themeShade="80"/>
        </w:rPr>
        <w:footnoteReference w:id="5"/>
      </w:r>
      <w:r w:rsidRPr="004A1196">
        <w:rPr>
          <w:color w:val="0B2B43" w:themeColor="text2" w:themeShade="80"/>
        </w:rPr>
        <w:t xml:space="preserve"> This is slightly below the OECD average of 2.36 per cent in 2013.</w:t>
      </w:r>
      <w:r w:rsidR="0031054D" w:rsidRPr="004A1196">
        <w:rPr>
          <w:rStyle w:val="FootnoteReference"/>
          <w:rFonts w:cstheme="minorHAnsi"/>
          <w:color w:val="0B2B43" w:themeColor="text2" w:themeShade="80"/>
        </w:rPr>
        <w:footnoteReference w:id="6"/>
      </w:r>
      <w:r w:rsidRPr="004A1196">
        <w:rPr>
          <w:color w:val="0B2B43" w:themeColor="text2" w:themeShade="80"/>
        </w:rPr>
        <w:t xml:space="preserve"> </w:t>
      </w:r>
      <w:proofErr w:type="gramStart"/>
      <w:r w:rsidRPr="004A1196">
        <w:rPr>
          <w:color w:val="0B2B43" w:themeColor="text2" w:themeShade="80"/>
        </w:rPr>
        <w:t>Australia’s nominal gross expenditure on R&amp;D more than doubled from $16</w:t>
      </w:r>
      <w:r w:rsidR="0031054D" w:rsidRPr="004A1196">
        <w:rPr>
          <w:color w:val="0B2B43" w:themeColor="text2" w:themeShade="80"/>
        </w:rPr>
        <w:t>.0</w:t>
      </w:r>
      <w:r w:rsidRPr="004A1196">
        <w:rPr>
          <w:color w:val="0B2B43" w:themeColor="text2" w:themeShade="80"/>
        </w:rPr>
        <w:t xml:space="preserve"> billion in 2004</w:t>
      </w:r>
      <w:r w:rsidRPr="004A1196">
        <w:rPr>
          <w:color w:val="0B2B43" w:themeColor="text2" w:themeShade="80"/>
        </w:rPr>
        <w:noBreakHyphen/>
        <w:t>05 to $33.5 billion in</w:t>
      </w:r>
      <w:r w:rsidR="0031054D" w:rsidRPr="004A1196">
        <w:rPr>
          <w:color w:val="0B2B43" w:themeColor="text2" w:themeShade="80"/>
        </w:rPr>
        <w:t xml:space="preserve"> 2013</w:t>
      </w:r>
      <w:r w:rsidR="0031054D" w:rsidRPr="004A1196">
        <w:rPr>
          <w:color w:val="0B2B43" w:themeColor="text2" w:themeShade="80"/>
        </w:rPr>
        <w:noBreakHyphen/>
      </w:r>
      <w:r w:rsidRPr="004A1196">
        <w:rPr>
          <w:color w:val="0B2B43" w:themeColor="text2" w:themeShade="80"/>
        </w:rPr>
        <w:t>14 and increased by more than 60 per cent in real terms over the same period.</w:t>
      </w:r>
      <w:proofErr w:type="gramEnd"/>
      <w:r w:rsidR="002544C7" w:rsidRPr="004A1196">
        <w:rPr>
          <w:rStyle w:val="FootnoteReference"/>
          <w:color w:val="0B2B43" w:themeColor="text2" w:themeShade="80"/>
        </w:rPr>
        <w:footnoteReference w:id="7"/>
      </w:r>
      <w:r w:rsidRPr="004A1196">
        <w:rPr>
          <w:color w:val="0B2B43" w:themeColor="text2" w:themeShade="80"/>
        </w:rPr>
        <w:t xml:space="preserve"> However, our position in global rankings based on expenditure as a percentage of GDP remained unchanged, at around 15</w:t>
      </w:r>
      <w:r w:rsidRPr="004A1196">
        <w:rPr>
          <w:color w:val="0B2B43" w:themeColor="text2" w:themeShade="80"/>
          <w:vertAlign w:val="superscript"/>
        </w:rPr>
        <w:t>th</w:t>
      </w:r>
      <w:r w:rsidRPr="004A1196">
        <w:rPr>
          <w:color w:val="0B2B43" w:themeColor="text2" w:themeShade="80"/>
        </w:rPr>
        <w:t xml:space="preserve"> among OECD countries. In a competitive world, most OECD countries are increasing research expenditure as they see it as a key factor in future productivity and economic growth. Non</w:t>
      </w:r>
      <w:r w:rsidR="00F10485">
        <w:rPr>
          <w:color w:val="0B2B43" w:themeColor="text2" w:themeShade="80"/>
        </w:rPr>
        <w:t>-</w:t>
      </w:r>
      <w:r w:rsidRPr="004A1196">
        <w:rPr>
          <w:color w:val="0B2B43" w:themeColor="text2" w:themeShade="80"/>
        </w:rPr>
        <w:t>OECD countries are also rapidly increasing expenditure as a share of GDP — the two highest spending countries are China and Singapore (gross expenditure on R&amp;D of 2.08 per cent and 2.02 per cent respectively).</w:t>
      </w:r>
      <w:r w:rsidR="002544C7" w:rsidRPr="004A1196">
        <w:rPr>
          <w:rStyle w:val="FootnoteReference"/>
          <w:color w:val="0B2B43" w:themeColor="text2" w:themeShade="80"/>
        </w:rPr>
        <w:footnoteReference w:id="8"/>
      </w:r>
      <w:r w:rsidRPr="004A1196">
        <w:rPr>
          <w:color w:val="0B2B43" w:themeColor="text2" w:themeShade="80"/>
        </w:rPr>
        <w:t xml:space="preserve"> Accordingly, we will need to run faster just to stand still. And </w:t>
      </w:r>
      <w:proofErr w:type="gramStart"/>
      <w:r w:rsidRPr="004A1196">
        <w:rPr>
          <w:color w:val="0B2B43" w:themeColor="text2" w:themeShade="80"/>
        </w:rPr>
        <w:t>we also</w:t>
      </w:r>
      <w:proofErr w:type="gramEnd"/>
      <w:r w:rsidRPr="004A1196">
        <w:rPr>
          <w:color w:val="0B2B43" w:themeColor="text2" w:themeShade="80"/>
        </w:rPr>
        <w:t xml:space="preserve"> need to get the most out of our R&amp;D spending, regardless of the level of that expenditure.</w:t>
      </w:r>
    </w:p>
    <w:p w:rsidR="002C6039" w:rsidRPr="004A1196" w:rsidRDefault="002C6039" w:rsidP="002C6039">
      <w:pPr>
        <w:rPr>
          <w:color w:val="0B2B43" w:themeColor="text2" w:themeShade="80"/>
        </w:rPr>
      </w:pPr>
      <w:r w:rsidRPr="004A1196">
        <w:rPr>
          <w:color w:val="0B2B43" w:themeColor="text2" w:themeShade="80"/>
        </w:rPr>
        <w:t>Australia needs to improve the translation of publicly funded research into commercial outcomes because it is there that our performance is poorest. Australia ranks last out of 26</w:t>
      </w:r>
      <w:r w:rsidR="005D41E2">
        <w:rPr>
          <w:color w:val="0B2B43" w:themeColor="text2" w:themeShade="80"/>
        </w:rPr>
        <w:t> </w:t>
      </w:r>
      <w:r w:rsidRPr="004A1196">
        <w:rPr>
          <w:color w:val="0B2B43" w:themeColor="text2" w:themeShade="80"/>
        </w:rPr>
        <w:t>OECD countries on the proportion of both large businesses and small to medium enterprises (</w:t>
      </w:r>
      <w:proofErr w:type="spellStart"/>
      <w:r w:rsidRPr="004A1196">
        <w:rPr>
          <w:color w:val="0B2B43" w:themeColor="text2" w:themeShade="80"/>
        </w:rPr>
        <w:t>SME</w:t>
      </w:r>
      <w:proofErr w:type="spellEnd"/>
      <w:r w:rsidRPr="004A1196">
        <w:rPr>
          <w:color w:val="0B2B43" w:themeColor="text2" w:themeShade="80"/>
        </w:rPr>
        <w:t>) collaborating with higher education and public research institutions on innovation.</w:t>
      </w:r>
      <w:r w:rsidRPr="004A1196">
        <w:rPr>
          <w:color w:val="0B2B43" w:themeColor="text2" w:themeShade="80"/>
          <w:vertAlign w:val="superscript"/>
        </w:rPr>
        <w:footnoteReference w:id="9"/>
      </w:r>
      <w:r w:rsidRPr="004A1196">
        <w:rPr>
          <w:color w:val="0B2B43" w:themeColor="text2" w:themeShade="80"/>
        </w:rPr>
        <w:t xml:space="preserve"> Further, although our performance has never been strong in business collaboration, it has deteriorated over time. For example, in 2004-06, Australia ranked 20</w:t>
      </w:r>
      <w:r w:rsidRPr="004A1196">
        <w:rPr>
          <w:color w:val="0B2B43" w:themeColor="text2" w:themeShade="80"/>
          <w:vertAlign w:val="superscript"/>
        </w:rPr>
        <w:t>th</w:t>
      </w:r>
      <w:r w:rsidRPr="004A1196">
        <w:rPr>
          <w:color w:val="0B2B43" w:themeColor="text2" w:themeShade="80"/>
        </w:rPr>
        <w:t xml:space="preserve"> and 13</w:t>
      </w:r>
      <w:r w:rsidRPr="004A1196">
        <w:rPr>
          <w:color w:val="0B2B43" w:themeColor="text2" w:themeShade="80"/>
          <w:vertAlign w:val="superscript"/>
        </w:rPr>
        <w:t>th</w:t>
      </w:r>
      <w:r w:rsidRPr="004A1196">
        <w:rPr>
          <w:color w:val="0B2B43" w:themeColor="text2" w:themeShade="80"/>
        </w:rPr>
        <w:t xml:space="preserve"> out of 23 countries respectively for large business and </w:t>
      </w:r>
      <w:proofErr w:type="spellStart"/>
      <w:r w:rsidRPr="004A1196">
        <w:rPr>
          <w:color w:val="0B2B43" w:themeColor="text2" w:themeShade="80"/>
        </w:rPr>
        <w:t>SME</w:t>
      </w:r>
      <w:proofErr w:type="spellEnd"/>
      <w:r w:rsidRPr="004A1196">
        <w:rPr>
          <w:color w:val="0B2B43" w:themeColor="text2" w:themeShade="80"/>
        </w:rPr>
        <w:t xml:space="preserve"> collaboration with higher education. </w:t>
      </w:r>
      <w:r w:rsidRPr="004A1196">
        <w:rPr>
          <w:bCs/>
          <w:color w:val="0B2B43" w:themeColor="text2" w:themeShade="80"/>
        </w:rPr>
        <w:t>Similarly, Australia also does poorly in new-to-the-world innovation, ranking</w:t>
      </w:r>
      <w:r w:rsidRPr="004A1196">
        <w:rPr>
          <w:color w:val="0B2B43" w:themeColor="text2" w:themeShade="80"/>
        </w:rPr>
        <w:t xml:space="preserve"> second last of the 17 OECD countries assessed. We need to improve significantly on that performance, and get more out of our modest R&amp;D expenditure, if we are to create more future growth opportunities.</w:t>
      </w:r>
    </w:p>
    <w:p w:rsidR="002C6039" w:rsidRPr="004A1196" w:rsidRDefault="002C6039" w:rsidP="002C6039">
      <w:pPr>
        <w:rPr>
          <w:color w:val="0B2B43" w:themeColor="text2" w:themeShade="80"/>
        </w:rPr>
      </w:pPr>
      <w:r w:rsidRPr="004A1196">
        <w:rPr>
          <w:color w:val="0B2B43" w:themeColor="text2" w:themeShade="80"/>
        </w:rPr>
        <w:t xml:space="preserve">This review </w:t>
      </w:r>
      <w:proofErr w:type="gramStart"/>
      <w:r w:rsidRPr="004A1196">
        <w:rPr>
          <w:color w:val="0B2B43" w:themeColor="text2" w:themeShade="80"/>
        </w:rPr>
        <w:t>has been given</w:t>
      </w:r>
      <w:proofErr w:type="gramEnd"/>
      <w:r w:rsidRPr="004A1196">
        <w:rPr>
          <w:color w:val="0B2B43" w:themeColor="text2" w:themeShade="80"/>
        </w:rPr>
        <w:t xml:space="preserve"> the task of recommending higher education research funding arrangements within the Education and Training portfolio that will encourage increased engagement with business and other research </w:t>
      </w:r>
      <w:r w:rsidR="003904BC">
        <w:rPr>
          <w:color w:val="0B2B43" w:themeColor="text2" w:themeShade="80"/>
        </w:rPr>
        <w:t>end user</w:t>
      </w:r>
      <w:r w:rsidRPr="004A1196">
        <w:rPr>
          <w:color w:val="0B2B43" w:themeColor="text2" w:themeShade="80"/>
        </w:rPr>
        <w:t>s, in order to better translate the high quality research undertaken by the higher education system in Australia</w:t>
      </w:r>
      <w:r w:rsidRPr="004A1196" w:rsidDel="00A75A53">
        <w:rPr>
          <w:color w:val="0B2B43" w:themeColor="text2" w:themeShade="80"/>
        </w:rPr>
        <w:t xml:space="preserve"> </w:t>
      </w:r>
      <w:r w:rsidRPr="004A1196">
        <w:rPr>
          <w:color w:val="0B2B43" w:themeColor="text2" w:themeShade="80"/>
        </w:rPr>
        <w:t>into economic and social benefits for the nation.</w:t>
      </w:r>
    </w:p>
    <w:p w:rsidR="002C6039" w:rsidRPr="004A1196" w:rsidRDefault="002C6039" w:rsidP="002C6039">
      <w:pPr>
        <w:rPr>
          <w:color w:val="0B2B43" w:themeColor="text2" w:themeShade="80"/>
        </w:rPr>
      </w:pPr>
      <w:r w:rsidRPr="004A1196">
        <w:rPr>
          <w:color w:val="0B2B43" w:themeColor="text2" w:themeShade="80"/>
        </w:rPr>
        <w:t>Our poor performance over a long time in this regard suggests that there is no simple solution to the problem. However, our need to boost our relative rates of future productivity and economic growth suggests that better performance is essential. This is Australia’s challenge.</w:t>
      </w:r>
    </w:p>
    <w:p w:rsidR="002C6039" w:rsidRPr="004A1196" w:rsidRDefault="002C6039" w:rsidP="002C6039">
      <w:pPr>
        <w:pStyle w:val="RIHeading2"/>
        <w:rPr>
          <w:color w:val="0B2B43" w:themeColor="text2" w:themeShade="80"/>
        </w:rPr>
      </w:pPr>
      <w:bookmarkStart w:id="32" w:name="_Toc436392704"/>
      <w:bookmarkStart w:id="33" w:name="_Toc436651802"/>
      <w:bookmarkStart w:id="34" w:name="_Toc436659610"/>
      <w:bookmarkStart w:id="35" w:name="_Toc436660108"/>
      <w:r w:rsidRPr="004A1196">
        <w:rPr>
          <w:color w:val="0B2B43" w:themeColor="text2" w:themeShade="80"/>
        </w:rPr>
        <w:t>The review: origins, terms of reference and conduct</w:t>
      </w:r>
      <w:bookmarkEnd w:id="32"/>
      <w:bookmarkEnd w:id="33"/>
      <w:bookmarkEnd w:id="34"/>
      <w:bookmarkEnd w:id="35"/>
    </w:p>
    <w:p w:rsidR="002C6039" w:rsidRPr="004A1196" w:rsidRDefault="002C6039" w:rsidP="002C6039">
      <w:pPr>
        <w:pStyle w:val="RIHeading3"/>
        <w:rPr>
          <w:color w:val="0B2B43" w:themeColor="text2" w:themeShade="80"/>
        </w:rPr>
      </w:pPr>
      <w:bookmarkStart w:id="36" w:name="_Toc436392705"/>
      <w:bookmarkStart w:id="37" w:name="_Toc436651803"/>
      <w:bookmarkStart w:id="38" w:name="_Toc436659611"/>
      <w:bookmarkStart w:id="39" w:name="_Toc436660109"/>
      <w:r w:rsidRPr="004A1196">
        <w:rPr>
          <w:color w:val="0B2B43" w:themeColor="text2" w:themeShade="80"/>
        </w:rPr>
        <w:t>Origins</w:t>
      </w:r>
      <w:bookmarkEnd w:id="36"/>
      <w:bookmarkEnd w:id="37"/>
      <w:bookmarkEnd w:id="38"/>
      <w:bookmarkEnd w:id="39"/>
    </w:p>
    <w:p w:rsidR="002C6039" w:rsidRPr="004A1196" w:rsidRDefault="002C6039" w:rsidP="002C6039">
      <w:pPr>
        <w:rPr>
          <w:color w:val="0B2B43" w:themeColor="text2" w:themeShade="80"/>
        </w:rPr>
      </w:pPr>
      <w:r w:rsidRPr="004A1196">
        <w:rPr>
          <w:color w:val="0B2B43" w:themeColor="text2" w:themeShade="80"/>
        </w:rPr>
        <w:t xml:space="preserve">The </w:t>
      </w:r>
      <w:r w:rsidRPr="004A1196">
        <w:rPr>
          <w:i/>
          <w:color w:val="0B2B43" w:themeColor="text2" w:themeShade="80"/>
        </w:rPr>
        <w:t>Industry Innovation and Competitiveness Agenda</w:t>
      </w:r>
      <w:r w:rsidRPr="004A1196">
        <w:rPr>
          <w:color w:val="0B2B43" w:themeColor="text2" w:themeShade="80"/>
        </w:rPr>
        <w:t>,</w:t>
      </w:r>
      <w:r w:rsidR="00446B1F" w:rsidRPr="004A1196">
        <w:rPr>
          <w:rStyle w:val="FootnoteReference"/>
          <w:rFonts w:cstheme="minorHAnsi"/>
          <w:i/>
          <w:color w:val="0B2B43" w:themeColor="text2" w:themeShade="80"/>
          <w:spacing w:val="5"/>
        </w:rPr>
        <w:footnoteReference w:id="10"/>
      </w:r>
      <w:r w:rsidRPr="004A1196">
        <w:rPr>
          <w:color w:val="0B2B43" w:themeColor="text2" w:themeShade="80"/>
        </w:rPr>
        <w:t xml:space="preserve"> announced by the then Prime Minister and the Minister for Industry on 14 October 2014, </w:t>
      </w:r>
      <w:r w:rsidRPr="004A1196">
        <w:rPr>
          <w:color w:val="0B2B43" w:themeColor="text2" w:themeShade="80"/>
          <w:spacing w:val="5"/>
        </w:rPr>
        <w:t>identified four objectives</w:t>
      </w:r>
      <w:r w:rsidRPr="004A1196">
        <w:rPr>
          <w:color w:val="0B2B43" w:themeColor="text2" w:themeShade="80"/>
        </w:rPr>
        <w:t>:</w:t>
      </w:r>
    </w:p>
    <w:p w:rsidR="002C6039" w:rsidRPr="00554159" w:rsidRDefault="002C6039" w:rsidP="00554159">
      <w:pPr>
        <w:pStyle w:val="ListParagraph"/>
        <w:numPr>
          <w:ilvl w:val="0"/>
          <w:numId w:val="9"/>
        </w:numPr>
        <w:spacing w:after="120"/>
        <w:ind w:left="714" w:hanging="357"/>
        <w:rPr>
          <w:rFonts w:cstheme="minorHAnsi"/>
          <w:color w:val="0B2B43" w:themeColor="text2" w:themeShade="80"/>
        </w:rPr>
      </w:pPr>
      <w:r w:rsidRPr="00554159">
        <w:rPr>
          <w:rFonts w:cstheme="minorHAnsi"/>
          <w:color w:val="0B2B43" w:themeColor="text2" w:themeShade="80"/>
        </w:rPr>
        <w:t>a lower cost, business friendly environment with less regulation, lower taxes and more competitive markets</w:t>
      </w:r>
    </w:p>
    <w:p w:rsidR="002C6039" w:rsidRPr="00554159" w:rsidRDefault="002C6039" w:rsidP="00554159">
      <w:pPr>
        <w:pStyle w:val="ListParagraph"/>
        <w:numPr>
          <w:ilvl w:val="0"/>
          <w:numId w:val="9"/>
        </w:numPr>
        <w:spacing w:after="120"/>
        <w:ind w:left="714" w:hanging="357"/>
        <w:rPr>
          <w:rFonts w:cstheme="minorHAnsi"/>
          <w:color w:val="0B2B43" w:themeColor="text2" w:themeShade="80"/>
        </w:rPr>
      </w:pPr>
      <w:r w:rsidRPr="00554159">
        <w:rPr>
          <w:rFonts w:cstheme="minorHAnsi"/>
          <w:color w:val="0B2B43" w:themeColor="text2" w:themeShade="80"/>
        </w:rPr>
        <w:t>a more skilled labour force</w:t>
      </w:r>
    </w:p>
    <w:p w:rsidR="002C6039" w:rsidRPr="00554159" w:rsidRDefault="002C6039" w:rsidP="00554159">
      <w:pPr>
        <w:pStyle w:val="ListParagraph"/>
        <w:numPr>
          <w:ilvl w:val="0"/>
          <w:numId w:val="9"/>
        </w:numPr>
        <w:spacing w:after="120"/>
        <w:ind w:left="714" w:hanging="357"/>
        <w:rPr>
          <w:rFonts w:cstheme="minorHAnsi"/>
          <w:color w:val="0B2B43" w:themeColor="text2" w:themeShade="80"/>
        </w:rPr>
      </w:pPr>
      <w:r w:rsidRPr="00554159">
        <w:rPr>
          <w:rFonts w:cstheme="minorHAnsi"/>
          <w:color w:val="0B2B43" w:themeColor="text2" w:themeShade="80"/>
        </w:rPr>
        <w:t>better economic infrastructure</w:t>
      </w:r>
    </w:p>
    <w:p w:rsidR="002C6039" w:rsidRPr="00554159" w:rsidRDefault="002C6039" w:rsidP="00554159">
      <w:pPr>
        <w:pStyle w:val="ListParagraph"/>
        <w:numPr>
          <w:ilvl w:val="0"/>
          <w:numId w:val="9"/>
        </w:numPr>
        <w:spacing w:after="120"/>
        <w:ind w:left="714" w:hanging="357"/>
        <w:rPr>
          <w:rFonts w:cstheme="minorHAnsi"/>
          <w:color w:val="0B2B43" w:themeColor="text2" w:themeShade="80"/>
        </w:rPr>
      </w:pPr>
      <w:proofErr w:type="gramStart"/>
      <w:r w:rsidRPr="00554159">
        <w:rPr>
          <w:rFonts w:cstheme="minorHAnsi"/>
          <w:color w:val="0B2B43" w:themeColor="text2" w:themeShade="80"/>
        </w:rPr>
        <w:t>industry</w:t>
      </w:r>
      <w:proofErr w:type="gramEnd"/>
      <w:r w:rsidRPr="00554159">
        <w:rPr>
          <w:rFonts w:cstheme="minorHAnsi"/>
          <w:color w:val="0B2B43" w:themeColor="text2" w:themeShade="80"/>
        </w:rPr>
        <w:t xml:space="preserve"> policy that fosters innovation and entrepreneurship</w:t>
      </w:r>
      <w:r w:rsidR="00C57EE1" w:rsidRPr="00554159">
        <w:rPr>
          <w:rFonts w:cstheme="minorHAnsi"/>
          <w:color w:val="0B2B43" w:themeColor="text2" w:themeShade="80"/>
        </w:rPr>
        <w:t>.</w:t>
      </w:r>
    </w:p>
    <w:p w:rsidR="002C6039" w:rsidRPr="004A1196" w:rsidRDefault="002C6039" w:rsidP="002C6039">
      <w:pPr>
        <w:rPr>
          <w:color w:val="0B2B43" w:themeColor="text2" w:themeShade="80"/>
        </w:rPr>
      </w:pPr>
      <w:r w:rsidRPr="004A1196">
        <w:rPr>
          <w:color w:val="0B2B43" w:themeColor="text2" w:themeShade="80"/>
        </w:rPr>
        <w:t>Better translation of research into commercial outcomes is a key part of this agenda.</w:t>
      </w:r>
    </w:p>
    <w:p w:rsidR="002C6039" w:rsidRPr="004A1196" w:rsidRDefault="002C6039" w:rsidP="002C6039">
      <w:pPr>
        <w:rPr>
          <w:rFonts w:asciiTheme="minorHAnsi" w:hAnsiTheme="minorHAnsi"/>
          <w:color w:val="0B2B43" w:themeColor="text2" w:themeShade="80"/>
        </w:rPr>
      </w:pPr>
      <w:r w:rsidRPr="004A1196">
        <w:rPr>
          <w:rFonts w:asciiTheme="minorHAnsi" w:hAnsiTheme="minorHAnsi"/>
          <w:color w:val="0B2B43" w:themeColor="text2" w:themeShade="80"/>
        </w:rPr>
        <w:t>The</w:t>
      </w:r>
      <w:r w:rsidRPr="004A1196" w:rsidDel="000216FF">
        <w:rPr>
          <w:rFonts w:asciiTheme="minorHAnsi" w:hAnsiTheme="minorHAnsi"/>
          <w:color w:val="0B2B43" w:themeColor="text2" w:themeShade="80"/>
        </w:rPr>
        <w:t xml:space="preserve"> </w:t>
      </w:r>
      <w:r w:rsidRPr="004A1196">
        <w:rPr>
          <w:rFonts w:asciiTheme="minorHAnsi" w:hAnsiTheme="minorHAnsi"/>
          <w:color w:val="0B2B43" w:themeColor="text2" w:themeShade="80"/>
        </w:rPr>
        <w:t>then Minister for Education and Minister for Industry initiated consultation on options to support the translation of research into commercial outcomes on 29 October 2014. Those consultations helped shape the Boosting Commercial Returns from Research strategy, which was announced by the then Minister for Education and Training, the Minister for Industry and Science</w:t>
      </w:r>
      <w:r w:rsidR="0003304D">
        <w:rPr>
          <w:rFonts w:asciiTheme="minorHAnsi" w:hAnsiTheme="minorHAnsi"/>
          <w:color w:val="0B2B43" w:themeColor="text2" w:themeShade="80"/>
        </w:rPr>
        <w:t>,</w:t>
      </w:r>
      <w:r w:rsidRPr="004A1196">
        <w:rPr>
          <w:rFonts w:asciiTheme="minorHAnsi" w:hAnsiTheme="minorHAnsi"/>
          <w:color w:val="0B2B43" w:themeColor="text2" w:themeShade="80"/>
        </w:rPr>
        <w:t xml:space="preserve"> and the Minister for Health on 26 May 2015.</w:t>
      </w:r>
      <w:r w:rsidRPr="004A1196">
        <w:rPr>
          <w:rStyle w:val="FootnoteReference"/>
          <w:rFonts w:cstheme="minorHAnsi"/>
          <w:color w:val="0B2B43" w:themeColor="text2" w:themeShade="80"/>
        </w:rPr>
        <w:footnoteReference w:id="11"/>
      </w:r>
      <w:r w:rsidRPr="004A1196">
        <w:rPr>
          <w:rFonts w:asciiTheme="minorHAnsi" w:hAnsiTheme="minorHAnsi"/>
          <w:color w:val="0B2B43" w:themeColor="text2" w:themeShade="80"/>
        </w:rPr>
        <w:t xml:space="preserve"> The strategy included a range of measures to enhance the contribution of research in universities and business to help increase Australia’s capacity for innovation, productivity and growth, including:</w:t>
      </w:r>
    </w:p>
    <w:p w:rsidR="002C6039" w:rsidRPr="00554159" w:rsidRDefault="002C6039" w:rsidP="00554159">
      <w:pPr>
        <w:pStyle w:val="ListParagraph"/>
        <w:numPr>
          <w:ilvl w:val="0"/>
          <w:numId w:val="9"/>
        </w:numPr>
        <w:spacing w:after="120"/>
        <w:ind w:left="714" w:hanging="357"/>
        <w:rPr>
          <w:rFonts w:cstheme="minorHAnsi"/>
          <w:color w:val="0B2B43" w:themeColor="text2" w:themeShade="80"/>
        </w:rPr>
      </w:pPr>
      <w:r w:rsidRPr="00554159">
        <w:rPr>
          <w:rFonts w:cstheme="minorHAnsi"/>
          <w:color w:val="0B2B43" w:themeColor="text2" w:themeShade="80"/>
        </w:rPr>
        <w:t xml:space="preserve">the development of simpler, more transparent research block grant arrangements which continue to focus on quality and excellence, support greater industry and </w:t>
      </w:r>
      <w:r w:rsidR="003904BC">
        <w:rPr>
          <w:rFonts w:cstheme="minorHAnsi"/>
          <w:color w:val="0B2B43" w:themeColor="text2" w:themeShade="80"/>
        </w:rPr>
        <w:t>end user</w:t>
      </w:r>
      <w:r w:rsidRPr="00554159">
        <w:rPr>
          <w:rFonts w:cstheme="minorHAnsi"/>
          <w:color w:val="0B2B43" w:themeColor="text2" w:themeShade="80"/>
        </w:rPr>
        <w:t xml:space="preserve"> engagement, and encourage better knowledge transfer with industry</w:t>
      </w:r>
    </w:p>
    <w:p w:rsidR="002C6039" w:rsidRPr="00554159" w:rsidRDefault="002C6039" w:rsidP="00554159">
      <w:pPr>
        <w:pStyle w:val="ListParagraph"/>
        <w:numPr>
          <w:ilvl w:val="0"/>
          <w:numId w:val="9"/>
        </w:numPr>
        <w:spacing w:after="120"/>
        <w:ind w:left="714" w:hanging="357"/>
        <w:rPr>
          <w:rFonts w:cstheme="minorHAnsi"/>
          <w:color w:val="0B2B43" w:themeColor="text2" w:themeShade="80"/>
        </w:rPr>
      </w:pPr>
      <w:r w:rsidRPr="00554159">
        <w:rPr>
          <w:rFonts w:cstheme="minorHAnsi"/>
          <w:color w:val="0B2B43" w:themeColor="text2" w:themeShade="80"/>
        </w:rPr>
        <w:t>working with the Australian Research Council (ARC) and the National Health and Medical Research Council (NHMRC) to ensure rules for the councils’ competitive grants appropriately recognise industry relevant expertise or research</w:t>
      </w:r>
    </w:p>
    <w:p w:rsidR="002C6039" w:rsidRPr="00554159" w:rsidRDefault="002C6039" w:rsidP="00554159">
      <w:pPr>
        <w:pStyle w:val="ListParagraph"/>
        <w:numPr>
          <w:ilvl w:val="0"/>
          <w:numId w:val="9"/>
        </w:numPr>
        <w:spacing w:after="120"/>
        <w:ind w:left="714" w:hanging="357"/>
        <w:rPr>
          <w:rFonts w:cstheme="minorHAnsi"/>
          <w:color w:val="0B2B43" w:themeColor="text2" w:themeShade="80"/>
        </w:rPr>
      </w:pPr>
      <w:r w:rsidRPr="00554159">
        <w:rPr>
          <w:rFonts w:cstheme="minorHAnsi"/>
          <w:color w:val="0B2B43" w:themeColor="text2" w:themeShade="80"/>
        </w:rPr>
        <w:t>developing an intellectual property toolkit to facilitate collaboration between research and industry</w:t>
      </w:r>
    </w:p>
    <w:p w:rsidR="002C6039" w:rsidRPr="00554159" w:rsidRDefault="002C6039" w:rsidP="00554159">
      <w:pPr>
        <w:pStyle w:val="ListParagraph"/>
        <w:numPr>
          <w:ilvl w:val="0"/>
          <w:numId w:val="9"/>
        </w:numPr>
        <w:spacing w:after="120"/>
        <w:ind w:left="714" w:hanging="357"/>
        <w:rPr>
          <w:rFonts w:cstheme="minorHAnsi"/>
          <w:color w:val="0B2B43" w:themeColor="text2" w:themeShade="80"/>
        </w:rPr>
      </w:pPr>
      <w:proofErr w:type="gramStart"/>
      <w:r w:rsidRPr="00554159">
        <w:rPr>
          <w:rFonts w:cstheme="minorHAnsi"/>
          <w:color w:val="0B2B43" w:themeColor="text2" w:themeShade="80"/>
        </w:rPr>
        <w:t>improving</w:t>
      </w:r>
      <w:proofErr w:type="gramEnd"/>
      <w:r w:rsidRPr="00554159">
        <w:rPr>
          <w:rFonts w:cstheme="minorHAnsi"/>
          <w:color w:val="0B2B43" w:themeColor="text2" w:themeShade="80"/>
        </w:rPr>
        <w:t xml:space="preserve"> the assessment of the research system, including through developing improved metrics on engagement and knowledge transfer with industry, research outcomes, and impact</w:t>
      </w:r>
      <w:r w:rsidR="00C57EE1" w:rsidRPr="00554159">
        <w:rPr>
          <w:rFonts w:cstheme="minorHAnsi"/>
          <w:color w:val="0B2B43" w:themeColor="text2" w:themeShade="80"/>
        </w:rPr>
        <w:t>.</w:t>
      </w:r>
    </w:p>
    <w:p w:rsidR="002C6039" w:rsidRPr="004A1196" w:rsidRDefault="002C6039" w:rsidP="002C6039">
      <w:pPr>
        <w:rPr>
          <w:rFonts w:asciiTheme="minorHAnsi" w:hAnsiTheme="minorHAnsi"/>
          <w:color w:val="0B2B43" w:themeColor="text2" w:themeShade="80"/>
        </w:rPr>
      </w:pPr>
      <w:proofErr w:type="gramStart"/>
      <w:r w:rsidRPr="004A1196">
        <w:rPr>
          <w:rFonts w:asciiTheme="minorHAnsi" w:hAnsiTheme="minorHAnsi"/>
          <w:color w:val="0B2B43" w:themeColor="text2" w:themeShade="80"/>
        </w:rPr>
        <w:t>To help implement the strategy,</w:t>
      </w:r>
      <w:r w:rsidRPr="004A1196" w:rsidDel="00AB1624">
        <w:rPr>
          <w:rFonts w:asciiTheme="minorHAnsi" w:hAnsiTheme="minorHAnsi"/>
          <w:color w:val="0B2B43" w:themeColor="text2" w:themeShade="80"/>
        </w:rPr>
        <w:t xml:space="preserve"> </w:t>
      </w:r>
      <w:r w:rsidRPr="004A1196">
        <w:rPr>
          <w:rFonts w:asciiTheme="minorHAnsi" w:hAnsiTheme="minorHAnsi"/>
          <w:color w:val="0B2B43" w:themeColor="text2" w:themeShade="80"/>
        </w:rPr>
        <w:t xml:space="preserve">the former Minister for Education and Training, The Hon Christopher Pyne MP, announced on 7 July 2015 that Dr Ian Watt AO would conduct a </w:t>
      </w:r>
      <w:r w:rsidRPr="004A1196" w:rsidDel="00AB1624">
        <w:rPr>
          <w:rFonts w:asciiTheme="minorHAnsi" w:hAnsiTheme="minorHAnsi"/>
          <w:color w:val="0B2B43" w:themeColor="text2" w:themeShade="80"/>
        </w:rPr>
        <w:t xml:space="preserve">review of </w:t>
      </w:r>
      <w:r w:rsidRPr="004A1196">
        <w:rPr>
          <w:rFonts w:asciiTheme="minorHAnsi" w:hAnsiTheme="minorHAnsi"/>
          <w:color w:val="0B2B43" w:themeColor="text2" w:themeShade="80"/>
        </w:rPr>
        <w:t xml:space="preserve">research policy and funding arrangements to identify a range of reform options that will strengthen Australia’s research system and encourage greater collaboration and engagement between universities and business and other </w:t>
      </w:r>
      <w:r w:rsidR="003904BC">
        <w:rPr>
          <w:rFonts w:asciiTheme="minorHAnsi" w:hAnsiTheme="minorHAnsi"/>
          <w:color w:val="0B2B43" w:themeColor="text2" w:themeShade="80"/>
        </w:rPr>
        <w:t>end user</w:t>
      </w:r>
      <w:r w:rsidRPr="004A1196">
        <w:rPr>
          <w:rFonts w:asciiTheme="minorHAnsi" w:hAnsiTheme="minorHAnsi"/>
          <w:color w:val="0B2B43" w:themeColor="text2" w:themeShade="80"/>
        </w:rPr>
        <w:t>s.</w:t>
      </w:r>
      <w:proofErr w:type="gramEnd"/>
    </w:p>
    <w:p w:rsidR="002C6039" w:rsidRPr="004A1196" w:rsidRDefault="002C6039" w:rsidP="002C6039">
      <w:pPr>
        <w:pStyle w:val="RIHeading2"/>
        <w:rPr>
          <w:color w:val="0B2B43" w:themeColor="text2" w:themeShade="80"/>
        </w:rPr>
      </w:pPr>
      <w:bookmarkStart w:id="40" w:name="_Toc436392706"/>
      <w:bookmarkStart w:id="41" w:name="_Toc436651804"/>
      <w:bookmarkStart w:id="42" w:name="_Toc436659612"/>
      <w:bookmarkStart w:id="43" w:name="_Toc436660110"/>
      <w:r w:rsidRPr="004A1196">
        <w:rPr>
          <w:color w:val="0B2B43" w:themeColor="text2" w:themeShade="80"/>
        </w:rPr>
        <w:t>Terms of reference of the review</w:t>
      </w:r>
      <w:bookmarkEnd w:id="40"/>
      <w:bookmarkEnd w:id="41"/>
      <w:bookmarkEnd w:id="42"/>
      <w:bookmarkEnd w:id="43"/>
    </w:p>
    <w:p w:rsidR="002C6039" w:rsidRPr="004A1196" w:rsidRDefault="002C6039" w:rsidP="002C6039">
      <w:pPr>
        <w:rPr>
          <w:color w:val="0B2B43" w:themeColor="text2" w:themeShade="80"/>
        </w:rPr>
      </w:pPr>
      <w:r w:rsidRPr="004A1196">
        <w:rPr>
          <w:color w:val="0B2B43" w:themeColor="text2" w:themeShade="80"/>
        </w:rPr>
        <w:t xml:space="preserve">The terms of reference, also announced by the Minister on 7 July 2015, </w:t>
      </w:r>
      <w:proofErr w:type="gramStart"/>
      <w:r w:rsidRPr="004A1196">
        <w:rPr>
          <w:color w:val="0B2B43" w:themeColor="text2" w:themeShade="80"/>
        </w:rPr>
        <w:t>are shown</w:t>
      </w:r>
      <w:proofErr w:type="gramEnd"/>
      <w:r w:rsidRPr="004A1196">
        <w:rPr>
          <w:color w:val="0B2B43" w:themeColor="text2" w:themeShade="80"/>
        </w:rPr>
        <w:t xml:space="preserve"> in full below.</w:t>
      </w:r>
    </w:p>
    <w:p w:rsidR="002C6039" w:rsidRPr="004A1196" w:rsidRDefault="002C6039" w:rsidP="002C6039">
      <w:pPr>
        <w:ind w:left="360"/>
        <w:rPr>
          <w:color w:val="0B2B43" w:themeColor="text2" w:themeShade="80"/>
          <w:sz w:val="22"/>
        </w:rPr>
      </w:pPr>
      <w:r w:rsidRPr="004A1196">
        <w:rPr>
          <w:color w:val="0B2B43" w:themeColor="text2" w:themeShade="80"/>
          <w:sz w:val="22"/>
        </w:rPr>
        <w:t xml:space="preserve">The review will identify opportunities for the reform of research policy and funding arrangements within the Education and Training portfolio to deliver on the Government’s </w:t>
      </w:r>
      <w:r w:rsidRPr="004A1196">
        <w:rPr>
          <w:rStyle w:val="Emphasis"/>
          <w:rFonts w:asciiTheme="minorHAnsi" w:hAnsiTheme="minorHAnsi" w:cstheme="minorHAnsi"/>
          <w:b w:val="0"/>
          <w:i w:val="0"/>
          <w:color w:val="0B2B43" w:themeColor="text2" w:themeShade="80"/>
          <w:sz w:val="22"/>
        </w:rPr>
        <w:t>Agenda for Action</w:t>
      </w:r>
      <w:r w:rsidRPr="004A1196">
        <w:rPr>
          <w:rStyle w:val="Emphasis"/>
          <w:rFonts w:asciiTheme="minorHAnsi" w:hAnsiTheme="minorHAnsi" w:cstheme="minorHAnsi"/>
          <w:color w:val="0B2B43" w:themeColor="text2" w:themeShade="80"/>
          <w:sz w:val="22"/>
        </w:rPr>
        <w:t xml:space="preserve"> </w:t>
      </w:r>
      <w:r w:rsidRPr="004A1196">
        <w:rPr>
          <w:color w:val="0B2B43" w:themeColor="text2" w:themeShade="80"/>
          <w:sz w:val="22"/>
        </w:rPr>
        <w:t>under the</w:t>
      </w:r>
      <w:r w:rsidRPr="004A1196">
        <w:rPr>
          <w:rStyle w:val="Emphasis"/>
          <w:rFonts w:asciiTheme="minorHAnsi" w:hAnsiTheme="minorHAnsi" w:cstheme="minorHAnsi"/>
          <w:color w:val="0B2B43" w:themeColor="text2" w:themeShade="80"/>
          <w:sz w:val="22"/>
        </w:rPr>
        <w:t xml:space="preserve"> </w:t>
      </w:r>
      <w:r w:rsidRPr="004A1196">
        <w:rPr>
          <w:rStyle w:val="Emphasis"/>
          <w:rFonts w:asciiTheme="minorHAnsi" w:hAnsiTheme="minorHAnsi" w:cstheme="minorHAnsi"/>
          <w:b w:val="0"/>
          <w:i w:val="0"/>
          <w:color w:val="0B2B43" w:themeColor="text2" w:themeShade="80"/>
          <w:sz w:val="22"/>
        </w:rPr>
        <w:t>Boosting the Commercial Returns from Research</w:t>
      </w:r>
      <w:r w:rsidRPr="004A1196">
        <w:rPr>
          <w:b/>
          <w:color w:val="0B2B43" w:themeColor="text2" w:themeShade="80"/>
          <w:sz w:val="22"/>
        </w:rPr>
        <w:t xml:space="preserve"> </w:t>
      </w:r>
      <w:r w:rsidRPr="004A1196">
        <w:rPr>
          <w:color w:val="0B2B43" w:themeColor="text2" w:themeShade="80"/>
          <w:sz w:val="22"/>
        </w:rPr>
        <w:t>(</w:t>
      </w:r>
      <w:proofErr w:type="spellStart"/>
      <w:r w:rsidRPr="004A1196">
        <w:rPr>
          <w:color w:val="0B2B43" w:themeColor="text2" w:themeShade="80"/>
          <w:sz w:val="22"/>
        </w:rPr>
        <w:t>BCR</w:t>
      </w:r>
      <w:proofErr w:type="spellEnd"/>
      <w:r w:rsidRPr="004A1196">
        <w:rPr>
          <w:color w:val="0B2B43" w:themeColor="text2" w:themeShade="80"/>
          <w:sz w:val="22"/>
        </w:rPr>
        <w:t>)</w:t>
      </w:r>
      <w:r w:rsidRPr="004A1196">
        <w:rPr>
          <w:b/>
          <w:color w:val="0B2B43" w:themeColor="text2" w:themeShade="80"/>
          <w:sz w:val="22"/>
        </w:rPr>
        <w:t xml:space="preserve"> </w:t>
      </w:r>
      <w:r w:rsidRPr="004A1196">
        <w:rPr>
          <w:color w:val="0B2B43" w:themeColor="text2" w:themeShade="80"/>
          <w:sz w:val="22"/>
        </w:rPr>
        <w:t>strategy.</w:t>
      </w:r>
    </w:p>
    <w:p w:rsidR="002C6039" w:rsidRPr="004A1196" w:rsidRDefault="002C6039" w:rsidP="002C6039">
      <w:pPr>
        <w:ind w:left="360"/>
        <w:rPr>
          <w:color w:val="0B2B43" w:themeColor="text2" w:themeShade="80"/>
          <w:sz w:val="22"/>
        </w:rPr>
      </w:pPr>
      <w:r w:rsidRPr="004A1196">
        <w:rPr>
          <w:color w:val="0B2B43" w:themeColor="text2" w:themeShade="80"/>
          <w:sz w:val="22"/>
        </w:rPr>
        <w:t xml:space="preserve">In particular, the review will provide advice to government on arrangements that would ensure the </w:t>
      </w:r>
      <w:proofErr w:type="gramStart"/>
      <w:r w:rsidRPr="004A1196">
        <w:rPr>
          <w:color w:val="0B2B43" w:themeColor="text2" w:themeShade="80"/>
          <w:sz w:val="22"/>
        </w:rPr>
        <w:t>world class</w:t>
      </w:r>
      <w:proofErr w:type="gramEnd"/>
      <w:r w:rsidRPr="004A1196">
        <w:rPr>
          <w:color w:val="0B2B43" w:themeColor="text2" w:themeShade="80"/>
          <w:sz w:val="22"/>
        </w:rPr>
        <w:t xml:space="preserve"> research undertaken by the higher education system in Australia is translated into economic advantage for the nation with options to:</w:t>
      </w:r>
    </w:p>
    <w:p w:rsidR="002C6039" w:rsidRPr="004A1196" w:rsidRDefault="002C6039" w:rsidP="00554159">
      <w:pPr>
        <w:pStyle w:val="ListParagraph"/>
        <w:numPr>
          <w:ilvl w:val="0"/>
          <w:numId w:val="8"/>
        </w:numPr>
        <w:spacing w:after="120"/>
        <w:ind w:left="1077" w:hanging="357"/>
        <w:rPr>
          <w:color w:val="0B2B43" w:themeColor="text2" w:themeShade="80"/>
          <w:sz w:val="22"/>
        </w:rPr>
      </w:pPr>
      <w:r w:rsidRPr="004A1196">
        <w:rPr>
          <w:color w:val="0B2B43" w:themeColor="text2" w:themeShade="80"/>
          <w:sz w:val="22"/>
        </w:rPr>
        <w:t>ensure the quality and excellence of Australian university research and research training</w:t>
      </w:r>
    </w:p>
    <w:p w:rsidR="002C6039" w:rsidRPr="004A1196" w:rsidRDefault="002C6039" w:rsidP="00554159">
      <w:pPr>
        <w:pStyle w:val="ListParagraph"/>
        <w:numPr>
          <w:ilvl w:val="0"/>
          <w:numId w:val="8"/>
        </w:numPr>
        <w:spacing w:after="120"/>
        <w:ind w:left="1077" w:hanging="357"/>
        <w:rPr>
          <w:color w:val="0B2B43" w:themeColor="text2" w:themeShade="80"/>
          <w:sz w:val="22"/>
        </w:rPr>
      </w:pPr>
      <w:r w:rsidRPr="004A1196">
        <w:rPr>
          <w:color w:val="0B2B43" w:themeColor="text2" w:themeShade="80"/>
          <w:sz w:val="22"/>
        </w:rPr>
        <w:t>allocate existing research block grant funding in a simpler and more transparent manner</w:t>
      </w:r>
    </w:p>
    <w:p w:rsidR="002C6039" w:rsidRPr="004A1196" w:rsidRDefault="002C6039" w:rsidP="00554159">
      <w:pPr>
        <w:pStyle w:val="ListParagraph"/>
        <w:numPr>
          <w:ilvl w:val="0"/>
          <w:numId w:val="8"/>
        </w:numPr>
        <w:spacing w:after="120"/>
        <w:ind w:left="1077" w:hanging="357"/>
        <w:rPr>
          <w:color w:val="0B2B43" w:themeColor="text2" w:themeShade="80"/>
          <w:sz w:val="22"/>
        </w:rPr>
      </w:pPr>
      <w:r w:rsidRPr="004A1196">
        <w:rPr>
          <w:color w:val="0B2B43" w:themeColor="text2" w:themeShade="80"/>
          <w:sz w:val="22"/>
        </w:rPr>
        <w:t>provide incentives to universities to increase and improve engagement and collaboration with industry and other end users</w:t>
      </w:r>
    </w:p>
    <w:p w:rsidR="002C6039" w:rsidRPr="004A1196" w:rsidRDefault="002C6039" w:rsidP="00554159">
      <w:pPr>
        <w:pStyle w:val="ListParagraph"/>
        <w:numPr>
          <w:ilvl w:val="0"/>
          <w:numId w:val="8"/>
        </w:numPr>
        <w:spacing w:after="120"/>
        <w:ind w:left="1077" w:hanging="357"/>
        <w:rPr>
          <w:color w:val="0B2B43" w:themeColor="text2" w:themeShade="80"/>
          <w:sz w:val="22"/>
        </w:rPr>
      </w:pPr>
      <w:r w:rsidRPr="004A1196">
        <w:rPr>
          <w:color w:val="0B2B43" w:themeColor="text2" w:themeShade="80"/>
          <w:sz w:val="22"/>
        </w:rPr>
        <w:t>encourage universities to engage in research commercialisation and knowledge transfer with industry and the broader community, including through funding incentives and a focus on more effective management of intellectual property</w:t>
      </w:r>
    </w:p>
    <w:p w:rsidR="002C6039" w:rsidRPr="004A1196" w:rsidRDefault="002C6039" w:rsidP="00554159">
      <w:pPr>
        <w:pStyle w:val="ListParagraph"/>
        <w:numPr>
          <w:ilvl w:val="0"/>
          <w:numId w:val="8"/>
        </w:numPr>
        <w:spacing w:after="120"/>
        <w:ind w:left="1077" w:hanging="357"/>
        <w:rPr>
          <w:color w:val="0B2B43" w:themeColor="text2" w:themeShade="80"/>
          <w:sz w:val="22"/>
        </w:rPr>
      </w:pPr>
      <w:proofErr w:type="gramStart"/>
      <w:r w:rsidRPr="004A1196">
        <w:rPr>
          <w:color w:val="0B2B43" w:themeColor="text2" w:themeShade="80"/>
          <w:sz w:val="22"/>
        </w:rPr>
        <w:t>ensure</w:t>
      </w:r>
      <w:proofErr w:type="gramEnd"/>
      <w:r w:rsidRPr="004A1196">
        <w:rPr>
          <w:color w:val="0B2B43" w:themeColor="text2" w:themeShade="80"/>
          <w:sz w:val="22"/>
        </w:rPr>
        <w:t xml:space="preserve"> that competitive grant criteria recognise the quality of the proposal and where appropriate the opportunity for commercialisation and collaboration with industry</w:t>
      </w:r>
      <w:r w:rsidR="00C57EE1" w:rsidRPr="004A1196">
        <w:rPr>
          <w:color w:val="0B2B43" w:themeColor="text2" w:themeShade="80"/>
          <w:sz w:val="22"/>
        </w:rPr>
        <w:t>.</w:t>
      </w:r>
    </w:p>
    <w:p w:rsidR="002C6039" w:rsidRPr="004A1196" w:rsidRDefault="002C6039" w:rsidP="002C6039">
      <w:pPr>
        <w:ind w:left="357"/>
        <w:rPr>
          <w:color w:val="0B2B43" w:themeColor="text2" w:themeShade="80"/>
          <w:sz w:val="22"/>
        </w:rPr>
      </w:pPr>
      <w:r w:rsidRPr="004A1196">
        <w:rPr>
          <w:color w:val="0B2B43" w:themeColor="text2" w:themeShade="80"/>
          <w:sz w:val="22"/>
        </w:rPr>
        <w:t>The review will also consider the development of measures of research-industry engagement and collaboration, including the availability of international rankings to compare performance and drive improvement over time.</w:t>
      </w:r>
    </w:p>
    <w:p w:rsidR="002C6039" w:rsidRPr="004A1196" w:rsidRDefault="002C6039" w:rsidP="002C6039">
      <w:pPr>
        <w:ind w:left="357"/>
        <w:rPr>
          <w:color w:val="0B2B43" w:themeColor="text2" w:themeShade="80"/>
          <w:sz w:val="22"/>
        </w:rPr>
      </w:pPr>
      <w:r w:rsidRPr="004A1196">
        <w:rPr>
          <w:color w:val="0B2B43" w:themeColor="text2" w:themeShade="80"/>
          <w:sz w:val="22"/>
        </w:rPr>
        <w:t xml:space="preserve">The recommendations of the review should reflect the Government’s commitment to a </w:t>
      </w:r>
      <w:proofErr w:type="gramStart"/>
      <w:r w:rsidRPr="004A1196">
        <w:rPr>
          <w:color w:val="0B2B43" w:themeColor="text2" w:themeShade="80"/>
          <w:sz w:val="22"/>
        </w:rPr>
        <w:t>world class</w:t>
      </w:r>
      <w:proofErr w:type="gramEnd"/>
      <w:r w:rsidRPr="004A1196">
        <w:rPr>
          <w:color w:val="0B2B43" w:themeColor="text2" w:themeShade="80"/>
          <w:sz w:val="22"/>
        </w:rPr>
        <w:t xml:space="preserve"> research and research training system, including: quality, impact, research-industry linkage, commercialisation, and international collaboration.</w:t>
      </w:r>
    </w:p>
    <w:p w:rsidR="002C6039" w:rsidRPr="004A1196" w:rsidRDefault="002C6039" w:rsidP="002C6039">
      <w:pPr>
        <w:ind w:left="357"/>
        <w:rPr>
          <w:color w:val="0B2B43" w:themeColor="text2" w:themeShade="80"/>
          <w:sz w:val="22"/>
        </w:rPr>
      </w:pPr>
      <w:proofErr w:type="gramStart"/>
      <w:r w:rsidRPr="004A1196">
        <w:rPr>
          <w:color w:val="0B2B43" w:themeColor="text2" w:themeShade="80"/>
          <w:sz w:val="22"/>
        </w:rPr>
        <w:t xml:space="preserve">The review should as far as practicable take account of the implementation of the National Science and Research Priorities, the Review of Australia’s Research Training System by the Australian Council of Learned Academies, the Research Infrastructure Review, the Higher Education Infrastructure Working Group, the Miles Review of the Cooperative Research Centres Programme and other actions being taken to implement the </w:t>
      </w:r>
      <w:proofErr w:type="spellStart"/>
      <w:r w:rsidRPr="004A1196">
        <w:rPr>
          <w:color w:val="0B2B43" w:themeColor="text2" w:themeShade="80"/>
          <w:sz w:val="22"/>
        </w:rPr>
        <w:t>BCR</w:t>
      </w:r>
      <w:proofErr w:type="spellEnd"/>
      <w:r w:rsidRPr="004A1196">
        <w:rPr>
          <w:color w:val="0B2B43" w:themeColor="text2" w:themeShade="80"/>
          <w:sz w:val="22"/>
        </w:rPr>
        <w:t xml:space="preserve"> strategy.</w:t>
      </w:r>
      <w:proofErr w:type="gramEnd"/>
    </w:p>
    <w:p w:rsidR="002C6039" w:rsidRPr="004A1196" w:rsidRDefault="002C6039" w:rsidP="002C6039">
      <w:pPr>
        <w:ind w:left="357"/>
        <w:rPr>
          <w:i/>
          <w:color w:val="0B2B43" w:themeColor="text2" w:themeShade="80"/>
          <w:sz w:val="22"/>
        </w:rPr>
      </w:pPr>
      <w:r w:rsidRPr="004A1196">
        <w:rPr>
          <w:color w:val="0B2B43" w:themeColor="text2" w:themeShade="80"/>
          <w:sz w:val="22"/>
        </w:rPr>
        <w:t>The review’s proposals will be limited to the arrangements within the Education and Training portfolio and arrangements in other portfolios that directly impact on the research policy and funding arrangements in that portfolio</w:t>
      </w:r>
      <w:r w:rsidRPr="004A1196">
        <w:rPr>
          <w:i/>
          <w:color w:val="0B2B43" w:themeColor="text2" w:themeShade="80"/>
          <w:sz w:val="22"/>
        </w:rPr>
        <w:t>.</w:t>
      </w:r>
    </w:p>
    <w:p w:rsidR="002C6039" w:rsidRPr="004A1196" w:rsidRDefault="002C6039" w:rsidP="002C6039">
      <w:pPr>
        <w:pStyle w:val="RIHeading2"/>
        <w:rPr>
          <w:color w:val="0B2B43" w:themeColor="text2" w:themeShade="80"/>
        </w:rPr>
      </w:pPr>
      <w:bookmarkStart w:id="44" w:name="_Toc436392707"/>
      <w:bookmarkStart w:id="45" w:name="_Toc436651805"/>
      <w:bookmarkStart w:id="46" w:name="_Toc436659613"/>
      <w:bookmarkStart w:id="47" w:name="_Toc436660111"/>
      <w:r w:rsidRPr="004A1196">
        <w:rPr>
          <w:color w:val="0B2B43" w:themeColor="text2" w:themeShade="80"/>
        </w:rPr>
        <w:t>Working group</w:t>
      </w:r>
      <w:bookmarkEnd w:id="44"/>
      <w:bookmarkEnd w:id="45"/>
      <w:bookmarkEnd w:id="46"/>
      <w:bookmarkEnd w:id="47"/>
    </w:p>
    <w:p w:rsidR="002C6039" w:rsidRPr="004A1196" w:rsidRDefault="002C6039" w:rsidP="002C6039">
      <w:pPr>
        <w:rPr>
          <w:rFonts w:asciiTheme="minorHAnsi" w:hAnsiTheme="minorHAnsi" w:cstheme="minorHAnsi"/>
          <w:color w:val="0B2B43" w:themeColor="text2" w:themeShade="80"/>
        </w:rPr>
      </w:pPr>
      <w:proofErr w:type="gramStart"/>
      <w:r w:rsidRPr="004A1196">
        <w:rPr>
          <w:rFonts w:asciiTheme="minorHAnsi" w:hAnsiTheme="minorHAnsi" w:cstheme="minorHAnsi"/>
          <w:color w:val="0B2B43" w:themeColor="text2" w:themeShade="80"/>
        </w:rPr>
        <w:t>Dr Watt has been assisted in the review by a small working group of experts with knowledge of the higher education and research sectors</w:t>
      </w:r>
      <w:proofErr w:type="gramEnd"/>
      <w:r w:rsidRPr="004A1196">
        <w:rPr>
          <w:rFonts w:asciiTheme="minorHAnsi" w:hAnsiTheme="minorHAnsi" w:cstheme="minorHAnsi"/>
          <w:color w:val="0B2B43" w:themeColor="text2" w:themeShade="80"/>
        </w:rPr>
        <w:t>, comprising:</w:t>
      </w:r>
    </w:p>
    <w:p w:rsidR="002C6039" w:rsidRPr="004A1196" w:rsidRDefault="002C6039" w:rsidP="00554159">
      <w:pPr>
        <w:pStyle w:val="ListParagraph"/>
        <w:numPr>
          <w:ilvl w:val="0"/>
          <w:numId w:val="9"/>
        </w:numPr>
        <w:spacing w:after="120"/>
        <w:ind w:left="714" w:hanging="357"/>
        <w:rPr>
          <w:rFonts w:cstheme="minorHAnsi"/>
          <w:color w:val="0B2B43" w:themeColor="text2" w:themeShade="80"/>
        </w:rPr>
      </w:pPr>
      <w:r w:rsidRPr="004A1196">
        <w:rPr>
          <w:rFonts w:cstheme="minorHAnsi"/>
          <w:color w:val="0B2B43" w:themeColor="text2" w:themeShade="80"/>
        </w:rPr>
        <w:t xml:space="preserve">Professor Peter </w:t>
      </w:r>
      <w:proofErr w:type="spellStart"/>
      <w:r w:rsidRPr="004A1196">
        <w:rPr>
          <w:rFonts w:cstheme="minorHAnsi"/>
          <w:color w:val="0B2B43" w:themeColor="text2" w:themeShade="80"/>
        </w:rPr>
        <w:t>Coaldrake</w:t>
      </w:r>
      <w:proofErr w:type="spellEnd"/>
      <w:r w:rsidRPr="004A1196">
        <w:rPr>
          <w:rFonts w:cstheme="minorHAnsi"/>
          <w:color w:val="0B2B43" w:themeColor="text2" w:themeShade="80"/>
        </w:rPr>
        <w:t xml:space="preserve"> AO, Vice-Chancellor of the Queensland University of Technology</w:t>
      </w:r>
    </w:p>
    <w:p w:rsidR="002C6039" w:rsidRPr="004A1196" w:rsidRDefault="002C6039" w:rsidP="00554159">
      <w:pPr>
        <w:pStyle w:val="ListParagraph"/>
        <w:numPr>
          <w:ilvl w:val="0"/>
          <w:numId w:val="9"/>
        </w:numPr>
        <w:spacing w:after="120"/>
        <w:ind w:left="714" w:hanging="357"/>
        <w:rPr>
          <w:rFonts w:cstheme="minorHAnsi"/>
          <w:color w:val="0B2B43" w:themeColor="text2" w:themeShade="80"/>
        </w:rPr>
      </w:pPr>
      <w:r w:rsidRPr="004A1196">
        <w:rPr>
          <w:rFonts w:cstheme="minorHAnsi"/>
          <w:color w:val="0B2B43" w:themeColor="text2" w:themeShade="80"/>
        </w:rPr>
        <w:t>Professor Edwina Cornish AO, Provost and Senior Vice-President of Monash University</w:t>
      </w:r>
    </w:p>
    <w:p w:rsidR="002C6039" w:rsidRPr="004A1196" w:rsidRDefault="002C6039" w:rsidP="00554159">
      <w:pPr>
        <w:pStyle w:val="ListParagraph"/>
        <w:numPr>
          <w:ilvl w:val="0"/>
          <w:numId w:val="9"/>
        </w:numPr>
        <w:spacing w:after="120"/>
        <w:ind w:left="714" w:hanging="357"/>
        <w:rPr>
          <w:rFonts w:cstheme="minorHAnsi"/>
          <w:color w:val="0B2B43" w:themeColor="text2" w:themeShade="80"/>
        </w:rPr>
      </w:pPr>
      <w:r w:rsidRPr="004A1196">
        <w:rPr>
          <w:rFonts w:cstheme="minorHAnsi"/>
          <w:color w:val="0B2B43" w:themeColor="text2" w:themeShade="80"/>
        </w:rPr>
        <w:t>Professor Sandra Harding, Vice-Chancellor of James Cook University</w:t>
      </w:r>
    </w:p>
    <w:p w:rsidR="002C6039" w:rsidRPr="004A1196" w:rsidRDefault="002C6039" w:rsidP="00554159">
      <w:pPr>
        <w:pStyle w:val="ListParagraph"/>
        <w:numPr>
          <w:ilvl w:val="0"/>
          <w:numId w:val="9"/>
        </w:numPr>
        <w:spacing w:after="120"/>
        <w:ind w:left="714" w:hanging="357"/>
        <w:rPr>
          <w:rFonts w:cstheme="minorHAnsi"/>
          <w:color w:val="0B2B43" w:themeColor="text2" w:themeShade="80"/>
        </w:rPr>
      </w:pPr>
      <w:r w:rsidRPr="004A1196">
        <w:rPr>
          <w:rFonts w:cstheme="minorHAnsi"/>
          <w:color w:val="0B2B43" w:themeColor="text2" w:themeShade="80"/>
        </w:rPr>
        <w:t>Mr Conor King, Executive Director of the Innovative Research Universities group</w:t>
      </w:r>
    </w:p>
    <w:p w:rsidR="002C6039" w:rsidRPr="004A1196" w:rsidRDefault="002C6039" w:rsidP="00554159">
      <w:pPr>
        <w:pStyle w:val="ListParagraph"/>
        <w:numPr>
          <w:ilvl w:val="0"/>
          <w:numId w:val="9"/>
        </w:numPr>
        <w:spacing w:after="120"/>
        <w:ind w:left="714" w:hanging="357"/>
        <w:rPr>
          <w:rFonts w:cstheme="minorHAnsi"/>
          <w:color w:val="0B2B43" w:themeColor="text2" w:themeShade="80"/>
        </w:rPr>
      </w:pPr>
      <w:r w:rsidRPr="004A1196">
        <w:rPr>
          <w:rFonts w:cstheme="minorHAnsi"/>
          <w:color w:val="0B2B43" w:themeColor="text2" w:themeShade="80"/>
        </w:rPr>
        <w:t xml:space="preserve">Professor Steven Schwartz </w:t>
      </w:r>
      <w:proofErr w:type="gramStart"/>
      <w:r w:rsidRPr="004A1196">
        <w:rPr>
          <w:rFonts w:cstheme="minorHAnsi"/>
          <w:color w:val="0B2B43" w:themeColor="text2" w:themeShade="80"/>
        </w:rPr>
        <w:t>AM</w:t>
      </w:r>
      <w:proofErr w:type="gramEnd"/>
      <w:r w:rsidRPr="004A1196">
        <w:rPr>
          <w:rFonts w:cstheme="minorHAnsi"/>
          <w:color w:val="0B2B43" w:themeColor="text2" w:themeShade="80"/>
        </w:rPr>
        <w:t>, Executive Director of the Council for the Humanities, Arts and Social Sciences, and former Vice Chancellor of Macquarie, Brunel, and Murdoch universities</w:t>
      </w:r>
      <w:r w:rsidR="00CF2599" w:rsidRPr="004A1196">
        <w:rPr>
          <w:rFonts w:cstheme="minorHAnsi"/>
          <w:color w:val="0B2B43" w:themeColor="text2" w:themeShade="80"/>
        </w:rPr>
        <w:t>.</w:t>
      </w:r>
    </w:p>
    <w:p w:rsidR="002C6039" w:rsidRPr="004A1196" w:rsidRDefault="002C6039" w:rsidP="002C6039">
      <w:pPr>
        <w:pStyle w:val="RIHeading2"/>
        <w:rPr>
          <w:color w:val="0B2B43" w:themeColor="text2" w:themeShade="80"/>
        </w:rPr>
      </w:pPr>
      <w:bookmarkStart w:id="48" w:name="_Toc436392708"/>
      <w:bookmarkStart w:id="49" w:name="_Toc436651806"/>
      <w:bookmarkStart w:id="50" w:name="_Toc436659614"/>
      <w:bookmarkStart w:id="51" w:name="_Toc436660112"/>
      <w:r w:rsidRPr="004A1196">
        <w:rPr>
          <w:color w:val="0B2B43" w:themeColor="text2" w:themeShade="80"/>
        </w:rPr>
        <w:t>The review’s consultations</w:t>
      </w:r>
      <w:bookmarkEnd w:id="48"/>
      <w:bookmarkEnd w:id="49"/>
      <w:bookmarkEnd w:id="50"/>
      <w:bookmarkEnd w:id="51"/>
    </w:p>
    <w:p w:rsidR="002C6039" w:rsidRPr="004A1196" w:rsidRDefault="002C6039" w:rsidP="002C6039">
      <w:pPr>
        <w:rPr>
          <w:rFonts w:cstheme="minorHAnsi"/>
          <w:color w:val="0B2B43" w:themeColor="text2" w:themeShade="80"/>
        </w:rPr>
      </w:pPr>
      <w:r w:rsidRPr="004A1196">
        <w:rPr>
          <w:rFonts w:cstheme="minorHAnsi"/>
          <w:color w:val="0B2B43" w:themeColor="text2" w:themeShade="80"/>
        </w:rPr>
        <w:t xml:space="preserve">An issues paper entitled </w:t>
      </w:r>
      <w:r w:rsidRPr="004A1196">
        <w:rPr>
          <w:rFonts w:cstheme="minorHAnsi"/>
          <w:i/>
          <w:color w:val="0B2B43" w:themeColor="text2" w:themeShade="80"/>
        </w:rPr>
        <w:t>Review of Research Policy and Funding Arrangements for Higher Education</w:t>
      </w:r>
      <w:r w:rsidRPr="004A1196">
        <w:rPr>
          <w:rFonts w:cstheme="minorHAnsi"/>
          <w:color w:val="0B2B43" w:themeColor="text2" w:themeShade="80"/>
        </w:rPr>
        <w:t xml:space="preserve"> </w:t>
      </w:r>
      <w:proofErr w:type="gramStart"/>
      <w:r w:rsidRPr="004A1196">
        <w:rPr>
          <w:rFonts w:cstheme="minorHAnsi"/>
          <w:color w:val="0B2B43" w:themeColor="text2" w:themeShade="80"/>
        </w:rPr>
        <w:t>was released</w:t>
      </w:r>
      <w:proofErr w:type="gramEnd"/>
      <w:r w:rsidRPr="004A1196">
        <w:rPr>
          <w:rFonts w:cstheme="minorHAnsi"/>
          <w:color w:val="0B2B43" w:themeColor="text2" w:themeShade="80"/>
        </w:rPr>
        <w:t xml:space="preserve"> on 11 August 2015 to support consultations for the review. The paper posed a series of questions designed to draw out views and suggestions about how to strengthen Australia's research system and encourage greater </w:t>
      </w:r>
      <w:r w:rsidRPr="004A1196">
        <w:rPr>
          <w:color w:val="0B2B43" w:themeColor="text2" w:themeShade="80"/>
        </w:rPr>
        <w:t xml:space="preserve">collaboration and engagement between universities, business and other </w:t>
      </w:r>
      <w:r w:rsidR="003904BC">
        <w:rPr>
          <w:color w:val="0B2B43" w:themeColor="text2" w:themeShade="80"/>
        </w:rPr>
        <w:t>end user</w:t>
      </w:r>
      <w:r w:rsidRPr="004A1196">
        <w:rPr>
          <w:color w:val="0B2B43" w:themeColor="text2" w:themeShade="80"/>
        </w:rPr>
        <w:t>s</w:t>
      </w:r>
      <w:r w:rsidRPr="004A1196">
        <w:rPr>
          <w:rFonts w:cstheme="minorHAnsi"/>
          <w:color w:val="0B2B43" w:themeColor="text2" w:themeShade="80"/>
        </w:rPr>
        <w:t>. It</w:t>
      </w:r>
      <w:r w:rsidRPr="004A1196">
        <w:rPr>
          <w:color w:val="0B2B43" w:themeColor="text2" w:themeShade="80"/>
        </w:rPr>
        <w:t xml:space="preserve"> called for submissions by 18 September 2015. Seventy-six submissions </w:t>
      </w:r>
      <w:proofErr w:type="gramStart"/>
      <w:r w:rsidRPr="004A1196">
        <w:rPr>
          <w:color w:val="0B2B43" w:themeColor="text2" w:themeShade="80"/>
        </w:rPr>
        <w:t>were received</w:t>
      </w:r>
      <w:proofErr w:type="gramEnd"/>
      <w:r w:rsidRPr="004A1196">
        <w:rPr>
          <w:color w:val="0B2B43" w:themeColor="text2" w:themeShade="80"/>
        </w:rPr>
        <w:t>, with the majority from universities and other academic bodies and individuals, and a small number from individual businesses or bodies representing business interests.</w:t>
      </w:r>
      <w:r w:rsidRPr="004A1196">
        <w:rPr>
          <w:rFonts w:cstheme="minorHAnsi"/>
          <w:color w:val="0B2B43" w:themeColor="text2" w:themeShade="80"/>
        </w:rPr>
        <w:t xml:space="preserve"> The review also sourced a range of additional material from universities, including </w:t>
      </w:r>
      <w:r w:rsidR="00DB5DE4" w:rsidRPr="004A1196">
        <w:rPr>
          <w:rFonts w:cstheme="minorHAnsi"/>
          <w:color w:val="0B2B43" w:themeColor="text2" w:themeShade="80"/>
        </w:rPr>
        <w:t>4</w:t>
      </w:r>
      <w:r w:rsidR="003844A0">
        <w:rPr>
          <w:rFonts w:cstheme="minorHAnsi"/>
          <w:color w:val="0B2B43" w:themeColor="text2" w:themeShade="80"/>
        </w:rPr>
        <w:t>8</w:t>
      </w:r>
      <w:r w:rsidR="00DB5DE4" w:rsidRPr="004A1196">
        <w:rPr>
          <w:rFonts w:cstheme="minorHAnsi"/>
          <w:color w:val="0B2B43" w:themeColor="text2" w:themeShade="80"/>
        </w:rPr>
        <w:t xml:space="preserve"> </w:t>
      </w:r>
      <w:r w:rsidRPr="004A1196">
        <w:rPr>
          <w:rFonts w:cstheme="minorHAnsi"/>
          <w:color w:val="0B2B43" w:themeColor="text2" w:themeShade="80"/>
        </w:rPr>
        <w:t xml:space="preserve">case studies on collaboration from </w:t>
      </w:r>
      <w:r w:rsidR="00E936B9" w:rsidRPr="004A1196">
        <w:rPr>
          <w:rFonts w:cstheme="minorHAnsi"/>
          <w:color w:val="0B2B43" w:themeColor="text2" w:themeShade="80"/>
        </w:rPr>
        <w:t>32</w:t>
      </w:r>
      <w:r w:rsidRPr="004A1196">
        <w:rPr>
          <w:rFonts w:cstheme="minorHAnsi"/>
          <w:color w:val="0B2B43" w:themeColor="text2" w:themeShade="80"/>
        </w:rPr>
        <w:t> universities.</w:t>
      </w:r>
      <w:r w:rsidR="00DB5DE4" w:rsidRPr="004A1196">
        <w:rPr>
          <w:rFonts w:cstheme="minorHAnsi"/>
          <w:color w:val="0B2B43" w:themeColor="text2" w:themeShade="80"/>
        </w:rPr>
        <w:t xml:space="preserve"> The review was also informed by the A</w:t>
      </w:r>
      <w:r w:rsidR="00FE5122">
        <w:rPr>
          <w:rFonts w:cstheme="minorHAnsi"/>
          <w:color w:val="0B2B43" w:themeColor="text2" w:themeShade="80"/>
        </w:rPr>
        <w:t xml:space="preserve">ustralian Council of Learned Academies </w:t>
      </w:r>
      <w:r w:rsidR="002973FF">
        <w:rPr>
          <w:rFonts w:cstheme="minorHAnsi"/>
          <w:color w:val="0B2B43" w:themeColor="text2" w:themeShade="80"/>
        </w:rPr>
        <w:t>(</w:t>
      </w:r>
      <w:proofErr w:type="spellStart"/>
      <w:r w:rsidR="002973FF">
        <w:rPr>
          <w:rFonts w:cstheme="minorHAnsi"/>
          <w:color w:val="0B2B43" w:themeColor="text2" w:themeShade="80"/>
        </w:rPr>
        <w:t>ACOLA</w:t>
      </w:r>
      <w:proofErr w:type="spellEnd"/>
      <w:r w:rsidR="002973FF">
        <w:rPr>
          <w:rFonts w:cstheme="minorHAnsi"/>
          <w:color w:val="0B2B43" w:themeColor="text2" w:themeShade="80"/>
        </w:rPr>
        <w:t xml:space="preserve">) </w:t>
      </w:r>
      <w:r w:rsidR="00DB5DE4" w:rsidRPr="004A1196">
        <w:rPr>
          <w:rFonts w:cstheme="minorHAnsi"/>
          <w:color w:val="0B2B43" w:themeColor="text2" w:themeShade="80"/>
        </w:rPr>
        <w:t xml:space="preserve">report </w:t>
      </w:r>
      <w:r w:rsidR="00DB5DE4" w:rsidRPr="004A1196">
        <w:rPr>
          <w:rFonts w:cstheme="minorHAnsi"/>
          <w:i/>
          <w:color w:val="0B2B43" w:themeColor="text2" w:themeShade="80"/>
        </w:rPr>
        <w:t>Translating research for economic and social benefit: country comparisons</w:t>
      </w:r>
      <w:r w:rsidR="00DB5DE4" w:rsidRPr="004A1196">
        <w:rPr>
          <w:rFonts w:cstheme="minorHAnsi"/>
          <w:color w:val="0B2B43" w:themeColor="text2" w:themeShade="80"/>
        </w:rPr>
        <w:t xml:space="preserve"> and a commissioned report by the Melbourne Centre for the Study of Higher Education entitled </w:t>
      </w:r>
      <w:r w:rsidR="00DB5DE4" w:rsidRPr="004A1196">
        <w:rPr>
          <w:rFonts w:cstheme="minorHAnsi"/>
          <w:i/>
          <w:color w:val="0B2B43" w:themeColor="text2" w:themeShade="80"/>
        </w:rPr>
        <w:t>International Innovation Benchmarks — scan of overseas models of university/industry research collaboration and analysis for implications for Australia</w:t>
      </w:r>
      <w:r w:rsidR="00DB5DE4" w:rsidRPr="004A1196">
        <w:rPr>
          <w:rFonts w:cstheme="minorHAnsi"/>
          <w:color w:val="0B2B43" w:themeColor="text2" w:themeShade="80"/>
        </w:rPr>
        <w:t>.</w:t>
      </w:r>
    </w:p>
    <w:p w:rsidR="002C6039" w:rsidRPr="004A1196" w:rsidRDefault="002C6039" w:rsidP="002C6039">
      <w:pPr>
        <w:rPr>
          <w:color w:val="0B2B43" w:themeColor="text2" w:themeShade="80"/>
        </w:rPr>
      </w:pPr>
      <w:r w:rsidRPr="004A1196">
        <w:rPr>
          <w:color w:val="0B2B43" w:themeColor="text2" w:themeShade="80"/>
        </w:rPr>
        <w:t xml:space="preserve">Dr Watt consulted with participants in the higher education and business sectors in August and early September </w:t>
      </w:r>
      <w:r w:rsidRPr="004A1196">
        <w:rPr>
          <w:rFonts w:cstheme="minorHAnsi"/>
          <w:color w:val="0B2B43" w:themeColor="text2" w:themeShade="80"/>
        </w:rPr>
        <w:t xml:space="preserve">2015 </w:t>
      </w:r>
      <w:r w:rsidRPr="004A1196">
        <w:rPr>
          <w:color w:val="0B2B43" w:themeColor="text2" w:themeShade="80"/>
        </w:rPr>
        <w:t>and conducted comeback meetings in October and November. The consultations involved 55 meetings with universities, research bodies and institutes, business and industry leaders and government representatives</w:t>
      </w:r>
      <w:r w:rsidRPr="004A1196">
        <w:rPr>
          <w:rFonts w:cstheme="minorHAnsi"/>
          <w:color w:val="0B2B43" w:themeColor="text2" w:themeShade="80"/>
        </w:rPr>
        <w:t>,</w:t>
      </w:r>
      <w:r w:rsidRPr="004A1196">
        <w:rPr>
          <w:color w:val="0B2B43" w:themeColor="text2" w:themeShade="80"/>
        </w:rPr>
        <w:t xml:space="preserve"> including Australian Government Ministers and Departmental Secretaries. A full of list of the meetings undertaken is shown in the report </w:t>
      </w:r>
      <w:r w:rsidR="00766585">
        <w:rPr>
          <w:color w:val="0B2B43" w:themeColor="text2" w:themeShade="80"/>
        </w:rPr>
        <w:t>appendices</w:t>
      </w:r>
      <w:r w:rsidRPr="004A1196">
        <w:rPr>
          <w:color w:val="0B2B43" w:themeColor="text2" w:themeShade="80"/>
        </w:rPr>
        <w:t xml:space="preserve">. Dr Watt additionally undertook a series of 15 focused roundtables with university Vice-chancellors and representatives in late October and early November. These roundtables took place in Sydney, Adelaide, Melbourne, Brisbane, Perth, Townsville and Canberra to discuss directions and options arising from the submissions and consultations to that date. </w:t>
      </w:r>
    </w:p>
    <w:p w:rsidR="002C6039" w:rsidRPr="004A1196" w:rsidRDefault="002C6039" w:rsidP="002C6039">
      <w:pPr>
        <w:pStyle w:val="RIHeading2"/>
        <w:rPr>
          <w:color w:val="0B2B43" w:themeColor="text2" w:themeShade="80"/>
        </w:rPr>
      </w:pPr>
      <w:bookmarkStart w:id="52" w:name="_Toc436392709"/>
      <w:bookmarkStart w:id="53" w:name="_Toc436651807"/>
      <w:bookmarkStart w:id="54" w:name="_Toc436659615"/>
      <w:bookmarkStart w:id="55" w:name="_Toc436660113"/>
      <w:r w:rsidRPr="004A1196">
        <w:rPr>
          <w:color w:val="0B2B43" w:themeColor="text2" w:themeShade="80"/>
        </w:rPr>
        <w:t>Related reviews and activities</w:t>
      </w:r>
      <w:bookmarkEnd w:id="52"/>
      <w:bookmarkEnd w:id="53"/>
      <w:bookmarkEnd w:id="54"/>
      <w:bookmarkEnd w:id="55"/>
    </w:p>
    <w:p w:rsidR="002C6039" w:rsidRPr="004A1196" w:rsidRDefault="002C6039" w:rsidP="002C6039">
      <w:pPr>
        <w:rPr>
          <w:rFonts w:cstheme="minorHAnsi"/>
          <w:color w:val="0B2B43" w:themeColor="text2" w:themeShade="80"/>
        </w:rPr>
      </w:pPr>
      <w:r w:rsidRPr="004A1196">
        <w:rPr>
          <w:rFonts w:cstheme="minorHAnsi"/>
          <w:color w:val="0B2B43" w:themeColor="text2" w:themeShade="80"/>
        </w:rPr>
        <w:t>As requested in the terms of reference, the review takes into account a number of other reviews and activities, particularly those which are part of the implementation of the Boosting the Commercial Returns from Research strategy including:</w:t>
      </w:r>
    </w:p>
    <w:p w:rsidR="002C6039" w:rsidRPr="00554159" w:rsidRDefault="002C6039" w:rsidP="00554159">
      <w:pPr>
        <w:pStyle w:val="ListParagraph"/>
        <w:numPr>
          <w:ilvl w:val="0"/>
          <w:numId w:val="20"/>
        </w:numPr>
        <w:rPr>
          <w:color w:val="0B2B43" w:themeColor="text2" w:themeShade="80"/>
        </w:rPr>
      </w:pPr>
      <w:r w:rsidRPr="00554159">
        <w:rPr>
          <w:color w:val="0B2B43" w:themeColor="text2" w:themeShade="80"/>
        </w:rPr>
        <w:t xml:space="preserve">the Review of Australia’s Research Training System </w:t>
      </w:r>
      <w:r w:rsidR="00E936B9" w:rsidRPr="00554159">
        <w:rPr>
          <w:color w:val="0B2B43" w:themeColor="text2" w:themeShade="80"/>
        </w:rPr>
        <w:t>—</w:t>
      </w:r>
      <w:r w:rsidRPr="00554159">
        <w:rPr>
          <w:color w:val="0B2B43" w:themeColor="text2" w:themeShade="80"/>
        </w:rPr>
        <w:t xml:space="preserve"> being conducted b</w:t>
      </w:r>
      <w:r w:rsidR="002973FF">
        <w:rPr>
          <w:color w:val="0B2B43" w:themeColor="text2" w:themeShade="80"/>
        </w:rPr>
        <w:t xml:space="preserve">y </w:t>
      </w:r>
      <w:proofErr w:type="spellStart"/>
      <w:r w:rsidR="002973FF">
        <w:rPr>
          <w:color w:val="0B2B43" w:themeColor="text2" w:themeShade="80"/>
        </w:rPr>
        <w:t>ACOLA</w:t>
      </w:r>
      <w:proofErr w:type="spellEnd"/>
      <w:r w:rsidR="002973FF">
        <w:rPr>
          <w:color w:val="0B2B43" w:themeColor="text2" w:themeShade="80"/>
        </w:rPr>
        <w:t xml:space="preserve"> </w:t>
      </w:r>
      <w:r w:rsidRPr="00554159">
        <w:rPr>
          <w:color w:val="0B2B43" w:themeColor="text2" w:themeShade="80"/>
        </w:rPr>
        <w:t xml:space="preserve">and due to report to the Minister for Education and Training in March 2016 </w:t>
      </w:r>
      <w:r w:rsidR="00E936B9" w:rsidRPr="00554159">
        <w:rPr>
          <w:color w:val="0B2B43" w:themeColor="text2" w:themeShade="80"/>
        </w:rPr>
        <w:t>—</w:t>
      </w:r>
      <w:r w:rsidRPr="00554159">
        <w:rPr>
          <w:color w:val="0B2B43" w:themeColor="text2" w:themeShade="80"/>
        </w:rPr>
        <w:t xml:space="preserve"> which is considering a range of ways to improve Australia’s research training system, including provision of greater opportunity for industry relevant research training</w:t>
      </w:r>
    </w:p>
    <w:p w:rsidR="002C6039" w:rsidRPr="00554159" w:rsidRDefault="002C6039" w:rsidP="00554159">
      <w:pPr>
        <w:pStyle w:val="ListParagraph"/>
        <w:numPr>
          <w:ilvl w:val="0"/>
          <w:numId w:val="20"/>
        </w:numPr>
        <w:rPr>
          <w:color w:val="0B2B43" w:themeColor="text2" w:themeShade="80"/>
        </w:rPr>
      </w:pPr>
      <w:r w:rsidRPr="00554159">
        <w:rPr>
          <w:color w:val="0B2B43" w:themeColor="text2" w:themeShade="80"/>
        </w:rPr>
        <w:t>the Research Infrastructure Review, which reported to the Minister for Education and Training in September 2015 and considers future critical research infrastructure needs and funding</w:t>
      </w:r>
    </w:p>
    <w:p w:rsidR="002C6039" w:rsidRPr="00554159" w:rsidRDefault="002C6039" w:rsidP="00554159">
      <w:pPr>
        <w:pStyle w:val="ListParagraph"/>
        <w:numPr>
          <w:ilvl w:val="0"/>
          <w:numId w:val="20"/>
        </w:numPr>
        <w:rPr>
          <w:color w:val="0B2B43" w:themeColor="text2" w:themeShade="80"/>
        </w:rPr>
      </w:pPr>
      <w:r w:rsidRPr="00554159">
        <w:rPr>
          <w:color w:val="0B2B43" w:themeColor="text2" w:themeShade="80"/>
        </w:rPr>
        <w:t>the Higher Education Infrastructure Working Group, which has been tasked by the Minister for Education and Training to advise on universities’ infrastructure investment needs and how these can be financed and funded</w:t>
      </w:r>
    </w:p>
    <w:p w:rsidR="002C6039" w:rsidRPr="00554159" w:rsidRDefault="002C6039" w:rsidP="00554159">
      <w:pPr>
        <w:pStyle w:val="ListParagraph"/>
        <w:numPr>
          <w:ilvl w:val="0"/>
          <w:numId w:val="20"/>
        </w:numPr>
        <w:rPr>
          <w:color w:val="0B2B43" w:themeColor="text2" w:themeShade="80"/>
        </w:rPr>
      </w:pPr>
      <w:r w:rsidRPr="00554159">
        <w:rPr>
          <w:color w:val="0B2B43" w:themeColor="text2" w:themeShade="80"/>
        </w:rPr>
        <w:t>the 2015 Miles Review of the Cooperative Research Centres programme, the recommendations of which have been accepted by the Government</w:t>
      </w:r>
    </w:p>
    <w:p w:rsidR="002C6039" w:rsidRPr="00554159" w:rsidRDefault="002C6039" w:rsidP="00554159">
      <w:pPr>
        <w:pStyle w:val="ListParagraph"/>
        <w:numPr>
          <w:ilvl w:val="0"/>
          <w:numId w:val="20"/>
        </w:numPr>
        <w:rPr>
          <w:color w:val="0B2B43" w:themeColor="text2" w:themeShade="80"/>
        </w:rPr>
      </w:pPr>
      <w:proofErr w:type="gramStart"/>
      <w:r w:rsidRPr="00554159">
        <w:rPr>
          <w:color w:val="0B2B43" w:themeColor="text2" w:themeShade="80"/>
        </w:rPr>
        <w:t>the</w:t>
      </w:r>
      <w:proofErr w:type="gramEnd"/>
      <w:r w:rsidRPr="00554159">
        <w:rPr>
          <w:color w:val="0B2B43" w:themeColor="text2" w:themeShade="80"/>
        </w:rPr>
        <w:t xml:space="preserve"> strategic whole of government approach for boosting Australia’s capability in science, technology, engineering and mathematics which is currently being developed by the Commonwealth Science Council</w:t>
      </w:r>
      <w:r w:rsidR="00CF2599" w:rsidRPr="00554159">
        <w:rPr>
          <w:color w:val="0B2B43" w:themeColor="text2" w:themeShade="80"/>
        </w:rPr>
        <w:t>.</w:t>
      </w:r>
    </w:p>
    <w:p w:rsidR="002C6039" w:rsidRPr="004A1196" w:rsidRDefault="002C6039" w:rsidP="002C6039">
      <w:pPr>
        <w:pStyle w:val="RIHeading2"/>
        <w:rPr>
          <w:color w:val="0B2B43" w:themeColor="text2" w:themeShade="80"/>
        </w:rPr>
      </w:pPr>
      <w:bookmarkStart w:id="56" w:name="_Toc436392710"/>
      <w:bookmarkStart w:id="57" w:name="_Toc436651808"/>
      <w:bookmarkStart w:id="58" w:name="_Toc436659616"/>
      <w:bookmarkStart w:id="59" w:name="_Toc436660114"/>
      <w:r w:rsidRPr="004A1196">
        <w:rPr>
          <w:color w:val="0B2B43" w:themeColor="text2" w:themeShade="80"/>
        </w:rPr>
        <w:t>Higher education research funding framework</w:t>
      </w:r>
      <w:bookmarkEnd w:id="56"/>
      <w:bookmarkEnd w:id="57"/>
      <w:bookmarkEnd w:id="58"/>
      <w:bookmarkEnd w:id="59"/>
      <w:r w:rsidRPr="004A1196">
        <w:rPr>
          <w:color w:val="0B2B43" w:themeColor="text2" w:themeShade="80"/>
        </w:rPr>
        <w:t xml:space="preserve"> </w:t>
      </w:r>
    </w:p>
    <w:p w:rsidR="002C6039" w:rsidRPr="004A1196" w:rsidRDefault="002C6039" w:rsidP="002C6039">
      <w:pPr>
        <w:rPr>
          <w:rFonts w:cstheme="minorHAnsi"/>
          <w:color w:val="0B2B43" w:themeColor="text2" w:themeShade="80"/>
        </w:rPr>
      </w:pPr>
      <w:r w:rsidRPr="004A1196">
        <w:rPr>
          <w:rFonts w:cstheme="minorHAnsi"/>
          <w:color w:val="0B2B43" w:themeColor="text2" w:themeShade="80"/>
        </w:rPr>
        <w:t xml:space="preserve">In considering options for reform to improve Australia’s performance in translating higher education research into economic and social benefits, the review has been mindful that the policy framework underlying research funding needs to achieve multiple objectives. For example, universities </w:t>
      </w:r>
      <w:proofErr w:type="gramStart"/>
      <w:r w:rsidRPr="004A1196">
        <w:rPr>
          <w:rFonts w:cstheme="minorHAnsi"/>
          <w:color w:val="0B2B43" w:themeColor="text2" w:themeShade="80"/>
        </w:rPr>
        <w:t>are expected</w:t>
      </w:r>
      <w:proofErr w:type="gramEnd"/>
      <w:r w:rsidRPr="004A1196">
        <w:rPr>
          <w:rFonts w:cstheme="minorHAnsi"/>
          <w:color w:val="0B2B43" w:themeColor="text2" w:themeShade="80"/>
        </w:rPr>
        <w:t xml:space="preserve"> to maintain research capability and excellence in a range of disciplines, some of which have limited capacity to attract external funding. Further, they must offer research training across a range of disciplines </w:t>
      </w:r>
      <w:r w:rsidRPr="004A1196" w:rsidDel="00661FC1">
        <w:rPr>
          <w:rFonts w:cstheme="minorHAnsi"/>
          <w:color w:val="0B2B43" w:themeColor="text2" w:themeShade="80"/>
        </w:rPr>
        <w:t xml:space="preserve">and </w:t>
      </w:r>
      <w:r w:rsidRPr="004A1196">
        <w:rPr>
          <w:rFonts w:cstheme="minorHAnsi"/>
          <w:color w:val="0B2B43" w:themeColor="text2" w:themeShade="80"/>
        </w:rPr>
        <w:t xml:space="preserve">provide opportunities for young academic staff to develop a research profile. Finally, at the same time, </w:t>
      </w:r>
      <w:r w:rsidR="006B239C">
        <w:rPr>
          <w:rFonts w:cstheme="minorHAnsi"/>
          <w:color w:val="0B2B43" w:themeColor="text2" w:themeShade="80"/>
        </w:rPr>
        <w:t xml:space="preserve">universities </w:t>
      </w:r>
      <w:r w:rsidRPr="004A1196">
        <w:rPr>
          <w:rFonts w:cstheme="minorHAnsi"/>
          <w:color w:val="0B2B43" w:themeColor="text2" w:themeShade="80"/>
        </w:rPr>
        <w:t xml:space="preserve">need to win competitive grant funding and to better collaborate and engage with research </w:t>
      </w:r>
      <w:r w:rsidR="003904BC">
        <w:rPr>
          <w:rFonts w:cstheme="minorHAnsi"/>
          <w:color w:val="0B2B43" w:themeColor="text2" w:themeShade="80"/>
        </w:rPr>
        <w:t>end user</w:t>
      </w:r>
      <w:r w:rsidRPr="004A1196">
        <w:rPr>
          <w:rFonts w:cstheme="minorHAnsi"/>
          <w:color w:val="0B2B43" w:themeColor="text2" w:themeShade="80"/>
        </w:rPr>
        <w:t xml:space="preserve">s. Underlying these considerations is the need for academic organisational units and those academics holding research and teaching appointments to balance their research, teaching and </w:t>
      </w:r>
      <w:r w:rsidRPr="004A1196">
        <w:rPr>
          <w:color w:val="0B2B43" w:themeColor="text2" w:themeShade="80"/>
        </w:rPr>
        <w:t>public service roles</w:t>
      </w:r>
      <w:r w:rsidRPr="004A1196">
        <w:rPr>
          <w:rFonts w:cstheme="minorHAnsi"/>
          <w:color w:val="0B2B43" w:themeColor="text2" w:themeShade="80"/>
        </w:rPr>
        <w:t>.</w:t>
      </w:r>
    </w:p>
    <w:p w:rsidR="002C6039" w:rsidRPr="004A1196" w:rsidRDefault="002C6039" w:rsidP="002C6039">
      <w:pPr>
        <w:rPr>
          <w:rFonts w:cstheme="minorHAnsi"/>
          <w:color w:val="0B2B43" w:themeColor="text2" w:themeShade="80"/>
        </w:rPr>
      </w:pPr>
      <w:r w:rsidRPr="004A1196">
        <w:rPr>
          <w:rFonts w:cstheme="minorHAnsi"/>
          <w:color w:val="0B2B43" w:themeColor="text2" w:themeShade="80"/>
        </w:rPr>
        <w:t xml:space="preserve">The review has applied the following framework in considering Australia’s higher education </w:t>
      </w:r>
      <w:r w:rsidRPr="004A1196" w:rsidDel="00661FC1">
        <w:rPr>
          <w:rFonts w:cstheme="minorHAnsi"/>
          <w:color w:val="0B2B43" w:themeColor="text2" w:themeShade="80"/>
        </w:rPr>
        <w:t xml:space="preserve">research </w:t>
      </w:r>
      <w:r w:rsidRPr="004A1196">
        <w:rPr>
          <w:rFonts w:cstheme="minorHAnsi"/>
          <w:color w:val="0B2B43" w:themeColor="text2" w:themeShade="80"/>
        </w:rPr>
        <w:t>funding system:</w:t>
      </w:r>
    </w:p>
    <w:p w:rsidR="002C6039" w:rsidRPr="00554159" w:rsidRDefault="002C6039" w:rsidP="00554159">
      <w:pPr>
        <w:pStyle w:val="ListParagraph"/>
        <w:numPr>
          <w:ilvl w:val="0"/>
          <w:numId w:val="20"/>
        </w:numPr>
        <w:rPr>
          <w:color w:val="0B2B43" w:themeColor="text2" w:themeShade="80"/>
        </w:rPr>
      </w:pPr>
      <w:r w:rsidRPr="00554159">
        <w:rPr>
          <w:color w:val="0B2B43" w:themeColor="text2" w:themeShade="80"/>
        </w:rPr>
        <w:t>research excellence is at the core of the higher</w:t>
      </w:r>
      <w:r w:rsidR="00C4701C">
        <w:rPr>
          <w:color w:val="0B2B43" w:themeColor="text2" w:themeShade="80"/>
        </w:rPr>
        <w:t xml:space="preserve"> education research endeavour and</w:t>
      </w:r>
      <w:r w:rsidRPr="00554159">
        <w:rPr>
          <w:color w:val="0B2B43" w:themeColor="text2" w:themeShade="80"/>
        </w:rPr>
        <w:t xml:space="preserve"> public funding should strike a balance between supporting basic research capacity and maintaining the research training system on the one hand, and encouraging a responsiveness to government priorities on the other</w:t>
      </w:r>
    </w:p>
    <w:p w:rsidR="002C6039" w:rsidRPr="00554159" w:rsidRDefault="002C6039" w:rsidP="00554159">
      <w:pPr>
        <w:pStyle w:val="ListParagraph"/>
        <w:numPr>
          <w:ilvl w:val="0"/>
          <w:numId w:val="20"/>
        </w:numPr>
        <w:rPr>
          <w:color w:val="0B2B43" w:themeColor="text2" w:themeShade="80"/>
        </w:rPr>
      </w:pPr>
      <w:r w:rsidRPr="00554159">
        <w:rPr>
          <w:color w:val="0B2B43" w:themeColor="text2" w:themeShade="80"/>
        </w:rPr>
        <w:t>universities should be autonomous, self-directing and focused on the quality of their research and teaching with policies influencing priorities and outcomes in universities by rewarding performance, while maintaining the underlying autonomy of the institutions</w:t>
      </w:r>
    </w:p>
    <w:p w:rsidR="002C6039" w:rsidRPr="00554159" w:rsidRDefault="002C6039" w:rsidP="00554159">
      <w:pPr>
        <w:pStyle w:val="ListParagraph"/>
        <w:numPr>
          <w:ilvl w:val="0"/>
          <w:numId w:val="20"/>
        </w:numPr>
        <w:rPr>
          <w:color w:val="0B2B43" w:themeColor="text2" w:themeShade="80"/>
        </w:rPr>
      </w:pPr>
      <w:r w:rsidRPr="00554159">
        <w:rPr>
          <w:color w:val="0B2B43" w:themeColor="text2" w:themeShade="80"/>
        </w:rPr>
        <w:t xml:space="preserve">public funding arrangements should provide clear incentives and rewards for national priorities, such as those relevant to this review, which include increased effective collaboration with business and other </w:t>
      </w:r>
      <w:r w:rsidR="003904BC">
        <w:rPr>
          <w:color w:val="0B2B43" w:themeColor="text2" w:themeShade="80"/>
        </w:rPr>
        <w:t>end user</w:t>
      </w:r>
      <w:r w:rsidRPr="00554159">
        <w:rPr>
          <w:color w:val="0B2B43" w:themeColor="text2" w:themeShade="80"/>
        </w:rPr>
        <w:t>s, and better commercial returns on research</w:t>
      </w:r>
    </w:p>
    <w:p w:rsidR="002C6039" w:rsidRPr="00554159" w:rsidRDefault="002C6039" w:rsidP="00554159">
      <w:pPr>
        <w:pStyle w:val="ListParagraph"/>
        <w:numPr>
          <w:ilvl w:val="0"/>
          <w:numId w:val="20"/>
        </w:numPr>
        <w:rPr>
          <w:color w:val="0B2B43" w:themeColor="text2" w:themeShade="80"/>
        </w:rPr>
      </w:pPr>
      <w:r w:rsidRPr="00554159">
        <w:rPr>
          <w:color w:val="0B2B43" w:themeColor="text2" w:themeShade="80"/>
        </w:rPr>
        <w:t>while the amount of research funding that is determined by the performance of individual institutions will vary over time, governments should avoid high levels of variability in annual funding outcome</w:t>
      </w:r>
      <w:r w:rsidR="00E34629">
        <w:rPr>
          <w:color w:val="0B2B43" w:themeColor="text2" w:themeShade="80"/>
        </w:rPr>
        <w:t>s</w:t>
      </w:r>
    </w:p>
    <w:p w:rsidR="002C6039" w:rsidRPr="00554159" w:rsidRDefault="002C6039" w:rsidP="00554159">
      <w:pPr>
        <w:pStyle w:val="ListParagraph"/>
        <w:numPr>
          <w:ilvl w:val="0"/>
          <w:numId w:val="20"/>
        </w:numPr>
        <w:rPr>
          <w:color w:val="0B2B43" w:themeColor="text2" w:themeShade="80"/>
        </w:rPr>
      </w:pPr>
      <w:proofErr w:type="gramStart"/>
      <w:r w:rsidRPr="00554159">
        <w:rPr>
          <w:color w:val="0B2B43" w:themeColor="text2" w:themeShade="80"/>
        </w:rPr>
        <w:t>a</w:t>
      </w:r>
      <w:proofErr w:type="gramEnd"/>
      <w:r w:rsidRPr="00554159">
        <w:rPr>
          <w:color w:val="0B2B43" w:themeColor="text2" w:themeShade="80"/>
        </w:rPr>
        <w:t xml:space="preserve"> strong system of training for Higher Degree Research (</w:t>
      </w:r>
      <w:proofErr w:type="spellStart"/>
      <w:r w:rsidRPr="00554159">
        <w:rPr>
          <w:color w:val="0B2B43" w:themeColor="text2" w:themeShade="80"/>
        </w:rPr>
        <w:t>HDR</w:t>
      </w:r>
      <w:proofErr w:type="spellEnd"/>
      <w:r w:rsidRPr="00554159">
        <w:rPr>
          <w:color w:val="0B2B43" w:themeColor="text2" w:themeShade="80"/>
        </w:rPr>
        <w:t>) students, who are the next generation of Australian researchers, is an essential element of the research system</w:t>
      </w:r>
      <w:r w:rsidR="00A6596A" w:rsidRPr="00554159">
        <w:rPr>
          <w:color w:val="0B2B43" w:themeColor="text2" w:themeShade="80"/>
        </w:rPr>
        <w:t>.</w:t>
      </w:r>
    </w:p>
    <w:p w:rsidR="002C6039" w:rsidRPr="004A1196" w:rsidRDefault="002C6039" w:rsidP="002C6039">
      <w:pPr>
        <w:rPr>
          <w:rFonts w:cstheme="minorHAnsi"/>
          <w:color w:val="0B2B43" w:themeColor="text2" w:themeShade="80"/>
        </w:rPr>
      </w:pPr>
      <w:r w:rsidRPr="004A1196">
        <w:rPr>
          <w:rFonts w:cstheme="minorHAnsi"/>
          <w:color w:val="0B2B43" w:themeColor="text2" w:themeShade="80"/>
        </w:rPr>
        <w:t>Consistent with this framework, the review has developed recommendations which:</w:t>
      </w:r>
    </w:p>
    <w:p w:rsidR="002C6039" w:rsidRPr="00554159" w:rsidRDefault="002C6039" w:rsidP="00554159">
      <w:pPr>
        <w:pStyle w:val="ListParagraph"/>
        <w:numPr>
          <w:ilvl w:val="0"/>
          <w:numId w:val="20"/>
        </w:numPr>
        <w:rPr>
          <w:color w:val="0B2B43" w:themeColor="text2" w:themeShade="80"/>
        </w:rPr>
      </w:pPr>
      <w:r w:rsidRPr="00554159">
        <w:rPr>
          <w:color w:val="0B2B43" w:themeColor="text2" w:themeShade="80"/>
        </w:rPr>
        <w:t>maintain support for high quality research in Australia’s universities across the spectrum from basic to applied research</w:t>
      </w:r>
    </w:p>
    <w:p w:rsidR="002C6039" w:rsidRPr="00554159" w:rsidRDefault="002C6039" w:rsidP="00554159">
      <w:pPr>
        <w:pStyle w:val="ListParagraph"/>
        <w:numPr>
          <w:ilvl w:val="0"/>
          <w:numId w:val="20"/>
        </w:numPr>
        <w:rPr>
          <w:color w:val="0B2B43" w:themeColor="text2" w:themeShade="80"/>
        </w:rPr>
      </w:pPr>
      <w:r w:rsidRPr="00554159">
        <w:rPr>
          <w:color w:val="0B2B43" w:themeColor="text2" w:themeShade="80"/>
        </w:rPr>
        <w:t xml:space="preserve">simplify the </w:t>
      </w:r>
      <w:r w:rsidR="00766585">
        <w:rPr>
          <w:color w:val="0B2B43" w:themeColor="text2" w:themeShade="80"/>
        </w:rPr>
        <w:t>R</w:t>
      </w:r>
      <w:r w:rsidRPr="00554159">
        <w:rPr>
          <w:color w:val="0B2B43" w:themeColor="text2" w:themeShade="80"/>
        </w:rPr>
        <w:t xml:space="preserve">esearch </w:t>
      </w:r>
      <w:r w:rsidR="00C4701C" w:rsidRPr="00554159">
        <w:rPr>
          <w:color w:val="0B2B43" w:themeColor="text2" w:themeShade="80"/>
        </w:rPr>
        <w:t xml:space="preserve">Block Grant </w:t>
      </w:r>
      <w:r w:rsidR="00766585">
        <w:rPr>
          <w:color w:val="0B2B43" w:themeColor="text2" w:themeShade="80"/>
        </w:rPr>
        <w:t>a</w:t>
      </w:r>
      <w:r w:rsidR="00C4701C" w:rsidRPr="00554159">
        <w:rPr>
          <w:color w:val="0B2B43" w:themeColor="text2" w:themeShade="80"/>
        </w:rPr>
        <w:t xml:space="preserve">rrangements </w:t>
      </w:r>
      <w:r w:rsidRPr="00554159">
        <w:rPr>
          <w:color w:val="0B2B43" w:themeColor="text2" w:themeShade="80"/>
        </w:rPr>
        <w:t>(</w:t>
      </w:r>
      <w:proofErr w:type="spellStart"/>
      <w:r w:rsidRPr="00554159">
        <w:rPr>
          <w:color w:val="0B2B43" w:themeColor="text2" w:themeShade="80"/>
        </w:rPr>
        <w:t>RBG</w:t>
      </w:r>
      <w:proofErr w:type="spellEnd"/>
      <w:r w:rsidRPr="00554159">
        <w:rPr>
          <w:color w:val="0B2B43" w:themeColor="text2" w:themeShade="80"/>
        </w:rPr>
        <w:t xml:space="preserve">) as far as possible and ensure they have clearly defined policy goals and outcomes </w:t>
      </w:r>
    </w:p>
    <w:p w:rsidR="002C6039" w:rsidRPr="00554159" w:rsidRDefault="002C6039" w:rsidP="00554159">
      <w:pPr>
        <w:pStyle w:val="ListParagraph"/>
        <w:numPr>
          <w:ilvl w:val="0"/>
          <w:numId w:val="20"/>
        </w:numPr>
        <w:rPr>
          <w:color w:val="0B2B43" w:themeColor="text2" w:themeShade="80"/>
        </w:rPr>
      </w:pPr>
      <w:r w:rsidRPr="00554159">
        <w:rPr>
          <w:color w:val="0B2B43" w:themeColor="text2" w:themeShade="80"/>
        </w:rPr>
        <w:t xml:space="preserve">sharpen the funding incentives provided by </w:t>
      </w:r>
      <w:proofErr w:type="spellStart"/>
      <w:r w:rsidRPr="00554159">
        <w:rPr>
          <w:color w:val="0B2B43" w:themeColor="text2" w:themeShade="80"/>
        </w:rPr>
        <w:t>RBG</w:t>
      </w:r>
      <w:proofErr w:type="spellEnd"/>
      <w:r w:rsidRPr="00554159">
        <w:rPr>
          <w:color w:val="0B2B43" w:themeColor="text2" w:themeShade="80"/>
        </w:rPr>
        <w:t>, in particular to improve incentives for collaboration between universities and business to increase the commercial returns from Australia’s research effort</w:t>
      </w:r>
    </w:p>
    <w:p w:rsidR="002C6039" w:rsidRPr="007541D9" w:rsidRDefault="002C6039" w:rsidP="00554159">
      <w:pPr>
        <w:pStyle w:val="ListParagraph"/>
        <w:numPr>
          <w:ilvl w:val="0"/>
          <w:numId w:val="20"/>
        </w:numPr>
        <w:rPr>
          <w:rFonts w:cstheme="minorHAnsi"/>
          <w:color w:val="0B2B43" w:themeColor="text2" w:themeShade="80"/>
        </w:rPr>
      </w:pPr>
      <w:proofErr w:type="gramStart"/>
      <w:r w:rsidRPr="00554159">
        <w:rPr>
          <w:color w:val="0B2B43" w:themeColor="text2" w:themeShade="80"/>
        </w:rPr>
        <w:t>better</w:t>
      </w:r>
      <w:proofErr w:type="gramEnd"/>
      <w:r w:rsidRPr="00554159">
        <w:rPr>
          <w:color w:val="0B2B43" w:themeColor="text2" w:themeShade="80"/>
        </w:rPr>
        <w:t xml:space="preserve"> gauge the effectiveness of research investment and influence researchers’ behaviour by assessing the real world impact of research</w:t>
      </w:r>
      <w:r w:rsidRPr="004A1196">
        <w:rPr>
          <w:rFonts w:cstheme="minorHAnsi"/>
          <w:color w:val="0B2B43" w:themeColor="text2" w:themeShade="80"/>
        </w:rPr>
        <w:t xml:space="preserve"> outcomes</w:t>
      </w:r>
      <w:r w:rsidR="00A6596A" w:rsidRPr="004A1196">
        <w:rPr>
          <w:rFonts w:cstheme="minorHAnsi"/>
          <w:color w:val="0B2B43" w:themeColor="text2" w:themeShade="80"/>
        </w:rPr>
        <w:t>.</w:t>
      </w:r>
    </w:p>
    <w:p w:rsidR="002C6039" w:rsidRPr="004A1196" w:rsidRDefault="002C6039" w:rsidP="002C6039">
      <w:pPr>
        <w:rPr>
          <w:rFonts w:cstheme="minorHAnsi"/>
          <w:color w:val="0B2B43" w:themeColor="text2" w:themeShade="80"/>
        </w:rPr>
      </w:pPr>
      <w:proofErr w:type="gramStart"/>
      <w:r w:rsidRPr="004A1196">
        <w:rPr>
          <w:rFonts w:cstheme="minorHAnsi"/>
          <w:color w:val="0B2B43" w:themeColor="text2" w:themeShade="80"/>
        </w:rPr>
        <w:t xml:space="preserve">In developing its recommendations, the review has also been mindful of the views expressed by research and business stakeholders in their submissions and during the consultations — that government needs to provide clear policy direction, and support closer engagement by making a longer term policy and funding commitment to improving Australia’s performance in collaboration between universities, business and other </w:t>
      </w:r>
      <w:r w:rsidR="003904BC">
        <w:rPr>
          <w:rFonts w:cstheme="minorHAnsi"/>
          <w:color w:val="0B2B43" w:themeColor="text2" w:themeShade="80"/>
        </w:rPr>
        <w:t>end user</w:t>
      </w:r>
      <w:r w:rsidRPr="004A1196">
        <w:rPr>
          <w:rFonts w:cstheme="minorHAnsi"/>
          <w:color w:val="0B2B43" w:themeColor="text2" w:themeShade="80"/>
        </w:rPr>
        <w:t>s of research.</w:t>
      </w:r>
      <w:proofErr w:type="gramEnd"/>
      <w:r w:rsidRPr="004A1196">
        <w:rPr>
          <w:rFonts w:cstheme="minorHAnsi"/>
          <w:color w:val="0B2B43" w:themeColor="text2" w:themeShade="80"/>
        </w:rPr>
        <w:t xml:space="preserve"> </w:t>
      </w:r>
    </w:p>
    <w:p w:rsidR="002C6039" w:rsidRPr="004A1196" w:rsidRDefault="002C6039" w:rsidP="002C6039">
      <w:pPr>
        <w:rPr>
          <w:rFonts w:cstheme="minorHAnsi"/>
          <w:color w:val="0B2B43" w:themeColor="text2" w:themeShade="80"/>
        </w:rPr>
      </w:pPr>
      <w:proofErr w:type="gramStart"/>
      <w:r w:rsidRPr="004A1196">
        <w:rPr>
          <w:rFonts w:cstheme="minorHAnsi"/>
          <w:color w:val="0B2B43" w:themeColor="text2" w:themeShade="80"/>
        </w:rPr>
        <w:t xml:space="preserve">The review’s recommendations seek to maintain the strengths of the current research system, while proposing and supporting changes which will help drive significant improvement in what has been its greatest weakness over time — the low level of engagement by universities with businesses and other </w:t>
      </w:r>
      <w:r w:rsidR="003904BC">
        <w:rPr>
          <w:rFonts w:cstheme="minorHAnsi"/>
          <w:color w:val="0B2B43" w:themeColor="text2" w:themeShade="80"/>
        </w:rPr>
        <w:t>end user</w:t>
      </w:r>
      <w:r w:rsidRPr="004A1196">
        <w:rPr>
          <w:rFonts w:cstheme="minorHAnsi"/>
          <w:color w:val="0B2B43" w:themeColor="text2" w:themeShade="80"/>
        </w:rPr>
        <w:t>s of research and the consequent low level of translation of research into economic benefits for Australia as a whole.</w:t>
      </w:r>
      <w:proofErr w:type="gramEnd"/>
    </w:p>
    <w:p w:rsidR="002C6039" w:rsidRPr="004A1196" w:rsidRDefault="002C6039" w:rsidP="002C6039">
      <w:pPr>
        <w:pStyle w:val="Heading2"/>
        <w:rPr>
          <w:color w:val="0B2B43" w:themeColor="text2" w:themeShade="80"/>
        </w:rPr>
      </w:pPr>
      <w:bookmarkStart w:id="60" w:name="_Toc436392711"/>
      <w:bookmarkStart w:id="61" w:name="_Toc436651809"/>
      <w:bookmarkStart w:id="62" w:name="_Toc436659617"/>
      <w:bookmarkStart w:id="63" w:name="_Toc436660115"/>
      <w:r w:rsidRPr="004A1196">
        <w:rPr>
          <w:color w:val="0B2B43" w:themeColor="text2" w:themeShade="80"/>
        </w:rPr>
        <w:t>This report</w:t>
      </w:r>
      <w:bookmarkEnd w:id="60"/>
      <w:bookmarkEnd w:id="61"/>
      <w:bookmarkEnd w:id="62"/>
      <w:bookmarkEnd w:id="63"/>
    </w:p>
    <w:p w:rsidR="002C6039" w:rsidRPr="004A1196" w:rsidRDefault="002C6039" w:rsidP="002C6039">
      <w:pPr>
        <w:rPr>
          <w:rFonts w:cstheme="minorHAnsi"/>
          <w:color w:val="0B2B43" w:themeColor="text2" w:themeShade="80"/>
        </w:rPr>
      </w:pPr>
      <w:r w:rsidRPr="004A1196">
        <w:rPr>
          <w:rFonts w:cstheme="minorHAnsi"/>
          <w:color w:val="0B2B43" w:themeColor="text2" w:themeShade="80"/>
        </w:rPr>
        <w:t>This report addresses the terms of reference and makes recommendations under the following structure:</w:t>
      </w:r>
    </w:p>
    <w:p w:rsidR="002C6039" w:rsidRPr="004A1196" w:rsidRDefault="002C6039" w:rsidP="002C6039">
      <w:pPr>
        <w:rPr>
          <w:rFonts w:cstheme="minorHAnsi"/>
          <w:color w:val="0B2B43" w:themeColor="text2" w:themeShade="80"/>
        </w:rPr>
      </w:pPr>
      <w:r w:rsidRPr="004A1196">
        <w:rPr>
          <w:rFonts w:cstheme="minorHAnsi"/>
          <w:color w:val="0B2B43" w:themeColor="text2" w:themeShade="80"/>
        </w:rPr>
        <w:t xml:space="preserve">Chapter </w:t>
      </w:r>
      <w:r w:rsidR="00C31865" w:rsidRPr="004A1196">
        <w:rPr>
          <w:rFonts w:cstheme="minorHAnsi"/>
          <w:color w:val="0B2B43" w:themeColor="text2" w:themeShade="80"/>
        </w:rPr>
        <w:t>1</w:t>
      </w:r>
      <w:r w:rsidRPr="004A1196">
        <w:rPr>
          <w:rFonts w:cstheme="minorHAnsi"/>
          <w:color w:val="0B2B43" w:themeColor="text2" w:themeShade="80"/>
        </w:rPr>
        <w:t xml:space="preserve"> provides an overview of research</w:t>
      </w:r>
      <w:r w:rsidR="00882F21">
        <w:rPr>
          <w:rFonts w:cstheme="minorHAnsi"/>
          <w:color w:val="0B2B43" w:themeColor="text2" w:themeShade="80"/>
        </w:rPr>
        <w:t xml:space="preserve"> expenditure in Australia focus</w:t>
      </w:r>
      <w:r w:rsidRPr="004A1196">
        <w:rPr>
          <w:rFonts w:cstheme="minorHAnsi"/>
          <w:color w:val="0B2B43" w:themeColor="text2" w:themeShade="80"/>
        </w:rPr>
        <w:t>ing on Australian Government funding and university research funding.</w:t>
      </w:r>
    </w:p>
    <w:p w:rsidR="002C6039" w:rsidRPr="004A1196" w:rsidRDefault="002C6039" w:rsidP="002C6039">
      <w:pPr>
        <w:rPr>
          <w:rFonts w:cstheme="minorHAnsi"/>
          <w:color w:val="0B2B43" w:themeColor="text2" w:themeShade="80"/>
        </w:rPr>
      </w:pPr>
      <w:r w:rsidRPr="004A1196">
        <w:rPr>
          <w:rFonts w:cstheme="minorHAnsi"/>
          <w:color w:val="0B2B43" w:themeColor="text2" w:themeShade="80"/>
        </w:rPr>
        <w:t xml:space="preserve">Chapter </w:t>
      </w:r>
      <w:r w:rsidR="00C31865" w:rsidRPr="004A1196">
        <w:rPr>
          <w:rFonts w:cstheme="minorHAnsi"/>
          <w:color w:val="0B2B43" w:themeColor="text2" w:themeShade="80"/>
        </w:rPr>
        <w:t>2</w:t>
      </w:r>
      <w:r w:rsidR="00580E6F">
        <w:rPr>
          <w:rFonts w:cstheme="minorHAnsi"/>
          <w:color w:val="0B2B43" w:themeColor="text2" w:themeShade="80"/>
        </w:rPr>
        <w:t xml:space="preserve"> discusses</w:t>
      </w:r>
      <w:r w:rsidR="006B1851">
        <w:rPr>
          <w:rFonts w:cstheme="minorHAnsi"/>
          <w:color w:val="0B2B43" w:themeColor="text2" w:themeShade="80"/>
        </w:rPr>
        <w:t xml:space="preserve"> </w:t>
      </w:r>
      <w:proofErr w:type="spellStart"/>
      <w:r w:rsidRPr="004A1196">
        <w:rPr>
          <w:rFonts w:cstheme="minorHAnsi"/>
          <w:color w:val="0B2B43" w:themeColor="text2" w:themeShade="80"/>
        </w:rPr>
        <w:t>RBG</w:t>
      </w:r>
      <w:proofErr w:type="spellEnd"/>
      <w:r w:rsidRPr="004A1196">
        <w:rPr>
          <w:rFonts w:cstheme="minorHAnsi"/>
          <w:color w:val="0B2B43" w:themeColor="text2" w:themeShade="80"/>
        </w:rPr>
        <w:t xml:space="preserve">, explaining the current funding arrangements and </w:t>
      </w:r>
      <w:r w:rsidRPr="004A1196">
        <w:rPr>
          <w:color w:val="0B2B43" w:themeColor="text2" w:themeShade="80"/>
        </w:rPr>
        <w:t>key issues with those arrangements</w:t>
      </w:r>
      <w:r w:rsidRPr="004A1196">
        <w:rPr>
          <w:rFonts w:cstheme="minorHAnsi"/>
          <w:color w:val="0B2B43" w:themeColor="text2" w:themeShade="80"/>
        </w:rPr>
        <w:t xml:space="preserve">. It proposes a new model for </w:t>
      </w:r>
      <w:proofErr w:type="spellStart"/>
      <w:r w:rsidRPr="004A1196">
        <w:rPr>
          <w:rFonts w:cstheme="minorHAnsi"/>
          <w:color w:val="0B2B43" w:themeColor="text2" w:themeShade="80"/>
        </w:rPr>
        <w:t>RBG</w:t>
      </w:r>
      <w:proofErr w:type="spellEnd"/>
      <w:r w:rsidRPr="004A1196">
        <w:rPr>
          <w:rFonts w:cstheme="minorHAnsi"/>
          <w:color w:val="0B2B43" w:themeColor="text2" w:themeShade="80"/>
        </w:rPr>
        <w:t xml:space="preserve"> that will be simpler and provide clearer incentives for universities to engage with business and other research </w:t>
      </w:r>
      <w:r w:rsidR="003904BC">
        <w:rPr>
          <w:rFonts w:cstheme="minorHAnsi"/>
          <w:color w:val="0B2B43" w:themeColor="text2" w:themeShade="80"/>
        </w:rPr>
        <w:t>end user</w:t>
      </w:r>
      <w:r w:rsidRPr="004A1196">
        <w:rPr>
          <w:rFonts w:cstheme="minorHAnsi"/>
          <w:color w:val="0B2B43" w:themeColor="text2" w:themeShade="80"/>
        </w:rPr>
        <w:t>s.</w:t>
      </w:r>
    </w:p>
    <w:p w:rsidR="002C6039" w:rsidRPr="004A1196" w:rsidRDefault="002C6039" w:rsidP="002C6039">
      <w:pPr>
        <w:rPr>
          <w:rFonts w:cstheme="minorHAnsi"/>
          <w:color w:val="0B2B43" w:themeColor="text2" w:themeShade="80"/>
        </w:rPr>
      </w:pPr>
      <w:r w:rsidRPr="004A1196">
        <w:rPr>
          <w:rFonts w:cstheme="minorHAnsi"/>
          <w:color w:val="0B2B43" w:themeColor="text2" w:themeShade="80"/>
        </w:rPr>
        <w:t xml:space="preserve">Chapter </w:t>
      </w:r>
      <w:r w:rsidR="00C31865" w:rsidRPr="004A1196">
        <w:rPr>
          <w:rFonts w:cstheme="minorHAnsi"/>
          <w:color w:val="0B2B43" w:themeColor="text2" w:themeShade="80"/>
        </w:rPr>
        <w:t>3</w:t>
      </w:r>
      <w:r w:rsidRPr="004A1196">
        <w:rPr>
          <w:rFonts w:cstheme="minorHAnsi"/>
          <w:color w:val="0B2B43" w:themeColor="text2" w:themeShade="80"/>
        </w:rPr>
        <w:t xml:space="preserve"> discusses competitive grant programmes, how they operate currently and </w:t>
      </w:r>
      <w:proofErr w:type="gramStart"/>
      <w:r w:rsidRPr="004A1196">
        <w:rPr>
          <w:rFonts w:cstheme="minorHAnsi"/>
          <w:color w:val="0B2B43" w:themeColor="text2" w:themeShade="80"/>
        </w:rPr>
        <w:t>makes</w:t>
      </w:r>
      <w:proofErr w:type="gramEnd"/>
      <w:r w:rsidRPr="004A1196">
        <w:rPr>
          <w:rFonts w:cstheme="minorHAnsi"/>
          <w:color w:val="0B2B43" w:themeColor="text2" w:themeShade="80"/>
        </w:rPr>
        <w:t xml:space="preserve"> recommendations to </w:t>
      </w:r>
      <w:r w:rsidRPr="004A1196">
        <w:rPr>
          <w:color w:val="0B2B43" w:themeColor="text2" w:themeShade="80"/>
        </w:rPr>
        <w:t>streamline and improve these programmes</w:t>
      </w:r>
      <w:r w:rsidRPr="004A1196">
        <w:rPr>
          <w:rFonts w:cstheme="minorHAnsi"/>
          <w:color w:val="0B2B43" w:themeColor="text2" w:themeShade="80"/>
        </w:rPr>
        <w:t>.</w:t>
      </w:r>
    </w:p>
    <w:p w:rsidR="002C6039" w:rsidRPr="004A1196" w:rsidRDefault="002C6039" w:rsidP="002C6039">
      <w:pPr>
        <w:rPr>
          <w:rFonts w:cstheme="minorHAnsi"/>
          <w:color w:val="0B2B43" w:themeColor="text2" w:themeShade="80"/>
        </w:rPr>
      </w:pPr>
      <w:r w:rsidRPr="004A1196">
        <w:rPr>
          <w:rFonts w:cstheme="minorHAnsi"/>
          <w:color w:val="0B2B43" w:themeColor="text2" w:themeShade="80"/>
        </w:rPr>
        <w:t xml:space="preserve">Chapter </w:t>
      </w:r>
      <w:r w:rsidR="00C31865" w:rsidRPr="004A1196">
        <w:rPr>
          <w:rFonts w:cstheme="minorHAnsi"/>
          <w:color w:val="0B2B43" w:themeColor="text2" w:themeShade="80"/>
        </w:rPr>
        <w:t>4</w:t>
      </w:r>
      <w:r w:rsidRPr="004A1196">
        <w:rPr>
          <w:rFonts w:cstheme="minorHAnsi"/>
          <w:color w:val="0B2B43" w:themeColor="text2" w:themeShade="80"/>
        </w:rPr>
        <w:t xml:space="preserve"> covers business-</w:t>
      </w:r>
      <w:r w:rsidR="00284CE0">
        <w:rPr>
          <w:rFonts w:cstheme="minorHAnsi"/>
          <w:color w:val="0B2B43" w:themeColor="text2" w:themeShade="80"/>
        </w:rPr>
        <w:t>focused</w:t>
      </w:r>
      <w:r w:rsidRPr="004A1196">
        <w:rPr>
          <w:rFonts w:cstheme="minorHAnsi"/>
          <w:color w:val="0B2B43" w:themeColor="text2" w:themeShade="80"/>
        </w:rPr>
        <w:t xml:space="preserve"> research collaboration programmes and the role of business placements in </w:t>
      </w:r>
      <w:proofErr w:type="spellStart"/>
      <w:r w:rsidR="0084113C">
        <w:rPr>
          <w:rFonts w:cstheme="minorHAnsi"/>
          <w:color w:val="0B2B43" w:themeColor="text2" w:themeShade="80"/>
        </w:rPr>
        <w:t>HDR</w:t>
      </w:r>
      <w:proofErr w:type="spellEnd"/>
      <w:r w:rsidR="0084113C">
        <w:rPr>
          <w:rFonts w:cstheme="minorHAnsi"/>
          <w:color w:val="0B2B43" w:themeColor="text2" w:themeShade="80"/>
        </w:rPr>
        <w:t xml:space="preserve"> </w:t>
      </w:r>
      <w:r w:rsidRPr="004A1196">
        <w:rPr>
          <w:rFonts w:cstheme="minorHAnsi"/>
          <w:color w:val="0B2B43" w:themeColor="text2" w:themeShade="80"/>
        </w:rPr>
        <w:t>training.</w:t>
      </w:r>
    </w:p>
    <w:p w:rsidR="002C6039" w:rsidRPr="004A1196" w:rsidRDefault="002C6039" w:rsidP="002C6039">
      <w:pPr>
        <w:rPr>
          <w:rFonts w:cstheme="minorHAnsi"/>
          <w:color w:val="0B2B43" w:themeColor="text2" w:themeShade="80"/>
        </w:rPr>
      </w:pPr>
      <w:r w:rsidRPr="004A1196">
        <w:rPr>
          <w:rFonts w:cstheme="minorHAnsi"/>
          <w:color w:val="0B2B43" w:themeColor="text2" w:themeShade="80"/>
        </w:rPr>
        <w:t xml:space="preserve">Chapter </w:t>
      </w:r>
      <w:r w:rsidR="00C31865" w:rsidRPr="004A1196">
        <w:rPr>
          <w:rFonts w:cstheme="minorHAnsi"/>
          <w:color w:val="0B2B43" w:themeColor="text2" w:themeShade="80"/>
        </w:rPr>
        <w:t>5</w:t>
      </w:r>
      <w:r w:rsidRPr="004A1196">
        <w:rPr>
          <w:rFonts w:cstheme="minorHAnsi"/>
          <w:color w:val="0B2B43" w:themeColor="text2" w:themeShade="80"/>
        </w:rPr>
        <w:t xml:space="preserve"> considers the current framework for the management of intellectual property and current approaches taken by universities. It proposes actions to help universities and business </w:t>
      </w:r>
      <w:proofErr w:type="gramStart"/>
      <w:r w:rsidRPr="004A1196">
        <w:rPr>
          <w:rFonts w:cstheme="minorHAnsi"/>
          <w:color w:val="0B2B43" w:themeColor="text2" w:themeShade="80"/>
        </w:rPr>
        <w:t>to fully harness</w:t>
      </w:r>
      <w:proofErr w:type="gramEnd"/>
      <w:r w:rsidRPr="004A1196">
        <w:rPr>
          <w:rFonts w:cstheme="minorHAnsi"/>
          <w:color w:val="0B2B43" w:themeColor="text2" w:themeShade="80"/>
        </w:rPr>
        <w:t xml:space="preserve"> outputs from publicly funded research.</w:t>
      </w:r>
    </w:p>
    <w:p w:rsidR="002C6039" w:rsidRPr="004A1196" w:rsidRDefault="002C6039" w:rsidP="002C6039">
      <w:pPr>
        <w:rPr>
          <w:rFonts w:cstheme="minorHAnsi"/>
          <w:color w:val="0B2B43" w:themeColor="text2" w:themeShade="80"/>
        </w:rPr>
      </w:pPr>
      <w:r w:rsidRPr="004A1196">
        <w:rPr>
          <w:rFonts w:cstheme="minorHAnsi"/>
          <w:color w:val="0B2B43" w:themeColor="text2" w:themeShade="80"/>
        </w:rPr>
        <w:t xml:space="preserve">Chapter </w:t>
      </w:r>
      <w:r w:rsidR="00C31865" w:rsidRPr="004A1196">
        <w:rPr>
          <w:rFonts w:cstheme="minorHAnsi"/>
          <w:color w:val="0B2B43" w:themeColor="text2" w:themeShade="80"/>
        </w:rPr>
        <w:t>6</w:t>
      </w:r>
      <w:r w:rsidRPr="004A1196">
        <w:rPr>
          <w:rFonts w:cstheme="minorHAnsi"/>
          <w:color w:val="0B2B43" w:themeColor="text2" w:themeShade="80"/>
        </w:rPr>
        <w:t xml:space="preserve"> addresses the performance of our research system and the assessment of impact and engagement as well as quality. It recommends that a new impact and engagement assessment framework be developed by an expert working group and suggests possible measures for inclusion. </w:t>
      </w:r>
    </w:p>
    <w:p w:rsidR="002C6039" w:rsidRPr="004A1196" w:rsidRDefault="002C6039" w:rsidP="002C6039">
      <w:pPr>
        <w:rPr>
          <w:rFonts w:cstheme="minorHAnsi"/>
          <w:color w:val="0B2B43" w:themeColor="text2" w:themeShade="80"/>
        </w:rPr>
      </w:pPr>
      <w:r w:rsidRPr="004A1196">
        <w:rPr>
          <w:rFonts w:cstheme="minorHAnsi"/>
          <w:color w:val="0B2B43" w:themeColor="text2" w:themeShade="80"/>
        </w:rPr>
        <w:t xml:space="preserve">Chapter </w:t>
      </w:r>
      <w:r w:rsidR="00C31865" w:rsidRPr="004A1196">
        <w:rPr>
          <w:rFonts w:cstheme="minorHAnsi"/>
          <w:color w:val="0B2B43" w:themeColor="text2" w:themeShade="80"/>
        </w:rPr>
        <w:t>7</w:t>
      </w:r>
      <w:r w:rsidRPr="004A1196">
        <w:rPr>
          <w:rFonts w:cstheme="minorHAnsi"/>
          <w:color w:val="0B2B43" w:themeColor="text2" w:themeShade="80"/>
        </w:rPr>
        <w:t xml:space="preserve"> recommends an approach to ensure effective stewardship of </w:t>
      </w:r>
      <w:proofErr w:type="gramStart"/>
      <w:r w:rsidRPr="004A1196">
        <w:rPr>
          <w:rFonts w:cstheme="minorHAnsi"/>
          <w:color w:val="0B2B43" w:themeColor="text2" w:themeShade="80"/>
        </w:rPr>
        <w:t>Australia’s</w:t>
      </w:r>
      <w:proofErr w:type="gramEnd"/>
      <w:r w:rsidRPr="004A1196">
        <w:rPr>
          <w:rFonts w:cstheme="minorHAnsi"/>
          <w:color w:val="0B2B43" w:themeColor="text2" w:themeShade="80"/>
        </w:rPr>
        <w:t xml:space="preserve"> publicly funded research system including the development of an annual health assessment of the system. </w:t>
      </w:r>
    </w:p>
    <w:p w:rsidR="002C6039" w:rsidRPr="004A1196" w:rsidRDefault="002C6039" w:rsidP="002C6039">
      <w:pPr>
        <w:rPr>
          <w:rFonts w:cstheme="minorHAnsi"/>
          <w:color w:val="0B2B43" w:themeColor="text2" w:themeShade="80"/>
        </w:rPr>
      </w:pPr>
      <w:r w:rsidRPr="004A1196">
        <w:rPr>
          <w:rFonts w:cstheme="minorHAnsi"/>
          <w:color w:val="0B2B43" w:themeColor="text2" w:themeShade="80"/>
        </w:rPr>
        <w:t xml:space="preserve">Chapter </w:t>
      </w:r>
      <w:r w:rsidR="00C31865" w:rsidRPr="004A1196">
        <w:rPr>
          <w:rFonts w:cstheme="minorHAnsi"/>
          <w:color w:val="0B2B43" w:themeColor="text2" w:themeShade="80"/>
        </w:rPr>
        <w:t>8</w:t>
      </w:r>
      <w:r w:rsidRPr="004A1196">
        <w:rPr>
          <w:rFonts w:cstheme="minorHAnsi"/>
          <w:color w:val="0B2B43" w:themeColor="text2" w:themeShade="80"/>
        </w:rPr>
        <w:t xml:space="preserve"> considers how Australia can ensure it can influence effective international research ranking systems. </w:t>
      </w:r>
    </w:p>
    <w:p w:rsidR="002C6039" w:rsidRPr="004A1196" w:rsidRDefault="002C6039" w:rsidP="002C6039">
      <w:pPr>
        <w:rPr>
          <w:color w:val="0B2B43" w:themeColor="text2" w:themeShade="80"/>
        </w:rPr>
      </w:pPr>
      <w:r w:rsidRPr="004A1196">
        <w:rPr>
          <w:rFonts w:cstheme="minorHAnsi"/>
          <w:color w:val="0B2B43" w:themeColor="text2" w:themeShade="80"/>
        </w:rPr>
        <w:t xml:space="preserve">Case studies of university-business collaboration </w:t>
      </w:r>
      <w:proofErr w:type="gramStart"/>
      <w:r w:rsidRPr="004A1196">
        <w:rPr>
          <w:rFonts w:cstheme="minorHAnsi"/>
          <w:color w:val="0B2B43" w:themeColor="text2" w:themeShade="80"/>
        </w:rPr>
        <w:t>are published</w:t>
      </w:r>
      <w:proofErr w:type="gramEnd"/>
      <w:r w:rsidRPr="004A1196">
        <w:rPr>
          <w:rFonts w:cstheme="minorHAnsi"/>
          <w:color w:val="0B2B43" w:themeColor="text2" w:themeShade="80"/>
        </w:rPr>
        <w:t xml:space="preserve"> as a separate volume to this report.</w:t>
      </w:r>
    </w:p>
    <w:p w:rsidR="002C6039" w:rsidRPr="004A1196" w:rsidRDefault="002C6039" w:rsidP="002C6039">
      <w:pPr>
        <w:rPr>
          <w:rFonts w:cstheme="minorHAnsi"/>
          <w:color w:val="0B2B43" w:themeColor="text2" w:themeShade="80"/>
        </w:rPr>
      </w:pPr>
    </w:p>
    <w:p w:rsidR="00B027E7" w:rsidRDefault="00B027E7">
      <w:pPr>
        <w:spacing w:before="0" w:after="200" w:line="276" w:lineRule="auto"/>
        <w:rPr>
          <w:rFonts w:cstheme="minorHAnsi"/>
          <w:color w:val="0B2B43" w:themeColor="text2" w:themeShade="80"/>
        </w:rPr>
      </w:pPr>
      <w:r>
        <w:rPr>
          <w:rFonts w:cstheme="minorHAnsi"/>
          <w:color w:val="0B2B43" w:themeColor="text2" w:themeShade="80"/>
        </w:rPr>
        <w:br w:type="page"/>
      </w:r>
    </w:p>
    <w:p w:rsidR="002C6039" w:rsidRPr="004A1196" w:rsidRDefault="002C6039" w:rsidP="004018A9">
      <w:pPr>
        <w:pStyle w:val="RIHeading1"/>
        <w:numPr>
          <w:ilvl w:val="0"/>
          <w:numId w:val="62"/>
        </w:numPr>
        <w:rPr>
          <w:color w:val="0B2B43" w:themeColor="text2" w:themeShade="80"/>
          <w:lang w:eastAsia="en-GB"/>
        </w:rPr>
      </w:pPr>
      <w:bookmarkStart w:id="64" w:name="_Toc436228985"/>
      <w:bookmarkStart w:id="65" w:name="_Toc436392712"/>
      <w:bookmarkStart w:id="66" w:name="_Toc436563383"/>
      <w:bookmarkStart w:id="67" w:name="_Toc436574572"/>
      <w:bookmarkStart w:id="68" w:name="_Toc436579522"/>
      <w:bookmarkStart w:id="69" w:name="_Toc436579540"/>
      <w:bookmarkStart w:id="70" w:name="_Toc436651810"/>
      <w:bookmarkStart w:id="71" w:name="_Toc436659618"/>
      <w:bookmarkStart w:id="72" w:name="_Toc436660116"/>
      <w:bookmarkStart w:id="73" w:name="_Toc436663720"/>
      <w:bookmarkStart w:id="74" w:name="_Toc436664110"/>
      <w:bookmarkStart w:id="75" w:name="_Toc436664671"/>
      <w:bookmarkStart w:id="76" w:name="_Toc436664813"/>
      <w:bookmarkStart w:id="77" w:name="_Toc436665028"/>
      <w:bookmarkStart w:id="78" w:name="_Toc436666145"/>
      <w:bookmarkStart w:id="79" w:name="_Toc436666852"/>
      <w:bookmarkStart w:id="80" w:name="_Toc436666970"/>
      <w:bookmarkStart w:id="81" w:name="_Toc440378833"/>
      <w:r w:rsidRPr="004A1196">
        <w:rPr>
          <w:color w:val="0B2B43" w:themeColor="text2" w:themeShade="80"/>
          <w:lang w:eastAsia="en-GB"/>
        </w:rPr>
        <w:t>Australian Government funding for university research</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2C6039" w:rsidRPr="004A1196" w:rsidRDefault="002C6039" w:rsidP="002C6039">
      <w:pPr>
        <w:rPr>
          <w:color w:val="0B2B43" w:themeColor="text2" w:themeShade="80"/>
        </w:rPr>
      </w:pPr>
      <w:r w:rsidRPr="004A1196">
        <w:rPr>
          <w:color w:val="0B2B43" w:themeColor="text2" w:themeShade="80"/>
        </w:rPr>
        <w:t xml:space="preserve">The review </w:t>
      </w:r>
      <w:proofErr w:type="gramStart"/>
      <w:r w:rsidRPr="004A1196">
        <w:rPr>
          <w:color w:val="0B2B43" w:themeColor="text2" w:themeShade="80"/>
        </w:rPr>
        <w:t>has been asked</w:t>
      </w:r>
      <w:proofErr w:type="gramEnd"/>
      <w:r w:rsidRPr="004A1196">
        <w:rPr>
          <w:color w:val="0B2B43" w:themeColor="text2" w:themeShade="80"/>
        </w:rPr>
        <w:t xml:space="preserve"> to:</w:t>
      </w:r>
    </w:p>
    <w:p w:rsidR="002C6039" w:rsidRPr="004A1196" w:rsidRDefault="002C6039" w:rsidP="002C6039">
      <w:pPr>
        <w:ind w:left="720"/>
        <w:rPr>
          <w:i/>
          <w:color w:val="0B2B43" w:themeColor="text2" w:themeShade="80"/>
          <w:sz w:val="22"/>
        </w:rPr>
      </w:pPr>
      <w:r w:rsidRPr="004A1196">
        <w:rPr>
          <w:color w:val="0B2B43" w:themeColor="text2" w:themeShade="80"/>
          <w:sz w:val="22"/>
        </w:rPr>
        <w:t>identify opportunities for the reform of research policy and funding arrangements within the Education and Training portfolio to deliver on the Government’s Agenda for Action under the Boosting the Commercial Returns from Research strategy</w:t>
      </w:r>
      <w:r w:rsidRPr="004A1196">
        <w:rPr>
          <w:i/>
          <w:color w:val="0B2B43" w:themeColor="text2" w:themeShade="80"/>
          <w:sz w:val="22"/>
        </w:rPr>
        <w:t>.</w:t>
      </w:r>
    </w:p>
    <w:p w:rsidR="002C6039" w:rsidRPr="004A1196" w:rsidRDefault="002C6039" w:rsidP="00603434">
      <w:pPr>
        <w:contextualSpacing/>
        <w:rPr>
          <w:color w:val="0B2B43" w:themeColor="text2" w:themeShade="80"/>
        </w:rPr>
      </w:pPr>
      <w:r w:rsidRPr="004A1196">
        <w:rPr>
          <w:color w:val="0B2B43" w:themeColor="text2" w:themeShade="80"/>
        </w:rPr>
        <w:t xml:space="preserve">Individual chapters of this report consider aspects of the Australian Government’s research policy and funding arrangements. This chapter sets out the broad context by providing an overview of the funding arrangements for university research, with specific reference to the Education and Training portfolio funding programmes. </w:t>
      </w:r>
    </w:p>
    <w:p w:rsidR="002C6039" w:rsidRPr="004A1196" w:rsidRDefault="002C6039" w:rsidP="00603434">
      <w:pPr>
        <w:pStyle w:val="RIHeading2"/>
        <w:spacing w:before="240"/>
        <w:rPr>
          <w:color w:val="0B2B43" w:themeColor="text2" w:themeShade="80"/>
        </w:rPr>
      </w:pPr>
      <w:bookmarkStart w:id="82" w:name="_Toc436392713"/>
      <w:bookmarkStart w:id="83" w:name="_Toc436651811"/>
      <w:bookmarkStart w:id="84" w:name="_Toc436659619"/>
      <w:bookmarkStart w:id="85" w:name="_Toc436660117"/>
      <w:r w:rsidRPr="004A1196">
        <w:rPr>
          <w:color w:val="0B2B43" w:themeColor="text2" w:themeShade="80"/>
        </w:rPr>
        <w:t>Australia’s gross expenditure on research and development (R&amp;D)</w:t>
      </w:r>
      <w:bookmarkEnd w:id="82"/>
      <w:bookmarkEnd w:id="83"/>
      <w:bookmarkEnd w:id="84"/>
      <w:bookmarkEnd w:id="85"/>
    </w:p>
    <w:p w:rsidR="002C6039" w:rsidRPr="004A1196" w:rsidRDefault="002C6039" w:rsidP="00603434">
      <w:pPr>
        <w:spacing w:after="0"/>
        <w:contextualSpacing/>
        <w:rPr>
          <w:color w:val="0B2B43" w:themeColor="text2" w:themeShade="80"/>
        </w:rPr>
      </w:pPr>
      <w:r w:rsidRPr="004A1196">
        <w:rPr>
          <w:color w:val="0B2B43" w:themeColor="text2" w:themeShade="80"/>
        </w:rPr>
        <w:t>Australia’s gross expenditure on R&amp;D by component over the period 200</w:t>
      </w:r>
      <w:r w:rsidR="00D07A80" w:rsidRPr="004A1196">
        <w:rPr>
          <w:color w:val="0B2B43" w:themeColor="text2" w:themeShade="80"/>
        </w:rPr>
        <w:t>4</w:t>
      </w:r>
      <w:r w:rsidRPr="004A1196">
        <w:rPr>
          <w:color w:val="0B2B43" w:themeColor="text2" w:themeShade="80"/>
        </w:rPr>
        <w:t>-0</w:t>
      </w:r>
      <w:r w:rsidR="00D07A80" w:rsidRPr="004A1196">
        <w:rPr>
          <w:color w:val="0B2B43" w:themeColor="text2" w:themeShade="80"/>
        </w:rPr>
        <w:t>5</w:t>
      </w:r>
      <w:r w:rsidRPr="004A1196">
        <w:rPr>
          <w:color w:val="0B2B43" w:themeColor="text2" w:themeShade="80"/>
        </w:rPr>
        <w:t xml:space="preserve"> to the latest year for which data is available, 201</w:t>
      </w:r>
      <w:r w:rsidR="00752EC9" w:rsidRPr="004A1196">
        <w:rPr>
          <w:color w:val="0B2B43" w:themeColor="text2" w:themeShade="80"/>
        </w:rPr>
        <w:t>3</w:t>
      </w:r>
      <w:r w:rsidRPr="004A1196">
        <w:rPr>
          <w:color w:val="0B2B43" w:themeColor="text2" w:themeShade="80"/>
        </w:rPr>
        <w:t>-1</w:t>
      </w:r>
      <w:r w:rsidR="00752EC9" w:rsidRPr="004A1196">
        <w:rPr>
          <w:color w:val="0B2B43" w:themeColor="text2" w:themeShade="80"/>
        </w:rPr>
        <w:t>4</w:t>
      </w:r>
      <w:r w:rsidRPr="004A1196">
        <w:rPr>
          <w:color w:val="0B2B43" w:themeColor="text2" w:themeShade="80"/>
        </w:rPr>
        <w:t xml:space="preserve">, </w:t>
      </w:r>
      <w:proofErr w:type="gramStart"/>
      <w:r w:rsidRPr="004A1196">
        <w:rPr>
          <w:color w:val="0B2B43" w:themeColor="text2" w:themeShade="80"/>
        </w:rPr>
        <w:t>is shown</w:t>
      </w:r>
      <w:proofErr w:type="gramEnd"/>
      <w:r w:rsidRPr="004A1196">
        <w:rPr>
          <w:color w:val="0B2B43" w:themeColor="text2" w:themeShade="80"/>
        </w:rPr>
        <w:t xml:space="preserve"> in </w:t>
      </w:r>
      <w:r w:rsidR="007B6301" w:rsidRPr="004A1196">
        <w:rPr>
          <w:color w:val="0B2B43" w:themeColor="text2" w:themeShade="80"/>
        </w:rPr>
        <w:t>Chart</w:t>
      </w:r>
      <w:r w:rsidRPr="004A1196">
        <w:rPr>
          <w:color w:val="0B2B43" w:themeColor="text2" w:themeShade="80"/>
        </w:rPr>
        <w:t xml:space="preserve"> 1.</w:t>
      </w:r>
    </w:p>
    <w:p w:rsidR="002C6039" w:rsidRDefault="006B5A2E" w:rsidP="006B5A2E">
      <w:pPr>
        <w:pStyle w:val="Heading3"/>
        <w:spacing w:after="120"/>
        <w:rPr>
          <w:iCs/>
        </w:rPr>
      </w:pPr>
      <w:r w:rsidRPr="0027032E">
        <w:rPr>
          <w:noProof/>
          <w:color w:val="0B2B43" w:themeColor="text2" w:themeShade="80"/>
          <w:lang w:eastAsia="en-AU"/>
        </w:rPr>
        <w:drawing>
          <wp:anchor distT="0" distB="0" distL="114300" distR="114300" simplePos="0" relativeHeight="251659268" behindDoc="0" locked="0" layoutInCell="1" allowOverlap="1" wp14:anchorId="656070AE" wp14:editId="3FCFBCD2">
            <wp:simplePos x="0" y="0"/>
            <wp:positionH relativeFrom="column">
              <wp:posOffset>0</wp:posOffset>
            </wp:positionH>
            <wp:positionV relativeFrom="paragraph">
              <wp:posOffset>405320</wp:posOffset>
            </wp:positionV>
            <wp:extent cx="5761355" cy="3310255"/>
            <wp:effectExtent l="0" t="0" r="0" b="4445"/>
            <wp:wrapNone/>
            <wp:docPr id="21" name="Picture 2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3310255"/>
                    </a:xfrm>
                    <a:prstGeom prst="rect">
                      <a:avLst/>
                    </a:prstGeom>
                    <a:solidFill>
                      <a:schemeClr val="bg2"/>
                    </a:solidFill>
                  </pic:spPr>
                </pic:pic>
              </a:graphicData>
            </a:graphic>
            <wp14:sizeRelH relativeFrom="page">
              <wp14:pctWidth>0</wp14:pctWidth>
            </wp14:sizeRelH>
            <wp14:sizeRelV relativeFrom="page">
              <wp14:pctHeight>0</wp14:pctHeight>
            </wp14:sizeRelV>
          </wp:anchor>
        </w:drawing>
      </w:r>
      <w:proofErr w:type="gramStart"/>
      <w:r w:rsidR="007B6301" w:rsidRPr="00C6639A">
        <w:rPr>
          <w:b/>
          <w:color w:val="0B2B43" w:themeColor="text2" w:themeShade="80"/>
        </w:rPr>
        <w:t>Chart</w:t>
      </w:r>
      <w:r w:rsidR="002C6039" w:rsidRPr="00C6639A">
        <w:rPr>
          <w:b/>
          <w:color w:val="0B2B43" w:themeColor="text2" w:themeShade="80"/>
        </w:rPr>
        <w:t xml:space="preserve"> </w:t>
      </w:r>
      <w:r w:rsidR="007F16CF" w:rsidRPr="00C6639A">
        <w:rPr>
          <w:b/>
          <w:color w:val="0B2B43" w:themeColor="text2" w:themeShade="80"/>
        </w:rPr>
        <w:fldChar w:fldCharType="begin"/>
      </w:r>
      <w:r w:rsidR="007F16CF" w:rsidRPr="00C6639A">
        <w:rPr>
          <w:b/>
          <w:color w:val="0B2B43" w:themeColor="text2" w:themeShade="80"/>
        </w:rPr>
        <w:instrText xml:space="preserve"> SEQ Figure \* ARABIC </w:instrText>
      </w:r>
      <w:r w:rsidR="007F16CF" w:rsidRPr="00C6639A">
        <w:rPr>
          <w:b/>
          <w:color w:val="0B2B43" w:themeColor="text2" w:themeShade="80"/>
        </w:rPr>
        <w:fldChar w:fldCharType="separate"/>
      </w:r>
      <w:r w:rsidR="00E05D3F" w:rsidRPr="00C6639A">
        <w:rPr>
          <w:b/>
          <w:noProof/>
          <w:color w:val="0B2B43" w:themeColor="text2" w:themeShade="80"/>
        </w:rPr>
        <w:t>1</w:t>
      </w:r>
      <w:r w:rsidR="007F16CF" w:rsidRPr="00C6639A">
        <w:rPr>
          <w:b/>
          <w:color w:val="0B2B43" w:themeColor="text2" w:themeShade="80"/>
        </w:rPr>
        <w:fldChar w:fldCharType="end"/>
      </w:r>
      <w:r w:rsidR="002C6039" w:rsidRPr="00C6639A">
        <w:rPr>
          <w:b/>
          <w:color w:val="0B2B43" w:themeColor="text2" w:themeShade="80"/>
        </w:rPr>
        <w:t>.</w:t>
      </w:r>
      <w:proofErr w:type="gramEnd"/>
      <w:r w:rsidR="002C6039" w:rsidRPr="00C6639A">
        <w:rPr>
          <w:b/>
          <w:color w:val="0B2B43" w:themeColor="text2" w:themeShade="80"/>
        </w:rPr>
        <w:t xml:space="preserve"> Expenditure on R&amp;D by sector</w:t>
      </w:r>
      <w:r w:rsidR="00D07A80" w:rsidRPr="00C6639A">
        <w:rPr>
          <w:color w:val="0B2B43" w:themeColor="text2" w:themeShade="80"/>
          <w:sz w:val="28"/>
        </w:rPr>
        <w:t xml:space="preserve"> (</w:t>
      </w:r>
      <w:r w:rsidR="00D07A80" w:rsidRPr="00C6639A">
        <w:rPr>
          <w:iCs/>
          <w:color w:val="0B2B43" w:themeColor="text2" w:themeShade="80"/>
        </w:rPr>
        <w:t>constant prices</w:t>
      </w:r>
      <w:r w:rsidR="005E4550" w:rsidRPr="00C6639A">
        <w:rPr>
          <w:iCs/>
          <w:color w:val="0B2B43" w:themeColor="text2" w:themeShade="80"/>
        </w:rPr>
        <w:t xml:space="preserve"> $ million</w:t>
      </w:r>
      <w:r w:rsidR="00D07A80" w:rsidRPr="00C6639A">
        <w:rPr>
          <w:iCs/>
          <w:color w:val="0B2B43" w:themeColor="text2" w:themeShade="80"/>
        </w:rPr>
        <w:t>)*</w:t>
      </w:r>
    </w:p>
    <w:tbl>
      <w:tblPr>
        <w:tblStyle w:val="TableGrid"/>
        <w:tblW w:w="0" w:type="auto"/>
        <w:tblInd w:w="567" w:type="dxa"/>
        <w:tblLook w:val="04A0" w:firstRow="1" w:lastRow="0" w:firstColumn="1" w:lastColumn="0" w:noHBand="0" w:noVBand="1"/>
      </w:tblPr>
      <w:tblGrid>
        <w:gridCol w:w="1624"/>
        <w:gridCol w:w="1036"/>
        <w:gridCol w:w="1134"/>
        <w:gridCol w:w="1134"/>
        <w:gridCol w:w="1134"/>
        <w:gridCol w:w="1134"/>
      </w:tblGrid>
      <w:tr w:rsidR="00271582" w:rsidRPr="00271582" w:rsidTr="006B5A2E">
        <w:trPr>
          <w:trHeight w:val="300"/>
          <w:tblHeader/>
        </w:trPr>
        <w:tc>
          <w:tcPr>
            <w:tcW w:w="1624" w:type="dxa"/>
            <w:noWrap/>
            <w:hideMark/>
          </w:tcPr>
          <w:p w:rsidR="00271582" w:rsidRPr="00271582" w:rsidRDefault="00271582" w:rsidP="00271582">
            <w:r w:rsidRPr="00271582">
              <w:t>Sector</w:t>
            </w:r>
          </w:p>
        </w:tc>
        <w:tc>
          <w:tcPr>
            <w:tcW w:w="1036" w:type="dxa"/>
            <w:hideMark/>
          </w:tcPr>
          <w:p w:rsidR="00271582" w:rsidRPr="00271582" w:rsidRDefault="00271582" w:rsidP="00271582">
            <w:pPr>
              <w:rPr>
                <w:b/>
                <w:bCs/>
              </w:rPr>
            </w:pPr>
            <w:r w:rsidRPr="00271582">
              <w:rPr>
                <w:b/>
                <w:bCs/>
              </w:rPr>
              <w:t xml:space="preserve">2004-05 </w:t>
            </w:r>
          </w:p>
        </w:tc>
        <w:tc>
          <w:tcPr>
            <w:tcW w:w="1134" w:type="dxa"/>
            <w:hideMark/>
          </w:tcPr>
          <w:p w:rsidR="00271582" w:rsidRPr="00271582" w:rsidRDefault="00271582" w:rsidP="00271582">
            <w:pPr>
              <w:rPr>
                <w:b/>
                <w:bCs/>
              </w:rPr>
            </w:pPr>
            <w:r w:rsidRPr="00271582">
              <w:rPr>
                <w:b/>
                <w:bCs/>
              </w:rPr>
              <w:t xml:space="preserve">2006-07 </w:t>
            </w:r>
          </w:p>
        </w:tc>
        <w:tc>
          <w:tcPr>
            <w:tcW w:w="1134" w:type="dxa"/>
            <w:hideMark/>
          </w:tcPr>
          <w:p w:rsidR="00271582" w:rsidRPr="00271582" w:rsidRDefault="00271582" w:rsidP="00271582">
            <w:pPr>
              <w:rPr>
                <w:b/>
                <w:bCs/>
              </w:rPr>
            </w:pPr>
            <w:r w:rsidRPr="00271582">
              <w:rPr>
                <w:b/>
                <w:bCs/>
              </w:rPr>
              <w:t xml:space="preserve">2008-09 </w:t>
            </w:r>
          </w:p>
        </w:tc>
        <w:tc>
          <w:tcPr>
            <w:tcW w:w="1134" w:type="dxa"/>
            <w:hideMark/>
          </w:tcPr>
          <w:p w:rsidR="00271582" w:rsidRPr="00271582" w:rsidRDefault="00271582" w:rsidP="00271582">
            <w:pPr>
              <w:rPr>
                <w:b/>
                <w:bCs/>
              </w:rPr>
            </w:pPr>
            <w:r w:rsidRPr="00271582">
              <w:rPr>
                <w:b/>
                <w:bCs/>
              </w:rPr>
              <w:t xml:space="preserve">2010-11 </w:t>
            </w:r>
          </w:p>
        </w:tc>
        <w:tc>
          <w:tcPr>
            <w:tcW w:w="1134" w:type="dxa"/>
            <w:hideMark/>
          </w:tcPr>
          <w:p w:rsidR="00271582" w:rsidRPr="00271582" w:rsidRDefault="00271582" w:rsidP="00271582">
            <w:pPr>
              <w:rPr>
                <w:b/>
                <w:bCs/>
              </w:rPr>
            </w:pPr>
            <w:r w:rsidRPr="00271582">
              <w:rPr>
                <w:b/>
                <w:bCs/>
              </w:rPr>
              <w:t xml:space="preserve">2013-14 </w:t>
            </w:r>
          </w:p>
        </w:tc>
      </w:tr>
      <w:tr w:rsidR="00271582" w:rsidRPr="00271582" w:rsidTr="006B5A2E">
        <w:trPr>
          <w:trHeight w:val="300"/>
        </w:trPr>
        <w:tc>
          <w:tcPr>
            <w:tcW w:w="1624" w:type="dxa"/>
            <w:noWrap/>
            <w:hideMark/>
          </w:tcPr>
          <w:p w:rsidR="00271582" w:rsidRPr="00271582" w:rsidRDefault="00271582">
            <w:proofErr w:type="spellStart"/>
            <w:r w:rsidRPr="00271582">
              <w:t>BERD</w:t>
            </w:r>
            <w:proofErr w:type="spellEnd"/>
          </w:p>
        </w:tc>
        <w:tc>
          <w:tcPr>
            <w:tcW w:w="1036" w:type="dxa"/>
            <w:noWrap/>
            <w:hideMark/>
          </w:tcPr>
          <w:p w:rsidR="00271582" w:rsidRPr="00271582" w:rsidRDefault="00271582" w:rsidP="00271582">
            <w:r w:rsidRPr="00271582">
              <w:t>8,676</w:t>
            </w:r>
          </w:p>
        </w:tc>
        <w:tc>
          <w:tcPr>
            <w:tcW w:w="1134" w:type="dxa"/>
            <w:noWrap/>
            <w:hideMark/>
          </w:tcPr>
          <w:p w:rsidR="00271582" w:rsidRPr="00271582" w:rsidRDefault="00271582" w:rsidP="00271582">
            <w:r w:rsidRPr="00271582">
              <w:t>11,904</w:t>
            </w:r>
          </w:p>
        </w:tc>
        <w:tc>
          <w:tcPr>
            <w:tcW w:w="1134" w:type="dxa"/>
            <w:noWrap/>
            <w:hideMark/>
          </w:tcPr>
          <w:p w:rsidR="00271582" w:rsidRPr="00271582" w:rsidRDefault="00271582" w:rsidP="00271582">
            <w:r w:rsidRPr="00271582">
              <w:t>15,374</w:t>
            </w:r>
          </w:p>
        </w:tc>
        <w:tc>
          <w:tcPr>
            <w:tcW w:w="1134" w:type="dxa"/>
            <w:noWrap/>
            <w:hideMark/>
          </w:tcPr>
          <w:p w:rsidR="00271582" w:rsidRPr="00271582" w:rsidRDefault="00271582" w:rsidP="00271582">
            <w:r w:rsidRPr="00271582">
              <w:t>14,994</w:t>
            </w:r>
          </w:p>
        </w:tc>
        <w:tc>
          <w:tcPr>
            <w:tcW w:w="1134" w:type="dxa"/>
            <w:noWrap/>
            <w:hideMark/>
          </w:tcPr>
          <w:p w:rsidR="00271582" w:rsidRPr="00271582" w:rsidRDefault="00271582" w:rsidP="00271582">
            <w:r w:rsidRPr="00271582">
              <w:t>14,702</w:t>
            </w:r>
          </w:p>
        </w:tc>
      </w:tr>
      <w:tr w:rsidR="00271582" w:rsidRPr="00271582" w:rsidTr="006B5A2E">
        <w:trPr>
          <w:trHeight w:val="300"/>
        </w:trPr>
        <w:tc>
          <w:tcPr>
            <w:tcW w:w="1624" w:type="dxa"/>
            <w:noWrap/>
            <w:hideMark/>
          </w:tcPr>
          <w:p w:rsidR="00271582" w:rsidRPr="00271582" w:rsidRDefault="00271582">
            <w:proofErr w:type="spellStart"/>
            <w:r w:rsidRPr="00271582">
              <w:t>GOVERD</w:t>
            </w:r>
            <w:proofErr w:type="spellEnd"/>
          </w:p>
        </w:tc>
        <w:tc>
          <w:tcPr>
            <w:tcW w:w="1036" w:type="dxa"/>
            <w:noWrap/>
            <w:hideMark/>
          </w:tcPr>
          <w:p w:rsidR="00271582" w:rsidRPr="00271582" w:rsidRDefault="00271582" w:rsidP="00271582">
            <w:r w:rsidRPr="00271582">
              <w:t>2,486</w:t>
            </w:r>
          </w:p>
        </w:tc>
        <w:tc>
          <w:tcPr>
            <w:tcW w:w="1134" w:type="dxa"/>
            <w:noWrap/>
            <w:hideMark/>
          </w:tcPr>
          <w:p w:rsidR="00271582" w:rsidRPr="00271582" w:rsidRDefault="00271582" w:rsidP="00271582">
            <w:r w:rsidRPr="00271582">
              <w:t>2,915</w:t>
            </w:r>
          </w:p>
        </w:tc>
        <w:tc>
          <w:tcPr>
            <w:tcW w:w="1134" w:type="dxa"/>
            <w:noWrap/>
            <w:hideMark/>
          </w:tcPr>
          <w:p w:rsidR="00271582" w:rsidRPr="00271582" w:rsidRDefault="00271582" w:rsidP="00271582">
            <w:r w:rsidRPr="00271582">
              <w:t>3,041</w:t>
            </w:r>
          </w:p>
        </w:tc>
        <w:tc>
          <w:tcPr>
            <w:tcW w:w="1134" w:type="dxa"/>
            <w:noWrap/>
            <w:hideMark/>
          </w:tcPr>
          <w:p w:rsidR="00271582" w:rsidRPr="00271582" w:rsidRDefault="00271582" w:rsidP="00271582">
            <w:r w:rsidRPr="00271582">
              <w:t>3,192</w:t>
            </w:r>
          </w:p>
        </w:tc>
        <w:tc>
          <w:tcPr>
            <w:tcW w:w="1134" w:type="dxa"/>
            <w:noWrap/>
            <w:hideMark/>
          </w:tcPr>
          <w:p w:rsidR="00271582" w:rsidRPr="00271582" w:rsidRDefault="00271582" w:rsidP="00271582">
            <w:r w:rsidRPr="00271582">
              <w:t>2,926</w:t>
            </w:r>
          </w:p>
        </w:tc>
      </w:tr>
      <w:tr w:rsidR="00271582" w:rsidRPr="00271582" w:rsidTr="006B5A2E">
        <w:trPr>
          <w:trHeight w:val="300"/>
        </w:trPr>
        <w:tc>
          <w:tcPr>
            <w:tcW w:w="1624" w:type="dxa"/>
            <w:noWrap/>
            <w:hideMark/>
          </w:tcPr>
          <w:p w:rsidR="00271582" w:rsidRPr="00271582" w:rsidRDefault="00271582">
            <w:r w:rsidRPr="00271582">
              <w:t>HERD</w:t>
            </w:r>
          </w:p>
        </w:tc>
        <w:tc>
          <w:tcPr>
            <w:tcW w:w="1036" w:type="dxa"/>
            <w:noWrap/>
            <w:hideMark/>
          </w:tcPr>
          <w:p w:rsidR="00271582" w:rsidRPr="00271582" w:rsidRDefault="00271582" w:rsidP="00271582">
            <w:r w:rsidRPr="00271582">
              <w:t>4,327</w:t>
            </w:r>
          </w:p>
        </w:tc>
        <w:tc>
          <w:tcPr>
            <w:tcW w:w="1134" w:type="dxa"/>
            <w:noWrap/>
            <w:hideMark/>
          </w:tcPr>
          <w:p w:rsidR="00271582" w:rsidRPr="00271582" w:rsidRDefault="00271582" w:rsidP="00271582">
            <w:r w:rsidRPr="00271582">
              <w:t>5,118</w:t>
            </w:r>
          </w:p>
        </w:tc>
        <w:tc>
          <w:tcPr>
            <w:tcW w:w="1134" w:type="dxa"/>
            <w:noWrap/>
            <w:hideMark/>
          </w:tcPr>
          <w:p w:rsidR="00271582" w:rsidRPr="00271582" w:rsidRDefault="00271582" w:rsidP="00271582">
            <w:r w:rsidRPr="00271582">
              <w:t>6,085</w:t>
            </w:r>
          </w:p>
        </w:tc>
        <w:tc>
          <w:tcPr>
            <w:tcW w:w="1134" w:type="dxa"/>
            <w:noWrap/>
            <w:hideMark/>
          </w:tcPr>
          <w:p w:rsidR="00271582" w:rsidRPr="00271582" w:rsidRDefault="00271582" w:rsidP="00271582">
            <w:r w:rsidRPr="00271582">
              <w:t>6,795</w:t>
            </w:r>
          </w:p>
        </w:tc>
        <w:tc>
          <w:tcPr>
            <w:tcW w:w="1134" w:type="dxa"/>
            <w:noWrap/>
            <w:hideMark/>
          </w:tcPr>
          <w:p w:rsidR="00271582" w:rsidRPr="00271582" w:rsidRDefault="00271582" w:rsidP="00271582">
            <w:r w:rsidRPr="00271582">
              <w:t>7,737</w:t>
            </w:r>
          </w:p>
        </w:tc>
      </w:tr>
      <w:tr w:rsidR="00271582" w:rsidRPr="00271582" w:rsidTr="006B5A2E">
        <w:trPr>
          <w:trHeight w:val="300"/>
        </w:trPr>
        <w:tc>
          <w:tcPr>
            <w:tcW w:w="1624" w:type="dxa"/>
            <w:noWrap/>
            <w:hideMark/>
          </w:tcPr>
          <w:p w:rsidR="00271582" w:rsidRPr="00271582" w:rsidRDefault="00271582">
            <w:r w:rsidRPr="00271582">
              <w:t xml:space="preserve">Private non-profit </w:t>
            </w:r>
          </w:p>
        </w:tc>
        <w:tc>
          <w:tcPr>
            <w:tcW w:w="1036" w:type="dxa"/>
            <w:noWrap/>
            <w:hideMark/>
          </w:tcPr>
          <w:p w:rsidR="00271582" w:rsidRPr="00271582" w:rsidRDefault="00271582" w:rsidP="00271582">
            <w:r w:rsidRPr="00271582">
              <w:t>479</w:t>
            </w:r>
          </w:p>
        </w:tc>
        <w:tc>
          <w:tcPr>
            <w:tcW w:w="1134" w:type="dxa"/>
            <w:noWrap/>
            <w:hideMark/>
          </w:tcPr>
          <w:p w:rsidR="00271582" w:rsidRPr="00271582" w:rsidRDefault="00271582" w:rsidP="00271582">
            <w:r w:rsidRPr="00271582">
              <w:t>574</w:t>
            </w:r>
          </w:p>
        </w:tc>
        <w:tc>
          <w:tcPr>
            <w:tcW w:w="1134" w:type="dxa"/>
            <w:noWrap/>
            <w:hideMark/>
          </w:tcPr>
          <w:p w:rsidR="00271582" w:rsidRPr="00271582" w:rsidRDefault="00271582" w:rsidP="00271582">
            <w:r w:rsidRPr="00271582">
              <w:t>662</w:t>
            </w:r>
          </w:p>
        </w:tc>
        <w:tc>
          <w:tcPr>
            <w:tcW w:w="1134" w:type="dxa"/>
            <w:noWrap/>
            <w:hideMark/>
          </w:tcPr>
          <w:p w:rsidR="00271582" w:rsidRPr="00271582" w:rsidRDefault="00271582" w:rsidP="00271582">
            <w:r w:rsidRPr="00271582">
              <w:t>761</w:t>
            </w:r>
          </w:p>
        </w:tc>
        <w:tc>
          <w:tcPr>
            <w:tcW w:w="1134" w:type="dxa"/>
            <w:noWrap/>
            <w:hideMark/>
          </w:tcPr>
          <w:p w:rsidR="00271582" w:rsidRPr="00271582" w:rsidRDefault="00271582" w:rsidP="00271582">
            <w:r w:rsidRPr="00271582">
              <w:t>743</w:t>
            </w:r>
          </w:p>
        </w:tc>
      </w:tr>
      <w:tr w:rsidR="00271582" w:rsidRPr="00271582" w:rsidTr="006B5A2E">
        <w:trPr>
          <w:trHeight w:val="300"/>
        </w:trPr>
        <w:tc>
          <w:tcPr>
            <w:tcW w:w="1624" w:type="dxa"/>
            <w:noWrap/>
            <w:hideMark/>
          </w:tcPr>
          <w:p w:rsidR="00271582" w:rsidRPr="00271582" w:rsidRDefault="00271582">
            <w:proofErr w:type="spellStart"/>
            <w:r w:rsidRPr="00271582">
              <w:t>GERD</w:t>
            </w:r>
            <w:proofErr w:type="spellEnd"/>
          </w:p>
        </w:tc>
        <w:tc>
          <w:tcPr>
            <w:tcW w:w="1036" w:type="dxa"/>
            <w:noWrap/>
            <w:hideMark/>
          </w:tcPr>
          <w:p w:rsidR="00271582" w:rsidRPr="00271582" w:rsidRDefault="00271582" w:rsidP="00271582">
            <w:r w:rsidRPr="00271582">
              <w:t>15,969</w:t>
            </w:r>
          </w:p>
        </w:tc>
        <w:tc>
          <w:tcPr>
            <w:tcW w:w="1134" w:type="dxa"/>
            <w:noWrap/>
            <w:hideMark/>
          </w:tcPr>
          <w:p w:rsidR="00271582" w:rsidRPr="00271582" w:rsidRDefault="00271582" w:rsidP="00271582">
            <w:r w:rsidRPr="00271582">
              <w:t>20,511</w:t>
            </w:r>
          </w:p>
        </w:tc>
        <w:tc>
          <w:tcPr>
            <w:tcW w:w="1134" w:type="dxa"/>
            <w:noWrap/>
            <w:hideMark/>
          </w:tcPr>
          <w:p w:rsidR="00271582" w:rsidRPr="00271582" w:rsidRDefault="00271582" w:rsidP="00271582">
            <w:r w:rsidRPr="00271582">
              <w:t>25,161</w:t>
            </w:r>
          </w:p>
        </w:tc>
        <w:tc>
          <w:tcPr>
            <w:tcW w:w="1134" w:type="dxa"/>
            <w:noWrap/>
            <w:hideMark/>
          </w:tcPr>
          <w:p w:rsidR="00271582" w:rsidRPr="00271582" w:rsidRDefault="00271582" w:rsidP="00271582">
            <w:r w:rsidRPr="00271582">
              <w:t>25,742</w:t>
            </w:r>
          </w:p>
        </w:tc>
        <w:tc>
          <w:tcPr>
            <w:tcW w:w="1134" w:type="dxa"/>
            <w:noWrap/>
            <w:hideMark/>
          </w:tcPr>
          <w:p w:rsidR="00271582" w:rsidRPr="00271582" w:rsidRDefault="00271582" w:rsidP="00271582">
            <w:r w:rsidRPr="00271582">
              <w:t>26,108</w:t>
            </w:r>
          </w:p>
        </w:tc>
      </w:tr>
    </w:tbl>
    <w:p w:rsidR="00271582" w:rsidRPr="00271582" w:rsidRDefault="00271582" w:rsidP="00271582"/>
    <w:p w:rsidR="00D07A80" w:rsidRPr="004A1196" w:rsidRDefault="00D07A80" w:rsidP="00D07A80">
      <w:pPr>
        <w:spacing w:after="0"/>
        <w:rPr>
          <w:color w:val="0B2B43" w:themeColor="text2" w:themeShade="80"/>
        </w:rPr>
      </w:pPr>
    </w:p>
    <w:p w:rsidR="002C6039" w:rsidRPr="00203A27" w:rsidRDefault="002C6039" w:rsidP="002C6039">
      <w:pPr>
        <w:pStyle w:val="Source"/>
        <w:spacing w:before="0" w:after="0"/>
        <w:rPr>
          <w:color w:val="0B2B43" w:themeColor="text2" w:themeShade="80"/>
        </w:rPr>
      </w:pPr>
      <w:r w:rsidRPr="00203A27">
        <w:rPr>
          <w:color w:val="0B2B43" w:themeColor="text2" w:themeShade="80"/>
        </w:rPr>
        <w:t xml:space="preserve">Source: ABS, </w:t>
      </w:r>
      <w:r w:rsidR="00D07A80" w:rsidRPr="00203A27">
        <w:rPr>
          <w:rFonts w:eastAsia="Times New Roman"/>
          <w:color w:val="0B2B43" w:themeColor="text2" w:themeShade="80"/>
        </w:rPr>
        <w:t>8104.0 - Research and Experimental Development, Businesses, Australia, 2013-14, 6401.0 - Consumer Price Index, Australia, Sep 2015</w:t>
      </w:r>
    </w:p>
    <w:p w:rsidR="00F328D6" w:rsidRPr="00203A27" w:rsidRDefault="00D07A80" w:rsidP="002C6039">
      <w:pPr>
        <w:pStyle w:val="Source"/>
        <w:spacing w:before="0" w:after="0"/>
        <w:rPr>
          <w:color w:val="0B2B43" w:themeColor="text2" w:themeShade="80"/>
        </w:rPr>
      </w:pPr>
      <w:r w:rsidRPr="00203A27">
        <w:rPr>
          <w:color w:val="0B2B43" w:themeColor="text2" w:themeShade="80"/>
        </w:rPr>
        <w:t xml:space="preserve">* </w:t>
      </w:r>
      <w:r w:rsidR="00F328D6">
        <w:rPr>
          <w:color w:val="0B2B43" w:themeColor="text2" w:themeShade="80"/>
        </w:rPr>
        <w:t>C</w:t>
      </w:r>
      <w:r w:rsidRPr="00203A27">
        <w:rPr>
          <w:color w:val="0B2B43" w:themeColor="text2" w:themeShade="80"/>
        </w:rPr>
        <w:t>onstant prices are derived from research expenditure data deflated</w:t>
      </w:r>
      <w:r w:rsidR="00807482" w:rsidRPr="00203A27">
        <w:rPr>
          <w:color w:val="0B2B43" w:themeColor="text2" w:themeShade="80"/>
        </w:rPr>
        <w:t xml:space="preserve"> in 2004-05 dollars</w:t>
      </w:r>
      <w:r w:rsidRPr="00203A27">
        <w:rPr>
          <w:color w:val="0B2B43" w:themeColor="text2" w:themeShade="80"/>
        </w:rPr>
        <w:t xml:space="preserve"> using year ended CPI for June.</w:t>
      </w:r>
    </w:p>
    <w:p w:rsidR="002C6039" w:rsidRPr="00203A27" w:rsidRDefault="002C6039" w:rsidP="002C6039">
      <w:pPr>
        <w:pStyle w:val="Source"/>
        <w:spacing w:before="0" w:after="0"/>
        <w:rPr>
          <w:color w:val="0B2B43" w:themeColor="text2" w:themeShade="80"/>
        </w:rPr>
      </w:pPr>
      <w:r w:rsidRPr="00203A27">
        <w:rPr>
          <w:color w:val="0B2B43" w:themeColor="text2" w:themeShade="80"/>
        </w:rPr>
        <w:t xml:space="preserve">Notes on </w:t>
      </w:r>
      <w:r w:rsidR="00C75A89" w:rsidRPr="00203A27">
        <w:rPr>
          <w:color w:val="0B2B43" w:themeColor="text2" w:themeShade="80"/>
        </w:rPr>
        <w:t>Chart</w:t>
      </w:r>
    </w:p>
    <w:p w:rsidR="002C6039" w:rsidRPr="004A1196" w:rsidRDefault="002C6039" w:rsidP="00203A27">
      <w:pPr>
        <w:pStyle w:val="Source"/>
        <w:numPr>
          <w:ilvl w:val="0"/>
          <w:numId w:val="25"/>
        </w:numPr>
        <w:spacing w:before="0" w:after="0"/>
        <w:ind w:left="357" w:hanging="357"/>
        <w:contextualSpacing/>
        <w:rPr>
          <w:b w:val="0"/>
          <w:color w:val="0B2B43" w:themeColor="text2" w:themeShade="80"/>
        </w:rPr>
      </w:pPr>
      <w:proofErr w:type="spellStart"/>
      <w:r w:rsidRPr="004A1196">
        <w:rPr>
          <w:b w:val="0"/>
          <w:color w:val="0B2B43" w:themeColor="text2" w:themeShade="80"/>
        </w:rPr>
        <w:t>GERD</w:t>
      </w:r>
      <w:proofErr w:type="spellEnd"/>
      <w:r w:rsidRPr="004A1196">
        <w:rPr>
          <w:b w:val="0"/>
          <w:color w:val="0B2B43" w:themeColor="text2" w:themeShade="80"/>
        </w:rPr>
        <w:t xml:space="preserve"> (Gross Expenditure on R&amp;D) is the total expenditure on R&amp;D by the business, government, higher education and private </w:t>
      </w:r>
      <w:r w:rsidR="00767918">
        <w:rPr>
          <w:b w:val="0"/>
          <w:color w:val="0B2B43" w:themeColor="text2" w:themeShade="80"/>
        </w:rPr>
        <w:t>not-for-profit</w:t>
      </w:r>
      <w:r w:rsidRPr="004A1196">
        <w:rPr>
          <w:b w:val="0"/>
          <w:color w:val="0B2B43" w:themeColor="text2" w:themeShade="80"/>
        </w:rPr>
        <w:t xml:space="preserve"> sectors.</w:t>
      </w:r>
    </w:p>
    <w:p w:rsidR="002C6039" w:rsidRPr="004A1196" w:rsidRDefault="002C6039" w:rsidP="00203A27">
      <w:pPr>
        <w:pStyle w:val="Source"/>
        <w:numPr>
          <w:ilvl w:val="0"/>
          <w:numId w:val="25"/>
        </w:numPr>
        <w:spacing w:before="0" w:after="0"/>
        <w:ind w:left="357" w:hanging="357"/>
        <w:contextualSpacing/>
        <w:rPr>
          <w:b w:val="0"/>
          <w:color w:val="0B2B43" w:themeColor="text2" w:themeShade="80"/>
        </w:rPr>
      </w:pPr>
      <w:proofErr w:type="spellStart"/>
      <w:r w:rsidRPr="004A1196">
        <w:rPr>
          <w:b w:val="0"/>
          <w:color w:val="0B2B43" w:themeColor="text2" w:themeShade="80"/>
        </w:rPr>
        <w:t>BERD</w:t>
      </w:r>
      <w:proofErr w:type="spellEnd"/>
      <w:r w:rsidRPr="004A1196">
        <w:rPr>
          <w:b w:val="0"/>
          <w:color w:val="0B2B43" w:themeColor="text2" w:themeShade="80"/>
        </w:rPr>
        <w:t xml:space="preserve"> (Business Expenditure on R&amp;D) is expenditure on R&amp;D carried out by businesses in Australia.</w:t>
      </w:r>
    </w:p>
    <w:p w:rsidR="002C6039" w:rsidRPr="004A1196" w:rsidRDefault="002C6039" w:rsidP="00203A27">
      <w:pPr>
        <w:pStyle w:val="Source"/>
        <w:numPr>
          <w:ilvl w:val="0"/>
          <w:numId w:val="25"/>
        </w:numPr>
        <w:spacing w:before="0" w:after="0"/>
        <w:ind w:left="357" w:hanging="357"/>
        <w:contextualSpacing/>
        <w:rPr>
          <w:b w:val="0"/>
          <w:color w:val="0B2B43" w:themeColor="text2" w:themeShade="80"/>
        </w:rPr>
      </w:pPr>
      <w:proofErr w:type="spellStart"/>
      <w:r w:rsidRPr="004A1196">
        <w:rPr>
          <w:b w:val="0"/>
          <w:color w:val="0B2B43" w:themeColor="text2" w:themeShade="80"/>
        </w:rPr>
        <w:t>GOVERD</w:t>
      </w:r>
      <w:proofErr w:type="spellEnd"/>
      <w:r w:rsidRPr="004A1196">
        <w:rPr>
          <w:b w:val="0"/>
          <w:color w:val="0B2B43" w:themeColor="text2" w:themeShade="80"/>
        </w:rPr>
        <w:t xml:space="preserve"> (Government Expenditure on R&amp;D) is expenditure on R&amp;D carried out by Commonwealth, state and territory governments.</w:t>
      </w:r>
    </w:p>
    <w:p w:rsidR="002C6039" w:rsidRPr="004A1196" w:rsidRDefault="002C6039" w:rsidP="00603434">
      <w:pPr>
        <w:pStyle w:val="Source"/>
        <w:numPr>
          <w:ilvl w:val="0"/>
          <w:numId w:val="25"/>
        </w:numPr>
        <w:spacing w:before="0" w:after="0"/>
        <w:ind w:left="714" w:hanging="357"/>
        <w:contextualSpacing/>
        <w:rPr>
          <w:b w:val="0"/>
          <w:color w:val="0B2B43" w:themeColor="text2" w:themeShade="80"/>
        </w:rPr>
      </w:pPr>
      <w:r w:rsidRPr="004A1196">
        <w:rPr>
          <w:b w:val="0"/>
          <w:color w:val="0B2B43" w:themeColor="text2" w:themeShade="80"/>
        </w:rPr>
        <w:t>HERD (Higher Education Expenditure on R&amp;D) is expenditure on R&amp;D undertaken by Australian higher education institutions.</w:t>
      </w:r>
    </w:p>
    <w:p w:rsidR="002C6039" w:rsidRPr="004A1196" w:rsidRDefault="002C6039" w:rsidP="002C6039">
      <w:pPr>
        <w:rPr>
          <w:color w:val="0B2B43" w:themeColor="text2" w:themeShade="80"/>
        </w:rPr>
      </w:pPr>
      <w:r w:rsidRPr="004A1196">
        <w:rPr>
          <w:color w:val="0B2B43" w:themeColor="text2" w:themeShade="80"/>
        </w:rPr>
        <w:t>Total Gross Expenditure on R&amp;D (</w:t>
      </w:r>
      <w:proofErr w:type="spellStart"/>
      <w:r w:rsidRPr="004A1196">
        <w:rPr>
          <w:color w:val="0B2B43" w:themeColor="text2" w:themeShade="80"/>
        </w:rPr>
        <w:t>GERD</w:t>
      </w:r>
      <w:proofErr w:type="spellEnd"/>
      <w:r w:rsidRPr="004A1196">
        <w:rPr>
          <w:color w:val="0B2B43" w:themeColor="text2" w:themeShade="80"/>
        </w:rPr>
        <w:t>) has more than doubled in nominal terms over the past decade, rising 1</w:t>
      </w:r>
      <w:r w:rsidR="005E329B" w:rsidRPr="004A1196">
        <w:rPr>
          <w:color w:val="0B2B43" w:themeColor="text2" w:themeShade="80"/>
        </w:rPr>
        <w:t>1</w:t>
      </w:r>
      <w:r w:rsidR="008C3C31" w:rsidRPr="004A1196">
        <w:rPr>
          <w:color w:val="0B2B43" w:themeColor="text2" w:themeShade="80"/>
        </w:rPr>
        <w:t>0</w:t>
      </w:r>
      <w:r w:rsidRPr="004A1196">
        <w:rPr>
          <w:color w:val="0B2B43" w:themeColor="text2" w:themeShade="80"/>
        </w:rPr>
        <w:t xml:space="preserve"> per cent from $</w:t>
      </w:r>
      <w:r w:rsidR="005E329B" w:rsidRPr="004A1196">
        <w:rPr>
          <w:color w:val="0B2B43" w:themeColor="text2" w:themeShade="80"/>
        </w:rPr>
        <w:t>16.0</w:t>
      </w:r>
      <w:r w:rsidRPr="004A1196">
        <w:rPr>
          <w:color w:val="0B2B43" w:themeColor="text2" w:themeShade="80"/>
        </w:rPr>
        <w:t xml:space="preserve"> billion in 200</w:t>
      </w:r>
      <w:r w:rsidR="008C3C31" w:rsidRPr="004A1196">
        <w:rPr>
          <w:color w:val="0B2B43" w:themeColor="text2" w:themeShade="80"/>
        </w:rPr>
        <w:t>4</w:t>
      </w:r>
      <w:r w:rsidRPr="004A1196">
        <w:rPr>
          <w:color w:val="0B2B43" w:themeColor="text2" w:themeShade="80"/>
        </w:rPr>
        <w:t>-0</w:t>
      </w:r>
      <w:r w:rsidR="008C3C31" w:rsidRPr="004A1196">
        <w:rPr>
          <w:color w:val="0B2B43" w:themeColor="text2" w:themeShade="80"/>
        </w:rPr>
        <w:t>5</w:t>
      </w:r>
      <w:r w:rsidRPr="004A1196">
        <w:rPr>
          <w:color w:val="0B2B43" w:themeColor="text2" w:themeShade="80"/>
        </w:rPr>
        <w:t xml:space="preserve"> to $3</w:t>
      </w:r>
      <w:r w:rsidR="005E329B" w:rsidRPr="004A1196">
        <w:rPr>
          <w:color w:val="0B2B43" w:themeColor="text2" w:themeShade="80"/>
        </w:rPr>
        <w:t>3.5</w:t>
      </w:r>
      <w:r w:rsidRPr="004A1196">
        <w:rPr>
          <w:color w:val="0B2B43" w:themeColor="text2" w:themeShade="80"/>
        </w:rPr>
        <w:t> billion in 201</w:t>
      </w:r>
      <w:r w:rsidR="008C3C31" w:rsidRPr="004A1196">
        <w:rPr>
          <w:color w:val="0B2B43" w:themeColor="text2" w:themeShade="80"/>
        </w:rPr>
        <w:t>3</w:t>
      </w:r>
      <w:r w:rsidRPr="004A1196">
        <w:rPr>
          <w:color w:val="0B2B43" w:themeColor="text2" w:themeShade="80"/>
        </w:rPr>
        <w:noBreakHyphen/>
        <w:t>1</w:t>
      </w:r>
      <w:r w:rsidR="008C3C31" w:rsidRPr="004A1196">
        <w:rPr>
          <w:color w:val="0B2B43" w:themeColor="text2" w:themeShade="80"/>
        </w:rPr>
        <w:t>4</w:t>
      </w:r>
      <w:r w:rsidRPr="004A1196">
        <w:rPr>
          <w:color w:val="0B2B43" w:themeColor="text2" w:themeShade="80"/>
        </w:rPr>
        <w:t xml:space="preserve"> representing </w:t>
      </w:r>
      <w:r w:rsidR="005E329B" w:rsidRPr="004A1196">
        <w:rPr>
          <w:color w:val="0B2B43" w:themeColor="text2" w:themeShade="80"/>
        </w:rPr>
        <w:t>constant price</w:t>
      </w:r>
      <w:r w:rsidRPr="004A1196">
        <w:rPr>
          <w:color w:val="0B2B43" w:themeColor="text2" w:themeShade="80"/>
        </w:rPr>
        <w:t xml:space="preserve"> growth of </w:t>
      </w:r>
      <w:r w:rsidR="004C69F4" w:rsidRPr="004A1196">
        <w:rPr>
          <w:color w:val="0B2B43" w:themeColor="text2" w:themeShade="80"/>
        </w:rPr>
        <w:t>5.6</w:t>
      </w:r>
      <w:r w:rsidRPr="004A1196">
        <w:rPr>
          <w:color w:val="0B2B43" w:themeColor="text2" w:themeShade="80"/>
        </w:rPr>
        <w:t xml:space="preserve"> per cent per annum. Business (</w:t>
      </w:r>
      <w:proofErr w:type="spellStart"/>
      <w:r w:rsidRPr="004A1196">
        <w:rPr>
          <w:color w:val="0B2B43" w:themeColor="text2" w:themeShade="80"/>
        </w:rPr>
        <w:t>BERD</w:t>
      </w:r>
      <w:proofErr w:type="spellEnd"/>
      <w:r w:rsidRPr="004A1196">
        <w:rPr>
          <w:color w:val="0B2B43" w:themeColor="text2" w:themeShade="80"/>
        </w:rPr>
        <w:t xml:space="preserve">) has consistently accounted for more than </w:t>
      </w:r>
      <w:proofErr w:type="gramStart"/>
      <w:r w:rsidRPr="004A1196">
        <w:rPr>
          <w:color w:val="0B2B43" w:themeColor="text2" w:themeShade="80"/>
        </w:rPr>
        <w:t>one half</w:t>
      </w:r>
      <w:proofErr w:type="gramEnd"/>
      <w:r w:rsidRPr="004A1196">
        <w:rPr>
          <w:color w:val="0B2B43" w:themeColor="text2" w:themeShade="80"/>
        </w:rPr>
        <w:t xml:space="preserve"> of all spending on R&amp;D over the decade, increasing by </w:t>
      </w:r>
      <w:r w:rsidR="008C3C31" w:rsidRPr="004A1196">
        <w:rPr>
          <w:color w:val="0B2B43" w:themeColor="text2" w:themeShade="80"/>
        </w:rPr>
        <w:t>117</w:t>
      </w:r>
      <w:r w:rsidRPr="004A1196">
        <w:rPr>
          <w:color w:val="0B2B43" w:themeColor="text2" w:themeShade="80"/>
        </w:rPr>
        <w:t xml:space="preserve"> per cent, from $</w:t>
      </w:r>
      <w:r w:rsidR="008C3C31" w:rsidRPr="004A1196">
        <w:rPr>
          <w:color w:val="0B2B43" w:themeColor="text2" w:themeShade="80"/>
        </w:rPr>
        <w:t>8.7</w:t>
      </w:r>
      <w:r w:rsidRPr="004A1196">
        <w:rPr>
          <w:color w:val="0B2B43" w:themeColor="text2" w:themeShade="80"/>
        </w:rPr>
        <w:t xml:space="preserve"> billion in </w:t>
      </w:r>
      <w:r w:rsidR="008C3C31" w:rsidRPr="004A1196">
        <w:rPr>
          <w:color w:val="0B2B43" w:themeColor="text2" w:themeShade="80"/>
        </w:rPr>
        <w:t>2004-05</w:t>
      </w:r>
      <w:r w:rsidRPr="004A1196">
        <w:rPr>
          <w:color w:val="0B2B43" w:themeColor="text2" w:themeShade="80"/>
        </w:rPr>
        <w:t xml:space="preserve"> to $18.</w:t>
      </w:r>
      <w:r w:rsidR="008C3C31" w:rsidRPr="004A1196">
        <w:rPr>
          <w:color w:val="0B2B43" w:themeColor="text2" w:themeShade="80"/>
        </w:rPr>
        <w:t>8</w:t>
      </w:r>
      <w:r w:rsidRPr="004A1196">
        <w:rPr>
          <w:color w:val="0B2B43" w:themeColor="text2" w:themeShade="80"/>
        </w:rPr>
        <w:t xml:space="preserve"> billion in 201</w:t>
      </w:r>
      <w:r w:rsidR="008C3C31" w:rsidRPr="004A1196">
        <w:rPr>
          <w:color w:val="0B2B43" w:themeColor="text2" w:themeShade="80"/>
        </w:rPr>
        <w:t>3</w:t>
      </w:r>
      <w:r w:rsidRPr="004A1196">
        <w:rPr>
          <w:color w:val="0B2B43" w:themeColor="text2" w:themeShade="80"/>
        </w:rPr>
        <w:t>-1</w:t>
      </w:r>
      <w:r w:rsidR="008C3C31" w:rsidRPr="004A1196">
        <w:rPr>
          <w:color w:val="0B2B43" w:themeColor="text2" w:themeShade="80"/>
        </w:rPr>
        <w:t>4</w:t>
      </w:r>
      <w:r w:rsidRPr="004A1196">
        <w:rPr>
          <w:color w:val="0B2B43" w:themeColor="text2" w:themeShade="80"/>
        </w:rPr>
        <w:t>. Higher education expenditure on R&amp;D (HERD) accounted for $</w:t>
      </w:r>
      <w:r w:rsidR="008C3C31" w:rsidRPr="004A1196">
        <w:rPr>
          <w:color w:val="0B2B43" w:themeColor="text2" w:themeShade="80"/>
        </w:rPr>
        <w:t>9</w:t>
      </w:r>
      <w:r w:rsidRPr="004A1196">
        <w:rPr>
          <w:color w:val="0B2B43" w:themeColor="text2" w:themeShade="80"/>
        </w:rPr>
        <w:t xml:space="preserve">.9 billion, or </w:t>
      </w:r>
      <w:r w:rsidR="008C3C31" w:rsidRPr="004A1196">
        <w:rPr>
          <w:color w:val="0B2B43" w:themeColor="text2" w:themeShade="80"/>
        </w:rPr>
        <w:t>30</w:t>
      </w:r>
      <w:r w:rsidRPr="004A1196">
        <w:rPr>
          <w:color w:val="0B2B43" w:themeColor="text2" w:themeShade="80"/>
        </w:rPr>
        <w:t xml:space="preserve"> per cent, of </w:t>
      </w:r>
      <w:proofErr w:type="spellStart"/>
      <w:r w:rsidRPr="004A1196">
        <w:rPr>
          <w:color w:val="0B2B43" w:themeColor="text2" w:themeShade="80"/>
        </w:rPr>
        <w:t>GERD</w:t>
      </w:r>
      <w:proofErr w:type="spellEnd"/>
      <w:r w:rsidRPr="004A1196">
        <w:rPr>
          <w:color w:val="0B2B43" w:themeColor="text2" w:themeShade="80"/>
        </w:rPr>
        <w:t xml:space="preserve"> in 201</w:t>
      </w:r>
      <w:r w:rsidR="008C3C31" w:rsidRPr="004A1196">
        <w:rPr>
          <w:color w:val="0B2B43" w:themeColor="text2" w:themeShade="80"/>
        </w:rPr>
        <w:t>3</w:t>
      </w:r>
      <w:r w:rsidRPr="004A1196">
        <w:rPr>
          <w:color w:val="0B2B43" w:themeColor="text2" w:themeShade="80"/>
        </w:rPr>
        <w:t>-1</w:t>
      </w:r>
      <w:r w:rsidR="008C3C31" w:rsidRPr="004A1196">
        <w:rPr>
          <w:color w:val="0B2B43" w:themeColor="text2" w:themeShade="80"/>
        </w:rPr>
        <w:t>4</w:t>
      </w:r>
      <w:r w:rsidRPr="004A1196">
        <w:rPr>
          <w:color w:val="0B2B43" w:themeColor="text2" w:themeShade="80"/>
        </w:rPr>
        <w:t xml:space="preserve">. This was an increase of </w:t>
      </w:r>
      <w:r w:rsidR="008C3C31" w:rsidRPr="004A1196">
        <w:rPr>
          <w:color w:val="0B2B43" w:themeColor="text2" w:themeShade="80"/>
        </w:rPr>
        <w:t>12</w:t>
      </w:r>
      <w:r w:rsidRPr="004A1196">
        <w:rPr>
          <w:color w:val="0B2B43" w:themeColor="text2" w:themeShade="80"/>
        </w:rPr>
        <w:t xml:space="preserve">9 per cent </w:t>
      </w:r>
      <w:r w:rsidR="008C3C31" w:rsidRPr="004A1196">
        <w:rPr>
          <w:color w:val="0B2B43" w:themeColor="text2" w:themeShade="80"/>
        </w:rPr>
        <w:t>from the $4.3 billion spent on HERD in 2004</w:t>
      </w:r>
      <w:r w:rsidR="008C3C31" w:rsidRPr="004A1196">
        <w:rPr>
          <w:color w:val="0B2B43" w:themeColor="text2" w:themeShade="80"/>
        </w:rPr>
        <w:noBreakHyphen/>
        <w:t xml:space="preserve">05, and an increase of 2.5 percentage points in the proportion of </w:t>
      </w:r>
      <w:proofErr w:type="spellStart"/>
      <w:r w:rsidR="008C3C31" w:rsidRPr="004A1196">
        <w:rPr>
          <w:color w:val="0B2B43" w:themeColor="text2" w:themeShade="80"/>
        </w:rPr>
        <w:t>GERD</w:t>
      </w:r>
      <w:proofErr w:type="spellEnd"/>
      <w:r w:rsidRPr="004A1196">
        <w:rPr>
          <w:color w:val="0B2B43" w:themeColor="text2" w:themeShade="80"/>
        </w:rPr>
        <w:t xml:space="preserve">. </w:t>
      </w:r>
    </w:p>
    <w:p w:rsidR="002C6039" w:rsidRPr="004A1196" w:rsidRDefault="002C6039" w:rsidP="002C6039">
      <w:pPr>
        <w:rPr>
          <w:color w:val="0B2B43" w:themeColor="text2" w:themeShade="80"/>
        </w:rPr>
      </w:pPr>
      <w:r w:rsidRPr="004A1196">
        <w:rPr>
          <w:color w:val="0B2B43" w:themeColor="text2" w:themeShade="80"/>
        </w:rPr>
        <w:t xml:space="preserve">Higher education research expenditure is also an important, but again by no means dominant, component of Australia’s R&amp;D spend. Change to policy settings for higher education research funding </w:t>
      </w:r>
      <w:proofErr w:type="gramStart"/>
      <w:r w:rsidRPr="004A1196">
        <w:rPr>
          <w:color w:val="0B2B43" w:themeColor="text2" w:themeShade="80"/>
        </w:rPr>
        <w:t>can be expected</w:t>
      </w:r>
      <w:proofErr w:type="gramEnd"/>
      <w:r w:rsidRPr="004A1196">
        <w:rPr>
          <w:color w:val="0B2B43" w:themeColor="text2" w:themeShade="80"/>
        </w:rPr>
        <w:t xml:space="preserve"> to yield improvements in Australia’s innovation performance but, alone, it cannot transform that performance. Increasing the benefits of the total national R&amp;D spend has to involve considerably more than increasing the benefits of HERD.</w:t>
      </w:r>
    </w:p>
    <w:p w:rsidR="002C6039" w:rsidRPr="004A1196" w:rsidRDefault="002C6039" w:rsidP="002C6039">
      <w:pPr>
        <w:pStyle w:val="RIHeading2"/>
        <w:rPr>
          <w:color w:val="0B2B43" w:themeColor="text2" w:themeShade="80"/>
        </w:rPr>
      </w:pPr>
      <w:bookmarkStart w:id="86" w:name="_Toc436392714"/>
      <w:bookmarkStart w:id="87" w:name="_Toc436651812"/>
      <w:bookmarkStart w:id="88" w:name="_Toc436659620"/>
      <w:bookmarkStart w:id="89" w:name="_Toc436660118"/>
      <w:r w:rsidRPr="004A1196">
        <w:rPr>
          <w:color w:val="0B2B43" w:themeColor="text2" w:themeShade="80"/>
        </w:rPr>
        <w:t>Australian Government funding of R&amp;D</w:t>
      </w:r>
      <w:bookmarkEnd w:id="86"/>
      <w:bookmarkEnd w:id="87"/>
      <w:bookmarkEnd w:id="88"/>
      <w:bookmarkEnd w:id="89"/>
    </w:p>
    <w:p w:rsidR="002C6039" w:rsidRPr="004A1196" w:rsidRDefault="002C6039" w:rsidP="002C6039">
      <w:pPr>
        <w:rPr>
          <w:color w:val="0B2B43" w:themeColor="text2" w:themeShade="80"/>
        </w:rPr>
      </w:pPr>
      <w:r w:rsidRPr="004A1196">
        <w:rPr>
          <w:color w:val="0B2B43" w:themeColor="text2" w:themeShade="80"/>
        </w:rPr>
        <w:t xml:space="preserve">As shown in </w:t>
      </w:r>
      <w:r w:rsidR="00A112AC" w:rsidRPr="004A1196">
        <w:rPr>
          <w:color w:val="0B2B43" w:themeColor="text2" w:themeShade="80"/>
        </w:rPr>
        <w:t>Chart</w:t>
      </w:r>
      <w:r w:rsidRPr="004A1196">
        <w:rPr>
          <w:color w:val="0B2B43" w:themeColor="text2" w:themeShade="80"/>
        </w:rPr>
        <w:t xml:space="preserve"> 2 below, the direct funding the Australian Government provides to universities for research through the dual funding system is an important, but not dominant, component of the Australian Government’s overall support for science, research and innovation, which totals $9.7 billion in 2015-16.</w:t>
      </w:r>
    </w:p>
    <w:p w:rsidR="002C6039" w:rsidRPr="001776EE" w:rsidRDefault="00A112AC" w:rsidP="001776EE">
      <w:pPr>
        <w:pStyle w:val="Heading3"/>
        <w:rPr>
          <w:b/>
        </w:rPr>
      </w:pPr>
      <w:proofErr w:type="gramStart"/>
      <w:r w:rsidRPr="001776EE">
        <w:rPr>
          <w:b/>
        </w:rPr>
        <w:t>Chart</w:t>
      </w:r>
      <w:r w:rsidR="002C6039" w:rsidRPr="001776EE">
        <w:rPr>
          <w:b/>
        </w:rPr>
        <w:t xml:space="preserve"> </w:t>
      </w:r>
      <w:r w:rsidR="007F16CF" w:rsidRPr="001776EE">
        <w:rPr>
          <w:b/>
        </w:rPr>
        <w:fldChar w:fldCharType="begin"/>
      </w:r>
      <w:r w:rsidR="007F16CF" w:rsidRPr="001776EE">
        <w:rPr>
          <w:b/>
        </w:rPr>
        <w:instrText xml:space="preserve"> SEQ Figure \* ARABIC </w:instrText>
      </w:r>
      <w:r w:rsidR="007F16CF" w:rsidRPr="001776EE">
        <w:rPr>
          <w:b/>
        </w:rPr>
        <w:fldChar w:fldCharType="separate"/>
      </w:r>
      <w:r w:rsidR="00E05D3F">
        <w:rPr>
          <w:b/>
          <w:noProof/>
        </w:rPr>
        <w:t>2</w:t>
      </w:r>
      <w:r w:rsidR="007F16CF" w:rsidRPr="001776EE">
        <w:rPr>
          <w:b/>
        </w:rPr>
        <w:fldChar w:fldCharType="end"/>
      </w:r>
      <w:r w:rsidR="002C6039" w:rsidRPr="001776EE">
        <w:rPr>
          <w:b/>
        </w:rPr>
        <w:t>.</w:t>
      </w:r>
      <w:proofErr w:type="gramEnd"/>
      <w:r w:rsidR="002C6039" w:rsidRPr="001776EE">
        <w:rPr>
          <w:b/>
        </w:rPr>
        <w:t xml:space="preserve"> Australian Government support for science, research and innovation by sector, 2015-16</w:t>
      </w:r>
    </w:p>
    <w:p w:rsidR="00AB12F2" w:rsidRPr="004A1196" w:rsidRDefault="002C6039" w:rsidP="001776EE">
      <w:pPr>
        <w:pStyle w:val="Source"/>
        <w:spacing w:after="0"/>
        <w:jc w:val="center"/>
        <w:rPr>
          <w:color w:val="0B2B43" w:themeColor="text2" w:themeShade="80"/>
        </w:rPr>
      </w:pPr>
      <w:r w:rsidRPr="00967409">
        <w:rPr>
          <w:noProof/>
          <w:color w:val="0B2B43" w:themeColor="text2" w:themeShade="80"/>
          <w:lang w:eastAsia="en-AU"/>
        </w:rPr>
        <w:drawing>
          <wp:inline distT="0" distB="0" distL="0" distR="0" wp14:anchorId="46784EBC" wp14:editId="10714F7A">
            <wp:extent cx="3822700" cy="2861945"/>
            <wp:effectExtent l="0" t="0" r="6350" b="0"/>
            <wp:docPr id="1" name="Picture 1" descr="Australian Government support for science, research and innovation by sector, 2015-16Higher Education Sector 35.8%;&#10;Australian Government Research Activities 18.6%;&#10;Business Enterprise Sector 32.5%;&#10;Multisector 1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22700" cy="2861945"/>
                    </a:xfrm>
                    <a:prstGeom prst="rect">
                      <a:avLst/>
                    </a:prstGeom>
                  </pic:spPr>
                </pic:pic>
              </a:graphicData>
            </a:graphic>
          </wp:inline>
        </w:drawing>
      </w:r>
      <w:r w:rsidRPr="004A1196">
        <w:rPr>
          <w:color w:val="0B2B43" w:themeColor="text2" w:themeShade="80"/>
        </w:rPr>
        <w:br w:type="textWrapping" w:clear="all"/>
      </w:r>
    </w:p>
    <w:p w:rsidR="002C6039" w:rsidRPr="00967409" w:rsidRDefault="002C6039" w:rsidP="004233BD">
      <w:pPr>
        <w:pStyle w:val="Source"/>
        <w:spacing w:before="0" w:after="0"/>
        <w:contextualSpacing/>
        <w:rPr>
          <w:color w:val="0B2B43" w:themeColor="text2" w:themeShade="80"/>
        </w:rPr>
      </w:pPr>
      <w:r w:rsidRPr="00967409">
        <w:rPr>
          <w:color w:val="0B2B43" w:themeColor="text2" w:themeShade="80"/>
        </w:rPr>
        <w:t>Source: Science, Research and Innovation Budget Tables 2015-16</w:t>
      </w:r>
    </w:p>
    <w:p w:rsidR="002C6039" w:rsidRPr="004A1196" w:rsidRDefault="002C6039" w:rsidP="004233BD">
      <w:pPr>
        <w:pStyle w:val="Source"/>
        <w:spacing w:after="0"/>
        <w:contextualSpacing/>
        <w:rPr>
          <w:color w:val="0B2B43" w:themeColor="text2" w:themeShade="80"/>
        </w:rPr>
      </w:pPr>
      <w:r w:rsidRPr="00967409">
        <w:rPr>
          <w:color w:val="0B2B43" w:themeColor="text2" w:themeShade="80"/>
        </w:rPr>
        <w:t xml:space="preserve">Note: </w:t>
      </w:r>
      <w:r w:rsidRPr="004A1196">
        <w:rPr>
          <w:b w:val="0"/>
          <w:color w:val="0B2B43" w:themeColor="text2" w:themeShade="80"/>
        </w:rPr>
        <w:t>Higher education sector funding includes ARC grants, proportion of NHMRC gra</w:t>
      </w:r>
      <w:r w:rsidR="00FF1A70" w:rsidRPr="004A1196">
        <w:rPr>
          <w:b w:val="0"/>
          <w:color w:val="0B2B43" w:themeColor="text2" w:themeShade="80"/>
        </w:rPr>
        <w:t>nts going to universities (76.9 per cent</w:t>
      </w:r>
      <w:r w:rsidRPr="004A1196">
        <w:rPr>
          <w:b w:val="0"/>
          <w:color w:val="0B2B43" w:themeColor="text2" w:themeShade="80"/>
        </w:rPr>
        <w:t>) and Research Block Grants.</w:t>
      </w:r>
    </w:p>
    <w:p w:rsidR="002C6039" w:rsidRPr="004A1196" w:rsidRDefault="002C6039" w:rsidP="002C6039">
      <w:pPr>
        <w:rPr>
          <w:color w:val="0B2B43" w:themeColor="text2" w:themeShade="80"/>
        </w:rPr>
      </w:pPr>
      <w:r w:rsidRPr="004A1196">
        <w:rPr>
          <w:color w:val="0B2B43" w:themeColor="text2" w:themeShade="80"/>
        </w:rPr>
        <w:t>Higher education is the largest sectoral funding recipient, re</w:t>
      </w:r>
      <w:r w:rsidR="00FF1A70" w:rsidRPr="004A1196">
        <w:rPr>
          <w:color w:val="0B2B43" w:themeColor="text2" w:themeShade="80"/>
        </w:rPr>
        <w:t>ceiving $3.5 billion, or 36 per </w:t>
      </w:r>
      <w:r w:rsidRPr="004A1196">
        <w:rPr>
          <w:color w:val="0B2B43" w:themeColor="text2" w:themeShade="80"/>
        </w:rPr>
        <w:t>cent of the total. Business receives $3.2 billion, including $2.9 billion in R&amp;D tax measures and $257 million in business innovation measures.</w:t>
      </w:r>
    </w:p>
    <w:p w:rsidR="002C6039" w:rsidRPr="004A1196" w:rsidRDefault="002C6039" w:rsidP="002C6039">
      <w:pPr>
        <w:rPr>
          <w:color w:val="0B2B43" w:themeColor="text2" w:themeShade="80"/>
        </w:rPr>
      </w:pPr>
      <w:r w:rsidRPr="004A1196">
        <w:rPr>
          <w:color w:val="0B2B43" w:themeColor="text2" w:themeShade="80"/>
        </w:rPr>
        <w:t>Research Block Grants (</w:t>
      </w:r>
      <w:proofErr w:type="spellStart"/>
      <w:r w:rsidRPr="004A1196">
        <w:rPr>
          <w:color w:val="0B2B43" w:themeColor="text2" w:themeShade="80"/>
        </w:rPr>
        <w:t>RBG</w:t>
      </w:r>
      <w:proofErr w:type="spellEnd"/>
      <w:r w:rsidRPr="004A1196">
        <w:rPr>
          <w:color w:val="0B2B43" w:themeColor="text2" w:themeShade="80"/>
        </w:rPr>
        <w:t>) will provide $1.8 billion, or 20 per cent, of government support for research and innovation in 2015-16. Australian Research Council (ARC) competitive grants will provide a further $0.8 billion, or 8 per cent.</w:t>
      </w:r>
    </w:p>
    <w:p w:rsidR="002C6039" w:rsidRPr="004A1196" w:rsidRDefault="002C6039" w:rsidP="002C6039">
      <w:pPr>
        <w:rPr>
          <w:color w:val="0B2B43" w:themeColor="text2" w:themeShade="80"/>
        </w:rPr>
      </w:pPr>
      <w:r w:rsidRPr="004A1196">
        <w:rPr>
          <w:color w:val="0B2B43" w:themeColor="text2" w:themeShade="80"/>
        </w:rPr>
        <w:t>The data for Australian Government funding suggests that the government funds a significant proportion of research across all sectors and has potential to help achieve desired outcomes through use of funding levers. However, funding provided through any single programme is not large relative to total expenditure, and alignment between different policies is therefore important.</w:t>
      </w:r>
    </w:p>
    <w:p w:rsidR="002C6039" w:rsidRPr="004A1196" w:rsidRDefault="002C6039" w:rsidP="002C6039">
      <w:pPr>
        <w:rPr>
          <w:color w:val="0B2B43" w:themeColor="text2" w:themeShade="80"/>
        </w:rPr>
      </w:pPr>
      <w:r w:rsidRPr="004A1196">
        <w:rPr>
          <w:color w:val="0B2B43" w:themeColor="text2" w:themeShade="80"/>
        </w:rPr>
        <w:t xml:space="preserve">One of the main recommendations of the review is to change the architecture of </w:t>
      </w:r>
      <w:proofErr w:type="spellStart"/>
      <w:r w:rsidR="00967409">
        <w:rPr>
          <w:color w:val="0B2B43" w:themeColor="text2" w:themeShade="80"/>
        </w:rPr>
        <w:t>RRBG</w:t>
      </w:r>
      <w:proofErr w:type="spellEnd"/>
      <w:r w:rsidRPr="004A1196">
        <w:rPr>
          <w:color w:val="0B2B43" w:themeColor="text2" w:themeShade="80"/>
        </w:rPr>
        <w:t xml:space="preserve">. </w:t>
      </w:r>
      <w:proofErr w:type="spellStart"/>
      <w:r w:rsidRPr="004A1196">
        <w:rPr>
          <w:color w:val="0B2B43" w:themeColor="text2" w:themeShade="80"/>
        </w:rPr>
        <w:t>RBG</w:t>
      </w:r>
      <w:proofErr w:type="spellEnd"/>
      <w:r w:rsidRPr="004A1196">
        <w:rPr>
          <w:color w:val="0B2B43" w:themeColor="text2" w:themeShade="80"/>
        </w:rPr>
        <w:t xml:space="preserve"> funding makes a significant contribution to total research expenditure by universities but still only represents around 15 per cent of the total. The changes will have limited effect unless combined with other </w:t>
      </w:r>
      <w:proofErr w:type="gramStart"/>
      <w:r w:rsidRPr="004A1196">
        <w:rPr>
          <w:color w:val="0B2B43" w:themeColor="text2" w:themeShade="80"/>
        </w:rPr>
        <w:t>initiatives which</w:t>
      </w:r>
      <w:proofErr w:type="gramEnd"/>
      <w:r w:rsidRPr="004A1196">
        <w:rPr>
          <w:color w:val="0B2B43" w:themeColor="text2" w:themeShade="80"/>
        </w:rPr>
        <w:t xml:space="preserve"> work in a co</w:t>
      </w:r>
      <w:r w:rsidR="00676E9D">
        <w:rPr>
          <w:color w:val="0B2B43" w:themeColor="text2" w:themeShade="80"/>
        </w:rPr>
        <w:t>-</w:t>
      </w:r>
      <w:r w:rsidRPr="004A1196">
        <w:rPr>
          <w:color w:val="0B2B43" w:themeColor="text2" w:themeShade="80"/>
        </w:rPr>
        <w:t xml:space="preserve">ordinated manner to reinforce policy goals. </w:t>
      </w:r>
    </w:p>
    <w:p w:rsidR="002C6039" w:rsidRPr="004A1196" w:rsidRDefault="002C6039" w:rsidP="002C6039">
      <w:pPr>
        <w:rPr>
          <w:color w:val="0B2B43" w:themeColor="text2" w:themeShade="80"/>
        </w:rPr>
      </w:pPr>
      <w:r w:rsidRPr="004A1196">
        <w:rPr>
          <w:color w:val="0B2B43" w:themeColor="text2" w:themeShade="80"/>
        </w:rPr>
        <w:t xml:space="preserve">The introduction of a new impact and assessment system is also a key element in these other changes. The system will assess the economic, social and environmental benefits arising from all research conducted by universities, including the substantial amount of research funded by universities themselves. </w:t>
      </w:r>
    </w:p>
    <w:p w:rsidR="002C6039" w:rsidRPr="004A1196" w:rsidRDefault="002C6039" w:rsidP="002C6039">
      <w:pPr>
        <w:pStyle w:val="RIHeading2"/>
        <w:rPr>
          <w:color w:val="0B2B43" w:themeColor="text2" w:themeShade="80"/>
        </w:rPr>
      </w:pPr>
      <w:bookmarkStart w:id="90" w:name="_Toc436392715"/>
      <w:bookmarkStart w:id="91" w:name="_Toc436651813"/>
      <w:bookmarkStart w:id="92" w:name="_Toc436659621"/>
      <w:bookmarkStart w:id="93" w:name="_Toc436660119"/>
      <w:r w:rsidRPr="004A1196">
        <w:rPr>
          <w:color w:val="0B2B43" w:themeColor="text2" w:themeShade="80"/>
        </w:rPr>
        <w:t>Research funding for universities</w:t>
      </w:r>
      <w:bookmarkEnd w:id="90"/>
      <w:bookmarkEnd w:id="91"/>
      <w:bookmarkEnd w:id="92"/>
      <w:bookmarkEnd w:id="93"/>
    </w:p>
    <w:p w:rsidR="002C6039" w:rsidRPr="004A1196" w:rsidRDefault="002C6039" w:rsidP="002C6039">
      <w:pPr>
        <w:rPr>
          <w:color w:val="0B2B43" w:themeColor="text2" w:themeShade="80"/>
        </w:rPr>
      </w:pPr>
      <w:r w:rsidRPr="004A1196">
        <w:rPr>
          <w:color w:val="0B2B43" w:themeColor="text2" w:themeShade="80"/>
        </w:rPr>
        <w:t xml:space="preserve">Overall, university research </w:t>
      </w:r>
      <w:proofErr w:type="gramStart"/>
      <w:r w:rsidRPr="004A1196">
        <w:rPr>
          <w:color w:val="0B2B43" w:themeColor="text2" w:themeShade="80"/>
        </w:rPr>
        <w:t>is supported</w:t>
      </w:r>
      <w:proofErr w:type="gramEnd"/>
      <w:r w:rsidRPr="004A1196">
        <w:rPr>
          <w:color w:val="0B2B43" w:themeColor="text2" w:themeShade="80"/>
        </w:rPr>
        <w:t xml:space="preserve"> from two major</w:t>
      </w:r>
      <w:r w:rsidRPr="004A1196" w:rsidDel="0014667F">
        <w:rPr>
          <w:color w:val="0B2B43" w:themeColor="text2" w:themeShade="80"/>
        </w:rPr>
        <w:t xml:space="preserve"> </w:t>
      </w:r>
      <w:r w:rsidRPr="004A1196">
        <w:rPr>
          <w:color w:val="0B2B43" w:themeColor="text2" w:themeShade="80"/>
        </w:rPr>
        <w:t>funding sources:</w:t>
      </w:r>
    </w:p>
    <w:p w:rsidR="002C6039" w:rsidRPr="004A1196" w:rsidRDefault="002C6039" w:rsidP="002C6039">
      <w:pPr>
        <w:pStyle w:val="ListParagraph"/>
        <w:numPr>
          <w:ilvl w:val="0"/>
          <w:numId w:val="19"/>
        </w:numPr>
        <w:rPr>
          <w:color w:val="0B2B43" w:themeColor="text2" w:themeShade="80"/>
        </w:rPr>
      </w:pPr>
      <w:r w:rsidRPr="004A1196">
        <w:rPr>
          <w:color w:val="0B2B43" w:themeColor="text2" w:themeShade="80"/>
        </w:rPr>
        <w:t xml:space="preserve">Australian Government research funding delivered through the dual funding system of competitive grants and </w:t>
      </w:r>
      <w:proofErr w:type="spellStart"/>
      <w:r w:rsidRPr="004A1196">
        <w:rPr>
          <w:color w:val="0B2B43" w:themeColor="text2" w:themeShade="80"/>
        </w:rPr>
        <w:t>RBG</w:t>
      </w:r>
      <w:proofErr w:type="spellEnd"/>
    </w:p>
    <w:p w:rsidR="002C6039" w:rsidRPr="004A1196" w:rsidRDefault="002C6039" w:rsidP="002C6039">
      <w:pPr>
        <w:pStyle w:val="ListParagraph"/>
        <w:numPr>
          <w:ilvl w:val="0"/>
          <w:numId w:val="19"/>
        </w:numPr>
        <w:rPr>
          <w:color w:val="0B2B43" w:themeColor="text2" w:themeShade="80"/>
        </w:rPr>
      </w:pPr>
      <w:proofErr w:type="gramStart"/>
      <w:r w:rsidRPr="004A1196">
        <w:rPr>
          <w:color w:val="0B2B43" w:themeColor="text2" w:themeShade="80"/>
        </w:rPr>
        <w:t>university</w:t>
      </w:r>
      <w:proofErr w:type="gramEnd"/>
      <w:r w:rsidRPr="004A1196">
        <w:rPr>
          <w:color w:val="0B2B43" w:themeColor="text2" w:themeShade="80"/>
        </w:rPr>
        <w:t xml:space="preserve"> funding, involving funding from a variety of income sources such as student fees, contracts and consultancies, investment income and philanthropy</w:t>
      </w:r>
      <w:r w:rsidR="0008613B" w:rsidRPr="004A1196">
        <w:rPr>
          <w:color w:val="0B2B43" w:themeColor="text2" w:themeShade="80"/>
        </w:rPr>
        <w:t>.</w:t>
      </w:r>
    </w:p>
    <w:p w:rsidR="002C6039" w:rsidRPr="004A1196" w:rsidRDefault="002C6039" w:rsidP="002C6039">
      <w:pPr>
        <w:pStyle w:val="RIHeading2"/>
        <w:rPr>
          <w:color w:val="0B2B43" w:themeColor="text2" w:themeShade="80"/>
        </w:rPr>
      </w:pPr>
      <w:bookmarkStart w:id="94" w:name="_Toc436392716"/>
      <w:bookmarkStart w:id="95" w:name="_Toc436651814"/>
      <w:bookmarkStart w:id="96" w:name="_Toc436659622"/>
      <w:bookmarkStart w:id="97" w:name="_Toc436660120"/>
      <w:r w:rsidRPr="004A1196">
        <w:rPr>
          <w:color w:val="0B2B43" w:themeColor="text2" w:themeShade="80"/>
        </w:rPr>
        <w:t>The dual funding system</w:t>
      </w:r>
      <w:bookmarkEnd w:id="94"/>
      <w:bookmarkEnd w:id="95"/>
      <w:bookmarkEnd w:id="96"/>
      <w:bookmarkEnd w:id="97"/>
    </w:p>
    <w:p w:rsidR="002C6039" w:rsidRPr="004A1196" w:rsidRDefault="002C6039" w:rsidP="002C6039">
      <w:pPr>
        <w:rPr>
          <w:color w:val="0B2B43" w:themeColor="text2" w:themeShade="80"/>
        </w:rPr>
      </w:pPr>
      <w:r w:rsidRPr="004A1196">
        <w:rPr>
          <w:color w:val="0B2B43" w:themeColor="text2" w:themeShade="80"/>
        </w:rPr>
        <w:t xml:space="preserve">The competitive grant programmes </w:t>
      </w:r>
      <w:r w:rsidRPr="004A1196" w:rsidDel="00ED3668">
        <w:rPr>
          <w:color w:val="0B2B43" w:themeColor="text2" w:themeShade="80"/>
        </w:rPr>
        <w:t xml:space="preserve">and </w:t>
      </w:r>
      <w:proofErr w:type="spellStart"/>
      <w:r w:rsidRPr="004A1196">
        <w:rPr>
          <w:color w:val="0B2B43" w:themeColor="text2" w:themeShade="80"/>
        </w:rPr>
        <w:t>RBG</w:t>
      </w:r>
      <w:proofErr w:type="spellEnd"/>
      <w:r w:rsidRPr="004A1196">
        <w:rPr>
          <w:color w:val="0B2B43" w:themeColor="text2" w:themeShade="80"/>
        </w:rPr>
        <w:t xml:space="preserve"> </w:t>
      </w:r>
      <w:r w:rsidRPr="004A1196" w:rsidDel="00ED3668">
        <w:rPr>
          <w:color w:val="0B2B43" w:themeColor="text2" w:themeShade="80"/>
        </w:rPr>
        <w:t xml:space="preserve">are </w:t>
      </w:r>
      <w:r w:rsidRPr="004A1196">
        <w:rPr>
          <w:color w:val="0B2B43" w:themeColor="text2" w:themeShade="80"/>
        </w:rPr>
        <w:t xml:space="preserve">the central focus of this review. </w:t>
      </w:r>
    </w:p>
    <w:p w:rsidR="002C6039" w:rsidRPr="004A1196" w:rsidRDefault="002C6039" w:rsidP="002C6039">
      <w:pPr>
        <w:rPr>
          <w:color w:val="0B2B43" w:themeColor="text2" w:themeShade="80"/>
        </w:rPr>
      </w:pPr>
      <w:r w:rsidRPr="004A1196">
        <w:rPr>
          <w:color w:val="0B2B43" w:themeColor="text2" w:themeShade="80"/>
        </w:rPr>
        <w:t xml:space="preserve">The competitive grant component </w:t>
      </w:r>
      <w:proofErr w:type="gramStart"/>
      <w:r w:rsidRPr="004A1196">
        <w:rPr>
          <w:color w:val="0B2B43" w:themeColor="text2" w:themeShade="80"/>
        </w:rPr>
        <w:t>is made up</w:t>
      </w:r>
      <w:proofErr w:type="gramEnd"/>
      <w:r w:rsidRPr="004A1196">
        <w:rPr>
          <w:color w:val="0B2B43" w:themeColor="text2" w:themeShade="80"/>
        </w:rPr>
        <w:t xml:space="preserve"> of the merit-based, peer-reviewed funding programmes administered by the </w:t>
      </w:r>
      <w:r w:rsidR="000A52AC">
        <w:rPr>
          <w:color w:val="0B2B43" w:themeColor="text2" w:themeShade="80"/>
        </w:rPr>
        <w:t>ARC</w:t>
      </w:r>
      <w:r w:rsidRPr="004A1196">
        <w:rPr>
          <w:color w:val="0B2B43" w:themeColor="text2" w:themeShade="80"/>
        </w:rPr>
        <w:t>, the National Health and Medical Research Council (NHMRC) and Rural Research and Development Corporations (</w:t>
      </w:r>
      <w:proofErr w:type="spellStart"/>
      <w:r w:rsidRPr="004A1196">
        <w:rPr>
          <w:color w:val="0B2B43" w:themeColor="text2" w:themeShade="80"/>
        </w:rPr>
        <w:t>RDC</w:t>
      </w:r>
      <w:proofErr w:type="spellEnd"/>
      <w:r w:rsidRPr="004A1196">
        <w:rPr>
          <w:color w:val="0B2B43" w:themeColor="text2" w:themeShade="80"/>
        </w:rPr>
        <w:t xml:space="preserve">). These competitive programmes fund </w:t>
      </w:r>
      <w:r w:rsidRPr="004A1196" w:rsidDel="00ED3668">
        <w:rPr>
          <w:color w:val="0B2B43" w:themeColor="text2" w:themeShade="80"/>
        </w:rPr>
        <w:t xml:space="preserve">only </w:t>
      </w:r>
      <w:r w:rsidRPr="004A1196">
        <w:rPr>
          <w:color w:val="0B2B43" w:themeColor="text2" w:themeShade="80"/>
        </w:rPr>
        <w:t>the direct costs of individual research projects.</w:t>
      </w:r>
    </w:p>
    <w:p w:rsidR="002C6039" w:rsidRPr="004A1196" w:rsidRDefault="002C6039" w:rsidP="002C6039">
      <w:pPr>
        <w:rPr>
          <w:color w:val="0B2B43" w:themeColor="text2" w:themeShade="80"/>
        </w:rPr>
      </w:pPr>
      <w:proofErr w:type="spellStart"/>
      <w:r w:rsidRPr="004A1196">
        <w:rPr>
          <w:color w:val="0B2B43" w:themeColor="text2" w:themeShade="80"/>
        </w:rPr>
        <w:t>RBG</w:t>
      </w:r>
      <w:proofErr w:type="spellEnd"/>
      <w:r w:rsidRPr="004A1196">
        <w:rPr>
          <w:color w:val="0B2B43" w:themeColor="text2" w:themeShade="80"/>
        </w:rPr>
        <w:t xml:space="preserve"> support the indirect costs of Australian competitive grants, </w:t>
      </w:r>
      <w:r w:rsidR="003904BC">
        <w:rPr>
          <w:color w:val="0B2B43" w:themeColor="text2" w:themeShade="80"/>
        </w:rPr>
        <w:t>end user</w:t>
      </w:r>
      <w:r w:rsidRPr="004A1196">
        <w:rPr>
          <w:color w:val="0B2B43" w:themeColor="text2" w:themeShade="80"/>
        </w:rPr>
        <w:t xml:space="preserve"> research and research training.</w:t>
      </w:r>
      <w:r w:rsidRPr="004A1196">
        <w:rPr>
          <w:color w:val="0B2B43" w:themeColor="text2" w:themeShade="80"/>
          <w:vertAlign w:val="superscript"/>
        </w:rPr>
        <w:footnoteReference w:id="12"/>
      </w:r>
      <w:r w:rsidRPr="004A1196">
        <w:rPr>
          <w:color w:val="0B2B43" w:themeColor="text2" w:themeShade="80"/>
        </w:rPr>
        <w:t xml:space="preserve"> </w:t>
      </w:r>
      <w:proofErr w:type="spellStart"/>
      <w:r w:rsidRPr="004A1196">
        <w:rPr>
          <w:color w:val="0B2B43" w:themeColor="text2" w:themeShade="80"/>
        </w:rPr>
        <w:t>RBG</w:t>
      </w:r>
      <w:proofErr w:type="spellEnd"/>
      <w:r w:rsidRPr="004A1196">
        <w:rPr>
          <w:color w:val="0B2B43" w:themeColor="text2" w:themeShade="80"/>
        </w:rPr>
        <w:t xml:space="preserve"> funding </w:t>
      </w:r>
      <w:proofErr w:type="gramStart"/>
      <w:r w:rsidRPr="004A1196">
        <w:rPr>
          <w:color w:val="0B2B43" w:themeColor="text2" w:themeShade="80"/>
        </w:rPr>
        <w:t>is not tied</w:t>
      </w:r>
      <w:proofErr w:type="gramEnd"/>
      <w:r w:rsidRPr="004A1196">
        <w:rPr>
          <w:color w:val="0B2B43" w:themeColor="text2" w:themeShade="80"/>
        </w:rPr>
        <w:t xml:space="preserve"> to specific funded projects, allowing universities to make strategic decisions on their research investments.</w:t>
      </w:r>
    </w:p>
    <w:p w:rsidR="002C6039" w:rsidRPr="004A1196" w:rsidRDefault="002C6039" w:rsidP="002C6039">
      <w:pPr>
        <w:rPr>
          <w:color w:val="0B2B43" w:themeColor="text2" w:themeShade="80"/>
        </w:rPr>
      </w:pPr>
      <w:r w:rsidRPr="004A1196">
        <w:rPr>
          <w:color w:val="0B2B43" w:themeColor="text2" w:themeShade="80"/>
        </w:rPr>
        <w:t>Allocations through the dual funding programmes over the four year period from 2015-16 are shown in Table 1.</w:t>
      </w:r>
    </w:p>
    <w:p w:rsidR="001E7944" w:rsidRPr="005B60B6" w:rsidRDefault="002C6039" w:rsidP="004233BD">
      <w:pPr>
        <w:keepNext/>
        <w:spacing w:after="0"/>
        <w:rPr>
          <w:b/>
          <w:color w:val="0B2B43" w:themeColor="text2" w:themeShade="80"/>
        </w:rPr>
      </w:pPr>
      <w:proofErr w:type="gramStart"/>
      <w:r w:rsidRPr="00967409">
        <w:rPr>
          <w:b/>
          <w:color w:val="0B2B43" w:themeColor="text2" w:themeShade="80"/>
        </w:rPr>
        <w:t xml:space="preserve">Table </w:t>
      </w:r>
      <w:r w:rsidRPr="00967409">
        <w:rPr>
          <w:b/>
          <w:color w:val="0B2B43" w:themeColor="text2" w:themeShade="80"/>
        </w:rPr>
        <w:fldChar w:fldCharType="begin"/>
      </w:r>
      <w:r w:rsidRPr="00967409">
        <w:rPr>
          <w:b/>
          <w:color w:val="0B2B43" w:themeColor="text2" w:themeShade="80"/>
        </w:rPr>
        <w:instrText xml:space="preserve"> SEQ Table \* ARABIC </w:instrText>
      </w:r>
      <w:r w:rsidRPr="00967409">
        <w:rPr>
          <w:b/>
          <w:color w:val="0B2B43" w:themeColor="text2" w:themeShade="80"/>
        </w:rPr>
        <w:fldChar w:fldCharType="separate"/>
      </w:r>
      <w:r w:rsidR="00E05D3F">
        <w:rPr>
          <w:b/>
          <w:noProof/>
          <w:color w:val="0B2B43" w:themeColor="text2" w:themeShade="80"/>
        </w:rPr>
        <w:t>1</w:t>
      </w:r>
      <w:r w:rsidRPr="00967409">
        <w:rPr>
          <w:b/>
          <w:color w:val="0B2B43" w:themeColor="text2" w:themeShade="80"/>
        </w:rPr>
        <w:fldChar w:fldCharType="end"/>
      </w:r>
      <w:r w:rsidRPr="00967409">
        <w:rPr>
          <w:b/>
          <w:color w:val="0B2B43" w:themeColor="text2" w:themeShade="80"/>
        </w:rPr>
        <w:t>.</w:t>
      </w:r>
      <w:proofErr w:type="gramEnd"/>
      <w:r w:rsidRPr="00967409">
        <w:rPr>
          <w:b/>
          <w:color w:val="0B2B43" w:themeColor="text2" w:themeShade="80"/>
        </w:rPr>
        <w:t xml:space="preserve"> Austra</w:t>
      </w:r>
      <w:r w:rsidR="00033AD4" w:rsidRPr="00967409">
        <w:rPr>
          <w:b/>
          <w:color w:val="0B2B43" w:themeColor="text2" w:themeShade="80"/>
        </w:rPr>
        <w:t>lian Competitive Grant (</w:t>
      </w:r>
      <w:proofErr w:type="spellStart"/>
      <w:r w:rsidR="00033AD4" w:rsidRPr="00967409">
        <w:rPr>
          <w:b/>
          <w:color w:val="0B2B43" w:themeColor="text2" w:themeShade="80"/>
        </w:rPr>
        <w:t>ACG</w:t>
      </w:r>
      <w:proofErr w:type="spellEnd"/>
      <w:r w:rsidR="00033AD4" w:rsidRPr="00967409">
        <w:rPr>
          <w:b/>
          <w:color w:val="0B2B43" w:themeColor="text2" w:themeShade="80"/>
        </w:rPr>
        <w:t>),</w:t>
      </w:r>
      <w:r w:rsidRPr="00967409">
        <w:rPr>
          <w:b/>
          <w:color w:val="0B2B43" w:themeColor="text2" w:themeShade="80"/>
        </w:rPr>
        <w:t xml:space="preserve"> </w:t>
      </w:r>
      <w:proofErr w:type="spellStart"/>
      <w:r w:rsidRPr="00967409">
        <w:rPr>
          <w:b/>
          <w:color w:val="0B2B43" w:themeColor="text2" w:themeShade="80"/>
        </w:rPr>
        <w:t>RBG</w:t>
      </w:r>
      <w:proofErr w:type="spellEnd"/>
      <w:r w:rsidRPr="00967409">
        <w:rPr>
          <w:b/>
          <w:color w:val="0B2B43" w:themeColor="text2" w:themeShade="80"/>
        </w:rPr>
        <w:t xml:space="preserve"> </w:t>
      </w:r>
      <w:r w:rsidR="00033AD4" w:rsidRPr="00967409">
        <w:rPr>
          <w:b/>
          <w:color w:val="0B2B43" w:themeColor="text2" w:themeShade="80"/>
        </w:rPr>
        <w:t xml:space="preserve">and </w:t>
      </w:r>
      <w:proofErr w:type="spellStart"/>
      <w:r w:rsidR="00033AD4" w:rsidRPr="00967409">
        <w:rPr>
          <w:b/>
          <w:color w:val="0B2B43" w:themeColor="text2" w:themeShade="80"/>
        </w:rPr>
        <w:t>RDC</w:t>
      </w:r>
      <w:proofErr w:type="spellEnd"/>
      <w:r w:rsidR="00033AD4" w:rsidRPr="00967409">
        <w:rPr>
          <w:b/>
          <w:color w:val="0B2B43" w:themeColor="text2" w:themeShade="80"/>
        </w:rPr>
        <w:t xml:space="preserve"> </w:t>
      </w:r>
      <w:r w:rsidRPr="00967409">
        <w:rPr>
          <w:b/>
          <w:color w:val="0B2B43" w:themeColor="text2" w:themeShade="80"/>
        </w:rPr>
        <w:t>funding 2015-16 to 2018-19</w:t>
      </w:r>
      <w:r w:rsidR="00676E9D">
        <w:rPr>
          <w:color w:val="0B2B43" w:themeColor="text2" w:themeShade="80"/>
        </w:rPr>
        <w:t xml:space="preserve"> </w:t>
      </w:r>
      <w:r w:rsidR="00676E9D" w:rsidRPr="00C6639A">
        <w:rPr>
          <w:b/>
          <w:color w:val="0B2B43" w:themeColor="text2" w:themeShade="80"/>
        </w:rPr>
        <w:t>(</w:t>
      </w:r>
      <w:r w:rsidR="001E7944" w:rsidRPr="00C6639A">
        <w:rPr>
          <w:b/>
          <w:color w:val="0B2B43" w:themeColor="text2" w:themeShade="80"/>
        </w:rPr>
        <w:t>$m)</w:t>
      </w:r>
    </w:p>
    <w:tbl>
      <w:tblPr>
        <w:tblStyle w:val="Review"/>
        <w:tblW w:w="0" w:type="auto"/>
        <w:tblLook w:val="0060" w:firstRow="1" w:lastRow="1" w:firstColumn="0" w:lastColumn="0" w:noHBand="0" w:noVBand="0"/>
        <w:tblDescription w:val="Table description"/>
      </w:tblPr>
      <w:tblGrid>
        <w:gridCol w:w="1807"/>
        <w:gridCol w:w="1808"/>
        <w:gridCol w:w="1808"/>
        <w:gridCol w:w="1808"/>
        <w:gridCol w:w="1808"/>
      </w:tblGrid>
      <w:tr w:rsidR="004A1196" w:rsidRPr="00676E9D" w:rsidTr="001E7944">
        <w:trPr>
          <w:cnfStyle w:val="100000000000" w:firstRow="1" w:lastRow="0" w:firstColumn="0" w:lastColumn="0" w:oddVBand="0" w:evenVBand="0" w:oddHBand="0" w:evenHBand="0" w:firstRowFirstColumn="0" w:firstRowLastColumn="0" w:lastRowFirstColumn="0" w:lastRowLastColumn="0"/>
          <w:cantSplit/>
          <w:tblHeader/>
        </w:trPr>
        <w:tc>
          <w:tcPr>
            <w:tcW w:w="1807" w:type="dxa"/>
          </w:tcPr>
          <w:p w:rsidR="002C6039" w:rsidRPr="00676E9D" w:rsidRDefault="002C6039" w:rsidP="004C46EF">
            <w:pPr>
              <w:pStyle w:val="TabletextRI"/>
              <w:rPr>
                <w:color w:val="0B2B43" w:themeColor="text2" w:themeShade="80"/>
              </w:rPr>
            </w:pPr>
          </w:p>
        </w:tc>
        <w:tc>
          <w:tcPr>
            <w:tcW w:w="1808" w:type="dxa"/>
          </w:tcPr>
          <w:p w:rsidR="002C6039" w:rsidRPr="00676E9D" w:rsidRDefault="002C6039" w:rsidP="004C46EF">
            <w:pPr>
              <w:pStyle w:val="TabletextRI"/>
              <w:rPr>
                <w:b/>
                <w:color w:val="0B2B43" w:themeColor="text2" w:themeShade="80"/>
              </w:rPr>
            </w:pPr>
            <w:r w:rsidRPr="00676E9D">
              <w:rPr>
                <w:b/>
                <w:color w:val="0B2B43" w:themeColor="text2" w:themeShade="80"/>
              </w:rPr>
              <w:t>2015-16</w:t>
            </w:r>
          </w:p>
        </w:tc>
        <w:tc>
          <w:tcPr>
            <w:tcW w:w="1808" w:type="dxa"/>
          </w:tcPr>
          <w:p w:rsidR="002C6039" w:rsidRPr="00676E9D" w:rsidRDefault="002C6039" w:rsidP="004C46EF">
            <w:pPr>
              <w:pStyle w:val="TabletextRI"/>
              <w:rPr>
                <w:b/>
                <w:color w:val="0B2B43" w:themeColor="text2" w:themeShade="80"/>
              </w:rPr>
            </w:pPr>
            <w:r w:rsidRPr="00676E9D">
              <w:rPr>
                <w:b/>
                <w:color w:val="0B2B43" w:themeColor="text2" w:themeShade="80"/>
              </w:rPr>
              <w:t>2016-17</w:t>
            </w:r>
          </w:p>
        </w:tc>
        <w:tc>
          <w:tcPr>
            <w:tcW w:w="1808" w:type="dxa"/>
          </w:tcPr>
          <w:p w:rsidR="002C6039" w:rsidRPr="00676E9D" w:rsidRDefault="002C6039" w:rsidP="004C46EF">
            <w:pPr>
              <w:pStyle w:val="TabletextRI"/>
              <w:rPr>
                <w:b/>
                <w:color w:val="0B2B43" w:themeColor="text2" w:themeShade="80"/>
              </w:rPr>
            </w:pPr>
            <w:r w:rsidRPr="00676E9D">
              <w:rPr>
                <w:b/>
                <w:color w:val="0B2B43" w:themeColor="text2" w:themeShade="80"/>
              </w:rPr>
              <w:t>2017-18</w:t>
            </w:r>
          </w:p>
        </w:tc>
        <w:tc>
          <w:tcPr>
            <w:tcW w:w="1808" w:type="dxa"/>
          </w:tcPr>
          <w:p w:rsidR="002C6039" w:rsidRPr="00676E9D" w:rsidRDefault="002C6039" w:rsidP="004C46EF">
            <w:pPr>
              <w:pStyle w:val="TabletextRI"/>
              <w:rPr>
                <w:b/>
                <w:color w:val="0B2B43" w:themeColor="text2" w:themeShade="80"/>
              </w:rPr>
            </w:pPr>
            <w:r w:rsidRPr="00676E9D">
              <w:rPr>
                <w:b/>
                <w:color w:val="0B2B43" w:themeColor="text2" w:themeShade="80"/>
              </w:rPr>
              <w:t>2018-19</w:t>
            </w:r>
          </w:p>
        </w:tc>
      </w:tr>
      <w:tr w:rsidR="004A1196" w:rsidRPr="00676E9D" w:rsidTr="002C45FE">
        <w:tc>
          <w:tcPr>
            <w:tcW w:w="1807" w:type="dxa"/>
          </w:tcPr>
          <w:p w:rsidR="002C6039" w:rsidRPr="00676E9D" w:rsidRDefault="002C6039" w:rsidP="005B60B6">
            <w:pPr>
              <w:pStyle w:val="TabletextRI"/>
              <w:rPr>
                <w:color w:val="0B2B43" w:themeColor="text2" w:themeShade="80"/>
              </w:rPr>
            </w:pPr>
            <w:proofErr w:type="spellStart"/>
            <w:r w:rsidRPr="00676E9D">
              <w:rPr>
                <w:color w:val="0B2B43" w:themeColor="text2" w:themeShade="80"/>
              </w:rPr>
              <w:t>RBG</w:t>
            </w:r>
            <w:proofErr w:type="spellEnd"/>
          </w:p>
        </w:tc>
        <w:tc>
          <w:tcPr>
            <w:tcW w:w="1808" w:type="dxa"/>
          </w:tcPr>
          <w:p w:rsidR="002C6039" w:rsidRPr="00676E9D" w:rsidRDefault="002C6039" w:rsidP="004C46EF">
            <w:pPr>
              <w:pStyle w:val="TabletextRI"/>
              <w:jc w:val="right"/>
              <w:rPr>
                <w:color w:val="0B2B43" w:themeColor="text2" w:themeShade="80"/>
              </w:rPr>
            </w:pPr>
            <w:r w:rsidRPr="00676E9D">
              <w:rPr>
                <w:color w:val="0B2B43" w:themeColor="text2" w:themeShade="80"/>
              </w:rPr>
              <w:t>1,803</w:t>
            </w:r>
          </w:p>
        </w:tc>
        <w:tc>
          <w:tcPr>
            <w:tcW w:w="1808" w:type="dxa"/>
          </w:tcPr>
          <w:p w:rsidR="002C6039" w:rsidRPr="00676E9D" w:rsidRDefault="002C6039" w:rsidP="004C46EF">
            <w:pPr>
              <w:pStyle w:val="TabletextRI"/>
              <w:jc w:val="right"/>
              <w:rPr>
                <w:color w:val="0B2B43" w:themeColor="text2" w:themeShade="80"/>
              </w:rPr>
            </w:pPr>
            <w:r w:rsidRPr="00676E9D">
              <w:rPr>
                <w:color w:val="0B2B43" w:themeColor="text2" w:themeShade="80"/>
              </w:rPr>
              <w:t>1,707</w:t>
            </w:r>
          </w:p>
        </w:tc>
        <w:tc>
          <w:tcPr>
            <w:tcW w:w="1808" w:type="dxa"/>
          </w:tcPr>
          <w:p w:rsidR="002C6039" w:rsidRPr="00676E9D" w:rsidRDefault="002C6039" w:rsidP="004C46EF">
            <w:pPr>
              <w:pStyle w:val="TabletextRI"/>
              <w:jc w:val="right"/>
              <w:rPr>
                <w:color w:val="0B2B43" w:themeColor="text2" w:themeShade="80"/>
              </w:rPr>
            </w:pPr>
            <w:r w:rsidRPr="00676E9D">
              <w:rPr>
                <w:color w:val="0B2B43" w:themeColor="text2" w:themeShade="80"/>
              </w:rPr>
              <w:t>1,863</w:t>
            </w:r>
          </w:p>
        </w:tc>
        <w:tc>
          <w:tcPr>
            <w:tcW w:w="1808" w:type="dxa"/>
          </w:tcPr>
          <w:p w:rsidR="002C6039" w:rsidRPr="00676E9D" w:rsidRDefault="002C6039" w:rsidP="004C46EF">
            <w:pPr>
              <w:pStyle w:val="TabletextRI"/>
              <w:jc w:val="right"/>
              <w:rPr>
                <w:color w:val="0B2B43" w:themeColor="text2" w:themeShade="80"/>
              </w:rPr>
            </w:pPr>
            <w:r w:rsidRPr="00676E9D">
              <w:rPr>
                <w:color w:val="0B2B43" w:themeColor="text2" w:themeShade="80"/>
              </w:rPr>
              <w:t>1,855</w:t>
            </w:r>
          </w:p>
        </w:tc>
      </w:tr>
      <w:tr w:rsidR="004A1196" w:rsidRPr="00676E9D" w:rsidTr="002C45FE">
        <w:trPr>
          <w:cnfStyle w:val="000000010000" w:firstRow="0" w:lastRow="0" w:firstColumn="0" w:lastColumn="0" w:oddVBand="0" w:evenVBand="0" w:oddHBand="0" w:evenHBand="1" w:firstRowFirstColumn="0" w:firstRowLastColumn="0" w:lastRowFirstColumn="0" w:lastRowLastColumn="0"/>
        </w:trPr>
        <w:tc>
          <w:tcPr>
            <w:tcW w:w="1807" w:type="dxa"/>
          </w:tcPr>
          <w:p w:rsidR="002C6039" w:rsidRPr="00676E9D" w:rsidRDefault="002C6039" w:rsidP="004C46EF">
            <w:pPr>
              <w:pStyle w:val="TabletextRI"/>
              <w:rPr>
                <w:color w:val="0B2B43" w:themeColor="text2" w:themeShade="80"/>
              </w:rPr>
            </w:pPr>
            <w:r w:rsidRPr="00676E9D">
              <w:rPr>
                <w:color w:val="0B2B43" w:themeColor="text2" w:themeShade="80"/>
              </w:rPr>
              <w:t>ARC</w:t>
            </w:r>
          </w:p>
        </w:tc>
        <w:tc>
          <w:tcPr>
            <w:tcW w:w="1808" w:type="dxa"/>
          </w:tcPr>
          <w:p w:rsidR="002C6039" w:rsidRPr="00676E9D" w:rsidRDefault="002C6039" w:rsidP="004C46EF">
            <w:pPr>
              <w:pStyle w:val="TabletextRI"/>
              <w:jc w:val="right"/>
              <w:rPr>
                <w:color w:val="0B2B43" w:themeColor="text2" w:themeShade="80"/>
              </w:rPr>
            </w:pPr>
            <w:r w:rsidRPr="00676E9D">
              <w:rPr>
                <w:color w:val="0B2B43" w:themeColor="text2" w:themeShade="80"/>
              </w:rPr>
              <w:t>790</w:t>
            </w:r>
          </w:p>
        </w:tc>
        <w:tc>
          <w:tcPr>
            <w:tcW w:w="1808" w:type="dxa"/>
          </w:tcPr>
          <w:p w:rsidR="002C6039" w:rsidRPr="00676E9D" w:rsidRDefault="002C6039" w:rsidP="004C46EF">
            <w:pPr>
              <w:pStyle w:val="TabletextRI"/>
              <w:jc w:val="right"/>
              <w:rPr>
                <w:color w:val="0B2B43" w:themeColor="text2" w:themeShade="80"/>
              </w:rPr>
            </w:pPr>
            <w:r w:rsidRPr="00676E9D">
              <w:rPr>
                <w:color w:val="0B2B43" w:themeColor="text2" w:themeShade="80"/>
              </w:rPr>
              <w:t>751</w:t>
            </w:r>
          </w:p>
        </w:tc>
        <w:tc>
          <w:tcPr>
            <w:tcW w:w="1808" w:type="dxa"/>
          </w:tcPr>
          <w:p w:rsidR="002C6039" w:rsidRPr="00676E9D" w:rsidRDefault="002C6039" w:rsidP="004C46EF">
            <w:pPr>
              <w:pStyle w:val="TabletextRI"/>
              <w:jc w:val="right"/>
              <w:rPr>
                <w:color w:val="0B2B43" w:themeColor="text2" w:themeShade="80"/>
              </w:rPr>
            </w:pPr>
            <w:r w:rsidRPr="00676E9D">
              <w:rPr>
                <w:color w:val="0B2B43" w:themeColor="text2" w:themeShade="80"/>
              </w:rPr>
              <w:t>784</w:t>
            </w:r>
          </w:p>
        </w:tc>
        <w:tc>
          <w:tcPr>
            <w:tcW w:w="1808" w:type="dxa"/>
          </w:tcPr>
          <w:p w:rsidR="002C6039" w:rsidRPr="00676E9D" w:rsidRDefault="002C6039" w:rsidP="004C46EF">
            <w:pPr>
              <w:pStyle w:val="TabletextRI"/>
              <w:jc w:val="right"/>
              <w:rPr>
                <w:color w:val="0B2B43" w:themeColor="text2" w:themeShade="80"/>
              </w:rPr>
            </w:pPr>
            <w:r w:rsidRPr="00676E9D">
              <w:rPr>
                <w:color w:val="0B2B43" w:themeColor="text2" w:themeShade="80"/>
              </w:rPr>
              <w:t>792</w:t>
            </w:r>
          </w:p>
        </w:tc>
      </w:tr>
      <w:tr w:rsidR="004A1196" w:rsidRPr="00676E9D" w:rsidTr="002C45FE">
        <w:tc>
          <w:tcPr>
            <w:tcW w:w="1807" w:type="dxa"/>
          </w:tcPr>
          <w:p w:rsidR="002C6039" w:rsidRPr="00676E9D" w:rsidRDefault="002C6039" w:rsidP="004C46EF">
            <w:pPr>
              <w:pStyle w:val="TabletextRI"/>
              <w:rPr>
                <w:color w:val="0B2B43" w:themeColor="text2" w:themeShade="80"/>
              </w:rPr>
            </w:pPr>
            <w:r w:rsidRPr="00676E9D">
              <w:rPr>
                <w:color w:val="0B2B43" w:themeColor="text2" w:themeShade="80"/>
              </w:rPr>
              <w:t>NHMRC</w:t>
            </w:r>
          </w:p>
        </w:tc>
        <w:tc>
          <w:tcPr>
            <w:tcW w:w="1808" w:type="dxa"/>
          </w:tcPr>
          <w:p w:rsidR="002C6039" w:rsidRPr="00676E9D" w:rsidRDefault="002C6039" w:rsidP="004C46EF">
            <w:pPr>
              <w:pStyle w:val="TabletextRI"/>
              <w:jc w:val="right"/>
              <w:rPr>
                <w:color w:val="0B2B43" w:themeColor="text2" w:themeShade="80"/>
              </w:rPr>
            </w:pPr>
            <w:r w:rsidRPr="00676E9D">
              <w:rPr>
                <w:color w:val="0B2B43" w:themeColor="text2" w:themeShade="80"/>
              </w:rPr>
              <w:t>889</w:t>
            </w:r>
          </w:p>
        </w:tc>
        <w:tc>
          <w:tcPr>
            <w:tcW w:w="1808" w:type="dxa"/>
          </w:tcPr>
          <w:p w:rsidR="002C6039" w:rsidRPr="00676E9D" w:rsidRDefault="002C6039" w:rsidP="004C46EF">
            <w:pPr>
              <w:pStyle w:val="TabletextRI"/>
              <w:jc w:val="right"/>
              <w:rPr>
                <w:color w:val="0B2B43" w:themeColor="text2" w:themeShade="80"/>
              </w:rPr>
            </w:pPr>
            <w:r w:rsidRPr="00676E9D">
              <w:rPr>
                <w:color w:val="0B2B43" w:themeColor="text2" w:themeShade="80"/>
              </w:rPr>
              <w:t>879</w:t>
            </w:r>
          </w:p>
        </w:tc>
        <w:tc>
          <w:tcPr>
            <w:tcW w:w="1808" w:type="dxa"/>
          </w:tcPr>
          <w:p w:rsidR="002C6039" w:rsidRPr="00676E9D" w:rsidRDefault="002C6039" w:rsidP="004C46EF">
            <w:pPr>
              <w:pStyle w:val="TabletextRI"/>
              <w:jc w:val="right"/>
              <w:rPr>
                <w:color w:val="0B2B43" w:themeColor="text2" w:themeShade="80"/>
              </w:rPr>
            </w:pPr>
            <w:r w:rsidRPr="00676E9D">
              <w:rPr>
                <w:color w:val="0B2B43" w:themeColor="text2" w:themeShade="80"/>
              </w:rPr>
              <w:t>886</w:t>
            </w:r>
          </w:p>
        </w:tc>
        <w:tc>
          <w:tcPr>
            <w:tcW w:w="1808" w:type="dxa"/>
          </w:tcPr>
          <w:p w:rsidR="002C6039" w:rsidRPr="00676E9D" w:rsidRDefault="002C6039" w:rsidP="004C46EF">
            <w:pPr>
              <w:pStyle w:val="TabletextRI"/>
              <w:jc w:val="right"/>
              <w:rPr>
                <w:color w:val="0B2B43" w:themeColor="text2" w:themeShade="80"/>
              </w:rPr>
            </w:pPr>
            <w:r w:rsidRPr="00676E9D">
              <w:rPr>
                <w:color w:val="0B2B43" w:themeColor="text2" w:themeShade="80"/>
              </w:rPr>
              <w:t>896</w:t>
            </w:r>
          </w:p>
        </w:tc>
      </w:tr>
      <w:tr w:rsidR="004A1196" w:rsidRPr="00676E9D" w:rsidTr="002C45FE">
        <w:trPr>
          <w:cnfStyle w:val="000000010000" w:firstRow="0" w:lastRow="0" w:firstColumn="0" w:lastColumn="0" w:oddVBand="0" w:evenVBand="0" w:oddHBand="0" w:evenHBand="1" w:firstRowFirstColumn="0" w:firstRowLastColumn="0" w:lastRowFirstColumn="0" w:lastRowLastColumn="0"/>
        </w:trPr>
        <w:tc>
          <w:tcPr>
            <w:tcW w:w="1807" w:type="dxa"/>
          </w:tcPr>
          <w:p w:rsidR="00CE6C1E" w:rsidRPr="00676E9D" w:rsidRDefault="00CE6C1E" w:rsidP="004C46EF">
            <w:pPr>
              <w:pStyle w:val="TabletextRI"/>
              <w:rPr>
                <w:color w:val="0B2B43" w:themeColor="text2" w:themeShade="80"/>
              </w:rPr>
            </w:pPr>
            <w:proofErr w:type="spellStart"/>
            <w:r w:rsidRPr="00676E9D">
              <w:rPr>
                <w:color w:val="0B2B43" w:themeColor="text2" w:themeShade="80"/>
              </w:rPr>
              <w:t>RDC</w:t>
            </w:r>
            <w:proofErr w:type="spellEnd"/>
          </w:p>
        </w:tc>
        <w:tc>
          <w:tcPr>
            <w:tcW w:w="1808" w:type="dxa"/>
          </w:tcPr>
          <w:p w:rsidR="00CE6C1E" w:rsidRPr="00676E9D" w:rsidRDefault="00AB7B3C" w:rsidP="004C46EF">
            <w:pPr>
              <w:pStyle w:val="TabletextRI"/>
              <w:jc w:val="right"/>
              <w:rPr>
                <w:color w:val="0B2B43" w:themeColor="text2" w:themeShade="80"/>
              </w:rPr>
            </w:pPr>
            <w:r w:rsidRPr="00676E9D">
              <w:rPr>
                <w:color w:val="0B2B43" w:themeColor="text2" w:themeShade="80"/>
              </w:rPr>
              <w:t>12</w:t>
            </w:r>
          </w:p>
        </w:tc>
        <w:tc>
          <w:tcPr>
            <w:tcW w:w="1808" w:type="dxa"/>
          </w:tcPr>
          <w:p w:rsidR="00CE6C1E" w:rsidRPr="00676E9D" w:rsidRDefault="00AB7B3C" w:rsidP="004C46EF">
            <w:pPr>
              <w:pStyle w:val="TabletextRI"/>
              <w:jc w:val="right"/>
              <w:rPr>
                <w:color w:val="0B2B43" w:themeColor="text2" w:themeShade="80"/>
              </w:rPr>
            </w:pPr>
            <w:r w:rsidRPr="00676E9D">
              <w:rPr>
                <w:color w:val="0B2B43" w:themeColor="text2" w:themeShade="80"/>
              </w:rPr>
              <w:t>12</w:t>
            </w:r>
          </w:p>
        </w:tc>
        <w:tc>
          <w:tcPr>
            <w:tcW w:w="1808" w:type="dxa"/>
          </w:tcPr>
          <w:p w:rsidR="00CE6C1E" w:rsidRPr="00676E9D" w:rsidRDefault="00AB7B3C" w:rsidP="004C46EF">
            <w:pPr>
              <w:pStyle w:val="TabletextRI"/>
              <w:jc w:val="right"/>
              <w:rPr>
                <w:color w:val="0B2B43" w:themeColor="text2" w:themeShade="80"/>
              </w:rPr>
            </w:pPr>
            <w:r w:rsidRPr="00676E9D">
              <w:rPr>
                <w:color w:val="0B2B43" w:themeColor="text2" w:themeShade="80"/>
              </w:rPr>
              <w:t>13</w:t>
            </w:r>
          </w:p>
        </w:tc>
        <w:tc>
          <w:tcPr>
            <w:tcW w:w="1808" w:type="dxa"/>
          </w:tcPr>
          <w:p w:rsidR="00CE6C1E" w:rsidRPr="00676E9D" w:rsidRDefault="00AB7B3C" w:rsidP="004C46EF">
            <w:pPr>
              <w:pStyle w:val="TabletextRI"/>
              <w:jc w:val="right"/>
              <w:rPr>
                <w:color w:val="0B2B43" w:themeColor="text2" w:themeShade="80"/>
              </w:rPr>
            </w:pPr>
            <w:r w:rsidRPr="00676E9D">
              <w:rPr>
                <w:color w:val="0B2B43" w:themeColor="text2" w:themeShade="80"/>
              </w:rPr>
              <w:t>13</w:t>
            </w:r>
          </w:p>
        </w:tc>
      </w:tr>
      <w:tr w:rsidR="004A1196" w:rsidRPr="00676E9D" w:rsidTr="002C45FE">
        <w:tc>
          <w:tcPr>
            <w:tcW w:w="1807" w:type="dxa"/>
          </w:tcPr>
          <w:p w:rsidR="002C6039" w:rsidRPr="00676E9D" w:rsidRDefault="002C6039" w:rsidP="004C46EF">
            <w:pPr>
              <w:pStyle w:val="TabletextRI"/>
              <w:rPr>
                <w:color w:val="0B2B43" w:themeColor="text2" w:themeShade="80"/>
              </w:rPr>
            </w:pPr>
            <w:r w:rsidRPr="00676E9D">
              <w:rPr>
                <w:color w:val="0B2B43" w:themeColor="text2" w:themeShade="80"/>
              </w:rPr>
              <w:t>TOTAL</w:t>
            </w:r>
          </w:p>
        </w:tc>
        <w:tc>
          <w:tcPr>
            <w:tcW w:w="1808" w:type="dxa"/>
          </w:tcPr>
          <w:p w:rsidR="002C6039" w:rsidRPr="00676E9D" w:rsidRDefault="00F328D6" w:rsidP="004C46EF">
            <w:pPr>
              <w:pStyle w:val="TabletextRI"/>
              <w:jc w:val="right"/>
              <w:rPr>
                <w:color w:val="0B2B43" w:themeColor="text2" w:themeShade="80"/>
              </w:rPr>
            </w:pPr>
            <w:r w:rsidRPr="00C6639A">
              <w:rPr>
                <w:color w:val="0B2B43" w:themeColor="text2" w:themeShade="80"/>
              </w:rPr>
              <w:fldChar w:fldCharType="begin"/>
            </w:r>
            <w:r w:rsidRPr="00676E9D">
              <w:rPr>
                <w:color w:val="0B2B43" w:themeColor="text2" w:themeShade="80"/>
              </w:rPr>
              <w:instrText xml:space="preserve"> =SUM(ABOVE) </w:instrText>
            </w:r>
            <w:r w:rsidRPr="00C6639A">
              <w:rPr>
                <w:color w:val="0B2B43" w:themeColor="text2" w:themeShade="80"/>
              </w:rPr>
              <w:fldChar w:fldCharType="separate"/>
            </w:r>
            <w:r w:rsidRPr="00676E9D">
              <w:rPr>
                <w:noProof/>
                <w:color w:val="0B2B43" w:themeColor="text2" w:themeShade="80"/>
              </w:rPr>
              <w:t>3,494</w:t>
            </w:r>
            <w:r w:rsidRPr="00C6639A">
              <w:rPr>
                <w:color w:val="0B2B43" w:themeColor="text2" w:themeShade="80"/>
              </w:rPr>
              <w:fldChar w:fldCharType="end"/>
            </w:r>
          </w:p>
        </w:tc>
        <w:tc>
          <w:tcPr>
            <w:tcW w:w="1808" w:type="dxa"/>
          </w:tcPr>
          <w:p w:rsidR="002C6039" w:rsidRPr="00676E9D" w:rsidRDefault="00F328D6" w:rsidP="004C46EF">
            <w:pPr>
              <w:pStyle w:val="TabletextRI"/>
              <w:jc w:val="right"/>
              <w:rPr>
                <w:color w:val="0B2B43" w:themeColor="text2" w:themeShade="80"/>
              </w:rPr>
            </w:pPr>
            <w:r w:rsidRPr="00C6639A">
              <w:rPr>
                <w:color w:val="0B2B43" w:themeColor="text2" w:themeShade="80"/>
              </w:rPr>
              <w:fldChar w:fldCharType="begin"/>
            </w:r>
            <w:r w:rsidRPr="00676E9D">
              <w:rPr>
                <w:color w:val="0B2B43" w:themeColor="text2" w:themeShade="80"/>
              </w:rPr>
              <w:instrText xml:space="preserve"> =SUM(ABOVE) </w:instrText>
            </w:r>
            <w:r w:rsidRPr="00C6639A">
              <w:rPr>
                <w:color w:val="0B2B43" w:themeColor="text2" w:themeShade="80"/>
              </w:rPr>
              <w:fldChar w:fldCharType="separate"/>
            </w:r>
            <w:r w:rsidRPr="00676E9D">
              <w:rPr>
                <w:noProof/>
                <w:color w:val="0B2B43" w:themeColor="text2" w:themeShade="80"/>
              </w:rPr>
              <w:t>3,349</w:t>
            </w:r>
            <w:r w:rsidRPr="00C6639A">
              <w:rPr>
                <w:color w:val="0B2B43" w:themeColor="text2" w:themeShade="80"/>
              </w:rPr>
              <w:fldChar w:fldCharType="end"/>
            </w:r>
          </w:p>
        </w:tc>
        <w:tc>
          <w:tcPr>
            <w:tcW w:w="1808" w:type="dxa"/>
          </w:tcPr>
          <w:p w:rsidR="002C6039" w:rsidRPr="00676E9D" w:rsidRDefault="00F328D6" w:rsidP="004C46EF">
            <w:pPr>
              <w:pStyle w:val="TabletextRI"/>
              <w:jc w:val="right"/>
              <w:rPr>
                <w:color w:val="0B2B43" w:themeColor="text2" w:themeShade="80"/>
              </w:rPr>
            </w:pPr>
            <w:r w:rsidRPr="00C6639A">
              <w:rPr>
                <w:color w:val="0B2B43" w:themeColor="text2" w:themeShade="80"/>
              </w:rPr>
              <w:fldChar w:fldCharType="begin"/>
            </w:r>
            <w:r w:rsidRPr="00676E9D">
              <w:rPr>
                <w:color w:val="0B2B43" w:themeColor="text2" w:themeShade="80"/>
              </w:rPr>
              <w:instrText xml:space="preserve"> =SUM(ABOVE) </w:instrText>
            </w:r>
            <w:r w:rsidRPr="00C6639A">
              <w:rPr>
                <w:color w:val="0B2B43" w:themeColor="text2" w:themeShade="80"/>
              </w:rPr>
              <w:fldChar w:fldCharType="separate"/>
            </w:r>
            <w:r w:rsidRPr="00676E9D">
              <w:rPr>
                <w:noProof/>
                <w:color w:val="0B2B43" w:themeColor="text2" w:themeShade="80"/>
              </w:rPr>
              <w:t>3,546</w:t>
            </w:r>
            <w:r w:rsidRPr="00C6639A">
              <w:rPr>
                <w:color w:val="0B2B43" w:themeColor="text2" w:themeShade="80"/>
              </w:rPr>
              <w:fldChar w:fldCharType="end"/>
            </w:r>
          </w:p>
        </w:tc>
        <w:tc>
          <w:tcPr>
            <w:tcW w:w="1808" w:type="dxa"/>
          </w:tcPr>
          <w:p w:rsidR="002C6039" w:rsidRPr="00676E9D" w:rsidRDefault="00B21A8F" w:rsidP="004C46EF">
            <w:pPr>
              <w:pStyle w:val="TabletextRI"/>
              <w:jc w:val="right"/>
              <w:rPr>
                <w:color w:val="0B2B43" w:themeColor="text2" w:themeShade="80"/>
              </w:rPr>
            </w:pPr>
            <w:r w:rsidRPr="00C6639A">
              <w:rPr>
                <w:color w:val="0B2B43" w:themeColor="text2" w:themeShade="80"/>
              </w:rPr>
              <w:fldChar w:fldCharType="begin"/>
            </w:r>
            <w:r w:rsidRPr="00676E9D">
              <w:rPr>
                <w:color w:val="0B2B43" w:themeColor="text2" w:themeShade="80"/>
              </w:rPr>
              <w:instrText xml:space="preserve"> =SUM(ABOVE) </w:instrText>
            </w:r>
            <w:r w:rsidRPr="00C6639A">
              <w:rPr>
                <w:color w:val="0B2B43" w:themeColor="text2" w:themeShade="80"/>
              </w:rPr>
              <w:fldChar w:fldCharType="separate"/>
            </w:r>
            <w:r w:rsidRPr="00676E9D">
              <w:rPr>
                <w:noProof/>
                <w:color w:val="0B2B43" w:themeColor="text2" w:themeShade="80"/>
              </w:rPr>
              <w:t>3,556</w:t>
            </w:r>
            <w:r w:rsidRPr="00C6639A">
              <w:rPr>
                <w:color w:val="0B2B43" w:themeColor="text2" w:themeShade="80"/>
              </w:rPr>
              <w:fldChar w:fldCharType="end"/>
            </w:r>
          </w:p>
        </w:tc>
      </w:tr>
    </w:tbl>
    <w:p w:rsidR="002C6039" w:rsidRPr="004A1196" w:rsidRDefault="002C6039" w:rsidP="00B7681D">
      <w:pPr>
        <w:pStyle w:val="Source"/>
        <w:spacing w:before="0" w:after="0"/>
        <w:contextualSpacing/>
        <w:rPr>
          <w:color w:val="0B2B43" w:themeColor="text2" w:themeShade="80"/>
        </w:rPr>
      </w:pPr>
      <w:r w:rsidRPr="004A1196">
        <w:rPr>
          <w:color w:val="0B2B43" w:themeColor="text2" w:themeShade="80"/>
        </w:rPr>
        <w:t>Source: Portfolio Budget Statements 2015-16 for Education and Training Portfolio</w:t>
      </w:r>
      <w:r w:rsidR="00AB7B3C" w:rsidRPr="004A1196">
        <w:rPr>
          <w:color w:val="0B2B43" w:themeColor="text2" w:themeShade="80"/>
        </w:rPr>
        <w:t>, Departments of Agriculture</w:t>
      </w:r>
      <w:r w:rsidRPr="004A1196">
        <w:rPr>
          <w:color w:val="0B2B43" w:themeColor="text2" w:themeShade="80"/>
        </w:rPr>
        <w:t xml:space="preserve"> </w:t>
      </w:r>
      <w:r w:rsidR="00251C47" w:rsidRPr="004A1196">
        <w:rPr>
          <w:color w:val="0B2B43" w:themeColor="text2" w:themeShade="80"/>
        </w:rPr>
        <w:t xml:space="preserve">and Water Resources, </w:t>
      </w:r>
      <w:r w:rsidRPr="004A1196">
        <w:rPr>
          <w:color w:val="0B2B43" w:themeColor="text2" w:themeShade="80"/>
        </w:rPr>
        <w:t xml:space="preserve">and Health </w:t>
      </w:r>
    </w:p>
    <w:p w:rsidR="002C6039" w:rsidRPr="004A1196" w:rsidRDefault="002C6039" w:rsidP="00B7681D">
      <w:pPr>
        <w:spacing w:before="0" w:after="0"/>
        <w:contextualSpacing/>
        <w:rPr>
          <w:color w:val="0B2B43" w:themeColor="text2" w:themeShade="80"/>
          <w:sz w:val="20"/>
        </w:rPr>
      </w:pPr>
      <w:r w:rsidRPr="004A1196">
        <w:rPr>
          <w:color w:val="0B2B43" w:themeColor="text2" w:themeShade="80"/>
          <w:sz w:val="20"/>
        </w:rPr>
        <w:t>Note: While NHMRC grant funding is open to medical research institutes as well as universities, 79.3 per cent went to universities over the period 2004 to 2013.</w:t>
      </w:r>
      <w:r w:rsidR="00446B1F" w:rsidRPr="004A1196">
        <w:rPr>
          <w:rStyle w:val="FootnoteReference"/>
          <w:color w:val="0B2B43" w:themeColor="text2" w:themeShade="80"/>
        </w:rPr>
        <w:footnoteReference w:id="13"/>
      </w:r>
      <w:r w:rsidRPr="004A1196">
        <w:rPr>
          <w:color w:val="0B2B43" w:themeColor="text2" w:themeShade="80"/>
          <w:sz w:val="20"/>
        </w:rPr>
        <w:t xml:space="preserve"> It </w:t>
      </w:r>
      <w:proofErr w:type="gramStart"/>
      <w:r w:rsidRPr="004A1196">
        <w:rPr>
          <w:color w:val="0B2B43" w:themeColor="text2" w:themeShade="80"/>
          <w:sz w:val="20"/>
        </w:rPr>
        <w:t>is estimated</w:t>
      </w:r>
      <w:proofErr w:type="gramEnd"/>
      <w:r w:rsidRPr="004A1196">
        <w:rPr>
          <w:color w:val="0B2B43" w:themeColor="text2" w:themeShade="80"/>
          <w:sz w:val="20"/>
        </w:rPr>
        <w:t xml:space="preserve"> that universities are likely to win $653 million, or 77 per cent, of NHMRC competitive grant funding in 2015-16</w:t>
      </w:r>
      <w:r w:rsidR="00676E9D">
        <w:rPr>
          <w:color w:val="0B2B43" w:themeColor="text2" w:themeShade="80"/>
          <w:sz w:val="20"/>
        </w:rPr>
        <w:t>.</w:t>
      </w:r>
      <w:r w:rsidRPr="004A1196">
        <w:rPr>
          <w:rStyle w:val="FootnoteReference"/>
          <w:color w:val="0B2B43" w:themeColor="text2" w:themeShade="80"/>
        </w:rPr>
        <w:footnoteReference w:id="14"/>
      </w:r>
    </w:p>
    <w:p w:rsidR="002C6039" w:rsidRPr="004A1196" w:rsidRDefault="002C6039" w:rsidP="002C6039">
      <w:pPr>
        <w:pStyle w:val="RIHeading2"/>
        <w:rPr>
          <w:color w:val="0B2B43" w:themeColor="text2" w:themeShade="80"/>
        </w:rPr>
      </w:pPr>
      <w:bookmarkStart w:id="98" w:name="_Toc436392717"/>
      <w:bookmarkStart w:id="99" w:name="_Toc436651815"/>
      <w:bookmarkStart w:id="100" w:name="_Toc436659623"/>
      <w:bookmarkStart w:id="101" w:name="_Toc436660121"/>
      <w:r w:rsidRPr="004A1196">
        <w:rPr>
          <w:color w:val="0B2B43" w:themeColor="text2" w:themeShade="80"/>
        </w:rPr>
        <w:t>University funding of research activities</w:t>
      </w:r>
      <w:bookmarkEnd w:id="98"/>
      <w:bookmarkEnd w:id="99"/>
      <w:bookmarkEnd w:id="100"/>
      <w:bookmarkEnd w:id="101"/>
    </w:p>
    <w:p w:rsidR="002C6039" w:rsidRPr="004A1196" w:rsidRDefault="002C6039" w:rsidP="002C6039">
      <w:pPr>
        <w:rPr>
          <w:color w:val="0B2B43" w:themeColor="text2" w:themeShade="80"/>
          <w:lang w:eastAsia="en-GB"/>
        </w:rPr>
      </w:pPr>
      <w:r w:rsidRPr="004A1196">
        <w:rPr>
          <w:color w:val="0B2B43" w:themeColor="text2" w:themeShade="80"/>
        </w:rPr>
        <w:t xml:space="preserve">Funding provided by </w:t>
      </w:r>
      <w:proofErr w:type="spellStart"/>
      <w:r w:rsidRPr="004A1196">
        <w:rPr>
          <w:color w:val="0B2B43" w:themeColor="text2" w:themeShade="80"/>
        </w:rPr>
        <w:t>ACG</w:t>
      </w:r>
      <w:proofErr w:type="spellEnd"/>
      <w:r w:rsidRPr="004A1196">
        <w:rPr>
          <w:color w:val="0B2B43" w:themeColor="text2" w:themeShade="80"/>
        </w:rPr>
        <w:t xml:space="preserve"> and </w:t>
      </w:r>
      <w:proofErr w:type="spellStart"/>
      <w:r w:rsidRPr="004A1196">
        <w:rPr>
          <w:color w:val="0B2B43" w:themeColor="text2" w:themeShade="80"/>
        </w:rPr>
        <w:t>RBG</w:t>
      </w:r>
      <w:proofErr w:type="spellEnd"/>
      <w:r w:rsidRPr="004A1196">
        <w:rPr>
          <w:color w:val="0B2B43" w:themeColor="text2" w:themeShade="80"/>
        </w:rPr>
        <w:t xml:space="preserve"> makes only a relatively modest contribution to total university research expenditure, as shown in Table 2.</w:t>
      </w:r>
    </w:p>
    <w:p w:rsidR="002C6039" w:rsidRPr="004A1196" w:rsidRDefault="002C6039" w:rsidP="002C6039">
      <w:pPr>
        <w:rPr>
          <w:color w:val="0B2B43" w:themeColor="text2" w:themeShade="80"/>
          <w:lang w:eastAsia="en-GB"/>
        </w:rPr>
      </w:pPr>
      <w:r w:rsidRPr="004A1196">
        <w:rPr>
          <w:color w:val="0B2B43" w:themeColor="text2" w:themeShade="80"/>
          <w:lang w:eastAsia="en-GB"/>
        </w:rPr>
        <w:t xml:space="preserve">In 2012, the most recent year for which data is available, universities spent $9.6 billion on research. </w:t>
      </w:r>
      <w:proofErr w:type="spellStart"/>
      <w:r w:rsidRPr="004A1196">
        <w:rPr>
          <w:color w:val="0B2B43" w:themeColor="text2" w:themeShade="80"/>
          <w:lang w:eastAsia="en-GB"/>
        </w:rPr>
        <w:t>ACG</w:t>
      </w:r>
      <w:proofErr w:type="spellEnd"/>
      <w:r w:rsidRPr="004A1196">
        <w:rPr>
          <w:color w:val="0B2B43" w:themeColor="text2" w:themeShade="80"/>
          <w:lang w:eastAsia="en-GB"/>
        </w:rPr>
        <w:t xml:space="preserve"> funded 17 per cent of that expenditure and research block funding around 15 per cent.</w:t>
      </w:r>
    </w:p>
    <w:p w:rsidR="001E7944" w:rsidRDefault="001E7944">
      <w:pPr>
        <w:spacing w:before="0" w:after="200" w:line="276" w:lineRule="auto"/>
        <w:rPr>
          <w:b/>
          <w:color w:val="0B2B43" w:themeColor="text2" w:themeShade="80"/>
        </w:rPr>
      </w:pPr>
      <w:r>
        <w:rPr>
          <w:b/>
          <w:color w:val="0B2B43" w:themeColor="text2" w:themeShade="80"/>
        </w:rPr>
        <w:br w:type="page"/>
      </w:r>
    </w:p>
    <w:p w:rsidR="002C6039" w:rsidRPr="00967409" w:rsidRDefault="002C6039" w:rsidP="00691499">
      <w:pPr>
        <w:keepNext/>
        <w:spacing w:after="0"/>
        <w:rPr>
          <w:b/>
          <w:color w:val="0B2B43" w:themeColor="text2" w:themeShade="80"/>
        </w:rPr>
      </w:pPr>
      <w:proofErr w:type="gramStart"/>
      <w:r w:rsidRPr="00967409">
        <w:rPr>
          <w:b/>
          <w:color w:val="0B2B43" w:themeColor="text2" w:themeShade="80"/>
        </w:rPr>
        <w:t xml:space="preserve">Table </w:t>
      </w:r>
      <w:r w:rsidRPr="00967409">
        <w:rPr>
          <w:b/>
          <w:color w:val="0B2B43" w:themeColor="text2" w:themeShade="80"/>
        </w:rPr>
        <w:fldChar w:fldCharType="begin"/>
      </w:r>
      <w:r w:rsidRPr="00967409">
        <w:rPr>
          <w:b/>
          <w:color w:val="0B2B43" w:themeColor="text2" w:themeShade="80"/>
        </w:rPr>
        <w:instrText xml:space="preserve"> SEQ Table \* ARABIC </w:instrText>
      </w:r>
      <w:r w:rsidRPr="00967409">
        <w:rPr>
          <w:b/>
          <w:color w:val="0B2B43" w:themeColor="text2" w:themeShade="80"/>
        </w:rPr>
        <w:fldChar w:fldCharType="separate"/>
      </w:r>
      <w:r w:rsidR="00E05D3F">
        <w:rPr>
          <w:b/>
          <w:noProof/>
          <w:color w:val="0B2B43" w:themeColor="text2" w:themeShade="80"/>
        </w:rPr>
        <w:t>2</w:t>
      </w:r>
      <w:r w:rsidRPr="00967409">
        <w:rPr>
          <w:b/>
          <w:color w:val="0B2B43" w:themeColor="text2" w:themeShade="80"/>
        </w:rPr>
        <w:fldChar w:fldCharType="end"/>
      </w:r>
      <w:r w:rsidRPr="00967409">
        <w:rPr>
          <w:b/>
          <w:color w:val="0B2B43" w:themeColor="text2" w:themeShade="80"/>
        </w:rPr>
        <w:t>.</w:t>
      </w:r>
      <w:proofErr w:type="gramEnd"/>
      <w:r w:rsidRPr="00967409">
        <w:rPr>
          <w:b/>
          <w:color w:val="0B2B43" w:themeColor="text2" w:themeShade="80"/>
        </w:rPr>
        <w:t xml:space="preserve"> Higher Education R&amp;D expenditure, 2012</w:t>
      </w:r>
    </w:p>
    <w:tbl>
      <w:tblPr>
        <w:tblStyle w:val="Review"/>
        <w:tblW w:w="0" w:type="auto"/>
        <w:tblLook w:val="0460" w:firstRow="1" w:lastRow="1" w:firstColumn="0" w:lastColumn="0" w:noHBand="0" w:noVBand="1"/>
        <w:tblDescription w:val="Table description"/>
      </w:tblPr>
      <w:tblGrid>
        <w:gridCol w:w="4644"/>
        <w:gridCol w:w="1985"/>
        <w:gridCol w:w="1701"/>
      </w:tblGrid>
      <w:tr w:rsidR="004A1196" w:rsidRPr="004A1196" w:rsidTr="002C45FE">
        <w:trPr>
          <w:cnfStyle w:val="100000000000" w:firstRow="1" w:lastRow="0" w:firstColumn="0" w:lastColumn="0" w:oddVBand="0" w:evenVBand="0" w:oddHBand="0" w:evenHBand="0" w:firstRowFirstColumn="0" w:firstRowLastColumn="0" w:lastRowFirstColumn="0" w:lastRowLastColumn="0"/>
          <w:trHeight w:val="397"/>
          <w:tblHeader/>
        </w:trPr>
        <w:tc>
          <w:tcPr>
            <w:tcW w:w="4644" w:type="dxa"/>
          </w:tcPr>
          <w:p w:rsidR="002C6039" w:rsidRPr="004A1196" w:rsidRDefault="002C6039" w:rsidP="004C46EF">
            <w:pPr>
              <w:pStyle w:val="TableTitleRI"/>
              <w:rPr>
                <w:b w:val="0"/>
                <w:color w:val="0B2B43" w:themeColor="text2" w:themeShade="80"/>
              </w:rPr>
            </w:pPr>
            <w:r w:rsidRPr="004A1196">
              <w:rPr>
                <w:color w:val="0B2B43" w:themeColor="text2" w:themeShade="80"/>
                <w:lang w:eastAsia="en-GB"/>
              </w:rPr>
              <w:t>Source of funds</w:t>
            </w:r>
          </w:p>
        </w:tc>
        <w:tc>
          <w:tcPr>
            <w:tcW w:w="1985" w:type="dxa"/>
          </w:tcPr>
          <w:p w:rsidR="002C6039" w:rsidRPr="004A1196" w:rsidRDefault="002C6039" w:rsidP="004C46EF">
            <w:pPr>
              <w:pStyle w:val="TableTitleRI"/>
              <w:jc w:val="right"/>
              <w:rPr>
                <w:b w:val="0"/>
                <w:color w:val="0B2B43" w:themeColor="text2" w:themeShade="80"/>
              </w:rPr>
            </w:pPr>
            <w:r w:rsidRPr="004A1196">
              <w:rPr>
                <w:color w:val="0B2B43" w:themeColor="text2" w:themeShade="80"/>
                <w:lang w:eastAsia="en-GB"/>
              </w:rPr>
              <w:t>$ million</w:t>
            </w:r>
          </w:p>
        </w:tc>
        <w:tc>
          <w:tcPr>
            <w:tcW w:w="1701" w:type="dxa"/>
          </w:tcPr>
          <w:p w:rsidR="002C6039" w:rsidRPr="004A1196" w:rsidRDefault="002C6039" w:rsidP="004C46EF">
            <w:pPr>
              <w:pStyle w:val="TableTitleRI"/>
              <w:jc w:val="right"/>
              <w:rPr>
                <w:b w:val="0"/>
                <w:color w:val="0B2B43" w:themeColor="text2" w:themeShade="80"/>
              </w:rPr>
            </w:pPr>
            <w:r w:rsidRPr="004A1196">
              <w:rPr>
                <w:color w:val="0B2B43" w:themeColor="text2" w:themeShade="80"/>
                <w:lang w:eastAsia="en-GB"/>
              </w:rPr>
              <w:t>%</w:t>
            </w:r>
          </w:p>
        </w:tc>
      </w:tr>
      <w:tr w:rsidR="004A1196" w:rsidRPr="004A1196" w:rsidTr="004C46EF">
        <w:tc>
          <w:tcPr>
            <w:tcW w:w="4644" w:type="dxa"/>
          </w:tcPr>
          <w:p w:rsidR="002C6039" w:rsidRPr="004A1196" w:rsidRDefault="002C6039" w:rsidP="004C46EF">
            <w:pPr>
              <w:pStyle w:val="TabletextRI"/>
              <w:rPr>
                <w:color w:val="0B2B43" w:themeColor="text2" w:themeShade="80"/>
              </w:rPr>
            </w:pPr>
            <w:r w:rsidRPr="004A1196">
              <w:rPr>
                <w:color w:val="0B2B43" w:themeColor="text2" w:themeShade="80"/>
                <w:lang w:eastAsia="en-GB"/>
              </w:rPr>
              <w:t>Australian competitive grants</w:t>
            </w:r>
          </w:p>
        </w:tc>
        <w:tc>
          <w:tcPr>
            <w:tcW w:w="1985" w:type="dxa"/>
          </w:tcPr>
          <w:p w:rsidR="002C6039" w:rsidRPr="004A1196" w:rsidRDefault="002C6039" w:rsidP="004C46EF">
            <w:pPr>
              <w:pStyle w:val="TabletextRI"/>
              <w:jc w:val="right"/>
              <w:rPr>
                <w:color w:val="0B2B43" w:themeColor="text2" w:themeShade="80"/>
              </w:rPr>
            </w:pPr>
            <w:r w:rsidRPr="004A1196">
              <w:rPr>
                <w:color w:val="0B2B43" w:themeColor="text2" w:themeShade="80"/>
                <w:lang w:eastAsia="en-GB"/>
              </w:rPr>
              <w:t>1,625</w:t>
            </w:r>
          </w:p>
        </w:tc>
        <w:tc>
          <w:tcPr>
            <w:tcW w:w="1701" w:type="dxa"/>
          </w:tcPr>
          <w:p w:rsidR="002C6039" w:rsidRPr="004A1196" w:rsidRDefault="002C6039" w:rsidP="004C46EF">
            <w:pPr>
              <w:pStyle w:val="TabletextRI"/>
              <w:jc w:val="right"/>
              <w:rPr>
                <w:color w:val="0B2B43" w:themeColor="text2" w:themeShade="80"/>
              </w:rPr>
            </w:pPr>
            <w:r w:rsidRPr="004A1196">
              <w:rPr>
                <w:color w:val="0B2B43" w:themeColor="text2" w:themeShade="80"/>
                <w:lang w:eastAsia="en-GB"/>
              </w:rPr>
              <w:t>16.9</w:t>
            </w:r>
          </w:p>
        </w:tc>
      </w:tr>
      <w:tr w:rsidR="004A1196" w:rsidRPr="004A1196" w:rsidTr="004C46EF">
        <w:trPr>
          <w:cnfStyle w:val="000000010000" w:firstRow="0" w:lastRow="0" w:firstColumn="0" w:lastColumn="0" w:oddVBand="0" w:evenVBand="0" w:oddHBand="0" w:evenHBand="1" w:firstRowFirstColumn="0" w:firstRowLastColumn="0" w:lastRowFirstColumn="0" w:lastRowLastColumn="0"/>
        </w:trPr>
        <w:tc>
          <w:tcPr>
            <w:tcW w:w="4644" w:type="dxa"/>
          </w:tcPr>
          <w:p w:rsidR="002C6039" w:rsidRPr="004A1196" w:rsidRDefault="002C6039" w:rsidP="004C46EF">
            <w:pPr>
              <w:pStyle w:val="TabletextRI"/>
              <w:rPr>
                <w:color w:val="0B2B43" w:themeColor="text2" w:themeShade="80"/>
              </w:rPr>
            </w:pPr>
            <w:r w:rsidRPr="004A1196">
              <w:rPr>
                <w:color w:val="0B2B43" w:themeColor="text2" w:themeShade="80"/>
                <w:lang w:eastAsia="en-GB"/>
              </w:rPr>
              <w:t>General university funds</w:t>
            </w:r>
          </w:p>
        </w:tc>
        <w:tc>
          <w:tcPr>
            <w:tcW w:w="1985" w:type="dxa"/>
          </w:tcPr>
          <w:p w:rsidR="002C6039" w:rsidRPr="004A1196" w:rsidRDefault="002C6039" w:rsidP="004C46EF">
            <w:pPr>
              <w:pStyle w:val="TabletextRI"/>
              <w:jc w:val="right"/>
              <w:rPr>
                <w:color w:val="0B2B43" w:themeColor="text2" w:themeShade="80"/>
              </w:rPr>
            </w:pPr>
            <w:r w:rsidRPr="004A1196">
              <w:rPr>
                <w:color w:val="0B2B43" w:themeColor="text2" w:themeShade="80"/>
                <w:lang w:eastAsia="en-GB"/>
              </w:rPr>
              <w:t>5,340</w:t>
            </w:r>
          </w:p>
        </w:tc>
        <w:tc>
          <w:tcPr>
            <w:tcW w:w="1701" w:type="dxa"/>
          </w:tcPr>
          <w:p w:rsidR="002C6039" w:rsidRPr="004A1196" w:rsidRDefault="002C6039" w:rsidP="004C46EF">
            <w:pPr>
              <w:pStyle w:val="TabletextRI"/>
              <w:jc w:val="right"/>
              <w:rPr>
                <w:color w:val="0B2B43" w:themeColor="text2" w:themeShade="80"/>
              </w:rPr>
            </w:pPr>
            <w:r w:rsidRPr="004A1196">
              <w:rPr>
                <w:color w:val="0B2B43" w:themeColor="text2" w:themeShade="80"/>
                <w:lang w:eastAsia="en-GB"/>
              </w:rPr>
              <w:t>55.6</w:t>
            </w:r>
          </w:p>
        </w:tc>
      </w:tr>
      <w:tr w:rsidR="004A1196" w:rsidRPr="004A1196" w:rsidTr="004C46EF">
        <w:tc>
          <w:tcPr>
            <w:tcW w:w="4644" w:type="dxa"/>
          </w:tcPr>
          <w:p w:rsidR="002C6039" w:rsidRPr="004A1196" w:rsidRDefault="002C6039" w:rsidP="004C46EF">
            <w:pPr>
              <w:pStyle w:val="TabletextRI"/>
              <w:rPr>
                <w:color w:val="0B2B43" w:themeColor="text2" w:themeShade="80"/>
              </w:rPr>
            </w:pPr>
            <w:r w:rsidRPr="004A1196">
              <w:rPr>
                <w:color w:val="0B2B43" w:themeColor="text2" w:themeShade="80"/>
                <w:lang w:eastAsia="en-GB"/>
              </w:rPr>
              <w:t xml:space="preserve">Other Commonwealth government (includes </w:t>
            </w:r>
            <w:proofErr w:type="spellStart"/>
            <w:r w:rsidRPr="004A1196">
              <w:rPr>
                <w:color w:val="0B2B43" w:themeColor="text2" w:themeShade="80"/>
                <w:lang w:eastAsia="en-GB"/>
              </w:rPr>
              <w:t>RBG</w:t>
            </w:r>
            <w:proofErr w:type="spellEnd"/>
            <w:r w:rsidRPr="004A1196">
              <w:rPr>
                <w:color w:val="0B2B43" w:themeColor="text2" w:themeShade="80"/>
                <w:lang w:eastAsia="en-GB"/>
              </w:rPr>
              <w:t>)*</w:t>
            </w:r>
          </w:p>
        </w:tc>
        <w:tc>
          <w:tcPr>
            <w:tcW w:w="1985" w:type="dxa"/>
          </w:tcPr>
          <w:p w:rsidR="002C6039" w:rsidRPr="004A1196" w:rsidRDefault="002C6039" w:rsidP="004C46EF">
            <w:pPr>
              <w:pStyle w:val="TabletextRI"/>
              <w:jc w:val="right"/>
              <w:rPr>
                <w:color w:val="0B2B43" w:themeColor="text2" w:themeShade="80"/>
              </w:rPr>
            </w:pPr>
            <w:r w:rsidRPr="004A1196">
              <w:rPr>
                <w:color w:val="0B2B43" w:themeColor="text2" w:themeShade="80"/>
                <w:lang w:eastAsia="en-GB"/>
              </w:rPr>
              <w:t>1,448</w:t>
            </w:r>
          </w:p>
        </w:tc>
        <w:tc>
          <w:tcPr>
            <w:tcW w:w="1701" w:type="dxa"/>
          </w:tcPr>
          <w:p w:rsidR="002C6039" w:rsidRPr="004A1196" w:rsidRDefault="002C6039" w:rsidP="004C46EF">
            <w:pPr>
              <w:pStyle w:val="TabletextRI"/>
              <w:jc w:val="right"/>
              <w:rPr>
                <w:color w:val="0B2B43" w:themeColor="text2" w:themeShade="80"/>
              </w:rPr>
            </w:pPr>
            <w:r w:rsidRPr="004A1196">
              <w:rPr>
                <w:color w:val="0B2B43" w:themeColor="text2" w:themeShade="80"/>
                <w:lang w:eastAsia="en-GB"/>
              </w:rPr>
              <w:t>15.1</w:t>
            </w:r>
          </w:p>
        </w:tc>
      </w:tr>
      <w:tr w:rsidR="004A1196" w:rsidRPr="004A1196" w:rsidTr="004C46EF">
        <w:trPr>
          <w:cnfStyle w:val="000000010000" w:firstRow="0" w:lastRow="0" w:firstColumn="0" w:lastColumn="0" w:oddVBand="0" w:evenVBand="0" w:oddHBand="0" w:evenHBand="1" w:firstRowFirstColumn="0" w:firstRowLastColumn="0" w:lastRowFirstColumn="0" w:lastRowLastColumn="0"/>
        </w:trPr>
        <w:tc>
          <w:tcPr>
            <w:tcW w:w="4644" w:type="dxa"/>
          </w:tcPr>
          <w:p w:rsidR="002C6039" w:rsidRPr="004A1196" w:rsidRDefault="002C6039" w:rsidP="004C46EF">
            <w:pPr>
              <w:pStyle w:val="TabletextRI"/>
              <w:rPr>
                <w:color w:val="0B2B43" w:themeColor="text2" w:themeShade="80"/>
              </w:rPr>
            </w:pPr>
            <w:r w:rsidRPr="004A1196">
              <w:rPr>
                <w:color w:val="0B2B43" w:themeColor="text2" w:themeShade="80"/>
              </w:rPr>
              <w:t>State and local government</w:t>
            </w:r>
          </w:p>
        </w:tc>
        <w:tc>
          <w:tcPr>
            <w:tcW w:w="1985" w:type="dxa"/>
          </w:tcPr>
          <w:p w:rsidR="002C6039" w:rsidRPr="004A1196" w:rsidRDefault="002C6039" w:rsidP="004C46EF">
            <w:pPr>
              <w:pStyle w:val="TabletextRI"/>
              <w:jc w:val="right"/>
              <w:rPr>
                <w:color w:val="0B2B43" w:themeColor="text2" w:themeShade="80"/>
              </w:rPr>
            </w:pPr>
            <w:r w:rsidRPr="004A1196">
              <w:rPr>
                <w:color w:val="0B2B43" w:themeColor="text2" w:themeShade="80"/>
              </w:rPr>
              <w:t>420</w:t>
            </w:r>
          </w:p>
        </w:tc>
        <w:tc>
          <w:tcPr>
            <w:tcW w:w="1701" w:type="dxa"/>
          </w:tcPr>
          <w:p w:rsidR="002C6039" w:rsidRPr="004A1196" w:rsidRDefault="002C6039" w:rsidP="004C46EF">
            <w:pPr>
              <w:pStyle w:val="TabletextRI"/>
              <w:jc w:val="right"/>
              <w:rPr>
                <w:color w:val="0B2B43" w:themeColor="text2" w:themeShade="80"/>
              </w:rPr>
            </w:pPr>
            <w:r w:rsidRPr="004A1196">
              <w:rPr>
                <w:color w:val="0B2B43" w:themeColor="text2" w:themeShade="80"/>
              </w:rPr>
              <w:t>4.4</w:t>
            </w:r>
          </w:p>
        </w:tc>
      </w:tr>
      <w:tr w:rsidR="004A1196" w:rsidRPr="004A1196" w:rsidTr="004C46EF">
        <w:tc>
          <w:tcPr>
            <w:tcW w:w="4644" w:type="dxa"/>
          </w:tcPr>
          <w:p w:rsidR="002C6039" w:rsidRPr="004A1196" w:rsidRDefault="002C6039" w:rsidP="004C46EF">
            <w:pPr>
              <w:pStyle w:val="TabletextRI"/>
              <w:rPr>
                <w:color w:val="0B2B43" w:themeColor="text2" w:themeShade="80"/>
              </w:rPr>
            </w:pPr>
            <w:r w:rsidRPr="004A1196">
              <w:rPr>
                <w:color w:val="0B2B43" w:themeColor="text2" w:themeShade="80"/>
              </w:rPr>
              <w:t>Business</w:t>
            </w:r>
          </w:p>
        </w:tc>
        <w:tc>
          <w:tcPr>
            <w:tcW w:w="1985" w:type="dxa"/>
          </w:tcPr>
          <w:p w:rsidR="002C6039" w:rsidRPr="004A1196" w:rsidRDefault="002C6039" w:rsidP="004C46EF">
            <w:pPr>
              <w:pStyle w:val="TabletextRI"/>
              <w:jc w:val="right"/>
              <w:rPr>
                <w:color w:val="0B2B43" w:themeColor="text2" w:themeShade="80"/>
              </w:rPr>
            </w:pPr>
            <w:r w:rsidRPr="004A1196">
              <w:rPr>
                <w:color w:val="0B2B43" w:themeColor="text2" w:themeShade="80"/>
              </w:rPr>
              <w:t>398</w:t>
            </w:r>
          </w:p>
        </w:tc>
        <w:tc>
          <w:tcPr>
            <w:tcW w:w="1701" w:type="dxa"/>
          </w:tcPr>
          <w:p w:rsidR="002C6039" w:rsidRPr="004A1196" w:rsidRDefault="002C6039" w:rsidP="004C46EF">
            <w:pPr>
              <w:pStyle w:val="TabletextRI"/>
              <w:jc w:val="right"/>
              <w:rPr>
                <w:color w:val="0B2B43" w:themeColor="text2" w:themeShade="80"/>
              </w:rPr>
            </w:pPr>
            <w:r w:rsidRPr="004A1196">
              <w:rPr>
                <w:color w:val="0B2B43" w:themeColor="text2" w:themeShade="80"/>
              </w:rPr>
              <w:t>4.1</w:t>
            </w:r>
          </w:p>
        </w:tc>
      </w:tr>
      <w:tr w:rsidR="004A1196" w:rsidRPr="004A1196" w:rsidTr="004C46EF">
        <w:trPr>
          <w:cnfStyle w:val="000000010000" w:firstRow="0" w:lastRow="0" w:firstColumn="0" w:lastColumn="0" w:oddVBand="0" w:evenVBand="0" w:oddHBand="0" w:evenHBand="1" w:firstRowFirstColumn="0" w:firstRowLastColumn="0" w:lastRowFirstColumn="0" w:lastRowLastColumn="0"/>
        </w:trPr>
        <w:tc>
          <w:tcPr>
            <w:tcW w:w="4644" w:type="dxa"/>
          </w:tcPr>
          <w:p w:rsidR="002C6039" w:rsidRPr="004A1196" w:rsidRDefault="002C6039" w:rsidP="004C46EF">
            <w:pPr>
              <w:pStyle w:val="TabletextRI"/>
              <w:rPr>
                <w:color w:val="0B2B43" w:themeColor="text2" w:themeShade="80"/>
              </w:rPr>
            </w:pPr>
            <w:r w:rsidRPr="004A1196">
              <w:rPr>
                <w:color w:val="0B2B43" w:themeColor="text2" w:themeShade="80"/>
              </w:rPr>
              <w:t>Donations, bequests and foundations</w:t>
            </w:r>
          </w:p>
        </w:tc>
        <w:tc>
          <w:tcPr>
            <w:tcW w:w="1985" w:type="dxa"/>
          </w:tcPr>
          <w:p w:rsidR="002C6039" w:rsidRPr="004A1196" w:rsidRDefault="002C6039" w:rsidP="004C46EF">
            <w:pPr>
              <w:pStyle w:val="TabletextRI"/>
              <w:jc w:val="right"/>
              <w:rPr>
                <w:color w:val="0B2B43" w:themeColor="text2" w:themeShade="80"/>
              </w:rPr>
            </w:pPr>
            <w:r w:rsidRPr="004A1196">
              <w:rPr>
                <w:color w:val="0B2B43" w:themeColor="text2" w:themeShade="80"/>
              </w:rPr>
              <w:t>124</w:t>
            </w:r>
          </w:p>
        </w:tc>
        <w:tc>
          <w:tcPr>
            <w:tcW w:w="1701" w:type="dxa"/>
          </w:tcPr>
          <w:p w:rsidR="002C6039" w:rsidRPr="004A1196" w:rsidRDefault="002C6039" w:rsidP="004C46EF">
            <w:pPr>
              <w:pStyle w:val="TabletextRI"/>
              <w:jc w:val="right"/>
              <w:rPr>
                <w:color w:val="0B2B43" w:themeColor="text2" w:themeShade="80"/>
              </w:rPr>
            </w:pPr>
            <w:r w:rsidRPr="004A1196">
              <w:rPr>
                <w:color w:val="0B2B43" w:themeColor="text2" w:themeShade="80"/>
              </w:rPr>
              <w:t>1.3</w:t>
            </w:r>
          </w:p>
        </w:tc>
      </w:tr>
      <w:tr w:rsidR="004A1196" w:rsidRPr="004A1196" w:rsidTr="004C46EF">
        <w:tc>
          <w:tcPr>
            <w:tcW w:w="4644" w:type="dxa"/>
          </w:tcPr>
          <w:p w:rsidR="002C6039" w:rsidRPr="004A1196" w:rsidRDefault="002C6039" w:rsidP="004C46EF">
            <w:pPr>
              <w:pStyle w:val="TabletextRI"/>
              <w:rPr>
                <w:color w:val="0B2B43" w:themeColor="text2" w:themeShade="80"/>
              </w:rPr>
            </w:pPr>
            <w:r w:rsidRPr="004A1196">
              <w:rPr>
                <w:color w:val="0B2B43" w:themeColor="text2" w:themeShade="80"/>
              </w:rPr>
              <w:t>Other Australian</w:t>
            </w:r>
          </w:p>
        </w:tc>
        <w:tc>
          <w:tcPr>
            <w:tcW w:w="1985" w:type="dxa"/>
          </w:tcPr>
          <w:p w:rsidR="002C6039" w:rsidRPr="004A1196" w:rsidRDefault="002C6039" w:rsidP="004C46EF">
            <w:pPr>
              <w:pStyle w:val="TabletextRI"/>
              <w:jc w:val="right"/>
              <w:rPr>
                <w:color w:val="0B2B43" w:themeColor="text2" w:themeShade="80"/>
              </w:rPr>
            </w:pPr>
            <w:r w:rsidRPr="004A1196">
              <w:rPr>
                <w:color w:val="0B2B43" w:themeColor="text2" w:themeShade="80"/>
              </w:rPr>
              <w:t>24</w:t>
            </w:r>
          </w:p>
        </w:tc>
        <w:tc>
          <w:tcPr>
            <w:tcW w:w="1701" w:type="dxa"/>
          </w:tcPr>
          <w:p w:rsidR="002C6039" w:rsidRPr="004A1196" w:rsidRDefault="002C6039" w:rsidP="004C46EF">
            <w:pPr>
              <w:pStyle w:val="TabletextRI"/>
              <w:jc w:val="right"/>
              <w:rPr>
                <w:color w:val="0B2B43" w:themeColor="text2" w:themeShade="80"/>
              </w:rPr>
            </w:pPr>
            <w:r w:rsidRPr="004A1196">
              <w:rPr>
                <w:color w:val="0B2B43" w:themeColor="text2" w:themeShade="80"/>
              </w:rPr>
              <w:t>0.2</w:t>
            </w:r>
          </w:p>
        </w:tc>
      </w:tr>
      <w:tr w:rsidR="004A1196" w:rsidRPr="004A1196" w:rsidTr="004C46EF">
        <w:trPr>
          <w:cnfStyle w:val="000000010000" w:firstRow="0" w:lastRow="0" w:firstColumn="0" w:lastColumn="0" w:oddVBand="0" w:evenVBand="0" w:oddHBand="0" w:evenHBand="1" w:firstRowFirstColumn="0" w:firstRowLastColumn="0" w:lastRowFirstColumn="0" w:lastRowLastColumn="0"/>
        </w:trPr>
        <w:tc>
          <w:tcPr>
            <w:tcW w:w="4644" w:type="dxa"/>
          </w:tcPr>
          <w:p w:rsidR="002C6039" w:rsidRPr="004A1196" w:rsidRDefault="002C6039" w:rsidP="004C46EF">
            <w:pPr>
              <w:pStyle w:val="TabletextRI"/>
              <w:rPr>
                <w:color w:val="0B2B43" w:themeColor="text2" w:themeShade="80"/>
              </w:rPr>
            </w:pPr>
            <w:r w:rsidRPr="004A1196">
              <w:rPr>
                <w:color w:val="0B2B43" w:themeColor="text2" w:themeShade="80"/>
              </w:rPr>
              <w:t>Overseas</w:t>
            </w:r>
          </w:p>
        </w:tc>
        <w:tc>
          <w:tcPr>
            <w:tcW w:w="1985" w:type="dxa"/>
          </w:tcPr>
          <w:p w:rsidR="002C6039" w:rsidRPr="004A1196" w:rsidRDefault="002C6039" w:rsidP="004C46EF">
            <w:pPr>
              <w:pStyle w:val="TabletextRI"/>
              <w:jc w:val="right"/>
              <w:rPr>
                <w:color w:val="0B2B43" w:themeColor="text2" w:themeShade="80"/>
              </w:rPr>
            </w:pPr>
            <w:r w:rsidRPr="004A1196">
              <w:rPr>
                <w:color w:val="0B2B43" w:themeColor="text2" w:themeShade="80"/>
              </w:rPr>
              <w:t>231</w:t>
            </w:r>
          </w:p>
        </w:tc>
        <w:tc>
          <w:tcPr>
            <w:tcW w:w="1701" w:type="dxa"/>
          </w:tcPr>
          <w:p w:rsidR="002C6039" w:rsidRPr="004A1196" w:rsidRDefault="002C6039" w:rsidP="004C46EF">
            <w:pPr>
              <w:pStyle w:val="TabletextRI"/>
              <w:jc w:val="right"/>
              <w:rPr>
                <w:color w:val="0B2B43" w:themeColor="text2" w:themeShade="80"/>
              </w:rPr>
            </w:pPr>
            <w:r w:rsidRPr="004A1196">
              <w:rPr>
                <w:color w:val="0B2B43" w:themeColor="text2" w:themeShade="80"/>
              </w:rPr>
              <w:t>2.4</w:t>
            </w:r>
          </w:p>
        </w:tc>
      </w:tr>
      <w:tr w:rsidR="004A1196" w:rsidRPr="004A1196" w:rsidTr="004C46EF">
        <w:tc>
          <w:tcPr>
            <w:tcW w:w="4644" w:type="dxa"/>
          </w:tcPr>
          <w:p w:rsidR="002C6039" w:rsidRPr="004A1196" w:rsidRDefault="002C6039" w:rsidP="004C46EF">
            <w:pPr>
              <w:pStyle w:val="TabletextRI"/>
              <w:rPr>
                <w:color w:val="0B2B43" w:themeColor="text2" w:themeShade="80"/>
              </w:rPr>
            </w:pPr>
            <w:r w:rsidRPr="004A1196">
              <w:rPr>
                <w:color w:val="0B2B43" w:themeColor="text2" w:themeShade="80"/>
                <w:lang w:eastAsia="en-GB"/>
              </w:rPr>
              <w:t>TOTAL</w:t>
            </w:r>
          </w:p>
        </w:tc>
        <w:tc>
          <w:tcPr>
            <w:tcW w:w="1985" w:type="dxa"/>
          </w:tcPr>
          <w:p w:rsidR="002C6039" w:rsidRPr="004A1196" w:rsidRDefault="002C6039" w:rsidP="004C46EF">
            <w:pPr>
              <w:pStyle w:val="TabletextRI"/>
              <w:jc w:val="right"/>
              <w:rPr>
                <w:color w:val="0B2B43" w:themeColor="text2" w:themeShade="80"/>
              </w:rPr>
            </w:pPr>
            <w:r w:rsidRPr="004A1196">
              <w:rPr>
                <w:color w:val="0B2B43" w:themeColor="text2" w:themeShade="80"/>
                <w:lang w:eastAsia="en-GB"/>
              </w:rPr>
              <w:t>9,610</w:t>
            </w:r>
          </w:p>
        </w:tc>
        <w:tc>
          <w:tcPr>
            <w:tcW w:w="1701" w:type="dxa"/>
          </w:tcPr>
          <w:p w:rsidR="002C6039" w:rsidRPr="004A1196" w:rsidRDefault="002C6039" w:rsidP="004C46EF">
            <w:pPr>
              <w:pStyle w:val="TabletextRI"/>
              <w:jc w:val="right"/>
              <w:rPr>
                <w:color w:val="0B2B43" w:themeColor="text2" w:themeShade="80"/>
              </w:rPr>
            </w:pPr>
            <w:r w:rsidRPr="004A1196">
              <w:rPr>
                <w:color w:val="0B2B43" w:themeColor="text2" w:themeShade="80"/>
                <w:lang w:eastAsia="en-GB"/>
              </w:rPr>
              <w:t>100</w:t>
            </w:r>
          </w:p>
        </w:tc>
      </w:tr>
    </w:tbl>
    <w:p w:rsidR="002C6039" w:rsidRPr="004A1196" w:rsidRDefault="002C6039" w:rsidP="00B7681D">
      <w:pPr>
        <w:pStyle w:val="Source"/>
        <w:spacing w:before="0" w:after="0"/>
        <w:contextualSpacing/>
        <w:rPr>
          <w:color w:val="0B2B43" w:themeColor="text2" w:themeShade="80"/>
          <w:lang w:eastAsia="en-GB"/>
        </w:rPr>
      </w:pPr>
      <w:proofErr w:type="gramStart"/>
      <w:r w:rsidRPr="004A1196">
        <w:rPr>
          <w:color w:val="0B2B43" w:themeColor="text2" w:themeShade="80"/>
          <w:lang w:eastAsia="en-GB"/>
        </w:rPr>
        <w:t>Source: Australian Bureau of Statistics 2014.</w:t>
      </w:r>
      <w:proofErr w:type="gramEnd"/>
      <w:r w:rsidRPr="004A1196">
        <w:rPr>
          <w:color w:val="0B2B43" w:themeColor="text2" w:themeShade="80"/>
          <w:lang w:eastAsia="en-GB"/>
        </w:rPr>
        <w:t xml:space="preserve"> </w:t>
      </w:r>
      <w:proofErr w:type="gramStart"/>
      <w:r w:rsidRPr="004A1196">
        <w:rPr>
          <w:color w:val="0B2B43" w:themeColor="text2" w:themeShade="80"/>
        </w:rPr>
        <w:t>8111.0</w:t>
      </w:r>
      <w:proofErr w:type="gramEnd"/>
      <w:r w:rsidRPr="004A1196">
        <w:rPr>
          <w:color w:val="0B2B43" w:themeColor="text2" w:themeShade="80"/>
        </w:rPr>
        <w:t xml:space="preserve"> – Research and Experimental Development, Higher Education Organisations, Australia, 2012</w:t>
      </w:r>
    </w:p>
    <w:p w:rsidR="002C6039" w:rsidRPr="004A1196" w:rsidRDefault="002C6039" w:rsidP="00B7681D">
      <w:pPr>
        <w:pStyle w:val="Source"/>
        <w:spacing w:after="0"/>
        <w:contextualSpacing/>
        <w:rPr>
          <w:b w:val="0"/>
          <w:color w:val="0B2B43" w:themeColor="text2" w:themeShade="80"/>
          <w:lang w:eastAsia="en-GB"/>
        </w:rPr>
      </w:pPr>
      <w:r w:rsidRPr="004A1196">
        <w:rPr>
          <w:b w:val="0"/>
          <w:i/>
          <w:color w:val="0B2B43" w:themeColor="text2" w:themeShade="80"/>
          <w:lang w:eastAsia="en-GB"/>
        </w:rPr>
        <w:t xml:space="preserve">* </w:t>
      </w:r>
      <w:r w:rsidRPr="004A1196">
        <w:rPr>
          <w:b w:val="0"/>
          <w:color w:val="0B2B43" w:themeColor="text2" w:themeShade="80"/>
          <w:lang w:eastAsia="en-GB"/>
        </w:rPr>
        <w:t xml:space="preserve">‘Other Commonwealth government’ is </w:t>
      </w:r>
      <w:proofErr w:type="spellStart"/>
      <w:r w:rsidRPr="004A1196">
        <w:rPr>
          <w:b w:val="0"/>
          <w:color w:val="0B2B43" w:themeColor="text2" w:themeShade="80"/>
          <w:lang w:eastAsia="en-GB"/>
        </w:rPr>
        <w:t>RBG</w:t>
      </w:r>
      <w:proofErr w:type="spellEnd"/>
      <w:r w:rsidRPr="004A1196">
        <w:rPr>
          <w:b w:val="0"/>
          <w:color w:val="0B2B43" w:themeColor="text2" w:themeShade="80"/>
          <w:lang w:eastAsia="en-GB"/>
        </w:rPr>
        <w:t xml:space="preserve"> plus other targeted research funding from Australian Government agencies (other than Australian competitive grants), including C</w:t>
      </w:r>
      <w:r w:rsidR="00676E9D">
        <w:rPr>
          <w:b w:val="0"/>
          <w:color w:val="0B2B43" w:themeColor="text2" w:themeShade="80"/>
          <w:lang w:eastAsia="en-GB"/>
        </w:rPr>
        <w:t xml:space="preserve">ooperative </w:t>
      </w:r>
      <w:r w:rsidRPr="004A1196">
        <w:rPr>
          <w:b w:val="0"/>
          <w:color w:val="0B2B43" w:themeColor="text2" w:themeShade="80"/>
          <w:lang w:eastAsia="en-GB"/>
        </w:rPr>
        <w:t>R</w:t>
      </w:r>
      <w:r w:rsidR="00676E9D">
        <w:rPr>
          <w:b w:val="0"/>
          <w:color w:val="0B2B43" w:themeColor="text2" w:themeShade="80"/>
          <w:lang w:eastAsia="en-GB"/>
        </w:rPr>
        <w:t xml:space="preserve">esearch </w:t>
      </w:r>
      <w:r w:rsidRPr="004A1196">
        <w:rPr>
          <w:b w:val="0"/>
          <w:color w:val="0B2B43" w:themeColor="text2" w:themeShade="80"/>
          <w:lang w:eastAsia="en-GB"/>
        </w:rPr>
        <w:t>C</w:t>
      </w:r>
      <w:r w:rsidR="00676E9D">
        <w:rPr>
          <w:b w:val="0"/>
          <w:color w:val="0B2B43" w:themeColor="text2" w:themeShade="80"/>
          <w:lang w:eastAsia="en-GB"/>
        </w:rPr>
        <w:t>entre (CRC)</w:t>
      </w:r>
      <w:r w:rsidRPr="004A1196">
        <w:rPr>
          <w:b w:val="0"/>
          <w:color w:val="0B2B43" w:themeColor="text2" w:themeShade="80"/>
          <w:lang w:eastAsia="en-GB"/>
        </w:rPr>
        <w:t xml:space="preserve"> grants and payments for R&amp;D contracts. The amount of funding other than </w:t>
      </w:r>
      <w:proofErr w:type="spellStart"/>
      <w:r w:rsidRPr="004A1196">
        <w:rPr>
          <w:b w:val="0"/>
          <w:color w:val="0B2B43" w:themeColor="text2" w:themeShade="80"/>
          <w:lang w:eastAsia="en-GB"/>
        </w:rPr>
        <w:t>RBG</w:t>
      </w:r>
      <w:proofErr w:type="spellEnd"/>
      <w:r w:rsidRPr="004A1196">
        <w:rPr>
          <w:b w:val="0"/>
          <w:color w:val="0B2B43" w:themeColor="text2" w:themeShade="80"/>
          <w:lang w:eastAsia="en-GB"/>
        </w:rPr>
        <w:t xml:space="preserve"> is small.</w:t>
      </w:r>
    </w:p>
    <w:p w:rsidR="002C6039" w:rsidRPr="004A1196" w:rsidRDefault="002C6039" w:rsidP="002C6039">
      <w:pPr>
        <w:rPr>
          <w:color w:val="0B2B43" w:themeColor="text2" w:themeShade="80"/>
          <w:lang w:eastAsia="en-GB"/>
        </w:rPr>
      </w:pPr>
      <w:r w:rsidRPr="004A1196">
        <w:rPr>
          <w:color w:val="0B2B43" w:themeColor="text2" w:themeShade="80"/>
          <w:lang w:eastAsia="en-GB"/>
        </w:rPr>
        <w:t xml:space="preserve">More than </w:t>
      </w:r>
      <w:proofErr w:type="gramStart"/>
      <w:r w:rsidRPr="004A1196">
        <w:rPr>
          <w:color w:val="0B2B43" w:themeColor="text2" w:themeShade="80"/>
          <w:lang w:eastAsia="en-GB"/>
        </w:rPr>
        <w:t>one half</w:t>
      </w:r>
      <w:proofErr w:type="gramEnd"/>
      <w:r w:rsidRPr="004A1196">
        <w:rPr>
          <w:color w:val="0B2B43" w:themeColor="text2" w:themeShade="80"/>
          <w:lang w:eastAsia="en-GB"/>
        </w:rPr>
        <w:t xml:space="preserve"> of the expenditure on research undertaken by universities came from ‘general university funds’. These include:</w:t>
      </w:r>
    </w:p>
    <w:p w:rsidR="002C6039" w:rsidRPr="004A1196" w:rsidRDefault="002C6039" w:rsidP="002C6039">
      <w:pPr>
        <w:pStyle w:val="ListParagraph"/>
        <w:numPr>
          <w:ilvl w:val="0"/>
          <w:numId w:val="20"/>
        </w:numPr>
        <w:rPr>
          <w:color w:val="0B2B43" w:themeColor="text2" w:themeShade="80"/>
        </w:rPr>
      </w:pPr>
      <w:r w:rsidRPr="004A1196">
        <w:rPr>
          <w:color w:val="0B2B43" w:themeColor="text2" w:themeShade="80"/>
        </w:rPr>
        <w:t>international undergraduate and postgraduate student fees</w:t>
      </w:r>
    </w:p>
    <w:p w:rsidR="002C6039" w:rsidRPr="004A1196" w:rsidRDefault="002C6039" w:rsidP="002C6039">
      <w:pPr>
        <w:pStyle w:val="ListParagraph"/>
        <w:numPr>
          <w:ilvl w:val="0"/>
          <w:numId w:val="20"/>
        </w:numPr>
        <w:rPr>
          <w:rFonts w:cstheme="minorHAnsi"/>
          <w:bCs/>
          <w:color w:val="0B2B43" w:themeColor="text2" w:themeShade="80"/>
        </w:rPr>
      </w:pPr>
      <w:r w:rsidRPr="004A1196">
        <w:rPr>
          <w:color w:val="0B2B43" w:themeColor="text2" w:themeShade="80"/>
        </w:rPr>
        <w:t>domestic undergraduate student income, particularly that from the Commonwealth Grants Scheme</w:t>
      </w:r>
      <w:r w:rsidRPr="004A1196">
        <w:rPr>
          <w:rFonts w:cstheme="minorHAnsi"/>
          <w:bCs/>
          <w:color w:val="0B2B43" w:themeColor="text2" w:themeShade="80"/>
        </w:rPr>
        <w:t xml:space="preserve"> (</w:t>
      </w:r>
      <w:proofErr w:type="spellStart"/>
      <w:r w:rsidRPr="004A1196">
        <w:rPr>
          <w:rFonts w:cstheme="minorHAnsi"/>
          <w:bCs/>
          <w:color w:val="0B2B43" w:themeColor="text2" w:themeShade="80"/>
        </w:rPr>
        <w:t>CGS</w:t>
      </w:r>
      <w:proofErr w:type="spellEnd"/>
      <w:r w:rsidRPr="004A1196">
        <w:rPr>
          <w:rFonts w:cstheme="minorHAnsi"/>
          <w:bCs/>
          <w:color w:val="0B2B43" w:themeColor="text2" w:themeShade="80"/>
        </w:rPr>
        <w:t>)</w:t>
      </w:r>
    </w:p>
    <w:p w:rsidR="002C6039" w:rsidRPr="004A1196" w:rsidRDefault="002C6039" w:rsidP="002C6039">
      <w:pPr>
        <w:pStyle w:val="ListParagraph"/>
        <w:numPr>
          <w:ilvl w:val="0"/>
          <w:numId w:val="20"/>
        </w:numPr>
        <w:rPr>
          <w:rFonts w:cstheme="minorHAnsi"/>
          <w:color w:val="0B2B43" w:themeColor="text2" w:themeShade="80"/>
        </w:rPr>
      </w:pPr>
      <w:proofErr w:type="gramStart"/>
      <w:r w:rsidRPr="004A1196">
        <w:rPr>
          <w:rFonts w:cstheme="minorHAnsi"/>
          <w:bCs/>
          <w:color w:val="0B2B43" w:themeColor="text2" w:themeShade="80"/>
        </w:rPr>
        <w:t>other</w:t>
      </w:r>
      <w:proofErr w:type="gramEnd"/>
      <w:r w:rsidRPr="004A1196">
        <w:rPr>
          <w:rFonts w:cstheme="minorHAnsi"/>
          <w:bCs/>
          <w:color w:val="0B2B43" w:themeColor="text2" w:themeShade="80"/>
        </w:rPr>
        <w:t xml:space="preserve">, smaller, contributions such as non-research specific </w:t>
      </w:r>
      <w:r w:rsidRPr="004A1196">
        <w:rPr>
          <w:rFonts w:cstheme="minorHAnsi"/>
          <w:color w:val="0B2B43" w:themeColor="text2" w:themeShade="80"/>
        </w:rPr>
        <w:t>donations and bequests and investment income</w:t>
      </w:r>
      <w:r w:rsidR="00B525B8" w:rsidRPr="004A1196">
        <w:rPr>
          <w:rFonts w:cstheme="minorHAnsi"/>
          <w:color w:val="0B2B43" w:themeColor="text2" w:themeShade="80"/>
        </w:rPr>
        <w:t>.</w:t>
      </w:r>
    </w:p>
    <w:p w:rsidR="002C6039" w:rsidRPr="004A1196" w:rsidRDefault="002C6039" w:rsidP="002C6039">
      <w:pPr>
        <w:pStyle w:val="RIHeading2"/>
        <w:rPr>
          <w:color w:val="0B2B43" w:themeColor="text2" w:themeShade="80"/>
          <w:lang w:eastAsia="en-GB"/>
        </w:rPr>
      </w:pPr>
      <w:bookmarkStart w:id="102" w:name="_Toc436392718"/>
      <w:bookmarkStart w:id="103" w:name="_Toc436651816"/>
      <w:bookmarkStart w:id="104" w:name="_Toc436659624"/>
      <w:bookmarkStart w:id="105" w:name="_Toc436660122"/>
      <w:r w:rsidRPr="004A1196">
        <w:rPr>
          <w:color w:val="0B2B43" w:themeColor="text2" w:themeShade="80"/>
          <w:lang w:eastAsia="en-GB"/>
        </w:rPr>
        <w:t>The role of Commonwealth Grant Scheme (</w:t>
      </w:r>
      <w:proofErr w:type="spellStart"/>
      <w:r w:rsidRPr="004A1196">
        <w:rPr>
          <w:color w:val="0B2B43" w:themeColor="text2" w:themeShade="80"/>
          <w:lang w:eastAsia="en-GB"/>
        </w:rPr>
        <w:t>CGS</w:t>
      </w:r>
      <w:proofErr w:type="spellEnd"/>
      <w:r w:rsidRPr="004A1196">
        <w:rPr>
          <w:color w:val="0B2B43" w:themeColor="text2" w:themeShade="80"/>
          <w:lang w:eastAsia="en-GB"/>
        </w:rPr>
        <w:t>) funding</w:t>
      </w:r>
      <w:bookmarkEnd w:id="102"/>
      <w:bookmarkEnd w:id="103"/>
      <w:bookmarkEnd w:id="104"/>
      <w:bookmarkEnd w:id="105"/>
    </w:p>
    <w:p w:rsidR="002C6039" w:rsidRPr="004A1196" w:rsidRDefault="002C6039" w:rsidP="002C6039">
      <w:pPr>
        <w:rPr>
          <w:color w:val="0B2B43" w:themeColor="text2" w:themeShade="80"/>
          <w:lang w:eastAsia="en-GB"/>
        </w:rPr>
      </w:pPr>
      <w:r w:rsidRPr="004A1196">
        <w:rPr>
          <w:color w:val="0B2B43" w:themeColor="text2" w:themeShade="80"/>
          <w:lang w:eastAsia="en-GB"/>
        </w:rPr>
        <w:t xml:space="preserve">Through the </w:t>
      </w:r>
      <w:proofErr w:type="spellStart"/>
      <w:r w:rsidRPr="004A1196">
        <w:rPr>
          <w:color w:val="0B2B43" w:themeColor="text2" w:themeShade="80"/>
          <w:lang w:eastAsia="en-GB"/>
        </w:rPr>
        <w:t>CGS</w:t>
      </w:r>
      <w:proofErr w:type="spellEnd"/>
      <w:r w:rsidRPr="004A1196">
        <w:rPr>
          <w:color w:val="0B2B43" w:themeColor="text2" w:themeShade="80"/>
          <w:lang w:eastAsia="en-GB"/>
        </w:rPr>
        <w:t xml:space="preserve">, the Australian Government provides a contribution to the cost of education of Australian students enrolled in an undergraduate degree course, as well as some sub-degree and postgraduate coursework degree students. Students subsidised through the </w:t>
      </w:r>
      <w:proofErr w:type="spellStart"/>
      <w:r w:rsidRPr="004A1196">
        <w:rPr>
          <w:color w:val="0B2B43" w:themeColor="text2" w:themeShade="80"/>
          <w:lang w:eastAsia="en-GB"/>
        </w:rPr>
        <w:t>CGS</w:t>
      </w:r>
      <w:proofErr w:type="spellEnd"/>
      <w:r w:rsidRPr="004A1196">
        <w:rPr>
          <w:color w:val="0B2B43" w:themeColor="text2" w:themeShade="80"/>
          <w:lang w:eastAsia="en-GB"/>
        </w:rPr>
        <w:t xml:space="preserve"> also </w:t>
      </w:r>
      <w:proofErr w:type="gramStart"/>
      <w:r w:rsidRPr="004A1196">
        <w:rPr>
          <w:color w:val="0B2B43" w:themeColor="text2" w:themeShade="80"/>
          <w:lang w:eastAsia="en-GB"/>
        </w:rPr>
        <w:t>make a contribution</w:t>
      </w:r>
      <w:proofErr w:type="gramEnd"/>
      <w:r w:rsidRPr="004A1196">
        <w:rPr>
          <w:color w:val="0B2B43" w:themeColor="text2" w:themeShade="80"/>
          <w:lang w:eastAsia="en-GB"/>
        </w:rPr>
        <w:t xml:space="preserve"> to the cost of their education, which they can pay through the </w:t>
      </w:r>
      <w:proofErr w:type="spellStart"/>
      <w:r w:rsidRPr="004A1196">
        <w:rPr>
          <w:color w:val="0B2B43" w:themeColor="text2" w:themeShade="80"/>
          <w:lang w:eastAsia="en-GB"/>
        </w:rPr>
        <w:t>HECS</w:t>
      </w:r>
      <w:proofErr w:type="spellEnd"/>
      <w:r w:rsidRPr="004A1196">
        <w:rPr>
          <w:color w:val="0B2B43" w:themeColor="text2" w:themeShade="80"/>
          <w:lang w:eastAsia="en-GB"/>
        </w:rPr>
        <w:t xml:space="preserve">-HELP scheme or by up-front payment to the university in which they are enrolled. Course fees and the proportion met by the </w:t>
      </w:r>
      <w:proofErr w:type="spellStart"/>
      <w:r w:rsidRPr="004A1196">
        <w:rPr>
          <w:color w:val="0B2B43" w:themeColor="text2" w:themeShade="80"/>
          <w:lang w:eastAsia="en-GB"/>
        </w:rPr>
        <w:t>CGS</w:t>
      </w:r>
      <w:proofErr w:type="spellEnd"/>
      <w:r w:rsidRPr="004A1196">
        <w:rPr>
          <w:color w:val="0B2B43" w:themeColor="text2" w:themeShade="80"/>
          <w:lang w:eastAsia="en-GB"/>
        </w:rPr>
        <w:t xml:space="preserve"> do vary by discipline but, for all </w:t>
      </w:r>
      <w:proofErr w:type="spellStart"/>
      <w:r w:rsidRPr="004A1196">
        <w:rPr>
          <w:color w:val="0B2B43" w:themeColor="text2" w:themeShade="80"/>
          <w:lang w:eastAsia="en-GB"/>
        </w:rPr>
        <w:t>CGS</w:t>
      </w:r>
      <w:proofErr w:type="spellEnd"/>
      <w:r w:rsidRPr="004A1196">
        <w:rPr>
          <w:color w:val="0B2B43" w:themeColor="text2" w:themeShade="80"/>
          <w:lang w:eastAsia="en-GB"/>
        </w:rPr>
        <w:t xml:space="preserve"> supported students, the cost of courses is shared approximately 60:40 between the Australian Government and students.</w:t>
      </w:r>
    </w:p>
    <w:p w:rsidR="002C6039" w:rsidRPr="004A1196" w:rsidRDefault="002C6039" w:rsidP="002C6039">
      <w:pPr>
        <w:rPr>
          <w:color w:val="0B2B43" w:themeColor="text2" w:themeShade="80"/>
        </w:rPr>
      </w:pPr>
      <w:r w:rsidRPr="004A1196">
        <w:rPr>
          <w:color w:val="0B2B43" w:themeColor="text2" w:themeShade="80"/>
        </w:rPr>
        <w:t xml:space="preserve">A number of submissions to the review argued that reliance on student-derived income to support research was unfair to coursework students and undesirable because it required universities to grow student numbers in order to support their research strategies. </w:t>
      </w:r>
    </w:p>
    <w:p w:rsidR="002C6039" w:rsidRPr="004A1196" w:rsidRDefault="002C6039" w:rsidP="002C6039">
      <w:pPr>
        <w:rPr>
          <w:color w:val="0B2B43" w:themeColor="text2" w:themeShade="80"/>
        </w:rPr>
      </w:pPr>
      <w:r w:rsidRPr="004A1196">
        <w:rPr>
          <w:color w:val="0B2B43" w:themeColor="text2" w:themeShade="80"/>
        </w:rPr>
        <w:t xml:space="preserve">Some also argued that the sustainability and quality of Australian research </w:t>
      </w:r>
      <w:proofErr w:type="gramStart"/>
      <w:r w:rsidRPr="004A1196">
        <w:rPr>
          <w:color w:val="0B2B43" w:themeColor="text2" w:themeShade="80"/>
        </w:rPr>
        <w:t>may</w:t>
      </w:r>
      <w:proofErr w:type="gramEnd"/>
      <w:r w:rsidRPr="004A1196">
        <w:rPr>
          <w:color w:val="0B2B43" w:themeColor="text2" w:themeShade="80"/>
        </w:rPr>
        <w:t xml:space="preserve"> be undermined without increased funding to support a higher level of indirect costs for competitive grants. </w:t>
      </w:r>
    </w:p>
    <w:p w:rsidR="002C6039" w:rsidRPr="004A1196" w:rsidRDefault="002C6039" w:rsidP="002C6039">
      <w:pPr>
        <w:rPr>
          <w:color w:val="0B2B43" w:themeColor="text2" w:themeShade="80"/>
        </w:rPr>
      </w:pPr>
      <w:proofErr w:type="spellStart"/>
      <w:r w:rsidRPr="004A1196">
        <w:rPr>
          <w:color w:val="0B2B43" w:themeColor="text2" w:themeShade="80"/>
          <w:lang w:eastAsia="en-GB"/>
        </w:rPr>
        <w:t>CGS</w:t>
      </w:r>
      <w:proofErr w:type="spellEnd"/>
      <w:r w:rsidRPr="004A1196">
        <w:rPr>
          <w:color w:val="0B2B43" w:themeColor="text2" w:themeShade="80"/>
          <w:lang w:eastAsia="en-GB"/>
        </w:rPr>
        <w:t xml:space="preserve"> funding </w:t>
      </w:r>
      <w:proofErr w:type="gramStart"/>
      <w:r w:rsidRPr="004A1196">
        <w:rPr>
          <w:color w:val="0B2B43" w:themeColor="text2" w:themeShade="80"/>
          <w:lang w:eastAsia="en-GB"/>
        </w:rPr>
        <w:t>is provided</w:t>
      </w:r>
      <w:proofErr w:type="gramEnd"/>
      <w:r w:rsidRPr="004A1196">
        <w:rPr>
          <w:color w:val="0B2B43" w:themeColor="text2" w:themeShade="80"/>
          <w:lang w:eastAsia="en-GB"/>
        </w:rPr>
        <w:t xml:space="preserve"> to support both teaching and research activities in universities. While the allocation is paid </w:t>
      </w:r>
      <w:proofErr w:type="gramStart"/>
      <w:r w:rsidRPr="004A1196">
        <w:rPr>
          <w:color w:val="0B2B43" w:themeColor="text2" w:themeShade="80"/>
          <w:lang w:eastAsia="en-GB"/>
        </w:rPr>
        <w:t>on the basis of</w:t>
      </w:r>
      <w:proofErr w:type="gramEnd"/>
      <w:r w:rsidRPr="004A1196">
        <w:rPr>
          <w:color w:val="0B2B43" w:themeColor="text2" w:themeShade="80"/>
          <w:lang w:eastAsia="en-GB"/>
        </w:rPr>
        <w:t xml:space="preserve"> student load, the Australian Government places no particular conditions on its use. Universities have discretion about the amount directed to support students and the amount directed to support research. </w:t>
      </w:r>
    </w:p>
    <w:p w:rsidR="002C6039" w:rsidRPr="004A1196" w:rsidRDefault="002C6039" w:rsidP="002C6039">
      <w:pPr>
        <w:rPr>
          <w:color w:val="0B2B43" w:themeColor="text2" w:themeShade="80"/>
        </w:rPr>
      </w:pPr>
      <w:r w:rsidRPr="004A1196">
        <w:rPr>
          <w:color w:val="0B2B43" w:themeColor="text2" w:themeShade="80"/>
        </w:rPr>
        <w:t>Consistent with the framework set out in the introduction to this report, u</w:t>
      </w:r>
      <w:r w:rsidRPr="004A1196">
        <w:rPr>
          <w:rFonts w:cstheme="minorHAnsi"/>
          <w:color w:val="0B2B43" w:themeColor="text2" w:themeShade="80"/>
        </w:rPr>
        <w:t xml:space="preserve">niversities should be autonomous, self-directing and focused on the quality of their research and teaching. It follows from this that </w:t>
      </w:r>
      <w:r w:rsidRPr="004A1196">
        <w:rPr>
          <w:color w:val="0B2B43" w:themeColor="text2" w:themeShade="80"/>
        </w:rPr>
        <w:t xml:space="preserve">universities continue to have discretion to direct funding to these activities to best address their missions and strategic goals. </w:t>
      </w:r>
    </w:p>
    <w:p w:rsidR="002C6039" w:rsidRPr="004A1196" w:rsidRDefault="002C6039" w:rsidP="002C6039">
      <w:pPr>
        <w:rPr>
          <w:color w:val="0B2B43" w:themeColor="text2" w:themeShade="80"/>
        </w:rPr>
      </w:pPr>
      <w:r w:rsidRPr="004A1196">
        <w:rPr>
          <w:color w:val="0B2B43" w:themeColor="text2" w:themeShade="80"/>
        </w:rPr>
        <w:t xml:space="preserve">Investment from broader university funds in research is a </w:t>
      </w:r>
      <w:proofErr w:type="gramStart"/>
      <w:r w:rsidRPr="004A1196">
        <w:rPr>
          <w:color w:val="0B2B43" w:themeColor="text2" w:themeShade="80"/>
        </w:rPr>
        <w:t>long standing</w:t>
      </w:r>
      <w:proofErr w:type="gramEnd"/>
      <w:r w:rsidRPr="004A1196">
        <w:rPr>
          <w:color w:val="0B2B43" w:themeColor="text2" w:themeShade="80"/>
        </w:rPr>
        <w:t xml:space="preserve"> feature of Australia’s research funding system. The dual funding arrangements, in themselves, cannot meet all university research funding needs and neither the current </w:t>
      </w:r>
      <w:proofErr w:type="gramStart"/>
      <w:r w:rsidRPr="004A1196">
        <w:rPr>
          <w:color w:val="0B2B43" w:themeColor="text2" w:themeShade="80"/>
        </w:rPr>
        <w:t>nor predecessor</w:t>
      </w:r>
      <w:proofErr w:type="gramEnd"/>
      <w:r w:rsidRPr="004A1196">
        <w:rPr>
          <w:color w:val="0B2B43" w:themeColor="text2" w:themeShade="80"/>
        </w:rPr>
        <w:t xml:space="preserve"> arrangements have ever done so. Universities </w:t>
      </w:r>
      <w:proofErr w:type="gramStart"/>
      <w:r w:rsidRPr="004A1196">
        <w:rPr>
          <w:color w:val="0B2B43" w:themeColor="text2" w:themeShade="80"/>
        </w:rPr>
        <w:t>are required</w:t>
      </w:r>
      <w:proofErr w:type="gramEnd"/>
      <w:r w:rsidRPr="004A1196">
        <w:rPr>
          <w:color w:val="0B2B43" w:themeColor="text2" w:themeShade="80"/>
        </w:rPr>
        <w:t xml:space="preserve"> by the Higher Education Provider Standards</w:t>
      </w:r>
      <w:r w:rsidRPr="004A1196">
        <w:rPr>
          <w:rStyle w:val="FootnoteReference"/>
          <w:color w:val="0B2B43" w:themeColor="text2" w:themeShade="80"/>
        </w:rPr>
        <w:footnoteReference w:id="15"/>
      </w:r>
      <w:r w:rsidRPr="004A1196">
        <w:rPr>
          <w:color w:val="0B2B43" w:themeColor="text2" w:themeShade="80"/>
        </w:rPr>
        <w:t xml:space="preserve"> to carry out research in at least three fields of education</w:t>
      </w:r>
      <w:r w:rsidRPr="004A1196" w:rsidDel="008F614B">
        <w:rPr>
          <w:color w:val="0B2B43" w:themeColor="text2" w:themeShade="80"/>
        </w:rPr>
        <w:t xml:space="preserve"> </w:t>
      </w:r>
      <w:r w:rsidRPr="004A1196">
        <w:rPr>
          <w:color w:val="0B2B43" w:themeColor="text2" w:themeShade="80"/>
        </w:rPr>
        <w:t>and must therefore maintain some level of research, independent of their success at winning competitive external funding.</w:t>
      </w:r>
    </w:p>
    <w:p w:rsidR="002C6039" w:rsidRPr="004A1196" w:rsidRDefault="002C6039" w:rsidP="002C6039">
      <w:pPr>
        <w:rPr>
          <w:color w:val="0B2B43" w:themeColor="text2" w:themeShade="80"/>
        </w:rPr>
      </w:pPr>
      <w:r w:rsidRPr="004A1196">
        <w:rPr>
          <w:color w:val="0B2B43" w:themeColor="text2" w:themeShade="80"/>
        </w:rPr>
        <w:t xml:space="preserve">Therefore, regardless of </w:t>
      </w:r>
      <w:r w:rsidR="00676E9D">
        <w:rPr>
          <w:color w:val="0B2B43" w:themeColor="text2" w:themeShade="80"/>
        </w:rPr>
        <w:t xml:space="preserve">the </w:t>
      </w:r>
      <w:r w:rsidRPr="004A1196">
        <w:rPr>
          <w:color w:val="0B2B43" w:themeColor="text2" w:themeShade="80"/>
        </w:rPr>
        <w:t xml:space="preserve">argument about the adequacy of </w:t>
      </w:r>
      <w:proofErr w:type="spellStart"/>
      <w:r w:rsidRPr="004A1196">
        <w:rPr>
          <w:color w:val="0B2B43" w:themeColor="text2" w:themeShade="80"/>
        </w:rPr>
        <w:t>RBG</w:t>
      </w:r>
      <w:proofErr w:type="spellEnd"/>
      <w:r w:rsidRPr="004A1196">
        <w:rPr>
          <w:color w:val="0B2B43" w:themeColor="text2" w:themeShade="80"/>
        </w:rPr>
        <w:t xml:space="preserve"> in covering the indirect costs of competitive grant research, which is discussed in the following section, universities need further, </w:t>
      </w:r>
      <w:proofErr w:type="gramStart"/>
      <w:r w:rsidRPr="004A1196">
        <w:rPr>
          <w:color w:val="0B2B43" w:themeColor="text2" w:themeShade="80"/>
        </w:rPr>
        <w:t>very</w:t>
      </w:r>
      <w:proofErr w:type="gramEnd"/>
      <w:r w:rsidRPr="004A1196">
        <w:rPr>
          <w:color w:val="0B2B43" w:themeColor="text2" w:themeShade="80"/>
        </w:rPr>
        <w:t xml:space="preserve"> substantial discretionary sources of research funding. The </w:t>
      </w:r>
      <w:proofErr w:type="spellStart"/>
      <w:r w:rsidRPr="004A1196">
        <w:rPr>
          <w:color w:val="0B2B43" w:themeColor="text2" w:themeShade="80"/>
        </w:rPr>
        <w:t>CGS</w:t>
      </w:r>
      <w:proofErr w:type="spellEnd"/>
      <w:r w:rsidRPr="004A1196">
        <w:rPr>
          <w:color w:val="0B2B43" w:themeColor="text2" w:themeShade="80"/>
        </w:rPr>
        <w:t xml:space="preserve"> plays an important role in this regard. This is not a new conclusion. The 2011 Higher Education Base Funding Review highlighted that the use of base funding (the </w:t>
      </w:r>
      <w:proofErr w:type="spellStart"/>
      <w:r w:rsidRPr="004A1196">
        <w:rPr>
          <w:color w:val="0B2B43" w:themeColor="text2" w:themeShade="80"/>
        </w:rPr>
        <w:t>CGS</w:t>
      </w:r>
      <w:proofErr w:type="spellEnd"/>
      <w:r w:rsidRPr="004A1196">
        <w:rPr>
          <w:color w:val="0B2B43" w:themeColor="text2" w:themeShade="80"/>
        </w:rPr>
        <w:t xml:space="preserve"> plus the student contribution of Australian Government-subsidised coursework students) for research activities is an accepted part of the research funding system.</w:t>
      </w:r>
      <w:r w:rsidR="00446B1F" w:rsidRPr="004A1196">
        <w:rPr>
          <w:rStyle w:val="FootnoteReference"/>
          <w:color w:val="0B2B43" w:themeColor="text2" w:themeShade="80"/>
        </w:rPr>
        <w:footnoteReference w:id="16"/>
      </w:r>
    </w:p>
    <w:p w:rsidR="002C6039" w:rsidRPr="00061AC9" w:rsidRDefault="002C6039" w:rsidP="002C6039">
      <w:pPr>
        <w:pStyle w:val="RIHeading2"/>
        <w:rPr>
          <w:color w:val="0B2B43" w:themeColor="text2" w:themeShade="80"/>
          <w:lang w:eastAsia="en-GB"/>
        </w:rPr>
      </w:pPr>
      <w:bookmarkStart w:id="106" w:name="_Toc436392719"/>
      <w:bookmarkStart w:id="107" w:name="_Toc436651817"/>
      <w:bookmarkStart w:id="108" w:name="_Toc436659625"/>
      <w:bookmarkStart w:id="109" w:name="_Toc436660123"/>
      <w:r w:rsidRPr="00061AC9">
        <w:rPr>
          <w:color w:val="0B2B43" w:themeColor="text2" w:themeShade="80"/>
          <w:lang w:eastAsia="en-GB"/>
        </w:rPr>
        <w:t>Indirect research costs</w:t>
      </w:r>
      <w:bookmarkEnd w:id="106"/>
      <w:bookmarkEnd w:id="107"/>
      <w:bookmarkEnd w:id="108"/>
      <w:bookmarkEnd w:id="109"/>
    </w:p>
    <w:p w:rsidR="002C6039" w:rsidRPr="004A1196" w:rsidRDefault="002C6039" w:rsidP="002C6039">
      <w:pPr>
        <w:rPr>
          <w:color w:val="0B2B43" w:themeColor="text2" w:themeShade="80"/>
          <w:lang w:eastAsia="en-GB"/>
        </w:rPr>
      </w:pPr>
      <w:r w:rsidRPr="004A1196">
        <w:rPr>
          <w:color w:val="0B2B43" w:themeColor="text2" w:themeShade="80"/>
          <w:lang w:eastAsia="en-GB"/>
        </w:rPr>
        <w:t xml:space="preserve">The ability of </w:t>
      </w:r>
      <w:proofErr w:type="spellStart"/>
      <w:r w:rsidRPr="004A1196">
        <w:rPr>
          <w:color w:val="0B2B43" w:themeColor="text2" w:themeShade="80"/>
          <w:lang w:eastAsia="en-GB"/>
        </w:rPr>
        <w:t>RBG</w:t>
      </w:r>
      <w:proofErr w:type="spellEnd"/>
      <w:r w:rsidRPr="004A1196">
        <w:rPr>
          <w:color w:val="0B2B43" w:themeColor="text2" w:themeShade="80"/>
          <w:lang w:eastAsia="en-GB"/>
        </w:rPr>
        <w:t xml:space="preserve"> to meet the indirect costs of Australian competitive grant research </w:t>
      </w:r>
      <w:proofErr w:type="gramStart"/>
      <w:r w:rsidRPr="004A1196">
        <w:rPr>
          <w:color w:val="0B2B43" w:themeColor="text2" w:themeShade="80"/>
          <w:lang w:eastAsia="en-GB"/>
        </w:rPr>
        <w:t>was raised</w:t>
      </w:r>
      <w:proofErr w:type="gramEnd"/>
      <w:r w:rsidRPr="004A1196">
        <w:rPr>
          <w:color w:val="0B2B43" w:themeColor="text2" w:themeShade="80"/>
          <w:lang w:eastAsia="en-GB"/>
        </w:rPr>
        <w:t xml:space="preserve"> in submissions.</w:t>
      </w:r>
    </w:p>
    <w:p w:rsidR="002C6039" w:rsidRPr="004A1196" w:rsidRDefault="002C6039" w:rsidP="002C6039">
      <w:pPr>
        <w:rPr>
          <w:color w:val="0B2B43" w:themeColor="text2" w:themeShade="80"/>
          <w:lang w:eastAsia="en-GB"/>
        </w:rPr>
      </w:pPr>
      <w:r w:rsidRPr="004A1196">
        <w:rPr>
          <w:color w:val="0B2B43" w:themeColor="text2" w:themeShade="80"/>
          <w:lang w:eastAsia="en-GB"/>
        </w:rPr>
        <w:t xml:space="preserve">The level of support for the indirect costs </w:t>
      </w:r>
      <w:proofErr w:type="gramStart"/>
      <w:r w:rsidRPr="004A1196">
        <w:rPr>
          <w:color w:val="0B2B43" w:themeColor="text2" w:themeShade="80"/>
          <w:lang w:eastAsia="en-GB"/>
        </w:rPr>
        <w:t>is typically shown</w:t>
      </w:r>
      <w:proofErr w:type="gramEnd"/>
      <w:r w:rsidRPr="004A1196">
        <w:rPr>
          <w:color w:val="0B2B43" w:themeColor="text2" w:themeShade="80"/>
          <w:lang w:eastAsia="en-GB"/>
        </w:rPr>
        <w:t xml:space="preserve"> as the ratio between the Research Infrastructure Block Grants (</w:t>
      </w:r>
      <w:proofErr w:type="spellStart"/>
      <w:r w:rsidRPr="004A1196">
        <w:rPr>
          <w:color w:val="0B2B43" w:themeColor="text2" w:themeShade="80"/>
          <w:lang w:eastAsia="en-GB"/>
        </w:rPr>
        <w:t>RIBG</w:t>
      </w:r>
      <w:proofErr w:type="spellEnd"/>
      <w:r w:rsidRPr="004A1196">
        <w:rPr>
          <w:color w:val="0B2B43" w:themeColor="text2" w:themeShade="80"/>
          <w:lang w:eastAsia="en-GB"/>
        </w:rPr>
        <w:t>) and Sustainable Research Excellence (</w:t>
      </w:r>
      <w:proofErr w:type="spellStart"/>
      <w:r w:rsidRPr="004A1196">
        <w:rPr>
          <w:color w:val="0B2B43" w:themeColor="text2" w:themeShade="80"/>
          <w:lang w:eastAsia="en-GB"/>
        </w:rPr>
        <w:t>SRE</w:t>
      </w:r>
      <w:proofErr w:type="spellEnd"/>
      <w:r w:rsidRPr="004A1196">
        <w:rPr>
          <w:color w:val="0B2B43" w:themeColor="text2" w:themeShade="80"/>
          <w:lang w:eastAsia="en-GB"/>
        </w:rPr>
        <w:t>)</w:t>
      </w:r>
      <w:r w:rsidR="00676E9D">
        <w:rPr>
          <w:color w:val="0B2B43" w:themeColor="text2" w:themeShade="80"/>
          <w:lang w:eastAsia="en-GB"/>
        </w:rPr>
        <w:t>,</w:t>
      </w:r>
      <w:r w:rsidRPr="004A1196">
        <w:rPr>
          <w:color w:val="0B2B43" w:themeColor="text2" w:themeShade="80"/>
          <w:lang w:eastAsia="en-GB"/>
        </w:rPr>
        <w:t xml:space="preserve"> and the competitive grant pools. As </w:t>
      </w:r>
      <w:r w:rsidR="00C75A89">
        <w:rPr>
          <w:color w:val="0B2B43" w:themeColor="text2" w:themeShade="80"/>
          <w:lang w:eastAsia="en-GB"/>
        </w:rPr>
        <w:t>Chart</w:t>
      </w:r>
      <w:r w:rsidRPr="004A1196">
        <w:rPr>
          <w:color w:val="0B2B43" w:themeColor="text2" w:themeShade="80"/>
          <w:lang w:eastAsia="en-GB"/>
        </w:rPr>
        <w:t xml:space="preserve"> 3 shows, this ratio is currently slightly below 25 cents in the competitive dollar in 2015. While there have been variations, </w:t>
      </w:r>
      <w:r w:rsidR="006F2ADF" w:rsidRPr="004A1196">
        <w:rPr>
          <w:color w:val="0B2B43" w:themeColor="text2" w:themeShade="80"/>
          <w:lang w:eastAsia="en-GB"/>
        </w:rPr>
        <w:t>Chart</w:t>
      </w:r>
      <w:r w:rsidRPr="004A1196">
        <w:rPr>
          <w:color w:val="0B2B43" w:themeColor="text2" w:themeShade="80"/>
          <w:lang w:eastAsia="en-GB"/>
        </w:rPr>
        <w:t xml:space="preserve"> 3 shows that indirect funding support has been less than 25 cents in the dollar for at least the past 20</w:t>
      </w:r>
      <w:r w:rsidR="004018A9" w:rsidRPr="004A1196">
        <w:rPr>
          <w:color w:val="0B2B43" w:themeColor="text2" w:themeShade="80"/>
          <w:lang w:eastAsia="en-GB"/>
        </w:rPr>
        <w:t> </w:t>
      </w:r>
      <w:r w:rsidRPr="004A1196">
        <w:rPr>
          <w:color w:val="0B2B43" w:themeColor="text2" w:themeShade="80"/>
          <w:lang w:eastAsia="en-GB"/>
        </w:rPr>
        <w:t>years.</w:t>
      </w:r>
    </w:p>
    <w:p w:rsidR="001E7944" w:rsidRDefault="001E7944">
      <w:pPr>
        <w:spacing w:before="0" w:after="200" w:line="276" w:lineRule="auto"/>
        <w:rPr>
          <w:rFonts w:eastAsiaTheme="majorEastAsia"/>
          <w:b/>
          <w:bCs/>
        </w:rPr>
      </w:pPr>
      <w:r>
        <w:rPr>
          <w:b/>
        </w:rPr>
        <w:br w:type="page"/>
      </w:r>
    </w:p>
    <w:p w:rsidR="002C6039" w:rsidRPr="001776EE" w:rsidRDefault="006F2ADF" w:rsidP="001776EE">
      <w:pPr>
        <w:pStyle w:val="Heading3"/>
        <w:rPr>
          <w:b/>
        </w:rPr>
      </w:pPr>
      <w:proofErr w:type="gramStart"/>
      <w:r w:rsidRPr="001776EE">
        <w:rPr>
          <w:b/>
        </w:rPr>
        <w:t>Chart</w:t>
      </w:r>
      <w:r w:rsidR="002C6039" w:rsidRPr="001776EE">
        <w:rPr>
          <w:b/>
        </w:rPr>
        <w:t xml:space="preserve"> </w:t>
      </w:r>
      <w:r w:rsidR="007F16CF" w:rsidRPr="001776EE">
        <w:rPr>
          <w:b/>
        </w:rPr>
        <w:fldChar w:fldCharType="begin"/>
      </w:r>
      <w:r w:rsidR="007F16CF" w:rsidRPr="001776EE">
        <w:rPr>
          <w:b/>
        </w:rPr>
        <w:instrText xml:space="preserve"> SEQ Figure \* ARABIC </w:instrText>
      </w:r>
      <w:r w:rsidR="007F16CF" w:rsidRPr="001776EE">
        <w:rPr>
          <w:b/>
        </w:rPr>
        <w:fldChar w:fldCharType="separate"/>
      </w:r>
      <w:r w:rsidR="00E05D3F">
        <w:rPr>
          <w:b/>
          <w:noProof/>
        </w:rPr>
        <w:t>3</w:t>
      </w:r>
      <w:r w:rsidR="007F16CF" w:rsidRPr="001776EE">
        <w:rPr>
          <w:b/>
        </w:rPr>
        <w:fldChar w:fldCharType="end"/>
      </w:r>
      <w:r w:rsidR="002C6039" w:rsidRPr="001776EE">
        <w:rPr>
          <w:b/>
        </w:rPr>
        <w:t>.</w:t>
      </w:r>
      <w:proofErr w:type="gramEnd"/>
      <w:r w:rsidR="002C6039" w:rsidRPr="001776EE">
        <w:rPr>
          <w:b/>
        </w:rPr>
        <w:t xml:space="preserve"> Cents in dollar ratio 1996-2019 (</w:t>
      </w:r>
      <w:proofErr w:type="spellStart"/>
      <w:r w:rsidR="002C6039" w:rsidRPr="001776EE">
        <w:rPr>
          <w:b/>
        </w:rPr>
        <w:t>RIBG+SRE</w:t>
      </w:r>
      <w:proofErr w:type="spellEnd"/>
      <w:r w:rsidR="002C6039" w:rsidRPr="001776EE">
        <w:rPr>
          <w:b/>
        </w:rPr>
        <w:t>)/</w:t>
      </w:r>
      <w:proofErr w:type="spellStart"/>
      <w:r w:rsidR="002C6039" w:rsidRPr="001776EE">
        <w:rPr>
          <w:b/>
        </w:rPr>
        <w:t>ACG</w:t>
      </w:r>
      <w:proofErr w:type="spellEnd"/>
    </w:p>
    <w:p w:rsidR="002C6039" w:rsidRPr="004A1196" w:rsidRDefault="00D85AA4" w:rsidP="002C6039">
      <w:pPr>
        <w:pStyle w:val="Source"/>
        <w:rPr>
          <w:color w:val="0B2B43" w:themeColor="text2" w:themeShade="80"/>
        </w:rPr>
      </w:pPr>
      <w:r>
        <w:rPr>
          <w:noProof/>
          <w:color w:val="0B2B43" w:themeColor="text2" w:themeShade="80"/>
          <w:lang w:eastAsia="en-AU"/>
        </w:rPr>
        <w:drawing>
          <wp:inline distT="0" distB="0" distL="0" distR="0" wp14:anchorId="64C9BF96" wp14:editId="2AC7CF9C">
            <wp:extent cx="5742940" cy="2737485"/>
            <wp:effectExtent l="0" t="0" r="0" b="5715"/>
            <wp:docPr id="6" name="Picture 6" descr="Chart 9: cents in dollar ratio 1996 - 2019.&#10;Actuals by Year:&#10;0.20  in 1996;&#10;0.21  in 1997;&#10;0.23  in 1998;&#10;0.19  in 1999;&#10;0.17  in 2000;&#10;0.17  in 2001;&#10;0.21 in 2002;&#10;0.21  in 2003;&#10;0.22  in 2004;&#10;0.22 in 2005;&#10;0.21 in 2006;&#10;0.19 in 2007;&#10;0.18 in 2008;&#10;0.17 in 2009;&#10;0.23 in 2010;&#10;0.23 in 2011;&#10;0.24 in 2012;&#10;0.23 in 2013;&#10;Estimates by year.&#10;0.23 in 2013&#10;0.24 in 2014&#10;0.25 in 2015&#10;0.25 in 2016&#10;0.26 in 2017&#10;0.26 in 2018&#10;0.26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2940" cy="2737485"/>
                    </a:xfrm>
                    <a:prstGeom prst="rect">
                      <a:avLst/>
                    </a:prstGeom>
                    <a:noFill/>
                  </pic:spPr>
                </pic:pic>
              </a:graphicData>
            </a:graphic>
          </wp:inline>
        </w:drawing>
      </w:r>
      <w:r w:rsidR="002C6039" w:rsidRPr="004A1196">
        <w:rPr>
          <w:color w:val="0B2B43" w:themeColor="text2" w:themeShade="80"/>
        </w:rPr>
        <w:t xml:space="preserve">Source: Higher Education Research Data Collection, Departmental </w:t>
      </w:r>
      <w:proofErr w:type="spellStart"/>
      <w:r w:rsidR="002C6039" w:rsidRPr="004A1196">
        <w:rPr>
          <w:color w:val="0B2B43" w:themeColor="text2" w:themeShade="80"/>
        </w:rPr>
        <w:t>RBG</w:t>
      </w:r>
      <w:proofErr w:type="spellEnd"/>
      <w:r w:rsidR="002C6039" w:rsidRPr="004A1196">
        <w:rPr>
          <w:color w:val="0B2B43" w:themeColor="text2" w:themeShade="80"/>
        </w:rPr>
        <w:t xml:space="preserve"> funding records and budget forward estimates</w:t>
      </w:r>
    </w:p>
    <w:p w:rsidR="002C6039" w:rsidRPr="004A1196" w:rsidRDefault="002C6039" w:rsidP="002C6039">
      <w:pPr>
        <w:rPr>
          <w:color w:val="0B2B43" w:themeColor="text2" w:themeShade="80"/>
        </w:rPr>
      </w:pPr>
      <w:r w:rsidRPr="004A1196">
        <w:rPr>
          <w:color w:val="0B2B43" w:themeColor="text2" w:themeShade="80"/>
        </w:rPr>
        <w:t xml:space="preserve">It </w:t>
      </w:r>
      <w:proofErr w:type="gramStart"/>
      <w:r w:rsidRPr="004A1196">
        <w:rPr>
          <w:color w:val="0B2B43" w:themeColor="text2" w:themeShade="80"/>
        </w:rPr>
        <w:t>has been argued</w:t>
      </w:r>
      <w:proofErr w:type="gramEnd"/>
      <w:r w:rsidRPr="004A1196">
        <w:rPr>
          <w:color w:val="0B2B43" w:themeColor="text2" w:themeShade="80"/>
        </w:rPr>
        <w:t xml:space="preserve"> in some consultations that a reasonable benchmark for indirect costs would be 50 cents in the competitive dollar. Some submissions also referred to the then Government’s intention, in introducing </w:t>
      </w:r>
      <w:proofErr w:type="spellStart"/>
      <w:r w:rsidRPr="004A1196">
        <w:rPr>
          <w:color w:val="0B2B43" w:themeColor="text2" w:themeShade="80"/>
        </w:rPr>
        <w:t>SRE</w:t>
      </w:r>
      <w:proofErr w:type="spellEnd"/>
      <w:r w:rsidRPr="004A1196">
        <w:rPr>
          <w:color w:val="0B2B43" w:themeColor="text2" w:themeShade="80"/>
        </w:rPr>
        <w:t xml:space="preserve"> funding in 2009-10, to increase indirect support for competitive grants to this level over time, although this was not achieved. Universities would need to receive around $430 million additional </w:t>
      </w:r>
      <w:proofErr w:type="spellStart"/>
      <w:r w:rsidRPr="004A1196">
        <w:rPr>
          <w:color w:val="0B2B43" w:themeColor="text2" w:themeShade="80"/>
        </w:rPr>
        <w:t>RBG</w:t>
      </w:r>
      <w:proofErr w:type="spellEnd"/>
      <w:r w:rsidRPr="004A1196">
        <w:rPr>
          <w:color w:val="0B2B43" w:themeColor="text2" w:themeShade="80"/>
        </w:rPr>
        <w:t xml:space="preserve"> </w:t>
      </w:r>
      <w:r w:rsidR="00660874" w:rsidRPr="004A1196">
        <w:rPr>
          <w:color w:val="0B2B43" w:themeColor="text2" w:themeShade="80"/>
        </w:rPr>
        <w:t>funding in 2015 to reach the 50 </w:t>
      </w:r>
      <w:r w:rsidRPr="004A1196">
        <w:rPr>
          <w:color w:val="0B2B43" w:themeColor="text2" w:themeShade="80"/>
        </w:rPr>
        <w:t>cents benchmark.</w:t>
      </w:r>
    </w:p>
    <w:p w:rsidR="002C6039" w:rsidRPr="004A1196" w:rsidRDefault="002C6039" w:rsidP="002C6039">
      <w:pPr>
        <w:rPr>
          <w:color w:val="0B2B43" w:themeColor="text2" w:themeShade="80"/>
        </w:rPr>
      </w:pPr>
      <w:r w:rsidRPr="004A1196">
        <w:rPr>
          <w:color w:val="0B2B43" w:themeColor="text2" w:themeShade="80"/>
        </w:rPr>
        <w:t xml:space="preserve">Despite concerns about the insufficiency of support for indirect costs, universities have built and maintained high quality research with the present rate of funding of the indirect costs of competitive grant research, which has remained below 25 cents for many years. It is, however, important that the current arrangements </w:t>
      </w:r>
      <w:proofErr w:type="gramStart"/>
      <w:r w:rsidRPr="004A1196">
        <w:rPr>
          <w:color w:val="0B2B43" w:themeColor="text2" w:themeShade="80"/>
        </w:rPr>
        <w:t>are</w:t>
      </w:r>
      <w:proofErr w:type="gramEnd"/>
      <w:r w:rsidRPr="004A1196">
        <w:rPr>
          <w:color w:val="0B2B43" w:themeColor="text2" w:themeShade="80"/>
        </w:rPr>
        <w:t xml:space="preserve"> monitored to ensure that there is no significant deterioration in research quality, an issue discussed in </w:t>
      </w:r>
      <w:r w:rsidR="00676E9D">
        <w:rPr>
          <w:color w:val="0B2B43" w:themeColor="text2" w:themeShade="80"/>
        </w:rPr>
        <w:t xml:space="preserve">the </w:t>
      </w:r>
      <w:r w:rsidRPr="004A1196">
        <w:rPr>
          <w:color w:val="0B2B43" w:themeColor="text2" w:themeShade="80"/>
        </w:rPr>
        <w:t>chapters on assessing Australia’s research system and assessment of impact and engagement.</w:t>
      </w:r>
    </w:p>
    <w:p w:rsidR="002C6039" w:rsidRPr="004A1196" w:rsidRDefault="002C6039" w:rsidP="002C6039">
      <w:pPr>
        <w:pStyle w:val="RIHeading2"/>
        <w:rPr>
          <w:color w:val="0B2B43" w:themeColor="text2" w:themeShade="80"/>
        </w:rPr>
      </w:pPr>
      <w:bookmarkStart w:id="110" w:name="_Toc436392720"/>
      <w:bookmarkStart w:id="111" w:name="_Toc436651818"/>
      <w:bookmarkStart w:id="112" w:name="_Toc436659626"/>
      <w:bookmarkStart w:id="113" w:name="_Toc436660124"/>
      <w:r w:rsidRPr="004A1196">
        <w:rPr>
          <w:color w:val="0B2B43" w:themeColor="text2" w:themeShade="80"/>
        </w:rPr>
        <w:t>Indirect costs of research conducted by Medical Research Institutes (MRI</w:t>
      </w:r>
      <w:bookmarkEnd w:id="110"/>
      <w:r w:rsidRPr="004A1196">
        <w:rPr>
          <w:color w:val="0B2B43" w:themeColor="text2" w:themeShade="80"/>
        </w:rPr>
        <w:t>)</w:t>
      </w:r>
      <w:bookmarkEnd w:id="111"/>
      <w:bookmarkEnd w:id="112"/>
      <w:bookmarkEnd w:id="113"/>
    </w:p>
    <w:p w:rsidR="002C6039" w:rsidRPr="004A1196" w:rsidRDefault="002C6039" w:rsidP="002C6039">
      <w:pPr>
        <w:rPr>
          <w:color w:val="0B2B43" w:themeColor="text2" w:themeShade="80"/>
        </w:rPr>
      </w:pPr>
      <w:r w:rsidRPr="004A1196">
        <w:rPr>
          <w:color w:val="0B2B43" w:themeColor="text2" w:themeShade="80"/>
        </w:rPr>
        <w:t xml:space="preserve">Inconsistencies do appear to exist </w:t>
      </w:r>
      <w:proofErr w:type="gramStart"/>
      <w:r w:rsidRPr="004A1196">
        <w:rPr>
          <w:color w:val="0B2B43" w:themeColor="text2" w:themeShade="80"/>
        </w:rPr>
        <w:t>in regard to</w:t>
      </w:r>
      <w:proofErr w:type="gramEnd"/>
      <w:r w:rsidRPr="004A1196">
        <w:rPr>
          <w:color w:val="0B2B43" w:themeColor="text2" w:themeShade="80"/>
        </w:rPr>
        <w:t xml:space="preserve"> the funding of indirect costs of research conducted by independent MRI. Policy responsibility for the funding of MRI rests with the Department of Health and the NHMRC. The NHMRC provides support for the indirect costs of health and medical research conducted by MRI through the Independent Research Institute Infrastructure Support Scheme (</w:t>
      </w:r>
      <w:proofErr w:type="spellStart"/>
      <w:r w:rsidRPr="004A1196">
        <w:rPr>
          <w:color w:val="0B2B43" w:themeColor="text2" w:themeShade="80"/>
        </w:rPr>
        <w:t>IRIIS</w:t>
      </w:r>
      <w:proofErr w:type="spellEnd"/>
      <w:r w:rsidRPr="004A1196">
        <w:rPr>
          <w:color w:val="0B2B43" w:themeColor="text2" w:themeShade="80"/>
        </w:rPr>
        <w:t xml:space="preserve">). MRI </w:t>
      </w:r>
      <w:proofErr w:type="gramStart"/>
      <w:r w:rsidRPr="004A1196">
        <w:rPr>
          <w:color w:val="0B2B43" w:themeColor="text2" w:themeShade="80"/>
        </w:rPr>
        <w:t>are</w:t>
      </w:r>
      <w:proofErr w:type="gramEnd"/>
      <w:r w:rsidRPr="004A1196">
        <w:rPr>
          <w:color w:val="0B2B43" w:themeColor="text2" w:themeShade="80"/>
        </w:rPr>
        <w:t xml:space="preserve">, however, also able to gain access to university </w:t>
      </w:r>
      <w:proofErr w:type="spellStart"/>
      <w:r w:rsidRPr="004A1196">
        <w:rPr>
          <w:color w:val="0B2B43" w:themeColor="text2" w:themeShade="80"/>
        </w:rPr>
        <w:t>RBG</w:t>
      </w:r>
      <w:proofErr w:type="spellEnd"/>
      <w:r w:rsidRPr="004A1196">
        <w:rPr>
          <w:color w:val="0B2B43" w:themeColor="text2" w:themeShade="80"/>
        </w:rPr>
        <w:t xml:space="preserve"> through affiliate arrangements allowed for under the Higher Education Research Data Collection (</w:t>
      </w:r>
      <w:proofErr w:type="spellStart"/>
      <w:r w:rsidRPr="004A1196">
        <w:rPr>
          <w:color w:val="0B2B43" w:themeColor="text2" w:themeShade="80"/>
        </w:rPr>
        <w:t>HERDC</w:t>
      </w:r>
      <w:proofErr w:type="spellEnd"/>
      <w:r w:rsidRPr="004A1196">
        <w:rPr>
          <w:color w:val="0B2B43" w:themeColor="text2" w:themeShade="80"/>
        </w:rPr>
        <w:t xml:space="preserve">). </w:t>
      </w:r>
    </w:p>
    <w:p w:rsidR="002C6039" w:rsidRPr="004A1196" w:rsidRDefault="002C6039" w:rsidP="002C6039">
      <w:pPr>
        <w:rPr>
          <w:color w:val="0B2B43" w:themeColor="text2" w:themeShade="80"/>
        </w:rPr>
      </w:pPr>
      <w:r w:rsidRPr="004A1196">
        <w:rPr>
          <w:color w:val="0B2B43" w:themeColor="text2" w:themeShade="80"/>
        </w:rPr>
        <w:t xml:space="preserve">Decisions about whether MRI seek funding under the </w:t>
      </w:r>
      <w:proofErr w:type="spellStart"/>
      <w:r w:rsidRPr="004A1196">
        <w:rPr>
          <w:color w:val="0B2B43" w:themeColor="text2" w:themeShade="80"/>
        </w:rPr>
        <w:t>IRIIS</w:t>
      </w:r>
      <w:proofErr w:type="spellEnd"/>
      <w:r w:rsidRPr="004A1196">
        <w:rPr>
          <w:color w:val="0B2B43" w:themeColor="text2" w:themeShade="80"/>
        </w:rPr>
        <w:t xml:space="preserve"> schemes or </w:t>
      </w:r>
      <w:proofErr w:type="spellStart"/>
      <w:r w:rsidR="00B33F82">
        <w:rPr>
          <w:color w:val="0B2B43" w:themeColor="text2" w:themeShade="80"/>
        </w:rPr>
        <w:t>RBG</w:t>
      </w:r>
      <w:proofErr w:type="spellEnd"/>
      <w:r w:rsidRPr="004A1196">
        <w:rPr>
          <w:color w:val="0B2B43" w:themeColor="text2" w:themeShade="80"/>
        </w:rPr>
        <w:t xml:space="preserve"> have important financial implications as </w:t>
      </w:r>
      <w:proofErr w:type="spellStart"/>
      <w:r w:rsidRPr="004A1196">
        <w:rPr>
          <w:color w:val="0B2B43" w:themeColor="text2" w:themeShade="80"/>
        </w:rPr>
        <w:t>RBG</w:t>
      </w:r>
      <w:proofErr w:type="spellEnd"/>
      <w:r w:rsidRPr="004A1196">
        <w:rPr>
          <w:color w:val="0B2B43" w:themeColor="text2" w:themeShade="80"/>
        </w:rPr>
        <w:t xml:space="preserve"> currently pay more than </w:t>
      </w:r>
      <w:proofErr w:type="spellStart"/>
      <w:r w:rsidRPr="004A1196">
        <w:rPr>
          <w:color w:val="0B2B43" w:themeColor="text2" w:themeShade="80"/>
        </w:rPr>
        <w:t>IRIIS</w:t>
      </w:r>
      <w:proofErr w:type="spellEnd"/>
      <w:r w:rsidRPr="004A1196">
        <w:rPr>
          <w:color w:val="0B2B43" w:themeColor="text2" w:themeShade="80"/>
        </w:rPr>
        <w:t xml:space="preserve"> (around 24 to 25 cents per dollar in indirect cost support compared to 20 cents from </w:t>
      </w:r>
      <w:proofErr w:type="spellStart"/>
      <w:r w:rsidRPr="004A1196">
        <w:rPr>
          <w:color w:val="0B2B43" w:themeColor="text2" w:themeShade="80"/>
        </w:rPr>
        <w:t>IRIIS</w:t>
      </w:r>
      <w:proofErr w:type="spellEnd"/>
      <w:r w:rsidRPr="004A1196">
        <w:rPr>
          <w:color w:val="0B2B43" w:themeColor="text2" w:themeShade="80"/>
        </w:rPr>
        <w:t>). However, there are a number of policy</w:t>
      </w:r>
      <w:r w:rsidRPr="004A1196" w:rsidDel="001B0C43">
        <w:rPr>
          <w:color w:val="0B2B43" w:themeColor="text2" w:themeShade="80"/>
        </w:rPr>
        <w:t xml:space="preserve"> </w:t>
      </w:r>
      <w:r w:rsidRPr="004A1196">
        <w:rPr>
          <w:color w:val="0B2B43" w:themeColor="text2" w:themeShade="80"/>
        </w:rPr>
        <w:t xml:space="preserve">issues associated with allowing MRI to access </w:t>
      </w:r>
      <w:proofErr w:type="spellStart"/>
      <w:r w:rsidRPr="004A1196">
        <w:rPr>
          <w:color w:val="0B2B43" w:themeColor="text2" w:themeShade="80"/>
        </w:rPr>
        <w:t>RBG</w:t>
      </w:r>
      <w:proofErr w:type="spellEnd"/>
      <w:r w:rsidRPr="004A1196">
        <w:rPr>
          <w:color w:val="0B2B43" w:themeColor="text2" w:themeShade="80"/>
        </w:rPr>
        <w:t xml:space="preserve"> funding. For example, in a fixed funding pool, </w:t>
      </w:r>
      <w:proofErr w:type="spellStart"/>
      <w:r w:rsidRPr="004A1196">
        <w:rPr>
          <w:color w:val="0B2B43" w:themeColor="text2" w:themeShade="80"/>
        </w:rPr>
        <w:t>RBG</w:t>
      </w:r>
      <w:proofErr w:type="spellEnd"/>
      <w:r w:rsidRPr="004A1196">
        <w:rPr>
          <w:color w:val="0B2B43" w:themeColor="text2" w:themeShade="80"/>
        </w:rPr>
        <w:t xml:space="preserve"> funding provided to MRI via affiliated universities </w:t>
      </w:r>
      <w:proofErr w:type="gramStart"/>
      <w:r w:rsidRPr="004A1196">
        <w:rPr>
          <w:color w:val="0B2B43" w:themeColor="text2" w:themeShade="80"/>
        </w:rPr>
        <w:t>would otherwise be allocated</w:t>
      </w:r>
      <w:proofErr w:type="gramEnd"/>
      <w:r w:rsidRPr="004A1196">
        <w:rPr>
          <w:color w:val="0B2B43" w:themeColor="text2" w:themeShade="80"/>
        </w:rPr>
        <w:t xml:space="preserve"> to other universities, the intended recipients of </w:t>
      </w:r>
      <w:proofErr w:type="spellStart"/>
      <w:r w:rsidRPr="004A1196">
        <w:rPr>
          <w:color w:val="0B2B43" w:themeColor="text2" w:themeShade="80"/>
        </w:rPr>
        <w:t>RBG</w:t>
      </w:r>
      <w:proofErr w:type="spellEnd"/>
      <w:r w:rsidRPr="004A1196">
        <w:rPr>
          <w:color w:val="0B2B43" w:themeColor="text2" w:themeShade="80"/>
        </w:rPr>
        <w:t xml:space="preserve"> funding. </w:t>
      </w:r>
    </w:p>
    <w:p w:rsidR="002C6039" w:rsidRPr="004A1196" w:rsidRDefault="002C6039" w:rsidP="002C6039">
      <w:pPr>
        <w:rPr>
          <w:color w:val="0B2B43" w:themeColor="text2" w:themeShade="80"/>
        </w:rPr>
      </w:pPr>
      <w:r w:rsidRPr="004A1196">
        <w:rPr>
          <w:color w:val="0B2B43" w:themeColor="text2" w:themeShade="80"/>
        </w:rPr>
        <w:t xml:space="preserve">Given the inconsistencies, </w:t>
      </w:r>
      <w:r w:rsidRPr="004A1196" w:rsidDel="001B0C43">
        <w:rPr>
          <w:color w:val="0B2B43" w:themeColor="text2" w:themeShade="80"/>
        </w:rPr>
        <w:t xml:space="preserve">the </w:t>
      </w:r>
      <w:r w:rsidRPr="004A1196">
        <w:rPr>
          <w:color w:val="0B2B43" w:themeColor="text2" w:themeShade="80"/>
        </w:rPr>
        <w:t xml:space="preserve">Department of Education and Training and the Department of Health should work to resolve the current complex and seemingly inequitable indirect cost support arrangements to determine how to achieve a level playing field for researchers that is independent of their host institution. </w:t>
      </w:r>
    </w:p>
    <w:p w:rsidR="004018A9" w:rsidRPr="004A1196" w:rsidRDefault="004018A9">
      <w:pPr>
        <w:spacing w:before="0" w:after="200" w:line="276" w:lineRule="auto"/>
        <w:rPr>
          <w:rFonts w:eastAsia="Times New Roman"/>
          <w:b/>
          <w:bCs/>
          <w:color w:val="0B2B43" w:themeColor="text2" w:themeShade="80"/>
          <w:sz w:val="40"/>
          <w:szCs w:val="28"/>
          <w:lang w:eastAsia="en-GB"/>
        </w:rPr>
      </w:pPr>
      <w:bookmarkStart w:id="114" w:name="_Toc436563384"/>
      <w:bookmarkStart w:id="115" w:name="_Toc436574573"/>
      <w:bookmarkStart w:id="116" w:name="_Toc436579523"/>
      <w:bookmarkStart w:id="117" w:name="_Toc436579541"/>
      <w:bookmarkStart w:id="118" w:name="_Toc436651819"/>
      <w:bookmarkStart w:id="119" w:name="_Toc436659627"/>
      <w:bookmarkStart w:id="120" w:name="_Toc436660125"/>
      <w:r w:rsidRPr="004A1196">
        <w:rPr>
          <w:rFonts w:eastAsia="Times New Roman"/>
          <w:color w:val="0B2B43" w:themeColor="text2" w:themeShade="80"/>
          <w:lang w:eastAsia="en-GB"/>
        </w:rPr>
        <w:br w:type="page"/>
      </w:r>
    </w:p>
    <w:p w:rsidR="002C6039" w:rsidRPr="004A1196" w:rsidRDefault="002C6039" w:rsidP="004018A9">
      <w:pPr>
        <w:pStyle w:val="RIHeading1"/>
        <w:numPr>
          <w:ilvl w:val="0"/>
          <w:numId w:val="62"/>
        </w:numPr>
        <w:rPr>
          <w:rFonts w:eastAsia="Times New Roman"/>
          <w:color w:val="0B2B43" w:themeColor="text2" w:themeShade="80"/>
          <w:lang w:eastAsia="en-GB"/>
        </w:rPr>
      </w:pPr>
      <w:bookmarkStart w:id="121" w:name="_Toc436663721"/>
      <w:bookmarkStart w:id="122" w:name="_Toc436664111"/>
      <w:bookmarkStart w:id="123" w:name="_Toc436664672"/>
      <w:bookmarkStart w:id="124" w:name="_Toc436664814"/>
      <w:bookmarkStart w:id="125" w:name="_Toc436665029"/>
      <w:bookmarkStart w:id="126" w:name="_Toc436666146"/>
      <w:bookmarkStart w:id="127" w:name="_Toc436666853"/>
      <w:bookmarkStart w:id="128" w:name="_Toc436666971"/>
      <w:bookmarkStart w:id="129" w:name="_Toc440378834"/>
      <w:r w:rsidRPr="004A1196">
        <w:rPr>
          <w:rFonts w:eastAsia="Times New Roman"/>
          <w:color w:val="0B2B43" w:themeColor="text2" w:themeShade="80"/>
          <w:lang w:eastAsia="en-GB"/>
        </w:rPr>
        <w:t>Research Block Grants</w:t>
      </w:r>
      <w:bookmarkEnd w:id="114"/>
      <w:r w:rsidRPr="004A1196">
        <w:rPr>
          <w:rFonts w:eastAsia="Times New Roman"/>
          <w:color w:val="0B2B43" w:themeColor="text2" w:themeShade="80"/>
          <w:lang w:eastAsia="en-GB"/>
        </w:rPr>
        <w:t>: A new approach</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2C6039" w:rsidRPr="004A1196" w:rsidRDefault="00B7681D" w:rsidP="002C6039">
      <w:pPr>
        <w:rPr>
          <w:rFonts w:eastAsia="Calibri"/>
          <w:color w:val="0B2B43" w:themeColor="text2" w:themeShade="80"/>
        </w:rPr>
      </w:pPr>
      <w:r>
        <w:rPr>
          <w:rFonts w:eastAsia="Calibri"/>
          <w:color w:val="0B2B43" w:themeColor="text2" w:themeShade="80"/>
        </w:rPr>
        <w:t xml:space="preserve">The </w:t>
      </w:r>
      <w:r w:rsidR="003904BC">
        <w:rPr>
          <w:rFonts w:eastAsia="Calibri"/>
          <w:color w:val="0B2B43" w:themeColor="text2" w:themeShade="80"/>
        </w:rPr>
        <w:t>R</w:t>
      </w:r>
      <w:r w:rsidR="00B36A43">
        <w:rPr>
          <w:rFonts w:eastAsia="Calibri"/>
          <w:color w:val="0B2B43" w:themeColor="text2" w:themeShade="80"/>
        </w:rPr>
        <w:t xml:space="preserve">esearch </w:t>
      </w:r>
      <w:r w:rsidR="003904BC">
        <w:rPr>
          <w:rFonts w:eastAsia="Calibri"/>
          <w:color w:val="0B2B43" w:themeColor="text2" w:themeShade="80"/>
        </w:rPr>
        <w:t>B</w:t>
      </w:r>
      <w:r w:rsidR="00B36A43">
        <w:rPr>
          <w:rFonts w:eastAsia="Calibri"/>
          <w:color w:val="0B2B43" w:themeColor="text2" w:themeShade="80"/>
        </w:rPr>
        <w:t xml:space="preserve">lock </w:t>
      </w:r>
      <w:r w:rsidR="003904BC">
        <w:rPr>
          <w:rFonts w:eastAsia="Calibri"/>
          <w:color w:val="0B2B43" w:themeColor="text2" w:themeShade="80"/>
        </w:rPr>
        <w:t>G</w:t>
      </w:r>
      <w:r w:rsidR="00B36A43">
        <w:rPr>
          <w:rFonts w:eastAsia="Calibri"/>
          <w:color w:val="0B2B43" w:themeColor="text2" w:themeShade="80"/>
        </w:rPr>
        <w:t>rants (</w:t>
      </w:r>
      <w:proofErr w:type="spellStart"/>
      <w:r w:rsidR="00B36A43">
        <w:rPr>
          <w:rFonts w:eastAsia="Calibri"/>
          <w:color w:val="0B2B43" w:themeColor="text2" w:themeShade="80"/>
        </w:rPr>
        <w:t>RBG</w:t>
      </w:r>
      <w:proofErr w:type="spellEnd"/>
      <w:r w:rsidR="00B36A43">
        <w:rPr>
          <w:rFonts w:eastAsia="Calibri"/>
          <w:color w:val="0B2B43" w:themeColor="text2" w:themeShade="80"/>
        </w:rPr>
        <w:t>)</w:t>
      </w:r>
      <w:r w:rsidR="002C6039" w:rsidRPr="004A1196">
        <w:rPr>
          <w:rFonts w:eastAsia="Calibri"/>
          <w:color w:val="0B2B43" w:themeColor="text2" w:themeShade="80"/>
        </w:rPr>
        <w:t xml:space="preserve"> </w:t>
      </w:r>
      <w:proofErr w:type="gramStart"/>
      <w:r w:rsidR="002C6039" w:rsidRPr="004A1196">
        <w:rPr>
          <w:rFonts w:eastAsia="Calibri"/>
          <w:color w:val="0B2B43" w:themeColor="text2" w:themeShade="80"/>
        </w:rPr>
        <w:t>occupy</w:t>
      </w:r>
      <w:proofErr w:type="gramEnd"/>
      <w:r w:rsidR="002C6039" w:rsidRPr="004A1196">
        <w:rPr>
          <w:rFonts w:eastAsia="Calibri"/>
          <w:color w:val="0B2B43" w:themeColor="text2" w:themeShade="80"/>
        </w:rPr>
        <w:t xml:space="preserve"> a central place in this review. The </w:t>
      </w:r>
      <w:r w:rsidR="0054204A">
        <w:rPr>
          <w:rFonts w:eastAsia="Calibri"/>
          <w:color w:val="0B2B43" w:themeColor="text2" w:themeShade="80"/>
        </w:rPr>
        <w:t>r</w:t>
      </w:r>
      <w:r w:rsidR="002C6039" w:rsidRPr="004A1196">
        <w:rPr>
          <w:rFonts w:eastAsia="Calibri"/>
          <w:color w:val="0B2B43" w:themeColor="text2" w:themeShade="80"/>
        </w:rPr>
        <w:t xml:space="preserve">eview has been asked to </w:t>
      </w:r>
      <w:proofErr w:type="gramStart"/>
      <w:r w:rsidR="002C6039" w:rsidRPr="004A1196">
        <w:rPr>
          <w:rFonts w:eastAsia="Calibri"/>
          <w:color w:val="0B2B43" w:themeColor="text2" w:themeShade="80"/>
        </w:rPr>
        <w:t>advise</w:t>
      </w:r>
      <w:proofErr w:type="gramEnd"/>
      <w:r w:rsidR="002C6039" w:rsidRPr="004A1196">
        <w:rPr>
          <w:rFonts w:eastAsia="Calibri"/>
          <w:color w:val="0B2B43" w:themeColor="text2" w:themeShade="80"/>
        </w:rPr>
        <w:t xml:space="preserve"> on options to:</w:t>
      </w:r>
    </w:p>
    <w:p w:rsidR="002C6039" w:rsidRPr="004A1196" w:rsidRDefault="002C6039" w:rsidP="00554159">
      <w:pPr>
        <w:pStyle w:val="ListParagraph"/>
        <w:numPr>
          <w:ilvl w:val="0"/>
          <w:numId w:val="27"/>
        </w:numPr>
        <w:spacing w:after="120"/>
        <w:ind w:left="714" w:hanging="357"/>
        <w:rPr>
          <w:rFonts w:eastAsia="Calibri"/>
          <w:color w:val="0B2B43" w:themeColor="text2" w:themeShade="80"/>
          <w:sz w:val="22"/>
        </w:rPr>
      </w:pPr>
      <w:r w:rsidRPr="004A1196">
        <w:rPr>
          <w:rFonts w:eastAsia="Calibri"/>
          <w:color w:val="0B2B43" w:themeColor="text2" w:themeShade="80"/>
          <w:sz w:val="22"/>
        </w:rPr>
        <w:t>ensure the quality and excellence of Australian university research and research training</w:t>
      </w:r>
    </w:p>
    <w:p w:rsidR="002C6039" w:rsidRPr="004A1196" w:rsidRDefault="002C6039" w:rsidP="00554159">
      <w:pPr>
        <w:pStyle w:val="ListParagraph"/>
        <w:numPr>
          <w:ilvl w:val="0"/>
          <w:numId w:val="27"/>
        </w:numPr>
        <w:spacing w:after="120"/>
        <w:ind w:left="714" w:hanging="357"/>
        <w:rPr>
          <w:rFonts w:eastAsia="Calibri"/>
          <w:color w:val="0B2B43" w:themeColor="text2" w:themeShade="80"/>
          <w:sz w:val="22"/>
        </w:rPr>
      </w:pPr>
      <w:r w:rsidRPr="004A1196">
        <w:rPr>
          <w:rFonts w:eastAsia="Calibri"/>
          <w:color w:val="0B2B43" w:themeColor="text2" w:themeShade="80"/>
          <w:sz w:val="22"/>
        </w:rPr>
        <w:t>allocate existing block grant funding in a simpler and more transparent manner</w:t>
      </w:r>
    </w:p>
    <w:p w:rsidR="002C6039" w:rsidRPr="004A1196" w:rsidRDefault="002C6039" w:rsidP="00554159">
      <w:pPr>
        <w:pStyle w:val="ListParagraph"/>
        <w:numPr>
          <w:ilvl w:val="0"/>
          <w:numId w:val="27"/>
        </w:numPr>
        <w:spacing w:after="120"/>
        <w:ind w:left="714" w:hanging="357"/>
        <w:rPr>
          <w:rFonts w:eastAsia="Calibri"/>
          <w:color w:val="0B2B43" w:themeColor="text2" w:themeShade="80"/>
          <w:sz w:val="22"/>
        </w:rPr>
      </w:pPr>
      <w:r w:rsidRPr="004A1196">
        <w:rPr>
          <w:rFonts w:eastAsia="Calibri"/>
          <w:color w:val="0B2B43" w:themeColor="text2" w:themeShade="80"/>
          <w:sz w:val="22"/>
        </w:rPr>
        <w:t xml:space="preserve">provide incentives to universities to increase and improve engagement and collaboration with industry and other </w:t>
      </w:r>
      <w:r w:rsidR="003904BC">
        <w:rPr>
          <w:rFonts w:eastAsia="Calibri"/>
          <w:color w:val="0B2B43" w:themeColor="text2" w:themeShade="80"/>
          <w:sz w:val="22"/>
        </w:rPr>
        <w:t>end user</w:t>
      </w:r>
      <w:r w:rsidRPr="004A1196">
        <w:rPr>
          <w:rFonts w:eastAsia="Calibri"/>
          <w:color w:val="0B2B43" w:themeColor="text2" w:themeShade="80"/>
          <w:sz w:val="22"/>
        </w:rPr>
        <w:t>s</w:t>
      </w:r>
    </w:p>
    <w:p w:rsidR="002C6039" w:rsidRPr="004A1196" w:rsidRDefault="002C6039" w:rsidP="00554159">
      <w:pPr>
        <w:pStyle w:val="ListParagraph"/>
        <w:numPr>
          <w:ilvl w:val="0"/>
          <w:numId w:val="27"/>
        </w:numPr>
        <w:spacing w:after="120"/>
        <w:ind w:left="714" w:hanging="357"/>
        <w:rPr>
          <w:rFonts w:eastAsia="Calibri"/>
          <w:color w:val="0B2B43" w:themeColor="text2" w:themeShade="80"/>
          <w:sz w:val="22"/>
        </w:rPr>
      </w:pPr>
      <w:proofErr w:type="gramStart"/>
      <w:r w:rsidRPr="004A1196">
        <w:rPr>
          <w:rFonts w:eastAsia="Calibri"/>
          <w:color w:val="0B2B43" w:themeColor="text2" w:themeShade="80"/>
          <w:sz w:val="22"/>
        </w:rPr>
        <w:t>encourage</w:t>
      </w:r>
      <w:proofErr w:type="gramEnd"/>
      <w:r w:rsidRPr="004A1196">
        <w:rPr>
          <w:rFonts w:eastAsia="Calibri"/>
          <w:color w:val="0B2B43" w:themeColor="text2" w:themeShade="80"/>
          <w:sz w:val="22"/>
        </w:rPr>
        <w:t xml:space="preserve"> universities to engage in research commercialisation and knowledge transfer with industry and the broader community, including through funding incentives</w:t>
      </w:r>
      <w:r w:rsidR="001B2018" w:rsidRPr="004A1196">
        <w:rPr>
          <w:rFonts w:eastAsia="Calibri"/>
          <w:color w:val="0B2B43" w:themeColor="text2" w:themeShade="80"/>
          <w:sz w:val="22"/>
        </w:rPr>
        <w:t>.</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While only the second of these points mentions </w:t>
      </w:r>
      <w:proofErr w:type="spellStart"/>
      <w:r w:rsidR="003904BC">
        <w:rPr>
          <w:rFonts w:eastAsia="Calibri"/>
          <w:color w:val="0B2B43" w:themeColor="text2" w:themeShade="80"/>
        </w:rPr>
        <w:t>RBG</w:t>
      </w:r>
      <w:proofErr w:type="spellEnd"/>
      <w:r w:rsidRPr="004A1196">
        <w:rPr>
          <w:rFonts w:eastAsia="Calibri"/>
          <w:color w:val="0B2B43" w:themeColor="text2" w:themeShade="80"/>
        </w:rPr>
        <w:t xml:space="preserve"> explicitly, </w:t>
      </w:r>
      <w:proofErr w:type="spellStart"/>
      <w:r w:rsidR="003904BC">
        <w:rPr>
          <w:rFonts w:eastAsia="Calibri"/>
          <w:color w:val="0B2B43" w:themeColor="text2" w:themeShade="80"/>
        </w:rPr>
        <w:t>RBG</w:t>
      </w:r>
      <w:proofErr w:type="spellEnd"/>
      <w:r w:rsidRPr="004A1196">
        <w:rPr>
          <w:rFonts w:eastAsia="Calibri"/>
          <w:color w:val="0B2B43" w:themeColor="text2" w:themeShade="80"/>
        </w:rPr>
        <w:t xml:space="preserve"> are an essential element in the dual funding system for university research (refer to </w:t>
      </w:r>
      <w:r w:rsidR="004018A9" w:rsidRPr="004A1196">
        <w:rPr>
          <w:rFonts w:eastAsia="Calibri"/>
          <w:color w:val="0B2B43" w:themeColor="text2" w:themeShade="80"/>
        </w:rPr>
        <w:t>C</w:t>
      </w:r>
      <w:r w:rsidRPr="004A1196">
        <w:rPr>
          <w:rFonts w:eastAsia="Calibri"/>
          <w:color w:val="0B2B43" w:themeColor="text2" w:themeShade="80"/>
        </w:rPr>
        <w:t>hapter</w:t>
      </w:r>
      <w:r w:rsidR="004018A9" w:rsidRPr="004A1196">
        <w:rPr>
          <w:rFonts w:eastAsia="Calibri"/>
          <w:color w:val="0B2B43" w:themeColor="text2" w:themeShade="80"/>
        </w:rPr>
        <w:t> </w:t>
      </w:r>
      <w:r w:rsidR="00E53B62" w:rsidRPr="004A1196">
        <w:rPr>
          <w:rFonts w:eastAsia="Calibri"/>
          <w:color w:val="0B2B43" w:themeColor="text2" w:themeShade="80"/>
        </w:rPr>
        <w:t>1</w:t>
      </w:r>
      <w:r w:rsidRPr="004A1196">
        <w:rPr>
          <w:rFonts w:eastAsia="Calibri"/>
          <w:color w:val="0B2B43" w:themeColor="text2" w:themeShade="80"/>
        </w:rPr>
        <w:t xml:space="preserve"> on university funding) and comprise schemes which support research and research training as well as engagement with business and other </w:t>
      </w:r>
      <w:r w:rsidR="003904BC">
        <w:rPr>
          <w:rFonts w:eastAsia="Calibri"/>
          <w:color w:val="0B2B43" w:themeColor="text2" w:themeShade="80"/>
        </w:rPr>
        <w:t>end user</w:t>
      </w:r>
      <w:r w:rsidRPr="004A1196">
        <w:rPr>
          <w:rFonts w:eastAsia="Calibri"/>
          <w:color w:val="0B2B43" w:themeColor="text2" w:themeShade="80"/>
        </w:rPr>
        <w:t>s.</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However, while they are an essential element, </w:t>
      </w:r>
      <w:proofErr w:type="spellStart"/>
      <w:r w:rsidR="003904BC">
        <w:rPr>
          <w:rFonts w:eastAsia="Calibri"/>
          <w:color w:val="0B2B43" w:themeColor="text2" w:themeShade="80"/>
        </w:rPr>
        <w:t>RBG</w:t>
      </w:r>
      <w:proofErr w:type="spellEnd"/>
      <w:r w:rsidRPr="004A1196">
        <w:rPr>
          <w:rFonts w:eastAsia="Calibri"/>
          <w:color w:val="0B2B43" w:themeColor="text2" w:themeShade="80"/>
        </w:rPr>
        <w:t xml:space="preserve"> make </w:t>
      </w:r>
      <w:r w:rsidR="009E2530">
        <w:rPr>
          <w:rFonts w:eastAsia="Calibri"/>
          <w:color w:val="0B2B43" w:themeColor="text2" w:themeShade="80"/>
        </w:rPr>
        <w:t xml:space="preserve">only </w:t>
      </w:r>
      <w:r w:rsidRPr="004A1196">
        <w:rPr>
          <w:rFonts w:eastAsia="Calibri"/>
          <w:color w:val="0B2B43" w:themeColor="text2" w:themeShade="80"/>
        </w:rPr>
        <w:t>a modest contribution to total university research expenditure.</w:t>
      </w:r>
    </w:p>
    <w:p w:rsidR="002C6039" w:rsidRPr="004A1196" w:rsidRDefault="002C6039" w:rsidP="002C6039">
      <w:pPr>
        <w:spacing w:before="240" w:after="100" w:afterAutospacing="1"/>
        <w:rPr>
          <w:rFonts w:eastAsia="Calibri" w:cs="Times New Roman"/>
          <w:color w:val="0B2B43" w:themeColor="text2" w:themeShade="80"/>
        </w:rPr>
      </w:pPr>
      <w:r w:rsidRPr="004A1196">
        <w:rPr>
          <w:rFonts w:eastAsia="Calibri" w:cs="Times New Roman"/>
          <w:color w:val="0B2B43" w:themeColor="text2" w:themeShade="80"/>
        </w:rPr>
        <w:t>In 2012, the most recent year for which higher education research e</w:t>
      </w:r>
      <w:r w:rsidR="00B36A43">
        <w:rPr>
          <w:rFonts w:eastAsia="Calibri" w:cs="Times New Roman"/>
          <w:color w:val="0B2B43" w:themeColor="text2" w:themeShade="80"/>
        </w:rPr>
        <w:t>xpenditure data is available, ‘o</w:t>
      </w:r>
      <w:r w:rsidRPr="004A1196">
        <w:rPr>
          <w:rFonts w:eastAsia="Calibri" w:cs="Times New Roman"/>
          <w:color w:val="0B2B43" w:themeColor="text2" w:themeShade="80"/>
        </w:rPr>
        <w:t>ther Commonwealth government’</w:t>
      </w:r>
      <w:r w:rsidR="00EE61A1">
        <w:rPr>
          <w:rFonts w:eastAsia="Calibri" w:cs="Times New Roman"/>
          <w:color w:val="0B2B43" w:themeColor="text2" w:themeShade="80"/>
        </w:rPr>
        <w:t xml:space="preserve"> —</w:t>
      </w:r>
      <w:r w:rsidRPr="004A1196">
        <w:rPr>
          <w:rFonts w:eastAsia="Calibri" w:cs="Times New Roman"/>
          <w:color w:val="0B2B43" w:themeColor="text2" w:themeShade="80"/>
        </w:rPr>
        <w:t xml:space="preserve"> which is made up of </w:t>
      </w:r>
      <w:proofErr w:type="spellStart"/>
      <w:r w:rsidRPr="004A1196">
        <w:rPr>
          <w:rFonts w:eastAsia="Calibri" w:cs="Times New Roman"/>
          <w:color w:val="0B2B43" w:themeColor="text2" w:themeShade="80"/>
        </w:rPr>
        <w:t>RBG</w:t>
      </w:r>
      <w:proofErr w:type="spellEnd"/>
      <w:r w:rsidRPr="004A1196">
        <w:rPr>
          <w:rFonts w:eastAsia="Calibri" w:cs="Times New Roman"/>
          <w:color w:val="0B2B43" w:themeColor="text2" w:themeShade="80"/>
        </w:rPr>
        <w:t xml:space="preserve"> plus some other mino</w:t>
      </w:r>
      <w:r w:rsidR="00EE61A1">
        <w:rPr>
          <w:rFonts w:eastAsia="Calibri" w:cs="Times New Roman"/>
          <w:color w:val="0B2B43" w:themeColor="text2" w:themeShade="80"/>
        </w:rPr>
        <w:t>r Commonwealth research funding —</w:t>
      </w:r>
      <w:r w:rsidRPr="004A1196">
        <w:rPr>
          <w:rFonts w:eastAsia="Calibri" w:cs="Times New Roman"/>
          <w:color w:val="0B2B43" w:themeColor="text2" w:themeShade="80"/>
        </w:rPr>
        <w:t xml:space="preserve"> accounted for only 15 per cent of the $9.6 billion spend on research by universities.</w:t>
      </w:r>
    </w:p>
    <w:p w:rsidR="002C6039" w:rsidRPr="004A1196" w:rsidRDefault="002C6039" w:rsidP="002C6039">
      <w:pPr>
        <w:spacing w:before="0" w:after="100" w:afterAutospacing="1"/>
        <w:rPr>
          <w:rFonts w:eastAsia="Calibri" w:cs="Calibri"/>
          <w:color w:val="0B2B43" w:themeColor="text2" w:themeShade="80"/>
          <w:lang w:eastAsia="en-GB"/>
        </w:rPr>
      </w:pPr>
      <w:r w:rsidRPr="004A1196">
        <w:rPr>
          <w:rFonts w:eastAsia="Calibri" w:cs="Calibri"/>
          <w:color w:val="0B2B43" w:themeColor="text2" w:themeShade="80"/>
          <w:lang w:eastAsia="en-GB"/>
        </w:rPr>
        <w:t xml:space="preserve">The share of total university research income provided by </w:t>
      </w:r>
      <w:proofErr w:type="spellStart"/>
      <w:r w:rsidRPr="004A1196">
        <w:rPr>
          <w:rFonts w:eastAsia="Calibri" w:cs="Calibri"/>
          <w:color w:val="0B2B43" w:themeColor="text2" w:themeShade="80"/>
          <w:lang w:eastAsia="en-GB"/>
        </w:rPr>
        <w:t>RBG</w:t>
      </w:r>
      <w:proofErr w:type="spellEnd"/>
      <w:r w:rsidRPr="004A1196">
        <w:rPr>
          <w:rFonts w:eastAsia="Calibri" w:cs="Calibri"/>
          <w:color w:val="0B2B43" w:themeColor="text2" w:themeShade="80"/>
          <w:lang w:eastAsia="en-GB"/>
        </w:rPr>
        <w:t xml:space="preserve"> varies across the sector and has declined over ti</w:t>
      </w:r>
      <w:r w:rsidR="00EE61A1">
        <w:rPr>
          <w:rFonts w:eastAsia="Calibri" w:cs="Calibri"/>
          <w:color w:val="0B2B43" w:themeColor="text2" w:themeShade="80"/>
          <w:lang w:eastAsia="en-GB"/>
        </w:rPr>
        <w:t xml:space="preserve">me for all universities. </w:t>
      </w:r>
    </w:p>
    <w:p w:rsidR="002C6039" w:rsidRPr="001776EE" w:rsidRDefault="002C6039" w:rsidP="001776EE">
      <w:pPr>
        <w:pStyle w:val="Heading2RI"/>
        <w:rPr>
          <w:color w:val="0B2B43" w:themeColor="text2" w:themeShade="80"/>
          <w:sz w:val="24"/>
          <w:szCs w:val="24"/>
        </w:rPr>
      </w:pPr>
      <w:proofErr w:type="gramStart"/>
      <w:r w:rsidRPr="001776EE">
        <w:rPr>
          <w:color w:val="0B2B43" w:themeColor="text2" w:themeShade="80"/>
          <w:sz w:val="24"/>
          <w:szCs w:val="24"/>
        </w:rPr>
        <w:t xml:space="preserve">Chart </w:t>
      </w:r>
      <w:r w:rsidR="006F2ADF" w:rsidRPr="001776EE">
        <w:rPr>
          <w:color w:val="0B2B43" w:themeColor="text2" w:themeShade="80"/>
          <w:sz w:val="24"/>
          <w:szCs w:val="24"/>
        </w:rPr>
        <w:t>4</w:t>
      </w:r>
      <w:r w:rsidRPr="001776EE">
        <w:rPr>
          <w:color w:val="0B2B43" w:themeColor="text2" w:themeShade="80"/>
          <w:sz w:val="24"/>
          <w:szCs w:val="24"/>
        </w:rPr>
        <w:t>.</w:t>
      </w:r>
      <w:proofErr w:type="gramEnd"/>
      <w:r w:rsidRPr="001776EE">
        <w:rPr>
          <w:color w:val="0B2B43" w:themeColor="text2" w:themeShade="80"/>
          <w:sz w:val="24"/>
          <w:szCs w:val="24"/>
        </w:rPr>
        <w:t xml:space="preserve"> </w:t>
      </w:r>
      <w:proofErr w:type="spellStart"/>
      <w:r w:rsidRPr="001776EE">
        <w:rPr>
          <w:color w:val="0B2B43" w:themeColor="text2" w:themeShade="80"/>
          <w:sz w:val="24"/>
          <w:szCs w:val="24"/>
        </w:rPr>
        <w:t>RBG</w:t>
      </w:r>
      <w:proofErr w:type="spellEnd"/>
      <w:r w:rsidRPr="001776EE">
        <w:rPr>
          <w:color w:val="0B2B43" w:themeColor="text2" w:themeShade="80"/>
          <w:sz w:val="24"/>
          <w:szCs w:val="24"/>
        </w:rPr>
        <w:t xml:space="preserve"> funding as a share of total research income</w:t>
      </w:r>
    </w:p>
    <w:p w:rsidR="002C6039" w:rsidRPr="004A1196" w:rsidRDefault="00D85AA4" w:rsidP="002C6039">
      <w:pPr>
        <w:pStyle w:val="Source"/>
        <w:rPr>
          <w:rFonts w:eastAsia="Times New Roman"/>
          <w:color w:val="0B2B43" w:themeColor="text2" w:themeShade="80"/>
          <w:lang w:eastAsia="en-AU"/>
        </w:rPr>
      </w:pPr>
      <w:r>
        <w:rPr>
          <w:rFonts w:eastAsia="Times New Roman"/>
          <w:noProof/>
          <w:color w:val="0B2B43" w:themeColor="text2" w:themeShade="80"/>
          <w:lang w:eastAsia="en-AU"/>
        </w:rPr>
        <w:drawing>
          <wp:inline distT="0" distB="0" distL="0" distR="0" wp14:anchorId="4E745FA6" wp14:editId="6186442F">
            <wp:extent cx="5742940" cy="3011805"/>
            <wp:effectExtent l="0" t="0" r="0" b="0"/>
            <wp:docPr id="12" name="Picture 12" descr="The RBG share declines in a straight line from around 40 per cent in 2004 to around 30 per cent in 2008 and then stays between 30 per cent and 33 per cent until 2013." title="Chart 4: RBG funding as a share of Total Research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2940" cy="3011805"/>
                    </a:xfrm>
                    <a:prstGeom prst="rect">
                      <a:avLst/>
                    </a:prstGeom>
                    <a:noFill/>
                  </pic:spPr>
                </pic:pic>
              </a:graphicData>
            </a:graphic>
          </wp:inline>
        </w:drawing>
      </w:r>
      <w:r w:rsidR="002C6039" w:rsidRPr="004A1196">
        <w:rPr>
          <w:rFonts w:eastAsia="Times New Roman"/>
          <w:color w:val="0B2B43" w:themeColor="text2" w:themeShade="80"/>
          <w:lang w:eastAsia="en-AU"/>
        </w:rPr>
        <w:t xml:space="preserve">Source: Higher Education Research Data Collection and </w:t>
      </w:r>
      <w:proofErr w:type="spellStart"/>
      <w:r w:rsidR="002C6039" w:rsidRPr="004A1196">
        <w:rPr>
          <w:rFonts w:eastAsia="Times New Roman"/>
          <w:color w:val="0B2B43" w:themeColor="text2" w:themeShade="80"/>
          <w:lang w:eastAsia="en-AU"/>
        </w:rPr>
        <w:t>RBG</w:t>
      </w:r>
      <w:proofErr w:type="spellEnd"/>
      <w:r w:rsidR="002C6039" w:rsidRPr="004A1196">
        <w:rPr>
          <w:rFonts w:eastAsia="Times New Roman"/>
          <w:color w:val="0B2B43" w:themeColor="text2" w:themeShade="80"/>
          <w:lang w:eastAsia="en-AU"/>
        </w:rPr>
        <w:t xml:space="preserve"> funding records, Department of Education and Training, 2015</w:t>
      </w:r>
    </w:p>
    <w:p w:rsidR="002C6039" w:rsidRPr="004A1196" w:rsidRDefault="002F0468" w:rsidP="002F0468">
      <w:pPr>
        <w:spacing w:before="240" w:after="0"/>
        <w:rPr>
          <w:rFonts w:eastAsia="Calibri"/>
          <w:color w:val="0B2B43" w:themeColor="text2" w:themeShade="80"/>
        </w:rPr>
      </w:pPr>
      <w:r w:rsidRPr="002F0468">
        <w:rPr>
          <w:rFonts w:eastAsia="Calibri" w:cs="Times New Roman"/>
          <w:color w:val="0B2B43" w:themeColor="text2" w:themeShade="80"/>
        </w:rPr>
        <w:t xml:space="preserve">The distribution of funding </w:t>
      </w:r>
      <w:proofErr w:type="gramStart"/>
      <w:r w:rsidRPr="002F0468">
        <w:rPr>
          <w:rFonts w:eastAsia="Calibri" w:cs="Times New Roman"/>
          <w:color w:val="0B2B43" w:themeColor="text2" w:themeShade="80"/>
        </w:rPr>
        <w:t>is clearly weighted</w:t>
      </w:r>
      <w:proofErr w:type="gramEnd"/>
      <w:r w:rsidRPr="002F0468">
        <w:rPr>
          <w:rFonts w:eastAsia="Calibri" w:cs="Times New Roman"/>
          <w:color w:val="0B2B43" w:themeColor="text2" w:themeShade="80"/>
        </w:rPr>
        <w:t xml:space="preserve"> toward a small number of universities, as shown in </w:t>
      </w:r>
      <w:r w:rsidR="006F2ADF" w:rsidRPr="002F0468">
        <w:rPr>
          <w:rFonts w:eastAsia="Calibri" w:cs="Times New Roman"/>
          <w:color w:val="0B2B43" w:themeColor="text2" w:themeShade="80"/>
        </w:rPr>
        <w:t>Chart 5</w:t>
      </w:r>
      <w:r w:rsidRPr="002F0468">
        <w:rPr>
          <w:rFonts w:eastAsia="Calibri" w:cs="Times New Roman"/>
          <w:color w:val="0B2B43" w:themeColor="text2" w:themeShade="80"/>
        </w:rPr>
        <w:t xml:space="preserve">. </w:t>
      </w:r>
      <w:r>
        <w:rPr>
          <w:rFonts w:eastAsia="Calibri" w:cs="Times New Roman"/>
          <w:color w:val="0B2B43" w:themeColor="text2" w:themeShade="80"/>
        </w:rPr>
        <w:t xml:space="preserve">The funding received by the first quartile, or top ten </w:t>
      </w:r>
      <w:proofErr w:type="spellStart"/>
      <w:r>
        <w:rPr>
          <w:rFonts w:eastAsia="Calibri" w:cs="Times New Roman"/>
          <w:color w:val="0B2B43" w:themeColor="text2" w:themeShade="80"/>
        </w:rPr>
        <w:t>RBG</w:t>
      </w:r>
      <w:proofErr w:type="spellEnd"/>
      <w:r>
        <w:rPr>
          <w:rFonts w:eastAsia="Calibri" w:cs="Times New Roman"/>
          <w:color w:val="0B2B43" w:themeColor="text2" w:themeShade="80"/>
        </w:rPr>
        <w:t xml:space="preserve"> funded universities by value, accounts for around 70 per cent of the total </w:t>
      </w:r>
      <w:proofErr w:type="spellStart"/>
      <w:r>
        <w:rPr>
          <w:rFonts w:eastAsia="Calibri" w:cs="Times New Roman"/>
          <w:color w:val="0B2B43" w:themeColor="text2" w:themeShade="80"/>
        </w:rPr>
        <w:t>RBG</w:t>
      </w:r>
      <w:proofErr w:type="spellEnd"/>
      <w:r>
        <w:rPr>
          <w:rFonts w:eastAsia="Calibri" w:cs="Times New Roman"/>
          <w:color w:val="0B2B43" w:themeColor="text2" w:themeShade="80"/>
        </w:rPr>
        <w:t xml:space="preserve"> funding (see </w:t>
      </w:r>
      <w:r w:rsidRPr="002F0468">
        <w:rPr>
          <w:rFonts w:eastAsia="Calibri" w:cs="Times New Roman"/>
          <w:color w:val="0B2B43" w:themeColor="text2" w:themeShade="80"/>
        </w:rPr>
        <w:t>Chart 6</w:t>
      </w:r>
      <w:r>
        <w:rPr>
          <w:rFonts w:eastAsia="Calibri" w:cs="Times New Roman"/>
          <w:color w:val="0B2B43" w:themeColor="text2" w:themeShade="80"/>
        </w:rPr>
        <w:t>)</w:t>
      </w:r>
      <w:r w:rsidR="009832AB">
        <w:rPr>
          <w:rFonts w:eastAsia="Calibri" w:cs="Times New Roman"/>
          <w:color w:val="0B2B43" w:themeColor="text2" w:themeShade="80"/>
        </w:rPr>
        <w:t xml:space="preserve">. By contrast, the universities in the lowest quartile receive around 3 per cent of total </w:t>
      </w:r>
      <w:proofErr w:type="spellStart"/>
      <w:r w:rsidR="009832AB">
        <w:rPr>
          <w:rFonts w:eastAsia="Calibri" w:cs="Times New Roman"/>
          <w:color w:val="0B2B43" w:themeColor="text2" w:themeShade="80"/>
        </w:rPr>
        <w:t>RBG</w:t>
      </w:r>
      <w:proofErr w:type="spellEnd"/>
      <w:r w:rsidR="009832AB">
        <w:rPr>
          <w:rFonts w:eastAsia="Calibri" w:cs="Times New Roman"/>
          <w:color w:val="0B2B43" w:themeColor="text2" w:themeShade="80"/>
        </w:rPr>
        <w:t xml:space="preserve"> funding. This </w:t>
      </w:r>
      <w:r w:rsidR="001B169D">
        <w:rPr>
          <w:rFonts w:eastAsia="Calibri" w:cs="Times New Roman"/>
          <w:color w:val="0B2B43" w:themeColor="text2" w:themeShade="80"/>
        </w:rPr>
        <w:t xml:space="preserve">distribution has </w:t>
      </w:r>
      <w:r w:rsidR="004C24DE">
        <w:rPr>
          <w:rFonts w:eastAsia="Calibri" w:cs="Times New Roman"/>
          <w:color w:val="0B2B43" w:themeColor="text2" w:themeShade="80"/>
        </w:rPr>
        <w:t>remained largely unchanged</w:t>
      </w:r>
      <w:r w:rsidR="001B169D">
        <w:rPr>
          <w:rFonts w:eastAsia="Calibri" w:cs="Times New Roman"/>
          <w:color w:val="0B2B43" w:themeColor="text2" w:themeShade="80"/>
        </w:rPr>
        <w:t xml:space="preserve"> over the past ten years.</w:t>
      </w:r>
    </w:p>
    <w:p w:rsidR="002C6039" w:rsidRPr="001776EE" w:rsidRDefault="002C6039" w:rsidP="001776EE">
      <w:pPr>
        <w:pStyle w:val="Heading2RI"/>
        <w:rPr>
          <w:color w:val="0B2B43" w:themeColor="text2" w:themeShade="80"/>
          <w:sz w:val="24"/>
          <w:szCs w:val="24"/>
        </w:rPr>
      </w:pPr>
      <w:proofErr w:type="gramStart"/>
      <w:r w:rsidRPr="001776EE">
        <w:rPr>
          <w:color w:val="0B2B43" w:themeColor="text2" w:themeShade="80"/>
          <w:sz w:val="24"/>
          <w:szCs w:val="24"/>
        </w:rPr>
        <w:t xml:space="preserve">Chart </w:t>
      </w:r>
      <w:r w:rsidR="006F2ADF" w:rsidRPr="001776EE">
        <w:rPr>
          <w:color w:val="0B2B43" w:themeColor="text2" w:themeShade="80"/>
          <w:sz w:val="24"/>
          <w:szCs w:val="24"/>
        </w:rPr>
        <w:t>5</w:t>
      </w:r>
      <w:r w:rsidRPr="001776EE">
        <w:rPr>
          <w:color w:val="0B2B43" w:themeColor="text2" w:themeShade="80"/>
          <w:sz w:val="24"/>
          <w:szCs w:val="24"/>
        </w:rPr>
        <w:t>.</w:t>
      </w:r>
      <w:proofErr w:type="gramEnd"/>
      <w:r w:rsidRPr="001776EE">
        <w:rPr>
          <w:color w:val="0B2B43" w:themeColor="text2" w:themeShade="80"/>
          <w:sz w:val="24"/>
          <w:szCs w:val="24"/>
        </w:rPr>
        <w:t xml:space="preserve"> Shares of </w:t>
      </w:r>
      <w:proofErr w:type="spellStart"/>
      <w:r w:rsidRPr="001776EE">
        <w:rPr>
          <w:color w:val="0B2B43" w:themeColor="text2" w:themeShade="80"/>
          <w:sz w:val="24"/>
          <w:szCs w:val="24"/>
        </w:rPr>
        <w:t>RBG</w:t>
      </w:r>
      <w:proofErr w:type="spellEnd"/>
      <w:r w:rsidRPr="001776EE">
        <w:rPr>
          <w:color w:val="0B2B43" w:themeColor="text2" w:themeShade="80"/>
          <w:sz w:val="24"/>
          <w:szCs w:val="24"/>
        </w:rPr>
        <w:t xml:space="preserve"> funding by institution, 2015 distribution</w:t>
      </w:r>
      <w:r w:rsidR="00AB54C0" w:rsidRPr="001776EE">
        <w:rPr>
          <w:color w:val="0B2B43" w:themeColor="text2" w:themeShade="80"/>
          <w:sz w:val="24"/>
          <w:szCs w:val="24"/>
        </w:rPr>
        <w:t xml:space="preserve"> </w:t>
      </w:r>
      <w:r w:rsidR="00AB54C0" w:rsidRPr="001776EE">
        <w:rPr>
          <w:b w:val="0"/>
          <w:color w:val="0B2B43" w:themeColor="text2" w:themeShade="80"/>
          <w:sz w:val="24"/>
          <w:szCs w:val="24"/>
        </w:rPr>
        <w:t>($ million)</w:t>
      </w:r>
    </w:p>
    <w:p w:rsidR="00676E9D" w:rsidRDefault="00484D5B" w:rsidP="00C6639A">
      <w:pPr>
        <w:spacing w:after="0"/>
        <w:ind w:left="-284" w:right="-306"/>
        <w:jc w:val="center"/>
        <w:rPr>
          <w:rFonts w:eastAsia="Times New Roman" w:cstheme="minorHAnsi"/>
          <w:b/>
          <w:color w:val="0B2B43" w:themeColor="text2" w:themeShade="80"/>
          <w:sz w:val="20"/>
          <w:szCs w:val="20"/>
          <w:lang w:eastAsia="en-AU"/>
        </w:rPr>
      </w:pPr>
      <w:r>
        <w:rPr>
          <w:rFonts w:eastAsia="Times New Roman" w:cstheme="minorHAnsi"/>
          <w:b/>
          <w:noProof/>
          <w:color w:val="0B2B43" w:themeColor="text2" w:themeShade="80"/>
          <w:sz w:val="20"/>
          <w:szCs w:val="20"/>
          <w:lang w:eastAsia="en-AU"/>
        </w:rPr>
        <w:drawing>
          <wp:inline distT="0" distB="0" distL="0" distR="0" wp14:anchorId="76F2B9F4" wp14:editId="58D4C1A5">
            <wp:extent cx="5846400" cy="3294000"/>
            <wp:effectExtent l="0" t="0" r="2540" b="1905"/>
            <wp:docPr id="19" name="Picture 19" descr="University 2015 ($ )&#10;Australian Catholic University  5,675,477 &#10;Batchelor Institute of Indigenous Tertiary Education  367,098 &#10;Bond University  3,313,273 &#10;Central Queensland University  5,742,510 &#10;Charles Darwin University  14,371,164 &#10;Charles Sturt University  9,225,522 &#10;Curtin University of Technology  39,220,272 &#10;Deakin University  26,829,862 &#10;Edith Cowan University  10,940,958 &#10;Federation University Australia  3,816,615 &#10;Griffith University  37,732,179 &#10;James Cook University  22,883,941 &#10;La Trobe University  28,415,840 &#10;Macquarie University  35,877,343 &#10;MCD University of Divinity  1,595,224 &#10;Monash University  146,857,143 &#10;Murdoch University  19,276,885 &#10;Queensland University of Technology  47,596,829 &#10;Royal Melbourne Institute of Technology  31,746,972 &#10;Southern Cross University  8,187,047 &#10;Swinburne University of Technology  17,765,608 &#10;The Australian National University  102,160,186 &#10;The Flinders University of South Australia  27,727,164 &#10;The University of Adelaide  85,609,783 &#10;The University of Melbourne  186,728,763 &#10;The University of Notre Dame Australia  1,215,069 &#10;The University of Queensland  171,053,815 &#10;The University of Sydney  180,513,826 &#10;The University of Western Australia  93,251,650 &#10;University of Canberra  8,856,561 &#10;University of New England  15,251,905 &#10;University of New South Wales  162,269,636 &#10;University of Newcastle  41,081,607 &#10;University of South Australia  32,888,654 &#10;University of Southern Queensland  7,781,143 &#10;University of Tasmania  42,823,016 &#10;University of Technology, Sydney  26,070,952 &#10;University of the Sunshine Coast  4,152,320 &#10;University of Western Sydney  17,402,935 &#10;University of Wollongong  34,874,908 &#10;Victoria University  11,297,484 &#10;" title="Shares of RBG funding by institution, 2015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6400" cy="3294000"/>
                    </a:xfrm>
                    <a:prstGeom prst="rect">
                      <a:avLst/>
                    </a:prstGeom>
                    <a:noFill/>
                  </pic:spPr>
                </pic:pic>
              </a:graphicData>
            </a:graphic>
          </wp:inline>
        </w:drawing>
      </w:r>
    </w:p>
    <w:p w:rsidR="002C6039" w:rsidRPr="004A1196" w:rsidRDefault="002C6039" w:rsidP="00C6639A">
      <w:pPr>
        <w:spacing w:after="0"/>
        <w:rPr>
          <w:rFonts w:eastAsia="Calibri"/>
          <w:color w:val="0B2B43" w:themeColor="text2" w:themeShade="80"/>
        </w:rPr>
      </w:pPr>
      <w:r w:rsidRPr="002F0468">
        <w:rPr>
          <w:rFonts w:eastAsia="Times New Roman" w:cstheme="minorHAnsi"/>
          <w:b/>
          <w:color w:val="0B2B43" w:themeColor="text2" w:themeShade="80"/>
          <w:sz w:val="20"/>
          <w:szCs w:val="20"/>
          <w:lang w:eastAsia="en-AU"/>
        </w:rPr>
        <w:t>Source</w:t>
      </w:r>
      <w:r w:rsidR="000C683A">
        <w:rPr>
          <w:rFonts w:eastAsia="Times New Roman" w:cstheme="minorHAnsi"/>
          <w:b/>
          <w:color w:val="0B2B43" w:themeColor="text2" w:themeShade="80"/>
          <w:sz w:val="20"/>
          <w:szCs w:val="20"/>
          <w:lang w:eastAsia="en-AU"/>
        </w:rPr>
        <w:t>:</w:t>
      </w:r>
      <w:r w:rsidRPr="002F0468">
        <w:rPr>
          <w:rFonts w:eastAsia="Times New Roman" w:cstheme="minorHAnsi"/>
          <w:b/>
          <w:color w:val="0B2B43" w:themeColor="text2" w:themeShade="80"/>
          <w:sz w:val="20"/>
          <w:szCs w:val="20"/>
          <w:lang w:eastAsia="en-AU"/>
        </w:rPr>
        <w:t xml:space="preserve"> </w:t>
      </w:r>
      <w:proofErr w:type="spellStart"/>
      <w:r w:rsidR="00ED472C" w:rsidRPr="002F0468">
        <w:rPr>
          <w:rFonts w:eastAsia="Times New Roman" w:cstheme="minorHAnsi"/>
          <w:b/>
          <w:color w:val="0B2B43" w:themeColor="text2" w:themeShade="80"/>
          <w:sz w:val="20"/>
          <w:szCs w:val="20"/>
          <w:lang w:eastAsia="en-AU"/>
        </w:rPr>
        <w:t>RBG</w:t>
      </w:r>
      <w:proofErr w:type="spellEnd"/>
      <w:r w:rsidR="00ED472C" w:rsidRPr="002F0468">
        <w:rPr>
          <w:rFonts w:eastAsia="Times New Roman" w:cstheme="minorHAnsi"/>
          <w:b/>
          <w:color w:val="0B2B43" w:themeColor="text2" w:themeShade="80"/>
          <w:sz w:val="20"/>
          <w:szCs w:val="20"/>
          <w:lang w:eastAsia="en-AU"/>
        </w:rPr>
        <w:t xml:space="preserve"> funding records, </w:t>
      </w:r>
      <w:r w:rsidRPr="002F0468">
        <w:rPr>
          <w:rFonts w:eastAsia="Times New Roman" w:cstheme="minorHAnsi"/>
          <w:b/>
          <w:color w:val="0B2B43" w:themeColor="text2" w:themeShade="80"/>
          <w:sz w:val="20"/>
          <w:szCs w:val="20"/>
          <w:lang w:eastAsia="en-AU"/>
        </w:rPr>
        <w:t>Department of Education and Training</w:t>
      </w:r>
    </w:p>
    <w:p w:rsidR="00676E9D" w:rsidRDefault="00676E9D" w:rsidP="00C6639A">
      <w:pPr>
        <w:spacing w:before="0" w:after="200" w:line="276" w:lineRule="auto"/>
        <w:rPr>
          <w:b/>
        </w:rPr>
      </w:pPr>
    </w:p>
    <w:p w:rsidR="004233BD" w:rsidRDefault="000D6299" w:rsidP="00C6639A">
      <w:pPr>
        <w:spacing w:before="0" w:after="200" w:line="276" w:lineRule="auto"/>
        <w:rPr>
          <w:b/>
        </w:rPr>
      </w:pPr>
      <w:r w:rsidRPr="00F23855">
        <w:rPr>
          <w:noProof/>
          <w:color w:val="0B2B43" w:themeColor="text2" w:themeShade="80"/>
          <w:lang w:eastAsia="en-AU"/>
        </w:rPr>
        <w:drawing>
          <wp:anchor distT="0" distB="0" distL="114300" distR="114300" simplePos="0" relativeHeight="251660292" behindDoc="0" locked="0" layoutInCell="1" allowOverlap="1" wp14:anchorId="7515C874" wp14:editId="5FB81176">
            <wp:simplePos x="0" y="0"/>
            <wp:positionH relativeFrom="column">
              <wp:posOffset>0</wp:posOffset>
            </wp:positionH>
            <wp:positionV relativeFrom="paragraph">
              <wp:posOffset>258890</wp:posOffset>
            </wp:positionV>
            <wp:extent cx="5148000" cy="3243600"/>
            <wp:effectExtent l="0" t="0" r="0" b="0"/>
            <wp:wrapNone/>
            <wp:docPr id="17" name="Picture 17" descr="Chart demonstrates that the distribution of RBG funding per university quartile remains largely unchanged over the past 10 years, with the lower quartile receiving around 3 per cent of total RBG funding&#10;" title="shares of RBG funding per quarter from 2006 t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12B61.C906242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148000" cy="3243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4018A9" w:rsidRPr="00C6639A">
        <w:rPr>
          <w:b/>
          <w:color w:val="0B2B43" w:themeColor="text2" w:themeShade="80"/>
        </w:rPr>
        <w:t xml:space="preserve">Chart </w:t>
      </w:r>
      <w:r w:rsidR="004545FC" w:rsidRPr="00C6639A">
        <w:rPr>
          <w:b/>
          <w:color w:val="0B2B43" w:themeColor="text2" w:themeShade="80"/>
        </w:rPr>
        <w:t>6</w:t>
      </w:r>
      <w:r w:rsidR="004018A9" w:rsidRPr="00C6639A">
        <w:rPr>
          <w:b/>
          <w:color w:val="0B2B43" w:themeColor="text2" w:themeShade="80"/>
        </w:rPr>
        <w:t>.</w:t>
      </w:r>
      <w:proofErr w:type="gramEnd"/>
      <w:r w:rsidR="004018A9" w:rsidRPr="00C6639A">
        <w:rPr>
          <w:b/>
          <w:color w:val="0B2B43" w:themeColor="text2" w:themeShade="80"/>
        </w:rPr>
        <w:t xml:space="preserve"> Shares of </w:t>
      </w:r>
      <w:proofErr w:type="spellStart"/>
      <w:r w:rsidR="004018A9" w:rsidRPr="00C6639A">
        <w:rPr>
          <w:b/>
          <w:color w:val="0B2B43" w:themeColor="text2" w:themeShade="80"/>
        </w:rPr>
        <w:t>RBG</w:t>
      </w:r>
      <w:proofErr w:type="spellEnd"/>
      <w:r w:rsidR="004018A9" w:rsidRPr="00C6639A">
        <w:rPr>
          <w:b/>
          <w:color w:val="0B2B43" w:themeColor="text2" w:themeShade="80"/>
        </w:rPr>
        <w:t xml:space="preserve"> funding per quartile</w:t>
      </w:r>
    </w:p>
    <w:tbl>
      <w:tblPr>
        <w:tblStyle w:val="TableGrid"/>
        <w:tblW w:w="0" w:type="auto"/>
        <w:tblInd w:w="567" w:type="dxa"/>
        <w:tblLook w:val="04A0" w:firstRow="1" w:lastRow="0" w:firstColumn="1" w:lastColumn="0" w:noHBand="0" w:noVBand="1"/>
      </w:tblPr>
      <w:tblGrid>
        <w:gridCol w:w="1270"/>
        <w:gridCol w:w="1580"/>
        <w:gridCol w:w="1580"/>
        <w:gridCol w:w="1580"/>
        <w:gridCol w:w="1580"/>
      </w:tblGrid>
      <w:tr w:rsidR="00FB0CFB" w:rsidRPr="00FB0CFB" w:rsidTr="000D6299">
        <w:trPr>
          <w:tblHeader/>
        </w:trPr>
        <w:tc>
          <w:tcPr>
            <w:tcW w:w="960" w:type="dxa"/>
            <w:noWrap/>
            <w:hideMark/>
          </w:tcPr>
          <w:p w:rsidR="00FB0CFB" w:rsidRPr="00FB0CFB" w:rsidRDefault="00FB0CFB" w:rsidP="00FB0CFB">
            <w:pPr>
              <w:spacing w:before="0" w:after="0"/>
              <w:ind w:left="567"/>
            </w:pPr>
            <w:r w:rsidRPr="00FB0CFB">
              <w:t>year</w:t>
            </w:r>
          </w:p>
        </w:tc>
        <w:tc>
          <w:tcPr>
            <w:tcW w:w="960" w:type="dxa"/>
            <w:noWrap/>
            <w:hideMark/>
          </w:tcPr>
          <w:p w:rsidR="00FB0CFB" w:rsidRPr="00FB0CFB" w:rsidRDefault="00FB0CFB" w:rsidP="00FB0CFB">
            <w:pPr>
              <w:spacing w:before="0" w:after="0"/>
              <w:ind w:left="567"/>
            </w:pPr>
            <w:r w:rsidRPr="00FB0CFB">
              <w:t>1st Quartile</w:t>
            </w:r>
          </w:p>
        </w:tc>
        <w:tc>
          <w:tcPr>
            <w:tcW w:w="960" w:type="dxa"/>
            <w:noWrap/>
            <w:hideMark/>
          </w:tcPr>
          <w:p w:rsidR="00FB0CFB" w:rsidRPr="00FB0CFB" w:rsidRDefault="00FB0CFB" w:rsidP="00FB0CFB">
            <w:pPr>
              <w:spacing w:before="0" w:after="0"/>
              <w:ind w:left="567"/>
            </w:pPr>
            <w:r w:rsidRPr="00FB0CFB">
              <w:t>2nd Quartile</w:t>
            </w:r>
          </w:p>
        </w:tc>
        <w:tc>
          <w:tcPr>
            <w:tcW w:w="960" w:type="dxa"/>
            <w:noWrap/>
            <w:hideMark/>
          </w:tcPr>
          <w:p w:rsidR="00FB0CFB" w:rsidRPr="00FB0CFB" w:rsidRDefault="00FB0CFB" w:rsidP="00FB0CFB">
            <w:pPr>
              <w:spacing w:before="0" w:after="0"/>
              <w:ind w:left="567"/>
            </w:pPr>
            <w:r w:rsidRPr="00FB0CFB">
              <w:t>3rd Quartile</w:t>
            </w:r>
          </w:p>
        </w:tc>
        <w:tc>
          <w:tcPr>
            <w:tcW w:w="960" w:type="dxa"/>
            <w:noWrap/>
            <w:hideMark/>
          </w:tcPr>
          <w:p w:rsidR="00FB0CFB" w:rsidRPr="00FB0CFB" w:rsidRDefault="00FB0CFB" w:rsidP="00FB0CFB">
            <w:pPr>
              <w:spacing w:before="0" w:after="0"/>
              <w:ind w:left="567"/>
            </w:pPr>
            <w:r w:rsidRPr="00FB0CFB">
              <w:t>4th Quartile</w:t>
            </w:r>
          </w:p>
        </w:tc>
      </w:tr>
      <w:tr w:rsidR="00FB0CFB" w:rsidRPr="00FB0CFB" w:rsidTr="00FB0CFB">
        <w:tc>
          <w:tcPr>
            <w:tcW w:w="960" w:type="dxa"/>
            <w:noWrap/>
            <w:hideMark/>
          </w:tcPr>
          <w:p w:rsidR="00FB0CFB" w:rsidRPr="00FB0CFB" w:rsidRDefault="00FB0CFB" w:rsidP="00FB0CFB">
            <w:pPr>
              <w:spacing w:before="0" w:after="0"/>
              <w:ind w:left="567"/>
            </w:pPr>
            <w:r w:rsidRPr="00FB0CFB">
              <w:t>2006</w:t>
            </w:r>
          </w:p>
        </w:tc>
        <w:tc>
          <w:tcPr>
            <w:tcW w:w="960" w:type="dxa"/>
            <w:noWrap/>
            <w:hideMark/>
          </w:tcPr>
          <w:p w:rsidR="00FB0CFB" w:rsidRPr="00FB0CFB" w:rsidRDefault="00FB0CFB" w:rsidP="00FB0CFB">
            <w:pPr>
              <w:spacing w:before="0" w:after="0"/>
              <w:ind w:left="567"/>
            </w:pPr>
            <w:r w:rsidRPr="00FB0CFB">
              <w:t>68%</w:t>
            </w:r>
          </w:p>
        </w:tc>
        <w:tc>
          <w:tcPr>
            <w:tcW w:w="960" w:type="dxa"/>
            <w:noWrap/>
            <w:hideMark/>
          </w:tcPr>
          <w:p w:rsidR="00FB0CFB" w:rsidRPr="00FB0CFB" w:rsidRDefault="00FB0CFB" w:rsidP="00FB0CFB">
            <w:pPr>
              <w:spacing w:before="0" w:after="0"/>
              <w:ind w:left="567"/>
            </w:pPr>
            <w:r w:rsidRPr="00FB0CFB">
              <w:t>19%</w:t>
            </w:r>
          </w:p>
        </w:tc>
        <w:tc>
          <w:tcPr>
            <w:tcW w:w="960" w:type="dxa"/>
            <w:noWrap/>
            <w:hideMark/>
          </w:tcPr>
          <w:p w:rsidR="00FB0CFB" w:rsidRPr="00FB0CFB" w:rsidRDefault="00FB0CFB" w:rsidP="00FB0CFB">
            <w:pPr>
              <w:spacing w:before="0" w:after="0"/>
              <w:ind w:left="567"/>
            </w:pPr>
            <w:r w:rsidRPr="00FB0CFB">
              <w:t>10%</w:t>
            </w:r>
          </w:p>
        </w:tc>
        <w:tc>
          <w:tcPr>
            <w:tcW w:w="960" w:type="dxa"/>
            <w:noWrap/>
            <w:hideMark/>
          </w:tcPr>
          <w:p w:rsidR="00FB0CFB" w:rsidRPr="00FB0CFB" w:rsidRDefault="00FB0CFB" w:rsidP="00FB0CFB">
            <w:pPr>
              <w:spacing w:before="0" w:after="0"/>
              <w:ind w:left="567"/>
            </w:pPr>
            <w:r w:rsidRPr="00FB0CFB">
              <w:t>2%</w:t>
            </w:r>
          </w:p>
        </w:tc>
      </w:tr>
      <w:tr w:rsidR="00FB0CFB" w:rsidRPr="00FB0CFB" w:rsidTr="00FB0CFB">
        <w:tc>
          <w:tcPr>
            <w:tcW w:w="960" w:type="dxa"/>
            <w:noWrap/>
            <w:hideMark/>
          </w:tcPr>
          <w:p w:rsidR="00FB0CFB" w:rsidRPr="00FB0CFB" w:rsidRDefault="00FB0CFB" w:rsidP="00FB0CFB">
            <w:pPr>
              <w:spacing w:before="0" w:after="0"/>
              <w:ind w:left="567"/>
            </w:pPr>
            <w:r w:rsidRPr="00FB0CFB">
              <w:t>2007</w:t>
            </w:r>
          </w:p>
        </w:tc>
        <w:tc>
          <w:tcPr>
            <w:tcW w:w="960" w:type="dxa"/>
            <w:noWrap/>
            <w:hideMark/>
          </w:tcPr>
          <w:p w:rsidR="00FB0CFB" w:rsidRPr="00FB0CFB" w:rsidRDefault="00FB0CFB" w:rsidP="00FB0CFB">
            <w:pPr>
              <w:spacing w:before="0" w:after="0"/>
              <w:ind w:left="567"/>
            </w:pPr>
            <w:r w:rsidRPr="00FB0CFB">
              <w:t>68%</w:t>
            </w:r>
          </w:p>
        </w:tc>
        <w:tc>
          <w:tcPr>
            <w:tcW w:w="960" w:type="dxa"/>
            <w:noWrap/>
            <w:hideMark/>
          </w:tcPr>
          <w:p w:rsidR="00FB0CFB" w:rsidRPr="00FB0CFB" w:rsidRDefault="00FB0CFB" w:rsidP="00FB0CFB">
            <w:pPr>
              <w:spacing w:before="0" w:after="0"/>
              <w:ind w:left="567"/>
            </w:pPr>
            <w:r w:rsidRPr="00FB0CFB">
              <w:t>19%</w:t>
            </w:r>
          </w:p>
        </w:tc>
        <w:tc>
          <w:tcPr>
            <w:tcW w:w="960" w:type="dxa"/>
            <w:noWrap/>
            <w:hideMark/>
          </w:tcPr>
          <w:p w:rsidR="00FB0CFB" w:rsidRPr="00FB0CFB" w:rsidRDefault="00FB0CFB" w:rsidP="00FB0CFB">
            <w:pPr>
              <w:spacing w:before="0" w:after="0"/>
              <w:ind w:left="567"/>
            </w:pPr>
            <w:r w:rsidRPr="00FB0CFB">
              <w:t>10%</w:t>
            </w:r>
          </w:p>
        </w:tc>
        <w:tc>
          <w:tcPr>
            <w:tcW w:w="960" w:type="dxa"/>
            <w:noWrap/>
            <w:hideMark/>
          </w:tcPr>
          <w:p w:rsidR="00FB0CFB" w:rsidRPr="00FB0CFB" w:rsidRDefault="00FB0CFB" w:rsidP="00FB0CFB">
            <w:pPr>
              <w:spacing w:before="0" w:after="0"/>
              <w:ind w:left="567"/>
            </w:pPr>
            <w:r w:rsidRPr="00FB0CFB">
              <w:t>2%</w:t>
            </w:r>
          </w:p>
        </w:tc>
      </w:tr>
      <w:tr w:rsidR="00FB0CFB" w:rsidRPr="00FB0CFB" w:rsidTr="00FB0CFB">
        <w:tc>
          <w:tcPr>
            <w:tcW w:w="960" w:type="dxa"/>
            <w:noWrap/>
            <w:hideMark/>
          </w:tcPr>
          <w:p w:rsidR="00FB0CFB" w:rsidRPr="00FB0CFB" w:rsidRDefault="00FB0CFB" w:rsidP="00FB0CFB">
            <w:pPr>
              <w:spacing w:before="0" w:after="0"/>
              <w:ind w:left="567"/>
            </w:pPr>
            <w:r w:rsidRPr="00FB0CFB">
              <w:t>2008</w:t>
            </w:r>
          </w:p>
        </w:tc>
        <w:tc>
          <w:tcPr>
            <w:tcW w:w="960" w:type="dxa"/>
            <w:noWrap/>
            <w:hideMark/>
          </w:tcPr>
          <w:p w:rsidR="00FB0CFB" w:rsidRPr="00FB0CFB" w:rsidRDefault="00FB0CFB" w:rsidP="00FB0CFB">
            <w:pPr>
              <w:spacing w:before="0" w:after="0"/>
              <w:ind w:left="567"/>
            </w:pPr>
            <w:r w:rsidRPr="00FB0CFB">
              <w:t>68%</w:t>
            </w:r>
          </w:p>
        </w:tc>
        <w:tc>
          <w:tcPr>
            <w:tcW w:w="960" w:type="dxa"/>
            <w:noWrap/>
            <w:hideMark/>
          </w:tcPr>
          <w:p w:rsidR="00FB0CFB" w:rsidRPr="00FB0CFB" w:rsidRDefault="00FB0CFB" w:rsidP="00FB0CFB">
            <w:pPr>
              <w:spacing w:before="0" w:after="0"/>
              <w:ind w:left="567"/>
            </w:pPr>
            <w:r w:rsidRPr="00FB0CFB">
              <w:t>19%</w:t>
            </w:r>
          </w:p>
        </w:tc>
        <w:tc>
          <w:tcPr>
            <w:tcW w:w="960" w:type="dxa"/>
            <w:noWrap/>
            <w:hideMark/>
          </w:tcPr>
          <w:p w:rsidR="00FB0CFB" w:rsidRPr="00FB0CFB" w:rsidRDefault="00FB0CFB" w:rsidP="00FB0CFB">
            <w:pPr>
              <w:spacing w:before="0" w:after="0"/>
              <w:ind w:left="567"/>
            </w:pPr>
            <w:r w:rsidRPr="00FB0CFB">
              <w:t>10%</w:t>
            </w:r>
          </w:p>
        </w:tc>
        <w:tc>
          <w:tcPr>
            <w:tcW w:w="960" w:type="dxa"/>
            <w:noWrap/>
            <w:hideMark/>
          </w:tcPr>
          <w:p w:rsidR="00FB0CFB" w:rsidRPr="00FB0CFB" w:rsidRDefault="00FB0CFB" w:rsidP="00FB0CFB">
            <w:pPr>
              <w:spacing w:before="0" w:after="0"/>
              <w:ind w:left="567"/>
            </w:pPr>
            <w:r w:rsidRPr="00FB0CFB">
              <w:t>2%</w:t>
            </w:r>
          </w:p>
        </w:tc>
      </w:tr>
      <w:tr w:rsidR="00FB0CFB" w:rsidRPr="00FB0CFB" w:rsidTr="00FB0CFB">
        <w:tc>
          <w:tcPr>
            <w:tcW w:w="960" w:type="dxa"/>
            <w:noWrap/>
            <w:hideMark/>
          </w:tcPr>
          <w:p w:rsidR="00FB0CFB" w:rsidRPr="00FB0CFB" w:rsidRDefault="00FB0CFB" w:rsidP="00FB0CFB">
            <w:pPr>
              <w:spacing w:before="0" w:after="0"/>
              <w:ind w:left="567"/>
            </w:pPr>
            <w:r w:rsidRPr="00FB0CFB">
              <w:t>2009</w:t>
            </w:r>
          </w:p>
        </w:tc>
        <w:tc>
          <w:tcPr>
            <w:tcW w:w="960" w:type="dxa"/>
            <w:noWrap/>
            <w:hideMark/>
          </w:tcPr>
          <w:p w:rsidR="00FB0CFB" w:rsidRPr="00FB0CFB" w:rsidRDefault="00FB0CFB" w:rsidP="00FB0CFB">
            <w:pPr>
              <w:spacing w:before="0" w:after="0"/>
              <w:ind w:left="567"/>
            </w:pPr>
            <w:r w:rsidRPr="00FB0CFB">
              <w:t>69%</w:t>
            </w:r>
          </w:p>
        </w:tc>
        <w:tc>
          <w:tcPr>
            <w:tcW w:w="960" w:type="dxa"/>
            <w:noWrap/>
            <w:hideMark/>
          </w:tcPr>
          <w:p w:rsidR="00FB0CFB" w:rsidRPr="00FB0CFB" w:rsidRDefault="00FB0CFB" w:rsidP="00FB0CFB">
            <w:pPr>
              <w:spacing w:before="0" w:after="0"/>
              <w:ind w:left="567"/>
            </w:pPr>
            <w:r w:rsidRPr="00FB0CFB">
              <w:t>19%</w:t>
            </w:r>
          </w:p>
        </w:tc>
        <w:tc>
          <w:tcPr>
            <w:tcW w:w="960" w:type="dxa"/>
            <w:noWrap/>
            <w:hideMark/>
          </w:tcPr>
          <w:p w:rsidR="00FB0CFB" w:rsidRPr="00FB0CFB" w:rsidRDefault="00FB0CFB" w:rsidP="00FB0CFB">
            <w:pPr>
              <w:spacing w:before="0" w:after="0"/>
              <w:ind w:left="567"/>
            </w:pPr>
            <w:r w:rsidRPr="00FB0CFB">
              <w:t>10%</w:t>
            </w:r>
          </w:p>
        </w:tc>
        <w:tc>
          <w:tcPr>
            <w:tcW w:w="960" w:type="dxa"/>
            <w:noWrap/>
            <w:hideMark/>
          </w:tcPr>
          <w:p w:rsidR="00FB0CFB" w:rsidRPr="00FB0CFB" w:rsidRDefault="00FB0CFB" w:rsidP="00FB0CFB">
            <w:pPr>
              <w:spacing w:before="0" w:after="0"/>
              <w:ind w:left="567"/>
            </w:pPr>
            <w:r w:rsidRPr="00FB0CFB">
              <w:t>2%</w:t>
            </w:r>
          </w:p>
        </w:tc>
      </w:tr>
      <w:tr w:rsidR="00FB0CFB" w:rsidRPr="00FB0CFB" w:rsidTr="00FB0CFB">
        <w:tc>
          <w:tcPr>
            <w:tcW w:w="960" w:type="dxa"/>
            <w:noWrap/>
            <w:hideMark/>
          </w:tcPr>
          <w:p w:rsidR="00FB0CFB" w:rsidRPr="00FB0CFB" w:rsidRDefault="00FB0CFB" w:rsidP="00FB0CFB">
            <w:pPr>
              <w:spacing w:before="0" w:after="0"/>
              <w:ind w:left="567"/>
            </w:pPr>
            <w:r w:rsidRPr="00FB0CFB">
              <w:t>2010</w:t>
            </w:r>
          </w:p>
        </w:tc>
        <w:tc>
          <w:tcPr>
            <w:tcW w:w="960" w:type="dxa"/>
            <w:noWrap/>
            <w:hideMark/>
          </w:tcPr>
          <w:p w:rsidR="00FB0CFB" w:rsidRPr="00FB0CFB" w:rsidRDefault="00FB0CFB" w:rsidP="00FB0CFB">
            <w:pPr>
              <w:spacing w:before="0" w:after="0"/>
              <w:ind w:left="567"/>
            </w:pPr>
            <w:r w:rsidRPr="00FB0CFB">
              <w:t>69%</w:t>
            </w:r>
          </w:p>
        </w:tc>
        <w:tc>
          <w:tcPr>
            <w:tcW w:w="960" w:type="dxa"/>
            <w:noWrap/>
            <w:hideMark/>
          </w:tcPr>
          <w:p w:rsidR="00FB0CFB" w:rsidRPr="00FB0CFB" w:rsidRDefault="00FB0CFB" w:rsidP="00FB0CFB">
            <w:pPr>
              <w:spacing w:before="0" w:after="0"/>
              <w:ind w:left="567"/>
            </w:pPr>
            <w:r w:rsidRPr="00FB0CFB">
              <w:t>19%</w:t>
            </w:r>
          </w:p>
        </w:tc>
        <w:tc>
          <w:tcPr>
            <w:tcW w:w="960" w:type="dxa"/>
            <w:noWrap/>
            <w:hideMark/>
          </w:tcPr>
          <w:p w:rsidR="00FB0CFB" w:rsidRPr="00FB0CFB" w:rsidRDefault="00FB0CFB" w:rsidP="00FB0CFB">
            <w:pPr>
              <w:spacing w:before="0" w:after="0"/>
              <w:ind w:left="567"/>
            </w:pPr>
            <w:r w:rsidRPr="00FB0CFB">
              <w:t>10%</w:t>
            </w:r>
          </w:p>
        </w:tc>
        <w:tc>
          <w:tcPr>
            <w:tcW w:w="960" w:type="dxa"/>
            <w:noWrap/>
            <w:hideMark/>
          </w:tcPr>
          <w:p w:rsidR="00FB0CFB" w:rsidRPr="00FB0CFB" w:rsidRDefault="00FB0CFB" w:rsidP="00FB0CFB">
            <w:pPr>
              <w:spacing w:before="0" w:after="0"/>
              <w:ind w:left="567"/>
            </w:pPr>
            <w:r w:rsidRPr="00FB0CFB">
              <w:t>3%</w:t>
            </w:r>
          </w:p>
        </w:tc>
      </w:tr>
      <w:tr w:rsidR="00FB0CFB" w:rsidRPr="00FB0CFB" w:rsidTr="00FB0CFB">
        <w:tc>
          <w:tcPr>
            <w:tcW w:w="960" w:type="dxa"/>
            <w:noWrap/>
            <w:hideMark/>
          </w:tcPr>
          <w:p w:rsidR="00FB0CFB" w:rsidRPr="00FB0CFB" w:rsidRDefault="00FB0CFB" w:rsidP="00FB0CFB">
            <w:pPr>
              <w:spacing w:before="0" w:after="0"/>
              <w:ind w:left="567"/>
            </w:pPr>
            <w:r w:rsidRPr="00FB0CFB">
              <w:t>2011</w:t>
            </w:r>
          </w:p>
        </w:tc>
        <w:tc>
          <w:tcPr>
            <w:tcW w:w="960" w:type="dxa"/>
            <w:noWrap/>
            <w:hideMark/>
          </w:tcPr>
          <w:p w:rsidR="00FB0CFB" w:rsidRPr="00FB0CFB" w:rsidRDefault="00FB0CFB" w:rsidP="00FB0CFB">
            <w:pPr>
              <w:spacing w:before="0" w:after="0"/>
              <w:ind w:left="567"/>
            </w:pPr>
            <w:r w:rsidRPr="00FB0CFB">
              <w:t>69%</w:t>
            </w:r>
          </w:p>
        </w:tc>
        <w:tc>
          <w:tcPr>
            <w:tcW w:w="960" w:type="dxa"/>
            <w:noWrap/>
            <w:hideMark/>
          </w:tcPr>
          <w:p w:rsidR="00FB0CFB" w:rsidRPr="00FB0CFB" w:rsidRDefault="00FB0CFB" w:rsidP="00FB0CFB">
            <w:pPr>
              <w:spacing w:before="0" w:after="0"/>
              <w:ind w:left="567"/>
            </w:pPr>
            <w:r w:rsidRPr="00FB0CFB">
              <w:t>19%</w:t>
            </w:r>
          </w:p>
        </w:tc>
        <w:tc>
          <w:tcPr>
            <w:tcW w:w="960" w:type="dxa"/>
            <w:noWrap/>
            <w:hideMark/>
          </w:tcPr>
          <w:p w:rsidR="00FB0CFB" w:rsidRPr="00FB0CFB" w:rsidRDefault="00FB0CFB" w:rsidP="00FB0CFB">
            <w:pPr>
              <w:spacing w:before="0" w:after="0"/>
              <w:ind w:left="567"/>
            </w:pPr>
            <w:r w:rsidRPr="00FB0CFB">
              <w:t>9%</w:t>
            </w:r>
          </w:p>
        </w:tc>
        <w:tc>
          <w:tcPr>
            <w:tcW w:w="960" w:type="dxa"/>
            <w:noWrap/>
            <w:hideMark/>
          </w:tcPr>
          <w:p w:rsidR="00FB0CFB" w:rsidRPr="00FB0CFB" w:rsidRDefault="00FB0CFB" w:rsidP="00FB0CFB">
            <w:pPr>
              <w:spacing w:before="0" w:after="0"/>
              <w:ind w:left="567"/>
            </w:pPr>
            <w:r w:rsidRPr="00FB0CFB">
              <w:t>2%</w:t>
            </w:r>
          </w:p>
        </w:tc>
      </w:tr>
      <w:tr w:rsidR="00FB0CFB" w:rsidRPr="00FB0CFB" w:rsidTr="00FB0CFB">
        <w:tc>
          <w:tcPr>
            <w:tcW w:w="960" w:type="dxa"/>
            <w:noWrap/>
            <w:hideMark/>
          </w:tcPr>
          <w:p w:rsidR="00FB0CFB" w:rsidRPr="00FB0CFB" w:rsidRDefault="00FB0CFB" w:rsidP="00FB0CFB">
            <w:pPr>
              <w:spacing w:before="0" w:after="0"/>
              <w:ind w:left="567"/>
            </w:pPr>
            <w:r w:rsidRPr="00FB0CFB">
              <w:t>2012</w:t>
            </w:r>
          </w:p>
        </w:tc>
        <w:tc>
          <w:tcPr>
            <w:tcW w:w="960" w:type="dxa"/>
            <w:noWrap/>
            <w:hideMark/>
          </w:tcPr>
          <w:p w:rsidR="00FB0CFB" w:rsidRPr="00FB0CFB" w:rsidRDefault="00FB0CFB" w:rsidP="00FB0CFB">
            <w:pPr>
              <w:spacing w:before="0" w:after="0"/>
              <w:ind w:left="567"/>
            </w:pPr>
            <w:r w:rsidRPr="00FB0CFB">
              <w:t>70%</w:t>
            </w:r>
          </w:p>
        </w:tc>
        <w:tc>
          <w:tcPr>
            <w:tcW w:w="960" w:type="dxa"/>
            <w:noWrap/>
            <w:hideMark/>
          </w:tcPr>
          <w:p w:rsidR="00FB0CFB" w:rsidRPr="00FB0CFB" w:rsidRDefault="00FB0CFB" w:rsidP="00FB0CFB">
            <w:pPr>
              <w:spacing w:before="0" w:after="0"/>
              <w:ind w:left="567"/>
            </w:pPr>
            <w:r w:rsidRPr="00FB0CFB">
              <w:t>19%</w:t>
            </w:r>
          </w:p>
        </w:tc>
        <w:tc>
          <w:tcPr>
            <w:tcW w:w="960" w:type="dxa"/>
            <w:noWrap/>
            <w:hideMark/>
          </w:tcPr>
          <w:p w:rsidR="00FB0CFB" w:rsidRPr="00FB0CFB" w:rsidRDefault="00FB0CFB" w:rsidP="00FB0CFB">
            <w:pPr>
              <w:spacing w:before="0" w:after="0"/>
              <w:ind w:left="567"/>
            </w:pPr>
            <w:r w:rsidRPr="00FB0CFB">
              <w:t>9%</w:t>
            </w:r>
          </w:p>
        </w:tc>
        <w:tc>
          <w:tcPr>
            <w:tcW w:w="960" w:type="dxa"/>
            <w:noWrap/>
            <w:hideMark/>
          </w:tcPr>
          <w:p w:rsidR="00FB0CFB" w:rsidRPr="00FB0CFB" w:rsidRDefault="00FB0CFB" w:rsidP="00FB0CFB">
            <w:pPr>
              <w:spacing w:before="0" w:after="0"/>
              <w:ind w:left="567"/>
            </w:pPr>
            <w:r w:rsidRPr="00FB0CFB">
              <w:t>3%</w:t>
            </w:r>
          </w:p>
        </w:tc>
      </w:tr>
      <w:tr w:rsidR="00FB0CFB" w:rsidRPr="00FB0CFB" w:rsidTr="00FB0CFB">
        <w:tc>
          <w:tcPr>
            <w:tcW w:w="960" w:type="dxa"/>
            <w:noWrap/>
            <w:hideMark/>
          </w:tcPr>
          <w:p w:rsidR="00FB0CFB" w:rsidRPr="00FB0CFB" w:rsidRDefault="00FB0CFB" w:rsidP="00FB0CFB">
            <w:pPr>
              <w:spacing w:before="0" w:after="0"/>
              <w:ind w:left="567"/>
            </w:pPr>
            <w:r w:rsidRPr="00FB0CFB">
              <w:t>2013</w:t>
            </w:r>
          </w:p>
        </w:tc>
        <w:tc>
          <w:tcPr>
            <w:tcW w:w="960" w:type="dxa"/>
            <w:noWrap/>
            <w:hideMark/>
          </w:tcPr>
          <w:p w:rsidR="00FB0CFB" w:rsidRPr="00FB0CFB" w:rsidRDefault="00FB0CFB" w:rsidP="00FB0CFB">
            <w:pPr>
              <w:spacing w:before="0" w:after="0"/>
              <w:ind w:left="567"/>
            </w:pPr>
            <w:r w:rsidRPr="00FB0CFB">
              <w:t>69%</w:t>
            </w:r>
          </w:p>
        </w:tc>
        <w:tc>
          <w:tcPr>
            <w:tcW w:w="960" w:type="dxa"/>
            <w:noWrap/>
            <w:hideMark/>
          </w:tcPr>
          <w:p w:rsidR="00FB0CFB" w:rsidRPr="00FB0CFB" w:rsidRDefault="00FB0CFB" w:rsidP="00FB0CFB">
            <w:pPr>
              <w:spacing w:before="0" w:after="0"/>
              <w:ind w:left="567"/>
            </w:pPr>
            <w:r w:rsidRPr="00FB0CFB">
              <w:t>19%</w:t>
            </w:r>
          </w:p>
        </w:tc>
        <w:tc>
          <w:tcPr>
            <w:tcW w:w="960" w:type="dxa"/>
            <w:noWrap/>
            <w:hideMark/>
          </w:tcPr>
          <w:p w:rsidR="00FB0CFB" w:rsidRPr="00FB0CFB" w:rsidRDefault="00FB0CFB" w:rsidP="00FB0CFB">
            <w:pPr>
              <w:spacing w:before="0" w:after="0"/>
              <w:ind w:left="567"/>
            </w:pPr>
            <w:r w:rsidRPr="00FB0CFB">
              <w:t>9%</w:t>
            </w:r>
          </w:p>
        </w:tc>
        <w:tc>
          <w:tcPr>
            <w:tcW w:w="960" w:type="dxa"/>
            <w:noWrap/>
            <w:hideMark/>
          </w:tcPr>
          <w:p w:rsidR="00FB0CFB" w:rsidRPr="00FB0CFB" w:rsidRDefault="00FB0CFB" w:rsidP="00FB0CFB">
            <w:pPr>
              <w:spacing w:before="0" w:after="0"/>
              <w:ind w:left="567"/>
            </w:pPr>
            <w:r w:rsidRPr="00FB0CFB">
              <w:t>3%</w:t>
            </w:r>
          </w:p>
        </w:tc>
      </w:tr>
      <w:tr w:rsidR="00FB0CFB" w:rsidRPr="00FB0CFB" w:rsidTr="00FB0CFB">
        <w:tc>
          <w:tcPr>
            <w:tcW w:w="960" w:type="dxa"/>
            <w:noWrap/>
            <w:hideMark/>
          </w:tcPr>
          <w:p w:rsidR="00FB0CFB" w:rsidRPr="00FB0CFB" w:rsidRDefault="00FB0CFB" w:rsidP="00FB0CFB">
            <w:pPr>
              <w:spacing w:before="0" w:after="0"/>
              <w:ind w:left="567"/>
            </w:pPr>
            <w:r w:rsidRPr="00FB0CFB">
              <w:t>2014</w:t>
            </w:r>
          </w:p>
        </w:tc>
        <w:tc>
          <w:tcPr>
            <w:tcW w:w="960" w:type="dxa"/>
            <w:noWrap/>
            <w:hideMark/>
          </w:tcPr>
          <w:p w:rsidR="00FB0CFB" w:rsidRPr="00FB0CFB" w:rsidRDefault="00FB0CFB" w:rsidP="00FB0CFB">
            <w:pPr>
              <w:spacing w:before="0" w:after="0"/>
              <w:ind w:left="567"/>
            </w:pPr>
            <w:r w:rsidRPr="00FB0CFB">
              <w:t>69%</w:t>
            </w:r>
          </w:p>
        </w:tc>
        <w:tc>
          <w:tcPr>
            <w:tcW w:w="960" w:type="dxa"/>
            <w:noWrap/>
            <w:hideMark/>
          </w:tcPr>
          <w:p w:rsidR="00FB0CFB" w:rsidRPr="00FB0CFB" w:rsidRDefault="00FB0CFB" w:rsidP="00FB0CFB">
            <w:pPr>
              <w:spacing w:before="0" w:after="0"/>
              <w:ind w:left="567"/>
            </w:pPr>
            <w:r w:rsidRPr="00FB0CFB">
              <w:t>19%</w:t>
            </w:r>
          </w:p>
        </w:tc>
        <w:tc>
          <w:tcPr>
            <w:tcW w:w="960" w:type="dxa"/>
            <w:noWrap/>
            <w:hideMark/>
          </w:tcPr>
          <w:p w:rsidR="00FB0CFB" w:rsidRPr="00FB0CFB" w:rsidRDefault="00FB0CFB" w:rsidP="00FB0CFB">
            <w:pPr>
              <w:spacing w:before="0" w:after="0"/>
              <w:ind w:left="567"/>
            </w:pPr>
            <w:r w:rsidRPr="00FB0CFB">
              <w:t>9%</w:t>
            </w:r>
          </w:p>
        </w:tc>
        <w:tc>
          <w:tcPr>
            <w:tcW w:w="960" w:type="dxa"/>
            <w:noWrap/>
            <w:hideMark/>
          </w:tcPr>
          <w:p w:rsidR="00FB0CFB" w:rsidRPr="00FB0CFB" w:rsidRDefault="00FB0CFB" w:rsidP="00FB0CFB">
            <w:pPr>
              <w:spacing w:before="0" w:after="0"/>
              <w:ind w:left="567"/>
            </w:pPr>
            <w:r w:rsidRPr="00FB0CFB">
              <w:t>3%</w:t>
            </w:r>
          </w:p>
        </w:tc>
      </w:tr>
      <w:tr w:rsidR="00FB0CFB" w:rsidRPr="00FB0CFB" w:rsidTr="00FB0CFB">
        <w:tc>
          <w:tcPr>
            <w:tcW w:w="960" w:type="dxa"/>
            <w:noWrap/>
            <w:hideMark/>
          </w:tcPr>
          <w:p w:rsidR="00FB0CFB" w:rsidRPr="00FB0CFB" w:rsidRDefault="00FB0CFB" w:rsidP="00FB0CFB">
            <w:pPr>
              <w:spacing w:before="0" w:after="0"/>
              <w:ind w:left="567"/>
            </w:pPr>
            <w:r w:rsidRPr="00FB0CFB">
              <w:t>2015</w:t>
            </w:r>
          </w:p>
        </w:tc>
        <w:tc>
          <w:tcPr>
            <w:tcW w:w="960" w:type="dxa"/>
            <w:noWrap/>
            <w:hideMark/>
          </w:tcPr>
          <w:p w:rsidR="00FB0CFB" w:rsidRPr="00FB0CFB" w:rsidRDefault="00FB0CFB" w:rsidP="00FB0CFB">
            <w:pPr>
              <w:spacing w:before="0" w:after="0"/>
              <w:ind w:left="567"/>
            </w:pPr>
            <w:r w:rsidRPr="00FB0CFB">
              <w:t>69%</w:t>
            </w:r>
          </w:p>
        </w:tc>
        <w:tc>
          <w:tcPr>
            <w:tcW w:w="960" w:type="dxa"/>
            <w:noWrap/>
            <w:hideMark/>
          </w:tcPr>
          <w:p w:rsidR="00FB0CFB" w:rsidRPr="00FB0CFB" w:rsidRDefault="00FB0CFB" w:rsidP="00FB0CFB">
            <w:pPr>
              <w:spacing w:before="0" w:after="0"/>
              <w:ind w:left="567"/>
            </w:pPr>
            <w:r w:rsidRPr="00FB0CFB">
              <w:t>19%</w:t>
            </w:r>
          </w:p>
        </w:tc>
        <w:tc>
          <w:tcPr>
            <w:tcW w:w="960" w:type="dxa"/>
            <w:noWrap/>
            <w:hideMark/>
          </w:tcPr>
          <w:p w:rsidR="00FB0CFB" w:rsidRPr="00FB0CFB" w:rsidRDefault="00FB0CFB" w:rsidP="00FB0CFB">
            <w:pPr>
              <w:spacing w:before="0" w:after="0"/>
              <w:ind w:left="567"/>
            </w:pPr>
            <w:r w:rsidRPr="00FB0CFB">
              <w:t>9%</w:t>
            </w:r>
          </w:p>
        </w:tc>
        <w:tc>
          <w:tcPr>
            <w:tcW w:w="960" w:type="dxa"/>
            <w:noWrap/>
            <w:hideMark/>
          </w:tcPr>
          <w:p w:rsidR="00FB0CFB" w:rsidRPr="00FB0CFB" w:rsidRDefault="00FB0CFB" w:rsidP="00FB0CFB">
            <w:pPr>
              <w:spacing w:before="0" w:after="0"/>
              <w:ind w:left="567"/>
            </w:pPr>
            <w:r w:rsidRPr="00FB0CFB">
              <w:t>3%</w:t>
            </w:r>
          </w:p>
        </w:tc>
      </w:tr>
    </w:tbl>
    <w:p w:rsidR="002C6039" w:rsidRPr="004A1196" w:rsidRDefault="002C6039" w:rsidP="004018A9">
      <w:pPr>
        <w:pStyle w:val="Caption"/>
        <w:keepNext/>
        <w:rPr>
          <w:rFonts w:eastAsia="Calibri"/>
          <w:color w:val="0B2B43" w:themeColor="text2" w:themeShade="80"/>
        </w:rPr>
      </w:pPr>
    </w:p>
    <w:p w:rsidR="00A0496A" w:rsidRPr="004A1196" w:rsidRDefault="00A0496A" w:rsidP="00FB0CFB">
      <w:pPr>
        <w:pStyle w:val="Source"/>
        <w:spacing w:before="840"/>
        <w:rPr>
          <w:rFonts w:eastAsia="Calibri"/>
          <w:color w:val="0B2B43" w:themeColor="text2" w:themeShade="80"/>
        </w:rPr>
      </w:pPr>
      <w:r w:rsidRPr="004A1196">
        <w:rPr>
          <w:rFonts w:eastAsia="Calibri"/>
          <w:color w:val="0B2B43" w:themeColor="text2" w:themeShade="80"/>
        </w:rPr>
        <w:t>Source</w:t>
      </w:r>
      <w:r w:rsidR="000C683A">
        <w:rPr>
          <w:rFonts w:eastAsia="Calibri"/>
          <w:color w:val="0B2B43" w:themeColor="text2" w:themeShade="80"/>
        </w:rPr>
        <w:t>:</w:t>
      </w:r>
      <w:r w:rsidRPr="004A1196">
        <w:rPr>
          <w:rFonts w:eastAsia="Calibri"/>
          <w:color w:val="0B2B43" w:themeColor="text2" w:themeShade="80"/>
        </w:rPr>
        <w:t xml:space="preserve"> </w:t>
      </w:r>
      <w:proofErr w:type="spellStart"/>
      <w:r w:rsidR="00ED472C" w:rsidRPr="004A1196">
        <w:rPr>
          <w:rFonts w:eastAsia="Calibri"/>
          <w:color w:val="0B2B43" w:themeColor="text2" w:themeShade="80"/>
        </w:rPr>
        <w:t>RBG</w:t>
      </w:r>
      <w:proofErr w:type="spellEnd"/>
      <w:r w:rsidR="00ED472C" w:rsidRPr="004A1196">
        <w:rPr>
          <w:rFonts w:eastAsia="Calibri"/>
          <w:color w:val="0B2B43" w:themeColor="text2" w:themeShade="80"/>
        </w:rPr>
        <w:t xml:space="preserve"> funding records, </w:t>
      </w:r>
      <w:r w:rsidRPr="004A1196">
        <w:rPr>
          <w:rFonts w:eastAsia="Calibri"/>
          <w:color w:val="0B2B43" w:themeColor="text2" w:themeShade="80"/>
        </w:rPr>
        <w:t>Department of Education and Training</w:t>
      </w:r>
    </w:p>
    <w:p w:rsidR="002C6039" w:rsidRPr="004A1196" w:rsidRDefault="002C6039" w:rsidP="002C6039">
      <w:pPr>
        <w:spacing w:before="240" w:after="0"/>
        <w:rPr>
          <w:rFonts w:eastAsia="Calibri" w:cs="Times New Roman"/>
          <w:color w:val="0B2B43" w:themeColor="text2" w:themeShade="80"/>
        </w:rPr>
      </w:pPr>
      <w:r w:rsidRPr="004A1196">
        <w:rPr>
          <w:rFonts w:eastAsia="Calibri" w:cs="Times New Roman"/>
          <w:color w:val="0B2B43" w:themeColor="text2" w:themeShade="80"/>
        </w:rPr>
        <w:t xml:space="preserve">In this chapter, the review considers the effectiveness of </w:t>
      </w:r>
      <w:proofErr w:type="spellStart"/>
      <w:r w:rsidRPr="004A1196">
        <w:rPr>
          <w:rFonts w:eastAsia="Calibri" w:cs="Times New Roman"/>
          <w:color w:val="0B2B43" w:themeColor="text2" w:themeShade="80"/>
        </w:rPr>
        <w:t>RBG</w:t>
      </w:r>
      <w:proofErr w:type="spellEnd"/>
      <w:r w:rsidRPr="004A1196">
        <w:rPr>
          <w:rFonts w:eastAsia="Calibri" w:cs="Times New Roman"/>
          <w:color w:val="0B2B43" w:themeColor="text2" w:themeShade="80"/>
        </w:rPr>
        <w:t xml:space="preserve"> since their establishment in 2001 in achieving </w:t>
      </w:r>
      <w:r w:rsidRPr="004A1196">
        <w:rPr>
          <w:rFonts w:eastAsia="Calibri"/>
          <w:color w:val="0B2B43" w:themeColor="text2" w:themeShade="80"/>
        </w:rPr>
        <w:t>government</w:t>
      </w:r>
      <w:r w:rsidRPr="004A1196">
        <w:rPr>
          <w:rFonts w:eastAsia="Calibri" w:cs="Times New Roman"/>
          <w:color w:val="0B2B43" w:themeColor="text2" w:themeShade="80"/>
        </w:rPr>
        <w:t xml:space="preserve"> policy objectives and, consistent with its terms of reference, makes recommendations to simplify the allocation method and sharpen incentives for business and other </w:t>
      </w:r>
      <w:r w:rsidR="003904BC">
        <w:rPr>
          <w:rFonts w:eastAsia="Calibri" w:cs="Times New Roman"/>
          <w:color w:val="0B2B43" w:themeColor="text2" w:themeShade="80"/>
        </w:rPr>
        <w:t>end user</w:t>
      </w:r>
      <w:r w:rsidRPr="004A1196">
        <w:rPr>
          <w:rFonts w:eastAsia="Calibri" w:cs="Times New Roman"/>
          <w:color w:val="0B2B43" w:themeColor="text2" w:themeShade="80"/>
        </w:rPr>
        <w:t xml:space="preserve"> engagement.</w:t>
      </w:r>
    </w:p>
    <w:p w:rsidR="002C6039" w:rsidRPr="004A1196" w:rsidRDefault="002C6039" w:rsidP="002C6039">
      <w:pPr>
        <w:pStyle w:val="RIHeading2"/>
        <w:rPr>
          <w:rFonts w:eastAsia="Times New Roman"/>
          <w:color w:val="0B2B43" w:themeColor="text2" w:themeShade="80"/>
        </w:rPr>
      </w:pPr>
      <w:bookmarkStart w:id="130" w:name="_Toc436651820"/>
      <w:bookmarkStart w:id="131" w:name="_Toc436659628"/>
      <w:bookmarkStart w:id="132" w:name="_Toc436660126"/>
      <w:r w:rsidRPr="004A1196">
        <w:rPr>
          <w:rFonts w:eastAsia="Times New Roman"/>
          <w:color w:val="0B2B43" w:themeColor="text2" w:themeShade="80"/>
        </w:rPr>
        <w:t>Research Block Grants – current arrangements</w:t>
      </w:r>
      <w:bookmarkEnd w:id="130"/>
      <w:bookmarkEnd w:id="131"/>
      <w:bookmarkEnd w:id="132"/>
    </w:p>
    <w:p w:rsidR="002C6039" w:rsidRPr="004A1196" w:rsidRDefault="002C6039" w:rsidP="002C6039">
      <w:pPr>
        <w:spacing w:before="240" w:after="0"/>
        <w:rPr>
          <w:rFonts w:eastAsia="Calibri" w:cs="Calibri"/>
          <w:color w:val="0B2B43" w:themeColor="text2" w:themeShade="80"/>
          <w:lang w:eastAsia="en-GB"/>
        </w:rPr>
      </w:pPr>
      <w:r w:rsidRPr="004A1196">
        <w:rPr>
          <w:rFonts w:eastAsia="Calibri" w:cs="Calibri"/>
          <w:color w:val="0B2B43" w:themeColor="text2" w:themeShade="80"/>
          <w:lang w:eastAsia="en-GB"/>
        </w:rPr>
        <w:t xml:space="preserve">The current </w:t>
      </w:r>
      <w:proofErr w:type="spellStart"/>
      <w:r w:rsidRPr="004A1196">
        <w:rPr>
          <w:rFonts w:eastAsia="Calibri" w:cs="Calibri"/>
          <w:color w:val="0B2B43" w:themeColor="text2" w:themeShade="80"/>
          <w:lang w:eastAsia="en-GB"/>
        </w:rPr>
        <w:t>RBG</w:t>
      </w:r>
      <w:proofErr w:type="spellEnd"/>
      <w:r w:rsidRPr="004A1196">
        <w:rPr>
          <w:rFonts w:eastAsia="Calibri" w:cs="Calibri"/>
          <w:color w:val="0B2B43" w:themeColor="text2" w:themeShade="80"/>
          <w:lang w:eastAsia="en-GB"/>
        </w:rPr>
        <w:t xml:space="preserve"> arrangements include six schemes (and one sub-scheme), with funding allocations under each driven by performance based formulae. In broad terms, the schemes </w:t>
      </w:r>
      <w:proofErr w:type="gramStart"/>
      <w:r w:rsidRPr="004A1196">
        <w:rPr>
          <w:rFonts w:eastAsia="Calibri" w:cs="Calibri"/>
          <w:color w:val="0B2B43" w:themeColor="text2" w:themeShade="80"/>
          <w:lang w:eastAsia="en-GB"/>
        </w:rPr>
        <w:t>are designed</w:t>
      </w:r>
      <w:proofErr w:type="gramEnd"/>
      <w:r w:rsidRPr="004A1196">
        <w:rPr>
          <w:rFonts w:eastAsia="Calibri" w:cs="Calibri"/>
          <w:color w:val="0B2B43" w:themeColor="text2" w:themeShade="80"/>
          <w:lang w:eastAsia="en-GB"/>
        </w:rPr>
        <w:t xml:space="preserve"> to contribute to the indirect costs of conducting research and support </w:t>
      </w:r>
      <w:r w:rsidR="00A61106">
        <w:rPr>
          <w:rFonts w:eastAsia="Calibri" w:cs="Calibri"/>
          <w:color w:val="0B2B43" w:themeColor="text2" w:themeShade="80"/>
          <w:lang w:eastAsia="en-GB"/>
        </w:rPr>
        <w:t>H</w:t>
      </w:r>
      <w:r w:rsidR="00E315EE">
        <w:rPr>
          <w:rFonts w:eastAsia="Calibri" w:cs="Calibri"/>
          <w:color w:val="0B2B43" w:themeColor="text2" w:themeShade="80"/>
          <w:lang w:eastAsia="en-GB"/>
        </w:rPr>
        <w:t>igher Degree by Research (</w:t>
      </w:r>
      <w:proofErr w:type="spellStart"/>
      <w:r w:rsidR="00E315EE">
        <w:rPr>
          <w:rFonts w:eastAsia="Calibri" w:cs="Calibri"/>
          <w:color w:val="0B2B43" w:themeColor="text2" w:themeShade="80"/>
          <w:lang w:eastAsia="en-GB"/>
        </w:rPr>
        <w:t>H</w:t>
      </w:r>
      <w:r w:rsidR="00A61106">
        <w:rPr>
          <w:rFonts w:eastAsia="Calibri" w:cs="Calibri"/>
          <w:color w:val="0B2B43" w:themeColor="text2" w:themeShade="80"/>
          <w:lang w:eastAsia="en-GB"/>
        </w:rPr>
        <w:t>DR</w:t>
      </w:r>
      <w:proofErr w:type="spellEnd"/>
      <w:r w:rsidR="00E315EE">
        <w:rPr>
          <w:rFonts w:eastAsia="Calibri" w:cs="Calibri"/>
          <w:color w:val="0B2B43" w:themeColor="text2" w:themeShade="80"/>
          <w:lang w:eastAsia="en-GB"/>
        </w:rPr>
        <w:t>)</w:t>
      </w:r>
      <w:r w:rsidR="00A61106">
        <w:rPr>
          <w:rFonts w:eastAsia="Calibri" w:cs="Calibri"/>
          <w:color w:val="0B2B43" w:themeColor="text2" w:themeShade="80"/>
          <w:lang w:eastAsia="en-GB"/>
        </w:rPr>
        <w:t xml:space="preserve"> training</w:t>
      </w:r>
      <w:r w:rsidRPr="004A1196">
        <w:rPr>
          <w:rFonts w:eastAsia="Calibri" w:cs="Calibri"/>
          <w:color w:val="0B2B43" w:themeColor="text2" w:themeShade="80"/>
          <w:lang w:eastAsia="en-GB"/>
        </w:rPr>
        <w:t xml:space="preserve"> in universities. The objectives and funding drivers for each scheme are set out below.</w:t>
      </w:r>
      <w:r w:rsidRPr="004A1196">
        <w:rPr>
          <w:color w:val="0B2B43" w:themeColor="text2" w:themeShade="80"/>
        </w:rPr>
        <w:t xml:space="preserve"> </w:t>
      </w:r>
      <w:r w:rsidRPr="004A1196">
        <w:rPr>
          <w:rFonts w:eastAsia="Calibri" w:cs="Calibri"/>
          <w:color w:val="0B2B43" w:themeColor="text2" w:themeShade="80"/>
          <w:lang w:eastAsia="en-GB"/>
        </w:rPr>
        <w:t xml:space="preserve">The objectives </w:t>
      </w:r>
      <w:proofErr w:type="gramStart"/>
      <w:r w:rsidRPr="004A1196">
        <w:rPr>
          <w:rFonts w:eastAsia="Calibri" w:cs="Calibri"/>
          <w:color w:val="0B2B43" w:themeColor="text2" w:themeShade="80"/>
          <w:lang w:eastAsia="en-GB"/>
        </w:rPr>
        <w:t>are drawn</w:t>
      </w:r>
      <w:proofErr w:type="gramEnd"/>
      <w:r w:rsidRPr="004A1196">
        <w:rPr>
          <w:rFonts w:eastAsia="Calibri" w:cs="Calibri"/>
          <w:color w:val="0B2B43" w:themeColor="text2" w:themeShade="80"/>
          <w:lang w:eastAsia="en-GB"/>
        </w:rPr>
        <w:t xml:space="preserve"> from the </w:t>
      </w:r>
      <w:r w:rsidRPr="004A1196">
        <w:rPr>
          <w:rFonts w:eastAsia="Calibri" w:cs="Calibri"/>
          <w:i/>
          <w:color w:val="0B2B43" w:themeColor="text2" w:themeShade="80"/>
          <w:lang w:eastAsia="en-GB"/>
        </w:rPr>
        <w:t>Higher Education Support Act</w:t>
      </w:r>
      <w:r w:rsidRPr="004A1196">
        <w:rPr>
          <w:rFonts w:eastAsia="Calibri" w:cs="Calibri"/>
          <w:color w:val="0B2B43" w:themeColor="text2" w:themeShade="80"/>
          <w:lang w:eastAsia="en-GB"/>
        </w:rPr>
        <w:t>: Other Grants Guidelines (Research) 2012. The date refers to implementation using current funding drivers.</w:t>
      </w:r>
    </w:p>
    <w:p w:rsidR="002C6039" w:rsidRPr="00C6639A" w:rsidRDefault="002C6039" w:rsidP="00484D5B">
      <w:pPr>
        <w:pStyle w:val="RIHeading3"/>
        <w:spacing w:before="240"/>
        <w:rPr>
          <w:rFonts w:eastAsiaTheme="minorEastAsia"/>
          <w:color w:val="0B2B43" w:themeColor="text2" w:themeShade="80"/>
          <w:sz w:val="24"/>
          <w:szCs w:val="24"/>
          <w:lang w:eastAsia="en-GB"/>
        </w:rPr>
      </w:pPr>
      <w:r w:rsidRPr="00C6639A">
        <w:rPr>
          <w:rFonts w:eastAsiaTheme="minorEastAsia"/>
          <w:color w:val="0B2B43" w:themeColor="text2" w:themeShade="80"/>
          <w:sz w:val="24"/>
          <w:szCs w:val="24"/>
          <w:lang w:eastAsia="en-GB"/>
        </w:rPr>
        <w:t>Research Infrastructure Block Grant (</w:t>
      </w:r>
      <w:proofErr w:type="spellStart"/>
      <w:r w:rsidRPr="00C6639A">
        <w:rPr>
          <w:rFonts w:eastAsiaTheme="minorEastAsia"/>
          <w:color w:val="0B2B43" w:themeColor="text2" w:themeShade="80"/>
          <w:sz w:val="24"/>
          <w:szCs w:val="24"/>
          <w:lang w:eastAsia="en-GB"/>
        </w:rPr>
        <w:t>RIBG</w:t>
      </w:r>
      <w:proofErr w:type="spellEnd"/>
      <w:r w:rsidRPr="00C6639A">
        <w:rPr>
          <w:rFonts w:eastAsiaTheme="minorEastAsia"/>
          <w:color w:val="0B2B43" w:themeColor="text2" w:themeShade="80"/>
          <w:sz w:val="24"/>
          <w:szCs w:val="24"/>
          <w:lang w:eastAsia="en-GB"/>
        </w:rPr>
        <w:t>), 1995</w:t>
      </w:r>
    </w:p>
    <w:p w:rsidR="002C6039" w:rsidRPr="004A1196" w:rsidRDefault="002C6039" w:rsidP="002C6039">
      <w:pPr>
        <w:pStyle w:val="Caption"/>
        <w:rPr>
          <w:rFonts w:eastAsiaTheme="minorEastAsia"/>
          <w:b w:val="0"/>
          <w:bCs w:val="0"/>
          <w:i/>
          <w:iCs w:val="0"/>
          <w:color w:val="0B2B43" w:themeColor="text2" w:themeShade="80"/>
          <w:lang w:eastAsia="en-GB"/>
        </w:rPr>
      </w:pPr>
      <w:r w:rsidRPr="004A1196">
        <w:rPr>
          <w:rFonts w:eastAsiaTheme="minorEastAsia"/>
          <w:b w:val="0"/>
          <w:bCs w:val="0"/>
          <w:i/>
          <w:iCs w:val="0"/>
          <w:color w:val="0B2B43" w:themeColor="text2" w:themeShade="80"/>
          <w:lang w:eastAsia="en-GB"/>
        </w:rPr>
        <w:t>Objectives</w:t>
      </w:r>
    </w:p>
    <w:p w:rsidR="002C6039" w:rsidRPr="004A1196" w:rsidRDefault="002C6039" w:rsidP="006A25D1">
      <w:pPr>
        <w:pStyle w:val="ListParagraph"/>
        <w:numPr>
          <w:ilvl w:val="0"/>
          <w:numId w:val="47"/>
        </w:numPr>
        <w:ind w:left="714" w:hanging="357"/>
        <w:rPr>
          <w:color w:val="0B2B43" w:themeColor="text2" w:themeShade="80"/>
          <w:lang w:eastAsia="en-GB"/>
        </w:rPr>
      </w:pPr>
      <w:r w:rsidRPr="004A1196">
        <w:rPr>
          <w:color w:val="0B2B43" w:themeColor="text2" w:themeShade="80"/>
          <w:lang w:eastAsia="en-GB"/>
        </w:rPr>
        <w:t>remedy deficiencies in current research infrastructure</w:t>
      </w:r>
    </w:p>
    <w:p w:rsidR="002C6039" w:rsidRPr="004A1196" w:rsidRDefault="002C6039" w:rsidP="002C6039">
      <w:pPr>
        <w:pStyle w:val="ListParagraph"/>
        <w:numPr>
          <w:ilvl w:val="0"/>
          <w:numId w:val="47"/>
        </w:numPr>
        <w:rPr>
          <w:color w:val="0B2B43" w:themeColor="text2" w:themeShade="80"/>
          <w:lang w:eastAsia="en-GB"/>
        </w:rPr>
      </w:pPr>
      <w:r w:rsidRPr="004A1196">
        <w:rPr>
          <w:color w:val="0B2B43" w:themeColor="text2" w:themeShade="80"/>
          <w:lang w:eastAsia="en-GB"/>
        </w:rPr>
        <w:t xml:space="preserve">enhance support for areas of research strength </w:t>
      </w:r>
    </w:p>
    <w:p w:rsidR="002C6039" w:rsidRPr="004A1196" w:rsidRDefault="002C6039" w:rsidP="002C6039">
      <w:pPr>
        <w:pStyle w:val="ListParagraph"/>
        <w:numPr>
          <w:ilvl w:val="0"/>
          <w:numId w:val="47"/>
        </w:numPr>
        <w:rPr>
          <w:b/>
          <w:bCs/>
          <w:iCs/>
          <w:color w:val="0B2B43" w:themeColor="text2" w:themeShade="80"/>
          <w:lang w:eastAsia="en-GB"/>
        </w:rPr>
      </w:pPr>
      <w:r w:rsidRPr="004A1196">
        <w:rPr>
          <w:color w:val="0B2B43" w:themeColor="text2" w:themeShade="80"/>
          <w:lang w:eastAsia="en-GB"/>
        </w:rPr>
        <w:t>ensure that areas of recognised research potential, in which institutions have taken steps to initiate high quality research activity, have access to the support necessary for development</w:t>
      </w:r>
      <w:r w:rsidR="001B2018" w:rsidRPr="004A1196">
        <w:rPr>
          <w:color w:val="0B2B43" w:themeColor="text2" w:themeShade="80"/>
          <w:lang w:eastAsia="en-GB"/>
        </w:rPr>
        <w:t>.</w:t>
      </w:r>
    </w:p>
    <w:p w:rsidR="002C6039" w:rsidRPr="004A1196" w:rsidRDefault="002C6039" w:rsidP="002C6039">
      <w:pPr>
        <w:pStyle w:val="Caption"/>
        <w:rPr>
          <w:rFonts w:eastAsiaTheme="minorEastAsia"/>
          <w:b w:val="0"/>
          <w:bCs w:val="0"/>
          <w:iCs w:val="0"/>
          <w:color w:val="0B2B43" w:themeColor="text2" w:themeShade="80"/>
          <w:lang w:eastAsia="en-GB"/>
        </w:rPr>
      </w:pPr>
      <w:proofErr w:type="gramStart"/>
      <w:r w:rsidRPr="004A1196">
        <w:rPr>
          <w:rFonts w:eastAsiaTheme="minorEastAsia"/>
          <w:b w:val="0"/>
          <w:bCs w:val="0"/>
          <w:i/>
          <w:iCs w:val="0"/>
          <w:color w:val="0B2B43" w:themeColor="text2" w:themeShade="80"/>
          <w:lang w:eastAsia="en-GB"/>
        </w:rPr>
        <w:t>Funding driver</w:t>
      </w:r>
      <w:r w:rsidR="00A17695">
        <w:rPr>
          <w:rFonts w:eastAsiaTheme="minorEastAsia"/>
          <w:b w:val="0"/>
          <w:bCs w:val="0"/>
          <w:iCs w:val="0"/>
          <w:color w:val="0B2B43" w:themeColor="text2" w:themeShade="80"/>
          <w:lang w:eastAsia="en-GB"/>
        </w:rPr>
        <w:t>: 100 per cent</w:t>
      </w:r>
      <w:r w:rsidRPr="004A1196">
        <w:rPr>
          <w:rFonts w:eastAsiaTheme="minorEastAsia"/>
          <w:b w:val="0"/>
          <w:bCs w:val="0"/>
          <w:iCs w:val="0"/>
          <w:color w:val="0B2B43" w:themeColor="text2" w:themeShade="80"/>
          <w:lang w:eastAsia="en-GB"/>
        </w:rPr>
        <w:t xml:space="preserve"> Australian Competitive Grant (</w:t>
      </w:r>
      <w:proofErr w:type="spellStart"/>
      <w:r w:rsidRPr="004A1196">
        <w:rPr>
          <w:rFonts w:eastAsiaTheme="minorEastAsia"/>
          <w:b w:val="0"/>
          <w:bCs w:val="0"/>
          <w:iCs w:val="0"/>
          <w:color w:val="0B2B43" w:themeColor="text2" w:themeShade="80"/>
          <w:lang w:eastAsia="en-GB"/>
        </w:rPr>
        <w:t>ACG</w:t>
      </w:r>
      <w:proofErr w:type="spellEnd"/>
      <w:r w:rsidRPr="004A1196">
        <w:rPr>
          <w:rFonts w:eastAsiaTheme="minorEastAsia"/>
          <w:b w:val="0"/>
          <w:bCs w:val="0"/>
          <w:iCs w:val="0"/>
          <w:color w:val="0B2B43" w:themeColor="text2" w:themeShade="80"/>
          <w:lang w:eastAsia="en-GB"/>
        </w:rPr>
        <w:t>) income (Category 1 income</w:t>
      </w:r>
      <w:r w:rsidR="00E861A9" w:rsidRPr="004A1196">
        <w:rPr>
          <w:rFonts w:eastAsiaTheme="minorEastAsia"/>
          <w:b w:val="0"/>
          <w:bCs w:val="0"/>
          <w:iCs w:val="0"/>
          <w:color w:val="0B2B43" w:themeColor="text2" w:themeShade="80"/>
          <w:lang w:eastAsia="en-GB"/>
        </w:rPr>
        <w:t>).</w:t>
      </w:r>
      <w:proofErr w:type="gramEnd"/>
    </w:p>
    <w:p w:rsidR="002C6039" w:rsidRPr="00484D5B" w:rsidRDefault="002C6039" w:rsidP="00484D5B">
      <w:pPr>
        <w:pStyle w:val="RIHeading3"/>
        <w:spacing w:before="240"/>
        <w:rPr>
          <w:rFonts w:eastAsiaTheme="minorEastAsia"/>
          <w:sz w:val="24"/>
          <w:szCs w:val="24"/>
          <w:lang w:eastAsia="en-GB"/>
        </w:rPr>
      </w:pPr>
      <w:r w:rsidRPr="00484D5B">
        <w:rPr>
          <w:rFonts w:eastAsiaTheme="minorEastAsia"/>
          <w:sz w:val="24"/>
          <w:szCs w:val="24"/>
          <w:lang w:eastAsia="en-GB"/>
        </w:rPr>
        <w:t>Sustainable Research Excellence (</w:t>
      </w:r>
      <w:proofErr w:type="spellStart"/>
      <w:r w:rsidRPr="00484D5B">
        <w:rPr>
          <w:rFonts w:eastAsiaTheme="minorEastAsia"/>
          <w:sz w:val="24"/>
          <w:szCs w:val="24"/>
          <w:lang w:eastAsia="en-GB"/>
        </w:rPr>
        <w:t>SRE</w:t>
      </w:r>
      <w:proofErr w:type="spellEnd"/>
      <w:r w:rsidRPr="00484D5B">
        <w:rPr>
          <w:rFonts w:eastAsiaTheme="minorEastAsia"/>
          <w:sz w:val="24"/>
          <w:szCs w:val="24"/>
          <w:lang w:eastAsia="en-GB"/>
        </w:rPr>
        <w:t>), 2010</w:t>
      </w:r>
    </w:p>
    <w:p w:rsidR="002C6039" w:rsidRPr="004A1196" w:rsidRDefault="002C6039" w:rsidP="002C6039">
      <w:pPr>
        <w:pStyle w:val="Caption"/>
        <w:rPr>
          <w:rFonts w:eastAsiaTheme="minorEastAsia"/>
          <w:b w:val="0"/>
          <w:bCs w:val="0"/>
          <w:i/>
          <w:iCs w:val="0"/>
          <w:color w:val="0B2B43" w:themeColor="text2" w:themeShade="80"/>
          <w:lang w:eastAsia="en-GB"/>
        </w:rPr>
      </w:pPr>
      <w:r w:rsidRPr="004A1196">
        <w:rPr>
          <w:rFonts w:eastAsiaTheme="minorEastAsia"/>
          <w:b w:val="0"/>
          <w:bCs w:val="0"/>
          <w:i/>
          <w:iCs w:val="0"/>
          <w:color w:val="0B2B43" w:themeColor="text2" w:themeShade="80"/>
          <w:lang w:eastAsia="en-GB"/>
        </w:rPr>
        <w:t>Objectives</w:t>
      </w:r>
    </w:p>
    <w:p w:rsidR="002C6039" w:rsidRPr="004A1196" w:rsidRDefault="002C6039" w:rsidP="002C6039">
      <w:pPr>
        <w:pStyle w:val="ListParagraph"/>
        <w:numPr>
          <w:ilvl w:val="0"/>
          <w:numId w:val="48"/>
        </w:numPr>
        <w:rPr>
          <w:color w:val="0B2B43" w:themeColor="text2" w:themeShade="80"/>
          <w:lang w:eastAsia="en-GB"/>
        </w:rPr>
      </w:pPr>
      <w:r w:rsidRPr="004A1196">
        <w:rPr>
          <w:color w:val="0B2B43" w:themeColor="text2" w:themeShade="80"/>
          <w:lang w:eastAsia="en-GB"/>
        </w:rPr>
        <w:t xml:space="preserve">address an identified shortfall in the funding available to meet the indirect costs associated with </w:t>
      </w:r>
      <w:proofErr w:type="spellStart"/>
      <w:r w:rsidRPr="004A1196">
        <w:rPr>
          <w:color w:val="0B2B43" w:themeColor="text2" w:themeShade="80"/>
          <w:lang w:eastAsia="en-GB"/>
        </w:rPr>
        <w:t>A</w:t>
      </w:r>
      <w:r w:rsidR="00D27217">
        <w:rPr>
          <w:color w:val="0B2B43" w:themeColor="text2" w:themeShade="80"/>
          <w:lang w:eastAsia="en-GB"/>
        </w:rPr>
        <w:t>CG</w:t>
      </w:r>
      <w:proofErr w:type="spellEnd"/>
      <w:r w:rsidR="00D27217">
        <w:rPr>
          <w:color w:val="0B2B43" w:themeColor="text2" w:themeShade="80"/>
          <w:lang w:eastAsia="en-GB"/>
        </w:rPr>
        <w:t xml:space="preserve"> </w:t>
      </w:r>
      <w:r w:rsidRPr="004A1196">
        <w:rPr>
          <w:color w:val="0B2B43" w:themeColor="text2" w:themeShade="80"/>
          <w:lang w:eastAsia="en-GB"/>
        </w:rPr>
        <w:t>research</w:t>
      </w:r>
    </w:p>
    <w:p w:rsidR="002C6039" w:rsidRPr="004A1196" w:rsidRDefault="002C6039" w:rsidP="002C6039">
      <w:pPr>
        <w:pStyle w:val="ListParagraph"/>
        <w:numPr>
          <w:ilvl w:val="0"/>
          <w:numId w:val="48"/>
        </w:numPr>
        <w:rPr>
          <w:b/>
          <w:bCs/>
          <w:iCs/>
          <w:color w:val="0B2B43" w:themeColor="text2" w:themeShade="80"/>
          <w:lang w:eastAsia="en-GB"/>
        </w:rPr>
      </w:pPr>
      <w:proofErr w:type="gramStart"/>
      <w:r w:rsidRPr="004A1196">
        <w:rPr>
          <w:color w:val="0B2B43" w:themeColor="text2" w:themeShade="80"/>
          <w:lang w:eastAsia="en-GB"/>
        </w:rPr>
        <w:t>support</w:t>
      </w:r>
      <w:proofErr w:type="gramEnd"/>
      <w:r w:rsidRPr="004A1196">
        <w:rPr>
          <w:color w:val="0B2B43" w:themeColor="text2" w:themeShade="80"/>
          <w:lang w:eastAsia="en-GB"/>
        </w:rPr>
        <w:t xml:space="preserve"> universities to build and maintain research excellence through the implementation of best practice financial management, performance and reporting frameworks</w:t>
      </w:r>
      <w:r w:rsidR="001B2018" w:rsidRPr="004A1196">
        <w:rPr>
          <w:color w:val="0B2B43" w:themeColor="text2" w:themeShade="80"/>
          <w:lang w:eastAsia="en-GB"/>
        </w:rPr>
        <w:t>.</w:t>
      </w:r>
    </w:p>
    <w:p w:rsidR="002C6039" w:rsidRPr="004A1196" w:rsidRDefault="002C6039" w:rsidP="002C6039">
      <w:pPr>
        <w:pStyle w:val="Caption"/>
        <w:rPr>
          <w:rFonts w:eastAsiaTheme="minorEastAsia"/>
          <w:b w:val="0"/>
          <w:bCs w:val="0"/>
          <w:iCs w:val="0"/>
          <w:color w:val="0B2B43" w:themeColor="text2" w:themeShade="80"/>
          <w:lang w:eastAsia="en-GB"/>
        </w:rPr>
      </w:pPr>
      <w:proofErr w:type="gramStart"/>
      <w:r w:rsidRPr="004A1196">
        <w:rPr>
          <w:rFonts w:eastAsiaTheme="minorEastAsia"/>
          <w:b w:val="0"/>
          <w:bCs w:val="0"/>
          <w:i/>
          <w:iCs w:val="0"/>
          <w:color w:val="0B2B43" w:themeColor="text2" w:themeShade="80"/>
          <w:lang w:eastAsia="en-GB"/>
        </w:rPr>
        <w:t>Funding driver</w:t>
      </w:r>
      <w:r w:rsidRPr="004A1196">
        <w:rPr>
          <w:rFonts w:eastAsiaTheme="minorEastAsia"/>
          <w:b w:val="0"/>
          <w:bCs w:val="0"/>
          <w:iCs w:val="0"/>
          <w:color w:val="0B2B43" w:themeColor="text2" w:themeShade="80"/>
          <w:lang w:eastAsia="en-GB"/>
        </w:rPr>
        <w:t>: 100</w:t>
      </w:r>
      <w:r w:rsidR="00A17695">
        <w:rPr>
          <w:rFonts w:eastAsiaTheme="minorEastAsia"/>
          <w:b w:val="0"/>
          <w:bCs w:val="0"/>
          <w:iCs w:val="0"/>
          <w:color w:val="0B2B43" w:themeColor="text2" w:themeShade="80"/>
          <w:lang w:eastAsia="en-GB"/>
        </w:rPr>
        <w:t xml:space="preserve"> per cent</w:t>
      </w:r>
      <w:r w:rsidRPr="004A1196">
        <w:rPr>
          <w:rFonts w:eastAsiaTheme="minorEastAsia"/>
          <w:b w:val="0"/>
          <w:bCs w:val="0"/>
          <w:iCs w:val="0"/>
          <w:color w:val="0B2B43" w:themeColor="text2" w:themeShade="80"/>
          <w:lang w:eastAsia="en-GB"/>
        </w:rPr>
        <w:t xml:space="preserve"> </w:t>
      </w:r>
      <w:proofErr w:type="spellStart"/>
      <w:r w:rsidRPr="004A1196">
        <w:rPr>
          <w:rFonts w:eastAsiaTheme="minorEastAsia"/>
          <w:b w:val="0"/>
          <w:bCs w:val="0"/>
          <w:iCs w:val="0"/>
          <w:color w:val="0B2B43" w:themeColor="text2" w:themeShade="80"/>
          <w:lang w:eastAsia="en-GB"/>
        </w:rPr>
        <w:t>ACG</w:t>
      </w:r>
      <w:proofErr w:type="spellEnd"/>
      <w:r w:rsidRPr="004A1196">
        <w:rPr>
          <w:rFonts w:eastAsiaTheme="minorEastAsia"/>
          <w:b w:val="0"/>
          <w:bCs w:val="0"/>
          <w:iCs w:val="0"/>
          <w:color w:val="0B2B43" w:themeColor="text2" w:themeShade="80"/>
          <w:lang w:eastAsia="en-GB"/>
        </w:rPr>
        <w:t xml:space="preserve"> income (Category 1 income).</w:t>
      </w:r>
      <w:proofErr w:type="gramEnd"/>
      <w:r w:rsidRPr="004A1196">
        <w:rPr>
          <w:rFonts w:eastAsiaTheme="minorEastAsia"/>
          <w:b w:val="0"/>
          <w:bCs w:val="0"/>
          <w:iCs w:val="0"/>
          <w:color w:val="0B2B43" w:themeColor="text2" w:themeShade="80"/>
          <w:lang w:eastAsia="en-GB"/>
        </w:rPr>
        <w:t xml:space="preserve"> Note: E</w:t>
      </w:r>
      <w:r w:rsidR="00D27217">
        <w:rPr>
          <w:rFonts w:eastAsiaTheme="minorEastAsia"/>
          <w:b w:val="0"/>
          <w:bCs w:val="0"/>
          <w:iCs w:val="0"/>
          <w:color w:val="0B2B43" w:themeColor="text2" w:themeShade="80"/>
          <w:lang w:eastAsia="en-GB"/>
        </w:rPr>
        <w:t xml:space="preserve">xcellence in </w:t>
      </w:r>
      <w:r w:rsidRPr="004A1196">
        <w:rPr>
          <w:rFonts w:eastAsiaTheme="minorEastAsia"/>
          <w:b w:val="0"/>
          <w:bCs w:val="0"/>
          <w:iCs w:val="0"/>
          <w:color w:val="0B2B43" w:themeColor="text2" w:themeShade="80"/>
          <w:lang w:eastAsia="en-GB"/>
        </w:rPr>
        <w:t>R</w:t>
      </w:r>
      <w:r w:rsidR="00D27217">
        <w:rPr>
          <w:rFonts w:eastAsiaTheme="minorEastAsia"/>
          <w:b w:val="0"/>
          <w:bCs w:val="0"/>
          <w:iCs w:val="0"/>
          <w:color w:val="0B2B43" w:themeColor="text2" w:themeShade="80"/>
          <w:lang w:eastAsia="en-GB"/>
        </w:rPr>
        <w:t xml:space="preserve">esearch for </w:t>
      </w:r>
      <w:r w:rsidRPr="004A1196">
        <w:rPr>
          <w:rFonts w:eastAsiaTheme="minorEastAsia"/>
          <w:b w:val="0"/>
          <w:bCs w:val="0"/>
          <w:iCs w:val="0"/>
          <w:color w:val="0B2B43" w:themeColor="text2" w:themeShade="80"/>
          <w:lang w:eastAsia="en-GB"/>
        </w:rPr>
        <w:t>A</w:t>
      </w:r>
      <w:r w:rsidR="00D27217">
        <w:rPr>
          <w:rFonts w:eastAsiaTheme="minorEastAsia"/>
          <w:b w:val="0"/>
          <w:bCs w:val="0"/>
          <w:iCs w:val="0"/>
          <w:color w:val="0B2B43" w:themeColor="text2" w:themeShade="80"/>
          <w:lang w:eastAsia="en-GB"/>
        </w:rPr>
        <w:t>ustralia (ERA)</w:t>
      </w:r>
      <w:r w:rsidRPr="004A1196">
        <w:rPr>
          <w:rFonts w:eastAsiaTheme="minorEastAsia"/>
          <w:b w:val="0"/>
          <w:bCs w:val="0"/>
          <w:iCs w:val="0"/>
          <w:color w:val="0B2B43" w:themeColor="text2" w:themeShade="80"/>
          <w:lang w:eastAsia="en-GB"/>
        </w:rPr>
        <w:t xml:space="preserve"> results and data from the transparent costing exercise </w:t>
      </w:r>
      <w:proofErr w:type="gramStart"/>
      <w:r w:rsidRPr="004A1196">
        <w:rPr>
          <w:rFonts w:eastAsiaTheme="minorEastAsia"/>
          <w:b w:val="0"/>
          <w:bCs w:val="0"/>
          <w:iCs w:val="0"/>
          <w:color w:val="0B2B43" w:themeColor="text2" w:themeShade="80"/>
          <w:lang w:eastAsia="en-GB"/>
        </w:rPr>
        <w:t>are used</w:t>
      </w:r>
      <w:proofErr w:type="gramEnd"/>
      <w:r w:rsidRPr="004A1196">
        <w:rPr>
          <w:rFonts w:eastAsiaTheme="minorEastAsia"/>
          <w:b w:val="0"/>
          <w:bCs w:val="0"/>
          <w:iCs w:val="0"/>
          <w:color w:val="0B2B43" w:themeColor="text2" w:themeShade="80"/>
          <w:lang w:eastAsia="en-GB"/>
        </w:rPr>
        <w:t xml:space="preserve"> as moderators and make modest adjustments to initial funding allocations.</w:t>
      </w:r>
    </w:p>
    <w:p w:rsidR="002C6039" w:rsidRPr="00484D5B" w:rsidRDefault="002C6039" w:rsidP="00484D5B">
      <w:pPr>
        <w:pStyle w:val="RIHeading3"/>
        <w:spacing w:before="240"/>
        <w:rPr>
          <w:rFonts w:eastAsiaTheme="minorEastAsia"/>
          <w:sz w:val="24"/>
          <w:szCs w:val="24"/>
          <w:lang w:eastAsia="en-GB"/>
        </w:rPr>
      </w:pPr>
      <w:r w:rsidRPr="00484D5B">
        <w:rPr>
          <w:rFonts w:eastAsiaTheme="minorEastAsia"/>
          <w:sz w:val="24"/>
          <w:szCs w:val="24"/>
          <w:lang w:eastAsia="en-GB"/>
        </w:rPr>
        <w:t>Joint Research Engagement (</w:t>
      </w:r>
      <w:proofErr w:type="spellStart"/>
      <w:r w:rsidRPr="00484D5B">
        <w:rPr>
          <w:rFonts w:eastAsiaTheme="minorEastAsia"/>
          <w:sz w:val="24"/>
          <w:szCs w:val="24"/>
          <w:lang w:eastAsia="en-GB"/>
        </w:rPr>
        <w:t>JRE</w:t>
      </w:r>
      <w:proofErr w:type="spellEnd"/>
      <w:r w:rsidRPr="00484D5B">
        <w:rPr>
          <w:rFonts w:eastAsiaTheme="minorEastAsia"/>
          <w:sz w:val="24"/>
          <w:szCs w:val="24"/>
          <w:lang w:eastAsia="en-GB"/>
        </w:rPr>
        <w:t>), 2010</w:t>
      </w:r>
    </w:p>
    <w:p w:rsidR="002C6039" w:rsidRPr="004A1196" w:rsidRDefault="002C6039" w:rsidP="002C6039">
      <w:pPr>
        <w:pStyle w:val="Caption"/>
        <w:rPr>
          <w:rFonts w:eastAsiaTheme="minorEastAsia"/>
          <w:b w:val="0"/>
          <w:bCs w:val="0"/>
          <w:i/>
          <w:iCs w:val="0"/>
          <w:color w:val="0B2B43" w:themeColor="text2" w:themeShade="80"/>
          <w:lang w:eastAsia="en-GB"/>
        </w:rPr>
      </w:pPr>
      <w:r w:rsidRPr="004A1196">
        <w:rPr>
          <w:rFonts w:eastAsiaTheme="minorEastAsia"/>
          <w:b w:val="0"/>
          <w:bCs w:val="0"/>
          <w:i/>
          <w:iCs w:val="0"/>
          <w:color w:val="0B2B43" w:themeColor="text2" w:themeShade="80"/>
          <w:lang w:eastAsia="en-GB"/>
        </w:rPr>
        <w:t>Objectives</w:t>
      </w:r>
    </w:p>
    <w:p w:rsidR="002C6039" w:rsidRPr="004A1196" w:rsidRDefault="002C6039" w:rsidP="002C6039">
      <w:pPr>
        <w:pStyle w:val="ListParagraph"/>
        <w:numPr>
          <w:ilvl w:val="0"/>
          <w:numId w:val="49"/>
        </w:numPr>
        <w:rPr>
          <w:color w:val="0B2B43" w:themeColor="text2" w:themeShade="80"/>
          <w:lang w:eastAsia="en-GB"/>
        </w:rPr>
      </w:pPr>
      <w:r w:rsidRPr="004A1196">
        <w:rPr>
          <w:color w:val="0B2B43" w:themeColor="text2" w:themeShade="80"/>
          <w:lang w:eastAsia="en-GB"/>
        </w:rPr>
        <w:t>continue to support soft infrastructure</w:t>
      </w:r>
    </w:p>
    <w:p w:rsidR="002C6039" w:rsidRPr="004A1196" w:rsidRDefault="002C6039" w:rsidP="002C6039">
      <w:pPr>
        <w:pStyle w:val="ListParagraph"/>
        <w:numPr>
          <w:ilvl w:val="0"/>
          <w:numId w:val="49"/>
        </w:numPr>
        <w:rPr>
          <w:color w:val="0B2B43" w:themeColor="text2" w:themeShade="80"/>
          <w:lang w:eastAsia="en-GB"/>
        </w:rPr>
      </w:pPr>
      <w:r w:rsidRPr="004A1196">
        <w:rPr>
          <w:color w:val="0B2B43" w:themeColor="text2" w:themeShade="80"/>
          <w:lang w:eastAsia="en-GB"/>
        </w:rPr>
        <w:t>continue to support the maintenance of capital items (not capital purchases)</w:t>
      </w:r>
    </w:p>
    <w:p w:rsidR="002C6039" w:rsidRPr="004A1196" w:rsidRDefault="002C6039" w:rsidP="002C6039">
      <w:pPr>
        <w:pStyle w:val="ListParagraph"/>
        <w:numPr>
          <w:ilvl w:val="0"/>
          <w:numId w:val="49"/>
        </w:numPr>
        <w:rPr>
          <w:b/>
          <w:bCs/>
          <w:iCs/>
          <w:color w:val="0B2B43" w:themeColor="text2" w:themeShade="80"/>
          <w:lang w:eastAsia="en-GB"/>
        </w:rPr>
      </w:pPr>
      <w:proofErr w:type="gramStart"/>
      <w:r w:rsidRPr="004A1196">
        <w:rPr>
          <w:color w:val="0B2B43" w:themeColor="text2" w:themeShade="80"/>
          <w:lang w:eastAsia="en-GB"/>
        </w:rPr>
        <w:t>change</w:t>
      </w:r>
      <w:proofErr w:type="gramEnd"/>
      <w:r w:rsidRPr="004A1196">
        <w:rPr>
          <w:color w:val="0B2B43" w:themeColor="text2" w:themeShade="80"/>
          <w:lang w:eastAsia="en-GB"/>
        </w:rPr>
        <w:t xml:space="preserve"> the way that the level of funding for each university is calculated</w:t>
      </w:r>
      <w:r w:rsidR="001B2018" w:rsidRPr="004A1196">
        <w:rPr>
          <w:color w:val="0B2B43" w:themeColor="text2" w:themeShade="80"/>
          <w:lang w:eastAsia="en-GB"/>
        </w:rPr>
        <w:t>.</w:t>
      </w:r>
    </w:p>
    <w:p w:rsidR="002C6039" w:rsidRPr="004A1196" w:rsidRDefault="002C6039" w:rsidP="002C6039">
      <w:pPr>
        <w:rPr>
          <w:i/>
          <w:color w:val="0B2B43" w:themeColor="text2" w:themeShade="80"/>
          <w:lang w:eastAsia="en-GB"/>
        </w:rPr>
      </w:pPr>
      <w:r w:rsidRPr="004A1196">
        <w:rPr>
          <w:i/>
          <w:color w:val="0B2B43" w:themeColor="text2" w:themeShade="80"/>
          <w:lang w:eastAsia="en-GB"/>
        </w:rPr>
        <w:t>Funding drivers</w:t>
      </w:r>
    </w:p>
    <w:p w:rsidR="002C6039" w:rsidRPr="004A1196" w:rsidRDefault="00A17695" w:rsidP="002C6039">
      <w:pPr>
        <w:pStyle w:val="ListParagraph"/>
        <w:numPr>
          <w:ilvl w:val="0"/>
          <w:numId w:val="50"/>
        </w:numPr>
        <w:rPr>
          <w:color w:val="0B2B43" w:themeColor="text2" w:themeShade="80"/>
          <w:lang w:eastAsia="en-GB"/>
        </w:rPr>
      </w:pPr>
      <w:r>
        <w:rPr>
          <w:color w:val="0B2B43" w:themeColor="text2" w:themeShade="80"/>
          <w:lang w:eastAsia="en-GB"/>
        </w:rPr>
        <w:t>60 per cent</w:t>
      </w:r>
      <w:r w:rsidR="002C6039" w:rsidRPr="004A1196">
        <w:rPr>
          <w:color w:val="0B2B43" w:themeColor="text2" w:themeShade="80"/>
          <w:lang w:eastAsia="en-GB"/>
        </w:rPr>
        <w:t xml:space="preserve"> research income from Categories 2,</w:t>
      </w:r>
      <w:r w:rsidR="002536AB">
        <w:rPr>
          <w:color w:val="0B2B43" w:themeColor="text2" w:themeShade="80"/>
          <w:lang w:eastAsia="en-GB"/>
        </w:rPr>
        <w:t xml:space="preserve"> </w:t>
      </w:r>
      <w:r w:rsidR="002C6039" w:rsidRPr="004A1196">
        <w:rPr>
          <w:color w:val="0B2B43" w:themeColor="text2" w:themeShade="80"/>
          <w:lang w:eastAsia="en-GB"/>
        </w:rPr>
        <w:t xml:space="preserve">3 and 4 which represent income from the public sector other than </w:t>
      </w:r>
      <w:proofErr w:type="spellStart"/>
      <w:r w:rsidR="002C6039" w:rsidRPr="004A1196">
        <w:rPr>
          <w:color w:val="0B2B43" w:themeColor="text2" w:themeShade="80"/>
          <w:lang w:eastAsia="en-GB"/>
        </w:rPr>
        <w:t>ACG</w:t>
      </w:r>
      <w:proofErr w:type="spellEnd"/>
      <w:r w:rsidR="002C6039" w:rsidRPr="004A1196">
        <w:rPr>
          <w:color w:val="0B2B43" w:themeColor="text2" w:themeShade="80"/>
          <w:lang w:eastAsia="en-GB"/>
        </w:rPr>
        <w:t xml:space="preserve"> income, industry and Cooperative Research Centres</w:t>
      </w:r>
    </w:p>
    <w:p w:rsidR="002C6039" w:rsidRPr="004A1196" w:rsidRDefault="00A17695" w:rsidP="002C6039">
      <w:pPr>
        <w:pStyle w:val="ListParagraph"/>
        <w:numPr>
          <w:ilvl w:val="0"/>
          <w:numId w:val="50"/>
        </w:numPr>
        <w:rPr>
          <w:color w:val="0B2B43" w:themeColor="text2" w:themeShade="80"/>
          <w:lang w:eastAsia="en-GB"/>
        </w:rPr>
      </w:pPr>
      <w:r>
        <w:rPr>
          <w:color w:val="0B2B43" w:themeColor="text2" w:themeShade="80"/>
          <w:lang w:eastAsia="en-GB"/>
        </w:rPr>
        <w:t>10 per cent</w:t>
      </w:r>
      <w:r w:rsidR="002C6039" w:rsidRPr="004A1196">
        <w:rPr>
          <w:color w:val="0B2B43" w:themeColor="text2" w:themeShade="80"/>
          <w:lang w:eastAsia="en-GB"/>
        </w:rPr>
        <w:t xml:space="preserve"> publications</w:t>
      </w:r>
    </w:p>
    <w:p w:rsidR="002C6039" w:rsidRPr="004A1196" w:rsidRDefault="00A17695" w:rsidP="002C6039">
      <w:pPr>
        <w:pStyle w:val="ListParagraph"/>
        <w:numPr>
          <w:ilvl w:val="0"/>
          <w:numId w:val="50"/>
        </w:numPr>
        <w:rPr>
          <w:color w:val="0B2B43" w:themeColor="text2" w:themeShade="80"/>
          <w:lang w:eastAsia="en-GB"/>
        </w:rPr>
      </w:pPr>
      <w:proofErr w:type="gramStart"/>
      <w:r>
        <w:rPr>
          <w:color w:val="0B2B43" w:themeColor="text2" w:themeShade="80"/>
          <w:lang w:eastAsia="en-GB"/>
        </w:rPr>
        <w:t>30 per cent</w:t>
      </w:r>
      <w:proofErr w:type="gramEnd"/>
      <w:r w:rsidR="001B2018" w:rsidRPr="004A1196">
        <w:rPr>
          <w:color w:val="0B2B43" w:themeColor="text2" w:themeShade="80"/>
          <w:lang w:eastAsia="en-GB"/>
        </w:rPr>
        <w:t xml:space="preserve"> student load.</w:t>
      </w:r>
    </w:p>
    <w:p w:rsidR="002C6039" w:rsidRPr="00484D5B" w:rsidRDefault="002C6039" w:rsidP="00484D5B">
      <w:pPr>
        <w:pStyle w:val="RIHeading3"/>
        <w:spacing w:before="240"/>
        <w:rPr>
          <w:rFonts w:eastAsiaTheme="minorEastAsia"/>
          <w:sz w:val="24"/>
          <w:szCs w:val="24"/>
          <w:lang w:eastAsia="en-GB"/>
        </w:rPr>
      </w:pPr>
      <w:r w:rsidRPr="00484D5B">
        <w:rPr>
          <w:rFonts w:eastAsiaTheme="minorEastAsia"/>
          <w:sz w:val="24"/>
          <w:szCs w:val="24"/>
          <w:lang w:eastAsia="en-GB"/>
        </w:rPr>
        <w:t xml:space="preserve">Sub-scheme: </w:t>
      </w:r>
      <w:proofErr w:type="spellStart"/>
      <w:r w:rsidRPr="00484D5B">
        <w:rPr>
          <w:rFonts w:eastAsiaTheme="minorEastAsia"/>
          <w:sz w:val="24"/>
          <w:szCs w:val="24"/>
          <w:lang w:eastAsia="en-GB"/>
        </w:rPr>
        <w:t>JRE</w:t>
      </w:r>
      <w:proofErr w:type="spellEnd"/>
      <w:r w:rsidRPr="00484D5B">
        <w:rPr>
          <w:rFonts w:eastAsiaTheme="minorEastAsia"/>
          <w:sz w:val="24"/>
          <w:szCs w:val="24"/>
          <w:lang w:eastAsia="en-GB"/>
        </w:rPr>
        <w:t xml:space="preserve"> Grant – Engineering Cadetships</w:t>
      </w:r>
      <w:r w:rsidRPr="00484D5B">
        <w:rPr>
          <w:rFonts w:eastAsiaTheme="minorEastAsia"/>
          <w:sz w:val="24"/>
          <w:szCs w:val="24"/>
          <w:lang w:eastAsia="en-GB"/>
        </w:rPr>
        <w:tab/>
      </w:r>
    </w:p>
    <w:p w:rsidR="002C6039" w:rsidRPr="004A1196" w:rsidRDefault="002C6039" w:rsidP="002C6039">
      <w:pPr>
        <w:pStyle w:val="Caption"/>
        <w:keepNext/>
        <w:rPr>
          <w:rFonts w:eastAsiaTheme="minorEastAsia"/>
          <w:b w:val="0"/>
          <w:bCs w:val="0"/>
          <w:iCs w:val="0"/>
          <w:color w:val="0B2B43" w:themeColor="text2" w:themeShade="80"/>
          <w:lang w:eastAsia="en-GB"/>
        </w:rPr>
      </w:pPr>
      <w:r w:rsidRPr="004A1196">
        <w:rPr>
          <w:rFonts w:eastAsiaTheme="minorEastAsia"/>
          <w:b w:val="0"/>
          <w:bCs w:val="0"/>
          <w:i/>
          <w:iCs w:val="0"/>
          <w:color w:val="0B2B43" w:themeColor="text2" w:themeShade="80"/>
          <w:lang w:eastAsia="en-GB"/>
        </w:rPr>
        <w:t>Objective</w:t>
      </w:r>
      <w:r w:rsidRPr="004A1196">
        <w:rPr>
          <w:rFonts w:eastAsiaTheme="minorEastAsia"/>
          <w:b w:val="0"/>
          <w:bCs w:val="0"/>
          <w:iCs w:val="0"/>
          <w:color w:val="0B2B43" w:themeColor="text2" w:themeShade="80"/>
          <w:lang w:eastAsia="en-GB"/>
        </w:rPr>
        <w:t>: Encourage research students in engineering or science to undertake employment with a business concurrentl</w:t>
      </w:r>
      <w:r w:rsidR="001B2018" w:rsidRPr="004A1196">
        <w:rPr>
          <w:rFonts w:eastAsiaTheme="minorEastAsia"/>
          <w:b w:val="0"/>
          <w:bCs w:val="0"/>
          <w:iCs w:val="0"/>
          <w:color w:val="0B2B43" w:themeColor="text2" w:themeShade="80"/>
          <w:lang w:eastAsia="en-GB"/>
        </w:rPr>
        <w:t xml:space="preserve">y with PhD or research </w:t>
      </w:r>
      <w:r w:rsidR="00B11B51">
        <w:rPr>
          <w:rFonts w:eastAsiaTheme="minorEastAsia"/>
          <w:b w:val="0"/>
          <w:bCs w:val="0"/>
          <w:iCs w:val="0"/>
          <w:color w:val="0B2B43" w:themeColor="text2" w:themeShade="80"/>
          <w:lang w:eastAsia="en-GB"/>
        </w:rPr>
        <w:t>M</w:t>
      </w:r>
      <w:r w:rsidR="001B2018" w:rsidRPr="004A1196">
        <w:rPr>
          <w:rFonts w:eastAsiaTheme="minorEastAsia"/>
          <w:b w:val="0"/>
          <w:bCs w:val="0"/>
          <w:iCs w:val="0"/>
          <w:color w:val="0B2B43" w:themeColor="text2" w:themeShade="80"/>
          <w:lang w:eastAsia="en-GB"/>
        </w:rPr>
        <w:t>asters.</w:t>
      </w:r>
    </w:p>
    <w:p w:rsidR="002C6039" w:rsidRPr="00484D5B" w:rsidRDefault="002C6039" w:rsidP="00484D5B">
      <w:pPr>
        <w:pStyle w:val="RIHeading3"/>
        <w:spacing w:before="240"/>
        <w:rPr>
          <w:rFonts w:eastAsiaTheme="minorEastAsia"/>
          <w:sz w:val="24"/>
          <w:szCs w:val="24"/>
          <w:lang w:eastAsia="en-GB"/>
        </w:rPr>
      </w:pPr>
      <w:r w:rsidRPr="00484D5B">
        <w:rPr>
          <w:rFonts w:eastAsiaTheme="minorEastAsia"/>
          <w:sz w:val="24"/>
          <w:szCs w:val="24"/>
          <w:lang w:eastAsia="en-GB"/>
        </w:rPr>
        <w:t>Research Training Scheme (</w:t>
      </w:r>
      <w:proofErr w:type="spellStart"/>
      <w:r w:rsidRPr="00484D5B">
        <w:rPr>
          <w:rFonts w:eastAsiaTheme="minorEastAsia"/>
          <w:sz w:val="24"/>
          <w:szCs w:val="24"/>
          <w:lang w:eastAsia="en-GB"/>
        </w:rPr>
        <w:t>RTS</w:t>
      </w:r>
      <w:proofErr w:type="spellEnd"/>
      <w:r w:rsidRPr="00484D5B">
        <w:rPr>
          <w:rFonts w:eastAsiaTheme="minorEastAsia"/>
          <w:sz w:val="24"/>
          <w:szCs w:val="24"/>
          <w:lang w:eastAsia="en-GB"/>
        </w:rPr>
        <w:t>), 2002</w:t>
      </w:r>
    </w:p>
    <w:p w:rsidR="002C6039" w:rsidRPr="004A1196" w:rsidRDefault="002C6039" w:rsidP="002C6039">
      <w:pPr>
        <w:pStyle w:val="Caption"/>
        <w:rPr>
          <w:rFonts w:eastAsiaTheme="minorEastAsia"/>
          <w:b w:val="0"/>
          <w:bCs w:val="0"/>
          <w:i/>
          <w:iCs w:val="0"/>
          <w:color w:val="0B2B43" w:themeColor="text2" w:themeShade="80"/>
          <w:lang w:eastAsia="en-GB"/>
        </w:rPr>
      </w:pPr>
      <w:r w:rsidRPr="004A1196">
        <w:rPr>
          <w:rFonts w:eastAsiaTheme="minorEastAsia"/>
          <w:b w:val="0"/>
          <w:bCs w:val="0"/>
          <w:i/>
          <w:iCs w:val="0"/>
          <w:color w:val="0B2B43" w:themeColor="text2" w:themeShade="80"/>
          <w:lang w:eastAsia="en-GB"/>
        </w:rPr>
        <w:t>Objectives</w:t>
      </w:r>
    </w:p>
    <w:p w:rsidR="002C6039" w:rsidRPr="004A1196" w:rsidRDefault="002C6039" w:rsidP="002C6039">
      <w:pPr>
        <w:pStyle w:val="ListParagraph"/>
        <w:numPr>
          <w:ilvl w:val="0"/>
          <w:numId w:val="51"/>
        </w:numPr>
        <w:rPr>
          <w:color w:val="0B2B43" w:themeColor="text2" w:themeShade="80"/>
          <w:lang w:eastAsia="en-GB"/>
        </w:rPr>
      </w:pPr>
      <w:r w:rsidRPr="004A1196">
        <w:rPr>
          <w:color w:val="0B2B43" w:themeColor="text2" w:themeShade="80"/>
          <w:lang w:eastAsia="en-GB"/>
        </w:rPr>
        <w:t>enhance the quality of research training provision in Australia</w:t>
      </w:r>
    </w:p>
    <w:p w:rsidR="002C6039" w:rsidRPr="004A1196" w:rsidRDefault="002C6039" w:rsidP="002C6039">
      <w:pPr>
        <w:pStyle w:val="ListParagraph"/>
        <w:numPr>
          <w:ilvl w:val="0"/>
          <w:numId w:val="51"/>
        </w:numPr>
        <w:rPr>
          <w:color w:val="0B2B43" w:themeColor="text2" w:themeShade="80"/>
          <w:lang w:eastAsia="en-GB"/>
        </w:rPr>
      </w:pPr>
      <w:r w:rsidRPr="004A1196">
        <w:rPr>
          <w:color w:val="0B2B43" w:themeColor="text2" w:themeShade="80"/>
          <w:lang w:eastAsia="en-GB"/>
        </w:rPr>
        <w:t>improve the responsiveness of higher education institutions to the needs of their research students</w:t>
      </w:r>
    </w:p>
    <w:p w:rsidR="002C6039" w:rsidRPr="004A1196" w:rsidRDefault="002C6039" w:rsidP="002C6039">
      <w:pPr>
        <w:pStyle w:val="ListParagraph"/>
        <w:numPr>
          <w:ilvl w:val="0"/>
          <w:numId w:val="51"/>
        </w:numPr>
        <w:rPr>
          <w:color w:val="0B2B43" w:themeColor="text2" w:themeShade="80"/>
          <w:lang w:eastAsia="en-GB"/>
        </w:rPr>
      </w:pPr>
      <w:r w:rsidRPr="004A1196">
        <w:rPr>
          <w:color w:val="0B2B43" w:themeColor="text2" w:themeShade="80"/>
          <w:lang w:eastAsia="en-GB"/>
        </w:rPr>
        <w:t>encourage institutions to develop their own research training profiles</w:t>
      </w:r>
    </w:p>
    <w:p w:rsidR="002C6039" w:rsidRPr="004A1196" w:rsidRDefault="002C6039" w:rsidP="002C6039">
      <w:pPr>
        <w:pStyle w:val="ListParagraph"/>
        <w:numPr>
          <w:ilvl w:val="0"/>
          <w:numId w:val="51"/>
        </w:numPr>
        <w:rPr>
          <w:color w:val="0B2B43" w:themeColor="text2" w:themeShade="80"/>
          <w:lang w:eastAsia="en-GB"/>
        </w:rPr>
      </w:pPr>
      <w:r w:rsidRPr="004A1196">
        <w:rPr>
          <w:color w:val="0B2B43" w:themeColor="text2" w:themeShade="80"/>
          <w:lang w:eastAsia="en-GB"/>
        </w:rPr>
        <w:t>ensure the relevance of research degree programmes to labour market requirements</w:t>
      </w:r>
    </w:p>
    <w:p w:rsidR="002C6039" w:rsidRPr="004A1196" w:rsidRDefault="002C6039" w:rsidP="002C6039">
      <w:pPr>
        <w:pStyle w:val="ListParagraph"/>
        <w:numPr>
          <w:ilvl w:val="0"/>
          <w:numId w:val="51"/>
        </w:numPr>
        <w:rPr>
          <w:b/>
          <w:bCs/>
          <w:iCs/>
          <w:color w:val="0B2B43" w:themeColor="text2" w:themeShade="80"/>
          <w:lang w:eastAsia="en-GB"/>
        </w:rPr>
      </w:pPr>
      <w:proofErr w:type="gramStart"/>
      <w:r w:rsidRPr="004A1196">
        <w:rPr>
          <w:color w:val="0B2B43" w:themeColor="text2" w:themeShade="80"/>
          <w:lang w:eastAsia="en-GB"/>
        </w:rPr>
        <w:t>improve</w:t>
      </w:r>
      <w:proofErr w:type="gramEnd"/>
      <w:r w:rsidRPr="004A1196">
        <w:rPr>
          <w:color w:val="0B2B43" w:themeColor="text2" w:themeShade="80"/>
          <w:lang w:eastAsia="en-GB"/>
        </w:rPr>
        <w:t xml:space="preserve"> the efficiency and effectiveness of research training</w:t>
      </w:r>
      <w:r w:rsidR="00BE6EE1" w:rsidRPr="004A1196">
        <w:rPr>
          <w:color w:val="0B2B43" w:themeColor="text2" w:themeShade="80"/>
          <w:lang w:eastAsia="en-GB"/>
        </w:rPr>
        <w:t>.</w:t>
      </w:r>
    </w:p>
    <w:p w:rsidR="002C6039" w:rsidRPr="004A1196" w:rsidRDefault="002C6039" w:rsidP="002C6039">
      <w:pPr>
        <w:pStyle w:val="Caption"/>
        <w:rPr>
          <w:rFonts w:eastAsiaTheme="minorEastAsia"/>
          <w:b w:val="0"/>
          <w:bCs w:val="0"/>
          <w:i/>
          <w:iCs w:val="0"/>
          <w:color w:val="0B2B43" w:themeColor="text2" w:themeShade="80"/>
          <w:lang w:eastAsia="en-GB"/>
        </w:rPr>
      </w:pPr>
      <w:r w:rsidRPr="004A1196">
        <w:rPr>
          <w:rFonts w:eastAsiaTheme="minorEastAsia"/>
          <w:b w:val="0"/>
          <w:bCs w:val="0"/>
          <w:i/>
          <w:iCs w:val="0"/>
          <w:color w:val="0B2B43" w:themeColor="text2" w:themeShade="80"/>
          <w:lang w:eastAsia="en-GB"/>
        </w:rPr>
        <w:t>Funding drivers</w:t>
      </w:r>
    </w:p>
    <w:p w:rsidR="002C6039" w:rsidRPr="004A1196" w:rsidRDefault="00A17695" w:rsidP="002C6039">
      <w:pPr>
        <w:pStyle w:val="ListParagraph"/>
        <w:numPr>
          <w:ilvl w:val="0"/>
          <w:numId w:val="52"/>
        </w:numPr>
        <w:rPr>
          <w:color w:val="0B2B43" w:themeColor="text2" w:themeShade="80"/>
          <w:lang w:eastAsia="en-GB"/>
        </w:rPr>
      </w:pPr>
      <w:r>
        <w:rPr>
          <w:color w:val="0B2B43" w:themeColor="text2" w:themeShade="80"/>
          <w:lang w:eastAsia="en-GB"/>
        </w:rPr>
        <w:t>40 per cent</w:t>
      </w:r>
      <w:r w:rsidR="002C6039" w:rsidRPr="004A1196">
        <w:rPr>
          <w:color w:val="0B2B43" w:themeColor="text2" w:themeShade="80"/>
          <w:lang w:eastAsia="en-GB"/>
        </w:rPr>
        <w:t xml:space="preserve"> total research income (Categories 1-4 income)</w:t>
      </w:r>
    </w:p>
    <w:p w:rsidR="002C6039" w:rsidRPr="004A1196" w:rsidRDefault="002C6039" w:rsidP="002C6039">
      <w:pPr>
        <w:pStyle w:val="ListParagraph"/>
        <w:numPr>
          <w:ilvl w:val="0"/>
          <w:numId w:val="52"/>
        </w:numPr>
        <w:rPr>
          <w:color w:val="0B2B43" w:themeColor="text2" w:themeShade="80"/>
          <w:lang w:eastAsia="en-GB"/>
        </w:rPr>
      </w:pPr>
      <w:r w:rsidRPr="004A1196">
        <w:rPr>
          <w:color w:val="0B2B43" w:themeColor="text2" w:themeShade="80"/>
          <w:lang w:eastAsia="en-GB"/>
        </w:rPr>
        <w:t>50</w:t>
      </w:r>
      <w:r w:rsidR="00A17695">
        <w:rPr>
          <w:color w:val="0B2B43" w:themeColor="text2" w:themeShade="80"/>
          <w:lang w:eastAsia="en-GB"/>
        </w:rPr>
        <w:t xml:space="preserve"> per cent</w:t>
      </w:r>
      <w:r w:rsidRPr="004A1196">
        <w:rPr>
          <w:color w:val="0B2B43" w:themeColor="text2" w:themeShade="80"/>
          <w:lang w:eastAsia="en-GB"/>
        </w:rPr>
        <w:t xml:space="preserve"> student completions</w:t>
      </w:r>
    </w:p>
    <w:p w:rsidR="002C6039" w:rsidRPr="004A1196" w:rsidRDefault="00BE6EE1" w:rsidP="002C6039">
      <w:pPr>
        <w:pStyle w:val="ListParagraph"/>
        <w:numPr>
          <w:ilvl w:val="0"/>
          <w:numId w:val="52"/>
        </w:numPr>
        <w:rPr>
          <w:color w:val="0B2B43" w:themeColor="text2" w:themeShade="80"/>
          <w:lang w:eastAsia="en-GB"/>
        </w:rPr>
      </w:pPr>
      <w:proofErr w:type="gramStart"/>
      <w:r w:rsidRPr="004A1196">
        <w:rPr>
          <w:color w:val="0B2B43" w:themeColor="text2" w:themeShade="80"/>
          <w:lang w:eastAsia="en-GB"/>
        </w:rPr>
        <w:t>10</w:t>
      </w:r>
      <w:proofErr w:type="gramEnd"/>
      <w:r w:rsidR="00A17695">
        <w:rPr>
          <w:color w:val="0B2B43" w:themeColor="text2" w:themeShade="80"/>
          <w:lang w:eastAsia="en-GB"/>
        </w:rPr>
        <w:t xml:space="preserve"> per cent</w:t>
      </w:r>
      <w:r w:rsidRPr="004A1196">
        <w:rPr>
          <w:color w:val="0B2B43" w:themeColor="text2" w:themeShade="80"/>
          <w:lang w:eastAsia="en-GB"/>
        </w:rPr>
        <w:t xml:space="preserve"> publications.</w:t>
      </w:r>
    </w:p>
    <w:p w:rsidR="002C6039" w:rsidRPr="00484D5B" w:rsidRDefault="002C6039" w:rsidP="00484D5B">
      <w:pPr>
        <w:pStyle w:val="RIHeading3"/>
        <w:spacing w:before="240"/>
        <w:rPr>
          <w:rFonts w:eastAsiaTheme="minorEastAsia"/>
          <w:sz w:val="24"/>
          <w:szCs w:val="24"/>
          <w:lang w:eastAsia="en-GB"/>
        </w:rPr>
      </w:pPr>
      <w:r w:rsidRPr="00484D5B">
        <w:rPr>
          <w:rFonts w:eastAsiaTheme="minorEastAsia"/>
          <w:sz w:val="24"/>
          <w:szCs w:val="24"/>
          <w:lang w:eastAsia="en-GB"/>
        </w:rPr>
        <w:t>Australian Postgraduate Awards (</w:t>
      </w:r>
      <w:proofErr w:type="spellStart"/>
      <w:r w:rsidRPr="00484D5B">
        <w:rPr>
          <w:rFonts w:eastAsiaTheme="minorEastAsia"/>
          <w:sz w:val="24"/>
          <w:szCs w:val="24"/>
          <w:lang w:eastAsia="en-GB"/>
        </w:rPr>
        <w:t>APA</w:t>
      </w:r>
      <w:proofErr w:type="spellEnd"/>
      <w:r w:rsidRPr="00484D5B">
        <w:rPr>
          <w:rFonts w:eastAsiaTheme="minorEastAsia"/>
          <w:sz w:val="24"/>
          <w:szCs w:val="24"/>
          <w:lang w:eastAsia="en-GB"/>
        </w:rPr>
        <w:t>), 2003</w:t>
      </w:r>
    </w:p>
    <w:p w:rsidR="002C6039" w:rsidRPr="004A1196" w:rsidRDefault="002C6039" w:rsidP="002C6039">
      <w:pPr>
        <w:keepNext/>
        <w:rPr>
          <w:i/>
          <w:color w:val="0B2B43" w:themeColor="text2" w:themeShade="80"/>
          <w:lang w:eastAsia="en-GB"/>
        </w:rPr>
      </w:pPr>
      <w:r w:rsidRPr="004A1196">
        <w:rPr>
          <w:i/>
          <w:color w:val="0B2B43" w:themeColor="text2" w:themeShade="80"/>
          <w:lang w:eastAsia="en-GB"/>
        </w:rPr>
        <w:t>Objectives</w:t>
      </w:r>
    </w:p>
    <w:p w:rsidR="002C6039" w:rsidRPr="004A1196" w:rsidRDefault="002C6039" w:rsidP="002C6039">
      <w:pPr>
        <w:pStyle w:val="ListParagraph"/>
        <w:keepNext/>
        <w:numPr>
          <w:ilvl w:val="0"/>
          <w:numId w:val="53"/>
        </w:numPr>
        <w:rPr>
          <w:color w:val="0B2B43" w:themeColor="text2" w:themeShade="80"/>
          <w:lang w:eastAsia="en-GB"/>
        </w:rPr>
      </w:pPr>
      <w:r w:rsidRPr="004A1196">
        <w:rPr>
          <w:bCs/>
          <w:iCs/>
          <w:color w:val="0B2B43" w:themeColor="text2" w:themeShade="80"/>
          <w:lang w:eastAsia="en-GB"/>
        </w:rPr>
        <w:t>s</w:t>
      </w:r>
      <w:r w:rsidRPr="004A1196">
        <w:rPr>
          <w:color w:val="0B2B43" w:themeColor="text2" w:themeShade="80"/>
          <w:lang w:eastAsia="en-GB"/>
        </w:rPr>
        <w:t>upport postgraduate research training in the higher education sector</w:t>
      </w:r>
    </w:p>
    <w:p w:rsidR="002C6039" w:rsidRPr="004A1196" w:rsidRDefault="002C6039" w:rsidP="002C6039">
      <w:pPr>
        <w:pStyle w:val="ListParagraph"/>
        <w:keepNext/>
        <w:numPr>
          <w:ilvl w:val="0"/>
          <w:numId w:val="53"/>
        </w:numPr>
        <w:rPr>
          <w:bCs/>
          <w:iCs/>
          <w:color w:val="0B2B43" w:themeColor="text2" w:themeShade="80"/>
          <w:lang w:eastAsia="en-GB"/>
        </w:rPr>
      </w:pPr>
      <w:proofErr w:type="gramStart"/>
      <w:r w:rsidRPr="004A1196">
        <w:rPr>
          <w:bCs/>
          <w:iCs/>
          <w:color w:val="0B2B43" w:themeColor="text2" w:themeShade="80"/>
          <w:lang w:eastAsia="en-GB"/>
        </w:rPr>
        <w:t>p</w:t>
      </w:r>
      <w:r w:rsidRPr="004A1196">
        <w:rPr>
          <w:color w:val="0B2B43" w:themeColor="text2" w:themeShade="80"/>
          <w:lang w:eastAsia="en-GB"/>
        </w:rPr>
        <w:t>rovide</w:t>
      </w:r>
      <w:proofErr w:type="gramEnd"/>
      <w:r w:rsidRPr="004A1196">
        <w:rPr>
          <w:color w:val="0B2B43" w:themeColor="text2" w:themeShade="80"/>
          <w:lang w:eastAsia="en-GB"/>
        </w:rPr>
        <w:t xml:space="preserve"> financial support to postgraduate students of exceptional research promise</w:t>
      </w:r>
      <w:r w:rsidR="00BE6EE1" w:rsidRPr="004A1196">
        <w:rPr>
          <w:color w:val="0B2B43" w:themeColor="text2" w:themeShade="80"/>
          <w:lang w:eastAsia="en-GB"/>
        </w:rPr>
        <w:t>.</w:t>
      </w:r>
    </w:p>
    <w:p w:rsidR="002C6039" w:rsidRPr="004A1196" w:rsidRDefault="002C6039" w:rsidP="002C6039">
      <w:pPr>
        <w:pStyle w:val="Caption"/>
        <w:keepNext/>
        <w:rPr>
          <w:rFonts w:eastAsiaTheme="minorEastAsia"/>
          <w:b w:val="0"/>
          <w:bCs w:val="0"/>
          <w:i/>
          <w:iCs w:val="0"/>
          <w:color w:val="0B2B43" w:themeColor="text2" w:themeShade="80"/>
          <w:lang w:eastAsia="en-GB"/>
        </w:rPr>
      </w:pPr>
      <w:r w:rsidRPr="004A1196">
        <w:rPr>
          <w:rFonts w:eastAsiaTheme="minorEastAsia"/>
          <w:b w:val="0"/>
          <w:bCs w:val="0"/>
          <w:i/>
          <w:iCs w:val="0"/>
          <w:color w:val="0B2B43" w:themeColor="text2" w:themeShade="80"/>
          <w:lang w:eastAsia="en-GB"/>
        </w:rPr>
        <w:t>Funding drivers</w:t>
      </w:r>
    </w:p>
    <w:p w:rsidR="002C6039" w:rsidRPr="004A1196" w:rsidRDefault="002C6039" w:rsidP="002C6039">
      <w:pPr>
        <w:pStyle w:val="ListParagraph"/>
        <w:keepNext/>
        <w:numPr>
          <w:ilvl w:val="0"/>
          <w:numId w:val="54"/>
        </w:numPr>
        <w:rPr>
          <w:color w:val="0B2B43" w:themeColor="text2" w:themeShade="80"/>
          <w:lang w:eastAsia="en-GB"/>
        </w:rPr>
      </w:pPr>
      <w:r w:rsidRPr="004A1196">
        <w:rPr>
          <w:color w:val="0B2B43" w:themeColor="text2" w:themeShade="80"/>
          <w:lang w:eastAsia="en-GB"/>
        </w:rPr>
        <w:t>40</w:t>
      </w:r>
      <w:r w:rsidR="00A17695">
        <w:rPr>
          <w:color w:val="0B2B43" w:themeColor="text2" w:themeShade="80"/>
          <w:lang w:eastAsia="en-GB"/>
        </w:rPr>
        <w:t xml:space="preserve"> per cent</w:t>
      </w:r>
      <w:r w:rsidRPr="004A1196">
        <w:rPr>
          <w:color w:val="0B2B43" w:themeColor="text2" w:themeShade="80"/>
          <w:lang w:eastAsia="en-GB"/>
        </w:rPr>
        <w:t xml:space="preserve"> total research income (Categories 1-4 income)</w:t>
      </w:r>
    </w:p>
    <w:p w:rsidR="002C6039" w:rsidRPr="004A1196" w:rsidRDefault="002C6039" w:rsidP="002C6039">
      <w:pPr>
        <w:pStyle w:val="ListParagraph"/>
        <w:keepNext/>
        <w:numPr>
          <w:ilvl w:val="0"/>
          <w:numId w:val="54"/>
        </w:numPr>
        <w:rPr>
          <w:color w:val="0B2B43" w:themeColor="text2" w:themeShade="80"/>
          <w:lang w:eastAsia="en-GB"/>
        </w:rPr>
      </w:pPr>
      <w:r w:rsidRPr="004A1196">
        <w:rPr>
          <w:color w:val="0B2B43" w:themeColor="text2" w:themeShade="80"/>
          <w:lang w:eastAsia="en-GB"/>
        </w:rPr>
        <w:t>50</w:t>
      </w:r>
      <w:r w:rsidR="00A17695">
        <w:rPr>
          <w:color w:val="0B2B43" w:themeColor="text2" w:themeShade="80"/>
          <w:lang w:eastAsia="en-GB"/>
        </w:rPr>
        <w:t xml:space="preserve"> per cent</w:t>
      </w:r>
      <w:r w:rsidRPr="004A1196">
        <w:rPr>
          <w:color w:val="0B2B43" w:themeColor="text2" w:themeShade="80"/>
          <w:lang w:eastAsia="en-GB"/>
        </w:rPr>
        <w:t xml:space="preserve"> student completions</w:t>
      </w:r>
    </w:p>
    <w:p w:rsidR="002C6039" w:rsidRPr="004A1196" w:rsidRDefault="002C6039" w:rsidP="002C6039">
      <w:pPr>
        <w:pStyle w:val="ListParagraph"/>
        <w:keepNext/>
        <w:numPr>
          <w:ilvl w:val="0"/>
          <w:numId w:val="54"/>
        </w:numPr>
        <w:rPr>
          <w:color w:val="0B2B43" w:themeColor="text2" w:themeShade="80"/>
          <w:lang w:eastAsia="en-GB"/>
        </w:rPr>
      </w:pPr>
      <w:proofErr w:type="gramStart"/>
      <w:r w:rsidRPr="004A1196">
        <w:rPr>
          <w:color w:val="0B2B43" w:themeColor="text2" w:themeShade="80"/>
          <w:lang w:eastAsia="en-GB"/>
        </w:rPr>
        <w:t>10</w:t>
      </w:r>
      <w:proofErr w:type="gramEnd"/>
      <w:r w:rsidR="00A17695">
        <w:rPr>
          <w:color w:val="0B2B43" w:themeColor="text2" w:themeShade="80"/>
          <w:lang w:eastAsia="en-GB"/>
        </w:rPr>
        <w:t xml:space="preserve"> per cent</w:t>
      </w:r>
      <w:r w:rsidRPr="004A1196">
        <w:rPr>
          <w:color w:val="0B2B43" w:themeColor="text2" w:themeShade="80"/>
          <w:lang w:eastAsia="en-GB"/>
        </w:rPr>
        <w:t xml:space="preserve"> publications</w:t>
      </w:r>
      <w:r w:rsidR="00BE6EE1" w:rsidRPr="004A1196">
        <w:rPr>
          <w:color w:val="0B2B43" w:themeColor="text2" w:themeShade="80"/>
          <w:lang w:eastAsia="en-GB"/>
        </w:rPr>
        <w:t>.</w:t>
      </w:r>
    </w:p>
    <w:p w:rsidR="002C6039" w:rsidRPr="00484D5B" w:rsidRDefault="002C6039" w:rsidP="00484D5B">
      <w:pPr>
        <w:pStyle w:val="RIHeading3"/>
        <w:spacing w:before="240"/>
        <w:rPr>
          <w:rFonts w:eastAsiaTheme="minorEastAsia"/>
          <w:sz w:val="24"/>
          <w:szCs w:val="24"/>
          <w:lang w:eastAsia="en-GB"/>
        </w:rPr>
      </w:pPr>
      <w:r w:rsidRPr="00484D5B">
        <w:rPr>
          <w:rFonts w:eastAsiaTheme="minorEastAsia"/>
          <w:sz w:val="24"/>
          <w:szCs w:val="24"/>
          <w:lang w:eastAsia="en-GB"/>
        </w:rPr>
        <w:t>International Postgraduate Research Scheme (</w:t>
      </w:r>
      <w:proofErr w:type="spellStart"/>
      <w:r w:rsidRPr="00484D5B">
        <w:rPr>
          <w:rFonts w:eastAsiaTheme="minorEastAsia"/>
          <w:sz w:val="24"/>
          <w:szCs w:val="24"/>
          <w:lang w:eastAsia="en-GB"/>
        </w:rPr>
        <w:t>IPRS</w:t>
      </w:r>
      <w:proofErr w:type="spellEnd"/>
      <w:r w:rsidRPr="00484D5B">
        <w:rPr>
          <w:rFonts w:eastAsiaTheme="minorEastAsia"/>
          <w:sz w:val="24"/>
          <w:szCs w:val="24"/>
          <w:lang w:eastAsia="en-GB"/>
        </w:rPr>
        <w:t>), 2003</w:t>
      </w:r>
    </w:p>
    <w:p w:rsidR="002C6039" w:rsidRPr="004A1196" w:rsidRDefault="002C6039" w:rsidP="002C6039">
      <w:pPr>
        <w:rPr>
          <w:i/>
          <w:color w:val="0B2B43" w:themeColor="text2" w:themeShade="80"/>
          <w:lang w:eastAsia="en-GB"/>
        </w:rPr>
      </w:pPr>
      <w:r w:rsidRPr="004A1196">
        <w:rPr>
          <w:i/>
          <w:color w:val="0B2B43" w:themeColor="text2" w:themeShade="80"/>
          <w:lang w:eastAsia="en-GB"/>
        </w:rPr>
        <w:t>Objectives</w:t>
      </w:r>
    </w:p>
    <w:p w:rsidR="002C6039" w:rsidRPr="004A1196" w:rsidRDefault="002C6039" w:rsidP="002C6039">
      <w:pPr>
        <w:pStyle w:val="ListParagraph"/>
        <w:numPr>
          <w:ilvl w:val="0"/>
          <w:numId w:val="55"/>
        </w:numPr>
        <w:rPr>
          <w:color w:val="0B2B43" w:themeColor="text2" w:themeShade="80"/>
          <w:lang w:eastAsia="en-GB"/>
        </w:rPr>
      </w:pPr>
      <w:r w:rsidRPr="004A1196">
        <w:rPr>
          <w:bCs/>
          <w:iCs/>
          <w:color w:val="0B2B43" w:themeColor="text2" w:themeShade="80"/>
          <w:lang w:eastAsia="en-GB"/>
        </w:rPr>
        <w:t>a</w:t>
      </w:r>
      <w:r w:rsidRPr="004A1196">
        <w:rPr>
          <w:color w:val="0B2B43" w:themeColor="text2" w:themeShade="80"/>
          <w:lang w:eastAsia="en-GB"/>
        </w:rPr>
        <w:t>ttract top quality international postgraduate students to areas of research strength in the Australian higher education sector</w:t>
      </w:r>
    </w:p>
    <w:p w:rsidR="002C6039" w:rsidRPr="005B60B6" w:rsidRDefault="002C6039" w:rsidP="002C6039">
      <w:pPr>
        <w:pStyle w:val="ListParagraph"/>
        <w:numPr>
          <w:ilvl w:val="0"/>
          <w:numId w:val="55"/>
        </w:numPr>
        <w:rPr>
          <w:bCs/>
          <w:iCs/>
          <w:color w:val="0B2B43" w:themeColor="text2" w:themeShade="80"/>
          <w:lang w:eastAsia="en-GB"/>
        </w:rPr>
      </w:pPr>
      <w:proofErr w:type="gramStart"/>
      <w:r w:rsidRPr="004A1196">
        <w:rPr>
          <w:bCs/>
          <w:iCs/>
          <w:color w:val="0B2B43" w:themeColor="text2" w:themeShade="80"/>
          <w:lang w:eastAsia="en-GB"/>
        </w:rPr>
        <w:t>s</w:t>
      </w:r>
      <w:r w:rsidRPr="004A1196">
        <w:rPr>
          <w:color w:val="0B2B43" w:themeColor="text2" w:themeShade="80"/>
          <w:lang w:eastAsia="en-GB"/>
        </w:rPr>
        <w:t>upport</w:t>
      </w:r>
      <w:proofErr w:type="gramEnd"/>
      <w:r w:rsidRPr="004A1196">
        <w:rPr>
          <w:color w:val="0B2B43" w:themeColor="text2" w:themeShade="80"/>
          <w:lang w:eastAsia="en-GB"/>
        </w:rPr>
        <w:t xml:space="preserve"> Australia’s research effort</w:t>
      </w:r>
      <w:r w:rsidR="00BE6EE1" w:rsidRPr="004A1196">
        <w:rPr>
          <w:color w:val="0B2B43" w:themeColor="text2" w:themeShade="80"/>
          <w:lang w:eastAsia="en-GB"/>
        </w:rPr>
        <w:t>.</w:t>
      </w:r>
    </w:p>
    <w:p w:rsidR="00D27217" w:rsidRPr="00C6639A" w:rsidRDefault="00D27217" w:rsidP="00C6639A">
      <w:pPr>
        <w:rPr>
          <w:bCs/>
          <w:iCs/>
          <w:color w:val="0B2B43" w:themeColor="text2" w:themeShade="80"/>
          <w:lang w:eastAsia="en-GB"/>
        </w:rPr>
      </w:pPr>
    </w:p>
    <w:p w:rsidR="002C6039" w:rsidRPr="004A1196" w:rsidRDefault="002C6039" w:rsidP="002C6039">
      <w:pPr>
        <w:pStyle w:val="Caption"/>
        <w:rPr>
          <w:rFonts w:eastAsiaTheme="minorEastAsia"/>
          <w:b w:val="0"/>
          <w:bCs w:val="0"/>
          <w:i/>
          <w:iCs w:val="0"/>
          <w:color w:val="0B2B43" w:themeColor="text2" w:themeShade="80"/>
          <w:lang w:eastAsia="en-GB"/>
        </w:rPr>
      </w:pPr>
      <w:r w:rsidRPr="004A1196">
        <w:rPr>
          <w:rFonts w:eastAsiaTheme="minorEastAsia"/>
          <w:b w:val="0"/>
          <w:bCs w:val="0"/>
          <w:i/>
          <w:iCs w:val="0"/>
          <w:color w:val="0B2B43" w:themeColor="text2" w:themeShade="80"/>
          <w:lang w:eastAsia="en-GB"/>
        </w:rPr>
        <w:t>Funding drivers</w:t>
      </w:r>
    </w:p>
    <w:p w:rsidR="002C6039" w:rsidRPr="004A1196" w:rsidRDefault="00A17695" w:rsidP="002C6039">
      <w:pPr>
        <w:pStyle w:val="ListParagraph"/>
        <w:numPr>
          <w:ilvl w:val="0"/>
          <w:numId w:val="56"/>
        </w:numPr>
        <w:rPr>
          <w:color w:val="0B2B43" w:themeColor="text2" w:themeShade="80"/>
          <w:lang w:eastAsia="en-GB"/>
        </w:rPr>
      </w:pPr>
      <w:r>
        <w:rPr>
          <w:color w:val="0B2B43" w:themeColor="text2" w:themeShade="80"/>
          <w:lang w:eastAsia="en-GB"/>
        </w:rPr>
        <w:t>40 per cent</w:t>
      </w:r>
      <w:r w:rsidR="002C6039" w:rsidRPr="004A1196">
        <w:rPr>
          <w:color w:val="0B2B43" w:themeColor="text2" w:themeShade="80"/>
          <w:lang w:eastAsia="en-GB"/>
        </w:rPr>
        <w:t xml:space="preserve"> total research income (Categories 1-4 income)</w:t>
      </w:r>
    </w:p>
    <w:p w:rsidR="002C6039" w:rsidRPr="004A1196" w:rsidRDefault="002C6039" w:rsidP="002C6039">
      <w:pPr>
        <w:pStyle w:val="ListParagraph"/>
        <w:numPr>
          <w:ilvl w:val="0"/>
          <w:numId w:val="56"/>
        </w:numPr>
        <w:rPr>
          <w:color w:val="0B2B43" w:themeColor="text2" w:themeShade="80"/>
          <w:lang w:eastAsia="en-GB"/>
        </w:rPr>
      </w:pPr>
      <w:r w:rsidRPr="004A1196">
        <w:rPr>
          <w:color w:val="0B2B43" w:themeColor="text2" w:themeShade="80"/>
          <w:lang w:eastAsia="en-GB"/>
        </w:rPr>
        <w:t>50</w:t>
      </w:r>
      <w:r w:rsidR="00A17695">
        <w:rPr>
          <w:color w:val="0B2B43" w:themeColor="text2" w:themeShade="80"/>
          <w:lang w:eastAsia="en-GB"/>
        </w:rPr>
        <w:t xml:space="preserve"> per cent</w:t>
      </w:r>
      <w:r w:rsidRPr="004A1196">
        <w:rPr>
          <w:color w:val="0B2B43" w:themeColor="text2" w:themeShade="80"/>
          <w:lang w:eastAsia="en-GB"/>
        </w:rPr>
        <w:t xml:space="preserve"> student completions</w:t>
      </w:r>
    </w:p>
    <w:p w:rsidR="002C6039" w:rsidRPr="004A1196" w:rsidRDefault="00BE6EE1" w:rsidP="002C6039">
      <w:pPr>
        <w:pStyle w:val="ListParagraph"/>
        <w:numPr>
          <w:ilvl w:val="0"/>
          <w:numId w:val="56"/>
        </w:numPr>
        <w:rPr>
          <w:color w:val="0B2B43" w:themeColor="text2" w:themeShade="80"/>
          <w:lang w:eastAsia="en-GB"/>
        </w:rPr>
      </w:pPr>
      <w:proofErr w:type="gramStart"/>
      <w:r w:rsidRPr="004A1196">
        <w:rPr>
          <w:color w:val="0B2B43" w:themeColor="text2" w:themeShade="80"/>
          <w:lang w:eastAsia="en-GB"/>
        </w:rPr>
        <w:t>10</w:t>
      </w:r>
      <w:proofErr w:type="gramEnd"/>
      <w:r w:rsidRPr="004A1196">
        <w:rPr>
          <w:color w:val="0B2B43" w:themeColor="text2" w:themeShade="80"/>
          <w:lang w:eastAsia="en-GB"/>
        </w:rPr>
        <w:t xml:space="preserve"> </w:t>
      </w:r>
      <w:r w:rsidR="00A17695">
        <w:rPr>
          <w:color w:val="0B2B43" w:themeColor="text2" w:themeShade="80"/>
          <w:lang w:eastAsia="en-GB"/>
        </w:rPr>
        <w:t>per cent</w:t>
      </w:r>
      <w:r w:rsidR="00A17695" w:rsidRPr="004A1196">
        <w:rPr>
          <w:color w:val="0B2B43" w:themeColor="text2" w:themeShade="80"/>
          <w:lang w:eastAsia="en-GB"/>
        </w:rPr>
        <w:t xml:space="preserve"> </w:t>
      </w:r>
      <w:r w:rsidRPr="004A1196">
        <w:rPr>
          <w:color w:val="0B2B43" w:themeColor="text2" w:themeShade="80"/>
          <w:lang w:eastAsia="en-GB"/>
        </w:rPr>
        <w:t>publications.</w:t>
      </w:r>
    </w:p>
    <w:p w:rsidR="002C6039" w:rsidRPr="004A1196" w:rsidRDefault="002C6039" w:rsidP="002C6039">
      <w:pPr>
        <w:rPr>
          <w:rFonts w:eastAsia="Calibri"/>
          <w:color w:val="0B2B43" w:themeColor="text2" w:themeShade="80"/>
          <w:lang w:eastAsia="en-GB"/>
        </w:rPr>
      </w:pPr>
      <w:r w:rsidRPr="004A1196">
        <w:rPr>
          <w:rFonts w:eastAsia="Calibri"/>
          <w:color w:val="0B2B43" w:themeColor="text2" w:themeShade="80"/>
          <w:lang w:eastAsia="en-GB"/>
        </w:rPr>
        <w:t xml:space="preserve">Review consultations highlighted the key role played by </w:t>
      </w:r>
      <w:proofErr w:type="spellStart"/>
      <w:r w:rsidRPr="004A1196">
        <w:rPr>
          <w:rFonts w:eastAsia="Calibri"/>
          <w:color w:val="0B2B43" w:themeColor="text2" w:themeShade="80"/>
          <w:lang w:eastAsia="en-GB"/>
        </w:rPr>
        <w:t>RBG</w:t>
      </w:r>
      <w:proofErr w:type="spellEnd"/>
      <w:r w:rsidRPr="004A1196">
        <w:rPr>
          <w:rFonts w:eastAsia="Calibri"/>
          <w:color w:val="0B2B43" w:themeColor="text2" w:themeShade="80"/>
          <w:lang w:eastAsia="en-GB"/>
        </w:rPr>
        <w:t xml:space="preserve"> in supporting university research and research training. There was widespread support among universities for the continuation of </w:t>
      </w:r>
      <w:proofErr w:type="spellStart"/>
      <w:r w:rsidRPr="004A1196">
        <w:rPr>
          <w:rFonts w:eastAsia="Calibri"/>
          <w:color w:val="0B2B43" w:themeColor="text2" w:themeShade="80"/>
          <w:lang w:eastAsia="en-GB"/>
        </w:rPr>
        <w:t>RBG</w:t>
      </w:r>
      <w:proofErr w:type="spellEnd"/>
      <w:r w:rsidRPr="004A1196">
        <w:rPr>
          <w:rFonts w:eastAsia="Calibri"/>
          <w:color w:val="0B2B43" w:themeColor="text2" w:themeShade="80"/>
          <w:lang w:eastAsia="en-GB"/>
        </w:rPr>
        <w:t xml:space="preserve"> funding arrangements driven by quantitative performance metrics, rather than qualitative measures involving human judgement. Universities indicated that </w:t>
      </w:r>
      <w:proofErr w:type="spellStart"/>
      <w:r w:rsidRPr="004A1196">
        <w:rPr>
          <w:rFonts w:eastAsia="Calibri"/>
          <w:color w:val="0B2B43" w:themeColor="text2" w:themeShade="80"/>
          <w:lang w:eastAsia="en-GB"/>
        </w:rPr>
        <w:t>RBG</w:t>
      </w:r>
      <w:proofErr w:type="spellEnd"/>
      <w:r w:rsidRPr="004A1196">
        <w:rPr>
          <w:rFonts w:eastAsia="Calibri"/>
          <w:color w:val="0B2B43" w:themeColor="text2" w:themeShade="80"/>
          <w:lang w:eastAsia="en-GB"/>
        </w:rPr>
        <w:t xml:space="preserve"> provide a flexible income stream which supports the broad infrastructure required to undertake research, contributes to capacity to meet national and institutional priorities and allows the long term planning required to deliver on this.</w:t>
      </w:r>
    </w:p>
    <w:p w:rsidR="002C6039" w:rsidRPr="004A1196" w:rsidRDefault="002C6039" w:rsidP="002C6039">
      <w:pPr>
        <w:rPr>
          <w:rFonts w:eastAsia="Calibri"/>
          <w:color w:val="0B2B43" w:themeColor="text2" w:themeShade="80"/>
          <w:lang w:eastAsia="en-GB"/>
        </w:rPr>
      </w:pPr>
      <w:r w:rsidRPr="004A1196">
        <w:rPr>
          <w:rFonts w:eastAsia="Calibri"/>
          <w:color w:val="0B2B43" w:themeColor="text2" w:themeShade="80"/>
          <w:lang w:eastAsia="en-GB"/>
        </w:rPr>
        <w:t xml:space="preserve">Funding allocations for 2015 by scheme and funding driver are set out in </w:t>
      </w:r>
      <w:r w:rsidR="0096784F" w:rsidRPr="004A1196">
        <w:rPr>
          <w:rFonts w:eastAsia="Calibri"/>
          <w:color w:val="0B2B43" w:themeColor="text2" w:themeShade="80"/>
          <w:lang w:eastAsia="en-GB"/>
        </w:rPr>
        <w:t>Chart</w:t>
      </w:r>
      <w:r w:rsidR="006A25D1">
        <w:rPr>
          <w:rFonts w:eastAsia="Calibri"/>
          <w:color w:val="0B2B43" w:themeColor="text2" w:themeShade="80"/>
          <w:lang w:eastAsia="en-GB"/>
        </w:rPr>
        <w:t xml:space="preserve"> 7</w:t>
      </w:r>
      <w:r w:rsidRPr="004A1196">
        <w:rPr>
          <w:rFonts w:eastAsia="Calibri"/>
          <w:color w:val="0B2B43" w:themeColor="text2" w:themeShade="80"/>
          <w:lang w:eastAsia="en-GB"/>
        </w:rPr>
        <w:t xml:space="preserve">. </w:t>
      </w:r>
    </w:p>
    <w:p w:rsidR="002C6039" w:rsidRPr="004A1196" w:rsidRDefault="008E7E25" w:rsidP="002C6039">
      <w:pPr>
        <w:pStyle w:val="Caption"/>
        <w:keepNext/>
        <w:rPr>
          <w:rFonts w:eastAsia="Calibri"/>
          <w:color w:val="0B2B43" w:themeColor="text2" w:themeShade="80"/>
          <w:sz w:val="23"/>
        </w:rPr>
      </w:pPr>
      <w:proofErr w:type="gramStart"/>
      <w:r>
        <w:rPr>
          <w:color w:val="0B2B43" w:themeColor="text2" w:themeShade="80"/>
        </w:rPr>
        <w:t>Chart</w:t>
      </w:r>
      <w:r w:rsidR="002C6039" w:rsidRPr="004A1196">
        <w:rPr>
          <w:color w:val="0B2B43" w:themeColor="text2" w:themeShade="80"/>
        </w:rPr>
        <w:t xml:space="preserve"> </w:t>
      </w:r>
      <w:r w:rsidR="0096784F" w:rsidRPr="004A1196">
        <w:rPr>
          <w:color w:val="0B2B43" w:themeColor="text2" w:themeShade="80"/>
        </w:rPr>
        <w:t>7</w:t>
      </w:r>
      <w:r w:rsidR="002C6039" w:rsidRPr="004A1196">
        <w:rPr>
          <w:rFonts w:eastAsia="Calibri" w:cs="Calibri"/>
          <w:bCs w:val="0"/>
          <w:color w:val="0B2B43" w:themeColor="text2" w:themeShade="80"/>
        </w:rPr>
        <w:t>.</w:t>
      </w:r>
      <w:proofErr w:type="gramEnd"/>
      <w:r w:rsidR="002C6039" w:rsidRPr="004A1196">
        <w:rPr>
          <w:rFonts w:eastAsia="Calibri" w:cs="Calibri"/>
          <w:bCs w:val="0"/>
          <w:color w:val="0B2B43" w:themeColor="text2" w:themeShade="80"/>
        </w:rPr>
        <w:t xml:space="preserve"> Research Block Grants, </w:t>
      </w:r>
      <w:r w:rsidR="002C6039" w:rsidRPr="004A1196">
        <w:rPr>
          <w:rFonts w:eastAsia="Calibri"/>
          <w:color w:val="0B2B43" w:themeColor="text2" w:themeShade="80"/>
          <w:sz w:val="23"/>
        </w:rPr>
        <w:t xml:space="preserve">2015 </w:t>
      </w:r>
    </w:p>
    <w:p w:rsidR="002C6039" w:rsidRPr="004A1196" w:rsidRDefault="003A2149" w:rsidP="002C6039">
      <w:pPr>
        <w:tabs>
          <w:tab w:val="left" w:pos="5387"/>
        </w:tabs>
        <w:spacing w:before="0" w:after="0"/>
        <w:rPr>
          <w:rFonts w:eastAsia="Calibri" w:cs="Calibri"/>
          <w:b/>
          <w:color w:val="0B2B43" w:themeColor="text2" w:themeShade="80"/>
          <w:sz w:val="16"/>
          <w:szCs w:val="16"/>
        </w:rPr>
      </w:pPr>
      <w:r w:rsidRPr="003A2149">
        <w:rPr>
          <w:rFonts w:eastAsia="Calibri" w:cs="Calibri"/>
          <w:b/>
          <w:color w:val="0B2B43" w:themeColor="text2" w:themeShade="80"/>
          <w:sz w:val="16"/>
          <w:szCs w:val="16"/>
        </w:rPr>
        <w:t xml:space="preserve"> </w:t>
      </w:r>
      <w:r w:rsidRPr="003A2149">
        <w:rPr>
          <w:noProof/>
          <w:lang w:eastAsia="en-AU"/>
        </w:rPr>
        <w:drawing>
          <wp:inline distT="0" distB="0" distL="0" distR="0" wp14:anchorId="3382B75B" wp14:editId="38C0EF95">
            <wp:extent cx="5744856" cy="4063116"/>
            <wp:effectExtent l="0" t="0" r="0" b="0"/>
            <wp:docPr id="22" name="Picture 22" descr="Contribution of data types to programme performance indexes (2015 RBG funding)&#10;Category 1 income (100%) drives RIBG ($240.1 million) and SRE ($192.6 million) &#10;Categories 2 to 4 income (60%), publications (10%) and student load (30%) drive JRE ($352.8 million and JRE cadetships ($4.4 million)).&#10;For the RTS schemes&#10;Categories 2-4 income (40%), publications (10%) and student completions (10%) drive funding for RTS ($678.5 million), APA ($279.8 million) and IPRS ($22.3 million)&#10;" title="RBG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3219"/>
                    <a:stretch/>
                  </pic:blipFill>
                  <pic:spPr bwMode="auto">
                    <a:xfrm>
                      <a:off x="0" y="0"/>
                      <a:ext cx="5746750" cy="4064455"/>
                    </a:xfrm>
                    <a:prstGeom prst="rect">
                      <a:avLst/>
                    </a:prstGeom>
                    <a:noFill/>
                    <a:ln>
                      <a:noFill/>
                    </a:ln>
                    <a:extLst>
                      <a:ext uri="{53640926-AAD7-44D8-BBD7-CCE9431645EC}">
                        <a14:shadowObscured xmlns:a14="http://schemas.microsoft.com/office/drawing/2010/main"/>
                      </a:ext>
                    </a:extLst>
                  </pic:spPr>
                </pic:pic>
              </a:graphicData>
            </a:graphic>
          </wp:inline>
        </w:drawing>
      </w:r>
    </w:p>
    <w:p w:rsidR="002C6039" w:rsidRPr="00E402EC" w:rsidRDefault="002C6039" w:rsidP="002C6039">
      <w:pPr>
        <w:tabs>
          <w:tab w:val="left" w:pos="5387"/>
        </w:tabs>
        <w:spacing w:before="0" w:after="0"/>
        <w:rPr>
          <w:rFonts w:eastAsia="Calibri" w:cs="Calibri"/>
          <w:color w:val="0B2B43" w:themeColor="text2" w:themeShade="80"/>
          <w:sz w:val="20"/>
          <w:szCs w:val="20"/>
        </w:rPr>
      </w:pPr>
      <w:proofErr w:type="spellStart"/>
      <w:r w:rsidRPr="00E402EC">
        <w:rPr>
          <w:rFonts w:eastAsia="Calibri" w:cs="Calibri"/>
          <w:color w:val="0B2B43" w:themeColor="text2" w:themeShade="80"/>
          <w:sz w:val="20"/>
          <w:szCs w:val="20"/>
        </w:rPr>
        <w:t>HERDC</w:t>
      </w:r>
      <w:proofErr w:type="spellEnd"/>
      <w:r w:rsidRPr="00E402EC">
        <w:rPr>
          <w:rFonts w:eastAsia="Calibri" w:cs="Calibri"/>
          <w:color w:val="0B2B43" w:themeColor="text2" w:themeShade="80"/>
          <w:sz w:val="20"/>
          <w:szCs w:val="20"/>
        </w:rPr>
        <w:t xml:space="preserve"> – Higher Education Research Data Collection</w:t>
      </w:r>
    </w:p>
    <w:p w:rsidR="002C6039" w:rsidRPr="00E402EC" w:rsidRDefault="002C6039" w:rsidP="002C6039">
      <w:pPr>
        <w:tabs>
          <w:tab w:val="left" w:pos="5387"/>
        </w:tabs>
        <w:spacing w:before="0" w:after="200"/>
        <w:rPr>
          <w:rFonts w:eastAsia="Calibri" w:cs="Calibri"/>
          <w:color w:val="0B2B43" w:themeColor="text2" w:themeShade="80"/>
          <w:sz w:val="20"/>
          <w:szCs w:val="20"/>
        </w:rPr>
      </w:pPr>
      <w:proofErr w:type="spellStart"/>
      <w:r w:rsidRPr="00E402EC">
        <w:rPr>
          <w:rFonts w:eastAsia="Calibri" w:cs="Calibri"/>
          <w:color w:val="0B2B43" w:themeColor="text2" w:themeShade="80"/>
          <w:sz w:val="20"/>
          <w:szCs w:val="20"/>
        </w:rPr>
        <w:t>HESDC</w:t>
      </w:r>
      <w:proofErr w:type="spellEnd"/>
      <w:r w:rsidRPr="00E402EC">
        <w:rPr>
          <w:rFonts w:eastAsia="Calibri" w:cs="Calibri"/>
          <w:color w:val="0B2B43" w:themeColor="text2" w:themeShade="80"/>
          <w:sz w:val="20"/>
          <w:szCs w:val="20"/>
        </w:rPr>
        <w:t xml:space="preserve"> – Higher Education Student Data Collection</w:t>
      </w:r>
    </w:p>
    <w:p w:rsidR="002C6039" w:rsidRPr="00BD7CB9" w:rsidRDefault="002C6039" w:rsidP="002C6039">
      <w:pPr>
        <w:pStyle w:val="Source"/>
        <w:rPr>
          <w:rFonts w:eastAsia="Calibri"/>
          <w:b w:val="0"/>
          <w:color w:val="0B2B43" w:themeColor="text2" w:themeShade="80"/>
        </w:rPr>
      </w:pPr>
      <w:r w:rsidRPr="00E402EC">
        <w:rPr>
          <w:rFonts w:eastAsia="Calibri"/>
          <w:b w:val="0"/>
          <w:color w:val="0B2B43" w:themeColor="text2" w:themeShade="80"/>
        </w:rPr>
        <w:t xml:space="preserve">* </w:t>
      </w:r>
      <w:proofErr w:type="spellStart"/>
      <w:r w:rsidRPr="00E402EC">
        <w:rPr>
          <w:rFonts w:eastAsia="Calibri"/>
          <w:b w:val="0"/>
          <w:color w:val="0B2B43" w:themeColor="text2" w:themeShade="80"/>
        </w:rPr>
        <w:t>SRE</w:t>
      </w:r>
      <w:proofErr w:type="spellEnd"/>
      <w:r w:rsidRPr="00E402EC">
        <w:rPr>
          <w:rFonts w:eastAsia="Calibri"/>
          <w:b w:val="0"/>
          <w:color w:val="0B2B43" w:themeColor="text2" w:themeShade="80"/>
        </w:rPr>
        <w:t xml:space="preserve"> also uses </w:t>
      </w:r>
      <w:r w:rsidR="00DE08C6" w:rsidRPr="00E402EC">
        <w:rPr>
          <w:rFonts w:eastAsia="Calibri"/>
          <w:b w:val="0"/>
          <w:color w:val="0B2B43" w:themeColor="text2" w:themeShade="80"/>
        </w:rPr>
        <w:t>ERA</w:t>
      </w:r>
      <w:r w:rsidRPr="00E402EC">
        <w:rPr>
          <w:rFonts w:eastAsia="Calibri"/>
          <w:b w:val="0"/>
          <w:color w:val="0B2B43" w:themeColor="text2" w:themeShade="80"/>
        </w:rPr>
        <w:t xml:space="preserve"> results and the indirect costs of research as moderators to </w:t>
      </w:r>
      <w:proofErr w:type="gramStart"/>
      <w:r w:rsidRPr="00E402EC">
        <w:rPr>
          <w:rFonts w:eastAsia="Calibri"/>
          <w:b w:val="0"/>
          <w:color w:val="0B2B43" w:themeColor="text2" w:themeShade="80"/>
        </w:rPr>
        <w:t>make adjustments to</w:t>
      </w:r>
      <w:proofErr w:type="gramEnd"/>
      <w:r w:rsidRPr="00E402EC">
        <w:rPr>
          <w:rFonts w:eastAsia="Calibri"/>
          <w:b w:val="0"/>
          <w:color w:val="0B2B43" w:themeColor="text2" w:themeShade="80"/>
        </w:rPr>
        <w:t xml:space="preserve"> </w:t>
      </w:r>
      <w:proofErr w:type="spellStart"/>
      <w:r w:rsidRPr="00E402EC">
        <w:rPr>
          <w:rFonts w:eastAsia="Calibri"/>
          <w:b w:val="0"/>
          <w:color w:val="0B2B43" w:themeColor="text2" w:themeShade="80"/>
        </w:rPr>
        <w:t>SRE</w:t>
      </w:r>
      <w:proofErr w:type="spellEnd"/>
      <w:r w:rsidRPr="00E402EC">
        <w:rPr>
          <w:rFonts w:eastAsia="Calibri"/>
          <w:b w:val="0"/>
          <w:color w:val="0B2B43" w:themeColor="text2" w:themeShade="80"/>
        </w:rPr>
        <w:t xml:space="preserve"> </w:t>
      </w:r>
      <w:r w:rsidR="00B608C7" w:rsidRPr="00E402EC">
        <w:rPr>
          <w:rFonts w:eastAsia="Calibri"/>
          <w:b w:val="0"/>
          <w:color w:val="0B2B43" w:themeColor="text2" w:themeShade="80"/>
        </w:rPr>
        <w:t>Threshold</w:t>
      </w:r>
      <w:r w:rsidRPr="00E402EC">
        <w:rPr>
          <w:rFonts w:eastAsia="Calibri"/>
          <w:b w:val="0"/>
          <w:color w:val="0B2B43" w:themeColor="text2" w:themeShade="80"/>
        </w:rPr>
        <w:t xml:space="preserve"> 2 funding amounts (67 per cent of the total </w:t>
      </w:r>
      <w:proofErr w:type="spellStart"/>
      <w:r w:rsidRPr="00E402EC">
        <w:rPr>
          <w:rFonts w:eastAsia="Calibri"/>
          <w:b w:val="0"/>
          <w:color w:val="0B2B43" w:themeColor="text2" w:themeShade="80"/>
        </w:rPr>
        <w:t>SRE</w:t>
      </w:r>
      <w:proofErr w:type="spellEnd"/>
      <w:r w:rsidRPr="00E402EC">
        <w:rPr>
          <w:rFonts w:eastAsia="Calibri"/>
          <w:b w:val="0"/>
          <w:color w:val="0B2B43" w:themeColor="text2" w:themeShade="80"/>
        </w:rPr>
        <w:t xml:space="preserve"> allocation), calculated on the basis of a higher education </w:t>
      </w:r>
      <w:r w:rsidR="00B608C7" w:rsidRPr="00E402EC">
        <w:rPr>
          <w:rFonts w:eastAsia="Calibri"/>
          <w:b w:val="0"/>
          <w:color w:val="0B2B43" w:themeColor="text2" w:themeShade="80"/>
        </w:rPr>
        <w:t>provider’s</w:t>
      </w:r>
      <w:r w:rsidRPr="00E402EC">
        <w:rPr>
          <w:rFonts w:eastAsia="Calibri"/>
          <w:b w:val="0"/>
          <w:color w:val="0B2B43" w:themeColor="text2" w:themeShade="80"/>
        </w:rPr>
        <w:t xml:space="preserve"> (HEP) performance index. HEP ERA ratings for each </w:t>
      </w:r>
      <w:proofErr w:type="gramStart"/>
      <w:r w:rsidRPr="00E402EC">
        <w:rPr>
          <w:rFonts w:eastAsia="Calibri"/>
          <w:b w:val="0"/>
          <w:color w:val="0B2B43" w:themeColor="text2" w:themeShade="80"/>
        </w:rPr>
        <w:t>four digit</w:t>
      </w:r>
      <w:proofErr w:type="gramEnd"/>
      <w:r w:rsidRPr="00E402EC">
        <w:rPr>
          <w:rFonts w:eastAsia="Calibri"/>
          <w:b w:val="0"/>
          <w:color w:val="0B2B43" w:themeColor="text2" w:themeShade="80"/>
        </w:rPr>
        <w:t xml:space="preserve"> field of research are weighted such that the ratings 5, 4, 3, 2, 1, have a weighting of 7, 3, 1, 0, 0 respectively. For more information, see </w:t>
      </w:r>
      <w:hyperlink r:id="rId34" w:anchor="calculation-logic-for-sustainable" w:history="1">
        <w:r w:rsidR="00D27217" w:rsidRPr="00BD7CB9">
          <w:rPr>
            <w:rStyle w:val="Hyperlink"/>
            <w:rFonts w:eastAsia="Calibri" w:cs="Calibri"/>
            <w:b w:val="0"/>
            <w:color w:val="0B2B43" w:themeColor="text2" w:themeShade="80"/>
            <w:u w:val="none"/>
          </w:rPr>
          <w:t>http://education.gov.au/research-block-grants-calculation-methodology#calculation-logic-for</w:t>
        </w:r>
        <w:r w:rsidR="00D27217" w:rsidRPr="00BD7CB9">
          <w:rPr>
            <w:rStyle w:val="Hyperlink"/>
            <w:rFonts w:eastAsia="Calibri"/>
            <w:b w:val="0"/>
            <w:color w:val="0B2B43" w:themeColor="text2" w:themeShade="80"/>
            <w:u w:val="none"/>
          </w:rPr>
          <w:t>-sustainable</w:t>
        </w:r>
      </w:hyperlink>
    </w:p>
    <w:p w:rsidR="00D27217" w:rsidRPr="004A1196" w:rsidRDefault="00D27217" w:rsidP="002C6039">
      <w:pPr>
        <w:pStyle w:val="Source"/>
        <w:rPr>
          <w:rFonts w:eastAsia="Calibri"/>
          <w:color w:val="0B2B43" w:themeColor="text2" w:themeShade="80"/>
        </w:rPr>
      </w:pPr>
    </w:p>
    <w:p w:rsidR="002C6039" w:rsidRPr="004A1196" w:rsidRDefault="002C6039" w:rsidP="002C6039">
      <w:pPr>
        <w:pStyle w:val="RIHeading3"/>
        <w:rPr>
          <w:rFonts w:eastAsia="Times New Roman"/>
          <w:color w:val="0B2B43" w:themeColor="text2" w:themeShade="80"/>
        </w:rPr>
      </w:pPr>
      <w:bookmarkStart w:id="133" w:name="_Toc436651821"/>
      <w:bookmarkStart w:id="134" w:name="_Toc436659629"/>
      <w:bookmarkStart w:id="135" w:name="_Toc436660127"/>
      <w:r w:rsidRPr="004A1196">
        <w:rPr>
          <w:rFonts w:eastAsia="Times New Roman"/>
          <w:color w:val="0B2B43" w:themeColor="text2" w:themeShade="80"/>
        </w:rPr>
        <w:t>Moderation of changes in funding shares</w:t>
      </w:r>
      <w:bookmarkEnd w:id="133"/>
      <w:bookmarkEnd w:id="134"/>
      <w:bookmarkEnd w:id="135"/>
    </w:p>
    <w:p w:rsidR="002C6039" w:rsidRPr="004A1196" w:rsidRDefault="002C6039" w:rsidP="002C6039">
      <w:pPr>
        <w:rPr>
          <w:rFonts w:eastAsia="Calibri"/>
          <w:color w:val="0B2B43" w:themeColor="text2" w:themeShade="80"/>
        </w:rPr>
      </w:pPr>
      <w:r w:rsidRPr="004A1196">
        <w:rPr>
          <w:rFonts w:eastAsia="Calibri" w:cs="Calibri"/>
          <w:bCs/>
          <w:color w:val="0B2B43" w:themeColor="text2" w:themeShade="80"/>
        </w:rPr>
        <w:t xml:space="preserve">The use of performance based </w:t>
      </w:r>
      <w:r w:rsidRPr="004A1196">
        <w:rPr>
          <w:rFonts w:eastAsia="Calibri"/>
          <w:color w:val="0B2B43" w:themeColor="text2" w:themeShade="80"/>
        </w:rPr>
        <w:t xml:space="preserve">formulae in </w:t>
      </w:r>
      <w:proofErr w:type="spellStart"/>
      <w:r w:rsidRPr="004A1196">
        <w:rPr>
          <w:rFonts w:eastAsia="Calibri"/>
          <w:color w:val="0B2B43" w:themeColor="text2" w:themeShade="80"/>
        </w:rPr>
        <w:t>RBG</w:t>
      </w:r>
      <w:proofErr w:type="spellEnd"/>
      <w:r w:rsidRPr="004A1196">
        <w:rPr>
          <w:rFonts w:eastAsia="Calibri"/>
          <w:color w:val="0B2B43" w:themeColor="text2" w:themeShade="80"/>
        </w:rPr>
        <w:t xml:space="preserve"> mean that universities’ funding shares will change over time depending on their relative performance against the funding drivers. The rate of change </w:t>
      </w:r>
      <w:proofErr w:type="gramStart"/>
      <w:r w:rsidRPr="004A1196">
        <w:rPr>
          <w:rFonts w:eastAsia="Calibri"/>
          <w:color w:val="0B2B43" w:themeColor="text2" w:themeShade="80"/>
        </w:rPr>
        <w:t>is deliberately influenced</w:t>
      </w:r>
      <w:proofErr w:type="gramEnd"/>
      <w:r w:rsidRPr="004A1196">
        <w:rPr>
          <w:rFonts w:eastAsia="Calibri"/>
          <w:color w:val="0B2B43" w:themeColor="text2" w:themeShade="80"/>
        </w:rPr>
        <w:t xml:space="preserve"> by incorporating stabilising elements such as data averaging, pipelines and safety nets.</w:t>
      </w:r>
      <w:r w:rsidRPr="004A1196">
        <w:rPr>
          <w:rFonts w:eastAsia="Calibri"/>
          <w:color w:val="0B2B43" w:themeColor="text2" w:themeShade="80"/>
          <w:vertAlign w:val="superscript"/>
        </w:rPr>
        <w:footnoteReference w:id="17"/>
      </w:r>
      <w:r w:rsidRPr="004A1196">
        <w:rPr>
          <w:rFonts w:eastAsia="Calibri"/>
          <w:color w:val="0B2B43" w:themeColor="text2" w:themeShade="80"/>
        </w:rPr>
        <w:t xml:space="preserve"> This system</w:t>
      </w:r>
      <w:r w:rsidRPr="004A1196" w:rsidDel="00376979">
        <w:rPr>
          <w:rFonts w:eastAsia="Calibri"/>
          <w:color w:val="0B2B43" w:themeColor="text2" w:themeShade="80"/>
        </w:rPr>
        <w:t xml:space="preserve"> </w:t>
      </w:r>
      <w:r w:rsidRPr="004A1196">
        <w:rPr>
          <w:rFonts w:eastAsia="Calibri"/>
          <w:color w:val="0B2B43" w:themeColor="text2" w:themeShade="80"/>
        </w:rPr>
        <w:t>results in a significant level of stability across institutions and a high degree of funding certainty from year to year. While some movement does occur, it is always within the bounds set above.</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Since the establishment of </w:t>
      </w:r>
      <w:proofErr w:type="spellStart"/>
      <w:r w:rsidRPr="004A1196">
        <w:rPr>
          <w:rFonts w:eastAsia="Calibri"/>
          <w:color w:val="0B2B43" w:themeColor="text2" w:themeShade="80"/>
        </w:rPr>
        <w:t>RBG</w:t>
      </w:r>
      <w:proofErr w:type="spellEnd"/>
      <w:r w:rsidRPr="004A1196">
        <w:rPr>
          <w:rFonts w:eastAsia="Calibri"/>
          <w:color w:val="0B2B43" w:themeColor="text2" w:themeShade="80"/>
        </w:rPr>
        <w:t xml:space="preserve">, the Minister has determined the use of stabilising elements. Their purpose has been to minimise large </w:t>
      </w:r>
      <w:proofErr w:type="gramStart"/>
      <w:r w:rsidRPr="004A1196">
        <w:rPr>
          <w:rFonts w:eastAsia="Calibri"/>
          <w:color w:val="0B2B43" w:themeColor="text2" w:themeShade="80"/>
        </w:rPr>
        <w:t>fluctuations which</w:t>
      </w:r>
      <w:proofErr w:type="gramEnd"/>
      <w:r w:rsidRPr="004A1196">
        <w:rPr>
          <w:rFonts w:eastAsia="Calibri"/>
          <w:color w:val="0B2B43" w:themeColor="text2" w:themeShade="80"/>
        </w:rPr>
        <w:t xml:space="preserve">, in theory, could lead to loss of essential funding support and mid-course abandonment of research projects and </w:t>
      </w:r>
      <w:proofErr w:type="spellStart"/>
      <w:r w:rsidRPr="004A1196">
        <w:rPr>
          <w:rFonts w:eastAsia="Calibri"/>
          <w:color w:val="0B2B43" w:themeColor="text2" w:themeShade="80"/>
        </w:rPr>
        <w:t>HDR</w:t>
      </w:r>
      <w:proofErr w:type="spellEnd"/>
      <w:r w:rsidRPr="004A1196">
        <w:rPr>
          <w:rFonts w:eastAsia="Calibri"/>
          <w:color w:val="0B2B43" w:themeColor="text2" w:themeShade="80"/>
        </w:rPr>
        <w:t xml:space="preserve"> students’ study. At the time of establishment of </w:t>
      </w:r>
      <w:proofErr w:type="spellStart"/>
      <w:r w:rsidRPr="004A1196">
        <w:rPr>
          <w:rFonts w:eastAsia="Calibri"/>
          <w:color w:val="0B2B43" w:themeColor="text2" w:themeShade="80"/>
        </w:rPr>
        <w:t>RBG</w:t>
      </w:r>
      <w:proofErr w:type="spellEnd"/>
      <w:r w:rsidRPr="004A1196">
        <w:rPr>
          <w:rFonts w:eastAsia="Calibri"/>
          <w:color w:val="0B2B43" w:themeColor="text2" w:themeShade="80"/>
        </w:rPr>
        <w:t xml:space="preserve">, stabilising elements </w:t>
      </w:r>
      <w:proofErr w:type="gramStart"/>
      <w:r w:rsidRPr="004A1196">
        <w:rPr>
          <w:rFonts w:eastAsia="Calibri"/>
          <w:color w:val="0B2B43" w:themeColor="text2" w:themeShade="80"/>
        </w:rPr>
        <w:t>were intended</w:t>
      </w:r>
      <w:proofErr w:type="gramEnd"/>
      <w:r w:rsidRPr="004A1196">
        <w:rPr>
          <w:rFonts w:eastAsia="Calibri"/>
          <w:color w:val="0B2B43" w:themeColor="text2" w:themeShade="80"/>
        </w:rPr>
        <w:t xml:space="preserve"> to be a transitional arrangement only. A 2003-04 evaluation of </w:t>
      </w:r>
      <w:proofErr w:type="spellStart"/>
      <w:r w:rsidR="00B33F82">
        <w:rPr>
          <w:rFonts w:eastAsia="Calibri"/>
          <w:color w:val="0B2B43" w:themeColor="text2" w:themeShade="80"/>
        </w:rPr>
        <w:t>RBG</w:t>
      </w:r>
      <w:proofErr w:type="spellEnd"/>
      <w:r w:rsidRPr="004A1196">
        <w:rPr>
          <w:rFonts w:eastAsia="Calibri"/>
          <w:color w:val="0B2B43" w:themeColor="text2" w:themeShade="80"/>
        </w:rPr>
        <w:t xml:space="preserve"> recommended removal of an interim cap limiting gains to 5 per cent.</w:t>
      </w:r>
      <w:r w:rsidR="00446B1F" w:rsidRPr="00446B1F">
        <w:rPr>
          <w:rFonts w:eastAsia="Calibri"/>
          <w:color w:val="0B2B43" w:themeColor="text2" w:themeShade="80"/>
          <w:vertAlign w:val="superscript"/>
        </w:rPr>
        <w:t xml:space="preserve"> </w:t>
      </w:r>
      <w:r w:rsidR="00446B1F" w:rsidRPr="004A1196">
        <w:rPr>
          <w:rFonts w:eastAsia="Calibri"/>
          <w:color w:val="0B2B43" w:themeColor="text2" w:themeShade="80"/>
          <w:vertAlign w:val="superscript"/>
        </w:rPr>
        <w:footnoteReference w:id="18"/>
      </w:r>
      <w:r w:rsidRPr="004A1196">
        <w:rPr>
          <w:rFonts w:eastAsia="Calibri"/>
          <w:color w:val="0B2B43" w:themeColor="text2" w:themeShade="80"/>
        </w:rPr>
        <w:t xml:space="preserve"> This was considered to disadvantage those </w:t>
      </w:r>
      <w:proofErr w:type="gramStart"/>
      <w:r w:rsidRPr="004A1196">
        <w:rPr>
          <w:rFonts w:eastAsia="Calibri"/>
          <w:color w:val="0B2B43" w:themeColor="text2" w:themeShade="80"/>
        </w:rPr>
        <w:t>institutions which</w:t>
      </w:r>
      <w:proofErr w:type="gramEnd"/>
      <w:r w:rsidRPr="004A1196">
        <w:rPr>
          <w:rFonts w:eastAsia="Calibri"/>
          <w:color w:val="0B2B43" w:themeColor="text2" w:themeShade="80"/>
        </w:rPr>
        <w:t xml:space="preserve"> were most successful in attracting non-competitive grant research income and, in that way, working against the intent of the reforms. This recommendation was not accepted and stabilising elements — albeit in somewhat different form — have remained part of </w:t>
      </w:r>
      <w:proofErr w:type="spellStart"/>
      <w:r w:rsidRPr="004A1196">
        <w:rPr>
          <w:rFonts w:eastAsia="Calibri"/>
          <w:color w:val="0B2B43" w:themeColor="text2" w:themeShade="80"/>
        </w:rPr>
        <w:t>RBG</w:t>
      </w:r>
      <w:proofErr w:type="spellEnd"/>
      <w:r w:rsidRPr="004A1196">
        <w:rPr>
          <w:rFonts w:eastAsia="Calibri"/>
          <w:color w:val="0B2B43" w:themeColor="text2" w:themeShade="80"/>
        </w:rPr>
        <w:t xml:space="preserve"> ever since.</w:t>
      </w:r>
    </w:p>
    <w:p w:rsidR="002C6039" w:rsidRPr="004A1196" w:rsidRDefault="002C6039" w:rsidP="002C6039">
      <w:pPr>
        <w:pStyle w:val="RIHeading3"/>
        <w:rPr>
          <w:rFonts w:eastAsia="Times New Roman"/>
          <w:color w:val="0B2B43" w:themeColor="text2" w:themeShade="80"/>
        </w:rPr>
      </w:pPr>
      <w:bookmarkStart w:id="136" w:name="_Toc436651822"/>
      <w:bookmarkStart w:id="137" w:name="_Toc436659630"/>
      <w:bookmarkStart w:id="138" w:name="_Toc436660128"/>
      <w:r w:rsidRPr="004A1196">
        <w:rPr>
          <w:rFonts w:eastAsia="Times New Roman"/>
          <w:color w:val="0B2B43" w:themeColor="text2" w:themeShade="80"/>
        </w:rPr>
        <w:t xml:space="preserve">Lags in </w:t>
      </w:r>
      <w:r w:rsidRPr="004A1196">
        <w:rPr>
          <w:color w:val="0B2B43" w:themeColor="text2" w:themeShade="80"/>
        </w:rPr>
        <w:t>performance</w:t>
      </w:r>
      <w:r w:rsidRPr="004A1196">
        <w:rPr>
          <w:rFonts w:eastAsia="Times New Roman"/>
          <w:color w:val="0B2B43" w:themeColor="text2" w:themeShade="80"/>
        </w:rPr>
        <w:t xml:space="preserve"> reward</w:t>
      </w:r>
      <w:bookmarkEnd w:id="136"/>
      <w:bookmarkEnd w:id="137"/>
      <w:bookmarkEnd w:id="138"/>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Lags in data collection mean that funding in a particular year rewards performance at least two years prior. For example, 2015 allocations announced in late 2014 </w:t>
      </w:r>
      <w:proofErr w:type="gramStart"/>
      <w:r w:rsidRPr="004A1196">
        <w:rPr>
          <w:rFonts w:eastAsia="Calibri"/>
          <w:color w:val="0B2B43" w:themeColor="text2" w:themeShade="80"/>
        </w:rPr>
        <w:t>were based</w:t>
      </w:r>
      <w:proofErr w:type="gramEnd"/>
      <w:r w:rsidRPr="004A1196">
        <w:rPr>
          <w:rFonts w:eastAsia="Calibri"/>
          <w:color w:val="0B2B43" w:themeColor="text2" w:themeShade="80"/>
        </w:rPr>
        <w:t xml:space="preserve"> on the two most recent years’ data available at the time of determination of allocations. These were data for 2013 (collected in the 2014 Higher Education Research and Student Data collections) and data for 2012. As a result, there is a lag of three years before improved performance will fully influence funding allocations, with implications for both change and responsiveness. In particular, performance improvements from this point forward (i.e. starting 2016) will not fully influence allocations before 2019. That said, universities do anticipate expected funding changes and take steps to address them well before they </w:t>
      </w:r>
      <w:r w:rsidRPr="004A1196">
        <w:rPr>
          <w:rFonts w:eastAsia="Calibri" w:cs="Calibri"/>
          <w:color w:val="0B2B43" w:themeColor="text2" w:themeShade="80"/>
          <w:lang w:eastAsia="en-GB"/>
        </w:rPr>
        <w:t>occur</w:t>
      </w:r>
      <w:r w:rsidRPr="004A1196">
        <w:rPr>
          <w:rFonts w:eastAsia="Calibri"/>
          <w:color w:val="0B2B43" w:themeColor="text2" w:themeShade="80"/>
        </w:rPr>
        <w:t xml:space="preserve">. The impact of these lags </w:t>
      </w:r>
      <w:proofErr w:type="gramStart"/>
      <w:r w:rsidRPr="004A1196">
        <w:rPr>
          <w:rFonts w:eastAsia="Calibri"/>
          <w:color w:val="0B2B43" w:themeColor="text2" w:themeShade="80"/>
        </w:rPr>
        <w:t>is discussed</w:t>
      </w:r>
      <w:proofErr w:type="gramEnd"/>
      <w:r w:rsidRPr="004A1196">
        <w:rPr>
          <w:rFonts w:eastAsia="Calibri"/>
          <w:color w:val="0B2B43" w:themeColor="text2" w:themeShade="80"/>
        </w:rPr>
        <w:t xml:space="preserve"> further in the ‘Transition’ section later in this chapter.</w:t>
      </w:r>
    </w:p>
    <w:p w:rsidR="002C6039" w:rsidRPr="004A1196" w:rsidRDefault="002C6039" w:rsidP="002C6039">
      <w:pPr>
        <w:pStyle w:val="RIHeading3"/>
        <w:rPr>
          <w:rFonts w:eastAsia="Times New Roman"/>
          <w:color w:val="0B2B43" w:themeColor="text2" w:themeShade="80"/>
          <w:lang w:eastAsia="en-GB"/>
        </w:rPr>
      </w:pPr>
      <w:bookmarkStart w:id="139" w:name="_Toc436651823"/>
      <w:bookmarkStart w:id="140" w:name="_Toc436659631"/>
      <w:bookmarkStart w:id="141" w:name="_Toc436660129"/>
      <w:r w:rsidRPr="004A1196">
        <w:rPr>
          <w:rFonts w:eastAsia="Times New Roman"/>
          <w:color w:val="0B2B43" w:themeColor="text2" w:themeShade="80"/>
          <w:lang w:eastAsia="en-GB"/>
        </w:rPr>
        <w:t xml:space="preserve">Research </w:t>
      </w:r>
      <w:r w:rsidR="00366E47" w:rsidRPr="004A1196">
        <w:rPr>
          <w:rFonts w:eastAsia="Times New Roman"/>
          <w:color w:val="0B2B43" w:themeColor="text2" w:themeShade="80"/>
          <w:lang w:eastAsia="en-GB"/>
        </w:rPr>
        <w:t xml:space="preserve">support schemes </w:t>
      </w:r>
      <w:r w:rsidRPr="004A1196">
        <w:rPr>
          <w:rFonts w:eastAsia="Times New Roman"/>
          <w:color w:val="0B2B43" w:themeColor="text2" w:themeShade="80"/>
          <w:lang w:eastAsia="en-GB"/>
        </w:rPr>
        <w:t>(</w:t>
      </w:r>
      <w:proofErr w:type="spellStart"/>
      <w:r w:rsidRPr="004A1196">
        <w:rPr>
          <w:rFonts w:eastAsia="Times New Roman"/>
          <w:color w:val="0B2B43" w:themeColor="text2" w:themeShade="80"/>
          <w:lang w:eastAsia="en-GB"/>
        </w:rPr>
        <w:t>RIBG</w:t>
      </w:r>
      <w:proofErr w:type="spellEnd"/>
      <w:r w:rsidRPr="004A1196">
        <w:rPr>
          <w:rFonts w:eastAsia="Times New Roman"/>
          <w:color w:val="0B2B43" w:themeColor="text2" w:themeShade="80"/>
          <w:lang w:eastAsia="en-GB"/>
        </w:rPr>
        <w:t xml:space="preserve">, </w:t>
      </w:r>
      <w:proofErr w:type="spellStart"/>
      <w:r w:rsidRPr="004A1196">
        <w:rPr>
          <w:rFonts w:eastAsia="Times New Roman"/>
          <w:color w:val="0B2B43" w:themeColor="text2" w:themeShade="80"/>
          <w:lang w:eastAsia="en-GB"/>
        </w:rPr>
        <w:t>SRE</w:t>
      </w:r>
      <w:proofErr w:type="spellEnd"/>
      <w:r w:rsidRPr="004A1196">
        <w:rPr>
          <w:rFonts w:eastAsia="Times New Roman"/>
          <w:color w:val="0B2B43" w:themeColor="text2" w:themeShade="80"/>
          <w:lang w:eastAsia="en-GB"/>
        </w:rPr>
        <w:t xml:space="preserve"> and </w:t>
      </w:r>
      <w:proofErr w:type="spellStart"/>
      <w:r w:rsidRPr="004A1196">
        <w:rPr>
          <w:rFonts w:eastAsia="Times New Roman"/>
          <w:color w:val="0B2B43" w:themeColor="text2" w:themeShade="80"/>
          <w:lang w:eastAsia="en-GB"/>
        </w:rPr>
        <w:t>JRE</w:t>
      </w:r>
      <w:proofErr w:type="spellEnd"/>
      <w:r w:rsidRPr="004A1196">
        <w:rPr>
          <w:rFonts w:eastAsia="Times New Roman"/>
          <w:color w:val="0B2B43" w:themeColor="text2" w:themeShade="80"/>
          <w:lang w:eastAsia="en-GB"/>
        </w:rPr>
        <w:t>)</w:t>
      </w:r>
      <w:bookmarkEnd w:id="139"/>
      <w:bookmarkEnd w:id="140"/>
      <w:bookmarkEnd w:id="141"/>
    </w:p>
    <w:p w:rsidR="002C6039" w:rsidRPr="004A1196" w:rsidRDefault="002C6039" w:rsidP="002C6039">
      <w:pPr>
        <w:rPr>
          <w:rFonts w:eastAsia="Calibri"/>
          <w:color w:val="0B2B43" w:themeColor="text2" w:themeShade="80"/>
          <w:lang w:eastAsia="en-GB"/>
        </w:rPr>
      </w:pPr>
      <w:r w:rsidRPr="004A1196">
        <w:rPr>
          <w:rFonts w:eastAsia="Calibri"/>
          <w:color w:val="0B2B43" w:themeColor="text2" w:themeShade="80"/>
          <w:lang w:eastAsia="en-GB"/>
        </w:rPr>
        <w:t xml:space="preserve">The </w:t>
      </w:r>
      <w:proofErr w:type="spellStart"/>
      <w:r w:rsidRPr="004A1196">
        <w:rPr>
          <w:rFonts w:eastAsia="Calibri"/>
          <w:color w:val="0B2B43" w:themeColor="text2" w:themeShade="80"/>
          <w:lang w:eastAsia="en-GB"/>
        </w:rPr>
        <w:t>RIBG</w:t>
      </w:r>
      <w:proofErr w:type="spellEnd"/>
      <w:r w:rsidRPr="004A1196">
        <w:rPr>
          <w:rFonts w:eastAsia="Calibri"/>
          <w:color w:val="0B2B43" w:themeColor="text2" w:themeShade="80"/>
          <w:lang w:eastAsia="en-GB"/>
        </w:rPr>
        <w:t xml:space="preserve"> and </w:t>
      </w:r>
      <w:proofErr w:type="spellStart"/>
      <w:r w:rsidRPr="004A1196">
        <w:rPr>
          <w:rFonts w:eastAsia="Calibri"/>
          <w:color w:val="0B2B43" w:themeColor="text2" w:themeShade="80"/>
          <w:lang w:eastAsia="en-GB"/>
        </w:rPr>
        <w:t>SRE</w:t>
      </w:r>
      <w:proofErr w:type="spellEnd"/>
      <w:r w:rsidRPr="004A1196">
        <w:rPr>
          <w:rFonts w:eastAsia="Calibri"/>
          <w:color w:val="0B2B43" w:themeColor="text2" w:themeShade="80"/>
          <w:lang w:eastAsia="en-GB"/>
        </w:rPr>
        <w:t xml:space="preserve"> schemes are the main source of support to universities for the indirect costs of </w:t>
      </w:r>
      <w:proofErr w:type="spellStart"/>
      <w:r w:rsidRPr="004A1196">
        <w:rPr>
          <w:rFonts w:eastAsia="Calibri"/>
          <w:color w:val="0B2B43" w:themeColor="text2" w:themeShade="80"/>
          <w:lang w:eastAsia="en-GB"/>
        </w:rPr>
        <w:t>ACG</w:t>
      </w:r>
      <w:proofErr w:type="spellEnd"/>
      <w:r w:rsidRPr="004A1196">
        <w:rPr>
          <w:rFonts w:eastAsia="Calibri"/>
          <w:color w:val="0B2B43" w:themeColor="text2" w:themeShade="80"/>
          <w:lang w:eastAsia="en-GB"/>
        </w:rPr>
        <w:t xml:space="preserve"> research (indirect costs </w:t>
      </w:r>
      <w:proofErr w:type="gramStart"/>
      <w:r w:rsidRPr="004A1196">
        <w:rPr>
          <w:rFonts w:eastAsia="Calibri"/>
          <w:color w:val="0B2B43" w:themeColor="text2" w:themeShade="80"/>
          <w:lang w:eastAsia="en-GB"/>
        </w:rPr>
        <w:t>are discussed</w:t>
      </w:r>
      <w:proofErr w:type="gramEnd"/>
      <w:r w:rsidRPr="004A1196">
        <w:rPr>
          <w:rFonts w:eastAsia="Calibri"/>
          <w:color w:val="0B2B43" w:themeColor="text2" w:themeShade="80"/>
          <w:lang w:eastAsia="en-GB"/>
        </w:rPr>
        <w:t xml:space="preserve"> in </w:t>
      </w:r>
      <w:r w:rsidR="004718C3" w:rsidRPr="004A1196">
        <w:rPr>
          <w:rFonts w:eastAsia="Calibri"/>
          <w:color w:val="0B2B43" w:themeColor="text2" w:themeShade="80"/>
        </w:rPr>
        <w:t>C</w:t>
      </w:r>
      <w:r w:rsidRPr="004A1196">
        <w:rPr>
          <w:rFonts w:eastAsia="Calibri"/>
          <w:color w:val="0B2B43" w:themeColor="text2" w:themeShade="80"/>
        </w:rPr>
        <w:t>hapter</w:t>
      </w:r>
      <w:r w:rsidR="004718C3" w:rsidRPr="004A1196">
        <w:rPr>
          <w:rFonts w:eastAsia="Calibri"/>
          <w:color w:val="0B2B43" w:themeColor="text2" w:themeShade="80"/>
          <w:lang w:eastAsia="en-GB"/>
        </w:rPr>
        <w:t> </w:t>
      </w:r>
      <w:r w:rsidR="00E53B62" w:rsidRPr="004A1196">
        <w:rPr>
          <w:rFonts w:eastAsia="Calibri"/>
          <w:color w:val="0B2B43" w:themeColor="text2" w:themeShade="80"/>
          <w:lang w:eastAsia="en-GB"/>
        </w:rPr>
        <w:t>1</w:t>
      </w:r>
      <w:r w:rsidRPr="004A1196">
        <w:rPr>
          <w:rFonts w:eastAsia="Calibri"/>
          <w:color w:val="0B2B43" w:themeColor="text2" w:themeShade="80"/>
          <w:lang w:eastAsia="en-GB"/>
        </w:rPr>
        <w:t xml:space="preserve">). </w:t>
      </w:r>
    </w:p>
    <w:p w:rsidR="004A3C24" w:rsidRPr="004A1196" w:rsidRDefault="002C6039" w:rsidP="002C6039">
      <w:pPr>
        <w:rPr>
          <w:rFonts w:eastAsia="Calibri"/>
          <w:color w:val="0B2B43" w:themeColor="text2" w:themeShade="80"/>
          <w:lang w:eastAsia="en-GB"/>
        </w:rPr>
      </w:pPr>
      <w:r w:rsidRPr="004A1196">
        <w:rPr>
          <w:rFonts w:eastAsia="Calibri"/>
          <w:color w:val="0B2B43" w:themeColor="text2" w:themeShade="80"/>
          <w:lang w:eastAsia="en-GB"/>
        </w:rPr>
        <w:t xml:space="preserve">The </w:t>
      </w:r>
      <w:proofErr w:type="spellStart"/>
      <w:r w:rsidRPr="004A1196">
        <w:rPr>
          <w:rFonts w:eastAsia="Calibri"/>
          <w:color w:val="0B2B43" w:themeColor="text2" w:themeShade="80"/>
          <w:lang w:eastAsia="en-GB"/>
        </w:rPr>
        <w:t>RIBG</w:t>
      </w:r>
      <w:proofErr w:type="spellEnd"/>
      <w:r w:rsidRPr="004A1196">
        <w:rPr>
          <w:rFonts w:eastAsia="Calibri"/>
          <w:color w:val="0B2B43" w:themeColor="text2" w:themeShade="80"/>
          <w:lang w:eastAsia="en-GB"/>
        </w:rPr>
        <w:t xml:space="preserve"> </w:t>
      </w:r>
      <w:proofErr w:type="gramStart"/>
      <w:r w:rsidRPr="004A1196">
        <w:rPr>
          <w:rFonts w:eastAsia="Calibri"/>
          <w:color w:val="0B2B43" w:themeColor="text2" w:themeShade="80"/>
          <w:lang w:eastAsia="en-GB"/>
        </w:rPr>
        <w:t>was introduced</w:t>
      </w:r>
      <w:proofErr w:type="gramEnd"/>
      <w:r w:rsidRPr="004A1196">
        <w:rPr>
          <w:rFonts w:eastAsia="Calibri"/>
          <w:color w:val="0B2B43" w:themeColor="text2" w:themeShade="80"/>
          <w:lang w:eastAsia="en-GB"/>
        </w:rPr>
        <w:t xml:space="preserve"> in 1995 to support research infrastructure, particularly to meet project-related infrastructure costs associated with </w:t>
      </w:r>
      <w:proofErr w:type="spellStart"/>
      <w:r w:rsidRPr="004A1196">
        <w:rPr>
          <w:rFonts w:eastAsia="Calibri"/>
          <w:color w:val="0B2B43" w:themeColor="text2" w:themeShade="80"/>
          <w:lang w:eastAsia="en-GB"/>
        </w:rPr>
        <w:t>ACG</w:t>
      </w:r>
      <w:proofErr w:type="spellEnd"/>
      <w:r w:rsidRPr="004A1196">
        <w:rPr>
          <w:rFonts w:eastAsia="Calibri"/>
          <w:color w:val="0B2B43" w:themeColor="text2" w:themeShade="80"/>
          <w:lang w:eastAsia="en-GB"/>
        </w:rPr>
        <w:t xml:space="preserve">. It </w:t>
      </w:r>
      <w:proofErr w:type="gramStart"/>
      <w:r w:rsidRPr="004A1196">
        <w:rPr>
          <w:rFonts w:eastAsia="Calibri"/>
          <w:color w:val="0B2B43" w:themeColor="text2" w:themeShade="80"/>
          <w:lang w:eastAsia="en-GB"/>
        </w:rPr>
        <w:t>has always been allocated</w:t>
      </w:r>
      <w:proofErr w:type="gramEnd"/>
      <w:r w:rsidRPr="004A1196">
        <w:rPr>
          <w:rFonts w:eastAsia="Calibri"/>
          <w:color w:val="0B2B43" w:themeColor="text2" w:themeShade="80"/>
          <w:lang w:eastAsia="en-GB"/>
        </w:rPr>
        <w:t xml:space="preserve"> using </w:t>
      </w:r>
      <w:proofErr w:type="spellStart"/>
      <w:r w:rsidRPr="004A1196">
        <w:rPr>
          <w:rFonts w:eastAsia="Calibri"/>
          <w:color w:val="0B2B43" w:themeColor="text2" w:themeShade="80"/>
          <w:lang w:eastAsia="en-GB"/>
        </w:rPr>
        <w:t>ACG</w:t>
      </w:r>
      <w:proofErr w:type="spellEnd"/>
      <w:r w:rsidRPr="004A1196">
        <w:rPr>
          <w:rFonts w:eastAsia="Calibri"/>
          <w:color w:val="0B2B43" w:themeColor="text2" w:themeShade="80"/>
          <w:lang w:eastAsia="en-GB"/>
        </w:rPr>
        <w:t xml:space="preserve"> income. A 1999 discussion paper proposed that </w:t>
      </w:r>
      <w:proofErr w:type="spellStart"/>
      <w:r w:rsidRPr="004A1196">
        <w:rPr>
          <w:rFonts w:eastAsia="Calibri"/>
          <w:color w:val="0B2B43" w:themeColor="text2" w:themeShade="80"/>
          <w:lang w:eastAsia="en-GB"/>
        </w:rPr>
        <w:t>RIBG</w:t>
      </w:r>
      <w:proofErr w:type="spellEnd"/>
      <w:r w:rsidRPr="004A1196">
        <w:rPr>
          <w:rFonts w:eastAsia="Calibri"/>
          <w:color w:val="0B2B43" w:themeColor="text2" w:themeShade="80"/>
          <w:lang w:eastAsia="en-GB"/>
        </w:rPr>
        <w:t xml:space="preserve"> funding should be attached to competitive grants — but this was not adopted on the basis that universities should have the flexibility and capacity to manage their infrastructure requirements at institutional level across all disciplines.</w:t>
      </w:r>
      <w:r w:rsidRPr="004A1196">
        <w:rPr>
          <w:rFonts w:eastAsia="Calibri"/>
          <w:color w:val="0B2B43" w:themeColor="text2" w:themeShade="80"/>
          <w:vertAlign w:val="superscript"/>
          <w:lang w:eastAsia="en-GB"/>
        </w:rPr>
        <w:footnoteReference w:id="19"/>
      </w:r>
      <w:r w:rsidRPr="004A1196">
        <w:rPr>
          <w:rFonts w:eastAsia="Calibri"/>
          <w:color w:val="0B2B43" w:themeColor="text2" w:themeShade="80"/>
          <w:lang w:eastAsia="en-GB"/>
        </w:rPr>
        <w:t xml:space="preserve"> </w:t>
      </w:r>
      <w:proofErr w:type="spellStart"/>
      <w:r w:rsidRPr="004A1196">
        <w:rPr>
          <w:rFonts w:eastAsia="Calibri"/>
          <w:color w:val="0B2B43" w:themeColor="text2" w:themeShade="80"/>
          <w:lang w:eastAsia="en-GB"/>
        </w:rPr>
        <w:t>RIBG</w:t>
      </w:r>
      <w:proofErr w:type="spellEnd"/>
      <w:r w:rsidRPr="004A1196">
        <w:rPr>
          <w:rFonts w:eastAsia="Calibri"/>
          <w:color w:val="0B2B43" w:themeColor="text2" w:themeShade="80"/>
          <w:lang w:eastAsia="en-GB"/>
        </w:rPr>
        <w:t xml:space="preserve"> funding </w:t>
      </w:r>
      <w:proofErr w:type="gramStart"/>
      <w:r w:rsidRPr="004A1196">
        <w:rPr>
          <w:rFonts w:eastAsia="Calibri"/>
          <w:color w:val="0B2B43" w:themeColor="text2" w:themeShade="80"/>
          <w:lang w:eastAsia="en-GB"/>
        </w:rPr>
        <w:t>was increased</w:t>
      </w:r>
      <w:proofErr w:type="gramEnd"/>
      <w:r w:rsidRPr="004A1196">
        <w:rPr>
          <w:rFonts w:eastAsia="Calibri"/>
          <w:color w:val="0B2B43" w:themeColor="text2" w:themeShade="80"/>
          <w:lang w:eastAsia="en-GB"/>
        </w:rPr>
        <w:t xml:space="preserve"> substantially in 2002 under the then government’s </w:t>
      </w:r>
      <w:r w:rsidRPr="004A1196">
        <w:rPr>
          <w:rFonts w:eastAsia="Calibri"/>
          <w:i/>
          <w:color w:val="0B2B43" w:themeColor="text2" w:themeShade="80"/>
          <w:lang w:eastAsia="en-GB"/>
        </w:rPr>
        <w:t>Backing Australia’s Ability – An Innovation Action Plan for the Future</w:t>
      </w:r>
      <w:r w:rsidRPr="004A1196">
        <w:rPr>
          <w:rFonts w:eastAsia="Calibri"/>
          <w:color w:val="0B2B43" w:themeColor="text2" w:themeShade="80"/>
          <w:lang w:eastAsia="en-GB"/>
        </w:rPr>
        <w:t>, with the aim of maintaining research infrastructure funding of at least 20 cents in the competitive dollar.</w:t>
      </w:r>
    </w:p>
    <w:p w:rsidR="002C6039" w:rsidRPr="004A1196" w:rsidRDefault="002C6039">
      <w:pPr>
        <w:rPr>
          <w:rFonts w:eastAsia="Calibri"/>
          <w:color w:val="0B2B43" w:themeColor="text2" w:themeShade="80"/>
          <w:lang w:eastAsia="en-GB"/>
        </w:rPr>
      </w:pPr>
      <w:r w:rsidRPr="004A1196">
        <w:rPr>
          <w:rFonts w:eastAsia="Calibri"/>
          <w:color w:val="0B2B43" w:themeColor="text2" w:themeShade="80"/>
          <w:lang w:eastAsia="en-GB"/>
        </w:rPr>
        <w:t xml:space="preserve">The </w:t>
      </w:r>
      <w:proofErr w:type="spellStart"/>
      <w:r w:rsidRPr="004A1196">
        <w:rPr>
          <w:rFonts w:eastAsia="Calibri"/>
          <w:color w:val="0B2B43" w:themeColor="text2" w:themeShade="80"/>
          <w:lang w:eastAsia="en-GB"/>
        </w:rPr>
        <w:t>SRE</w:t>
      </w:r>
      <w:proofErr w:type="spellEnd"/>
      <w:r w:rsidRPr="004A1196">
        <w:rPr>
          <w:rFonts w:eastAsia="Calibri"/>
          <w:color w:val="0B2B43" w:themeColor="text2" w:themeShade="80"/>
          <w:lang w:eastAsia="en-GB"/>
        </w:rPr>
        <w:t xml:space="preserve"> </w:t>
      </w:r>
      <w:proofErr w:type="gramStart"/>
      <w:r w:rsidRPr="004A1196">
        <w:rPr>
          <w:rFonts w:eastAsia="Calibri"/>
          <w:color w:val="0B2B43" w:themeColor="text2" w:themeShade="80"/>
          <w:lang w:eastAsia="en-GB"/>
        </w:rPr>
        <w:t>was introduced</w:t>
      </w:r>
      <w:proofErr w:type="gramEnd"/>
      <w:r w:rsidRPr="004A1196">
        <w:rPr>
          <w:rFonts w:eastAsia="Calibri"/>
          <w:color w:val="0B2B43" w:themeColor="text2" w:themeShade="80"/>
          <w:lang w:eastAsia="en-GB"/>
        </w:rPr>
        <w:t xml:space="preserve"> in 2010 with the objective of increasing funding to support the indirect costs of research over time. The scheme also sought to build and maintain research excellence in universities through providing incentives to implement best practice financial management, performance and reporting frameworks. Funding under </w:t>
      </w:r>
      <w:proofErr w:type="spellStart"/>
      <w:r w:rsidRPr="004A1196">
        <w:rPr>
          <w:rFonts w:eastAsia="Calibri"/>
          <w:color w:val="0B2B43" w:themeColor="text2" w:themeShade="80"/>
          <w:lang w:eastAsia="en-GB"/>
        </w:rPr>
        <w:t>SRE</w:t>
      </w:r>
      <w:proofErr w:type="spellEnd"/>
      <w:r w:rsidRPr="004A1196">
        <w:rPr>
          <w:rFonts w:eastAsia="Calibri"/>
          <w:color w:val="0B2B43" w:themeColor="text2" w:themeShade="80"/>
          <w:lang w:eastAsia="en-GB"/>
        </w:rPr>
        <w:t xml:space="preserve"> is driven by Category 1 research income and uses two moderators to determine final grant amounts</w:t>
      </w:r>
      <w:r w:rsidR="00DE4192">
        <w:rPr>
          <w:rFonts w:eastAsia="Calibri"/>
          <w:color w:val="0B2B43" w:themeColor="text2" w:themeShade="80"/>
          <w:lang w:eastAsia="en-GB"/>
        </w:rPr>
        <w:t xml:space="preserve"> </w:t>
      </w:r>
      <w:r w:rsidR="00DE4192">
        <w:rPr>
          <w:rFonts w:eastAsia="Calibri" w:cs="Calibri"/>
          <w:color w:val="0B2B43" w:themeColor="text2" w:themeShade="80"/>
          <w:lang w:eastAsia="en-GB"/>
        </w:rPr>
        <w:t>―</w:t>
      </w:r>
      <w:r w:rsidR="00DE4192">
        <w:rPr>
          <w:rFonts w:eastAsia="Calibri"/>
          <w:color w:val="0B2B43" w:themeColor="text2" w:themeShade="80"/>
          <w:lang w:eastAsia="en-GB"/>
        </w:rPr>
        <w:t> </w:t>
      </w:r>
      <w:r w:rsidRPr="004A1196">
        <w:rPr>
          <w:rFonts w:eastAsia="Calibri"/>
          <w:color w:val="0B2B43" w:themeColor="text2" w:themeShade="80"/>
          <w:lang w:eastAsia="en-GB"/>
        </w:rPr>
        <w:t>an excellence index based on ERA results and data from transparent costing — the latter based on a staff hours survey in 2011</w:t>
      </w:r>
      <w:r w:rsidRPr="004A1196">
        <w:rPr>
          <w:rFonts w:eastAsia="Calibri"/>
          <w:color w:val="0B2B43" w:themeColor="text2" w:themeShade="80"/>
          <w:vertAlign w:val="superscript"/>
          <w:lang w:eastAsia="en-GB"/>
        </w:rPr>
        <w:footnoteReference w:id="20"/>
      </w:r>
      <w:r w:rsidRPr="004A1196">
        <w:rPr>
          <w:rFonts w:eastAsia="Calibri"/>
          <w:color w:val="0B2B43" w:themeColor="text2" w:themeShade="80"/>
          <w:lang w:eastAsia="en-GB"/>
        </w:rPr>
        <w:t xml:space="preserve"> and an annual financial report by each institution on their indirect costs.</w:t>
      </w:r>
    </w:p>
    <w:p w:rsidR="002C6039" w:rsidRPr="004A1196" w:rsidRDefault="002C6039" w:rsidP="002C6039">
      <w:pPr>
        <w:rPr>
          <w:rFonts w:eastAsia="Calibri"/>
          <w:color w:val="0B2B43" w:themeColor="text2" w:themeShade="80"/>
          <w:lang w:eastAsia="en-GB"/>
        </w:rPr>
      </w:pPr>
      <w:r w:rsidRPr="004A1196">
        <w:rPr>
          <w:rFonts w:eastAsia="Calibri"/>
          <w:color w:val="0B2B43" w:themeColor="text2" w:themeShade="80"/>
          <w:lang w:eastAsia="en-GB"/>
        </w:rPr>
        <w:t>In 2015, the application of the excellence index crea</w:t>
      </w:r>
      <w:r w:rsidR="00262B7B">
        <w:rPr>
          <w:rFonts w:eastAsia="Calibri"/>
          <w:color w:val="0B2B43" w:themeColor="text2" w:themeShade="80"/>
          <w:lang w:eastAsia="en-GB"/>
        </w:rPr>
        <w:t>ted an average loss against pre</w:t>
      </w:r>
      <w:r w:rsidR="00262B7B">
        <w:rPr>
          <w:rFonts w:eastAsia="Calibri"/>
          <w:color w:val="0B2B43" w:themeColor="text2" w:themeShade="80"/>
          <w:lang w:eastAsia="en-GB"/>
        </w:rPr>
        <w:noBreakHyphen/>
      </w:r>
      <w:r w:rsidRPr="004A1196">
        <w:rPr>
          <w:rFonts w:eastAsia="Calibri"/>
          <w:color w:val="0B2B43" w:themeColor="text2" w:themeShade="80"/>
          <w:lang w:eastAsia="en-GB"/>
        </w:rPr>
        <w:t xml:space="preserve">moderated allocations of $0.35 million and an average gain of $1.51 million. These average movements represent 0.4 per cent and 2.0 per cent of the </w:t>
      </w:r>
      <w:proofErr w:type="spellStart"/>
      <w:r w:rsidRPr="004A1196">
        <w:rPr>
          <w:rFonts w:eastAsia="Calibri"/>
          <w:color w:val="0B2B43" w:themeColor="text2" w:themeShade="80"/>
          <w:lang w:eastAsia="en-GB"/>
        </w:rPr>
        <w:t>SRE</w:t>
      </w:r>
      <w:proofErr w:type="spellEnd"/>
      <w:r w:rsidRPr="004A1196">
        <w:rPr>
          <w:rFonts w:eastAsia="Calibri"/>
          <w:color w:val="0B2B43" w:themeColor="text2" w:themeShade="80"/>
          <w:lang w:eastAsia="en-GB"/>
        </w:rPr>
        <w:t xml:space="preserve"> excellence pool and 0.2 per cent and 0.8 per cent of total </w:t>
      </w:r>
      <w:proofErr w:type="spellStart"/>
      <w:r w:rsidRPr="004A1196">
        <w:rPr>
          <w:rFonts w:eastAsia="Calibri"/>
          <w:color w:val="0B2B43" w:themeColor="text2" w:themeShade="80"/>
          <w:lang w:eastAsia="en-GB"/>
        </w:rPr>
        <w:t>SRE</w:t>
      </w:r>
      <w:proofErr w:type="spellEnd"/>
      <w:r w:rsidRPr="004A1196">
        <w:rPr>
          <w:rFonts w:eastAsia="Calibri"/>
          <w:color w:val="0B2B43" w:themeColor="text2" w:themeShade="80"/>
          <w:lang w:eastAsia="en-GB"/>
        </w:rPr>
        <w:t xml:space="preserve"> funding.</w:t>
      </w:r>
    </w:p>
    <w:p w:rsidR="002C6039" w:rsidRPr="004A1196" w:rsidRDefault="002C6039" w:rsidP="002C6039">
      <w:pPr>
        <w:rPr>
          <w:rFonts w:eastAsia="Calibri"/>
          <w:color w:val="0B2B43" w:themeColor="text2" w:themeShade="80"/>
          <w:lang w:eastAsia="en-GB"/>
        </w:rPr>
      </w:pPr>
      <w:r w:rsidRPr="004A1196">
        <w:rPr>
          <w:rFonts w:eastAsia="Calibri"/>
          <w:color w:val="0B2B43" w:themeColor="text2" w:themeShade="80"/>
          <w:lang w:eastAsia="en-GB"/>
        </w:rPr>
        <w:t xml:space="preserve">Transparent costing has </w:t>
      </w:r>
      <w:r w:rsidR="002C3B42">
        <w:rPr>
          <w:rFonts w:eastAsia="Calibri"/>
          <w:color w:val="0B2B43" w:themeColor="text2" w:themeShade="80"/>
          <w:lang w:eastAsia="en-GB"/>
        </w:rPr>
        <w:t>a smaller impact on allocations. I</w:t>
      </w:r>
      <w:r w:rsidRPr="004A1196">
        <w:rPr>
          <w:rFonts w:eastAsia="Calibri"/>
          <w:color w:val="0B2B43" w:themeColor="text2" w:themeShade="80"/>
          <w:lang w:eastAsia="en-GB"/>
        </w:rPr>
        <w:t xml:space="preserve">n </w:t>
      </w:r>
      <w:proofErr w:type="gramStart"/>
      <w:r w:rsidRPr="004A1196">
        <w:rPr>
          <w:rFonts w:eastAsia="Calibri"/>
          <w:color w:val="0B2B43" w:themeColor="text2" w:themeShade="80"/>
          <w:lang w:eastAsia="en-GB"/>
        </w:rPr>
        <w:t>2015</w:t>
      </w:r>
      <w:proofErr w:type="gramEnd"/>
      <w:r w:rsidRPr="004A1196">
        <w:rPr>
          <w:rFonts w:eastAsia="Calibri"/>
          <w:color w:val="0B2B43" w:themeColor="text2" w:themeShade="80"/>
          <w:lang w:eastAsia="en-GB"/>
        </w:rPr>
        <w:t xml:space="preserve"> the application of the transparent costing moderators created an average loss against pre-moderated allocations of $0.11 million and an average gain of $0.04 million. These average movements represent 0.14 per cent and 0.05 per cent of the transparent costing pool and 0.06 per cent and 0.02 per cent of total </w:t>
      </w:r>
      <w:proofErr w:type="spellStart"/>
      <w:r w:rsidRPr="004A1196">
        <w:rPr>
          <w:rFonts w:eastAsia="Calibri"/>
          <w:color w:val="0B2B43" w:themeColor="text2" w:themeShade="80"/>
          <w:lang w:eastAsia="en-GB"/>
        </w:rPr>
        <w:t>SRE</w:t>
      </w:r>
      <w:proofErr w:type="spellEnd"/>
      <w:r w:rsidRPr="004A1196">
        <w:rPr>
          <w:rFonts w:eastAsia="Calibri"/>
          <w:color w:val="0B2B43" w:themeColor="text2" w:themeShade="80"/>
          <w:lang w:eastAsia="en-GB"/>
        </w:rPr>
        <w:t xml:space="preserve"> funding.</w:t>
      </w:r>
    </w:p>
    <w:p w:rsidR="002C6039" w:rsidRPr="004A1196" w:rsidRDefault="002C6039" w:rsidP="002C6039">
      <w:pPr>
        <w:rPr>
          <w:rFonts w:eastAsia="Calibri"/>
          <w:color w:val="0B2B43" w:themeColor="text2" w:themeShade="80"/>
          <w:lang w:eastAsia="en-GB"/>
        </w:rPr>
      </w:pPr>
      <w:r w:rsidRPr="004A1196">
        <w:rPr>
          <w:rFonts w:eastAsia="Calibri"/>
          <w:color w:val="0B2B43" w:themeColor="text2" w:themeShade="80"/>
          <w:lang w:eastAsia="en-GB"/>
        </w:rPr>
        <w:t xml:space="preserve">The third scheme, the </w:t>
      </w:r>
      <w:proofErr w:type="spellStart"/>
      <w:r w:rsidRPr="004A1196">
        <w:rPr>
          <w:rFonts w:eastAsia="Calibri"/>
          <w:color w:val="0B2B43" w:themeColor="text2" w:themeShade="80"/>
          <w:lang w:eastAsia="en-GB"/>
        </w:rPr>
        <w:t>JRE</w:t>
      </w:r>
      <w:proofErr w:type="spellEnd"/>
      <w:r w:rsidRPr="004A1196">
        <w:rPr>
          <w:rFonts w:eastAsia="Calibri"/>
          <w:color w:val="0B2B43" w:themeColor="text2" w:themeShade="80"/>
          <w:lang w:eastAsia="en-GB"/>
        </w:rPr>
        <w:t xml:space="preserve">, replaced the Institutional Grants Scheme in 2010. The </w:t>
      </w:r>
      <w:proofErr w:type="spellStart"/>
      <w:r w:rsidRPr="004A1196">
        <w:rPr>
          <w:rFonts w:eastAsia="Calibri"/>
          <w:color w:val="0B2B43" w:themeColor="text2" w:themeShade="80"/>
          <w:lang w:eastAsia="en-GB"/>
        </w:rPr>
        <w:t>JRE</w:t>
      </w:r>
      <w:proofErr w:type="spellEnd"/>
      <w:r w:rsidRPr="004A1196">
        <w:rPr>
          <w:rFonts w:eastAsia="Calibri"/>
          <w:color w:val="0B2B43" w:themeColor="text2" w:themeShade="80"/>
          <w:lang w:eastAsia="en-GB"/>
        </w:rPr>
        <w:t xml:space="preserve"> aimed to introduce greater incentives for </w:t>
      </w:r>
      <w:r w:rsidR="003904BC">
        <w:rPr>
          <w:rFonts w:eastAsia="Calibri"/>
          <w:color w:val="0B2B43" w:themeColor="text2" w:themeShade="80"/>
          <w:lang w:eastAsia="en-GB"/>
        </w:rPr>
        <w:t>end user</w:t>
      </w:r>
      <w:r w:rsidRPr="004A1196">
        <w:rPr>
          <w:rFonts w:eastAsia="Calibri"/>
          <w:color w:val="0B2B43" w:themeColor="text2" w:themeShade="80"/>
          <w:lang w:eastAsia="en-GB"/>
        </w:rPr>
        <w:t xml:space="preserve"> research by removing Category 1 (</w:t>
      </w:r>
      <w:proofErr w:type="spellStart"/>
      <w:r w:rsidRPr="004A1196">
        <w:rPr>
          <w:rFonts w:eastAsia="Calibri"/>
          <w:color w:val="0B2B43" w:themeColor="text2" w:themeShade="80"/>
          <w:lang w:eastAsia="en-GB"/>
        </w:rPr>
        <w:t>ACG</w:t>
      </w:r>
      <w:proofErr w:type="spellEnd"/>
      <w:r w:rsidRPr="004A1196">
        <w:rPr>
          <w:rFonts w:eastAsia="Calibri"/>
          <w:color w:val="0B2B43" w:themeColor="text2" w:themeShade="80"/>
          <w:lang w:eastAsia="en-GB"/>
        </w:rPr>
        <w:t xml:space="preserve"> income) from the funding formula for the preceding scheme. However, both the funding allocation and its purpose, to support general institutional research infrastructure, remained unchanged.</w:t>
      </w:r>
    </w:p>
    <w:p w:rsidR="002C6039" w:rsidRPr="004A1196" w:rsidRDefault="002C6039" w:rsidP="002C6039">
      <w:pPr>
        <w:rPr>
          <w:rFonts w:eastAsia="Calibri"/>
          <w:color w:val="0B2B43" w:themeColor="text2" w:themeShade="80"/>
          <w:lang w:eastAsia="en-GB"/>
        </w:rPr>
      </w:pPr>
      <w:r w:rsidRPr="004A1196">
        <w:rPr>
          <w:rFonts w:eastAsia="Calibri"/>
          <w:color w:val="0B2B43" w:themeColor="text2" w:themeShade="80"/>
          <w:lang w:eastAsia="en-GB"/>
        </w:rPr>
        <w:t xml:space="preserve">The </w:t>
      </w:r>
      <w:proofErr w:type="spellStart"/>
      <w:r w:rsidRPr="004A1196">
        <w:rPr>
          <w:rFonts w:eastAsia="Calibri"/>
          <w:color w:val="0B2B43" w:themeColor="text2" w:themeShade="80"/>
          <w:lang w:eastAsia="en-GB"/>
        </w:rPr>
        <w:t>JRE</w:t>
      </w:r>
      <w:proofErr w:type="spellEnd"/>
      <w:r w:rsidRPr="004A1196">
        <w:rPr>
          <w:rFonts w:eastAsia="Calibri"/>
          <w:color w:val="0B2B43" w:themeColor="text2" w:themeShade="80"/>
          <w:lang w:eastAsia="en-GB"/>
        </w:rPr>
        <w:t xml:space="preserve"> Engineering Cadetships is a small sub-scheme with funding of $4.4 million in 2015. It provides participating institutions with supplementation to support the research training costs for each </w:t>
      </w:r>
      <w:proofErr w:type="spellStart"/>
      <w:r w:rsidRPr="004A1196">
        <w:rPr>
          <w:rFonts w:eastAsia="Calibri"/>
          <w:color w:val="0B2B43" w:themeColor="text2" w:themeShade="80"/>
          <w:lang w:eastAsia="en-GB"/>
        </w:rPr>
        <w:t>HDR</w:t>
      </w:r>
      <w:proofErr w:type="spellEnd"/>
      <w:r w:rsidRPr="004A1196">
        <w:rPr>
          <w:rFonts w:eastAsia="Calibri"/>
          <w:color w:val="0B2B43" w:themeColor="text2" w:themeShade="80"/>
          <w:lang w:eastAsia="en-GB"/>
        </w:rPr>
        <w:t xml:space="preserve"> student undertaking a cadetship in relevant areas of engineering and science. Cadetships involve a combination of formal research training with the institution and concurrent employment with a business to carry out R&amp;D activities. This scheme has been unsuccessful since its start. The number of universities participating has declined each year and in 2015, fourteen universities indicated they would not participate.</w:t>
      </w:r>
      <w:r w:rsidR="003D4AF7" w:rsidRPr="004A1196">
        <w:rPr>
          <w:rStyle w:val="FootnoteReference"/>
          <w:rFonts w:eastAsia="Calibri"/>
          <w:color w:val="0B2B43" w:themeColor="text2" w:themeShade="80"/>
          <w:lang w:eastAsia="en-GB"/>
        </w:rPr>
        <w:footnoteReference w:id="21"/>
      </w:r>
      <w:r w:rsidRPr="004A1196">
        <w:rPr>
          <w:rFonts w:eastAsia="Calibri"/>
          <w:color w:val="0B2B43" w:themeColor="text2" w:themeShade="80"/>
          <w:lang w:eastAsia="en-GB"/>
        </w:rPr>
        <w:t xml:space="preserve"> Universities have indicated that the scheme is not cost effective as it provides a very small amount of funding, is resource intensive to administer and it is difficult to find appropriate cadetship placements. It is clear that the scheme is too complex and imposes excessive requirements on participating students, employers and universities. </w:t>
      </w:r>
    </w:p>
    <w:p w:rsidR="002C6039" w:rsidRPr="004A1196" w:rsidRDefault="002C6039" w:rsidP="002C6039">
      <w:pPr>
        <w:pStyle w:val="RIHeading3"/>
        <w:rPr>
          <w:color w:val="0B2B43" w:themeColor="text2" w:themeShade="80"/>
        </w:rPr>
      </w:pPr>
      <w:bookmarkStart w:id="142" w:name="_Toc436651824"/>
      <w:bookmarkStart w:id="143" w:name="_Toc436659632"/>
      <w:bookmarkStart w:id="144" w:name="_Toc436660130"/>
      <w:r w:rsidRPr="004A1196">
        <w:rPr>
          <w:rFonts w:eastAsia="Times New Roman"/>
          <w:color w:val="0B2B43" w:themeColor="text2" w:themeShade="80"/>
        </w:rPr>
        <w:t xml:space="preserve">Research </w:t>
      </w:r>
      <w:r w:rsidR="00366E47" w:rsidRPr="004A1196">
        <w:rPr>
          <w:rFonts w:eastAsia="Times New Roman"/>
          <w:color w:val="0B2B43" w:themeColor="text2" w:themeShade="80"/>
        </w:rPr>
        <w:t xml:space="preserve">training </w:t>
      </w:r>
      <w:r w:rsidRPr="004A1196">
        <w:rPr>
          <w:rFonts w:eastAsia="Times New Roman"/>
          <w:color w:val="0B2B43" w:themeColor="text2" w:themeShade="80"/>
        </w:rPr>
        <w:t>schemes (</w:t>
      </w:r>
      <w:proofErr w:type="spellStart"/>
      <w:r w:rsidRPr="004A1196">
        <w:rPr>
          <w:rFonts w:eastAsia="Times New Roman"/>
          <w:color w:val="0B2B43" w:themeColor="text2" w:themeShade="80"/>
        </w:rPr>
        <w:t>RTS</w:t>
      </w:r>
      <w:proofErr w:type="spellEnd"/>
      <w:r w:rsidRPr="004A1196">
        <w:rPr>
          <w:rFonts w:eastAsia="Times New Roman"/>
          <w:color w:val="0B2B43" w:themeColor="text2" w:themeShade="80"/>
        </w:rPr>
        <w:t xml:space="preserve">, </w:t>
      </w:r>
      <w:proofErr w:type="spellStart"/>
      <w:r w:rsidRPr="004A1196">
        <w:rPr>
          <w:rFonts w:eastAsia="Times New Roman"/>
          <w:color w:val="0B2B43" w:themeColor="text2" w:themeShade="80"/>
        </w:rPr>
        <w:t>APA</w:t>
      </w:r>
      <w:proofErr w:type="spellEnd"/>
      <w:r w:rsidRPr="004A1196">
        <w:rPr>
          <w:rFonts w:eastAsia="Times New Roman"/>
          <w:color w:val="0B2B43" w:themeColor="text2" w:themeShade="80"/>
        </w:rPr>
        <w:t xml:space="preserve"> and </w:t>
      </w:r>
      <w:proofErr w:type="spellStart"/>
      <w:r w:rsidRPr="004A1196">
        <w:rPr>
          <w:rFonts w:eastAsia="Times New Roman"/>
          <w:color w:val="0B2B43" w:themeColor="text2" w:themeShade="80"/>
        </w:rPr>
        <w:t>IPRS</w:t>
      </w:r>
      <w:proofErr w:type="spellEnd"/>
      <w:r w:rsidRPr="004A1196">
        <w:rPr>
          <w:rFonts w:eastAsia="Times New Roman"/>
          <w:color w:val="0B2B43" w:themeColor="text2" w:themeShade="80"/>
        </w:rPr>
        <w:t>)</w:t>
      </w:r>
      <w:bookmarkEnd w:id="142"/>
      <w:bookmarkEnd w:id="143"/>
      <w:bookmarkEnd w:id="144"/>
    </w:p>
    <w:p w:rsidR="002C6039" w:rsidRPr="004A1196" w:rsidRDefault="002C6039" w:rsidP="002C6039">
      <w:pPr>
        <w:rPr>
          <w:rFonts w:eastAsia="Calibri"/>
          <w:color w:val="0B2B43" w:themeColor="text2" w:themeShade="80"/>
          <w:lang w:eastAsia="en-GB"/>
        </w:rPr>
      </w:pPr>
      <w:r w:rsidRPr="004A1196">
        <w:rPr>
          <w:rFonts w:eastAsia="Calibri"/>
          <w:color w:val="0B2B43" w:themeColor="text2" w:themeShade="80"/>
          <w:lang w:eastAsia="en-GB"/>
        </w:rPr>
        <w:t xml:space="preserve">The </w:t>
      </w:r>
      <w:proofErr w:type="spellStart"/>
      <w:r w:rsidRPr="004A1196">
        <w:rPr>
          <w:rFonts w:eastAsia="Calibri"/>
          <w:color w:val="0B2B43" w:themeColor="text2" w:themeShade="80"/>
          <w:lang w:eastAsia="en-GB"/>
        </w:rPr>
        <w:t>RTS</w:t>
      </w:r>
      <w:proofErr w:type="spellEnd"/>
      <w:r w:rsidRPr="004A1196">
        <w:rPr>
          <w:rFonts w:eastAsia="Calibri"/>
          <w:color w:val="0B2B43" w:themeColor="text2" w:themeShade="80"/>
          <w:lang w:eastAsia="en-GB"/>
        </w:rPr>
        <w:t xml:space="preserve">, the </w:t>
      </w:r>
      <w:proofErr w:type="spellStart"/>
      <w:r w:rsidRPr="004A1196">
        <w:rPr>
          <w:rFonts w:eastAsia="Calibri"/>
          <w:color w:val="0B2B43" w:themeColor="text2" w:themeShade="80"/>
          <w:lang w:eastAsia="en-GB"/>
        </w:rPr>
        <w:t>APA</w:t>
      </w:r>
      <w:proofErr w:type="spellEnd"/>
      <w:r w:rsidRPr="004A1196">
        <w:rPr>
          <w:rFonts w:eastAsia="Calibri"/>
          <w:color w:val="0B2B43" w:themeColor="text2" w:themeShade="80"/>
          <w:lang w:eastAsia="en-GB"/>
        </w:rPr>
        <w:t xml:space="preserve"> and the </w:t>
      </w:r>
      <w:proofErr w:type="spellStart"/>
      <w:r w:rsidRPr="004A1196">
        <w:rPr>
          <w:rFonts w:eastAsia="Calibri"/>
          <w:color w:val="0B2B43" w:themeColor="text2" w:themeShade="80"/>
          <w:lang w:eastAsia="en-GB"/>
        </w:rPr>
        <w:t>IPRS</w:t>
      </w:r>
      <w:proofErr w:type="spellEnd"/>
      <w:r w:rsidRPr="004A1196">
        <w:rPr>
          <w:rFonts w:eastAsia="Calibri"/>
          <w:color w:val="0B2B43" w:themeColor="text2" w:themeShade="80"/>
          <w:lang w:eastAsia="en-GB"/>
        </w:rPr>
        <w:t xml:space="preserve"> have been largely stable in their objectives and structure since the introduction of the </w:t>
      </w:r>
      <w:proofErr w:type="spellStart"/>
      <w:r w:rsidRPr="004A1196">
        <w:rPr>
          <w:rFonts w:eastAsia="Calibri"/>
          <w:color w:val="0B2B43" w:themeColor="text2" w:themeShade="80"/>
          <w:lang w:eastAsia="en-GB"/>
        </w:rPr>
        <w:t>RTS</w:t>
      </w:r>
      <w:proofErr w:type="spellEnd"/>
      <w:r w:rsidRPr="004A1196">
        <w:rPr>
          <w:rFonts w:eastAsia="Calibri"/>
          <w:color w:val="0B2B43" w:themeColor="text2" w:themeShade="80"/>
          <w:lang w:eastAsia="en-GB"/>
        </w:rPr>
        <w:t xml:space="preserve"> in 2002. The current funding allocation drivers for the </w:t>
      </w:r>
      <w:proofErr w:type="spellStart"/>
      <w:r w:rsidRPr="004A1196">
        <w:rPr>
          <w:rFonts w:eastAsia="Calibri"/>
          <w:color w:val="0B2B43" w:themeColor="text2" w:themeShade="80"/>
          <w:lang w:eastAsia="en-GB"/>
        </w:rPr>
        <w:t>APA</w:t>
      </w:r>
      <w:proofErr w:type="spellEnd"/>
      <w:r w:rsidRPr="004A1196">
        <w:rPr>
          <w:rFonts w:eastAsia="Calibri"/>
          <w:color w:val="0B2B43" w:themeColor="text2" w:themeShade="80"/>
          <w:lang w:eastAsia="en-GB"/>
        </w:rPr>
        <w:t xml:space="preserve"> and </w:t>
      </w:r>
      <w:proofErr w:type="spellStart"/>
      <w:r w:rsidRPr="004A1196">
        <w:rPr>
          <w:rFonts w:eastAsia="Calibri"/>
          <w:color w:val="0B2B43" w:themeColor="text2" w:themeShade="80"/>
          <w:lang w:eastAsia="en-GB"/>
        </w:rPr>
        <w:t>IPRS</w:t>
      </w:r>
      <w:proofErr w:type="spellEnd"/>
      <w:r w:rsidRPr="004A1196">
        <w:rPr>
          <w:rFonts w:eastAsia="Calibri"/>
          <w:color w:val="0B2B43" w:themeColor="text2" w:themeShade="80"/>
          <w:lang w:eastAsia="en-GB"/>
        </w:rPr>
        <w:t xml:space="preserve"> programmes </w:t>
      </w:r>
      <w:proofErr w:type="gramStart"/>
      <w:r w:rsidRPr="004A1196">
        <w:rPr>
          <w:rFonts w:eastAsia="Calibri"/>
          <w:color w:val="0B2B43" w:themeColor="text2" w:themeShade="80"/>
          <w:lang w:eastAsia="en-GB"/>
        </w:rPr>
        <w:t>were implemented</w:t>
      </w:r>
      <w:proofErr w:type="gramEnd"/>
      <w:r w:rsidRPr="004A1196">
        <w:rPr>
          <w:rFonts w:eastAsia="Calibri"/>
          <w:color w:val="0B2B43" w:themeColor="text2" w:themeShade="80"/>
          <w:lang w:eastAsia="en-GB"/>
        </w:rPr>
        <w:t xml:space="preserve"> fully in 2003. </w:t>
      </w:r>
      <w:proofErr w:type="spellStart"/>
      <w:r w:rsidRPr="004A1196">
        <w:rPr>
          <w:rFonts w:eastAsia="Calibri"/>
          <w:color w:val="0B2B43" w:themeColor="text2" w:themeShade="80"/>
          <w:lang w:eastAsia="en-GB"/>
        </w:rPr>
        <w:t>IPRS</w:t>
      </w:r>
      <w:proofErr w:type="spellEnd"/>
      <w:r w:rsidRPr="004A1196">
        <w:rPr>
          <w:rFonts w:eastAsia="Calibri"/>
          <w:color w:val="0B2B43" w:themeColor="text2" w:themeShade="80"/>
          <w:lang w:eastAsia="en-GB"/>
        </w:rPr>
        <w:t xml:space="preserve"> scholarship holders became eligible to compete, along with domestic students, for an </w:t>
      </w:r>
      <w:proofErr w:type="spellStart"/>
      <w:r w:rsidRPr="004A1196">
        <w:rPr>
          <w:rFonts w:eastAsia="Calibri"/>
          <w:color w:val="0B2B43" w:themeColor="text2" w:themeShade="80"/>
          <w:lang w:eastAsia="en-GB"/>
        </w:rPr>
        <w:t>APA</w:t>
      </w:r>
      <w:proofErr w:type="spellEnd"/>
      <w:r w:rsidRPr="004A1196">
        <w:rPr>
          <w:rFonts w:eastAsia="Calibri"/>
          <w:color w:val="0B2B43" w:themeColor="text2" w:themeShade="80"/>
          <w:lang w:eastAsia="en-GB"/>
        </w:rPr>
        <w:t xml:space="preserve"> stipend in 2011.</w:t>
      </w:r>
    </w:p>
    <w:p w:rsidR="002C6039" w:rsidRPr="004A1196" w:rsidRDefault="002C6039" w:rsidP="002C6039">
      <w:pPr>
        <w:rPr>
          <w:rFonts w:eastAsia="Calibri"/>
          <w:color w:val="0B2B43" w:themeColor="text2" w:themeShade="80"/>
          <w:lang w:eastAsia="en-GB"/>
        </w:rPr>
      </w:pPr>
      <w:r w:rsidRPr="004A1196">
        <w:rPr>
          <w:rFonts w:eastAsia="Calibri"/>
          <w:color w:val="0B2B43" w:themeColor="text2" w:themeShade="80"/>
          <w:lang w:eastAsia="en-GB"/>
        </w:rPr>
        <w:t xml:space="preserve">In the 2014-15 Budget, the Australian Government announced that institutions would be able to charge </w:t>
      </w:r>
      <w:proofErr w:type="spellStart"/>
      <w:r w:rsidRPr="004A1196">
        <w:rPr>
          <w:rFonts w:eastAsia="Calibri"/>
          <w:color w:val="0B2B43" w:themeColor="text2" w:themeShade="80"/>
          <w:lang w:eastAsia="en-GB"/>
        </w:rPr>
        <w:t>RTS</w:t>
      </w:r>
      <w:proofErr w:type="spellEnd"/>
      <w:r w:rsidRPr="004A1196">
        <w:rPr>
          <w:rFonts w:eastAsia="Calibri"/>
          <w:color w:val="0B2B43" w:themeColor="text2" w:themeShade="80"/>
          <w:lang w:eastAsia="en-GB"/>
        </w:rPr>
        <w:t xml:space="preserve"> students undertaking </w:t>
      </w:r>
      <w:proofErr w:type="spellStart"/>
      <w:r w:rsidRPr="004A1196">
        <w:rPr>
          <w:rFonts w:eastAsia="Calibri"/>
          <w:color w:val="0B2B43" w:themeColor="text2" w:themeShade="80"/>
          <w:lang w:eastAsia="en-GB"/>
        </w:rPr>
        <w:t>HDR</w:t>
      </w:r>
      <w:proofErr w:type="spellEnd"/>
      <w:r w:rsidRPr="004A1196">
        <w:rPr>
          <w:rFonts w:eastAsia="Calibri"/>
          <w:color w:val="0B2B43" w:themeColor="text2" w:themeShade="80"/>
          <w:lang w:eastAsia="en-GB"/>
        </w:rPr>
        <w:t xml:space="preserve"> courses a contribution towards the costs of that degree. In recognition of the ability to raise student contributions</w:t>
      </w:r>
      <w:r w:rsidR="00DE4192">
        <w:rPr>
          <w:rFonts w:eastAsia="Calibri"/>
          <w:color w:val="0B2B43" w:themeColor="text2" w:themeShade="80"/>
          <w:lang w:eastAsia="en-GB"/>
        </w:rPr>
        <w:t>,</w:t>
      </w:r>
      <w:r w:rsidRPr="004A1196">
        <w:rPr>
          <w:rFonts w:eastAsia="Calibri"/>
          <w:color w:val="0B2B43" w:themeColor="text2" w:themeShade="80"/>
          <w:lang w:eastAsia="en-GB"/>
        </w:rPr>
        <w:t xml:space="preserve"> funding provided to universities through the </w:t>
      </w:r>
      <w:proofErr w:type="spellStart"/>
      <w:r w:rsidRPr="004A1196">
        <w:rPr>
          <w:rFonts w:eastAsia="Calibri"/>
          <w:color w:val="0B2B43" w:themeColor="text2" w:themeShade="80"/>
          <w:lang w:eastAsia="en-GB"/>
        </w:rPr>
        <w:t>RTS</w:t>
      </w:r>
      <w:proofErr w:type="spellEnd"/>
      <w:r w:rsidRPr="004A1196">
        <w:rPr>
          <w:rFonts w:eastAsia="Calibri"/>
          <w:color w:val="0B2B43" w:themeColor="text2" w:themeShade="80"/>
          <w:lang w:eastAsia="en-GB"/>
        </w:rPr>
        <w:t xml:space="preserve"> was to </w:t>
      </w:r>
      <w:proofErr w:type="gramStart"/>
      <w:r w:rsidRPr="004A1196">
        <w:rPr>
          <w:rFonts w:eastAsia="Calibri"/>
          <w:color w:val="0B2B43" w:themeColor="text2" w:themeShade="80"/>
          <w:lang w:eastAsia="en-GB"/>
        </w:rPr>
        <w:t>be reduced</w:t>
      </w:r>
      <w:proofErr w:type="gramEnd"/>
      <w:r w:rsidRPr="004A1196">
        <w:rPr>
          <w:rFonts w:eastAsia="Calibri"/>
          <w:color w:val="0B2B43" w:themeColor="text2" w:themeShade="80"/>
          <w:lang w:eastAsia="en-GB"/>
        </w:rPr>
        <w:t xml:space="preserve"> by 10 per cent from 1 January 2016. The Government has indicated subsequently that it will consult with the sector on future directions for higher education reforms</w:t>
      </w:r>
      <w:r w:rsidR="00DE4192">
        <w:rPr>
          <w:rFonts w:eastAsia="Calibri"/>
          <w:color w:val="0B2B43" w:themeColor="text2" w:themeShade="80"/>
          <w:lang w:eastAsia="en-GB"/>
        </w:rPr>
        <w:t xml:space="preserve">. </w:t>
      </w:r>
      <w:proofErr w:type="gramStart"/>
      <w:r w:rsidR="00DE4192">
        <w:rPr>
          <w:rFonts w:eastAsia="Calibri"/>
          <w:color w:val="0B2B43" w:themeColor="text2" w:themeShade="80"/>
          <w:lang w:eastAsia="en-GB"/>
        </w:rPr>
        <w:t>I</w:t>
      </w:r>
      <w:r w:rsidRPr="004A1196">
        <w:rPr>
          <w:rFonts w:eastAsia="Calibri"/>
          <w:color w:val="0B2B43" w:themeColor="text2" w:themeShade="80"/>
          <w:lang w:eastAsia="en-GB"/>
        </w:rPr>
        <w:t>n that context and to ensure certainty for universities,</w:t>
      </w:r>
      <w:proofErr w:type="gramEnd"/>
      <w:r w:rsidRPr="004A1196">
        <w:rPr>
          <w:rFonts w:eastAsia="Calibri"/>
          <w:color w:val="0B2B43" w:themeColor="text2" w:themeShade="80"/>
          <w:lang w:eastAsia="en-GB"/>
        </w:rPr>
        <w:t xml:space="preserve"> funding arrangements will remain unchanged for 2016. </w:t>
      </w:r>
    </w:p>
    <w:p w:rsidR="002C6039" w:rsidRPr="004A1196" w:rsidRDefault="002C6039" w:rsidP="002C6039">
      <w:pPr>
        <w:rPr>
          <w:rFonts w:eastAsia="Calibri"/>
          <w:color w:val="0B2B43" w:themeColor="text2" w:themeShade="80"/>
          <w:lang w:eastAsia="en-GB"/>
        </w:rPr>
      </w:pPr>
      <w:r w:rsidRPr="004A1196">
        <w:rPr>
          <w:rFonts w:eastAsia="Calibri"/>
          <w:color w:val="0B2B43" w:themeColor="text2" w:themeShade="80"/>
          <w:lang w:eastAsia="en-GB"/>
        </w:rPr>
        <w:t xml:space="preserve">The architecture of new </w:t>
      </w:r>
      <w:proofErr w:type="spellStart"/>
      <w:r w:rsidRPr="004A1196">
        <w:rPr>
          <w:rFonts w:eastAsia="Calibri"/>
          <w:color w:val="0B2B43" w:themeColor="text2" w:themeShade="80"/>
          <w:lang w:eastAsia="en-GB"/>
        </w:rPr>
        <w:t>RBG</w:t>
      </w:r>
      <w:proofErr w:type="spellEnd"/>
      <w:r w:rsidRPr="004A1196">
        <w:rPr>
          <w:rFonts w:eastAsia="Calibri"/>
          <w:color w:val="0B2B43" w:themeColor="text2" w:themeShade="80"/>
          <w:lang w:eastAsia="en-GB"/>
        </w:rPr>
        <w:t xml:space="preserve"> arrangements recommended by the review </w:t>
      </w:r>
      <w:proofErr w:type="gramStart"/>
      <w:r w:rsidRPr="004A1196">
        <w:rPr>
          <w:rFonts w:eastAsia="Calibri"/>
          <w:color w:val="0B2B43" w:themeColor="text2" w:themeShade="80"/>
          <w:lang w:eastAsia="en-GB"/>
        </w:rPr>
        <w:t>is not materially impacted</w:t>
      </w:r>
      <w:proofErr w:type="gramEnd"/>
      <w:r w:rsidRPr="004A1196">
        <w:rPr>
          <w:rFonts w:eastAsia="Calibri"/>
          <w:color w:val="0B2B43" w:themeColor="text2" w:themeShade="80"/>
          <w:lang w:eastAsia="en-GB"/>
        </w:rPr>
        <w:t xml:space="preserve"> by this change to </w:t>
      </w:r>
      <w:proofErr w:type="spellStart"/>
      <w:r w:rsidRPr="004A1196">
        <w:rPr>
          <w:rFonts w:eastAsia="Calibri"/>
          <w:color w:val="0B2B43" w:themeColor="text2" w:themeShade="80"/>
          <w:lang w:eastAsia="en-GB"/>
        </w:rPr>
        <w:t>RTS</w:t>
      </w:r>
      <w:proofErr w:type="spellEnd"/>
      <w:r w:rsidRPr="004A1196">
        <w:rPr>
          <w:rFonts w:eastAsia="Calibri"/>
          <w:color w:val="0B2B43" w:themeColor="text2" w:themeShade="80"/>
          <w:lang w:eastAsia="en-GB"/>
        </w:rPr>
        <w:t xml:space="preserve"> funding arrangements. The financial modelling done for the review assumes that, consistent with government policy, it will take effect in 2017. </w:t>
      </w:r>
    </w:p>
    <w:p w:rsidR="002C6039" w:rsidRPr="004A1196" w:rsidRDefault="002C6039" w:rsidP="002C6039">
      <w:pPr>
        <w:pStyle w:val="RIHeading2"/>
        <w:rPr>
          <w:rFonts w:eastAsia="Times New Roman"/>
          <w:color w:val="0B2B43" w:themeColor="text2" w:themeShade="80"/>
          <w:lang w:eastAsia="en-GB"/>
        </w:rPr>
      </w:pPr>
      <w:bookmarkStart w:id="145" w:name="_Toc436651825"/>
      <w:bookmarkStart w:id="146" w:name="_Toc436659633"/>
      <w:bookmarkStart w:id="147" w:name="_Toc436660131"/>
      <w:r w:rsidRPr="004A1196">
        <w:rPr>
          <w:rFonts w:eastAsia="Times New Roman"/>
          <w:color w:val="0B2B43" w:themeColor="text2" w:themeShade="80"/>
          <w:lang w:eastAsia="en-GB"/>
        </w:rPr>
        <w:t>Key issues</w:t>
      </w:r>
      <w:bookmarkEnd w:id="145"/>
      <w:bookmarkEnd w:id="146"/>
      <w:bookmarkEnd w:id="147"/>
    </w:p>
    <w:p w:rsidR="002C6039" w:rsidRPr="004A1196" w:rsidRDefault="002C6039" w:rsidP="002C6039">
      <w:pPr>
        <w:pStyle w:val="RIHeading3"/>
        <w:rPr>
          <w:rFonts w:eastAsia="Times New Roman"/>
          <w:color w:val="0B2B43" w:themeColor="text2" w:themeShade="80"/>
        </w:rPr>
      </w:pPr>
      <w:bookmarkStart w:id="148" w:name="_Toc436651826"/>
      <w:bookmarkStart w:id="149" w:name="_Toc436659634"/>
      <w:bookmarkStart w:id="150" w:name="_Toc436660132"/>
      <w:r w:rsidRPr="004A1196">
        <w:rPr>
          <w:rFonts w:eastAsia="Times New Roman"/>
          <w:color w:val="0B2B43" w:themeColor="text2" w:themeShade="80"/>
        </w:rPr>
        <w:t>Research support schemes</w:t>
      </w:r>
      <w:bookmarkEnd w:id="148"/>
      <w:bookmarkEnd w:id="149"/>
      <w:bookmarkEnd w:id="150"/>
    </w:p>
    <w:p w:rsidR="002C6039" w:rsidRPr="004A1196" w:rsidRDefault="002C6039" w:rsidP="002C6039">
      <w:pPr>
        <w:rPr>
          <w:rFonts w:eastAsia="Calibri"/>
          <w:color w:val="0B2B43" w:themeColor="text2" w:themeShade="80"/>
          <w:lang w:eastAsia="en-GB"/>
        </w:rPr>
      </w:pPr>
      <w:r w:rsidRPr="004A1196">
        <w:rPr>
          <w:rFonts w:eastAsia="Calibri"/>
          <w:color w:val="0B2B43" w:themeColor="text2" w:themeShade="80"/>
          <w:lang w:eastAsia="en-GB"/>
        </w:rPr>
        <w:t xml:space="preserve">Under current arrangements, three schemes support the systemic and indirect costs of research. The review concluded that there was no purpose served by retaining separate schemes for </w:t>
      </w:r>
      <w:proofErr w:type="spellStart"/>
      <w:r w:rsidRPr="004A1196">
        <w:rPr>
          <w:rFonts w:eastAsia="Calibri"/>
          <w:color w:val="0B2B43" w:themeColor="text2" w:themeShade="80"/>
          <w:lang w:eastAsia="en-GB"/>
        </w:rPr>
        <w:t>RIBG</w:t>
      </w:r>
      <w:proofErr w:type="spellEnd"/>
      <w:r w:rsidRPr="004A1196">
        <w:rPr>
          <w:rFonts w:eastAsia="Calibri"/>
          <w:color w:val="0B2B43" w:themeColor="text2" w:themeShade="80"/>
          <w:lang w:eastAsia="en-GB"/>
        </w:rPr>
        <w:t xml:space="preserve"> and </w:t>
      </w:r>
      <w:proofErr w:type="spellStart"/>
      <w:r w:rsidRPr="004A1196">
        <w:rPr>
          <w:rFonts w:eastAsia="Calibri"/>
          <w:color w:val="0B2B43" w:themeColor="text2" w:themeShade="80"/>
          <w:lang w:eastAsia="en-GB"/>
        </w:rPr>
        <w:t>SRE</w:t>
      </w:r>
      <w:proofErr w:type="spellEnd"/>
      <w:r w:rsidRPr="004A1196">
        <w:rPr>
          <w:rFonts w:eastAsia="Calibri"/>
          <w:color w:val="0B2B43" w:themeColor="text2" w:themeShade="80"/>
          <w:lang w:eastAsia="en-GB"/>
        </w:rPr>
        <w:t>, which have the same objective — to support the indirect costs associated with competitive grants.</w:t>
      </w:r>
    </w:p>
    <w:p w:rsidR="002C6039" w:rsidRPr="004A1196" w:rsidRDefault="002C6039" w:rsidP="002C6039">
      <w:pPr>
        <w:rPr>
          <w:rFonts w:eastAsia="Calibri" w:cs="Times New Roman"/>
          <w:color w:val="0B2B43" w:themeColor="text2" w:themeShade="80"/>
        </w:rPr>
      </w:pPr>
      <w:r w:rsidRPr="004A1196">
        <w:rPr>
          <w:rFonts w:eastAsia="Calibri"/>
          <w:color w:val="0B2B43" w:themeColor="text2" w:themeShade="80"/>
          <w:lang w:eastAsia="en-GB"/>
        </w:rPr>
        <w:t>Further, the review did not see value in the continued inclusion of moderators</w:t>
      </w:r>
      <w:r w:rsidR="007C4200">
        <w:rPr>
          <w:rFonts w:eastAsia="Calibri"/>
          <w:color w:val="0B2B43" w:themeColor="text2" w:themeShade="80"/>
          <w:lang w:eastAsia="en-GB"/>
        </w:rPr>
        <w:t xml:space="preserve"> </w:t>
      </w:r>
      <w:r w:rsidR="007C4200" w:rsidRPr="004A1196">
        <w:rPr>
          <w:rFonts w:eastAsia="Calibri"/>
          <w:color w:val="0B2B43" w:themeColor="text2" w:themeShade="80"/>
          <w:lang w:eastAsia="en-GB"/>
        </w:rPr>
        <w:t xml:space="preserve">in </w:t>
      </w:r>
      <w:proofErr w:type="spellStart"/>
      <w:r w:rsidR="007C4200" w:rsidRPr="004A1196">
        <w:rPr>
          <w:rFonts w:eastAsia="Calibri"/>
          <w:color w:val="0B2B43" w:themeColor="text2" w:themeShade="80"/>
          <w:lang w:eastAsia="en-GB"/>
        </w:rPr>
        <w:t>SRE</w:t>
      </w:r>
      <w:proofErr w:type="spellEnd"/>
      <w:r w:rsidRPr="004A1196">
        <w:rPr>
          <w:rFonts w:eastAsia="Calibri"/>
          <w:color w:val="0B2B43" w:themeColor="text2" w:themeShade="80"/>
          <w:lang w:eastAsia="en-GB"/>
        </w:rPr>
        <w:t xml:space="preserve">. The level of any benefit they may bring to the arrangements is not commensurate with the complexity they add. In relation to use of the excellence index, based on ERA ratings, there is a high level of correlation between </w:t>
      </w:r>
      <w:r w:rsidRPr="004A1196">
        <w:rPr>
          <w:rFonts w:eastAsia="Calibri" w:cs="Times New Roman"/>
          <w:color w:val="0B2B43" w:themeColor="text2" w:themeShade="80"/>
        </w:rPr>
        <w:t xml:space="preserve">ERA outcomes and Category 1 funding (which is the sole driver for the scheme). Moreover, </w:t>
      </w:r>
      <w:r w:rsidRPr="004A1196">
        <w:rPr>
          <w:rFonts w:eastAsia="Calibri" w:cs="Times New Roman"/>
          <w:color w:val="0B2B43" w:themeColor="text2" w:themeShade="80"/>
          <w:lang w:eastAsia="en-GB"/>
        </w:rPr>
        <w:t>ERA takes place every three years and covers activity in the five to six years prior to the assessment year</w:t>
      </w:r>
      <w:r w:rsidRPr="004A1196">
        <w:rPr>
          <w:rFonts w:eastAsia="Calibri" w:cs="Times New Roman"/>
          <w:color w:val="0B2B43" w:themeColor="text2" w:themeShade="80"/>
        </w:rPr>
        <w:t xml:space="preserve">, while Category 1 data </w:t>
      </w:r>
      <w:proofErr w:type="gramStart"/>
      <w:r w:rsidRPr="004A1196">
        <w:rPr>
          <w:rFonts w:eastAsia="Calibri" w:cs="Times New Roman"/>
          <w:color w:val="0B2B43" w:themeColor="text2" w:themeShade="80"/>
        </w:rPr>
        <w:t>is collected</w:t>
      </w:r>
      <w:proofErr w:type="gramEnd"/>
      <w:r w:rsidRPr="004A1196">
        <w:rPr>
          <w:rFonts w:eastAsia="Calibri" w:cs="Times New Roman"/>
          <w:color w:val="0B2B43" w:themeColor="text2" w:themeShade="80"/>
        </w:rPr>
        <w:t xml:space="preserve"> annually and on a shorter lag cycle (discussed above). The review concluded, on balance, that this moderator </w:t>
      </w:r>
      <w:proofErr w:type="gramStart"/>
      <w:r w:rsidRPr="004A1196">
        <w:rPr>
          <w:rFonts w:eastAsia="Calibri" w:cs="Times New Roman"/>
          <w:color w:val="0B2B43" w:themeColor="text2" w:themeShade="80"/>
        </w:rPr>
        <w:t>should be removed</w:t>
      </w:r>
      <w:proofErr w:type="gramEnd"/>
      <w:r w:rsidRPr="004A1196">
        <w:rPr>
          <w:rFonts w:eastAsia="Calibri" w:cs="Times New Roman"/>
          <w:color w:val="0B2B43" w:themeColor="text2" w:themeShade="80"/>
        </w:rPr>
        <w:t xml:space="preserve">. It also concluded that transparent costing data, also used as a moderator, </w:t>
      </w:r>
      <w:proofErr w:type="gramStart"/>
      <w:r w:rsidRPr="004A1196">
        <w:rPr>
          <w:rFonts w:eastAsia="Calibri" w:cs="Times New Roman"/>
          <w:color w:val="0B2B43" w:themeColor="text2" w:themeShade="80"/>
        </w:rPr>
        <w:t>should be removed</w:t>
      </w:r>
      <w:proofErr w:type="gramEnd"/>
      <w:r w:rsidRPr="004A1196">
        <w:rPr>
          <w:rFonts w:eastAsia="Calibri" w:cs="Times New Roman"/>
          <w:color w:val="0B2B43" w:themeColor="text2" w:themeShade="80"/>
        </w:rPr>
        <w:t xml:space="preserve">. It imposes a substantial reporting burden on universities and moderates a small amount of funding only. </w:t>
      </w:r>
    </w:p>
    <w:p w:rsidR="002C6039" w:rsidRPr="004A1196" w:rsidRDefault="002C6039" w:rsidP="002C6039">
      <w:pPr>
        <w:rPr>
          <w:rFonts w:eastAsia="Calibri"/>
          <w:color w:val="0B2B43" w:themeColor="text2" w:themeShade="80"/>
          <w:lang w:eastAsia="en-GB"/>
        </w:rPr>
      </w:pPr>
      <w:r w:rsidRPr="004A1196">
        <w:rPr>
          <w:rFonts w:eastAsia="Calibri"/>
          <w:color w:val="0B2B43" w:themeColor="text2" w:themeShade="80"/>
          <w:lang w:eastAsia="en-GB"/>
        </w:rPr>
        <w:t xml:space="preserve">In relation to the </w:t>
      </w:r>
      <w:proofErr w:type="spellStart"/>
      <w:r w:rsidRPr="004A1196">
        <w:rPr>
          <w:rFonts w:eastAsia="Calibri"/>
          <w:color w:val="0B2B43" w:themeColor="text2" w:themeShade="80"/>
          <w:lang w:eastAsia="en-GB"/>
        </w:rPr>
        <w:t>JRE</w:t>
      </w:r>
      <w:proofErr w:type="spellEnd"/>
      <w:r w:rsidRPr="004A1196">
        <w:rPr>
          <w:rFonts w:eastAsia="Calibri"/>
          <w:color w:val="0B2B43" w:themeColor="text2" w:themeShade="80"/>
          <w:lang w:eastAsia="en-GB"/>
        </w:rPr>
        <w:t xml:space="preserve"> scheme, the review considered that publications and student load </w:t>
      </w:r>
      <w:proofErr w:type="gramStart"/>
      <w:r w:rsidRPr="004A1196">
        <w:rPr>
          <w:rFonts w:eastAsia="Calibri"/>
          <w:color w:val="0B2B43" w:themeColor="text2" w:themeShade="80"/>
          <w:lang w:eastAsia="en-GB"/>
        </w:rPr>
        <w:t>should be removed</w:t>
      </w:r>
      <w:proofErr w:type="gramEnd"/>
      <w:r w:rsidRPr="004A1196">
        <w:rPr>
          <w:rFonts w:eastAsia="Calibri"/>
          <w:color w:val="0B2B43" w:themeColor="text2" w:themeShade="80"/>
          <w:lang w:eastAsia="en-GB"/>
        </w:rPr>
        <w:t xml:space="preserve"> as funding drivers. Publications are a very important measure of academic productivity. However, the incentives to publish embedded in almost all other areas of the academic research system, such academic promotions and global university rankings, are far stronger than the impact of </w:t>
      </w:r>
      <w:r w:rsidR="004A3C24">
        <w:rPr>
          <w:rFonts w:eastAsia="Calibri"/>
          <w:color w:val="0B2B43" w:themeColor="text2" w:themeShade="80"/>
          <w:lang w:eastAsia="en-GB"/>
        </w:rPr>
        <w:t xml:space="preserve">less than </w:t>
      </w:r>
      <w:r w:rsidRPr="004A1196">
        <w:rPr>
          <w:rFonts w:eastAsia="Calibri"/>
          <w:color w:val="0B2B43" w:themeColor="text2" w:themeShade="80"/>
          <w:lang w:eastAsia="en-GB"/>
        </w:rPr>
        <w:t xml:space="preserve">10 per cent </w:t>
      </w:r>
      <w:r w:rsidRPr="004A1196">
        <w:rPr>
          <w:rFonts w:eastAsia="Calibri" w:cs="Times New Roman"/>
          <w:color w:val="0B2B43" w:themeColor="text2" w:themeShade="80"/>
        </w:rPr>
        <w:t xml:space="preserve">weighting in </w:t>
      </w:r>
      <w:r w:rsidR="004A3C24">
        <w:rPr>
          <w:rFonts w:eastAsia="Calibri" w:cs="Times New Roman"/>
          <w:color w:val="0B2B43" w:themeColor="text2" w:themeShade="80"/>
        </w:rPr>
        <w:t xml:space="preserve">the current </w:t>
      </w:r>
      <w:proofErr w:type="spellStart"/>
      <w:r w:rsidRPr="004A1196">
        <w:rPr>
          <w:rFonts w:eastAsia="Calibri" w:cs="Times New Roman"/>
          <w:color w:val="0B2B43" w:themeColor="text2" w:themeShade="80"/>
        </w:rPr>
        <w:t>RBG</w:t>
      </w:r>
      <w:proofErr w:type="spellEnd"/>
      <w:r w:rsidRPr="004A1196">
        <w:rPr>
          <w:rFonts w:eastAsia="Calibri" w:cs="Times New Roman"/>
          <w:color w:val="0B2B43" w:themeColor="text2" w:themeShade="80"/>
        </w:rPr>
        <w:t>.</w:t>
      </w:r>
      <w:r w:rsidRPr="004A1196">
        <w:rPr>
          <w:rFonts w:eastAsia="Calibri"/>
          <w:color w:val="0B2B43" w:themeColor="text2" w:themeShade="80"/>
          <w:lang w:eastAsia="en-GB"/>
        </w:rPr>
        <w:t xml:space="preserve"> Student load is an input </w:t>
      </w:r>
      <w:proofErr w:type="gramStart"/>
      <w:r w:rsidRPr="004A1196">
        <w:rPr>
          <w:rFonts w:eastAsia="Calibri"/>
          <w:color w:val="0B2B43" w:themeColor="text2" w:themeShade="80"/>
          <w:lang w:eastAsia="en-GB"/>
        </w:rPr>
        <w:t>measure which</w:t>
      </w:r>
      <w:proofErr w:type="gramEnd"/>
      <w:r w:rsidRPr="004A1196">
        <w:rPr>
          <w:rFonts w:eastAsia="Calibri"/>
          <w:color w:val="0B2B43" w:themeColor="text2" w:themeShade="80"/>
          <w:lang w:eastAsia="en-GB"/>
        </w:rPr>
        <w:t xml:space="preserve"> does not appear to have a relationship with either research excellence or </w:t>
      </w:r>
      <w:r w:rsidR="003904BC">
        <w:rPr>
          <w:rFonts w:eastAsia="Calibri"/>
          <w:color w:val="0B2B43" w:themeColor="text2" w:themeShade="80"/>
          <w:lang w:eastAsia="en-GB"/>
        </w:rPr>
        <w:t>end user</w:t>
      </w:r>
      <w:r w:rsidRPr="004A1196">
        <w:rPr>
          <w:rFonts w:eastAsia="Calibri"/>
          <w:color w:val="0B2B43" w:themeColor="text2" w:themeShade="80"/>
          <w:lang w:eastAsia="en-GB"/>
        </w:rPr>
        <w:t xml:space="preserve"> engagement. </w:t>
      </w:r>
    </w:p>
    <w:p w:rsidR="002C6039" w:rsidRPr="004A1196" w:rsidRDefault="002C6039" w:rsidP="002C6039">
      <w:pPr>
        <w:rPr>
          <w:rFonts w:eastAsia="Calibri"/>
          <w:color w:val="0B2B43" w:themeColor="text2" w:themeShade="80"/>
          <w:lang w:eastAsia="en-GB"/>
        </w:rPr>
      </w:pPr>
      <w:r w:rsidRPr="004A1196">
        <w:rPr>
          <w:rFonts w:eastAsia="Calibri"/>
          <w:color w:val="0B2B43" w:themeColor="text2" w:themeShade="80"/>
          <w:lang w:eastAsia="en-GB"/>
        </w:rPr>
        <w:t xml:space="preserve">Finally, the </w:t>
      </w:r>
      <w:proofErr w:type="spellStart"/>
      <w:r w:rsidRPr="004A1196">
        <w:rPr>
          <w:rFonts w:eastAsia="Calibri"/>
          <w:color w:val="0B2B43" w:themeColor="text2" w:themeShade="80"/>
          <w:lang w:eastAsia="en-GB"/>
        </w:rPr>
        <w:t>JRE</w:t>
      </w:r>
      <w:proofErr w:type="spellEnd"/>
      <w:r w:rsidRPr="004A1196">
        <w:rPr>
          <w:rFonts w:eastAsia="Calibri"/>
          <w:color w:val="0B2B43" w:themeColor="text2" w:themeShade="80"/>
          <w:lang w:eastAsia="en-GB"/>
        </w:rPr>
        <w:t xml:space="preserve"> Engineering Cadetship has been unsuccessful with increasing numbers of universities withdrawing from participation. The review concluded that the scheme should be retired and funding subsumed in the new model. </w:t>
      </w:r>
    </w:p>
    <w:p w:rsidR="002C6039" w:rsidRPr="004A1196" w:rsidRDefault="002C6039" w:rsidP="002C6039">
      <w:pPr>
        <w:rPr>
          <w:rFonts w:eastAsia="Calibri"/>
          <w:color w:val="0B2B43" w:themeColor="text2" w:themeShade="80"/>
          <w:lang w:eastAsia="en-GB"/>
        </w:rPr>
      </w:pPr>
      <w:r w:rsidRPr="004A1196">
        <w:rPr>
          <w:rFonts w:eastAsia="Calibri"/>
          <w:color w:val="0B2B43" w:themeColor="text2" w:themeShade="80"/>
          <w:lang w:eastAsia="en-GB"/>
        </w:rPr>
        <w:t xml:space="preserve">It also appears that the </w:t>
      </w:r>
      <w:proofErr w:type="spellStart"/>
      <w:r w:rsidRPr="004A1196">
        <w:rPr>
          <w:rFonts w:eastAsia="Calibri"/>
          <w:color w:val="0B2B43" w:themeColor="text2" w:themeShade="80"/>
          <w:lang w:eastAsia="en-GB"/>
        </w:rPr>
        <w:t>JRE</w:t>
      </w:r>
      <w:proofErr w:type="spellEnd"/>
      <w:r w:rsidRPr="004A1196">
        <w:rPr>
          <w:rFonts w:eastAsia="Calibri"/>
          <w:color w:val="0B2B43" w:themeColor="text2" w:themeShade="80"/>
          <w:lang w:eastAsia="en-GB"/>
        </w:rPr>
        <w:t xml:space="preserve"> scheme, despite its objectives, has not driven</w:t>
      </w:r>
      <w:r w:rsidR="0006123D">
        <w:rPr>
          <w:rFonts w:eastAsia="Calibri"/>
          <w:color w:val="0B2B43" w:themeColor="text2" w:themeShade="80"/>
          <w:lang w:eastAsia="en-GB"/>
        </w:rPr>
        <w:t xml:space="preserve"> higher rate</w:t>
      </w:r>
      <w:r w:rsidR="00774D2C">
        <w:rPr>
          <w:rFonts w:eastAsia="Calibri"/>
          <w:color w:val="0B2B43" w:themeColor="text2" w:themeShade="80"/>
          <w:lang w:eastAsia="en-GB"/>
        </w:rPr>
        <w:t>s</w:t>
      </w:r>
      <w:r w:rsidR="0006123D">
        <w:rPr>
          <w:rFonts w:eastAsia="Calibri"/>
          <w:color w:val="0B2B43" w:themeColor="text2" w:themeShade="80"/>
          <w:lang w:eastAsia="en-GB"/>
        </w:rPr>
        <w:t xml:space="preserve"> of </w:t>
      </w:r>
      <w:r w:rsidRPr="004A1196">
        <w:rPr>
          <w:rFonts w:eastAsia="Calibri"/>
          <w:color w:val="0B2B43" w:themeColor="text2" w:themeShade="80"/>
          <w:lang w:eastAsia="en-GB"/>
        </w:rPr>
        <w:t xml:space="preserve">business and </w:t>
      </w:r>
      <w:r w:rsidR="003904BC">
        <w:rPr>
          <w:rFonts w:eastAsia="Calibri"/>
          <w:color w:val="0B2B43" w:themeColor="text2" w:themeShade="80"/>
          <w:lang w:eastAsia="en-GB"/>
        </w:rPr>
        <w:t>end user</w:t>
      </w:r>
      <w:r w:rsidRPr="004A1196">
        <w:rPr>
          <w:rFonts w:eastAsia="Calibri"/>
          <w:color w:val="0B2B43" w:themeColor="text2" w:themeShade="80"/>
          <w:lang w:eastAsia="en-GB"/>
        </w:rPr>
        <w:t xml:space="preserve"> engagement</w:t>
      </w:r>
      <w:r w:rsidR="0006123D">
        <w:rPr>
          <w:rFonts w:eastAsia="Calibri"/>
          <w:color w:val="0B2B43" w:themeColor="text2" w:themeShade="80"/>
          <w:lang w:eastAsia="en-GB"/>
        </w:rPr>
        <w:t xml:space="preserve"> than other types of income</w:t>
      </w:r>
      <w:r w:rsidRPr="004A1196">
        <w:rPr>
          <w:rFonts w:eastAsia="Calibri"/>
          <w:color w:val="0B2B43" w:themeColor="text2" w:themeShade="80"/>
          <w:lang w:eastAsia="en-GB"/>
        </w:rPr>
        <w:t xml:space="preserve">. Data from the </w:t>
      </w:r>
      <w:proofErr w:type="spellStart"/>
      <w:r w:rsidRPr="004A1196">
        <w:rPr>
          <w:rFonts w:eastAsia="Calibri"/>
          <w:color w:val="0B2B43" w:themeColor="text2" w:themeShade="80"/>
          <w:lang w:eastAsia="en-GB"/>
        </w:rPr>
        <w:t>HERDC</w:t>
      </w:r>
      <w:proofErr w:type="spellEnd"/>
      <w:r w:rsidRPr="004A1196">
        <w:rPr>
          <w:rFonts w:eastAsia="Calibri"/>
          <w:color w:val="0B2B43" w:themeColor="text2" w:themeShade="80"/>
          <w:vertAlign w:val="superscript"/>
          <w:lang w:eastAsia="en-GB"/>
        </w:rPr>
        <w:footnoteReference w:id="22"/>
      </w:r>
      <w:r w:rsidRPr="004A1196">
        <w:rPr>
          <w:rFonts w:eastAsia="Calibri"/>
          <w:color w:val="0B2B43" w:themeColor="text2" w:themeShade="80"/>
          <w:lang w:eastAsia="en-GB"/>
        </w:rPr>
        <w:t xml:space="preserve"> show that the proportion of higher education research income from private sector sources has remained static, at around 27 per cent, over the period 2008-13. </w:t>
      </w:r>
    </w:p>
    <w:p w:rsidR="002C6039" w:rsidRPr="004A1196" w:rsidRDefault="002C6039" w:rsidP="002C6039">
      <w:pPr>
        <w:rPr>
          <w:rFonts w:eastAsia="Calibri"/>
          <w:bCs/>
          <w:color w:val="0B2B43" w:themeColor="text2" w:themeShade="80"/>
        </w:rPr>
      </w:pPr>
      <w:r w:rsidRPr="004A1196">
        <w:rPr>
          <w:rFonts w:eastAsia="Calibri"/>
          <w:color w:val="0B2B43" w:themeColor="text2" w:themeShade="80"/>
          <w:lang w:eastAsia="en-GB"/>
        </w:rPr>
        <w:t xml:space="preserve">In the light of these outcomes and </w:t>
      </w:r>
      <w:r w:rsidRPr="004A1196">
        <w:rPr>
          <w:rFonts w:eastAsia="Calibri"/>
          <w:bCs/>
          <w:color w:val="0B2B43" w:themeColor="text2" w:themeShade="80"/>
        </w:rPr>
        <w:t xml:space="preserve">Australia’s poor standing in OECD data on collaboration between universities and business, </w:t>
      </w:r>
      <w:r w:rsidR="00933F3A">
        <w:rPr>
          <w:rFonts w:eastAsia="Calibri"/>
          <w:bCs/>
          <w:color w:val="0B2B43" w:themeColor="text2" w:themeShade="80"/>
        </w:rPr>
        <w:t xml:space="preserve">the review </w:t>
      </w:r>
      <w:r w:rsidRPr="004A1196">
        <w:rPr>
          <w:rFonts w:eastAsia="Calibri"/>
          <w:bCs/>
          <w:color w:val="0B2B43" w:themeColor="text2" w:themeShade="80"/>
        </w:rPr>
        <w:t xml:space="preserve">concluded that </w:t>
      </w:r>
      <w:proofErr w:type="spellStart"/>
      <w:r w:rsidRPr="004A1196">
        <w:rPr>
          <w:rFonts w:eastAsia="Calibri"/>
          <w:bCs/>
          <w:color w:val="0B2B43" w:themeColor="text2" w:themeShade="80"/>
        </w:rPr>
        <w:t>RBG</w:t>
      </w:r>
      <w:proofErr w:type="spellEnd"/>
      <w:r w:rsidRPr="004A1196">
        <w:rPr>
          <w:rFonts w:eastAsia="Calibri"/>
          <w:bCs/>
          <w:color w:val="0B2B43" w:themeColor="text2" w:themeShade="80"/>
        </w:rPr>
        <w:t xml:space="preserve">, as a possible policy lever, should have a greater focus on providing incentives for </w:t>
      </w:r>
      <w:r w:rsidR="003904BC">
        <w:rPr>
          <w:rFonts w:eastAsia="Calibri"/>
          <w:bCs/>
          <w:color w:val="0B2B43" w:themeColor="text2" w:themeShade="80"/>
        </w:rPr>
        <w:t>end user</w:t>
      </w:r>
      <w:r w:rsidRPr="004A1196">
        <w:rPr>
          <w:rFonts w:eastAsia="Calibri"/>
          <w:bCs/>
          <w:color w:val="0B2B43" w:themeColor="text2" w:themeShade="80"/>
        </w:rPr>
        <w:t xml:space="preserve"> engagement. </w:t>
      </w:r>
    </w:p>
    <w:p w:rsidR="002C6039" w:rsidRPr="004A1196" w:rsidRDefault="002C6039" w:rsidP="002C6039">
      <w:pPr>
        <w:pStyle w:val="RIHeading3"/>
        <w:rPr>
          <w:rFonts w:eastAsia="Times New Roman"/>
          <w:color w:val="0B2B43" w:themeColor="text2" w:themeShade="80"/>
          <w:lang w:eastAsia="en-GB"/>
        </w:rPr>
      </w:pPr>
      <w:bookmarkStart w:id="151" w:name="_Toc436651827"/>
      <w:bookmarkStart w:id="152" w:name="_Toc436659635"/>
      <w:bookmarkStart w:id="153" w:name="_Toc436660133"/>
      <w:r w:rsidRPr="004A1196">
        <w:rPr>
          <w:rFonts w:eastAsia="Times New Roman"/>
          <w:color w:val="0B2B43" w:themeColor="text2" w:themeShade="80"/>
          <w:lang w:eastAsia="en-GB"/>
        </w:rPr>
        <w:t xml:space="preserve">Research </w:t>
      </w:r>
      <w:r w:rsidR="00366E47" w:rsidRPr="004A1196">
        <w:rPr>
          <w:rFonts w:eastAsia="Times New Roman"/>
          <w:color w:val="0B2B43" w:themeColor="text2" w:themeShade="80"/>
          <w:lang w:eastAsia="en-GB"/>
        </w:rPr>
        <w:t xml:space="preserve">training </w:t>
      </w:r>
      <w:r w:rsidRPr="004A1196">
        <w:rPr>
          <w:rFonts w:eastAsia="Times New Roman"/>
          <w:color w:val="0B2B43" w:themeColor="text2" w:themeShade="80"/>
          <w:lang w:eastAsia="en-GB"/>
        </w:rPr>
        <w:t>schemes</w:t>
      </w:r>
      <w:bookmarkEnd w:id="151"/>
      <w:bookmarkEnd w:id="152"/>
      <w:bookmarkEnd w:id="153"/>
    </w:p>
    <w:p w:rsidR="002C6039" w:rsidRPr="004A1196" w:rsidRDefault="002C6039" w:rsidP="002C6039">
      <w:pPr>
        <w:rPr>
          <w:rFonts w:eastAsia="Calibri"/>
          <w:color w:val="0B2B43" w:themeColor="text2" w:themeShade="80"/>
          <w:lang w:eastAsia="en-GB"/>
        </w:rPr>
      </w:pPr>
      <w:r w:rsidRPr="004A1196">
        <w:rPr>
          <w:rFonts w:eastAsia="Calibri"/>
          <w:color w:val="0B2B43" w:themeColor="text2" w:themeShade="80"/>
          <w:lang w:eastAsia="en-GB"/>
        </w:rPr>
        <w:t xml:space="preserve">The three schemes which support research training — </w:t>
      </w:r>
      <w:proofErr w:type="spellStart"/>
      <w:r w:rsidRPr="004A1196">
        <w:rPr>
          <w:rFonts w:eastAsia="Calibri"/>
          <w:color w:val="0B2B43" w:themeColor="text2" w:themeShade="80"/>
          <w:lang w:eastAsia="en-GB"/>
        </w:rPr>
        <w:t>RTS</w:t>
      </w:r>
      <w:proofErr w:type="spellEnd"/>
      <w:r w:rsidRPr="004A1196">
        <w:rPr>
          <w:rFonts w:eastAsia="Calibri"/>
          <w:color w:val="0B2B43" w:themeColor="text2" w:themeShade="80"/>
          <w:lang w:eastAsia="en-GB"/>
        </w:rPr>
        <w:t xml:space="preserve">, </w:t>
      </w:r>
      <w:proofErr w:type="spellStart"/>
      <w:r w:rsidRPr="004A1196">
        <w:rPr>
          <w:rFonts w:eastAsia="Calibri"/>
          <w:color w:val="0B2B43" w:themeColor="text2" w:themeShade="80"/>
          <w:lang w:eastAsia="en-GB"/>
        </w:rPr>
        <w:t>APA</w:t>
      </w:r>
      <w:proofErr w:type="spellEnd"/>
      <w:r w:rsidRPr="004A1196">
        <w:rPr>
          <w:rFonts w:eastAsia="Calibri"/>
          <w:color w:val="0B2B43" w:themeColor="text2" w:themeShade="80"/>
          <w:lang w:eastAsia="en-GB"/>
        </w:rPr>
        <w:t xml:space="preserve"> and </w:t>
      </w:r>
      <w:proofErr w:type="spellStart"/>
      <w:r w:rsidRPr="004A1196">
        <w:rPr>
          <w:rFonts w:eastAsia="Calibri"/>
          <w:color w:val="0B2B43" w:themeColor="text2" w:themeShade="80"/>
          <w:lang w:eastAsia="en-GB"/>
        </w:rPr>
        <w:t>IPRS</w:t>
      </w:r>
      <w:proofErr w:type="spellEnd"/>
      <w:r w:rsidRPr="004A1196">
        <w:rPr>
          <w:rFonts w:eastAsia="Calibri"/>
          <w:color w:val="0B2B43" w:themeColor="text2" w:themeShade="80"/>
          <w:lang w:eastAsia="en-GB"/>
        </w:rPr>
        <w:t xml:space="preserve"> — serve a common purpose. They contribute to the costs borne by the university in training </w:t>
      </w:r>
      <w:proofErr w:type="spellStart"/>
      <w:r w:rsidRPr="004A1196">
        <w:rPr>
          <w:rFonts w:eastAsia="Calibri"/>
          <w:color w:val="0B2B43" w:themeColor="text2" w:themeShade="80"/>
          <w:lang w:eastAsia="en-GB"/>
        </w:rPr>
        <w:t>HDR</w:t>
      </w:r>
      <w:proofErr w:type="spellEnd"/>
      <w:r w:rsidRPr="004A1196">
        <w:rPr>
          <w:rFonts w:eastAsia="Calibri"/>
          <w:color w:val="0B2B43" w:themeColor="text2" w:themeShade="80"/>
          <w:lang w:eastAsia="en-GB"/>
        </w:rPr>
        <w:t xml:space="preserve"> students while providing stipends to support living and other costs for the student while studying. </w:t>
      </w:r>
    </w:p>
    <w:p w:rsidR="002C6039" w:rsidRPr="004A1196" w:rsidRDefault="002C6039" w:rsidP="002C6039">
      <w:pPr>
        <w:rPr>
          <w:rFonts w:eastAsia="Calibri"/>
          <w:color w:val="0B2B43" w:themeColor="text2" w:themeShade="80"/>
          <w:lang w:eastAsia="en-GB"/>
        </w:rPr>
      </w:pPr>
      <w:r w:rsidRPr="004A1196">
        <w:rPr>
          <w:rFonts w:eastAsia="Calibri"/>
          <w:color w:val="0B2B43" w:themeColor="text2" w:themeShade="80"/>
          <w:lang w:eastAsia="en-GB"/>
        </w:rPr>
        <w:t xml:space="preserve">The review acknowledged that current differences between programme arrangements in these schemes such as programme lengths — with </w:t>
      </w:r>
      <w:proofErr w:type="spellStart"/>
      <w:r w:rsidRPr="004A1196">
        <w:rPr>
          <w:rFonts w:eastAsia="Calibri"/>
          <w:color w:val="0B2B43" w:themeColor="text2" w:themeShade="80"/>
          <w:lang w:eastAsia="en-GB"/>
        </w:rPr>
        <w:t>RTS</w:t>
      </w:r>
      <w:proofErr w:type="spellEnd"/>
      <w:r w:rsidRPr="004A1196">
        <w:rPr>
          <w:rFonts w:eastAsia="Calibri"/>
          <w:color w:val="0B2B43" w:themeColor="text2" w:themeShade="80"/>
          <w:lang w:eastAsia="en-GB"/>
        </w:rPr>
        <w:t xml:space="preserve"> support provided for 4 years and </w:t>
      </w:r>
      <w:proofErr w:type="spellStart"/>
      <w:r w:rsidRPr="004A1196">
        <w:rPr>
          <w:rFonts w:eastAsia="Calibri"/>
          <w:color w:val="0B2B43" w:themeColor="text2" w:themeShade="80"/>
          <w:lang w:eastAsia="en-GB"/>
        </w:rPr>
        <w:t>APA</w:t>
      </w:r>
      <w:proofErr w:type="spellEnd"/>
      <w:r w:rsidRPr="004A1196">
        <w:rPr>
          <w:rFonts w:eastAsia="Calibri"/>
          <w:color w:val="0B2B43" w:themeColor="text2" w:themeShade="80"/>
          <w:lang w:eastAsia="en-GB"/>
        </w:rPr>
        <w:t xml:space="preserve"> support for 3 years with possibility of a six month extension — and fixed stipend levels, limit institutional ability to align research training support with their priorities and student profiles. In particular, current arrangements create impediments to greater use of industry placements during PhD courses — a key strategy for generating greater commercial interests among PhD students.</w:t>
      </w:r>
    </w:p>
    <w:p w:rsidR="002C6039" w:rsidRPr="004A1196" w:rsidRDefault="002C6039" w:rsidP="002C6039">
      <w:pPr>
        <w:rPr>
          <w:rFonts w:eastAsia="Calibri"/>
          <w:color w:val="0B2B43" w:themeColor="text2" w:themeShade="80"/>
          <w:lang w:eastAsia="en-GB"/>
        </w:rPr>
      </w:pPr>
      <w:r w:rsidRPr="004A1196">
        <w:rPr>
          <w:rFonts w:eastAsia="Calibri"/>
          <w:color w:val="0B2B43" w:themeColor="text2" w:themeShade="80"/>
          <w:lang w:eastAsia="en-GB"/>
        </w:rPr>
        <w:t xml:space="preserve">The review concluded that the three schemes </w:t>
      </w:r>
      <w:proofErr w:type="gramStart"/>
      <w:r w:rsidRPr="004A1196">
        <w:rPr>
          <w:rFonts w:eastAsia="Calibri"/>
          <w:color w:val="0B2B43" w:themeColor="text2" w:themeShade="80"/>
          <w:lang w:eastAsia="en-GB"/>
        </w:rPr>
        <w:t>should be combined</w:t>
      </w:r>
      <w:proofErr w:type="gramEnd"/>
      <w:r w:rsidRPr="004A1196">
        <w:rPr>
          <w:rFonts w:eastAsia="Calibri"/>
          <w:color w:val="0B2B43" w:themeColor="text2" w:themeShade="80"/>
          <w:lang w:eastAsia="en-GB"/>
        </w:rPr>
        <w:t xml:space="preserve"> and the rules governing their use simplified. </w:t>
      </w:r>
    </w:p>
    <w:p w:rsidR="002C6039" w:rsidRPr="004A1196" w:rsidRDefault="002C6039" w:rsidP="002C6039">
      <w:pPr>
        <w:rPr>
          <w:rFonts w:eastAsia="Calibri"/>
          <w:color w:val="0B2B43" w:themeColor="text2" w:themeShade="80"/>
          <w:lang w:eastAsia="en-GB"/>
        </w:rPr>
      </w:pPr>
      <w:r w:rsidRPr="004A1196">
        <w:rPr>
          <w:rFonts w:eastAsia="Calibri"/>
          <w:color w:val="0B2B43" w:themeColor="text2" w:themeShade="80"/>
          <w:lang w:eastAsia="en-GB"/>
        </w:rPr>
        <w:t>By combining these schemes, universities will have greater flexibility to:</w:t>
      </w:r>
    </w:p>
    <w:p w:rsidR="002C6039" w:rsidRPr="004A1196" w:rsidRDefault="002C6039" w:rsidP="002C6039">
      <w:pPr>
        <w:pStyle w:val="ListParagraph"/>
        <w:numPr>
          <w:ilvl w:val="0"/>
          <w:numId w:val="28"/>
        </w:numPr>
        <w:rPr>
          <w:rFonts w:eastAsia="Calibri"/>
          <w:color w:val="0B2B43" w:themeColor="text2" w:themeShade="80"/>
          <w:lang w:eastAsia="en-GB"/>
        </w:rPr>
      </w:pPr>
      <w:r w:rsidRPr="004A1196">
        <w:rPr>
          <w:rFonts w:eastAsia="Calibri"/>
          <w:color w:val="0B2B43" w:themeColor="text2" w:themeShade="80"/>
          <w:lang w:eastAsia="en-GB"/>
        </w:rPr>
        <w:t>offer both stipends and tuition fee scholarships to the best applicants in priority areas of research, regardless of nationality</w:t>
      </w:r>
    </w:p>
    <w:p w:rsidR="002C6039" w:rsidRPr="004A1196" w:rsidRDefault="002C6039" w:rsidP="002C6039">
      <w:pPr>
        <w:pStyle w:val="ListParagraph"/>
        <w:numPr>
          <w:ilvl w:val="0"/>
          <w:numId w:val="28"/>
        </w:numPr>
        <w:rPr>
          <w:rFonts w:eastAsia="Calibri"/>
          <w:color w:val="0B2B43" w:themeColor="text2" w:themeShade="80"/>
          <w:lang w:eastAsia="en-GB"/>
        </w:rPr>
      </w:pPr>
      <w:r w:rsidRPr="004A1196">
        <w:rPr>
          <w:rFonts w:eastAsia="Calibri"/>
          <w:color w:val="0B2B43" w:themeColor="text2" w:themeShade="80"/>
          <w:lang w:eastAsia="en-GB"/>
        </w:rPr>
        <w:t>offer stipends and tuition fee scholarships for longer periods of time, where justified by innovation in course structures or personal circumstances</w:t>
      </w:r>
    </w:p>
    <w:p w:rsidR="002C6039" w:rsidRPr="004A1196" w:rsidRDefault="002C6039" w:rsidP="002C6039">
      <w:pPr>
        <w:pStyle w:val="ListParagraph"/>
        <w:numPr>
          <w:ilvl w:val="0"/>
          <w:numId w:val="28"/>
        </w:numPr>
        <w:rPr>
          <w:rFonts w:eastAsia="Calibri"/>
          <w:color w:val="0B2B43" w:themeColor="text2" w:themeShade="80"/>
          <w:lang w:eastAsia="en-GB"/>
        </w:rPr>
      </w:pPr>
      <w:proofErr w:type="gramStart"/>
      <w:r w:rsidRPr="004A1196">
        <w:rPr>
          <w:rFonts w:eastAsia="Calibri"/>
          <w:color w:val="0B2B43" w:themeColor="text2" w:themeShade="80"/>
          <w:lang w:eastAsia="en-GB"/>
        </w:rPr>
        <w:t>introduce</w:t>
      </w:r>
      <w:proofErr w:type="gramEnd"/>
      <w:r w:rsidRPr="004A1196">
        <w:rPr>
          <w:rFonts w:eastAsia="Calibri"/>
          <w:color w:val="0B2B43" w:themeColor="text2" w:themeShade="80"/>
          <w:lang w:eastAsia="en-GB"/>
        </w:rPr>
        <w:t xml:space="preserve"> innovative structures and arrangements which increase the skills and employability of research graduates, such as business placements and relevant coursework in appropriate research fields</w:t>
      </w:r>
      <w:r w:rsidR="004718C3" w:rsidRPr="004A1196">
        <w:rPr>
          <w:rFonts w:eastAsia="Calibri"/>
          <w:color w:val="0B2B43" w:themeColor="text2" w:themeShade="80"/>
          <w:lang w:eastAsia="en-GB"/>
        </w:rPr>
        <w:t>.</w:t>
      </w:r>
    </w:p>
    <w:p w:rsidR="002C6039" w:rsidRPr="004A1196" w:rsidRDefault="002C6039" w:rsidP="002C6039">
      <w:pPr>
        <w:rPr>
          <w:rFonts w:eastAsia="Calibri"/>
          <w:color w:val="0B2B43" w:themeColor="text2" w:themeShade="80"/>
          <w:lang w:eastAsia="en-GB"/>
        </w:rPr>
      </w:pPr>
      <w:r w:rsidRPr="004A1196">
        <w:rPr>
          <w:rFonts w:eastAsia="Calibri"/>
          <w:color w:val="0B2B43" w:themeColor="text2" w:themeShade="80"/>
          <w:lang w:eastAsia="en-GB"/>
        </w:rPr>
        <w:t xml:space="preserve">The review further concluded that only two funding drivers, research income and student completions, should be employed. Publications are not an effective measure of the </w:t>
      </w:r>
      <w:proofErr w:type="gramStart"/>
      <w:r w:rsidRPr="004A1196">
        <w:rPr>
          <w:rFonts w:eastAsia="Calibri"/>
          <w:color w:val="0B2B43" w:themeColor="text2" w:themeShade="80"/>
          <w:lang w:eastAsia="en-GB"/>
        </w:rPr>
        <w:t>research training</w:t>
      </w:r>
      <w:proofErr w:type="gramEnd"/>
      <w:r w:rsidRPr="004A1196">
        <w:rPr>
          <w:rFonts w:eastAsia="Calibri"/>
          <w:color w:val="0B2B43" w:themeColor="text2" w:themeShade="80"/>
          <w:lang w:eastAsia="en-GB"/>
        </w:rPr>
        <w:t xml:space="preserve"> environment within a university and inclusion of the publications measure represents the continuing adherence to hist</w:t>
      </w:r>
      <w:r w:rsidR="00AC2D1C">
        <w:rPr>
          <w:rFonts w:eastAsia="Calibri"/>
          <w:color w:val="0B2B43" w:themeColor="text2" w:themeShade="80"/>
          <w:lang w:eastAsia="en-GB"/>
        </w:rPr>
        <w:t>orical research priorities. It</w:t>
      </w:r>
      <w:r w:rsidRPr="004A1196">
        <w:rPr>
          <w:rFonts w:eastAsia="Calibri"/>
          <w:color w:val="0B2B43" w:themeColor="text2" w:themeShade="80"/>
          <w:lang w:eastAsia="en-GB"/>
        </w:rPr>
        <w:t xml:space="preserve"> </w:t>
      </w:r>
      <w:proofErr w:type="gramStart"/>
      <w:r w:rsidRPr="004A1196">
        <w:rPr>
          <w:rFonts w:eastAsia="Calibri"/>
          <w:color w:val="0B2B43" w:themeColor="text2" w:themeShade="80"/>
          <w:lang w:eastAsia="en-GB"/>
        </w:rPr>
        <w:t>should be removed</w:t>
      </w:r>
      <w:proofErr w:type="gramEnd"/>
      <w:r w:rsidRPr="004A1196">
        <w:rPr>
          <w:rFonts w:eastAsia="Calibri"/>
          <w:color w:val="0B2B43" w:themeColor="text2" w:themeShade="80"/>
          <w:lang w:eastAsia="en-GB"/>
        </w:rPr>
        <w:t>.</w:t>
      </w:r>
    </w:p>
    <w:p w:rsidR="002C6039" w:rsidRPr="004A1196" w:rsidRDefault="002C6039" w:rsidP="002C6039">
      <w:pPr>
        <w:pStyle w:val="RIHeading2"/>
        <w:rPr>
          <w:rFonts w:eastAsia="Times New Roman"/>
          <w:color w:val="0B2B43" w:themeColor="text2" w:themeShade="80"/>
        </w:rPr>
      </w:pPr>
      <w:bookmarkStart w:id="154" w:name="_Toc436651829"/>
      <w:bookmarkStart w:id="155" w:name="_Toc436659637"/>
      <w:bookmarkStart w:id="156" w:name="_Toc436660135"/>
      <w:r w:rsidRPr="004A1196">
        <w:rPr>
          <w:rFonts w:eastAsia="Times New Roman"/>
          <w:color w:val="0B2B43" w:themeColor="text2" w:themeShade="80"/>
        </w:rPr>
        <w:t xml:space="preserve">A new model for </w:t>
      </w:r>
      <w:proofErr w:type="spellStart"/>
      <w:r w:rsidRPr="004A1196">
        <w:rPr>
          <w:rFonts w:eastAsia="Times New Roman"/>
          <w:color w:val="0B2B43" w:themeColor="text2" w:themeShade="80"/>
        </w:rPr>
        <w:t>RBG</w:t>
      </w:r>
      <w:bookmarkEnd w:id="154"/>
      <w:bookmarkEnd w:id="155"/>
      <w:bookmarkEnd w:id="156"/>
      <w:proofErr w:type="spellEnd"/>
    </w:p>
    <w:p w:rsidR="002C6039" w:rsidRPr="004A1196" w:rsidRDefault="002C6039" w:rsidP="002C6039">
      <w:pPr>
        <w:rPr>
          <w:rFonts w:eastAsia="Calibri"/>
          <w:color w:val="0B2B43" w:themeColor="text2" w:themeShade="80"/>
        </w:rPr>
      </w:pPr>
      <w:r w:rsidRPr="004A1196">
        <w:rPr>
          <w:rFonts w:eastAsia="Calibri" w:cs="Calibri"/>
          <w:color w:val="0B2B43" w:themeColor="text2" w:themeShade="80"/>
          <w:lang w:eastAsia="en-GB"/>
        </w:rPr>
        <w:t xml:space="preserve">Consistent with these objectives, </w:t>
      </w:r>
      <w:r w:rsidRPr="004A1196">
        <w:rPr>
          <w:rFonts w:eastAsia="Calibri"/>
          <w:color w:val="0B2B43" w:themeColor="text2" w:themeShade="80"/>
        </w:rPr>
        <w:t xml:space="preserve">it </w:t>
      </w:r>
      <w:proofErr w:type="gramStart"/>
      <w:r w:rsidRPr="004A1196">
        <w:rPr>
          <w:rFonts w:eastAsia="Calibri"/>
          <w:color w:val="0B2B43" w:themeColor="text2" w:themeShade="80"/>
        </w:rPr>
        <w:t>was concluded</w:t>
      </w:r>
      <w:proofErr w:type="gramEnd"/>
      <w:r w:rsidRPr="004A1196">
        <w:rPr>
          <w:rFonts w:eastAsia="Calibri"/>
          <w:color w:val="0B2B43" w:themeColor="text2" w:themeShade="80"/>
        </w:rPr>
        <w:t xml:space="preserve"> that </w:t>
      </w:r>
      <w:proofErr w:type="spellStart"/>
      <w:r w:rsidRPr="004A1196">
        <w:rPr>
          <w:rFonts w:eastAsia="Calibri"/>
          <w:color w:val="0B2B43" w:themeColor="text2" w:themeShade="80"/>
        </w:rPr>
        <w:t>RBG</w:t>
      </w:r>
      <w:proofErr w:type="spellEnd"/>
      <w:r w:rsidRPr="004A1196">
        <w:rPr>
          <w:rFonts w:eastAsia="Calibri"/>
          <w:color w:val="0B2B43" w:themeColor="text2" w:themeShade="80"/>
        </w:rPr>
        <w:t xml:space="preserve"> should be allocated through two schemes only, one supporting research and one supporting research training: </w:t>
      </w:r>
    </w:p>
    <w:p w:rsidR="002C6039" w:rsidRPr="004A1196" w:rsidRDefault="00C95E4C" w:rsidP="002C6039">
      <w:pPr>
        <w:pStyle w:val="ListParagraph"/>
        <w:numPr>
          <w:ilvl w:val="0"/>
          <w:numId w:val="30"/>
        </w:numPr>
        <w:rPr>
          <w:rFonts w:eastAsia="Calibri"/>
          <w:color w:val="0B2B43" w:themeColor="text2" w:themeShade="80"/>
        </w:rPr>
      </w:pPr>
      <w:r>
        <w:rPr>
          <w:rFonts w:eastAsia="Calibri"/>
          <w:color w:val="0B2B43" w:themeColor="text2" w:themeShade="80"/>
        </w:rPr>
        <w:t xml:space="preserve">a Research Support </w:t>
      </w:r>
      <w:r w:rsidR="00DE4192">
        <w:rPr>
          <w:rFonts w:eastAsia="Calibri"/>
          <w:color w:val="0B2B43" w:themeColor="text2" w:themeShade="80"/>
        </w:rPr>
        <w:t>P</w:t>
      </w:r>
      <w:r>
        <w:rPr>
          <w:rFonts w:eastAsia="Calibri"/>
          <w:color w:val="0B2B43" w:themeColor="text2" w:themeShade="80"/>
        </w:rPr>
        <w:t>rogramme</w:t>
      </w:r>
      <w:r w:rsidR="002C6039" w:rsidRPr="004A1196">
        <w:rPr>
          <w:rFonts w:eastAsia="Calibri"/>
          <w:color w:val="0B2B43" w:themeColor="text2" w:themeShade="80"/>
        </w:rPr>
        <w:t xml:space="preserve"> combining </w:t>
      </w:r>
      <w:proofErr w:type="spellStart"/>
      <w:r w:rsidR="002C6039" w:rsidRPr="004A1196">
        <w:rPr>
          <w:rFonts w:eastAsia="Calibri"/>
          <w:color w:val="0B2B43" w:themeColor="text2" w:themeShade="80"/>
        </w:rPr>
        <w:t>RIBG</w:t>
      </w:r>
      <w:proofErr w:type="spellEnd"/>
      <w:r w:rsidR="002C6039" w:rsidRPr="004A1196">
        <w:rPr>
          <w:rFonts w:eastAsia="Calibri"/>
          <w:color w:val="0B2B43" w:themeColor="text2" w:themeShade="80"/>
        </w:rPr>
        <w:t xml:space="preserve">, </w:t>
      </w:r>
      <w:proofErr w:type="spellStart"/>
      <w:r w:rsidR="002C6039" w:rsidRPr="004A1196">
        <w:rPr>
          <w:rFonts w:eastAsia="Calibri"/>
          <w:color w:val="0B2B43" w:themeColor="text2" w:themeShade="80"/>
        </w:rPr>
        <w:t>SRE</w:t>
      </w:r>
      <w:proofErr w:type="spellEnd"/>
      <w:r w:rsidR="002C6039" w:rsidRPr="004A1196">
        <w:rPr>
          <w:rFonts w:eastAsia="Calibri"/>
          <w:color w:val="0B2B43" w:themeColor="text2" w:themeShade="80"/>
        </w:rPr>
        <w:t xml:space="preserve"> and </w:t>
      </w:r>
      <w:proofErr w:type="spellStart"/>
      <w:r w:rsidR="002C6039" w:rsidRPr="004A1196">
        <w:rPr>
          <w:rFonts w:eastAsia="Calibri"/>
          <w:color w:val="0B2B43" w:themeColor="text2" w:themeShade="80"/>
        </w:rPr>
        <w:t>JRE</w:t>
      </w:r>
      <w:proofErr w:type="spellEnd"/>
      <w:r w:rsidR="002C6039" w:rsidRPr="004A1196">
        <w:rPr>
          <w:rFonts w:eastAsia="Calibri"/>
          <w:color w:val="0B2B43" w:themeColor="text2" w:themeShade="80"/>
        </w:rPr>
        <w:t xml:space="preserve"> funding allocations, which removes publications and student load as funding drivers and applies two equally weighted funding drivers </w:t>
      </w:r>
      <w:r w:rsidR="00504687">
        <w:rPr>
          <w:rFonts w:eastAsia="Calibri"/>
          <w:color w:val="0B2B43" w:themeColor="text2" w:themeShade="80"/>
        </w:rPr>
        <w:t xml:space="preserve">— </w:t>
      </w:r>
      <w:r w:rsidR="002C6039" w:rsidRPr="004A1196">
        <w:rPr>
          <w:rFonts w:eastAsia="Calibri"/>
          <w:color w:val="0B2B43" w:themeColor="text2" w:themeShade="80"/>
        </w:rPr>
        <w:t xml:space="preserve">competitive grants (Category 1) income and business and other </w:t>
      </w:r>
      <w:r w:rsidR="003904BC">
        <w:rPr>
          <w:rFonts w:eastAsia="Calibri"/>
          <w:color w:val="0B2B43" w:themeColor="text2" w:themeShade="80"/>
        </w:rPr>
        <w:t>end user</w:t>
      </w:r>
      <w:r w:rsidR="002C6039" w:rsidRPr="004A1196">
        <w:rPr>
          <w:rFonts w:eastAsia="Calibri"/>
          <w:color w:val="0B2B43" w:themeColor="text2" w:themeShade="80"/>
        </w:rPr>
        <w:t xml:space="preserve"> income (Categor</w:t>
      </w:r>
      <w:r w:rsidR="00A22775">
        <w:rPr>
          <w:rFonts w:eastAsia="Calibri"/>
          <w:color w:val="0B2B43" w:themeColor="text2" w:themeShade="80"/>
        </w:rPr>
        <w:t>y 2-</w:t>
      </w:r>
      <w:r w:rsidR="002C6039" w:rsidRPr="004A1196">
        <w:rPr>
          <w:rFonts w:eastAsia="Calibri"/>
          <w:color w:val="0B2B43" w:themeColor="text2" w:themeShade="80"/>
        </w:rPr>
        <w:t>4) income</w:t>
      </w:r>
    </w:p>
    <w:p w:rsidR="002C6039" w:rsidRPr="004A1196" w:rsidRDefault="002C6039" w:rsidP="002C6039">
      <w:pPr>
        <w:pStyle w:val="ListParagraph"/>
        <w:numPr>
          <w:ilvl w:val="0"/>
          <w:numId w:val="30"/>
        </w:numPr>
        <w:rPr>
          <w:rFonts w:eastAsia="Calibri"/>
          <w:color w:val="0B2B43" w:themeColor="text2" w:themeShade="80"/>
        </w:rPr>
      </w:pPr>
      <w:proofErr w:type="gramStart"/>
      <w:r w:rsidRPr="004A1196">
        <w:rPr>
          <w:rFonts w:eastAsia="Calibri"/>
          <w:color w:val="0B2B43" w:themeColor="text2" w:themeShade="80"/>
        </w:rPr>
        <w:t>a</w:t>
      </w:r>
      <w:proofErr w:type="gramEnd"/>
      <w:r w:rsidRPr="004A1196">
        <w:rPr>
          <w:rFonts w:eastAsia="Calibri"/>
          <w:color w:val="0B2B43" w:themeColor="text2" w:themeShade="80"/>
        </w:rPr>
        <w:t xml:space="preserve"> Research Training </w:t>
      </w:r>
      <w:r w:rsidR="00DE4192">
        <w:rPr>
          <w:rFonts w:eastAsia="Calibri"/>
          <w:color w:val="0B2B43" w:themeColor="text2" w:themeShade="80"/>
        </w:rPr>
        <w:t>P</w:t>
      </w:r>
      <w:r w:rsidR="00C95E4C">
        <w:rPr>
          <w:rFonts w:eastAsia="Calibri"/>
          <w:color w:val="0B2B43" w:themeColor="text2" w:themeShade="80"/>
        </w:rPr>
        <w:t>rogramme</w:t>
      </w:r>
      <w:r w:rsidRPr="004A1196">
        <w:rPr>
          <w:rFonts w:eastAsia="Calibri"/>
          <w:color w:val="0B2B43" w:themeColor="text2" w:themeShade="80"/>
        </w:rPr>
        <w:t xml:space="preserve"> combining </w:t>
      </w:r>
      <w:proofErr w:type="spellStart"/>
      <w:r w:rsidRPr="004A1196">
        <w:rPr>
          <w:rFonts w:eastAsia="Calibri"/>
          <w:color w:val="0B2B43" w:themeColor="text2" w:themeShade="80"/>
        </w:rPr>
        <w:t>RTS</w:t>
      </w:r>
      <w:proofErr w:type="spellEnd"/>
      <w:r w:rsidRPr="004A1196">
        <w:rPr>
          <w:rFonts w:eastAsia="Calibri"/>
          <w:color w:val="0B2B43" w:themeColor="text2" w:themeShade="80"/>
        </w:rPr>
        <w:t xml:space="preserve">, </w:t>
      </w:r>
      <w:proofErr w:type="spellStart"/>
      <w:r w:rsidRPr="004A1196">
        <w:rPr>
          <w:rFonts w:eastAsia="Calibri"/>
          <w:color w:val="0B2B43" w:themeColor="text2" w:themeShade="80"/>
        </w:rPr>
        <w:t>APA</w:t>
      </w:r>
      <w:proofErr w:type="spellEnd"/>
      <w:r w:rsidRPr="004A1196">
        <w:rPr>
          <w:rFonts w:eastAsia="Calibri"/>
          <w:color w:val="0B2B43" w:themeColor="text2" w:themeShade="80"/>
        </w:rPr>
        <w:t xml:space="preserve"> and </w:t>
      </w:r>
      <w:proofErr w:type="spellStart"/>
      <w:r w:rsidRPr="004A1196">
        <w:rPr>
          <w:rFonts w:eastAsia="Calibri"/>
          <w:color w:val="0B2B43" w:themeColor="text2" w:themeShade="80"/>
        </w:rPr>
        <w:t>IPRS</w:t>
      </w:r>
      <w:proofErr w:type="spellEnd"/>
      <w:r w:rsidRPr="004A1196">
        <w:rPr>
          <w:rFonts w:eastAsia="Calibri"/>
          <w:color w:val="0B2B43" w:themeColor="text2" w:themeShade="80"/>
        </w:rPr>
        <w:t xml:space="preserve"> funding allocations, which removes publications as a funding driver, and gives equal weight to student completions and research income (in which equal weighting is given to Category 1 and Category 2-4 income)</w:t>
      </w:r>
      <w:r w:rsidR="004718C3" w:rsidRPr="004A1196">
        <w:rPr>
          <w:rFonts w:eastAsia="Calibri"/>
          <w:color w:val="0B2B43" w:themeColor="text2" w:themeShade="80"/>
        </w:rPr>
        <w:t>.</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The equal weighting given to competitive grant (Category 1) research income and other (Category 2-4) research income reflects the Government’s position that research aimed at meeting the needs of business and other </w:t>
      </w:r>
      <w:r w:rsidR="003904BC">
        <w:rPr>
          <w:rFonts w:eastAsia="Calibri"/>
          <w:color w:val="0B2B43" w:themeColor="text2" w:themeShade="80"/>
        </w:rPr>
        <w:t>end user</w:t>
      </w:r>
      <w:r w:rsidRPr="004A1196">
        <w:rPr>
          <w:rFonts w:eastAsia="Calibri"/>
          <w:color w:val="0B2B43" w:themeColor="text2" w:themeShade="80"/>
        </w:rPr>
        <w:t>s and high quality fundamental research are of equal importance.</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The recommended 50:50 split </w:t>
      </w:r>
      <w:proofErr w:type="gramStart"/>
      <w:r w:rsidRPr="004A1196">
        <w:rPr>
          <w:rFonts w:eastAsia="Calibri"/>
          <w:color w:val="0B2B43" w:themeColor="text2" w:themeShade="80"/>
        </w:rPr>
        <w:t>should not be seen</w:t>
      </w:r>
      <w:proofErr w:type="gramEnd"/>
      <w:r w:rsidRPr="004A1196">
        <w:rPr>
          <w:rFonts w:eastAsia="Calibri"/>
          <w:color w:val="0B2B43" w:themeColor="text2" w:themeShade="80"/>
        </w:rPr>
        <w:t xml:space="preserve"> as downplaying the continuing importance of research quality. As discussed in </w:t>
      </w:r>
      <w:r w:rsidR="004718C3" w:rsidRPr="004A1196">
        <w:rPr>
          <w:rFonts w:eastAsia="Calibri"/>
          <w:color w:val="0B2B43" w:themeColor="text2" w:themeShade="80"/>
        </w:rPr>
        <w:t xml:space="preserve">Chapter </w:t>
      </w:r>
      <w:r w:rsidR="00E53B62" w:rsidRPr="004A1196">
        <w:rPr>
          <w:rFonts w:eastAsia="Calibri"/>
          <w:color w:val="0B2B43" w:themeColor="text2" w:themeShade="80"/>
        </w:rPr>
        <w:t>6</w:t>
      </w:r>
      <w:r w:rsidRPr="004A1196">
        <w:rPr>
          <w:rFonts w:eastAsia="Calibri"/>
          <w:color w:val="0B2B43" w:themeColor="text2" w:themeShade="80"/>
        </w:rPr>
        <w:t xml:space="preserve">, the high quality of Australian university research in many fields is internationally recognised. Quality is fundamental to the international standing of Australian universities. It is central to almost all university assessment systems, including ERA and the major global ranking systems, and to individual academic careers. The need to balance the continuing importance of quality, as reflected in success in </w:t>
      </w:r>
      <w:proofErr w:type="spellStart"/>
      <w:r w:rsidRPr="004A1196">
        <w:rPr>
          <w:rFonts w:eastAsia="Calibri"/>
          <w:color w:val="0B2B43" w:themeColor="text2" w:themeShade="80"/>
        </w:rPr>
        <w:t>ACG</w:t>
      </w:r>
      <w:proofErr w:type="spellEnd"/>
      <w:r w:rsidRPr="004A1196">
        <w:rPr>
          <w:rFonts w:eastAsia="Calibri"/>
          <w:color w:val="0B2B43" w:themeColor="text2" w:themeShade="80"/>
        </w:rPr>
        <w:t xml:space="preserve">, with the importance of driving increased levels of engagement, has resulted in the review proposing only a modest rebalancing of the weighting between Category 1 research income and Category 2-4 income, from 55:45 to 50:50, in driving research support funding. Further, the combined effect of the changes across the proposed schemes means that the influence of Category 1 income on total </w:t>
      </w:r>
      <w:proofErr w:type="spellStart"/>
      <w:r w:rsidRPr="004A1196">
        <w:rPr>
          <w:rFonts w:eastAsia="Calibri"/>
          <w:color w:val="0B2B43" w:themeColor="text2" w:themeShade="80"/>
        </w:rPr>
        <w:t>RBG</w:t>
      </w:r>
      <w:proofErr w:type="spellEnd"/>
      <w:r w:rsidRPr="004A1196">
        <w:rPr>
          <w:rFonts w:eastAsia="Calibri"/>
          <w:color w:val="0B2B43" w:themeColor="text2" w:themeShade="80"/>
        </w:rPr>
        <w:t xml:space="preserve"> actually increases slightly overall, as discussed below.</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While the 50:50 split may appear to represent a modest shift only towards reward for engagement, the combined effect of the changes leads to significant increased financial reward for engagement, as set out </w:t>
      </w:r>
      <w:r w:rsidR="00DE4192">
        <w:rPr>
          <w:rFonts w:eastAsia="Calibri"/>
          <w:color w:val="0B2B43" w:themeColor="text2" w:themeShade="80"/>
        </w:rPr>
        <w:t>in Chart 8(ii)</w:t>
      </w:r>
      <w:r w:rsidRPr="004A1196">
        <w:rPr>
          <w:rFonts w:eastAsia="Calibri"/>
          <w:color w:val="0B2B43" w:themeColor="text2" w:themeShade="80"/>
        </w:rPr>
        <w:t xml:space="preserve">. The 50:50 split also sends a clear signal that the Government attaches great importance to both the universities being producers of new fundamental </w:t>
      </w:r>
      <w:proofErr w:type="gramStart"/>
      <w:r w:rsidRPr="004A1196">
        <w:rPr>
          <w:rFonts w:eastAsia="Calibri"/>
          <w:color w:val="0B2B43" w:themeColor="text2" w:themeShade="80"/>
        </w:rPr>
        <w:t>knowledge and working with businesses to use that knowledge to develop innovative products, services</w:t>
      </w:r>
      <w:proofErr w:type="gramEnd"/>
      <w:r w:rsidRPr="004A1196">
        <w:rPr>
          <w:rFonts w:eastAsia="Calibri"/>
          <w:color w:val="0B2B43" w:themeColor="text2" w:themeShade="80"/>
        </w:rPr>
        <w:t xml:space="preserve"> and processes.</w:t>
      </w:r>
    </w:p>
    <w:p w:rsidR="002C6039" w:rsidRPr="004A1196" w:rsidRDefault="002C6039" w:rsidP="002C6039">
      <w:pPr>
        <w:rPr>
          <w:rFonts w:eastAsia="Calibri"/>
          <w:color w:val="0B2B43" w:themeColor="text2" w:themeShade="80"/>
        </w:rPr>
      </w:pPr>
      <w:proofErr w:type="gramStart"/>
      <w:r w:rsidRPr="004A1196">
        <w:rPr>
          <w:rFonts w:eastAsia="Calibri"/>
          <w:color w:val="0B2B43" w:themeColor="text2" w:themeShade="80"/>
        </w:rPr>
        <w:t xml:space="preserve">The review anticipates that universities wishing to best position themselves for the future will seek to increase their engagement with industry and other </w:t>
      </w:r>
      <w:r w:rsidR="003904BC">
        <w:rPr>
          <w:rFonts w:eastAsia="Calibri"/>
          <w:color w:val="0B2B43" w:themeColor="text2" w:themeShade="80"/>
        </w:rPr>
        <w:t>end user</w:t>
      </w:r>
      <w:r w:rsidRPr="004A1196">
        <w:rPr>
          <w:rFonts w:eastAsia="Calibri"/>
          <w:color w:val="0B2B43" w:themeColor="text2" w:themeShade="80"/>
        </w:rPr>
        <w:t xml:space="preserve">s of research from the start, not just to maximise their future </w:t>
      </w:r>
      <w:proofErr w:type="spellStart"/>
      <w:r w:rsidRPr="004A1196">
        <w:rPr>
          <w:rFonts w:eastAsia="Calibri"/>
          <w:color w:val="0B2B43" w:themeColor="text2" w:themeShade="80"/>
        </w:rPr>
        <w:t>RBG</w:t>
      </w:r>
      <w:proofErr w:type="spellEnd"/>
      <w:r w:rsidRPr="004A1196">
        <w:rPr>
          <w:rFonts w:eastAsia="Calibri"/>
          <w:color w:val="0B2B43" w:themeColor="text2" w:themeShade="80"/>
        </w:rPr>
        <w:t xml:space="preserve"> income but to strategically position themselves to better align with government priorities that will be given effect in policies and funding going well beyond </w:t>
      </w:r>
      <w:proofErr w:type="spellStart"/>
      <w:r w:rsidRPr="004A1196">
        <w:rPr>
          <w:rFonts w:eastAsia="Calibri"/>
          <w:color w:val="0B2B43" w:themeColor="text2" w:themeShade="80"/>
        </w:rPr>
        <w:t>RBG</w:t>
      </w:r>
      <w:proofErr w:type="spellEnd"/>
      <w:r w:rsidRPr="004A1196">
        <w:rPr>
          <w:rFonts w:eastAsia="Calibri"/>
          <w:color w:val="0B2B43" w:themeColor="text2" w:themeShade="80"/>
        </w:rPr>
        <w:t>.</w:t>
      </w:r>
      <w:proofErr w:type="gramEnd"/>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In recent years, the sector has demonstrated its capacity to respond to </w:t>
      </w:r>
      <w:proofErr w:type="gramStart"/>
      <w:r w:rsidRPr="004A1196">
        <w:rPr>
          <w:rFonts w:eastAsia="Calibri"/>
          <w:color w:val="0B2B43" w:themeColor="text2" w:themeShade="80"/>
        </w:rPr>
        <w:t>incentives which</w:t>
      </w:r>
      <w:proofErr w:type="gramEnd"/>
      <w:r w:rsidRPr="004A1196">
        <w:rPr>
          <w:rFonts w:eastAsia="Calibri"/>
          <w:color w:val="0B2B43" w:themeColor="text2" w:themeShade="80"/>
        </w:rPr>
        <w:t xml:space="preserve"> have been soundly designed to encourage the behaviour sought by government. This </w:t>
      </w:r>
      <w:proofErr w:type="gramStart"/>
      <w:r w:rsidRPr="004A1196">
        <w:rPr>
          <w:rFonts w:eastAsia="Calibri"/>
          <w:color w:val="0B2B43" w:themeColor="text2" w:themeShade="80"/>
        </w:rPr>
        <w:t>is exemplified</w:t>
      </w:r>
      <w:proofErr w:type="gramEnd"/>
      <w:r w:rsidRPr="004A1196">
        <w:rPr>
          <w:rFonts w:eastAsia="Calibri"/>
          <w:color w:val="0B2B43" w:themeColor="text2" w:themeShade="80"/>
        </w:rPr>
        <w:t xml:space="preserve"> by growth in domestic undergraduate student load in response to demand driven funding and the removal of caps on undergraduate student places in 2012. Participation in higher education by disadvantaged students also increased over the period from 2007 in response to new programmes aimed at increasing equity,</w:t>
      </w:r>
      <w:r w:rsidR="0095003C" w:rsidRPr="004A1196">
        <w:rPr>
          <w:rFonts w:eastAsia="Calibri"/>
          <w:color w:val="0B2B43" w:themeColor="text2" w:themeShade="80"/>
          <w:vertAlign w:val="superscript"/>
        </w:rPr>
        <w:footnoteReference w:id="23"/>
      </w:r>
      <w:r w:rsidRPr="004A1196">
        <w:rPr>
          <w:rFonts w:eastAsia="Calibri"/>
          <w:color w:val="0B2B43" w:themeColor="text2" w:themeShade="80"/>
        </w:rPr>
        <w:t xml:space="preserve"> despite concern about the red tape load associated with the programmes in their initial form.</w:t>
      </w:r>
    </w:p>
    <w:p w:rsidR="002C6039" w:rsidRDefault="002C6039" w:rsidP="002C6039">
      <w:pPr>
        <w:rPr>
          <w:rFonts w:eastAsia="Calibri"/>
          <w:color w:val="0B2B43" w:themeColor="text2" w:themeShade="80"/>
        </w:rPr>
      </w:pPr>
      <w:r w:rsidRPr="004A1196">
        <w:rPr>
          <w:rFonts w:eastAsia="Calibri"/>
          <w:color w:val="0B2B43" w:themeColor="text2" w:themeShade="80"/>
        </w:rPr>
        <w:t xml:space="preserve">The balance between the research income drivers </w:t>
      </w:r>
      <w:proofErr w:type="gramStart"/>
      <w:r w:rsidRPr="004A1196">
        <w:rPr>
          <w:rFonts w:eastAsia="Calibri"/>
          <w:color w:val="0B2B43" w:themeColor="text2" w:themeShade="80"/>
        </w:rPr>
        <w:t>is also reflected</w:t>
      </w:r>
      <w:proofErr w:type="gramEnd"/>
      <w:r w:rsidRPr="004A1196">
        <w:rPr>
          <w:rFonts w:eastAsia="Calibri"/>
          <w:color w:val="0B2B43" w:themeColor="text2" w:themeShade="80"/>
        </w:rPr>
        <w:t xml:space="preserve"> in research training arrangements. Weighting for student completions remains unchanged, at 50 per cent. With the removal of student load from </w:t>
      </w:r>
      <w:proofErr w:type="spellStart"/>
      <w:r w:rsidRPr="004A1196">
        <w:rPr>
          <w:rFonts w:eastAsia="Calibri"/>
          <w:color w:val="0B2B43" w:themeColor="text2" w:themeShade="80"/>
        </w:rPr>
        <w:t>RBG</w:t>
      </w:r>
      <w:proofErr w:type="spellEnd"/>
      <w:r w:rsidRPr="004A1196">
        <w:rPr>
          <w:rFonts w:eastAsia="Calibri"/>
          <w:color w:val="0B2B43" w:themeColor="text2" w:themeShade="80"/>
        </w:rPr>
        <w:t xml:space="preserve"> formulae, student completions become the only measure of student training an institution is undertaking. The use of completions rather than load more appropriately provides rewards for effectiveness of institutional research training performance.</w:t>
      </w:r>
    </w:p>
    <w:p w:rsidR="004A3C24" w:rsidRPr="004A1196" w:rsidRDefault="004A3C24" w:rsidP="004A3C24">
      <w:pPr>
        <w:pStyle w:val="RIHeading3"/>
        <w:rPr>
          <w:rFonts w:eastAsia="Times New Roman"/>
          <w:color w:val="0B2B43" w:themeColor="text2" w:themeShade="80"/>
          <w:lang w:eastAsia="en-GB"/>
        </w:rPr>
      </w:pPr>
      <w:proofErr w:type="spellStart"/>
      <w:r w:rsidRPr="004A1196">
        <w:rPr>
          <w:rFonts w:eastAsia="Times New Roman"/>
          <w:color w:val="0B2B43" w:themeColor="text2" w:themeShade="80"/>
          <w:lang w:eastAsia="en-GB"/>
        </w:rPr>
        <w:t>RBG</w:t>
      </w:r>
      <w:proofErr w:type="spellEnd"/>
      <w:r w:rsidRPr="004A1196">
        <w:rPr>
          <w:rFonts w:eastAsia="Times New Roman"/>
          <w:color w:val="0B2B43" w:themeColor="text2" w:themeShade="80"/>
          <w:lang w:eastAsia="en-GB"/>
        </w:rPr>
        <w:t xml:space="preserve"> as a whole</w:t>
      </w:r>
    </w:p>
    <w:p w:rsidR="004A3C24" w:rsidRPr="004A1196" w:rsidRDefault="004A3C24" w:rsidP="004A3C24">
      <w:pPr>
        <w:rPr>
          <w:rFonts w:eastAsia="Calibri"/>
          <w:color w:val="0B2B43" w:themeColor="text2" w:themeShade="80"/>
          <w:lang w:eastAsia="en-GB"/>
        </w:rPr>
      </w:pPr>
      <w:r w:rsidRPr="004A1196">
        <w:rPr>
          <w:rFonts w:eastAsia="Calibri"/>
          <w:color w:val="0B2B43" w:themeColor="text2" w:themeShade="80"/>
          <w:lang w:eastAsia="en-GB"/>
        </w:rPr>
        <w:t xml:space="preserve">The review concluded that incremental reforms over the life of </w:t>
      </w:r>
      <w:proofErr w:type="spellStart"/>
      <w:r w:rsidRPr="004A1196">
        <w:rPr>
          <w:rFonts w:eastAsia="Calibri"/>
          <w:color w:val="0B2B43" w:themeColor="text2" w:themeShade="80"/>
          <w:lang w:eastAsia="en-GB"/>
        </w:rPr>
        <w:t>RBG</w:t>
      </w:r>
      <w:proofErr w:type="spellEnd"/>
      <w:r w:rsidRPr="004A1196">
        <w:rPr>
          <w:rFonts w:eastAsia="Calibri"/>
          <w:color w:val="0B2B43" w:themeColor="text2" w:themeShade="80"/>
          <w:lang w:eastAsia="en-GB"/>
        </w:rPr>
        <w:t xml:space="preserve"> have reduced the focus and coherence of the programmes and have resulted in funding arrangements which:</w:t>
      </w:r>
    </w:p>
    <w:p w:rsidR="004A3C24" w:rsidRPr="004A1196" w:rsidRDefault="004A3C24" w:rsidP="004A3C24">
      <w:pPr>
        <w:pStyle w:val="ListParagraph"/>
        <w:numPr>
          <w:ilvl w:val="0"/>
          <w:numId w:val="29"/>
        </w:numPr>
        <w:rPr>
          <w:rFonts w:eastAsia="Calibri"/>
          <w:color w:val="0B2B43" w:themeColor="text2" w:themeShade="80"/>
          <w:lang w:eastAsia="en-GB"/>
        </w:rPr>
      </w:pPr>
      <w:r w:rsidRPr="004A1196">
        <w:rPr>
          <w:rFonts w:eastAsia="Calibri"/>
          <w:color w:val="0B2B43" w:themeColor="text2" w:themeShade="80"/>
          <w:lang w:eastAsia="en-GB"/>
        </w:rPr>
        <w:t>lack policy coherence, with multiple programmes supporting similar policy objective</w:t>
      </w:r>
      <w:r>
        <w:rPr>
          <w:rFonts w:eastAsia="Calibri"/>
          <w:color w:val="0B2B43" w:themeColor="text2" w:themeShade="80"/>
          <w:lang w:eastAsia="en-GB"/>
        </w:rPr>
        <w:t>s</w:t>
      </w:r>
    </w:p>
    <w:p w:rsidR="004A3C24" w:rsidRPr="004A1196" w:rsidRDefault="004A3C24" w:rsidP="004A3C24">
      <w:pPr>
        <w:pStyle w:val="ListParagraph"/>
        <w:numPr>
          <w:ilvl w:val="0"/>
          <w:numId w:val="29"/>
        </w:numPr>
        <w:rPr>
          <w:rFonts w:eastAsia="Calibri"/>
          <w:color w:val="0B2B43" w:themeColor="text2" w:themeShade="80"/>
          <w:lang w:eastAsia="en-GB"/>
        </w:rPr>
      </w:pPr>
      <w:r w:rsidRPr="004A1196">
        <w:rPr>
          <w:rFonts w:eastAsia="Calibri"/>
          <w:color w:val="0B2B43" w:themeColor="text2" w:themeShade="80"/>
          <w:lang w:eastAsia="en-GB"/>
        </w:rPr>
        <w:t>employ funding allocation methods which are unnecessarily complex for no clear benefit</w:t>
      </w:r>
    </w:p>
    <w:p w:rsidR="004A3C24" w:rsidRPr="004A1196" w:rsidRDefault="004A3C24" w:rsidP="004A3C24">
      <w:pPr>
        <w:pStyle w:val="ListParagraph"/>
        <w:numPr>
          <w:ilvl w:val="0"/>
          <w:numId w:val="29"/>
        </w:numPr>
        <w:rPr>
          <w:rFonts w:eastAsia="Calibri"/>
          <w:color w:val="0B2B43" w:themeColor="text2" w:themeShade="80"/>
          <w:lang w:eastAsia="en-GB"/>
        </w:rPr>
      </w:pPr>
      <w:proofErr w:type="gramStart"/>
      <w:r w:rsidRPr="004A1196">
        <w:rPr>
          <w:rFonts w:eastAsia="Calibri"/>
          <w:color w:val="0B2B43" w:themeColor="text2" w:themeShade="80"/>
          <w:lang w:eastAsia="en-GB"/>
        </w:rPr>
        <w:t>lack</w:t>
      </w:r>
      <w:proofErr w:type="gramEnd"/>
      <w:r w:rsidRPr="004A1196">
        <w:rPr>
          <w:rFonts w:eastAsia="Calibri"/>
          <w:color w:val="0B2B43" w:themeColor="text2" w:themeShade="80"/>
          <w:lang w:eastAsia="en-GB"/>
        </w:rPr>
        <w:t xml:space="preserve"> clear incentives to drive the goal of increasing university engagement with business and other research </w:t>
      </w:r>
      <w:r>
        <w:rPr>
          <w:rFonts w:eastAsia="Calibri"/>
          <w:color w:val="0B2B43" w:themeColor="text2" w:themeShade="80"/>
          <w:lang w:eastAsia="en-GB"/>
        </w:rPr>
        <w:t>end user</w:t>
      </w:r>
      <w:r w:rsidRPr="004A1196">
        <w:rPr>
          <w:rFonts w:eastAsia="Calibri"/>
          <w:color w:val="0B2B43" w:themeColor="text2" w:themeShade="80"/>
          <w:lang w:eastAsia="en-GB"/>
        </w:rPr>
        <w:t xml:space="preserve">s. </w:t>
      </w:r>
    </w:p>
    <w:p w:rsidR="00962C66" w:rsidRDefault="00962C66">
      <w:pPr>
        <w:spacing w:before="0" w:after="200" w:line="276" w:lineRule="auto"/>
        <w:rPr>
          <w:rFonts w:eastAsiaTheme="majorEastAsia"/>
          <w:b/>
          <w:bCs/>
        </w:rPr>
      </w:pPr>
      <w:r>
        <w:rPr>
          <w:b/>
        </w:rPr>
        <w:br w:type="page"/>
      </w:r>
    </w:p>
    <w:p w:rsidR="002C6039" w:rsidRDefault="0096784F" w:rsidP="00962C66">
      <w:pPr>
        <w:pStyle w:val="Heading3"/>
        <w:rPr>
          <w:rFonts w:eastAsia="Calibri"/>
          <w:b/>
        </w:rPr>
      </w:pPr>
      <w:r w:rsidRPr="00962C66">
        <w:rPr>
          <w:b/>
        </w:rPr>
        <w:t>Chart</w:t>
      </w:r>
      <w:r w:rsidR="002C6039" w:rsidRPr="00962C66">
        <w:rPr>
          <w:b/>
        </w:rPr>
        <w:t xml:space="preserve"> </w:t>
      </w:r>
      <w:proofErr w:type="gramStart"/>
      <w:r w:rsidRPr="00962C66">
        <w:rPr>
          <w:b/>
        </w:rPr>
        <w:t>8</w:t>
      </w:r>
      <w:proofErr w:type="gramEnd"/>
      <w:r w:rsidRPr="00962C66">
        <w:rPr>
          <w:rFonts w:eastAsia="Calibri"/>
          <w:b/>
        </w:rPr>
        <w:t xml:space="preserve"> </w:t>
      </w:r>
      <w:r w:rsidR="002C6039" w:rsidRPr="00962C66">
        <w:rPr>
          <w:rFonts w:eastAsia="Calibri"/>
          <w:b/>
        </w:rPr>
        <w:t>(</w:t>
      </w:r>
      <w:proofErr w:type="spellStart"/>
      <w:r w:rsidR="002C6039" w:rsidRPr="00962C66">
        <w:rPr>
          <w:rFonts w:eastAsia="Calibri"/>
          <w:b/>
        </w:rPr>
        <w:t>i</w:t>
      </w:r>
      <w:proofErr w:type="spellEnd"/>
      <w:r w:rsidR="002C6039" w:rsidRPr="00962C66">
        <w:rPr>
          <w:rFonts w:eastAsia="Calibri"/>
          <w:b/>
        </w:rPr>
        <w:t>). Research Block Grant Allocations 2017 under the existing model (2017 dollars)</w:t>
      </w:r>
    </w:p>
    <w:p w:rsidR="00EF08A2" w:rsidRPr="00C6639A" w:rsidRDefault="004C59FD" w:rsidP="00C6639A">
      <w:r w:rsidRPr="004C59FD">
        <w:rPr>
          <w:noProof/>
          <w:lang w:eastAsia="en-AU"/>
        </w:rPr>
        <w:drawing>
          <wp:inline distT="0" distB="0" distL="0" distR="0" wp14:anchorId="5CB3F295" wp14:editId="7E6E1498">
            <wp:extent cx="5746750" cy="4181756"/>
            <wp:effectExtent l="0" t="0" r="6350" b="0"/>
            <wp:docPr id="14" name="Picture 14" descr="Contribution of data types to programme performance indexes (2017 RBG funding)&#10;Category 1 income (100%) drives RIBG ($249.6 million) and SRE ($214.1 million) &#10;Categories 2 to 4 income (60%), publications (10%) and student load (30%) drive JRE ($371.3 million).&#10;For the RTS schemes&#10;Categories 2-4 income (40%), publications (10%) and student completions (10%) drive funding for RTS ($634.7 million), APA ($290.6 million) and IPRS ($23.1 million)&#10;" title="RBG allocations 2017 under the existing model in 2017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46750" cy="4181756"/>
                    </a:xfrm>
                    <a:prstGeom prst="rect">
                      <a:avLst/>
                    </a:prstGeom>
                    <a:noFill/>
                    <a:ln>
                      <a:noFill/>
                    </a:ln>
                  </pic:spPr>
                </pic:pic>
              </a:graphicData>
            </a:graphic>
          </wp:inline>
        </w:drawing>
      </w:r>
    </w:p>
    <w:p w:rsidR="002C6039" w:rsidRPr="004A1196" w:rsidRDefault="00C66544" w:rsidP="00C6639A">
      <w:pPr>
        <w:spacing w:before="0" w:after="200"/>
        <w:jc w:val="center"/>
        <w:rPr>
          <w:rFonts w:eastAsia="Calibri" w:cs="Times New Roman"/>
          <w:color w:val="0B2B43" w:themeColor="text2" w:themeShade="80"/>
        </w:rPr>
      </w:pPr>
      <w:r w:rsidRPr="004A1196">
        <w:rPr>
          <w:rFonts w:eastAsia="Calibri" w:cs="Times New Roman"/>
          <w:b/>
          <w:color w:val="0B2B43" w:themeColor="text2" w:themeShade="80"/>
          <w:sz w:val="22"/>
          <w:szCs w:val="22"/>
        </w:rPr>
        <w:t>Chart</w:t>
      </w:r>
      <w:r w:rsidR="002C6039" w:rsidRPr="004A1196">
        <w:rPr>
          <w:rFonts w:eastAsia="Calibri" w:cs="Times New Roman"/>
          <w:b/>
          <w:color w:val="0B2B43" w:themeColor="text2" w:themeShade="80"/>
          <w:sz w:val="22"/>
          <w:szCs w:val="22"/>
        </w:rPr>
        <w:t xml:space="preserve"> </w:t>
      </w:r>
      <w:r w:rsidRPr="004A1196">
        <w:rPr>
          <w:rFonts w:eastAsia="Calibri" w:cs="Times New Roman"/>
          <w:b/>
          <w:color w:val="0B2B43" w:themeColor="text2" w:themeShade="80"/>
          <w:sz w:val="22"/>
          <w:szCs w:val="22"/>
        </w:rPr>
        <w:t>8</w:t>
      </w:r>
      <w:r w:rsidR="002C6039" w:rsidRPr="004A1196">
        <w:rPr>
          <w:rFonts w:eastAsia="Calibri" w:cs="Times New Roman"/>
          <w:b/>
          <w:color w:val="0B2B43" w:themeColor="text2" w:themeShade="80"/>
          <w:sz w:val="22"/>
          <w:szCs w:val="22"/>
        </w:rPr>
        <w:t xml:space="preserve">(ii). </w:t>
      </w:r>
      <w:r w:rsidR="002C6039" w:rsidRPr="004A1196">
        <w:rPr>
          <w:rFonts w:eastAsia="Calibri" w:cs="Times New Roman"/>
          <w:b/>
          <w:color w:val="0B2B43" w:themeColor="text2" w:themeShade="80"/>
        </w:rPr>
        <w:t>Research Block Grant Allocations 2017 under the new model (2017 dollars)</w:t>
      </w:r>
      <w:r w:rsidR="008210B7" w:rsidRPr="008210B7">
        <w:rPr>
          <w:rFonts w:eastAsia="Calibri" w:cs="Times New Roman"/>
          <w:color w:val="0B2B43" w:themeColor="text2" w:themeShade="80"/>
        </w:rPr>
        <w:t xml:space="preserve"> </w:t>
      </w:r>
      <w:r w:rsidR="004C59FD" w:rsidRPr="004C59FD">
        <w:rPr>
          <w:noProof/>
          <w:lang w:eastAsia="en-AU"/>
        </w:rPr>
        <w:drawing>
          <wp:inline distT="0" distB="0" distL="0" distR="0" wp14:anchorId="6018FC95" wp14:editId="399ED997">
            <wp:extent cx="5746750" cy="3963817"/>
            <wp:effectExtent l="0" t="0" r="0" b="0"/>
            <wp:docPr id="18" name="Picture 18" descr="The Research Support Programme (total $835 million) will be dirven by 50 per cent  competitive research income (Category 1) and 50 per cent ($417.5 million) engagement income (Categories 2 to 4). Publications and student load and completions drivers will be removed as funding drivers. &#10;&#10;For the Research Training Programme (total $948.4 million) will be driven by 50 per cent completions ($474.2 million) and 50 per cent income - of which 25 per cent is driven by engagement income ($237.1 million) (from Categories 2 to 4) and 25 per cent is driven by competitive income (Category 1)&#10;Publications and student load will be removed as funding drivers. " title="RBG allocations 2017 under the new model in 2017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46750" cy="3963817"/>
                    </a:xfrm>
                    <a:prstGeom prst="rect">
                      <a:avLst/>
                    </a:prstGeom>
                    <a:noFill/>
                    <a:ln>
                      <a:noFill/>
                    </a:ln>
                  </pic:spPr>
                </pic:pic>
              </a:graphicData>
            </a:graphic>
          </wp:inline>
        </w:drawing>
      </w:r>
    </w:p>
    <w:p w:rsidR="002C6039" w:rsidRPr="004A1196" w:rsidRDefault="002C6039" w:rsidP="002C6039">
      <w:pPr>
        <w:rPr>
          <w:rFonts w:eastAsia="Calibri"/>
          <w:color w:val="0B2B43" w:themeColor="text2" w:themeShade="80"/>
        </w:rPr>
      </w:pPr>
      <w:r w:rsidRPr="004A1196">
        <w:rPr>
          <w:color w:val="0B2B43" w:themeColor="text2" w:themeShade="80"/>
        </w:rPr>
        <w:t>The following tables set out a co</w:t>
      </w:r>
      <w:r w:rsidRPr="004A1196">
        <w:rPr>
          <w:rFonts w:eastAsia="Calibri"/>
          <w:color w:val="0B2B43" w:themeColor="text2" w:themeShade="80"/>
        </w:rPr>
        <w:t xml:space="preserve">mparison of existing and new </w:t>
      </w:r>
      <w:proofErr w:type="spellStart"/>
      <w:r w:rsidRPr="004A1196">
        <w:rPr>
          <w:rFonts w:eastAsia="Calibri"/>
          <w:color w:val="0B2B43" w:themeColor="text2" w:themeShade="80"/>
        </w:rPr>
        <w:t>RBG</w:t>
      </w:r>
      <w:proofErr w:type="spellEnd"/>
      <w:r w:rsidRPr="004A1196">
        <w:rPr>
          <w:rFonts w:eastAsia="Calibri"/>
          <w:color w:val="0B2B43" w:themeColor="text2" w:themeShade="80"/>
        </w:rPr>
        <w:t xml:space="preserve"> funding models in 2017 dollars.</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Modelling of the expected impact the new model will have at sector level is set out in </w:t>
      </w:r>
      <w:r w:rsidR="00BE288F">
        <w:rPr>
          <w:rFonts w:eastAsia="Calibri"/>
          <w:color w:val="0B2B43" w:themeColor="text2" w:themeShade="80"/>
        </w:rPr>
        <w:t>Chart</w:t>
      </w:r>
      <w:r w:rsidR="004718C3" w:rsidRPr="004A1196">
        <w:rPr>
          <w:rFonts w:eastAsia="Calibri"/>
          <w:color w:val="0B2B43" w:themeColor="text2" w:themeShade="80"/>
        </w:rPr>
        <w:t> </w:t>
      </w:r>
      <w:r w:rsidR="00CF2EC1" w:rsidRPr="004A1196">
        <w:rPr>
          <w:rFonts w:eastAsia="Calibri"/>
          <w:color w:val="0B2B43" w:themeColor="text2" w:themeShade="80"/>
        </w:rPr>
        <w:t>8</w:t>
      </w:r>
      <w:r w:rsidR="004718C3" w:rsidRPr="004A1196">
        <w:rPr>
          <w:rFonts w:eastAsia="Calibri"/>
          <w:color w:val="0B2B43" w:themeColor="text2" w:themeShade="80"/>
        </w:rPr>
        <w:t xml:space="preserve"> (ii)</w:t>
      </w:r>
      <w:r w:rsidRPr="004A1196">
        <w:rPr>
          <w:rFonts w:eastAsia="Calibri"/>
          <w:color w:val="0B2B43" w:themeColor="text2" w:themeShade="80"/>
        </w:rPr>
        <w:t xml:space="preserve"> and Table </w:t>
      </w:r>
      <w:r w:rsidR="004718C3" w:rsidRPr="004A1196">
        <w:rPr>
          <w:rFonts w:eastAsia="Calibri"/>
          <w:color w:val="0B2B43" w:themeColor="text2" w:themeShade="80"/>
        </w:rPr>
        <w:t>3 (</w:t>
      </w:r>
      <w:proofErr w:type="spellStart"/>
      <w:r w:rsidR="004718C3" w:rsidRPr="004A1196">
        <w:rPr>
          <w:rFonts w:eastAsia="Calibri"/>
          <w:color w:val="0B2B43" w:themeColor="text2" w:themeShade="80"/>
        </w:rPr>
        <w:t>i</w:t>
      </w:r>
      <w:proofErr w:type="spellEnd"/>
      <w:r w:rsidR="004718C3" w:rsidRPr="004A1196">
        <w:rPr>
          <w:rFonts w:eastAsia="Calibri"/>
          <w:color w:val="0B2B43" w:themeColor="text2" w:themeShade="80"/>
        </w:rPr>
        <w:t>)</w:t>
      </w:r>
      <w:r w:rsidRPr="004A1196">
        <w:rPr>
          <w:rFonts w:eastAsia="Calibri"/>
          <w:color w:val="0B2B43" w:themeColor="text2" w:themeShade="80"/>
        </w:rPr>
        <w:t xml:space="preserve">. </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The modelling shows how it is possible to significantly increase reward for engagement, as measured by Category 2-4 research income, without significantly impacting on reward for research excellence, as measured by Category 1 income.</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The removal of publications and student load as funding drivers ‘releases’ $243</w:t>
      </w:r>
      <w:r w:rsidR="005756CA">
        <w:rPr>
          <w:rFonts w:eastAsia="Calibri"/>
          <w:color w:val="0B2B43" w:themeColor="text2" w:themeShade="80"/>
        </w:rPr>
        <w:t>.4</w:t>
      </w:r>
      <w:r w:rsidRPr="004A1196">
        <w:rPr>
          <w:rFonts w:eastAsia="Calibri"/>
          <w:color w:val="0B2B43" w:themeColor="text2" w:themeShade="80"/>
        </w:rPr>
        <w:t xml:space="preserve"> million </w:t>
      </w:r>
      <w:proofErr w:type="spellStart"/>
      <w:r w:rsidRPr="004A1196">
        <w:rPr>
          <w:rFonts w:eastAsia="Calibri"/>
          <w:color w:val="0B2B43" w:themeColor="text2" w:themeShade="80"/>
        </w:rPr>
        <w:t>RBG</w:t>
      </w:r>
      <w:proofErr w:type="spellEnd"/>
      <w:r w:rsidRPr="004A1196">
        <w:rPr>
          <w:rFonts w:eastAsia="Calibri"/>
          <w:color w:val="0B2B43" w:themeColor="text2" w:themeShade="80"/>
        </w:rPr>
        <w:t xml:space="preserve"> funding in 2017, as detailed in Table </w:t>
      </w:r>
      <w:r w:rsidR="004718C3" w:rsidRPr="004A1196">
        <w:rPr>
          <w:rFonts w:eastAsia="Calibri"/>
          <w:color w:val="0B2B43" w:themeColor="text2" w:themeShade="80"/>
        </w:rPr>
        <w:t>3</w:t>
      </w:r>
      <w:r w:rsidRPr="004A1196">
        <w:rPr>
          <w:rFonts w:eastAsia="Calibri"/>
          <w:color w:val="0B2B43" w:themeColor="text2" w:themeShade="80"/>
        </w:rPr>
        <w:t>(iii). Across all programmes, $231</w:t>
      </w:r>
      <w:r w:rsidR="005756CA">
        <w:rPr>
          <w:rFonts w:eastAsia="Calibri"/>
          <w:color w:val="0B2B43" w:themeColor="text2" w:themeShade="80"/>
        </w:rPr>
        <w:t>.3</w:t>
      </w:r>
      <w:r w:rsidRPr="004A1196">
        <w:rPr>
          <w:rFonts w:eastAsia="Calibri"/>
          <w:color w:val="0B2B43" w:themeColor="text2" w:themeShade="80"/>
        </w:rPr>
        <w:t xml:space="preserve"> million of that funding </w:t>
      </w:r>
      <w:proofErr w:type="gramStart"/>
      <w:r w:rsidRPr="004A1196">
        <w:rPr>
          <w:rFonts w:eastAsia="Calibri"/>
          <w:color w:val="0B2B43" w:themeColor="text2" w:themeShade="80"/>
        </w:rPr>
        <w:t>is redirected</w:t>
      </w:r>
      <w:proofErr w:type="gramEnd"/>
      <w:r w:rsidRPr="004A1196">
        <w:rPr>
          <w:rFonts w:eastAsia="Calibri"/>
          <w:color w:val="0B2B43" w:themeColor="text2" w:themeShade="80"/>
        </w:rPr>
        <w:t xml:space="preserve"> to Category 2-4 income and $12</w:t>
      </w:r>
      <w:r w:rsidR="005756CA">
        <w:rPr>
          <w:rFonts w:eastAsia="Calibri"/>
          <w:color w:val="0B2B43" w:themeColor="text2" w:themeShade="80"/>
        </w:rPr>
        <w:t>.1</w:t>
      </w:r>
      <w:r w:rsidRPr="004A1196">
        <w:rPr>
          <w:rFonts w:eastAsia="Calibri"/>
          <w:color w:val="0B2B43" w:themeColor="text2" w:themeShade="80"/>
        </w:rPr>
        <w:t xml:space="preserve"> million to Category 1 income. The third driver to </w:t>
      </w:r>
      <w:proofErr w:type="gramStart"/>
      <w:r w:rsidRPr="004A1196">
        <w:rPr>
          <w:rFonts w:eastAsia="Calibri"/>
          <w:color w:val="0B2B43" w:themeColor="text2" w:themeShade="80"/>
        </w:rPr>
        <w:t>be used</w:t>
      </w:r>
      <w:proofErr w:type="gramEnd"/>
      <w:r w:rsidRPr="004A1196">
        <w:rPr>
          <w:rFonts w:eastAsia="Calibri"/>
          <w:color w:val="0B2B43" w:themeColor="text2" w:themeShade="80"/>
        </w:rPr>
        <w:t xml:space="preserve"> in the new model, student completions, is not changed.</w:t>
      </w:r>
    </w:p>
    <w:p w:rsidR="002C6039" w:rsidRPr="004A1196" w:rsidRDefault="002C6039" w:rsidP="002C6039">
      <w:pPr>
        <w:rPr>
          <w:rFonts w:eastAsia="Calibri"/>
          <w:color w:val="0B2B43" w:themeColor="text2" w:themeShade="80"/>
        </w:rPr>
      </w:pPr>
      <w:proofErr w:type="gramStart"/>
      <w:r w:rsidRPr="004A1196">
        <w:rPr>
          <w:rFonts w:eastAsia="Calibri"/>
          <w:color w:val="0B2B43" w:themeColor="text2" w:themeShade="80"/>
        </w:rPr>
        <w:t>The level of funding driven by the engagement indicator, Category 2-4 research income, increases by 87 per cent for Research Support in the new model relative to the old model, from $223 million to $417 million.</w:t>
      </w:r>
      <w:proofErr w:type="gramEnd"/>
      <w:r w:rsidRPr="004A1196">
        <w:rPr>
          <w:rFonts w:eastAsia="Calibri"/>
          <w:color w:val="0B2B43" w:themeColor="text2" w:themeShade="80"/>
        </w:rPr>
        <w:t xml:space="preserve"> For Research Training, it increases by 18 per cent, from $200 million to $237 million. Over the total </w:t>
      </w:r>
      <w:proofErr w:type="spellStart"/>
      <w:r w:rsidRPr="004A1196">
        <w:rPr>
          <w:rFonts w:eastAsia="Calibri"/>
          <w:color w:val="0B2B43" w:themeColor="text2" w:themeShade="80"/>
        </w:rPr>
        <w:t>RBG</w:t>
      </w:r>
      <w:proofErr w:type="spellEnd"/>
      <w:r w:rsidRPr="004A1196">
        <w:rPr>
          <w:rFonts w:eastAsia="Calibri"/>
          <w:color w:val="0B2B43" w:themeColor="text2" w:themeShade="80"/>
        </w:rPr>
        <w:t>, the allocation driven by Category 2-4</w:t>
      </w:r>
      <w:r w:rsidR="00B55B96" w:rsidRPr="004A1196">
        <w:rPr>
          <w:rFonts w:eastAsia="Calibri"/>
          <w:color w:val="0B2B43" w:themeColor="text2" w:themeShade="80"/>
        </w:rPr>
        <w:t xml:space="preserve"> </w:t>
      </w:r>
      <w:r w:rsidRPr="004A1196">
        <w:rPr>
          <w:rFonts w:eastAsia="Calibri"/>
          <w:color w:val="0B2B43" w:themeColor="text2" w:themeShade="80"/>
        </w:rPr>
        <w:t>income increases by $231 million, or 55 per cent, from $423 million to $654 million. Put another way, the amount of Category 2</w:t>
      </w:r>
      <w:r w:rsidR="00A22775">
        <w:rPr>
          <w:color w:val="0B2B43" w:themeColor="text2" w:themeShade="80"/>
        </w:rPr>
        <w:t>–</w:t>
      </w:r>
      <w:r w:rsidRPr="004A1196">
        <w:rPr>
          <w:rFonts w:eastAsia="Calibri"/>
          <w:color w:val="0B2B43" w:themeColor="text2" w:themeShade="80"/>
        </w:rPr>
        <w:t xml:space="preserve">4 income currently needed to return one dollar of </w:t>
      </w:r>
      <w:proofErr w:type="spellStart"/>
      <w:r w:rsidRPr="004A1196">
        <w:rPr>
          <w:rFonts w:eastAsia="Calibri"/>
          <w:color w:val="0B2B43" w:themeColor="text2" w:themeShade="80"/>
        </w:rPr>
        <w:t>RBG</w:t>
      </w:r>
      <w:proofErr w:type="spellEnd"/>
      <w:r w:rsidRPr="004A1196">
        <w:rPr>
          <w:rFonts w:eastAsia="Calibri"/>
          <w:color w:val="0B2B43" w:themeColor="text2" w:themeShade="80"/>
        </w:rPr>
        <w:t xml:space="preserve"> </w:t>
      </w:r>
      <w:proofErr w:type="gramStart"/>
      <w:r w:rsidRPr="004A1196">
        <w:rPr>
          <w:rFonts w:eastAsia="Calibri"/>
          <w:color w:val="0B2B43" w:themeColor="text2" w:themeShade="80"/>
        </w:rPr>
        <w:t>will</w:t>
      </w:r>
      <w:proofErr w:type="gramEnd"/>
      <w:r w:rsidRPr="004A1196">
        <w:rPr>
          <w:rFonts w:eastAsia="Calibri"/>
          <w:color w:val="0B2B43" w:themeColor="text2" w:themeShade="80"/>
        </w:rPr>
        <w:t xml:space="preserve"> return $1.55 under the new arrangements.</w:t>
      </w:r>
    </w:p>
    <w:p w:rsidR="002C6039" w:rsidRPr="004A1196" w:rsidRDefault="002C6039" w:rsidP="00297C54">
      <w:pPr>
        <w:spacing w:after="120"/>
        <w:rPr>
          <w:rFonts w:eastAsia="Calibri"/>
          <w:color w:val="0B2B43" w:themeColor="text2" w:themeShade="80"/>
        </w:rPr>
      </w:pPr>
      <w:r w:rsidRPr="004A1196">
        <w:rPr>
          <w:rFonts w:eastAsia="Calibri"/>
          <w:color w:val="0B2B43" w:themeColor="text2" w:themeShade="80"/>
        </w:rPr>
        <w:t xml:space="preserve">Overall, the percentage of total </w:t>
      </w:r>
      <w:proofErr w:type="spellStart"/>
      <w:r w:rsidRPr="004A1196">
        <w:rPr>
          <w:rFonts w:eastAsia="Calibri"/>
          <w:color w:val="0B2B43" w:themeColor="text2" w:themeShade="80"/>
        </w:rPr>
        <w:t>RBG</w:t>
      </w:r>
      <w:proofErr w:type="spellEnd"/>
      <w:r w:rsidRPr="004A1196">
        <w:rPr>
          <w:rFonts w:eastAsia="Calibri"/>
          <w:color w:val="0B2B43" w:themeColor="text2" w:themeShade="80"/>
        </w:rPr>
        <w:t xml:space="preserve"> driven by Category 2-4 income increases from 23.7</w:t>
      </w:r>
      <w:r w:rsidR="001F3EB3" w:rsidRPr="004A1196">
        <w:rPr>
          <w:rFonts w:eastAsia="Calibri"/>
          <w:color w:val="0B2B43" w:themeColor="text2" w:themeShade="80"/>
        </w:rPr>
        <w:t> </w:t>
      </w:r>
      <w:r w:rsidRPr="004A1196">
        <w:rPr>
          <w:rFonts w:eastAsia="Calibri"/>
          <w:color w:val="0B2B43" w:themeColor="text2" w:themeShade="80"/>
        </w:rPr>
        <w:t>per</w:t>
      </w:r>
      <w:r w:rsidR="001F3EB3" w:rsidRPr="004A1196">
        <w:rPr>
          <w:rFonts w:eastAsia="Calibri"/>
          <w:color w:val="0B2B43" w:themeColor="text2" w:themeShade="80"/>
        </w:rPr>
        <w:t> </w:t>
      </w:r>
      <w:r w:rsidRPr="004A1196">
        <w:rPr>
          <w:rFonts w:eastAsia="Calibri"/>
          <w:color w:val="0B2B43" w:themeColor="text2" w:themeShade="80"/>
        </w:rPr>
        <w:t xml:space="preserve">cent to 36.7 per cent. Under the 50:50 </w:t>
      </w:r>
      <w:proofErr w:type="gramStart"/>
      <w:r w:rsidRPr="004A1196">
        <w:rPr>
          <w:rFonts w:eastAsia="Calibri"/>
          <w:color w:val="0B2B43" w:themeColor="text2" w:themeShade="80"/>
        </w:rPr>
        <w:t>balance</w:t>
      </w:r>
      <w:proofErr w:type="gramEnd"/>
      <w:r w:rsidRPr="004A1196">
        <w:rPr>
          <w:rFonts w:eastAsia="Calibri"/>
          <w:color w:val="0B2B43" w:themeColor="text2" w:themeShade="80"/>
        </w:rPr>
        <w:t xml:space="preserve"> which underpins the new model, Category 1 research income also drives 36.7 per cent of the total, a small increase over the 36.0 per cent it drives in the current model.</w:t>
      </w:r>
    </w:p>
    <w:p w:rsidR="002C6039" w:rsidRPr="004A1196" w:rsidRDefault="002C6039" w:rsidP="00B759A1">
      <w:pPr>
        <w:spacing w:before="360" w:after="0"/>
        <w:rPr>
          <w:rFonts w:eastAsia="Calibri"/>
          <w:b/>
          <w:color w:val="0B2B43" w:themeColor="text2" w:themeShade="80"/>
        </w:rPr>
      </w:pPr>
      <w:r w:rsidRPr="004A1196">
        <w:rPr>
          <w:rFonts w:eastAsia="Calibri"/>
          <w:b/>
          <w:color w:val="0B2B43" w:themeColor="text2" w:themeShade="80"/>
        </w:rPr>
        <w:t xml:space="preserve">Table </w:t>
      </w:r>
      <w:r w:rsidR="00523C18" w:rsidRPr="004A1196">
        <w:rPr>
          <w:rFonts w:eastAsia="Calibri"/>
          <w:b/>
          <w:color w:val="0B2B43" w:themeColor="text2" w:themeShade="80"/>
        </w:rPr>
        <w:fldChar w:fldCharType="begin"/>
      </w:r>
      <w:r w:rsidR="00523C18" w:rsidRPr="004A1196">
        <w:rPr>
          <w:rFonts w:eastAsia="Calibri"/>
          <w:b/>
          <w:color w:val="0B2B43" w:themeColor="text2" w:themeShade="80"/>
        </w:rPr>
        <w:instrText xml:space="preserve"> SEQ Table \* ARABIC </w:instrText>
      </w:r>
      <w:r w:rsidR="00523C18" w:rsidRPr="004A1196">
        <w:rPr>
          <w:rFonts w:eastAsia="Calibri"/>
          <w:b/>
          <w:color w:val="0B2B43" w:themeColor="text2" w:themeShade="80"/>
        </w:rPr>
        <w:fldChar w:fldCharType="separate"/>
      </w:r>
      <w:r w:rsidR="00E05D3F">
        <w:rPr>
          <w:rFonts w:eastAsia="Calibri"/>
          <w:b/>
          <w:noProof/>
          <w:color w:val="0B2B43" w:themeColor="text2" w:themeShade="80"/>
        </w:rPr>
        <w:t>3</w:t>
      </w:r>
      <w:r w:rsidR="00523C18" w:rsidRPr="004A1196">
        <w:rPr>
          <w:rFonts w:eastAsia="Calibri"/>
          <w:b/>
          <w:color w:val="0B2B43" w:themeColor="text2" w:themeShade="80"/>
        </w:rPr>
        <w:fldChar w:fldCharType="end"/>
      </w:r>
      <w:r w:rsidRPr="004A1196">
        <w:rPr>
          <w:rFonts w:eastAsia="Calibri"/>
          <w:b/>
          <w:color w:val="0B2B43" w:themeColor="text2" w:themeShade="80"/>
        </w:rPr>
        <w:t>(</w:t>
      </w:r>
      <w:proofErr w:type="spellStart"/>
      <w:r w:rsidRPr="004A1196">
        <w:rPr>
          <w:rFonts w:eastAsia="Calibri"/>
          <w:b/>
          <w:color w:val="0B2B43" w:themeColor="text2" w:themeShade="80"/>
        </w:rPr>
        <w:t>i</w:t>
      </w:r>
      <w:proofErr w:type="spellEnd"/>
      <w:r w:rsidRPr="004A1196">
        <w:rPr>
          <w:rFonts w:eastAsia="Calibri"/>
          <w:b/>
          <w:color w:val="0B2B43" w:themeColor="text2" w:themeShade="80"/>
        </w:rPr>
        <w:t xml:space="preserve">). Programme funding, dollar contribution by </w:t>
      </w:r>
      <w:r w:rsidRPr="00B759A1">
        <w:rPr>
          <w:rFonts w:eastAsia="Calibri" w:cs="Times New Roman"/>
          <w:b/>
          <w:color w:val="0B2B43" w:themeColor="text2" w:themeShade="80"/>
        </w:rPr>
        <w:t>funding</w:t>
      </w:r>
      <w:r w:rsidRPr="004A1196">
        <w:rPr>
          <w:rFonts w:eastAsia="Calibri"/>
          <w:b/>
          <w:color w:val="0B2B43" w:themeColor="text2" w:themeShade="80"/>
        </w:rPr>
        <w:t xml:space="preserve"> driver ($million)</w:t>
      </w:r>
    </w:p>
    <w:tbl>
      <w:tblPr>
        <w:tblStyle w:val="Review"/>
        <w:tblpPr w:leftFromText="180" w:rightFromText="180" w:vertAnchor="text" w:horzAnchor="margin" w:tblpY="82"/>
        <w:tblW w:w="9461" w:type="dxa"/>
        <w:tblLook w:val="04A0" w:firstRow="1" w:lastRow="0" w:firstColumn="1" w:lastColumn="0" w:noHBand="0" w:noVBand="1"/>
        <w:tblCaption w:val="Programme funding, dollar contribution by funding driver ($million)"/>
      </w:tblPr>
      <w:tblGrid>
        <w:gridCol w:w="1787"/>
        <w:gridCol w:w="1290"/>
        <w:gridCol w:w="1118"/>
        <w:gridCol w:w="1072"/>
        <w:gridCol w:w="1430"/>
        <w:gridCol w:w="1430"/>
        <w:gridCol w:w="1343"/>
      </w:tblGrid>
      <w:tr w:rsidR="004A1196" w:rsidRPr="004A1196" w:rsidTr="002C45FE">
        <w:trPr>
          <w:cnfStyle w:val="100000000000" w:firstRow="1" w:lastRow="0" w:firstColumn="0" w:lastColumn="0" w:oddVBand="0" w:evenVBand="0" w:oddHBand="0" w:evenHBand="0" w:firstRowFirstColumn="0" w:firstRowLastColumn="0" w:lastRowFirstColumn="0" w:lastRowLastColumn="0"/>
          <w:trHeight w:val="372"/>
          <w:tblHeader/>
        </w:trPr>
        <w:tc>
          <w:tcPr>
            <w:tcW w:w="1787" w:type="dxa"/>
            <w:vMerge w:val="restart"/>
            <w:hideMark/>
          </w:tcPr>
          <w:p w:rsidR="002C6039" w:rsidRPr="004A1196" w:rsidRDefault="002C6039" w:rsidP="00B759A1">
            <w:pPr>
              <w:keepNext/>
              <w:spacing w:before="100" w:beforeAutospacing="1" w:after="100" w:afterAutospacing="1"/>
              <w:rPr>
                <w:rFonts w:asciiTheme="minorHAnsi" w:eastAsia="Times New Roman" w:hAnsiTheme="minorHAnsi" w:cstheme="minorHAnsi"/>
                <w:b/>
                <w:color w:val="0B2B43" w:themeColor="text2" w:themeShade="80"/>
                <w:sz w:val="22"/>
                <w:lang w:eastAsia="en-AU"/>
              </w:rPr>
            </w:pPr>
            <w:r w:rsidRPr="004A1196">
              <w:rPr>
                <w:rFonts w:asciiTheme="minorHAnsi" w:eastAsia="Times New Roman" w:hAnsiTheme="minorHAnsi" w:cstheme="minorHAnsi"/>
                <w:b/>
                <w:color w:val="0B2B43" w:themeColor="text2" w:themeShade="80"/>
                <w:sz w:val="22"/>
                <w:lang w:eastAsia="en-AU"/>
              </w:rPr>
              <w:t>Programme</w:t>
            </w:r>
            <w:r w:rsidRPr="004A1196">
              <w:rPr>
                <w:rFonts w:asciiTheme="minorHAnsi" w:eastAsia="Times New Roman" w:hAnsiTheme="minorHAnsi" w:cstheme="minorHAnsi"/>
                <w:b/>
                <w:color w:val="0B2B43" w:themeColor="text2" w:themeShade="80"/>
                <w:sz w:val="22"/>
                <w:lang w:eastAsia="en-AU"/>
              </w:rPr>
              <w:br/>
              <w:t>New/Old</w:t>
            </w:r>
          </w:p>
        </w:tc>
        <w:tc>
          <w:tcPr>
            <w:tcW w:w="1281" w:type="dxa"/>
            <w:vMerge w:val="restart"/>
            <w:noWrap/>
            <w:hideMark/>
          </w:tcPr>
          <w:p w:rsidR="002C6039" w:rsidRPr="004A1196" w:rsidRDefault="002C6039" w:rsidP="00B759A1">
            <w:pPr>
              <w:keepNext/>
              <w:spacing w:before="100" w:beforeAutospacing="1" w:after="100" w:afterAutospacing="1"/>
              <w:rPr>
                <w:rFonts w:asciiTheme="minorHAnsi" w:eastAsia="Times New Roman" w:hAnsiTheme="minorHAnsi" w:cstheme="minorHAnsi"/>
                <w:b/>
                <w:color w:val="0B2B43" w:themeColor="text2" w:themeShade="80"/>
                <w:sz w:val="22"/>
                <w:lang w:eastAsia="en-AU"/>
              </w:rPr>
            </w:pPr>
            <w:r w:rsidRPr="004A1196">
              <w:rPr>
                <w:rFonts w:asciiTheme="minorHAnsi" w:eastAsia="Times New Roman" w:hAnsiTheme="minorHAnsi" w:cstheme="minorHAnsi"/>
                <w:b/>
                <w:color w:val="0B2B43" w:themeColor="text2" w:themeShade="80"/>
                <w:sz w:val="22"/>
                <w:lang w:eastAsia="en-AU"/>
              </w:rPr>
              <w:t>Programme Total</w:t>
            </w:r>
          </w:p>
        </w:tc>
        <w:tc>
          <w:tcPr>
            <w:tcW w:w="6393" w:type="dxa"/>
            <w:gridSpan w:val="5"/>
            <w:noWrap/>
            <w:hideMark/>
          </w:tcPr>
          <w:p w:rsidR="002C6039" w:rsidRPr="004A1196" w:rsidRDefault="002C6039" w:rsidP="00B759A1">
            <w:pPr>
              <w:keepNext/>
              <w:spacing w:before="100" w:beforeAutospacing="1" w:after="100" w:afterAutospacing="1"/>
              <w:rPr>
                <w:rFonts w:asciiTheme="minorHAnsi" w:eastAsia="Times New Roman" w:hAnsiTheme="minorHAnsi" w:cstheme="minorHAnsi"/>
                <w:b/>
                <w:color w:val="0B2B43" w:themeColor="text2" w:themeShade="80"/>
                <w:sz w:val="22"/>
                <w:lang w:eastAsia="en-AU"/>
              </w:rPr>
            </w:pPr>
            <w:r w:rsidRPr="004A1196">
              <w:rPr>
                <w:rFonts w:asciiTheme="minorHAnsi" w:eastAsia="Times New Roman" w:hAnsiTheme="minorHAnsi" w:cstheme="minorHAnsi"/>
                <w:b/>
                <w:color w:val="0B2B43" w:themeColor="text2" w:themeShade="80"/>
                <w:sz w:val="22"/>
                <w:lang w:eastAsia="en-AU"/>
              </w:rPr>
              <w:t>Funding driver</w:t>
            </w:r>
          </w:p>
        </w:tc>
      </w:tr>
      <w:tr w:rsidR="004A1196" w:rsidRPr="004A1196" w:rsidTr="002C45FE">
        <w:trPr>
          <w:cnfStyle w:val="100000000000" w:firstRow="1" w:lastRow="0" w:firstColumn="0" w:lastColumn="0" w:oddVBand="0" w:evenVBand="0" w:oddHBand="0" w:evenHBand="0" w:firstRowFirstColumn="0" w:firstRowLastColumn="0" w:lastRowFirstColumn="0" w:lastRowLastColumn="0"/>
          <w:trHeight w:val="372"/>
          <w:tblHeader/>
        </w:trPr>
        <w:tc>
          <w:tcPr>
            <w:tcW w:w="1787" w:type="dxa"/>
            <w:vMerge/>
            <w:hideMark/>
          </w:tcPr>
          <w:p w:rsidR="002C6039" w:rsidRPr="004A1196" w:rsidRDefault="002C6039" w:rsidP="00B759A1">
            <w:pPr>
              <w:keepNext/>
              <w:spacing w:before="100" w:beforeAutospacing="1" w:after="100" w:afterAutospacing="1"/>
              <w:rPr>
                <w:rFonts w:asciiTheme="minorHAnsi" w:eastAsia="Times New Roman" w:hAnsiTheme="minorHAnsi" w:cstheme="minorHAnsi"/>
                <w:color w:val="0B2B43" w:themeColor="text2" w:themeShade="80"/>
                <w:sz w:val="22"/>
                <w:lang w:eastAsia="en-AU"/>
              </w:rPr>
            </w:pPr>
          </w:p>
        </w:tc>
        <w:tc>
          <w:tcPr>
            <w:tcW w:w="1281" w:type="dxa"/>
            <w:vMerge/>
            <w:hideMark/>
          </w:tcPr>
          <w:p w:rsidR="002C6039" w:rsidRPr="004A1196" w:rsidRDefault="002C6039" w:rsidP="00B759A1">
            <w:pPr>
              <w:keepNext/>
              <w:spacing w:before="100" w:beforeAutospacing="1" w:after="100" w:afterAutospacing="1"/>
              <w:rPr>
                <w:rFonts w:asciiTheme="minorHAnsi" w:eastAsia="Times New Roman" w:hAnsiTheme="minorHAnsi" w:cstheme="minorHAnsi"/>
                <w:color w:val="0B2B43" w:themeColor="text2" w:themeShade="80"/>
                <w:sz w:val="22"/>
                <w:lang w:eastAsia="en-AU"/>
              </w:rPr>
            </w:pPr>
          </w:p>
        </w:tc>
        <w:tc>
          <w:tcPr>
            <w:tcW w:w="1118" w:type="dxa"/>
            <w:noWrap/>
            <w:hideMark/>
          </w:tcPr>
          <w:p w:rsidR="002C6039" w:rsidRPr="004A1196" w:rsidRDefault="002C6039" w:rsidP="002C45FE">
            <w:pPr>
              <w:keepNext/>
              <w:spacing w:before="100" w:beforeAutospacing="1" w:after="100" w:afterAutospacing="1"/>
              <w:jc w:val="center"/>
              <w:rPr>
                <w:rFonts w:asciiTheme="minorHAnsi" w:eastAsia="Times New Roman" w:hAnsiTheme="minorHAnsi" w:cstheme="minorHAnsi"/>
                <w:color w:val="0B2B43" w:themeColor="text2" w:themeShade="80"/>
                <w:sz w:val="22"/>
                <w:lang w:eastAsia="en-AU"/>
              </w:rPr>
            </w:pPr>
            <w:r w:rsidRPr="004A1196">
              <w:rPr>
                <w:rFonts w:asciiTheme="minorHAnsi" w:eastAsia="Times New Roman" w:hAnsiTheme="minorHAnsi" w:cstheme="minorHAnsi"/>
                <w:color w:val="0B2B43" w:themeColor="text2" w:themeShade="80"/>
                <w:sz w:val="22"/>
                <w:lang w:eastAsia="en-AU"/>
              </w:rPr>
              <w:t>Cat 1</w:t>
            </w:r>
          </w:p>
        </w:tc>
        <w:tc>
          <w:tcPr>
            <w:tcW w:w="1072" w:type="dxa"/>
            <w:noWrap/>
            <w:hideMark/>
          </w:tcPr>
          <w:p w:rsidR="002C6039" w:rsidRPr="004A1196" w:rsidRDefault="002C6039" w:rsidP="002C45FE">
            <w:pPr>
              <w:keepNext/>
              <w:spacing w:before="100" w:beforeAutospacing="1" w:after="100" w:afterAutospacing="1"/>
              <w:jc w:val="center"/>
              <w:rPr>
                <w:rFonts w:asciiTheme="minorHAnsi" w:eastAsia="Times New Roman" w:hAnsiTheme="minorHAnsi" w:cstheme="minorHAnsi"/>
                <w:color w:val="0B2B43" w:themeColor="text2" w:themeShade="80"/>
                <w:sz w:val="22"/>
                <w:lang w:eastAsia="en-AU"/>
              </w:rPr>
            </w:pPr>
            <w:r w:rsidRPr="004A1196">
              <w:rPr>
                <w:rFonts w:asciiTheme="minorHAnsi" w:eastAsia="Times New Roman" w:hAnsiTheme="minorHAnsi" w:cstheme="minorHAnsi"/>
                <w:color w:val="0B2B43" w:themeColor="text2" w:themeShade="80"/>
                <w:sz w:val="22"/>
                <w:lang w:eastAsia="en-AU"/>
              </w:rPr>
              <w:t>Cat 2,3,4</w:t>
            </w:r>
          </w:p>
        </w:tc>
        <w:tc>
          <w:tcPr>
            <w:tcW w:w="1430" w:type="dxa"/>
            <w:noWrap/>
            <w:hideMark/>
          </w:tcPr>
          <w:p w:rsidR="002C6039" w:rsidRPr="004A1196" w:rsidRDefault="002C6039" w:rsidP="002C45FE">
            <w:pPr>
              <w:keepNext/>
              <w:spacing w:before="100" w:beforeAutospacing="1" w:after="100" w:afterAutospacing="1"/>
              <w:jc w:val="center"/>
              <w:rPr>
                <w:rFonts w:asciiTheme="minorHAnsi" w:eastAsia="Times New Roman" w:hAnsiTheme="minorHAnsi" w:cstheme="minorHAnsi"/>
                <w:color w:val="0B2B43" w:themeColor="text2" w:themeShade="80"/>
                <w:sz w:val="22"/>
                <w:lang w:eastAsia="en-AU"/>
              </w:rPr>
            </w:pPr>
            <w:r w:rsidRPr="004A1196">
              <w:rPr>
                <w:rFonts w:asciiTheme="minorHAnsi" w:eastAsia="Times New Roman" w:hAnsiTheme="minorHAnsi" w:cstheme="minorHAnsi"/>
                <w:color w:val="0B2B43" w:themeColor="text2" w:themeShade="80"/>
                <w:sz w:val="22"/>
                <w:lang w:eastAsia="en-AU"/>
              </w:rPr>
              <w:t>Completions</w:t>
            </w:r>
          </w:p>
        </w:tc>
        <w:tc>
          <w:tcPr>
            <w:tcW w:w="1430" w:type="dxa"/>
            <w:noWrap/>
            <w:hideMark/>
          </w:tcPr>
          <w:p w:rsidR="002C6039" w:rsidRPr="004A1196" w:rsidRDefault="002C6039" w:rsidP="002C45FE">
            <w:pPr>
              <w:keepNext/>
              <w:spacing w:before="100" w:beforeAutospacing="1" w:after="100" w:afterAutospacing="1"/>
              <w:jc w:val="center"/>
              <w:rPr>
                <w:rFonts w:asciiTheme="minorHAnsi" w:eastAsia="Times New Roman" w:hAnsiTheme="minorHAnsi" w:cstheme="minorHAnsi"/>
                <w:color w:val="0B2B43" w:themeColor="text2" w:themeShade="80"/>
                <w:sz w:val="22"/>
                <w:lang w:eastAsia="en-AU"/>
              </w:rPr>
            </w:pPr>
            <w:r w:rsidRPr="004A1196">
              <w:rPr>
                <w:rFonts w:asciiTheme="minorHAnsi" w:eastAsia="Times New Roman" w:hAnsiTheme="minorHAnsi" w:cstheme="minorHAnsi"/>
                <w:color w:val="0B2B43" w:themeColor="text2" w:themeShade="80"/>
                <w:sz w:val="22"/>
                <w:lang w:eastAsia="en-AU"/>
              </w:rPr>
              <w:t>Publications</w:t>
            </w:r>
          </w:p>
        </w:tc>
        <w:tc>
          <w:tcPr>
            <w:tcW w:w="1343" w:type="dxa"/>
            <w:noWrap/>
            <w:hideMark/>
          </w:tcPr>
          <w:p w:rsidR="002C6039" w:rsidRPr="004A1196" w:rsidRDefault="002C6039" w:rsidP="002C45FE">
            <w:pPr>
              <w:keepNext/>
              <w:spacing w:before="100" w:beforeAutospacing="1" w:after="100" w:afterAutospacing="1"/>
              <w:jc w:val="center"/>
              <w:rPr>
                <w:rFonts w:asciiTheme="minorHAnsi" w:eastAsia="Times New Roman" w:hAnsiTheme="minorHAnsi" w:cstheme="minorHAnsi"/>
                <w:color w:val="0B2B43" w:themeColor="text2" w:themeShade="80"/>
                <w:sz w:val="22"/>
                <w:lang w:eastAsia="en-AU"/>
              </w:rPr>
            </w:pPr>
            <w:r w:rsidRPr="004A1196">
              <w:rPr>
                <w:rFonts w:asciiTheme="minorHAnsi" w:eastAsia="Times New Roman" w:hAnsiTheme="minorHAnsi" w:cstheme="minorHAnsi"/>
                <w:color w:val="0B2B43" w:themeColor="text2" w:themeShade="80"/>
                <w:sz w:val="22"/>
                <w:lang w:eastAsia="en-AU"/>
              </w:rPr>
              <w:t>Load</w:t>
            </w:r>
          </w:p>
        </w:tc>
      </w:tr>
      <w:tr w:rsidR="004A1196" w:rsidRPr="004A1196" w:rsidTr="00B759A1">
        <w:trPr>
          <w:trHeight w:val="372"/>
        </w:trPr>
        <w:tc>
          <w:tcPr>
            <w:tcW w:w="1787" w:type="dxa"/>
            <w:noWrap/>
            <w:vAlign w:val="center"/>
            <w:hideMark/>
          </w:tcPr>
          <w:p w:rsidR="002C6039" w:rsidRPr="004A1196" w:rsidRDefault="002C6039" w:rsidP="00B759A1">
            <w:pPr>
              <w:keepNext/>
              <w:spacing w:before="100" w:beforeAutospacing="1" w:after="100" w:afterAutospacing="1"/>
              <w:rPr>
                <w:rFonts w:eastAsia="Times New Roman" w:cstheme="minorHAnsi"/>
                <w:color w:val="0B2B43" w:themeColor="text2" w:themeShade="80"/>
                <w:sz w:val="22"/>
                <w:lang w:eastAsia="en-AU"/>
              </w:rPr>
            </w:pPr>
            <w:proofErr w:type="spellStart"/>
            <w:r w:rsidRPr="004A1196">
              <w:rPr>
                <w:rFonts w:eastAsia="Times New Roman" w:cstheme="minorHAnsi"/>
                <w:color w:val="0B2B43" w:themeColor="text2" w:themeShade="80"/>
                <w:sz w:val="22"/>
                <w:lang w:eastAsia="en-AU"/>
              </w:rPr>
              <w:t>RS</w:t>
            </w:r>
            <w:r w:rsidR="0031385A">
              <w:rPr>
                <w:rFonts w:eastAsia="Times New Roman" w:cstheme="minorHAnsi"/>
                <w:color w:val="0B2B43" w:themeColor="text2" w:themeShade="80"/>
                <w:sz w:val="22"/>
                <w:lang w:eastAsia="en-AU"/>
              </w:rPr>
              <w:t>P</w:t>
            </w:r>
            <w:proofErr w:type="spellEnd"/>
            <w:r w:rsidRPr="004A1196">
              <w:rPr>
                <w:rFonts w:eastAsia="Times New Roman" w:cstheme="minorHAnsi"/>
                <w:color w:val="0B2B43" w:themeColor="text2" w:themeShade="80"/>
                <w:sz w:val="22"/>
                <w:lang w:eastAsia="en-AU"/>
              </w:rPr>
              <w:t xml:space="preserve"> Old</w:t>
            </w:r>
          </w:p>
        </w:tc>
        <w:tc>
          <w:tcPr>
            <w:tcW w:w="1281"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color w:val="0B2B43" w:themeColor="text2" w:themeShade="80"/>
                <w:sz w:val="22"/>
                <w:lang w:eastAsia="en-AU"/>
              </w:rPr>
            </w:pPr>
            <w:r w:rsidRPr="004A1196">
              <w:rPr>
                <w:rFonts w:eastAsia="Times New Roman" w:cstheme="minorHAnsi"/>
                <w:color w:val="0B2B43" w:themeColor="text2" w:themeShade="80"/>
                <w:sz w:val="22"/>
                <w:lang w:eastAsia="en-AU"/>
              </w:rPr>
              <w:t>835.0</w:t>
            </w:r>
          </w:p>
        </w:tc>
        <w:tc>
          <w:tcPr>
            <w:tcW w:w="1118"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color w:val="0B2B43" w:themeColor="text2" w:themeShade="80"/>
                <w:sz w:val="22"/>
                <w:lang w:eastAsia="en-AU"/>
              </w:rPr>
            </w:pPr>
            <w:r w:rsidRPr="004A1196">
              <w:rPr>
                <w:rFonts w:eastAsia="Times New Roman" w:cstheme="minorHAnsi"/>
                <w:color w:val="0B2B43" w:themeColor="text2" w:themeShade="80"/>
                <w:sz w:val="22"/>
                <w:lang w:eastAsia="en-AU"/>
              </w:rPr>
              <w:t>463.7</w:t>
            </w:r>
          </w:p>
        </w:tc>
        <w:tc>
          <w:tcPr>
            <w:tcW w:w="1072"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color w:val="0B2B43" w:themeColor="text2" w:themeShade="80"/>
                <w:sz w:val="22"/>
                <w:lang w:eastAsia="en-AU"/>
              </w:rPr>
            </w:pPr>
            <w:r w:rsidRPr="004A1196">
              <w:rPr>
                <w:rFonts w:eastAsia="Times New Roman" w:cstheme="minorHAnsi"/>
                <w:color w:val="0B2B43" w:themeColor="text2" w:themeShade="80"/>
                <w:sz w:val="22"/>
                <w:lang w:eastAsia="en-AU"/>
              </w:rPr>
              <w:t>222.8</w:t>
            </w:r>
          </w:p>
        </w:tc>
        <w:tc>
          <w:tcPr>
            <w:tcW w:w="1430"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color w:val="0B2B43" w:themeColor="text2" w:themeShade="80"/>
                <w:sz w:val="22"/>
                <w:lang w:eastAsia="en-AU"/>
              </w:rPr>
            </w:pPr>
            <w:r w:rsidRPr="004A1196">
              <w:rPr>
                <w:rFonts w:eastAsia="Times New Roman" w:cstheme="minorHAnsi"/>
                <w:color w:val="0B2B43" w:themeColor="text2" w:themeShade="80"/>
                <w:sz w:val="22"/>
                <w:lang w:eastAsia="en-AU"/>
              </w:rPr>
              <w:t>0.0</w:t>
            </w:r>
          </w:p>
        </w:tc>
        <w:tc>
          <w:tcPr>
            <w:tcW w:w="1430"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color w:val="0B2B43" w:themeColor="text2" w:themeShade="80"/>
                <w:sz w:val="22"/>
                <w:lang w:eastAsia="en-AU"/>
              </w:rPr>
            </w:pPr>
            <w:r w:rsidRPr="004A1196">
              <w:rPr>
                <w:rFonts w:eastAsia="Times New Roman" w:cstheme="minorHAnsi"/>
                <w:color w:val="0B2B43" w:themeColor="text2" w:themeShade="80"/>
                <w:sz w:val="22"/>
                <w:lang w:eastAsia="en-AU"/>
              </w:rPr>
              <w:t>37.1</w:t>
            </w:r>
          </w:p>
        </w:tc>
        <w:tc>
          <w:tcPr>
            <w:tcW w:w="1343"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color w:val="0B2B43" w:themeColor="text2" w:themeShade="80"/>
                <w:sz w:val="22"/>
                <w:lang w:eastAsia="en-AU"/>
              </w:rPr>
            </w:pPr>
            <w:r w:rsidRPr="004A1196">
              <w:rPr>
                <w:rFonts w:eastAsia="Times New Roman" w:cstheme="minorHAnsi"/>
                <w:color w:val="0B2B43" w:themeColor="text2" w:themeShade="80"/>
                <w:sz w:val="22"/>
                <w:lang w:eastAsia="en-AU"/>
              </w:rPr>
              <w:t>111.4</w:t>
            </w:r>
          </w:p>
        </w:tc>
      </w:tr>
      <w:tr w:rsidR="004A1196" w:rsidRPr="004A1196" w:rsidTr="00B759A1">
        <w:trPr>
          <w:cnfStyle w:val="000000010000" w:firstRow="0" w:lastRow="0" w:firstColumn="0" w:lastColumn="0" w:oddVBand="0" w:evenVBand="0" w:oddHBand="0" w:evenHBand="1" w:firstRowFirstColumn="0" w:firstRowLastColumn="0" w:lastRowFirstColumn="0" w:lastRowLastColumn="0"/>
          <w:trHeight w:val="372"/>
        </w:trPr>
        <w:tc>
          <w:tcPr>
            <w:tcW w:w="1787" w:type="dxa"/>
            <w:noWrap/>
            <w:vAlign w:val="center"/>
            <w:hideMark/>
          </w:tcPr>
          <w:p w:rsidR="002C6039" w:rsidRPr="004A1196" w:rsidRDefault="002C6039" w:rsidP="00B759A1">
            <w:pPr>
              <w:keepNext/>
              <w:spacing w:before="100" w:beforeAutospacing="1" w:after="100" w:afterAutospacing="1"/>
              <w:rPr>
                <w:rFonts w:eastAsia="Times New Roman" w:cstheme="minorHAnsi"/>
                <w:color w:val="0B2B43" w:themeColor="text2" w:themeShade="80"/>
                <w:sz w:val="22"/>
                <w:lang w:eastAsia="en-AU"/>
              </w:rPr>
            </w:pPr>
            <w:proofErr w:type="spellStart"/>
            <w:r w:rsidRPr="004A1196">
              <w:rPr>
                <w:rFonts w:eastAsia="Times New Roman" w:cstheme="minorHAnsi"/>
                <w:color w:val="0B2B43" w:themeColor="text2" w:themeShade="80"/>
                <w:sz w:val="22"/>
                <w:lang w:eastAsia="en-AU"/>
              </w:rPr>
              <w:t>RS</w:t>
            </w:r>
            <w:r w:rsidR="0031385A">
              <w:rPr>
                <w:rFonts w:eastAsia="Times New Roman" w:cstheme="minorHAnsi"/>
                <w:color w:val="0B2B43" w:themeColor="text2" w:themeShade="80"/>
                <w:sz w:val="22"/>
                <w:lang w:eastAsia="en-AU"/>
              </w:rPr>
              <w:t>P</w:t>
            </w:r>
            <w:proofErr w:type="spellEnd"/>
            <w:r w:rsidRPr="004A1196">
              <w:rPr>
                <w:rFonts w:eastAsia="Times New Roman" w:cstheme="minorHAnsi"/>
                <w:color w:val="0B2B43" w:themeColor="text2" w:themeShade="80"/>
                <w:sz w:val="22"/>
                <w:lang w:eastAsia="en-AU"/>
              </w:rPr>
              <w:t xml:space="preserve"> New</w:t>
            </w:r>
          </w:p>
        </w:tc>
        <w:tc>
          <w:tcPr>
            <w:tcW w:w="1281"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color w:val="0B2B43" w:themeColor="text2" w:themeShade="80"/>
                <w:sz w:val="22"/>
                <w:lang w:eastAsia="en-AU"/>
              </w:rPr>
            </w:pPr>
            <w:r w:rsidRPr="004A1196">
              <w:rPr>
                <w:rFonts w:eastAsia="Times New Roman" w:cstheme="minorHAnsi"/>
                <w:color w:val="0B2B43" w:themeColor="text2" w:themeShade="80"/>
                <w:sz w:val="22"/>
                <w:lang w:eastAsia="en-AU"/>
              </w:rPr>
              <w:t>835.0</w:t>
            </w:r>
          </w:p>
        </w:tc>
        <w:tc>
          <w:tcPr>
            <w:tcW w:w="1118"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color w:val="0B2B43" w:themeColor="text2" w:themeShade="80"/>
                <w:sz w:val="22"/>
                <w:lang w:eastAsia="en-AU"/>
              </w:rPr>
            </w:pPr>
            <w:r w:rsidRPr="004A1196">
              <w:rPr>
                <w:rFonts w:eastAsia="Times New Roman" w:cstheme="minorHAnsi"/>
                <w:color w:val="0B2B43" w:themeColor="text2" w:themeShade="80"/>
                <w:sz w:val="22"/>
                <w:lang w:eastAsia="en-AU"/>
              </w:rPr>
              <w:t>417.5</w:t>
            </w:r>
          </w:p>
        </w:tc>
        <w:tc>
          <w:tcPr>
            <w:tcW w:w="1072"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color w:val="0B2B43" w:themeColor="text2" w:themeShade="80"/>
                <w:sz w:val="22"/>
                <w:lang w:eastAsia="en-AU"/>
              </w:rPr>
            </w:pPr>
            <w:r w:rsidRPr="004A1196">
              <w:rPr>
                <w:rFonts w:eastAsia="Times New Roman" w:cstheme="minorHAnsi"/>
                <w:color w:val="0B2B43" w:themeColor="text2" w:themeShade="80"/>
                <w:sz w:val="22"/>
                <w:lang w:eastAsia="en-AU"/>
              </w:rPr>
              <w:t>417.5</w:t>
            </w:r>
          </w:p>
        </w:tc>
        <w:tc>
          <w:tcPr>
            <w:tcW w:w="1430"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color w:val="0B2B43" w:themeColor="text2" w:themeShade="80"/>
                <w:sz w:val="22"/>
                <w:lang w:eastAsia="en-AU"/>
              </w:rPr>
            </w:pPr>
            <w:r w:rsidRPr="004A1196">
              <w:rPr>
                <w:rFonts w:eastAsia="Times New Roman" w:cstheme="minorHAnsi"/>
                <w:color w:val="0B2B43" w:themeColor="text2" w:themeShade="80"/>
                <w:sz w:val="22"/>
                <w:lang w:eastAsia="en-AU"/>
              </w:rPr>
              <w:t>0.0</w:t>
            </w:r>
          </w:p>
        </w:tc>
        <w:tc>
          <w:tcPr>
            <w:tcW w:w="1430"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color w:val="0B2B43" w:themeColor="text2" w:themeShade="80"/>
                <w:sz w:val="22"/>
                <w:lang w:eastAsia="en-AU"/>
              </w:rPr>
            </w:pPr>
            <w:r w:rsidRPr="004A1196">
              <w:rPr>
                <w:rFonts w:eastAsia="Times New Roman" w:cstheme="minorHAnsi"/>
                <w:color w:val="0B2B43" w:themeColor="text2" w:themeShade="80"/>
                <w:sz w:val="22"/>
                <w:lang w:eastAsia="en-AU"/>
              </w:rPr>
              <w:t>0.0</w:t>
            </w:r>
          </w:p>
        </w:tc>
        <w:tc>
          <w:tcPr>
            <w:tcW w:w="1343"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color w:val="0B2B43" w:themeColor="text2" w:themeShade="80"/>
                <w:sz w:val="22"/>
                <w:lang w:eastAsia="en-AU"/>
              </w:rPr>
            </w:pPr>
            <w:r w:rsidRPr="004A1196">
              <w:rPr>
                <w:rFonts w:eastAsia="Times New Roman" w:cstheme="minorHAnsi"/>
                <w:color w:val="0B2B43" w:themeColor="text2" w:themeShade="80"/>
                <w:sz w:val="22"/>
                <w:lang w:eastAsia="en-AU"/>
              </w:rPr>
              <w:t>0.0</w:t>
            </w:r>
          </w:p>
        </w:tc>
      </w:tr>
      <w:tr w:rsidR="004A1196" w:rsidRPr="004A1196" w:rsidTr="00B759A1">
        <w:trPr>
          <w:trHeight w:val="372"/>
        </w:trPr>
        <w:tc>
          <w:tcPr>
            <w:tcW w:w="1787" w:type="dxa"/>
            <w:noWrap/>
            <w:vAlign w:val="center"/>
            <w:hideMark/>
          </w:tcPr>
          <w:p w:rsidR="002C6039" w:rsidRPr="004A1196" w:rsidRDefault="002C6039" w:rsidP="00B759A1">
            <w:pPr>
              <w:keepNext/>
              <w:spacing w:before="100" w:beforeAutospacing="1" w:after="100" w:afterAutospacing="1"/>
              <w:rPr>
                <w:rFonts w:eastAsia="Times New Roman" w:cstheme="minorHAnsi"/>
                <w:color w:val="0B2B43" w:themeColor="text2" w:themeShade="80"/>
                <w:sz w:val="22"/>
                <w:lang w:eastAsia="en-AU"/>
              </w:rPr>
            </w:pPr>
            <w:proofErr w:type="spellStart"/>
            <w:r w:rsidRPr="004A1196">
              <w:rPr>
                <w:rFonts w:eastAsia="Times New Roman" w:cstheme="minorHAnsi"/>
                <w:color w:val="0B2B43" w:themeColor="text2" w:themeShade="80"/>
                <w:sz w:val="22"/>
                <w:lang w:eastAsia="en-AU"/>
              </w:rPr>
              <w:t>RT</w:t>
            </w:r>
            <w:r w:rsidR="0031385A">
              <w:rPr>
                <w:rFonts w:eastAsia="Times New Roman" w:cstheme="minorHAnsi"/>
                <w:color w:val="0B2B43" w:themeColor="text2" w:themeShade="80"/>
                <w:sz w:val="22"/>
                <w:lang w:eastAsia="en-AU"/>
              </w:rPr>
              <w:t>P</w:t>
            </w:r>
            <w:proofErr w:type="spellEnd"/>
            <w:r w:rsidRPr="004A1196">
              <w:rPr>
                <w:rFonts w:eastAsia="Times New Roman" w:cstheme="minorHAnsi"/>
                <w:color w:val="0B2B43" w:themeColor="text2" w:themeShade="80"/>
                <w:sz w:val="22"/>
                <w:lang w:eastAsia="en-AU"/>
              </w:rPr>
              <w:t xml:space="preserve"> Old</w:t>
            </w:r>
          </w:p>
        </w:tc>
        <w:tc>
          <w:tcPr>
            <w:tcW w:w="1281"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color w:val="0B2B43" w:themeColor="text2" w:themeShade="80"/>
                <w:sz w:val="22"/>
                <w:lang w:eastAsia="en-AU"/>
              </w:rPr>
            </w:pPr>
            <w:r w:rsidRPr="004A1196">
              <w:rPr>
                <w:rFonts w:eastAsia="Times New Roman" w:cstheme="minorHAnsi"/>
                <w:color w:val="0B2B43" w:themeColor="text2" w:themeShade="80"/>
                <w:sz w:val="22"/>
                <w:lang w:eastAsia="en-AU"/>
              </w:rPr>
              <w:t>948.4</w:t>
            </w:r>
          </w:p>
        </w:tc>
        <w:tc>
          <w:tcPr>
            <w:tcW w:w="1118"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color w:val="0B2B43" w:themeColor="text2" w:themeShade="80"/>
                <w:sz w:val="22"/>
                <w:lang w:eastAsia="en-AU"/>
              </w:rPr>
            </w:pPr>
            <w:r w:rsidRPr="004A1196">
              <w:rPr>
                <w:rFonts w:eastAsia="Times New Roman" w:cstheme="minorHAnsi"/>
                <w:color w:val="0B2B43" w:themeColor="text2" w:themeShade="80"/>
                <w:sz w:val="22"/>
                <w:lang w:eastAsia="en-AU"/>
              </w:rPr>
              <w:t>178.8</w:t>
            </w:r>
          </w:p>
        </w:tc>
        <w:tc>
          <w:tcPr>
            <w:tcW w:w="1072"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color w:val="0B2B43" w:themeColor="text2" w:themeShade="80"/>
                <w:sz w:val="22"/>
                <w:lang w:eastAsia="en-AU"/>
              </w:rPr>
            </w:pPr>
            <w:r w:rsidRPr="004A1196">
              <w:rPr>
                <w:rFonts w:eastAsia="Times New Roman" w:cstheme="minorHAnsi"/>
                <w:color w:val="0B2B43" w:themeColor="text2" w:themeShade="80"/>
                <w:sz w:val="22"/>
                <w:lang w:eastAsia="en-AU"/>
              </w:rPr>
              <w:t>200.5</w:t>
            </w:r>
          </w:p>
        </w:tc>
        <w:tc>
          <w:tcPr>
            <w:tcW w:w="1430"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color w:val="0B2B43" w:themeColor="text2" w:themeShade="80"/>
                <w:sz w:val="22"/>
                <w:lang w:eastAsia="en-AU"/>
              </w:rPr>
            </w:pPr>
            <w:r w:rsidRPr="004A1196">
              <w:rPr>
                <w:rFonts w:eastAsia="Times New Roman" w:cstheme="minorHAnsi"/>
                <w:color w:val="0B2B43" w:themeColor="text2" w:themeShade="80"/>
                <w:sz w:val="22"/>
                <w:lang w:eastAsia="en-AU"/>
              </w:rPr>
              <w:t>474.2</w:t>
            </w:r>
          </w:p>
        </w:tc>
        <w:tc>
          <w:tcPr>
            <w:tcW w:w="1430"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color w:val="0B2B43" w:themeColor="text2" w:themeShade="80"/>
                <w:sz w:val="22"/>
                <w:lang w:eastAsia="en-AU"/>
              </w:rPr>
            </w:pPr>
            <w:r w:rsidRPr="004A1196">
              <w:rPr>
                <w:rFonts w:eastAsia="Times New Roman" w:cstheme="minorHAnsi"/>
                <w:color w:val="0B2B43" w:themeColor="text2" w:themeShade="80"/>
                <w:sz w:val="22"/>
                <w:lang w:eastAsia="en-AU"/>
              </w:rPr>
              <w:t>94.8</w:t>
            </w:r>
          </w:p>
        </w:tc>
        <w:tc>
          <w:tcPr>
            <w:tcW w:w="1343"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color w:val="0B2B43" w:themeColor="text2" w:themeShade="80"/>
                <w:sz w:val="22"/>
                <w:lang w:eastAsia="en-AU"/>
              </w:rPr>
            </w:pPr>
            <w:r w:rsidRPr="004A1196">
              <w:rPr>
                <w:rFonts w:eastAsia="Times New Roman" w:cstheme="minorHAnsi"/>
                <w:color w:val="0B2B43" w:themeColor="text2" w:themeShade="80"/>
                <w:sz w:val="22"/>
                <w:lang w:eastAsia="en-AU"/>
              </w:rPr>
              <w:t>0.0</w:t>
            </w:r>
          </w:p>
        </w:tc>
      </w:tr>
      <w:tr w:rsidR="004A1196" w:rsidRPr="004A1196" w:rsidTr="00B759A1">
        <w:trPr>
          <w:cnfStyle w:val="000000010000" w:firstRow="0" w:lastRow="0" w:firstColumn="0" w:lastColumn="0" w:oddVBand="0" w:evenVBand="0" w:oddHBand="0" w:evenHBand="1" w:firstRowFirstColumn="0" w:firstRowLastColumn="0" w:lastRowFirstColumn="0" w:lastRowLastColumn="0"/>
          <w:trHeight w:val="372"/>
        </w:trPr>
        <w:tc>
          <w:tcPr>
            <w:tcW w:w="1787" w:type="dxa"/>
            <w:noWrap/>
            <w:vAlign w:val="center"/>
            <w:hideMark/>
          </w:tcPr>
          <w:p w:rsidR="002C6039" w:rsidRPr="004A1196" w:rsidRDefault="002C6039" w:rsidP="00B759A1">
            <w:pPr>
              <w:keepNext/>
              <w:spacing w:before="100" w:beforeAutospacing="1" w:after="100" w:afterAutospacing="1"/>
              <w:rPr>
                <w:rFonts w:eastAsia="Times New Roman" w:cstheme="minorHAnsi"/>
                <w:color w:val="0B2B43" w:themeColor="text2" w:themeShade="80"/>
                <w:sz w:val="22"/>
                <w:lang w:eastAsia="en-AU"/>
              </w:rPr>
            </w:pPr>
            <w:proofErr w:type="spellStart"/>
            <w:r w:rsidRPr="004A1196">
              <w:rPr>
                <w:rFonts w:eastAsia="Times New Roman" w:cstheme="minorHAnsi"/>
                <w:color w:val="0B2B43" w:themeColor="text2" w:themeShade="80"/>
                <w:sz w:val="22"/>
                <w:lang w:eastAsia="en-AU"/>
              </w:rPr>
              <w:t>RT</w:t>
            </w:r>
            <w:r w:rsidR="0031385A">
              <w:rPr>
                <w:rFonts w:eastAsia="Times New Roman" w:cstheme="minorHAnsi"/>
                <w:color w:val="0B2B43" w:themeColor="text2" w:themeShade="80"/>
                <w:sz w:val="22"/>
                <w:lang w:eastAsia="en-AU"/>
              </w:rPr>
              <w:t>P</w:t>
            </w:r>
            <w:proofErr w:type="spellEnd"/>
            <w:r w:rsidRPr="004A1196">
              <w:rPr>
                <w:rFonts w:eastAsia="Times New Roman" w:cstheme="minorHAnsi"/>
                <w:color w:val="0B2B43" w:themeColor="text2" w:themeShade="80"/>
                <w:sz w:val="22"/>
                <w:lang w:eastAsia="en-AU"/>
              </w:rPr>
              <w:t xml:space="preserve"> New</w:t>
            </w:r>
          </w:p>
        </w:tc>
        <w:tc>
          <w:tcPr>
            <w:tcW w:w="1281"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color w:val="0B2B43" w:themeColor="text2" w:themeShade="80"/>
                <w:sz w:val="22"/>
                <w:lang w:eastAsia="en-AU"/>
              </w:rPr>
            </w:pPr>
            <w:r w:rsidRPr="004A1196">
              <w:rPr>
                <w:rFonts w:eastAsia="Times New Roman" w:cstheme="minorHAnsi"/>
                <w:color w:val="0B2B43" w:themeColor="text2" w:themeShade="80"/>
                <w:sz w:val="22"/>
                <w:lang w:eastAsia="en-AU"/>
              </w:rPr>
              <w:t>948.4</w:t>
            </w:r>
          </w:p>
        </w:tc>
        <w:tc>
          <w:tcPr>
            <w:tcW w:w="1118"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color w:val="0B2B43" w:themeColor="text2" w:themeShade="80"/>
                <w:sz w:val="22"/>
                <w:lang w:eastAsia="en-AU"/>
              </w:rPr>
            </w:pPr>
            <w:r w:rsidRPr="004A1196">
              <w:rPr>
                <w:rFonts w:eastAsia="Times New Roman" w:cstheme="minorHAnsi"/>
                <w:color w:val="0B2B43" w:themeColor="text2" w:themeShade="80"/>
                <w:sz w:val="22"/>
                <w:lang w:eastAsia="en-AU"/>
              </w:rPr>
              <w:t>237.1</w:t>
            </w:r>
          </w:p>
        </w:tc>
        <w:tc>
          <w:tcPr>
            <w:tcW w:w="1072"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color w:val="0B2B43" w:themeColor="text2" w:themeShade="80"/>
                <w:sz w:val="22"/>
                <w:lang w:eastAsia="en-AU"/>
              </w:rPr>
            </w:pPr>
            <w:r w:rsidRPr="004A1196">
              <w:rPr>
                <w:rFonts w:eastAsia="Times New Roman" w:cstheme="minorHAnsi"/>
                <w:color w:val="0B2B43" w:themeColor="text2" w:themeShade="80"/>
                <w:sz w:val="22"/>
                <w:lang w:eastAsia="en-AU"/>
              </w:rPr>
              <w:t>237.1</w:t>
            </w:r>
          </w:p>
        </w:tc>
        <w:tc>
          <w:tcPr>
            <w:tcW w:w="1430"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color w:val="0B2B43" w:themeColor="text2" w:themeShade="80"/>
                <w:sz w:val="22"/>
                <w:lang w:eastAsia="en-AU"/>
              </w:rPr>
            </w:pPr>
            <w:r w:rsidRPr="004A1196">
              <w:rPr>
                <w:rFonts w:eastAsia="Times New Roman" w:cstheme="minorHAnsi"/>
                <w:color w:val="0B2B43" w:themeColor="text2" w:themeShade="80"/>
                <w:sz w:val="22"/>
                <w:lang w:eastAsia="en-AU"/>
              </w:rPr>
              <w:t>474.2</w:t>
            </w:r>
          </w:p>
        </w:tc>
        <w:tc>
          <w:tcPr>
            <w:tcW w:w="1430"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color w:val="0B2B43" w:themeColor="text2" w:themeShade="80"/>
                <w:sz w:val="22"/>
                <w:lang w:eastAsia="en-AU"/>
              </w:rPr>
            </w:pPr>
            <w:r w:rsidRPr="004A1196">
              <w:rPr>
                <w:rFonts w:eastAsia="Times New Roman" w:cstheme="minorHAnsi"/>
                <w:color w:val="0B2B43" w:themeColor="text2" w:themeShade="80"/>
                <w:sz w:val="22"/>
                <w:lang w:eastAsia="en-AU"/>
              </w:rPr>
              <w:t xml:space="preserve">0.0 </w:t>
            </w:r>
          </w:p>
        </w:tc>
        <w:tc>
          <w:tcPr>
            <w:tcW w:w="1343"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color w:val="0B2B43" w:themeColor="text2" w:themeShade="80"/>
                <w:sz w:val="22"/>
                <w:lang w:eastAsia="en-AU"/>
              </w:rPr>
            </w:pPr>
            <w:r w:rsidRPr="004A1196">
              <w:rPr>
                <w:rFonts w:eastAsia="Times New Roman" w:cstheme="minorHAnsi"/>
                <w:color w:val="0B2B43" w:themeColor="text2" w:themeShade="80"/>
                <w:sz w:val="22"/>
                <w:lang w:eastAsia="en-AU"/>
              </w:rPr>
              <w:t>0.0</w:t>
            </w:r>
          </w:p>
        </w:tc>
      </w:tr>
      <w:tr w:rsidR="004A1196" w:rsidRPr="004A1196" w:rsidTr="00B759A1">
        <w:trPr>
          <w:trHeight w:val="372"/>
        </w:trPr>
        <w:tc>
          <w:tcPr>
            <w:tcW w:w="1787" w:type="dxa"/>
            <w:noWrap/>
            <w:vAlign w:val="center"/>
            <w:hideMark/>
          </w:tcPr>
          <w:p w:rsidR="002C6039" w:rsidRPr="004A1196" w:rsidRDefault="002C6039" w:rsidP="00B759A1">
            <w:pPr>
              <w:keepNext/>
              <w:spacing w:before="100" w:beforeAutospacing="1" w:after="100" w:afterAutospacing="1"/>
              <w:rPr>
                <w:rFonts w:eastAsia="Times New Roman" w:cstheme="minorHAnsi"/>
                <w:b/>
                <w:bCs/>
                <w:color w:val="0B2B43" w:themeColor="text2" w:themeShade="80"/>
                <w:sz w:val="22"/>
                <w:lang w:eastAsia="en-AU"/>
              </w:rPr>
            </w:pPr>
            <w:r w:rsidRPr="004A1196">
              <w:rPr>
                <w:rFonts w:eastAsia="Times New Roman" w:cstheme="minorHAnsi"/>
                <w:b/>
                <w:bCs/>
                <w:color w:val="0B2B43" w:themeColor="text2" w:themeShade="80"/>
                <w:sz w:val="22"/>
                <w:lang w:eastAsia="en-AU"/>
              </w:rPr>
              <w:t xml:space="preserve">Total </w:t>
            </w:r>
            <w:proofErr w:type="spellStart"/>
            <w:r w:rsidRPr="004A1196">
              <w:rPr>
                <w:rFonts w:eastAsia="Times New Roman" w:cstheme="minorHAnsi"/>
                <w:b/>
                <w:bCs/>
                <w:color w:val="0B2B43" w:themeColor="text2" w:themeShade="80"/>
                <w:sz w:val="22"/>
                <w:lang w:eastAsia="en-AU"/>
              </w:rPr>
              <w:t>RBG</w:t>
            </w:r>
            <w:proofErr w:type="spellEnd"/>
            <w:r w:rsidRPr="004A1196">
              <w:rPr>
                <w:rFonts w:eastAsia="Times New Roman" w:cstheme="minorHAnsi"/>
                <w:b/>
                <w:bCs/>
                <w:color w:val="0B2B43" w:themeColor="text2" w:themeShade="80"/>
                <w:sz w:val="22"/>
                <w:lang w:eastAsia="en-AU"/>
              </w:rPr>
              <w:t xml:space="preserve"> Old</w:t>
            </w:r>
          </w:p>
        </w:tc>
        <w:tc>
          <w:tcPr>
            <w:tcW w:w="1281"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b/>
                <w:bCs/>
                <w:color w:val="0B2B43" w:themeColor="text2" w:themeShade="80"/>
                <w:sz w:val="22"/>
                <w:lang w:eastAsia="en-AU"/>
              </w:rPr>
            </w:pPr>
            <w:r w:rsidRPr="004A1196">
              <w:rPr>
                <w:rFonts w:eastAsia="Times New Roman" w:cstheme="minorHAnsi"/>
                <w:b/>
                <w:bCs/>
                <w:color w:val="0B2B43" w:themeColor="text2" w:themeShade="80"/>
                <w:sz w:val="22"/>
                <w:lang w:eastAsia="en-AU"/>
              </w:rPr>
              <w:t>1,783.3</w:t>
            </w:r>
          </w:p>
        </w:tc>
        <w:tc>
          <w:tcPr>
            <w:tcW w:w="1118"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b/>
                <w:bCs/>
                <w:color w:val="0B2B43" w:themeColor="text2" w:themeShade="80"/>
                <w:sz w:val="22"/>
                <w:lang w:eastAsia="en-AU"/>
              </w:rPr>
            </w:pPr>
            <w:r w:rsidRPr="004A1196">
              <w:rPr>
                <w:rFonts w:eastAsia="Times New Roman" w:cstheme="minorHAnsi"/>
                <w:b/>
                <w:bCs/>
                <w:color w:val="0B2B43" w:themeColor="text2" w:themeShade="80"/>
                <w:sz w:val="22"/>
                <w:lang w:eastAsia="en-AU"/>
              </w:rPr>
              <w:t>642.5</w:t>
            </w:r>
          </w:p>
        </w:tc>
        <w:tc>
          <w:tcPr>
            <w:tcW w:w="1072"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b/>
                <w:bCs/>
                <w:color w:val="0B2B43" w:themeColor="text2" w:themeShade="80"/>
                <w:sz w:val="22"/>
                <w:lang w:eastAsia="en-AU"/>
              </w:rPr>
            </w:pPr>
            <w:r w:rsidRPr="004A1196">
              <w:rPr>
                <w:rFonts w:eastAsia="Times New Roman" w:cstheme="minorHAnsi"/>
                <w:b/>
                <w:bCs/>
                <w:color w:val="0B2B43" w:themeColor="text2" w:themeShade="80"/>
                <w:sz w:val="22"/>
                <w:lang w:eastAsia="en-AU"/>
              </w:rPr>
              <w:t>423.3</w:t>
            </w:r>
          </w:p>
        </w:tc>
        <w:tc>
          <w:tcPr>
            <w:tcW w:w="1430"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b/>
                <w:bCs/>
                <w:color w:val="0B2B43" w:themeColor="text2" w:themeShade="80"/>
                <w:sz w:val="22"/>
                <w:lang w:eastAsia="en-AU"/>
              </w:rPr>
            </w:pPr>
            <w:r w:rsidRPr="004A1196">
              <w:rPr>
                <w:rFonts w:eastAsia="Times New Roman" w:cstheme="minorHAnsi"/>
                <w:b/>
                <w:bCs/>
                <w:color w:val="0B2B43" w:themeColor="text2" w:themeShade="80"/>
                <w:sz w:val="22"/>
                <w:lang w:eastAsia="en-AU"/>
              </w:rPr>
              <w:t>474.2</w:t>
            </w:r>
          </w:p>
        </w:tc>
        <w:tc>
          <w:tcPr>
            <w:tcW w:w="1430"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b/>
                <w:bCs/>
                <w:color w:val="0B2B43" w:themeColor="text2" w:themeShade="80"/>
                <w:sz w:val="22"/>
                <w:lang w:eastAsia="en-AU"/>
              </w:rPr>
            </w:pPr>
            <w:r w:rsidRPr="004A1196">
              <w:rPr>
                <w:rFonts w:eastAsia="Times New Roman" w:cstheme="minorHAnsi"/>
                <w:b/>
                <w:bCs/>
                <w:color w:val="0B2B43" w:themeColor="text2" w:themeShade="80"/>
                <w:sz w:val="22"/>
                <w:lang w:eastAsia="en-AU"/>
              </w:rPr>
              <w:t>132.0</w:t>
            </w:r>
          </w:p>
        </w:tc>
        <w:tc>
          <w:tcPr>
            <w:tcW w:w="1343"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b/>
                <w:bCs/>
                <w:color w:val="0B2B43" w:themeColor="text2" w:themeShade="80"/>
                <w:sz w:val="22"/>
                <w:lang w:eastAsia="en-AU"/>
              </w:rPr>
            </w:pPr>
            <w:r w:rsidRPr="004A1196">
              <w:rPr>
                <w:rFonts w:eastAsia="Times New Roman" w:cstheme="minorHAnsi"/>
                <w:b/>
                <w:bCs/>
                <w:color w:val="0B2B43" w:themeColor="text2" w:themeShade="80"/>
                <w:sz w:val="22"/>
                <w:lang w:eastAsia="en-AU"/>
              </w:rPr>
              <w:t>111.4</w:t>
            </w:r>
          </w:p>
        </w:tc>
      </w:tr>
      <w:tr w:rsidR="004A1196" w:rsidRPr="004A1196" w:rsidTr="00B759A1">
        <w:trPr>
          <w:cnfStyle w:val="000000010000" w:firstRow="0" w:lastRow="0" w:firstColumn="0" w:lastColumn="0" w:oddVBand="0" w:evenVBand="0" w:oddHBand="0" w:evenHBand="1" w:firstRowFirstColumn="0" w:firstRowLastColumn="0" w:lastRowFirstColumn="0" w:lastRowLastColumn="0"/>
          <w:trHeight w:val="372"/>
        </w:trPr>
        <w:tc>
          <w:tcPr>
            <w:tcW w:w="1787" w:type="dxa"/>
            <w:noWrap/>
            <w:vAlign w:val="center"/>
            <w:hideMark/>
          </w:tcPr>
          <w:p w:rsidR="002C6039" w:rsidRPr="004A1196" w:rsidRDefault="002C6039" w:rsidP="00B759A1">
            <w:pPr>
              <w:keepNext/>
              <w:spacing w:before="100" w:beforeAutospacing="1" w:after="100" w:afterAutospacing="1"/>
              <w:rPr>
                <w:rFonts w:eastAsia="Times New Roman" w:cstheme="minorHAnsi"/>
                <w:b/>
                <w:bCs/>
                <w:color w:val="0B2B43" w:themeColor="text2" w:themeShade="80"/>
                <w:sz w:val="22"/>
                <w:lang w:eastAsia="en-AU"/>
              </w:rPr>
            </w:pPr>
            <w:r w:rsidRPr="004A1196">
              <w:rPr>
                <w:rFonts w:eastAsia="Times New Roman" w:cstheme="minorHAnsi"/>
                <w:b/>
                <w:bCs/>
                <w:color w:val="0B2B43" w:themeColor="text2" w:themeShade="80"/>
                <w:sz w:val="22"/>
                <w:lang w:eastAsia="en-AU"/>
              </w:rPr>
              <w:t xml:space="preserve">Total </w:t>
            </w:r>
            <w:proofErr w:type="spellStart"/>
            <w:r w:rsidRPr="004A1196">
              <w:rPr>
                <w:rFonts w:eastAsia="Times New Roman" w:cstheme="minorHAnsi"/>
                <w:b/>
                <w:bCs/>
                <w:color w:val="0B2B43" w:themeColor="text2" w:themeShade="80"/>
                <w:sz w:val="22"/>
                <w:lang w:eastAsia="en-AU"/>
              </w:rPr>
              <w:t>RBG</w:t>
            </w:r>
            <w:proofErr w:type="spellEnd"/>
            <w:r w:rsidRPr="004A1196">
              <w:rPr>
                <w:rFonts w:eastAsia="Times New Roman" w:cstheme="minorHAnsi"/>
                <w:b/>
                <w:bCs/>
                <w:color w:val="0B2B43" w:themeColor="text2" w:themeShade="80"/>
                <w:sz w:val="22"/>
                <w:lang w:eastAsia="en-AU"/>
              </w:rPr>
              <w:t xml:space="preserve"> New</w:t>
            </w:r>
          </w:p>
        </w:tc>
        <w:tc>
          <w:tcPr>
            <w:tcW w:w="1281"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b/>
                <w:bCs/>
                <w:color w:val="0B2B43" w:themeColor="text2" w:themeShade="80"/>
                <w:sz w:val="22"/>
                <w:lang w:eastAsia="en-AU"/>
              </w:rPr>
            </w:pPr>
            <w:r w:rsidRPr="004A1196">
              <w:rPr>
                <w:rFonts w:eastAsia="Times New Roman" w:cstheme="minorHAnsi"/>
                <w:b/>
                <w:bCs/>
                <w:color w:val="0B2B43" w:themeColor="text2" w:themeShade="80"/>
                <w:sz w:val="22"/>
                <w:lang w:eastAsia="en-AU"/>
              </w:rPr>
              <w:t>1,783.3</w:t>
            </w:r>
          </w:p>
        </w:tc>
        <w:tc>
          <w:tcPr>
            <w:tcW w:w="1118"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b/>
                <w:bCs/>
                <w:color w:val="0B2B43" w:themeColor="text2" w:themeShade="80"/>
                <w:sz w:val="22"/>
                <w:lang w:eastAsia="en-AU"/>
              </w:rPr>
            </w:pPr>
            <w:r w:rsidRPr="004A1196">
              <w:rPr>
                <w:rFonts w:eastAsia="Times New Roman" w:cstheme="minorHAnsi"/>
                <w:b/>
                <w:bCs/>
                <w:color w:val="0B2B43" w:themeColor="text2" w:themeShade="80"/>
                <w:sz w:val="22"/>
                <w:lang w:eastAsia="en-AU"/>
              </w:rPr>
              <w:t>654.6</w:t>
            </w:r>
          </w:p>
        </w:tc>
        <w:tc>
          <w:tcPr>
            <w:tcW w:w="1072"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b/>
                <w:bCs/>
                <w:color w:val="0B2B43" w:themeColor="text2" w:themeShade="80"/>
                <w:sz w:val="22"/>
                <w:lang w:eastAsia="en-AU"/>
              </w:rPr>
            </w:pPr>
            <w:r w:rsidRPr="004A1196">
              <w:rPr>
                <w:rFonts w:eastAsia="Times New Roman" w:cstheme="minorHAnsi"/>
                <w:b/>
                <w:bCs/>
                <w:color w:val="0B2B43" w:themeColor="text2" w:themeShade="80"/>
                <w:sz w:val="22"/>
                <w:lang w:eastAsia="en-AU"/>
              </w:rPr>
              <w:t>654.6</w:t>
            </w:r>
          </w:p>
        </w:tc>
        <w:tc>
          <w:tcPr>
            <w:tcW w:w="1430"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b/>
                <w:bCs/>
                <w:color w:val="0B2B43" w:themeColor="text2" w:themeShade="80"/>
                <w:sz w:val="22"/>
                <w:lang w:eastAsia="en-AU"/>
              </w:rPr>
            </w:pPr>
            <w:r w:rsidRPr="004A1196">
              <w:rPr>
                <w:rFonts w:eastAsia="Times New Roman" w:cstheme="minorHAnsi"/>
                <w:b/>
                <w:bCs/>
                <w:color w:val="0B2B43" w:themeColor="text2" w:themeShade="80"/>
                <w:sz w:val="22"/>
                <w:lang w:eastAsia="en-AU"/>
              </w:rPr>
              <w:t>474.2</w:t>
            </w:r>
          </w:p>
        </w:tc>
        <w:tc>
          <w:tcPr>
            <w:tcW w:w="1430"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b/>
                <w:bCs/>
                <w:color w:val="0B2B43" w:themeColor="text2" w:themeShade="80"/>
                <w:sz w:val="22"/>
                <w:lang w:eastAsia="en-AU"/>
              </w:rPr>
            </w:pPr>
            <w:r w:rsidRPr="004A1196">
              <w:rPr>
                <w:rFonts w:eastAsia="Times New Roman" w:cstheme="minorHAnsi"/>
                <w:b/>
                <w:bCs/>
                <w:color w:val="0B2B43" w:themeColor="text2" w:themeShade="80"/>
                <w:sz w:val="22"/>
                <w:lang w:eastAsia="en-AU"/>
              </w:rPr>
              <w:t>0.0</w:t>
            </w:r>
          </w:p>
        </w:tc>
        <w:tc>
          <w:tcPr>
            <w:tcW w:w="1343" w:type="dxa"/>
            <w:noWrap/>
            <w:vAlign w:val="center"/>
            <w:hideMark/>
          </w:tcPr>
          <w:p w:rsidR="002C6039" w:rsidRPr="004A1196" w:rsidRDefault="002C6039" w:rsidP="00B759A1">
            <w:pPr>
              <w:keepNext/>
              <w:spacing w:before="100" w:beforeAutospacing="1" w:after="100" w:afterAutospacing="1"/>
              <w:jc w:val="right"/>
              <w:rPr>
                <w:rFonts w:eastAsia="Times New Roman" w:cstheme="minorHAnsi"/>
                <w:b/>
                <w:bCs/>
                <w:color w:val="0B2B43" w:themeColor="text2" w:themeShade="80"/>
                <w:sz w:val="22"/>
                <w:lang w:eastAsia="en-AU"/>
              </w:rPr>
            </w:pPr>
            <w:r w:rsidRPr="004A1196">
              <w:rPr>
                <w:rFonts w:eastAsia="Times New Roman" w:cstheme="minorHAnsi"/>
                <w:b/>
                <w:bCs/>
                <w:color w:val="0B2B43" w:themeColor="text2" w:themeShade="80"/>
                <w:sz w:val="22"/>
                <w:lang w:eastAsia="en-AU"/>
              </w:rPr>
              <w:t>0.0</w:t>
            </w:r>
          </w:p>
        </w:tc>
      </w:tr>
    </w:tbl>
    <w:p w:rsidR="002C6039" w:rsidRPr="004A1196" w:rsidRDefault="002C6039" w:rsidP="00297C54">
      <w:pPr>
        <w:pStyle w:val="Source"/>
        <w:spacing w:before="0" w:after="0"/>
        <w:contextualSpacing/>
        <w:rPr>
          <w:b w:val="0"/>
          <w:color w:val="0B2B43" w:themeColor="text2" w:themeShade="80"/>
        </w:rPr>
      </w:pPr>
      <w:r w:rsidRPr="004A1196">
        <w:rPr>
          <w:rFonts w:eastAsia="Calibri"/>
          <w:b w:val="0"/>
          <w:color w:val="0B2B43" w:themeColor="text2" w:themeShade="80"/>
        </w:rPr>
        <w:t xml:space="preserve">Note: </w:t>
      </w:r>
      <w:r w:rsidRPr="004A1196">
        <w:rPr>
          <w:b w:val="0"/>
          <w:color w:val="0B2B43" w:themeColor="text2" w:themeShade="80"/>
        </w:rPr>
        <w:t>‘</w:t>
      </w:r>
      <w:proofErr w:type="spellStart"/>
      <w:r w:rsidRPr="004A1196">
        <w:rPr>
          <w:b w:val="0"/>
          <w:color w:val="0B2B43" w:themeColor="text2" w:themeShade="80"/>
        </w:rPr>
        <w:t>RS</w:t>
      </w:r>
      <w:r w:rsidR="0031385A">
        <w:rPr>
          <w:b w:val="0"/>
          <w:color w:val="0B2B43" w:themeColor="text2" w:themeShade="80"/>
        </w:rPr>
        <w:t>P</w:t>
      </w:r>
      <w:proofErr w:type="spellEnd"/>
      <w:r w:rsidRPr="004A1196">
        <w:rPr>
          <w:b w:val="0"/>
          <w:color w:val="0B2B43" w:themeColor="text2" w:themeShade="80"/>
        </w:rPr>
        <w:t xml:space="preserve"> Old’ is the total of </w:t>
      </w:r>
      <w:proofErr w:type="spellStart"/>
      <w:r w:rsidRPr="004A1196">
        <w:rPr>
          <w:b w:val="0"/>
          <w:color w:val="0B2B43" w:themeColor="text2" w:themeShade="80"/>
        </w:rPr>
        <w:t>RIBG</w:t>
      </w:r>
      <w:proofErr w:type="spellEnd"/>
      <w:r w:rsidRPr="004A1196">
        <w:rPr>
          <w:b w:val="0"/>
          <w:color w:val="0B2B43" w:themeColor="text2" w:themeShade="80"/>
        </w:rPr>
        <w:t xml:space="preserve">, </w:t>
      </w:r>
      <w:proofErr w:type="spellStart"/>
      <w:r w:rsidRPr="004A1196">
        <w:rPr>
          <w:b w:val="0"/>
          <w:color w:val="0B2B43" w:themeColor="text2" w:themeShade="80"/>
        </w:rPr>
        <w:t>SRE</w:t>
      </w:r>
      <w:proofErr w:type="spellEnd"/>
      <w:r w:rsidRPr="004A1196">
        <w:rPr>
          <w:b w:val="0"/>
          <w:color w:val="0B2B43" w:themeColor="text2" w:themeShade="80"/>
        </w:rPr>
        <w:t xml:space="preserve"> and </w:t>
      </w:r>
      <w:proofErr w:type="spellStart"/>
      <w:r w:rsidRPr="004A1196">
        <w:rPr>
          <w:b w:val="0"/>
          <w:color w:val="0B2B43" w:themeColor="text2" w:themeShade="80"/>
        </w:rPr>
        <w:t>JRE</w:t>
      </w:r>
      <w:proofErr w:type="spellEnd"/>
      <w:r w:rsidRPr="004A1196">
        <w:rPr>
          <w:b w:val="0"/>
          <w:color w:val="0B2B43" w:themeColor="text2" w:themeShade="80"/>
        </w:rPr>
        <w:t>.</w:t>
      </w:r>
      <w:r w:rsidR="00297C54" w:rsidRPr="004A1196">
        <w:rPr>
          <w:b w:val="0"/>
          <w:color w:val="0B2B43" w:themeColor="text2" w:themeShade="80"/>
        </w:rPr>
        <w:t xml:space="preserve"> </w:t>
      </w:r>
      <w:r w:rsidRPr="004A1196">
        <w:rPr>
          <w:rFonts w:eastAsia="Calibri"/>
          <w:b w:val="0"/>
          <w:color w:val="0B2B43" w:themeColor="text2" w:themeShade="80"/>
        </w:rPr>
        <w:t>‘</w:t>
      </w:r>
      <w:proofErr w:type="spellStart"/>
      <w:r w:rsidRPr="004A1196">
        <w:rPr>
          <w:rFonts w:eastAsia="Calibri"/>
          <w:b w:val="0"/>
          <w:color w:val="0B2B43" w:themeColor="text2" w:themeShade="80"/>
        </w:rPr>
        <w:t>RT</w:t>
      </w:r>
      <w:r w:rsidR="0031385A">
        <w:rPr>
          <w:rFonts w:eastAsia="Calibri"/>
          <w:b w:val="0"/>
          <w:color w:val="0B2B43" w:themeColor="text2" w:themeShade="80"/>
        </w:rPr>
        <w:t>P</w:t>
      </w:r>
      <w:proofErr w:type="spellEnd"/>
      <w:r w:rsidRPr="004A1196">
        <w:rPr>
          <w:rFonts w:eastAsia="Calibri"/>
          <w:b w:val="0"/>
          <w:color w:val="0B2B43" w:themeColor="text2" w:themeShade="80"/>
        </w:rPr>
        <w:t xml:space="preserve"> Old’ is the total of the </w:t>
      </w:r>
      <w:proofErr w:type="spellStart"/>
      <w:r w:rsidRPr="004A1196">
        <w:rPr>
          <w:rFonts w:eastAsia="Calibri"/>
          <w:b w:val="0"/>
          <w:color w:val="0B2B43" w:themeColor="text2" w:themeShade="80"/>
        </w:rPr>
        <w:t>RTS</w:t>
      </w:r>
      <w:proofErr w:type="spellEnd"/>
      <w:r w:rsidRPr="004A1196">
        <w:rPr>
          <w:rFonts w:eastAsia="Calibri"/>
          <w:b w:val="0"/>
          <w:color w:val="0B2B43" w:themeColor="text2" w:themeShade="80"/>
        </w:rPr>
        <w:t xml:space="preserve">, </w:t>
      </w:r>
      <w:proofErr w:type="spellStart"/>
      <w:r w:rsidRPr="004A1196">
        <w:rPr>
          <w:rFonts w:eastAsia="Calibri"/>
          <w:b w:val="0"/>
          <w:color w:val="0B2B43" w:themeColor="text2" w:themeShade="80"/>
        </w:rPr>
        <w:t>APA</w:t>
      </w:r>
      <w:proofErr w:type="spellEnd"/>
      <w:r w:rsidRPr="004A1196">
        <w:rPr>
          <w:rFonts w:eastAsia="Calibri"/>
          <w:b w:val="0"/>
          <w:color w:val="0B2B43" w:themeColor="text2" w:themeShade="80"/>
        </w:rPr>
        <w:t xml:space="preserve"> and </w:t>
      </w:r>
      <w:proofErr w:type="spellStart"/>
      <w:r w:rsidRPr="004A1196">
        <w:rPr>
          <w:rFonts w:eastAsia="Calibri"/>
          <w:b w:val="0"/>
          <w:color w:val="0B2B43" w:themeColor="text2" w:themeShade="80"/>
        </w:rPr>
        <w:t>IPRS</w:t>
      </w:r>
      <w:proofErr w:type="spellEnd"/>
      <w:r w:rsidRPr="004A1196">
        <w:rPr>
          <w:rFonts w:eastAsia="Calibri"/>
          <w:b w:val="0"/>
          <w:color w:val="0B2B43" w:themeColor="text2" w:themeShade="80"/>
        </w:rPr>
        <w:t>.</w:t>
      </w:r>
    </w:p>
    <w:p w:rsidR="00B759A1" w:rsidRDefault="00B759A1">
      <w:pPr>
        <w:spacing w:before="0" w:after="200" w:line="276" w:lineRule="auto"/>
        <w:rPr>
          <w:rFonts w:eastAsia="Calibri" w:cs="Times New Roman"/>
          <w:b/>
          <w:color w:val="0B2B43" w:themeColor="text2" w:themeShade="80"/>
        </w:rPr>
      </w:pPr>
      <w:r>
        <w:rPr>
          <w:rFonts w:eastAsia="Calibri" w:cs="Times New Roman"/>
          <w:b/>
          <w:color w:val="0B2B43" w:themeColor="text2" w:themeShade="80"/>
        </w:rPr>
        <w:br w:type="page"/>
      </w:r>
    </w:p>
    <w:p w:rsidR="002C6039" w:rsidRPr="004A1196" w:rsidRDefault="002C6039" w:rsidP="002C6039">
      <w:pPr>
        <w:spacing w:before="240" w:after="0"/>
        <w:rPr>
          <w:rFonts w:eastAsia="Calibri" w:cs="Times New Roman"/>
          <w:b/>
          <w:color w:val="0B2B43" w:themeColor="text2" w:themeShade="80"/>
        </w:rPr>
      </w:pPr>
      <w:r w:rsidRPr="004A1196">
        <w:rPr>
          <w:rFonts w:eastAsia="Calibri" w:cs="Times New Roman"/>
          <w:b/>
          <w:color w:val="0B2B43" w:themeColor="text2" w:themeShade="80"/>
        </w:rPr>
        <w:t xml:space="preserve">Table </w:t>
      </w:r>
      <w:r w:rsidR="00B81827" w:rsidRPr="004A1196">
        <w:rPr>
          <w:rFonts w:eastAsia="Calibri" w:cs="Times New Roman"/>
          <w:b/>
          <w:color w:val="0B2B43" w:themeColor="text2" w:themeShade="80"/>
        </w:rPr>
        <w:t>3</w:t>
      </w:r>
      <w:r w:rsidRPr="004A1196">
        <w:rPr>
          <w:rFonts w:eastAsia="Calibri" w:cs="Times New Roman"/>
          <w:b/>
          <w:color w:val="0B2B43" w:themeColor="text2" w:themeShade="80"/>
        </w:rPr>
        <w:t>(ii). Programme funding, percentage contribution by funding driver</w:t>
      </w:r>
    </w:p>
    <w:tbl>
      <w:tblPr>
        <w:tblStyle w:val="Review"/>
        <w:tblW w:w="9586" w:type="dxa"/>
        <w:tblLook w:val="04A0" w:firstRow="1" w:lastRow="0" w:firstColumn="1" w:lastColumn="0" w:noHBand="0" w:noVBand="1"/>
        <w:tblCaption w:val="Programme funding, percentage contribution by funding driver"/>
      </w:tblPr>
      <w:tblGrid>
        <w:gridCol w:w="1800"/>
        <w:gridCol w:w="1269"/>
        <w:gridCol w:w="1080"/>
        <w:gridCol w:w="1080"/>
        <w:gridCol w:w="1440"/>
        <w:gridCol w:w="1440"/>
        <w:gridCol w:w="1477"/>
      </w:tblGrid>
      <w:tr w:rsidR="004A1196" w:rsidRPr="004A1196" w:rsidTr="00962CAC">
        <w:trPr>
          <w:cnfStyle w:val="100000000000" w:firstRow="1" w:lastRow="0" w:firstColumn="0" w:lastColumn="0" w:oddVBand="0" w:evenVBand="0" w:oddHBand="0" w:evenHBand="0" w:firstRowFirstColumn="0" w:firstRowLastColumn="0" w:lastRowFirstColumn="0" w:lastRowLastColumn="0"/>
          <w:trHeight w:val="300"/>
          <w:tblHeader/>
        </w:trPr>
        <w:tc>
          <w:tcPr>
            <w:tcW w:w="1800" w:type="dxa"/>
            <w:vMerge w:val="restart"/>
            <w:hideMark/>
          </w:tcPr>
          <w:p w:rsidR="002C6039" w:rsidRPr="004A1196" w:rsidRDefault="002C6039" w:rsidP="00B759A1">
            <w:pPr>
              <w:spacing w:before="100" w:beforeAutospacing="1" w:after="100" w:afterAutospacing="1"/>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Programme</w:t>
            </w:r>
            <w:r w:rsidRPr="004A1196">
              <w:rPr>
                <w:rFonts w:eastAsia="Times New Roman" w:cs="Calibri"/>
                <w:color w:val="0B2B43" w:themeColor="text2" w:themeShade="80"/>
                <w:sz w:val="22"/>
                <w:szCs w:val="22"/>
                <w:lang w:eastAsia="en-AU"/>
              </w:rPr>
              <w:br/>
              <w:t>New/Old</w:t>
            </w:r>
          </w:p>
        </w:tc>
        <w:tc>
          <w:tcPr>
            <w:tcW w:w="1269" w:type="dxa"/>
            <w:vMerge w:val="restart"/>
            <w:noWrap/>
            <w:hideMark/>
          </w:tcPr>
          <w:p w:rsidR="002C6039" w:rsidRPr="004A1196" w:rsidRDefault="002C6039" w:rsidP="00B759A1">
            <w:pPr>
              <w:spacing w:before="100" w:beforeAutospacing="1"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Programme Total</w:t>
            </w:r>
          </w:p>
        </w:tc>
        <w:tc>
          <w:tcPr>
            <w:tcW w:w="6517" w:type="dxa"/>
            <w:gridSpan w:val="5"/>
            <w:noWrap/>
            <w:hideMark/>
          </w:tcPr>
          <w:p w:rsidR="002C6039" w:rsidRPr="004A1196" w:rsidRDefault="002C6039" w:rsidP="00B759A1">
            <w:pPr>
              <w:spacing w:before="100" w:beforeAutospacing="1"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Funding driver</w:t>
            </w:r>
          </w:p>
        </w:tc>
      </w:tr>
      <w:tr w:rsidR="004A1196" w:rsidRPr="004A1196" w:rsidTr="00962CAC">
        <w:trPr>
          <w:cnfStyle w:val="100000000000" w:firstRow="1" w:lastRow="0" w:firstColumn="0" w:lastColumn="0" w:oddVBand="0" w:evenVBand="0" w:oddHBand="0" w:evenHBand="0" w:firstRowFirstColumn="0" w:firstRowLastColumn="0" w:lastRowFirstColumn="0" w:lastRowLastColumn="0"/>
          <w:trHeight w:val="300"/>
          <w:tblHeader/>
        </w:trPr>
        <w:tc>
          <w:tcPr>
            <w:tcW w:w="1800" w:type="dxa"/>
            <w:vMerge/>
            <w:hideMark/>
          </w:tcPr>
          <w:p w:rsidR="002C6039" w:rsidRPr="004A1196" w:rsidRDefault="002C6039" w:rsidP="00B759A1">
            <w:pPr>
              <w:spacing w:before="100" w:beforeAutospacing="1" w:after="100" w:afterAutospacing="1"/>
              <w:rPr>
                <w:rFonts w:eastAsia="Times New Roman" w:cs="Calibri"/>
                <w:color w:val="0B2B43" w:themeColor="text2" w:themeShade="80"/>
                <w:sz w:val="22"/>
                <w:szCs w:val="22"/>
                <w:lang w:eastAsia="en-AU"/>
              </w:rPr>
            </w:pPr>
          </w:p>
        </w:tc>
        <w:tc>
          <w:tcPr>
            <w:tcW w:w="1269" w:type="dxa"/>
            <w:vMerge/>
            <w:hideMark/>
          </w:tcPr>
          <w:p w:rsidR="002C6039" w:rsidRPr="004A1196" w:rsidRDefault="002C6039" w:rsidP="00B759A1">
            <w:pPr>
              <w:spacing w:before="100" w:beforeAutospacing="1" w:after="100" w:afterAutospacing="1"/>
              <w:rPr>
                <w:rFonts w:eastAsia="Times New Roman" w:cs="Calibri"/>
                <w:color w:val="0B2B43" w:themeColor="text2" w:themeShade="80"/>
                <w:sz w:val="22"/>
                <w:szCs w:val="22"/>
                <w:lang w:eastAsia="en-AU"/>
              </w:rPr>
            </w:pPr>
          </w:p>
        </w:tc>
        <w:tc>
          <w:tcPr>
            <w:tcW w:w="1080" w:type="dxa"/>
            <w:noWrap/>
            <w:hideMark/>
          </w:tcPr>
          <w:p w:rsidR="002C6039" w:rsidRPr="004A1196" w:rsidRDefault="002C6039" w:rsidP="00B759A1">
            <w:pPr>
              <w:spacing w:before="100" w:beforeAutospacing="1" w:after="100" w:afterAutospacing="1"/>
              <w:jc w:val="center"/>
              <w:rPr>
                <w:rFonts w:eastAsia="Times New Roman" w:cs="Calibri"/>
                <w:color w:val="0B2B43" w:themeColor="text2" w:themeShade="80"/>
                <w:sz w:val="22"/>
                <w:szCs w:val="22"/>
                <w:lang w:eastAsia="en-AU"/>
              </w:rPr>
            </w:pPr>
            <w:proofErr w:type="spellStart"/>
            <w:r w:rsidRPr="004A1196">
              <w:rPr>
                <w:rFonts w:eastAsia="Times New Roman" w:cs="Calibri"/>
                <w:color w:val="0B2B43" w:themeColor="text2" w:themeShade="80"/>
                <w:sz w:val="22"/>
                <w:szCs w:val="22"/>
                <w:lang w:eastAsia="en-AU"/>
              </w:rPr>
              <w:t>Cat1</w:t>
            </w:r>
            <w:proofErr w:type="spellEnd"/>
          </w:p>
        </w:tc>
        <w:tc>
          <w:tcPr>
            <w:tcW w:w="1080" w:type="dxa"/>
            <w:noWrap/>
            <w:hideMark/>
          </w:tcPr>
          <w:p w:rsidR="002C6039" w:rsidRPr="004A1196" w:rsidRDefault="002C6039" w:rsidP="00B759A1">
            <w:pPr>
              <w:spacing w:before="100" w:beforeAutospacing="1" w:after="100" w:afterAutospacing="1"/>
              <w:jc w:val="center"/>
              <w:rPr>
                <w:rFonts w:eastAsia="Times New Roman" w:cs="Calibri"/>
                <w:color w:val="0B2B43" w:themeColor="text2" w:themeShade="80"/>
                <w:sz w:val="22"/>
                <w:szCs w:val="22"/>
                <w:lang w:eastAsia="en-AU"/>
              </w:rPr>
            </w:pPr>
            <w:proofErr w:type="spellStart"/>
            <w:r w:rsidRPr="004A1196">
              <w:rPr>
                <w:rFonts w:eastAsia="Times New Roman" w:cs="Calibri"/>
                <w:color w:val="0B2B43" w:themeColor="text2" w:themeShade="80"/>
                <w:sz w:val="22"/>
                <w:szCs w:val="22"/>
                <w:lang w:eastAsia="en-AU"/>
              </w:rPr>
              <w:t>Cat2,3,4</w:t>
            </w:r>
            <w:proofErr w:type="spellEnd"/>
          </w:p>
        </w:tc>
        <w:tc>
          <w:tcPr>
            <w:tcW w:w="1440" w:type="dxa"/>
            <w:noWrap/>
            <w:hideMark/>
          </w:tcPr>
          <w:p w:rsidR="002C6039" w:rsidRPr="004A1196" w:rsidRDefault="002C6039" w:rsidP="00B759A1">
            <w:pPr>
              <w:spacing w:before="100" w:beforeAutospacing="1"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Completions</w:t>
            </w:r>
          </w:p>
        </w:tc>
        <w:tc>
          <w:tcPr>
            <w:tcW w:w="1440" w:type="dxa"/>
            <w:noWrap/>
            <w:hideMark/>
          </w:tcPr>
          <w:p w:rsidR="002C6039" w:rsidRPr="004A1196" w:rsidRDefault="002C6039" w:rsidP="00B759A1">
            <w:pPr>
              <w:spacing w:before="100" w:beforeAutospacing="1"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Publications</w:t>
            </w:r>
          </w:p>
        </w:tc>
        <w:tc>
          <w:tcPr>
            <w:tcW w:w="1477" w:type="dxa"/>
            <w:noWrap/>
            <w:hideMark/>
          </w:tcPr>
          <w:p w:rsidR="002C6039" w:rsidRPr="004A1196" w:rsidRDefault="002C6039" w:rsidP="00B759A1">
            <w:pPr>
              <w:spacing w:before="100" w:beforeAutospacing="1"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Load</w:t>
            </w:r>
          </w:p>
        </w:tc>
      </w:tr>
      <w:tr w:rsidR="004A1196" w:rsidRPr="004A1196" w:rsidTr="004C46EF">
        <w:trPr>
          <w:trHeight w:val="300"/>
        </w:trPr>
        <w:tc>
          <w:tcPr>
            <w:tcW w:w="1800" w:type="dxa"/>
            <w:noWrap/>
            <w:hideMark/>
          </w:tcPr>
          <w:p w:rsidR="002C6039" w:rsidRPr="004A1196" w:rsidRDefault="002C6039" w:rsidP="00B759A1">
            <w:pPr>
              <w:spacing w:before="100" w:beforeAutospacing="1" w:after="100" w:afterAutospacing="1"/>
              <w:rPr>
                <w:rFonts w:eastAsia="Times New Roman" w:cs="Calibri"/>
                <w:color w:val="0B2B43" w:themeColor="text2" w:themeShade="80"/>
                <w:sz w:val="22"/>
                <w:szCs w:val="22"/>
                <w:lang w:eastAsia="en-AU"/>
              </w:rPr>
            </w:pPr>
            <w:proofErr w:type="spellStart"/>
            <w:r w:rsidRPr="004A1196">
              <w:rPr>
                <w:rFonts w:eastAsia="Times New Roman" w:cs="Calibri"/>
                <w:color w:val="0B2B43" w:themeColor="text2" w:themeShade="80"/>
                <w:sz w:val="22"/>
                <w:szCs w:val="22"/>
                <w:lang w:eastAsia="en-AU"/>
              </w:rPr>
              <w:t>RS</w:t>
            </w:r>
            <w:r w:rsidR="0031385A">
              <w:rPr>
                <w:rFonts w:eastAsia="Times New Roman" w:cs="Calibri"/>
                <w:color w:val="0B2B43" w:themeColor="text2" w:themeShade="80"/>
                <w:sz w:val="22"/>
                <w:szCs w:val="22"/>
                <w:lang w:eastAsia="en-AU"/>
              </w:rPr>
              <w:t>P</w:t>
            </w:r>
            <w:proofErr w:type="spellEnd"/>
            <w:r w:rsidRPr="004A1196">
              <w:rPr>
                <w:rFonts w:eastAsia="Times New Roman" w:cs="Calibri"/>
                <w:color w:val="0B2B43" w:themeColor="text2" w:themeShade="80"/>
                <w:sz w:val="22"/>
                <w:szCs w:val="22"/>
                <w:lang w:eastAsia="en-AU"/>
              </w:rPr>
              <w:t xml:space="preserve"> Old</w:t>
            </w:r>
          </w:p>
        </w:tc>
        <w:tc>
          <w:tcPr>
            <w:tcW w:w="1269" w:type="dxa"/>
            <w:noWrap/>
            <w:hideMark/>
          </w:tcPr>
          <w:p w:rsidR="002C6039" w:rsidRPr="004A1196" w:rsidRDefault="002C6039" w:rsidP="00B759A1">
            <w:pPr>
              <w:spacing w:before="100" w:beforeAutospacing="1"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46.8%</w:t>
            </w:r>
          </w:p>
        </w:tc>
        <w:tc>
          <w:tcPr>
            <w:tcW w:w="1080" w:type="dxa"/>
            <w:noWrap/>
            <w:hideMark/>
          </w:tcPr>
          <w:p w:rsidR="002C6039" w:rsidRPr="004A1196" w:rsidRDefault="002C6039" w:rsidP="00B759A1">
            <w:pPr>
              <w:spacing w:before="100" w:beforeAutospacing="1"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55.5%</w:t>
            </w:r>
          </w:p>
        </w:tc>
        <w:tc>
          <w:tcPr>
            <w:tcW w:w="1080" w:type="dxa"/>
            <w:noWrap/>
            <w:hideMark/>
          </w:tcPr>
          <w:p w:rsidR="002C6039" w:rsidRPr="004A1196" w:rsidRDefault="002C6039" w:rsidP="00B759A1">
            <w:pPr>
              <w:spacing w:before="100" w:beforeAutospacing="1"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26.7%</w:t>
            </w:r>
          </w:p>
        </w:tc>
        <w:tc>
          <w:tcPr>
            <w:tcW w:w="1440" w:type="dxa"/>
            <w:noWrap/>
            <w:hideMark/>
          </w:tcPr>
          <w:p w:rsidR="002C6039" w:rsidRPr="004A1196" w:rsidRDefault="002C6039" w:rsidP="00B759A1">
            <w:pPr>
              <w:spacing w:before="100" w:beforeAutospacing="1"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0.0%</w:t>
            </w:r>
          </w:p>
        </w:tc>
        <w:tc>
          <w:tcPr>
            <w:tcW w:w="1440" w:type="dxa"/>
            <w:noWrap/>
            <w:hideMark/>
          </w:tcPr>
          <w:p w:rsidR="002C6039" w:rsidRPr="004A1196" w:rsidRDefault="002C6039" w:rsidP="00B759A1">
            <w:pPr>
              <w:spacing w:before="100" w:beforeAutospacing="1"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4.4%</w:t>
            </w:r>
          </w:p>
        </w:tc>
        <w:tc>
          <w:tcPr>
            <w:tcW w:w="1477" w:type="dxa"/>
            <w:noWrap/>
            <w:hideMark/>
          </w:tcPr>
          <w:p w:rsidR="002C6039" w:rsidRPr="004A1196" w:rsidRDefault="002C6039" w:rsidP="00B759A1">
            <w:pPr>
              <w:spacing w:before="100" w:beforeAutospacing="1"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13.3%</w:t>
            </w:r>
          </w:p>
        </w:tc>
      </w:tr>
      <w:tr w:rsidR="004A1196" w:rsidRPr="004A1196" w:rsidTr="004C46EF">
        <w:trPr>
          <w:cnfStyle w:val="000000010000" w:firstRow="0" w:lastRow="0" w:firstColumn="0" w:lastColumn="0" w:oddVBand="0" w:evenVBand="0" w:oddHBand="0" w:evenHBand="1" w:firstRowFirstColumn="0" w:firstRowLastColumn="0" w:lastRowFirstColumn="0" w:lastRowLastColumn="0"/>
          <w:trHeight w:val="300"/>
        </w:trPr>
        <w:tc>
          <w:tcPr>
            <w:tcW w:w="1800" w:type="dxa"/>
            <w:noWrap/>
            <w:hideMark/>
          </w:tcPr>
          <w:p w:rsidR="002C6039" w:rsidRPr="004A1196" w:rsidRDefault="002C6039" w:rsidP="00B759A1">
            <w:pPr>
              <w:spacing w:before="100" w:beforeAutospacing="1" w:after="100" w:afterAutospacing="1"/>
              <w:rPr>
                <w:rFonts w:eastAsia="Times New Roman" w:cs="Calibri"/>
                <w:color w:val="0B2B43" w:themeColor="text2" w:themeShade="80"/>
                <w:sz w:val="22"/>
                <w:szCs w:val="22"/>
                <w:lang w:eastAsia="en-AU"/>
              </w:rPr>
            </w:pPr>
            <w:proofErr w:type="spellStart"/>
            <w:r w:rsidRPr="004A1196">
              <w:rPr>
                <w:rFonts w:eastAsia="Times New Roman" w:cs="Calibri"/>
                <w:color w:val="0B2B43" w:themeColor="text2" w:themeShade="80"/>
                <w:sz w:val="22"/>
                <w:szCs w:val="22"/>
                <w:lang w:eastAsia="en-AU"/>
              </w:rPr>
              <w:t>RS</w:t>
            </w:r>
            <w:r w:rsidR="0031385A">
              <w:rPr>
                <w:rFonts w:eastAsia="Times New Roman" w:cs="Calibri"/>
                <w:color w:val="0B2B43" w:themeColor="text2" w:themeShade="80"/>
                <w:sz w:val="22"/>
                <w:szCs w:val="22"/>
                <w:lang w:eastAsia="en-AU"/>
              </w:rPr>
              <w:t>P</w:t>
            </w:r>
            <w:proofErr w:type="spellEnd"/>
            <w:r w:rsidRPr="004A1196">
              <w:rPr>
                <w:rFonts w:eastAsia="Times New Roman" w:cs="Calibri"/>
                <w:color w:val="0B2B43" w:themeColor="text2" w:themeShade="80"/>
                <w:sz w:val="22"/>
                <w:szCs w:val="22"/>
                <w:lang w:eastAsia="en-AU"/>
              </w:rPr>
              <w:t xml:space="preserve"> New</w:t>
            </w:r>
          </w:p>
        </w:tc>
        <w:tc>
          <w:tcPr>
            <w:tcW w:w="1269" w:type="dxa"/>
            <w:noWrap/>
            <w:hideMark/>
          </w:tcPr>
          <w:p w:rsidR="002C6039" w:rsidRPr="004A1196" w:rsidRDefault="002C6039" w:rsidP="00B759A1">
            <w:pPr>
              <w:spacing w:before="100" w:beforeAutospacing="1"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46.8%</w:t>
            </w:r>
          </w:p>
        </w:tc>
        <w:tc>
          <w:tcPr>
            <w:tcW w:w="1080" w:type="dxa"/>
            <w:noWrap/>
            <w:hideMark/>
          </w:tcPr>
          <w:p w:rsidR="002C6039" w:rsidRPr="004A1196" w:rsidRDefault="002C6039" w:rsidP="00B759A1">
            <w:pPr>
              <w:spacing w:before="100" w:beforeAutospacing="1"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50.0%</w:t>
            </w:r>
          </w:p>
        </w:tc>
        <w:tc>
          <w:tcPr>
            <w:tcW w:w="1080" w:type="dxa"/>
            <w:noWrap/>
            <w:hideMark/>
          </w:tcPr>
          <w:p w:rsidR="002C6039" w:rsidRPr="004A1196" w:rsidRDefault="002C6039" w:rsidP="00B759A1">
            <w:pPr>
              <w:spacing w:before="100" w:beforeAutospacing="1"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50.0%</w:t>
            </w:r>
          </w:p>
        </w:tc>
        <w:tc>
          <w:tcPr>
            <w:tcW w:w="1440" w:type="dxa"/>
            <w:noWrap/>
            <w:hideMark/>
          </w:tcPr>
          <w:p w:rsidR="002C6039" w:rsidRPr="004A1196" w:rsidRDefault="002C6039" w:rsidP="00B759A1">
            <w:pPr>
              <w:spacing w:before="100" w:beforeAutospacing="1"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0.0%</w:t>
            </w:r>
          </w:p>
        </w:tc>
        <w:tc>
          <w:tcPr>
            <w:tcW w:w="1440" w:type="dxa"/>
            <w:noWrap/>
            <w:hideMark/>
          </w:tcPr>
          <w:p w:rsidR="002C6039" w:rsidRPr="004A1196" w:rsidRDefault="002C6039" w:rsidP="00B759A1">
            <w:pPr>
              <w:spacing w:before="100" w:beforeAutospacing="1"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0.0%</w:t>
            </w:r>
          </w:p>
        </w:tc>
        <w:tc>
          <w:tcPr>
            <w:tcW w:w="1477" w:type="dxa"/>
            <w:noWrap/>
            <w:hideMark/>
          </w:tcPr>
          <w:p w:rsidR="002C6039" w:rsidRPr="004A1196" w:rsidRDefault="002C6039" w:rsidP="00B759A1">
            <w:pPr>
              <w:spacing w:before="100" w:beforeAutospacing="1"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0.0%</w:t>
            </w:r>
          </w:p>
        </w:tc>
      </w:tr>
      <w:tr w:rsidR="004A1196" w:rsidRPr="004A1196" w:rsidTr="004C46EF">
        <w:trPr>
          <w:trHeight w:val="300"/>
        </w:trPr>
        <w:tc>
          <w:tcPr>
            <w:tcW w:w="1800" w:type="dxa"/>
            <w:noWrap/>
            <w:hideMark/>
          </w:tcPr>
          <w:p w:rsidR="002C6039" w:rsidRPr="004A1196" w:rsidRDefault="002C6039" w:rsidP="00B759A1">
            <w:pPr>
              <w:spacing w:before="100" w:beforeAutospacing="1" w:after="100" w:afterAutospacing="1"/>
              <w:rPr>
                <w:rFonts w:eastAsia="Times New Roman" w:cs="Calibri"/>
                <w:color w:val="0B2B43" w:themeColor="text2" w:themeShade="80"/>
                <w:sz w:val="22"/>
                <w:szCs w:val="22"/>
                <w:lang w:eastAsia="en-AU"/>
              </w:rPr>
            </w:pPr>
            <w:proofErr w:type="spellStart"/>
            <w:r w:rsidRPr="004A1196">
              <w:rPr>
                <w:rFonts w:eastAsia="Times New Roman" w:cs="Calibri"/>
                <w:color w:val="0B2B43" w:themeColor="text2" w:themeShade="80"/>
                <w:sz w:val="22"/>
                <w:szCs w:val="22"/>
                <w:lang w:eastAsia="en-AU"/>
              </w:rPr>
              <w:t>RT</w:t>
            </w:r>
            <w:r w:rsidR="0031385A">
              <w:rPr>
                <w:rFonts w:eastAsia="Times New Roman" w:cs="Calibri"/>
                <w:color w:val="0B2B43" w:themeColor="text2" w:themeShade="80"/>
                <w:sz w:val="22"/>
                <w:szCs w:val="22"/>
                <w:lang w:eastAsia="en-AU"/>
              </w:rPr>
              <w:t>P</w:t>
            </w:r>
            <w:proofErr w:type="spellEnd"/>
            <w:r w:rsidRPr="004A1196">
              <w:rPr>
                <w:rFonts w:eastAsia="Times New Roman" w:cs="Calibri"/>
                <w:color w:val="0B2B43" w:themeColor="text2" w:themeShade="80"/>
                <w:sz w:val="22"/>
                <w:szCs w:val="22"/>
                <w:lang w:eastAsia="en-AU"/>
              </w:rPr>
              <w:t xml:space="preserve"> Old</w:t>
            </w:r>
          </w:p>
        </w:tc>
        <w:tc>
          <w:tcPr>
            <w:tcW w:w="1269" w:type="dxa"/>
            <w:noWrap/>
            <w:hideMark/>
          </w:tcPr>
          <w:p w:rsidR="002C6039" w:rsidRPr="004A1196" w:rsidRDefault="002C6039" w:rsidP="00B759A1">
            <w:pPr>
              <w:spacing w:before="100" w:beforeAutospacing="1"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53.2%</w:t>
            </w:r>
          </w:p>
        </w:tc>
        <w:tc>
          <w:tcPr>
            <w:tcW w:w="1080" w:type="dxa"/>
            <w:noWrap/>
            <w:hideMark/>
          </w:tcPr>
          <w:p w:rsidR="002C6039" w:rsidRPr="004A1196" w:rsidRDefault="002C6039" w:rsidP="00B759A1">
            <w:pPr>
              <w:spacing w:before="100" w:beforeAutospacing="1"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18.9%</w:t>
            </w:r>
          </w:p>
        </w:tc>
        <w:tc>
          <w:tcPr>
            <w:tcW w:w="1080" w:type="dxa"/>
            <w:noWrap/>
            <w:hideMark/>
          </w:tcPr>
          <w:p w:rsidR="002C6039" w:rsidRPr="004A1196" w:rsidRDefault="002C6039" w:rsidP="00B759A1">
            <w:pPr>
              <w:spacing w:before="100" w:beforeAutospacing="1"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21.1%</w:t>
            </w:r>
          </w:p>
        </w:tc>
        <w:tc>
          <w:tcPr>
            <w:tcW w:w="1440" w:type="dxa"/>
            <w:noWrap/>
            <w:hideMark/>
          </w:tcPr>
          <w:p w:rsidR="002C6039" w:rsidRPr="004A1196" w:rsidRDefault="002C6039" w:rsidP="00B759A1">
            <w:pPr>
              <w:spacing w:before="100" w:beforeAutospacing="1"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50.0%</w:t>
            </w:r>
          </w:p>
        </w:tc>
        <w:tc>
          <w:tcPr>
            <w:tcW w:w="1440" w:type="dxa"/>
            <w:noWrap/>
            <w:hideMark/>
          </w:tcPr>
          <w:p w:rsidR="002C6039" w:rsidRPr="004A1196" w:rsidRDefault="002C6039" w:rsidP="00B759A1">
            <w:pPr>
              <w:spacing w:before="100" w:beforeAutospacing="1"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10.0%</w:t>
            </w:r>
          </w:p>
        </w:tc>
        <w:tc>
          <w:tcPr>
            <w:tcW w:w="1477" w:type="dxa"/>
            <w:noWrap/>
            <w:hideMark/>
          </w:tcPr>
          <w:p w:rsidR="002C6039" w:rsidRPr="004A1196" w:rsidRDefault="002C6039" w:rsidP="00B759A1">
            <w:pPr>
              <w:spacing w:before="100" w:beforeAutospacing="1"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0.0%</w:t>
            </w:r>
          </w:p>
        </w:tc>
      </w:tr>
      <w:tr w:rsidR="004A1196" w:rsidRPr="004A1196" w:rsidTr="004C46EF">
        <w:trPr>
          <w:cnfStyle w:val="000000010000" w:firstRow="0" w:lastRow="0" w:firstColumn="0" w:lastColumn="0" w:oddVBand="0" w:evenVBand="0" w:oddHBand="0" w:evenHBand="1" w:firstRowFirstColumn="0" w:firstRowLastColumn="0" w:lastRowFirstColumn="0" w:lastRowLastColumn="0"/>
          <w:trHeight w:val="300"/>
        </w:trPr>
        <w:tc>
          <w:tcPr>
            <w:tcW w:w="1800" w:type="dxa"/>
            <w:noWrap/>
            <w:hideMark/>
          </w:tcPr>
          <w:p w:rsidR="002C6039" w:rsidRPr="004A1196" w:rsidRDefault="002C6039" w:rsidP="00B759A1">
            <w:pPr>
              <w:spacing w:before="100" w:beforeAutospacing="1" w:after="100" w:afterAutospacing="1"/>
              <w:rPr>
                <w:rFonts w:eastAsia="Times New Roman" w:cs="Calibri"/>
                <w:color w:val="0B2B43" w:themeColor="text2" w:themeShade="80"/>
                <w:sz w:val="22"/>
                <w:szCs w:val="22"/>
                <w:lang w:eastAsia="en-AU"/>
              </w:rPr>
            </w:pPr>
            <w:proofErr w:type="spellStart"/>
            <w:r w:rsidRPr="004A1196">
              <w:rPr>
                <w:rFonts w:eastAsia="Times New Roman" w:cs="Calibri"/>
                <w:color w:val="0B2B43" w:themeColor="text2" w:themeShade="80"/>
                <w:sz w:val="22"/>
                <w:szCs w:val="22"/>
                <w:lang w:eastAsia="en-AU"/>
              </w:rPr>
              <w:t>RT</w:t>
            </w:r>
            <w:r w:rsidR="0031385A">
              <w:rPr>
                <w:rFonts w:eastAsia="Times New Roman" w:cs="Calibri"/>
                <w:color w:val="0B2B43" w:themeColor="text2" w:themeShade="80"/>
                <w:sz w:val="22"/>
                <w:szCs w:val="22"/>
                <w:lang w:eastAsia="en-AU"/>
              </w:rPr>
              <w:t>P</w:t>
            </w:r>
            <w:proofErr w:type="spellEnd"/>
            <w:r w:rsidRPr="004A1196">
              <w:rPr>
                <w:rFonts w:eastAsia="Times New Roman" w:cs="Calibri"/>
                <w:color w:val="0B2B43" w:themeColor="text2" w:themeShade="80"/>
                <w:sz w:val="22"/>
                <w:szCs w:val="22"/>
                <w:lang w:eastAsia="en-AU"/>
              </w:rPr>
              <w:t xml:space="preserve"> New</w:t>
            </w:r>
          </w:p>
        </w:tc>
        <w:tc>
          <w:tcPr>
            <w:tcW w:w="1269" w:type="dxa"/>
            <w:noWrap/>
            <w:hideMark/>
          </w:tcPr>
          <w:p w:rsidR="002C6039" w:rsidRPr="004A1196" w:rsidRDefault="002C6039" w:rsidP="00B759A1">
            <w:pPr>
              <w:spacing w:before="100" w:beforeAutospacing="1"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53.2%</w:t>
            </w:r>
          </w:p>
        </w:tc>
        <w:tc>
          <w:tcPr>
            <w:tcW w:w="1080" w:type="dxa"/>
            <w:noWrap/>
            <w:hideMark/>
          </w:tcPr>
          <w:p w:rsidR="002C6039" w:rsidRPr="004A1196" w:rsidRDefault="002C6039" w:rsidP="00B759A1">
            <w:pPr>
              <w:spacing w:before="100" w:beforeAutospacing="1"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25.0%</w:t>
            </w:r>
          </w:p>
        </w:tc>
        <w:tc>
          <w:tcPr>
            <w:tcW w:w="1080" w:type="dxa"/>
            <w:noWrap/>
            <w:hideMark/>
          </w:tcPr>
          <w:p w:rsidR="002C6039" w:rsidRPr="004A1196" w:rsidRDefault="002C6039" w:rsidP="00B759A1">
            <w:pPr>
              <w:spacing w:before="100" w:beforeAutospacing="1"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25.0%</w:t>
            </w:r>
          </w:p>
        </w:tc>
        <w:tc>
          <w:tcPr>
            <w:tcW w:w="1440" w:type="dxa"/>
            <w:noWrap/>
            <w:hideMark/>
          </w:tcPr>
          <w:p w:rsidR="002C6039" w:rsidRPr="004A1196" w:rsidRDefault="002C6039" w:rsidP="00B759A1">
            <w:pPr>
              <w:spacing w:before="100" w:beforeAutospacing="1"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50.0%</w:t>
            </w:r>
          </w:p>
        </w:tc>
        <w:tc>
          <w:tcPr>
            <w:tcW w:w="1440" w:type="dxa"/>
            <w:noWrap/>
            <w:hideMark/>
          </w:tcPr>
          <w:p w:rsidR="002C6039" w:rsidRPr="004A1196" w:rsidRDefault="002C6039" w:rsidP="00B759A1">
            <w:pPr>
              <w:spacing w:before="100" w:beforeAutospacing="1"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0.0%</w:t>
            </w:r>
          </w:p>
        </w:tc>
        <w:tc>
          <w:tcPr>
            <w:tcW w:w="1477" w:type="dxa"/>
            <w:noWrap/>
            <w:hideMark/>
          </w:tcPr>
          <w:p w:rsidR="002C6039" w:rsidRPr="004A1196" w:rsidRDefault="002C6039" w:rsidP="00B759A1">
            <w:pPr>
              <w:spacing w:before="100" w:beforeAutospacing="1"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0.0%</w:t>
            </w:r>
          </w:p>
        </w:tc>
      </w:tr>
      <w:tr w:rsidR="004A1196" w:rsidRPr="004A1196" w:rsidTr="004C46EF">
        <w:trPr>
          <w:trHeight w:val="300"/>
        </w:trPr>
        <w:tc>
          <w:tcPr>
            <w:tcW w:w="1800" w:type="dxa"/>
            <w:noWrap/>
            <w:hideMark/>
          </w:tcPr>
          <w:p w:rsidR="002C6039" w:rsidRPr="004A1196" w:rsidRDefault="002C6039" w:rsidP="00B759A1">
            <w:pPr>
              <w:spacing w:before="100" w:beforeAutospacing="1" w:after="100" w:afterAutospacing="1"/>
              <w:rPr>
                <w:rFonts w:eastAsia="Times New Roman" w:cs="Calibri"/>
                <w:b/>
                <w:bCs/>
                <w:color w:val="0B2B43" w:themeColor="text2" w:themeShade="80"/>
                <w:sz w:val="22"/>
                <w:szCs w:val="22"/>
                <w:lang w:eastAsia="en-AU"/>
              </w:rPr>
            </w:pPr>
            <w:r w:rsidRPr="004A1196">
              <w:rPr>
                <w:rFonts w:eastAsia="Times New Roman" w:cs="Calibri"/>
                <w:b/>
                <w:bCs/>
                <w:color w:val="0B2B43" w:themeColor="text2" w:themeShade="80"/>
                <w:sz w:val="22"/>
                <w:szCs w:val="22"/>
                <w:lang w:eastAsia="en-AU"/>
              </w:rPr>
              <w:t xml:space="preserve">Total </w:t>
            </w:r>
            <w:proofErr w:type="spellStart"/>
            <w:r w:rsidRPr="004A1196">
              <w:rPr>
                <w:rFonts w:eastAsia="Times New Roman" w:cs="Calibri"/>
                <w:b/>
                <w:bCs/>
                <w:color w:val="0B2B43" w:themeColor="text2" w:themeShade="80"/>
                <w:sz w:val="22"/>
                <w:szCs w:val="22"/>
                <w:lang w:eastAsia="en-AU"/>
              </w:rPr>
              <w:t>RBG</w:t>
            </w:r>
            <w:proofErr w:type="spellEnd"/>
            <w:r w:rsidRPr="004A1196">
              <w:rPr>
                <w:rFonts w:eastAsia="Times New Roman" w:cs="Calibri"/>
                <w:b/>
                <w:bCs/>
                <w:color w:val="0B2B43" w:themeColor="text2" w:themeShade="80"/>
                <w:sz w:val="22"/>
                <w:szCs w:val="22"/>
                <w:lang w:eastAsia="en-AU"/>
              </w:rPr>
              <w:t xml:space="preserve"> Old</w:t>
            </w:r>
          </w:p>
        </w:tc>
        <w:tc>
          <w:tcPr>
            <w:tcW w:w="1269" w:type="dxa"/>
            <w:noWrap/>
            <w:hideMark/>
          </w:tcPr>
          <w:p w:rsidR="002C6039" w:rsidRPr="004A1196" w:rsidRDefault="002C6039" w:rsidP="00B759A1">
            <w:pPr>
              <w:spacing w:before="100" w:beforeAutospacing="1" w:after="100" w:afterAutospacing="1"/>
              <w:jc w:val="center"/>
              <w:rPr>
                <w:rFonts w:eastAsia="Times New Roman" w:cs="Calibri"/>
                <w:b/>
                <w:bCs/>
                <w:color w:val="0B2B43" w:themeColor="text2" w:themeShade="80"/>
                <w:sz w:val="22"/>
                <w:szCs w:val="22"/>
                <w:lang w:eastAsia="en-AU"/>
              </w:rPr>
            </w:pPr>
            <w:r w:rsidRPr="004A1196">
              <w:rPr>
                <w:rFonts w:eastAsia="Times New Roman" w:cs="Calibri"/>
                <w:b/>
                <w:bCs/>
                <w:color w:val="0B2B43" w:themeColor="text2" w:themeShade="80"/>
                <w:sz w:val="22"/>
                <w:szCs w:val="22"/>
                <w:lang w:eastAsia="en-AU"/>
              </w:rPr>
              <w:t>100.0%</w:t>
            </w:r>
          </w:p>
        </w:tc>
        <w:tc>
          <w:tcPr>
            <w:tcW w:w="1080" w:type="dxa"/>
            <w:noWrap/>
            <w:hideMark/>
          </w:tcPr>
          <w:p w:rsidR="002C6039" w:rsidRPr="004A1196" w:rsidRDefault="002C6039" w:rsidP="00B759A1">
            <w:pPr>
              <w:spacing w:before="100" w:beforeAutospacing="1" w:after="100" w:afterAutospacing="1"/>
              <w:jc w:val="center"/>
              <w:rPr>
                <w:rFonts w:eastAsia="Times New Roman" w:cs="Calibri"/>
                <w:b/>
                <w:bCs/>
                <w:color w:val="0B2B43" w:themeColor="text2" w:themeShade="80"/>
                <w:sz w:val="22"/>
                <w:szCs w:val="22"/>
                <w:lang w:eastAsia="en-AU"/>
              </w:rPr>
            </w:pPr>
            <w:r w:rsidRPr="004A1196">
              <w:rPr>
                <w:rFonts w:eastAsia="Times New Roman" w:cs="Calibri"/>
                <w:b/>
                <w:bCs/>
                <w:color w:val="0B2B43" w:themeColor="text2" w:themeShade="80"/>
                <w:sz w:val="22"/>
                <w:szCs w:val="22"/>
                <w:lang w:eastAsia="en-AU"/>
              </w:rPr>
              <w:t>36.0%</w:t>
            </w:r>
          </w:p>
        </w:tc>
        <w:tc>
          <w:tcPr>
            <w:tcW w:w="1080" w:type="dxa"/>
            <w:noWrap/>
            <w:hideMark/>
          </w:tcPr>
          <w:p w:rsidR="002C6039" w:rsidRPr="004A1196" w:rsidRDefault="002C6039" w:rsidP="00B759A1">
            <w:pPr>
              <w:spacing w:before="100" w:beforeAutospacing="1" w:after="100" w:afterAutospacing="1"/>
              <w:jc w:val="center"/>
              <w:rPr>
                <w:rFonts w:eastAsia="Times New Roman" w:cs="Calibri"/>
                <w:b/>
                <w:bCs/>
                <w:color w:val="0B2B43" w:themeColor="text2" w:themeShade="80"/>
                <w:sz w:val="22"/>
                <w:szCs w:val="22"/>
                <w:lang w:eastAsia="en-AU"/>
              </w:rPr>
            </w:pPr>
            <w:r w:rsidRPr="004A1196">
              <w:rPr>
                <w:rFonts w:eastAsia="Times New Roman" w:cs="Calibri"/>
                <w:b/>
                <w:bCs/>
                <w:color w:val="0B2B43" w:themeColor="text2" w:themeShade="80"/>
                <w:sz w:val="22"/>
                <w:szCs w:val="22"/>
                <w:lang w:eastAsia="en-AU"/>
              </w:rPr>
              <w:t>23.7%</w:t>
            </w:r>
          </w:p>
        </w:tc>
        <w:tc>
          <w:tcPr>
            <w:tcW w:w="1440" w:type="dxa"/>
            <w:noWrap/>
            <w:hideMark/>
          </w:tcPr>
          <w:p w:rsidR="002C6039" w:rsidRPr="004A1196" w:rsidRDefault="002C6039" w:rsidP="00B759A1">
            <w:pPr>
              <w:spacing w:before="100" w:beforeAutospacing="1" w:after="100" w:afterAutospacing="1"/>
              <w:jc w:val="center"/>
              <w:rPr>
                <w:rFonts w:eastAsia="Times New Roman" w:cs="Calibri"/>
                <w:b/>
                <w:bCs/>
                <w:color w:val="0B2B43" w:themeColor="text2" w:themeShade="80"/>
                <w:sz w:val="22"/>
                <w:szCs w:val="22"/>
                <w:lang w:eastAsia="en-AU"/>
              </w:rPr>
            </w:pPr>
            <w:r w:rsidRPr="004A1196">
              <w:rPr>
                <w:rFonts w:eastAsia="Times New Roman" w:cs="Calibri"/>
                <w:b/>
                <w:bCs/>
                <w:color w:val="0B2B43" w:themeColor="text2" w:themeShade="80"/>
                <w:sz w:val="22"/>
                <w:szCs w:val="22"/>
                <w:lang w:eastAsia="en-AU"/>
              </w:rPr>
              <w:t>26.6%</w:t>
            </w:r>
          </w:p>
        </w:tc>
        <w:tc>
          <w:tcPr>
            <w:tcW w:w="1440" w:type="dxa"/>
            <w:noWrap/>
            <w:hideMark/>
          </w:tcPr>
          <w:p w:rsidR="002C6039" w:rsidRPr="004A1196" w:rsidRDefault="002C6039" w:rsidP="00B759A1">
            <w:pPr>
              <w:spacing w:before="100" w:beforeAutospacing="1" w:after="100" w:afterAutospacing="1"/>
              <w:jc w:val="center"/>
              <w:rPr>
                <w:rFonts w:eastAsia="Times New Roman" w:cs="Calibri"/>
                <w:b/>
                <w:bCs/>
                <w:color w:val="0B2B43" w:themeColor="text2" w:themeShade="80"/>
                <w:sz w:val="22"/>
                <w:szCs w:val="22"/>
                <w:lang w:eastAsia="en-AU"/>
              </w:rPr>
            </w:pPr>
            <w:r w:rsidRPr="004A1196">
              <w:rPr>
                <w:rFonts w:eastAsia="Times New Roman" w:cs="Calibri"/>
                <w:b/>
                <w:bCs/>
                <w:color w:val="0B2B43" w:themeColor="text2" w:themeShade="80"/>
                <w:sz w:val="22"/>
                <w:szCs w:val="22"/>
                <w:lang w:eastAsia="en-AU"/>
              </w:rPr>
              <w:t>7.4%</w:t>
            </w:r>
          </w:p>
        </w:tc>
        <w:tc>
          <w:tcPr>
            <w:tcW w:w="1477" w:type="dxa"/>
            <w:noWrap/>
            <w:hideMark/>
          </w:tcPr>
          <w:p w:rsidR="002C6039" w:rsidRPr="004A1196" w:rsidRDefault="002C6039" w:rsidP="00B759A1">
            <w:pPr>
              <w:spacing w:before="100" w:beforeAutospacing="1" w:after="100" w:afterAutospacing="1"/>
              <w:jc w:val="center"/>
              <w:rPr>
                <w:rFonts w:eastAsia="Times New Roman" w:cs="Calibri"/>
                <w:b/>
                <w:bCs/>
                <w:color w:val="0B2B43" w:themeColor="text2" w:themeShade="80"/>
                <w:sz w:val="22"/>
                <w:szCs w:val="22"/>
                <w:lang w:eastAsia="en-AU"/>
              </w:rPr>
            </w:pPr>
            <w:r w:rsidRPr="004A1196">
              <w:rPr>
                <w:rFonts w:eastAsia="Times New Roman" w:cs="Calibri"/>
                <w:b/>
                <w:bCs/>
                <w:color w:val="0B2B43" w:themeColor="text2" w:themeShade="80"/>
                <w:sz w:val="22"/>
                <w:szCs w:val="22"/>
                <w:lang w:eastAsia="en-AU"/>
              </w:rPr>
              <w:t>6.2%</w:t>
            </w:r>
          </w:p>
        </w:tc>
      </w:tr>
      <w:tr w:rsidR="004A1196" w:rsidRPr="004A1196" w:rsidTr="004C46EF">
        <w:trPr>
          <w:cnfStyle w:val="000000010000" w:firstRow="0" w:lastRow="0" w:firstColumn="0" w:lastColumn="0" w:oddVBand="0" w:evenVBand="0" w:oddHBand="0" w:evenHBand="1" w:firstRowFirstColumn="0" w:firstRowLastColumn="0" w:lastRowFirstColumn="0" w:lastRowLastColumn="0"/>
          <w:trHeight w:val="300"/>
        </w:trPr>
        <w:tc>
          <w:tcPr>
            <w:tcW w:w="1800" w:type="dxa"/>
            <w:noWrap/>
            <w:hideMark/>
          </w:tcPr>
          <w:p w:rsidR="002C6039" w:rsidRPr="004A1196" w:rsidRDefault="002C6039" w:rsidP="00B759A1">
            <w:pPr>
              <w:spacing w:before="100" w:beforeAutospacing="1" w:after="100" w:afterAutospacing="1"/>
              <w:rPr>
                <w:rFonts w:eastAsia="Times New Roman" w:cs="Calibri"/>
                <w:b/>
                <w:bCs/>
                <w:color w:val="0B2B43" w:themeColor="text2" w:themeShade="80"/>
                <w:sz w:val="22"/>
                <w:szCs w:val="22"/>
                <w:lang w:eastAsia="en-AU"/>
              </w:rPr>
            </w:pPr>
            <w:r w:rsidRPr="004A1196">
              <w:rPr>
                <w:rFonts w:eastAsia="Times New Roman" w:cs="Calibri"/>
                <w:b/>
                <w:bCs/>
                <w:color w:val="0B2B43" w:themeColor="text2" w:themeShade="80"/>
                <w:sz w:val="22"/>
                <w:szCs w:val="22"/>
                <w:lang w:eastAsia="en-AU"/>
              </w:rPr>
              <w:t xml:space="preserve">Total </w:t>
            </w:r>
            <w:proofErr w:type="spellStart"/>
            <w:r w:rsidRPr="004A1196">
              <w:rPr>
                <w:rFonts w:eastAsia="Times New Roman" w:cs="Calibri"/>
                <w:b/>
                <w:bCs/>
                <w:color w:val="0B2B43" w:themeColor="text2" w:themeShade="80"/>
                <w:sz w:val="22"/>
                <w:szCs w:val="22"/>
                <w:lang w:eastAsia="en-AU"/>
              </w:rPr>
              <w:t>RBG</w:t>
            </w:r>
            <w:proofErr w:type="spellEnd"/>
            <w:r w:rsidRPr="004A1196">
              <w:rPr>
                <w:rFonts w:eastAsia="Times New Roman" w:cs="Calibri"/>
                <w:b/>
                <w:bCs/>
                <w:color w:val="0B2B43" w:themeColor="text2" w:themeShade="80"/>
                <w:sz w:val="22"/>
                <w:szCs w:val="22"/>
                <w:lang w:eastAsia="en-AU"/>
              </w:rPr>
              <w:t xml:space="preserve"> New</w:t>
            </w:r>
          </w:p>
        </w:tc>
        <w:tc>
          <w:tcPr>
            <w:tcW w:w="1269" w:type="dxa"/>
            <w:noWrap/>
            <w:hideMark/>
          </w:tcPr>
          <w:p w:rsidR="002C6039" w:rsidRPr="004A1196" w:rsidRDefault="002C6039" w:rsidP="00B759A1">
            <w:pPr>
              <w:spacing w:before="100" w:beforeAutospacing="1" w:after="100" w:afterAutospacing="1"/>
              <w:jc w:val="center"/>
              <w:rPr>
                <w:rFonts w:eastAsia="Times New Roman" w:cs="Calibri"/>
                <w:b/>
                <w:bCs/>
                <w:color w:val="0B2B43" w:themeColor="text2" w:themeShade="80"/>
                <w:sz w:val="22"/>
                <w:szCs w:val="22"/>
                <w:lang w:eastAsia="en-AU"/>
              </w:rPr>
            </w:pPr>
            <w:r w:rsidRPr="004A1196">
              <w:rPr>
                <w:rFonts w:eastAsia="Times New Roman" w:cs="Calibri"/>
                <w:b/>
                <w:bCs/>
                <w:color w:val="0B2B43" w:themeColor="text2" w:themeShade="80"/>
                <w:sz w:val="22"/>
                <w:szCs w:val="22"/>
                <w:lang w:eastAsia="en-AU"/>
              </w:rPr>
              <w:t>100.0%</w:t>
            </w:r>
          </w:p>
        </w:tc>
        <w:tc>
          <w:tcPr>
            <w:tcW w:w="1080" w:type="dxa"/>
            <w:noWrap/>
            <w:hideMark/>
          </w:tcPr>
          <w:p w:rsidR="002C6039" w:rsidRPr="004A1196" w:rsidRDefault="002C6039" w:rsidP="00B759A1">
            <w:pPr>
              <w:spacing w:before="100" w:beforeAutospacing="1" w:after="100" w:afterAutospacing="1"/>
              <w:jc w:val="center"/>
              <w:rPr>
                <w:rFonts w:eastAsia="Times New Roman" w:cs="Calibri"/>
                <w:b/>
                <w:bCs/>
                <w:color w:val="0B2B43" w:themeColor="text2" w:themeShade="80"/>
                <w:sz w:val="22"/>
                <w:szCs w:val="22"/>
                <w:lang w:eastAsia="en-AU"/>
              </w:rPr>
            </w:pPr>
            <w:r w:rsidRPr="004A1196">
              <w:rPr>
                <w:rFonts w:eastAsia="Times New Roman" w:cs="Calibri"/>
                <w:b/>
                <w:bCs/>
                <w:color w:val="0B2B43" w:themeColor="text2" w:themeShade="80"/>
                <w:sz w:val="22"/>
                <w:szCs w:val="22"/>
                <w:lang w:eastAsia="en-AU"/>
              </w:rPr>
              <w:t>36.7%</w:t>
            </w:r>
          </w:p>
        </w:tc>
        <w:tc>
          <w:tcPr>
            <w:tcW w:w="1080" w:type="dxa"/>
            <w:noWrap/>
            <w:hideMark/>
          </w:tcPr>
          <w:p w:rsidR="002C6039" w:rsidRPr="004A1196" w:rsidRDefault="002C6039" w:rsidP="00B759A1">
            <w:pPr>
              <w:spacing w:before="100" w:beforeAutospacing="1" w:after="100" w:afterAutospacing="1"/>
              <w:jc w:val="center"/>
              <w:rPr>
                <w:rFonts w:eastAsia="Times New Roman" w:cs="Calibri"/>
                <w:b/>
                <w:bCs/>
                <w:color w:val="0B2B43" w:themeColor="text2" w:themeShade="80"/>
                <w:sz w:val="22"/>
                <w:szCs w:val="22"/>
                <w:lang w:eastAsia="en-AU"/>
              </w:rPr>
            </w:pPr>
            <w:r w:rsidRPr="004A1196">
              <w:rPr>
                <w:rFonts w:eastAsia="Times New Roman" w:cs="Calibri"/>
                <w:b/>
                <w:bCs/>
                <w:color w:val="0B2B43" w:themeColor="text2" w:themeShade="80"/>
                <w:sz w:val="22"/>
                <w:szCs w:val="22"/>
                <w:lang w:eastAsia="en-AU"/>
              </w:rPr>
              <w:t>36.7%</w:t>
            </w:r>
          </w:p>
        </w:tc>
        <w:tc>
          <w:tcPr>
            <w:tcW w:w="1440" w:type="dxa"/>
            <w:noWrap/>
            <w:hideMark/>
          </w:tcPr>
          <w:p w:rsidR="002C6039" w:rsidRPr="004A1196" w:rsidRDefault="002C6039" w:rsidP="00B759A1">
            <w:pPr>
              <w:spacing w:before="100" w:beforeAutospacing="1" w:after="100" w:afterAutospacing="1"/>
              <w:jc w:val="center"/>
              <w:rPr>
                <w:rFonts w:eastAsia="Times New Roman" w:cs="Calibri"/>
                <w:b/>
                <w:bCs/>
                <w:color w:val="0B2B43" w:themeColor="text2" w:themeShade="80"/>
                <w:sz w:val="22"/>
                <w:szCs w:val="22"/>
                <w:lang w:eastAsia="en-AU"/>
              </w:rPr>
            </w:pPr>
            <w:r w:rsidRPr="004A1196">
              <w:rPr>
                <w:rFonts w:eastAsia="Times New Roman" w:cs="Calibri"/>
                <w:b/>
                <w:bCs/>
                <w:color w:val="0B2B43" w:themeColor="text2" w:themeShade="80"/>
                <w:sz w:val="22"/>
                <w:szCs w:val="22"/>
                <w:lang w:eastAsia="en-AU"/>
              </w:rPr>
              <w:t>26.6%</w:t>
            </w:r>
          </w:p>
        </w:tc>
        <w:tc>
          <w:tcPr>
            <w:tcW w:w="1440" w:type="dxa"/>
            <w:noWrap/>
            <w:hideMark/>
          </w:tcPr>
          <w:p w:rsidR="002C6039" w:rsidRPr="004A1196" w:rsidRDefault="002C6039" w:rsidP="00B759A1">
            <w:pPr>
              <w:spacing w:before="100" w:beforeAutospacing="1" w:after="100" w:afterAutospacing="1"/>
              <w:jc w:val="center"/>
              <w:rPr>
                <w:rFonts w:eastAsia="Times New Roman" w:cs="Calibri"/>
                <w:b/>
                <w:bCs/>
                <w:color w:val="0B2B43" w:themeColor="text2" w:themeShade="80"/>
                <w:sz w:val="22"/>
                <w:szCs w:val="22"/>
                <w:lang w:eastAsia="en-AU"/>
              </w:rPr>
            </w:pPr>
            <w:r w:rsidRPr="004A1196">
              <w:rPr>
                <w:rFonts w:eastAsia="Times New Roman" w:cs="Calibri"/>
                <w:b/>
                <w:bCs/>
                <w:color w:val="0B2B43" w:themeColor="text2" w:themeShade="80"/>
                <w:sz w:val="22"/>
                <w:szCs w:val="22"/>
                <w:lang w:eastAsia="en-AU"/>
              </w:rPr>
              <w:t>0.0%</w:t>
            </w:r>
          </w:p>
        </w:tc>
        <w:tc>
          <w:tcPr>
            <w:tcW w:w="1477" w:type="dxa"/>
            <w:noWrap/>
            <w:hideMark/>
          </w:tcPr>
          <w:p w:rsidR="002C6039" w:rsidRPr="004A1196" w:rsidRDefault="002C6039" w:rsidP="00B759A1">
            <w:pPr>
              <w:spacing w:before="100" w:beforeAutospacing="1" w:after="100" w:afterAutospacing="1"/>
              <w:jc w:val="center"/>
              <w:rPr>
                <w:rFonts w:eastAsia="Times New Roman" w:cs="Calibri"/>
                <w:b/>
                <w:bCs/>
                <w:color w:val="0B2B43" w:themeColor="text2" w:themeShade="80"/>
                <w:sz w:val="22"/>
                <w:szCs w:val="22"/>
                <w:lang w:eastAsia="en-AU"/>
              </w:rPr>
            </w:pPr>
            <w:r w:rsidRPr="004A1196">
              <w:rPr>
                <w:rFonts w:eastAsia="Times New Roman" w:cs="Calibri"/>
                <w:b/>
                <w:bCs/>
                <w:color w:val="0B2B43" w:themeColor="text2" w:themeShade="80"/>
                <w:sz w:val="22"/>
                <w:szCs w:val="22"/>
                <w:lang w:eastAsia="en-AU"/>
              </w:rPr>
              <w:t>0.0%</w:t>
            </w:r>
          </w:p>
        </w:tc>
      </w:tr>
    </w:tbl>
    <w:p w:rsidR="002C6039" w:rsidRPr="004A1196" w:rsidRDefault="002C6039" w:rsidP="00A74922">
      <w:pPr>
        <w:spacing w:before="240" w:after="0"/>
        <w:contextualSpacing/>
        <w:rPr>
          <w:rFonts w:eastAsia="Calibri" w:cs="Times New Roman"/>
          <w:color w:val="0B2B43" w:themeColor="text2" w:themeShade="80"/>
          <w:sz w:val="20"/>
          <w:szCs w:val="20"/>
        </w:rPr>
      </w:pPr>
      <w:r w:rsidRPr="004A1196">
        <w:rPr>
          <w:rFonts w:eastAsia="Calibri" w:cs="Times New Roman"/>
          <w:color w:val="0B2B43" w:themeColor="text2" w:themeShade="80"/>
          <w:sz w:val="20"/>
          <w:szCs w:val="20"/>
        </w:rPr>
        <w:t>Note: ‘</w:t>
      </w:r>
      <w:proofErr w:type="spellStart"/>
      <w:r w:rsidRPr="004A1196">
        <w:rPr>
          <w:rFonts w:eastAsia="Calibri" w:cs="Times New Roman"/>
          <w:color w:val="0B2B43" w:themeColor="text2" w:themeShade="80"/>
          <w:sz w:val="20"/>
          <w:szCs w:val="20"/>
        </w:rPr>
        <w:t>RS</w:t>
      </w:r>
      <w:r w:rsidR="0031385A">
        <w:rPr>
          <w:rFonts w:eastAsia="Calibri" w:cs="Times New Roman"/>
          <w:color w:val="0B2B43" w:themeColor="text2" w:themeShade="80"/>
          <w:sz w:val="20"/>
          <w:szCs w:val="20"/>
        </w:rPr>
        <w:t>P</w:t>
      </w:r>
      <w:proofErr w:type="spellEnd"/>
      <w:r w:rsidRPr="004A1196">
        <w:rPr>
          <w:rFonts w:eastAsia="Calibri" w:cs="Times New Roman"/>
          <w:color w:val="0B2B43" w:themeColor="text2" w:themeShade="80"/>
          <w:sz w:val="20"/>
          <w:szCs w:val="20"/>
        </w:rPr>
        <w:t xml:space="preserve"> Old’ is the total of </w:t>
      </w:r>
      <w:proofErr w:type="spellStart"/>
      <w:r w:rsidRPr="004A1196">
        <w:rPr>
          <w:rFonts w:eastAsia="Calibri" w:cs="Times New Roman"/>
          <w:color w:val="0B2B43" w:themeColor="text2" w:themeShade="80"/>
          <w:sz w:val="20"/>
          <w:szCs w:val="20"/>
        </w:rPr>
        <w:t>RIBG</w:t>
      </w:r>
      <w:proofErr w:type="spellEnd"/>
      <w:r w:rsidRPr="004A1196">
        <w:rPr>
          <w:rFonts w:eastAsia="Calibri" w:cs="Times New Roman"/>
          <w:color w:val="0B2B43" w:themeColor="text2" w:themeShade="80"/>
          <w:sz w:val="20"/>
          <w:szCs w:val="20"/>
        </w:rPr>
        <w:t xml:space="preserve">, </w:t>
      </w:r>
      <w:proofErr w:type="spellStart"/>
      <w:r w:rsidRPr="004A1196">
        <w:rPr>
          <w:rFonts w:eastAsia="Calibri" w:cs="Times New Roman"/>
          <w:color w:val="0B2B43" w:themeColor="text2" w:themeShade="80"/>
          <w:sz w:val="20"/>
          <w:szCs w:val="20"/>
        </w:rPr>
        <w:t>SRE</w:t>
      </w:r>
      <w:proofErr w:type="spellEnd"/>
      <w:r w:rsidRPr="004A1196">
        <w:rPr>
          <w:rFonts w:eastAsia="Calibri" w:cs="Times New Roman"/>
          <w:color w:val="0B2B43" w:themeColor="text2" w:themeShade="80"/>
          <w:sz w:val="20"/>
          <w:szCs w:val="20"/>
        </w:rPr>
        <w:t xml:space="preserve"> and </w:t>
      </w:r>
      <w:proofErr w:type="spellStart"/>
      <w:r w:rsidRPr="004A1196">
        <w:rPr>
          <w:rFonts w:eastAsia="Calibri" w:cs="Times New Roman"/>
          <w:color w:val="0B2B43" w:themeColor="text2" w:themeShade="80"/>
          <w:sz w:val="20"/>
          <w:szCs w:val="20"/>
        </w:rPr>
        <w:t>JRE</w:t>
      </w:r>
      <w:proofErr w:type="spellEnd"/>
      <w:r w:rsidRPr="004A1196">
        <w:rPr>
          <w:rFonts w:eastAsia="Calibri" w:cs="Times New Roman"/>
          <w:color w:val="0B2B43" w:themeColor="text2" w:themeShade="80"/>
          <w:sz w:val="20"/>
          <w:szCs w:val="20"/>
        </w:rPr>
        <w:t>.</w:t>
      </w:r>
      <w:r w:rsidR="00A74922">
        <w:rPr>
          <w:rFonts w:eastAsia="Calibri" w:cs="Times New Roman"/>
          <w:color w:val="0B2B43" w:themeColor="text2" w:themeShade="80"/>
          <w:sz w:val="20"/>
          <w:szCs w:val="20"/>
        </w:rPr>
        <w:t xml:space="preserve"> </w:t>
      </w:r>
      <w:r w:rsidRPr="004A1196">
        <w:rPr>
          <w:rFonts w:eastAsia="Calibri" w:cs="Times New Roman"/>
          <w:color w:val="0B2B43" w:themeColor="text2" w:themeShade="80"/>
          <w:sz w:val="20"/>
          <w:szCs w:val="20"/>
        </w:rPr>
        <w:t>‘</w:t>
      </w:r>
      <w:proofErr w:type="spellStart"/>
      <w:r w:rsidRPr="004A1196">
        <w:rPr>
          <w:rFonts w:eastAsia="Calibri" w:cs="Times New Roman"/>
          <w:color w:val="0B2B43" w:themeColor="text2" w:themeShade="80"/>
          <w:sz w:val="20"/>
          <w:szCs w:val="20"/>
        </w:rPr>
        <w:t>RT</w:t>
      </w:r>
      <w:r w:rsidR="0031385A">
        <w:rPr>
          <w:rFonts w:eastAsia="Calibri" w:cs="Times New Roman"/>
          <w:color w:val="0B2B43" w:themeColor="text2" w:themeShade="80"/>
          <w:sz w:val="20"/>
          <w:szCs w:val="20"/>
        </w:rPr>
        <w:t>P</w:t>
      </w:r>
      <w:proofErr w:type="spellEnd"/>
      <w:r w:rsidRPr="004A1196">
        <w:rPr>
          <w:rFonts w:eastAsia="Calibri" w:cs="Times New Roman"/>
          <w:color w:val="0B2B43" w:themeColor="text2" w:themeShade="80"/>
          <w:sz w:val="20"/>
          <w:szCs w:val="20"/>
        </w:rPr>
        <w:t xml:space="preserve"> Old’ is the total of the </w:t>
      </w:r>
      <w:proofErr w:type="spellStart"/>
      <w:r w:rsidRPr="004A1196">
        <w:rPr>
          <w:rFonts w:eastAsia="Calibri" w:cs="Times New Roman"/>
          <w:color w:val="0B2B43" w:themeColor="text2" w:themeShade="80"/>
          <w:sz w:val="20"/>
          <w:szCs w:val="20"/>
        </w:rPr>
        <w:t>RTS</w:t>
      </w:r>
      <w:proofErr w:type="spellEnd"/>
      <w:r w:rsidRPr="004A1196">
        <w:rPr>
          <w:rFonts w:eastAsia="Calibri" w:cs="Times New Roman"/>
          <w:color w:val="0B2B43" w:themeColor="text2" w:themeShade="80"/>
          <w:sz w:val="20"/>
          <w:szCs w:val="20"/>
        </w:rPr>
        <w:t xml:space="preserve">, </w:t>
      </w:r>
      <w:proofErr w:type="spellStart"/>
      <w:r w:rsidRPr="004A1196">
        <w:rPr>
          <w:rFonts w:eastAsia="Calibri" w:cs="Times New Roman"/>
          <w:color w:val="0B2B43" w:themeColor="text2" w:themeShade="80"/>
          <w:sz w:val="20"/>
          <w:szCs w:val="20"/>
        </w:rPr>
        <w:t>APA</w:t>
      </w:r>
      <w:proofErr w:type="spellEnd"/>
      <w:r w:rsidRPr="004A1196">
        <w:rPr>
          <w:rFonts w:eastAsia="Calibri" w:cs="Times New Roman"/>
          <w:color w:val="0B2B43" w:themeColor="text2" w:themeShade="80"/>
          <w:sz w:val="20"/>
          <w:szCs w:val="20"/>
        </w:rPr>
        <w:t xml:space="preserve"> and </w:t>
      </w:r>
      <w:proofErr w:type="spellStart"/>
      <w:r w:rsidRPr="004A1196">
        <w:rPr>
          <w:rFonts w:eastAsia="Calibri" w:cs="Times New Roman"/>
          <w:color w:val="0B2B43" w:themeColor="text2" w:themeShade="80"/>
          <w:sz w:val="20"/>
          <w:szCs w:val="20"/>
        </w:rPr>
        <w:t>IPRS</w:t>
      </w:r>
      <w:proofErr w:type="spellEnd"/>
      <w:r w:rsidRPr="004A1196">
        <w:rPr>
          <w:rFonts w:eastAsia="Calibri" w:cs="Times New Roman"/>
          <w:color w:val="0B2B43" w:themeColor="text2" w:themeShade="80"/>
          <w:sz w:val="20"/>
          <w:szCs w:val="20"/>
        </w:rPr>
        <w:t>.</w:t>
      </w:r>
    </w:p>
    <w:p w:rsidR="002C6039" w:rsidRPr="004A1196" w:rsidRDefault="002C6039" w:rsidP="00B759A1">
      <w:pPr>
        <w:spacing w:before="360" w:after="0"/>
        <w:rPr>
          <w:rFonts w:eastAsia="Calibri" w:cs="Times New Roman"/>
          <w:b/>
          <w:color w:val="0B2B43" w:themeColor="text2" w:themeShade="80"/>
        </w:rPr>
      </w:pPr>
      <w:r w:rsidRPr="004A1196">
        <w:rPr>
          <w:rFonts w:eastAsia="Calibri" w:cs="Times New Roman"/>
          <w:b/>
          <w:color w:val="0B2B43" w:themeColor="text2" w:themeShade="80"/>
        </w:rPr>
        <w:t xml:space="preserve">Table </w:t>
      </w:r>
      <w:r w:rsidR="00B81827" w:rsidRPr="004A1196">
        <w:rPr>
          <w:rFonts w:eastAsia="Calibri" w:cs="Times New Roman"/>
          <w:b/>
          <w:color w:val="0B2B43" w:themeColor="text2" w:themeShade="80"/>
        </w:rPr>
        <w:t>3</w:t>
      </w:r>
      <w:r w:rsidRPr="004A1196">
        <w:rPr>
          <w:rFonts w:eastAsia="Calibri" w:cs="Times New Roman"/>
          <w:b/>
          <w:color w:val="0B2B43" w:themeColor="text2" w:themeShade="80"/>
        </w:rPr>
        <w:t>(iii). Change within programme ($ million)</w:t>
      </w:r>
    </w:p>
    <w:tbl>
      <w:tblPr>
        <w:tblStyle w:val="Review"/>
        <w:tblW w:w="9582" w:type="dxa"/>
        <w:tblLook w:val="04A0" w:firstRow="1" w:lastRow="0" w:firstColumn="1" w:lastColumn="0" w:noHBand="0" w:noVBand="1"/>
        <w:tblCaption w:val="Change within programme ($ million)"/>
      </w:tblPr>
      <w:tblGrid>
        <w:gridCol w:w="1269"/>
        <w:gridCol w:w="1703"/>
        <w:gridCol w:w="1018"/>
        <w:gridCol w:w="1065"/>
        <w:gridCol w:w="1466"/>
        <w:gridCol w:w="1514"/>
        <w:gridCol w:w="1547"/>
      </w:tblGrid>
      <w:tr w:rsidR="004A1196" w:rsidRPr="004A1196" w:rsidTr="00962CAC">
        <w:trPr>
          <w:cnfStyle w:val="100000000000" w:firstRow="1" w:lastRow="0" w:firstColumn="0" w:lastColumn="0" w:oddVBand="0" w:evenVBand="0" w:oddHBand="0" w:evenHBand="0" w:firstRowFirstColumn="0" w:firstRowLastColumn="0" w:lastRowFirstColumn="0" w:lastRowLastColumn="0"/>
          <w:trHeight w:val="300"/>
          <w:tblHeader/>
        </w:trPr>
        <w:tc>
          <w:tcPr>
            <w:tcW w:w="1269" w:type="dxa"/>
            <w:vMerge w:val="restart"/>
            <w:hideMark/>
          </w:tcPr>
          <w:p w:rsidR="002C6039" w:rsidRPr="004A1196" w:rsidRDefault="002C6039" w:rsidP="00B759A1">
            <w:pPr>
              <w:spacing w:before="0" w:after="100" w:afterAutospacing="1"/>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Programme</w:t>
            </w:r>
          </w:p>
        </w:tc>
        <w:tc>
          <w:tcPr>
            <w:tcW w:w="1703" w:type="dxa"/>
            <w:vMerge w:val="restart"/>
            <w:noWrap/>
            <w:hideMark/>
          </w:tcPr>
          <w:p w:rsidR="002C6039" w:rsidRPr="004A1196" w:rsidRDefault="002C6039" w:rsidP="00B759A1">
            <w:pPr>
              <w:spacing w:before="0"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Programme Total</w:t>
            </w:r>
          </w:p>
        </w:tc>
        <w:tc>
          <w:tcPr>
            <w:tcW w:w="6610" w:type="dxa"/>
            <w:gridSpan w:val="5"/>
            <w:noWrap/>
            <w:hideMark/>
          </w:tcPr>
          <w:p w:rsidR="002C6039" w:rsidRPr="004A1196" w:rsidRDefault="002C6039" w:rsidP="00B759A1">
            <w:pPr>
              <w:spacing w:before="0"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Funding driver</w:t>
            </w:r>
          </w:p>
        </w:tc>
      </w:tr>
      <w:tr w:rsidR="004A1196" w:rsidRPr="004A1196" w:rsidTr="00962CAC">
        <w:trPr>
          <w:cnfStyle w:val="100000000000" w:firstRow="1" w:lastRow="0" w:firstColumn="0" w:lastColumn="0" w:oddVBand="0" w:evenVBand="0" w:oddHBand="0" w:evenHBand="0" w:firstRowFirstColumn="0" w:firstRowLastColumn="0" w:lastRowFirstColumn="0" w:lastRowLastColumn="0"/>
          <w:trHeight w:val="300"/>
          <w:tblHeader/>
        </w:trPr>
        <w:tc>
          <w:tcPr>
            <w:tcW w:w="1269" w:type="dxa"/>
            <w:vMerge/>
            <w:hideMark/>
          </w:tcPr>
          <w:p w:rsidR="002C6039" w:rsidRPr="004A1196" w:rsidRDefault="002C6039" w:rsidP="00B759A1">
            <w:pPr>
              <w:spacing w:before="0" w:after="100" w:afterAutospacing="1"/>
              <w:rPr>
                <w:rFonts w:eastAsia="Times New Roman" w:cs="Calibri"/>
                <w:color w:val="0B2B43" w:themeColor="text2" w:themeShade="80"/>
                <w:sz w:val="22"/>
                <w:szCs w:val="22"/>
                <w:lang w:eastAsia="en-AU"/>
              </w:rPr>
            </w:pPr>
          </w:p>
        </w:tc>
        <w:tc>
          <w:tcPr>
            <w:tcW w:w="1703" w:type="dxa"/>
            <w:vMerge/>
            <w:hideMark/>
          </w:tcPr>
          <w:p w:rsidR="002C6039" w:rsidRPr="004A1196" w:rsidRDefault="002C6039" w:rsidP="00B759A1">
            <w:pPr>
              <w:spacing w:before="0" w:after="100" w:afterAutospacing="1"/>
              <w:rPr>
                <w:rFonts w:eastAsia="Times New Roman" w:cs="Calibri"/>
                <w:color w:val="0B2B43" w:themeColor="text2" w:themeShade="80"/>
                <w:sz w:val="22"/>
                <w:szCs w:val="22"/>
                <w:lang w:eastAsia="en-AU"/>
              </w:rPr>
            </w:pPr>
          </w:p>
        </w:tc>
        <w:tc>
          <w:tcPr>
            <w:tcW w:w="1018" w:type="dxa"/>
            <w:noWrap/>
            <w:hideMark/>
          </w:tcPr>
          <w:p w:rsidR="002C6039" w:rsidRPr="004A1196" w:rsidRDefault="002C6039" w:rsidP="00B759A1">
            <w:pPr>
              <w:spacing w:before="0" w:after="100" w:afterAutospacing="1"/>
              <w:jc w:val="center"/>
              <w:rPr>
                <w:rFonts w:eastAsia="Times New Roman" w:cs="Calibri"/>
                <w:color w:val="0B2B43" w:themeColor="text2" w:themeShade="80"/>
                <w:sz w:val="22"/>
                <w:szCs w:val="22"/>
                <w:lang w:eastAsia="en-AU"/>
              </w:rPr>
            </w:pPr>
            <w:proofErr w:type="spellStart"/>
            <w:r w:rsidRPr="004A1196">
              <w:rPr>
                <w:rFonts w:eastAsia="Times New Roman" w:cs="Calibri"/>
                <w:color w:val="0B2B43" w:themeColor="text2" w:themeShade="80"/>
                <w:sz w:val="22"/>
                <w:szCs w:val="22"/>
                <w:lang w:eastAsia="en-AU"/>
              </w:rPr>
              <w:t>Cat1</w:t>
            </w:r>
            <w:proofErr w:type="spellEnd"/>
          </w:p>
        </w:tc>
        <w:tc>
          <w:tcPr>
            <w:tcW w:w="1065" w:type="dxa"/>
            <w:noWrap/>
            <w:hideMark/>
          </w:tcPr>
          <w:p w:rsidR="002C6039" w:rsidRPr="004A1196" w:rsidRDefault="002C6039" w:rsidP="00B759A1">
            <w:pPr>
              <w:spacing w:before="0" w:after="100" w:afterAutospacing="1"/>
              <w:jc w:val="center"/>
              <w:rPr>
                <w:rFonts w:eastAsia="Times New Roman" w:cs="Calibri"/>
                <w:color w:val="0B2B43" w:themeColor="text2" w:themeShade="80"/>
                <w:sz w:val="22"/>
                <w:szCs w:val="22"/>
                <w:lang w:eastAsia="en-AU"/>
              </w:rPr>
            </w:pPr>
            <w:proofErr w:type="spellStart"/>
            <w:r w:rsidRPr="004A1196">
              <w:rPr>
                <w:rFonts w:eastAsia="Times New Roman" w:cs="Calibri"/>
                <w:color w:val="0B2B43" w:themeColor="text2" w:themeShade="80"/>
                <w:sz w:val="22"/>
                <w:szCs w:val="22"/>
                <w:lang w:eastAsia="en-AU"/>
              </w:rPr>
              <w:t>Cat2,3,4</w:t>
            </w:r>
            <w:proofErr w:type="spellEnd"/>
          </w:p>
        </w:tc>
        <w:tc>
          <w:tcPr>
            <w:tcW w:w="1466" w:type="dxa"/>
            <w:noWrap/>
            <w:hideMark/>
          </w:tcPr>
          <w:p w:rsidR="002C6039" w:rsidRPr="004A1196" w:rsidRDefault="002C6039" w:rsidP="00B759A1">
            <w:pPr>
              <w:spacing w:before="0"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Completions</w:t>
            </w:r>
          </w:p>
        </w:tc>
        <w:tc>
          <w:tcPr>
            <w:tcW w:w="1514" w:type="dxa"/>
            <w:noWrap/>
            <w:hideMark/>
          </w:tcPr>
          <w:p w:rsidR="002C6039" w:rsidRPr="004A1196" w:rsidRDefault="002C6039" w:rsidP="00B759A1">
            <w:pPr>
              <w:spacing w:before="0"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Publications</w:t>
            </w:r>
          </w:p>
        </w:tc>
        <w:tc>
          <w:tcPr>
            <w:tcW w:w="1547" w:type="dxa"/>
            <w:noWrap/>
            <w:hideMark/>
          </w:tcPr>
          <w:p w:rsidR="002C6039" w:rsidRPr="004A1196" w:rsidRDefault="002C6039" w:rsidP="00B759A1">
            <w:pPr>
              <w:spacing w:before="0"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Load</w:t>
            </w:r>
          </w:p>
        </w:tc>
      </w:tr>
      <w:tr w:rsidR="004A1196" w:rsidRPr="004A1196" w:rsidTr="004C46EF">
        <w:trPr>
          <w:trHeight w:val="300"/>
        </w:trPr>
        <w:tc>
          <w:tcPr>
            <w:tcW w:w="1269" w:type="dxa"/>
            <w:noWrap/>
            <w:hideMark/>
          </w:tcPr>
          <w:p w:rsidR="002C6039" w:rsidRPr="004A1196" w:rsidRDefault="002C6039" w:rsidP="00B759A1">
            <w:pPr>
              <w:spacing w:before="0" w:after="100" w:afterAutospacing="1"/>
              <w:rPr>
                <w:rFonts w:eastAsia="Times New Roman" w:cs="Calibri"/>
                <w:color w:val="0B2B43" w:themeColor="text2" w:themeShade="80"/>
                <w:sz w:val="22"/>
                <w:szCs w:val="22"/>
                <w:lang w:eastAsia="en-AU"/>
              </w:rPr>
            </w:pPr>
            <w:proofErr w:type="spellStart"/>
            <w:r w:rsidRPr="004A1196">
              <w:rPr>
                <w:rFonts w:eastAsia="Times New Roman" w:cs="Calibri"/>
                <w:color w:val="0B2B43" w:themeColor="text2" w:themeShade="80"/>
                <w:sz w:val="22"/>
                <w:szCs w:val="22"/>
                <w:lang w:eastAsia="en-AU"/>
              </w:rPr>
              <w:t>RS</w:t>
            </w:r>
            <w:r w:rsidR="0031385A">
              <w:rPr>
                <w:rFonts w:eastAsia="Times New Roman" w:cs="Calibri"/>
                <w:color w:val="0B2B43" w:themeColor="text2" w:themeShade="80"/>
                <w:sz w:val="22"/>
                <w:szCs w:val="22"/>
                <w:lang w:eastAsia="en-AU"/>
              </w:rPr>
              <w:t>P</w:t>
            </w:r>
            <w:proofErr w:type="spellEnd"/>
          </w:p>
        </w:tc>
        <w:tc>
          <w:tcPr>
            <w:tcW w:w="1703" w:type="dxa"/>
            <w:noWrap/>
            <w:hideMark/>
          </w:tcPr>
          <w:p w:rsidR="002C6039" w:rsidRPr="004A1196" w:rsidRDefault="002C6039" w:rsidP="00B759A1">
            <w:pPr>
              <w:spacing w:before="0"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0.0</w:t>
            </w:r>
          </w:p>
        </w:tc>
        <w:tc>
          <w:tcPr>
            <w:tcW w:w="1018" w:type="dxa"/>
            <w:noWrap/>
            <w:hideMark/>
          </w:tcPr>
          <w:p w:rsidR="002C6039" w:rsidRPr="004A1196" w:rsidRDefault="002C6039" w:rsidP="00B759A1">
            <w:pPr>
              <w:spacing w:before="0"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-46.2</w:t>
            </w:r>
          </w:p>
        </w:tc>
        <w:tc>
          <w:tcPr>
            <w:tcW w:w="1065" w:type="dxa"/>
            <w:noWrap/>
            <w:hideMark/>
          </w:tcPr>
          <w:p w:rsidR="002C6039" w:rsidRPr="004A1196" w:rsidRDefault="002C6039" w:rsidP="00B759A1">
            <w:pPr>
              <w:spacing w:before="0"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194.7</w:t>
            </w:r>
          </w:p>
        </w:tc>
        <w:tc>
          <w:tcPr>
            <w:tcW w:w="1466" w:type="dxa"/>
            <w:noWrap/>
            <w:hideMark/>
          </w:tcPr>
          <w:p w:rsidR="002C6039" w:rsidRPr="004A1196" w:rsidRDefault="002C6039" w:rsidP="00B759A1">
            <w:pPr>
              <w:spacing w:before="0"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0.0</w:t>
            </w:r>
          </w:p>
        </w:tc>
        <w:tc>
          <w:tcPr>
            <w:tcW w:w="1514" w:type="dxa"/>
            <w:noWrap/>
            <w:hideMark/>
          </w:tcPr>
          <w:p w:rsidR="002C6039" w:rsidRPr="004A1196" w:rsidRDefault="002C6039" w:rsidP="00B759A1">
            <w:pPr>
              <w:spacing w:before="0"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-37.1</w:t>
            </w:r>
          </w:p>
        </w:tc>
        <w:tc>
          <w:tcPr>
            <w:tcW w:w="1547" w:type="dxa"/>
            <w:noWrap/>
            <w:hideMark/>
          </w:tcPr>
          <w:p w:rsidR="002C6039" w:rsidRPr="004A1196" w:rsidRDefault="002C6039" w:rsidP="00B759A1">
            <w:pPr>
              <w:spacing w:before="0"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-111.4</w:t>
            </w:r>
          </w:p>
        </w:tc>
      </w:tr>
      <w:tr w:rsidR="004A1196" w:rsidRPr="004A1196" w:rsidTr="004C46EF">
        <w:trPr>
          <w:cnfStyle w:val="000000010000" w:firstRow="0" w:lastRow="0" w:firstColumn="0" w:lastColumn="0" w:oddVBand="0" w:evenVBand="0" w:oddHBand="0" w:evenHBand="1" w:firstRowFirstColumn="0" w:firstRowLastColumn="0" w:lastRowFirstColumn="0" w:lastRowLastColumn="0"/>
          <w:trHeight w:val="300"/>
        </w:trPr>
        <w:tc>
          <w:tcPr>
            <w:tcW w:w="1269" w:type="dxa"/>
            <w:noWrap/>
            <w:hideMark/>
          </w:tcPr>
          <w:p w:rsidR="002C6039" w:rsidRPr="004A1196" w:rsidRDefault="002C6039" w:rsidP="00B759A1">
            <w:pPr>
              <w:spacing w:before="0" w:after="100" w:afterAutospacing="1"/>
              <w:rPr>
                <w:rFonts w:eastAsia="Times New Roman" w:cs="Calibri"/>
                <w:color w:val="0B2B43" w:themeColor="text2" w:themeShade="80"/>
                <w:sz w:val="22"/>
                <w:szCs w:val="22"/>
                <w:lang w:eastAsia="en-AU"/>
              </w:rPr>
            </w:pPr>
            <w:proofErr w:type="spellStart"/>
            <w:r w:rsidRPr="004A1196">
              <w:rPr>
                <w:rFonts w:eastAsia="Times New Roman" w:cs="Calibri"/>
                <w:color w:val="0B2B43" w:themeColor="text2" w:themeShade="80"/>
                <w:sz w:val="22"/>
                <w:szCs w:val="22"/>
                <w:lang w:eastAsia="en-AU"/>
              </w:rPr>
              <w:t>RT</w:t>
            </w:r>
            <w:r w:rsidR="0031385A">
              <w:rPr>
                <w:rFonts w:eastAsia="Times New Roman" w:cs="Calibri"/>
                <w:color w:val="0B2B43" w:themeColor="text2" w:themeShade="80"/>
                <w:sz w:val="22"/>
                <w:szCs w:val="22"/>
                <w:lang w:eastAsia="en-AU"/>
              </w:rPr>
              <w:t>P</w:t>
            </w:r>
            <w:proofErr w:type="spellEnd"/>
          </w:p>
        </w:tc>
        <w:tc>
          <w:tcPr>
            <w:tcW w:w="1703" w:type="dxa"/>
            <w:noWrap/>
            <w:hideMark/>
          </w:tcPr>
          <w:p w:rsidR="002C6039" w:rsidRPr="004A1196" w:rsidRDefault="002C6039" w:rsidP="00B759A1">
            <w:pPr>
              <w:spacing w:before="0"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0.0</w:t>
            </w:r>
          </w:p>
        </w:tc>
        <w:tc>
          <w:tcPr>
            <w:tcW w:w="1018" w:type="dxa"/>
            <w:noWrap/>
            <w:hideMark/>
          </w:tcPr>
          <w:p w:rsidR="002C6039" w:rsidRPr="004A1196" w:rsidRDefault="002C6039" w:rsidP="00B759A1">
            <w:pPr>
              <w:spacing w:before="0"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58.3</w:t>
            </w:r>
          </w:p>
        </w:tc>
        <w:tc>
          <w:tcPr>
            <w:tcW w:w="1065" w:type="dxa"/>
            <w:noWrap/>
            <w:hideMark/>
          </w:tcPr>
          <w:p w:rsidR="002C6039" w:rsidRPr="004A1196" w:rsidRDefault="002C6039" w:rsidP="00B759A1">
            <w:pPr>
              <w:spacing w:before="0"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36.6</w:t>
            </w:r>
          </w:p>
        </w:tc>
        <w:tc>
          <w:tcPr>
            <w:tcW w:w="1466" w:type="dxa"/>
            <w:noWrap/>
            <w:hideMark/>
          </w:tcPr>
          <w:p w:rsidR="002C6039" w:rsidRPr="004A1196" w:rsidRDefault="002C6039" w:rsidP="00B759A1">
            <w:pPr>
              <w:spacing w:before="0"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0.0</w:t>
            </w:r>
          </w:p>
        </w:tc>
        <w:tc>
          <w:tcPr>
            <w:tcW w:w="1514" w:type="dxa"/>
            <w:noWrap/>
            <w:hideMark/>
          </w:tcPr>
          <w:p w:rsidR="002C6039" w:rsidRPr="004A1196" w:rsidRDefault="002C6039" w:rsidP="00B759A1">
            <w:pPr>
              <w:spacing w:before="0"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-94.8</w:t>
            </w:r>
          </w:p>
        </w:tc>
        <w:tc>
          <w:tcPr>
            <w:tcW w:w="1547" w:type="dxa"/>
            <w:noWrap/>
            <w:hideMark/>
          </w:tcPr>
          <w:p w:rsidR="002C6039" w:rsidRPr="004A1196" w:rsidRDefault="002C6039" w:rsidP="00B759A1">
            <w:pPr>
              <w:spacing w:before="0"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0.0</w:t>
            </w:r>
          </w:p>
        </w:tc>
      </w:tr>
      <w:tr w:rsidR="004A1196" w:rsidRPr="004A1196" w:rsidTr="004C46EF">
        <w:trPr>
          <w:trHeight w:val="300"/>
        </w:trPr>
        <w:tc>
          <w:tcPr>
            <w:tcW w:w="1269" w:type="dxa"/>
            <w:noWrap/>
            <w:hideMark/>
          </w:tcPr>
          <w:p w:rsidR="002C6039" w:rsidRPr="004A1196" w:rsidRDefault="002C6039" w:rsidP="00B759A1">
            <w:pPr>
              <w:spacing w:before="0" w:after="100" w:afterAutospacing="1"/>
              <w:rPr>
                <w:rFonts w:eastAsia="Times New Roman" w:cs="Calibri"/>
                <w:color w:val="0B2B43" w:themeColor="text2" w:themeShade="80"/>
                <w:sz w:val="22"/>
                <w:szCs w:val="22"/>
                <w:lang w:eastAsia="en-AU"/>
              </w:rPr>
            </w:pPr>
            <w:proofErr w:type="spellStart"/>
            <w:r w:rsidRPr="004A1196">
              <w:rPr>
                <w:rFonts w:eastAsia="Times New Roman" w:cs="Calibri"/>
                <w:color w:val="0B2B43" w:themeColor="text2" w:themeShade="80"/>
                <w:sz w:val="22"/>
                <w:szCs w:val="22"/>
                <w:lang w:eastAsia="en-AU"/>
              </w:rPr>
              <w:t>RBG</w:t>
            </w:r>
            <w:proofErr w:type="spellEnd"/>
          </w:p>
        </w:tc>
        <w:tc>
          <w:tcPr>
            <w:tcW w:w="1703" w:type="dxa"/>
            <w:noWrap/>
            <w:hideMark/>
          </w:tcPr>
          <w:p w:rsidR="002C6039" w:rsidRPr="004A1196" w:rsidRDefault="002C6039" w:rsidP="00B759A1">
            <w:pPr>
              <w:spacing w:before="0"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0.0</w:t>
            </w:r>
          </w:p>
        </w:tc>
        <w:tc>
          <w:tcPr>
            <w:tcW w:w="1018" w:type="dxa"/>
            <w:noWrap/>
            <w:hideMark/>
          </w:tcPr>
          <w:p w:rsidR="002C6039" w:rsidRPr="004A1196" w:rsidRDefault="002C6039" w:rsidP="00B759A1">
            <w:pPr>
              <w:spacing w:before="0"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12.1</w:t>
            </w:r>
          </w:p>
        </w:tc>
        <w:tc>
          <w:tcPr>
            <w:tcW w:w="1065" w:type="dxa"/>
            <w:noWrap/>
            <w:hideMark/>
          </w:tcPr>
          <w:p w:rsidR="002C6039" w:rsidRPr="004A1196" w:rsidRDefault="002C6039" w:rsidP="00B759A1">
            <w:pPr>
              <w:spacing w:before="0"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231.3</w:t>
            </w:r>
          </w:p>
        </w:tc>
        <w:tc>
          <w:tcPr>
            <w:tcW w:w="1466" w:type="dxa"/>
            <w:noWrap/>
            <w:hideMark/>
          </w:tcPr>
          <w:p w:rsidR="002C6039" w:rsidRPr="004A1196" w:rsidRDefault="002C6039" w:rsidP="00B759A1">
            <w:pPr>
              <w:spacing w:before="0"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0.0</w:t>
            </w:r>
          </w:p>
        </w:tc>
        <w:tc>
          <w:tcPr>
            <w:tcW w:w="1514" w:type="dxa"/>
            <w:noWrap/>
            <w:hideMark/>
          </w:tcPr>
          <w:p w:rsidR="002C6039" w:rsidRPr="004A1196" w:rsidRDefault="002C6039" w:rsidP="00B759A1">
            <w:pPr>
              <w:spacing w:before="0"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-132.0</w:t>
            </w:r>
          </w:p>
        </w:tc>
        <w:tc>
          <w:tcPr>
            <w:tcW w:w="1547" w:type="dxa"/>
            <w:noWrap/>
            <w:hideMark/>
          </w:tcPr>
          <w:p w:rsidR="002C6039" w:rsidRPr="004A1196" w:rsidRDefault="002C6039" w:rsidP="00B759A1">
            <w:pPr>
              <w:spacing w:before="0" w:after="100" w:afterAutospacing="1"/>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-111.4</w:t>
            </w:r>
          </w:p>
        </w:tc>
      </w:tr>
    </w:tbl>
    <w:p w:rsidR="002C6039" w:rsidRPr="004A1196" w:rsidRDefault="002C6039" w:rsidP="00B759A1">
      <w:pPr>
        <w:spacing w:before="360" w:after="0"/>
        <w:rPr>
          <w:rFonts w:eastAsia="Calibri" w:cs="Times New Roman"/>
          <w:b/>
          <w:color w:val="0B2B43" w:themeColor="text2" w:themeShade="80"/>
        </w:rPr>
      </w:pPr>
      <w:r w:rsidRPr="004A1196">
        <w:rPr>
          <w:rFonts w:eastAsia="Calibri" w:cs="Times New Roman"/>
          <w:b/>
          <w:color w:val="0B2B43" w:themeColor="text2" w:themeShade="80"/>
        </w:rPr>
        <w:t xml:space="preserve">Table </w:t>
      </w:r>
      <w:r w:rsidR="00B81827" w:rsidRPr="004A1196">
        <w:rPr>
          <w:rFonts w:eastAsia="Calibri" w:cs="Times New Roman"/>
          <w:b/>
          <w:color w:val="0B2B43" w:themeColor="text2" w:themeShade="80"/>
        </w:rPr>
        <w:t>3</w:t>
      </w:r>
      <w:r w:rsidRPr="004A1196">
        <w:rPr>
          <w:rFonts w:eastAsia="Calibri" w:cs="Times New Roman"/>
          <w:b/>
          <w:color w:val="0B2B43" w:themeColor="text2" w:themeShade="80"/>
        </w:rPr>
        <w:t>(iv). Change within programme (percentage)</w:t>
      </w:r>
    </w:p>
    <w:tbl>
      <w:tblPr>
        <w:tblStyle w:val="Review"/>
        <w:tblW w:w="9360" w:type="dxa"/>
        <w:tblLook w:val="04A0" w:firstRow="1" w:lastRow="0" w:firstColumn="1" w:lastColumn="0" w:noHBand="0" w:noVBand="1"/>
        <w:tblCaption w:val="Change within programme (percentage)"/>
      </w:tblPr>
      <w:tblGrid>
        <w:gridCol w:w="1620"/>
        <w:gridCol w:w="1269"/>
        <w:gridCol w:w="1063"/>
        <w:gridCol w:w="1088"/>
        <w:gridCol w:w="1440"/>
        <w:gridCol w:w="1440"/>
        <w:gridCol w:w="1440"/>
      </w:tblGrid>
      <w:tr w:rsidR="004A1196" w:rsidRPr="004A1196" w:rsidTr="00962CAC">
        <w:trPr>
          <w:cnfStyle w:val="100000000000" w:firstRow="1" w:lastRow="0" w:firstColumn="0" w:lastColumn="0" w:oddVBand="0" w:evenVBand="0" w:oddHBand="0" w:evenHBand="0" w:firstRowFirstColumn="0" w:firstRowLastColumn="0" w:lastRowFirstColumn="0" w:lastRowLastColumn="0"/>
          <w:trHeight w:val="300"/>
          <w:tblHeader/>
        </w:trPr>
        <w:tc>
          <w:tcPr>
            <w:tcW w:w="1620" w:type="dxa"/>
            <w:vMerge w:val="restart"/>
            <w:hideMark/>
          </w:tcPr>
          <w:p w:rsidR="002C6039" w:rsidRPr="004A1196" w:rsidRDefault="002C6039" w:rsidP="004C46EF">
            <w:pPr>
              <w:spacing w:before="0" w:after="0"/>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Programme</w:t>
            </w:r>
          </w:p>
        </w:tc>
        <w:tc>
          <w:tcPr>
            <w:tcW w:w="1269" w:type="dxa"/>
            <w:vMerge w:val="restart"/>
            <w:noWrap/>
            <w:hideMark/>
          </w:tcPr>
          <w:p w:rsidR="002C6039" w:rsidRPr="004A1196" w:rsidRDefault="002C6039" w:rsidP="004C46EF">
            <w:pPr>
              <w:spacing w:before="0" w:after="0"/>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Programme Total</w:t>
            </w:r>
          </w:p>
        </w:tc>
        <w:tc>
          <w:tcPr>
            <w:tcW w:w="6471" w:type="dxa"/>
            <w:gridSpan w:val="5"/>
            <w:noWrap/>
            <w:hideMark/>
          </w:tcPr>
          <w:p w:rsidR="002C6039" w:rsidRPr="004A1196" w:rsidRDefault="002C6039" w:rsidP="004C46EF">
            <w:pPr>
              <w:spacing w:before="0" w:after="0"/>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Funding driver</w:t>
            </w:r>
          </w:p>
        </w:tc>
      </w:tr>
      <w:tr w:rsidR="004A1196" w:rsidRPr="004A1196" w:rsidTr="00962CAC">
        <w:trPr>
          <w:cnfStyle w:val="100000000000" w:firstRow="1" w:lastRow="0" w:firstColumn="0" w:lastColumn="0" w:oddVBand="0" w:evenVBand="0" w:oddHBand="0" w:evenHBand="0" w:firstRowFirstColumn="0" w:firstRowLastColumn="0" w:lastRowFirstColumn="0" w:lastRowLastColumn="0"/>
          <w:trHeight w:val="300"/>
          <w:tblHeader/>
        </w:trPr>
        <w:tc>
          <w:tcPr>
            <w:tcW w:w="1620" w:type="dxa"/>
            <w:vMerge/>
            <w:hideMark/>
          </w:tcPr>
          <w:p w:rsidR="002C6039" w:rsidRPr="004A1196" w:rsidRDefault="002C6039" w:rsidP="004C46EF">
            <w:pPr>
              <w:spacing w:before="0" w:after="0"/>
              <w:rPr>
                <w:rFonts w:eastAsia="Times New Roman" w:cs="Calibri"/>
                <w:color w:val="0B2B43" w:themeColor="text2" w:themeShade="80"/>
                <w:sz w:val="22"/>
                <w:szCs w:val="22"/>
                <w:lang w:eastAsia="en-AU"/>
              </w:rPr>
            </w:pPr>
          </w:p>
        </w:tc>
        <w:tc>
          <w:tcPr>
            <w:tcW w:w="1269" w:type="dxa"/>
            <w:vMerge/>
            <w:hideMark/>
          </w:tcPr>
          <w:p w:rsidR="002C6039" w:rsidRPr="004A1196" w:rsidRDefault="002C6039" w:rsidP="004C46EF">
            <w:pPr>
              <w:spacing w:before="0" w:after="0"/>
              <w:rPr>
                <w:rFonts w:eastAsia="Times New Roman" w:cs="Calibri"/>
                <w:color w:val="0B2B43" w:themeColor="text2" w:themeShade="80"/>
                <w:sz w:val="22"/>
                <w:szCs w:val="22"/>
                <w:lang w:eastAsia="en-AU"/>
              </w:rPr>
            </w:pPr>
          </w:p>
        </w:tc>
        <w:tc>
          <w:tcPr>
            <w:tcW w:w="1063" w:type="dxa"/>
            <w:noWrap/>
            <w:hideMark/>
          </w:tcPr>
          <w:p w:rsidR="002C6039" w:rsidRPr="004A1196" w:rsidRDefault="002C6039" w:rsidP="004C46EF">
            <w:pPr>
              <w:spacing w:before="0" w:after="0"/>
              <w:jc w:val="center"/>
              <w:rPr>
                <w:rFonts w:eastAsia="Times New Roman" w:cs="Calibri"/>
                <w:color w:val="0B2B43" w:themeColor="text2" w:themeShade="80"/>
                <w:sz w:val="22"/>
                <w:szCs w:val="22"/>
                <w:lang w:eastAsia="en-AU"/>
              </w:rPr>
            </w:pPr>
            <w:proofErr w:type="spellStart"/>
            <w:r w:rsidRPr="004A1196">
              <w:rPr>
                <w:rFonts w:eastAsia="Times New Roman" w:cs="Calibri"/>
                <w:color w:val="0B2B43" w:themeColor="text2" w:themeShade="80"/>
                <w:sz w:val="22"/>
                <w:szCs w:val="22"/>
                <w:lang w:eastAsia="en-AU"/>
              </w:rPr>
              <w:t>Cat1</w:t>
            </w:r>
            <w:proofErr w:type="spellEnd"/>
          </w:p>
        </w:tc>
        <w:tc>
          <w:tcPr>
            <w:tcW w:w="1088" w:type="dxa"/>
            <w:noWrap/>
            <w:hideMark/>
          </w:tcPr>
          <w:p w:rsidR="002C6039" w:rsidRPr="004A1196" w:rsidRDefault="002C6039" w:rsidP="004C46EF">
            <w:pPr>
              <w:spacing w:before="0" w:after="0"/>
              <w:jc w:val="center"/>
              <w:rPr>
                <w:rFonts w:eastAsia="Times New Roman" w:cs="Calibri"/>
                <w:color w:val="0B2B43" w:themeColor="text2" w:themeShade="80"/>
                <w:sz w:val="22"/>
                <w:szCs w:val="22"/>
                <w:lang w:eastAsia="en-AU"/>
              </w:rPr>
            </w:pPr>
            <w:proofErr w:type="spellStart"/>
            <w:r w:rsidRPr="004A1196">
              <w:rPr>
                <w:rFonts w:eastAsia="Times New Roman" w:cs="Calibri"/>
                <w:color w:val="0B2B43" w:themeColor="text2" w:themeShade="80"/>
                <w:sz w:val="22"/>
                <w:szCs w:val="22"/>
                <w:lang w:eastAsia="en-AU"/>
              </w:rPr>
              <w:t>Cat2,3,4</w:t>
            </w:r>
            <w:proofErr w:type="spellEnd"/>
          </w:p>
        </w:tc>
        <w:tc>
          <w:tcPr>
            <w:tcW w:w="1440" w:type="dxa"/>
            <w:noWrap/>
            <w:hideMark/>
          </w:tcPr>
          <w:p w:rsidR="002C6039" w:rsidRPr="004A1196" w:rsidRDefault="002C6039" w:rsidP="004C46EF">
            <w:pPr>
              <w:spacing w:before="0" w:after="0"/>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Completions</w:t>
            </w:r>
          </w:p>
        </w:tc>
        <w:tc>
          <w:tcPr>
            <w:tcW w:w="1440" w:type="dxa"/>
            <w:noWrap/>
            <w:hideMark/>
          </w:tcPr>
          <w:p w:rsidR="002C6039" w:rsidRPr="004A1196" w:rsidRDefault="002C6039" w:rsidP="004C46EF">
            <w:pPr>
              <w:spacing w:before="0" w:after="0"/>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Publications</w:t>
            </w:r>
          </w:p>
        </w:tc>
        <w:tc>
          <w:tcPr>
            <w:tcW w:w="1440" w:type="dxa"/>
            <w:noWrap/>
            <w:hideMark/>
          </w:tcPr>
          <w:p w:rsidR="002C6039" w:rsidRPr="004A1196" w:rsidRDefault="002C6039" w:rsidP="004C46EF">
            <w:pPr>
              <w:spacing w:before="0" w:after="0"/>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Load</w:t>
            </w:r>
          </w:p>
        </w:tc>
      </w:tr>
      <w:tr w:rsidR="004A1196" w:rsidRPr="004A1196" w:rsidTr="004C46EF">
        <w:trPr>
          <w:trHeight w:val="300"/>
        </w:trPr>
        <w:tc>
          <w:tcPr>
            <w:tcW w:w="1620" w:type="dxa"/>
            <w:noWrap/>
            <w:hideMark/>
          </w:tcPr>
          <w:p w:rsidR="002C6039" w:rsidRPr="004A1196" w:rsidRDefault="002C6039" w:rsidP="00A74922">
            <w:pPr>
              <w:spacing w:before="0" w:after="0"/>
              <w:rPr>
                <w:rFonts w:eastAsia="Times New Roman" w:cs="Calibri"/>
                <w:color w:val="0B2B43" w:themeColor="text2" w:themeShade="80"/>
                <w:sz w:val="22"/>
                <w:szCs w:val="22"/>
                <w:lang w:eastAsia="en-AU"/>
              </w:rPr>
            </w:pPr>
            <w:proofErr w:type="spellStart"/>
            <w:r w:rsidRPr="004A1196">
              <w:rPr>
                <w:rFonts w:eastAsia="Times New Roman" w:cs="Calibri"/>
                <w:color w:val="0B2B43" w:themeColor="text2" w:themeShade="80"/>
                <w:sz w:val="22"/>
                <w:szCs w:val="22"/>
                <w:lang w:eastAsia="en-AU"/>
              </w:rPr>
              <w:t>RS</w:t>
            </w:r>
            <w:r w:rsidR="0031385A">
              <w:rPr>
                <w:rFonts w:eastAsia="Times New Roman" w:cs="Calibri"/>
                <w:color w:val="0B2B43" w:themeColor="text2" w:themeShade="80"/>
                <w:sz w:val="22"/>
                <w:szCs w:val="22"/>
                <w:lang w:eastAsia="en-AU"/>
              </w:rPr>
              <w:t>P</w:t>
            </w:r>
            <w:proofErr w:type="spellEnd"/>
          </w:p>
        </w:tc>
        <w:tc>
          <w:tcPr>
            <w:tcW w:w="1269" w:type="dxa"/>
            <w:noWrap/>
            <w:hideMark/>
          </w:tcPr>
          <w:p w:rsidR="002C6039" w:rsidRPr="004A1196" w:rsidRDefault="002C6039" w:rsidP="004C46EF">
            <w:pPr>
              <w:spacing w:before="0" w:after="0"/>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0.0%</w:t>
            </w:r>
          </w:p>
        </w:tc>
        <w:tc>
          <w:tcPr>
            <w:tcW w:w="1063" w:type="dxa"/>
            <w:noWrap/>
            <w:hideMark/>
          </w:tcPr>
          <w:p w:rsidR="002C6039" w:rsidRPr="004A1196" w:rsidRDefault="002C6039" w:rsidP="004C46EF">
            <w:pPr>
              <w:spacing w:before="0" w:after="0"/>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-5.5%</w:t>
            </w:r>
          </w:p>
        </w:tc>
        <w:tc>
          <w:tcPr>
            <w:tcW w:w="1088" w:type="dxa"/>
            <w:noWrap/>
            <w:hideMark/>
          </w:tcPr>
          <w:p w:rsidR="002C6039" w:rsidRPr="004A1196" w:rsidRDefault="002C6039" w:rsidP="004C46EF">
            <w:pPr>
              <w:spacing w:before="0" w:after="0"/>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23.3%</w:t>
            </w:r>
          </w:p>
        </w:tc>
        <w:tc>
          <w:tcPr>
            <w:tcW w:w="1440" w:type="dxa"/>
            <w:noWrap/>
            <w:hideMark/>
          </w:tcPr>
          <w:p w:rsidR="002C6039" w:rsidRPr="004A1196" w:rsidRDefault="002C6039" w:rsidP="004C46EF">
            <w:pPr>
              <w:spacing w:before="0" w:after="0"/>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0.0%</w:t>
            </w:r>
          </w:p>
        </w:tc>
        <w:tc>
          <w:tcPr>
            <w:tcW w:w="1440" w:type="dxa"/>
            <w:noWrap/>
            <w:hideMark/>
          </w:tcPr>
          <w:p w:rsidR="002C6039" w:rsidRPr="004A1196" w:rsidRDefault="002C6039" w:rsidP="004C46EF">
            <w:pPr>
              <w:spacing w:before="0" w:after="0"/>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-4.4%</w:t>
            </w:r>
          </w:p>
        </w:tc>
        <w:tc>
          <w:tcPr>
            <w:tcW w:w="1440" w:type="dxa"/>
            <w:noWrap/>
            <w:hideMark/>
          </w:tcPr>
          <w:p w:rsidR="002C6039" w:rsidRPr="004A1196" w:rsidRDefault="002C6039" w:rsidP="004C46EF">
            <w:pPr>
              <w:spacing w:before="0" w:after="0"/>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-13.3%</w:t>
            </w:r>
          </w:p>
        </w:tc>
      </w:tr>
      <w:tr w:rsidR="004A1196" w:rsidRPr="004A1196" w:rsidTr="004C46EF">
        <w:trPr>
          <w:cnfStyle w:val="000000010000" w:firstRow="0" w:lastRow="0" w:firstColumn="0" w:lastColumn="0" w:oddVBand="0" w:evenVBand="0" w:oddHBand="0" w:evenHBand="1" w:firstRowFirstColumn="0" w:firstRowLastColumn="0" w:lastRowFirstColumn="0" w:lastRowLastColumn="0"/>
          <w:trHeight w:val="300"/>
        </w:trPr>
        <w:tc>
          <w:tcPr>
            <w:tcW w:w="1620" w:type="dxa"/>
            <w:noWrap/>
            <w:hideMark/>
          </w:tcPr>
          <w:p w:rsidR="002C6039" w:rsidRPr="004A1196" w:rsidRDefault="002C6039" w:rsidP="004C46EF">
            <w:pPr>
              <w:spacing w:before="0" w:after="0"/>
              <w:rPr>
                <w:rFonts w:eastAsia="Times New Roman" w:cs="Calibri"/>
                <w:color w:val="0B2B43" w:themeColor="text2" w:themeShade="80"/>
                <w:sz w:val="22"/>
                <w:szCs w:val="22"/>
                <w:lang w:eastAsia="en-AU"/>
              </w:rPr>
            </w:pPr>
            <w:proofErr w:type="spellStart"/>
            <w:r w:rsidRPr="004A1196">
              <w:rPr>
                <w:rFonts w:eastAsia="Times New Roman" w:cs="Calibri"/>
                <w:color w:val="0B2B43" w:themeColor="text2" w:themeShade="80"/>
                <w:sz w:val="22"/>
                <w:szCs w:val="22"/>
                <w:lang w:eastAsia="en-AU"/>
              </w:rPr>
              <w:t>RT</w:t>
            </w:r>
            <w:r w:rsidR="0031385A">
              <w:rPr>
                <w:rFonts w:eastAsia="Times New Roman" w:cs="Calibri"/>
                <w:color w:val="0B2B43" w:themeColor="text2" w:themeShade="80"/>
                <w:sz w:val="22"/>
                <w:szCs w:val="22"/>
                <w:lang w:eastAsia="en-AU"/>
              </w:rPr>
              <w:t>P</w:t>
            </w:r>
            <w:proofErr w:type="spellEnd"/>
          </w:p>
        </w:tc>
        <w:tc>
          <w:tcPr>
            <w:tcW w:w="1269" w:type="dxa"/>
            <w:noWrap/>
            <w:hideMark/>
          </w:tcPr>
          <w:p w:rsidR="002C6039" w:rsidRPr="004A1196" w:rsidRDefault="002C6039" w:rsidP="004C46EF">
            <w:pPr>
              <w:spacing w:before="0" w:after="0"/>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0.0%</w:t>
            </w:r>
          </w:p>
        </w:tc>
        <w:tc>
          <w:tcPr>
            <w:tcW w:w="1063" w:type="dxa"/>
            <w:noWrap/>
            <w:hideMark/>
          </w:tcPr>
          <w:p w:rsidR="002C6039" w:rsidRPr="004A1196" w:rsidRDefault="002C6039" w:rsidP="004C46EF">
            <w:pPr>
              <w:spacing w:before="0" w:after="0"/>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6.1%</w:t>
            </w:r>
          </w:p>
        </w:tc>
        <w:tc>
          <w:tcPr>
            <w:tcW w:w="1088" w:type="dxa"/>
            <w:noWrap/>
            <w:hideMark/>
          </w:tcPr>
          <w:p w:rsidR="002C6039" w:rsidRPr="004A1196" w:rsidRDefault="002C6039" w:rsidP="004C46EF">
            <w:pPr>
              <w:spacing w:before="0" w:after="0"/>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3.9%</w:t>
            </w:r>
          </w:p>
        </w:tc>
        <w:tc>
          <w:tcPr>
            <w:tcW w:w="1440" w:type="dxa"/>
            <w:noWrap/>
            <w:hideMark/>
          </w:tcPr>
          <w:p w:rsidR="002C6039" w:rsidRPr="004A1196" w:rsidRDefault="002C6039" w:rsidP="004C46EF">
            <w:pPr>
              <w:spacing w:before="0" w:after="0"/>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0.0%</w:t>
            </w:r>
          </w:p>
        </w:tc>
        <w:tc>
          <w:tcPr>
            <w:tcW w:w="1440" w:type="dxa"/>
            <w:noWrap/>
            <w:hideMark/>
          </w:tcPr>
          <w:p w:rsidR="002C6039" w:rsidRPr="004A1196" w:rsidRDefault="002C6039" w:rsidP="004C46EF">
            <w:pPr>
              <w:spacing w:before="0" w:after="0"/>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-10.0%</w:t>
            </w:r>
          </w:p>
        </w:tc>
        <w:tc>
          <w:tcPr>
            <w:tcW w:w="1440" w:type="dxa"/>
            <w:noWrap/>
            <w:hideMark/>
          </w:tcPr>
          <w:p w:rsidR="002C6039" w:rsidRPr="004A1196" w:rsidRDefault="002C6039" w:rsidP="004C46EF">
            <w:pPr>
              <w:spacing w:before="0" w:after="0"/>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0.0%</w:t>
            </w:r>
          </w:p>
        </w:tc>
      </w:tr>
      <w:tr w:rsidR="004A1196" w:rsidRPr="004A1196" w:rsidTr="004C46EF">
        <w:trPr>
          <w:trHeight w:val="300"/>
        </w:trPr>
        <w:tc>
          <w:tcPr>
            <w:tcW w:w="1620" w:type="dxa"/>
            <w:noWrap/>
            <w:hideMark/>
          </w:tcPr>
          <w:p w:rsidR="002C6039" w:rsidRPr="004A1196" w:rsidRDefault="002C6039" w:rsidP="004C46EF">
            <w:pPr>
              <w:spacing w:before="0" w:after="0"/>
              <w:rPr>
                <w:rFonts w:eastAsia="Times New Roman" w:cs="Calibri"/>
                <w:color w:val="0B2B43" w:themeColor="text2" w:themeShade="80"/>
                <w:sz w:val="22"/>
                <w:szCs w:val="22"/>
                <w:lang w:eastAsia="en-AU"/>
              </w:rPr>
            </w:pPr>
            <w:proofErr w:type="spellStart"/>
            <w:r w:rsidRPr="004A1196">
              <w:rPr>
                <w:rFonts w:eastAsia="Times New Roman" w:cs="Calibri"/>
                <w:color w:val="0B2B43" w:themeColor="text2" w:themeShade="80"/>
                <w:sz w:val="22"/>
                <w:szCs w:val="22"/>
                <w:lang w:eastAsia="en-AU"/>
              </w:rPr>
              <w:t>RBG</w:t>
            </w:r>
            <w:proofErr w:type="spellEnd"/>
          </w:p>
        </w:tc>
        <w:tc>
          <w:tcPr>
            <w:tcW w:w="1269" w:type="dxa"/>
            <w:noWrap/>
            <w:hideMark/>
          </w:tcPr>
          <w:p w:rsidR="002C6039" w:rsidRPr="004A1196" w:rsidRDefault="002C6039" w:rsidP="004C46EF">
            <w:pPr>
              <w:spacing w:before="0" w:after="0"/>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0.0%</w:t>
            </w:r>
          </w:p>
        </w:tc>
        <w:tc>
          <w:tcPr>
            <w:tcW w:w="1063" w:type="dxa"/>
            <w:noWrap/>
            <w:hideMark/>
          </w:tcPr>
          <w:p w:rsidR="002C6039" w:rsidRPr="004A1196" w:rsidRDefault="002C6039" w:rsidP="004C46EF">
            <w:pPr>
              <w:spacing w:before="0" w:after="0"/>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0.7%</w:t>
            </w:r>
          </w:p>
        </w:tc>
        <w:tc>
          <w:tcPr>
            <w:tcW w:w="1088" w:type="dxa"/>
            <w:noWrap/>
            <w:hideMark/>
          </w:tcPr>
          <w:p w:rsidR="002C6039" w:rsidRPr="004A1196" w:rsidRDefault="002C6039" w:rsidP="004C46EF">
            <w:pPr>
              <w:spacing w:before="0" w:after="0"/>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13.0%</w:t>
            </w:r>
          </w:p>
        </w:tc>
        <w:tc>
          <w:tcPr>
            <w:tcW w:w="1440" w:type="dxa"/>
            <w:noWrap/>
            <w:hideMark/>
          </w:tcPr>
          <w:p w:rsidR="002C6039" w:rsidRPr="004A1196" w:rsidRDefault="002C6039" w:rsidP="004C46EF">
            <w:pPr>
              <w:spacing w:before="0" w:after="0"/>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0.0%</w:t>
            </w:r>
          </w:p>
        </w:tc>
        <w:tc>
          <w:tcPr>
            <w:tcW w:w="1440" w:type="dxa"/>
            <w:noWrap/>
            <w:hideMark/>
          </w:tcPr>
          <w:p w:rsidR="002C6039" w:rsidRPr="004A1196" w:rsidRDefault="002C6039" w:rsidP="004C46EF">
            <w:pPr>
              <w:spacing w:before="0" w:after="0"/>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-7.4%</w:t>
            </w:r>
          </w:p>
        </w:tc>
        <w:tc>
          <w:tcPr>
            <w:tcW w:w="1440" w:type="dxa"/>
            <w:noWrap/>
            <w:hideMark/>
          </w:tcPr>
          <w:p w:rsidR="002C6039" w:rsidRPr="004A1196" w:rsidRDefault="002C6039" w:rsidP="004C46EF">
            <w:pPr>
              <w:spacing w:before="0" w:after="0"/>
              <w:jc w:val="center"/>
              <w:rPr>
                <w:rFonts w:eastAsia="Times New Roman" w:cs="Calibri"/>
                <w:color w:val="0B2B43" w:themeColor="text2" w:themeShade="80"/>
                <w:sz w:val="22"/>
                <w:szCs w:val="22"/>
                <w:lang w:eastAsia="en-AU"/>
              </w:rPr>
            </w:pPr>
            <w:r w:rsidRPr="004A1196">
              <w:rPr>
                <w:rFonts w:eastAsia="Times New Roman" w:cs="Calibri"/>
                <w:color w:val="0B2B43" w:themeColor="text2" w:themeShade="80"/>
                <w:sz w:val="22"/>
                <w:szCs w:val="22"/>
                <w:lang w:eastAsia="en-AU"/>
              </w:rPr>
              <w:t>-6.2%</w:t>
            </w:r>
          </w:p>
        </w:tc>
      </w:tr>
    </w:tbl>
    <w:p w:rsidR="002C6039" w:rsidRPr="004A1196" w:rsidRDefault="002C6039" w:rsidP="00956568">
      <w:pPr>
        <w:pStyle w:val="Source"/>
        <w:spacing w:before="0"/>
        <w:rPr>
          <w:rFonts w:eastAsia="Calibri"/>
          <w:color w:val="0B2B43" w:themeColor="text2" w:themeShade="80"/>
        </w:rPr>
      </w:pPr>
      <w:r w:rsidRPr="004A1196">
        <w:rPr>
          <w:rFonts w:eastAsia="Calibri"/>
          <w:color w:val="0B2B43" w:themeColor="text2" w:themeShade="80"/>
        </w:rPr>
        <w:t>Source: Department of Education and Training</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Support for the indirect costs of </w:t>
      </w:r>
      <w:proofErr w:type="spellStart"/>
      <w:r w:rsidR="00504687">
        <w:rPr>
          <w:rFonts w:eastAsia="Calibri"/>
          <w:color w:val="0B2B43" w:themeColor="text2" w:themeShade="80"/>
        </w:rPr>
        <w:t>ACG</w:t>
      </w:r>
      <w:proofErr w:type="spellEnd"/>
      <w:r w:rsidR="00504687">
        <w:rPr>
          <w:rFonts w:eastAsia="Calibri"/>
          <w:color w:val="0B2B43" w:themeColor="text2" w:themeShade="80"/>
        </w:rPr>
        <w:t xml:space="preserve"> </w:t>
      </w:r>
      <w:r w:rsidRPr="004A1196">
        <w:rPr>
          <w:rFonts w:eastAsia="Calibri"/>
          <w:color w:val="0B2B43" w:themeColor="text2" w:themeShade="80"/>
        </w:rPr>
        <w:t>thr</w:t>
      </w:r>
      <w:r w:rsidR="004E2FF5">
        <w:rPr>
          <w:rFonts w:eastAsia="Calibri"/>
          <w:color w:val="0B2B43" w:themeColor="text2" w:themeShade="80"/>
        </w:rPr>
        <w:t xml:space="preserve">ough the Research Support </w:t>
      </w:r>
      <w:r w:rsidR="0031385A">
        <w:rPr>
          <w:rFonts w:eastAsia="Calibri"/>
          <w:color w:val="0B2B43" w:themeColor="text2" w:themeShade="80"/>
        </w:rPr>
        <w:t>P</w:t>
      </w:r>
      <w:r w:rsidR="004E2FF5">
        <w:rPr>
          <w:rFonts w:eastAsia="Calibri"/>
          <w:color w:val="0B2B43" w:themeColor="text2" w:themeShade="80"/>
        </w:rPr>
        <w:t>rogramme</w:t>
      </w:r>
      <w:r w:rsidRPr="004A1196">
        <w:rPr>
          <w:rFonts w:eastAsia="Calibri"/>
          <w:color w:val="0B2B43" w:themeColor="text2" w:themeShade="80"/>
        </w:rPr>
        <w:t>, as reflected by the level of funding driven by Category 1 income, decreases by 5.5 per cent, from $46</w:t>
      </w:r>
      <w:r w:rsidR="00366E47">
        <w:rPr>
          <w:rFonts w:eastAsia="Calibri"/>
          <w:color w:val="0B2B43" w:themeColor="text2" w:themeShade="80"/>
        </w:rPr>
        <w:t>3.7</w:t>
      </w:r>
      <w:r w:rsidR="0065502C">
        <w:rPr>
          <w:rFonts w:eastAsia="Calibri"/>
          <w:color w:val="0B2B43" w:themeColor="text2" w:themeShade="80"/>
        </w:rPr>
        <w:t> </w:t>
      </w:r>
      <w:r w:rsidRPr="004A1196">
        <w:rPr>
          <w:rFonts w:eastAsia="Calibri"/>
          <w:color w:val="0B2B43" w:themeColor="text2" w:themeShade="80"/>
        </w:rPr>
        <w:t>million to $417.5 million in the new model, or from 55.5 per cent of research support grants to 50</w:t>
      </w:r>
      <w:r w:rsidR="00366E47">
        <w:rPr>
          <w:rFonts w:eastAsia="Calibri"/>
          <w:color w:val="0B2B43" w:themeColor="text2" w:themeShade="80"/>
        </w:rPr>
        <w:t>.0</w:t>
      </w:r>
      <w:r w:rsidRPr="004A1196">
        <w:rPr>
          <w:rFonts w:eastAsia="Calibri"/>
          <w:color w:val="0B2B43" w:themeColor="text2" w:themeShade="80"/>
        </w:rPr>
        <w:t xml:space="preserve"> per cent</w:t>
      </w:r>
      <w:r w:rsidR="00B822FC">
        <w:rPr>
          <w:rFonts w:eastAsia="Calibri"/>
          <w:color w:val="0B2B43" w:themeColor="text2" w:themeShade="80"/>
        </w:rPr>
        <w:t xml:space="preserve"> (see Table 3(</w:t>
      </w:r>
      <w:r w:rsidR="005756CA">
        <w:rPr>
          <w:rFonts w:eastAsia="Calibri"/>
          <w:color w:val="0B2B43" w:themeColor="text2" w:themeShade="80"/>
        </w:rPr>
        <w:t>ii))</w:t>
      </w:r>
      <w:r w:rsidRPr="004A1196">
        <w:rPr>
          <w:rFonts w:eastAsia="Calibri"/>
          <w:color w:val="0B2B43" w:themeColor="text2" w:themeShade="80"/>
        </w:rPr>
        <w:t>. This represents a decrease from the current level of slightly less than 25 cents in the dollar p</w:t>
      </w:r>
      <w:r w:rsidR="00B822FC">
        <w:rPr>
          <w:rFonts w:eastAsia="Calibri"/>
          <w:color w:val="0B2B43" w:themeColor="text2" w:themeShade="80"/>
        </w:rPr>
        <w:t xml:space="preserve">rovided by </w:t>
      </w:r>
      <w:proofErr w:type="spellStart"/>
      <w:r w:rsidR="00B822FC">
        <w:rPr>
          <w:rFonts w:eastAsia="Calibri"/>
          <w:color w:val="0B2B43" w:themeColor="text2" w:themeShade="80"/>
        </w:rPr>
        <w:t>RIBG</w:t>
      </w:r>
      <w:proofErr w:type="spellEnd"/>
      <w:r w:rsidR="00B822FC">
        <w:rPr>
          <w:rFonts w:eastAsia="Calibri"/>
          <w:color w:val="0B2B43" w:themeColor="text2" w:themeShade="80"/>
        </w:rPr>
        <w:t xml:space="preserve"> and </w:t>
      </w:r>
      <w:proofErr w:type="spellStart"/>
      <w:r w:rsidR="00B822FC">
        <w:rPr>
          <w:rFonts w:eastAsia="Calibri"/>
          <w:color w:val="0B2B43" w:themeColor="text2" w:themeShade="80"/>
        </w:rPr>
        <w:t>SRE</w:t>
      </w:r>
      <w:proofErr w:type="spellEnd"/>
      <w:r w:rsidR="00B822FC">
        <w:rPr>
          <w:rFonts w:eastAsia="Calibri"/>
          <w:color w:val="0B2B43" w:themeColor="text2" w:themeShade="80"/>
        </w:rPr>
        <w:t xml:space="preserve"> to 22.5 </w:t>
      </w:r>
      <w:r w:rsidRPr="004A1196">
        <w:rPr>
          <w:rFonts w:eastAsia="Calibri"/>
          <w:color w:val="0B2B43" w:themeColor="text2" w:themeShade="80"/>
        </w:rPr>
        <w:t xml:space="preserve">cents in the dollar. However, at 22.5 cents, indirect cost support has remained well within the 20-25 cent range prevailing since the introduction of </w:t>
      </w:r>
      <w:proofErr w:type="spellStart"/>
      <w:r w:rsidRPr="004A1196">
        <w:rPr>
          <w:rFonts w:eastAsia="Calibri"/>
          <w:color w:val="0B2B43" w:themeColor="text2" w:themeShade="80"/>
        </w:rPr>
        <w:t>RBG</w:t>
      </w:r>
      <w:proofErr w:type="spellEnd"/>
      <w:r w:rsidRPr="004A1196">
        <w:rPr>
          <w:rFonts w:eastAsia="Calibri"/>
          <w:color w:val="0B2B43" w:themeColor="text2" w:themeShade="80"/>
        </w:rPr>
        <w:t xml:space="preserve">. The review has concluded that, on balance, the disadvantages of this small decrease </w:t>
      </w:r>
      <w:proofErr w:type="gramStart"/>
      <w:r w:rsidRPr="004A1196">
        <w:rPr>
          <w:rFonts w:eastAsia="Calibri"/>
          <w:color w:val="0B2B43" w:themeColor="text2" w:themeShade="80"/>
        </w:rPr>
        <w:t>are outweighed</w:t>
      </w:r>
      <w:proofErr w:type="gramEnd"/>
      <w:r w:rsidRPr="004A1196">
        <w:rPr>
          <w:rFonts w:eastAsia="Calibri"/>
          <w:color w:val="0B2B43" w:themeColor="text2" w:themeShade="80"/>
        </w:rPr>
        <w:t xml:space="preserve"> by the benefits of the new model.</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The importance of Category 1 income in allocating funding dollars </w:t>
      </w:r>
      <w:proofErr w:type="gramStart"/>
      <w:r w:rsidRPr="004A1196">
        <w:rPr>
          <w:rFonts w:eastAsia="Calibri"/>
          <w:color w:val="0B2B43" w:themeColor="text2" w:themeShade="80"/>
        </w:rPr>
        <w:t>is not diminished</w:t>
      </w:r>
      <w:proofErr w:type="gramEnd"/>
      <w:r w:rsidRPr="004A1196">
        <w:rPr>
          <w:rFonts w:eastAsia="Calibri"/>
          <w:color w:val="0B2B43" w:themeColor="text2" w:themeShade="80"/>
        </w:rPr>
        <w:t xml:space="preserve"> by this change. </w:t>
      </w:r>
      <w:proofErr w:type="gramStart"/>
      <w:r w:rsidRPr="004A1196">
        <w:rPr>
          <w:rFonts w:eastAsia="Calibri"/>
          <w:color w:val="0B2B43" w:themeColor="text2" w:themeShade="80"/>
        </w:rPr>
        <w:t xml:space="preserve">The </w:t>
      </w:r>
      <w:r w:rsidR="00366E47">
        <w:rPr>
          <w:rFonts w:eastAsia="Calibri"/>
          <w:color w:val="0B2B43" w:themeColor="text2" w:themeShade="80"/>
        </w:rPr>
        <w:t>proportion of research training</w:t>
      </w:r>
      <w:r w:rsidRPr="004A1196">
        <w:rPr>
          <w:rFonts w:eastAsia="Calibri"/>
          <w:color w:val="0B2B43" w:themeColor="text2" w:themeShade="80"/>
        </w:rPr>
        <w:t xml:space="preserve"> driven by Category 1 income increases from 18.9 per cent to 25</w:t>
      </w:r>
      <w:r w:rsidR="00366E47">
        <w:rPr>
          <w:rFonts w:eastAsia="Calibri"/>
          <w:color w:val="0B2B43" w:themeColor="text2" w:themeShade="80"/>
        </w:rPr>
        <w:t>.0</w:t>
      </w:r>
      <w:r w:rsidRPr="004A1196">
        <w:rPr>
          <w:rFonts w:eastAsia="Calibri"/>
          <w:color w:val="0B2B43" w:themeColor="text2" w:themeShade="80"/>
        </w:rPr>
        <w:t xml:space="preserve"> per cent.</w:t>
      </w:r>
      <w:proofErr w:type="gramEnd"/>
      <w:r w:rsidRPr="004A1196">
        <w:rPr>
          <w:rFonts w:eastAsia="Calibri"/>
          <w:color w:val="0B2B43" w:themeColor="text2" w:themeShade="80"/>
        </w:rPr>
        <w:t xml:space="preserve"> Across both new </w:t>
      </w:r>
      <w:proofErr w:type="spellStart"/>
      <w:r w:rsidRPr="004A1196">
        <w:rPr>
          <w:rFonts w:eastAsia="Calibri"/>
          <w:color w:val="0B2B43" w:themeColor="text2" w:themeShade="80"/>
        </w:rPr>
        <w:t>RBG</w:t>
      </w:r>
      <w:proofErr w:type="spellEnd"/>
      <w:r w:rsidRPr="004A1196">
        <w:rPr>
          <w:rFonts w:eastAsia="Calibri"/>
          <w:color w:val="0B2B43" w:themeColor="text2" w:themeShade="80"/>
        </w:rPr>
        <w:t xml:space="preserve"> programmes, the proportion of grants driven by Category 1 income </w:t>
      </w:r>
      <w:proofErr w:type="gramStart"/>
      <w:r w:rsidRPr="004A1196">
        <w:rPr>
          <w:rFonts w:eastAsia="Calibri"/>
          <w:color w:val="0B2B43" w:themeColor="text2" w:themeShade="80"/>
        </w:rPr>
        <w:t>is maintained</w:t>
      </w:r>
      <w:proofErr w:type="gramEnd"/>
      <w:r w:rsidRPr="004A1196">
        <w:rPr>
          <w:rFonts w:eastAsia="Calibri"/>
          <w:color w:val="0B2B43" w:themeColor="text2" w:themeShade="80"/>
        </w:rPr>
        <w:t>, increasing slightly from 36</w:t>
      </w:r>
      <w:r w:rsidR="00366E47">
        <w:rPr>
          <w:rFonts w:eastAsia="Calibri"/>
          <w:color w:val="0B2B43" w:themeColor="text2" w:themeShade="80"/>
        </w:rPr>
        <w:t>.0</w:t>
      </w:r>
      <w:r w:rsidR="00CA269E">
        <w:rPr>
          <w:rFonts w:eastAsia="Calibri"/>
          <w:color w:val="0B2B43" w:themeColor="text2" w:themeShade="80"/>
        </w:rPr>
        <w:t> per cent to 36.7 per </w:t>
      </w:r>
      <w:r w:rsidRPr="004A1196">
        <w:rPr>
          <w:rFonts w:eastAsia="Calibri"/>
          <w:color w:val="0B2B43" w:themeColor="text2" w:themeShade="80"/>
        </w:rPr>
        <w:t>cent</w:t>
      </w:r>
      <w:r w:rsidR="005756CA">
        <w:rPr>
          <w:rFonts w:eastAsia="Calibri"/>
          <w:color w:val="0B2B43" w:themeColor="text2" w:themeShade="80"/>
        </w:rPr>
        <w:t xml:space="preserve"> (see Table 3(ii))</w:t>
      </w:r>
      <w:r w:rsidRPr="004A1196">
        <w:rPr>
          <w:rFonts w:eastAsia="Calibri"/>
          <w:color w:val="0B2B43" w:themeColor="text2" w:themeShade="80"/>
        </w:rPr>
        <w:t>.</w:t>
      </w:r>
    </w:p>
    <w:p w:rsidR="002C6039" w:rsidRDefault="002C6039" w:rsidP="002C6039">
      <w:pPr>
        <w:rPr>
          <w:rFonts w:eastAsia="Calibri"/>
          <w:color w:val="0B2B43" w:themeColor="text2" w:themeShade="80"/>
        </w:rPr>
      </w:pPr>
      <w:r w:rsidRPr="004A1196">
        <w:rPr>
          <w:rFonts w:eastAsia="Calibri"/>
          <w:color w:val="0B2B43" w:themeColor="text2" w:themeShade="80"/>
        </w:rPr>
        <w:t xml:space="preserve">There was broad support expressed during review consultations for the approach embodied in the new model on the basis it would simplify formulae used in </w:t>
      </w:r>
      <w:proofErr w:type="spellStart"/>
      <w:r w:rsidR="00B33F82">
        <w:rPr>
          <w:rFonts w:eastAsia="Calibri"/>
          <w:color w:val="0B2B43" w:themeColor="text2" w:themeShade="80"/>
        </w:rPr>
        <w:t>RBG</w:t>
      </w:r>
      <w:proofErr w:type="spellEnd"/>
      <w:r w:rsidRPr="004A1196">
        <w:rPr>
          <w:rFonts w:eastAsia="Calibri"/>
          <w:color w:val="0B2B43" w:themeColor="text2" w:themeShade="80"/>
        </w:rPr>
        <w:t xml:space="preserve"> calculation and because it provided clearer signals about government priorities for university research. </w:t>
      </w:r>
    </w:p>
    <w:p w:rsidR="0031385A" w:rsidRPr="004A1196" w:rsidRDefault="0031385A" w:rsidP="002C6039">
      <w:pPr>
        <w:rPr>
          <w:rFonts w:eastAsia="Calibri"/>
          <w:color w:val="0B2B43" w:themeColor="text2" w:themeShade="80"/>
        </w:rPr>
      </w:pPr>
    </w:p>
    <w:p w:rsidR="002C6039" w:rsidRPr="004A1196" w:rsidRDefault="002C6039" w:rsidP="002C6039">
      <w:pPr>
        <w:pStyle w:val="RIHeading3"/>
        <w:rPr>
          <w:rFonts w:eastAsia="Times New Roman"/>
          <w:color w:val="0B2B43" w:themeColor="text2" w:themeShade="80"/>
        </w:rPr>
      </w:pPr>
      <w:bookmarkStart w:id="157" w:name="_Toc436651830"/>
      <w:bookmarkStart w:id="158" w:name="_Toc436659638"/>
      <w:bookmarkStart w:id="159" w:name="_Toc436660136"/>
      <w:r w:rsidRPr="004A1196">
        <w:rPr>
          <w:rFonts w:eastAsia="Times New Roman"/>
          <w:color w:val="0B2B43" w:themeColor="text2" w:themeShade="80"/>
        </w:rPr>
        <w:t>Benefits of the new model</w:t>
      </w:r>
      <w:bookmarkEnd w:id="157"/>
      <w:bookmarkEnd w:id="158"/>
      <w:bookmarkEnd w:id="159"/>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The recommended single </w:t>
      </w:r>
      <w:r w:rsidRPr="004A1196">
        <w:rPr>
          <w:rFonts w:eastAsia="Calibri"/>
          <w:b/>
          <w:color w:val="0B2B43" w:themeColor="text2" w:themeShade="80"/>
        </w:rPr>
        <w:t>Research Support</w:t>
      </w:r>
      <w:r w:rsidRPr="004A1196">
        <w:rPr>
          <w:rFonts w:eastAsia="Calibri"/>
          <w:color w:val="0B2B43" w:themeColor="text2" w:themeShade="80"/>
        </w:rPr>
        <w:t xml:space="preserve"> </w:t>
      </w:r>
      <w:r w:rsidR="0031385A">
        <w:rPr>
          <w:rFonts w:eastAsia="Calibri"/>
          <w:color w:val="0B2B43" w:themeColor="text2" w:themeShade="80"/>
        </w:rPr>
        <w:t>P</w:t>
      </w:r>
      <w:r w:rsidRPr="004A1196">
        <w:rPr>
          <w:rFonts w:eastAsia="Calibri"/>
          <w:color w:val="0B2B43" w:themeColor="text2" w:themeShade="80"/>
        </w:rPr>
        <w:t xml:space="preserve">rogramme achieves the policy goals </w:t>
      </w:r>
      <w:proofErr w:type="gramStart"/>
      <w:r w:rsidRPr="004A1196">
        <w:rPr>
          <w:rFonts w:eastAsia="Calibri"/>
          <w:color w:val="0B2B43" w:themeColor="text2" w:themeShade="80"/>
        </w:rPr>
        <w:t>of</w:t>
      </w:r>
      <w:proofErr w:type="gramEnd"/>
      <w:r w:rsidRPr="004A1196">
        <w:rPr>
          <w:rFonts w:eastAsia="Calibri"/>
          <w:color w:val="0B2B43" w:themeColor="text2" w:themeShade="80"/>
        </w:rPr>
        <w:t>:</w:t>
      </w:r>
    </w:p>
    <w:p w:rsidR="002C6039" w:rsidRPr="004A1196" w:rsidRDefault="002C6039" w:rsidP="002C6039">
      <w:pPr>
        <w:pStyle w:val="ListParagraph"/>
        <w:numPr>
          <w:ilvl w:val="0"/>
          <w:numId w:val="31"/>
        </w:numPr>
        <w:rPr>
          <w:rFonts w:eastAsia="Calibri"/>
          <w:color w:val="0B2B43" w:themeColor="text2" w:themeShade="80"/>
        </w:rPr>
      </w:pPr>
      <w:r w:rsidRPr="004A1196">
        <w:rPr>
          <w:rFonts w:eastAsia="Calibri"/>
          <w:color w:val="0B2B43" w:themeColor="text2" w:themeShade="80"/>
        </w:rPr>
        <w:t xml:space="preserve">simplifying the current arrangements — by combining three schemes into one, removing student load and publications and removing complexities in the </w:t>
      </w:r>
      <w:proofErr w:type="spellStart"/>
      <w:r w:rsidRPr="004A1196">
        <w:rPr>
          <w:rFonts w:eastAsia="Calibri"/>
          <w:color w:val="0B2B43" w:themeColor="text2" w:themeShade="80"/>
        </w:rPr>
        <w:t>SRE</w:t>
      </w:r>
      <w:proofErr w:type="spellEnd"/>
      <w:r w:rsidRPr="004A1196">
        <w:rPr>
          <w:rFonts w:eastAsia="Calibri"/>
          <w:color w:val="0B2B43" w:themeColor="text2" w:themeShade="80"/>
        </w:rPr>
        <w:t xml:space="preserve"> funding arrangements</w:t>
      </w:r>
    </w:p>
    <w:p w:rsidR="002C6039" w:rsidRPr="004A1196" w:rsidRDefault="002C6039" w:rsidP="002C6039">
      <w:pPr>
        <w:pStyle w:val="ListParagraph"/>
        <w:numPr>
          <w:ilvl w:val="0"/>
          <w:numId w:val="31"/>
        </w:numPr>
        <w:rPr>
          <w:rFonts w:eastAsia="Calibri"/>
          <w:color w:val="0B2B43" w:themeColor="text2" w:themeShade="80"/>
        </w:rPr>
      </w:pPr>
      <w:r w:rsidRPr="004A1196">
        <w:rPr>
          <w:rFonts w:eastAsia="Calibri"/>
          <w:color w:val="0B2B43" w:themeColor="text2" w:themeShade="80"/>
        </w:rPr>
        <w:t xml:space="preserve">establishing clearer incentives for business and other </w:t>
      </w:r>
      <w:r w:rsidR="003904BC">
        <w:rPr>
          <w:rFonts w:eastAsia="Calibri"/>
          <w:color w:val="0B2B43" w:themeColor="text2" w:themeShade="80"/>
        </w:rPr>
        <w:t>end user</w:t>
      </w:r>
      <w:r w:rsidRPr="004A1196">
        <w:rPr>
          <w:rFonts w:eastAsia="Calibri"/>
          <w:color w:val="0B2B43" w:themeColor="text2" w:themeShade="80"/>
        </w:rPr>
        <w:t xml:space="preserve"> engagement — including by increasing the weighting for Category 2, 3 and 4 income from its present 45 per cent to 50 per cent to reward this activity</w:t>
      </w:r>
    </w:p>
    <w:p w:rsidR="002C6039" w:rsidRPr="004A1196" w:rsidRDefault="002C6039" w:rsidP="002C6039">
      <w:pPr>
        <w:pStyle w:val="ListParagraph"/>
        <w:numPr>
          <w:ilvl w:val="0"/>
          <w:numId w:val="31"/>
        </w:numPr>
        <w:rPr>
          <w:rFonts w:eastAsia="Calibri"/>
          <w:color w:val="0B2B43" w:themeColor="text2" w:themeShade="80"/>
        </w:rPr>
      </w:pPr>
      <w:proofErr w:type="gramStart"/>
      <w:r w:rsidRPr="004A1196">
        <w:rPr>
          <w:rFonts w:eastAsia="Calibri"/>
          <w:color w:val="0B2B43" w:themeColor="text2" w:themeShade="80"/>
        </w:rPr>
        <w:t>emphasising</w:t>
      </w:r>
      <w:proofErr w:type="gramEnd"/>
      <w:r w:rsidRPr="004A1196">
        <w:rPr>
          <w:rFonts w:eastAsia="Calibri"/>
          <w:color w:val="0B2B43" w:themeColor="text2" w:themeShade="80"/>
        </w:rPr>
        <w:t xml:space="preserve"> clearly that excellence and engagement are equally important elements of university research</w:t>
      </w:r>
      <w:r w:rsidR="00956A6D" w:rsidRPr="004A1196">
        <w:rPr>
          <w:rFonts w:eastAsia="Calibri"/>
          <w:color w:val="0B2B43" w:themeColor="text2" w:themeShade="80"/>
        </w:rPr>
        <w:t>.</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The recommended single </w:t>
      </w:r>
      <w:r w:rsidRPr="004A1196">
        <w:rPr>
          <w:rFonts w:eastAsia="Calibri"/>
          <w:b/>
          <w:color w:val="0B2B43" w:themeColor="text2" w:themeShade="80"/>
        </w:rPr>
        <w:t>Research Training</w:t>
      </w:r>
      <w:r w:rsidRPr="004A1196">
        <w:rPr>
          <w:rFonts w:eastAsia="Calibri"/>
          <w:color w:val="0B2B43" w:themeColor="text2" w:themeShade="80"/>
        </w:rPr>
        <w:t xml:space="preserve"> </w:t>
      </w:r>
      <w:r w:rsidR="0031385A">
        <w:rPr>
          <w:rFonts w:eastAsia="Calibri"/>
          <w:color w:val="0B2B43" w:themeColor="text2" w:themeShade="80"/>
        </w:rPr>
        <w:t>P</w:t>
      </w:r>
      <w:r w:rsidRPr="004A1196">
        <w:rPr>
          <w:rFonts w:eastAsia="Calibri"/>
          <w:color w:val="0B2B43" w:themeColor="text2" w:themeShade="80"/>
        </w:rPr>
        <w:t xml:space="preserve">rogramme achieves the policy goals </w:t>
      </w:r>
      <w:proofErr w:type="gramStart"/>
      <w:r w:rsidRPr="004A1196">
        <w:rPr>
          <w:rFonts w:eastAsia="Calibri"/>
          <w:color w:val="0B2B43" w:themeColor="text2" w:themeShade="80"/>
        </w:rPr>
        <w:t>of</w:t>
      </w:r>
      <w:proofErr w:type="gramEnd"/>
      <w:r w:rsidRPr="004A1196">
        <w:rPr>
          <w:rFonts w:eastAsia="Calibri"/>
          <w:color w:val="0B2B43" w:themeColor="text2" w:themeShade="80"/>
        </w:rPr>
        <w:t>:</w:t>
      </w:r>
    </w:p>
    <w:p w:rsidR="002C6039" w:rsidRPr="004A1196" w:rsidRDefault="002C6039" w:rsidP="002C6039">
      <w:pPr>
        <w:pStyle w:val="ListParagraph"/>
        <w:numPr>
          <w:ilvl w:val="0"/>
          <w:numId w:val="32"/>
        </w:numPr>
        <w:rPr>
          <w:rFonts w:eastAsia="Calibri"/>
          <w:color w:val="0B2B43" w:themeColor="text2" w:themeShade="80"/>
        </w:rPr>
      </w:pPr>
      <w:r w:rsidRPr="004A1196">
        <w:rPr>
          <w:rFonts w:eastAsia="Calibri"/>
          <w:color w:val="0B2B43" w:themeColor="text2" w:themeShade="80"/>
        </w:rPr>
        <w:t>simplifying the current arrangements — by combining three schemes into one and using two drivers to allocate funds, removing publications from the formula</w:t>
      </w:r>
    </w:p>
    <w:p w:rsidR="002C6039" w:rsidRPr="004A1196" w:rsidRDefault="002C6039" w:rsidP="002C6039">
      <w:pPr>
        <w:pStyle w:val="ListParagraph"/>
        <w:numPr>
          <w:ilvl w:val="0"/>
          <w:numId w:val="32"/>
        </w:numPr>
        <w:rPr>
          <w:rFonts w:eastAsia="Calibri"/>
          <w:color w:val="0B2B43" w:themeColor="text2" w:themeShade="80"/>
        </w:rPr>
      </w:pPr>
      <w:r w:rsidRPr="004A1196">
        <w:rPr>
          <w:rFonts w:eastAsia="Calibri"/>
          <w:color w:val="0B2B43" w:themeColor="text2" w:themeShade="80"/>
        </w:rPr>
        <w:t xml:space="preserve">providing more flexibility to universities to meet national and institutional priorities, such as increased numbers of students accessing business placements, and removing regulatory requirements </w:t>
      </w:r>
    </w:p>
    <w:p w:rsidR="002C6039" w:rsidRPr="004A1196" w:rsidRDefault="002C6039" w:rsidP="002C6039">
      <w:pPr>
        <w:pStyle w:val="ListParagraph"/>
        <w:numPr>
          <w:ilvl w:val="0"/>
          <w:numId w:val="32"/>
        </w:numPr>
        <w:rPr>
          <w:rFonts w:eastAsia="Calibri"/>
          <w:color w:val="0B2B43" w:themeColor="text2" w:themeShade="80"/>
        </w:rPr>
      </w:pPr>
      <w:r w:rsidRPr="004A1196">
        <w:rPr>
          <w:rFonts w:eastAsia="Calibri"/>
          <w:color w:val="0B2B43" w:themeColor="text2" w:themeShade="80"/>
        </w:rPr>
        <w:t>retaining a strong focus on completions, which is a measure of the effectiveness of the research training system</w:t>
      </w:r>
    </w:p>
    <w:p w:rsidR="002C6039" w:rsidRPr="004A1196" w:rsidRDefault="002C6039" w:rsidP="002C6039">
      <w:pPr>
        <w:pStyle w:val="ListParagraph"/>
        <w:numPr>
          <w:ilvl w:val="0"/>
          <w:numId w:val="32"/>
        </w:numPr>
        <w:rPr>
          <w:rFonts w:eastAsia="Calibri"/>
          <w:color w:val="0B2B43" w:themeColor="text2" w:themeShade="80"/>
        </w:rPr>
      </w:pPr>
      <w:r w:rsidRPr="004A1196">
        <w:rPr>
          <w:rFonts w:eastAsia="Calibri"/>
          <w:color w:val="0B2B43" w:themeColor="text2" w:themeShade="80"/>
        </w:rPr>
        <w:t>recognising that research training quality and excellence and engagement in research, as measured by research income, are equally important elements of the environment in which research training is delivered</w:t>
      </w:r>
      <w:r w:rsidR="00956A6D" w:rsidRPr="004A1196">
        <w:rPr>
          <w:rFonts w:eastAsia="Calibri"/>
          <w:color w:val="0B2B43" w:themeColor="text2" w:themeShade="80"/>
        </w:rPr>
        <w:t>.</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The Australian Council of Learned Academies (</w:t>
      </w:r>
      <w:proofErr w:type="spellStart"/>
      <w:r w:rsidRPr="004A1196">
        <w:rPr>
          <w:rFonts w:eastAsia="Calibri"/>
          <w:color w:val="0B2B43" w:themeColor="text2" w:themeShade="80"/>
        </w:rPr>
        <w:t>ACOLA</w:t>
      </w:r>
      <w:proofErr w:type="spellEnd"/>
      <w:r w:rsidRPr="004A1196">
        <w:rPr>
          <w:rFonts w:eastAsia="Calibri"/>
          <w:color w:val="0B2B43" w:themeColor="text2" w:themeShade="80"/>
        </w:rPr>
        <w:t xml:space="preserve">) is conducting a review Australia’s research training system and identifying areas for improvement. The </w:t>
      </w:r>
      <w:proofErr w:type="spellStart"/>
      <w:r w:rsidRPr="004A1196">
        <w:rPr>
          <w:rFonts w:eastAsia="Calibri"/>
          <w:color w:val="0B2B43" w:themeColor="text2" w:themeShade="80"/>
        </w:rPr>
        <w:t>ACOLA</w:t>
      </w:r>
      <w:proofErr w:type="spellEnd"/>
      <w:r w:rsidRPr="004A1196">
        <w:rPr>
          <w:rFonts w:eastAsia="Calibri"/>
          <w:color w:val="0B2B43" w:themeColor="text2" w:themeShade="80"/>
        </w:rPr>
        <w:t xml:space="preserve"> review will report in </w:t>
      </w:r>
      <w:r w:rsidR="0065502C">
        <w:rPr>
          <w:rFonts w:eastAsia="Calibri"/>
          <w:color w:val="0B2B43" w:themeColor="text2" w:themeShade="80"/>
        </w:rPr>
        <w:t xml:space="preserve">March </w:t>
      </w:r>
      <w:r w:rsidRPr="004A1196">
        <w:rPr>
          <w:rFonts w:eastAsia="Calibri"/>
          <w:color w:val="0B2B43" w:themeColor="text2" w:themeShade="80"/>
        </w:rPr>
        <w:t xml:space="preserve">2016. This review </w:t>
      </w:r>
      <w:proofErr w:type="gramStart"/>
      <w:r w:rsidRPr="004A1196">
        <w:rPr>
          <w:rFonts w:eastAsia="Calibri"/>
          <w:color w:val="0B2B43" w:themeColor="text2" w:themeShade="80"/>
        </w:rPr>
        <w:t>has been conducted</w:t>
      </w:r>
      <w:proofErr w:type="gramEnd"/>
      <w:r w:rsidRPr="004A1196">
        <w:rPr>
          <w:rFonts w:eastAsia="Calibri"/>
          <w:color w:val="0B2B43" w:themeColor="text2" w:themeShade="80"/>
        </w:rPr>
        <w:t xml:space="preserve"> in consultation with </w:t>
      </w:r>
      <w:proofErr w:type="spellStart"/>
      <w:r w:rsidRPr="004A1196">
        <w:rPr>
          <w:rFonts w:eastAsia="Calibri"/>
          <w:color w:val="0B2B43" w:themeColor="text2" w:themeShade="80"/>
        </w:rPr>
        <w:t>ACOLA</w:t>
      </w:r>
      <w:proofErr w:type="spellEnd"/>
      <w:r w:rsidRPr="004A1196">
        <w:rPr>
          <w:rFonts w:eastAsia="Calibri"/>
          <w:color w:val="0B2B43" w:themeColor="text2" w:themeShade="80"/>
        </w:rPr>
        <w:t xml:space="preserve"> to help ensure congruence between the findings and directions of the two reviews, where relevant. </w:t>
      </w:r>
      <w:proofErr w:type="spellStart"/>
      <w:r w:rsidRPr="004A1196">
        <w:rPr>
          <w:rFonts w:eastAsia="Calibri"/>
          <w:color w:val="0B2B43" w:themeColor="text2" w:themeShade="80"/>
        </w:rPr>
        <w:t>ACOLA</w:t>
      </w:r>
      <w:proofErr w:type="spellEnd"/>
      <w:r w:rsidRPr="004A1196">
        <w:rPr>
          <w:rFonts w:eastAsia="Calibri"/>
          <w:color w:val="0B2B43" w:themeColor="text2" w:themeShade="80"/>
        </w:rPr>
        <w:t xml:space="preserve"> has identified some emerging </w:t>
      </w:r>
      <w:proofErr w:type="gramStart"/>
      <w:r w:rsidRPr="004A1196">
        <w:rPr>
          <w:rFonts w:eastAsia="Calibri"/>
          <w:color w:val="0B2B43" w:themeColor="text2" w:themeShade="80"/>
        </w:rPr>
        <w:t>findings which</w:t>
      </w:r>
      <w:proofErr w:type="gramEnd"/>
      <w:r w:rsidRPr="004A1196">
        <w:rPr>
          <w:rFonts w:eastAsia="Calibri"/>
          <w:color w:val="0B2B43" w:themeColor="text2" w:themeShade="80"/>
        </w:rPr>
        <w:t xml:space="preserve"> will be tested and refined during the remaining period of their review. These findings relate to a very broad range of research training issues and include consideration of areas such as entry pathways, thesis examination</w:t>
      </w:r>
      <w:r w:rsidR="0012326B">
        <w:rPr>
          <w:rFonts w:eastAsia="Calibri"/>
          <w:color w:val="0B2B43" w:themeColor="text2" w:themeShade="80"/>
        </w:rPr>
        <w:t xml:space="preserve"> and</w:t>
      </w:r>
      <w:r w:rsidRPr="004A1196">
        <w:rPr>
          <w:rFonts w:eastAsia="Calibri"/>
          <w:color w:val="0B2B43" w:themeColor="text2" w:themeShade="80"/>
        </w:rPr>
        <w:t xml:space="preserve"> academic teaching training</w:t>
      </w:r>
      <w:r w:rsidR="0012326B">
        <w:rPr>
          <w:rFonts w:eastAsia="Calibri"/>
          <w:color w:val="0B2B43" w:themeColor="text2" w:themeShade="80"/>
        </w:rPr>
        <w:t>,</w:t>
      </w:r>
      <w:r w:rsidRPr="004A1196">
        <w:rPr>
          <w:rFonts w:eastAsia="Calibri"/>
          <w:color w:val="0B2B43" w:themeColor="text2" w:themeShade="80"/>
        </w:rPr>
        <w:t xml:space="preserve"> which are beyond the terms of reference for this review. Themes in </w:t>
      </w:r>
      <w:proofErr w:type="spellStart"/>
      <w:r w:rsidRPr="004A1196">
        <w:rPr>
          <w:rFonts w:eastAsia="Calibri"/>
          <w:color w:val="0B2B43" w:themeColor="text2" w:themeShade="80"/>
        </w:rPr>
        <w:t>ACOLA’s</w:t>
      </w:r>
      <w:proofErr w:type="spellEnd"/>
      <w:r w:rsidRPr="004A1196">
        <w:rPr>
          <w:rFonts w:eastAsia="Calibri"/>
          <w:color w:val="0B2B43" w:themeColor="text2" w:themeShade="80"/>
        </w:rPr>
        <w:t xml:space="preserve"> emerging findings which are relevant to this review and </w:t>
      </w:r>
      <w:proofErr w:type="spellStart"/>
      <w:r w:rsidRPr="004A1196">
        <w:rPr>
          <w:rFonts w:eastAsia="Calibri"/>
          <w:color w:val="0B2B43" w:themeColor="text2" w:themeShade="80"/>
        </w:rPr>
        <w:t>RBG</w:t>
      </w:r>
      <w:proofErr w:type="spellEnd"/>
      <w:r w:rsidRPr="004A1196">
        <w:rPr>
          <w:rFonts w:eastAsia="Calibri"/>
          <w:color w:val="0B2B43" w:themeColor="text2" w:themeShade="80"/>
        </w:rPr>
        <w:t xml:space="preserve"> arrangements in particular include support for doctoral training centres to promote industry involvement in research training; improving access to professional skills development; arrangements to combine academic and industry partners in the development and supervision of </w:t>
      </w:r>
      <w:proofErr w:type="spellStart"/>
      <w:r w:rsidRPr="004A1196">
        <w:rPr>
          <w:rFonts w:eastAsia="Calibri"/>
          <w:color w:val="0B2B43" w:themeColor="text2" w:themeShade="80"/>
        </w:rPr>
        <w:t>HDR</w:t>
      </w:r>
      <w:proofErr w:type="spellEnd"/>
      <w:r w:rsidRPr="004A1196">
        <w:rPr>
          <w:rFonts w:eastAsia="Calibri"/>
          <w:color w:val="0B2B43" w:themeColor="text2" w:themeShade="80"/>
        </w:rPr>
        <w:t xml:space="preserve"> research project</w:t>
      </w:r>
      <w:r w:rsidR="0031385A">
        <w:rPr>
          <w:rFonts w:eastAsia="Calibri"/>
          <w:color w:val="0B2B43" w:themeColor="text2" w:themeShade="80"/>
        </w:rPr>
        <w:t>s</w:t>
      </w:r>
      <w:r w:rsidRPr="004A1196">
        <w:rPr>
          <w:rFonts w:eastAsia="Calibri"/>
          <w:color w:val="0B2B43" w:themeColor="text2" w:themeShade="80"/>
        </w:rPr>
        <w:t>; and increasing support for industry internships and partnerships.</w:t>
      </w:r>
    </w:p>
    <w:p w:rsidR="002C6039" w:rsidRDefault="002C6039" w:rsidP="002C6039">
      <w:pPr>
        <w:rPr>
          <w:rFonts w:eastAsia="Calibri"/>
          <w:color w:val="0B2B43" w:themeColor="text2" w:themeShade="80"/>
        </w:rPr>
      </w:pPr>
      <w:r w:rsidRPr="004A1196">
        <w:rPr>
          <w:rFonts w:eastAsia="Calibri"/>
          <w:color w:val="0B2B43" w:themeColor="text2" w:themeShade="80"/>
        </w:rPr>
        <w:t xml:space="preserve">This review considers that proposed changes to </w:t>
      </w:r>
      <w:proofErr w:type="spellStart"/>
      <w:r w:rsidRPr="004A1196">
        <w:rPr>
          <w:rFonts w:eastAsia="Calibri"/>
          <w:color w:val="0B2B43" w:themeColor="text2" w:themeShade="80"/>
        </w:rPr>
        <w:t>RBG</w:t>
      </w:r>
      <w:proofErr w:type="spellEnd"/>
      <w:r w:rsidRPr="004A1196">
        <w:rPr>
          <w:rFonts w:eastAsia="Calibri"/>
          <w:color w:val="0B2B43" w:themeColor="text2" w:themeShade="80"/>
        </w:rPr>
        <w:t xml:space="preserve"> and other review recommendations will support the directions </w:t>
      </w:r>
      <w:proofErr w:type="gramStart"/>
      <w:r w:rsidRPr="004A1196">
        <w:rPr>
          <w:rFonts w:eastAsia="Calibri"/>
          <w:color w:val="0B2B43" w:themeColor="text2" w:themeShade="80"/>
        </w:rPr>
        <w:t>being considered</w:t>
      </w:r>
      <w:proofErr w:type="gramEnd"/>
      <w:r w:rsidRPr="004A1196">
        <w:rPr>
          <w:rFonts w:eastAsia="Calibri"/>
          <w:color w:val="0B2B43" w:themeColor="text2" w:themeShade="80"/>
        </w:rPr>
        <w:t xml:space="preserve"> by </w:t>
      </w:r>
      <w:proofErr w:type="spellStart"/>
      <w:r w:rsidRPr="004A1196">
        <w:rPr>
          <w:rFonts w:eastAsia="Calibri"/>
          <w:color w:val="0B2B43" w:themeColor="text2" w:themeShade="80"/>
        </w:rPr>
        <w:t>ACOLA</w:t>
      </w:r>
      <w:proofErr w:type="spellEnd"/>
      <w:r w:rsidR="0031385A">
        <w:rPr>
          <w:rFonts w:eastAsia="Calibri"/>
          <w:color w:val="0B2B43" w:themeColor="text2" w:themeShade="80"/>
        </w:rPr>
        <w:t>,</w:t>
      </w:r>
      <w:r w:rsidRPr="004A1196">
        <w:rPr>
          <w:rFonts w:eastAsia="Calibri"/>
          <w:color w:val="0B2B43" w:themeColor="text2" w:themeShade="80"/>
        </w:rPr>
        <w:t xml:space="preserve"> particularly in respect of the shared objective of increasing university collaboration with business in the context of the research training system as well as more broadly in the university research system. </w:t>
      </w:r>
    </w:p>
    <w:p w:rsidR="0031385A" w:rsidRPr="004A1196" w:rsidRDefault="0031385A" w:rsidP="002C6039">
      <w:pPr>
        <w:rPr>
          <w:rFonts w:eastAsia="Calibri"/>
          <w:color w:val="0B2B43" w:themeColor="text2" w:themeShade="80"/>
        </w:rPr>
      </w:pPr>
    </w:p>
    <w:p w:rsidR="002C6039" w:rsidRPr="004A1196" w:rsidRDefault="002C6039" w:rsidP="002C6039">
      <w:pPr>
        <w:pStyle w:val="RIHeading3"/>
        <w:rPr>
          <w:rFonts w:eastAsia="Times New Roman"/>
          <w:color w:val="0B2B43" w:themeColor="text2" w:themeShade="80"/>
        </w:rPr>
      </w:pPr>
      <w:bookmarkStart w:id="160" w:name="_Toc436651831"/>
      <w:bookmarkStart w:id="161" w:name="_Toc436659639"/>
      <w:bookmarkStart w:id="162" w:name="_Toc436660137"/>
      <w:r w:rsidRPr="004A1196">
        <w:rPr>
          <w:rFonts w:eastAsia="Times New Roman"/>
          <w:color w:val="0B2B43" w:themeColor="text2" w:themeShade="80"/>
        </w:rPr>
        <w:t>Refining the engagement indicator</w:t>
      </w:r>
      <w:bookmarkEnd w:id="160"/>
      <w:bookmarkEnd w:id="161"/>
      <w:bookmarkEnd w:id="162"/>
    </w:p>
    <w:p w:rsidR="002C6039" w:rsidRPr="004A1196" w:rsidRDefault="002C6039" w:rsidP="002C6039">
      <w:pPr>
        <w:rPr>
          <w:rFonts w:eastAsia="Calibri"/>
          <w:color w:val="0B2B43" w:themeColor="text2" w:themeShade="80"/>
        </w:rPr>
      </w:pPr>
      <w:r w:rsidRPr="004A1196">
        <w:rPr>
          <w:rFonts w:eastAsia="Calibri"/>
          <w:color w:val="0B2B43" w:themeColor="text2" w:themeShade="80"/>
        </w:rPr>
        <w:t>The existing indicator — Category 2,</w:t>
      </w:r>
      <w:r w:rsidR="00EC6864" w:rsidRPr="004A1196">
        <w:rPr>
          <w:rFonts w:eastAsia="Calibri"/>
          <w:color w:val="0B2B43" w:themeColor="text2" w:themeShade="80"/>
        </w:rPr>
        <w:t xml:space="preserve"> </w:t>
      </w:r>
      <w:r w:rsidRPr="004A1196">
        <w:rPr>
          <w:rFonts w:eastAsia="Calibri"/>
          <w:color w:val="0B2B43" w:themeColor="text2" w:themeShade="80"/>
        </w:rPr>
        <w:t xml:space="preserve">3 and 4 research income — is at present the most robust, routinely collected measure of university engagement with business and other </w:t>
      </w:r>
      <w:r w:rsidR="003904BC">
        <w:rPr>
          <w:rFonts w:eastAsia="Calibri"/>
          <w:color w:val="0B2B43" w:themeColor="text2" w:themeShade="80"/>
        </w:rPr>
        <w:t>end user</w:t>
      </w:r>
      <w:r w:rsidRPr="004A1196">
        <w:rPr>
          <w:rFonts w:eastAsia="Calibri"/>
          <w:color w:val="0B2B43" w:themeColor="text2" w:themeShade="80"/>
        </w:rPr>
        <w:t xml:space="preserve">s of research. For this reason, the review has concluded that information collected under these </w:t>
      </w:r>
      <w:r w:rsidR="00A641A5">
        <w:rPr>
          <w:rFonts w:eastAsia="Calibri"/>
          <w:color w:val="0B2B43" w:themeColor="text2" w:themeShade="80"/>
        </w:rPr>
        <w:t>c</w:t>
      </w:r>
      <w:r w:rsidRPr="004A1196">
        <w:rPr>
          <w:rFonts w:eastAsia="Calibri"/>
          <w:color w:val="0B2B43" w:themeColor="text2" w:themeShade="80"/>
        </w:rPr>
        <w:t xml:space="preserve">ategories through the </w:t>
      </w:r>
      <w:proofErr w:type="spellStart"/>
      <w:r w:rsidRPr="004A1196">
        <w:rPr>
          <w:rFonts w:eastAsia="Calibri"/>
          <w:color w:val="0B2B43" w:themeColor="text2" w:themeShade="80"/>
        </w:rPr>
        <w:t>HERDC</w:t>
      </w:r>
      <w:proofErr w:type="spellEnd"/>
      <w:r w:rsidRPr="004A1196">
        <w:rPr>
          <w:rFonts w:eastAsia="Calibri"/>
          <w:color w:val="0B2B43" w:themeColor="text2" w:themeShade="80"/>
        </w:rPr>
        <w:t xml:space="preserve"> should continue to </w:t>
      </w:r>
      <w:proofErr w:type="gramStart"/>
      <w:r w:rsidRPr="004A1196">
        <w:rPr>
          <w:rFonts w:eastAsia="Calibri"/>
          <w:color w:val="0B2B43" w:themeColor="text2" w:themeShade="80"/>
        </w:rPr>
        <w:t>be used</w:t>
      </w:r>
      <w:proofErr w:type="gramEnd"/>
      <w:r w:rsidRPr="004A1196">
        <w:rPr>
          <w:rFonts w:eastAsia="Calibri"/>
          <w:color w:val="0B2B43" w:themeColor="text2" w:themeShade="80"/>
        </w:rPr>
        <w:t xml:space="preserve"> as a driver in </w:t>
      </w:r>
      <w:proofErr w:type="spellStart"/>
      <w:r w:rsidR="00B33F82">
        <w:rPr>
          <w:rFonts w:eastAsia="Calibri"/>
          <w:color w:val="0B2B43" w:themeColor="text2" w:themeShade="80"/>
        </w:rPr>
        <w:t>RBG</w:t>
      </w:r>
      <w:proofErr w:type="spellEnd"/>
      <w:r w:rsidRPr="004A1196">
        <w:rPr>
          <w:rFonts w:eastAsia="Calibri"/>
          <w:color w:val="0B2B43" w:themeColor="text2" w:themeShade="80"/>
        </w:rPr>
        <w:t xml:space="preserve"> funding allocation, at least until superior indicators are agreed and relevant data collected.</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There are two levels of potential improvement of the engagement indicator:</w:t>
      </w:r>
    </w:p>
    <w:p w:rsidR="002C6039" w:rsidRPr="004A1196" w:rsidRDefault="002C6039" w:rsidP="002C6039">
      <w:pPr>
        <w:pStyle w:val="ListParagraph"/>
        <w:numPr>
          <w:ilvl w:val="0"/>
          <w:numId w:val="33"/>
        </w:numPr>
        <w:rPr>
          <w:rFonts w:eastAsia="Calibri"/>
          <w:color w:val="0B2B43" w:themeColor="text2" w:themeShade="80"/>
        </w:rPr>
      </w:pPr>
      <w:r w:rsidRPr="004A1196">
        <w:rPr>
          <w:rFonts w:eastAsia="Calibri"/>
          <w:color w:val="0B2B43" w:themeColor="text2" w:themeShade="80"/>
        </w:rPr>
        <w:t xml:space="preserve">development of new, more sophisticated metrics for impact and engagement — this is addressed in Chapter </w:t>
      </w:r>
      <w:r w:rsidR="00E53B62" w:rsidRPr="004A1196">
        <w:rPr>
          <w:rFonts w:eastAsia="Calibri"/>
          <w:color w:val="0B2B43" w:themeColor="text2" w:themeShade="80"/>
        </w:rPr>
        <w:t>6</w:t>
      </w:r>
    </w:p>
    <w:p w:rsidR="002C6039" w:rsidRPr="004A1196" w:rsidRDefault="002C6039" w:rsidP="002C6039">
      <w:pPr>
        <w:pStyle w:val="ListParagraph"/>
        <w:numPr>
          <w:ilvl w:val="0"/>
          <w:numId w:val="33"/>
        </w:numPr>
        <w:rPr>
          <w:rFonts w:eastAsia="Calibri"/>
          <w:color w:val="0B2B43" w:themeColor="text2" w:themeShade="80"/>
        </w:rPr>
      </w:pPr>
      <w:proofErr w:type="gramStart"/>
      <w:r w:rsidRPr="004A1196">
        <w:rPr>
          <w:rFonts w:eastAsia="Calibri"/>
          <w:color w:val="0B2B43" w:themeColor="text2" w:themeShade="80"/>
        </w:rPr>
        <w:t>refinement</w:t>
      </w:r>
      <w:proofErr w:type="gramEnd"/>
      <w:r w:rsidRPr="004A1196">
        <w:rPr>
          <w:rFonts w:eastAsia="Calibri"/>
          <w:color w:val="0B2B43" w:themeColor="text2" w:themeShade="80"/>
        </w:rPr>
        <w:t xml:space="preserve"> of the existing research income indicator, which is discussed below</w:t>
      </w:r>
      <w:r w:rsidR="00EC6864" w:rsidRPr="004A1196">
        <w:rPr>
          <w:rFonts w:eastAsia="Calibri"/>
          <w:color w:val="0B2B43" w:themeColor="text2" w:themeShade="80"/>
        </w:rPr>
        <w:t>.</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The </w:t>
      </w:r>
      <w:proofErr w:type="spellStart"/>
      <w:r w:rsidR="00A641A5">
        <w:rPr>
          <w:rFonts w:eastAsia="Calibri"/>
          <w:color w:val="0B2B43" w:themeColor="text2" w:themeShade="80"/>
        </w:rPr>
        <w:t>HERDC</w:t>
      </w:r>
      <w:proofErr w:type="spellEnd"/>
      <w:r w:rsidRPr="004A1196">
        <w:rPr>
          <w:rFonts w:eastAsia="Calibri"/>
          <w:color w:val="0B2B43" w:themeColor="text2" w:themeShade="80"/>
        </w:rPr>
        <w:t xml:space="preserve"> requires universities to report research income according to the disaggregation shown in Table </w:t>
      </w:r>
      <w:r w:rsidR="003D4AF7" w:rsidRPr="004A1196">
        <w:rPr>
          <w:rFonts w:eastAsia="Calibri"/>
          <w:color w:val="0B2B43" w:themeColor="text2" w:themeShade="80"/>
        </w:rPr>
        <w:t>4</w:t>
      </w:r>
      <w:r w:rsidRPr="004A1196">
        <w:rPr>
          <w:rFonts w:eastAsia="Calibri"/>
          <w:color w:val="0B2B43" w:themeColor="text2" w:themeShade="80"/>
        </w:rPr>
        <w:t>.</w:t>
      </w:r>
    </w:p>
    <w:p w:rsidR="002C6039" w:rsidRPr="004A1196" w:rsidRDefault="002C6039" w:rsidP="002C6039">
      <w:pPr>
        <w:pStyle w:val="Caption"/>
        <w:keepNext/>
        <w:rPr>
          <w:rFonts w:eastAsia="Calibri"/>
          <w:color w:val="0B2B43" w:themeColor="text2" w:themeShade="80"/>
        </w:rPr>
      </w:pPr>
      <w:proofErr w:type="gramStart"/>
      <w:r w:rsidRPr="004A1196">
        <w:rPr>
          <w:color w:val="0B2B43" w:themeColor="text2" w:themeShade="80"/>
        </w:rPr>
        <w:t xml:space="preserve">Table </w:t>
      </w:r>
      <w:r w:rsidR="007F16CF" w:rsidRPr="004A1196">
        <w:rPr>
          <w:color w:val="0B2B43" w:themeColor="text2" w:themeShade="80"/>
        </w:rPr>
        <w:fldChar w:fldCharType="begin"/>
      </w:r>
      <w:r w:rsidR="007F16CF" w:rsidRPr="004A1196">
        <w:rPr>
          <w:color w:val="0B2B43" w:themeColor="text2" w:themeShade="80"/>
        </w:rPr>
        <w:instrText xml:space="preserve"> SEQ Table \* ARABIC </w:instrText>
      </w:r>
      <w:r w:rsidR="007F16CF" w:rsidRPr="004A1196">
        <w:rPr>
          <w:color w:val="0B2B43" w:themeColor="text2" w:themeShade="80"/>
        </w:rPr>
        <w:fldChar w:fldCharType="separate"/>
      </w:r>
      <w:r w:rsidR="00E05D3F">
        <w:rPr>
          <w:noProof/>
          <w:color w:val="0B2B43" w:themeColor="text2" w:themeShade="80"/>
        </w:rPr>
        <w:t>4</w:t>
      </w:r>
      <w:r w:rsidR="007F16CF" w:rsidRPr="004A1196">
        <w:rPr>
          <w:noProof/>
          <w:color w:val="0B2B43" w:themeColor="text2" w:themeShade="80"/>
        </w:rPr>
        <w:fldChar w:fldCharType="end"/>
      </w:r>
      <w:r w:rsidRPr="004A1196">
        <w:rPr>
          <w:rFonts w:eastAsia="Calibri" w:cs="Times New Roman"/>
          <w:color w:val="0B2B43" w:themeColor="text2" w:themeShade="80"/>
        </w:rPr>
        <w:t>.</w:t>
      </w:r>
      <w:proofErr w:type="gramEnd"/>
      <w:r w:rsidRPr="004A1196">
        <w:rPr>
          <w:rFonts w:eastAsia="Calibri" w:cs="Times New Roman"/>
          <w:color w:val="0B2B43" w:themeColor="text2" w:themeShade="80"/>
        </w:rPr>
        <w:t xml:space="preserve"> Categories and sub-categories of research income collected by </w:t>
      </w:r>
      <w:proofErr w:type="spellStart"/>
      <w:r w:rsidRPr="004A1196">
        <w:rPr>
          <w:rFonts w:eastAsia="Calibri" w:cs="Times New Roman"/>
          <w:color w:val="0B2B43" w:themeColor="text2" w:themeShade="80"/>
        </w:rPr>
        <w:t>HERDC</w:t>
      </w:r>
      <w:proofErr w:type="spellEnd"/>
    </w:p>
    <w:tbl>
      <w:tblPr>
        <w:tblStyle w:val="Review"/>
        <w:tblW w:w="0" w:type="auto"/>
        <w:tblLook w:val="04A0" w:firstRow="1" w:lastRow="0" w:firstColumn="1" w:lastColumn="0" w:noHBand="0" w:noVBand="1"/>
        <w:tblCaption w:val="Categories and sub-categories of research income collected by HERDC"/>
      </w:tblPr>
      <w:tblGrid>
        <w:gridCol w:w="3510"/>
        <w:gridCol w:w="5732"/>
      </w:tblGrid>
      <w:tr w:rsidR="004A1196" w:rsidRPr="004A1196" w:rsidTr="00962CAC">
        <w:trPr>
          <w:cnfStyle w:val="100000000000" w:firstRow="1" w:lastRow="0" w:firstColumn="0" w:lastColumn="0" w:oddVBand="0" w:evenVBand="0" w:oddHBand="0" w:evenHBand="0" w:firstRowFirstColumn="0" w:firstRowLastColumn="0" w:lastRowFirstColumn="0" w:lastRowLastColumn="0"/>
          <w:tblHeader/>
        </w:trPr>
        <w:tc>
          <w:tcPr>
            <w:tcW w:w="3510" w:type="dxa"/>
          </w:tcPr>
          <w:p w:rsidR="002C6039" w:rsidRPr="004A1196" w:rsidRDefault="002C6039" w:rsidP="004C46EF">
            <w:pPr>
              <w:spacing w:before="0" w:after="0"/>
              <w:rPr>
                <w:b/>
                <w:color w:val="0B2B43" w:themeColor="text2" w:themeShade="80"/>
              </w:rPr>
            </w:pPr>
            <w:r w:rsidRPr="004A1196">
              <w:rPr>
                <w:b/>
                <w:color w:val="0B2B43" w:themeColor="text2" w:themeShade="80"/>
              </w:rPr>
              <w:t>Category</w:t>
            </w:r>
          </w:p>
        </w:tc>
        <w:tc>
          <w:tcPr>
            <w:tcW w:w="5732" w:type="dxa"/>
          </w:tcPr>
          <w:p w:rsidR="002C6039" w:rsidRPr="004A1196" w:rsidRDefault="002C6039" w:rsidP="004C46EF">
            <w:pPr>
              <w:spacing w:before="0" w:after="0"/>
              <w:rPr>
                <w:b/>
                <w:color w:val="0B2B43" w:themeColor="text2" w:themeShade="80"/>
              </w:rPr>
            </w:pPr>
            <w:r w:rsidRPr="004A1196">
              <w:rPr>
                <w:b/>
                <w:color w:val="0B2B43" w:themeColor="text2" w:themeShade="80"/>
              </w:rPr>
              <w:t>Sub-category</w:t>
            </w:r>
          </w:p>
        </w:tc>
      </w:tr>
      <w:tr w:rsidR="004A1196" w:rsidRPr="004A1196" w:rsidTr="004C46EF">
        <w:tc>
          <w:tcPr>
            <w:tcW w:w="3510" w:type="dxa"/>
          </w:tcPr>
          <w:p w:rsidR="002C6039" w:rsidRPr="004A1196" w:rsidRDefault="002C6039" w:rsidP="004C46EF">
            <w:pPr>
              <w:spacing w:before="0" w:after="0"/>
              <w:rPr>
                <w:color w:val="0B2B43" w:themeColor="text2" w:themeShade="80"/>
              </w:rPr>
            </w:pPr>
            <w:r w:rsidRPr="004A1196">
              <w:rPr>
                <w:color w:val="0B2B43" w:themeColor="text2" w:themeShade="80"/>
              </w:rPr>
              <w:t>Category 2: Other public sector research income</w:t>
            </w:r>
          </w:p>
        </w:tc>
        <w:tc>
          <w:tcPr>
            <w:tcW w:w="5732" w:type="dxa"/>
          </w:tcPr>
          <w:p w:rsidR="002C6039" w:rsidRPr="004A1196" w:rsidRDefault="002C6039" w:rsidP="004C46EF">
            <w:pPr>
              <w:spacing w:before="0" w:after="0"/>
              <w:rPr>
                <w:color w:val="0B2B43" w:themeColor="text2" w:themeShade="80"/>
              </w:rPr>
            </w:pPr>
            <w:r w:rsidRPr="004A1196">
              <w:rPr>
                <w:color w:val="0B2B43" w:themeColor="text2" w:themeShade="80"/>
              </w:rPr>
              <w:t xml:space="preserve">Australian </w:t>
            </w:r>
            <w:r w:rsidR="002902BF" w:rsidRPr="004A1196">
              <w:rPr>
                <w:color w:val="0B2B43" w:themeColor="text2" w:themeShade="80"/>
              </w:rPr>
              <w:t>Gov</w:t>
            </w:r>
            <w:r w:rsidR="002902BF">
              <w:rPr>
                <w:color w:val="0B2B43" w:themeColor="text2" w:themeShade="80"/>
              </w:rPr>
              <w:t>ernment</w:t>
            </w:r>
            <w:r w:rsidRPr="004A1196">
              <w:rPr>
                <w:color w:val="0B2B43" w:themeColor="text2" w:themeShade="80"/>
              </w:rPr>
              <w:t xml:space="preserve"> (non-Category 1)</w:t>
            </w:r>
          </w:p>
          <w:p w:rsidR="002C6039" w:rsidRPr="004A1196" w:rsidRDefault="002C6039" w:rsidP="004C46EF">
            <w:pPr>
              <w:spacing w:before="0" w:after="0"/>
              <w:rPr>
                <w:color w:val="0B2B43" w:themeColor="text2" w:themeShade="80"/>
              </w:rPr>
            </w:pPr>
            <w:r w:rsidRPr="004A1196">
              <w:rPr>
                <w:color w:val="0B2B43" w:themeColor="text2" w:themeShade="80"/>
              </w:rPr>
              <w:t>State or territory government</w:t>
            </w:r>
          </w:p>
          <w:p w:rsidR="002C6039" w:rsidRPr="004A1196" w:rsidRDefault="002C6039" w:rsidP="004C46EF">
            <w:pPr>
              <w:spacing w:before="0" w:after="0"/>
              <w:rPr>
                <w:color w:val="0B2B43" w:themeColor="text2" w:themeShade="80"/>
              </w:rPr>
            </w:pPr>
            <w:r w:rsidRPr="004A1196">
              <w:rPr>
                <w:color w:val="0B2B43" w:themeColor="text2" w:themeShade="80"/>
              </w:rPr>
              <w:t>Government business enterprises</w:t>
            </w:r>
          </w:p>
          <w:p w:rsidR="002C6039" w:rsidRPr="004A1196" w:rsidRDefault="002C6039" w:rsidP="004C46EF">
            <w:pPr>
              <w:spacing w:before="0" w:after="0"/>
              <w:rPr>
                <w:color w:val="0B2B43" w:themeColor="text2" w:themeShade="80"/>
              </w:rPr>
            </w:pPr>
            <w:r w:rsidRPr="004A1196">
              <w:rPr>
                <w:color w:val="0B2B43" w:themeColor="text2" w:themeShade="80"/>
              </w:rPr>
              <w:t>Cooperative Research Centres (CRC)</w:t>
            </w:r>
          </w:p>
        </w:tc>
      </w:tr>
      <w:tr w:rsidR="004A1196" w:rsidRPr="004A1196" w:rsidTr="004C46EF">
        <w:trPr>
          <w:cnfStyle w:val="000000010000" w:firstRow="0" w:lastRow="0" w:firstColumn="0" w:lastColumn="0" w:oddVBand="0" w:evenVBand="0" w:oddHBand="0" w:evenHBand="1" w:firstRowFirstColumn="0" w:firstRowLastColumn="0" w:lastRowFirstColumn="0" w:lastRowLastColumn="0"/>
        </w:trPr>
        <w:tc>
          <w:tcPr>
            <w:tcW w:w="3510" w:type="dxa"/>
          </w:tcPr>
          <w:p w:rsidR="002C6039" w:rsidRPr="004A1196" w:rsidRDefault="002C6039" w:rsidP="004C46EF">
            <w:pPr>
              <w:spacing w:before="0" w:after="0"/>
              <w:rPr>
                <w:color w:val="0B2B43" w:themeColor="text2" w:themeShade="80"/>
              </w:rPr>
            </w:pPr>
            <w:r w:rsidRPr="004A1196">
              <w:rPr>
                <w:color w:val="0B2B43" w:themeColor="text2" w:themeShade="80"/>
              </w:rPr>
              <w:t>Category 3: Industry and other research income</w:t>
            </w:r>
          </w:p>
        </w:tc>
        <w:tc>
          <w:tcPr>
            <w:tcW w:w="5732" w:type="dxa"/>
          </w:tcPr>
          <w:p w:rsidR="002C6039" w:rsidRPr="004A1196" w:rsidRDefault="002C6039" w:rsidP="004C46EF">
            <w:pPr>
              <w:spacing w:before="0" w:after="0"/>
              <w:rPr>
                <w:color w:val="0B2B43" w:themeColor="text2" w:themeShade="80"/>
              </w:rPr>
            </w:pPr>
            <w:r w:rsidRPr="004A1196">
              <w:rPr>
                <w:color w:val="0B2B43" w:themeColor="text2" w:themeShade="80"/>
              </w:rPr>
              <w:t>Australian contracts</w:t>
            </w:r>
          </w:p>
          <w:p w:rsidR="002C6039" w:rsidRPr="004A1196" w:rsidRDefault="002C6039" w:rsidP="004C46EF">
            <w:pPr>
              <w:spacing w:before="0" w:after="0"/>
              <w:rPr>
                <w:color w:val="0B2B43" w:themeColor="text2" w:themeShade="80"/>
              </w:rPr>
            </w:pPr>
            <w:r w:rsidRPr="004A1196">
              <w:rPr>
                <w:color w:val="0B2B43" w:themeColor="text2" w:themeShade="80"/>
              </w:rPr>
              <w:t>Australian grants</w:t>
            </w:r>
          </w:p>
          <w:p w:rsidR="002C6039" w:rsidRPr="004A1196" w:rsidRDefault="002C6039" w:rsidP="004C46EF">
            <w:pPr>
              <w:spacing w:before="0" w:after="0"/>
              <w:rPr>
                <w:color w:val="0B2B43" w:themeColor="text2" w:themeShade="80"/>
              </w:rPr>
            </w:pPr>
            <w:r w:rsidRPr="004A1196">
              <w:rPr>
                <w:color w:val="0B2B43" w:themeColor="text2" w:themeShade="80"/>
              </w:rPr>
              <w:t>Donations, bequests and foundations</w:t>
            </w:r>
          </w:p>
          <w:p w:rsidR="002C6039" w:rsidRPr="004A1196" w:rsidRDefault="002C6039" w:rsidP="004C46EF">
            <w:pPr>
              <w:spacing w:before="0" w:after="0"/>
              <w:rPr>
                <w:color w:val="0B2B43" w:themeColor="text2" w:themeShade="80"/>
              </w:rPr>
            </w:pPr>
            <w:proofErr w:type="spellStart"/>
            <w:r w:rsidRPr="004A1196">
              <w:rPr>
                <w:color w:val="0B2B43" w:themeColor="text2" w:themeShade="80"/>
              </w:rPr>
              <w:t>HDR</w:t>
            </w:r>
            <w:proofErr w:type="spellEnd"/>
            <w:r w:rsidRPr="004A1196">
              <w:rPr>
                <w:color w:val="0B2B43" w:themeColor="text2" w:themeShade="80"/>
              </w:rPr>
              <w:t xml:space="preserve"> fees for domestic students</w:t>
            </w:r>
          </w:p>
          <w:p w:rsidR="002C6039" w:rsidRPr="004A1196" w:rsidRDefault="002C6039" w:rsidP="004C46EF">
            <w:pPr>
              <w:spacing w:before="0" w:after="0"/>
              <w:rPr>
                <w:color w:val="0B2B43" w:themeColor="text2" w:themeShade="80"/>
              </w:rPr>
            </w:pPr>
            <w:r w:rsidRPr="004A1196">
              <w:rPr>
                <w:color w:val="0B2B43" w:themeColor="text2" w:themeShade="80"/>
              </w:rPr>
              <w:t>International: competitive, peer-reviewed research grant income</w:t>
            </w:r>
          </w:p>
          <w:p w:rsidR="002C6039" w:rsidRPr="004A1196" w:rsidRDefault="002C6039" w:rsidP="004C46EF">
            <w:pPr>
              <w:spacing w:before="0" w:after="0"/>
              <w:rPr>
                <w:color w:val="0B2B43" w:themeColor="text2" w:themeShade="80"/>
              </w:rPr>
            </w:pPr>
            <w:r w:rsidRPr="004A1196">
              <w:rPr>
                <w:color w:val="0B2B43" w:themeColor="text2" w:themeShade="80"/>
              </w:rPr>
              <w:t>International: other income</w:t>
            </w:r>
          </w:p>
          <w:p w:rsidR="002C6039" w:rsidRPr="004A1196" w:rsidRDefault="002C6039" w:rsidP="004C46EF">
            <w:pPr>
              <w:spacing w:before="0" w:after="0"/>
              <w:rPr>
                <w:color w:val="0B2B43" w:themeColor="text2" w:themeShade="80"/>
              </w:rPr>
            </w:pPr>
            <w:r w:rsidRPr="004A1196">
              <w:rPr>
                <w:color w:val="0B2B43" w:themeColor="text2" w:themeShade="80"/>
              </w:rPr>
              <w:t xml:space="preserve">International: </w:t>
            </w:r>
            <w:proofErr w:type="spellStart"/>
            <w:r w:rsidRPr="004A1196">
              <w:rPr>
                <w:color w:val="0B2B43" w:themeColor="text2" w:themeShade="80"/>
              </w:rPr>
              <w:t>HDR</w:t>
            </w:r>
            <w:proofErr w:type="spellEnd"/>
            <w:r w:rsidRPr="004A1196">
              <w:rPr>
                <w:color w:val="0B2B43" w:themeColor="text2" w:themeShade="80"/>
              </w:rPr>
              <w:t xml:space="preserve"> fees for international students</w:t>
            </w:r>
          </w:p>
        </w:tc>
      </w:tr>
      <w:tr w:rsidR="004A1196" w:rsidRPr="004A1196" w:rsidTr="004C46EF">
        <w:tc>
          <w:tcPr>
            <w:tcW w:w="3510" w:type="dxa"/>
          </w:tcPr>
          <w:p w:rsidR="002C6039" w:rsidRPr="004A1196" w:rsidRDefault="002C6039" w:rsidP="004C46EF">
            <w:pPr>
              <w:spacing w:before="0" w:after="0"/>
              <w:rPr>
                <w:color w:val="0B2B43" w:themeColor="text2" w:themeShade="80"/>
              </w:rPr>
            </w:pPr>
            <w:r w:rsidRPr="004A1196">
              <w:rPr>
                <w:color w:val="0B2B43" w:themeColor="text2" w:themeShade="80"/>
              </w:rPr>
              <w:t>Category 4: CRC research income</w:t>
            </w:r>
          </w:p>
        </w:tc>
        <w:tc>
          <w:tcPr>
            <w:tcW w:w="5732" w:type="dxa"/>
          </w:tcPr>
          <w:p w:rsidR="002C6039" w:rsidRPr="004A1196" w:rsidRDefault="002C6039" w:rsidP="004C46EF">
            <w:pPr>
              <w:spacing w:before="0" w:after="0"/>
              <w:rPr>
                <w:color w:val="0B2B43" w:themeColor="text2" w:themeShade="80"/>
              </w:rPr>
            </w:pPr>
            <w:r w:rsidRPr="004A1196">
              <w:rPr>
                <w:color w:val="0B2B43" w:themeColor="text2" w:themeShade="80"/>
              </w:rPr>
              <w:t>Research income derived from Australian Government grants to CRC</w:t>
            </w:r>
          </w:p>
          <w:p w:rsidR="002C6039" w:rsidRPr="004A1196" w:rsidRDefault="002C6039" w:rsidP="004C46EF">
            <w:pPr>
              <w:spacing w:before="0" w:after="0"/>
              <w:rPr>
                <w:color w:val="0B2B43" w:themeColor="text2" w:themeShade="80"/>
              </w:rPr>
            </w:pPr>
            <w:r w:rsidRPr="004A1196">
              <w:rPr>
                <w:color w:val="0B2B43" w:themeColor="text2" w:themeShade="80"/>
              </w:rPr>
              <w:t>Research income derived from non-university members of CRC</w:t>
            </w:r>
          </w:p>
          <w:p w:rsidR="002C6039" w:rsidRPr="004A1196" w:rsidRDefault="002C6039" w:rsidP="005B60B6">
            <w:pPr>
              <w:spacing w:before="0" w:after="0"/>
              <w:rPr>
                <w:color w:val="0B2B43" w:themeColor="text2" w:themeShade="80"/>
              </w:rPr>
            </w:pPr>
            <w:r w:rsidRPr="004A1196">
              <w:rPr>
                <w:color w:val="0B2B43" w:themeColor="text2" w:themeShade="80"/>
              </w:rPr>
              <w:t>Research income derived from external parties contributing to CRC</w:t>
            </w:r>
          </w:p>
        </w:tc>
      </w:tr>
    </w:tbl>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The collection includes income from </w:t>
      </w:r>
      <w:proofErr w:type="gramStart"/>
      <w:r w:rsidRPr="004A1196">
        <w:rPr>
          <w:rFonts w:eastAsia="Calibri"/>
          <w:color w:val="0B2B43" w:themeColor="text2" w:themeShade="80"/>
        </w:rPr>
        <w:t>sources which</w:t>
      </w:r>
      <w:proofErr w:type="gramEnd"/>
      <w:r w:rsidRPr="004A1196">
        <w:rPr>
          <w:rFonts w:eastAsia="Calibri"/>
          <w:color w:val="0B2B43" w:themeColor="text2" w:themeShade="80"/>
        </w:rPr>
        <w:t xml:space="preserve"> are not, prima facie, measures of engagement arising directly from research activity, for example, fees for research students or donations and bequests. </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The review considers that there should be scrutiny of these </w:t>
      </w:r>
      <w:r w:rsidR="0074196B">
        <w:rPr>
          <w:rFonts w:eastAsia="Calibri"/>
          <w:color w:val="0B2B43" w:themeColor="text2" w:themeShade="80"/>
        </w:rPr>
        <w:t>c</w:t>
      </w:r>
      <w:r w:rsidRPr="004A1196">
        <w:rPr>
          <w:rFonts w:eastAsia="Calibri"/>
          <w:color w:val="0B2B43" w:themeColor="text2" w:themeShade="80"/>
        </w:rPr>
        <w:t xml:space="preserve">ategories with a view to defining and collecting data under revised </w:t>
      </w:r>
      <w:r w:rsidR="0074196B">
        <w:rPr>
          <w:rFonts w:eastAsia="Calibri"/>
          <w:color w:val="0B2B43" w:themeColor="text2" w:themeShade="80"/>
        </w:rPr>
        <w:t>c</w:t>
      </w:r>
      <w:r w:rsidRPr="004A1196">
        <w:rPr>
          <w:rFonts w:eastAsia="Calibri"/>
          <w:color w:val="0B2B43" w:themeColor="text2" w:themeShade="80"/>
        </w:rPr>
        <w:t xml:space="preserve">ategories, which more accurately differentiate research income associated with business and other </w:t>
      </w:r>
      <w:r w:rsidR="003904BC">
        <w:rPr>
          <w:rFonts w:eastAsia="Calibri"/>
          <w:color w:val="0B2B43" w:themeColor="text2" w:themeShade="80"/>
        </w:rPr>
        <w:t>end user</w:t>
      </w:r>
      <w:r w:rsidRPr="004A1196">
        <w:rPr>
          <w:rFonts w:eastAsia="Calibri"/>
          <w:color w:val="0B2B43" w:themeColor="text2" w:themeShade="80"/>
        </w:rPr>
        <w:t xml:space="preserve"> engagement. This work should </w:t>
      </w:r>
      <w:proofErr w:type="gramStart"/>
      <w:r w:rsidRPr="004A1196">
        <w:rPr>
          <w:rFonts w:eastAsia="Calibri"/>
          <w:color w:val="0B2B43" w:themeColor="text2" w:themeShade="80"/>
        </w:rPr>
        <w:t>be conducted</w:t>
      </w:r>
      <w:proofErr w:type="gramEnd"/>
      <w:r w:rsidRPr="004A1196">
        <w:rPr>
          <w:rFonts w:eastAsia="Calibri"/>
          <w:color w:val="0B2B43" w:themeColor="text2" w:themeShade="80"/>
        </w:rPr>
        <w:t xml:space="preserve"> by the Department of Education and Training and the A</w:t>
      </w:r>
      <w:r w:rsidR="00A641A5">
        <w:rPr>
          <w:rFonts w:eastAsia="Calibri"/>
          <w:color w:val="0B2B43" w:themeColor="text2" w:themeShade="80"/>
        </w:rPr>
        <w:t xml:space="preserve">ustralian </w:t>
      </w:r>
      <w:r w:rsidRPr="004A1196">
        <w:rPr>
          <w:rFonts w:eastAsia="Calibri"/>
          <w:color w:val="0B2B43" w:themeColor="text2" w:themeShade="80"/>
        </w:rPr>
        <w:t>R</w:t>
      </w:r>
      <w:r w:rsidR="00A641A5">
        <w:rPr>
          <w:rFonts w:eastAsia="Calibri"/>
          <w:color w:val="0B2B43" w:themeColor="text2" w:themeShade="80"/>
        </w:rPr>
        <w:t xml:space="preserve">esearch </w:t>
      </w:r>
      <w:r w:rsidRPr="004A1196">
        <w:rPr>
          <w:rFonts w:eastAsia="Calibri"/>
          <w:color w:val="0B2B43" w:themeColor="text2" w:themeShade="80"/>
        </w:rPr>
        <w:t>C</w:t>
      </w:r>
      <w:r w:rsidR="00A641A5">
        <w:rPr>
          <w:rFonts w:eastAsia="Calibri"/>
          <w:color w:val="0B2B43" w:themeColor="text2" w:themeShade="80"/>
        </w:rPr>
        <w:t>ouncil</w:t>
      </w:r>
      <w:r w:rsidRPr="004A1196">
        <w:rPr>
          <w:rFonts w:eastAsia="Calibri"/>
          <w:color w:val="0B2B43" w:themeColor="text2" w:themeShade="80"/>
        </w:rPr>
        <w:t xml:space="preserve"> in consultation with the university sector and be completed by late 2016, taking into account existing plans for a single data collection to satisfy both ERA and </w:t>
      </w:r>
      <w:proofErr w:type="spellStart"/>
      <w:r w:rsidRPr="004A1196">
        <w:rPr>
          <w:rFonts w:eastAsia="Calibri"/>
          <w:color w:val="0B2B43" w:themeColor="text2" w:themeShade="80"/>
        </w:rPr>
        <w:t>RBG</w:t>
      </w:r>
      <w:proofErr w:type="spellEnd"/>
      <w:r w:rsidRPr="004A1196">
        <w:rPr>
          <w:rFonts w:eastAsia="Calibri"/>
          <w:color w:val="0B2B43" w:themeColor="text2" w:themeShade="80"/>
        </w:rPr>
        <w:t xml:space="preserve"> needs.</w:t>
      </w:r>
    </w:p>
    <w:p w:rsidR="002C6039" w:rsidRPr="004A1196" w:rsidRDefault="002C6039" w:rsidP="002C6039">
      <w:pPr>
        <w:pStyle w:val="RIHeading3"/>
        <w:rPr>
          <w:rFonts w:eastAsia="Times New Roman"/>
          <w:color w:val="0B2B43" w:themeColor="text2" w:themeShade="80"/>
        </w:rPr>
      </w:pPr>
      <w:bookmarkStart w:id="163" w:name="_Toc436651832"/>
      <w:bookmarkStart w:id="164" w:name="_Toc436659640"/>
      <w:bookmarkStart w:id="165" w:name="_Toc436660138"/>
      <w:r w:rsidRPr="004A1196">
        <w:rPr>
          <w:rFonts w:eastAsia="Times New Roman"/>
          <w:color w:val="0B2B43" w:themeColor="text2" w:themeShade="80"/>
        </w:rPr>
        <w:t>Transition and transition support</w:t>
      </w:r>
      <w:bookmarkEnd w:id="163"/>
      <w:bookmarkEnd w:id="164"/>
      <w:bookmarkEnd w:id="165"/>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The architecture of the new </w:t>
      </w:r>
      <w:proofErr w:type="spellStart"/>
      <w:r w:rsidRPr="004A1196">
        <w:rPr>
          <w:rFonts w:eastAsia="Calibri"/>
          <w:color w:val="0B2B43" w:themeColor="text2" w:themeShade="80"/>
        </w:rPr>
        <w:t>RBG</w:t>
      </w:r>
      <w:proofErr w:type="spellEnd"/>
      <w:r w:rsidRPr="004A1196">
        <w:rPr>
          <w:rFonts w:eastAsia="Calibri"/>
          <w:color w:val="0B2B43" w:themeColor="text2" w:themeShade="80"/>
        </w:rPr>
        <w:t xml:space="preserve"> model </w:t>
      </w:r>
      <w:proofErr w:type="gramStart"/>
      <w:r w:rsidRPr="004A1196">
        <w:rPr>
          <w:rFonts w:eastAsia="Calibri"/>
          <w:color w:val="0B2B43" w:themeColor="text2" w:themeShade="80"/>
        </w:rPr>
        <w:t>will be implemented</w:t>
      </w:r>
      <w:proofErr w:type="gramEnd"/>
      <w:r w:rsidRPr="004A1196">
        <w:rPr>
          <w:rFonts w:eastAsia="Calibri"/>
          <w:color w:val="0B2B43" w:themeColor="text2" w:themeShade="80"/>
        </w:rPr>
        <w:t xml:space="preserve"> from the start of calendar year 2017. </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Universities are agile institutions that are well equipped to respond to the government’s clear signals about priorities and invariably do. Many universities are already implementing strategies aimed at increasing business and other </w:t>
      </w:r>
      <w:r w:rsidR="003904BC">
        <w:rPr>
          <w:rFonts w:eastAsia="Calibri"/>
          <w:color w:val="0B2B43" w:themeColor="text2" w:themeShade="80"/>
        </w:rPr>
        <w:t>end user</w:t>
      </w:r>
      <w:r w:rsidR="0001555F">
        <w:rPr>
          <w:rFonts w:eastAsia="Calibri"/>
          <w:color w:val="0B2B43" w:themeColor="text2" w:themeShade="80"/>
        </w:rPr>
        <w:t xml:space="preserve"> engagement. I</w:t>
      </w:r>
      <w:r w:rsidRPr="004A1196">
        <w:rPr>
          <w:rFonts w:eastAsia="Calibri"/>
          <w:color w:val="0B2B43" w:themeColor="text2" w:themeShade="80"/>
        </w:rPr>
        <w:t xml:space="preserve">t </w:t>
      </w:r>
      <w:proofErr w:type="gramStart"/>
      <w:r w:rsidRPr="004A1196">
        <w:rPr>
          <w:rFonts w:eastAsia="Calibri"/>
          <w:color w:val="0B2B43" w:themeColor="text2" w:themeShade="80"/>
        </w:rPr>
        <w:t>is expected</w:t>
      </w:r>
      <w:proofErr w:type="gramEnd"/>
      <w:r w:rsidRPr="004A1196">
        <w:rPr>
          <w:rFonts w:eastAsia="Calibri"/>
          <w:color w:val="0B2B43" w:themeColor="text2" w:themeShade="80"/>
        </w:rPr>
        <w:t xml:space="preserve"> that they will start to bolster these strategies as soon as new research funding arrangements are decided. The results of these strategies will in turn influence the funding allocations flowing from </w:t>
      </w:r>
      <w:proofErr w:type="spellStart"/>
      <w:r w:rsidRPr="004A1196">
        <w:rPr>
          <w:rFonts w:eastAsia="Calibri"/>
          <w:color w:val="0B2B43" w:themeColor="text2" w:themeShade="80"/>
        </w:rPr>
        <w:t>RBG</w:t>
      </w:r>
      <w:proofErr w:type="spellEnd"/>
      <w:r w:rsidRPr="004A1196">
        <w:rPr>
          <w:rFonts w:eastAsia="Calibri"/>
          <w:color w:val="0B2B43" w:themeColor="text2" w:themeShade="80"/>
        </w:rPr>
        <w:t>.</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However, the lags in the funding system will mean that actions taken by universities from 2016 on </w:t>
      </w:r>
      <w:proofErr w:type="gramStart"/>
      <w:r w:rsidRPr="004A1196">
        <w:rPr>
          <w:rFonts w:eastAsia="Calibri"/>
          <w:color w:val="0B2B43" w:themeColor="text2" w:themeShade="80"/>
        </w:rPr>
        <w:t>will not be fully reflected</w:t>
      </w:r>
      <w:proofErr w:type="gramEnd"/>
      <w:r w:rsidRPr="004A1196">
        <w:rPr>
          <w:rFonts w:eastAsia="Calibri"/>
          <w:color w:val="0B2B43" w:themeColor="text2" w:themeShade="80"/>
        </w:rPr>
        <w:t xml:space="preserve"> in funding allocations made under the new funding arrangements until 2019, as explained in Table </w:t>
      </w:r>
      <w:r w:rsidR="003D4AF7" w:rsidRPr="004A1196">
        <w:rPr>
          <w:rFonts w:eastAsia="Calibri"/>
          <w:color w:val="0B2B43" w:themeColor="text2" w:themeShade="80"/>
        </w:rPr>
        <w:t>5</w:t>
      </w:r>
      <w:r w:rsidRPr="004A1196">
        <w:rPr>
          <w:rFonts w:eastAsia="Calibri"/>
          <w:color w:val="0B2B43" w:themeColor="text2" w:themeShade="80"/>
        </w:rPr>
        <w:t>.</w:t>
      </w:r>
    </w:p>
    <w:p w:rsidR="002C6039" w:rsidRPr="004A1196" w:rsidRDefault="002C6039" w:rsidP="00CC1569">
      <w:pPr>
        <w:pStyle w:val="Caption"/>
        <w:keepNext/>
        <w:rPr>
          <w:rFonts w:eastAsia="Calibri"/>
          <w:b w:val="0"/>
          <w:color w:val="0B2B43" w:themeColor="text2" w:themeShade="80"/>
        </w:rPr>
      </w:pPr>
      <w:proofErr w:type="gramStart"/>
      <w:r w:rsidRPr="004A1196">
        <w:rPr>
          <w:color w:val="0B2B43" w:themeColor="text2" w:themeShade="80"/>
        </w:rPr>
        <w:t xml:space="preserve">Table </w:t>
      </w:r>
      <w:r w:rsidRPr="004A1196">
        <w:rPr>
          <w:color w:val="0B2B43" w:themeColor="text2" w:themeShade="80"/>
        </w:rPr>
        <w:fldChar w:fldCharType="begin"/>
      </w:r>
      <w:r w:rsidRPr="004A1196">
        <w:rPr>
          <w:color w:val="0B2B43" w:themeColor="text2" w:themeShade="80"/>
        </w:rPr>
        <w:instrText xml:space="preserve"> SEQ Table \* ARABIC </w:instrText>
      </w:r>
      <w:r w:rsidRPr="004A1196">
        <w:rPr>
          <w:color w:val="0B2B43" w:themeColor="text2" w:themeShade="80"/>
        </w:rPr>
        <w:fldChar w:fldCharType="separate"/>
      </w:r>
      <w:r w:rsidR="00E05D3F">
        <w:rPr>
          <w:noProof/>
          <w:color w:val="0B2B43" w:themeColor="text2" w:themeShade="80"/>
        </w:rPr>
        <w:t>5</w:t>
      </w:r>
      <w:r w:rsidRPr="004A1196">
        <w:rPr>
          <w:color w:val="0B2B43" w:themeColor="text2" w:themeShade="80"/>
        </w:rPr>
        <w:fldChar w:fldCharType="end"/>
      </w:r>
      <w:r w:rsidRPr="004A1196">
        <w:rPr>
          <w:rFonts w:eastAsia="Calibri" w:cs="Times New Roman"/>
          <w:color w:val="0B2B43" w:themeColor="text2" w:themeShade="80"/>
        </w:rPr>
        <w:t>.</w:t>
      </w:r>
      <w:proofErr w:type="gramEnd"/>
      <w:r w:rsidRPr="004A1196">
        <w:rPr>
          <w:rFonts w:eastAsia="Calibri" w:cs="Times New Roman"/>
          <w:color w:val="0B2B43" w:themeColor="text2" w:themeShade="80"/>
        </w:rPr>
        <w:t xml:space="preserve"> Chronology of transition from existing to new </w:t>
      </w:r>
      <w:proofErr w:type="spellStart"/>
      <w:r w:rsidRPr="004A1196">
        <w:rPr>
          <w:rFonts w:eastAsia="Calibri" w:cs="Times New Roman"/>
          <w:color w:val="0B2B43" w:themeColor="text2" w:themeShade="80"/>
        </w:rPr>
        <w:t>RBG</w:t>
      </w:r>
      <w:proofErr w:type="spellEnd"/>
      <w:r w:rsidRPr="004A1196">
        <w:rPr>
          <w:rFonts w:eastAsia="Calibri" w:cs="Times New Roman"/>
          <w:color w:val="0B2B43" w:themeColor="text2" w:themeShade="80"/>
        </w:rPr>
        <w:t xml:space="preserve"> funding arrangements</w:t>
      </w:r>
    </w:p>
    <w:tbl>
      <w:tblPr>
        <w:tblW w:w="8778" w:type="dxa"/>
        <w:tblInd w:w="-23" w:type="dxa"/>
        <w:tblLayout w:type="fixed"/>
        <w:tblCellMar>
          <w:left w:w="0" w:type="dxa"/>
          <w:right w:w="0" w:type="dxa"/>
        </w:tblCellMar>
        <w:tblLook w:val="04A0" w:firstRow="1" w:lastRow="0" w:firstColumn="1" w:lastColumn="0" w:noHBand="0" w:noVBand="1"/>
      </w:tblPr>
      <w:tblGrid>
        <w:gridCol w:w="2300"/>
        <w:gridCol w:w="1295"/>
        <w:gridCol w:w="1296"/>
        <w:gridCol w:w="1295"/>
        <w:gridCol w:w="1296"/>
        <w:gridCol w:w="1296"/>
      </w:tblGrid>
      <w:tr w:rsidR="004A1196" w:rsidRPr="004A1196" w:rsidTr="00484D5B">
        <w:trPr>
          <w:trHeight w:val="300"/>
          <w:tblHeader/>
        </w:trPr>
        <w:tc>
          <w:tcPr>
            <w:tcW w:w="2300"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shd w:val="clear" w:color="auto" w:fill="FFC000"/>
            <w:noWrap/>
            <w:tcMar>
              <w:top w:w="0" w:type="dxa"/>
              <w:left w:w="108" w:type="dxa"/>
              <w:bottom w:w="0" w:type="dxa"/>
              <w:right w:w="108" w:type="dxa"/>
            </w:tcMar>
            <w:vAlign w:val="bottom"/>
            <w:hideMark/>
          </w:tcPr>
          <w:p w:rsidR="002C6039" w:rsidRPr="004A1196" w:rsidRDefault="002C6039" w:rsidP="004C46EF">
            <w:pPr>
              <w:spacing w:before="0" w:after="200"/>
              <w:rPr>
                <w:rFonts w:eastAsia="Calibri" w:cs="Calibri"/>
                <w:b/>
                <w:color w:val="0B2B43" w:themeColor="text2" w:themeShade="80"/>
                <w:szCs w:val="22"/>
                <w:lang w:eastAsia="en-AU"/>
              </w:rPr>
            </w:pPr>
            <w:r w:rsidRPr="004A1196">
              <w:rPr>
                <w:rFonts w:eastAsia="Calibri" w:cs="Times New Roman"/>
                <w:b/>
                <w:color w:val="0B2B43" w:themeColor="text2" w:themeShade="80"/>
                <w:szCs w:val="22"/>
                <w:lang w:eastAsia="en-AU"/>
              </w:rPr>
              <w:t>Funding Year</w:t>
            </w:r>
          </w:p>
        </w:tc>
        <w:tc>
          <w:tcPr>
            <w:tcW w:w="1295"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shd w:val="clear" w:color="auto" w:fill="FFC000"/>
            <w:noWrap/>
            <w:tcMar>
              <w:top w:w="0" w:type="dxa"/>
              <w:left w:w="108" w:type="dxa"/>
              <w:bottom w:w="0" w:type="dxa"/>
              <w:right w:w="108" w:type="dxa"/>
            </w:tcMar>
            <w:vAlign w:val="bottom"/>
            <w:hideMark/>
          </w:tcPr>
          <w:p w:rsidR="002C6039" w:rsidRPr="004A1196" w:rsidRDefault="002C6039" w:rsidP="005330ED">
            <w:pPr>
              <w:spacing w:before="0" w:after="200"/>
              <w:jc w:val="center"/>
              <w:rPr>
                <w:rFonts w:eastAsia="Calibri" w:cs="Calibri"/>
                <w:b/>
                <w:bCs/>
                <w:color w:val="0B2B43" w:themeColor="text2" w:themeShade="80"/>
                <w:szCs w:val="22"/>
                <w:lang w:eastAsia="en-AU"/>
              </w:rPr>
            </w:pPr>
            <w:r w:rsidRPr="004A1196">
              <w:rPr>
                <w:rFonts w:eastAsia="Calibri" w:cs="Times New Roman"/>
                <w:b/>
                <w:bCs/>
                <w:color w:val="0B2B43" w:themeColor="text2" w:themeShade="80"/>
                <w:szCs w:val="22"/>
                <w:lang w:eastAsia="en-AU"/>
              </w:rPr>
              <w:t>2016</w:t>
            </w:r>
          </w:p>
        </w:tc>
        <w:tc>
          <w:tcPr>
            <w:tcW w:w="1296"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shd w:val="clear" w:color="auto" w:fill="FFC000"/>
            <w:noWrap/>
            <w:tcMar>
              <w:top w:w="0" w:type="dxa"/>
              <w:left w:w="108" w:type="dxa"/>
              <w:bottom w:w="0" w:type="dxa"/>
              <w:right w:w="108" w:type="dxa"/>
            </w:tcMar>
            <w:vAlign w:val="bottom"/>
            <w:hideMark/>
          </w:tcPr>
          <w:p w:rsidR="002C6039" w:rsidRPr="004A1196" w:rsidRDefault="002C6039" w:rsidP="005330ED">
            <w:pPr>
              <w:spacing w:before="0" w:after="200"/>
              <w:jc w:val="center"/>
              <w:rPr>
                <w:rFonts w:eastAsia="Calibri" w:cs="Calibri"/>
                <w:b/>
                <w:bCs/>
                <w:color w:val="0B2B43" w:themeColor="text2" w:themeShade="80"/>
                <w:szCs w:val="22"/>
                <w:lang w:eastAsia="en-AU"/>
              </w:rPr>
            </w:pPr>
            <w:r w:rsidRPr="004A1196">
              <w:rPr>
                <w:rFonts w:eastAsia="Calibri" w:cs="Times New Roman"/>
                <w:b/>
                <w:bCs/>
                <w:color w:val="0B2B43" w:themeColor="text2" w:themeShade="80"/>
                <w:szCs w:val="22"/>
                <w:lang w:eastAsia="en-AU"/>
              </w:rPr>
              <w:t>2017</w:t>
            </w:r>
          </w:p>
        </w:tc>
        <w:tc>
          <w:tcPr>
            <w:tcW w:w="1295"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shd w:val="clear" w:color="auto" w:fill="FFC000"/>
            <w:noWrap/>
            <w:tcMar>
              <w:top w:w="0" w:type="dxa"/>
              <w:left w:w="108" w:type="dxa"/>
              <w:bottom w:w="0" w:type="dxa"/>
              <w:right w:w="108" w:type="dxa"/>
            </w:tcMar>
            <w:vAlign w:val="bottom"/>
            <w:hideMark/>
          </w:tcPr>
          <w:p w:rsidR="002C6039" w:rsidRPr="004A1196" w:rsidRDefault="002C6039" w:rsidP="005330ED">
            <w:pPr>
              <w:spacing w:before="0" w:after="200"/>
              <w:jc w:val="center"/>
              <w:rPr>
                <w:rFonts w:eastAsia="Calibri" w:cs="Calibri"/>
                <w:b/>
                <w:bCs/>
                <w:color w:val="0B2B43" w:themeColor="text2" w:themeShade="80"/>
                <w:szCs w:val="22"/>
                <w:lang w:eastAsia="en-AU"/>
              </w:rPr>
            </w:pPr>
            <w:r w:rsidRPr="004A1196">
              <w:rPr>
                <w:rFonts w:eastAsia="Calibri" w:cs="Times New Roman"/>
                <w:b/>
                <w:bCs/>
                <w:color w:val="0B2B43" w:themeColor="text2" w:themeShade="80"/>
                <w:szCs w:val="22"/>
                <w:lang w:eastAsia="en-AU"/>
              </w:rPr>
              <w:t>2018</w:t>
            </w:r>
          </w:p>
        </w:tc>
        <w:tc>
          <w:tcPr>
            <w:tcW w:w="1296"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shd w:val="clear" w:color="auto" w:fill="FFC000"/>
            <w:noWrap/>
            <w:tcMar>
              <w:top w:w="0" w:type="dxa"/>
              <w:left w:w="108" w:type="dxa"/>
              <w:bottom w:w="0" w:type="dxa"/>
              <w:right w:w="108" w:type="dxa"/>
            </w:tcMar>
            <w:vAlign w:val="bottom"/>
            <w:hideMark/>
          </w:tcPr>
          <w:p w:rsidR="002C6039" w:rsidRPr="004A1196" w:rsidRDefault="002C6039" w:rsidP="005330ED">
            <w:pPr>
              <w:spacing w:before="0" w:after="200"/>
              <w:jc w:val="center"/>
              <w:rPr>
                <w:rFonts w:eastAsia="Calibri" w:cs="Calibri"/>
                <w:b/>
                <w:bCs/>
                <w:color w:val="0B2B43" w:themeColor="text2" w:themeShade="80"/>
                <w:szCs w:val="22"/>
                <w:lang w:eastAsia="en-AU"/>
              </w:rPr>
            </w:pPr>
            <w:r w:rsidRPr="004A1196">
              <w:rPr>
                <w:rFonts w:eastAsia="Calibri" w:cs="Times New Roman"/>
                <w:b/>
                <w:bCs/>
                <w:color w:val="0B2B43" w:themeColor="text2" w:themeShade="80"/>
                <w:szCs w:val="22"/>
                <w:lang w:eastAsia="en-AU"/>
              </w:rPr>
              <w:t>2019</w:t>
            </w:r>
          </w:p>
        </w:tc>
        <w:tc>
          <w:tcPr>
            <w:tcW w:w="1296"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shd w:val="clear" w:color="auto" w:fill="FFC000"/>
            <w:noWrap/>
            <w:tcMar>
              <w:top w:w="0" w:type="dxa"/>
              <w:left w:w="108" w:type="dxa"/>
              <w:bottom w:w="0" w:type="dxa"/>
              <w:right w:w="108" w:type="dxa"/>
            </w:tcMar>
            <w:vAlign w:val="bottom"/>
            <w:hideMark/>
          </w:tcPr>
          <w:p w:rsidR="002C6039" w:rsidRPr="004A1196" w:rsidRDefault="002C6039" w:rsidP="005330ED">
            <w:pPr>
              <w:spacing w:before="0" w:after="200"/>
              <w:jc w:val="center"/>
              <w:rPr>
                <w:rFonts w:eastAsia="Calibri" w:cs="Calibri"/>
                <w:b/>
                <w:bCs/>
                <w:color w:val="0B2B43" w:themeColor="text2" w:themeShade="80"/>
                <w:szCs w:val="22"/>
                <w:lang w:eastAsia="en-AU"/>
              </w:rPr>
            </w:pPr>
            <w:r w:rsidRPr="004A1196">
              <w:rPr>
                <w:rFonts w:eastAsia="Calibri" w:cs="Times New Roman"/>
                <w:b/>
                <w:bCs/>
                <w:color w:val="0B2B43" w:themeColor="text2" w:themeShade="80"/>
                <w:szCs w:val="22"/>
                <w:lang w:eastAsia="en-AU"/>
              </w:rPr>
              <w:t>2020</w:t>
            </w:r>
          </w:p>
        </w:tc>
      </w:tr>
      <w:tr w:rsidR="004A1196" w:rsidRPr="004A1196" w:rsidTr="004C46EF">
        <w:trPr>
          <w:trHeight w:val="300"/>
        </w:trPr>
        <w:tc>
          <w:tcPr>
            <w:tcW w:w="2300"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noWrap/>
            <w:tcMar>
              <w:top w:w="0" w:type="dxa"/>
              <w:left w:w="108" w:type="dxa"/>
              <w:bottom w:w="0" w:type="dxa"/>
              <w:right w:w="108" w:type="dxa"/>
            </w:tcMar>
            <w:vAlign w:val="bottom"/>
            <w:hideMark/>
          </w:tcPr>
          <w:p w:rsidR="002C6039" w:rsidRPr="004A1196" w:rsidRDefault="002C6039" w:rsidP="004C46EF">
            <w:pPr>
              <w:spacing w:before="0" w:after="200"/>
              <w:rPr>
                <w:rFonts w:eastAsia="Calibri" w:cs="Calibri"/>
                <w:color w:val="0B2B43" w:themeColor="text2" w:themeShade="80"/>
                <w:szCs w:val="22"/>
                <w:lang w:eastAsia="en-AU"/>
              </w:rPr>
            </w:pPr>
            <w:r w:rsidRPr="004A1196">
              <w:rPr>
                <w:rFonts w:eastAsia="Calibri" w:cs="Times New Roman"/>
                <w:color w:val="0B2B43" w:themeColor="text2" w:themeShade="80"/>
                <w:szCs w:val="22"/>
                <w:lang w:eastAsia="en-AU"/>
              </w:rPr>
              <w:t>Latest Data Year</w:t>
            </w:r>
          </w:p>
        </w:tc>
        <w:tc>
          <w:tcPr>
            <w:tcW w:w="1295"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shd w:val="clear" w:color="auto" w:fill="E6B8B7"/>
            <w:noWrap/>
            <w:tcMar>
              <w:top w:w="0" w:type="dxa"/>
              <w:left w:w="108" w:type="dxa"/>
              <w:bottom w:w="0" w:type="dxa"/>
              <w:right w:w="108" w:type="dxa"/>
            </w:tcMar>
            <w:vAlign w:val="bottom"/>
            <w:hideMark/>
          </w:tcPr>
          <w:p w:rsidR="002C6039" w:rsidRPr="004A1196" w:rsidRDefault="002C6039" w:rsidP="005330ED">
            <w:pPr>
              <w:spacing w:before="0" w:after="200"/>
              <w:jc w:val="center"/>
              <w:rPr>
                <w:rFonts w:eastAsia="Calibri" w:cs="Calibri"/>
                <w:color w:val="0B2B43" w:themeColor="text2" w:themeShade="80"/>
                <w:szCs w:val="22"/>
                <w:lang w:eastAsia="en-AU"/>
              </w:rPr>
            </w:pPr>
            <w:r w:rsidRPr="004A1196">
              <w:rPr>
                <w:rFonts w:eastAsia="Calibri" w:cs="Times New Roman"/>
                <w:color w:val="0B2B43" w:themeColor="text2" w:themeShade="80"/>
                <w:szCs w:val="22"/>
                <w:lang w:eastAsia="en-AU"/>
              </w:rPr>
              <w:t>2014</w:t>
            </w:r>
            <w:r w:rsidR="00AB5C1D">
              <w:rPr>
                <w:rFonts w:eastAsia="Calibri" w:cs="Times New Roman"/>
                <w:color w:val="0B2B43" w:themeColor="text2" w:themeShade="80"/>
                <w:szCs w:val="22"/>
                <w:lang w:eastAsia="en-AU"/>
              </w:rPr>
              <w:t xml:space="preserve"> </w:t>
            </w:r>
            <w:r w:rsidR="00AB5C1D" w:rsidRPr="00AB5C1D">
              <w:rPr>
                <w:rFonts w:eastAsia="Calibri" w:cs="Times New Roman"/>
                <w:color w:val="0B2B43" w:themeColor="text2" w:themeShade="80"/>
                <w:szCs w:val="22"/>
                <w:vertAlign w:val="superscript"/>
                <w:lang w:eastAsia="en-AU"/>
              </w:rPr>
              <w:t>a</w:t>
            </w:r>
          </w:p>
        </w:tc>
        <w:tc>
          <w:tcPr>
            <w:tcW w:w="1296"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shd w:val="clear" w:color="auto" w:fill="E6B8B7"/>
            <w:noWrap/>
            <w:tcMar>
              <w:top w:w="0" w:type="dxa"/>
              <w:left w:w="108" w:type="dxa"/>
              <w:bottom w:w="0" w:type="dxa"/>
              <w:right w:w="108" w:type="dxa"/>
            </w:tcMar>
            <w:vAlign w:val="bottom"/>
            <w:hideMark/>
          </w:tcPr>
          <w:p w:rsidR="002C6039" w:rsidRPr="004A1196" w:rsidRDefault="002C6039" w:rsidP="005330ED">
            <w:pPr>
              <w:spacing w:before="0" w:after="200"/>
              <w:jc w:val="center"/>
              <w:rPr>
                <w:rFonts w:eastAsia="Calibri" w:cs="Calibri"/>
                <w:color w:val="0B2B43" w:themeColor="text2" w:themeShade="80"/>
                <w:szCs w:val="22"/>
                <w:lang w:eastAsia="en-AU"/>
              </w:rPr>
            </w:pPr>
            <w:r w:rsidRPr="004A1196">
              <w:rPr>
                <w:rFonts w:eastAsia="Calibri" w:cs="Times New Roman"/>
                <w:color w:val="0B2B43" w:themeColor="text2" w:themeShade="80"/>
                <w:szCs w:val="22"/>
                <w:lang w:eastAsia="en-AU"/>
              </w:rPr>
              <w:t>2015</w:t>
            </w:r>
            <w:r w:rsidR="00AB5C1D">
              <w:rPr>
                <w:rFonts w:eastAsia="Calibri" w:cs="Times New Roman"/>
                <w:color w:val="0B2B43" w:themeColor="text2" w:themeShade="80"/>
                <w:szCs w:val="22"/>
                <w:lang w:eastAsia="en-AU"/>
              </w:rPr>
              <w:t xml:space="preserve"> </w:t>
            </w:r>
            <w:r w:rsidR="00AB5C1D" w:rsidRPr="00AB5C1D">
              <w:rPr>
                <w:rFonts w:eastAsia="Calibri" w:cs="Times New Roman"/>
                <w:color w:val="0B2B43" w:themeColor="text2" w:themeShade="80"/>
                <w:szCs w:val="22"/>
                <w:vertAlign w:val="superscript"/>
                <w:lang w:eastAsia="en-AU"/>
              </w:rPr>
              <w:t>a</w:t>
            </w:r>
          </w:p>
        </w:tc>
        <w:tc>
          <w:tcPr>
            <w:tcW w:w="1295"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shd w:val="clear" w:color="auto" w:fill="92D050"/>
            <w:noWrap/>
            <w:tcMar>
              <w:top w:w="0" w:type="dxa"/>
              <w:left w:w="108" w:type="dxa"/>
              <w:bottom w:w="0" w:type="dxa"/>
              <w:right w:w="108" w:type="dxa"/>
            </w:tcMar>
            <w:vAlign w:val="bottom"/>
            <w:hideMark/>
          </w:tcPr>
          <w:p w:rsidR="002C6039" w:rsidRPr="004A1196" w:rsidRDefault="002C6039" w:rsidP="005330ED">
            <w:pPr>
              <w:spacing w:before="0" w:after="200"/>
              <w:jc w:val="center"/>
              <w:rPr>
                <w:rFonts w:eastAsia="Calibri" w:cs="Calibri"/>
                <w:color w:val="0B2B43" w:themeColor="text2" w:themeShade="80"/>
                <w:szCs w:val="22"/>
                <w:lang w:eastAsia="en-AU"/>
              </w:rPr>
            </w:pPr>
            <w:r w:rsidRPr="004A1196">
              <w:rPr>
                <w:rFonts w:eastAsia="Calibri" w:cs="Times New Roman"/>
                <w:color w:val="0B2B43" w:themeColor="text2" w:themeShade="80"/>
                <w:szCs w:val="22"/>
                <w:lang w:eastAsia="en-AU"/>
              </w:rPr>
              <w:t>2016</w:t>
            </w:r>
            <w:r w:rsidR="00AB5C1D">
              <w:rPr>
                <w:rFonts w:eastAsia="Calibri" w:cs="Times New Roman"/>
                <w:color w:val="0B2B43" w:themeColor="text2" w:themeShade="80"/>
                <w:szCs w:val="22"/>
                <w:lang w:eastAsia="en-AU"/>
              </w:rPr>
              <w:t xml:space="preserve"> </w:t>
            </w:r>
            <w:r w:rsidR="00AB5C1D" w:rsidRPr="00AB5C1D">
              <w:rPr>
                <w:rFonts w:eastAsia="Calibri" w:cs="Times New Roman"/>
                <w:color w:val="0B2B43" w:themeColor="text2" w:themeShade="80"/>
                <w:szCs w:val="22"/>
                <w:vertAlign w:val="superscript"/>
                <w:lang w:eastAsia="en-AU"/>
              </w:rPr>
              <w:t>b</w:t>
            </w:r>
          </w:p>
        </w:tc>
        <w:tc>
          <w:tcPr>
            <w:tcW w:w="1296"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shd w:val="clear" w:color="auto" w:fill="92D050"/>
            <w:noWrap/>
            <w:tcMar>
              <w:top w:w="0" w:type="dxa"/>
              <w:left w:w="108" w:type="dxa"/>
              <w:bottom w:w="0" w:type="dxa"/>
              <w:right w:w="108" w:type="dxa"/>
            </w:tcMar>
            <w:vAlign w:val="bottom"/>
            <w:hideMark/>
          </w:tcPr>
          <w:p w:rsidR="002C6039" w:rsidRPr="004A1196" w:rsidRDefault="002C6039" w:rsidP="005330ED">
            <w:pPr>
              <w:spacing w:before="0" w:after="200"/>
              <w:jc w:val="center"/>
              <w:rPr>
                <w:rFonts w:eastAsia="Calibri" w:cs="Calibri"/>
                <w:color w:val="0B2B43" w:themeColor="text2" w:themeShade="80"/>
                <w:szCs w:val="22"/>
                <w:lang w:eastAsia="en-AU"/>
              </w:rPr>
            </w:pPr>
            <w:r w:rsidRPr="004A1196">
              <w:rPr>
                <w:rFonts w:eastAsia="Calibri" w:cs="Times New Roman"/>
                <w:color w:val="0B2B43" w:themeColor="text2" w:themeShade="80"/>
                <w:szCs w:val="22"/>
                <w:lang w:eastAsia="en-AU"/>
              </w:rPr>
              <w:t>2017</w:t>
            </w:r>
            <w:r w:rsidR="00AB5C1D">
              <w:rPr>
                <w:rFonts w:eastAsia="Calibri" w:cs="Times New Roman"/>
                <w:color w:val="0B2B43" w:themeColor="text2" w:themeShade="80"/>
                <w:szCs w:val="22"/>
                <w:lang w:eastAsia="en-AU"/>
              </w:rPr>
              <w:t xml:space="preserve"> </w:t>
            </w:r>
            <w:r w:rsidR="00AB5C1D" w:rsidRPr="00AB5C1D">
              <w:rPr>
                <w:rFonts w:eastAsia="Calibri" w:cs="Times New Roman"/>
                <w:color w:val="0B2B43" w:themeColor="text2" w:themeShade="80"/>
                <w:szCs w:val="22"/>
                <w:vertAlign w:val="superscript"/>
                <w:lang w:eastAsia="en-AU"/>
              </w:rPr>
              <w:t>b</w:t>
            </w:r>
          </w:p>
        </w:tc>
        <w:tc>
          <w:tcPr>
            <w:tcW w:w="1296"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shd w:val="clear" w:color="auto" w:fill="92D050"/>
            <w:noWrap/>
            <w:tcMar>
              <w:top w:w="0" w:type="dxa"/>
              <w:left w:w="108" w:type="dxa"/>
              <w:bottom w:w="0" w:type="dxa"/>
              <w:right w:w="108" w:type="dxa"/>
            </w:tcMar>
            <w:vAlign w:val="bottom"/>
            <w:hideMark/>
          </w:tcPr>
          <w:p w:rsidR="002C6039" w:rsidRPr="004A1196" w:rsidRDefault="002C6039" w:rsidP="005330ED">
            <w:pPr>
              <w:spacing w:before="0" w:after="200"/>
              <w:jc w:val="center"/>
              <w:rPr>
                <w:rFonts w:eastAsia="Calibri" w:cs="Calibri"/>
                <w:color w:val="0B2B43" w:themeColor="text2" w:themeShade="80"/>
                <w:szCs w:val="22"/>
                <w:lang w:eastAsia="en-AU"/>
              </w:rPr>
            </w:pPr>
            <w:r w:rsidRPr="004A1196">
              <w:rPr>
                <w:rFonts w:eastAsia="Calibri" w:cs="Times New Roman"/>
                <w:color w:val="0B2B43" w:themeColor="text2" w:themeShade="80"/>
                <w:szCs w:val="22"/>
                <w:lang w:eastAsia="en-AU"/>
              </w:rPr>
              <w:t>2018</w:t>
            </w:r>
            <w:r w:rsidR="00AB5C1D">
              <w:rPr>
                <w:rFonts w:eastAsia="Calibri" w:cs="Times New Roman"/>
                <w:color w:val="0B2B43" w:themeColor="text2" w:themeShade="80"/>
                <w:szCs w:val="22"/>
                <w:lang w:eastAsia="en-AU"/>
              </w:rPr>
              <w:t xml:space="preserve"> </w:t>
            </w:r>
            <w:r w:rsidR="00AB5C1D" w:rsidRPr="00AB5C1D">
              <w:rPr>
                <w:rFonts w:eastAsia="Calibri" w:cs="Times New Roman"/>
                <w:color w:val="0B2B43" w:themeColor="text2" w:themeShade="80"/>
                <w:szCs w:val="22"/>
                <w:vertAlign w:val="superscript"/>
                <w:lang w:eastAsia="en-AU"/>
              </w:rPr>
              <w:t>b</w:t>
            </w:r>
          </w:p>
        </w:tc>
      </w:tr>
      <w:tr w:rsidR="004A1196" w:rsidRPr="004A1196" w:rsidTr="004C46EF">
        <w:trPr>
          <w:trHeight w:val="300"/>
        </w:trPr>
        <w:tc>
          <w:tcPr>
            <w:tcW w:w="2300"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noWrap/>
            <w:tcMar>
              <w:top w:w="0" w:type="dxa"/>
              <w:left w:w="108" w:type="dxa"/>
              <w:bottom w:w="0" w:type="dxa"/>
              <w:right w:w="108" w:type="dxa"/>
            </w:tcMar>
            <w:vAlign w:val="bottom"/>
            <w:hideMark/>
          </w:tcPr>
          <w:p w:rsidR="002C6039" w:rsidRPr="004A1196" w:rsidRDefault="002C6039" w:rsidP="004C46EF">
            <w:pPr>
              <w:spacing w:before="0" w:after="200"/>
              <w:rPr>
                <w:rFonts w:eastAsia="Calibri" w:cs="Calibri"/>
                <w:color w:val="0B2B43" w:themeColor="text2" w:themeShade="80"/>
                <w:szCs w:val="22"/>
                <w:lang w:eastAsia="en-AU"/>
              </w:rPr>
            </w:pPr>
            <w:r w:rsidRPr="004A1196">
              <w:rPr>
                <w:rFonts w:eastAsia="Calibri" w:cs="Times New Roman"/>
                <w:color w:val="0B2B43" w:themeColor="text2" w:themeShade="80"/>
                <w:szCs w:val="22"/>
                <w:lang w:eastAsia="en-AU"/>
              </w:rPr>
              <w:t>Second latest data year</w:t>
            </w:r>
          </w:p>
        </w:tc>
        <w:tc>
          <w:tcPr>
            <w:tcW w:w="1295"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shd w:val="clear" w:color="auto" w:fill="E6B8B7"/>
            <w:noWrap/>
            <w:tcMar>
              <w:top w:w="0" w:type="dxa"/>
              <w:left w:w="108" w:type="dxa"/>
              <w:bottom w:w="0" w:type="dxa"/>
              <w:right w:w="108" w:type="dxa"/>
            </w:tcMar>
            <w:vAlign w:val="bottom"/>
            <w:hideMark/>
          </w:tcPr>
          <w:p w:rsidR="002C6039" w:rsidRPr="004A1196" w:rsidRDefault="002C6039" w:rsidP="005330ED">
            <w:pPr>
              <w:spacing w:before="0" w:after="200"/>
              <w:jc w:val="center"/>
              <w:rPr>
                <w:rFonts w:eastAsia="Calibri" w:cs="Calibri"/>
                <w:color w:val="0B2B43" w:themeColor="text2" w:themeShade="80"/>
                <w:szCs w:val="22"/>
                <w:lang w:eastAsia="en-AU"/>
              </w:rPr>
            </w:pPr>
            <w:r w:rsidRPr="004A1196">
              <w:rPr>
                <w:rFonts w:eastAsia="Calibri" w:cs="Times New Roman"/>
                <w:color w:val="0B2B43" w:themeColor="text2" w:themeShade="80"/>
                <w:szCs w:val="22"/>
                <w:lang w:eastAsia="en-AU"/>
              </w:rPr>
              <w:t>2013</w:t>
            </w:r>
            <w:r w:rsidR="00AB5C1D">
              <w:rPr>
                <w:rFonts w:eastAsia="Calibri" w:cs="Times New Roman"/>
                <w:color w:val="0B2B43" w:themeColor="text2" w:themeShade="80"/>
                <w:szCs w:val="22"/>
                <w:lang w:eastAsia="en-AU"/>
              </w:rPr>
              <w:t xml:space="preserve"> </w:t>
            </w:r>
            <w:r w:rsidR="00AB5C1D" w:rsidRPr="00AB5C1D">
              <w:rPr>
                <w:rFonts w:eastAsia="Calibri" w:cs="Times New Roman"/>
                <w:color w:val="0B2B43" w:themeColor="text2" w:themeShade="80"/>
                <w:szCs w:val="22"/>
                <w:vertAlign w:val="superscript"/>
                <w:lang w:eastAsia="en-AU"/>
              </w:rPr>
              <w:t>a</w:t>
            </w:r>
          </w:p>
        </w:tc>
        <w:tc>
          <w:tcPr>
            <w:tcW w:w="1296"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shd w:val="clear" w:color="auto" w:fill="E6B8B7"/>
            <w:noWrap/>
            <w:tcMar>
              <w:top w:w="0" w:type="dxa"/>
              <w:left w:w="108" w:type="dxa"/>
              <w:bottom w:w="0" w:type="dxa"/>
              <w:right w:w="108" w:type="dxa"/>
            </w:tcMar>
            <w:vAlign w:val="bottom"/>
            <w:hideMark/>
          </w:tcPr>
          <w:p w:rsidR="002C6039" w:rsidRPr="004A1196" w:rsidRDefault="002C6039" w:rsidP="005330ED">
            <w:pPr>
              <w:spacing w:before="0" w:after="200"/>
              <w:jc w:val="center"/>
              <w:rPr>
                <w:rFonts w:eastAsia="Calibri" w:cs="Calibri"/>
                <w:color w:val="0B2B43" w:themeColor="text2" w:themeShade="80"/>
                <w:szCs w:val="22"/>
                <w:lang w:eastAsia="en-AU"/>
              </w:rPr>
            </w:pPr>
            <w:r w:rsidRPr="004A1196">
              <w:rPr>
                <w:rFonts w:eastAsia="Calibri" w:cs="Times New Roman"/>
                <w:color w:val="0B2B43" w:themeColor="text2" w:themeShade="80"/>
                <w:szCs w:val="22"/>
                <w:lang w:eastAsia="en-AU"/>
              </w:rPr>
              <w:t>2014</w:t>
            </w:r>
            <w:r w:rsidR="00AB5C1D">
              <w:rPr>
                <w:rFonts w:eastAsia="Calibri" w:cs="Times New Roman"/>
                <w:color w:val="0B2B43" w:themeColor="text2" w:themeShade="80"/>
                <w:szCs w:val="22"/>
                <w:lang w:eastAsia="en-AU"/>
              </w:rPr>
              <w:t xml:space="preserve"> </w:t>
            </w:r>
            <w:r w:rsidR="00AB5C1D" w:rsidRPr="00AB5C1D">
              <w:rPr>
                <w:rFonts w:eastAsia="Calibri" w:cs="Times New Roman"/>
                <w:color w:val="0B2B43" w:themeColor="text2" w:themeShade="80"/>
                <w:szCs w:val="22"/>
                <w:vertAlign w:val="superscript"/>
                <w:lang w:eastAsia="en-AU"/>
              </w:rPr>
              <w:t>a</w:t>
            </w:r>
          </w:p>
        </w:tc>
        <w:tc>
          <w:tcPr>
            <w:tcW w:w="1295"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shd w:val="clear" w:color="auto" w:fill="E6B8B7"/>
            <w:noWrap/>
            <w:tcMar>
              <w:top w:w="0" w:type="dxa"/>
              <w:left w:w="108" w:type="dxa"/>
              <w:bottom w:w="0" w:type="dxa"/>
              <w:right w:w="108" w:type="dxa"/>
            </w:tcMar>
            <w:vAlign w:val="bottom"/>
            <w:hideMark/>
          </w:tcPr>
          <w:p w:rsidR="002C6039" w:rsidRPr="004A1196" w:rsidRDefault="002C6039" w:rsidP="005330ED">
            <w:pPr>
              <w:spacing w:before="0" w:after="200"/>
              <w:jc w:val="center"/>
              <w:rPr>
                <w:rFonts w:eastAsia="Calibri" w:cs="Calibri"/>
                <w:color w:val="0B2B43" w:themeColor="text2" w:themeShade="80"/>
                <w:szCs w:val="22"/>
                <w:lang w:eastAsia="en-AU"/>
              </w:rPr>
            </w:pPr>
            <w:r w:rsidRPr="004A1196">
              <w:rPr>
                <w:rFonts w:eastAsia="Calibri" w:cs="Times New Roman"/>
                <w:color w:val="0B2B43" w:themeColor="text2" w:themeShade="80"/>
                <w:szCs w:val="22"/>
                <w:lang w:eastAsia="en-AU"/>
              </w:rPr>
              <w:t>2015</w:t>
            </w:r>
            <w:r w:rsidR="00AB5C1D">
              <w:rPr>
                <w:rFonts w:eastAsia="Calibri" w:cs="Times New Roman"/>
                <w:color w:val="0B2B43" w:themeColor="text2" w:themeShade="80"/>
                <w:szCs w:val="22"/>
                <w:lang w:eastAsia="en-AU"/>
              </w:rPr>
              <w:t xml:space="preserve"> </w:t>
            </w:r>
            <w:r w:rsidR="00AB5C1D" w:rsidRPr="00AB5C1D">
              <w:rPr>
                <w:rFonts w:eastAsia="Calibri" w:cs="Times New Roman"/>
                <w:color w:val="0B2B43" w:themeColor="text2" w:themeShade="80"/>
                <w:szCs w:val="22"/>
                <w:vertAlign w:val="superscript"/>
                <w:lang w:eastAsia="en-AU"/>
              </w:rPr>
              <w:t>a</w:t>
            </w:r>
          </w:p>
        </w:tc>
        <w:tc>
          <w:tcPr>
            <w:tcW w:w="1296"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shd w:val="clear" w:color="auto" w:fill="92D050"/>
            <w:noWrap/>
            <w:tcMar>
              <w:top w:w="0" w:type="dxa"/>
              <w:left w:w="108" w:type="dxa"/>
              <w:bottom w:w="0" w:type="dxa"/>
              <w:right w:w="108" w:type="dxa"/>
            </w:tcMar>
            <w:vAlign w:val="bottom"/>
            <w:hideMark/>
          </w:tcPr>
          <w:p w:rsidR="002C6039" w:rsidRPr="004A1196" w:rsidRDefault="002C6039" w:rsidP="005330ED">
            <w:pPr>
              <w:spacing w:before="0" w:after="200"/>
              <w:jc w:val="center"/>
              <w:rPr>
                <w:rFonts w:eastAsia="Calibri" w:cs="Calibri"/>
                <w:color w:val="0B2B43" w:themeColor="text2" w:themeShade="80"/>
                <w:szCs w:val="22"/>
                <w:lang w:eastAsia="en-AU"/>
              </w:rPr>
            </w:pPr>
            <w:r w:rsidRPr="004A1196">
              <w:rPr>
                <w:rFonts w:eastAsia="Calibri" w:cs="Times New Roman"/>
                <w:color w:val="0B2B43" w:themeColor="text2" w:themeShade="80"/>
                <w:szCs w:val="22"/>
                <w:lang w:eastAsia="en-AU"/>
              </w:rPr>
              <w:t>2016</w:t>
            </w:r>
            <w:r w:rsidR="00AB5C1D">
              <w:rPr>
                <w:rFonts w:eastAsia="Calibri" w:cs="Times New Roman"/>
                <w:color w:val="0B2B43" w:themeColor="text2" w:themeShade="80"/>
                <w:szCs w:val="22"/>
                <w:lang w:eastAsia="en-AU"/>
              </w:rPr>
              <w:t xml:space="preserve"> </w:t>
            </w:r>
            <w:r w:rsidR="00AB5C1D" w:rsidRPr="00AB5C1D">
              <w:rPr>
                <w:rFonts w:eastAsia="Calibri" w:cs="Times New Roman"/>
                <w:color w:val="0B2B43" w:themeColor="text2" w:themeShade="80"/>
                <w:szCs w:val="22"/>
                <w:vertAlign w:val="superscript"/>
                <w:lang w:eastAsia="en-AU"/>
              </w:rPr>
              <w:t>b</w:t>
            </w:r>
          </w:p>
        </w:tc>
        <w:tc>
          <w:tcPr>
            <w:tcW w:w="1296"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shd w:val="clear" w:color="auto" w:fill="92D050"/>
            <w:noWrap/>
            <w:tcMar>
              <w:top w:w="0" w:type="dxa"/>
              <w:left w:w="108" w:type="dxa"/>
              <w:bottom w:w="0" w:type="dxa"/>
              <w:right w:w="108" w:type="dxa"/>
            </w:tcMar>
            <w:vAlign w:val="bottom"/>
            <w:hideMark/>
          </w:tcPr>
          <w:p w:rsidR="002C6039" w:rsidRPr="004A1196" w:rsidRDefault="002C6039" w:rsidP="005330ED">
            <w:pPr>
              <w:spacing w:before="0" w:after="200"/>
              <w:jc w:val="center"/>
              <w:rPr>
                <w:rFonts w:eastAsia="Calibri" w:cs="Calibri"/>
                <w:color w:val="0B2B43" w:themeColor="text2" w:themeShade="80"/>
                <w:szCs w:val="22"/>
                <w:lang w:eastAsia="en-AU"/>
              </w:rPr>
            </w:pPr>
            <w:r w:rsidRPr="004A1196">
              <w:rPr>
                <w:rFonts w:eastAsia="Calibri" w:cs="Times New Roman"/>
                <w:color w:val="0B2B43" w:themeColor="text2" w:themeShade="80"/>
                <w:szCs w:val="22"/>
                <w:lang w:eastAsia="en-AU"/>
              </w:rPr>
              <w:t>2017</w:t>
            </w:r>
            <w:r w:rsidR="00AB5C1D">
              <w:rPr>
                <w:rFonts w:eastAsia="Calibri" w:cs="Times New Roman"/>
                <w:color w:val="0B2B43" w:themeColor="text2" w:themeShade="80"/>
                <w:szCs w:val="22"/>
                <w:lang w:eastAsia="en-AU"/>
              </w:rPr>
              <w:t xml:space="preserve"> </w:t>
            </w:r>
            <w:r w:rsidR="00AB5C1D" w:rsidRPr="00AB5C1D">
              <w:rPr>
                <w:rFonts w:eastAsia="Calibri" w:cs="Times New Roman"/>
                <w:color w:val="0B2B43" w:themeColor="text2" w:themeShade="80"/>
                <w:szCs w:val="22"/>
                <w:vertAlign w:val="superscript"/>
                <w:lang w:eastAsia="en-AU"/>
              </w:rPr>
              <w:t>b</w:t>
            </w:r>
          </w:p>
        </w:tc>
      </w:tr>
    </w:tbl>
    <w:p w:rsidR="00AB5C1D" w:rsidRDefault="00AB5C1D" w:rsidP="00AB5C1D">
      <w:pPr>
        <w:shd w:val="clear" w:color="auto" w:fill="E6B8B7"/>
        <w:ind w:left="-113" w:right="7490"/>
        <w:rPr>
          <w:rFonts w:eastAsia="Calibri"/>
          <w:color w:val="0B2B43" w:themeColor="text2" w:themeShade="80"/>
        </w:rPr>
      </w:pPr>
      <w:proofErr w:type="spellStart"/>
      <w:proofErr w:type="gramStart"/>
      <w:r w:rsidRPr="00AB5C1D">
        <w:rPr>
          <w:rFonts w:eastAsia="Calibri" w:cs="Times New Roman"/>
          <w:color w:val="0B2B43" w:themeColor="text2" w:themeShade="80"/>
          <w:szCs w:val="22"/>
          <w:vertAlign w:val="superscript"/>
          <w:lang w:eastAsia="en-AU"/>
        </w:rPr>
        <w:t>a</w:t>
      </w:r>
      <w:proofErr w:type="spellEnd"/>
      <w:proofErr w:type="gramEnd"/>
      <w:r w:rsidRPr="004A1196">
        <w:rPr>
          <w:rFonts w:eastAsia="Calibri" w:cs="Times New Roman"/>
          <w:color w:val="0B2B43" w:themeColor="text2" w:themeShade="80"/>
          <w:sz w:val="20"/>
          <w:szCs w:val="22"/>
          <w:lang w:eastAsia="en-AU"/>
        </w:rPr>
        <w:t xml:space="preserve"> Old incentives</w:t>
      </w:r>
    </w:p>
    <w:p w:rsidR="00AB5C1D" w:rsidRDefault="00AB5C1D" w:rsidP="00AB5C1D">
      <w:pPr>
        <w:shd w:val="clear" w:color="auto" w:fill="92D050"/>
        <w:ind w:left="-113" w:right="7490"/>
        <w:rPr>
          <w:rFonts w:eastAsia="Calibri"/>
          <w:color w:val="0B2B43" w:themeColor="text2" w:themeShade="80"/>
        </w:rPr>
      </w:pPr>
      <w:proofErr w:type="gramStart"/>
      <w:r w:rsidRPr="00AB5C1D">
        <w:rPr>
          <w:rFonts w:eastAsia="Calibri" w:cs="Times New Roman"/>
          <w:color w:val="0B2B43" w:themeColor="text2" w:themeShade="80"/>
          <w:szCs w:val="22"/>
          <w:vertAlign w:val="superscript"/>
          <w:lang w:eastAsia="en-AU"/>
        </w:rPr>
        <w:t>b</w:t>
      </w:r>
      <w:proofErr w:type="gramEnd"/>
      <w:r w:rsidRPr="004A1196">
        <w:rPr>
          <w:rFonts w:eastAsia="Calibri" w:cs="Times New Roman"/>
          <w:color w:val="0B2B43" w:themeColor="text2" w:themeShade="80"/>
          <w:sz w:val="20"/>
          <w:szCs w:val="22"/>
          <w:lang w:eastAsia="en-AU"/>
        </w:rPr>
        <w:t xml:space="preserve"> New Incentives</w:t>
      </w:r>
      <w:r>
        <w:rPr>
          <w:rFonts w:eastAsia="Calibri" w:cs="Times New Roman"/>
          <w:color w:val="0B2B43" w:themeColor="text2" w:themeShade="80"/>
          <w:sz w:val="20"/>
          <w:szCs w:val="22"/>
          <w:lang w:eastAsia="en-AU"/>
        </w:rPr>
        <w:br/>
      </w:r>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The review recognises that universities have existing commitments and will need some time to adjust to the new </w:t>
      </w:r>
      <w:proofErr w:type="spellStart"/>
      <w:r w:rsidRPr="004A1196">
        <w:rPr>
          <w:rFonts w:eastAsia="Calibri"/>
          <w:color w:val="0B2B43" w:themeColor="text2" w:themeShade="80"/>
        </w:rPr>
        <w:t>RBG</w:t>
      </w:r>
      <w:proofErr w:type="spellEnd"/>
      <w:r w:rsidRPr="004A1196">
        <w:rPr>
          <w:rFonts w:eastAsia="Calibri"/>
          <w:color w:val="0B2B43" w:themeColor="text2" w:themeShade="80"/>
        </w:rPr>
        <w:t xml:space="preserve"> arrangements. However, Australia cannot afford </w:t>
      </w:r>
      <w:proofErr w:type="gramStart"/>
      <w:r w:rsidRPr="004A1196">
        <w:rPr>
          <w:rFonts w:eastAsia="Calibri"/>
          <w:color w:val="0B2B43" w:themeColor="text2" w:themeShade="80"/>
        </w:rPr>
        <w:t>to continually defer</w:t>
      </w:r>
      <w:proofErr w:type="gramEnd"/>
      <w:r w:rsidRPr="004A1196">
        <w:rPr>
          <w:rFonts w:eastAsia="Calibri"/>
          <w:color w:val="0B2B43" w:themeColor="text2" w:themeShade="80"/>
        </w:rPr>
        <w:t xml:space="preserve"> decisive action to improve engagement, particularly given our performance to date. While the pace of change should not be too fast, concerns about transition cannot serve to delay implementation or blunt the incentives for increased university-business engagement. </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Modelling undertaken for the review suggests that some universities are likely to lose funding in 2017 and 2018 at a </w:t>
      </w:r>
      <w:proofErr w:type="gramStart"/>
      <w:r w:rsidRPr="004A1196">
        <w:rPr>
          <w:rFonts w:eastAsia="Calibri"/>
          <w:color w:val="0B2B43" w:themeColor="text2" w:themeShade="80"/>
        </w:rPr>
        <w:t>level which</w:t>
      </w:r>
      <w:proofErr w:type="gramEnd"/>
      <w:r w:rsidRPr="004A1196">
        <w:rPr>
          <w:rFonts w:eastAsia="Calibri"/>
          <w:color w:val="0B2B43" w:themeColor="text2" w:themeShade="80"/>
        </w:rPr>
        <w:t xml:space="preserve"> is potentially higher than normal year to year institution-level fluctuation. The possibility of too rapid a change in funding levels may undermine universities’ capacity to effectively complete existing research projects and students undergoing research training and prevent them focusing on the new engagement agenda. </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Modelling also suggests that some universities of lower research intensity, particularly the smaller ones, may be negatively impacted. Although many of these institutions are strongly engaged with their communities, their geography and limited research profiles suggest they may take longer than the </w:t>
      </w:r>
      <w:proofErr w:type="gramStart"/>
      <w:r w:rsidRPr="004A1196">
        <w:rPr>
          <w:rFonts w:eastAsia="Calibri"/>
          <w:color w:val="0B2B43" w:themeColor="text2" w:themeShade="80"/>
        </w:rPr>
        <w:t>research intensive</w:t>
      </w:r>
      <w:proofErr w:type="gramEnd"/>
      <w:r w:rsidRPr="004A1196">
        <w:rPr>
          <w:rFonts w:eastAsia="Calibri"/>
          <w:color w:val="0B2B43" w:themeColor="text2" w:themeShade="80"/>
        </w:rPr>
        <w:t xml:space="preserve"> metropolitan universities to establish business collaborations yielding research income. A smooth transition is of particular importance for these institutions.</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The review concluded that there is a need for some time-limited transition support. There are different considerations applying to research support and research training and the two components should have a somewhat different transitional arrangement:</w:t>
      </w:r>
    </w:p>
    <w:p w:rsidR="002C6039" w:rsidRPr="004A1196" w:rsidRDefault="002C6039" w:rsidP="002C6039">
      <w:pPr>
        <w:rPr>
          <w:rFonts w:eastAsia="Calibri"/>
          <w:b/>
          <w:color w:val="0B2B43" w:themeColor="text2" w:themeShade="80"/>
        </w:rPr>
      </w:pPr>
      <w:r w:rsidRPr="004A1196">
        <w:rPr>
          <w:rFonts w:eastAsia="Calibri"/>
          <w:b/>
          <w:color w:val="0B2B43" w:themeColor="text2" w:themeShade="80"/>
        </w:rPr>
        <w:t>Research Support transitional arrangements</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The Research Support </w:t>
      </w:r>
      <w:r w:rsidR="005B60B6">
        <w:rPr>
          <w:rFonts w:eastAsia="Calibri"/>
          <w:color w:val="0B2B43" w:themeColor="text2" w:themeShade="80"/>
        </w:rPr>
        <w:t>P</w:t>
      </w:r>
      <w:r w:rsidRPr="004A1196">
        <w:rPr>
          <w:rFonts w:eastAsia="Calibri"/>
          <w:color w:val="0B2B43" w:themeColor="text2" w:themeShade="80"/>
        </w:rPr>
        <w:t xml:space="preserve">rogramme is the strongest lever to influence academics and institutions to change their behaviour. They need to be exposed to the impact of the formula from day one in order to drive them seek new opportunities for engagement. A modest level of support while they respond to the new arrangements will strengthen their capacity to respond. This support should be provided </w:t>
      </w:r>
      <w:proofErr w:type="gramStart"/>
      <w:r w:rsidRPr="004A1196">
        <w:rPr>
          <w:rFonts w:eastAsia="Calibri"/>
          <w:color w:val="0B2B43" w:themeColor="text2" w:themeShade="80"/>
        </w:rPr>
        <w:t>through the use of</w:t>
      </w:r>
      <w:proofErr w:type="gramEnd"/>
      <w:r w:rsidRPr="004A1196">
        <w:rPr>
          <w:rFonts w:eastAsia="Calibri"/>
          <w:color w:val="0B2B43" w:themeColor="text2" w:themeShade="80"/>
        </w:rPr>
        <w:t xml:space="preserve"> a safety net so that funding is not reduced below 95 per cent of the prior year’s funding (indexed). The safety net support </w:t>
      </w:r>
      <w:proofErr w:type="gramStart"/>
      <w:r w:rsidRPr="004A1196">
        <w:rPr>
          <w:rFonts w:eastAsia="Calibri"/>
          <w:color w:val="0B2B43" w:themeColor="text2" w:themeShade="80"/>
        </w:rPr>
        <w:t>should be provided</w:t>
      </w:r>
      <w:proofErr w:type="gramEnd"/>
      <w:r w:rsidRPr="004A1196">
        <w:rPr>
          <w:rFonts w:eastAsia="Calibri"/>
          <w:color w:val="0B2B43" w:themeColor="text2" w:themeShade="80"/>
        </w:rPr>
        <w:t xml:space="preserve"> for the first four years only, with institutions subject to full movement based on performance after that.</w:t>
      </w:r>
    </w:p>
    <w:p w:rsidR="002C6039" w:rsidRPr="004A1196" w:rsidRDefault="002C6039" w:rsidP="002C6039">
      <w:pPr>
        <w:rPr>
          <w:rFonts w:eastAsia="Calibri"/>
          <w:color w:val="0B2B43" w:themeColor="text2" w:themeShade="80"/>
        </w:rPr>
      </w:pPr>
      <w:proofErr w:type="gramStart"/>
      <w:r w:rsidRPr="004A1196">
        <w:rPr>
          <w:rFonts w:eastAsia="Calibri"/>
          <w:color w:val="0B2B43" w:themeColor="text2" w:themeShade="80"/>
        </w:rPr>
        <w:t xml:space="preserve">While there are changes to distributions, modelling suggests the Research </w:t>
      </w:r>
      <w:r w:rsidR="00CA724B" w:rsidRPr="004A1196">
        <w:rPr>
          <w:rFonts w:eastAsia="Calibri"/>
          <w:color w:val="0B2B43" w:themeColor="text2" w:themeShade="80"/>
        </w:rPr>
        <w:t xml:space="preserve">Support </w:t>
      </w:r>
      <w:r w:rsidRPr="004A1196">
        <w:rPr>
          <w:rFonts w:eastAsia="Calibri"/>
          <w:color w:val="0B2B43" w:themeColor="text2" w:themeShade="80"/>
        </w:rPr>
        <w:t>safety net will work to limit the scale of this variability by providing support in the order of $</w:t>
      </w:r>
      <w:r w:rsidR="00FD4721" w:rsidRPr="004A1196">
        <w:rPr>
          <w:rFonts w:eastAsia="Calibri"/>
          <w:color w:val="0B2B43" w:themeColor="text2" w:themeShade="80"/>
        </w:rPr>
        <w:t>15</w:t>
      </w:r>
      <w:r w:rsidR="00754332">
        <w:rPr>
          <w:rFonts w:eastAsia="Calibri"/>
          <w:color w:val="0B2B43" w:themeColor="text2" w:themeShade="80"/>
        </w:rPr>
        <w:t> </w:t>
      </w:r>
      <w:r w:rsidRPr="004A1196">
        <w:rPr>
          <w:rFonts w:eastAsia="Calibri"/>
          <w:color w:val="0B2B43" w:themeColor="text2" w:themeShade="80"/>
        </w:rPr>
        <w:t>million in 2017, $</w:t>
      </w:r>
      <w:r w:rsidR="00FD4721" w:rsidRPr="004A1196">
        <w:rPr>
          <w:rFonts w:eastAsia="Calibri"/>
          <w:color w:val="0B2B43" w:themeColor="text2" w:themeShade="80"/>
        </w:rPr>
        <w:t>11</w:t>
      </w:r>
      <w:r w:rsidRPr="004A1196">
        <w:rPr>
          <w:rFonts w:eastAsia="Calibri"/>
          <w:color w:val="0B2B43" w:themeColor="text2" w:themeShade="80"/>
        </w:rPr>
        <w:t xml:space="preserve"> million in 2018, $</w:t>
      </w:r>
      <w:r w:rsidR="00FD4721" w:rsidRPr="004A1196">
        <w:rPr>
          <w:rFonts w:eastAsia="Calibri"/>
          <w:color w:val="0B2B43" w:themeColor="text2" w:themeShade="80"/>
        </w:rPr>
        <w:t>8</w:t>
      </w:r>
      <w:r w:rsidRPr="004A1196">
        <w:rPr>
          <w:rFonts w:eastAsia="Calibri"/>
          <w:color w:val="0B2B43" w:themeColor="text2" w:themeShade="80"/>
        </w:rPr>
        <w:t xml:space="preserve"> million in 2019 and $</w:t>
      </w:r>
      <w:r w:rsidR="00FD4721" w:rsidRPr="004A1196">
        <w:rPr>
          <w:rFonts w:eastAsia="Calibri"/>
          <w:color w:val="0B2B43" w:themeColor="text2" w:themeShade="80"/>
        </w:rPr>
        <w:t>6</w:t>
      </w:r>
      <w:r w:rsidRPr="004A1196">
        <w:rPr>
          <w:rFonts w:eastAsia="Calibri"/>
          <w:color w:val="0B2B43" w:themeColor="text2" w:themeShade="80"/>
        </w:rPr>
        <w:t xml:space="preserve"> million in 2020 to institutions that would lose funding under the proposed arrangements if current relative performance is maintained across universities.</w:t>
      </w:r>
      <w:proofErr w:type="gramEnd"/>
      <w:r w:rsidRPr="004A1196">
        <w:rPr>
          <w:rFonts w:eastAsia="Calibri"/>
          <w:color w:val="0B2B43" w:themeColor="text2" w:themeShade="80"/>
        </w:rPr>
        <w:t xml:space="preserve"> These amounts represent 1.8 per cent </w:t>
      </w:r>
      <w:r w:rsidR="00B816BC" w:rsidRPr="004A1196">
        <w:rPr>
          <w:rFonts w:eastAsia="Calibri"/>
          <w:color w:val="0B2B43" w:themeColor="text2" w:themeShade="80"/>
        </w:rPr>
        <w:t xml:space="preserve">of $835 million </w:t>
      </w:r>
      <w:r w:rsidRPr="004A1196">
        <w:rPr>
          <w:rFonts w:eastAsia="Calibri"/>
          <w:color w:val="0B2B43" w:themeColor="text2" w:themeShade="80"/>
        </w:rPr>
        <w:t xml:space="preserve">down to 0.6 per cent </w:t>
      </w:r>
      <w:r w:rsidR="00B816BC" w:rsidRPr="004A1196">
        <w:rPr>
          <w:rFonts w:eastAsia="Calibri"/>
          <w:color w:val="0B2B43" w:themeColor="text2" w:themeShade="80"/>
        </w:rPr>
        <w:t xml:space="preserve">of $975 million </w:t>
      </w:r>
      <w:r w:rsidR="00000773" w:rsidRPr="004A1196">
        <w:rPr>
          <w:rFonts w:eastAsia="Calibri"/>
          <w:color w:val="0B2B43" w:themeColor="text2" w:themeShade="80"/>
        </w:rPr>
        <w:t xml:space="preserve">of </w:t>
      </w:r>
      <w:r w:rsidRPr="004A1196">
        <w:rPr>
          <w:rFonts w:eastAsia="Calibri"/>
          <w:color w:val="0B2B43" w:themeColor="text2" w:themeShade="80"/>
        </w:rPr>
        <w:t xml:space="preserve">Research </w:t>
      </w:r>
      <w:r w:rsidR="00C37B15" w:rsidRPr="004A1196">
        <w:rPr>
          <w:rFonts w:eastAsia="Calibri"/>
          <w:color w:val="0B2B43" w:themeColor="text2" w:themeShade="80"/>
        </w:rPr>
        <w:t xml:space="preserve">Support </w:t>
      </w:r>
      <w:r w:rsidRPr="004A1196">
        <w:rPr>
          <w:rFonts w:eastAsia="Calibri"/>
          <w:color w:val="0B2B43" w:themeColor="text2" w:themeShade="80"/>
        </w:rPr>
        <w:t xml:space="preserve">funding </w:t>
      </w:r>
      <w:r w:rsidR="00B816BC" w:rsidRPr="004A1196">
        <w:rPr>
          <w:rFonts w:eastAsia="Calibri"/>
          <w:color w:val="0B2B43" w:themeColor="text2" w:themeShade="80"/>
        </w:rPr>
        <w:t>in those years</w:t>
      </w:r>
      <w:r w:rsidRPr="004A1196">
        <w:rPr>
          <w:rFonts w:eastAsia="Calibri"/>
          <w:color w:val="0B2B43" w:themeColor="text2" w:themeShade="80"/>
        </w:rPr>
        <w:t>.</w:t>
      </w:r>
    </w:p>
    <w:p w:rsidR="002C6039" w:rsidRPr="004A1196" w:rsidRDefault="002C6039" w:rsidP="002C6039">
      <w:pPr>
        <w:pStyle w:val="RIHeading3"/>
        <w:rPr>
          <w:rFonts w:eastAsia="Calibri"/>
          <w:b w:val="0"/>
          <w:color w:val="0B2B43" w:themeColor="text2" w:themeShade="80"/>
        </w:rPr>
      </w:pPr>
      <w:bookmarkStart w:id="166" w:name="_Toc436651833"/>
      <w:bookmarkStart w:id="167" w:name="_Toc436659641"/>
      <w:bookmarkStart w:id="168" w:name="_Toc436660139"/>
      <w:r w:rsidRPr="004A1196">
        <w:rPr>
          <w:rFonts w:eastAsia="Calibri"/>
          <w:color w:val="0B2B43" w:themeColor="text2" w:themeShade="80"/>
        </w:rPr>
        <w:t xml:space="preserve">Research </w:t>
      </w:r>
      <w:r w:rsidR="005756CA" w:rsidRPr="004A1196">
        <w:rPr>
          <w:rFonts w:eastAsia="Calibri"/>
          <w:color w:val="0B2B43" w:themeColor="text2" w:themeShade="80"/>
        </w:rPr>
        <w:t xml:space="preserve">training </w:t>
      </w:r>
      <w:r w:rsidRPr="004A1196">
        <w:rPr>
          <w:rFonts w:eastAsia="Calibri"/>
          <w:color w:val="0B2B43" w:themeColor="text2" w:themeShade="80"/>
        </w:rPr>
        <w:t>transitional arrangements</w:t>
      </w:r>
      <w:bookmarkEnd w:id="166"/>
      <w:bookmarkEnd w:id="167"/>
      <w:bookmarkEnd w:id="168"/>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The Research Training </w:t>
      </w:r>
      <w:r w:rsidR="005B60B6">
        <w:rPr>
          <w:rFonts w:eastAsia="Calibri"/>
          <w:color w:val="0B2B43" w:themeColor="text2" w:themeShade="80"/>
        </w:rPr>
        <w:t>P</w:t>
      </w:r>
      <w:r w:rsidRPr="004A1196">
        <w:rPr>
          <w:rFonts w:eastAsia="Calibri"/>
          <w:color w:val="0B2B43" w:themeColor="text2" w:themeShade="80"/>
        </w:rPr>
        <w:t xml:space="preserve">rogramme supports students who have already committed to their studies and will take some time to complete their degrees. Their institutions need to support their existing entitlements for that period. The transition should apply the new formula to only 25 per cent of the funding pool in the first four years with the remainder allocated </w:t>
      </w:r>
      <w:proofErr w:type="gramStart"/>
      <w:r w:rsidRPr="004A1196">
        <w:rPr>
          <w:rFonts w:eastAsia="Calibri"/>
          <w:color w:val="0B2B43" w:themeColor="text2" w:themeShade="80"/>
        </w:rPr>
        <w:t>on the basis of</w:t>
      </w:r>
      <w:proofErr w:type="gramEnd"/>
      <w:r w:rsidRPr="004A1196">
        <w:rPr>
          <w:rFonts w:eastAsia="Calibri"/>
          <w:color w:val="0B2B43" w:themeColor="text2" w:themeShade="80"/>
        </w:rPr>
        <w:t xml:space="preserve"> the prior year’s funding. This will allow the amount of funding influenced by the new formula to rise steadily </w:t>
      </w:r>
      <w:r w:rsidR="005330ED" w:rsidRPr="004A1196">
        <w:rPr>
          <w:rFonts w:eastAsia="Calibri"/>
          <w:color w:val="0B2B43" w:themeColor="text2" w:themeShade="80"/>
        </w:rPr>
        <w:t>over the transition period, with</w:t>
      </w:r>
      <w:r w:rsidRPr="004A1196">
        <w:rPr>
          <w:rFonts w:eastAsia="Calibri"/>
          <w:color w:val="0B2B43" w:themeColor="text2" w:themeShade="80"/>
        </w:rPr>
        <w:t xml:space="preserve"> 100 per cent </w:t>
      </w:r>
      <w:r w:rsidR="005330ED" w:rsidRPr="004A1196">
        <w:rPr>
          <w:rFonts w:eastAsia="Calibri"/>
          <w:color w:val="0B2B43" w:themeColor="text2" w:themeShade="80"/>
        </w:rPr>
        <w:t xml:space="preserve">of the distribution allocated under the new formula from 2021, supporting </w:t>
      </w:r>
      <w:r w:rsidRPr="004A1196">
        <w:rPr>
          <w:rFonts w:eastAsia="Calibri"/>
          <w:color w:val="0B2B43" w:themeColor="text2" w:themeShade="80"/>
        </w:rPr>
        <w:t xml:space="preserve">an orderly transition. </w:t>
      </w:r>
      <w:r w:rsidR="005330ED" w:rsidRPr="004A1196">
        <w:rPr>
          <w:rFonts w:eastAsia="Calibri"/>
          <w:color w:val="0B2B43" w:themeColor="text2" w:themeShade="80"/>
        </w:rPr>
        <w:t>During the transition, t</w:t>
      </w:r>
      <w:r w:rsidRPr="004A1196">
        <w:rPr>
          <w:rFonts w:eastAsia="Calibri"/>
          <w:color w:val="0B2B43" w:themeColor="text2" w:themeShade="80"/>
        </w:rPr>
        <w:t xml:space="preserve">he department should publish the 100 per cent formula amounts at the same time as actual funding </w:t>
      </w:r>
      <w:proofErr w:type="gramStart"/>
      <w:r w:rsidRPr="004A1196">
        <w:rPr>
          <w:rFonts w:eastAsia="Calibri"/>
          <w:color w:val="0B2B43" w:themeColor="text2" w:themeShade="80"/>
        </w:rPr>
        <w:t>to fully inform</w:t>
      </w:r>
      <w:proofErr w:type="gramEnd"/>
      <w:r w:rsidRPr="004A1196">
        <w:rPr>
          <w:rFonts w:eastAsia="Calibri"/>
          <w:color w:val="0B2B43" w:themeColor="text2" w:themeShade="80"/>
        </w:rPr>
        <w:t xml:space="preserve"> institutions on their likely future outcomes.</w:t>
      </w:r>
    </w:p>
    <w:p w:rsidR="004A3C24" w:rsidRDefault="004A3C24">
      <w:pPr>
        <w:spacing w:before="0" w:after="200" w:line="276" w:lineRule="auto"/>
        <w:rPr>
          <w:rFonts w:eastAsia="Calibri"/>
          <w:color w:val="0B2B43" w:themeColor="text2" w:themeShade="80"/>
        </w:rPr>
      </w:pPr>
      <w:r>
        <w:rPr>
          <w:rFonts w:eastAsia="Calibri"/>
          <w:color w:val="0B2B43" w:themeColor="text2" w:themeShade="80"/>
        </w:rPr>
        <w:br w:type="page"/>
      </w:r>
    </w:p>
    <w:p w:rsidR="00082F37" w:rsidRPr="004A1196" w:rsidRDefault="002C6039" w:rsidP="00082F37">
      <w:pPr>
        <w:rPr>
          <w:rFonts w:eastAsiaTheme="majorEastAsia"/>
          <w:color w:val="0B2B43" w:themeColor="text2" w:themeShade="80"/>
        </w:rPr>
      </w:pPr>
      <w:r w:rsidRPr="004A1196">
        <w:rPr>
          <w:rFonts w:eastAsia="Calibri"/>
          <w:color w:val="0B2B43" w:themeColor="text2" w:themeShade="80"/>
        </w:rPr>
        <w:t xml:space="preserve">The operation of the Research Training transitional arrangements </w:t>
      </w:r>
      <w:proofErr w:type="gramStart"/>
      <w:r w:rsidRPr="004A1196">
        <w:rPr>
          <w:rFonts w:eastAsia="Calibri"/>
          <w:color w:val="0B2B43" w:themeColor="text2" w:themeShade="80"/>
        </w:rPr>
        <w:t>is shown</w:t>
      </w:r>
      <w:proofErr w:type="gramEnd"/>
      <w:r w:rsidRPr="004A1196">
        <w:rPr>
          <w:rFonts w:eastAsia="Calibri"/>
          <w:color w:val="0B2B43" w:themeColor="text2" w:themeShade="80"/>
        </w:rPr>
        <w:t xml:space="preserve"> schematically in </w:t>
      </w:r>
      <w:r w:rsidR="00CF2EC1" w:rsidRPr="004A1196">
        <w:rPr>
          <w:rFonts w:eastAsia="Calibri"/>
          <w:color w:val="0B2B43" w:themeColor="text2" w:themeShade="80"/>
        </w:rPr>
        <w:t>Chart 9</w:t>
      </w:r>
      <w:r w:rsidRPr="004A1196">
        <w:rPr>
          <w:rFonts w:eastAsia="Calibri"/>
          <w:color w:val="0B2B43" w:themeColor="text2" w:themeShade="80"/>
        </w:rPr>
        <w:t>.</w:t>
      </w:r>
    </w:p>
    <w:p w:rsidR="002C6039" w:rsidRPr="004A1196" w:rsidRDefault="000D6299" w:rsidP="00A32C6C">
      <w:pPr>
        <w:pStyle w:val="Caption"/>
        <w:spacing w:after="240"/>
        <w:rPr>
          <w:rFonts w:eastAsia="Calibri"/>
          <w:color w:val="0B2B43" w:themeColor="text2" w:themeShade="80"/>
        </w:rPr>
      </w:pPr>
      <w:r w:rsidRPr="004A1196">
        <w:rPr>
          <w:noProof/>
          <w:color w:val="0B2B43" w:themeColor="text2" w:themeShade="80"/>
          <w:lang w:eastAsia="en-AU"/>
        </w:rPr>
        <w:drawing>
          <wp:anchor distT="0" distB="0" distL="114300" distR="114300" simplePos="0" relativeHeight="251661316" behindDoc="0" locked="0" layoutInCell="1" allowOverlap="1" wp14:anchorId="2BDAEE94" wp14:editId="08FF6B40">
            <wp:simplePos x="0" y="0"/>
            <wp:positionH relativeFrom="column">
              <wp:posOffset>1</wp:posOffset>
            </wp:positionH>
            <wp:positionV relativeFrom="paragraph">
              <wp:posOffset>257577</wp:posOffset>
            </wp:positionV>
            <wp:extent cx="5122800" cy="3772800"/>
            <wp:effectExtent l="0" t="0" r="1905" b="0"/>
            <wp:wrapNone/>
            <wp:docPr id="5" name="Picture 5"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22800" cy="377280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CF2EC1" w:rsidRPr="004A1196">
        <w:rPr>
          <w:color w:val="0B2B43" w:themeColor="text2" w:themeShade="80"/>
        </w:rPr>
        <w:t>Chart 9</w:t>
      </w:r>
      <w:r w:rsidR="002C6039" w:rsidRPr="004A1196">
        <w:rPr>
          <w:color w:val="0B2B43" w:themeColor="text2" w:themeShade="80"/>
        </w:rPr>
        <w:t>.</w:t>
      </w:r>
      <w:proofErr w:type="gramEnd"/>
      <w:r w:rsidR="002C6039" w:rsidRPr="004A1196">
        <w:rPr>
          <w:color w:val="0B2B43" w:themeColor="text2" w:themeShade="80"/>
        </w:rPr>
        <w:t xml:space="preserve"> Transitional </w:t>
      </w:r>
      <w:r w:rsidR="002C6039" w:rsidRPr="004A1196">
        <w:rPr>
          <w:rFonts w:eastAsia="Calibri"/>
          <w:color w:val="0B2B43" w:themeColor="text2" w:themeShade="80"/>
        </w:rPr>
        <w:t>arrangements for new Research Training block grant funding</w:t>
      </w:r>
    </w:p>
    <w:tbl>
      <w:tblPr>
        <w:tblStyle w:val="TableGrid"/>
        <w:tblW w:w="0" w:type="auto"/>
        <w:tblInd w:w="567" w:type="dxa"/>
        <w:tblLook w:val="04A0" w:firstRow="1" w:lastRow="0" w:firstColumn="1" w:lastColumn="0" w:noHBand="0" w:noVBand="1"/>
      </w:tblPr>
      <w:tblGrid>
        <w:gridCol w:w="960"/>
        <w:gridCol w:w="1983"/>
        <w:gridCol w:w="1843"/>
      </w:tblGrid>
      <w:tr w:rsidR="00A32C6C" w:rsidRPr="00A32C6C" w:rsidTr="000D6299">
        <w:trPr>
          <w:trHeight w:val="300"/>
          <w:tblHeader/>
        </w:trPr>
        <w:tc>
          <w:tcPr>
            <w:tcW w:w="960" w:type="dxa"/>
            <w:noWrap/>
            <w:hideMark/>
          </w:tcPr>
          <w:p w:rsidR="00A32C6C" w:rsidRPr="00A32C6C" w:rsidRDefault="000D6299" w:rsidP="00A32C6C">
            <w:pPr>
              <w:spacing w:before="0" w:after="200"/>
              <w:rPr>
                <w:rFonts w:eastAsia="Calibri" w:cs="Times New Roman"/>
                <w:color w:val="0B2B43" w:themeColor="text2" w:themeShade="80"/>
              </w:rPr>
            </w:pPr>
            <w:r>
              <w:rPr>
                <w:rFonts w:eastAsia="Calibri" w:cs="Times New Roman"/>
                <w:color w:val="0B2B43" w:themeColor="text2" w:themeShade="80"/>
              </w:rPr>
              <w:t>Year</w:t>
            </w:r>
          </w:p>
        </w:tc>
        <w:tc>
          <w:tcPr>
            <w:tcW w:w="1983" w:type="dxa"/>
            <w:noWrap/>
            <w:hideMark/>
          </w:tcPr>
          <w:p w:rsidR="00A32C6C" w:rsidRPr="00A32C6C" w:rsidRDefault="00A32C6C" w:rsidP="00A32C6C">
            <w:pPr>
              <w:spacing w:before="0" w:after="200"/>
              <w:rPr>
                <w:rFonts w:eastAsia="Calibri" w:cs="Times New Roman"/>
                <w:color w:val="0B2B43" w:themeColor="text2" w:themeShade="80"/>
              </w:rPr>
            </w:pPr>
            <w:r w:rsidRPr="00A32C6C">
              <w:rPr>
                <w:rFonts w:eastAsia="Calibri" w:cs="Times New Roman"/>
                <w:color w:val="0B2B43" w:themeColor="text2" w:themeShade="80"/>
              </w:rPr>
              <w:t>New Formula</w:t>
            </w:r>
          </w:p>
        </w:tc>
        <w:tc>
          <w:tcPr>
            <w:tcW w:w="1843" w:type="dxa"/>
            <w:noWrap/>
            <w:hideMark/>
          </w:tcPr>
          <w:p w:rsidR="00A32C6C" w:rsidRPr="00A32C6C" w:rsidRDefault="00A32C6C" w:rsidP="00A32C6C">
            <w:pPr>
              <w:spacing w:before="0" w:after="200"/>
              <w:rPr>
                <w:rFonts w:eastAsia="Calibri" w:cs="Times New Roman"/>
                <w:color w:val="0B2B43" w:themeColor="text2" w:themeShade="80"/>
              </w:rPr>
            </w:pPr>
            <w:r w:rsidRPr="00A32C6C">
              <w:rPr>
                <w:rFonts w:eastAsia="Calibri" w:cs="Times New Roman"/>
                <w:color w:val="0B2B43" w:themeColor="text2" w:themeShade="80"/>
              </w:rPr>
              <w:t>Old Formula</w:t>
            </w:r>
          </w:p>
        </w:tc>
      </w:tr>
      <w:tr w:rsidR="00A32C6C" w:rsidRPr="00A32C6C" w:rsidTr="00A32C6C">
        <w:trPr>
          <w:trHeight w:val="300"/>
        </w:trPr>
        <w:tc>
          <w:tcPr>
            <w:tcW w:w="960" w:type="dxa"/>
            <w:noWrap/>
            <w:hideMark/>
          </w:tcPr>
          <w:p w:rsidR="00A32C6C" w:rsidRPr="00A32C6C" w:rsidRDefault="00A32C6C" w:rsidP="00A32C6C">
            <w:pPr>
              <w:spacing w:before="0" w:after="200"/>
              <w:rPr>
                <w:rFonts w:eastAsia="Calibri" w:cs="Times New Roman"/>
                <w:color w:val="0B2B43" w:themeColor="text2" w:themeShade="80"/>
              </w:rPr>
            </w:pPr>
            <w:r w:rsidRPr="00A32C6C">
              <w:rPr>
                <w:rFonts w:eastAsia="Calibri" w:cs="Times New Roman"/>
                <w:color w:val="0B2B43" w:themeColor="text2" w:themeShade="80"/>
              </w:rPr>
              <w:t>2017</w:t>
            </w:r>
          </w:p>
        </w:tc>
        <w:tc>
          <w:tcPr>
            <w:tcW w:w="1983" w:type="dxa"/>
            <w:noWrap/>
            <w:hideMark/>
          </w:tcPr>
          <w:p w:rsidR="00A32C6C" w:rsidRPr="00A32C6C" w:rsidRDefault="00A32C6C" w:rsidP="00A32C6C">
            <w:pPr>
              <w:spacing w:before="0" w:after="200"/>
              <w:rPr>
                <w:rFonts w:eastAsia="Calibri" w:cs="Times New Roman"/>
                <w:color w:val="0B2B43" w:themeColor="text2" w:themeShade="80"/>
              </w:rPr>
            </w:pPr>
            <w:r w:rsidRPr="00A32C6C">
              <w:rPr>
                <w:rFonts w:eastAsia="Calibri" w:cs="Times New Roman"/>
                <w:color w:val="0B2B43" w:themeColor="text2" w:themeShade="80"/>
              </w:rPr>
              <w:t>0.25</w:t>
            </w:r>
          </w:p>
        </w:tc>
        <w:tc>
          <w:tcPr>
            <w:tcW w:w="1843" w:type="dxa"/>
            <w:noWrap/>
            <w:hideMark/>
          </w:tcPr>
          <w:p w:rsidR="00A32C6C" w:rsidRPr="00A32C6C" w:rsidRDefault="00A32C6C" w:rsidP="00A32C6C">
            <w:pPr>
              <w:spacing w:before="0" w:after="200"/>
              <w:rPr>
                <w:rFonts w:eastAsia="Calibri" w:cs="Times New Roman"/>
                <w:color w:val="0B2B43" w:themeColor="text2" w:themeShade="80"/>
              </w:rPr>
            </w:pPr>
            <w:r w:rsidRPr="00A32C6C">
              <w:rPr>
                <w:rFonts w:eastAsia="Calibri" w:cs="Times New Roman"/>
                <w:color w:val="0B2B43" w:themeColor="text2" w:themeShade="80"/>
              </w:rPr>
              <w:t>0.75</w:t>
            </w:r>
          </w:p>
        </w:tc>
      </w:tr>
      <w:tr w:rsidR="00A32C6C" w:rsidRPr="00A32C6C" w:rsidTr="00A32C6C">
        <w:trPr>
          <w:trHeight w:val="300"/>
        </w:trPr>
        <w:tc>
          <w:tcPr>
            <w:tcW w:w="960" w:type="dxa"/>
            <w:noWrap/>
            <w:hideMark/>
          </w:tcPr>
          <w:p w:rsidR="00A32C6C" w:rsidRPr="00A32C6C" w:rsidRDefault="00A32C6C" w:rsidP="00A32C6C">
            <w:pPr>
              <w:spacing w:before="0" w:after="200"/>
              <w:rPr>
                <w:rFonts w:eastAsia="Calibri" w:cs="Times New Roman"/>
                <w:color w:val="0B2B43" w:themeColor="text2" w:themeShade="80"/>
              </w:rPr>
            </w:pPr>
            <w:r w:rsidRPr="00A32C6C">
              <w:rPr>
                <w:rFonts w:eastAsia="Calibri" w:cs="Times New Roman"/>
                <w:color w:val="0B2B43" w:themeColor="text2" w:themeShade="80"/>
              </w:rPr>
              <w:t>2018</w:t>
            </w:r>
          </w:p>
        </w:tc>
        <w:tc>
          <w:tcPr>
            <w:tcW w:w="1983" w:type="dxa"/>
            <w:noWrap/>
            <w:hideMark/>
          </w:tcPr>
          <w:p w:rsidR="00A32C6C" w:rsidRPr="00A32C6C" w:rsidRDefault="00A32C6C" w:rsidP="00A32C6C">
            <w:pPr>
              <w:spacing w:before="0" w:after="200"/>
              <w:rPr>
                <w:rFonts w:eastAsia="Calibri" w:cs="Times New Roman"/>
                <w:color w:val="0B2B43" w:themeColor="text2" w:themeShade="80"/>
              </w:rPr>
            </w:pPr>
            <w:r w:rsidRPr="00A32C6C">
              <w:rPr>
                <w:rFonts w:eastAsia="Calibri" w:cs="Times New Roman"/>
                <w:color w:val="0B2B43" w:themeColor="text2" w:themeShade="80"/>
              </w:rPr>
              <w:t>0.44</w:t>
            </w:r>
          </w:p>
        </w:tc>
        <w:tc>
          <w:tcPr>
            <w:tcW w:w="1843" w:type="dxa"/>
            <w:noWrap/>
            <w:hideMark/>
          </w:tcPr>
          <w:p w:rsidR="00A32C6C" w:rsidRPr="00A32C6C" w:rsidRDefault="00A32C6C" w:rsidP="00A32C6C">
            <w:pPr>
              <w:spacing w:before="0" w:after="200"/>
              <w:rPr>
                <w:rFonts w:eastAsia="Calibri" w:cs="Times New Roman"/>
                <w:color w:val="0B2B43" w:themeColor="text2" w:themeShade="80"/>
              </w:rPr>
            </w:pPr>
            <w:r w:rsidRPr="00A32C6C">
              <w:rPr>
                <w:rFonts w:eastAsia="Calibri" w:cs="Times New Roman"/>
                <w:color w:val="0B2B43" w:themeColor="text2" w:themeShade="80"/>
              </w:rPr>
              <w:t>0.56</w:t>
            </w:r>
          </w:p>
        </w:tc>
      </w:tr>
      <w:tr w:rsidR="00A32C6C" w:rsidRPr="00A32C6C" w:rsidTr="00A32C6C">
        <w:trPr>
          <w:trHeight w:val="300"/>
        </w:trPr>
        <w:tc>
          <w:tcPr>
            <w:tcW w:w="960" w:type="dxa"/>
            <w:noWrap/>
            <w:hideMark/>
          </w:tcPr>
          <w:p w:rsidR="00A32C6C" w:rsidRPr="00A32C6C" w:rsidRDefault="00A32C6C" w:rsidP="00A32C6C">
            <w:pPr>
              <w:spacing w:before="0" w:after="200"/>
              <w:rPr>
                <w:rFonts w:eastAsia="Calibri" w:cs="Times New Roman"/>
                <w:color w:val="0B2B43" w:themeColor="text2" w:themeShade="80"/>
              </w:rPr>
            </w:pPr>
            <w:r w:rsidRPr="00A32C6C">
              <w:rPr>
                <w:rFonts w:eastAsia="Calibri" w:cs="Times New Roman"/>
                <w:color w:val="0B2B43" w:themeColor="text2" w:themeShade="80"/>
              </w:rPr>
              <w:t>2019</w:t>
            </w:r>
          </w:p>
        </w:tc>
        <w:tc>
          <w:tcPr>
            <w:tcW w:w="1983" w:type="dxa"/>
            <w:noWrap/>
            <w:hideMark/>
          </w:tcPr>
          <w:p w:rsidR="00A32C6C" w:rsidRPr="00A32C6C" w:rsidRDefault="00A32C6C" w:rsidP="00A32C6C">
            <w:pPr>
              <w:spacing w:before="0" w:after="200"/>
              <w:rPr>
                <w:rFonts w:eastAsia="Calibri" w:cs="Times New Roman"/>
                <w:color w:val="0B2B43" w:themeColor="text2" w:themeShade="80"/>
              </w:rPr>
            </w:pPr>
            <w:r w:rsidRPr="00A32C6C">
              <w:rPr>
                <w:rFonts w:eastAsia="Calibri" w:cs="Times New Roman"/>
                <w:color w:val="0B2B43" w:themeColor="text2" w:themeShade="80"/>
              </w:rPr>
              <w:t>0.58</w:t>
            </w:r>
          </w:p>
        </w:tc>
        <w:tc>
          <w:tcPr>
            <w:tcW w:w="1843" w:type="dxa"/>
            <w:noWrap/>
            <w:hideMark/>
          </w:tcPr>
          <w:p w:rsidR="00A32C6C" w:rsidRPr="00A32C6C" w:rsidRDefault="00A32C6C" w:rsidP="00A32C6C">
            <w:pPr>
              <w:spacing w:before="0" w:after="200"/>
              <w:rPr>
                <w:rFonts w:eastAsia="Calibri" w:cs="Times New Roman"/>
                <w:color w:val="0B2B43" w:themeColor="text2" w:themeShade="80"/>
              </w:rPr>
            </w:pPr>
            <w:r w:rsidRPr="00A32C6C">
              <w:rPr>
                <w:rFonts w:eastAsia="Calibri" w:cs="Times New Roman"/>
                <w:color w:val="0B2B43" w:themeColor="text2" w:themeShade="80"/>
              </w:rPr>
              <w:t>0.42</w:t>
            </w:r>
          </w:p>
        </w:tc>
      </w:tr>
      <w:tr w:rsidR="00A32C6C" w:rsidRPr="00A32C6C" w:rsidTr="00A32C6C">
        <w:trPr>
          <w:trHeight w:val="300"/>
        </w:trPr>
        <w:tc>
          <w:tcPr>
            <w:tcW w:w="960" w:type="dxa"/>
            <w:noWrap/>
            <w:hideMark/>
          </w:tcPr>
          <w:p w:rsidR="00A32C6C" w:rsidRPr="00A32C6C" w:rsidRDefault="00A32C6C" w:rsidP="00A32C6C">
            <w:pPr>
              <w:spacing w:before="0" w:after="200"/>
              <w:rPr>
                <w:rFonts w:eastAsia="Calibri" w:cs="Times New Roman"/>
                <w:color w:val="0B2B43" w:themeColor="text2" w:themeShade="80"/>
              </w:rPr>
            </w:pPr>
            <w:r w:rsidRPr="00A32C6C">
              <w:rPr>
                <w:rFonts w:eastAsia="Calibri" w:cs="Times New Roman"/>
                <w:color w:val="0B2B43" w:themeColor="text2" w:themeShade="80"/>
              </w:rPr>
              <w:t>2020</w:t>
            </w:r>
          </w:p>
        </w:tc>
        <w:tc>
          <w:tcPr>
            <w:tcW w:w="1983" w:type="dxa"/>
            <w:noWrap/>
            <w:hideMark/>
          </w:tcPr>
          <w:p w:rsidR="00A32C6C" w:rsidRPr="00A32C6C" w:rsidRDefault="00A32C6C" w:rsidP="00A32C6C">
            <w:pPr>
              <w:spacing w:before="0" w:after="200"/>
              <w:rPr>
                <w:rFonts w:eastAsia="Calibri" w:cs="Times New Roman"/>
                <w:color w:val="0B2B43" w:themeColor="text2" w:themeShade="80"/>
              </w:rPr>
            </w:pPr>
            <w:r w:rsidRPr="00A32C6C">
              <w:rPr>
                <w:rFonts w:eastAsia="Calibri" w:cs="Times New Roman"/>
                <w:color w:val="0B2B43" w:themeColor="text2" w:themeShade="80"/>
              </w:rPr>
              <w:t>0.68</w:t>
            </w:r>
          </w:p>
        </w:tc>
        <w:tc>
          <w:tcPr>
            <w:tcW w:w="1843" w:type="dxa"/>
            <w:noWrap/>
            <w:hideMark/>
          </w:tcPr>
          <w:p w:rsidR="00A32C6C" w:rsidRPr="00A32C6C" w:rsidRDefault="00A32C6C" w:rsidP="00A32C6C">
            <w:pPr>
              <w:spacing w:before="0" w:after="200"/>
              <w:rPr>
                <w:rFonts w:eastAsia="Calibri" w:cs="Times New Roman"/>
                <w:color w:val="0B2B43" w:themeColor="text2" w:themeShade="80"/>
              </w:rPr>
            </w:pPr>
            <w:r w:rsidRPr="00A32C6C">
              <w:rPr>
                <w:rFonts w:eastAsia="Calibri" w:cs="Times New Roman"/>
                <w:color w:val="0B2B43" w:themeColor="text2" w:themeShade="80"/>
              </w:rPr>
              <w:t>0.32</w:t>
            </w:r>
          </w:p>
        </w:tc>
      </w:tr>
      <w:tr w:rsidR="00A32C6C" w:rsidRPr="00A32C6C" w:rsidTr="00A32C6C">
        <w:trPr>
          <w:trHeight w:val="300"/>
        </w:trPr>
        <w:tc>
          <w:tcPr>
            <w:tcW w:w="960" w:type="dxa"/>
            <w:noWrap/>
            <w:hideMark/>
          </w:tcPr>
          <w:p w:rsidR="00A32C6C" w:rsidRPr="00A32C6C" w:rsidRDefault="00A32C6C" w:rsidP="00A32C6C">
            <w:pPr>
              <w:spacing w:before="0" w:after="200"/>
              <w:rPr>
                <w:rFonts w:eastAsia="Calibri" w:cs="Times New Roman"/>
                <w:color w:val="0B2B43" w:themeColor="text2" w:themeShade="80"/>
              </w:rPr>
            </w:pPr>
            <w:r w:rsidRPr="00A32C6C">
              <w:rPr>
                <w:rFonts w:eastAsia="Calibri" w:cs="Times New Roman"/>
                <w:color w:val="0B2B43" w:themeColor="text2" w:themeShade="80"/>
              </w:rPr>
              <w:t>2021</w:t>
            </w:r>
          </w:p>
        </w:tc>
        <w:tc>
          <w:tcPr>
            <w:tcW w:w="1983" w:type="dxa"/>
            <w:noWrap/>
            <w:hideMark/>
          </w:tcPr>
          <w:p w:rsidR="00A32C6C" w:rsidRPr="00A32C6C" w:rsidRDefault="00A32C6C" w:rsidP="00A32C6C">
            <w:pPr>
              <w:spacing w:before="0" w:after="200"/>
              <w:rPr>
                <w:rFonts w:eastAsia="Calibri" w:cs="Times New Roman"/>
                <w:color w:val="0B2B43" w:themeColor="text2" w:themeShade="80"/>
              </w:rPr>
            </w:pPr>
            <w:r w:rsidRPr="00A32C6C">
              <w:rPr>
                <w:rFonts w:eastAsia="Calibri" w:cs="Times New Roman"/>
                <w:color w:val="0B2B43" w:themeColor="text2" w:themeShade="80"/>
              </w:rPr>
              <w:t>1.00</w:t>
            </w:r>
          </w:p>
        </w:tc>
        <w:tc>
          <w:tcPr>
            <w:tcW w:w="1843" w:type="dxa"/>
            <w:noWrap/>
            <w:hideMark/>
          </w:tcPr>
          <w:p w:rsidR="00A32C6C" w:rsidRPr="00A32C6C" w:rsidRDefault="00A32C6C" w:rsidP="00A32C6C">
            <w:pPr>
              <w:spacing w:before="0" w:after="200"/>
              <w:rPr>
                <w:rFonts w:eastAsia="Calibri" w:cs="Times New Roman"/>
                <w:color w:val="0B2B43" w:themeColor="text2" w:themeShade="80"/>
              </w:rPr>
            </w:pPr>
            <w:r w:rsidRPr="00A32C6C">
              <w:rPr>
                <w:rFonts w:eastAsia="Calibri" w:cs="Times New Roman"/>
                <w:color w:val="0B2B43" w:themeColor="text2" w:themeShade="80"/>
              </w:rPr>
              <w:t>0.00</w:t>
            </w:r>
          </w:p>
        </w:tc>
      </w:tr>
    </w:tbl>
    <w:p w:rsidR="002C6039" w:rsidRPr="004A1196" w:rsidRDefault="002C6039" w:rsidP="000A414A">
      <w:pPr>
        <w:pStyle w:val="RIHeading3"/>
        <w:spacing w:before="3100"/>
        <w:rPr>
          <w:rFonts w:eastAsia="Times New Roman"/>
          <w:color w:val="0B2B43" w:themeColor="text2" w:themeShade="80"/>
        </w:rPr>
      </w:pPr>
      <w:bookmarkStart w:id="169" w:name="_Toc436651834"/>
      <w:bookmarkStart w:id="170" w:name="_Toc436659642"/>
      <w:bookmarkStart w:id="171" w:name="_Toc436660140"/>
      <w:r w:rsidRPr="004A1196">
        <w:rPr>
          <w:rFonts w:eastAsia="Times New Roman"/>
          <w:color w:val="0B2B43" w:themeColor="text2" w:themeShade="80"/>
        </w:rPr>
        <w:t>Further incentives for increased engagement</w:t>
      </w:r>
      <w:bookmarkEnd w:id="169"/>
      <w:bookmarkEnd w:id="170"/>
      <w:bookmarkEnd w:id="171"/>
      <w:r w:rsidRPr="004A1196">
        <w:rPr>
          <w:rFonts w:eastAsia="Times New Roman"/>
          <w:color w:val="0B2B43" w:themeColor="text2" w:themeShade="80"/>
        </w:rPr>
        <w:t xml:space="preserve"> </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The proposed new </w:t>
      </w:r>
      <w:proofErr w:type="spellStart"/>
      <w:r w:rsidRPr="004A1196">
        <w:rPr>
          <w:rFonts w:eastAsia="Calibri"/>
          <w:color w:val="0B2B43" w:themeColor="text2" w:themeShade="80"/>
        </w:rPr>
        <w:t>RBG</w:t>
      </w:r>
      <w:proofErr w:type="spellEnd"/>
      <w:r w:rsidRPr="004A1196">
        <w:rPr>
          <w:rFonts w:eastAsia="Calibri"/>
          <w:color w:val="0B2B43" w:themeColor="text2" w:themeShade="80"/>
        </w:rPr>
        <w:t xml:space="preserve"> model seeks to achieve a better balance between rewarding increased engagement and sustaining the quality of the broad spectrum of university research. A modest injection of new funding tied to performance in collaboration measures would further emphasise and support the signal of the Government’s expectation — of both universities and business — that there should be a step change in university-business engagement and, more particularly, knowledge transfer and innovation.</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Additional funding </w:t>
      </w:r>
      <w:r w:rsidR="00523C18" w:rsidRPr="004A1196">
        <w:rPr>
          <w:rFonts w:eastAsia="Calibri"/>
          <w:color w:val="0B2B43" w:themeColor="text2" w:themeShade="80"/>
        </w:rPr>
        <w:t xml:space="preserve">for Research Support </w:t>
      </w:r>
      <w:proofErr w:type="gramStart"/>
      <w:r w:rsidRPr="004A1196">
        <w:rPr>
          <w:rFonts w:eastAsia="Calibri"/>
          <w:color w:val="0B2B43" w:themeColor="text2" w:themeShade="80"/>
        </w:rPr>
        <w:t>should be introduced</w:t>
      </w:r>
      <w:proofErr w:type="gramEnd"/>
      <w:r w:rsidRPr="004A1196">
        <w:rPr>
          <w:rFonts w:eastAsia="Calibri"/>
          <w:color w:val="0B2B43" w:themeColor="text2" w:themeShade="80"/>
        </w:rPr>
        <w:t xml:space="preserve"> once universities have had time to start to reflect the new incentives in institutional strategies.</w:t>
      </w:r>
    </w:p>
    <w:p w:rsidR="004A3C24" w:rsidRDefault="002C6039" w:rsidP="002C6039">
      <w:pPr>
        <w:rPr>
          <w:rFonts w:eastAsia="Calibri"/>
          <w:color w:val="0B2B43" w:themeColor="text2" w:themeShade="80"/>
        </w:rPr>
      </w:pPr>
      <w:r w:rsidRPr="004A1196">
        <w:rPr>
          <w:rFonts w:eastAsia="Calibri"/>
          <w:color w:val="0B2B43" w:themeColor="text2" w:themeShade="80"/>
        </w:rPr>
        <w:t xml:space="preserve">The review therefore considers that additional funding of around $50 million a year, or roughly </w:t>
      </w:r>
      <w:r w:rsidR="005A02A2" w:rsidRPr="004A1196">
        <w:rPr>
          <w:rFonts w:eastAsia="Calibri"/>
          <w:color w:val="0B2B43" w:themeColor="text2" w:themeShade="80"/>
        </w:rPr>
        <w:t>12</w:t>
      </w:r>
      <w:r w:rsidR="00CA724B" w:rsidRPr="004A1196">
        <w:rPr>
          <w:rFonts w:eastAsia="Calibri"/>
          <w:color w:val="0B2B43" w:themeColor="text2" w:themeShade="80"/>
        </w:rPr>
        <w:t xml:space="preserve"> per cent</w:t>
      </w:r>
      <w:r w:rsidRPr="004A1196">
        <w:rPr>
          <w:rFonts w:eastAsia="Calibri"/>
          <w:color w:val="0B2B43" w:themeColor="text2" w:themeShade="80"/>
        </w:rPr>
        <w:t xml:space="preserve"> of the engagement funding, </w:t>
      </w:r>
      <w:proofErr w:type="gramStart"/>
      <w:r w:rsidRPr="004A1196">
        <w:rPr>
          <w:rFonts w:eastAsia="Calibri"/>
          <w:color w:val="0B2B43" w:themeColor="text2" w:themeShade="80"/>
        </w:rPr>
        <w:t>should be provided</w:t>
      </w:r>
      <w:proofErr w:type="gramEnd"/>
      <w:r w:rsidRPr="004A1196">
        <w:rPr>
          <w:rFonts w:eastAsia="Calibri"/>
          <w:color w:val="0B2B43" w:themeColor="text2" w:themeShade="80"/>
        </w:rPr>
        <w:t xml:space="preserve"> from 2018 and this should be reflected in the 2017-18 Budget to further incentivise business and </w:t>
      </w:r>
      <w:r w:rsidR="003904BC">
        <w:rPr>
          <w:rFonts w:eastAsia="Calibri"/>
          <w:color w:val="0B2B43" w:themeColor="text2" w:themeShade="80"/>
        </w:rPr>
        <w:t>end user</w:t>
      </w:r>
      <w:r w:rsidRPr="004A1196">
        <w:rPr>
          <w:rFonts w:eastAsia="Calibri"/>
          <w:color w:val="0B2B43" w:themeColor="text2" w:themeShade="80"/>
        </w:rPr>
        <w:t xml:space="preserve"> engagement. If fiscal circumstances permit, a modest down payment in 2017 would be a useful starting point. </w:t>
      </w:r>
    </w:p>
    <w:p w:rsidR="004A3C24" w:rsidRDefault="004A3C24" w:rsidP="00C6639A">
      <w:pPr>
        <w:rPr>
          <w:rFonts w:eastAsia="Calibri"/>
        </w:rPr>
      </w:pPr>
      <w:r>
        <w:rPr>
          <w:rFonts w:eastAsia="Calibri"/>
        </w:rPr>
        <w:br w:type="page"/>
      </w:r>
    </w:p>
    <w:p w:rsidR="002C6039" w:rsidRPr="004A1196" w:rsidRDefault="002C6039" w:rsidP="002C6039">
      <w:pPr>
        <w:pStyle w:val="RIHeading2"/>
        <w:rPr>
          <w:rFonts w:eastAsia="Times New Roman"/>
          <w:color w:val="0B2B43" w:themeColor="text2" w:themeShade="80"/>
        </w:rPr>
      </w:pPr>
      <w:bookmarkStart w:id="172" w:name="_Toc436651835"/>
      <w:bookmarkStart w:id="173" w:name="_Toc436659643"/>
      <w:bookmarkStart w:id="174" w:name="_Toc436660141"/>
      <w:r w:rsidRPr="004A1196">
        <w:rPr>
          <w:color w:val="0B2B43" w:themeColor="text2" w:themeShade="80"/>
        </w:rPr>
        <w:t>Recommendations</w:t>
      </w:r>
      <w:bookmarkEnd w:id="172"/>
      <w:bookmarkEnd w:id="173"/>
      <w:bookmarkEnd w:id="174"/>
    </w:p>
    <w:p w:rsidR="002C6039" w:rsidRDefault="002C6039" w:rsidP="002C6039">
      <w:pPr>
        <w:rPr>
          <w:rFonts w:eastAsia="Calibri"/>
          <w:color w:val="0B2B43" w:themeColor="text2" w:themeShade="80"/>
        </w:rPr>
      </w:pPr>
      <w:r w:rsidRPr="004A1196">
        <w:rPr>
          <w:rFonts w:eastAsia="Calibri"/>
          <w:color w:val="0B2B43" w:themeColor="text2" w:themeShade="80"/>
        </w:rPr>
        <w:t xml:space="preserve">The review recommends that, commencing in the 2017 calendar year, the Australian Government should introduce the following arrangements to simplify </w:t>
      </w:r>
      <w:proofErr w:type="spellStart"/>
      <w:r w:rsidR="00A17E29">
        <w:rPr>
          <w:rFonts w:eastAsia="Calibri"/>
          <w:color w:val="0B2B43" w:themeColor="text2" w:themeShade="80"/>
        </w:rPr>
        <w:t>RBG</w:t>
      </w:r>
      <w:proofErr w:type="spellEnd"/>
      <w:r w:rsidR="00A17E29">
        <w:rPr>
          <w:rFonts w:eastAsia="Calibri"/>
          <w:color w:val="0B2B43" w:themeColor="text2" w:themeShade="80"/>
        </w:rPr>
        <w:t xml:space="preserve"> </w:t>
      </w:r>
      <w:r w:rsidRPr="004A1196">
        <w:rPr>
          <w:rFonts w:eastAsia="Calibri"/>
          <w:color w:val="0B2B43" w:themeColor="text2" w:themeShade="80"/>
        </w:rPr>
        <w:t>and to provide greater encouragement of engagement and innovation in research and research training:</w:t>
      </w:r>
    </w:p>
    <w:p w:rsidR="002C6039" w:rsidRPr="00696957" w:rsidRDefault="002C6039" w:rsidP="00696957">
      <w:pPr>
        <w:pStyle w:val="Heading3"/>
        <w:rPr>
          <w:rFonts w:eastAsia="Calibri"/>
          <w:b/>
        </w:rPr>
      </w:pPr>
      <w:r w:rsidRPr="00696957">
        <w:rPr>
          <w:rFonts w:eastAsia="Calibri"/>
          <w:b/>
        </w:rPr>
        <w:t>Research Support</w:t>
      </w:r>
    </w:p>
    <w:p w:rsidR="002C6039" w:rsidRPr="004A1196" w:rsidRDefault="002C6039" w:rsidP="001C2886">
      <w:pPr>
        <w:pStyle w:val="ListParagraph"/>
        <w:numPr>
          <w:ilvl w:val="0"/>
          <w:numId w:val="65"/>
        </w:numPr>
        <w:rPr>
          <w:rFonts w:eastAsia="Calibri"/>
          <w:color w:val="0B2B43" w:themeColor="text2" w:themeShade="80"/>
        </w:rPr>
      </w:pPr>
      <w:r w:rsidRPr="004A1196">
        <w:rPr>
          <w:rFonts w:eastAsia="Calibri"/>
          <w:color w:val="0B2B43" w:themeColor="text2" w:themeShade="80"/>
        </w:rPr>
        <w:t xml:space="preserve">Simplify arrangements for research support and increase incentives for business and other research </w:t>
      </w:r>
      <w:r w:rsidR="003904BC">
        <w:rPr>
          <w:rFonts w:eastAsia="Calibri"/>
          <w:color w:val="0B2B43" w:themeColor="text2" w:themeShade="80"/>
        </w:rPr>
        <w:t>end user</w:t>
      </w:r>
      <w:r w:rsidRPr="004A1196">
        <w:rPr>
          <w:rFonts w:eastAsia="Calibri"/>
          <w:color w:val="0B2B43" w:themeColor="text2" w:themeShade="80"/>
        </w:rPr>
        <w:t xml:space="preserve"> engagement by combining the three schemes which provide research support, using drivers which equally reward excellence and </w:t>
      </w:r>
      <w:r w:rsidR="003904BC">
        <w:rPr>
          <w:rFonts w:eastAsia="Calibri"/>
          <w:color w:val="0B2B43" w:themeColor="text2" w:themeShade="80"/>
        </w:rPr>
        <w:t>end user</w:t>
      </w:r>
      <w:r w:rsidRPr="004A1196">
        <w:rPr>
          <w:rFonts w:eastAsia="Calibri"/>
          <w:color w:val="0B2B43" w:themeColor="text2" w:themeShade="80"/>
        </w:rPr>
        <w:t xml:space="preserve"> engagement:</w:t>
      </w:r>
    </w:p>
    <w:p w:rsidR="002C6039" w:rsidRPr="004A1196" w:rsidRDefault="002C6039" w:rsidP="00C37CCD">
      <w:pPr>
        <w:pStyle w:val="ListParagraph"/>
        <w:numPr>
          <w:ilvl w:val="1"/>
          <w:numId w:val="63"/>
        </w:numPr>
        <w:rPr>
          <w:rFonts w:eastAsia="Calibri"/>
          <w:color w:val="0B2B43" w:themeColor="text2" w:themeShade="80"/>
        </w:rPr>
      </w:pPr>
      <w:r w:rsidRPr="004A1196">
        <w:rPr>
          <w:rFonts w:eastAsia="Calibri"/>
          <w:color w:val="0B2B43" w:themeColor="text2" w:themeShade="80"/>
        </w:rPr>
        <w:t>50 per cent based on Category 1 research income to support the indirect costs of Australian competitive grants</w:t>
      </w:r>
    </w:p>
    <w:p w:rsidR="002C6039" w:rsidRPr="004A1196" w:rsidRDefault="002C6039" w:rsidP="00C37CCD">
      <w:pPr>
        <w:pStyle w:val="ListParagraph"/>
        <w:numPr>
          <w:ilvl w:val="1"/>
          <w:numId w:val="63"/>
        </w:numPr>
        <w:rPr>
          <w:rFonts w:eastAsia="Calibri"/>
          <w:color w:val="0B2B43" w:themeColor="text2" w:themeShade="80"/>
        </w:rPr>
      </w:pPr>
      <w:proofErr w:type="gramStart"/>
      <w:r w:rsidRPr="004A1196">
        <w:rPr>
          <w:rFonts w:eastAsia="Calibri"/>
          <w:color w:val="0B2B43" w:themeColor="text2" w:themeShade="80"/>
        </w:rPr>
        <w:t xml:space="preserve">50 per </w:t>
      </w:r>
      <w:r w:rsidR="00A22775">
        <w:rPr>
          <w:rFonts w:eastAsia="Calibri"/>
          <w:color w:val="0B2B43" w:themeColor="text2" w:themeShade="80"/>
        </w:rPr>
        <w:t>cent</w:t>
      </w:r>
      <w:proofErr w:type="gramEnd"/>
      <w:r w:rsidR="00A22775">
        <w:rPr>
          <w:rFonts w:eastAsia="Calibri"/>
          <w:color w:val="0B2B43" w:themeColor="text2" w:themeShade="80"/>
        </w:rPr>
        <w:t xml:space="preserve"> based on Category 2-</w:t>
      </w:r>
      <w:r w:rsidRPr="004A1196">
        <w:rPr>
          <w:rFonts w:eastAsia="Calibri"/>
          <w:color w:val="0B2B43" w:themeColor="text2" w:themeShade="80"/>
        </w:rPr>
        <w:t xml:space="preserve">4 research income to support business and other research </w:t>
      </w:r>
      <w:r w:rsidR="003904BC">
        <w:rPr>
          <w:rFonts w:eastAsia="Calibri"/>
          <w:color w:val="0B2B43" w:themeColor="text2" w:themeShade="80"/>
        </w:rPr>
        <w:t>end user</w:t>
      </w:r>
      <w:r w:rsidRPr="004A1196">
        <w:rPr>
          <w:rFonts w:eastAsia="Calibri"/>
          <w:color w:val="0B2B43" w:themeColor="text2" w:themeShade="80"/>
        </w:rPr>
        <w:t xml:space="preserve"> engagement</w:t>
      </w:r>
      <w:r w:rsidR="00E82B2A" w:rsidRPr="004A1196">
        <w:rPr>
          <w:rFonts w:eastAsia="Calibri"/>
          <w:color w:val="0B2B43" w:themeColor="text2" w:themeShade="80"/>
        </w:rPr>
        <w:t>.</w:t>
      </w:r>
    </w:p>
    <w:p w:rsidR="002C6039" w:rsidRPr="00696957" w:rsidRDefault="002C6039" w:rsidP="00696957">
      <w:pPr>
        <w:pStyle w:val="Heading3"/>
        <w:rPr>
          <w:rFonts w:eastAsia="Calibri"/>
          <w:b/>
        </w:rPr>
      </w:pPr>
      <w:r w:rsidRPr="00696957">
        <w:rPr>
          <w:rFonts w:eastAsia="Calibri"/>
          <w:b/>
        </w:rPr>
        <w:t>Research Training</w:t>
      </w:r>
    </w:p>
    <w:p w:rsidR="002C6039" w:rsidRPr="004A1196" w:rsidRDefault="002C6039" w:rsidP="001C2886">
      <w:pPr>
        <w:pStyle w:val="ListParagraph"/>
        <w:numPr>
          <w:ilvl w:val="0"/>
          <w:numId w:val="65"/>
        </w:numPr>
        <w:rPr>
          <w:rFonts w:eastAsia="Calibri"/>
          <w:b/>
          <w:i/>
          <w:color w:val="0B2B43" w:themeColor="text2" w:themeShade="80"/>
        </w:rPr>
      </w:pPr>
      <w:r w:rsidRPr="004A1196">
        <w:rPr>
          <w:rFonts w:eastAsia="Calibri"/>
          <w:color w:val="0B2B43" w:themeColor="text2" w:themeShade="80"/>
        </w:rPr>
        <w:t>Simplify arrangements for research training funding by combining the three schemes which support this function, using the following drivers:</w:t>
      </w:r>
    </w:p>
    <w:p w:rsidR="003A2FA1" w:rsidRDefault="002C6039" w:rsidP="003A2FA1">
      <w:pPr>
        <w:pStyle w:val="ListParagraph"/>
        <w:numPr>
          <w:ilvl w:val="1"/>
          <w:numId w:val="65"/>
        </w:numPr>
        <w:rPr>
          <w:rFonts w:eastAsia="Calibri"/>
          <w:color w:val="0B2B43" w:themeColor="text2" w:themeShade="80"/>
        </w:rPr>
      </w:pPr>
      <w:r w:rsidRPr="003A2FA1">
        <w:rPr>
          <w:rFonts w:eastAsia="Calibri"/>
          <w:color w:val="0B2B43" w:themeColor="text2" w:themeShade="80"/>
        </w:rPr>
        <w:t>50 per cent student completions</w:t>
      </w:r>
    </w:p>
    <w:p w:rsidR="002C6039" w:rsidRPr="003A2FA1" w:rsidRDefault="00A22775" w:rsidP="003A2FA1">
      <w:pPr>
        <w:pStyle w:val="ListParagraph"/>
        <w:numPr>
          <w:ilvl w:val="1"/>
          <w:numId w:val="65"/>
        </w:numPr>
        <w:rPr>
          <w:rFonts w:eastAsia="Calibri"/>
          <w:color w:val="0B2B43" w:themeColor="text2" w:themeShade="80"/>
        </w:rPr>
      </w:pPr>
      <w:proofErr w:type="gramStart"/>
      <w:r w:rsidRPr="003A2FA1">
        <w:rPr>
          <w:rFonts w:eastAsia="Calibri"/>
          <w:color w:val="0B2B43" w:themeColor="text2" w:themeShade="80"/>
        </w:rPr>
        <w:t>50 per cent</w:t>
      </w:r>
      <w:proofErr w:type="gramEnd"/>
      <w:r w:rsidRPr="003A2FA1">
        <w:rPr>
          <w:rFonts w:eastAsia="Calibri"/>
          <w:color w:val="0B2B43" w:themeColor="text2" w:themeShade="80"/>
        </w:rPr>
        <w:t xml:space="preserve"> Categories 1-</w:t>
      </w:r>
      <w:r w:rsidR="002C6039" w:rsidRPr="003A2FA1">
        <w:rPr>
          <w:rFonts w:eastAsia="Calibri"/>
          <w:color w:val="0B2B43" w:themeColor="text2" w:themeShade="80"/>
        </w:rPr>
        <w:t>4 research income, with equal weighting to be given to Category 1 income and Category 2-4 income</w:t>
      </w:r>
      <w:r w:rsidR="00E82B2A" w:rsidRPr="003A2FA1">
        <w:rPr>
          <w:rFonts w:eastAsia="Calibri"/>
          <w:color w:val="0B2B43" w:themeColor="text2" w:themeShade="80"/>
        </w:rPr>
        <w:t>.</w:t>
      </w:r>
    </w:p>
    <w:p w:rsidR="002C6039" w:rsidRPr="00696957" w:rsidRDefault="002C6039" w:rsidP="00696957">
      <w:pPr>
        <w:pStyle w:val="Heading3"/>
        <w:rPr>
          <w:rFonts w:eastAsia="Calibri"/>
          <w:b/>
        </w:rPr>
      </w:pPr>
      <w:r w:rsidRPr="00696957">
        <w:rPr>
          <w:rFonts w:eastAsia="Calibri"/>
          <w:b/>
        </w:rPr>
        <w:t>Transition to new arrangements</w:t>
      </w:r>
    </w:p>
    <w:p w:rsidR="002C6039" w:rsidRPr="004A1196" w:rsidRDefault="002C6039" w:rsidP="001C2886">
      <w:pPr>
        <w:pStyle w:val="ListParagraph"/>
        <w:numPr>
          <w:ilvl w:val="0"/>
          <w:numId w:val="65"/>
        </w:numPr>
        <w:rPr>
          <w:rFonts w:eastAsia="Calibri"/>
          <w:color w:val="0B2B43" w:themeColor="text2" w:themeShade="80"/>
        </w:rPr>
      </w:pPr>
      <w:r w:rsidRPr="004A1196">
        <w:rPr>
          <w:rFonts w:eastAsia="Calibri"/>
          <w:color w:val="0B2B43" w:themeColor="text2" w:themeShade="80"/>
        </w:rPr>
        <w:t xml:space="preserve">To allow an orderly transition to the new arrangements: </w:t>
      </w:r>
    </w:p>
    <w:p w:rsidR="003A2FA1" w:rsidRDefault="0063204B" w:rsidP="003A2FA1">
      <w:pPr>
        <w:pStyle w:val="ListParagraph"/>
        <w:numPr>
          <w:ilvl w:val="1"/>
          <w:numId w:val="65"/>
        </w:numPr>
        <w:rPr>
          <w:rFonts w:eastAsia="Calibri"/>
          <w:color w:val="0B2B43" w:themeColor="text2" w:themeShade="80"/>
        </w:rPr>
      </w:pPr>
      <w:r w:rsidRPr="003A2FA1">
        <w:rPr>
          <w:rFonts w:eastAsia="Calibri"/>
          <w:color w:val="0B2B43" w:themeColor="text2" w:themeShade="80"/>
        </w:rPr>
        <w:t xml:space="preserve">introduce </w:t>
      </w:r>
      <w:r w:rsidR="00A93822" w:rsidRPr="003A2FA1">
        <w:rPr>
          <w:rFonts w:eastAsia="Calibri"/>
          <w:color w:val="0B2B43" w:themeColor="text2" w:themeShade="80"/>
        </w:rPr>
        <w:t xml:space="preserve">a safety net for Research Support funding, </w:t>
      </w:r>
      <w:r w:rsidR="002C6039" w:rsidRPr="003A2FA1">
        <w:rPr>
          <w:rFonts w:eastAsia="Calibri"/>
          <w:color w:val="0B2B43" w:themeColor="text2" w:themeShade="80"/>
        </w:rPr>
        <w:t xml:space="preserve">for the first four years of operation, so that no university receives less than 95 per cent of its funding for the prior year, indexed </w:t>
      </w:r>
    </w:p>
    <w:p w:rsidR="002C6039" w:rsidRPr="003A2FA1" w:rsidRDefault="002C6039" w:rsidP="003A2FA1">
      <w:pPr>
        <w:pStyle w:val="ListParagraph"/>
        <w:numPr>
          <w:ilvl w:val="1"/>
          <w:numId w:val="65"/>
        </w:numPr>
        <w:rPr>
          <w:rFonts w:eastAsia="Calibri"/>
          <w:color w:val="0B2B43" w:themeColor="text2" w:themeShade="80"/>
        </w:rPr>
      </w:pPr>
      <w:proofErr w:type="gramStart"/>
      <w:r w:rsidRPr="003A2FA1">
        <w:rPr>
          <w:rFonts w:eastAsia="Calibri"/>
          <w:color w:val="0B2B43" w:themeColor="text2" w:themeShade="80"/>
        </w:rPr>
        <w:t>progressively</w:t>
      </w:r>
      <w:proofErr w:type="gramEnd"/>
      <w:r w:rsidRPr="003A2FA1">
        <w:rPr>
          <w:rFonts w:eastAsia="Calibri"/>
          <w:color w:val="0B2B43" w:themeColor="text2" w:themeShade="80"/>
        </w:rPr>
        <w:t xml:space="preserve"> increasing the influence of the new Research Training funding formula by applying it to 25 per cent of the pool in each of years 2017 to 2020, with the balance being based on the previous year’s allocations</w:t>
      </w:r>
      <w:r w:rsidR="006F1B98" w:rsidRPr="003A2FA1">
        <w:rPr>
          <w:rFonts w:eastAsia="Calibri"/>
          <w:color w:val="0B2B43" w:themeColor="text2" w:themeShade="80"/>
        </w:rPr>
        <w:t>.</w:t>
      </w:r>
      <w:r w:rsidRPr="003A2FA1">
        <w:rPr>
          <w:rFonts w:eastAsia="Calibri"/>
          <w:color w:val="0B2B43" w:themeColor="text2" w:themeShade="80"/>
        </w:rPr>
        <w:t xml:space="preserve"> </w:t>
      </w:r>
    </w:p>
    <w:p w:rsidR="002C6039" w:rsidRPr="00696957" w:rsidRDefault="002C6039" w:rsidP="00696957">
      <w:pPr>
        <w:pStyle w:val="Heading3"/>
        <w:rPr>
          <w:rFonts w:eastAsia="Calibri"/>
          <w:b/>
        </w:rPr>
      </w:pPr>
      <w:r w:rsidRPr="00696957">
        <w:rPr>
          <w:rFonts w:eastAsia="Calibri"/>
          <w:b/>
        </w:rPr>
        <w:t>Additional funding to further incentivise engagement</w:t>
      </w:r>
    </w:p>
    <w:p w:rsidR="002C6039" w:rsidRPr="004A1196" w:rsidRDefault="002C6039" w:rsidP="001C2886">
      <w:pPr>
        <w:pStyle w:val="ListParagraph"/>
        <w:numPr>
          <w:ilvl w:val="0"/>
          <w:numId w:val="65"/>
        </w:numPr>
        <w:rPr>
          <w:rFonts w:eastAsia="Calibri"/>
          <w:color w:val="0B2B43" w:themeColor="text2" w:themeShade="80"/>
        </w:rPr>
      </w:pPr>
      <w:r w:rsidRPr="004A1196">
        <w:rPr>
          <w:rFonts w:eastAsia="Calibri"/>
          <w:color w:val="0B2B43" w:themeColor="text2" w:themeShade="80"/>
        </w:rPr>
        <w:t xml:space="preserve">Additional funding of $50 million per annum, ongoing, </w:t>
      </w:r>
      <w:proofErr w:type="gramStart"/>
      <w:r w:rsidRPr="004A1196">
        <w:rPr>
          <w:rFonts w:eastAsia="Calibri"/>
          <w:color w:val="0B2B43" w:themeColor="text2" w:themeShade="80"/>
        </w:rPr>
        <w:t>should be provided</w:t>
      </w:r>
      <w:proofErr w:type="gramEnd"/>
      <w:r w:rsidRPr="004A1196">
        <w:rPr>
          <w:rFonts w:eastAsia="Calibri"/>
          <w:color w:val="0B2B43" w:themeColor="text2" w:themeShade="80"/>
        </w:rPr>
        <w:t xml:space="preserve">, commencing 2018, to further increase incentives to universities for business and </w:t>
      </w:r>
      <w:r w:rsidR="003904BC">
        <w:rPr>
          <w:rFonts w:eastAsia="Calibri"/>
          <w:color w:val="0B2B43" w:themeColor="text2" w:themeShade="80"/>
        </w:rPr>
        <w:t>end user</w:t>
      </w:r>
      <w:r w:rsidRPr="004A1196">
        <w:rPr>
          <w:rFonts w:eastAsia="Calibri"/>
          <w:color w:val="0B2B43" w:themeColor="text2" w:themeShade="80"/>
        </w:rPr>
        <w:t xml:space="preserve"> engagement. </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Should fiscal circumstances permit, a modest down payment </w:t>
      </w:r>
      <w:proofErr w:type="gramStart"/>
      <w:r w:rsidRPr="004A1196">
        <w:rPr>
          <w:rFonts w:eastAsia="Calibri"/>
          <w:color w:val="0B2B43" w:themeColor="text2" w:themeShade="80"/>
        </w:rPr>
        <w:t>should be made</w:t>
      </w:r>
      <w:proofErr w:type="gramEnd"/>
      <w:r w:rsidRPr="004A1196">
        <w:rPr>
          <w:rFonts w:eastAsia="Calibri"/>
          <w:color w:val="0B2B43" w:themeColor="text2" w:themeShade="80"/>
        </w:rPr>
        <w:t xml:space="preserve"> in 2017. </w:t>
      </w:r>
    </w:p>
    <w:p w:rsidR="002C6039" w:rsidRPr="00696957" w:rsidRDefault="002C6039" w:rsidP="00696957">
      <w:pPr>
        <w:pStyle w:val="Heading3"/>
        <w:rPr>
          <w:rFonts w:eastAsia="Calibri"/>
          <w:b/>
        </w:rPr>
      </w:pPr>
      <w:r w:rsidRPr="00696957">
        <w:rPr>
          <w:rFonts w:eastAsia="Calibri"/>
          <w:b/>
        </w:rPr>
        <w:t xml:space="preserve">Review of </w:t>
      </w:r>
      <w:proofErr w:type="spellStart"/>
      <w:r w:rsidRPr="00696957">
        <w:rPr>
          <w:rFonts w:eastAsia="Calibri"/>
          <w:b/>
        </w:rPr>
        <w:t>RBG</w:t>
      </w:r>
      <w:proofErr w:type="spellEnd"/>
      <w:r w:rsidRPr="00696957">
        <w:rPr>
          <w:rFonts w:eastAsia="Calibri"/>
          <w:b/>
        </w:rPr>
        <w:t xml:space="preserve"> engagement data</w:t>
      </w:r>
    </w:p>
    <w:p w:rsidR="002C6039" w:rsidRPr="004A1196" w:rsidRDefault="002C6039" w:rsidP="001C2886">
      <w:pPr>
        <w:pStyle w:val="ListParagraph"/>
        <w:numPr>
          <w:ilvl w:val="0"/>
          <w:numId w:val="65"/>
        </w:numPr>
        <w:rPr>
          <w:rFonts w:eastAsia="Calibri"/>
          <w:color w:val="0B2B43" w:themeColor="text2" w:themeShade="80"/>
        </w:rPr>
      </w:pPr>
      <w:r w:rsidRPr="004A1196">
        <w:rPr>
          <w:rFonts w:eastAsia="Calibri"/>
          <w:color w:val="0B2B43" w:themeColor="text2" w:themeShade="80"/>
        </w:rPr>
        <w:t>In consultation with Universities Australia, the Department of Education and Training and the ARC should examine research income c</w:t>
      </w:r>
      <w:r w:rsidR="00A22775">
        <w:rPr>
          <w:rFonts w:eastAsia="Calibri"/>
          <w:color w:val="0B2B43" w:themeColor="text2" w:themeShade="80"/>
        </w:rPr>
        <w:t>ounted in Categor</w:t>
      </w:r>
      <w:r w:rsidR="003A2FA1">
        <w:rPr>
          <w:rFonts w:eastAsia="Calibri"/>
          <w:color w:val="0B2B43" w:themeColor="text2" w:themeShade="80"/>
        </w:rPr>
        <w:t>ies</w:t>
      </w:r>
      <w:r w:rsidRPr="004A1196">
        <w:rPr>
          <w:rFonts w:eastAsia="Calibri"/>
          <w:color w:val="0B2B43" w:themeColor="text2" w:themeShade="80"/>
        </w:rPr>
        <w:t xml:space="preserve"> 2</w:t>
      </w:r>
      <w:r w:rsidR="003A2FA1">
        <w:rPr>
          <w:rFonts w:eastAsia="Calibri"/>
          <w:color w:val="0B2B43" w:themeColor="text2" w:themeShade="80"/>
        </w:rPr>
        <w:t xml:space="preserve">, 3 and </w:t>
      </w:r>
      <w:r w:rsidRPr="004A1196">
        <w:rPr>
          <w:rFonts w:eastAsia="Calibri"/>
          <w:color w:val="0B2B43" w:themeColor="text2" w:themeShade="80"/>
        </w:rPr>
        <w:t xml:space="preserve">4 and, by mid-2016, determine which data provide the most appropriate measures of </w:t>
      </w:r>
      <w:r w:rsidR="003904BC">
        <w:rPr>
          <w:rFonts w:eastAsia="Calibri"/>
          <w:color w:val="0B2B43" w:themeColor="text2" w:themeShade="80"/>
        </w:rPr>
        <w:t>end user</w:t>
      </w:r>
      <w:r w:rsidRPr="004A1196">
        <w:rPr>
          <w:rFonts w:eastAsia="Calibri"/>
          <w:color w:val="0B2B43" w:themeColor="text2" w:themeShade="80"/>
        </w:rPr>
        <w:t xml:space="preserve"> contributions.</w:t>
      </w:r>
    </w:p>
    <w:p w:rsidR="002C6039" w:rsidRPr="004A1196" w:rsidRDefault="002C6039" w:rsidP="002C6039">
      <w:pPr>
        <w:rPr>
          <w:rFonts w:eastAsiaTheme="majorEastAsia"/>
          <w:b/>
          <w:bCs/>
          <w:color w:val="0B2B43" w:themeColor="text2" w:themeShade="80"/>
          <w:sz w:val="40"/>
          <w:szCs w:val="28"/>
        </w:rPr>
      </w:pPr>
      <w:bookmarkStart w:id="175" w:name="_Toc436392737"/>
      <w:r w:rsidRPr="004A1196">
        <w:rPr>
          <w:color w:val="0B2B43" w:themeColor="text2" w:themeShade="80"/>
        </w:rPr>
        <w:br w:type="page"/>
      </w:r>
    </w:p>
    <w:p w:rsidR="002C6039" w:rsidRPr="004A1196" w:rsidRDefault="002C6039" w:rsidP="004018A9">
      <w:pPr>
        <w:pStyle w:val="RIHeading1"/>
        <w:numPr>
          <w:ilvl w:val="0"/>
          <w:numId w:val="62"/>
        </w:numPr>
        <w:rPr>
          <w:color w:val="0B2B43" w:themeColor="text2" w:themeShade="80"/>
        </w:rPr>
      </w:pPr>
      <w:bookmarkStart w:id="176" w:name="_Toc436563385"/>
      <w:bookmarkStart w:id="177" w:name="_Toc436574574"/>
      <w:bookmarkStart w:id="178" w:name="_Toc436579524"/>
      <w:bookmarkStart w:id="179" w:name="_Toc436579542"/>
      <w:bookmarkStart w:id="180" w:name="_Toc436651836"/>
      <w:bookmarkStart w:id="181" w:name="_Toc436659644"/>
      <w:bookmarkStart w:id="182" w:name="_Toc436660142"/>
      <w:bookmarkStart w:id="183" w:name="_Toc436663722"/>
      <w:bookmarkStart w:id="184" w:name="_Toc436664112"/>
      <w:bookmarkStart w:id="185" w:name="_Toc436664673"/>
      <w:bookmarkStart w:id="186" w:name="_Toc436664815"/>
      <w:bookmarkStart w:id="187" w:name="_Toc436665030"/>
      <w:bookmarkStart w:id="188" w:name="_Toc436666147"/>
      <w:bookmarkStart w:id="189" w:name="_Toc436666854"/>
      <w:bookmarkStart w:id="190" w:name="_Toc436666972"/>
      <w:bookmarkStart w:id="191" w:name="_Toc440378835"/>
      <w:r w:rsidRPr="004A1196">
        <w:rPr>
          <w:color w:val="0B2B43" w:themeColor="text2" w:themeShade="80"/>
        </w:rPr>
        <w:t>Competitive Grant Programmes</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2C6039" w:rsidRPr="004A1196" w:rsidRDefault="002C6039" w:rsidP="002C6039">
      <w:pPr>
        <w:rPr>
          <w:color w:val="0B2B43" w:themeColor="text2" w:themeShade="80"/>
          <w:sz w:val="22"/>
          <w:lang w:eastAsia="en-GB"/>
        </w:rPr>
      </w:pPr>
      <w:r w:rsidRPr="004A1196">
        <w:rPr>
          <w:color w:val="0B2B43" w:themeColor="text2" w:themeShade="80"/>
          <w:lang w:eastAsia="en-GB"/>
        </w:rPr>
        <w:t xml:space="preserve">The terms of reference for the review note the Government’s commitment to ‘working with the Australian Research Council and the National Health and Medical Research Council to ensure rules for competitive grants appropriately recognise </w:t>
      </w:r>
      <w:r w:rsidR="00034E98">
        <w:rPr>
          <w:color w:val="0B2B43" w:themeColor="text2" w:themeShade="80"/>
          <w:lang w:eastAsia="en-GB"/>
        </w:rPr>
        <w:t>industry relevant</w:t>
      </w:r>
      <w:r w:rsidRPr="004A1196">
        <w:rPr>
          <w:color w:val="0B2B43" w:themeColor="text2" w:themeShade="80"/>
          <w:lang w:eastAsia="en-GB"/>
        </w:rPr>
        <w:t xml:space="preserve"> expertise or research’. Further, the terms of reference require that the review provide advice to Government on options </w:t>
      </w:r>
      <w:proofErr w:type="gramStart"/>
      <w:r w:rsidRPr="004A1196">
        <w:rPr>
          <w:color w:val="0B2B43" w:themeColor="text2" w:themeShade="80"/>
          <w:lang w:eastAsia="en-GB"/>
        </w:rPr>
        <w:t>to</w:t>
      </w:r>
      <w:proofErr w:type="gramEnd"/>
      <w:r w:rsidRPr="004A1196">
        <w:rPr>
          <w:color w:val="0B2B43" w:themeColor="text2" w:themeShade="80"/>
          <w:lang w:eastAsia="en-GB"/>
        </w:rPr>
        <w:t>:</w:t>
      </w:r>
    </w:p>
    <w:p w:rsidR="002C6039" w:rsidRPr="004A1196" w:rsidRDefault="002C6039" w:rsidP="002C6039">
      <w:pPr>
        <w:pStyle w:val="ListParagraph"/>
        <w:numPr>
          <w:ilvl w:val="0"/>
          <w:numId w:val="24"/>
        </w:numPr>
        <w:rPr>
          <w:color w:val="0B2B43" w:themeColor="text2" w:themeShade="80"/>
          <w:sz w:val="22"/>
          <w:lang w:eastAsia="en-GB"/>
        </w:rPr>
      </w:pPr>
      <w:r w:rsidRPr="004A1196">
        <w:rPr>
          <w:color w:val="0B2B43" w:themeColor="text2" w:themeShade="80"/>
          <w:sz w:val="22"/>
          <w:lang w:eastAsia="en-GB"/>
        </w:rPr>
        <w:t>ensure the quality and excellence of Australian university research</w:t>
      </w:r>
    </w:p>
    <w:p w:rsidR="002C6039" w:rsidRPr="004A1196" w:rsidRDefault="002C6039" w:rsidP="002C6039">
      <w:pPr>
        <w:pStyle w:val="ListParagraph"/>
        <w:numPr>
          <w:ilvl w:val="0"/>
          <w:numId w:val="24"/>
        </w:numPr>
        <w:rPr>
          <w:color w:val="0B2B43" w:themeColor="text2" w:themeShade="80"/>
          <w:sz w:val="22"/>
          <w:lang w:eastAsia="en-GB"/>
        </w:rPr>
      </w:pPr>
      <w:r w:rsidRPr="004A1196">
        <w:rPr>
          <w:color w:val="0B2B43" w:themeColor="text2" w:themeShade="80"/>
          <w:sz w:val="22"/>
          <w:lang w:eastAsia="en-GB"/>
        </w:rPr>
        <w:t xml:space="preserve">provide incentives to universities to increase and improve engagement and collaboration with industry and other </w:t>
      </w:r>
      <w:r w:rsidR="003904BC">
        <w:rPr>
          <w:color w:val="0B2B43" w:themeColor="text2" w:themeShade="80"/>
          <w:sz w:val="22"/>
          <w:lang w:eastAsia="en-GB"/>
        </w:rPr>
        <w:t>end user</w:t>
      </w:r>
      <w:r w:rsidRPr="004A1196">
        <w:rPr>
          <w:color w:val="0B2B43" w:themeColor="text2" w:themeShade="80"/>
          <w:sz w:val="22"/>
          <w:lang w:eastAsia="en-GB"/>
        </w:rPr>
        <w:t xml:space="preserve">s </w:t>
      </w:r>
    </w:p>
    <w:p w:rsidR="002C6039" w:rsidRPr="004A1196" w:rsidRDefault="002C6039" w:rsidP="002C6039">
      <w:pPr>
        <w:pStyle w:val="ListParagraph"/>
        <w:numPr>
          <w:ilvl w:val="0"/>
          <w:numId w:val="24"/>
        </w:numPr>
        <w:rPr>
          <w:color w:val="0B2B43" w:themeColor="text2" w:themeShade="80"/>
          <w:sz w:val="22"/>
          <w:lang w:eastAsia="en-GB"/>
        </w:rPr>
      </w:pPr>
      <w:proofErr w:type="gramStart"/>
      <w:r w:rsidRPr="004A1196">
        <w:rPr>
          <w:color w:val="0B2B43" w:themeColor="text2" w:themeShade="80"/>
          <w:sz w:val="22"/>
          <w:lang w:eastAsia="en-GB"/>
        </w:rPr>
        <w:t>ensure</w:t>
      </w:r>
      <w:proofErr w:type="gramEnd"/>
      <w:r w:rsidRPr="004A1196">
        <w:rPr>
          <w:color w:val="0B2B43" w:themeColor="text2" w:themeShade="80"/>
          <w:sz w:val="22"/>
          <w:lang w:eastAsia="en-GB"/>
        </w:rPr>
        <w:t xml:space="preserve"> that competitive grant criteria recognise the quality of the proposal and where appropriate the opportunity for commercialisation and collaboration with industry</w:t>
      </w:r>
      <w:r w:rsidR="004718C3" w:rsidRPr="004A1196">
        <w:rPr>
          <w:color w:val="0B2B43" w:themeColor="text2" w:themeShade="80"/>
          <w:sz w:val="22"/>
          <w:lang w:eastAsia="en-GB"/>
        </w:rPr>
        <w:t>.</w:t>
      </w:r>
    </w:p>
    <w:p w:rsidR="002C6039" w:rsidRPr="004A1196" w:rsidRDefault="002C6039" w:rsidP="002C6039">
      <w:pPr>
        <w:rPr>
          <w:color w:val="0B2B43" w:themeColor="text2" w:themeShade="80"/>
          <w:lang w:eastAsia="en-GB"/>
        </w:rPr>
      </w:pPr>
      <w:r w:rsidRPr="004A1196">
        <w:rPr>
          <w:color w:val="0B2B43" w:themeColor="text2" w:themeShade="80"/>
          <w:lang w:eastAsia="en-GB"/>
        </w:rPr>
        <w:t xml:space="preserve">This chapter provides an overview of current Australian Research Council (ARC) and National Health and Medical Research Council (NHMRC) competitive grant programmes that support collaboration between university researchers and business and other </w:t>
      </w:r>
      <w:r w:rsidR="003904BC">
        <w:rPr>
          <w:color w:val="0B2B43" w:themeColor="text2" w:themeShade="80"/>
          <w:lang w:eastAsia="en-GB"/>
        </w:rPr>
        <w:t>end user</w:t>
      </w:r>
      <w:r w:rsidRPr="004A1196">
        <w:rPr>
          <w:color w:val="0B2B43" w:themeColor="text2" w:themeShade="80"/>
          <w:lang w:eastAsia="en-GB"/>
        </w:rPr>
        <w:t xml:space="preserve">s. It discusses recent changes to the funding rules of both agencies and makes recommendations </w:t>
      </w:r>
      <w:proofErr w:type="gramStart"/>
      <w:r w:rsidRPr="004A1196">
        <w:rPr>
          <w:color w:val="0B2B43" w:themeColor="text2" w:themeShade="80"/>
          <w:lang w:eastAsia="en-GB"/>
        </w:rPr>
        <w:t>to further improve</w:t>
      </w:r>
      <w:proofErr w:type="gramEnd"/>
      <w:r w:rsidRPr="004A1196">
        <w:rPr>
          <w:color w:val="0B2B43" w:themeColor="text2" w:themeShade="80"/>
          <w:lang w:eastAsia="en-GB"/>
        </w:rPr>
        <w:t xml:space="preserve"> their responsiveness to the needs of partners and their effectiveness in facilitating collaboration. </w:t>
      </w:r>
    </w:p>
    <w:p w:rsidR="002C6039" w:rsidRPr="004A1196" w:rsidRDefault="002C6039" w:rsidP="002C6039">
      <w:pPr>
        <w:pStyle w:val="RIHeading2"/>
        <w:rPr>
          <w:color w:val="0B2B43" w:themeColor="text2" w:themeShade="80"/>
        </w:rPr>
      </w:pPr>
      <w:bookmarkStart w:id="192" w:name="_Toc436392738"/>
      <w:bookmarkStart w:id="193" w:name="_Toc436651837"/>
      <w:bookmarkStart w:id="194" w:name="_Toc436659645"/>
      <w:bookmarkStart w:id="195" w:name="_Toc436660143"/>
      <w:r w:rsidRPr="004A1196">
        <w:rPr>
          <w:color w:val="0B2B43" w:themeColor="text2" w:themeShade="80"/>
        </w:rPr>
        <w:t>The current competitive grant programmes</w:t>
      </w:r>
      <w:bookmarkEnd w:id="192"/>
      <w:bookmarkEnd w:id="193"/>
      <w:bookmarkEnd w:id="194"/>
      <w:bookmarkEnd w:id="195"/>
    </w:p>
    <w:p w:rsidR="002C6039" w:rsidRPr="004A1196" w:rsidRDefault="002C6039" w:rsidP="002C6039">
      <w:pPr>
        <w:rPr>
          <w:color w:val="0B2B43" w:themeColor="text2" w:themeShade="80"/>
        </w:rPr>
      </w:pPr>
      <w:r w:rsidRPr="004A1196">
        <w:rPr>
          <w:color w:val="0B2B43" w:themeColor="text2" w:themeShade="80"/>
        </w:rPr>
        <w:t xml:space="preserve">Current ARC and NHMRC competitive grant programmes support both fundamental (blue sky) research, which aims to develop and advance knowledge, and applied research, which is usually conducted in collaboration with business and other </w:t>
      </w:r>
      <w:r w:rsidR="003904BC">
        <w:rPr>
          <w:color w:val="0B2B43" w:themeColor="text2" w:themeShade="80"/>
        </w:rPr>
        <w:t>end user</w:t>
      </w:r>
      <w:r w:rsidRPr="004A1196">
        <w:rPr>
          <w:color w:val="0B2B43" w:themeColor="text2" w:themeShade="80"/>
        </w:rPr>
        <w:t xml:space="preserve">s and </w:t>
      </w:r>
      <w:r w:rsidR="00284CE0">
        <w:rPr>
          <w:color w:val="0B2B43" w:themeColor="text2" w:themeShade="80"/>
        </w:rPr>
        <w:t>focused</w:t>
      </w:r>
      <w:r w:rsidRPr="004A1196">
        <w:rPr>
          <w:color w:val="0B2B43" w:themeColor="text2" w:themeShade="80"/>
        </w:rPr>
        <w:t xml:space="preserve"> on the translation of knowledge to achieve economic, social, environmental and other benefits. </w:t>
      </w:r>
    </w:p>
    <w:p w:rsidR="002C6039" w:rsidRPr="004A1196" w:rsidRDefault="002C6039" w:rsidP="002C6039">
      <w:pPr>
        <w:rPr>
          <w:color w:val="0B2B43" w:themeColor="text2" w:themeShade="80"/>
          <w:highlight w:val="yellow"/>
        </w:rPr>
      </w:pPr>
      <w:r w:rsidRPr="004A1196">
        <w:rPr>
          <w:color w:val="0B2B43" w:themeColor="text2" w:themeShade="80"/>
        </w:rPr>
        <w:t xml:space="preserve">A focus on research quality underpins the competitive research grant programmes, including </w:t>
      </w:r>
      <w:proofErr w:type="gramStart"/>
      <w:r w:rsidRPr="004A1196">
        <w:rPr>
          <w:color w:val="0B2B43" w:themeColor="text2" w:themeShade="80"/>
        </w:rPr>
        <w:t>those which</w:t>
      </w:r>
      <w:proofErr w:type="gramEnd"/>
      <w:r w:rsidRPr="004A1196">
        <w:rPr>
          <w:color w:val="0B2B43" w:themeColor="text2" w:themeShade="80"/>
        </w:rPr>
        <w:t xml:space="preserve"> facilitate collaboration. High quality basic research is widely accepted as fundamental to support the generation of new ideas and future innovative capacity. The OECD has identified the importance of fostering strong and effective research to support innovation, arguing that institutions should seek both ‘to enhance excellence and to create better links to other innovation actors and stakeholders.’</w:t>
      </w:r>
      <w:r w:rsidRPr="004A1196">
        <w:rPr>
          <w:rStyle w:val="FootnoteReference"/>
          <w:color w:val="0B2B43" w:themeColor="text2" w:themeShade="80"/>
        </w:rPr>
        <w:footnoteReference w:id="24"/>
      </w:r>
      <w:r w:rsidRPr="004A1196">
        <w:rPr>
          <w:color w:val="0B2B43" w:themeColor="text2" w:themeShade="80"/>
        </w:rPr>
        <w:t xml:space="preserve"> Further, drawing on international findings, the OECD notes the particular importance of basic research, which ‘gives rise to significantly larger knowledge </w:t>
      </w:r>
      <w:proofErr w:type="spellStart"/>
      <w:r w:rsidRPr="004A1196">
        <w:rPr>
          <w:color w:val="0B2B43" w:themeColor="text2" w:themeShade="80"/>
        </w:rPr>
        <w:t>spillovers</w:t>
      </w:r>
      <w:proofErr w:type="spellEnd"/>
      <w:r w:rsidRPr="004A1196">
        <w:rPr>
          <w:color w:val="0B2B43" w:themeColor="text2" w:themeShade="80"/>
        </w:rPr>
        <w:t xml:space="preserve"> than applied research while making applied research much more productive’.</w:t>
      </w:r>
      <w:r w:rsidRPr="004A1196">
        <w:rPr>
          <w:rStyle w:val="FootnoteReference"/>
          <w:color w:val="0B2B43" w:themeColor="text2" w:themeShade="80"/>
        </w:rPr>
        <w:footnoteReference w:id="25"/>
      </w:r>
      <w:r w:rsidRPr="004A1196">
        <w:rPr>
          <w:color w:val="0B2B43" w:themeColor="text2" w:themeShade="80"/>
        </w:rPr>
        <w:t xml:space="preserve"> </w:t>
      </w:r>
    </w:p>
    <w:p w:rsidR="002C6039" w:rsidRPr="004A1196" w:rsidRDefault="002C6039" w:rsidP="002C6039">
      <w:pPr>
        <w:rPr>
          <w:rFonts w:eastAsia="Calibri" w:cs="Calibri"/>
          <w:color w:val="0B2B43" w:themeColor="text2" w:themeShade="80"/>
        </w:rPr>
      </w:pPr>
      <w:r w:rsidRPr="004A1196">
        <w:rPr>
          <w:color w:val="0B2B43" w:themeColor="text2" w:themeShade="80"/>
        </w:rPr>
        <w:t xml:space="preserve">Several ARC and NHMRC schemes </w:t>
      </w:r>
      <w:proofErr w:type="gramStart"/>
      <w:r w:rsidRPr="004A1196">
        <w:rPr>
          <w:color w:val="0B2B43" w:themeColor="text2" w:themeShade="80"/>
        </w:rPr>
        <w:t>are designed</w:t>
      </w:r>
      <w:proofErr w:type="gramEnd"/>
      <w:r w:rsidRPr="004A1196">
        <w:rPr>
          <w:color w:val="0B2B43" w:themeColor="text2" w:themeShade="80"/>
        </w:rPr>
        <w:t xml:space="preserve"> to support research conducted in collaboration with a range of partners (including business and other </w:t>
      </w:r>
      <w:r w:rsidR="003904BC">
        <w:rPr>
          <w:color w:val="0B2B43" w:themeColor="text2" w:themeShade="80"/>
        </w:rPr>
        <w:t>end user</w:t>
      </w:r>
      <w:r w:rsidRPr="004A1196">
        <w:rPr>
          <w:color w:val="0B2B43" w:themeColor="text2" w:themeShade="80"/>
        </w:rPr>
        <w:t>s su</w:t>
      </w:r>
      <w:r w:rsidR="00284CE0">
        <w:rPr>
          <w:color w:val="0B2B43" w:themeColor="text2" w:themeShade="80"/>
        </w:rPr>
        <w:t>ch as no</w:t>
      </w:r>
      <w:r w:rsidR="005B60B6">
        <w:rPr>
          <w:color w:val="0B2B43" w:themeColor="text2" w:themeShade="80"/>
        </w:rPr>
        <w:t>n</w:t>
      </w:r>
      <w:r w:rsidR="005B60B6">
        <w:rPr>
          <w:color w:val="0B2B43" w:themeColor="text2" w:themeShade="80"/>
        </w:rPr>
        <w:noBreakHyphen/>
      </w:r>
      <w:r w:rsidRPr="004A1196">
        <w:rPr>
          <w:color w:val="0B2B43" w:themeColor="text2" w:themeShade="80"/>
        </w:rPr>
        <w:t xml:space="preserve">profit </w:t>
      </w:r>
      <w:r w:rsidR="00C0028F">
        <w:rPr>
          <w:color w:val="0B2B43" w:themeColor="text2" w:themeShade="80"/>
        </w:rPr>
        <w:t xml:space="preserve">organisations, and local, state, </w:t>
      </w:r>
      <w:r w:rsidRPr="004A1196">
        <w:rPr>
          <w:color w:val="0B2B43" w:themeColor="text2" w:themeShade="80"/>
        </w:rPr>
        <w:t>territor</w:t>
      </w:r>
      <w:r w:rsidR="00152006">
        <w:rPr>
          <w:color w:val="0B2B43" w:themeColor="text2" w:themeShade="80"/>
        </w:rPr>
        <w:t>y</w:t>
      </w:r>
      <w:r w:rsidRPr="004A1196">
        <w:rPr>
          <w:color w:val="0B2B43" w:themeColor="text2" w:themeShade="80"/>
        </w:rPr>
        <w:t xml:space="preserve"> and Commonwealth government organisations). </w:t>
      </w:r>
    </w:p>
    <w:p w:rsidR="002C6039" w:rsidRPr="004A1196" w:rsidRDefault="002C6039" w:rsidP="002C6039">
      <w:pPr>
        <w:rPr>
          <w:color w:val="0B2B43" w:themeColor="text2" w:themeShade="80"/>
        </w:rPr>
      </w:pPr>
      <w:r w:rsidRPr="004A1196">
        <w:rPr>
          <w:color w:val="0B2B43" w:themeColor="text2" w:themeShade="80"/>
        </w:rPr>
        <w:t xml:space="preserve">The value of partners’ contributions to research projects under these schemes illustrates the scale of current collaboration. For example, in 2015, the </w:t>
      </w:r>
      <w:r w:rsidRPr="004A1196">
        <w:rPr>
          <w:rFonts w:eastAsia="Calibri" w:cs="Calibri"/>
          <w:color w:val="0B2B43" w:themeColor="text2" w:themeShade="80"/>
        </w:rPr>
        <w:t>ARC allocated nearly $117 million in funding for new and ongoing projects within key collaboration-</w:t>
      </w:r>
      <w:r w:rsidR="00284CE0">
        <w:rPr>
          <w:rFonts w:eastAsia="Calibri" w:cs="Calibri"/>
          <w:color w:val="0B2B43" w:themeColor="text2" w:themeShade="80"/>
        </w:rPr>
        <w:t>focused</w:t>
      </w:r>
      <w:r w:rsidRPr="004A1196">
        <w:rPr>
          <w:rFonts w:eastAsia="Calibri" w:cs="Calibri"/>
          <w:color w:val="0B2B43" w:themeColor="text2" w:themeShade="80"/>
        </w:rPr>
        <w:t xml:space="preserve"> schemes – Linkage Projects, Industrial Transformation Research Hubs</w:t>
      </w:r>
      <w:r w:rsidR="005B60B6">
        <w:rPr>
          <w:rFonts w:eastAsia="Calibri" w:cs="Calibri"/>
          <w:color w:val="0B2B43" w:themeColor="text2" w:themeShade="80"/>
        </w:rPr>
        <w:t xml:space="preserve"> (</w:t>
      </w:r>
      <w:proofErr w:type="spellStart"/>
      <w:r w:rsidR="005B60B6">
        <w:rPr>
          <w:rFonts w:eastAsia="Calibri" w:cs="Calibri"/>
          <w:color w:val="0B2B43" w:themeColor="text2" w:themeShade="80"/>
        </w:rPr>
        <w:t>ITRH</w:t>
      </w:r>
      <w:proofErr w:type="spellEnd"/>
      <w:r w:rsidR="005B60B6">
        <w:rPr>
          <w:rFonts w:eastAsia="Calibri" w:cs="Calibri"/>
          <w:color w:val="0B2B43" w:themeColor="text2" w:themeShade="80"/>
        </w:rPr>
        <w:t>)</w:t>
      </w:r>
      <w:r w:rsidRPr="004A1196">
        <w:rPr>
          <w:rFonts w:eastAsia="Calibri" w:cs="Calibri"/>
          <w:color w:val="0B2B43" w:themeColor="text2" w:themeShade="80"/>
        </w:rPr>
        <w:t xml:space="preserve"> and Industrial Transformation Training Centres</w:t>
      </w:r>
      <w:r w:rsidR="005B60B6">
        <w:rPr>
          <w:rFonts w:eastAsia="Calibri" w:cs="Calibri"/>
          <w:color w:val="0B2B43" w:themeColor="text2" w:themeShade="80"/>
        </w:rPr>
        <w:t xml:space="preserve"> (</w:t>
      </w:r>
      <w:proofErr w:type="spellStart"/>
      <w:r w:rsidR="005B60B6">
        <w:rPr>
          <w:rFonts w:eastAsia="Calibri" w:cs="Calibri"/>
          <w:color w:val="0B2B43" w:themeColor="text2" w:themeShade="80"/>
        </w:rPr>
        <w:t>ITTC</w:t>
      </w:r>
      <w:proofErr w:type="spellEnd"/>
      <w:r w:rsidR="005B60B6">
        <w:rPr>
          <w:rFonts w:eastAsia="Calibri" w:cs="Calibri"/>
          <w:color w:val="0B2B43" w:themeColor="text2" w:themeShade="80"/>
        </w:rPr>
        <w:t>)</w:t>
      </w:r>
      <w:r w:rsidRPr="004A1196">
        <w:rPr>
          <w:rFonts w:eastAsia="Calibri" w:cs="Calibri"/>
          <w:color w:val="0B2B43" w:themeColor="text2" w:themeShade="80"/>
        </w:rPr>
        <w:t>. These projects involved collaboration with 1,118 for-profit businesses, contributing over $45 million in cash and $89 million in-kind, and 1,305 non-profit organisations contributing $25 million in cash and nearly $62 million in-kind.</w:t>
      </w:r>
      <w:r w:rsidRPr="004A1196">
        <w:rPr>
          <w:rStyle w:val="FootnoteReference"/>
          <w:rFonts w:eastAsia="Calibri" w:cs="Calibri"/>
          <w:color w:val="0B2B43" w:themeColor="text2" w:themeShade="80"/>
        </w:rPr>
        <w:footnoteReference w:id="26"/>
      </w:r>
      <w:r w:rsidRPr="004A1196">
        <w:rPr>
          <w:color w:val="0B2B43" w:themeColor="text2" w:themeShade="80"/>
        </w:rPr>
        <w:t xml:space="preserve"> Based on these figures, every dollar of ARC funding through these schemes </w:t>
      </w:r>
      <w:proofErr w:type="gramStart"/>
      <w:r w:rsidRPr="004A1196">
        <w:rPr>
          <w:color w:val="0B2B43" w:themeColor="text2" w:themeShade="80"/>
        </w:rPr>
        <w:t>leverages</w:t>
      </w:r>
      <w:proofErr w:type="gramEnd"/>
      <w:r w:rsidRPr="004A1196">
        <w:rPr>
          <w:color w:val="0B2B43" w:themeColor="text2" w:themeShade="80"/>
        </w:rPr>
        <w:t xml:space="preserve"> around $1.88 of cash and in-kind contributions from partner organisations. </w:t>
      </w:r>
      <w:r w:rsidRPr="004A1196">
        <w:rPr>
          <w:rFonts w:eastAsia="Calibri" w:cs="Calibri"/>
          <w:color w:val="0B2B43" w:themeColor="text2" w:themeShade="80"/>
        </w:rPr>
        <w:t xml:space="preserve">More information on partner organisation contributions in the Linkage Projects scheme is in </w:t>
      </w:r>
      <w:r w:rsidR="00C75A89">
        <w:rPr>
          <w:rFonts w:eastAsia="Calibri"/>
          <w:color w:val="0B2B43" w:themeColor="text2" w:themeShade="80"/>
        </w:rPr>
        <w:t>Chart</w:t>
      </w:r>
      <w:r w:rsidRPr="004A1196">
        <w:rPr>
          <w:rFonts w:eastAsia="Calibri"/>
          <w:color w:val="0B2B43" w:themeColor="text2" w:themeShade="80"/>
        </w:rPr>
        <w:t xml:space="preserve"> </w:t>
      </w:r>
      <w:r w:rsidR="005B60B6">
        <w:rPr>
          <w:rFonts w:eastAsia="Calibri"/>
          <w:color w:val="0B2B43" w:themeColor="text2" w:themeShade="80"/>
        </w:rPr>
        <w:t>10</w:t>
      </w:r>
      <w:r w:rsidRPr="004A1196">
        <w:rPr>
          <w:rFonts w:eastAsia="Calibri"/>
          <w:color w:val="0B2B43" w:themeColor="text2" w:themeShade="80"/>
        </w:rPr>
        <w:t>.</w:t>
      </w:r>
      <w:r w:rsidRPr="004A1196">
        <w:rPr>
          <w:color w:val="0B2B43" w:themeColor="text2" w:themeShade="80"/>
        </w:rPr>
        <w:t xml:space="preserve"> </w:t>
      </w:r>
    </w:p>
    <w:p w:rsidR="002C6039" w:rsidRPr="004A1196" w:rsidRDefault="002C6039" w:rsidP="002C6039">
      <w:pPr>
        <w:pStyle w:val="RIHeading2"/>
        <w:rPr>
          <w:color w:val="0B2B43" w:themeColor="text2" w:themeShade="80"/>
        </w:rPr>
      </w:pPr>
      <w:bookmarkStart w:id="196" w:name="_Toc436392739"/>
      <w:bookmarkStart w:id="197" w:name="_Toc436651838"/>
      <w:bookmarkStart w:id="198" w:name="_Toc436659646"/>
      <w:bookmarkStart w:id="199" w:name="_Toc436660144"/>
      <w:r w:rsidRPr="004A1196">
        <w:rPr>
          <w:color w:val="0B2B43" w:themeColor="text2" w:themeShade="80"/>
        </w:rPr>
        <w:t>Australian Research Council</w:t>
      </w:r>
      <w:bookmarkEnd w:id="196"/>
      <w:bookmarkEnd w:id="197"/>
      <w:bookmarkEnd w:id="198"/>
      <w:bookmarkEnd w:id="199"/>
      <w:r w:rsidRPr="004A1196">
        <w:rPr>
          <w:color w:val="0B2B43" w:themeColor="text2" w:themeShade="80"/>
        </w:rPr>
        <w:t xml:space="preserve"> </w:t>
      </w:r>
    </w:p>
    <w:p w:rsidR="002C6039" w:rsidRPr="004A1196" w:rsidRDefault="002C6039" w:rsidP="002C6039">
      <w:pPr>
        <w:rPr>
          <w:color w:val="0B2B43" w:themeColor="text2" w:themeShade="80"/>
        </w:rPr>
      </w:pPr>
      <w:r w:rsidRPr="004A1196">
        <w:rPr>
          <w:color w:val="0B2B43" w:themeColor="text2" w:themeShade="80"/>
        </w:rPr>
        <w:t>The ARC administers the National Competitive Grants Programme (</w:t>
      </w:r>
      <w:proofErr w:type="spellStart"/>
      <w:r w:rsidRPr="004A1196">
        <w:rPr>
          <w:color w:val="0B2B43" w:themeColor="text2" w:themeShade="80"/>
        </w:rPr>
        <w:t>NCGP</w:t>
      </w:r>
      <w:proofErr w:type="spellEnd"/>
      <w:r w:rsidRPr="004A1196">
        <w:rPr>
          <w:color w:val="0B2B43" w:themeColor="text2" w:themeShade="80"/>
        </w:rPr>
        <w:t xml:space="preserve">). The </w:t>
      </w:r>
      <w:proofErr w:type="spellStart"/>
      <w:r w:rsidRPr="004A1196">
        <w:rPr>
          <w:color w:val="0B2B43" w:themeColor="text2" w:themeShade="80"/>
        </w:rPr>
        <w:t>NCGP</w:t>
      </w:r>
      <w:proofErr w:type="spellEnd"/>
      <w:r w:rsidRPr="004A1196">
        <w:rPr>
          <w:color w:val="0B2B43" w:themeColor="text2" w:themeShade="80"/>
        </w:rPr>
        <w:t xml:space="preserve"> comprises two programmes: Discovery ($514 million in 2015-16) and Linkage ($275 million in 2015-16). The Discovery Programme focusses on supporting excellent fundamental (</w:t>
      </w:r>
      <w:proofErr w:type="gramStart"/>
      <w:r w:rsidRPr="004A1196">
        <w:rPr>
          <w:color w:val="0B2B43" w:themeColor="text2" w:themeShade="80"/>
        </w:rPr>
        <w:t>blue sky</w:t>
      </w:r>
      <w:proofErr w:type="gramEnd"/>
      <w:r w:rsidRPr="004A1196">
        <w:rPr>
          <w:color w:val="0B2B43" w:themeColor="text2" w:themeShade="80"/>
        </w:rPr>
        <w:t>) research to expand Australia's knowledge base and research capability, recognising the importance of fundamental research to the national innovation system. The Linkage Programme funds collaborative research between universities, researchers, businesses, publicly funded research agencies and community organisations. Its aim is to improve the use of research outcomes and strengthen links within Australia’s innovation system. It consists of the following schemes:</w:t>
      </w:r>
      <w:r w:rsidRPr="004A1196">
        <w:rPr>
          <w:rStyle w:val="FootnoteReference"/>
          <w:color w:val="0B2B43" w:themeColor="text2" w:themeShade="80"/>
        </w:rPr>
        <w:footnoteReference w:id="27"/>
      </w:r>
      <w:r w:rsidRPr="004A1196">
        <w:rPr>
          <w:color w:val="0B2B43" w:themeColor="text2" w:themeShade="80"/>
        </w:rPr>
        <w:t xml:space="preserve"> </w:t>
      </w:r>
    </w:p>
    <w:p w:rsidR="002C6039" w:rsidRPr="004A1196" w:rsidRDefault="002C6039" w:rsidP="002C6039">
      <w:pPr>
        <w:pStyle w:val="ListParagraph"/>
        <w:numPr>
          <w:ilvl w:val="0"/>
          <w:numId w:val="22"/>
        </w:numPr>
        <w:rPr>
          <w:color w:val="0B2B43" w:themeColor="text2" w:themeShade="80"/>
        </w:rPr>
      </w:pPr>
      <w:r w:rsidRPr="004A1196">
        <w:rPr>
          <w:color w:val="0B2B43" w:themeColor="text2" w:themeShade="80"/>
        </w:rPr>
        <w:t xml:space="preserve">The Linkage Projects scheme ($89.4 million for projects in 2015) </w:t>
      </w:r>
      <w:proofErr w:type="gramStart"/>
      <w:r w:rsidRPr="004A1196">
        <w:rPr>
          <w:color w:val="0B2B43" w:themeColor="text2" w:themeShade="80"/>
        </w:rPr>
        <w:t>is designed</w:t>
      </w:r>
      <w:proofErr w:type="gramEnd"/>
      <w:r w:rsidRPr="004A1196">
        <w:rPr>
          <w:color w:val="0B2B43" w:themeColor="text2" w:themeShade="80"/>
        </w:rPr>
        <w:t xml:space="preserve"> to initiate and develop strategic alliances between universities and businesses and other </w:t>
      </w:r>
      <w:r w:rsidR="003904BC">
        <w:rPr>
          <w:color w:val="0B2B43" w:themeColor="text2" w:themeShade="80"/>
        </w:rPr>
        <w:t>end user</w:t>
      </w:r>
      <w:r w:rsidRPr="004A1196">
        <w:rPr>
          <w:color w:val="0B2B43" w:themeColor="text2" w:themeShade="80"/>
        </w:rPr>
        <w:t xml:space="preserve">s of research. Linkage Projects is the </w:t>
      </w:r>
      <w:proofErr w:type="spellStart"/>
      <w:r w:rsidRPr="004A1196">
        <w:rPr>
          <w:color w:val="0B2B43" w:themeColor="text2" w:themeShade="80"/>
        </w:rPr>
        <w:t>ARC’s</w:t>
      </w:r>
      <w:proofErr w:type="spellEnd"/>
      <w:r w:rsidRPr="004A1196">
        <w:rPr>
          <w:color w:val="0B2B43" w:themeColor="text2" w:themeShade="80"/>
        </w:rPr>
        <w:t xml:space="preserve"> flagship scheme for collaboration between universities and </w:t>
      </w:r>
      <w:r w:rsidR="003904BC">
        <w:rPr>
          <w:color w:val="0B2B43" w:themeColor="text2" w:themeShade="80"/>
        </w:rPr>
        <w:t>end user</w:t>
      </w:r>
      <w:r w:rsidRPr="004A1196">
        <w:rPr>
          <w:color w:val="0B2B43" w:themeColor="text2" w:themeShade="80"/>
        </w:rPr>
        <w:t xml:space="preserve">s, providing flexible opportunities for a broad range of partnerships in diverse disciplines. </w:t>
      </w:r>
      <w:proofErr w:type="gramStart"/>
      <w:r w:rsidRPr="004A1196">
        <w:rPr>
          <w:color w:val="0B2B43" w:themeColor="text2" w:themeShade="80"/>
        </w:rPr>
        <w:t>It offers the largest number of ARC collaboration-</w:t>
      </w:r>
      <w:r w:rsidR="00284CE0">
        <w:rPr>
          <w:color w:val="0B2B43" w:themeColor="text2" w:themeShade="80"/>
        </w:rPr>
        <w:t>focused</w:t>
      </w:r>
      <w:r w:rsidRPr="004A1196">
        <w:rPr>
          <w:color w:val="0B2B43" w:themeColor="text2" w:themeShade="80"/>
        </w:rPr>
        <w:t xml:space="preserve"> grants and received the greatest focus from stakeholders during consultations.</w:t>
      </w:r>
      <w:proofErr w:type="gramEnd"/>
    </w:p>
    <w:p w:rsidR="002C6039" w:rsidRPr="004A1196" w:rsidRDefault="002C6039" w:rsidP="002C6039">
      <w:pPr>
        <w:pStyle w:val="ListParagraph"/>
        <w:numPr>
          <w:ilvl w:val="0"/>
          <w:numId w:val="22"/>
        </w:numPr>
        <w:rPr>
          <w:color w:val="0B2B43" w:themeColor="text2" w:themeShade="80"/>
        </w:rPr>
      </w:pPr>
      <w:r w:rsidRPr="004A1196">
        <w:rPr>
          <w:color w:val="0B2B43" w:themeColor="text2" w:themeShade="80"/>
        </w:rPr>
        <w:t>the Industrial Transformation Research Programme (</w:t>
      </w:r>
      <w:proofErr w:type="spellStart"/>
      <w:r w:rsidRPr="004A1196">
        <w:rPr>
          <w:color w:val="0B2B43" w:themeColor="text2" w:themeShade="80"/>
        </w:rPr>
        <w:t>ITRP</w:t>
      </w:r>
      <w:proofErr w:type="spellEnd"/>
      <w:r w:rsidRPr="004A1196">
        <w:rPr>
          <w:color w:val="0B2B43" w:themeColor="text2" w:themeShade="80"/>
        </w:rPr>
        <w:t>), which includes Research Hubs ($14.1 million for projects in 2015) and Training Centres ($13.1 million for projects in 2015), is designed to offer a transitional step between the support for individual research projects and support for larger programmes of research</w:t>
      </w:r>
      <w:r w:rsidR="001F54F0">
        <w:rPr>
          <w:color w:val="0B2B43" w:themeColor="text2" w:themeShade="80"/>
        </w:rPr>
        <w:t>.</w:t>
      </w:r>
    </w:p>
    <w:p w:rsidR="002C6039" w:rsidRPr="004A1196" w:rsidRDefault="002C6039" w:rsidP="002C6039">
      <w:pPr>
        <w:pStyle w:val="ListParagraph"/>
        <w:numPr>
          <w:ilvl w:val="0"/>
          <w:numId w:val="22"/>
        </w:numPr>
        <w:rPr>
          <w:color w:val="0B2B43" w:themeColor="text2" w:themeShade="80"/>
        </w:rPr>
      </w:pPr>
      <w:proofErr w:type="gramStart"/>
      <w:r w:rsidRPr="004A1196">
        <w:rPr>
          <w:color w:val="0B2B43" w:themeColor="text2" w:themeShade="80"/>
        </w:rPr>
        <w:t>the</w:t>
      </w:r>
      <w:proofErr w:type="gramEnd"/>
      <w:r w:rsidRPr="004A1196">
        <w:rPr>
          <w:color w:val="0B2B43" w:themeColor="text2" w:themeShade="80"/>
        </w:rPr>
        <w:t xml:space="preserve"> ARC Centres of Excellence scheme ($77.5 million for projects in 2015) provides support for large scale research programmes that feature both pure and applied research</w:t>
      </w:r>
      <w:r w:rsidR="001E282E" w:rsidRPr="004A1196">
        <w:rPr>
          <w:color w:val="0B2B43" w:themeColor="text2" w:themeShade="80"/>
        </w:rPr>
        <w:t>.</w:t>
      </w:r>
      <w:r w:rsidRPr="004A1196">
        <w:rPr>
          <w:rStyle w:val="FootnoteReference"/>
          <w:color w:val="0B2B43" w:themeColor="text2" w:themeShade="80"/>
        </w:rPr>
        <w:footnoteReference w:id="28"/>
      </w:r>
    </w:p>
    <w:p w:rsidR="002C6039" w:rsidRPr="004A1196" w:rsidRDefault="002C6039" w:rsidP="002C6039">
      <w:pPr>
        <w:rPr>
          <w:color w:val="0B2B43" w:themeColor="text2" w:themeShade="80"/>
        </w:rPr>
      </w:pPr>
      <w:r w:rsidRPr="004A1196">
        <w:rPr>
          <w:color w:val="0B2B43" w:themeColor="text2" w:themeShade="80"/>
        </w:rPr>
        <w:t xml:space="preserve">The review </w:t>
      </w:r>
      <w:r w:rsidR="00284CE0">
        <w:rPr>
          <w:color w:val="0B2B43" w:themeColor="text2" w:themeShade="80"/>
        </w:rPr>
        <w:t>focused</w:t>
      </w:r>
      <w:r w:rsidRPr="004A1196">
        <w:rPr>
          <w:color w:val="0B2B43" w:themeColor="text2" w:themeShade="80"/>
        </w:rPr>
        <w:t xml:space="preserve"> on the Linkage Projects scheme, the </w:t>
      </w:r>
      <w:proofErr w:type="spellStart"/>
      <w:r w:rsidRPr="004A1196">
        <w:rPr>
          <w:color w:val="0B2B43" w:themeColor="text2" w:themeShade="80"/>
        </w:rPr>
        <w:t>ARC’s</w:t>
      </w:r>
      <w:proofErr w:type="spellEnd"/>
      <w:r w:rsidRPr="004A1196">
        <w:rPr>
          <w:color w:val="0B2B43" w:themeColor="text2" w:themeShade="80"/>
        </w:rPr>
        <w:t xml:space="preserve"> major vehicle for supporting </w:t>
      </w:r>
      <w:r w:rsidR="003904BC">
        <w:rPr>
          <w:color w:val="0B2B43" w:themeColor="text2" w:themeShade="80"/>
        </w:rPr>
        <w:t>end user</w:t>
      </w:r>
      <w:r w:rsidRPr="004A1196">
        <w:rPr>
          <w:color w:val="0B2B43" w:themeColor="text2" w:themeShade="80"/>
        </w:rPr>
        <w:t xml:space="preserve"> collaboration. In this scheme, business represented 38 per cent of all partner organisations across the years 2005 to 2014 (ranging from 33 per cent in 2011 to 43 per cent in 2013). As shown in </w:t>
      </w:r>
      <w:r w:rsidR="00023134" w:rsidRPr="004A1196">
        <w:rPr>
          <w:color w:val="0B2B43" w:themeColor="text2" w:themeShade="80"/>
        </w:rPr>
        <w:t>Chart 10</w:t>
      </w:r>
      <w:r w:rsidRPr="004A1196">
        <w:rPr>
          <w:color w:val="0B2B43" w:themeColor="text2" w:themeShade="80"/>
        </w:rPr>
        <w:t>, below, business partner organisations have also made the largest contribution to research projects, pledging half of all cash and in-kind contributions ($1,069 million of a total $2,127 million) over that period.</w:t>
      </w:r>
      <w:r w:rsidRPr="004A1196">
        <w:rPr>
          <w:rStyle w:val="FootnoteReference"/>
          <w:color w:val="0B2B43" w:themeColor="text2" w:themeShade="80"/>
        </w:rPr>
        <w:footnoteReference w:id="29"/>
      </w:r>
      <w:r w:rsidRPr="004A1196">
        <w:rPr>
          <w:color w:val="0B2B43" w:themeColor="text2" w:themeShade="80"/>
        </w:rPr>
        <w:t xml:space="preserve"> </w:t>
      </w:r>
    </w:p>
    <w:p w:rsidR="002C6039" w:rsidRDefault="001E282E" w:rsidP="00962C66">
      <w:pPr>
        <w:pStyle w:val="Heading3"/>
        <w:rPr>
          <w:vertAlign w:val="superscript"/>
        </w:rPr>
      </w:pPr>
      <w:proofErr w:type="gramStart"/>
      <w:r w:rsidRPr="00962C66">
        <w:rPr>
          <w:b/>
        </w:rPr>
        <w:t>Chart 10</w:t>
      </w:r>
      <w:r w:rsidR="002C6039" w:rsidRPr="00962C66">
        <w:rPr>
          <w:b/>
        </w:rPr>
        <w:t>.</w:t>
      </w:r>
      <w:proofErr w:type="gramEnd"/>
      <w:r w:rsidR="002C6039" w:rsidRPr="00962C66">
        <w:rPr>
          <w:b/>
        </w:rPr>
        <w:t xml:space="preserve"> Linkage Projects, partner organisation pledged contributions (cash and in-kind) by type of organisation, by year</w:t>
      </w:r>
      <w:r w:rsidR="001F67D8" w:rsidRPr="00962C66">
        <w:rPr>
          <w:b/>
          <w:vertAlign w:val="superscript"/>
        </w:rPr>
        <w:t>*</w:t>
      </w:r>
      <w:r w:rsidR="002C6039" w:rsidRPr="004A1196">
        <w:rPr>
          <w:noProof/>
          <w:lang w:eastAsia="en-AU"/>
        </w:rPr>
        <w:drawing>
          <wp:inline distT="0" distB="0" distL="0" distR="0" wp14:anchorId="05CF5B36" wp14:editId="7EEAD093">
            <wp:extent cx="5718810" cy="40722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8810" cy="4072255"/>
                    </a:xfrm>
                    <a:prstGeom prst="rect">
                      <a:avLst/>
                    </a:prstGeom>
                    <a:noFill/>
                  </pic:spPr>
                </pic:pic>
              </a:graphicData>
            </a:graphic>
          </wp:inline>
        </w:drawing>
      </w:r>
    </w:p>
    <w:p w:rsidR="005B60B6" w:rsidRDefault="001F67D8" w:rsidP="001F67D8">
      <w:pPr>
        <w:pStyle w:val="Source"/>
        <w:spacing w:after="0"/>
        <w:contextualSpacing/>
        <w:rPr>
          <w:b w:val="0"/>
          <w:color w:val="0B2B43" w:themeColor="text2" w:themeShade="80"/>
        </w:rPr>
      </w:pPr>
      <w:r>
        <w:rPr>
          <w:color w:val="0B2B43" w:themeColor="text2" w:themeShade="80"/>
          <w:vertAlign w:val="superscript"/>
        </w:rPr>
        <w:t>*</w:t>
      </w:r>
      <w:r w:rsidR="002C6039" w:rsidRPr="004A1196">
        <w:rPr>
          <w:color w:val="0B2B43" w:themeColor="text2" w:themeShade="80"/>
        </w:rPr>
        <w:t xml:space="preserve"> </w:t>
      </w:r>
      <w:r w:rsidR="00C75A89">
        <w:rPr>
          <w:b w:val="0"/>
          <w:color w:val="0B2B43" w:themeColor="text2" w:themeShade="80"/>
        </w:rPr>
        <w:t>Chart</w:t>
      </w:r>
      <w:r w:rsidR="002C6039" w:rsidRPr="004A1196">
        <w:rPr>
          <w:b w:val="0"/>
          <w:color w:val="0B2B43" w:themeColor="text2" w:themeShade="80"/>
        </w:rPr>
        <w:t xml:space="preserve"> pro</w:t>
      </w:r>
      <w:r w:rsidR="00284CE0">
        <w:rPr>
          <w:b w:val="0"/>
          <w:color w:val="0B2B43" w:themeColor="text2" w:themeShade="80"/>
        </w:rPr>
        <w:t>vided by ARC. Note: The decline</w:t>
      </w:r>
      <w:r w:rsidR="002C6039" w:rsidRPr="004A1196">
        <w:rPr>
          <w:b w:val="0"/>
          <w:color w:val="0B2B43" w:themeColor="text2" w:themeShade="80"/>
        </w:rPr>
        <w:t xml:space="preserve"> in partner organisation contributions in 2012 and 2013 reflect changes in the ARC Linkage Programme to facilitate the introduction of the </w:t>
      </w:r>
      <w:proofErr w:type="spellStart"/>
      <w:r w:rsidR="002C6039" w:rsidRPr="004A1196">
        <w:rPr>
          <w:b w:val="0"/>
          <w:color w:val="0B2B43" w:themeColor="text2" w:themeShade="80"/>
        </w:rPr>
        <w:t>ITRP</w:t>
      </w:r>
      <w:proofErr w:type="spellEnd"/>
      <w:r w:rsidR="002C6039" w:rsidRPr="004A1196">
        <w:rPr>
          <w:b w:val="0"/>
          <w:color w:val="0B2B43" w:themeColor="text2" w:themeShade="80"/>
        </w:rPr>
        <w:t xml:space="preserve">. Funding </w:t>
      </w:r>
      <w:proofErr w:type="gramStart"/>
      <w:r w:rsidR="002C6039" w:rsidRPr="004A1196">
        <w:rPr>
          <w:b w:val="0"/>
          <w:color w:val="0B2B43" w:themeColor="text2" w:themeShade="80"/>
        </w:rPr>
        <w:t>was realigned</w:t>
      </w:r>
      <w:proofErr w:type="gramEnd"/>
      <w:r w:rsidR="002C6039" w:rsidRPr="004A1196">
        <w:rPr>
          <w:b w:val="0"/>
          <w:color w:val="0B2B43" w:themeColor="text2" w:themeShade="80"/>
        </w:rPr>
        <w:t xml:space="preserve"> to facilitate the introduction of the </w:t>
      </w:r>
      <w:proofErr w:type="spellStart"/>
      <w:r w:rsidR="005B60B6">
        <w:rPr>
          <w:b w:val="0"/>
          <w:color w:val="0B2B43" w:themeColor="text2" w:themeShade="80"/>
        </w:rPr>
        <w:t>ITRH</w:t>
      </w:r>
      <w:proofErr w:type="spellEnd"/>
      <w:r w:rsidR="005B60B6">
        <w:rPr>
          <w:b w:val="0"/>
          <w:color w:val="0B2B43" w:themeColor="text2" w:themeShade="80"/>
        </w:rPr>
        <w:t xml:space="preserve"> </w:t>
      </w:r>
      <w:r w:rsidR="002C6039" w:rsidRPr="004A1196">
        <w:rPr>
          <w:b w:val="0"/>
          <w:color w:val="0B2B43" w:themeColor="text2" w:themeShade="80"/>
        </w:rPr>
        <w:t xml:space="preserve">scheme in 2012, and the </w:t>
      </w:r>
      <w:proofErr w:type="spellStart"/>
      <w:r w:rsidR="002C6039" w:rsidRPr="004A1196">
        <w:rPr>
          <w:b w:val="0"/>
          <w:color w:val="0B2B43" w:themeColor="text2" w:themeShade="80"/>
        </w:rPr>
        <w:t>I</w:t>
      </w:r>
      <w:r w:rsidR="005B60B6">
        <w:rPr>
          <w:b w:val="0"/>
          <w:color w:val="0B2B43" w:themeColor="text2" w:themeShade="80"/>
        </w:rPr>
        <w:t>TTC</w:t>
      </w:r>
      <w:proofErr w:type="spellEnd"/>
      <w:r w:rsidR="005B60B6">
        <w:rPr>
          <w:b w:val="0"/>
          <w:color w:val="0B2B43" w:themeColor="text2" w:themeShade="80"/>
        </w:rPr>
        <w:t xml:space="preserve"> </w:t>
      </w:r>
      <w:r w:rsidR="002C6039" w:rsidRPr="004A1196">
        <w:rPr>
          <w:b w:val="0"/>
          <w:color w:val="0B2B43" w:themeColor="text2" w:themeShade="80"/>
        </w:rPr>
        <w:t xml:space="preserve">scheme in 2013. In 2013, selection rounds conducted under the Linkage Projects scheme </w:t>
      </w:r>
      <w:proofErr w:type="gramStart"/>
      <w:r w:rsidR="002C6039" w:rsidRPr="004A1196">
        <w:rPr>
          <w:b w:val="0"/>
          <w:color w:val="0B2B43" w:themeColor="text2" w:themeShade="80"/>
        </w:rPr>
        <w:t>were reduced</w:t>
      </w:r>
      <w:proofErr w:type="gramEnd"/>
      <w:r w:rsidR="002C6039" w:rsidRPr="004A1196">
        <w:rPr>
          <w:b w:val="0"/>
          <w:color w:val="0B2B43" w:themeColor="text2" w:themeShade="80"/>
        </w:rPr>
        <w:t xml:space="preserve"> from two rounds per year to one round per year.</w:t>
      </w:r>
    </w:p>
    <w:p w:rsidR="005B60B6" w:rsidRDefault="005B60B6" w:rsidP="00C6639A">
      <w:pPr>
        <w:rPr>
          <w:rFonts w:cstheme="minorHAnsi"/>
          <w:sz w:val="20"/>
          <w:szCs w:val="20"/>
        </w:rPr>
      </w:pPr>
      <w:r>
        <w:br w:type="page"/>
      </w:r>
    </w:p>
    <w:p w:rsidR="002C6039" w:rsidRPr="004A1196" w:rsidRDefault="002C6039" w:rsidP="002C6039">
      <w:pPr>
        <w:rPr>
          <w:color w:val="0B2B43" w:themeColor="text2" w:themeShade="80"/>
        </w:rPr>
      </w:pPr>
      <w:proofErr w:type="gramStart"/>
      <w:r w:rsidRPr="004A1196">
        <w:rPr>
          <w:color w:val="0B2B43" w:themeColor="text2" w:themeShade="80"/>
        </w:rPr>
        <w:t>Success rates for Linkage Projects proposals (successful applications as a percentage of applications received) have declined slightly from 36.4 per cent in 2012 to 35.5 per cent in 2015 (after reaching 39 per cent in 2013), and return rates for successful proposals (funding granted as a percentage of funding requested) have increased from 63.2 per cent in 2012 to 78.8 per cent in 2015.</w:t>
      </w:r>
      <w:proofErr w:type="gramEnd"/>
      <w:r w:rsidRPr="004A1196">
        <w:rPr>
          <w:color w:val="0B2B43" w:themeColor="text2" w:themeShade="80"/>
        </w:rPr>
        <w:t xml:space="preserve"> However, this </w:t>
      </w:r>
      <w:proofErr w:type="gramStart"/>
      <w:r w:rsidRPr="004A1196">
        <w:rPr>
          <w:color w:val="0B2B43" w:themeColor="text2" w:themeShade="80"/>
        </w:rPr>
        <w:t>has been accompanied</w:t>
      </w:r>
      <w:proofErr w:type="gramEnd"/>
      <w:r w:rsidRPr="004A1196">
        <w:rPr>
          <w:color w:val="0B2B43" w:themeColor="text2" w:themeShade="80"/>
        </w:rPr>
        <w:t xml:space="preserve"> by a decline in the number of applications from 922 in 2012 to 710 in 2015. This decline may have resulted from the ARC changing from two rounds of Linkage Projects per year to one round per year in 2013.</w:t>
      </w:r>
      <w:r w:rsidRPr="004A1196">
        <w:rPr>
          <w:color w:val="0B2B43" w:themeColor="text2" w:themeShade="80"/>
          <w:vertAlign w:val="superscript"/>
        </w:rPr>
        <w:footnoteReference w:id="30"/>
      </w:r>
    </w:p>
    <w:p w:rsidR="002C6039" w:rsidRPr="004A1196" w:rsidRDefault="002C6039" w:rsidP="002C6039">
      <w:pPr>
        <w:pStyle w:val="RIHeading2"/>
        <w:rPr>
          <w:color w:val="0B2B43" w:themeColor="text2" w:themeShade="80"/>
        </w:rPr>
      </w:pPr>
      <w:bookmarkStart w:id="200" w:name="_Toc436392740"/>
      <w:bookmarkStart w:id="201" w:name="_Toc436651839"/>
      <w:bookmarkStart w:id="202" w:name="_Toc436659647"/>
      <w:bookmarkStart w:id="203" w:name="_Toc436660145"/>
      <w:r w:rsidRPr="004A1196">
        <w:rPr>
          <w:color w:val="0B2B43" w:themeColor="text2" w:themeShade="80"/>
        </w:rPr>
        <w:t>National Health and Medical Research Council (NHMRC)</w:t>
      </w:r>
      <w:bookmarkEnd w:id="200"/>
      <w:bookmarkEnd w:id="201"/>
      <w:bookmarkEnd w:id="202"/>
      <w:bookmarkEnd w:id="203"/>
    </w:p>
    <w:p w:rsidR="00865E89" w:rsidRPr="004A1196" w:rsidRDefault="00865E89" w:rsidP="00865E89">
      <w:pPr>
        <w:rPr>
          <w:color w:val="0B2B43" w:themeColor="text2" w:themeShade="80"/>
        </w:rPr>
      </w:pPr>
      <w:proofErr w:type="spellStart"/>
      <w:r w:rsidRPr="004A1196">
        <w:rPr>
          <w:color w:val="0B2B43" w:themeColor="text2" w:themeShade="80"/>
        </w:rPr>
        <w:t>NHMRC’s</w:t>
      </w:r>
      <w:proofErr w:type="spellEnd"/>
      <w:r w:rsidRPr="004A1196">
        <w:rPr>
          <w:color w:val="0B2B43" w:themeColor="text2" w:themeShade="80"/>
        </w:rPr>
        <w:t xml:space="preserve"> functions are to foster ‘improved health and medical knowledge, including through funding research, translating research findings into evidence-based clinical practice, administering legislation governing research, issuing guidelines and advice for ethics in health and the promotion of public health’.</w:t>
      </w:r>
      <w:r w:rsidRPr="004A1196">
        <w:rPr>
          <w:rStyle w:val="A8"/>
          <w:color w:val="0B2B43" w:themeColor="text2" w:themeShade="80"/>
        </w:rPr>
        <w:t xml:space="preserve"> </w:t>
      </w:r>
      <w:r w:rsidRPr="004A1196">
        <w:rPr>
          <w:color w:val="0B2B43" w:themeColor="text2" w:themeShade="80"/>
        </w:rPr>
        <w:t>These functions reflect the role for NHMRC set out in its enabling legislation.</w:t>
      </w:r>
      <w:r w:rsidRPr="004A1196">
        <w:rPr>
          <w:rStyle w:val="FootnoteReference"/>
          <w:color w:val="0B2B43" w:themeColor="text2" w:themeShade="80"/>
        </w:rPr>
        <w:footnoteReference w:id="31"/>
      </w:r>
      <w:r w:rsidRPr="004A1196">
        <w:rPr>
          <w:rStyle w:val="A8"/>
          <w:color w:val="0B2B43" w:themeColor="text2" w:themeShade="80"/>
        </w:rPr>
        <w:t xml:space="preserve"> </w:t>
      </w:r>
      <w:r w:rsidRPr="004A1196">
        <w:rPr>
          <w:color w:val="0B2B43" w:themeColor="text2" w:themeShade="80"/>
        </w:rPr>
        <w:t xml:space="preserve">The major component of </w:t>
      </w:r>
      <w:proofErr w:type="spellStart"/>
      <w:r w:rsidRPr="004A1196">
        <w:rPr>
          <w:color w:val="0B2B43" w:themeColor="text2" w:themeShade="80"/>
        </w:rPr>
        <w:t>NHMRC’s</w:t>
      </w:r>
      <w:proofErr w:type="spellEnd"/>
      <w:r w:rsidRPr="004A1196">
        <w:rPr>
          <w:color w:val="0B2B43" w:themeColor="text2" w:themeShade="80"/>
        </w:rPr>
        <w:t xml:space="preserve"> work is to administer the Med</w:t>
      </w:r>
      <w:r w:rsidR="00284CE0">
        <w:rPr>
          <w:color w:val="0B2B43" w:themeColor="text2" w:themeShade="80"/>
        </w:rPr>
        <w:t>ical Research Endowment Account</w:t>
      </w:r>
      <w:r w:rsidRPr="004A1196">
        <w:rPr>
          <w:color w:val="0B2B43" w:themeColor="text2" w:themeShade="80"/>
        </w:rPr>
        <w:t xml:space="preserve"> </w:t>
      </w:r>
      <w:r w:rsidR="00931E23">
        <w:rPr>
          <w:color w:val="0B2B43" w:themeColor="text2" w:themeShade="80"/>
        </w:rPr>
        <w:t>(</w:t>
      </w:r>
      <w:proofErr w:type="spellStart"/>
      <w:r w:rsidR="00931E23">
        <w:rPr>
          <w:color w:val="0B2B43" w:themeColor="text2" w:themeShade="80"/>
        </w:rPr>
        <w:t>MREA</w:t>
      </w:r>
      <w:proofErr w:type="spellEnd"/>
      <w:r w:rsidR="00931E23">
        <w:rPr>
          <w:color w:val="0B2B43" w:themeColor="text2" w:themeShade="80"/>
        </w:rPr>
        <w:t xml:space="preserve">) </w:t>
      </w:r>
      <w:r w:rsidRPr="004A1196">
        <w:rPr>
          <w:color w:val="0B2B43" w:themeColor="text2" w:themeShade="80"/>
        </w:rPr>
        <w:t>to fund priority</w:t>
      </w:r>
      <w:r w:rsidR="005B60B6">
        <w:rPr>
          <w:color w:val="0B2B43" w:themeColor="text2" w:themeShade="80"/>
        </w:rPr>
        <w:t xml:space="preserve"> </w:t>
      </w:r>
      <w:r w:rsidRPr="004A1196">
        <w:rPr>
          <w:color w:val="0B2B43" w:themeColor="text2" w:themeShade="80"/>
        </w:rPr>
        <w:t>driven, strategic research and researcher</w:t>
      </w:r>
      <w:r w:rsidR="005B60B6">
        <w:rPr>
          <w:color w:val="0B2B43" w:themeColor="text2" w:themeShade="80"/>
        </w:rPr>
        <w:t xml:space="preserve"> </w:t>
      </w:r>
      <w:r w:rsidRPr="004A1196">
        <w:rPr>
          <w:color w:val="0B2B43" w:themeColor="text2" w:themeShade="80"/>
        </w:rPr>
        <w:t xml:space="preserve">initiated research. </w:t>
      </w:r>
    </w:p>
    <w:p w:rsidR="00865E89" w:rsidRPr="004A1196" w:rsidRDefault="00865E89" w:rsidP="00865E89">
      <w:pPr>
        <w:rPr>
          <w:color w:val="0B2B43" w:themeColor="text2" w:themeShade="80"/>
        </w:rPr>
      </w:pPr>
      <w:r w:rsidRPr="004A1196">
        <w:rPr>
          <w:color w:val="0B2B43" w:themeColor="text2" w:themeShade="80"/>
        </w:rPr>
        <w:t>NHMRC supports research across the four pi</w:t>
      </w:r>
      <w:r w:rsidR="00284CE0">
        <w:rPr>
          <w:color w:val="0B2B43" w:themeColor="text2" w:themeShade="80"/>
        </w:rPr>
        <w:t>llars of health research —</w:t>
      </w:r>
      <w:r w:rsidRPr="004A1196">
        <w:rPr>
          <w:color w:val="0B2B43" w:themeColor="text2" w:themeShade="80"/>
        </w:rPr>
        <w:t xml:space="preserve"> biomedical, clinical, public healt</w:t>
      </w:r>
      <w:r w:rsidR="00284CE0">
        <w:rPr>
          <w:color w:val="0B2B43" w:themeColor="text2" w:themeShade="80"/>
        </w:rPr>
        <w:t xml:space="preserve">h and health services research — </w:t>
      </w:r>
      <w:r w:rsidRPr="004A1196">
        <w:rPr>
          <w:color w:val="0B2B43" w:themeColor="text2" w:themeShade="80"/>
        </w:rPr>
        <w:t xml:space="preserve">and funds both individuals and teams and the highest quality research and researchers. NHMRC supports diversity of research and researchers across disciplines and sectors and fosters the career development of health and medical researchers. Applicants are encouraged to explain how their research will translate into improved outcomes in health. Each application </w:t>
      </w:r>
      <w:proofErr w:type="gramStart"/>
      <w:r w:rsidRPr="004A1196">
        <w:rPr>
          <w:color w:val="0B2B43" w:themeColor="text2" w:themeShade="80"/>
        </w:rPr>
        <w:t>is then assessed</w:t>
      </w:r>
      <w:proofErr w:type="gramEnd"/>
      <w:r w:rsidRPr="004A1196">
        <w:rPr>
          <w:color w:val="0B2B43" w:themeColor="text2" w:themeShade="80"/>
        </w:rPr>
        <w:t xml:space="preserve"> against the published selection criteria for the particular funding scheme.</w:t>
      </w:r>
    </w:p>
    <w:p w:rsidR="002C6039" w:rsidRPr="004A1196" w:rsidRDefault="002C6039" w:rsidP="002C6039">
      <w:pPr>
        <w:rPr>
          <w:color w:val="0B2B43" w:themeColor="text2" w:themeShade="80"/>
        </w:rPr>
      </w:pPr>
      <w:r w:rsidRPr="004A1196">
        <w:rPr>
          <w:color w:val="0B2B43" w:themeColor="text2" w:themeShade="80"/>
        </w:rPr>
        <w:t>The main types of business collaboration supported are:</w:t>
      </w:r>
    </w:p>
    <w:p w:rsidR="002C6039" w:rsidRPr="004A1196" w:rsidRDefault="002C6039" w:rsidP="002C6039">
      <w:pPr>
        <w:pStyle w:val="ListParagraph"/>
        <w:numPr>
          <w:ilvl w:val="0"/>
          <w:numId w:val="23"/>
        </w:numPr>
        <w:rPr>
          <w:color w:val="0B2B43" w:themeColor="text2" w:themeShade="80"/>
        </w:rPr>
      </w:pPr>
      <w:r w:rsidRPr="004A1196">
        <w:rPr>
          <w:color w:val="0B2B43" w:themeColor="text2" w:themeShade="80"/>
        </w:rPr>
        <w:t>between research and commercial industries (e.g.</w:t>
      </w:r>
      <w:r w:rsidR="00284CE0">
        <w:rPr>
          <w:color w:val="0B2B43" w:themeColor="text2" w:themeShade="80"/>
        </w:rPr>
        <w:t>,</w:t>
      </w:r>
      <w:r w:rsidRPr="004A1196">
        <w:rPr>
          <w:color w:val="0B2B43" w:themeColor="text2" w:themeShade="80"/>
        </w:rPr>
        <w:t xml:space="preserve"> pharmaceutical or medical devices companies)</w:t>
      </w:r>
    </w:p>
    <w:p w:rsidR="002C6039" w:rsidRPr="004A1196" w:rsidRDefault="002C6039" w:rsidP="002C6039">
      <w:pPr>
        <w:pStyle w:val="ListParagraph"/>
        <w:numPr>
          <w:ilvl w:val="0"/>
          <w:numId w:val="23"/>
        </w:numPr>
        <w:rPr>
          <w:color w:val="0B2B43" w:themeColor="text2" w:themeShade="80"/>
        </w:rPr>
      </w:pPr>
      <w:proofErr w:type="gramStart"/>
      <w:r w:rsidRPr="004A1196">
        <w:rPr>
          <w:color w:val="0B2B43" w:themeColor="text2" w:themeShade="80"/>
        </w:rPr>
        <w:t>between</w:t>
      </w:r>
      <w:proofErr w:type="gramEnd"/>
      <w:r w:rsidRPr="004A1196">
        <w:rPr>
          <w:color w:val="0B2B43" w:themeColor="text2" w:themeShade="80"/>
        </w:rPr>
        <w:t xml:space="preserve"> research and health service industries (e.g.</w:t>
      </w:r>
      <w:r w:rsidR="00284CE0">
        <w:rPr>
          <w:color w:val="0B2B43" w:themeColor="text2" w:themeShade="80"/>
        </w:rPr>
        <w:t>,</w:t>
      </w:r>
      <w:r w:rsidRPr="004A1196">
        <w:rPr>
          <w:color w:val="0B2B43" w:themeColor="text2" w:themeShade="80"/>
        </w:rPr>
        <w:t xml:space="preserve"> Commonwealth/state governments, primary, tertiary, quaternary and allied health care providers)</w:t>
      </w:r>
      <w:r w:rsidR="00023134" w:rsidRPr="004A1196">
        <w:rPr>
          <w:color w:val="0B2B43" w:themeColor="text2" w:themeShade="80"/>
        </w:rPr>
        <w:t>.</w:t>
      </w:r>
      <w:r w:rsidRPr="004A1196">
        <w:rPr>
          <w:color w:val="0B2B43" w:themeColor="text2" w:themeShade="80"/>
        </w:rPr>
        <w:t xml:space="preserve"> </w:t>
      </w:r>
    </w:p>
    <w:p w:rsidR="002C6039" w:rsidRPr="004A1196" w:rsidRDefault="002C6039" w:rsidP="002C6039">
      <w:pPr>
        <w:rPr>
          <w:color w:val="0B2B43" w:themeColor="text2" w:themeShade="80"/>
        </w:rPr>
      </w:pPr>
      <w:r w:rsidRPr="004A1196">
        <w:rPr>
          <w:color w:val="0B2B43" w:themeColor="text2" w:themeShade="80"/>
        </w:rPr>
        <w:t xml:space="preserve">NHMRC is working to improve recognition of industry relevant experience and promote collaboration with business and other </w:t>
      </w:r>
      <w:r w:rsidR="003904BC">
        <w:rPr>
          <w:color w:val="0B2B43" w:themeColor="text2" w:themeShade="80"/>
        </w:rPr>
        <w:t>end user</w:t>
      </w:r>
      <w:r w:rsidRPr="004A1196">
        <w:rPr>
          <w:color w:val="0B2B43" w:themeColor="text2" w:themeShade="80"/>
        </w:rPr>
        <w:t xml:space="preserve">s in its competitive grant processes. Further details </w:t>
      </w:r>
      <w:proofErr w:type="gramStart"/>
      <w:r w:rsidRPr="004A1196">
        <w:rPr>
          <w:color w:val="0B2B43" w:themeColor="text2" w:themeShade="80"/>
        </w:rPr>
        <w:t>are provided</w:t>
      </w:r>
      <w:proofErr w:type="gramEnd"/>
      <w:r w:rsidRPr="004A1196">
        <w:rPr>
          <w:color w:val="0B2B43" w:themeColor="text2" w:themeShade="80"/>
        </w:rPr>
        <w:t xml:space="preserve"> </w:t>
      </w:r>
      <w:r w:rsidR="005B60B6">
        <w:rPr>
          <w:color w:val="0B2B43" w:themeColor="text2" w:themeShade="80"/>
        </w:rPr>
        <w:t>in the next section</w:t>
      </w:r>
      <w:r w:rsidRPr="004A1196">
        <w:rPr>
          <w:color w:val="0B2B43" w:themeColor="text2" w:themeShade="80"/>
        </w:rPr>
        <w:t>.</w:t>
      </w:r>
    </w:p>
    <w:p w:rsidR="00C121D1" w:rsidRDefault="00C121D1">
      <w:pPr>
        <w:spacing w:before="0" w:after="200" w:line="276" w:lineRule="auto"/>
        <w:rPr>
          <w:rFonts w:eastAsiaTheme="majorEastAsia"/>
          <w:b/>
          <w:bCs/>
          <w:color w:val="0B2B43" w:themeColor="text2" w:themeShade="80"/>
          <w:sz w:val="32"/>
          <w:szCs w:val="32"/>
        </w:rPr>
      </w:pPr>
      <w:bookmarkStart w:id="204" w:name="_Toc436392741"/>
      <w:bookmarkStart w:id="205" w:name="_Toc436651840"/>
      <w:bookmarkStart w:id="206" w:name="_Toc436659648"/>
      <w:bookmarkStart w:id="207" w:name="_Toc436660146"/>
      <w:r>
        <w:rPr>
          <w:color w:val="0B2B43" w:themeColor="text2" w:themeShade="80"/>
        </w:rPr>
        <w:br w:type="page"/>
      </w:r>
    </w:p>
    <w:p w:rsidR="002C6039" w:rsidRPr="004A1196" w:rsidRDefault="002C6039" w:rsidP="002C6039">
      <w:pPr>
        <w:pStyle w:val="RIHeading2"/>
        <w:rPr>
          <w:color w:val="0B2B43" w:themeColor="text2" w:themeShade="80"/>
        </w:rPr>
      </w:pPr>
      <w:r w:rsidRPr="004A1196">
        <w:rPr>
          <w:color w:val="0B2B43" w:themeColor="text2" w:themeShade="80"/>
        </w:rPr>
        <w:t>Issues in competitive grants processes</w:t>
      </w:r>
      <w:bookmarkEnd w:id="204"/>
      <w:bookmarkEnd w:id="205"/>
      <w:bookmarkEnd w:id="206"/>
      <w:bookmarkEnd w:id="207"/>
    </w:p>
    <w:p w:rsidR="002C6039" w:rsidRPr="004A1196" w:rsidRDefault="002C6039" w:rsidP="002C6039">
      <w:pPr>
        <w:pStyle w:val="RIHeading3"/>
        <w:rPr>
          <w:color w:val="0B2B43" w:themeColor="text2" w:themeShade="80"/>
        </w:rPr>
      </w:pPr>
      <w:bookmarkStart w:id="208" w:name="_Toc436392742"/>
      <w:bookmarkStart w:id="209" w:name="_Toc436651841"/>
      <w:bookmarkStart w:id="210" w:name="_Toc436659649"/>
      <w:bookmarkStart w:id="211" w:name="_Toc436660147"/>
      <w:r w:rsidRPr="004A1196">
        <w:rPr>
          <w:color w:val="0B2B43" w:themeColor="text2" w:themeShade="80"/>
        </w:rPr>
        <w:t>Grant timeframes – continuous Linkage Projects rounds</w:t>
      </w:r>
      <w:bookmarkEnd w:id="208"/>
      <w:bookmarkEnd w:id="209"/>
      <w:bookmarkEnd w:id="210"/>
      <w:bookmarkEnd w:id="211"/>
    </w:p>
    <w:p w:rsidR="002C6039" w:rsidRPr="004A1196" w:rsidRDefault="002C6039" w:rsidP="002C6039">
      <w:pPr>
        <w:rPr>
          <w:color w:val="0B2B43" w:themeColor="text2" w:themeShade="80"/>
        </w:rPr>
      </w:pPr>
      <w:r w:rsidRPr="004A1196">
        <w:rPr>
          <w:color w:val="0B2B43" w:themeColor="text2" w:themeShade="80"/>
        </w:rPr>
        <w:t xml:space="preserve">During review consultations, industry bodies and some universities stressed that the restriction of annual timeframes for grant decisions undermines the opportunity for timely collaboration. Businesses and other </w:t>
      </w:r>
      <w:r w:rsidR="003904BC">
        <w:rPr>
          <w:color w:val="0B2B43" w:themeColor="text2" w:themeShade="80"/>
        </w:rPr>
        <w:t>end user</w:t>
      </w:r>
      <w:r w:rsidRPr="004A1196">
        <w:rPr>
          <w:color w:val="0B2B43" w:themeColor="text2" w:themeShade="80"/>
        </w:rPr>
        <w:t xml:space="preserve">s need to respond to time critical market or innovation opportunities. The lengthy timeframe entailed in an annual grant round is likely to cause partner organisations to seek speedier solutions to their research needs or to lose interest in committing to a collaborative relationship with a university. </w:t>
      </w:r>
    </w:p>
    <w:p w:rsidR="002C6039" w:rsidRPr="004A1196" w:rsidRDefault="002C6039" w:rsidP="002C6039">
      <w:pPr>
        <w:rPr>
          <w:color w:val="0B2B43" w:themeColor="text2" w:themeShade="80"/>
        </w:rPr>
      </w:pPr>
      <w:r w:rsidRPr="004A1196">
        <w:rPr>
          <w:color w:val="0B2B43" w:themeColor="text2" w:themeShade="80"/>
        </w:rPr>
        <w:t xml:space="preserve">Under current arrangements, Linkage Projects applications open in September and close in November, with grant announcements made in June the following year. Applicants may therefore need to wait between seven and nine months (depending on when they lodge their application) to learn whether they have received a grant. If unsuccessful and they wish to continue to pursue a grant, </w:t>
      </w:r>
      <w:r w:rsidR="00284CE0">
        <w:rPr>
          <w:color w:val="0B2B43" w:themeColor="text2" w:themeShade="80"/>
        </w:rPr>
        <w:t xml:space="preserve">applicants </w:t>
      </w:r>
      <w:r w:rsidRPr="004A1196">
        <w:rPr>
          <w:color w:val="0B2B43" w:themeColor="text2" w:themeShade="80"/>
        </w:rPr>
        <w:t xml:space="preserve">may need to wait for another three months for a new round to open and up to another nine months for a result. Further, if applicants miss the application closing date by a month due to the time specific nature of a proposal, they will need to wait up to ten months to apply for the next round and a further nine months for the announcement of results. </w:t>
      </w:r>
    </w:p>
    <w:p w:rsidR="002C6039" w:rsidRPr="004A1196" w:rsidRDefault="002C6039" w:rsidP="002C6039">
      <w:pPr>
        <w:rPr>
          <w:color w:val="0B2B43" w:themeColor="text2" w:themeShade="80"/>
        </w:rPr>
      </w:pPr>
      <w:r w:rsidRPr="004A1196">
        <w:rPr>
          <w:color w:val="0B2B43" w:themeColor="text2" w:themeShade="80"/>
        </w:rPr>
        <w:t xml:space="preserve">The introduction of continuous Linkage Projects grant rounds would improve responsiveness to </w:t>
      </w:r>
      <w:r w:rsidR="003904BC">
        <w:rPr>
          <w:color w:val="0B2B43" w:themeColor="text2" w:themeShade="80"/>
        </w:rPr>
        <w:t>end user</w:t>
      </w:r>
      <w:r w:rsidRPr="004A1196">
        <w:rPr>
          <w:color w:val="0B2B43" w:themeColor="text2" w:themeShade="80"/>
        </w:rPr>
        <w:t xml:space="preserve">s’ operational needs and increase incentives to </w:t>
      </w:r>
      <w:proofErr w:type="gramStart"/>
      <w:r w:rsidRPr="004A1196">
        <w:rPr>
          <w:color w:val="0B2B43" w:themeColor="text2" w:themeShade="80"/>
        </w:rPr>
        <w:t>partner</w:t>
      </w:r>
      <w:proofErr w:type="gramEnd"/>
      <w:r w:rsidRPr="004A1196">
        <w:rPr>
          <w:color w:val="0B2B43" w:themeColor="text2" w:themeShade="80"/>
        </w:rPr>
        <w:t xml:space="preserve"> with universities. Under this process, the ARC would accept applications at any time. Once </w:t>
      </w:r>
      <w:proofErr w:type="gramStart"/>
      <w:r w:rsidRPr="004A1196">
        <w:rPr>
          <w:color w:val="0B2B43" w:themeColor="text2" w:themeShade="80"/>
        </w:rPr>
        <w:t>received</w:t>
      </w:r>
      <w:proofErr w:type="gramEnd"/>
      <w:r w:rsidRPr="004A1196">
        <w:rPr>
          <w:color w:val="0B2B43" w:themeColor="text2" w:themeShade="80"/>
        </w:rPr>
        <w:t xml:space="preserve"> and checked, applications would undergo peer assessment immediately. </w:t>
      </w:r>
      <w:r w:rsidR="00034E98" w:rsidRPr="004A1196">
        <w:rPr>
          <w:color w:val="0B2B43" w:themeColor="text2" w:themeShade="80"/>
        </w:rPr>
        <w:t>Applications that receive strong peer assessments</w:t>
      </w:r>
      <w:r w:rsidRPr="004A1196">
        <w:rPr>
          <w:color w:val="0B2B43" w:themeColor="text2" w:themeShade="80"/>
        </w:rPr>
        <w:t xml:space="preserve"> </w:t>
      </w:r>
      <w:proofErr w:type="gramStart"/>
      <w:r w:rsidRPr="004A1196">
        <w:rPr>
          <w:color w:val="0B2B43" w:themeColor="text2" w:themeShade="80"/>
        </w:rPr>
        <w:t>would be processed immediately and submitted for ministerial approval</w:t>
      </w:r>
      <w:proofErr w:type="gramEnd"/>
      <w:r w:rsidRPr="004A1196">
        <w:rPr>
          <w:color w:val="0B2B43" w:themeColor="text2" w:themeShade="80"/>
        </w:rPr>
        <w:t xml:space="preserve">. Applicants </w:t>
      </w:r>
      <w:proofErr w:type="gramStart"/>
      <w:r w:rsidRPr="004A1196">
        <w:rPr>
          <w:color w:val="0B2B43" w:themeColor="text2" w:themeShade="80"/>
        </w:rPr>
        <w:t>would be notified</w:t>
      </w:r>
      <w:proofErr w:type="gramEnd"/>
      <w:r w:rsidRPr="004A1196">
        <w:rPr>
          <w:color w:val="0B2B43" w:themeColor="text2" w:themeShade="80"/>
        </w:rPr>
        <w:t xml:space="preserve"> once ministerial approval is received. </w:t>
      </w:r>
    </w:p>
    <w:p w:rsidR="002C6039" w:rsidRPr="004A1196" w:rsidRDefault="002C6039" w:rsidP="002C6039">
      <w:pPr>
        <w:rPr>
          <w:color w:val="0B2B43" w:themeColor="text2" w:themeShade="80"/>
        </w:rPr>
      </w:pPr>
      <w:r w:rsidRPr="004A1196">
        <w:rPr>
          <w:color w:val="0B2B43" w:themeColor="text2" w:themeShade="80"/>
        </w:rPr>
        <w:t xml:space="preserve">Less strongly supported grants </w:t>
      </w:r>
      <w:proofErr w:type="gramStart"/>
      <w:r w:rsidRPr="004A1196">
        <w:rPr>
          <w:color w:val="0B2B43" w:themeColor="text2" w:themeShade="80"/>
        </w:rPr>
        <w:t>would be considered</w:t>
      </w:r>
      <w:proofErr w:type="gramEnd"/>
      <w:r w:rsidRPr="004A1196">
        <w:rPr>
          <w:color w:val="0B2B43" w:themeColor="text2" w:themeShade="80"/>
        </w:rPr>
        <w:t xml:space="preserve"> against other applicants in the next of three selection meetings to be held per year, with decisions submitted for ministerial approval and announcement after each meeting. To ensure certainty and assist universities and their partner organisations to get on with their research, the ARC should ensure that the announcement of outcomes for all applications occurs within a maximum of six months from the time they </w:t>
      </w:r>
      <w:proofErr w:type="gramStart"/>
      <w:r w:rsidRPr="004A1196">
        <w:rPr>
          <w:color w:val="0B2B43" w:themeColor="text2" w:themeShade="80"/>
        </w:rPr>
        <w:t>are received</w:t>
      </w:r>
      <w:proofErr w:type="gramEnd"/>
      <w:r w:rsidRPr="004A1196">
        <w:rPr>
          <w:color w:val="0B2B43" w:themeColor="text2" w:themeShade="80"/>
        </w:rPr>
        <w:t xml:space="preserve"> by the ARC. </w:t>
      </w:r>
    </w:p>
    <w:p w:rsidR="002C6039" w:rsidRPr="004A1196" w:rsidRDefault="002C6039" w:rsidP="002C6039">
      <w:pPr>
        <w:rPr>
          <w:color w:val="0B2B43" w:themeColor="text2" w:themeShade="80"/>
        </w:rPr>
      </w:pPr>
      <w:r w:rsidRPr="004A1196">
        <w:rPr>
          <w:color w:val="0B2B43" w:themeColor="text2" w:themeShade="80"/>
        </w:rPr>
        <w:t xml:space="preserve">These changes would offer more flexibility for researchers and </w:t>
      </w:r>
      <w:r w:rsidR="003904BC">
        <w:rPr>
          <w:color w:val="0B2B43" w:themeColor="text2" w:themeShade="80"/>
        </w:rPr>
        <w:t>end user</w:t>
      </w:r>
      <w:r w:rsidRPr="004A1196">
        <w:rPr>
          <w:color w:val="0B2B43" w:themeColor="text2" w:themeShade="80"/>
        </w:rPr>
        <w:t xml:space="preserve">s, better meet the operational and budget needs of partners, and enhance the potential for translation and commercialisation of innovative research within market driven timeframes. </w:t>
      </w:r>
    </w:p>
    <w:p w:rsidR="002C6039" w:rsidRPr="004A1196" w:rsidRDefault="002C6039" w:rsidP="002C6039">
      <w:pPr>
        <w:rPr>
          <w:color w:val="0B2B43" w:themeColor="text2" w:themeShade="80"/>
        </w:rPr>
      </w:pPr>
      <w:proofErr w:type="spellStart"/>
      <w:r w:rsidRPr="004A1196">
        <w:rPr>
          <w:color w:val="0B2B43" w:themeColor="text2" w:themeShade="80"/>
        </w:rPr>
        <w:t>NHMRC’s</w:t>
      </w:r>
      <w:proofErr w:type="spellEnd"/>
      <w:r w:rsidRPr="004A1196">
        <w:rPr>
          <w:color w:val="0B2B43" w:themeColor="text2" w:themeShade="80"/>
        </w:rPr>
        <w:t xml:space="preserve"> Partnership Projects Scheme has a continuous application process, which allows applicants to apply at any time during the year rather than through just one annual round. Following positive feedback from the research community regarding the continuous rounds, NHMRC is considering how multiple or continuous rounds </w:t>
      </w:r>
      <w:proofErr w:type="gramStart"/>
      <w:r w:rsidRPr="004A1196">
        <w:rPr>
          <w:color w:val="0B2B43" w:themeColor="text2" w:themeShade="80"/>
        </w:rPr>
        <w:t>could be implemented</w:t>
      </w:r>
      <w:proofErr w:type="gramEnd"/>
      <w:r w:rsidRPr="004A1196">
        <w:rPr>
          <w:color w:val="0B2B43" w:themeColor="text2" w:themeShade="80"/>
        </w:rPr>
        <w:t xml:space="preserve"> in other small schemes, for example in the Development Grants Scheme.</w:t>
      </w:r>
    </w:p>
    <w:p w:rsidR="00C121D1" w:rsidRDefault="00C121D1">
      <w:pPr>
        <w:spacing w:before="0" w:after="200" w:line="276" w:lineRule="auto"/>
        <w:rPr>
          <w:rFonts w:eastAsiaTheme="majorEastAsia"/>
          <w:b/>
          <w:bCs/>
          <w:color w:val="0B2B43" w:themeColor="text2" w:themeShade="80"/>
          <w:sz w:val="28"/>
          <w:szCs w:val="28"/>
        </w:rPr>
      </w:pPr>
      <w:bookmarkStart w:id="212" w:name="_Toc436392743"/>
      <w:bookmarkStart w:id="213" w:name="_Toc436651842"/>
      <w:bookmarkStart w:id="214" w:name="_Toc436659650"/>
      <w:bookmarkStart w:id="215" w:name="_Toc436660148"/>
      <w:r>
        <w:rPr>
          <w:color w:val="0B2B43" w:themeColor="text2" w:themeShade="80"/>
        </w:rPr>
        <w:br w:type="page"/>
      </w:r>
    </w:p>
    <w:p w:rsidR="002C6039" w:rsidRPr="004A1196" w:rsidRDefault="002C6039" w:rsidP="002C6039">
      <w:pPr>
        <w:pStyle w:val="RIHeading3"/>
        <w:rPr>
          <w:color w:val="0B2B43" w:themeColor="text2" w:themeShade="80"/>
        </w:rPr>
      </w:pPr>
      <w:r w:rsidRPr="004A1196">
        <w:rPr>
          <w:color w:val="0B2B43" w:themeColor="text2" w:themeShade="80"/>
        </w:rPr>
        <w:t>Prioritising business partner organisations in Linkage Projects</w:t>
      </w:r>
      <w:bookmarkEnd w:id="212"/>
      <w:bookmarkEnd w:id="213"/>
      <w:bookmarkEnd w:id="214"/>
      <w:bookmarkEnd w:id="215"/>
    </w:p>
    <w:p w:rsidR="002C6039" w:rsidRPr="004A1196" w:rsidRDefault="002C6039" w:rsidP="002C6039">
      <w:pPr>
        <w:rPr>
          <w:color w:val="0B2B43" w:themeColor="text2" w:themeShade="80"/>
        </w:rPr>
      </w:pPr>
      <w:r w:rsidRPr="004A1196">
        <w:rPr>
          <w:color w:val="0B2B43" w:themeColor="text2" w:themeShade="80"/>
        </w:rPr>
        <w:t xml:space="preserve">As noted </w:t>
      </w:r>
      <w:r w:rsidR="005B60B6">
        <w:rPr>
          <w:color w:val="0B2B43" w:themeColor="text2" w:themeShade="80"/>
        </w:rPr>
        <w:t>earlier</w:t>
      </w:r>
      <w:r w:rsidRPr="004A1196">
        <w:rPr>
          <w:color w:val="0B2B43" w:themeColor="text2" w:themeShade="80"/>
        </w:rPr>
        <w:t xml:space="preserve">, business represented around 38 per cent of the partner organisations in the Linkage Projects scheme over the period from 2005 to 2014. While recognising the </w:t>
      </w:r>
      <w:proofErr w:type="gramStart"/>
      <w:r w:rsidRPr="004A1196">
        <w:rPr>
          <w:color w:val="0B2B43" w:themeColor="text2" w:themeShade="80"/>
        </w:rPr>
        <w:t>benefits which</w:t>
      </w:r>
      <w:proofErr w:type="gramEnd"/>
      <w:r w:rsidRPr="004A1196">
        <w:rPr>
          <w:color w:val="0B2B43" w:themeColor="text2" w:themeShade="80"/>
        </w:rPr>
        <w:t xml:space="preserve"> flow from collaborative research with all </w:t>
      </w:r>
      <w:r w:rsidR="003904BC">
        <w:rPr>
          <w:color w:val="0B2B43" w:themeColor="text2" w:themeShade="80"/>
        </w:rPr>
        <w:t>end user</w:t>
      </w:r>
      <w:r w:rsidRPr="004A1196">
        <w:rPr>
          <w:color w:val="0B2B43" w:themeColor="text2" w:themeShade="80"/>
        </w:rPr>
        <w:t xml:space="preserve">s, the Government has specifically committed to increasing university-business engagement as a means of contributing to stronger innovation and commercial outcomes from research. The review therefore considers that proposals under the Linkage Projects </w:t>
      </w:r>
      <w:proofErr w:type="gramStart"/>
      <w:r w:rsidRPr="004A1196">
        <w:rPr>
          <w:color w:val="0B2B43" w:themeColor="text2" w:themeShade="80"/>
        </w:rPr>
        <w:t>scheme which involve business partners</w:t>
      </w:r>
      <w:proofErr w:type="gramEnd"/>
      <w:r w:rsidRPr="004A1196">
        <w:rPr>
          <w:color w:val="0B2B43" w:themeColor="text2" w:themeShade="80"/>
        </w:rPr>
        <w:t xml:space="preserve"> should be given priority. This </w:t>
      </w:r>
      <w:proofErr w:type="gramStart"/>
      <w:r w:rsidRPr="004A1196">
        <w:rPr>
          <w:color w:val="0B2B43" w:themeColor="text2" w:themeShade="80"/>
        </w:rPr>
        <w:t>can be achieved</w:t>
      </w:r>
      <w:proofErr w:type="gramEnd"/>
      <w:r w:rsidRPr="004A1196">
        <w:rPr>
          <w:color w:val="0B2B43" w:themeColor="text2" w:themeShade="80"/>
        </w:rPr>
        <w:t xml:space="preserve"> by revising the guidance for ARC selection advisory committees for the scheme to ensure that high quality proposals that involve business partner organisations are given greater priority. Such an approach has been effective in previous ARC schemes, for example, to ensure appropriate consideration of whether proposals address specific priority research areas identified for funding under the </w:t>
      </w:r>
      <w:proofErr w:type="spellStart"/>
      <w:r w:rsidRPr="004A1196">
        <w:rPr>
          <w:color w:val="0B2B43" w:themeColor="text2" w:themeShade="80"/>
        </w:rPr>
        <w:t>ITRP</w:t>
      </w:r>
      <w:proofErr w:type="spellEnd"/>
      <w:r w:rsidRPr="004A1196">
        <w:rPr>
          <w:color w:val="0B2B43" w:themeColor="text2" w:themeShade="80"/>
        </w:rPr>
        <w:t xml:space="preserve">. </w:t>
      </w:r>
    </w:p>
    <w:p w:rsidR="002C6039" w:rsidRPr="004A1196" w:rsidRDefault="002C6039" w:rsidP="002C6039">
      <w:pPr>
        <w:pStyle w:val="RIHeading3"/>
        <w:rPr>
          <w:color w:val="0B2B43" w:themeColor="text2" w:themeShade="80"/>
        </w:rPr>
      </w:pPr>
      <w:bookmarkStart w:id="216" w:name="_Toc436392744"/>
      <w:bookmarkStart w:id="217" w:name="_Toc436651843"/>
      <w:bookmarkStart w:id="218" w:name="_Toc436659651"/>
      <w:bookmarkStart w:id="219" w:name="_Toc436660149"/>
      <w:r w:rsidRPr="004A1196">
        <w:rPr>
          <w:color w:val="0B2B43" w:themeColor="text2" w:themeShade="80"/>
        </w:rPr>
        <w:t>Small business participation</w:t>
      </w:r>
      <w:bookmarkEnd w:id="216"/>
      <w:bookmarkEnd w:id="217"/>
      <w:bookmarkEnd w:id="218"/>
      <w:bookmarkEnd w:id="219"/>
    </w:p>
    <w:p w:rsidR="002C6039" w:rsidRPr="004A1196" w:rsidRDefault="002C6039" w:rsidP="002C6039">
      <w:pPr>
        <w:rPr>
          <w:color w:val="0B2B43" w:themeColor="text2" w:themeShade="80"/>
        </w:rPr>
      </w:pPr>
      <w:r w:rsidRPr="004A1196">
        <w:rPr>
          <w:color w:val="0B2B43" w:themeColor="text2" w:themeShade="80"/>
        </w:rPr>
        <w:t xml:space="preserve">The OECD Innovation Strategy highlights the importance of small and medium-sized enterprises </w:t>
      </w:r>
      <w:r w:rsidR="005B60B6">
        <w:rPr>
          <w:color w:val="0B2B43" w:themeColor="text2" w:themeShade="80"/>
        </w:rPr>
        <w:t>(</w:t>
      </w:r>
      <w:proofErr w:type="spellStart"/>
      <w:r w:rsidR="005B60B6">
        <w:rPr>
          <w:color w:val="0B2B43" w:themeColor="text2" w:themeShade="80"/>
        </w:rPr>
        <w:t>SME</w:t>
      </w:r>
      <w:proofErr w:type="spellEnd"/>
      <w:r w:rsidR="005B60B6">
        <w:rPr>
          <w:color w:val="0B2B43" w:themeColor="text2" w:themeShade="80"/>
        </w:rPr>
        <w:t xml:space="preserve">) </w:t>
      </w:r>
      <w:r w:rsidRPr="004A1196">
        <w:rPr>
          <w:color w:val="0B2B43" w:themeColor="text2" w:themeShade="80"/>
        </w:rPr>
        <w:t>in translating knowledge and ideas into jobs and wealth.</w:t>
      </w:r>
      <w:r w:rsidRPr="004A1196">
        <w:rPr>
          <w:rStyle w:val="FootnoteReference"/>
          <w:color w:val="0B2B43" w:themeColor="text2" w:themeShade="80"/>
        </w:rPr>
        <w:footnoteReference w:id="32"/>
      </w:r>
      <w:r w:rsidRPr="004A1196">
        <w:rPr>
          <w:color w:val="0B2B43" w:themeColor="text2" w:themeShade="80"/>
        </w:rPr>
        <w:t xml:space="preserve"> Although Australia’s industry structure is characterised by a large number of small businesses (over 97 per cent of active businesses in Australia have fewer than 20 employees</w:t>
      </w:r>
      <w:r w:rsidRPr="004A1196">
        <w:rPr>
          <w:rStyle w:val="FootnoteReference"/>
          <w:color w:val="0B2B43" w:themeColor="text2" w:themeShade="80"/>
        </w:rPr>
        <w:footnoteReference w:id="33"/>
      </w:r>
      <w:r w:rsidR="00023134" w:rsidRPr="004A1196">
        <w:rPr>
          <w:color w:val="0B2B43" w:themeColor="text2" w:themeShade="80"/>
        </w:rPr>
        <w:t>), they represent only 17 </w:t>
      </w:r>
      <w:r w:rsidRPr="004A1196">
        <w:rPr>
          <w:color w:val="0B2B43" w:themeColor="text2" w:themeShade="80"/>
        </w:rPr>
        <w:t xml:space="preserve">per cent of business expenditure on </w:t>
      </w:r>
      <w:r w:rsidR="00F06DD4">
        <w:rPr>
          <w:color w:val="0B2B43" w:themeColor="text2" w:themeShade="80"/>
        </w:rPr>
        <w:t>research and development (</w:t>
      </w:r>
      <w:r w:rsidRPr="004A1196">
        <w:rPr>
          <w:color w:val="0B2B43" w:themeColor="text2" w:themeShade="80"/>
        </w:rPr>
        <w:t>R&amp;D</w:t>
      </w:r>
      <w:r w:rsidR="00F06DD4">
        <w:rPr>
          <w:color w:val="0B2B43" w:themeColor="text2" w:themeShade="80"/>
        </w:rPr>
        <w:t>)</w:t>
      </w:r>
      <w:r w:rsidRPr="004A1196">
        <w:rPr>
          <w:color w:val="0B2B43" w:themeColor="text2" w:themeShade="80"/>
        </w:rPr>
        <w:t>.</w:t>
      </w:r>
      <w:r w:rsidRPr="004A1196">
        <w:rPr>
          <w:rStyle w:val="FootnoteReference"/>
          <w:color w:val="0B2B43" w:themeColor="text2" w:themeShade="80"/>
        </w:rPr>
        <w:footnoteReference w:id="34"/>
      </w:r>
      <w:r w:rsidRPr="004A1196">
        <w:rPr>
          <w:color w:val="0B2B43" w:themeColor="text2" w:themeShade="80"/>
        </w:rPr>
        <w:t xml:space="preserve"> </w:t>
      </w:r>
      <w:r w:rsidR="00F06DD4">
        <w:rPr>
          <w:color w:val="0B2B43" w:themeColor="text2" w:themeShade="80"/>
        </w:rPr>
        <w:t>However, t</w:t>
      </w:r>
      <w:r w:rsidRPr="004A1196">
        <w:rPr>
          <w:color w:val="0B2B43" w:themeColor="text2" w:themeShade="80"/>
        </w:rPr>
        <w:t>here is</w:t>
      </w:r>
      <w:r w:rsidR="00F06DD4">
        <w:rPr>
          <w:color w:val="0B2B43" w:themeColor="text2" w:themeShade="80"/>
        </w:rPr>
        <w:t xml:space="preserve"> </w:t>
      </w:r>
      <w:r w:rsidRPr="004A1196">
        <w:rPr>
          <w:color w:val="0B2B43" w:themeColor="text2" w:themeShade="80"/>
        </w:rPr>
        <w:t>little data available on the participation of small and medium businesses in competitive research grants. Further, most collaboration-</w:t>
      </w:r>
      <w:r w:rsidR="00284CE0">
        <w:rPr>
          <w:color w:val="0B2B43" w:themeColor="text2" w:themeShade="80"/>
        </w:rPr>
        <w:t>focused</w:t>
      </w:r>
      <w:r w:rsidRPr="004A1196">
        <w:rPr>
          <w:color w:val="0B2B43" w:themeColor="text2" w:themeShade="80"/>
        </w:rPr>
        <w:t xml:space="preserve"> programmes do not collect information that distinguishes between large and small or medium business participation.</w:t>
      </w:r>
      <w:r w:rsidRPr="004A1196">
        <w:rPr>
          <w:rStyle w:val="FootnoteReference"/>
          <w:color w:val="0B2B43" w:themeColor="text2" w:themeShade="80"/>
        </w:rPr>
        <w:footnoteReference w:id="35"/>
      </w:r>
      <w:r w:rsidRPr="004A1196">
        <w:rPr>
          <w:color w:val="0B2B43" w:themeColor="text2" w:themeShade="80"/>
        </w:rPr>
        <w:t xml:space="preserve"> The ARC and NHMRC should consider collecting better information about business partner organisations in grant applications. This will support a better understanding of and improved ability to address and promote the participation of small and medium businesses. </w:t>
      </w:r>
    </w:p>
    <w:p w:rsidR="002C6039" w:rsidRPr="004A1196" w:rsidRDefault="002C6039" w:rsidP="002C6039">
      <w:pPr>
        <w:rPr>
          <w:color w:val="0B2B43" w:themeColor="text2" w:themeShade="80"/>
        </w:rPr>
      </w:pPr>
      <w:r w:rsidRPr="004A1196">
        <w:rPr>
          <w:color w:val="0B2B43" w:themeColor="text2" w:themeShade="80"/>
        </w:rPr>
        <w:t xml:space="preserve">The review consultations also highlighted challenges for small business participation, such as a lack of resources or expertise to clarify their research needs, identify partners and effectively manage collaboration. </w:t>
      </w:r>
      <w:r w:rsidRPr="004A1196">
        <w:rPr>
          <w:rFonts w:eastAsia="Calibri" w:cs="Calibri"/>
          <w:color w:val="0B2B43" w:themeColor="text2" w:themeShade="80"/>
        </w:rPr>
        <w:t>So</w:t>
      </w:r>
      <w:r w:rsidRPr="004A1196">
        <w:rPr>
          <w:color w:val="0B2B43" w:themeColor="text2" w:themeShade="80"/>
        </w:rPr>
        <w:t xml:space="preserve">me </w:t>
      </w:r>
      <w:r w:rsidR="00F06DD4">
        <w:rPr>
          <w:color w:val="0B2B43" w:themeColor="text2" w:themeShade="80"/>
        </w:rPr>
        <w:t xml:space="preserve">stakeholders </w:t>
      </w:r>
      <w:r w:rsidRPr="004A1196">
        <w:rPr>
          <w:color w:val="0B2B43" w:themeColor="text2" w:themeShade="80"/>
        </w:rPr>
        <w:t xml:space="preserve">argued that the requirement for cash contributions was also a barrier </w:t>
      </w:r>
      <w:proofErr w:type="gramStart"/>
      <w:r w:rsidRPr="004A1196">
        <w:rPr>
          <w:color w:val="0B2B43" w:themeColor="text2" w:themeShade="80"/>
        </w:rPr>
        <w:t>to participation in collaborative research by small businesses with limited cash resources</w:t>
      </w:r>
      <w:proofErr w:type="gramEnd"/>
      <w:r w:rsidRPr="004A1196">
        <w:rPr>
          <w:color w:val="0B2B43" w:themeColor="text2" w:themeShade="80"/>
        </w:rPr>
        <w:t xml:space="preserve">. </w:t>
      </w:r>
    </w:p>
    <w:p w:rsidR="002C6039" w:rsidRPr="004A1196" w:rsidRDefault="002C6039" w:rsidP="002C6039">
      <w:pPr>
        <w:rPr>
          <w:color w:val="0B2B43" w:themeColor="text2" w:themeShade="80"/>
        </w:rPr>
      </w:pPr>
      <w:r w:rsidRPr="004A1196">
        <w:rPr>
          <w:color w:val="0B2B43" w:themeColor="text2" w:themeShade="80"/>
        </w:rPr>
        <w:t>The funding rules for the ARC Linkage Projects scheme currently allow exemptions from the requirement to provide cash contributions for certain types of organisations, including charities, non-profits and start-ups. Exempt organisations may participate by providing in</w:t>
      </w:r>
      <w:r w:rsidR="00284CE0">
        <w:rPr>
          <w:color w:val="0B2B43" w:themeColor="text2" w:themeShade="80"/>
        </w:rPr>
        <w:noBreakHyphen/>
      </w:r>
      <w:r w:rsidRPr="004A1196">
        <w:rPr>
          <w:color w:val="0B2B43" w:themeColor="text2" w:themeShade="80"/>
        </w:rPr>
        <w:t xml:space="preserve">kind contributions alone. The addition of a new exemption applying to businesses with up to 20 employees would remove a potential barrier to their collaboration in research and would better support the scheme’s objective of initiating and developing strategic alliances between universities and businesses. As the ARC does not currently collect data that distinguishes contributions by business size, the impact of such an exemption on the current level of overall cash contributions </w:t>
      </w:r>
      <w:r w:rsidR="00F06DD4">
        <w:rPr>
          <w:color w:val="0B2B43" w:themeColor="text2" w:themeShade="80"/>
        </w:rPr>
        <w:t xml:space="preserve">from partner organisations </w:t>
      </w:r>
      <w:r w:rsidRPr="004A1196">
        <w:rPr>
          <w:color w:val="0B2B43" w:themeColor="text2" w:themeShade="80"/>
        </w:rPr>
        <w:t>is unclear, though it is likely to be relatively minor. Importantly, the exemption would not prevent small businesses from contributing cash to collaborative research projects where they negotiate to do so with the relevant university.</w:t>
      </w:r>
    </w:p>
    <w:p w:rsidR="002C6039" w:rsidRPr="004A1196" w:rsidRDefault="002C6039" w:rsidP="002C6039">
      <w:pPr>
        <w:pStyle w:val="RIHeading3"/>
        <w:rPr>
          <w:color w:val="0B2B43" w:themeColor="text2" w:themeShade="80"/>
        </w:rPr>
      </w:pPr>
      <w:bookmarkStart w:id="220" w:name="_Toc436392745"/>
      <w:bookmarkStart w:id="221" w:name="_Toc436651844"/>
      <w:bookmarkStart w:id="222" w:name="_Toc436659652"/>
      <w:bookmarkStart w:id="223" w:name="_Toc436660150"/>
      <w:r w:rsidRPr="004A1196">
        <w:rPr>
          <w:color w:val="0B2B43" w:themeColor="text2" w:themeShade="80"/>
        </w:rPr>
        <w:t>Selection criteria</w:t>
      </w:r>
      <w:bookmarkEnd w:id="220"/>
      <w:bookmarkEnd w:id="221"/>
      <w:bookmarkEnd w:id="222"/>
      <w:bookmarkEnd w:id="223"/>
    </w:p>
    <w:p w:rsidR="002C6039" w:rsidRPr="004A1196" w:rsidRDefault="002C6039" w:rsidP="002C6039">
      <w:pPr>
        <w:rPr>
          <w:color w:val="0B2B43" w:themeColor="text2" w:themeShade="80"/>
        </w:rPr>
      </w:pPr>
      <w:r w:rsidRPr="004A1196">
        <w:rPr>
          <w:color w:val="0B2B43" w:themeColor="text2" w:themeShade="80"/>
        </w:rPr>
        <w:t xml:space="preserve">In response to the Boosting Commercial Returns from Research agenda, the ARC made significant changes to Linkage Programme funding rules in September 2015. Among these changes, selection criteria for the Linkage Projects scheme </w:t>
      </w:r>
      <w:proofErr w:type="gramStart"/>
      <w:r w:rsidRPr="004A1196">
        <w:rPr>
          <w:color w:val="0B2B43" w:themeColor="text2" w:themeShade="80"/>
        </w:rPr>
        <w:t>were revised</w:t>
      </w:r>
      <w:proofErr w:type="gramEnd"/>
      <w:r w:rsidRPr="004A1196">
        <w:rPr>
          <w:color w:val="0B2B43" w:themeColor="text2" w:themeShade="80"/>
        </w:rPr>
        <w:t xml:space="preserve"> to include consideration of whether the proposed research addresses a specific market opportunity and important problems for partners, whether it will benefit partners and other relevant </w:t>
      </w:r>
      <w:r w:rsidR="003904BC">
        <w:rPr>
          <w:color w:val="0B2B43" w:themeColor="text2" w:themeShade="80"/>
        </w:rPr>
        <w:t>end user</w:t>
      </w:r>
      <w:r w:rsidRPr="004A1196">
        <w:rPr>
          <w:color w:val="0B2B43" w:themeColor="text2" w:themeShade="80"/>
        </w:rPr>
        <w:t>s, and whether there is a business model for implementation of research outcomes.</w:t>
      </w:r>
    </w:p>
    <w:p w:rsidR="002C6039" w:rsidRPr="004A1196" w:rsidRDefault="002C6039" w:rsidP="002C6039">
      <w:pPr>
        <w:rPr>
          <w:color w:val="0B2B43" w:themeColor="text2" w:themeShade="80"/>
        </w:rPr>
      </w:pPr>
      <w:r w:rsidRPr="004A1196">
        <w:rPr>
          <w:color w:val="0B2B43" w:themeColor="text2" w:themeShade="80"/>
        </w:rPr>
        <w:t xml:space="preserve">The </w:t>
      </w:r>
      <w:proofErr w:type="spellStart"/>
      <w:r w:rsidRPr="004A1196">
        <w:rPr>
          <w:color w:val="0B2B43" w:themeColor="text2" w:themeShade="80"/>
        </w:rPr>
        <w:t>ITRP</w:t>
      </w:r>
      <w:proofErr w:type="spellEnd"/>
      <w:r w:rsidRPr="004A1196">
        <w:rPr>
          <w:color w:val="0B2B43" w:themeColor="text2" w:themeShade="80"/>
        </w:rPr>
        <w:t xml:space="preserve"> schemes, which </w:t>
      </w:r>
      <w:proofErr w:type="gramStart"/>
      <w:r w:rsidRPr="004A1196">
        <w:rPr>
          <w:color w:val="0B2B43" w:themeColor="text2" w:themeShade="80"/>
        </w:rPr>
        <w:t>are specifically designed</w:t>
      </w:r>
      <w:proofErr w:type="gramEnd"/>
      <w:r w:rsidRPr="004A1196">
        <w:rPr>
          <w:color w:val="0B2B43" w:themeColor="text2" w:themeShade="80"/>
        </w:rPr>
        <w:t xml:space="preserve"> to find solutions to issues facing Australian industries, were also revised in September 2015 to include criteria on whether projects address a clearly identified market opportunity and provide an industry benefit, and retained criteria regarding strategies to encourage dissemination, promotion, and commercialisation of research outcomes. They now also require demonstration of meaningful engagement with relevant Industry Growth Centres. </w:t>
      </w:r>
    </w:p>
    <w:p w:rsidR="002C6039" w:rsidRPr="004A1196" w:rsidRDefault="002C6039" w:rsidP="002C6039">
      <w:pPr>
        <w:rPr>
          <w:color w:val="0B2B43" w:themeColor="text2" w:themeShade="80"/>
        </w:rPr>
      </w:pPr>
      <w:r w:rsidRPr="004A1196">
        <w:rPr>
          <w:color w:val="0B2B43" w:themeColor="text2" w:themeShade="80"/>
        </w:rPr>
        <w:t xml:space="preserve">Relevant to the Government’s commitment </w:t>
      </w:r>
      <w:r w:rsidRPr="004A1196">
        <w:rPr>
          <w:color w:val="0B2B43" w:themeColor="text2" w:themeShade="80"/>
          <w:lang w:eastAsia="en-GB"/>
        </w:rPr>
        <w:t xml:space="preserve">to ensure rules for competitive grants appropriately recognise </w:t>
      </w:r>
      <w:r w:rsidR="00034E98">
        <w:rPr>
          <w:color w:val="0B2B43" w:themeColor="text2" w:themeShade="80"/>
          <w:lang w:eastAsia="en-GB"/>
        </w:rPr>
        <w:t>industry relevant</w:t>
      </w:r>
      <w:r w:rsidRPr="004A1196">
        <w:rPr>
          <w:color w:val="0B2B43" w:themeColor="text2" w:themeShade="80"/>
          <w:lang w:eastAsia="en-GB"/>
        </w:rPr>
        <w:t xml:space="preserve"> expertise,</w:t>
      </w:r>
      <w:r w:rsidRPr="004A1196">
        <w:rPr>
          <w:color w:val="0B2B43" w:themeColor="text2" w:themeShade="80"/>
        </w:rPr>
        <w:t xml:space="preserve"> ARC grant selection criteria include consideration of researchers’ business and </w:t>
      </w:r>
      <w:r w:rsidR="00034E98">
        <w:rPr>
          <w:color w:val="0B2B43" w:themeColor="text2" w:themeShade="80"/>
        </w:rPr>
        <w:t>industry relevant</w:t>
      </w:r>
      <w:r w:rsidRPr="004A1196">
        <w:rPr>
          <w:color w:val="0B2B43" w:themeColor="text2" w:themeShade="80"/>
        </w:rPr>
        <w:t xml:space="preserve"> experience through Research Opportunity and Performance Evidence (ROPE), which applies across all ARC funding schemes. ROPE takes into account the time researchers have spent working outside academia, research outputs other than academic publications, and research impact. </w:t>
      </w:r>
    </w:p>
    <w:p w:rsidR="002C6039" w:rsidRPr="004A1196" w:rsidRDefault="002C6039" w:rsidP="002C6039">
      <w:pPr>
        <w:rPr>
          <w:color w:val="0B2B43" w:themeColor="text2" w:themeShade="80"/>
        </w:rPr>
      </w:pPr>
      <w:proofErr w:type="spellStart"/>
      <w:r w:rsidRPr="004A1196">
        <w:rPr>
          <w:color w:val="0B2B43" w:themeColor="text2" w:themeShade="80"/>
        </w:rPr>
        <w:t>NHMRC’s</w:t>
      </w:r>
      <w:proofErr w:type="spellEnd"/>
      <w:r w:rsidRPr="004A1196">
        <w:rPr>
          <w:color w:val="0B2B43" w:themeColor="text2" w:themeShade="80"/>
        </w:rPr>
        <w:t xml:space="preserve"> funding schemes include consideration of commercial and </w:t>
      </w:r>
      <w:proofErr w:type="gramStart"/>
      <w:r w:rsidRPr="004A1196">
        <w:rPr>
          <w:color w:val="0B2B43" w:themeColor="text2" w:themeShade="80"/>
        </w:rPr>
        <w:t>health service industry expertise</w:t>
      </w:r>
      <w:proofErr w:type="gramEnd"/>
      <w:r w:rsidRPr="004A1196">
        <w:rPr>
          <w:color w:val="0B2B43" w:themeColor="text2" w:themeShade="80"/>
        </w:rPr>
        <w:t xml:space="preserve">. Several of </w:t>
      </w:r>
      <w:proofErr w:type="spellStart"/>
      <w:r w:rsidRPr="004A1196">
        <w:rPr>
          <w:color w:val="0B2B43" w:themeColor="text2" w:themeShade="80"/>
        </w:rPr>
        <w:t>NHMRC’s</w:t>
      </w:r>
      <w:proofErr w:type="spellEnd"/>
      <w:r w:rsidRPr="004A1196">
        <w:rPr>
          <w:color w:val="0B2B43" w:themeColor="text2" w:themeShade="80"/>
        </w:rPr>
        <w:t xml:space="preserve"> research support schemes </w:t>
      </w:r>
      <w:r w:rsidR="00910B5D">
        <w:rPr>
          <w:color w:val="0B2B43" w:themeColor="text2" w:themeShade="80"/>
        </w:rPr>
        <w:t>(</w:t>
      </w:r>
      <w:r w:rsidRPr="004A1196">
        <w:rPr>
          <w:color w:val="0B2B43" w:themeColor="text2" w:themeShade="80"/>
        </w:rPr>
        <w:t>such as Development Grants, Partnership Projects and Centres of Research Excellence</w:t>
      </w:r>
      <w:r w:rsidR="00910B5D">
        <w:rPr>
          <w:color w:val="0B2B43" w:themeColor="text2" w:themeShade="80"/>
        </w:rPr>
        <w:t>)</w:t>
      </w:r>
      <w:r w:rsidRPr="004A1196">
        <w:rPr>
          <w:color w:val="0B2B43" w:themeColor="text2" w:themeShade="80"/>
        </w:rPr>
        <w:t xml:space="preserve"> and people support schemes (such as Career Development Fellowships (Industry), Translating Research into Practice Fellowships and Practitioner Fellowships)</w:t>
      </w:r>
      <w:r w:rsidR="00910B5D">
        <w:rPr>
          <w:color w:val="0B2B43" w:themeColor="text2" w:themeShade="80"/>
        </w:rPr>
        <w:t xml:space="preserve"> </w:t>
      </w:r>
      <w:r w:rsidRPr="004A1196">
        <w:rPr>
          <w:color w:val="0B2B43" w:themeColor="text2" w:themeShade="80"/>
        </w:rPr>
        <w:t>include ‘record of commercial [translation] achievement’ and ‘commercial [translation] potential of research’ in their assessment criteria.</w:t>
      </w:r>
    </w:p>
    <w:p w:rsidR="002C6039" w:rsidRPr="004A1196" w:rsidRDefault="002C6039" w:rsidP="002C6039">
      <w:pPr>
        <w:rPr>
          <w:color w:val="0B2B43" w:themeColor="text2" w:themeShade="80"/>
        </w:rPr>
      </w:pPr>
      <w:r w:rsidRPr="004A1196">
        <w:rPr>
          <w:color w:val="0B2B43" w:themeColor="text2" w:themeShade="80"/>
        </w:rPr>
        <w:t>Peer reviewers make their assessments against these criteria taking into account factors of references such as clinical, administrative or teaching workload and restrictions on publication associated with time spent working in other sectors of references (e.g.</w:t>
      </w:r>
      <w:r w:rsidR="00A02F8E">
        <w:rPr>
          <w:color w:val="0B2B43" w:themeColor="text2" w:themeShade="80"/>
        </w:rPr>
        <w:t>,</w:t>
      </w:r>
      <w:r w:rsidRPr="004A1196">
        <w:rPr>
          <w:color w:val="0B2B43" w:themeColor="text2" w:themeShade="80"/>
        </w:rPr>
        <w:t xml:space="preserve"> industry, policy and government).</w:t>
      </w:r>
    </w:p>
    <w:p w:rsidR="002C6039" w:rsidRPr="004A1196" w:rsidRDefault="002C6039" w:rsidP="002C6039">
      <w:pPr>
        <w:rPr>
          <w:color w:val="0B2B43" w:themeColor="text2" w:themeShade="80"/>
        </w:rPr>
      </w:pPr>
      <w:r w:rsidRPr="004A1196">
        <w:rPr>
          <w:color w:val="0B2B43" w:themeColor="text2" w:themeShade="80"/>
        </w:rPr>
        <w:t>For upcoming rounds, NHMRC is strengthening its funding rules to better emphasise the value of commercial or health system experience in the assessment of the researcher record of achievement. NHMRC is also reinforcing scheme assessment criteria relating to research translation into health policy and practice. It will also consider improving guidance to applicants and reviewers on how to evaluate provisional patent applications, Patent Cooperation Treaty applications and granted patents.</w:t>
      </w:r>
    </w:p>
    <w:p w:rsidR="002C6039" w:rsidRPr="004A1196" w:rsidRDefault="002C6039" w:rsidP="002C6039">
      <w:pPr>
        <w:rPr>
          <w:color w:val="0B2B43" w:themeColor="text2" w:themeShade="80"/>
        </w:rPr>
      </w:pPr>
      <w:r w:rsidRPr="004A1196">
        <w:rPr>
          <w:color w:val="0B2B43" w:themeColor="text2" w:themeShade="80"/>
        </w:rPr>
        <w:t>Finally, NHMRC is also developing its guidelines for Development Grants to drive grantees towards demonstrable commercial outcomes and is engaging a new cohort of industry experts to assist with assessing applications.</w:t>
      </w:r>
    </w:p>
    <w:p w:rsidR="002C6039" w:rsidRPr="004A1196" w:rsidRDefault="002C6039" w:rsidP="002C6039">
      <w:pPr>
        <w:pStyle w:val="RIHeading3"/>
        <w:rPr>
          <w:color w:val="0B2B43" w:themeColor="text2" w:themeShade="80"/>
        </w:rPr>
      </w:pPr>
      <w:bookmarkStart w:id="224" w:name="_Toc436392746"/>
      <w:bookmarkStart w:id="225" w:name="_Toc436651845"/>
      <w:bookmarkStart w:id="226" w:name="_Toc436659653"/>
      <w:bookmarkStart w:id="227" w:name="_Toc436660151"/>
      <w:r w:rsidRPr="004A1196">
        <w:rPr>
          <w:color w:val="0B2B43" w:themeColor="text2" w:themeShade="80"/>
        </w:rPr>
        <w:t>Selection committees</w:t>
      </w:r>
      <w:bookmarkEnd w:id="224"/>
      <w:bookmarkEnd w:id="225"/>
      <w:bookmarkEnd w:id="226"/>
      <w:bookmarkEnd w:id="227"/>
    </w:p>
    <w:p w:rsidR="002C6039" w:rsidRPr="004A1196" w:rsidRDefault="002C6039" w:rsidP="002C6039">
      <w:pPr>
        <w:rPr>
          <w:color w:val="0B2B43" w:themeColor="text2" w:themeShade="80"/>
        </w:rPr>
      </w:pPr>
      <w:r w:rsidRPr="004A1196">
        <w:rPr>
          <w:color w:val="0B2B43" w:themeColor="text2" w:themeShade="80"/>
        </w:rPr>
        <w:t xml:space="preserve">The relevant ARC Selection Advisory Committees always include members with experience outside academia to support consideration of the broader benefits of proposed research. The membership and proportion depends on the particular scheme and the nature of research proposals </w:t>
      </w:r>
      <w:proofErr w:type="gramStart"/>
      <w:r w:rsidRPr="004A1196">
        <w:rPr>
          <w:color w:val="0B2B43" w:themeColor="text2" w:themeShade="80"/>
        </w:rPr>
        <w:t>being considered</w:t>
      </w:r>
      <w:proofErr w:type="gramEnd"/>
      <w:r w:rsidRPr="004A1196">
        <w:rPr>
          <w:color w:val="0B2B43" w:themeColor="text2" w:themeShade="80"/>
        </w:rPr>
        <w:t xml:space="preserve">. </w:t>
      </w:r>
    </w:p>
    <w:p w:rsidR="002C6039" w:rsidRPr="004A1196" w:rsidRDefault="002C6039" w:rsidP="002C6039">
      <w:pPr>
        <w:rPr>
          <w:color w:val="0B2B43" w:themeColor="text2" w:themeShade="80"/>
        </w:rPr>
      </w:pPr>
      <w:r w:rsidRPr="004A1196">
        <w:rPr>
          <w:color w:val="0B2B43" w:themeColor="text2" w:themeShade="80"/>
        </w:rPr>
        <w:t xml:space="preserve">Given the specific objective of the </w:t>
      </w:r>
      <w:proofErr w:type="spellStart"/>
      <w:r w:rsidRPr="004A1196">
        <w:rPr>
          <w:color w:val="0B2B43" w:themeColor="text2" w:themeShade="80"/>
        </w:rPr>
        <w:t>ITRP</w:t>
      </w:r>
      <w:proofErr w:type="spellEnd"/>
      <w:r w:rsidRPr="004A1196">
        <w:rPr>
          <w:color w:val="0B2B43" w:themeColor="text2" w:themeShade="80"/>
        </w:rPr>
        <w:t xml:space="preserve"> to find solutions to issues facing Australian industries, </w:t>
      </w:r>
      <w:proofErr w:type="spellStart"/>
      <w:proofErr w:type="gramStart"/>
      <w:r w:rsidRPr="004A1196">
        <w:rPr>
          <w:color w:val="0B2B43" w:themeColor="text2" w:themeShade="80"/>
        </w:rPr>
        <w:t>ITRP</w:t>
      </w:r>
      <w:proofErr w:type="spellEnd"/>
      <w:r w:rsidRPr="004A1196">
        <w:rPr>
          <w:color w:val="0B2B43" w:themeColor="text2" w:themeShade="80"/>
        </w:rPr>
        <w:t xml:space="preserve"> funding applications are assessed by the </w:t>
      </w:r>
      <w:proofErr w:type="spellStart"/>
      <w:r w:rsidRPr="004A1196">
        <w:rPr>
          <w:color w:val="0B2B43" w:themeColor="text2" w:themeShade="80"/>
        </w:rPr>
        <w:t>ARC’s</w:t>
      </w:r>
      <w:proofErr w:type="spellEnd"/>
      <w:r w:rsidRPr="004A1196">
        <w:rPr>
          <w:color w:val="0B2B43" w:themeColor="text2" w:themeShade="80"/>
        </w:rPr>
        <w:t xml:space="preserve"> Industry Advisory Panel (</w:t>
      </w:r>
      <w:proofErr w:type="spellStart"/>
      <w:r w:rsidRPr="004A1196">
        <w:rPr>
          <w:color w:val="0B2B43" w:themeColor="text2" w:themeShade="80"/>
        </w:rPr>
        <w:t>IAP</w:t>
      </w:r>
      <w:proofErr w:type="spellEnd"/>
      <w:r w:rsidRPr="004A1196">
        <w:rPr>
          <w:color w:val="0B2B43" w:themeColor="text2" w:themeShade="80"/>
        </w:rPr>
        <w:t>)</w:t>
      </w:r>
      <w:proofErr w:type="gramEnd"/>
      <w:r w:rsidRPr="004A1196">
        <w:rPr>
          <w:color w:val="0B2B43" w:themeColor="text2" w:themeShade="80"/>
        </w:rPr>
        <w:t xml:space="preserve">. The </w:t>
      </w:r>
      <w:proofErr w:type="spellStart"/>
      <w:r w:rsidRPr="004A1196">
        <w:rPr>
          <w:color w:val="0B2B43" w:themeColor="text2" w:themeShade="80"/>
        </w:rPr>
        <w:t>IAP</w:t>
      </w:r>
      <w:proofErr w:type="spellEnd"/>
      <w:r w:rsidRPr="004A1196">
        <w:rPr>
          <w:color w:val="0B2B43" w:themeColor="text2" w:themeShade="80"/>
        </w:rPr>
        <w:t xml:space="preserve"> comprises experts drawn from both academia and industry </w:t>
      </w:r>
      <w:r w:rsidR="00313536">
        <w:rPr>
          <w:color w:val="0B2B43" w:themeColor="text2" w:themeShade="80"/>
        </w:rPr>
        <w:t xml:space="preserve">who </w:t>
      </w:r>
      <w:proofErr w:type="gramStart"/>
      <w:r w:rsidR="00313536">
        <w:rPr>
          <w:color w:val="0B2B43" w:themeColor="text2" w:themeShade="80"/>
        </w:rPr>
        <w:t xml:space="preserve">are </w:t>
      </w:r>
      <w:r w:rsidRPr="004A1196">
        <w:rPr>
          <w:color w:val="0B2B43" w:themeColor="text2" w:themeShade="80"/>
        </w:rPr>
        <w:t>appointed</w:t>
      </w:r>
      <w:proofErr w:type="gramEnd"/>
      <w:r w:rsidRPr="004A1196">
        <w:rPr>
          <w:color w:val="0B2B43" w:themeColor="text2" w:themeShade="80"/>
        </w:rPr>
        <w:t xml:space="preserve"> to assist the ARC to identify and to evaluate excellence in </w:t>
      </w:r>
      <w:r w:rsidR="00034E98">
        <w:rPr>
          <w:color w:val="0B2B43" w:themeColor="text2" w:themeShade="80"/>
        </w:rPr>
        <w:t>industry relevant</w:t>
      </w:r>
      <w:r w:rsidRPr="004A1196">
        <w:rPr>
          <w:color w:val="0B2B43" w:themeColor="text2" w:themeShade="80"/>
        </w:rPr>
        <w:t xml:space="preserve"> research.</w:t>
      </w:r>
    </w:p>
    <w:p w:rsidR="002C6039" w:rsidRPr="004A1196" w:rsidRDefault="002C6039" w:rsidP="002C6039">
      <w:pPr>
        <w:rPr>
          <w:color w:val="0B2B43" w:themeColor="text2" w:themeShade="80"/>
        </w:rPr>
      </w:pPr>
      <w:r w:rsidRPr="004A1196">
        <w:rPr>
          <w:color w:val="0B2B43" w:themeColor="text2" w:themeShade="80"/>
        </w:rPr>
        <w:t xml:space="preserve">While noting these processes, the review concluded that there should be greater involvement of business experts in grant assessments to ensure that the potential commercial and other translational benefits </w:t>
      </w:r>
      <w:proofErr w:type="gramStart"/>
      <w:r w:rsidRPr="004A1196">
        <w:rPr>
          <w:color w:val="0B2B43" w:themeColor="text2" w:themeShade="80"/>
        </w:rPr>
        <w:t>are fully assessed</w:t>
      </w:r>
      <w:proofErr w:type="gramEnd"/>
      <w:r w:rsidRPr="004A1196">
        <w:rPr>
          <w:color w:val="0B2B43" w:themeColor="text2" w:themeShade="80"/>
        </w:rPr>
        <w:t xml:space="preserve">. The establishment of new panels, dedicated specifically to assessing the elements of proposals in all schemes that relate to collaboration, translation and commercialisation should emphasise and enhance the responsiveness of grant programmes to these issues. Such </w:t>
      </w:r>
      <w:proofErr w:type="gramStart"/>
      <w:r w:rsidRPr="004A1196">
        <w:rPr>
          <w:color w:val="0B2B43" w:themeColor="text2" w:themeShade="80"/>
        </w:rPr>
        <w:t>panels,</w:t>
      </w:r>
      <w:proofErr w:type="gramEnd"/>
      <w:r w:rsidRPr="004A1196">
        <w:rPr>
          <w:color w:val="0B2B43" w:themeColor="text2" w:themeShade="80"/>
        </w:rPr>
        <w:t xml:space="preserve"> comprised of business experts with entrepreneurial experience and/or academics with established records of engagement (including in realising the benefits of research for </w:t>
      </w:r>
      <w:r w:rsidR="003904BC">
        <w:rPr>
          <w:color w:val="0B2B43" w:themeColor="text2" w:themeShade="80"/>
        </w:rPr>
        <w:t>end user</w:t>
      </w:r>
      <w:r w:rsidRPr="004A1196">
        <w:rPr>
          <w:color w:val="0B2B43" w:themeColor="text2" w:themeShade="80"/>
        </w:rPr>
        <w:t xml:space="preserve">s) would be well placed to apply their expertise in research translation and provide greater perspective on the challenges and implications for </w:t>
      </w:r>
      <w:r w:rsidR="003904BC">
        <w:rPr>
          <w:color w:val="0B2B43" w:themeColor="text2" w:themeShade="80"/>
        </w:rPr>
        <w:t>end user</w:t>
      </w:r>
      <w:r w:rsidRPr="004A1196">
        <w:rPr>
          <w:color w:val="0B2B43" w:themeColor="text2" w:themeShade="80"/>
        </w:rPr>
        <w:t>s. Given appropriate weighting, the judgement of such panels would provide additional input to the existing evaluation of the academic quality of proposed research by peer review panels. This will put a greater focus on the achievement of economic, social and other benefits in publicly funded research.</w:t>
      </w:r>
    </w:p>
    <w:p w:rsidR="002C6039" w:rsidRPr="004A1196" w:rsidRDefault="003C2AE8" w:rsidP="002C6039">
      <w:pPr>
        <w:rPr>
          <w:color w:val="0B2B43" w:themeColor="text2" w:themeShade="80"/>
        </w:rPr>
      </w:pPr>
      <w:r>
        <w:rPr>
          <w:color w:val="0B2B43" w:themeColor="text2" w:themeShade="80"/>
        </w:rPr>
        <w:t>During consultations, a number of universities raised t</w:t>
      </w:r>
      <w:r w:rsidR="002C6039" w:rsidRPr="004A1196">
        <w:rPr>
          <w:color w:val="0B2B43" w:themeColor="text2" w:themeShade="80"/>
        </w:rPr>
        <w:t>he potential for conflict</w:t>
      </w:r>
      <w:r w:rsidR="00910B5D">
        <w:rPr>
          <w:color w:val="0B2B43" w:themeColor="text2" w:themeShade="80"/>
        </w:rPr>
        <w:t>s</w:t>
      </w:r>
      <w:r w:rsidR="002C6039" w:rsidRPr="004A1196">
        <w:rPr>
          <w:color w:val="0B2B43" w:themeColor="text2" w:themeShade="80"/>
        </w:rPr>
        <w:t xml:space="preserve"> of interest to arise for business members of expert panels assessing proposals. Such potential should</w:t>
      </w:r>
      <w:r w:rsidR="00B370FC">
        <w:rPr>
          <w:color w:val="0B2B43" w:themeColor="text2" w:themeShade="80"/>
        </w:rPr>
        <w:t xml:space="preserve"> </w:t>
      </w:r>
      <w:r w:rsidR="002C6039" w:rsidRPr="004A1196">
        <w:rPr>
          <w:color w:val="0B2B43" w:themeColor="text2" w:themeShade="80"/>
        </w:rPr>
        <w:t xml:space="preserve">be no greater, and should be able to </w:t>
      </w:r>
      <w:proofErr w:type="gramStart"/>
      <w:r w:rsidR="002C6039" w:rsidRPr="004A1196">
        <w:rPr>
          <w:color w:val="0B2B43" w:themeColor="text2" w:themeShade="80"/>
        </w:rPr>
        <w:t>be managed</w:t>
      </w:r>
      <w:proofErr w:type="gramEnd"/>
      <w:r w:rsidR="002C6039" w:rsidRPr="004A1196">
        <w:rPr>
          <w:color w:val="0B2B43" w:themeColor="text2" w:themeShade="80"/>
        </w:rPr>
        <w:t xml:space="preserve"> in</w:t>
      </w:r>
      <w:r w:rsidR="00AE0D8B">
        <w:rPr>
          <w:color w:val="0B2B43" w:themeColor="text2" w:themeShade="80"/>
        </w:rPr>
        <w:t xml:space="preserve"> the</w:t>
      </w:r>
      <w:r w:rsidR="002C6039" w:rsidRPr="004A1196">
        <w:rPr>
          <w:color w:val="0B2B43" w:themeColor="text2" w:themeShade="80"/>
        </w:rPr>
        <w:t xml:space="preserve"> same way, as it is for academic experts involved in ARC processes. Accordingly, the criteria for selecting and managing panel members will need to include mechanisms to address potential conflicts of interest.</w:t>
      </w:r>
    </w:p>
    <w:p w:rsidR="00C121D1" w:rsidRDefault="002C6039" w:rsidP="00C6639A">
      <w:pPr>
        <w:rPr>
          <w:rFonts w:eastAsiaTheme="majorEastAsia"/>
          <w:b/>
          <w:bCs/>
          <w:color w:val="0B2B43" w:themeColor="text2" w:themeShade="80"/>
          <w:sz w:val="28"/>
          <w:szCs w:val="28"/>
        </w:rPr>
      </w:pPr>
      <w:proofErr w:type="spellStart"/>
      <w:r w:rsidRPr="004A1196">
        <w:rPr>
          <w:color w:val="0B2B43" w:themeColor="text2" w:themeShade="80"/>
        </w:rPr>
        <w:t>NHMRC’s</w:t>
      </w:r>
      <w:proofErr w:type="spellEnd"/>
      <w:r w:rsidRPr="004A1196">
        <w:rPr>
          <w:color w:val="0B2B43" w:themeColor="text2" w:themeShade="80"/>
        </w:rPr>
        <w:t xml:space="preserve"> Development Grants scheme supports early stage commercial research that specifically drives towards a commercial outcome within a </w:t>
      </w:r>
      <w:proofErr w:type="gramStart"/>
      <w:r w:rsidRPr="004A1196">
        <w:rPr>
          <w:color w:val="0B2B43" w:themeColor="text2" w:themeShade="80"/>
        </w:rPr>
        <w:t>five year</w:t>
      </w:r>
      <w:proofErr w:type="gramEnd"/>
      <w:r w:rsidRPr="004A1196">
        <w:rPr>
          <w:color w:val="0B2B43" w:themeColor="text2" w:themeShade="80"/>
        </w:rPr>
        <w:t xml:space="preserve"> timeframe. Commercial experts are members of the peer review panels for the scheme and are currently responsible for 60 per cent of an application’s overall score. Building upon the success of this model, NHMRC is exploring options for greater participation of experts from industry and the health system in peer review. </w:t>
      </w:r>
      <w:bookmarkStart w:id="228" w:name="_Toc436392747"/>
      <w:bookmarkStart w:id="229" w:name="_Toc436651846"/>
      <w:bookmarkStart w:id="230" w:name="_Toc436659654"/>
      <w:bookmarkStart w:id="231" w:name="_Toc436660152"/>
    </w:p>
    <w:p w:rsidR="002C6039" w:rsidRPr="004A1196" w:rsidRDefault="002C6039" w:rsidP="002C6039">
      <w:pPr>
        <w:pStyle w:val="RIHeading3"/>
        <w:rPr>
          <w:color w:val="0B2B43" w:themeColor="text2" w:themeShade="80"/>
        </w:rPr>
      </w:pPr>
      <w:r w:rsidRPr="004A1196">
        <w:rPr>
          <w:color w:val="0B2B43" w:themeColor="text2" w:themeShade="80"/>
        </w:rPr>
        <w:t>Burdens on competitive grant processes</w:t>
      </w:r>
      <w:bookmarkEnd w:id="228"/>
      <w:bookmarkEnd w:id="229"/>
      <w:bookmarkEnd w:id="230"/>
      <w:bookmarkEnd w:id="231"/>
    </w:p>
    <w:p w:rsidR="00A63C72" w:rsidRDefault="002C6039" w:rsidP="002C6039">
      <w:pPr>
        <w:rPr>
          <w:color w:val="0B2B43" w:themeColor="text2" w:themeShade="80"/>
        </w:rPr>
      </w:pPr>
      <w:r w:rsidRPr="004A1196">
        <w:rPr>
          <w:color w:val="0B2B43" w:themeColor="text2" w:themeShade="80"/>
        </w:rPr>
        <w:t>Competition for ARC and NHMRC grants is high and success rates are low and declining. The success rates over the last four Discovery Projects scheme rounds have declined from 21.4 per cent for funding commencing in 2013 to 17.7 per cent for funding commencing in 2016.</w:t>
      </w:r>
      <w:r w:rsidRPr="004A1196">
        <w:rPr>
          <w:rStyle w:val="FootnoteReference"/>
          <w:color w:val="0B2B43" w:themeColor="text2" w:themeShade="80"/>
        </w:rPr>
        <w:footnoteReference w:id="36"/>
      </w:r>
      <w:r w:rsidRPr="004A1196">
        <w:rPr>
          <w:color w:val="0B2B43" w:themeColor="text2" w:themeShade="80"/>
        </w:rPr>
        <w:t xml:space="preserve"> This involves a failure rate of 82.3 per cent, or more than four out of every </w:t>
      </w:r>
      <w:proofErr w:type="gramStart"/>
      <w:r w:rsidRPr="004A1196">
        <w:rPr>
          <w:color w:val="0B2B43" w:themeColor="text2" w:themeShade="80"/>
        </w:rPr>
        <w:t>five</w:t>
      </w:r>
      <w:proofErr w:type="gramEnd"/>
      <w:r w:rsidR="00A63C72">
        <w:rPr>
          <w:color w:val="0B2B43" w:themeColor="text2" w:themeShade="80"/>
        </w:rPr>
        <w:t xml:space="preserve"> </w:t>
      </w:r>
      <w:r w:rsidRPr="004A1196">
        <w:rPr>
          <w:color w:val="0B2B43" w:themeColor="text2" w:themeShade="80"/>
        </w:rPr>
        <w:t>applications. The success rates for Linkage Projects</w:t>
      </w:r>
      <w:r w:rsidR="00A63C72">
        <w:rPr>
          <w:color w:val="0B2B43" w:themeColor="text2" w:themeShade="80"/>
        </w:rPr>
        <w:t xml:space="preserve"> </w:t>
      </w:r>
      <w:r w:rsidRPr="004A1196">
        <w:rPr>
          <w:color w:val="0B2B43" w:themeColor="text2" w:themeShade="80"/>
        </w:rPr>
        <w:t>are higher,</w:t>
      </w:r>
      <w:r w:rsidR="00023134" w:rsidRPr="004A1196">
        <w:rPr>
          <w:color w:val="0B2B43" w:themeColor="text2" w:themeShade="80"/>
        </w:rPr>
        <w:t xml:space="preserve"> with 39.0 per </w:t>
      </w:r>
      <w:r w:rsidRPr="004A1196">
        <w:rPr>
          <w:color w:val="0B2B43" w:themeColor="text2" w:themeShade="80"/>
        </w:rPr>
        <w:t>cent of applications successful for funding commen</w:t>
      </w:r>
      <w:r w:rsidR="00023134" w:rsidRPr="004A1196">
        <w:rPr>
          <w:color w:val="0B2B43" w:themeColor="text2" w:themeShade="80"/>
        </w:rPr>
        <w:t>cing in 2013, declining to 35.5 </w:t>
      </w:r>
      <w:r w:rsidRPr="004A1196">
        <w:rPr>
          <w:color w:val="0B2B43" w:themeColor="text2" w:themeShade="80"/>
        </w:rPr>
        <w:t>per cent for funding commencing in 2015.</w:t>
      </w:r>
      <w:r w:rsidRPr="004A1196">
        <w:rPr>
          <w:rStyle w:val="FootnoteReference"/>
          <w:color w:val="0B2B43" w:themeColor="text2" w:themeShade="80"/>
        </w:rPr>
        <w:footnoteReference w:id="37"/>
      </w:r>
      <w:r w:rsidRPr="004A1196">
        <w:rPr>
          <w:color w:val="0B2B43" w:themeColor="text2" w:themeShade="80"/>
        </w:rPr>
        <w:t xml:space="preserve"> This is a failure rate of 64.5 per cent, or nearly two out of every </w:t>
      </w:r>
      <w:proofErr w:type="gramStart"/>
      <w:r w:rsidRPr="004A1196">
        <w:rPr>
          <w:color w:val="0B2B43" w:themeColor="text2" w:themeShade="80"/>
        </w:rPr>
        <w:t>three</w:t>
      </w:r>
      <w:proofErr w:type="gramEnd"/>
      <w:r w:rsidRPr="004A1196">
        <w:rPr>
          <w:color w:val="0B2B43" w:themeColor="text2" w:themeShade="80"/>
        </w:rPr>
        <w:t xml:space="preserve"> applications.</w:t>
      </w:r>
    </w:p>
    <w:p w:rsidR="002C6039" w:rsidRPr="004A1196" w:rsidRDefault="002C6039" w:rsidP="002C6039">
      <w:pPr>
        <w:rPr>
          <w:color w:val="0B2B43" w:themeColor="text2" w:themeShade="80"/>
        </w:rPr>
      </w:pPr>
      <w:r w:rsidRPr="004A1196">
        <w:rPr>
          <w:color w:val="0B2B43" w:themeColor="text2" w:themeShade="80"/>
        </w:rPr>
        <w:t xml:space="preserve">NHMRC funding rates have also decreased in recent years due to increases in application numbers, the increased size of grant budgets and a plateauing of the funds available in the </w:t>
      </w:r>
      <w:proofErr w:type="spellStart"/>
      <w:r w:rsidR="004A36CC">
        <w:rPr>
          <w:color w:val="0B2B43" w:themeColor="text2" w:themeShade="80"/>
        </w:rPr>
        <w:t>MREA</w:t>
      </w:r>
      <w:proofErr w:type="spellEnd"/>
      <w:r w:rsidRPr="004A1196">
        <w:rPr>
          <w:color w:val="0B2B43" w:themeColor="text2" w:themeShade="80"/>
        </w:rPr>
        <w:t xml:space="preserve">. The </w:t>
      </w:r>
      <w:proofErr w:type="spellStart"/>
      <w:r w:rsidRPr="004A1196">
        <w:rPr>
          <w:color w:val="0B2B43" w:themeColor="text2" w:themeShade="80"/>
        </w:rPr>
        <w:t>NHMRC’s</w:t>
      </w:r>
      <w:proofErr w:type="spellEnd"/>
      <w:r w:rsidRPr="004A1196">
        <w:rPr>
          <w:color w:val="0B2B43" w:themeColor="text2" w:themeShade="80"/>
        </w:rPr>
        <w:t xml:space="preserve"> largest funding scheme, the Project Grants scheme, aims to support the creation of new knowledge by funding the best investigator-initiated research, in any area relevant to human health. The funded rates for Project Grants have decreased from 23.4 per cent for fun</w:t>
      </w:r>
      <w:r w:rsidR="00C4533A" w:rsidRPr="004A1196">
        <w:rPr>
          <w:color w:val="0B2B43" w:themeColor="text2" w:themeShade="80"/>
        </w:rPr>
        <w:t>ding commencing in 2011 to 13.7 </w:t>
      </w:r>
      <w:r w:rsidRPr="004A1196">
        <w:rPr>
          <w:color w:val="0B2B43" w:themeColor="text2" w:themeShade="80"/>
        </w:rPr>
        <w:t>per cent for funding commencing in 2016,</w:t>
      </w:r>
      <w:r w:rsidRPr="004A1196">
        <w:rPr>
          <w:rStyle w:val="FootnoteReference"/>
          <w:color w:val="0B2B43" w:themeColor="text2" w:themeShade="80"/>
        </w:rPr>
        <w:footnoteReference w:id="38"/>
      </w:r>
      <w:r w:rsidRPr="004A1196">
        <w:rPr>
          <w:color w:val="0B2B43" w:themeColor="text2" w:themeShade="80"/>
        </w:rPr>
        <w:t xml:space="preserve"> the latter i</w:t>
      </w:r>
      <w:r w:rsidR="00C4533A" w:rsidRPr="004A1196">
        <w:rPr>
          <w:color w:val="0B2B43" w:themeColor="text2" w:themeShade="80"/>
        </w:rPr>
        <w:t>nvolving a failure rate of 86.3 </w:t>
      </w:r>
      <w:r w:rsidRPr="004A1196">
        <w:rPr>
          <w:color w:val="0B2B43" w:themeColor="text2" w:themeShade="80"/>
        </w:rPr>
        <w:t xml:space="preserve">per cent. </w:t>
      </w:r>
    </w:p>
    <w:p w:rsidR="002C6039" w:rsidRPr="004A1196" w:rsidRDefault="002C6039" w:rsidP="002C6039">
      <w:pPr>
        <w:rPr>
          <w:color w:val="0B2B43" w:themeColor="text2" w:themeShade="80"/>
        </w:rPr>
      </w:pPr>
      <w:r w:rsidRPr="004A1196">
        <w:rPr>
          <w:color w:val="0B2B43" w:themeColor="text2" w:themeShade="80"/>
        </w:rPr>
        <w:t xml:space="preserve">Failure rates have potential reputational consequences for institutions concerned. Further, low success rates mean that a large amount of time is taken by universities, researchers and partner organisations in developing and peer reviewing applications for funding which have little, if any, chance of success. With 3,584 Discovery </w:t>
      </w:r>
      <w:proofErr w:type="gramStart"/>
      <w:r w:rsidRPr="004A1196">
        <w:rPr>
          <w:color w:val="0B2B43" w:themeColor="text2" w:themeShade="80"/>
        </w:rPr>
        <w:t>Projects</w:t>
      </w:r>
      <w:proofErr w:type="gramEnd"/>
      <w:r w:rsidRPr="004A1196">
        <w:rPr>
          <w:color w:val="0B2B43" w:themeColor="text2" w:themeShade="80"/>
        </w:rPr>
        <w:t xml:space="preserve"> applications and 710 Linkage Projects applications submitted in the most recent round of each scheme,</w:t>
      </w:r>
      <w:r w:rsidRPr="004A1196">
        <w:rPr>
          <w:rStyle w:val="FootnoteReference"/>
          <w:color w:val="0B2B43" w:themeColor="text2" w:themeShade="80"/>
        </w:rPr>
        <w:footnoteReference w:id="39"/>
      </w:r>
      <w:r w:rsidRPr="004A1196">
        <w:rPr>
          <w:color w:val="0B2B43" w:themeColor="text2" w:themeShade="80"/>
        </w:rPr>
        <w:t xml:space="preserve"> the ARC faces a substantial burden and workload for its administrative, peer review and panel assessment processes. Most of that effort </w:t>
      </w:r>
      <w:proofErr w:type="gramStart"/>
      <w:r w:rsidRPr="004A1196">
        <w:rPr>
          <w:color w:val="0B2B43" w:themeColor="text2" w:themeShade="80"/>
        </w:rPr>
        <w:t>is spent</w:t>
      </w:r>
      <w:proofErr w:type="gramEnd"/>
      <w:r w:rsidRPr="004A1196">
        <w:rPr>
          <w:color w:val="0B2B43" w:themeColor="text2" w:themeShade="80"/>
        </w:rPr>
        <w:t xml:space="preserve"> on unsuccessful applications. The NHMRC faces a similar problem. </w:t>
      </w:r>
    </w:p>
    <w:p w:rsidR="002C6039" w:rsidRPr="004A1196" w:rsidRDefault="002C6039" w:rsidP="002C6039">
      <w:pPr>
        <w:rPr>
          <w:color w:val="0B2B43" w:themeColor="text2" w:themeShade="80"/>
        </w:rPr>
      </w:pPr>
      <w:r w:rsidRPr="004A1196">
        <w:rPr>
          <w:color w:val="0B2B43" w:themeColor="text2" w:themeShade="80"/>
        </w:rPr>
        <w:t xml:space="preserve">To address the large numbers of applications, some stakeholders proposed that the ARC and NHMRC could adopt a </w:t>
      </w:r>
      <w:proofErr w:type="gramStart"/>
      <w:r w:rsidRPr="004A1196">
        <w:rPr>
          <w:color w:val="0B2B43" w:themeColor="text2" w:themeShade="80"/>
        </w:rPr>
        <w:t>two stage</w:t>
      </w:r>
      <w:proofErr w:type="gramEnd"/>
      <w:r w:rsidRPr="004A1196">
        <w:rPr>
          <w:color w:val="0B2B43" w:themeColor="text2" w:themeShade="80"/>
        </w:rPr>
        <w:t xml:space="preserve"> process involving an expression of interest stage followed by a full application stage. Only those proposals that </w:t>
      </w:r>
      <w:proofErr w:type="gramStart"/>
      <w:r w:rsidRPr="004A1196">
        <w:rPr>
          <w:color w:val="0B2B43" w:themeColor="text2" w:themeShade="80"/>
        </w:rPr>
        <w:t>were considered</w:t>
      </w:r>
      <w:proofErr w:type="gramEnd"/>
      <w:r w:rsidRPr="004A1196">
        <w:rPr>
          <w:color w:val="0B2B43" w:themeColor="text2" w:themeShade="80"/>
        </w:rPr>
        <w:t xml:space="preserve"> competitive would proceed to the full application stage. While this proposal may have some merit, considerable time and resources would be still required to produce, collect and assess expressions of interest. It is also likely that a simple format application will attract more applicants. Arguably</w:t>
      </w:r>
      <w:r w:rsidR="00650B89">
        <w:rPr>
          <w:color w:val="0B2B43" w:themeColor="text2" w:themeShade="80"/>
        </w:rPr>
        <w:t>,</w:t>
      </w:r>
      <w:r w:rsidRPr="004A1196">
        <w:rPr>
          <w:color w:val="0B2B43" w:themeColor="text2" w:themeShade="80"/>
        </w:rPr>
        <w:t xml:space="preserve"> therefore</w:t>
      </w:r>
      <w:r w:rsidR="007B266F">
        <w:rPr>
          <w:color w:val="0B2B43" w:themeColor="text2" w:themeShade="80"/>
        </w:rPr>
        <w:t>,</w:t>
      </w:r>
      <w:r w:rsidRPr="004A1196">
        <w:rPr>
          <w:color w:val="0B2B43" w:themeColor="text2" w:themeShade="80"/>
        </w:rPr>
        <w:t xml:space="preserve"> there would be no reduction in overall effort.</w:t>
      </w:r>
      <w:r w:rsidR="00603434" w:rsidRPr="004A1196">
        <w:rPr>
          <w:color w:val="0B2B43" w:themeColor="text2" w:themeShade="80"/>
        </w:rPr>
        <w:t xml:space="preserve"> </w:t>
      </w:r>
    </w:p>
    <w:p w:rsidR="002C6039" w:rsidRPr="004A1196" w:rsidRDefault="002C6039" w:rsidP="002C6039">
      <w:pPr>
        <w:rPr>
          <w:color w:val="0B2B43" w:themeColor="text2" w:themeShade="80"/>
        </w:rPr>
      </w:pPr>
      <w:r w:rsidRPr="004A1196">
        <w:rPr>
          <w:color w:val="0B2B43" w:themeColor="text2" w:themeShade="80"/>
        </w:rPr>
        <w:t>In 2006, the NHMRC trialled a Notice of Intent process to enable earlier collection of applicant data and better support the peer review process. An unanticipated outcome was an increase in application numbers by over 30 per cent relative to the previous year, compared to an average 5 per cent increase each year in the preceding four years.</w:t>
      </w:r>
      <w:r w:rsidRPr="004A1196">
        <w:rPr>
          <w:rStyle w:val="FootnoteReference"/>
          <w:color w:val="0B2B43" w:themeColor="text2" w:themeShade="80"/>
        </w:rPr>
        <w:footnoteReference w:id="40"/>
      </w:r>
      <w:r w:rsidRPr="004A1196">
        <w:rPr>
          <w:color w:val="0B2B43" w:themeColor="text2" w:themeShade="80"/>
        </w:rPr>
        <w:t xml:space="preserve"> This increased the burden on applicants, peer reviewers and scheme administration and did not lead to an overall improvement or reduction in the number of grant applications. </w:t>
      </w:r>
      <w:r w:rsidR="007B266F">
        <w:rPr>
          <w:color w:val="0B2B43" w:themeColor="text2" w:themeShade="80"/>
        </w:rPr>
        <w:t xml:space="preserve">This process </w:t>
      </w:r>
      <w:proofErr w:type="gramStart"/>
      <w:r w:rsidRPr="004A1196">
        <w:rPr>
          <w:color w:val="0B2B43" w:themeColor="text2" w:themeShade="80"/>
        </w:rPr>
        <w:t>has not been repeated</w:t>
      </w:r>
      <w:proofErr w:type="gramEnd"/>
      <w:r w:rsidRPr="004A1196">
        <w:rPr>
          <w:color w:val="0B2B43" w:themeColor="text2" w:themeShade="80"/>
        </w:rPr>
        <w:t>.</w:t>
      </w:r>
    </w:p>
    <w:p w:rsidR="002C6039" w:rsidRPr="004A1196" w:rsidRDefault="002C6039" w:rsidP="002C6039">
      <w:pPr>
        <w:rPr>
          <w:color w:val="0B2B43" w:themeColor="text2" w:themeShade="80"/>
        </w:rPr>
      </w:pPr>
      <w:r w:rsidRPr="004A1196">
        <w:rPr>
          <w:color w:val="0B2B43" w:themeColor="text2" w:themeShade="80"/>
        </w:rPr>
        <w:t xml:space="preserve">During review consultations, some universities discussed internal measures they were implementing to prevent less competitive applications from </w:t>
      </w:r>
      <w:proofErr w:type="gramStart"/>
      <w:r w:rsidRPr="004A1196">
        <w:rPr>
          <w:color w:val="0B2B43" w:themeColor="text2" w:themeShade="80"/>
        </w:rPr>
        <w:t>being submitted</w:t>
      </w:r>
      <w:proofErr w:type="gramEnd"/>
      <w:r w:rsidRPr="004A1196">
        <w:rPr>
          <w:color w:val="0B2B43" w:themeColor="text2" w:themeShade="80"/>
        </w:rPr>
        <w:t xml:space="preserve"> to the ARC and NHMRC. These include a </w:t>
      </w:r>
      <w:proofErr w:type="gramStart"/>
      <w:r w:rsidRPr="004A1196">
        <w:rPr>
          <w:color w:val="0B2B43" w:themeColor="text2" w:themeShade="80"/>
        </w:rPr>
        <w:t>two stage</w:t>
      </w:r>
      <w:proofErr w:type="gramEnd"/>
      <w:r w:rsidRPr="004A1196">
        <w:rPr>
          <w:color w:val="0B2B43" w:themeColor="text2" w:themeShade="80"/>
        </w:rPr>
        <w:t xml:space="preserve"> review process where a short outline of the grant proposal is considered by a review committee within the university and a decision made about whether the proposal is likely to be competitive. If deemed so, the applicant develops a full proposal</w:t>
      </w:r>
      <w:r w:rsidR="00461472">
        <w:rPr>
          <w:color w:val="0B2B43" w:themeColor="text2" w:themeShade="80"/>
        </w:rPr>
        <w:t>,</w:t>
      </w:r>
      <w:r w:rsidRPr="004A1196">
        <w:rPr>
          <w:color w:val="0B2B43" w:themeColor="text2" w:themeShade="80"/>
        </w:rPr>
        <w:t xml:space="preserve"> which is then subject to further review by the committee before a final decision </w:t>
      </w:r>
      <w:proofErr w:type="gramStart"/>
      <w:r w:rsidRPr="004A1196">
        <w:rPr>
          <w:color w:val="0B2B43" w:themeColor="text2" w:themeShade="80"/>
        </w:rPr>
        <w:t>is made</w:t>
      </w:r>
      <w:proofErr w:type="gramEnd"/>
      <w:r w:rsidRPr="004A1196">
        <w:rPr>
          <w:color w:val="0B2B43" w:themeColor="text2" w:themeShade="80"/>
        </w:rPr>
        <w:t xml:space="preserve"> about suitability for submission. However, despite these strategies </w:t>
      </w:r>
      <w:proofErr w:type="gramStart"/>
      <w:r w:rsidRPr="004A1196">
        <w:rPr>
          <w:color w:val="0B2B43" w:themeColor="text2" w:themeShade="80"/>
        </w:rPr>
        <w:t>being applied</w:t>
      </w:r>
      <w:proofErr w:type="gramEnd"/>
      <w:r w:rsidRPr="004A1196">
        <w:rPr>
          <w:color w:val="0B2B43" w:themeColor="text2" w:themeShade="80"/>
        </w:rPr>
        <w:t xml:space="preserve"> in some institutions, the number of proposals submitted to the ARC and NHMRC continues to rise while funding is largely unchanged. </w:t>
      </w:r>
    </w:p>
    <w:p w:rsidR="002C6039" w:rsidRPr="004A1196" w:rsidRDefault="002C6039" w:rsidP="002C6039">
      <w:pPr>
        <w:rPr>
          <w:color w:val="0B2B43" w:themeColor="text2" w:themeShade="80"/>
        </w:rPr>
      </w:pPr>
      <w:r w:rsidRPr="004A1196">
        <w:rPr>
          <w:color w:val="0B2B43" w:themeColor="text2" w:themeShade="80"/>
        </w:rPr>
        <w:t xml:space="preserve">The number of proposals submitted is not a matter for government to influence as the ARC and NHMRC do not have control over the total number, or the quality, of applications received for any scheme. Universities and medical research institutes are autonomous and must address the poor use of time and resources arising from the growing numbers of applications by implementing </w:t>
      </w:r>
      <w:r w:rsidR="00910B5D">
        <w:rPr>
          <w:color w:val="0B2B43" w:themeColor="text2" w:themeShade="80"/>
        </w:rPr>
        <w:t xml:space="preserve">a </w:t>
      </w:r>
      <w:r w:rsidRPr="004A1196">
        <w:rPr>
          <w:color w:val="0B2B43" w:themeColor="text2" w:themeShade="80"/>
        </w:rPr>
        <w:t xml:space="preserve">much more rigorous selection process to ensure only the most competitive grants </w:t>
      </w:r>
      <w:proofErr w:type="gramStart"/>
      <w:r w:rsidRPr="004A1196">
        <w:rPr>
          <w:color w:val="0B2B43" w:themeColor="text2" w:themeShade="80"/>
        </w:rPr>
        <w:t>are submitted</w:t>
      </w:r>
      <w:proofErr w:type="gramEnd"/>
      <w:r w:rsidRPr="004A1196">
        <w:rPr>
          <w:color w:val="0B2B43" w:themeColor="text2" w:themeShade="80"/>
        </w:rPr>
        <w:t xml:space="preserve">. </w:t>
      </w:r>
    </w:p>
    <w:p w:rsidR="002C6039" w:rsidRPr="004A1196" w:rsidRDefault="002C6039" w:rsidP="002C6039">
      <w:pPr>
        <w:rPr>
          <w:color w:val="0B2B43" w:themeColor="text2" w:themeShade="80"/>
        </w:rPr>
      </w:pPr>
      <w:r w:rsidRPr="004A1196">
        <w:rPr>
          <w:color w:val="0B2B43" w:themeColor="text2" w:themeShade="80"/>
        </w:rPr>
        <w:t xml:space="preserve">The ARC and NHMRC publish data on institutional success and failure rates for each scheme on their websites. This information </w:t>
      </w:r>
      <w:proofErr w:type="gramStart"/>
      <w:r w:rsidRPr="004A1196">
        <w:rPr>
          <w:color w:val="0B2B43" w:themeColor="text2" w:themeShade="80"/>
        </w:rPr>
        <w:t>should be given prominence by institutions and used to inform the approach taken to their application review and submission decisions</w:t>
      </w:r>
      <w:proofErr w:type="gramEnd"/>
      <w:r w:rsidRPr="004A1196">
        <w:rPr>
          <w:color w:val="0B2B43" w:themeColor="text2" w:themeShade="80"/>
        </w:rPr>
        <w:t xml:space="preserve">. </w:t>
      </w:r>
    </w:p>
    <w:p w:rsidR="002C6039" w:rsidRPr="004A1196" w:rsidRDefault="002C6039" w:rsidP="002C6039">
      <w:pPr>
        <w:rPr>
          <w:color w:val="0B2B43" w:themeColor="text2" w:themeShade="80"/>
        </w:rPr>
      </w:pPr>
      <w:r w:rsidRPr="004A1196">
        <w:rPr>
          <w:color w:val="0B2B43" w:themeColor="text2" w:themeShade="80"/>
        </w:rPr>
        <w:t>During consultations, some stakeholders raised the issue that university policies linked to appointments and promotions processes may encourage the submission of applications without due regard to their quality. While universities claimed that this is generally not the case in current policies, the review emphasises the need for all research institutions to revise any policies that reward such an approach to the submission of grant applications.</w:t>
      </w:r>
    </w:p>
    <w:p w:rsidR="002C6039" w:rsidRPr="004A1196" w:rsidRDefault="002C6039" w:rsidP="002C6039">
      <w:pPr>
        <w:pStyle w:val="RIHeading2"/>
        <w:rPr>
          <w:color w:val="0B2B43" w:themeColor="text2" w:themeShade="80"/>
        </w:rPr>
      </w:pPr>
      <w:bookmarkStart w:id="232" w:name="_Toc436392748"/>
      <w:bookmarkStart w:id="233" w:name="_Toc436651847"/>
      <w:bookmarkStart w:id="234" w:name="_Toc436659655"/>
      <w:bookmarkStart w:id="235" w:name="_Toc436660153"/>
      <w:r w:rsidRPr="004A1196">
        <w:rPr>
          <w:color w:val="0B2B43" w:themeColor="text2" w:themeShade="80"/>
        </w:rPr>
        <w:t>Recommendations</w:t>
      </w:r>
      <w:bookmarkEnd w:id="232"/>
      <w:bookmarkEnd w:id="233"/>
      <w:bookmarkEnd w:id="234"/>
      <w:bookmarkEnd w:id="235"/>
    </w:p>
    <w:p w:rsidR="002C6039" w:rsidRPr="004A1196" w:rsidRDefault="002C6039" w:rsidP="001C2886">
      <w:pPr>
        <w:pStyle w:val="ListParagraph"/>
        <w:numPr>
          <w:ilvl w:val="0"/>
          <w:numId w:val="65"/>
        </w:numPr>
        <w:rPr>
          <w:color w:val="0B2B43" w:themeColor="text2" w:themeShade="80"/>
        </w:rPr>
      </w:pPr>
      <w:r w:rsidRPr="004A1196">
        <w:rPr>
          <w:color w:val="0B2B43" w:themeColor="text2" w:themeShade="80"/>
        </w:rPr>
        <w:t>The review recommends that:</w:t>
      </w:r>
    </w:p>
    <w:p w:rsidR="002C6039" w:rsidRPr="004A1196" w:rsidRDefault="002C6039" w:rsidP="00C51BEE">
      <w:pPr>
        <w:pStyle w:val="ListParagraph"/>
        <w:numPr>
          <w:ilvl w:val="0"/>
          <w:numId w:val="68"/>
        </w:numPr>
        <w:rPr>
          <w:color w:val="0B2B43" w:themeColor="text2" w:themeShade="80"/>
        </w:rPr>
      </w:pPr>
      <w:r w:rsidRPr="004A1196">
        <w:rPr>
          <w:color w:val="0B2B43" w:themeColor="text2" w:themeShade="80"/>
        </w:rPr>
        <w:t>the ARC Linkage Projects scheme moves from one round per year to a continuous application and peer assessment process from 1 July 2016, with strong applications to be progressed immediately for ministerial approval, and the remaining applications to be considered in one of three selection meetings per year</w:t>
      </w:r>
    </w:p>
    <w:p w:rsidR="002C6039" w:rsidRPr="004A1196" w:rsidRDefault="002C6039" w:rsidP="00C51BEE">
      <w:pPr>
        <w:pStyle w:val="ListParagraph"/>
        <w:numPr>
          <w:ilvl w:val="0"/>
          <w:numId w:val="68"/>
        </w:numPr>
        <w:rPr>
          <w:color w:val="0B2B43" w:themeColor="text2" w:themeShade="80"/>
        </w:rPr>
      </w:pPr>
      <w:r w:rsidRPr="004A1196">
        <w:rPr>
          <w:color w:val="0B2B43" w:themeColor="text2" w:themeShade="80"/>
        </w:rPr>
        <w:t>grant outcomes should be announced within a maximum of six months from the submission of applications</w:t>
      </w:r>
    </w:p>
    <w:p w:rsidR="002C6039" w:rsidRPr="004A1196" w:rsidRDefault="002C6039" w:rsidP="00C51BEE">
      <w:pPr>
        <w:pStyle w:val="ListParagraph"/>
        <w:numPr>
          <w:ilvl w:val="0"/>
          <w:numId w:val="68"/>
        </w:numPr>
        <w:rPr>
          <w:color w:val="0B2B43" w:themeColor="text2" w:themeShade="80"/>
        </w:rPr>
      </w:pPr>
      <w:r w:rsidRPr="004A1196">
        <w:rPr>
          <w:color w:val="0B2B43" w:themeColor="text2" w:themeShade="80"/>
        </w:rPr>
        <w:t>the ARC revises its guidance for selection advisory committees for the Linkage Projects scheme to ensure that high quality proposals that involve business partner organisations are given greater priority</w:t>
      </w:r>
    </w:p>
    <w:p w:rsidR="002C6039" w:rsidRPr="004A1196" w:rsidRDefault="002C6039" w:rsidP="00C51BEE">
      <w:pPr>
        <w:pStyle w:val="ListParagraph"/>
        <w:numPr>
          <w:ilvl w:val="0"/>
          <w:numId w:val="68"/>
        </w:numPr>
        <w:rPr>
          <w:color w:val="0B2B43" w:themeColor="text2" w:themeShade="80"/>
        </w:rPr>
      </w:pPr>
      <w:proofErr w:type="gramStart"/>
      <w:r w:rsidRPr="004A1196">
        <w:rPr>
          <w:color w:val="0B2B43" w:themeColor="text2" w:themeShade="80"/>
        </w:rPr>
        <w:t>the</w:t>
      </w:r>
      <w:proofErr w:type="gramEnd"/>
      <w:r w:rsidRPr="004A1196">
        <w:rPr>
          <w:color w:val="0B2B43" w:themeColor="text2" w:themeShade="80"/>
        </w:rPr>
        <w:t xml:space="preserve"> Education and Training portfolio, in consultation with the Department of Finance, assess whether additional resources are required by the ARC to undertake continuous Linkage Projects rounds, and provide advice to government accordingly.</w:t>
      </w:r>
    </w:p>
    <w:p w:rsidR="002C6039" w:rsidRPr="004A1196" w:rsidRDefault="002C6039" w:rsidP="002C6039">
      <w:pPr>
        <w:pStyle w:val="ListParagraph"/>
        <w:ind w:left="1080"/>
        <w:rPr>
          <w:color w:val="0B2B43" w:themeColor="text2" w:themeShade="80"/>
        </w:rPr>
      </w:pPr>
    </w:p>
    <w:p w:rsidR="002C6039" w:rsidRPr="004A1196" w:rsidRDefault="002C6039" w:rsidP="001C2886">
      <w:pPr>
        <w:pStyle w:val="ListParagraph"/>
        <w:numPr>
          <w:ilvl w:val="0"/>
          <w:numId w:val="65"/>
        </w:numPr>
        <w:rPr>
          <w:color w:val="0B2B43" w:themeColor="text2" w:themeShade="80"/>
        </w:rPr>
      </w:pPr>
      <w:r w:rsidRPr="004A1196">
        <w:rPr>
          <w:color w:val="0B2B43" w:themeColor="text2" w:themeShade="80"/>
        </w:rPr>
        <w:t>The review recommends that businesses with up to 20 employees be exempt from the requirement for partner organisations to provide cash contributions under the ARC Linkage Projects scheme.</w:t>
      </w:r>
    </w:p>
    <w:p w:rsidR="002C6039" w:rsidRPr="004A1196" w:rsidRDefault="002C6039" w:rsidP="002C6039">
      <w:pPr>
        <w:pStyle w:val="ListParagraph"/>
        <w:ind w:left="360"/>
        <w:rPr>
          <w:color w:val="0B2B43" w:themeColor="text2" w:themeShade="80"/>
        </w:rPr>
      </w:pPr>
    </w:p>
    <w:p w:rsidR="002C6039" w:rsidRPr="004A1196" w:rsidRDefault="002C6039" w:rsidP="001C2886">
      <w:pPr>
        <w:pStyle w:val="ListParagraph"/>
        <w:numPr>
          <w:ilvl w:val="0"/>
          <w:numId w:val="65"/>
        </w:numPr>
        <w:rPr>
          <w:color w:val="0B2B43" w:themeColor="text2" w:themeShade="80"/>
        </w:rPr>
      </w:pPr>
      <w:r w:rsidRPr="004A1196">
        <w:rPr>
          <w:color w:val="0B2B43" w:themeColor="text2" w:themeShade="80"/>
        </w:rPr>
        <w:t xml:space="preserve">The review recommends the establishment of expert panels to assess the elements of ARC grant proposals that relate specifically to commercialisation potential and collaboration with businesses and other </w:t>
      </w:r>
      <w:r w:rsidR="003904BC">
        <w:rPr>
          <w:color w:val="0B2B43" w:themeColor="text2" w:themeShade="80"/>
        </w:rPr>
        <w:t>end user</w:t>
      </w:r>
      <w:r w:rsidRPr="004A1196">
        <w:rPr>
          <w:color w:val="0B2B43" w:themeColor="text2" w:themeShade="80"/>
        </w:rPr>
        <w:t>s.</w:t>
      </w:r>
    </w:p>
    <w:p w:rsidR="002C6039" w:rsidRPr="004A1196" w:rsidRDefault="002C6039" w:rsidP="002C6039">
      <w:pPr>
        <w:pStyle w:val="ListParagraph"/>
        <w:rPr>
          <w:color w:val="0B2B43" w:themeColor="text2" w:themeShade="80"/>
        </w:rPr>
      </w:pPr>
    </w:p>
    <w:p w:rsidR="002C6039" w:rsidRPr="004A1196" w:rsidRDefault="002C6039" w:rsidP="001C2886">
      <w:pPr>
        <w:pStyle w:val="ListParagraph"/>
        <w:numPr>
          <w:ilvl w:val="0"/>
          <w:numId w:val="65"/>
        </w:numPr>
        <w:rPr>
          <w:color w:val="0B2B43" w:themeColor="text2" w:themeShade="80"/>
        </w:rPr>
      </w:pPr>
      <w:r w:rsidRPr="004A1196">
        <w:rPr>
          <w:color w:val="0B2B43" w:themeColor="text2" w:themeShade="80"/>
        </w:rPr>
        <w:t>The review recommends that:</w:t>
      </w:r>
    </w:p>
    <w:p w:rsidR="002C6039" w:rsidRPr="004A1196" w:rsidRDefault="002C6039" w:rsidP="00A83F29">
      <w:pPr>
        <w:pStyle w:val="ListParagraph"/>
        <w:numPr>
          <w:ilvl w:val="1"/>
          <w:numId w:val="65"/>
        </w:numPr>
        <w:rPr>
          <w:color w:val="0B2B43" w:themeColor="text2" w:themeShade="80"/>
        </w:rPr>
      </w:pPr>
      <w:r w:rsidRPr="004A1196">
        <w:rPr>
          <w:color w:val="0B2B43" w:themeColor="text2" w:themeShade="80"/>
        </w:rPr>
        <w:t xml:space="preserve">universities take a more active role </w:t>
      </w:r>
      <w:r w:rsidR="00614034">
        <w:rPr>
          <w:color w:val="0B2B43" w:themeColor="text2" w:themeShade="80"/>
        </w:rPr>
        <w:t>in</w:t>
      </w:r>
      <w:r w:rsidRPr="004A1196">
        <w:rPr>
          <w:color w:val="0B2B43" w:themeColor="text2" w:themeShade="80"/>
        </w:rPr>
        <w:t xml:space="preserve"> scrutinis</w:t>
      </w:r>
      <w:r w:rsidR="00614034">
        <w:rPr>
          <w:color w:val="0B2B43" w:themeColor="text2" w:themeShade="80"/>
        </w:rPr>
        <w:t>ing</w:t>
      </w:r>
      <w:r w:rsidRPr="004A1196">
        <w:rPr>
          <w:color w:val="0B2B43" w:themeColor="text2" w:themeShade="80"/>
        </w:rPr>
        <w:t xml:space="preserve"> applications for competitive research grant funding to filter out those potential applications which are less competitive</w:t>
      </w:r>
    </w:p>
    <w:p w:rsidR="002C6039" w:rsidRPr="004A1196" w:rsidRDefault="002C6039" w:rsidP="00A83F29">
      <w:pPr>
        <w:pStyle w:val="ListParagraph"/>
        <w:numPr>
          <w:ilvl w:val="1"/>
          <w:numId w:val="65"/>
        </w:numPr>
        <w:rPr>
          <w:color w:val="0B2B43" w:themeColor="text2" w:themeShade="80"/>
        </w:rPr>
      </w:pPr>
      <w:r w:rsidRPr="004A1196">
        <w:rPr>
          <w:color w:val="0B2B43" w:themeColor="text2" w:themeShade="80"/>
        </w:rPr>
        <w:t xml:space="preserve">greater prominence should be given to the </w:t>
      </w:r>
      <w:proofErr w:type="spellStart"/>
      <w:r w:rsidRPr="004A1196">
        <w:rPr>
          <w:color w:val="0B2B43" w:themeColor="text2" w:themeShade="80"/>
        </w:rPr>
        <w:t>ARC’s</w:t>
      </w:r>
      <w:proofErr w:type="spellEnd"/>
      <w:r w:rsidRPr="004A1196">
        <w:rPr>
          <w:color w:val="0B2B43" w:themeColor="text2" w:themeShade="80"/>
        </w:rPr>
        <w:t xml:space="preserve"> and </w:t>
      </w:r>
      <w:proofErr w:type="spellStart"/>
      <w:r w:rsidRPr="004A1196">
        <w:rPr>
          <w:color w:val="0B2B43" w:themeColor="text2" w:themeShade="80"/>
        </w:rPr>
        <w:t>NHMRC’s</w:t>
      </w:r>
      <w:proofErr w:type="spellEnd"/>
      <w:r w:rsidRPr="004A1196">
        <w:rPr>
          <w:color w:val="0B2B43" w:themeColor="text2" w:themeShade="80"/>
        </w:rPr>
        <w:t xml:space="preserve"> measures of success by institutions when considering the submission of grant applications</w:t>
      </w:r>
    </w:p>
    <w:p w:rsidR="002C6039" w:rsidRPr="004A1196" w:rsidRDefault="002C6039" w:rsidP="00A83F29">
      <w:pPr>
        <w:pStyle w:val="ListParagraph"/>
        <w:numPr>
          <w:ilvl w:val="1"/>
          <w:numId w:val="65"/>
        </w:numPr>
        <w:rPr>
          <w:color w:val="0B2B43" w:themeColor="text2" w:themeShade="80"/>
        </w:rPr>
      </w:pPr>
      <w:proofErr w:type="gramStart"/>
      <w:r w:rsidRPr="004A1196">
        <w:rPr>
          <w:color w:val="0B2B43" w:themeColor="text2" w:themeShade="80"/>
        </w:rPr>
        <w:t>universities</w:t>
      </w:r>
      <w:proofErr w:type="gramEnd"/>
      <w:r w:rsidRPr="004A1196">
        <w:rPr>
          <w:color w:val="0B2B43" w:themeColor="text2" w:themeShade="80"/>
        </w:rPr>
        <w:t xml:space="preserve"> should also revise any policies that may encourage the submission of applications without due regard to quality.</w:t>
      </w:r>
      <w:r w:rsidRPr="004A1196">
        <w:rPr>
          <w:color w:val="0B2B43" w:themeColor="text2" w:themeShade="80"/>
        </w:rPr>
        <w:br w:type="page"/>
      </w:r>
    </w:p>
    <w:p w:rsidR="002C6039" w:rsidRPr="004A1196" w:rsidRDefault="002C6039" w:rsidP="004018A9">
      <w:pPr>
        <w:pStyle w:val="RIHeading1"/>
        <w:numPr>
          <w:ilvl w:val="0"/>
          <w:numId w:val="62"/>
        </w:numPr>
        <w:rPr>
          <w:rFonts w:eastAsia="Times New Roman"/>
          <w:color w:val="0B2B43" w:themeColor="text2" w:themeShade="80"/>
        </w:rPr>
      </w:pPr>
      <w:bookmarkStart w:id="236" w:name="_Toc436563386"/>
      <w:bookmarkStart w:id="237" w:name="_Toc436574575"/>
      <w:bookmarkStart w:id="238" w:name="_Toc436579525"/>
      <w:bookmarkStart w:id="239" w:name="_Toc436579543"/>
      <w:bookmarkStart w:id="240" w:name="_Toc436651848"/>
      <w:bookmarkStart w:id="241" w:name="_Toc436659656"/>
      <w:bookmarkStart w:id="242" w:name="_Toc436660154"/>
      <w:bookmarkStart w:id="243" w:name="_Toc436663723"/>
      <w:bookmarkStart w:id="244" w:name="_Toc436664113"/>
      <w:bookmarkStart w:id="245" w:name="_Toc436664674"/>
      <w:bookmarkStart w:id="246" w:name="_Toc436664816"/>
      <w:bookmarkStart w:id="247" w:name="_Toc436665031"/>
      <w:bookmarkStart w:id="248" w:name="_Toc436666148"/>
      <w:bookmarkStart w:id="249" w:name="_Toc436666855"/>
      <w:bookmarkStart w:id="250" w:name="_Toc436666973"/>
      <w:bookmarkStart w:id="251" w:name="_Toc440378836"/>
      <w:r w:rsidRPr="004A1196">
        <w:rPr>
          <w:rFonts w:eastAsia="Times New Roman"/>
          <w:color w:val="0B2B43" w:themeColor="text2" w:themeShade="80"/>
        </w:rPr>
        <w:t xml:space="preserve">Business </w:t>
      </w:r>
      <w:r w:rsidRPr="004A1196">
        <w:rPr>
          <w:color w:val="0B2B43" w:themeColor="text2" w:themeShade="80"/>
        </w:rPr>
        <w:t>focused</w:t>
      </w:r>
      <w:r w:rsidRPr="004A1196">
        <w:rPr>
          <w:rFonts w:eastAsia="Times New Roman"/>
          <w:color w:val="0B2B43" w:themeColor="text2" w:themeShade="80"/>
        </w:rPr>
        <w:t xml:space="preserve"> research collaboration programmes</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rsidR="002C6039" w:rsidRPr="004A1196" w:rsidRDefault="002C6039" w:rsidP="002C6039">
      <w:pPr>
        <w:rPr>
          <w:rFonts w:eastAsia="Calibri"/>
          <w:color w:val="0B2B43" w:themeColor="text2" w:themeShade="80"/>
        </w:rPr>
      </w:pPr>
      <w:r w:rsidRPr="004A1196">
        <w:rPr>
          <w:rFonts w:eastAsia="Calibri"/>
          <w:color w:val="0B2B43" w:themeColor="text2" w:themeShade="80"/>
        </w:rPr>
        <w:t>The terms of reference call for advice on</w:t>
      </w:r>
      <w:r w:rsidR="0087616A">
        <w:rPr>
          <w:rFonts w:eastAsia="Calibri"/>
          <w:color w:val="0B2B43" w:themeColor="text2" w:themeShade="80"/>
        </w:rPr>
        <w:t>:</w:t>
      </w:r>
      <w:r w:rsidRPr="004A1196">
        <w:rPr>
          <w:rFonts w:eastAsia="Calibri"/>
          <w:color w:val="0B2B43" w:themeColor="text2" w:themeShade="80"/>
        </w:rPr>
        <w:t xml:space="preserve"> </w:t>
      </w:r>
    </w:p>
    <w:p w:rsidR="002C6039" w:rsidRPr="004A1196" w:rsidRDefault="002C6039" w:rsidP="002C6039">
      <w:pPr>
        <w:ind w:left="720"/>
        <w:rPr>
          <w:rFonts w:eastAsia="Calibri"/>
          <w:color w:val="0B2B43" w:themeColor="text2" w:themeShade="80"/>
        </w:rPr>
      </w:pPr>
      <w:r w:rsidRPr="004A1196">
        <w:rPr>
          <w:rFonts w:eastAsia="Calibri"/>
          <w:color w:val="0B2B43" w:themeColor="text2" w:themeShade="80"/>
          <w:sz w:val="22"/>
        </w:rPr>
        <w:t>arrangements that provide incentives to universities to increase and improve engagement and collaboration with industry and other end users, and encourage universities to engage in research commercialisation and knowledge transfer with industry and the broader community, including through funding incentives.</w:t>
      </w:r>
      <w:r w:rsidRPr="004A1196">
        <w:rPr>
          <w:rFonts w:eastAsia="Calibri"/>
          <w:color w:val="0B2B43" w:themeColor="text2" w:themeShade="80"/>
        </w:rPr>
        <w:t xml:space="preserve"> </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Collaboration with research institutions has a highl</w:t>
      </w:r>
      <w:r w:rsidR="00C0028F">
        <w:rPr>
          <w:rFonts w:eastAsia="Calibri"/>
          <w:color w:val="0B2B43" w:themeColor="text2" w:themeShade="80"/>
        </w:rPr>
        <w:t xml:space="preserve">y positive impact on business. </w:t>
      </w:r>
      <w:r w:rsidR="00910B5D">
        <w:rPr>
          <w:rFonts w:eastAsia="Calibri"/>
          <w:color w:val="0B2B43" w:themeColor="text2" w:themeShade="80"/>
        </w:rPr>
        <w:t xml:space="preserve">Data from the </w:t>
      </w:r>
      <w:r w:rsidR="00C0028F">
        <w:rPr>
          <w:rFonts w:eastAsia="Calibri"/>
          <w:color w:val="0B2B43" w:themeColor="text2" w:themeShade="80"/>
        </w:rPr>
        <w:t xml:space="preserve">Australian </w:t>
      </w:r>
      <w:r w:rsidRPr="004A1196">
        <w:rPr>
          <w:rFonts w:eastAsia="Calibri"/>
          <w:color w:val="0B2B43" w:themeColor="text2" w:themeShade="80"/>
        </w:rPr>
        <w:t>B</w:t>
      </w:r>
      <w:r w:rsidR="00C0028F">
        <w:rPr>
          <w:rFonts w:eastAsia="Calibri"/>
          <w:color w:val="0B2B43" w:themeColor="text2" w:themeShade="80"/>
        </w:rPr>
        <w:t>ureau of S</w:t>
      </w:r>
      <w:r w:rsidRPr="004A1196">
        <w:rPr>
          <w:rFonts w:eastAsia="Calibri"/>
          <w:color w:val="0B2B43" w:themeColor="text2" w:themeShade="80"/>
        </w:rPr>
        <w:t>tatistics</w:t>
      </w:r>
      <w:r w:rsidR="00534CDE">
        <w:rPr>
          <w:rFonts w:eastAsia="Calibri"/>
          <w:color w:val="0B2B43" w:themeColor="text2" w:themeShade="80"/>
        </w:rPr>
        <w:t xml:space="preserve"> (ABS)</w:t>
      </w:r>
      <w:r w:rsidRPr="004A1196">
        <w:rPr>
          <w:rFonts w:eastAsia="Calibri"/>
          <w:color w:val="0B2B43" w:themeColor="text2" w:themeShade="80"/>
        </w:rPr>
        <w:t xml:space="preserve"> show</w:t>
      </w:r>
      <w:r w:rsidR="00910B5D">
        <w:rPr>
          <w:rFonts w:eastAsia="Calibri"/>
          <w:color w:val="0B2B43" w:themeColor="text2" w:themeShade="80"/>
        </w:rPr>
        <w:t>s</w:t>
      </w:r>
      <w:r w:rsidRPr="004A1196">
        <w:rPr>
          <w:rFonts w:eastAsia="Calibri"/>
          <w:color w:val="0B2B43" w:themeColor="text2" w:themeShade="80"/>
        </w:rPr>
        <w:t xml:space="preserve"> that collaborative innovation more than triples the likelihood of business productivity growth.</w:t>
      </w:r>
      <w:r w:rsidRPr="004A1196">
        <w:rPr>
          <w:rFonts w:eastAsia="Calibri" w:cs="Times New Roman"/>
          <w:color w:val="0B2B43" w:themeColor="text2" w:themeShade="80"/>
          <w:szCs w:val="22"/>
          <w:vertAlign w:val="superscript"/>
        </w:rPr>
        <w:footnoteReference w:id="41"/>
      </w:r>
      <w:r w:rsidRPr="004A1196">
        <w:rPr>
          <w:rFonts w:eastAsia="Calibri"/>
          <w:color w:val="0B2B43" w:themeColor="text2" w:themeShade="80"/>
        </w:rPr>
        <w:t xml:space="preserve"> </w:t>
      </w:r>
      <w:proofErr w:type="gramStart"/>
      <w:r w:rsidRPr="004A1196">
        <w:rPr>
          <w:rFonts w:eastAsia="Calibri"/>
          <w:color w:val="0B2B43" w:themeColor="text2" w:themeShade="80"/>
        </w:rPr>
        <w:t>Businesses which are innovation-active</w:t>
      </w:r>
      <w:proofErr w:type="gramEnd"/>
      <w:r w:rsidRPr="004A1196">
        <w:rPr>
          <w:rFonts w:eastAsia="Calibri"/>
          <w:color w:val="0B2B43" w:themeColor="text2" w:themeShade="80"/>
        </w:rPr>
        <w:t xml:space="preserve"> are twice as likely to export, and twice as likely to increase productivity, employment and training.</w:t>
      </w:r>
      <w:r w:rsidRPr="004A1196">
        <w:rPr>
          <w:rFonts w:eastAsia="Calibri"/>
          <w:color w:val="0B2B43" w:themeColor="text2" w:themeShade="80"/>
          <w:vertAlign w:val="superscript"/>
        </w:rPr>
        <w:footnoteReference w:id="42"/>
      </w:r>
      <w:r w:rsidRPr="004A1196">
        <w:rPr>
          <w:rFonts w:eastAsia="Calibri"/>
          <w:color w:val="0B2B43" w:themeColor="text2" w:themeShade="80"/>
        </w:rPr>
        <w:t xml:space="preserve"> </w:t>
      </w:r>
    </w:p>
    <w:p w:rsidR="002C6039" w:rsidRPr="004A1196" w:rsidRDefault="002C6039" w:rsidP="002C6039">
      <w:pPr>
        <w:rPr>
          <w:rFonts w:eastAsia="Calibri"/>
          <w:color w:val="0B2B43" w:themeColor="text2" w:themeShade="80"/>
        </w:rPr>
      </w:pPr>
      <w:r w:rsidRPr="004A1196">
        <w:rPr>
          <w:rFonts w:eastAsia="Calibri"/>
          <w:color w:val="0B2B43" w:themeColor="text2" w:themeShade="80"/>
          <w:szCs w:val="22"/>
        </w:rPr>
        <w:t>Data also shows that c</w:t>
      </w:r>
      <w:r w:rsidRPr="004A1196">
        <w:rPr>
          <w:rFonts w:eastAsia="Calibri"/>
          <w:color w:val="0B2B43" w:themeColor="text2" w:themeShade="80"/>
        </w:rPr>
        <w:t>ollaboration</w:t>
      </w:r>
      <w:r w:rsidRPr="004A1196">
        <w:rPr>
          <w:rFonts w:eastAsia="Calibri" w:cs="Times New Roman"/>
          <w:color w:val="0B2B43" w:themeColor="text2" w:themeShade="80"/>
          <w:szCs w:val="22"/>
        </w:rPr>
        <w:t xml:space="preserve"> between innovation-active businesses and universities in Australia is limited. Of the innovation-active businesses in 2012</w:t>
      </w:r>
      <w:r w:rsidRPr="004A1196">
        <w:rPr>
          <w:rFonts w:eastAsia="Calibri" w:cs="Times New Roman"/>
          <w:color w:val="0B2B43" w:themeColor="text2" w:themeShade="80"/>
          <w:szCs w:val="22"/>
        </w:rPr>
        <w:noBreakHyphen/>
        <w:t xml:space="preserve">13, only a fraction of them reported collaborating on innovation with either universities </w:t>
      </w:r>
      <w:r w:rsidRPr="004A1196">
        <w:rPr>
          <w:rFonts w:eastAsia="Calibri"/>
          <w:color w:val="0B2B43" w:themeColor="text2" w:themeShade="80"/>
        </w:rPr>
        <w:t>(10 per cent) or research organisations (5 per cent).</w:t>
      </w:r>
      <w:r w:rsidRPr="004A1196">
        <w:rPr>
          <w:rFonts w:eastAsia="Calibri" w:cs="Times New Roman"/>
          <w:color w:val="0B2B43" w:themeColor="text2" w:themeShade="80"/>
          <w:szCs w:val="22"/>
          <w:vertAlign w:val="superscript"/>
        </w:rPr>
        <w:footnoteReference w:id="43"/>
      </w:r>
      <w:r w:rsidRPr="004A1196">
        <w:rPr>
          <w:rFonts w:eastAsia="Calibri"/>
          <w:color w:val="0B2B43" w:themeColor="text2" w:themeShade="80"/>
        </w:rPr>
        <w:t xml:space="preserve"> A substantially higher proportion (30 per cent) of innovation active businesses identified websites, journals, research papers, and publications as sources of ideas </w:t>
      </w:r>
      <w:r w:rsidR="003D608A">
        <w:rPr>
          <w:rFonts w:eastAsia="Calibri"/>
          <w:color w:val="0B2B43" w:themeColor="text2" w:themeShade="80"/>
        </w:rPr>
        <w:t>—</w:t>
      </w:r>
      <w:r w:rsidRPr="004A1196">
        <w:rPr>
          <w:rFonts w:eastAsia="Calibri"/>
          <w:color w:val="0B2B43" w:themeColor="text2" w:themeShade="80"/>
        </w:rPr>
        <w:t xml:space="preserve"> sources which predominantly</w:t>
      </w:r>
      <w:r w:rsidR="003D608A">
        <w:rPr>
          <w:rFonts w:eastAsia="Calibri"/>
          <w:color w:val="0B2B43" w:themeColor="text2" w:themeShade="80"/>
        </w:rPr>
        <w:t xml:space="preserve"> report the results of publicly </w:t>
      </w:r>
      <w:r w:rsidRPr="004A1196">
        <w:rPr>
          <w:rFonts w:eastAsia="Calibri"/>
          <w:color w:val="0B2B43" w:themeColor="text2" w:themeShade="80"/>
        </w:rPr>
        <w:t>funded research.</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In 2013-14, there were 13,500 companies that were registered under the R&amp;D Tax Incentive programme and therefore </w:t>
      </w:r>
      <w:proofErr w:type="gramStart"/>
      <w:r w:rsidRPr="004A1196">
        <w:rPr>
          <w:rFonts w:eastAsia="Calibri"/>
          <w:color w:val="0B2B43" w:themeColor="text2" w:themeShade="80"/>
        </w:rPr>
        <w:t>can be assumed to be engaged</w:t>
      </w:r>
      <w:proofErr w:type="gramEnd"/>
      <w:r w:rsidRPr="004A1196">
        <w:rPr>
          <w:rFonts w:eastAsia="Calibri"/>
          <w:color w:val="0B2B43" w:themeColor="text2" w:themeShade="80"/>
        </w:rPr>
        <w:t xml:space="preserve"> in </w:t>
      </w:r>
      <w:r w:rsidR="00910B5D">
        <w:rPr>
          <w:rFonts w:eastAsia="Calibri"/>
          <w:color w:val="0B2B43" w:themeColor="text2" w:themeShade="80"/>
        </w:rPr>
        <w:t>research and development (</w:t>
      </w:r>
      <w:r w:rsidRPr="004A1196">
        <w:rPr>
          <w:rFonts w:eastAsia="Calibri"/>
          <w:color w:val="0B2B43" w:themeColor="text2" w:themeShade="80"/>
        </w:rPr>
        <w:t>R&amp;D</w:t>
      </w:r>
      <w:r w:rsidR="00910B5D">
        <w:rPr>
          <w:rFonts w:eastAsia="Calibri"/>
          <w:color w:val="0B2B43" w:themeColor="text2" w:themeShade="80"/>
        </w:rPr>
        <w:t>)</w:t>
      </w:r>
      <w:r w:rsidRPr="004A1196">
        <w:rPr>
          <w:rFonts w:eastAsia="Calibri"/>
          <w:color w:val="0B2B43" w:themeColor="text2" w:themeShade="80"/>
        </w:rPr>
        <w:t>, but there were only 1,800 businesses involved in Commonwealth funded collaboration programmes.</w:t>
      </w:r>
      <w:r w:rsidRPr="004A1196">
        <w:rPr>
          <w:rFonts w:eastAsia="Calibri"/>
          <w:color w:val="0B2B43" w:themeColor="text2" w:themeShade="80"/>
          <w:vertAlign w:val="superscript"/>
        </w:rPr>
        <w:footnoteReference w:id="44"/>
      </w:r>
      <w:r w:rsidR="00C4533A" w:rsidRPr="004A1196">
        <w:rPr>
          <w:rFonts w:eastAsia="Calibri"/>
          <w:color w:val="0B2B43" w:themeColor="text2" w:themeShade="80"/>
        </w:rPr>
        <w:t xml:space="preserve"> </w:t>
      </w:r>
      <w:r w:rsidRPr="004A1196">
        <w:rPr>
          <w:rFonts w:eastAsia="Calibri"/>
          <w:color w:val="0B2B43" w:themeColor="text2" w:themeShade="80"/>
        </w:rPr>
        <w:t xml:space="preserve">This suggests that collaboration programmes achieve relatively limited penetration with only a small proportion of R&amp;D active businesses taking part in engagement. </w:t>
      </w:r>
    </w:p>
    <w:p w:rsidR="002C6039" w:rsidRPr="004A1196" w:rsidRDefault="002C6039" w:rsidP="002C6039">
      <w:pPr>
        <w:rPr>
          <w:rFonts w:eastAsia="Calibri" w:cs="Times New Roman"/>
          <w:color w:val="0B2B43" w:themeColor="text2" w:themeShade="80"/>
          <w:szCs w:val="22"/>
        </w:rPr>
      </w:pPr>
      <w:r w:rsidRPr="004A1196">
        <w:rPr>
          <w:rFonts w:eastAsia="Calibri"/>
          <w:color w:val="0B2B43" w:themeColor="text2" w:themeShade="80"/>
        </w:rPr>
        <w:t>Australia’s business expenditure on R&amp;D (</w:t>
      </w:r>
      <w:proofErr w:type="spellStart"/>
      <w:r w:rsidRPr="004A1196">
        <w:rPr>
          <w:rFonts w:eastAsia="Calibri"/>
          <w:color w:val="0B2B43" w:themeColor="text2" w:themeShade="80"/>
        </w:rPr>
        <w:t>BERD</w:t>
      </w:r>
      <w:proofErr w:type="spellEnd"/>
      <w:r w:rsidRPr="004A1196">
        <w:rPr>
          <w:rFonts w:eastAsia="Calibri"/>
          <w:color w:val="0B2B43" w:themeColor="text2" w:themeShade="80"/>
        </w:rPr>
        <w:t>) as a proportion of GDP at 1.19 per cent is below the OECD average of 1.35 per cent</w:t>
      </w:r>
      <w:r w:rsidRPr="004A1196">
        <w:rPr>
          <w:rFonts w:eastAsia="Calibri"/>
          <w:color w:val="0B2B43" w:themeColor="text2" w:themeShade="80"/>
          <w:vertAlign w:val="superscript"/>
        </w:rPr>
        <w:t xml:space="preserve"> </w:t>
      </w:r>
      <w:r w:rsidRPr="004A1196">
        <w:rPr>
          <w:rFonts w:eastAsia="Calibri"/>
          <w:color w:val="0B2B43" w:themeColor="text2" w:themeShade="80"/>
          <w:vertAlign w:val="superscript"/>
        </w:rPr>
        <w:footnoteReference w:id="45"/>
      </w:r>
      <w:r w:rsidRPr="004A1196">
        <w:rPr>
          <w:rFonts w:eastAsia="Calibri"/>
          <w:color w:val="0B2B43" w:themeColor="text2" w:themeShade="80"/>
        </w:rPr>
        <w:t xml:space="preserve"> and collaboration between the research and business sectors is poor.</w:t>
      </w:r>
      <w:r w:rsidRPr="004A1196">
        <w:rPr>
          <w:rFonts w:eastAsia="Calibri" w:cs="Times New Roman"/>
          <w:color w:val="0B2B43" w:themeColor="text2" w:themeShade="80"/>
          <w:szCs w:val="22"/>
          <w:vertAlign w:val="superscript"/>
        </w:rPr>
        <w:footnoteReference w:id="46"/>
      </w:r>
      <w:r w:rsidRPr="004A1196">
        <w:rPr>
          <w:rFonts w:eastAsia="Calibri"/>
          <w:color w:val="0B2B43" w:themeColor="text2" w:themeShade="80"/>
        </w:rPr>
        <w:t xml:space="preserve"> This means that even when universities or publicly fund</w:t>
      </w:r>
      <w:r w:rsidR="00DC332D">
        <w:rPr>
          <w:rFonts w:eastAsia="Calibri"/>
          <w:color w:val="0B2B43" w:themeColor="text2" w:themeShade="80"/>
        </w:rPr>
        <w:t>ed research organisations (</w:t>
      </w:r>
      <w:proofErr w:type="spellStart"/>
      <w:r w:rsidR="00DC332D">
        <w:rPr>
          <w:rFonts w:eastAsia="Calibri"/>
          <w:color w:val="0B2B43" w:themeColor="text2" w:themeShade="80"/>
        </w:rPr>
        <w:t>PFRO</w:t>
      </w:r>
      <w:proofErr w:type="spellEnd"/>
      <w:r w:rsidRPr="004A1196">
        <w:rPr>
          <w:rFonts w:eastAsia="Calibri"/>
          <w:color w:val="0B2B43" w:themeColor="text2" w:themeShade="80"/>
        </w:rPr>
        <w:t xml:space="preserve">) undertake innovation relevant research, in the absence of strong linkages with business, the research is unlikely to </w:t>
      </w:r>
      <w:proofErr w:type="gramStart"/>
      <w:r w:rsidRPr="004A1196">
        <w:rPr>
          <w:rFonts w:eastAsia="Calibri"/>
          <w:color w:val="0B2B43" w:themeColor="text2" w:themeShade="80"/>
        </w:rPr>
        <w:t>be translated</w:t>
      </w:r>
      <w:proofErr w:type="gramEnd"/>
      <w:r w:rsidRPr="004A1196">
        <w:rPr>
          <w:rFonts w:eastAsia="Calibri"/>
          <w:color w:val="0B2B43" w:themeColor="text2" w:themeShade="80"/>
        </w:rPr>
        <w:t xml:space="preserve"> into benefits for business.</w:t>
      </w:r>
      <w:r w:rsidRPr="004A1196">
        <w:rPr>
          <w:rFonts w:eastAsia="Calibri" w:cs="Times New Roman"/>
          <w:color w:val="0B2B43" w:themeColor="text2" w:themeShade="80"/>
          <w:szCs w:val="22"/>
        </w:rPr>
        <w:t xml:space="preserve"> </w:t>
      </w:r>
    </w:p>
    <w:p w:rsidR="002C6039" w:rsidRPr="004A1196" w:rsidRDefault="002C6039" w:rsidP="002C6039">
      <w:pPr>
        <w:rPr>
          <w:rFonts w:eastAsia="Calibri" w:cs="Times New Roman"/>
          <w:color w:val="0B2B43" w:themeColor="text2" w:themeShade="80"/>
        </w:rPr>
      </w:pPr>
      <w:r w:rsidRPr="004A1196">
        <w:rPr>
          <w:rFonts w:eastAsia="Calibri" w:cs="Times New Roman"/>
          <w:color w:val="0B2B43" w:themeColor="text2" w:themeShade="80"/>
        </w:rPr>
        <w:t xml:space="preserve">Australian Government spending on collaboration programmes was $575 million in 2014-15, which included spending on </w:t>
      </w:r>
      <w:proofErr w:type="gramStart"/>
      <w:r w:rsidRPr="004A1196">
        <w:rPr>
          <w:rFonts w:eastAsia="Calibri" w:cs="Times New Roman"/>
          <w:color w:val="0B2B43" w:themeColor="text2" w:themeShade="80"/>
        </w:rPr>
        <w:t>business focused</w:t>
      </w:r>
      <w:proofErr w:type="gramEnd"/>
      <w:r w:rsidRPr="004A1196">
        <w:rPr>
          <w:rFonts w:eastAsia="Calibri" w:cs="Times New Roman"/>
          <w:color w:val="0B2B43" w:themeColor="text2" w:themeShade="80"/>
        </w:rPr>
        <w:t xml:space="preserve"> collaboration </w:t>
      </w:r>
      <w:r w:rsidRPr="004A1196">
        <w:rPr>
          <w:rFonts w:eastAsia="Calibri"/>
          <w:color w:val="0B2B43" w:themeColor="text2" w:themeShade="80"/>
        </w:rPr>
        <w:t>programmes</w:t>
      </w:r>
      <w:r w:rsidR="005B0728">
        <w:rPr>
          <w:rFonts w:eastAsia="Calibri" w:cs="Times New Roman"/>
          <w:color w:val="0B2B43" w:themeColor="text2" w:themeShade="80"/>
        </w:rPr>
        <w:t xml:space="preserve"> of </w:t>
      </w:r>
      <w:r w:rsidRPr="004A1196">
        <w:rPr>
          <w:rFonts w:eastAsia="Calibri" w:cs="Times New Roman"/>
          <w:color w:val="0B2B43" w:themeColor="text2" w:themeShade="80"/>
        </w:rPr>
        <w:t>$515 millio</w:t>
      </w:r>
      <w:r w:rsidRPr="004A1196">
        <w:rPr>
          <w:rFonts w:eastAsia="Calibri" w:cs="Times New Roman"/>
          <w:color w:val="0B2B43" w:themeColor="text2" w:themeShade="80"/>
          <w:szCs w:val="22"/>
        </w:rPr>
        <w:t>n</w:t>
      </w:r>
      <w:r w:rsidRPr="004A1196">
        <w:rPr>
          <w:rFonts w:eastAsia="Calibri" w:cs="Times New Roman"/>
          <w:color w:val="0B2B43" w:themeColor="text2" w:themeShade="80"/>
        </w:rPr>
        <w:t xml:space="preserve">. The latter is a small proportion, at 5.1 per </w:t>
      </w:r>
      <w:r w:rsidRPr="004A1196">
        <w:rPr>
          <w:rFonts w:eastAsia="Calibri"/>
          <w:color w:val="0B2B43" w:themeColor="text2" w:themeShade="80"/>
        </w:rPr>
        <w:t>cent,</w:t>
      </w:r>
      <w:r w:rsidRPr="004A1196">
        <w:rPr>
          <w:rFonts w:eastAsia="Calibri" w:cs="Times New Roman"/>
          <w:color w:val="0B2B43" w:themeColor="text2" w:themeShade="80"/>
        </w:rPr>
        <w:t xml:space="preserve"> of the overall science research and innovation (SRI) budget for this period.</w:t>
      </w:r>
      <w:r w:rsidRPr="004A1196">
        <w:rPr>
          <w:rFonts w:eastAsia="Calibri" w:cs="Times New Roman"/>
          <w:color w:val="0B2B43" w:themeColor="text2" w:themeShade="80"/>
          <w:vertAlign w:val="superscript"/>
        </w:rPr>
        <w:footnoteReference w:id="47"/>
      </w:r>
      <w:r w:rsidRPr="004A1196">
        <w:rPr>
          <w:rFonts w:eastAsia="Calibri" w:cs="Times New Roman"/>
          <w:color w:val="0B2B43" w:themeColor="text2" w:themeShade="80"/>
        </w:rPr>
        <w:t xml:space="preserve"> Funding of $259 million </w:t>
      </w:r>
      <w:proofErr w:type="gramStart"/>
      <w:r w:rsidRPr="004A1196">
        <w:rPr>
          <w:rFonts w:eastAsia="Calibri" w:cs="Times New Roman"/>
          <w:color w:val="0B2B43" w:themeColor="text2" w:themeShade="80"/>
        </w:rPr>
        <w:t>was allocated</w:t>
      </w:r>
      <w:proofErr w:type="gramEnd"/>
      <w:r w:rsidRPr="004A1196">
        <w:rPr>
          <w:rFonts w:eastAsia="Calibri" w:cs="Times New Roman"/>
          <w:color w:val="0B2B43" w:themeColor="text2" w:themeShade="80"/>
        </w:rPr>
        <w:t xml:space="preserve"> to Rural Research and Development Corporations (</w:t>
      </w:r>
      <w:proofErr w:type="spellStart"/>
      <w:r w:rsidRPr="004A1196">
        <w:rPr>
          <w:rFonts w:eastAsia="Calibri" w:cs="Times New Roman"/>
          <w:color w:val="0B2B43" w:themeColor="text2" w:themeShade="80"/>
        </w:rPr>
        <w:t>RDC</w:t>
      </w:r>
      <w:proofErr w:type="spellEnd"/>
      <w:r w:rsidRPr="004A1196">
        <w:rPr>
          <w:rFonts w:eastAsia="Calibri" w:cs="Times New Roman"/>
          <w:color w:val="0B2B43" w:themeColor="text2" w:themeShade="80"/>
        </w:rPr>
        <w:t xml:space="preserve">) for collaboration between researchers and business. The remaining $256 million </w:t>
      </w:r>
      <w:proofErr w:type="gramStart"/>
      <w:r w:rsidRPr="004A1196">
        <w:rPr>
          <w:rFonts w:eastAsia="Calibri" w:cs="Times New Roman"/>
          <w:color w:val="0B2B43" w:themeColor="text2" w:themeShade="80"/>
        </w:rPr>
        <w:t>was allocated</w:t>
      </w:r>
      <w:proofErr w:type="gramEnd"/>
      <w:r w:rsidRPr="004A1196">
        <w:rPr>
          <w:rFonts w:eastAsia="Calibri" w:cs="Times New Roman"/>
          <w:color w:val="0B2B43" w:themeColor="text2" w:themeShade="80"/>
        </w:rPr>
        <w:t xml:space="preserve"> for all other collaboration programmes, such as the National Health and Medical Research (NHMRC) Development and Partnership schemes, Australian Research Council (ARC) Linkage programmes, Research Connections and C</w:t>
      </w:r>
      <w:r w:rsidR="0014465E">
        <w:rPr>
          <w:rFonts w:eastAsia="Calibri" w:cs="Times New Roman"/>
          <w:color w:val="0B2B43" w:themeColor="text2" w:themeShade="80"/>
        </w:rPr>
        <w:t xml:space="preserve">ooperative </w:t>
      </w:r>
      <w:r w:rsidRPr="004A1196">
        <w:rPr>
          <w:rFonts w:eastAsia="Calibri" w:cs="Times New Roman"/>
          <w:color w:val="0B2B43" w:themeColor="text2" w:themeShade="80"/>
        </w:rPr>
        <w:t>R</w:t>
      </w:r>
      <w:r w:rsidR="0014465E">
        <w:rPr>
          <w:rFonts w:eastAsia="Calibri" w:cs="Times New Roman"/>
          <w:color w:val="0B2B43" w:themeColor="text2" w:themeShade="80"/>
        </w:rPr>
        <w:t xml:space="preserve">esearch </w:t>
      </w:r>
      <w:r w:rsidRPr="004A1196">
        <w:rPr>
          <w:rFonts w:eastAsia="Calibri" w:cs="Times New Roman"/>
          <w:color w:val="0B2B43" w:themeColor="text2" w:themeShade="80"/>
        </w:rPr>
        <w:t>C</w:t>
      </w:r>
      <w:r w:rsidR="0014465E">
        <w:rPr>
          <w:rFonts w:eastAsia="Calibri" w:cs="Times New Roman"/>
          <w:color w:val="0B2B43" w:themeColor="text2" w:themeShade="80"/>
        </w:rPr>
        <w:t>entres (CRC)</w:t>
      </w:r>
      <w:r w:rsidRPr="004A1196">
        <w:rPr>
          <w:rFonts w:eastAsia="Calibri" w:cs="Times New Roman"/>
          <w:color w:val="0B2B43" w:themeColor="text2" w:themeShade="80"/>
        </w:rPr>
        <w:t xml:space="preserve">. </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The review considers that there is scope to improve research collaboration in industry including through increased funding for specific initiatives, which </w:t>
      </w:r>
      <w:proofErr w:type="gramStart"/>
      <w:r w:rsidRPr="004A1196">
        <w:rPr>
          <w:rFonts w:eastAsia="Calibri"/>
          <w:color w:val="0B2B43" w:themeColor="text2" w:themeShade="80"/>
        </w:rPr>
        <w:t>are discussed</w:t>
      </w:r>
      <w:proofErr w:type="gramEnd"/>
      <w:r w:rsidRPr="004A1196">
        <w:rPr>
          <w:rFonts w:eastAsia="Calibri"/>
          <w:color w:val="0B2B43" w:themeColor="text2" w:themeShade="80"/>
        </w:rPr>
        <w:t xml:space="preserve"> later in this chapter.</w:t>
      </w:r>
    </w:p>
    <w:p w:rsidR="002C6039" w:rsidRPr="00696957" w:rsidRDefault="002C6039" w:rsidP="00696957">
      <w:pPr>
        <w:pStyle w:val="RIHeading2"/>
        <w:rPr>
          <w:rFonts w:eastAsia="Times New Roman"/>
          <w:sz w:val="28"/>
          <w:szCs w:val="28"/>
        </w:rPr>
      </w:pPr>
      <w:bookmarkStart w:id="252" w:name="_Toc436651849"/>
      <w:bookmarkStart w:id="253" w:name="_Toc436659657"/>
      <w:bookmarkStart w:id="254" w:name="_Toc436660155"/>
      <w:r w:rsidRPr="00696957">
        <w:rPr>
          <w:rFonts w:eastAsia="Times New Roman"/>
          <w:sz w:val="28"/>
          <w:szCs w:val="28"/>
        </w:rPr>
        <w:t>Australian industry and collaboration capacity</w:t>
      </w:r>
      <w:bookmarkEnd w:id="252"/>
      <w:bookmarkEnd w:id="253"/>
      <w:bookmarkEnd w:id="254"/>
      <w:r w:rsidRPr="00696957">
        <w:rPr>
          <w:rFonts w:eastAsia="Times New Roman"/>
          <w:sz w:val="28"/>
          <w:szCs w:val="28"/>
        </w:rPr>
        <w:t xml:space="preserve"> </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The OECD Innovation Strategy highlights the importance of small and medium-sized enterprises </w:t>
      </w:r>
      <w:r w:rsidR="0014465E">
        <w:rPr>
          <w:rFonts w:eastAsia="Calibri"/>
          <w:color w:val="0B2B43" w:themeColor="text2" w:themeShade="80"/>
        </w:rPr>
        <w:t>(</w:t>
      </w:r>
      <w:proofErr w:type="spellStart"/>
      <w:r w:rsidR="0014465E">
        <w:rPr>
          <w:rFonts w:eastAsia="Calibri"/>
          <w:color w:val="0B2B43" w:themeColor="text2" w:themeShade="80"/>
        </w:rPr>
        <w:t>SME</w:t>
      </w:r>
      <w:proofErr w:type="spellEnd"/>
      <w:r w:rsidR="0014465E">
        <w:rPr>
          <w:rFonts w:eastAsia="Calibri"/>
          <w:color w:val="0B2B43" w:themeColor="text2" w:themeShade="80"/>
        </w:rPr>
        <w:t xml:space="preserve">) </w:t>
      </w:r>
      <w:r w:rsidRPr="004A1196">
        <w:rPr>
          <w:rFonts w:eastAsia="Calibri"/>
          <w:color w:val="0B2B43" w:themeColor="text2" w:themeShade="80"/>
        </w:rPr>
        <w:t>in translating knowledge and ideas into jobs and wealth.</w:t>
      </w:r>
      <w:r w:rsidRPr="004A1196">
        <w:rPr>
          <w:rFonts w:eastAsia="Calibri"/>
          <w:color w:val="0B2B43" w:themeColor="text2" w:themeShade="80"/>
          <w:vertAlign w:val="superscript"/>
        </w:rPr>
        <w:footnoteReference w:id="48"/>
      </w:r>
      <w:r w:rsidRPr="004A1196">
        <w:rPr>
          <w:rFonts w:eastAsia="Calibri"/>
          <w:color w:val="0B2B43" w:themeColor="text2" w:themeShade="80"/>
        </w:rPr>
        <w:t xml:space="preserve"> Australia’s industry structure is characterised by a large number of small businesses (over 97 per cent of active businesses in Australia have fewer than 20 employees</w:t>
      </w:r>
      <w:r w:rsidRPr="004A1196">
        <w:rPr>
          <w:rFonts w:eastAsia="Calibri"/>
          <w:color w:val="0B2B43" w:themeColor="text2" w:themeShade="80"/>
          <w:vertAlign w:val="superscript"/>
        </w:rPr>
        <w:footnoteReference w:id="49"/>
      </w:r>
      <w:r w:rsidR="00285A53">
        <w:rPr>
          <w:rFonts w:eastAsia="Calibri"/>
          <w:color w:val="0B2B43" w:themeColor="text2" w:themeShade="80"/>
        </w:rPr>
        <w:t>). S</w:t>
      </w:r>
      <w:r w:rsidRPr="004A1196">
        <w:rPr>
          <w:rFonts w:eastAsia="Calibri"/>
          <w:color w:val="0B2B43" w:themeColor="text2" w:themeShade="80"/>
        </w:rPr>
        <w:t xml:space="preserve">mall business expenditure on </w:t>
      </w:r>
      <w:r w:rsidR="00EA0C40">
        <w:rPr>
          <w:rFonts w:eastAsia="Calibri"/>
          <w:color w:val="0B2B43" w:themeColor="text2" w:themeShade="80"/>
        </w:rPr>
        <w:t xml:space="preserve">R&amp;D </w:t>
      </w:r>
      <w:r w:rsidRPr="004A1196">
        <w:rPr>
          <w:rFonts w:eastAsia="Calibri"/>
          <w:color w:val="0B2B43" w:themeColor="text2" w:themeShade="80"/>
        </w:rPr>
        <w:t xml:space="preserve">represents only 17 per cent of total business expenditure on </w:t>
      </w:r>
      <w:r w:rsidR="00EA0C40">
        <w:rPr>
          <w:rFonts w:eastAsia="Calibri"/>
          <w:color w:val="0B2B43" w:themeColor="text2" w:themeShade="80"/>
        </w:rPr>
        <w:t>R&amp;D</w:t>
      </w:r>
      <w:r w:rsidRPr="004A1196">
        <w:rPr>
          <w:rFonts w:eastAsia="Calibri"/>
          <w:color w:val="0B2B43" w:themeColor="text2" w:themeShade="80"/>
        </w:rPr>
        <w:t>.</w:t>
      </w:r>
      <w:r w:rsidRPr="004A1196">
        <w:rPr>
          <w:rFonts w:eastAsia="Calibri"/>
          <w:color w:val="0B2B43" w:themeColor="text2" w:themeShade="80"/>
          <w:vertAlign w:val="superscript"/>
        </w:rPr>
        <w:footnoteReference w:id="50"/>
      </w:r>
      <w:r w:rsidRPr="004A1196">
        <w:rPr>
          <w:rFonts w:eastAsia="Calibri"/>
          <w:color w:val="0B2B43" w:themeColor="text2" w:themeShade="80"/>
        </w:rPr>
        <w:t xml:space="preserve"> </w:t>
      </w:r>
    </w:p>
    <w:p w:rsidR="002C6039" w:rsidRPr="004A1196" w:rsidRDefault="002C6039" w:rsidP="002C6039">
      <w:pPr>
        <w:rPr>
          <w:rFonts w:eastAsia="Calibri"/>
          <w:color w:val="0B2B43" w:themeColor="text2" w:themeShade="80"/>
        </w:rPr>
      </w:pPr>
      <w:proofErr w:type="spellStart"/>
      <w:r w:rsidRPr="004A1196">
        <w:rPr>
          <w:rFonts w:eastAsia="Calibri"/>
          <w:color w:val="0B2B43" w:themeColor="text2" w:themeShade="80"/>
        </w:rPr>
        <w:t>SME</w:t>
      </w:r>
      <w:proofErr w:type="spellEnd"/>
      <w:r w:rsidRPr="004A1196">
        <w:rPr>
          <w:rFonts w:eastAsia="Calibri" w:cs="Calibri"/>
          <w:color w:val="0B2B43" w:themeColor="text2" w:themeShade="80"/>
        </w:rPr>
        <w:t xml:space="preserve"> face a number of challenges in linking with </w:t>
      </w:r>
      <w:r w:rsidRPr="004A1196">
        <w:rPr>
          <w:rFonts w:eastAsia="Calibri"/>
          <w:color w:val="0B2B43" w:themeColor="text2" w:themeShade="80"/>
        </w:rPr>
        <w:t xml:space="preserve">research institutions, as they often lack the resources or expertise to clarify their research needs, identify partners and manage the collaboration. Further, </w:t>
      </w:r>
      <w:proofErr w:type="spellStart"/>
      <w:r w:rsidRPr="004A1196">
        <w:rPr>
          <w:rFonts w:eastAsia="Calibri"/>
          <w:color w:val="0B2B43" w:themeColor="text2" w:themeShade="80"/>
        </w:rPr>
        <w:t>SME</w:t>
      </w:r>
      <w:proofErr w:type="spellEnd"/>
      <w:r w:rsidRPr="004A1196">
        <w:rPr>
          <w:rFonts w:eastAsia="Calibri"/>
          <w:color w:val="0B2B43" w:themeColor="text2" w:themeShade="80"/>
        </w:rPr>
        <w:t xml:space="preserve"> are not always </w:t>
      </w:r>
      <w:r w:rsidRPr="004A1196">
        <w:rPr>
          <w:rFonts w:eastAsia="Calibri" w:cs="Calibri"/>
          <w:color w:val="0B2B43" w:themeColor="text2" w:themeShade="80"/>
        </w:rPr>
        <w:t>able</w:t>
      </w:r>
      <w:r w:rsidRPr="004A1196">
        <w:rPr>
          <w:rFonts w:eastAsia="Calibri"/>
          <w:color w:val="0B2B43" w:themeColor="text2" w:themeShade="80"/>
        </w:rPr>
        <w:t xml:space="preserve"> to access even small amounts of money to match grants. </w:t>
      </w:r>
    </w:p>
    <w:p w:rsidR="002C6039" w:rsidRPr="00696957" w:rsidRDefault="002C6039" w:rsidP="00696957">
      <w:pPr>
        <w:pStyle w:val="RIHeading2"/>
        <w:rPr>
          <w:rFonts w:eastAsia="Times New Roman"/>
          <w:sz w:val="28"/>
          <w:szCs w:val="28"/>
        </w:rPr>
      </w:pPr>
      <w:bookmarkStart w:id="255" w:name="_Toc436651850"/>
      <w:bookmarkStart w:id="256" w:name="_Toc436659658"/>
      <w:bookmarkStart w:id="257" w:name="_Toc436660156"/>
      <w:r w:rsidRPr="00696957">
        <w:rPr>
          <w:rFonts w:eastAsia="Times New Roman"/>
          <w:sz w:val="28"/>
          <w:szCs w:val="28"/>
        </w:rPr>
        <w:t>Programmes to enhance business collaboration</w:t>
      </w:r>
      <w:bookmarkEnd w:id="255"/>
      <w:bookmarkEnd w:id="256"/>
      <w:bookmarkEnd w:id="257"/>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The review considered that two programmes in particular have </w:t>
      </w:r>
      <w:r w:rsidRPr="004A1196">
        <w:rPr>
          <w:rFonts w:eastAsia="Calibri" w:cs="Calibri"/>
          <w:color w:val="0B2B43" w:themeColor="text2" w:themeShade="80"/>
        </w:rPr>
        <w:t>benefits</w:t>
      </w:r>
      <w:r w:rsidRPr="004A1196">
        <w:rPr>
          <w:rFonts w:eastAsia="Calibri"/>
          <w:color w:val="0B2B43" w:themeColor="text2" w:themeShade="80"/>
        </w:rPr>
        <w:t xml:space="preserve"> for </w:t>
      </w:r>
      <w:proofErr w:type="spellStart"/>
      <w:r w:rsidRPr="004A1196">
        <w:rPr>
          <w:rFonts w:eastAsia="Calibri"/>
          <w:color w:val="0B2B43" w:themeColor="text2" w:themeShade="80"/>
        </w:rPr>
        <w:t>SME</w:t>
      </w:r>
      <w:proofErr w:type="spellEnd"/>
      <w:r w:rsidRPr="004A1196">
        <w:rPr>
          <w:rFonts w:eastAsia="Calibri"/>
          <w:color w:val="0B2B43" w:themeColor="text2" w:themeShade="80"/>
        </w:rPr>
        <w:t>-university collaboration — the ARC Linkage Projects scheme and Research Connections.</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The Linkage Projects scheme is the </w:t>
      </w:r>
      <w:r w:rsidRPr="004A1196">
        <w:rPr>
          <w:rFonts w:eastAsia="Calibri" w:cs="Calibri"/>
          <w:color w:val="0B2B43" w:themeColor="text2" w:themeShade="80"/>
        </w:rPr>
        <w:t>only</w:t>
      </w:r>
      <w:r w:rsidRPr="004A1196">
        <w:rPr>
          <w:rFonts w:eastAsia="Calibri"/>
          <w:color w:val="0B2B43" w:themeColor="text2" w:themeShade="80"/>
        </w:rPr>
        <w:t xml:space="preserve"> large programme to offer </w:t>
      </w:r>
      <w:r w:rsidRPr="004A1196">
        <w:rPr>
          <w:rFonts w:eastAsia="Calibri" w:cs="Calibri"/>
          <w:color w:val="0B2B43" w:themeColor="text2" w:themeShade="80"/>
        </w:rPr>
        <w:t>grants</w:t>
      </w:r>
      <w:r w:rsidRPr="004A1196">
        <w:rPr>
          <w:rFonts w:eastAsia="Calibri"/>
          <w:color w:val="0B2B43" w:themeColor="text2" w:themeShade="80"/>
        </w:rPr>
        <w:t xml:space="preserve"> with a value of less than half a million dollars. The review identified that the requirement for matching funding is likely to be an impediment for </w:t>
      </w:r>
      <w:proofErr w:type="spellStart"/>
      <w:r w:rsidRPr="004A1196">
        <w:rPr>
          <w:rFonts w:eastAsia="Calibri"/>
          <w:color w:val="0B2B43" w:themeColor="text2" w:themeShade="80"/>
        </w:rPr>
        <w:t>SME</w:t>
      </w:r>
      <w:proofErr w:type="spellEnd"/>
      <w:r w:rsidRPr="004A1196">
        <w:rPr>
          <w:rFonts w:eastAsia="Calibri"/>
          <w:color w:val="0B2B43" w:themeColor="text2" w:themeShade="80"/>
        </w:rPr>
        <w:t xml:space="preserve"> and concluded that the current </w:t>
      </w:r>
      <w:proofErr w:type="gramStart"/>
      <w:r w:rsidRPr="004A1196">
        <w:rPr>
          <w:rFonts w:eastAsia="Calibri"/>
          <w:color w:val="0B2B43" w:themeColor="text2" w:themeShade="80"/>
        </w:rPr>
        <w:t>cash matching</w:t>
      </w:r>
      <w:proofErr w:type="gramEnd"/>
      <w:r w:rsidRPr="004A1196">
        <w:rPr>
          <w:rFonts w:eastAsia="Calibri"/>
          <w:color w:val="0B2B43" w:themeColor="text2" w:themeShade="80"/>
        </w:rPr>
        <w:t xml:space="preserve"> requirement should be removed for </w:t>
      </w:r>
      <w:r w:rsidRPr="004A1196">
        <w:rPr>
          <w:rFonts w:eastAsia="Calibri" w:cs="Calibri"/>
          <w:color w:val="0B2B43" w:themeColor="text2" w:themeShade="80"/>
        </w:rPr>
        <w:t>businesses</w:t>
      </w:r>
      <w:r w:rsidRPr="004A1196">
        <w:rPr>
          <w:rFonts w:eastAsia="Calibri"/>
          <w:color w:val="0B2B43" w:themeColor="text2" w:themeShade="80"/>
        </w:rPr>
        <w:t xml:space="preserve"> with twenty employees or fewer. The review also identified that the annual grant approval process acted as </w:t>
      </w:r>
      <w:r w:rsidR="00EA0C40">
        <w:rPr>
          <w:rFonts w:eastAsia="Calibri"/>
          <w:color w:val="0B2B43" w:themeColor="text2" w:themeShade="80"/>
        </w:rPr>
        <w:t xml:space="preserve">a </w:t>
      </w:r>
      <w:r w:rsidRPr="004A1196">
        <w:rPr>
          <w:rFonts w:eastAsia="Calibri"/>
          <w:color w:val="0B2B43" w:themeColor="text2" w:themeShade="80"/>
        </w:rPr>
        <w:t xml:space="preserve">barrier to businesses in applying for grants, and recommends more frequent grant approval rounds (refer to </w:t>
      </w:r>
      <w:r w:rsidR="00363CA3" w:rsidRPr="004A1196">
        <w:rPr>
          <w:rFonts w:eastAsia="Calibri"/>
          <w:color w:val="0B2B43" w:themeColor="text2" w:themeShade="80"/>
        </w:rPr>
        <w:t>C</w:t>
      </w:r>
      <w:r w:rsidRPr="004A1196">
        <w:rPr>
          <w:rFonts w:eastAsia="Calibri"/>
          <w:color w:val="0B2B43" w:themeColor="text2" w:themeShade="80"/>
        </w:rPr>
        <w:t>hapter</w:t>
      </w:r>
      <w:r w:rsidR="00363CA3" w:rsidRPr="004A1196">
        <w:rPr>
          <w:rFonts w:eastAsia="Calibri"/>
          <w:color w:val="0B2B43" w:themeColor="text2" w:themeShade="80"/>
        </w:rPr>
        <w:t> </w:t>
      </w:r>
      <w:r w:rsidR="00C31865" w:rsidRPr="004A1196">
        <w:rPr>
          <w:rFonts w:eastAsia="Calibri"/>
          <w:color w:val="0B2B43" w:themeColor="text2" w:themeShade="80"/>
        </w:rPr>
        <w:t>3</w:t>
      </w:r>
      <w:r w:rsidR="00363CA3" w:rsidRPr="004A1196">
        <w:rPr>
          <w:rFonts w:eastAsia="Calibri"/>
          <w:color w:val="0B2B43" w:themeColor="text2" w:themeShade="80"/>
        </w:rPr>
        <w:t xml:space="preserve"> </w:t>
      </w:r>
      <w:r w:rsidRPr="004A1196">
        <w:rPr>
          <w:rFonts w:eastAsia="Calibri"/>
          <w:color w:val="0B2B43" w:themeColor="text2" w:themeShade="80"/>
        </w:rPr>
        <w:t xml:space="preserve">on </w:t>
      </w:r>
      <w:r w:rsidR="00363CA3" w:rsidRPr="004A1196">
        <w:rPr>
          <w:rFonts w:eastAsia="Calibri"/>
          <w:color w:val="0B2B43" w:themeColor="text2" w:themeShade="80"/>
        </w:rPr>
        <w:t>competitive grant programmes</w:t>
      </w:r>
      <w:r w:rsidRPr="004A1196">
        <w:rPr>
          <w:rFonts w:eastAsia="Calibri"/>
          <w:color w:val="0B2B43" w:themeColor="text2" w:themeShade="80"/>
        </w:rPr>
        <w:t>).</w:t>
      </w:r>
    </w:p>
    <w:p w:rsidR="002C6039" w:rsidRPr="004A1196" w:rsidRDefault="002C6039" w:rsidP="002C6039">
      <w:pPr>
        <w:rPr>
          <w:rFonts w:eastAsia="Calibri" w:cs="Calibri"/>
          <w:color w:val="0B2B43" w:themeColor="text2" w:themeShade="80"/>
          <w:szCs w:val="22"/>
        </w:rPr>
      </w:pPr>
      <w:r w:rsidRPr="004A1196">
        <w:rPr>
          <w:rFonts w:eastAsia="Calibri"/>
          <w:color w:val="0B2B43" w:themeColor="text2" w:themeShade="80"/>
        </w:rPr>
        <w:t>Research Connections</w:t>
      </w:r>
      <w:r w:rsidRPr="004A1196">
        <w:rPr>
          <w:rFonts w:eastAsia="Calibri" w:cs="Calibri"/>
          <w:color w:val="0B2B43" w:themeColor="text2" w:themeShade="80"/>
        </w:rPr>
        <w:t>, administered by the Department of Industry, Innovation and Science,</w:t>
      </w:r>
      <w:r w:rsidRPr="004A1196">
        <w:rPr>
          <w:rFonts w:eastAsia="Calibri"/>
          <w:color w:val="0B2B43" w:themeColor="text2" w:themeShade="80"/>
        </w:rPr>
        <w:t xml:space="preserve"> helps </w:t>
      </w:r>
      <w:proofErr w:type="spellStart"/>
      <w:r w:rsidRPr="004A1196">
        <w:rPr>
          <w:rFonts w:eastAsia="Calibri"/>
          <w:color w:val="0B2B43" w:themeColor="text2" w:themeShade="80"/>
        </w:rPr>
        <w:t>SME</w:t>
      </w:r>
      <w:proofErr w:type="spellEnd"/>
      <w:r w:rsidRPr="004A1196">
        <w:rPr>
          <w:rFonts w:eastAsia="Calibri"/>
          <w:color w:val="0B2B43" w:themeColor="text2" w:themeShade="80"/>
        </w:rPr>
        <w:t xml:space="preserve"> in a variety of ways including to purchase research</w:t>
      </w:r>
      <w:r w:rsidR="00867F94">
        <w:rPr>
          <w:rFonts w:eastAsia="Calibri"/>
          <w:color w:val="0B2B43" w:themeColor="text2" w:themeShade="80"/>
        </w:rPr>
        <w:t xml:space="preserve"> and </w:t>
      </w:r>
      <w:r w:rsidR="00867F94" w:rsidRPr="004A1196">
        <w:rPr>
          <w:color w:val="0B2B43" w:themeColor="text2" w:themeShade="80"/>
        </w:rPr>
        <w:t>fund researchers placed in business</w:t>
      </w:r>
      <w:r w:rsidRPr="004A1196">
        <w:rPr>
          <w:rFonts w:eastAsia="Calibri"/>
          <w:color w:val="0B2B43" w:themeColor="text2" w:themeShade="80"/>
        </w:rPr>
        <w:t xml:space="preserve">. The programme offers the facilitation/intermediary services necessary to allow </w:t>
      </w:r>
      <w:proofErr w:type="spellStart"/>
      <w:r w:rsidRPr="004A1196">
        <w:rPr>
          <w:rFonts w:eastAsia="Calibri"/>
          <w:color w:val="0B2B43" w:themeColor="text2" w:themeShade="80"/>
        </w:rPr>
        <w:t>SME</w:t>
      </w:r>
      <w:proofErr w:type="spellEnd"/>
      <w:r w:rsidRPr="004A1196">
        <w:rPr>
          <w:rFonts w:eastAsia="Calibri"/>
          <w:color w:val="0B2B43" w:themeColor="text2" w:themeShade="80"/>
        </w:rPr>
        <w:t xml:space="preserve"> to identify their research needs and potential </w:t>
      </w:r>
      <w:r w:rsidRPr="004A1196">
        <w:rPr>
          <w:rFonts w:eastAsia="Calibri" w:cs="Calibri"/>
          <w:color w:val="0B2B43" w:themeColor="text2" w:themeShade="80"/>
        </w:rPr>
        <w:t>partners</w:t>
      </w:r>
      <w:r w:rsidRPr="004A1196">
        <w:rPr>
          <w:rFonts w:eastAsia="Calibri"/>
          <w:color w:val="0B2B43" w:themeColor="text2" w:themeShade="80"/>
        </w:rPr>
        <w:t xml:space="preserve">, as well as to manage collaborations. The programme also provides small grants worth up to $50,000 to support research. Funding in </w:t>
      </w:r>
      <w:r w:rsidRPr="004A1196">
        <w:rPr>
          <w:rFonts w:eastAsia="Calibri"/>
          <w:color w:val="0B2B43" w:themeColor="text2" w:themeShade="80"/>
          <w:szCs w:val="22"/>
        </w:rPr>
        <w:t>2015-16 is $2.8 million.</w:t>
      </w:r>
      <w:r w:rsidRPr="004A1196">
        <w:rPr>
          <w:rFonts w:eastAsia="Times New Roman" w:cs="Calibri"/>
          <w:color w:val="0B2B43" w:themeColor="text2" w:themeShade="80"/>
          <w:szCs w:val="22"/>
          <w:vertAlign w:val="superscript"/>
          <w:lang w:eastAsia="en-AU"/>
        </w:rPr>
        <w:footnoteReference w:id="51"/>
      </w:r>
      <w:r w:rsidRPr="004A1196">
        <w:rPr>
          <w:rFonts w:eastAsia="Calibri"/>
          <w:color w:val="0B2B43" w:themeColor="text2" w:themeShade="80"/>
          <w:szCs w:val="22"/>
        </w:rPr>
        <w:t xml:space="preserve"> </w:t>
      </w:r>
    </w:p>
    <w:p w:rsidR="002C6039" w:rsidRPr="004A1196" w:rsidRDefault="002C6039" w:rsidP="002C6039">
      <w:pPr>
        <w:rPr>
          <w:rFonts w:eastAsia="Calibri" w:cs="Calibri"/>
          <w:color w:val="0B2B43" w:themeColor="text2" w:themeShade="80"/>
          <w:szCs w:val="22"/>
        </w:rPr>
      </w:pPr>
      <w:r w:rsidRPr="004A1196">
        <w:rPr>
          <w:rFonts w:eastAsia="Calibri" w:cs="Calibri"/>
          <w:color w:val="0B2B43" w:themeColor="text2" w:themeShade="80"/>
          <w:szCs w:val="22"/>
        </w:rPr>
        <w:t xml:space="preserve">Research Facilitators are a key element in this programme. They have specialised skills in connecting business with the appropriate sources of research expertise and addressing knowledge gaps preventing business growth by providing services such as: </w:t>
      </w:r>
    </w:p>
    <w:p w:rsidR="002C6039" w:rsidRPr="004A1196" w:rsidRDefault="002C6039" w:rsidP="002C6039">
      <w:pPr>
        <w:pStyle w:val="ListParagraph"/>
        <w:numPr>
          <w:ilvl w:val="0"/>
          <w:numId w:val="35"/>
        </w:numPr>
        <w:rPr>
          <w:rFonts w:eastAsia="Calibri"/>
          <w:color w:val="0B2B43" w:themeColor="text2" w:themeShade="80"/>
        </w:rPr>
      </w:pPr>
      <w:r w:rsidRPr="004A1196">
        <w:rPr>
          <w:rFonts w:eastAsia="Calibri"/>
          <w:color w:val="0B2B43" w:themeColor="text2" w:themeShade="80"/>
        </w:rPr>
        <w:t xml:space="preserve">tailored information and options for each </w:t>
      </w:r>
      <w:proofErr w:type="spellStart"/>
      <w:r w:rsidRPr="004A1196">
        <w:rPr>
          <w:rFonts w:eastAsia="Calibri"/>
          <w:color w:val="0B2B43" w:themeColor="text2" w:themeShade="80"/>
        </w:rPr>
        <w:t>SME</w:t>
      </w:r>
      <w:proofErr w:type="spellEnd"/>
    </w:p>
    <w:p w:rsidR="002C6039" w:rsidRPr="004A1196" w:rsidRDefault="002C6039" w:rsidP="002C6039">
      <w:pPr>
        <w:pStyle w:val="ListParagraph"/>
        <w:numPr>
          <w:ilvl w:val="0"/>
          <w:numId w:val="35"/>
        </w:numPr>
        <w:rPr>
          <w:rFonts w:eastAsia="Calibri"/>
          <w:color w:val="0B2B43" w:themeColor="text2" w:themeShade="80"/>
        </w:rPr>
      </w:pPr>
      <w:r w:rsidRPr="004A1196">
        <w:rPr>
          <w:rFonts w:eastAsia="Calibri"/>
          <w:color w:val="0B2B43" w:themeColor="text2" w:themeShade="80"/>
        </w:rPr>
        <w:t>referrals to other business support programmes and services</w:t>
      </w:r>
    </w:p>
    <w:p w:rsidR="002C6039" w:rsidRPr="004A1196" w:rsidRDefault="002C6039" w:rsidP="002C6039">
      <w:pPr>
        <w:pStyle w:val="ListParagraph"/>
        <w:numPr>
          <w:ilvl w:val="0"/>
          <w:numId w:val="35"/>
        </w:numPr>
        <w:rPr>
          <w:rFonts w:eastAsia="Calibri"/>
          <w:color w:val="0B2B43" w:themeColor="text2" w:themeShade="80"/>
        </w:rPr>
      </w:pPr>
      <w:r w:rsidRPr="004A1196">
        <w:rPr>
          <w:rFonts w:eastAsia="Calibri"/>
          <w:color w:val="0B2B43" w:themeColor="text2" w:themeShade="80"/>
        </w:rPr>
        <w:t xml:space="preserve">links to existing knowledge and solution providers </w:t>
      </w:r>
    </w:p>
    <w:p w:rsidR="002C6039" w:rsidRPr="004A1196" w:rsidRDefault="002C6039" w:rsidP="002C6039">
      <w:pPr>
        <w:pStyle w:val="ListParagraph"/>
        <w:numPr>
          <w:ilvl w:val="0"/>
          <w:numId w:val="35"/>
        </w:numPr>
        <w:rPr>
          <w:rFonts w:eastAsia="Calibri"/>
          <w:color w:val="0B2B43" w:themeColor="text2" w:themeShade="80"/>
        </w:rPr>
      </w:pPr>
      <w:proofErr w:type="gramStart"/>
      <w:r w:rsidRPr="004A1196">
        <w:rPr>
          <w:rFonts w:eastAsia="Calibri"/>
          <w:color w:val="0B2B43" w:themeColor="text2" w:themeShade="80"/>
        </w:rPr>
        <w:t>identification</w:t>
      </w:r>
      <w:proofErr w:type="gramEnd"/>
      <w:r w:rsidRPr="004A1196">
        <w:rPr>
          <w:rFonts w:eastAsia="Calibri"/>
          <w:color w:val="0B2B43" w:themeColor="text2" w:themeShade="80"/>
        </w:rPr>
        <w:t xml:space="preserve"> of existing research activities and support to connect businesses to researcher organisations to create innovative products, processes and services</w:t>
      </w:r>
      <w:r w:rsidR="00F10174" w:rsidRPr="004A1196">
        <w:rPr>
          <w:rFonts w:eastAsia="Calibri"/>
          <w:color w:val="0B2B43" w:themeColor="text2" w:themeShade="80"/>
        </w:rPr>
        <w:t>.</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There </w:t>
      </w:r>
      <w:r w:rsidRPr="004A1196">
        <w:rPr>
          <w:rFonts w:eastAsia="Calibri" w:cs="Times New Roman"/>
          <w:color w:val="0B2B43" w:themeColor="text2" w:themeShade="80"/>
        </w:rPr>
        <w:t>are</w:t>
      </w:r>
      <w:r w:rsidRPr="004A1196">
        <w:rPr>
          <w:rFonts w:eastAsia="Calibri"/>
          <w:color w:val="0B2B43" w:themeColor="text2" w:themeShade="80"/>
        </w:rPr>
        <w:t xml:space="preserve"> 13 Research Facilitators located across the country. Each Research Facilitator has regular contact with research organisations in their area.</w:t>
      </w:r>
    </w:p>
    <w:p w:rsidR="002C6039" w:rsidRPr="004A1196" w:rsidRDefault="002C6039" w:rsidP="002C6039">
      <w:pPr>
        <w:rPr>
          <w:rFonts w:eastAsia="Calibri" w:cs="Arial"/>
          <w:bCs/>
          <w:color w:val="0B2B43" w:themeColor="text2" w:themeShade="80"/>
        </w:rPr>
      </w:pPr>
      <w:r w:rsidRPr="004A1196">
        <w:rPr>
          <w:rFonts w:eastAsia="Calibri"/>
          <w:color w:val="0B2B43" w:themeColor="text2" w:themeShade="80"/>
        </w:rPr>
        <w:t xml:space="preserve">Experience with a previous programme on which Research Connections </w:t>
      </w:r>
      <w:proofErr w:type="gramStart"/>
      <w:r w:rsidRPr="004A1196">
        <w:rPr>
          <w:rFonts w:eastAsia="Calibri"/>
          <w:color w:val="0B2B43" w:themeColor="text2" w:themeShade="80"/>
        </w:rPr>
        <w:t>was based</w:t>
      </w:r>
      <w:proofErr w:type="gramEnd"/>
      <w:r w:rsidRPr="004A1196">
        <w:rPr>
          <w:rFonts w:eastAsia="Calibri"/>
          <w:color w:val="0B2B43" w:themeColor="text2" w:themeShade="80"/>
        </w:rPr>
        <w:t xml:space="preserve">, </w:t>
      </w:r>
      <w:r w:rsidRPr="004A1196">
        <w:rPr>
          <w:rFonts w:eastAsia="Calibri"/>
          <w:i/>
          <w:color w:val="0B2B43" w:themeColor="text2" w:themeShade="80"/>
        </w:rPr>
        <w:t>Researchers in Business,</w:t>
      </w:r>
      <w:r w:rsidRPr="004A1196">
        <w:rPr>
          <w:rFonts w:eastAsia="Calibri"/>
          <w:color w:val="0B2B43" w:themeColor="text2" w:themeShade="80"/>
        </w:rPr>
        <w:t xml:space="preserve"> indicates the value of this approach. The programme provided </w:t>
      </w:r>
      <w:r w:rsidRPr="004A1196">
        <w:rPr>
          <w:rFonts w:eastAsia="Calibri" w:cs="Arial"/>
          <w:bCs/>
          <w:color w:val="0B2B43" w:themeColor="text2" w:themeShade="80"/>
        </w:rPr>
        <w:t>22 per cent of participants with their first introduction to R&amp;D collaborations with universities and other publicly funded research organisations</w:t>
      </w:r>
      <w:r w:rsidR="0014465E">
        <w:rPr>
          <w:rFonts w:eastAsia="Calibri" w:cs="Arial"/>
          <w:bCs/>
          <w:color w:val="0B2B43" w:themeColor="text2" w:themeShade="80"/>
        </w:rPr>
        <w:t xml:space="preserve"> (</w:t>
      </w:r>
      <w:proofErr w:type="spellStart"/>
      <w:r w:rsidR="0014465E">
        <w:rPr>
          <w:rFonts w:eastAsia="Calibri" w:cs="Arial"/>
          <w:bCs/>
          <w:color w:val="0B2B43" w:themeColor="text2" w:themeShade="80"/>
        </w:rPr>
        <w:t>PFRO</w:t>
      </w:r>
      <w:proofErr w:type="spellEnd"/>
      <w:r w:rsidR="0014465E">
        <w:rPr>
          <w:rFonts w:eastAsia="Calibri" w:cs="Arial"/>
          <w:bCs/>
          <w:color w:val="0B2B43" w:themeColor="text2" w:themeShade="80"/>
        </w:rPr>
        <w:t>)</w:t>
      </w:r>
      <w:r w:rsidRPr="004A1196">
        <w:rPr>
          <w:rFonts w:eastAsia="Calibri" w:cs="Arial"/>
          <w:bCs/>
          <w:color w:val="0B2B43" w:themeColor="text2" w:themeShade="80"/>
        </w:rPr>
        <w:t xml:space="preserve">. Further, the evaluation found that 78 per cent of </w:t>
      </w:r>
      <w:proofErr w:type="spellStart"/>
      <w:r w:rsidRPr="004A1196">
        <w:rPr>
          <w:rFonts w:eastAsia="Calibri" w:cs="Arial"/>
          <w:bCs/>
          <w:color w:val="0B2B43" w:themeColor="text2" w:themeShade="80"/>
          <w:szCs w:val="22"/>
        </w:rPr>
        <w:t>SME</w:t>
      </w:r>
      <w:proofErr w:type="spellEnd"/>
      <w:r w:rsidRPr="004A1196">
        <w:rPr>
          <w:rFonts w:eastAsia="Calibri" w:cs="Arial"/>
          <w:bCs/>
          <w:color w:val="0B2B43" w:themeColor="text2" w:themeShade="80"/>
        </w:rPr>
        <w:t xml:space="preserve"> maintained </w:t>
      </w:r>
      <w:r w:rsidRPr="004A1196">
        <w:rPr>
          <w:rFonts w:eastAsia="Calibri"/>
          <w:color w:val="0B2B43" w:themeColor="text2" w:themeShade="80"/>
        </w:rPr>
        <w:t>relationships</w:t>
      </w:r>
      <w:r w:rsidRPr="004A1196">
        <w:rPr>
          <w:rFonts w:eastAsia="Calibri" w:cs="Arial"/>
          <w:bCs/>
          <w:color w:val="0B2B43" w:themeColor="text2" w:themeShade="80"/>
        </w:rPr>
        <w:t xml:space="preserve"> with the researchers after the project was completed.</w:t>
      </w:r>
      <w:r w:rsidRPr="004A1196">
        <w:rPr>
          <w:rFonts w:eastAsia="Calibri"/>
          <w:color w:val="0B2B43" w:themeColor="text2" w:themeShade="80"/>
          <w:vertAlign w:val="superscript"/>
        </w:rPr>
        <w:footnoteReference w:id="52"/>
      </w:r>
      <w:r w:rsidRPr="004A1196">
        <w:rPr>
          <w:rFonts w:eastAsia="Calibri" w:cs="Arial"/>
          <w:bCs/>
          <w:color w:val="0B2B43" w:themeColor="text2" w:themeShade="80"/>
        </w:rPr>
        <w:t xml:space="preserve"> </w:t>
      </w:r>
      <w:r w:rsidRPr="004A1196">
        <w:rPr>
          <w:rFonts w:eastAsia="Calibri" w:cs="Times New Roman"/>
          <w:color w:val="0B2B43" w:themeColor="text2" w:themeShade="80"/>
        </w:rPr>
        <w:t xml:space="preserve">This is particularly important as the programme supports a valuable first step in matching </w:t>
      </w:r>
      <w:proofErr w:type="spellStart"/>
      <w:r w:rsidRPr="004A1196">
        <w:rPr>
          <w:rFonts w:eastAsia="Calibri"/>
          <w:color w:val="0B2B43" w:themeColor="text2" w:themeShade="80"/>
        </w:rPr>
        <w:t>SME</w:t>
      </w:r>
      <w:proofErr w:type="spellEnd"/>
      <w:r w:rsidRPr="004A1196">
        <w:rPr>
          <w:rFonts w:eastAsia="Calibri" w:cs="Times New Roman"/>
          <w:color w:val="0B2B43" w:themeColor="text2" w:themeShade="80"/>
        </w:rPr>
        <w:t xml:space="preserve"> and researchers and this initial engagement can provide the foundation for continuing collaboration into the future.</w:t>
      </w:r>
    </w:p>
    <w:p w:rsidR="002C6039" w:rsidRPr="004A1196" w:rsidRDefault="002C6039" w:rsidP="002C6039">
      <w:pPr>
        <w:rPr>
          <w:rFonts w:eastAsia="Calibri"/>
          <w:color w:val="0B2B43" w:themeColor="text2" w:themeShade="80"/>
        </w:rPr>
      </w:pPr>
      <w:r w:rsidRPr="004A1196">
        <w:rPr>
          <w:rFonts w:eastAsia="Calibri" w:cs="Times New Roman"/>
          <w:color w:val="0B2B43" w:themeColor="text2" w:themeShade="80"/>
        </w:rPr>
        <w:t xml:space="preserve">The review concluded that Research Connections, although small in scale, provides benefits to business through funding facilitators and vouchers to match businesses’ needs to research providers. It also encourages improved links between </w:t>
      </w:r>
      <w:proofErr w:type="spellStart"/>
      <w:r w:rsidRPr="004A1196">
        <w:rPr>
          <w:rFonts w:eastAsia="Calibri"/>
          <w:color w:val="0B2B43" w:themeColor="text2" w:themeShade="80"/>
        </w:rPr>
        <w:t>SME</w:t>
      </w:r>
      <w:proofErr w:type="spellEnd"/>
      <w:r w:rsidRPr="004A1196">
        <w:rPr>
          <w:rFonts w:eastAsia="Calibri" w:cs="Times New Roman"/>
          <w:color w:val="0B2B43" w:themeColor="text2" w:themeShade="80"/>
        </w:rPr>
        <w:t xml:space="preserve"> and researchers that are likely to continue after the grant project is finished, facilitating longer term and more valued collaboration. </w:t>
      </w:r>
    </w:p>
    <w:p w:rsidR="002C6039" w:rsidRPr="004A1196" w:rsidRDefault="002C6039" w:rsidP="002C6039">
      <w:pPr>
        <w:rPr>
          <w:rFonts w:eastAsia="Calibri"/>
          <w:color w:val="0B2B43" w:themeColor="text2" w:themeShade="80"/>
          <w:highlight w:val="yellow"/>
        </w:rPr>
      </w:pPr>
      <w:r w:rsidRPr="004A1196">
        <w:rPr>
          <w:color w:val="0B2B43" w:themeColor="text2" w:themeShade="80"/>
        </w:rPr>
        <w:t xml:space="preserve">The review proposes that funding </w:t>
      </w:r>
      <w:proofErr w:type="gramStart"/>
      <w:r w:rsidRPr="004A1196">
        <w:rPr>
          <w:color w:val="0B2B43" w:themeColor="text2" w:themeShade="80"/>
        </w:rPr>
        <w:t>be increased</w:t>
      </w:r>
      <w:proofErr w:type="gramEnd"/>
      <w:r w:rsidRPr="004A1196">
        <w:rPr>
          <w:color w:val="0B2B43" w:themeColor="text2" w:themeShade="80"/>
        </w:rPr>
        <w:t xml:space="preserve"> to expand the programme. Additional funding in the order of $25 million over the next four years, starting in 2016-17, would meaningfully increase the number of Research Facilitators and increase the number of matched grants available to fund researchers to </w:t>
      </w:r>
      <w:proofErr w:type="gramStart"/>
      <w:r w:rsidRPr="004A1196">
        <w:rPr>
          <w:color w:val="0B2B43" w:themeColor="text2" w:themeShade="80"/>
        </w:rPr>
        <w:t>be placed</w:t>
      </w:r>
      <w:proofErr w:type="gramEnd"/>
      <w:r w:rsidRPr="004A1196">
        <w:rPr>
          <w:color w:val="0B2B43" w:themeColor="text2" w:themeShade="80"/>
        </w:rPr>
        <w:t xml:space="preserve"> in business. The</w:t>
      </w:r>
      <w:r w:rsidRPr="004A1196">
        <w:rPr>
          <w:rFonts w:eastAsia="Calibri"/>
          <w:color w:val="0B2B43" w:themeColor="text2" w:themeShade="80"/>
        </w:rPr>
        <w:t xml:space="preserve"> funding profile should allow time for the programme to ramp up to avoid underspends in the early years.</w:t>
      </w:r>
    </w:p>
    <w:p w:rsidR="002C6039" w:rsidRPr="004A1196" w:rsidRDefault="002C6039" w:rsidP="002C6039">
      <w:pPr>
        <w:rPr>
          <w:rFonts w:eastAsia="Calibri" w:cs="Times New Roman"/>
          <w:color w:val="0B2B43" w:themeColor="text2" w:themeShade="80"/>
        </w:rPr>
      </w:pPr>
      <w:r w:rsidRPr="004A1196">
        <w:rPr>
          <w:rFonts w:eastAsia="Calibri" w:cs="Times New Roman"/>
          <w:color w:val="0B2B43" w:themeColor="text2" w:themeShade="80"/>
        </w:rPr>
        <w:t xml:space="preserve">Consultations with both businesses and universities supported collaboration models, such as Research Connections, that provided small business with the ability to purchase research. Some universities noted that </w:t>
      </w:r>
      <w:proofErr w:type="gramStart"/>
      <w:r w:rsidRPr="004A1196">
        <w:rPr>
          <w:rFonts w:eastAsia="Calibri" w:cs="Times New Roman"/>
          <w:color w:val="0B2B43" w:themeColor="text2" w:themeShade="80"/>
        </w:rPr>
        <w:t>broadly</w:t>
      </w:r>
      <w:proofErr w:type="gramEnd"/>
      <w:r w:rsidRPr="004A1196">
        <w:rPr>
          <w:rFonts w:eastAsia="Calibri" w:cs="Times New Roman"/>
          <w:color w:val="0B2B43" w:themeColor="text2" w:themeShade="80"/>
        </w:rPr>
        <w:t xml:space="preserve"> similar schemes are in operation within a number of states in addition to the national programme, for example the </w:t>
      </w:r>
      <w:proofErr w:type="spellStart"/>
      <w:r w:rsidRPr="004A1196">
        <w:rPr>
          <w:rFonts w:eastAsia="Calibri" w:cs="Times New Roman"/>
          <w:color w:val="0B2B43" w:themeColor="text2" w:themeShade="80"/>
        </w:rPr>
        <w:t>Techvouchers</w:t>
      </w:r>
      <w:proofErr w:type="spellEnd"/>
      <w:r w:rsidRPr="004A1196">
        <w:rPr>
          <w:rFonts w:eastAsia="Calibri" w:cs="Times New Roman"/>
          <w:color w:val="0B2B43" w:themeColor="text2" w:themeShade="80"/>
        </w:rPr>
        <w:t xml:space="preserve"> in NSW,</w:t>
      </w:r>
      <w:r w:rsidRPr="004A1196">
        <w:rPr>
          <w:rFonts w:eastAsia="Calibri" w:cs="Times New Roman"/>
          <w:color w:val="0B2B43" w:themeColor="text2" w:themeShade="80"/>
          <w:vertAlign w:val="superscript"/>
        </w:rPr>
        <w:footnoteReference w:id="53"/>
      </w:r>
      <w:r w:rsidRPr="004A1196">
        <w:rPr>
          <w:rFonts w:eastAsia="Calibri" w:cs="Times New Roman"/>
          <w:color w:val="0B2B43" w:themeColor="text2" w:themeShade="80"/>
        </w:rPr>
        <w:t xml:space="preserve"> the Innovation Vouchers Program in WA</w:t>
      </w:r>
      <w:r w:rsidRPr="004A1196">
        <w:rPr>
          <w:rFonts w:eastAsia="Calibri" w:cs="Times New Roman"/>
          <w:color w:val="0B2B43" w:themeColor="text2" w:themeShade="80"/>
          <w:vertAlign w:val="superscript"/>
        </w:rPr>
        <w:footnoteReference w:id="54"/>
      </w:r>
      <w:r w:rsidRPr="004A1196">
        <w:rPr>
          <w:rFonts w:eastAsia="Calibri" w:cs="Times New Roman"/>
          <w:color w:val="0B2B43" w:themeColor="text2" w:themeShade="80"/>
        </w:rPr>
        <w:t xml:space="preserve"> and the Innovation Vouchers Program in SA</w:t>
      </w:r>
      <w:r w:rsidRPr="004A1196">
        <w:rPr>
          <w:rFonts w:eastAsia="Calibri" w:cs="Times New Roman"/>
          <w:color w:val="0B2B43" w:themeColor="text2" w:themeShade="80"/>
          <w:vertAlign w:val="superscript"/>
        </w:rPr>
        <w:footnoteReference w:id="55"/>
      </w:r>
      <w:r w:rsidRPr="004A1196">
        <w:rPr>
          <w:rFonts w:eastAsia="Calibri" w:cs="Times New Roman"/>
          <w:color w:val="0B2B43" w:themeColor="text2" w:themeShade="80"/>
        </w:rPr>
        <w:t xml:space="preserve"> and that these were useful in improving university-business research collaboration. The voucher systems have similarities in that they offer the business an amount of money, ranging from $15,000 in NSW to $50,000 in SA, require co</w:t>
      </w:r>
      <w:r w:rsidRPr="004A1196">
        <w:rPr>
          <w:rFonts w:eastAsia="Calibri" w:cs="Times New Roman"/>
          <w:color w:val="0B2B43" w:themeColor="text2" w:themeShade="80"/>
        </w:rPr>
        <w:noBreakHyphen/>
        <w:t xml:space="preserve">contribution in varying ratios and encourage partnerships between businesses and R&amp;D organisations. </w:t>
      </w:r>
    </w:p>
    <w:p w:rsidR="002C6039" w:rsidRPr="004A1196" w:rsidRDefault="002C6039" w:rsidP="002C6039">
      <w:pPr>
        <w:rPr>
          <w:rFonts w:eastAsia="Calibri" w:cs="Times New Roman"/>
          <w:color w:val="0B2B43" w:themeColor="text2" w:themeShade="80"/>
        </w:rPr>
      </w:pPr>
      <w:r w:rsidRPr="004A1196">
        <w:rPr>
          <w:rFonts w:eastAsia="Calibri" w:cs="Times New Roman"/>
          <w:color w:val="0B2B43" w:themeColor="text2" w:themeShade="80"/>
        </w:rPr>
        <w:t>There can be problems of overlap and divided responsibility when the Australian Government and state governments fund similar programmes in the same policy space. Close co-operation and co-ordination between the different levels of government will be essential to minimise any potential problems. Despite this concern</w:t>
      </w:r>
      <w:r w:rsidR="00C76B4B">
        <w:rPr>
          <w:rFonts w:eastAsia="Calibri" w:cs="Times New Roman"/>
          <w:color w:val="0B2B43" w:themeColor="text2" w:themeShade="80"/>
        </w:rPr>
        <w:t>,</w:t>
      </w:r>
      <w:r w:rsidRPr="004A1196">
        <w:rPr>
          <w:rFonts w:eastAsia="Calibri" w:cs="Times New Roman"/>
          <w:color w:val="0B2B43" w:themeColor="text2" w:themeShade="80"/>
        </w:rPr>
        <w:t xml:space="preserve"> the review considered, on balance, that maintenance and expansion of Research Connections </w:t>
      </w:r>
      <w:proofErr w:type="gramStart"/>
      <w:r w:rsidRPr="004A1196">
        <w:rPr>
          <w:rFonts w:eastAsia="Calibri" w:cs="Times New Roman"/>
          <w:color w:val="0B2B43" w:themeColor="text2" w:themeShade="80"/>
        </w:rPr>
        <w:t>was merited</w:t>
      </w:r>
      <w:proofErr w:type="gramEnd"/>
      <w:r w:rsidRPr="004A1196">
        <w:rPr>
          <w:rFonts w:eastAsia="Calibri" w:cs="Times New Roman"/>
          <w:color w:val="0B2B43" w:themeColor="text2" w:themeShade="80"/>
        </w:rPr>
        <w:t xml:space="preserve"> given the relatively small size of the programme and the importance of immediately improving our low levels of collaboration. </w:t>
      </w:r>
    </w:p>
    <w:p w:rsidR="002C6039" w:rsidRPr="00696957" w:rsidRDefault="002C6039" w:rsidP="00696957">
      <w:pPr>
        <w:pStyle w:val="RIHeading2"/>
        <w:rPr>
          <w:rFonts w:eastAsia="Times New Roman"/>
          <w:sz w:val="28"/>
          <w:szCs w:val="28"/>
        </w:rPr>
      </w:pPr>
      <w:bookmarkStart w:id="258" w:name="_Toc436651851"/>
      <w:bookmarkStart w:id="259" w:name="_Toc436659659"/>
      <w:bookmarkStart w:id="260" w:name="_Toc436660157"/>
      <w:r w:rsidRPr="00696957">
        <w:rPr>
          <w:rFonts w:eastAsia="Times New Roman"/>
          <w:sz w:val="28"/>
          <w:szCs w:val="28"/>
        </w:rPr>
        <w:t>A national research compendium</w:t>
      </w:r>
      <w:bookmarkEnd w:id="258"/>
      <w:bookmarkEnd w:id="259"/>
      <w:bookmarkEnd w:id="260"/>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During consultations, business raised a number of other issues that hinder collaboration with universities. These range from difficulties in accessing information on available expertise (particularly within the research sector), to poor engagement and negotiation skills on both sides, and differences in cultural perspectives and alignment of priorities between researchers and businesses. </w:t>
      </w:r>
      <w:r w:rsidR="003C0118">
        <w:rPr>
          <w:rFonts w:eastAsia="Calibri"/>
          <w:color w:val="0B2B43" w:themeColor="text2" w:themeShade="80"/>
        </w:rPr>
        <w:t>S</w:t>
      </w:r>
      <w:r w:rsidRPr="004A1196">
        <w:rPr>
          <w:rFonts w:eastAsia="Calibri"/>
          <w:color w:val="0B2B43" w:themeColor="text2" w:themeShade="80"/>
        </w:rPr>
        <w:t xml:space="preserve">ome business representatives </w:t>
      </w:r>
      <w:r w:rsidR="003C0118">
        <w:rPr>
          <w:rFonts w:eastAsia="Calibri"/>
          <w:color w:val="0B2B43" w:themeColor="text2" w:themeShade="80"/>
        </w:rPr>
        <w:t xml:space="preserve">argued </w:t>
      </w:r>
      <w:r w:rsidRPr="004A1196">
        <w:rPr>
          <w:rFonts w:eastAsia="Calibri"/>
          <w:color w:val="0B2B43" w:themeColor="text2" w:themeShade="80"/>
        </w:rPr>
        <w:t>that if they are to collaborate with universities, they need better information on the expertise and services the research sector could provide.</w:t>
      </w:r>
    </w:p>
    <w:p w:rsidR="00F10174" w:rsidRPr="004A1196" w:rsidRDefault="002C6039" w:rsidP="002C6039">
      <w:pPr>
        <w:rPr>
          <w:rFonts w:eastAsia="Calibri"/>
          <w:color w:val="0B2B43" w:themeColor="text2" w:themeShade="80"/>
          <w:szCs w:val="22"/>
        </w:rPr>
      </w:pPr>
      <w:r w:rsidRPr="004A1196">
        <w:rPr>
          <w:color w:val="0B2B43" w:themeColor="text2" w:themeShade="80"/>
        </w:rPr>
        <w:t>Several interlocutors suggested that a compendium or database, which capture</w:t>
      </w:r>
      <w:r w:rsidR="001A0228">
        <w:rPr>
          <w:color w:val="0B2B43" w:themeColor="text2" w:themeShade="80"/>
        </w:rPr>
        <w:t>s</w:t>
      </w:r>
      <w:r w:rsidRPr="004A1196">
        <w:rPr>
          <w:color w:val="0B2B43" w:themeColor="text2" w:themeShade="80"/>
        </w:rPr>
        <w:t xml:space="preserve"> all publicly funded research and provide</w:t>
      </w:r>
      <w:r w:rsidR="001A0228">
        <w:rPr>
          <w:color w:val="0B2B43" w:themeColor="text2" w:themeShade="80"/>
        </w:rPr>
        <w:t>s</w:t>
      </w:r>
      <w:r w:rsidRPr="004A1196">
        <w:rPr>
          <w:color w:val="0B2B43" w:themeColor="text2" w:themeShade="80"/>
        </w:rPr>
        <w:t xml:space="preserve"> information about research outcomes, be established as a tool to connect businesses with relevant research and research partners. The Department of Industry, Innovation and Science is already leading development of a web based access point to connect businesses to commercially relevant research and potential research partners. When implemented, this should provide a central point which directs businesses to existing initiatives including Research Map, a visualisation search tool which can be used to identify current Australian researchers with capabilities relevant to business </w:t>
      </w:r>
      <w:r w:rsidR="00B26711">
        <w:rPr>
          <w:color w:val="0B2B43" w:themeColor="text2" w:themeShade="80"/>
        </w:rPr>
        <w:t>research needs, and Source IP (r</w:t>
      </w:r>
      <w:r w:rsidRPr="004A1196">
        <w:rPr>
          <w:color w:val="0B2B43" w:themeColor="text2" w:themeShade="80"/>
        </w:rPr>
        <w:t xml:space="preserve">efer to </w:t>
      </w:r>
      <w:r w:rsidR="00F10174" w:rsidRPr="004A1196">
        <w:rPr>
          <w:color w:val="0B2B43" w:themeColor="text2" w:themeShade="80"/>
        </w:rPr>
        <w:t>C</w:t>
      </w:r>
      <w:r w:rsidRPr="004A1196">
        <w:rPr>
          <w:color w:val="0B2B43" w:themeColor="text2" w:themeShade="80"/>
        </w:rPr>
        <w:t xml:space="preserve">hapter </w:t>
      </w:r>
      <w:r w:rsidR="00E53B62" w:rsidRPr="004A1196">
        <w:rPr>
          <w:color w:val="0B2B43" w:themeColor="text2" w:themeShade="80"/>
        </w:rPr>
        <w:t>5</w:t>
      </w:r>
      <w:r w:rsidR="00F10174" w:rsidRPr="004A1196">
        <w:rPr>
          <w:color w:val="0B2B43" w:themeColor="text2" w:themeShade="80"/>
        </w:rPr>
        <w:t xml:space="preserve"> on </w:t>
      </w:r>
      <w:r w:rsidR="0014465E">
        <w:rPr>
          <w:color w:val="0B2B43" w:themeColor="text2" w:themeShade="80"/>
        </w:rPr>
        <w:t xml:space="preserve">improved management of </w:t>
      </w:r>
      <w:r w:rsidR="00F10174" w:rsidRPr="004A1196">
        <w:rPr>
          <w:color w:val="0B2B43" w:themeColor="text2" w:themeShade="80"/>
        </w:rPr>
        <w:t>IP, R</w:t>
      </w:r>
      <w:r w:rsidRPr="004A1196">
        <w:rPr>
          <w:color w:val="0B2B43" w:themeColor="text2" w:themeShade="80"/>
        </w:rPr>
        <w:t xml:space="preserve">ecommendation </w:t>
      </w:r>
      <w:r w:rsidR="00F10174" w:rsidRPr="004A1196">
        <w:rPr>
          <w:color w:val="0B2B43" w:themeColor="text2" w:themeShade="80"/>
        </w:rPr>
        <w:t>15</w:t>
      </w:r>
      <w:r w:rsidRPr="004A1196">
        <w:rPr>
          <w:color w:val="0B2B43" w:themeColor="text2" w:themeShade="80"/>
        </w:rPr>
        <w:t>). Such an online</w:t>
      </w:r>
      <w:r w:rsidRPr="004A1196">
        <w:rPr>
          <w:rFonts w:eastAsia="Calibri"/>
          <w:color w:val="0B2B43" w:themeColor="text2" w:themeShade="80"/>
          <w:szCs w:val="22"/>
        </w:rPr>
        <w:t xml:space="preserve"> </w:t>
      </w:r>
      <w:r w:rsidRPr="004A1196">
        <w:rPr>
          <w:color w:val="0B2B43" w:themeColor="text2" w:themeShade="80"/>
        </w:rPr>
        <w:t>access point will help match the needs of businesses with opportunities for industry-research collaborations m</w:t>
      </w:r>
      <w:r w:rsidR="00B26711">
        <w:rPr>
          <w:color w:val="0B2B43" w:themeColor="text2" w:themeShade="80"/>
        </w:rPr>
        <w:t>ore efficiently and effectively. T</w:t>
      </w:r>
      <w:r w:rsidRPr="004A1196">
        <w:rPr>
          <w:color w:val="0B2B43" w:themeColor="text2" w:themeShade="80"/>
        </w:rPr>
        <w:t xml:space="preserve">he review recommends that the initiative </w:t>
      </w:r>
      <w:proofErr w:type="gramStart"/>
      <w:r w:rsidRPr="004A1196">
        <w:rPr>
          <w:color w:val="0B2B43" w:themeColor="text2" w:themeShade="80"/>
        </w:rPr>
        <w:t>be implemented</w:t>
      </w:r>
      <w:proofErr w:type="gramEnd"/>
      <w:r w:rsidRPr="004A1196">
        <w:rPr>
          <w:color w:val="0B2B43" w:themeColor="text2" w:themeShade="80"/>
        </w:rPr>
        <w:t xml:space="preserve"> as a matter of priority in 2016.</w:t>
      </w:r>
      <w:r w:rsidRPr="004A1196">
        <w:rPr>
          <w:rFonts w:eastAsia="Calibri"/>
          <w:color w:val="0B2B43" w:themeColor="text2" w:themeShade="80"/>
          <w:szCs w:val="22"/>
        </w:rPr>
        <w:t xml:space="preserve"> </w:t>
      </w:r>
    </w:p>
    <w:p w:rsidR="00C121D1" w:rsidRDefault="00C121D1">
      <w:pPr>
        <w:spacing w:before="0" w:after="200" w:line="276" w:lineRule="auto"/>
        <w:rPr>
          <w:rFonts w:eastAsia="Times New Roman"/>
          <w:b/>
          <w:bCs/>
          <w:sz w:val="28"/>
          <w:szCs w:val="28"/>
        </w:rPr>
      </w:pPr>
      <w:bookmarkStart w:id="261" w:name="_Toc436651852"/>
      <w:bookmarkStart w:id="262" w:name="_Toc436659660"/>
      <w:bookmarkStart w:id="263" w:name="_Toc436660158"/>
      <w:r>
        <w:rPr>
          <w:rFonts w:eastAsia="Times New Roman"/>
          <w:sz w:val="28"/>
          <w:szCs w:val="28"/>
        </w:rPr>
        <w:br w:type="page"/>
      </w:r>
    </w:p>
    <w:p w:rsidR="002C6039" w:rsidRPr="00696957" w:rsidRDefault="002C6039" w:rsidP="00696957">
      <w:pPr>
        <w:pStyle w:val="RIHeading2"/>
        <w:rPr>
          <w:rFonts w:eastAsia="Times New Roman"/>
          <w:sz w:val="28"/>
          <w:szCs w:val="28"/>
        </w:rPr>
      </w:pPr>
      <w:r w:rsidRPr="00696957">
        <w:rPr>
          <w:rFonts w:eastAsia="Times New Roman"/>
          <w:sz w:val="28"/>
          <w:szCs w:val="28"/>
        </w:rPr>
        <w:t>R&amp;D Tax Incentive</w:t>
      </w:r>
      <w:bookmarkEnd w:id="261"/>
      <w:bookmarkEnd w:id="262"/>
      <w:bookmarkEnd w:id="263"/>
    </w:p>
    <w:p w:rsidR="002C6039" w:rsidRPr="004A1196" w:rsidRDefault="002C6039" w:rsidP="002C6039">
      <w:pPr>
        <w:rPr>
          <w:rFonts w:eastAsia="Calibri"/>
          <w:color w:val="0B2B43" w:themeColor="text2" w:themeShade="80"/>
        </w:rPr>
      </w:pPr>
      <w:r w:rsidRPr="004A1196">
        <w:rPr>
          <w:rFonts w:eastAsia="Calibri"/>
          <w:color w:val="0B2B43" w:themeColor="text2" w:themeShade="80"/>
        </w:rPr>
        <w:t>The R&amp;D Tax Incentive is designed to offset some of the costs of doing R&amp;D.</w:t>
      </w:r>
      <w:r w:rsidR="00560D15" w:rsidRPr="004A1196">
        <w:rPr>
          <w:rFonts w:eastAsia="Times New Roman"/>
          <w:bCs/>
          <w:color w:val="0B2B43" w:themeColor="text2" w:themeShade="80"/>
          <w:vertAlign w:val="superscript"/>
        </w:rPr>
        <w:footnoteReference w:id="56"/>
      </w:r>
      <w:r w:rsidRPr="004A1196">
        <w:rPr>
          <w:rFonts w:eastAsia="Calibri"/>
          <w:color w:val="0B2B43" w:themeColor="text2" w:themeShade="80"/>
        </w:rPr>
        <w:t xml:space="preserve"> </w:t>
      </w:r>
      <w:proofErr w:type="gramStart"/>
      <w:r w:rsidRPr="004A1196">
        <w:rPr>
          <w:rFonts w:eastAsia="Calibri"/>
          <w:color w:val="0B2B43" w:themeColor="text2" w:themeShade="80"/>
        </w:rPr>
        <w:t>The</w:t>
      </w:r>
      <w:proofErr w:type="gramEnd"/>
      <w:r w:rsidRPr="004A1196">
        <w:rPr>
          <w:rFonts w:eastAsia="Calibri"/>
          <w:color w:val="0B2B43" w:themeColor="text2" w:themeShade="80"/>
        </w:rPr>
        <w:t xml:space="preserve"> programme is currently open to firms of all sizes in all sectors which are conducting eligible R&amp;D. The R&amp;D Tax </w:t>
      </w:r>
      <w:r w:rsidRPr="004A1196">
        <w:rPr>
          <w:rFonts w:eastAsia="Calibri" w:cs="Calibri"/>
          <w:color w:val="0B2B43" w:themeColor="text2" w:themeShade="80"/>
        </w:rPr>
        <w:t>Incentive</w:t>
      </w:r>
      <w:r w:rsidRPr="004A1196">
        <w:rPr>
          <w:rFonts w:eastAsia="Calibri"/>
          <w:color w:val="0B2B43" w:themeColor="text2" w:themeShade="80"/>
        </w:rPr>
        <w:t xml:space="preserve"> helped 10,663 companies </w:t>
      </w:r>
      <w:proofErr w:type="gramStart"/>
      <w:r w:rsidRPr="004A1196">
        <w:rPr>
          <w:rFonts w:eastAsia="Calibri"/>
          <w:color w:val="0B2B43" w:themeColor="text2" w:themeShade="80"/>
        </w:rPr>
        <w:t>with $2.3 billion in tax offsets for eligible R&amp;D investment in 2014</w:t>
      </w:r>
      <w:r w:rsidRPr="004A1196">
        <w:rPr>
          <w:rFonts w:eastAsia="Calibri"/>
          <w:color w:val="0B2B43" w:themeColor="text2" w:themeShade="80"/>
        </w:rPr>
        <w:noBreakHyphen/>
        <w:t>15</w:t>
      </w:r>
      <w:proofErr w:type="gramEnd"/>
      <w:r w:rsidRPr="004A1196">
        <w:rPr>
          <w:rFonts w:eastAsia="Calibri"/>
          <w:color w:val="0B2B43" w:themeColor="text2" w:themeShade="80"/>
        </w:rPr>
        <w:t>.</w:t>
      </w:r>
      <w:r w:rsidRPr="004A1196">
        <w:rPr>
          <w:rFonts w:eastAsia="Calibri"/>
          <w:color w:val="0B2B43" w:themeColor="text2" w:themeShade="80"/>
          <w:vertAlign w:val="superscript"/>
        </w:rPr>
        <w:footnoteReference w:id="57"/>
      </w:r>
      <w:r w:rsidRPr="004A1196">
        <w:rPr>
          <w:rFonts w:eastAsia="Calibri"/>
          <w:color w:val="0B2B43" w:themeColor="text2" w:themeShade="80"/>
        </w:rPr>
        <w:t xml:space="preserve"> </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While beyond the scope of this review, many </w:t>
      </w:r>
      <w:r w:rsidR="00D74FDE">
        <w:rPr>
          <w:rFonts w:eastAsia="Calibri"/>
          <w:color w:val="0B2B43" w:themeColor="text2" w:themeShade="80"/>
        </w:rPr>
        <w:t xml:space="preserve">stakeholders </w:t>
      </w:r>
      <w:r w:rsidR="00DC117F">
        <w:rPr>
          <w:rFonts w:eastAsia="Calibri"/>
          <w:color w:val="0B2B43" w:themeColor="text2" w:themeShade="80"/>
        </w:rPr>
        <w:t xml:space="preserve">raised </w:t>
      </w:r>
      <w:r w:rsidRPr="004A1196">
        <w:rPr>
          <w:rFonts w:eastAsia="Calibri"/>
          <w:color w:val="0B2B43" w:themeColor="text2" w:themeShade="80"/>
        </w:rPr>
        <w:t xml:space="preserve">the need to change the R&amp;D </w:t>
      </w:r>
      <w:r w:rsidR="00D62E4D" w:rsidRPr="004A1196">
        <w:rPr>
          <w:rFonts w:eastAsia="Calibri"/>
          <w:color w:val="0B2B43" w:themeColor="text2" w:themeShade="80"/>
        </w:rPr>
        <w:t xml:space="preserve">Tax </w:t>
      </w:r>
      <w:r w:rsidR="00AE0322" w:rsidRPr="004A1196">
        <w:rPr>
          <w:rFonts w:eastAsia="Calibri"/>
          <w:color w:val="0B2B43" w:themeColor="text2" w:themeShade="80"/>
        </w:rPr>
        <w:t xml:space="preserve">Incentive </w:t>
      </w:r>
      <w:r w:rsidRPr="004A1196">
        <w:rPr>
          <w:rFonts w:eastAsia="Calibri"/>
          <w:color w:val="0B2B43" w:themeColor="text2" w:themeShade="80"/>
        </w:rPr>
        <w:t>to create incentives to motivate businesses to seek university assistance in research. Universities have also made submissions</w:t>
      </w:r>
      <w:r w:rsidRPr="004A1196">
        <w:rPr>
          <w:rFonts w:eastAsia="Calibri"/>
          <w:color w:val="0B2B43" w:themeColor="text2" w:themeShade="80"/>
          <w:vertAlign w:val="superscript"/>
        </w:rPr>
        <w:footnoteReference w:id="58"/>
      </w:r>
      <w:r w:rsidRPr="004A1196">
        <w:rPr>
          <w:rFonts w:eastAsia="Calibri"/>
          <w:color w:val="0B2B43" w:themeColor="text2" w:themeShade="80"/>
        </w:rPr>
        <w:t xml:space="preserve"> to this effect to the review of taxation currently </w:t>
      </w:r>
      <w:proofErr w:type="gramStart"/>
      <w:r w:rsidRPr="004A1196">
        <w:rPr>
          <w:rFonts w:eastAsia="Calibri"/>
          <w:color w:val="0B2B43" w:themeColor="text2" w:themeShade="80"/>
        </w:rPr>
        <w:t>being conducted</w:t>
      </w:r>
      <w:proofErr w:type="gramEnd"/>
      <w:r w:rsidRPr="004A1196">
        <w:rPr>
          <w:rFonts w:eastAsia="Calibri"/>
          <w:color w:val="0B2B43" w:themeColor="text2" w:themeShade="80"/>
        </w:rPr>
        <w:t xml:space="preserve"> by the Australian Government.</w:t>
      </w:r>
      <w:r w:rsidRPr="004A1196">
        <w:rPr>
          <w:rFonts w:eastAsia="Calibri"/>
          <w:color w:val="0B2B43" w:themeColor="text2" w:themeShade="80"/>
          <w:vertAlign w:val="superscript"/>
        </w:rPr>
        <w:footnoteReference w:id="59"/>
      </w:r>
      <w:r w:rsidRPr="004A1196">
        <w:rPr>
          <w:rFonts w:eastAsia="Calibri"/>
          <w:color w:val="0B2B43" w:themeColor="text2" w:themeShade="80"/>
        </w:rPr>
        <w:t xml:space="preserve"> The R&amp;D Tax Incentive is the largest single component of the Australian Government’s total R&amp;D expenditure. Given the importance of policy alignment </w:t>
      </w:r>
      <w:r w:rsidR="0014465E">
        <w:rPr>
          <w:rFonts w:eastAsia="Calibri"/>
          <w:color w:val="0B2B43" w:themeColor="text2" w:themeShade="80"/>
        </w:rPr>
        <w:t>(</w:t>
      </w:r>
      <w:r w:rsidRPr="004A1196">
        <w:rPr>
          <w:rFonts w:eastAsia="Calibri"/>
          <w:color w:val="0B2B43" w:themeColor="text2" w:themeShade="80"/>
        </w:rPr>
        <w:t xml:space="preserve">as discussed in </w:t>
      </w:r>
      <w:r w:rsidR="00C31865" w:rsidRPr="004A1196">
        <w:rPr>
          <w:rFonts w:eastAsia="Calibri"/>
          <w:color w:val="0B2B43" w:themeColor="text2" w:themeShade="80"/>
        </w:rPr>
        <w:t>C</w:t>
      </w:r>
      <w:r w:rsidRPr="004A1196">
        <w:rPr>
          <w:rFonts w:eastAsia="Calibri"/>
          <w:color w:val="0B2B43" w:themeColor="text2" w:themeShade="80"/>
        </w:rPr>
        <w:t xml:space="preserve">hapter </w:t>
      </w:r>
      <w:r w:rsidR="00E53B62" w:rsidRPr="004A1196">
        <w:rPr>
          <w:rFonts w:eastAsia="Calibri"/>
          <w:color w:val="0B2B43" w:themeColor="text2" w:themeShade="80"/>
        </w:rPr>
        <w:t>1</w:t>
      </w:r>
      <w:r w:rsidRPr="004A1196">
        <w:rPr>
          <w:rFonts w:eastAsia="Calibri"/>
          <w:color w:val="0B2B43" w:themeColor="text2" w:themeShade="80"/>
        </w:rPr>
        <w:t xml:space="preserve"> on overview of Australian Government funding arrangements), the Government should consider ways to improve the function of the p</w:t>
      </w:r>
      <w:r w:rsidR="00FA587C">
        <w:rPr>
          <w:rFonts w:eastAsia="Calibri"/>
          <w:color w:val="0B2B43" w:themeColor="text2" w:themeShade="80"/>
        </w:rPr>
        <w:t>rogramme. D</w:t>
      </w:r>
      <w:r w:rsidRPr="004A1196">
        <w:rPr>
          <w:rFonts w:eastAsia="Calibri"/>
          <w:color w:val="0B2B43" w:themeColor="text2" w:themeShade="80"/>
        </w:rPr>
        <w:t>epending on the approach chosen, this can have a potentially greater impact on improving collaboration between university and business than changes to R</w:t>
      </w:r>
      <w:r w:rsidR="00FA587C">
        <w:rPr>
          <w:rFonts w:eastAsia="Calibri"/>
          <w:color w:val="0B2B43" w:themeColor="text2" w:themeShade="80"/>
        </w:rPr>
        <w:t xml:space="preserve">esearch </w:t>
      </w:r>
      <w:r w:rsidRPr="004A1196">
        <w:rPr>
          <w:rFonts w:eastAsia="Calibri"/>
          <w:color w:val="0B2B43" w:themeColor="text2" w:themeShade="80"/>
        </w:rPr>
        <w:t>B</w:t>
      </w:r>
      <w:r w:rsidR="00FA587C">
        <w:rPr>
          <w:rFonts w:eastAsia="Calibri"/>
          <w:color w:val="0B2B43" w:themeColor="text2" w:themeShade="80"/>
        </w:rPr>
        <w:t xml:space="preserve">lock </w:t>
      </w:r>
      <w:r w:rsidRPr="004A1196">
        <w:rPr>
          <w:rFonts w:eastAsia="Calibri"/>
          <w:color w:val="0B2B43" w:themeColor="text2" w:themeShade="80"/>
        </w:rPr>
        <w:t>G</w:t>
      </w:r>
      <w:r w:rsidR="00FA587C">
        <w:rPr>
          <w:rFonts w:eastAsia="Calibri"/>
          <w:color w:val="0B2B43" w:themeColor="text2" w:themeShade="80"/>
        </w:rPr>
        <w:t>rants</w:t>
      </w:r>
      <w:r w:rsidR="008730B2">
        <w:rPr>
          <w:rFonts w:eastAsia="Calibri"/>
          <w:color w:val="0B2B43" w:themeColor="text2" w:themeShade="80"/>
        </w:rPr>
        <w:t xml:space="preserve"> (</w:t>
      </w:r>
      <w:proofErr w:type="spellStart"/>
      <w:r w:rsidR="008730B2">
        <w:rPr>
          <w:rFonts w:eastAsia="Calibri"/>
          <w:color w:val="0B2B43" w:themeColor="text2" w:themeShade="80"/>
        </w:rPr>
        <w:t>RBG</w:t>
      </w:r>
      <w:proofErr w:type="spellEnd"/>
      <w:r w:rsidR="008730B2">
        <w:rPr>
          <w:rFonts w:eastAsia="Calibri"/>
          <w:color w:val="0B2B43" w:themeColor="text2" w:themeShade="80"/>
        </w:rPr>
        <w:t>)</w:t>
      </w:r>
      <w:r w:rsidRPr="004A1196">
        <w:rPr>
          <w:rFonts w:eastAsia="Calibri"/>
          <w:color w:val="0B2B43" w:themeColor="text2" w:themeShade="80"/>
        </w:rPr>
        <w:t xml:space="preserve">. </w:t>
      </w:r>
    </w:p>
    <w:p w:rsidR="002C6039" w:rsidRPr="00696957" w:rsidRDefault="002C6039" w:rsidP="00696957">
      <w:pPr>
        <w:pStyle w:val="RIHeading2"/>
        <w:rPr>
          <w:rFonts w:eastAsia="Times New Roman"/>
          <w:sz w:val="28"/>
          <w:szCs w:val="28"/>
        </w:rPr>
      </w:pPr>
      <w:bookmarkStart w:id="264" w:name="_Toc436651853"/>
      <w:bookmarkStart w:id="265" w:name="_Toc436659661"/>
      <w:bookmarkStart w:id="266" w:name="_Toc436660159"/>
      <w:r w:rsidRPr="00696957">
        <w:rPr>
          <w:rFonts w:eastAsia="Times New Roman"/>
          <w:sz w:val="28"/>
          <w:szCs w:val="28"/>
        </w:rPr>
        <w:t>CSIRO</w:t>
      </w:r>
      <w:bookmarkEnd w:id="264"/>
      <w:bookmarkEnd w:id="265"/>
      <w:bookmarkEnd w:id="266"/>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The CSIRO plays an active role in the research community, through in house research and collaboration with other researchers, universities and business, both domestically and internationally. It also has targeted </w:t>
      </w:r>
      <w:r w:rsidRPr="004A1196">
        <w:rPr>
          <w:rFonts w:eastAsia="Calibri" w:cs="Calibri"/>
          <w:color w:val="0B2B43" w:themeColor="text2" w:themeShade="80"/>
        </w:rPr>
        <w:t>programmes</w:t>
      </w:r>
      <w:r w:rsidRPr="004A1196">
        <w:rPr>
          <w:rFonts w:eastAsia="Calibri"/>
          <w:color w:val="0B2B43" w:themeColor="text2" w:themeShade="80"/>
        </w:rPr>
        <w:t xml:space="preserve"> that seek to engage with business and provide innovation solutions.</w:t>
      </w:r>
    </w:p>
    <w:p w:rsidR="002C6039" w:rsidRPr="004A1196" w:rsidRDefault="002C6039" w:rsidP="002C6039">
      <w:pPr>
        <w:rPr>
          <w:rFonts w:eastAsia="Calibri"/>
          <w:color w:val="0B2B43" w:themeColor="text2" w:themeShade="80"/>
        </w:rPr>
      </w:pPr>
      <w:r w:rsidRPr="004A1196">
        <w:rPr>
          <w:rFonts w:eastAsia="Calibri"/>
          <w:color w:val="0B2B43" w:themeColor="text2" w:themeShade="80"/>
          <w:lang w:eastAsia="en-AU"/>
        </w:rPr>
        <w:t xml:space="preserve">The </w:t>
      </w:r>
      <w:proofErr w:type="spellStart"/>
      <w:r w:rsidRPr="004A1196">
        <w:rPr>
          <w:rFonts w:eastAsia="Calibri"/>
          <w:color w:val="0B2B43" w:themeColor="text2" w:themeShade="80"/>
          <w:lang w:eastAsia="en-AU"/>
        </w:rPr>
        <w:t>SME</w:t>
      </w:r>
      <w:proofErr w:type="spellEnd"/>
      <w:r w:rsidRPr="004A1196">
        <w:rPr>
          <w:rFonts w:eastAsia="Calibri"/>
          <w:color w:val="0B2B43" w:themeColor="text2" w:themeShade="80"/>
          <w:lang w:eastAsia="en-AU"/>
        </w:rPr>
        <w:t xml:space="preserve"> Engagement Centre administered by CSIRO </w:t>
      </w:r>
      <w:r w:rsidRPr="004A1196">
        <w:rPr>
          <w:rFonts w:eastAsia="Calibri"/>
          <w:color w:val="0B2B43" w:themeColor="text2" w:themeShade="80"/>
        </w:rPr>
        <w:t>aims to help bridge the gap between businesses and the research sectors through finding the right expertise and government programmes for businesses and connecting businesses to relevant people.</w:t>
      </w:r>
      <w:r w:rsidR="00560D15" w:rsidRPr="004A1196">
        <w:rPr>
          <w:rFonts w:eastAsia="Calibri" w:cs="Calibri"/>
          <w:color w:val="0B2B43" w:themeColor="text2" w:themeShade="80"/>
          <w:vertAlign w:val="superscript"/>
          <w:lang w:eastAsia="en-AU"/>
        </w:rPr>
        <w:footnoteReference w:id="60"/>
      </w:r>
      <w:r w:rsidRPr="004A1196">
        <w:rPr>
          <w:rFonts w:eastAsia="Calibri"/>
          <w:color w:val="0B2B43" w:themeColor="text2" w:themeShade="80"/>
        </w:rPr>
        <w:t xml:space="preserve"> Since 2008, CSIRO has helped more than 100 </w:t>
      </w:r>
      <w:proofErr w:type="spellStart"/>
      <w:r w:rsidRPr="004A1196">
        <w:rPr>
          <w:rFonts w:eastAsia="Calibri"/>
          <w:color w:val="0B2B43" w:themeColor="text2" w:themeShade="80"/>
        </w:rPr>
        <w:t>SME</w:t>
      </w:r>
      <w:proofErr w:type="spellEnd"/>
      <w:r w:rsidRPr="004A1196">
        <w:rPr>
          <w:rFonts w:eastAsia="Calibri"/>
          <w:color w:val="0B2B43" w:themeColor="text2" w:themeShade="80"/>
        </w:rPr>
        <w:t xml:space="preserve"> to grow and gain a competitive advantage through accessing </w:t>
      </w:r>
      <w:proofErr w:type="gramStart"/>
      <w:r w:rsidRPr="004A1196">
        <w:rPr>
          <w:rFonts w:eastAsia="Calibri"/>
          <w:color w:val="0B2B43" w:themeColor="text2" w:themeShade="80"/>
        </w:rPr>
        <w:t>cutting edge</w:t>
      </w:r>
      <w:proofErr w:type="gramEnd"/>
      <w:r w:rsidRPr="004A1196">
        <w:rPr>
          <w:rFonts w:eastAsia="Calibri"/>
          <w:color w:val="0B2B43" w:themeColor="text2" w:themeShade="80"/>
        </w:rPr>
        <w:t xml:space="preserve"> research and technology. </w:t>
      </w:r>
      <w:proofErr w:type="gramStart"/>
      <w:r w:rsidRPr="004A1196">
        <w:rPr>
          <w:rFonts w:eastAsia="Calibri"/>
          <w:color w:val="0B2B43" w:themeColor="text2" w:themeShade="80"/>
        </w:rPr>
        <w:t xml:space="preserve">The review considers this is an effective model </w:t>
      </w:r>
      <w:r w:rsidR="00223820">
        <w:rPr>
          <w:rFonts w:eastAsia="Calibri"/>
          <w:color w:val="0B2B43" w:themeColor="text2" w:themeShade="80"/>
        </w:rPr>
        <w:t xml:space="preserve">to overcome </w:t>
      </w:r>
      <w:r w:rsidRPr="004A1196">
        <w:rPr>
          <w:rFonts w:eastAsia="Calibri"/>
          <w:color w:val="0B2B43" w:themeColor="text2" w:themeShade="80"/>
        </w:rPr>
        <w:t>the difficulties in translating research into commercial returns and should be encouraged.</w:t>
      </w:r>
      <w:proofErr w:type="gramEnd"/>
      <w:r w:rsidRPr="004A1196">
        <w:rPr>
          <w:rFonts w:eastAsia="Calibri"/>
          <w:color w:val="0B2B43" w:themeColor="text2" w:themeShade="80"/>
        </w:rPr>
        <w:t xml:space="preserve"> </w:t>
      </w:r>
    </w:p>
    <w:p w:rsidR="002C6039" w:rsidRPr="00696957" w:rsidRDefault="002C6039" w:rsidP="00696957">
      <w:pPr>
        <w:pStyle w:val="RIHeading2"/>
        <w:rPr>
          <w:rFonts w:eastAsia="Times New Roman"/>
          <w:sz w:val="28"/>
          <w:szCs w:val="28"/>
        </w:rPr>
      </w:pPr>
      <w:bookmarkStart w:id="267" w:name="_Toc436651854"/>
      <w:bookmarkStart w:id="268" w:name="_Toc436659662"/>
      <w:bookmarkStart w:id="269" w:name="_Toc436660160"/>
      <w:r w:rsidRPr="00696957">
        <w:rPr>
          <w:rFonts w:eastAsia="Times New Roman"/>
          <w:sz w:val="28"/>
          <w:szCs w:val="28"/>
        </w:rPr>
        <w:t>Industry relevant research training</w:t>
      </w:r>
      <w:bookmarkEnd w:id="267"/>
      <w:bookmarkEnd w:id="268"/>
      <w:bookmarkEnd w:id="269"/>
      <w:r w:rsidRPr="00696957">
        <w:rPr>
          <w:rFonts w:eastAsia="Times New Roman"/>
          <w:sz w:val="28"/>
          <w:szCs w:val="28"/>
        </w:rPr>
        <w:t xml:space="preserve"> </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The review noted that there are various approaches in Australian </w:t>
      </w:r>
      <w:proofErr w:type="gramStart"/>
      <w:r w:rsidRPr="004A1196">
        <w:rPr>
          <w:rFonts w:eastAsia="Calibri"/>
          <w:color w:val="0B2B43" w:themeColor="text2" w:themeShade="80"/>
        </w:rPr>
        <w:t>universities which support industry</w:t>
      </w:r>
      <w:proofErr w:type="gramEnd"/>
      <w:r w:rsidRPr="004A1196">
        <w:rPr>
          <w:rFonts w:eastAsia="Calibri"/>
          <w:color w:val="0B2B43" w:themeColor="text2" w:themeShade="80"/>
        </w:rPr>
        <w:t xml:space="preserve"> engaged research training. These range from specialised, industrial doctoral training programmes to more general PhD </w:t>
      </w:r>
      <w:proofErr w:type="gramStart"/>
      <w:r w:rsidRPr="004A1196">
        <w:rPr>
          <w:rFonts w:eastAsia="Calibri"/>
          <w:color w:val="0B2B43" w:themeColor="text2" w:themeShade="80"/>
        </w:rPr>
        <w:t>programmes which</w:t>
      </w:r>
      <w:proofErr w:type="gramEnd"/>
      <w:r w:rsidRPr="004A1196">
        <w:rPr>
          <w:rFonts w:eastAsia="Calibri"/>
          <w:color w:val="0B2B43" w:themeColor="text2" w:themeShade="80"/>
        </w:rPr>
        <w:t xml:space="preserve"> incorporate business placements and industry relevant coursework. </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The Industry Doctoral Training Centre (</w:t>
      </w:r>
      <w:proofErr w:type="spellStart"/>
      <w:r w:rsidRPr="004A1196">
        <w:rPr>
          <w:rFonts w:eastAsia="Calibri"/>
          <w:color w:val="0B2B43" w:themeColor="text2" w:themeShade="80"/>
        </w:rPr>
        <w:t>IDTC</w:t>
      </w:r>
      <w:proofErr w:type="spellEnd"/>
      <w:r w:rsidRPr="004A1196">
        <w:rPr>
          <w:rFonts w:eastAsia="Calibri"/>
          <w:color w:val="0B2B43" w:themeColor="text2" w:themeShade="80"/>
        </w:rPr>
        <w:t xml:space="preserve">), run by the </w:t>
      </w:r>
      <w:proofErr w:type="spellStart"/>
      <w:r w:rsidRPr="004A1196">
        <w:rPr>
          <w:rFonts w:eastAsia="Calibri"/>
          <w:color w:val="0B2B43" w:themeColor="text2" w:themeShade="80"/>
        </w:rPr>
        <w:t>ATN</w:t>
      </w:r>
      <w:proofErr w:type="spellEnd"/>
      <w:r w:rsidRPr="004A1196">
        <w:rPr>
          <w:rFonts w:eastAsia="Calibri"/>
          <w:color w:val="0B2B43" w:themeColor="text2" w:themeShade="80"/>
        </w:rPr>
        <w:t xml:space="preserve">, provides doctoral </w:t>
      </w:r>
      <w:proofErr w:type="gramStart"/>
      <w:r w:rsidRPr="004A1196">
        <w:rPr>
          <w:rFonts w:eastAsia="Calibri"/>
          <w:color w:val="0B2B43" w:themeColor="text2" w:themeShade="80"/>
        </w:rPr>
        <w:t>training which</w:t>
      </w:r>
      <w:proofErr w:type="gramEnd"/>
      <w:r w:rsidRPr="004A1196">
        <w:rPr>
          <w:rFonts w:eastAsia="Calibri"/>
          <w:color w:val="0B2B43" w:themeColor="text2" w:themeShade="80"/>
        </w:rPr>
        <w:t xml:space="preserve"> combines a PhD thesis with training in business relevant professional and technical skills.</w:t>
      </w:r>
      <w:r w:rsidR="00F254A4">
        <w:rPr>
          <w:rFonts w:eastAsia="Calibri"/>
          <w:color w:val="0B2B43" w:themeColor="text2" w:themeShade="80"/>
        </w:rPr>
        <w:t xml:space="preserve"> The </w:t>
      </w:r>
      <w:proofErr w:type="spellStart"/>
      <w:r w:rsidR="00F254A4">
        <w:rPr>
          <w:rFonts w:eastAsia="Calibri"/>
          <w:color w:val="0B2B43" w:themeColor="text2" w:themeShade="80"/>
        </w:rPr>
        <w:t>IDTC</w:t>
      </w:r>
      <w:proofErr w:type="spellEnd"/>
      <w:r w:rsidRPr="004A1196">
        <w:rPr>
          <w:rFonts w:eastAsia="Calibri"/>
          <w:color w:val="0B2B43" w:themeColor="text2" w:themeShade="80"/>
        </w:rPr>
        <w:t xml:space="preserve"> requires PhD students to collaborate with industry partners and work on an industry identified problem. </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The Australian Research Council </w:t>
      </w:r>
      <w:r w:rsidR="00512243">
        <w:rPr>
          <w:rFonts w:eastAsia="Calibri"/>
          <w:color w:val="0B2B43" w:themeColor="text2" w:themeShade="80"/>
        </w:rPr>
        <w:t xml:space="preserve">(ARC) </w:t>
      </w:r>
      <w:r w:rsidRPr="004A1196">
        <w:rPr>
          <w:rFonts w:eastAsia="Calibri"/>
          <w:color w:val="0B2B43" w:themeColor="text2" w:themeShade="80"/>
        </w:rPr>
        <w:t xml:space="preserve">Industrial Transformation Training Centres </w:t>
      </w:r>
      <w:r w:rsidR="00512243">
        <w:rPr>
          <w:rFonts w:eastAsia="Calibri"/>
          <w:color w:val="0B2B43" w:themeColor="text2" w:themeShade="80"/>
        </w:rPr>
        <w:t>(</w:t>
      </w:r>
      <w:proofErr w:type="spellStart"/>
      <w:r w:rsidR="00512243">
        <w:rPr>
          <w:rFonts w:eastAsia="Calibri"/>
          <w:color w:val="0B2B43" w:themeColor="text2" w:themeShade="80"/>
        </w:rPr>
        <w:t>ITTC</w:t>
      </w:r>
      <w:proofErr w:type="spellEnd"/>
      <w:r w:rsidR="00512243">
        <w:rPr>
          <w:rFonts w:eastAsia="Calibri"/>
          <w:color w:val="0B2B43" w:themeColor="text2" w:themeShade="80"/>
        </w:rPr>
        <w:t xml:space="preserve">) </w:t>
      </w:r>
      <w:r w:rsidRPr="004A1196">
        <w:rPr>
          <w:rFonts w:eastAsia="Calibri"/>
          <w:color w:val="0B2B43" w:themeColor="text2" w:themeShade="80"/>
        </w:rPr>
        <w:t xml:space="preserve">scheme provides opportunities for PhD candidates to pursue industrial research training. Priority areas </w:t>
      </w:r>
      <w:proofErr w:type="gramStart"/>
      <w:r w:rsidRPr="004A1196">
        <w:rPr>
          <w:rFonts w:eastAsia="Calibri"/>
          <w:color w:val="0B2B43" w:themeColor="text2" w:themeShade="80"/>
        </w:rPr>
        <w:t>are identified</w:t>
      </w:r>
      <w:proofErr w:type="gramEnd"/>
      <w:r w:rsidRPr="004A1196">
        <w:rPr>
          <w:rFonts w:eastAsia="Calibri"/>
          <w:color w:val="0B2B43" w:themeColor="text2" w:themeShade="80"/>
        </w:rPr>
        <w:t xml:space="preserve"> for the programme each year. The </w:t>
      </w:r>
      <w:proofErr w:type="spellStart"/>
      <w:r w:rsidR="00512243">
        <w:rPr>
          <w:rFonts w:eastAsia="Calibri"/>
          <w:color w:val="0B2B43" w:themeColor="text2" w:themeShade="80"/>
        </w:rPr>
        <w:t>ITTC</w:t>
      </w:r>
      <w:proofErr w:type="spellEnd"/>
      <w:r w:rsidR="00512243">
        <w:rPr>
          <w:rFonts w:eastAsia="Calibri"/>
          <w:color w:val="0B2B43" w:themeColor="text2" w:themeShade="80"/>
        </w:rPr>
        <w:t xml:space="preserve"> </w:t>
      </w:r>
      <w:r w:rsidRPr="004A1196">
        <w:rPr>
          <w:rFonts w:eastAsia="Calibri"/>
          <w:color w:val="0B2B43" w:themeColor="text2" w:themeShade="80"/>
        </w:rPr>
        <w:t xml:space="preserve">priorities for 2016 </w:t>
      </w:r>
      <w:proofErr w:type="gramStart"/>
      <w:r w:rsidRPr="004A1196">
        <w:rPr>
          <w:rFonts w:eastAsia="Calibri"/>
          <w:color w:val="0B2B43" w:themeColor="text2" w:themeShade="80"/>
        </w:rPr>
        <w:t>are</w:t>
      </w:r>
      <w:r w:rsidR="00CF058E">
        <w:rPr>
          <w:rFonts w:eastAsia="Calibri"/>
          <w:color w:val="0B2B43" w:themeColor="text2" w:themeShade="80"/>
        </w:rPr>
        <w:t>:</w:t>
      </w:r>
      <w:proofErr w:type="gramEnd"/>
      <w:r w:rsidR="00CF058E">
        <w:rPr>
          <w:rFonts w:eastAsia="Calibri"/>
          <w:color w:val="0B2B43" w:themeColor="text2" w:themeShade="80"/>
        </w:rPr>
        <w:t xml:space="preserve"> </w:t>
      </w:r>
      <w:r w:rsidRPr="004A1196">
        <w:rPr>
          <w:rFonts w:eastAsia="Calibri"/>
          <w:color w:val="0B2B43" w:themeColor="text2" w:themeShade="80"/>
        </w:rPr>
        <w:t>Advanced Manufacturing</w:t>
      </w:r>
      <w:r w:rsidR="00CF058E">
        <w:rPr>
          <w:rFonts w:eastAsia="Calibri"/>
          <w:color w:val="0B2B43" w:themeColor="text2" w:themeShade="80"/>
        </w:rPr>
        <w:t>;</w:t>
      </w:r>
      <w:r w:rsidRPr="004A1196">
        <w:rPr>
          <w:rFonts w:eastAsia="Calibri"/>
          <w:color w:val="0B2B43" w:themeColor="text2" w:themeShade="80"/>
        </w:rPr>
        <w:t xml:space="preserve"> Food and Agribusiness; Oil, Gas and Energy Resources; Mining Equipment</w:t>
      </w:r>
      <w:r w:rsidR="00CF058E">
        <w:rPr>
          <w:rFonts w:eastAsia="Calibri"/>
          <w:color w:val="0B2B43" w:themeColor="text2" w:themeShade="80"/>
        </w:rPr>
        <w:t>,</w:t>
      </w:r>
      <w:r w:rsidRPr="004A1196">
        <w:rPr>
          <w:rFonts w:eastAsia="Calibri"/>
          <w:color w:val="0B2B43" w:themeColor="text2" w:themeShade="80"/>
        </w:rPr>
        <w:t xml:space="preserve"> Technology and Services</w:t>
      </w:r>
      <w:r w:rsidR="00CF058E">
        <w:rPr>
          <w:rFonts w:eastAsia="Calibri"/>
          <w:color w:val="0B2B43" w:themeColor="text2" w:themeShade="80"/>
        </w:rPr>
        <w:t>;</w:t>
      </w:r>
      <w:r w:rsidRPr="004A1196">
        <w:rPr>
          <w:rFonts w:eastAsia="Calibri"/>
          <w:color w:val="0B2B43" w:themeColor="text2" w:themeShade="80"/>
        </w:rPr>
        <w:t xml:space="preserve"> and Medical Technologies and Pharmaceuticals. These priorities are consistent with the five high</w:t>
      </w:r>
      <w:r w:rsidR="0014465E">
        <w:rPr>
          <w:rFonts w:eastAsia="Calibri"/>
          <w:color w:val="0B2B43" w:themeColor="text2" w:themeShade="80"/>
        </w:rPr>
        <w:t xml:space="preserve"> </w:t>
      </w:r>
      <w:r w:rsidRPr="004A1196">
        <w:rPr>
          <w:rFonts w:eastAsia="Calibri"/>
          <w:color w:val="0B2B43" w:themeColor="text2" w:themeShade="80"/>
        </w:rPr>
        <w:t>growth sectors established under the </w:t>
      </w:r>
      <w:hyperlink r:id="rId39" w:history="1">
        <w:r w:rsidRPr="004A1196">
          <w:rPr>
            <w:rFonts w:eastAsia="Calibri"/>
            <w:color w:val="0B2B43" w:themeColor="text2" w:themeShade="80"/>
          </w:rPr>
          <w:t xml:space="preserve">Industry Growth Centres initiative. </w:t>
        </w:r>
      </w:hyperlink>
    </w:p>
    <w:p w:rsidR="002C6039" w:rsidRPr="004A1196" w:rsidRDefault="002C6039" w:rsidP="002C6039">
      <w:pPr>
        <w:rPr>
          <w:rFonts w:eastAsia="Calibri"/>
          <w:color w:val="0B2B43" w:themeColor="text2" w:themeShade="80"/>
        </w:rPr>
      </w:pPr>
      <w:r w:rsidRPr="004A1196">
        <w:rPr>
          <w:rFonts w:eastAsia="Calibri"/>
          <w:color w:val="0B2B43" w:themeColor="text2" w:themeShade="80"/>
        </w:rPr>
        <w:t>The Australian Council of Learned Academi</w:t>
      </w:r>
      <w:r w:rsidR="0014465E">
        <w:rPr>
          <w:rFonts w:eastAsia="Calibri"/>
          <w:color w:val="0B2B43" w:themeColor="text2" w:themeShade="80"/>
        </w:rPr>
        <w:t>e</w:t>
      </w:r>
      <w:r w:rsidRPr="004A1196">
        <w:rPr>
          <w:rFonts w:eastAsia="Calibri"/>
          <w:color w:val="0B2B43" w:themeColor="text2" w:themeShade="80"/>
        </w:rPr>
        <w:t>s (</w:t>
      </w:r>
      <w:proofErr w:type="spellStart"/>
      <w:r w:rsidRPr="004A1196">
        <w:rPr>
          <w:rFonts w:eastAsia="Calibri"/>
          <w:color w:val="0B2B43" w:themeColor="text2" w:themeShade="80"/>
        </w:rPr>
        <w:t>ACOLA</w:t>
      </w:r>
      <w:proofErr w:type="spellEnd"/>
      <w:r w:rsidRPr="004A1196">
        <w:rPr>
          <w:rFonts w:eastAsia="Calibri"/>
          <w:color w:val="0B2B43" w:themeColor="text2" w:themeShade="80"/>
        </w:rPr>
        <w:t xml:space="preserve">) is currently reviewing Australia’s research training system and will report to the Minister for </w:t>
      </w:r>
      <w:r w:rsidR="002D2F5F">
        <w:rPr>
          <w:rFonts w:eastAsia="Calibri"/>
          <w:color w:val="0B2B43" w:themeColor="text2" w:themeShade="80"/>
        </w:rPr>
        <w:t>Education and Training in March </w:t>
      </w:r>
      <w:r w:rsidRPr="004A1196">
        <w:rPr>
          <w:rFonts w:eastAsia="Calibri"/>
          <w:color w:val="0B2B43" w:themeColor="text2" w:themeShade="80"/>
        </w:rPr>
        <w:t>2016. In consultations to date, a key issue raised is that current funding arrangements for research training do not promote, and in some cases inhibit, active industry involvement in research training, professional skills development, and multidisciplinary research. The review pointed to the example of the UK Doctoral Training Centres (</w:t>
      </w:r>
      <w:proofErr w:type="spellStart"/>
      <w:r w:rsidRPr="004A1196">
        <w:rPr>
          <w:rFonts w:eastAsia="Calibri"/>
          <w:color w:val="0B2B43" w:themeColor="text2" w:themeShade="80"/>
        </w:rPr>
        <w:t>DTC</w:t>
      </w:r>
      <w:proofErr w:type="spellEnd"/>
      <w:r w:rsidRPr="004A1196">
        <w:rPr>
          <w:rFonts w:eastAsia="Calibri"/>
          <w:color w:val="0B2B43" w:themeColor="text2" w:themeShade="80"/>
        </w:rPr>
        <w:t xml:space="preserve">), </w:t>
      </w:r>
      <w:r w:rsidR="004E11E4" w:rsidRPr="004A1196">
        <w:rPr>
          <w:rFonts w:eastAsia="Calibri"/>
          <w:color w:val="0B2B43" w:themeColor="text2" w:themeShade="80"/>
        </w:rPr>
        <w:t xml:space="preserve">as one </w:t>
      </w:r>
      <w:proofErr w:type="gramStart"/>
      <w:r w:rsidR="004E11E4" w:rsidRPr="004A1196">
        <w:rPr>
          <w:rFonts w:eastAsia="Calibri"/>
          <w:color w:val="0B2B43" w:themeColor="text2" w:themeShade="80"/>
        </w:rPr>
        <w:t>model which</w:t>
      </w:r>
      <w:proofErr w:type="gramEnd"/>
      <w:r w:rsidR="004E11E4" w:rsidRPr="004A1196">
        <w:rPr>
          <w:rFonts w:eastAsia="Calibri"/>
          <w:color w:val="0B2B43" w:themeColor="text2" w:themeShade="80"/>
        </w:rPr>
        <w:t xml:space="preserve"> works to encourage better university-business collaboration in research training</w:t>
      </w:r>
      <w:r w:rsidR="004E11E4">
        <w:rPr>
          <w:rFonts w:eastAsia="Calibri"/>
          <w:color w:val="0B2B43" w:themeColor="text2" w:themeShade="80"/>
        </w:rPr>
        <w:t xml:space="preserve">. The UK </w:t>
      </w:r>
      <w:r w:rsidRPr="004A1196">
        <w:rPr>
          <w:rFonts w:eastAsia="Calibri"/>
          <w:color w:val="0B2B43" w:themeColor="text2" w:themeShade="80"/>
        </w:rPr>
        <w:t xml:space="preserve">research councils allocate funding to </w:t>
      </w:r>
      <w:proofErr w:type="spellStart"/>
      <w:r w:rsidRPr="004A1196">
        <w:rPr>
          <w:rFonts w:eastAsia="Calibri"/>
          <w:color w:val="0B2B43" w:themeColor="text2" w:themeShade="80"/>
        </w:rPr>
        <w:t>DTC</w:t>
      </w:r>
      <w:proofErr w:type="spellEnd"/>
      <w:r w:rsidRPr="004A1196">
        <w:rPr>
          <w:rFonts w:eastAsia="Calibri"/>
          <w:color w:val="0B2B43" w:themeColor="text2" w:themeShade="80"/>
        </w:rPr>
        <w:t xml:space="preserve"> to manage the</w:t>
      </w:r>
      <w:r w:rsidR="00AB6307">
        <w:rPr>
          <w:rFonts w:eastAsia="Calibri"/>
          <w:color w:val="0B2B43" w:themeColor="text2" w:themeShade="80"/>
        </w:rPr>
        <w:t xml:space="preserve"> structure of doctoral training</w:t>
      </w:r>
      <w:r w:rsidRPr="004A1196">
        <w:rPr>
          <w:rFonts w:eastAsia="Calibri"/>
          <w:color w:val="0B2B43" w:themeColor="text2" w:themeShade="80"/>
        </w:rPr>
        <w:t xml:space="preserve">. </w:t>
      </w:r>
      <w:r w:rsidR="00AB6307" w:rsidRPr="004A1196">
        <w:rPr>
          <w:rFonts w:eastAsia="Calibri"/>
          <w:color w:val="0B2B43" w:themeColor="text2" w:themeShade="80"/>
        </w:rPr>
        <w:t xml:space="preserve">The </w:t>
      </w:r>
      <w:proofErr w:type="spellStart"/>
      <w:r w:rsidR="00AB6307" w:rsidRPr="004A1196">
        <w:rPr>
          <w:rFonts w:eastAsia="Calibri"/>
          <w:color w:val="0B2B43" w:themeColor="text2" w:themeShade="80"/>
        </w:rPr>
        <w:t>DTC</w:t>
      </w:r>
      <w:proofErr w:type="spellEnd"/>
      <w:r w:rsidR="00AB6307" w:rsidRPr="004A1196">
        <w:rPr>
          <w:rFonts w:eastAsia="Calibri"/>
          <w:color w:val="0B2B43" w:themeColor="text2" w:themeShade="80"/>
        </w:rPr>
        <w:t xml:space="preserve"> embed collaboration by ensuring that research students have both an academic and an industry supervisor and that the PhD’s research project </w:t>
      </w:r>
      <w:proofErr w:type="gramStart"/>
      <w:r w:rsidR="00AB6307" w:rsidRPr="004A1196">
        <w:rPr>
          <w:rFonts w:eastAsia="Calibri"/>
          <w:color w:val="0B2B43" w:themeColor="text2" w:themeShade="80"/>
        </w:rPr>
        <w:t xml:space="preserve">is </w:t>
      </w:r>
      <w:r w:rsidR="00AB6307">
        <w:rPr>
          <w:rFonts w:eastAsia="Calibri"/>
          <w:color w:val="0B2B43" w:themeColor="text2" w:themeShade="80"/>
        </w:rPr>
        <w:t>focused</w:t>
      </w:r>
      <w:proofErr w:type="gramEnd"/>
      <w:r w:rsidR="00AB6307" w:rsidRPr="004A1196">
        <w:rPr>
          <w:rFonts w:eastAsia="Calibri"/>
          <w:color w:val="0B2B43" w:themeColor="text2" w:themeShade="80"/>
        </w:rPr>
        <w:t xml:space="preserve"> on an industry relevant issue. </w:t>
      </w:r>
      <w:r w:rsidRPr="004A1196">
        <w:rPr>
          <w:rFonts w:eastAsia="Calibri"/>
          <w:color w:val="0B2B43" w:themeColor="text2" w:themeShade="80"/>
        </w:rPr>
        <w:t xml:space="preserve">In its emerging findings, </w:t>
      </w:r>
      <w:proofErr w:type="spellStart"/>
      <w:r w:rsidRPr="004A1196">
        <w:rPr>
          <w:rFonts w:eastAsia="Calibri"/>
          <w:color w:val="0B2B43" w:themeColor="text2" w:themeShade="80"/>
        </w:rPr>
        <w:t>ACOLA</w:t>
      </w:r>
      <w:proofErr w:type="spellEnd"/>
      <w:r w:rsidRPr="004A1196">
        <w:rPr>
          <w:rFonts w:eastAsia="Calibri"/>
          <w:color w:val="0B2B43" w:themeColor="text2" w:themeShade="80"/>
        </w:rPr>
        <w:t xml:space="preserve"> has suggested that Australia should consider implementation of </w:t>
      </w:r>
      <w:proofErr w:type="spellStart"/>
      <w:r w:rsidR="00AB6307">
        <w:rPr>
          <w:rFonts w:eastAsia="Calibri"/>
          <w:color w:val="0B2B43" w:themeColor="text2" w:themeShade="80"/>
        </w:rPr>
        <w:t>DTC</w:t>
      </w:r>
      <w:proofErr w:type="spellEnd"/>
      <w:r w:rsidR="00AB6307">
        <w:rPr>
          <w:rFonts w:eastAsia="Calibri"/>
          <w:color w:val="0B2B43" w:themeColor="text2" w:themeShade="80"/>
        </w:rPr>
        <w:t xml:space="preserve"> </w:t>
      </w:r>
      <w:r w:rsidRPr="004A1196">
        <w:rPr>
          <w:rFonts w:eastAsia="Calibri"/>
          <w:color w:val="0B2B43" w:themeColor="text2" w:themeShade="80"/>
        </w:rPr>
        <w:t xml:space="preserve">as a means of achieving collaboration between universities and business in PhD training. This review is supportive of the proposal set out in </w:t>
      </w:r>
      <w:proofErr w:type="spellStart"/>
      <w:r w:rsidRPr="004A1196">
        <w:rPr>
          <w:rFonts w:eastAsia="Calibri"/>
          <w:color w:val="0B2B43" w:themeColor="text2" w:themeShade="80"/>
        </w:rPr>
        <w:t>ACOLA’s</w:t>
      </w:r>
      <w:proofErr w:type="spellEnd"/>
      <w:r w:rsidRPr="004A1196">
        <w:rPr>
          <w:rFonts w:eastAsia="Calibri"/>
          <w:color w:val="0B2B43" w:themeColor="text2" w:themeShade="80"/>
        </w:rPr>
        <w:t xml:space="preserve"> emerging findings </w:t>
      </w:r>
      <w:proofErr w:type="gramStart"/>
      <w:r w:rsidRPr="004A1196">
        <w:rPr>
          <w:rFonts w:eastAsia="Calibri"/>
          <w:color w:val="0B2B43" w:themeColor="text2" w:themeShade="80"/>
        </w:rPr>
        <w:t>in regard to</w:t>
      </w:r>
      <w:proofErr w:type="gramEnd"/>
      <w:r w:rsidRPr="004A1196">
        <w:rPr>
          <w:rFonts w:eastAsia="Calibri"/>
          <w:color w:val="0B2B43" w:themeColor="text2" w:themeShade="80"/>
        </w:rPr>
        <w:t xml:space="preserve"> </w:t>
      </w:r>
      <w:proofErr w:type="spellStart"/>
      <w:r w:rsidR="00AB6307">
        <w:rPr>
          <w:rFonts w:eastAsia="Calibri"/>
          <w:color w:val="0B2B43" w:themeColor="text2" w:themeShade="80"/>
        </w:rPr>
        <w:t>DTC</w:t>
      </w:r>
      <w:proofErr w:type="spellEnd"/>
      <w:r w:rsidRPr="004A1196">
        <w:rPr>
          <w:rFonts w:eastAsia="Calibri"/>
          <w:color w:val="0B2B43" w:themeColor="text2" w:themeShade="80"/>
        </w:rPr>
        <w:t xml:space="preserve">. </w:t>
      </w:r>
    </w:p>
    <w:p w:rsidR="002C6039" w:rsidRPr="00696957" w:rsidRDefault="002C6039" w:rsidP="00696957">
      <w:pPr>
        <w:pStyle w:val="RIHeading2"/>
        <w:rPr>
          <w:rFonts w:eastAsia="Times New Roman"/>
          <w:sz w:val="28"/>
          <w:szCs w:val="28"/>
        </w:rPr>
      </w:pPr>
      <w:bookmarkStart w:id="270" w:name="_Toc436651855"/>
      <w:bookmarkStart w:id="271" w:name="_Toc436659663"/>
      <w:bookmarkStart w:id="272" w:name="_Toc436660161"/>
      <w:r w:rsidRPr="00696957">
        <w:rPr>
          <w:rFonts w:eastAsia="Times New Roman"/>
          <w:sz w:val="28"/>
          <w:szCs w:val="28"/>
        </w:rPr>
        <w:t>Business skills and placements for students</w:t>
      </w:r>
      <w:bookmarkEnd w:id="270"/>
      <w:bookmarkEnd w:id="271"/>
      <w:bookmarkEnd w:id="272"/>
    </w:p>
    <w:p w:rsidR="002C6039" w:rsidRPr="004A1196" w:rsidRDefault="002C6039" w:rsidP="002C6039">
      <w:pPr>
        <w:rPr>
          <w:rFonts w:eastAsia="Calibri"/>
          <w:color w:val="0B2B43" w:themeColor="text2" w:themeShade="80"/>
        </w:rPr>
      </w:pPr>
      <w:r w:rsidRPr="004A1196">
        <w:rPr>
          <w:rFonts w:eastAsia="Calibri"/>
          <w:color w:val="0B2B43" w:themeColor="text2" w:themeShade="80"/>
        </w:rPr>
        <w:t>Consultations for the review stressed the importance of cultural change in both the industry and the university sectors as essential to improving collaboration. One strategy identified to drive this change was the inclusion of business experience in the early stage of a research career. Incorporation of business placements in PhD training can help students understand the value of business relevant research as well as building skills for future employment in business settings. Work integrated learning already has a growing focus in undergraduate training.</w:t>
      </w:r>
      <w:r w:rsidRPr="004A1196">
        <w:rPr>
          <w:rFonts w:eastAsia="Calibri"/>
          <w:color w:val="0B2B43" w:themeColor="text2" w:themeShade="80"/>
          <w:vertAlign w:val="superscript"/>
        </w:rPr>
        <w:footnoteReference w:id="61"/>
      </w:r>
      <w:r w:rsidRPr="004A1196">
        <w:rPr>
          <w:rFonts w:eastAsia="Calibri"/>
          <w:color w:val="0B2B43" w:themeColor="text2" w:themeShade="80"/>
        </w:rPr>
        <w:t xml:space="preserve"> </w:t>
      </w:r>
    </w:p>
    <w:p w:rsidR="002C6039" w:rsidRPr="004A1196" w:rsidRDefault="002C6039" w:rsidP="002C6039">
      <w:pPr>
        <w:spacing w:before="0" w:after="200"/>
        <w:rPr>
          <w:rFonts w:eastAsia="Times New Roman" w:cs="Calibri"/>
          <w:color w:val="0B2B43" w:themeColor="text2" w:themeShade="80"/>
          <w:lang w:eastAsia="en-AU"/>
        </w:rPr>
      </w:pPr>
      <w:r w:rsidRPr="004A1196">
        <w:rPr>
          <w:rFonts w:eastAsia="Times New Roman"/>
          <w:color w:val="0B2B43" w:themeColor="text2" w:themeShade="80"/>
          <w:lang w:eastAsia="en-AU"/>
        </w:rPr>
        <w:t xml:space="preserve">Universities also indicated that business relevant courses in areas such as </w:t>
      </w:r>
      <w:r w:rsidRPr="004A1196">
        <w:rPr>
          <w:rFonts w:eastAsia="Calibri"/>
          <w:color w:val="0B2B43" w:themeColor="text2" w:themeShade="80"/>
        </w:rPr>
        <w:t>commercialisation skills and project management</w:t>
      </w:r>
      <w:r w:rsidRPr="004A1196">
        <w:rPr>
          <w:rFonts w:eastAsia="Times New Roman"/>
          <w:color w:val="0B2B43" w:themeColor="text2" w:themeShade="80"/>
          <w:lang w:eastAsia="en-AU"/>
        </w:rPr>
        <w:t xml:space="preserve"> </w:t>
      </w:r>
      <w:proofErr w:type="gramStart"/>
      <w:r w:rsidRPr="004A1196">
        <w:rPr>
          <w:rFonts w:eastAsia="Times New Roman"/>
          <w:color w:val="0B2B43" w:themeColor="text2" w:themeShade="80"/>
          <w:lang w:eastAsia="en-AU"/>
        </w:rPr>
        <w:t>are be</w:t>
      </w:r>
      <w:r w:rsidR="00A03B37">
        <w:rPr>
          <w:rFonts w:eastAsia="Times New Roman"/>
          <w:color w:val="0B2B43" w:themeColor="text2" w:themeShade="80"/>
          <w:lang w:eastAsia="en-AU"/>
        </w:rPr>
        <w:t>ing offered</w:t>
      </w:r>
      <w:proofErr w:type="gramEnd"/>
      <w:r w:rsidR="00A03B37">
        <w:rPr>
          <w:rFonts w:eastAsia="Times New Roman"/>
          <w:color w:val="0B2B43" w:themeColor="text2" w:themeShade="80"/>
          <w:lang w:eastAsia="en-AU"/>
        </w:rPr>
        <w:t xml:space="preserve"> during PhD training. However, </w:t>
      </w:r>
      <w:r w:rsidRPr="004A1196">
        <w:rPr>
          <w:rFonts w:eastAsia="Times New Roman"/>
          <w:color w:val="0B2B43" w:themeColor="text2" w:themeShade="80"/>
          <w:lang w:eastAsia="en-AU"/>
        </w:rPr>
        <w:t xml:space="preserve">these are separate to the opportunities provided by universities </w:t>
      </w:r>
      <w:r w:rsidR="00A80899">
        <w:rPr>
          <w:rFonts w:eastAsia="Times New Roman"/>
          <w:color w:val="0B2B43" w:themeColor="text2" w:themeShade="80"/>
          <w:lang w:eastAsia="en-AU"/>
        </w:rPr>
        <w:t xml:space="preserve">that </w:t>
      </w:r>
      <w:r w:rsidRPr="004A1196">
        <w:rPr>
          <w:rFonts w:eastAsia="Times New Roman"/>
          <w:color w:val="0B2B43" w:themeColor="text2" w:themeShade="80"/>
          <w:lang w:eastAsia="en-AU"/>
        </w:rPr>
        <w:t>support research students to access business placements. Placing</w:t>
      </w:r>
      <w:r w:rsidRPr="004A1196">
        <w:rPr>
          <w:rFonts w:eastAsia="Times New Roman" w:cs="Calibri"/>
          <w:color w:val="0B2B43" w:themeColor="text2" w:themeShade="80"/>
          <w:lang w:eastAsia="en-AU"/>
        </w:rPr>
        <w:t xml:space="preserve"> research students in business will yield benefits for the firm. Over time, and at sufficient scale, this has the potential to increase business ‘pull’ on universities for research engagement. Such arrangements can also lead to PhD students taking up employment in industry after graduation. An increase in </w:t>
      </w:r>
      <w:r w:rsidR="00155F2B">
        <w:rPr>
          <w:rFonts w:eastAsia="Times New Roman" w:cs="Calibri"/>
          <w:color w:val="0B2B43" w:themeColor="text2" w:themeShade="80"/>
          <w:lang w:eastAsia="en-AU"/>
        </w:rPr>
        <w:t xml:space="preserve">the number of </w:t>
      </w:r>
      <w:r w:rsidRPr="004A1196">
        <w:rPr>
          <w:rFonts w:eastAsia="Times New Roman" w:cs="Calibri"/>
          <w:color w:val="0B2B43" w:themeColor="text2" w:themeShade="80"/>
          <w:lang w:eastAsia="en-AU"/>
        </w:rPr>
        <w:t>business</w:t>
      </w:r>
      <w:r w:rsidR="00155F2B">
        <w:rPr>
          <w:rFonts w:eastAsia="Times New Roman" w:cs="Calibri"/>
          <w:color w:val="0B2B43" w:themeColor="text2" w:themeShade="80"/>
          <w:lang w:eastAsia="en-AU"/>
        </w:rPr>
        <w:t>es</w:t>
      </w:r>
      <w:r w:rsidRPr="004A1196">
        <w:rPr>
          <w:rFonts w:eastAsia="Times New Roman" w:cs="Calibri"/>
          <w:color w:val="0B2B43" w:themeColor="text2" w:themeShade="80"/>
          <w:lang w:eastAsia="en-AU"/>
        </w:rPr>
        <w:t xml:space="preserve"> with employees who have themselves been researchers will also assist in driving demand in the private sector for research inputs into operations including through research collaborations with universities. </w:t>
      </w:r>
    </w:p>
    <w:p w:rsidR="002C6039" w:rsidRPr="004A1196" w:rsidRDefault="002C6039" w:rsidP="002C6039">
      <w:pPr>
        <w:spacing w:before="0" w:after="200"/>
        <w:rPr>
          <w:rFonts w:eastAsia="Calibri" w:cs="Times New Roman"/>
          <w:color w:val="0B2B43" w:themeColor="text2" w:themeShade="80"/>
          <w:szCs w:val="22"/>
        </w:rPr>
      </w:pPr>
      <w:r w:rsidRPr="004A1196">
        <w:rPr>
          <w:rFonts w:eastAsia="Calibri" w:cs="Times New Roman"/>
          <w:color w:val="0B2B43" w:themeColor="text2" w:themeShade="80"/>
          <w:szCs w:val="22"/>
        </w:rPr>
        <w:t xml:space="preserve">In the course of consultations, universities provided information on their existing PhD </w:t>
      </w:r>
      <w:proofErr w:type="gramStart"/>
      <w:r w:rsidRPr="004A1196">
        <w:rPr>
          <w:rFonts w:eastAsia="Calibri" w:cs="Calibri"/>
          <w:color w:val="0B2B43" w:themeColor="text2" w:themeShade="80"/>
        </w:rPr>
        <w:t>programmes</w:t>
      </w:r>
      <w:r w:rsidRPr="004A1196">
        <w:rPr>
          <w:rFonts w:eastAsia="Calibri" w:cs="Times New Roman"/>
          <w:color w:val="0B2B43" w:themeColor="text2" w:themeShade="80"/>
          <w:szCs w:val="22"/>
        </w:rPr>
        <w:t xml:space="preserve"> which</w:t>
      </w:r>
      <w:proofErr w:type="gramEnd"/>
      <w:r w:rsidRPr="004A1196">
        <w:rPr>
          <w:rFonts w:eastAsia="Calibri" w:cs="Times New Roman"/>
          <w:color w:val="0B2B43" w:themeColor="text2" w:themeShade="80"/>
          <w:szCs w:val="22"/>
        </w:rPr>
        <w:t xml:space="preserve"> incorporate business placements. </w:t>
      </w:r>
      <w:proofErr w:type="gramStart"/>
      <w:r w:rsidRPr="004A1196">
        <w:rPr>
          <w:rFonts w:eastAsia="Calibri" w:cs="Times New Roman"/>
          <w:color w:val="0B2B43" w:themeColor="text2" w:themeShade="80"/>
          <w:szCs w:val="22"/>
        </w:rPr>
        <w:t>The review commends universities for offering these programmes but concluded that the scale of these programmes is still relatively modest, as assessed by universities themselves, since there are no data collections to measure the extent of these activities.</w:t>
      </w:r>
      <w:proofErr w:type="gramEnd"/>
      <w:r w:rsidRPr="004A1196">
        <w:rPr>
          <w:rFonts w:eastAsia="Calibri" w:cs="Times New Roman"/>
          <w:color w:val="0B2B43" w:themeColor="text2" w:themeShade="80"/>
          <w:szCs w:val="22"/>
        </w:rPr>
        <w:t xml:space="preserve"> To achieve a bigger impact, the review recommends that additional funding </w:t>
      </w:r>
      <w:proofErr w:type="gramStart"/>
      <w:r w:rsidRPr="004A1196">
        <w:rPr>
          <w:rFonts w:eastAsia="Calibri" w:cs="Times New Roman"/>
          <w:color w:val="0B2B43" w:themeColor="text2" w:themeShade="80"/>
          <w:szCs w:val="22"/>
        </w:rPr>
        <w:t>be provided</w:t>
      </w:r>
      <w:proofErr w:type="gramEnd"/>
      <w:r w:rsidRPr="004A1196">
        <w:rPr>
          <w:rFonts w:eastAsia="Calibri" w:cs="Times New Roman"/>
          <w:color w:val="0B2B43" w:themeColor="text2" w:themeShade="80"/>
          <w:szCs w:val="22"/>
        </w:rPr>
        <w:t xml:space="preserve"> to support universities to deliver a new PhD </w:t>
      </w:r>
      <w:r w:rsidRPr="004A1196">
        <w:rPr>
          <w:rFonts w:eastAsia="Calibri"/>
          <w:color w:val="0B2B43" w:themeColor="text2" w:themeShade="80"/>
        </w:rPr>
        <w:t>business p</w:t>
      </w:r>
      <w:r w:rsidRPr="004A1196">
        <w:rPr>
          <w:rFonts w:eastAsia="Calibri" w:cs="Times New Roman"/>
          <w:color w:val="0B2B43" w:themeColor="text2" w:themeShade="80"/>
          <w:szCs w:val="22"/>
        </w:rPr>
        <w:t xml:space="preserve">lacements programme. </w:t>
      </w:r>
    </w:p>
    <w:p w:rsidR="002C6039" w:rsidRPr="004A1196" w:rsidRDefault="002C6039" w:rsidP="002C6039">
      <w:pPr>
        <w:spacing w:before="0" w:after="200"/>
        <w:rPr>
          <w:rFonts w:eastAsia="Calibri" w:cs="Times New Roman"/>
          <w:color w:val="0B2B43" w:themeColor="text2" w:themeShade="80"/>
          <w:szCs w:val="22"/>
        </w:rPr>
      </w:pPr>
      <w:r w:rsidRPr="004A1196">
        <w:rPr>
          <w:rFonts w:eastAsia="Calibri" w:cs="Times New Roman"/>
          <w:color w:val="0B2B43" w:themeColor="text2" w:themeShade="80"/>
          <w:szCs w:val="22"/>
        </w:rPr>
        <w:t xml:space="preserve">The review commends the Group of Eight on its </w:t>
      </w:r>
      <w:r w:rsidRPr="004A1196">
        <w:rPr>
          <w:rFonts w:eastAsia="Calibri"/>
          <w:i/>
          <w:color w:val="0B2B43" w:themeColor="text2" w:themeShade="80"/>
        </w:rPr>
        <w:t>Innovation 2016</w:t>
      </w:r>
      <w:r w:rsidR="001D133D">
        <w:rPr>
          <w:rFonts w:eastAsia="Calibri" w:cs="Times New Roman"/>
          <w:color w:val="0B2B43" w:themeColor="text2" w:themeShade="80"/>
          <w:szCs w:val="22"/>
        </w:rPr>
        <w:t xml:space="preserve"> plan, </w:t>
      </w:r>
      <w:r w:rsidRPr="004A1196">
        <w:rPr>
          <w:rFonts w:eastAsia="Calibri" w:cs="Times New Roman"/>
          <w:color w:val="0B2B43" w:themeColor="text2" w:themeShade="80"/>
          <w:szCs w:val="22"/>
        </w:rPr>
        <w:t>which commits to expanding its participation in internship program</w:t>
      </w:r>
      <w:r w:rsidR="001D133D">
        <w:rPr>
          <w:rFonts w:eastAsia="Calibri" w:cs="Times New Roman"/>
          <w:color w:val="0B2B43" w:themeColor="text2" w:themeShade="80"/>
          <w:szCs w:val="22"/>
        </w:rPr>
        <w:t>me</w:t>
      </w:r>
      <w:r w:rsidRPr="004A1196">
        <w:rPr>
          <w:rFonts w:eastAsia="Calibri" w:cs="Times New Roman"/>
          <w:color w:val="0B2B43" w:themeColor="text2" w:themeShade="80"/>
          <w:szCs w:val="22"/>
        </w:rPr>
        <w:t xml:space="preserve">s at both the undergraduate and postgraduate level. </w:t>
      </w:r>
      <w:r w:rsidR="00F200D4">
        <w:rPr>
          <w:rFonts w:eastAsia="Calibri" w:cs="Times New Roman"/>
          <w:color w:val="0B2B43" w:themeColor="text2" w:themeShade="80"/>
          <w:szCs w:val="22"/>
        </w:rPr>
        <w:t xml:space="preserve">The Group of Eight </w:t>
      </w:r>
      <w:r w:rsidRPr="004A1196">
        <w:rPr>
          <w:rFonts w:eastAsia="Calibri" w:cs="Times New Roman"/>
          <w:color w:val="0B2B43" w:themeColor="text2" w:themeShade="80"/>
          <w:szCs w:val="22"/>
        </w:rPr>
        <w:t>indic</w:t>
      </w:r>
      <w:r w:rsidR="00F200D4">
        <w:rPr>
          <w:rFonts w:eastAsia="Calibri" w:cs="Times New Roman"/>
          <w:color w:val="0B2B43" w:themeColor="text2" w:themeShade="80"/>
          <w:szCs w:val="22"/>
        </w:rPr>
        <w:t>ate that this has already begun. A</w:t>
      </w:r>
      <w:r w:rsidRPr="004A1196">
        <w:rPr>
          <w:rFonts w:eastAsia="Calibri" w:cs="Times New Roman"/>
          <w:color w:val="0B2B43" w:themeColor="text2" w:themeShade="80"/>
          <w:szCs w:val="22"/>
        </w:rPr>
        <w:t>n agreement with the Australian Chamber of Commerce and Industry will commence with student placements in the first semester of 2016.</w:t>
      </w:r>
      <w:r w:rsidRPr="004A1196">
        <w:rPr>
          <w:rStyle w:val="FootnoteReference"/>
          <w:rFonts w:eastAsia="Calibri" w:cs="Times New Roman"/>
          <w:color w:val="0B2B43" w:themeColor="text2" w:themeShade="80"/>
          <w:szCs w:val="22"/>
        </w:rPr>
        <w:footnoteReference w:id="62"/>
      </w:r>
    </w:p>
    <w:p w:rsidR="002C6039" w:rsidRPr="00696957" w:rsidRDefault="002C6039" w:rsidP="00696957">
      <w:pPr>
        <w:pStyle w:val="RIHeading2"/>
        <w:rPr>
          <w:rFonts w:eastAsia="Times New Roman"/>
          <w:sz w:val="28"/>
          <w:szCs w:val="28"/>
        </w:rPr>
      </w:pPr>
      <w:bookmarkStart w:id="273" w:name="_Toc436651856"/>
      <w:bookmarkStart w:id="274" w:name="_Toc436659664"/>
      <w:bookmarkStart w:id="275" w:name="_Toc436660162"/>
      <w:r w:rsidRPr="00696957">
        <w:rPr>
          <w:rFonts w:eastAsia="Times New Roman"/>
          <w:sz w:val="28"/>
          <w:szCs w:val="28"/>
        </w:rPr>
        <w:t>A new PhD business placement programme</w:t>
      </w:r>
      <w:bookmarkEnd w:id="273"/>
      <w:bookmarkEnd w:id="274"/>
      <w:bookmarkEnd w:id="275"/>
      <w:r w:rsidRPr="00696957">
        <w:rPr>
          <w:rFonts w:eastAsia="Times New Roman"/>
          <w:sz w:val="28"/>
          <w:szCs w:val="28"/>
        </w:rPr>
        <w:t xml:space="preserve"> </w:t>
      </w:r>
    </w:p>
    <w:p w:rsidR="002C6039" w:rsidRPr="004A1196" w:rsidRDefault="002C6039" w:rsidP="002C6039">
      <w:pPr>
        <w:rPr>
          <w:rFonts w:eastAsia="Times New Roman"/>
          <w:color w:val="0B2B43" w:themeColor="text2" w:themeShade="80"/>
          <w:lang w:eastAsia="en-AU"/>
        </w:rPr>
      </w:pPr>
      <w:r w:rsidRPr="004A1196">
        <w:rPr>
          <w:rFonts w:eastAsia="Times New Roman"/>
          <w:color w:val="0B2B43" w:themeColor="text2" w:themeShade="80"/>
          <w:lang w:eastAsia="en-AU"/>
        </w:rPr>
        <w:t>The prop</w:t>
      </w:r>
      <w:r w:rsidR="002D2F5F">
        <w:rPr>
          <w:rFonts w:eastAsia="Times New Roman"/>
          <w:color w:val="0B2B43" w:themeColor="text2" w:themeShade="80"/>
          <w:lang w:eastAsia="en-AU"/>
        </w:rPr>
        <w:t>osed new PhD business placement</w:t>
      </w:r>
      <w:r w:rsidRPr="004A1196">
        <w:rPr>
          <w:rFonts w:eastAsia="Times New Roman"/>
          <w:color w:val="0B2B43" w:themeColor="text2" w:themeShade="80"/>
          <w:lang w:eastAsia="en-AU"/>
        </w:rPr>
        <w:t xml:space="preserve"> programme will put PhD students with business for a period of six months. The aim of the programme is to increase access </w:t>
      </w:r>
      <w:r w:rsidRPr="004A1196">
        <w:rPr>
          <w:rFonts w:eastAsia="Calibri"/>
          <w:color w:val="0B2B43" w:themeColor="text2" w:themeShade="80"/>
        </w:rPr>
        <w:t>by</w:t>
      </w:r>
      <w:r w:rsidRPr="004A1196">
        <w:rPr>
          <w:rFonts w:eastAsia="Times New Roman"/>
          <w:color w:val="0B2B43" w:themeColor="text2" w:themeShade="80"/>
          <w:lang w:eastAsia="en-AU"/>
        </w:rPr>
        <w:t xml:space="preserve"> business to the benefits of </w:t>
      </w:r>
      <w:proofErr w:type="gramStart"/>
      <w:r w:rsidRPr="004A1196">
        <w:rPr>
          <w:rFonts w:eastAsia="Times New Roman"/>
          <w:color w:val="0B2B43" w:themeColor="text2" w:themeShade="80"/>
          <w:lang w:eastAsia="en-AU"/>
        </w:rPr>
        <w:t>high level</w:t>
      </w:r>
      <w:proofErr w:type="gramEnd"/>
      <w:r w:rsidRPr="004A1196">
        <w:rPr>
          <w:rFonts w:eastAsia="Times New Roman"/>
          <w:color w:val="0B2B43" w:themeColor="text2" w:themeShade="80"/>
          <w:lang w:eastAsia="en-AU"/>
        </w:rPr>
        <w:t xml:space="preserve"> research skills and for students to gain experience in applying their research skills to real world problems and build experience for future employment. </w:t>
      </w:r>
    </w:p>
    <w:p w:rsidR="002C6039" w:rsidRPr="004A1196" w:rsidRDefault="002C6039" w:rsidP="002C6039">
      <w:pPr>
        <w:rPr>
          <w:rFonts w:eastAsia="Times New Roman"/>
          <w:color w:val="0B2B43" w:themeColor="text2" w:themeShade="80"/>
          <w:szCs w:val="20"/>
          <w:lang w:eastAsia="en-AU"/>
        </w:rPr>
      </w:pPr>
      <w:r w:rsidRPr="004A1196">
        <w:rPr>
          <w:rFonts w:eastAsia="Times New Roman"/>
          <w:color w:val="0B2B43" w:themeColor="text2" w:themeShade="80"/>
          <w:szCs w:val="20"/>
          <w:lang w:eastAsia="en-AU"/>
        </w:rPr>
        <w:t xml:space="preserve">There is no data collected on the number of PhD students engaging </w:t>
      </w:r>
      <w:r w:rsidRPr="004A1196">
        <w:rPr>
          <w:rFonts w:eastAsia="Calibri"/>
          <w:color w:val="0B2B43" w:themeColor="text2" w:themeShade="80"/>
        </w:rPr>
        <w:t>in</w:t>
      </w:r>
      <w:r w:rsidRPr="004A1196">
        <w:rPr>
          <w:rFonts w:eastAsia="Times New Roman"/>
          <w:color w:val="0B2B43" w:themeColor="text2" w:themeShade="80"/>
          <w:szCs w:val="20"/>
          <w:lang w:eastAsia="en-AU"/>
        </w:rPr>
        <w:t xml:space="preserve"> placements with business or other </w:t>
      </w:r>
      <w:r w:rsidR="003904BC">
        <w:rPr>
          <w:rFonts w:eastAsia="Times New Roman"/>
          <w:color w:val="0B2B43" w:themeColor="text2" w:themeShade="80"/>
          <w:szCs w:val="20"/>
          <w:lang w:eastAsia="en-AU"/>
        </w:rPr>
        <w:t>end user</w:t>
      </w:r>
      <w:r w:rsidRPr="004A1196">
        <w:rPr>
          <w:rFonts w:eastAsia="Times New Roman"/>
          <w:color w:val="0B2B43" w:themeColor="text2" w:themeShade="80"/>
          <w:szCs w:val="20"/>
          <w:lang w:eastAsia="en-AU"/>
        </w:rPr>
        <w:t xml:space="preserve"> organisations so the current level of placement activity in universities is unknown. Consultations indicated that while many universities have implemented placement arrangements as part of PhD training, the numbers are relatively small and tend to be </w:t>
      </w:r>
      <w:r w:rsidR="00284CE0">
        <w:rPr>
          <w:rFonts w:eastAsia="Times New Roman"/>
          <w:color w:val="0B2B43" w:themeColor="text2" w:themeShade="80"/>
          <w:szCs w:val="20"/>
          <w:lang w:eastAsia="en-AU"/>
        </w:rPr>
        <w:t>focused</w:t>
      </w:r>
      <w:r w:rsidRPr="004A1196">
        <w:rPr>
          <w:rFonts w:eastAsia="Times New Roman"/>
          <w:color w:val="0B2B43" w:themeColor="text2" w:themeShade="80"/>
          <w:szCs w:val="20"/>
          <w:lang w:eastAsia="en-AU"/>
        </w:rPr>
        <w:t xml:space="preserve"> in areas in Science, Technology, </w:t>
      </w:r>
      <w:proofErr w:type="gramStart"/>
      <w:r w:rsidRPr="004A1196">
        <w:rPr>
          <w:rFonts w:eastAsia="Times New Roman"/>
          <w:color w:val="0B2B43" w:themeColor="text2" w:themeShade="80"/>
          <w:szCs w:val="20"/>
          <w:lang w:eastAsia="en-AU"/>
        </w:rPr>
        <w:t>Engineering</w:t>
      </w:r>
      <w:proofErr w:type="gramEnd"/>
      <w:r w:rsidRPr="004A1196">
        <w:rPr>
          <w:rFonts w:eastAsia="Times New Roman"/>
          <w:color w:val="0B2B43" w:themeColor="text2" w:themeShade="80"/>
          <w:szCs w:val="20"/>
          <w:lang w:eastAsia="en-AU"/>
        </w:rPr>
        <w:t xml:space="preserve"> and Maths (STEM) disciplines. </w:t>
      </w:r>
    </w:p>
    <w:p w:rsidR="002C6039" w:rsidRPr="004A1196" w:rsidRDefault="002C6039" w:rsidP="002C6039">
      <w:pPr>
        <w:rPr>
          <w:rFonts w:eastAsia="Times New Roman"/>
          <w:color w:val="0B2B43" w:themeColor="text2" w:themeShade="80"/>
          <w:szCs w:val="20"/>
          <w:lang w:eastAsia="en-AU"/>
        </w:rPr>
      </w:pPr>
      <w:r w:rsidRPr="004A1196">
        <w:rPr>
          <w:rFonts w:eastAsia="Times New Roman"/>
          <w:color w:val="0B2B43" w:themeColor="text2" w:themeShade="80"/>
          <w:szCs w:val="20"/>
          <w:lang w:eastAsia="en-AU"/>
        </w:rPr>
        <w:t xml:space="preserve">Under the new model of </w:t>
      </w:r>
      <w:proofErr w:type="spellStart"/>
      <w:r w:rsidRPr="004A1196">
        <w:rPr>
          <w:rFonts w:eastAsia="Times New Roman"/>
          <w:color w:val="0B2B43" w:themeColor="text2" w:themeShade="80"/>
          <w:szCs w:val="20"/>
          <w:lang w:eastAsia="en-AU"/>
        </w:rPr>
        <w:t>RBG</w:t>
      </w:r>
      <w:proofErr w:type="spellEnd"/>
      <w:r w:rsidRPr="004A1196">
        <w:rPr>
          <w:rFonts w:eastAsia="Times New Roman"/>
          <w:color w:val="0B2B43" w:themeColor="text2" w:themeShade="80"/>
          <w:szCs w:val="20"/>
          <w:lang w:eastAsia="en-AU"/>
        </w:rPr>
        <w:t xml:space="preserve"> funding proposed in this report, universities will have greater flexibility to determine the length of support provided to a research student. In some circumstances, universities may decide to extend the period of support for the PhD student to incorporate a business placement. If this occurred at significant scale, it could reduce the number of PhD students able to </w:t>
      </w:r>
      <w:proofErr w:type="gramStart"/>
      <w:r w:rsidRPr="004A1196">
        <w:rPr>
          <w:rFonts w:eastAsia="Times New Roman"/>
          <w:color w:val="0B2B43" w:themeColor="text2" w:themeShade="80"/>
          <w:szCs w:val="20"/>
          <w:lang w:eastAsia="en-AU"/>
        </w:rPr>
        <w:t>be supported</w:t>
      </w:r>
      <w:proofErr w:type="gramEnd"/>
      <w:r w:rsidRPr="004A1196">
        <w:rPr>
          <w:rFonts w:eastAsia="Times New Roman"/>
          <w:color w:val="0B2B43" w:themeColor="text2" w:themeShade="80"/>
          <w:szCs w:val="20"/>
          <w:lang w:eastAsia="en-AU"/>
        </w:rPr>
        <w:t xml:space="preserve"> with a given funding allocation. Additional funding through this initiative will help to ensure no decrease in PhD student numbers. </w:t>
      </w:r>
    </w:p>
    <w:p w:rsidR="002C6039" w:rsidRPr="00696957" w:rsidRDefault="002C6039" w:rsidP="00696957">
      <w:pPr>
        <w:pStyle w:val="RIHeading2"/>
        <w:rPr>
          <w:rFonts w:eastAsia="Times New Roman"/>
          <w:sz w:val="28"/>
          <w:szCs w:val="28"/>
        </w:rPr>
      </w:pPr>
      <w:bookmarkStart w:id="276" w:name="_Toc436651857"/>
      <w:bookmarkStart w:id="277" w:name="_Toc436659665"/>
      <w:bookmarkStart w:id="278" w:name="_Toc436660163"/>
      <w:r w:rsidRPr="00696957">
        <w:rPr>
          <w:rFonts w:eastAsia="Times New Roman"/>
          <w:sz w:val="28"/>
          <w:szCs w:val="28"/>
        </w:rPr>
        <w:t>Funding and student numbers</w:t>
      </w:r>
      <w:bookmarkEnd w:id="276"/>
      <w:bookmarkEnd w:id="277"/>
      <w:bookmarkEnd w:id="278"/>
      <w:r w:rsidRPr="00696957">
        <w:rPr>
          <w:rFonts w:eastAsia="Times New Roman"/>
          <w:sz w:val="28"/>
          <w:szCs w:val="28"/>
        </w:rPr>
        <w:t xml:space="preserve"> </w:t>
      </w:r>
    </w:p>
    <w:p w:rsidR="002C6039" w:rsidRPr="004A1196" w:rsidRDefault="002C6039" w:rsidP="002C6039">
      <w:pPr>
        <w:rPr>
          <w:rFonts w:eastAsia="Times New Roman"/>
          <w:color w:val="0B2B43" w:themeColor="text2" w:themeShade="80"/>
          <w:szCs w:val="20"/>
          <w:lang w:eastAsia="en-AU"/>
        </w:rPr>
      </w:pPr>
      <w:r w:rsidRPr="004A1196">
        <w:rPr>
          <w:rFonts w:eastAsia="Times New Roman"/>
          <w:color w:val="0B2B43" w:themeColor="text2" w:themeShade="80"/>
          <w:szCs w:val="20"/>
          <w:lang w:eastAsia="en-AU"/>
        </w:rPr>
        <w:t>The programme would provide $12.5 million per year when fully funded for around 700 PhD placements providing funding of</w:t>
      </w:r>
      <w:r w:rsidR="00BD153E">
        <w:rPr>
          <w:rFonts w:eastAsia="Times New Roman"/>
          <w:color w:val="0B2B43" w:themeColor="text2" w:themeShade="80"/>
          <w:szCs w:val="20"/>
          <w:lang w:eastAsia="en-AU"/>
        </w:rPr>
        <w:t xml:space="preserve"> around</w:t>
      </w:r>
      <w:r w:rsidRPr="004A1196">
        <w:rPr>
          <w:rFonts w:eastAsia="Times New Roman"/>
          <w:color w:val="0B2B43" w:themeColor="text2" w:themeShade="80"/>
          <w:szCs w:val="20"/>
          <w:lang w:eastAsia="en-AU"/>
        </w:rPr>
        <w:t xml:space="preserve"> $18,000 per placement. In 2014, there were 37,509 domestic students </w:t>
      </w:r>
      <w:r w:rsidR="00FE5CFC">
        <w:rPr>
          <w:rFonts w:eastAsia="Times New Roman"/>
          <w:color w:val="0B2B43" w:themeColor="text2" w:themeShade="80"/>
          <w:szCs w:val="20"/>
          <w:lang w:eastAsia="en-AU"/>
        </w:rPr>
        <w:t>enrolled in</w:t>
      </w:r>
      <w:r w:rsidRPr="004A1196">
        <w:rPr>
          <w:rFonts w:eastAsia="Times New Roman"/>
          <w:color w:val="0B2B43" w:themeColor="text2" w:themeShade="80"/>
          <w:szCs w:val="20"/>
          <w:lang w:eastAsia="en-AU"/>
        </w:rPr>
        <w:t xml:space="preserve"> a PhD in Australian universities </w:t>
      </w:r>
      <w:r w:rsidR="006C1FAB">
        <w:rPr>
          <w:rFonts w:eastAsia="Times New Roman"/>
          <w:color w:val="0B2B43" w:themeColor="text2" w:themeShade="80"/>
          <w:szCs w:val="20"/>
          <w:lang w:eastAsia="en-AU"/>
        </w:rPr>
        <w:t>and</w:t>
      </w:r>
      <w:r w:rsidRPr="004A1196">
        <w:rPr>
          <w:rFonts w:eastAsia="Times New Roman"/>
          <w:color w:val="0B2B43" w:themeColor="text2" w:themeShade="80"/>
          <w:szCs w:val="20"/>
          <w:lang w:eastAsia="en-AU"/>
        </w:rPr>
        <w:t xml:space="preserve"> around 8,400 completing.</w:t>
      </w:r>
      <w:r w:rsidRPr="004A1196">
        <w:rPr>
          <w:rFonts w:eastAsia="Times New Roman"/>
          <w:color w:val="0B2B43" w:themeColor="text2" w:themeShade="80"/>
          <w:szCs w:val="20"/>
          <w:vertAlign w:val="superscript"/>
          <w:lang w:eastAsia="en-AU"/>
        </w:rPr>
        <w:footnoteReference w:id="63"/>
      </w:r>
      <w:r w:rsidRPr="004A1196">
        <w:rPr>
          <w:rFonts w:eastAsia="Times New Roman"/>
          <w:color w:val="0B2B43" w:themeColor="text2" w:themeShade="80"/>
          <w:szCs w:val="20"/>
          <w:lang w:eastAsia="en-AU"/>
        </w:rPr>
        <w:t xml:space="preserve"> At this rate, the 700 placements would have accommodated around 8 per cent of annual completions in 2014. While this is a small </w:t>
      </w:r>
      <w:r w:rsidRPr="004A1196">
        <w:rPr>
          <w:rFonts w:eastAsia="Times New Roman"/>
          <w:color w:val="0B2B43" w:themeColor="text2" w:themeShade="80"/>
          <w:lang w:eastAsia="en-AU"/>
        </w:rPr>
        <w:t>percentage of PhD students compared</w:t>
      </w:r>
      <w:r w:rsidRPr="004A1196">
        <w:rPr>
          <w:rFonts w:eastAsia="Times New Roman"/>
          <w:color w:val="0B2B43" w:themeColor="text2" w:themeShade="80"/>
          <w:szCs w:val="20"/>
          <w:lang w:eastAsia="en-AU"/>
        </w:rPr>
        <w:t xml:space="preserve"> to </w:t>
      </w:r>
      <w:r w:rsidRPr="004A1196">
        <w:rPr>
          <w:rFonts w:eastAsia="Times New Roman"/>
          <w:color w:val="0B2B43" w:themeColor="text2" w:themeShade="80"/>
          <w:lang w:eastAsia="en-AU"/>
        </w:rPr>
        <w:t>their</w:t>
      </w:r>
      <w:r w:rsidRPr="004A1196">
        <w:rPr>
          <w:rFonts w:eastAsia="Times New Roman"/>
          <w:color w:val="0B2B43" w:themeColor="text2" w:themeShade="80"/>
          <w:szCs w:val="20"/>
          <w:lang w:eastAsia="en-AU"/>
        </w:rPr>
        <w:t xml:space="preserve"> total number, the additional funding will add to the existing initiatives already </w:t>
      </w:r>
      <w:proofErr w:type="gramStart"/>
      <w:r w:rsidRPr="004A1196">
        <w:rPr>
          <w:rFonts w:eastAsia="Times New Roman"/>
          <w:color w:val="0B2B43" w:themeColor="text2" w:themeShade="80"/>
          <w:szCs w:val="20"/>
          <w:lang w:eastAsia="en-AU"/>
        </w:rPr>
        <w:t>being undertaken</w:t>
      </w:r>
      <w:proofErr w:type="gramEnd"/>
      <w:r w:rsidRPr="004A1196">
        <w:rPr>
          <w:rFonts w:eastAsia="Times New Roman"/>
          <w:color w:val="0B2B43" w:themeColor="text2" w:themeShade="80"/>
          <w:szCs w:val="20"/>
          <w:lang w:eastAsia="en-AU"/>
        </w:rPr>
        <w:t xml:space="preserve"> within universities.</w:t>
      </w:r>
    </w:p>
    <w:p w:rsidR="002C6039" w:rsidRPr="004A1196" w:rsidRDefault="002C6039" w:rsidP="002C6039">
      <w:pPr>
        <w:rPr>
          <w:rFonts w:eastAsia="Times New Roman"/>
          <w:color w:val="0B2B43" w:themeColor="text2" w:themeShade="80"/>
          <w:szCs w:val="20"/>
          <w:lang w:eastAsia="en-AU"/>
        </w:rPr>
      </w:pPr>
      <w:r w:rsidRPr="004A1196">
        <w:rPr>
          <w:rFonts w:eastAsia="Times New Roman"/>
          <w:color w:val="0B2B43" w:themeColor="text2" w:themeShade="80"/>
          <w:szCs w:val="20"/>
          <w:lang w:eastAsia="en-AU"/>
        </w:rPr>
        <w:t xml:space="preserve">The cost of the programme reflects the cost of a </w:t>
      </w:r>
      <w:proofErr w:type="gramStart"/>
      <w:r w:rsidRPr="004A1196">
        <w:rPr>
          <w:rFonts w:eastAsia="Times New Roman"/>
          <w:color w:val="0B2B43" w:themeColor="text2" w:themeShade="80"/>
          <w:szCs w:val="20"/>
          <w:lang w:eastAsia="en-AU"/>
        </w:rPr>
        <w:t>six month</w:t>
      </w:r>
      <w:proofErr w:type="gramEnd"/>
      <w:r w:rsidRPr="004A1196">
        <w:rPr>
          <w:rFonts w:eastAsia="Times New Roman"/>
          <w:color w:val="0B2B43" w:themeColor="text2" w:themeShade="80"/>
          <w:szCs w:val="20"/>
          <w:lang w:eastAsia="en-AU"/>
        </w:rPr>
        <w:t xml:space="preserve"> extension of the Australian Postgraduate Awards (</w:t>
      </w:r>
      <w:proofErr w:type="spellStart"/>
      <w:r w:rsidRPr="004A1196">
        <w:rPr>
          <w:rFonts w:eastAsia="Times New Roman"/>
          <w:color w:val="0B2B43" w:themeColor="text2" w:themeShade="80"/>
          <w:szCs w:val="20"/>
          <w:lang w:eastAsia="en-AU"/>
        </w:rPr>
        <w:t>APA</w:t>
      </w:r>
      <w:proofErr w:type="spellEnd"/>
      <w:r w:rsidRPr="004A1196">
        <w:rPr>
          <w:rFonts w:eastAsia="Times New Roman"/>
          <w:color w:val="0B2B43" w:themeColor="text2" w:themeShade="80"/>
          <w:szCs w:val="20"/>
          <w:lang w:eastAsia="en-AU"/>
        </w:rPr>
        <w:t xml:space="preserve">) programme, plus funding per place for businesses to cover any additional costs associated with equipment, supervision or training for the student. </w:t>
      </w:r>
      <w:proofErr w:type="gramStart"/>
      <w:r w:rsidRPr="004A1196">
        <w:rPr>
          <w:rFonts w:eastAsia="Times New Roman"/>
          <w:color w:val="0B2B43" w:themeColor="text2" w:themeShade="80"/>
          <w:szCs w:val="20"/>
          <w:lang w:eastAsia="en-AU"/>
        </w:rPr>
        <w:t>The placements are for existing students and will not diminish the number of existing PhD places.</w:t>
      </w:r>
      <w:proofErr w:type="gramEnd"/>
    </w:p>
    <w:p w:rsidR="002C6039" w:rsidRPr="004A1196" w:rsidRDefault="002C6039" w:rsidP="002C6039">
      <w:pPr>
        <w:rPr>
          <w:rFonts w:eastAsia="Times New Roman"/>
          <w:color w:val="0B2B43" w:themeColor="text2" w:themeShade="80"/>
          <w:szCs w:val="20"/>
          <w:lang w:eastAsia="en-AU"/>
        </w:rPr>
      </w:pPr>
      <w:r w:rsidRPr="004A1196">
        <w:rPr>
          <w:rFonts w:eastAsia="Times New Roman"/>
          <w:color w:val="0B2B43" w:themeColor="text2" w:themeShade="80"/>
          <w:szCs w:val="20"/>
          <w:lang w:eastAsia="en-AU"/>
        </w:rPr>
        <w:t xml:space="preserve">While many universities have indicated there are placement </w:t>
      </w:r>
      <w:r w:rsidRPr="004A1196">
        <w:rPr>
          <w:rFonts w:eastAsia="Calibri"/>
          <w:color w:val="0B2B43" w:themeColor="text2" w:themeShade="80"/>
        </w:rPr>
        <w:t>programmes</w:t>
      </w:r>
      <w:r w:rsidRPr="004A1196">
        <w:rPr>
          <w:rFonts w:eastAsia="Times New Roman"/>
          <w:color w:val="0B2B43" w:themeColor="text2" w:themeShade="80"/>
          <w:szCs w:val="20"/>
          <w:lang w:eastAsia="en-AU"/>
        </w:rPr>
        <w:t xml:space="preserve"> operating within their institutions, it will take some time for them to ‘gear up’ arrangements to increase student numbers. Implementation of the new programme requires selection of PhD students in relevant areas </w:t>
      </w:r>
      <w:r w:rsidR="00BD153E">
        <w:rPr>
          <w:rFonts w:eastAsia="Times New Roman"/>
          <w:color w:val="0B2B43" w:themeColor="text2" w:themeShade="80"/>
          <w:szCs w:val="20"/>
          <w:lang w:eastAsia="en-AU"/>
        </w:rPr>
        <w:t xml:space="preserve">and </w:t>
      </w:r>
      <w:r w:rsidRPr="004A1196">
        <w:rPr>
          <w:rFonts w:eastAsia="Times New Roman"/>
          <w:color w:val="0B2B43" w:themeColor="text2" w:themeShade="80"/>
          <w:szCs w:val="20"/>
          <w:lang w:eastAsia="en-AU"/>
        </w:rPr>
        <w:t xml:space="preserve">matching the students to businesses </w:t>
      </w:r>
      <w:r w:rsidR="00821F07">
        <w:rPr>
          <w:rFonts w:eastAsia="Times New Roman"/>
          <w:color w:val="0B2B43" w:themeColor="text2" w:themeShade="80"/>
          <w:szCs w:val="20"/>
          <w:lang w:eastAsia="en-AU"/>
        </w:rPr>
        <w:t>with the</w:t>
      </w:r>
      <w:r w:rsidRPr="004A1196">
        <w:rPr>
          <w:rFonts w:eastAsia="Times New Roman"/>
          <w:color w:val="0B2B43" w:themeColor="text2" w:themeShade="80"/>
          <w:szCs w:val="20"/>
          <w:lang w:eastAsia="en-AU"/>
        </w:rPr>
        <w:t xml:space="preserve"> capacity to benefit from the placement. The table below sets out a suggested funding profile.</w:t>
      </w:r>
    </w:p>
    <w:p w:rsidR="002C6039" w:rsidRPr="00962C66" w:rsidRDefault="002C6039" w:rsidP="00C6639A">
      <w:pPr>
        <w:pStyle w:val="Heading3"/>
        <w:spacing w:after="240"/>
        <w:rPr>
          <w:rFonts w:eastAsia="Times New Roman"/>
          <w:b/>
          <w:szCs w:val="20"/>
          <w:lang w:eastAsia="en-AU"/>
        </w:rPr>
      </w:pPr>
      <w:proofErr w:type="gramStart"/>
      <w:r w:rsidRPr="00962C66">
        <w:rPr>
          <w:b/>
        </w:rPr>
        <w:t xml:space="preserve">Table </w:t>
      </w:r>
      <w:r w:rsidR="007F16CF" w:rsidRPr="00962C66">
        <w:rPr>
          <w:b/>
        </w:rPr>
        <w:fldChar w:fldCharType="begin"/>
      </w:r>
      <w:r w:rsidR="007F16CF" w:rsidRPr="00962C66">
        <w:rPr>
          <w:b/>
        </w:rPr>
        <w:instrText xml:space="preserve"> SEQ Table \* ARABIC </w:instrText>
      </w:r>
      <w:r w:rsidR="007F16CF" w:rsidRPr="00962C66">
        <w:rPr>
          <w:b/>
        </w:rPr>
        <w:fldChar w:fldCharType="separate"/>
      </w:r>
      <w:r w:rsidR="00E05D3F">
        <w:rPr>
          <w:b/>
          <w:noProof/>
        </w:rPr>
        <w:t>6</w:t>
      </w:r>
      <w:r w:rsidR="007F16CF" w:rsidRPr="00962C66">
        <w:rPr>
          <w:b/>
          <w:noProof/>
        </w:rPr>
        <w:fldChar w:fldCharType="end"/>
      </w:r>
      <w:r w:rsidRPr="00962C66">
        <w:rPr>
          <w:b/>
        </w:rPr>
        <w:t>.</w:t>
      </w:r>
      <w:proofErr w:type="gramEnd"/>
      <w:r w:rsidRPr="00962C66">
        <w:rPr>
          <w:b/>
        </w:rPr>
        <w:t xml:space="preserve"> Proposed funding profile of the PhD business placements programme</w:t>
      </w:r>
    </w:p>
    <w:tbl>
      <w:tblPr>
        <w:tblStyle w:val="Review"/>
        <w:tblW w:w="0" w:type="auto"/>
        <w:jc w:val="center"/>
        <w:tblLook w:val="04A0" w:firstRow="1" w:lastRow="0" w:firstColumn="1" w:lastColumn="0" w:noHBand="0" w:noVBand="1"/>
        <w:tblCaption w:val="Proposed funding profile of the PhD business placements programme"/>
      </w:tblPr>
      <w:tblGrid>
        <w:gridCol w:w="1938"/>
        <w:gridCol w:w="859"/>
        <w:gridCol w:w="1042"/>
        <w:gridCol w:w="1042"/>
        <w:gridCol w:w="1042"/>
      </w:tblGrid>
      <w:tr w:rsidR="004A1196" w:rsidRPr="004A1196" w:rsidTr="00962CAC">
        <w:trPr>
          <w:cnfStyle w:val="100000000000" w:firstRow="1" w:lastRow="0" w:firstColumn="0" w:lastColumn="0" w:oddVBand="0" w:evenVBand="0" w:oddHBand="0" w:evenHBand="0" w:firstRowFirstColumn="0" w:firstRowLastColumn="0" w:lastRowFirstColumn="0" w:lastRowLastColumn="0"/>
          <w:trHeight w:val="454"/>
          <w:tblHeader/>
          <w:jc w:val="center"/>
        </w:trPr>
        <w:tc>
          <w:tcPr>
            <w:tcW w:w="0" w:type="auto"/>
          </w:tcPr>
          <w:p w:rsidR="002C6039" w:rsidRPr="004A1196" w:rsidRDefault="002C6039" w:rsidP="00356508">
            <w:pPr>
              <w:spacing w:before="0" w:after="0"/>
              <w:rPr>
                <w:rFonts w:eastAsia="Times New Roman"/>
                <w:b/>
                <w:color w:val="0B2B43" w:themeColor="text2" w:themeShade="80"/>
                <w:lang w:eastAsia="en-AU"/>
              </w:rPr>
            </w:pPr>
            <w:r w:rsidRPr="004A1196">
              <w:rPr>
                <w:rFonts w:eastAsia="Times New Roman"/>
                <w:b/>
                <w:color w:val="0B2B43" w:themeColor="text2" w:themeShade="80"/>
                <w:lang w:eastAsia="en-AU"/>
              </w:rPr>
              <w:t>Year</w:t>
            </w:r>
          </w:p>
        </w:tc>
        <w:tc>
          <w:tcPr>
            <w:tcW w:w="0" w:type="auto"/>
            <w:noWrap/>
            <w:vAlign w:val="center"/>
            <w:hideMark/>
          </w:tcPr>
          <w:p w:rsidR="002C6039" w:rsidRPr="004A1196" w:rsidRDefault="002C6039" w:rsidP="00356508">
            <w:pPr>
              <w:spacing w:before="0" w:after="0"/>
              <w:jc w:val="center"/>
              <w:rPr>
                <w:rFonts w:eastAsia="Times New Roman"/>
                <w:b/>
                <w:color w:val="0B2B43" w:themeColor="text2" w:themeShade="80"/>
                <w:lang w:eastAsia="en-AU"/>
              </w:rPr>
            </w:pPr>
            <w:r w:rsidRPr="004A1196">
              <w:rPr>
                <w:rFonts w:eastAsia="Times New Roman"/>
                <w:b/>
                <w:color w:val="0B2B43" w:themeColor="text2" w:themeShade="80"/>
                <w:lang w:eastAsia="en-AU"/>
              </w:rPr>
              <w:t>2017</w:t>
            </w:r>
          </w:p>
        </w:tc>
        <w:tc>
          <w:tcPr>
            <w:tcW w:w="0" w:type="auto"/>
            <w:noWrap/>
            <w:vAlign w:val="center"/>
            <w:hideMark/>
          </w:tcPr>
          <w:p w:rsidR="002C6039" w:rsidRPr="004A1196" w:rsidRDefault="002C6039" w:rsidP="00356508">
            <w:pPr>
              <w:spacing w:before="0" w:after="0"/>
              <w:jc w:val="center"/>
              <w:rPr>
                <w:rFonts w:eastAsia="Times New Roman"/>
                <w:b/>
                <w:color w:val="0B2B43" w:themeColor="text2" w:themeShade="80"/>
                <w:lang w:eastAsia="en-AU"/>
              </w:rPr>
            </w:pPr>
            <w:r w:rsidRPr="004A1196">
              <w:rPr>
                <w:rFonts w:eastAsia="Times New Roman"/>
                <w:b/>
                <w:color w:val="0B2B43" w:themeColor="text2" w:themeShade="80"/>
                <w:lang w:eastAsia="en-AU"/>
              </w:rPr>
              <w:t>2018</w:t>
            </w:r>
          </w:p>
        </w:tc>
        <w:tc>
          <w:tcPr>
            <w:tcW w:w="0" w:type="auto"/>
            <w:noWrap/>
            <w:vAlign w:val="center"/>
            <w:hideMark/>
          </w:tcPr>
          <w:p w:rsidR="002C6039" w:rsidRPr="004A1196" w:rsidRDefault="002C6039" w:rsidP="00356508">
            <w:pPr>
              <w:spacing w:before="0" w:after="0"/>
              <w:jc w:val="center"/>
              <w:rPr>
                <w:rFonts w:eastAsia="Times New Roman"/>
                <w:b/>
                <w:color w:val="0B2B43" w:themeColor="text2" w:themeShade="80"/>
                <w:lang w:eastAsia="en-AU"/>
              </w:rPr>
            </w:pPr>
            <w:r w:rsidRPr="004A1196">
              <w:rPr>
                <w:rFonts w:eastAsia="Times New Roman"/>
                <w:b/>
                <w:color w:val="0B2B43" w:themeColor="text2" w:themeShade="80"/>
                <w:lang w:eastAsia="en-AU"/>
              </w:rPr>
              <w:t>2019</w:t>
            </w:r>
          </w:p>
        </w:tc>
        <w:tc>
          <w:tcPr>
            <w:tcW w:w="0" w:type="auto"/>
            <w:noWrap/>
            <w:vAlign w:val="center"/>
            <w:hideMark/>
          </w:tcPr>
          <w:p w:rsidR="002C6039" w:rsidRPr="004A1196" w:rsidRDefault="002C6039" w:rsidP="00356508">
            <w:pPr>
              <w:spacing w:before="0" w:after="0"/>
              <w:jc w:val="center"/>
              <w:rPr>
                <w:rFonts w:eastAsia="Times New Roman"/>
                <w:b/>
                <w:color w:val="0B2B43" w:themeColor="text2" w:themeShade="80"/>
                <w:lang w:eastAsia="en-AU"/>
              </w:rPr>
            </w:pPr>
            <w:r w:rsidRPr="004A1196">
              <w:rPr>
                <w:rFonts w:eastAsia="Times New Roman"/>
                <w:b/>
                <w:color w:val="0B2B43" w:themeColor="text2" w:themeShade="80"/>
                <w:lang w:eastAsia="en-AU"/>
              </w:rPr>
              <w:t>2020</w:t>
            </w:r>
          </w:p>
        </w:tc>
      </w:tr>
      <w:tr w:rsidR="004A1196" w:rsidRPr="004A1196" w:rsidTr="00356508">
        <w:trPr>
          <w:trHeight w:val="454"/>
          <w:jc w:val="center"/>
        </w:trPr>
        <w:tc>
          <w:tcPr>
            <w:tcW w:w="0" w:type="auto"/>
            <w:vAlign w:val="center"/>
          </w:tcPr>
          <w:p w:rsidR="002C6039" w:rsidRPr="004A1196" w:rsidRDefault="002C6039" w:rsidP="00356508">
            <w:pPr>
              <w:spacing w:before="0" w:after="0"/>
              <w:rPr>
                <w:rFonts w:eastAsia="Times New Roman" w:cs="Calibri"/>
                <w:color w:val="0B2B43" w:themeColor="text2" w:themeShade="80"/>
                <w:lang w:eastAsia="en-AU"/>
              </w:rPr>
            </w:pPr>
            <w:r w:rsidRPr="004A1196">
              <w:rPr>
                <w:rFonts w:eastAsia="Times New Roman" w:cs="Calibri"/>
                <w:color w:val="0B2B43" w:themeColor="text2" w:themeShade="80"/>
                <w:lang w:eastAsia="en-AU"/>
              </w:rPr>
              <w:t>Number of places</w:t>
            </w:r>
          </w:p>
        </w:tc>
        <w:tc>
          <w:tcPr>
            <w:tcW w:w="0" w:type="auto"/>
            <w:noWrap/>
            <w:vAlign w:val="center"/>
            <w:hideMark/>
          </w:tcPr>
          <w:p w:rsidR="002C6039" w:rsidRPr="004A1196" w:rsidRDefault="002C6039" w:rsidP="00356508">
            <w:pPr>
              <w:spacing w:before="0" w:after="0"/>
              <w:ind w:right="278"/>
              <w:jc w:val="right"/>
              <w:rPr>
                <w:rFonts w:eastAsia="Times New Roman" w:cs="Calibri"/>
                <w:color w:val="0B2B43" w:themeColor="text2" w:themeShade="80"/>
                <w:lang w:eastAsia="en-AU"/>
              </w:rPr>
            </w:pPr>
            <w:r w:rsidRPr="004A1196">
              <w:rPr>
                <w:color w:val="0B2B43" w:themeColor="text2" w:themeShade="80"/>
              </w:rPr>
              <w:t>350</w:t>
            </w:r>
          </w:p>
        </w:tc>
        <w:tc>
          <w:tcPr>
            <w:tcW w:w="0" w:type="auto"/>
            <w:noWrap/>
            <w:vAlign w:val="center"/>
            <w:hideMark/>
          </w:tcPr>
          <w:p w:rsidR="002C6039" w:rsidRPr="004A1196" w:rsidRDefault="002C6039" w:rsidP="00356508">
            <w:pPr>
              <w:spacing w:before="0" w:after="0"/>
              <w:ind w:right="278"/>
              <w:jc w:val="right"/>
              <w:rPr>
                <w:rFonts w:eastAsia="Times New Roman" w:cs="Calibri"/>
                <w:color w:val="0B2B43" w:themeColor="text2" w:themeShade="80"/>
                <w:lang w:eastAsia="en-AU"/>
              </w:rPr>
            </w:pPr>
            <w:r w:rsidRPr="004A1196">
              <w:rPr>
                <w:color w:val="0B2B43" w:themeColor="text2" w:themeShade="80"/>
              </w:rPr>
              <w:t>700</w:t>
            </w:r>
          </w:p>
        </w:tc>
        <w:tc>
          <w:tcPr>
            <w:tcW w:w="0" w:type="auto"/>
            <w:noWrap/>
            <w:vAlign w:val="center"/>
            <w:hideMark/>
          </w:tcPr>
          <w:p w:rsidR="002C6039" w:rsidRPr="004A1196" w:rsidRDefault="002C6039" w:rsidP="00356508">
            <w:pPr>
              <w:spacing w:before="0" w:after="0"/>
              <w:ind w:right="278"/>
              <w:jc w:val="right"/>
              <w:rPr>
                <w:rFonts w:eastAsia="Times New Roman" w:cs="Calibri"/>
                <w:color w:val="0B2B43" w:themeColor="text2" w:themeShade="80"/>
                <w:lang w:eastAsia="en-AU"/>
              </w:rPr>
            </w:pPr>
            <w:r w:rsidRPr="004A1196">
              <w:rPr>
                <w:color w:val="0B2B43" w:themeColor="text2" w:themeShade="80"/>
              </w:rPr>
              <w:t>700</w:t>
            </w:r>
          </w:p>
        </w:tc>
        <w:tc>
          <w:tcPr>
            <w:tcW w:w="0" w:type="auto"/>
            <w:noWrap/>
            <w:vAlign w:val="center"/>
            <w:hideMark/>
          </w:tcPr>
          <w:p w:rsidR="002C6039" w:rsidRPr="004A1196" w:rsidRDefault="002C6039" w:rsidP="00356508">
            <w:pPr>
              <w:spacing w:before="0" w:after="0"/>
              <w:ind w:right="278"/>
              <w:jc w:val="right"/>
              <w:rPr>
                <w:rFonts w:eastAsia="Times New Roman" w:cs="Calibri"/>
                <w:color w:val="0B2B43" w:themeColor="text2" w:themeShade="80"/>
                <w:lang w:eastAsia="en-AU"/>
              </w:rPr>
            </w:pPr>
            <w:r w:rsidRPr="004A1196">
              <w:rPr>
                <w:color w:val="0B2B43" w:themeColor="text2" w:themeShade="80"/>
              </w:rPr>
              <w:t>700</w:t>
            </w:r>
          </w:p>
        </w:tc>
      </w:tr>
      <w:tr w:rsidR="004A1196" w:rsidRPr="004A1196" w:rsidTr="00356508">
        <w:trPr>
          <w:cnfStyle w:val="000000010000" w:firstRow="0" w:lastRow="0" w:firstColumn="0" w:lastColumn="0" w:oddVBand="0" w:evenVBand="0" w:oddHBand="0" w:evenHBand="1" w:firstRowFirstColumn="0" w:firstRowLastColumn="0" w:lastRowFirstColumn="0" w:lastRowLastColumn="0"/>
          <w:trHeight w:val="454"/>
          <w:jc w:val="center"/>
        </w:trPr>
        <w:tc>
          <w:tcPr>
            <w:tcW w:w="0" w:type="auto"/>
            <w:vAlign w:val="center"/>
          </w:tcPr>
          <w:p w:rsidR="002C6039" w:rsidRPr="004A1196" w:rsidRDefault="002C6039" w:rsidP="00356508">
            <w:pPr>
              <w:spacing w:before="0" w:after="0"/>
              <w:rPr>
                <w:rFonts w:eastAsia="Times New Roman" w:cs="Calibri"/>
                <w:color w:val="0B2B43" w:themeColor="text2" w:themeShade="80"/>
                <w:lang w:eastAsia="en-AU"/>
              </w:rPr>
            </w:pPr>
            <w:r w:rsidRPr="004A1196">
              <w:rPr>
                <w:rFonts w:eastAsia="Times New Roman" w:cs="Calibri"/>
                <w:color w:val="0B2B43" w:themeColor="text2" w:themeShade="80"/>
                <w:lang w:eastAsia="en-AU"/>
              </w:rPr>
              <w:t>Costs (million)</w:t>
            </w:r>
          </w:p>
        </w:tc>
        <w:tc>
          <w:tcPr>
            <w:tcW w:w="0" w:type="auto"/>
            <w:noWrap/>
            <w:vAlign w:val="center"/>
            <w:hideMark/>
          </w:tcPr>
          <w:p w:rsidR="002C6039" w:rsidRPr="004A1196" w:rsidRDefault="002C6039" w:rsidP="00356508">
            <w:pPr>
              <w:spacing w:before="0" w:after="0"/>
              <w:ind w:right="278"/>
              <w:jc w:val="right"/>
              <w:rPr>
                <w:rFonts w:eastAsia="Times New Roman" w:cs="Calibri"/>
                <w:color w:val="0B2B43" w:themeColor="text2" w:themeShade="80"/>
                <w:lang w:eastAsia="en-AU"/>
              </w:rPr>
            </w:pPr>
            <w:r w:rsidRPr="004A1196">
              <w:rPr>
                <w:color w:val="0B2B43" w:themeColor="text2" w:themeShade="80"/>
              </w:rPr>
              <w:t>$6</w:t>
            </w:r>
            <w:r w:rsidRPr="004A1196" w:rsidDel="00C6092E">
              <w:rPr>
                <w:rFonts w:eastAsia="Times New Roman" w:cs="Calibri"/>
                <w:color w:val="0B2B43" w:themeColor="text2" w:themeShade="80"/>
                <w:lang w:eastAsia="en-AU"/>
              </w:rPr>
              <w:t xml:space="preserve"> </w:t>
            </w:r>
          </w:p>
        </w:tc>
        <w:tc>
          <w:tcPr>
            <w:tcW w:w="0" w:type="auto"/>
            <w:noWrap/>
            <w:vAlign w:val="center"/>
            <w:hideMark/>
          </w:tcPr>
          <w:p w:rsidR="002C6039" w:rsidRPr="004A1196" w:rsidRDefault="002C6039" w:rsidP="00356508">
            <w:pPr>
              <w:spacing w:before="0" w:after="0"/>
              <w:ind w:right="278"/>
              <w:jc w:val="right"/>
              <w:rPr>
                <w:rFonts w:eastAsia="Times New Roman" w:cs="Calibri"/>
                <w:color w:val="0B2B43" w:themeColor="text2" w:themeShade="80"/>
                <w:lang w:eastAsia="en-AU"/>
              </w:rPr>
            </w:pPr>
            <w:r w:rsidRPr="004A1196">
              <w:rPr>
                <w:color w:val="0B2B43" w:themeColor="text2" w:themeShade="80"/>
              </w:rPr>
              <w:t>$12.5</w:t>
            </w:r>
          </w:p>
        </w:tc>
        <w:tc>
          <w:tcPr>
            <w:tcW w:w="0" w:type="auto"/>
            <w:noWrap/>
            <w:vAlign w:val="center"/>
            <w:hideMark/>
          </w:tcPr>
          <w:p w:rsidR="002C6039" w:rsidRPr="004A1196" w:rsidRDefault="002C6039" w:rsidP="00356508">
            <w:pPr>
              <w:spacing w:before="0" w:after="0"/>
              <w:ind w:right="278"/>
              <w:jc w:val="right"/>
              <w:rPr>
                <w:rFonts w:eastAsia="Times New Roman" w:cs="Calibri"/>
                <w:color w:val="0B2B43" w:themeColor="text2" w:themeShade="80"/>
                <w:lang w:eastAsia="en-AU"/>
              </w:rPr>
            </w:pPr>
            <w:r w:rsidRPr="004A1196">
              <w:rPr>
                <w:color w:val="0B2B43" w:themeColor="text2" w:themeShade="80"/>
              </w:rPr>
              <w:t>$12.5</w:t>
            </w:r>
          </w:p>
        </w:tc>
        <w:tc>
          <w:tcPr>
            <w:tcW w:w="0" w:type="auto"/>
            <w:noWrap/>
            <w:vAlign w:val="center"/>
            <w:hideMark/>
          </w:tcPr>
          <w:p w:rsidR="002C6039" w:rsidRPr="004A1196" w:rsidRDefault="002C6039" w:rsidP="00356508">
            <w:pPr>
              <w:spacing w:before="0" w:after="0"/>
              <w:ind w:right="278"/>
              <w:jc w:val="right"/>
              <w:rPr>
                <w:rFonts w:eastAsia="Times New Roman" w:cs="Calibri"/>
                <w:color w:val="0B2B43" w:themeColor="text2" w:themeShade="80"/>
                <w:lang w:eastAsia="en-AU"/>
              </w:rPr>
            </w:pPr>
            <w:r w:rsidRPr="004A1196">
              <w:rPr>
                <w:color w:val="0B2B43" w:themeColor="text2" w:themeShade="80"/>
              </w:rPr>
              <w:t>$12.5</w:t>
            </w:r>
          </w:p>
        </w:tc>
      </w:tr>
    </w:tbl>
    <w:p w:rsidR="002C6039" w:rsidRPr="004A1196" w:rsidRDefault="002C6039" w:rsidP="002C6039">
      <w:pPr>
        <w:rPr>
          <w:rFonts w:eastAsia="Times New Roman"/>
          <w:color w:val="0B2B43" w:themeColor="text2" w:themeShade="80"/>
          <w:lang w:eastAsia="en-AU"/>
        </w:rPr>
      </w:pPr>
      <w:r w:rsidRPr="004A1196">
        <w:rPr>
          <w:rFonts w:eastAsia="Times New Roman"/>
          <w:color w:val="0B2B43" w:themeColor="text2" w:themeShade="80"/>
          <w:lang w:eastAsia="en-AU"/>
        </w:rPr>
        <w:t xml:space="preserve">Universities would receive a share of total programme funding based on their performance on </w:t>
      </w:r>
      <w:proofErr w:type="spellStart"/>
      <w:r w:rsidRPr="004A1196">
        <w:rPr>
          <w:rFonts w:eastAsia="Times New Roman"/>
          <w:color w:val="0B2B43" w:themeColor="text2" w:themeShade="80"/>
          <w:lang w:eastAsia="en-AU"/>
        </w:rPr>
        <w:t>RBG</w:t>
      </w:r>
      <w:proofErr w:type="spellEnd"/>
      <w:r w:rsidRPr="004A1196">
        <w:rPr>
          <w:rFonts w:eastAsia="Times New Roman"/>
          <w:color w:val="0B2B43" w:themeColor="text2" w:themeShade="80"/>
          <w:lang w:eastAsia="en-AU"/>
        </w:rPr>
        <w:t xml:space="preserve"> engagement measures (research income in Categories 2, 3, 4) (50 per cent) and student </w:t>
      </w:r>
      <w:r w:rsidRPr="004A1196">
        <w:rPr>
          <w:rFonts w:eastAsia="Calibri"/>
          <w:color w:val="0B2B43" w:themeColor="text2" w:themeShade="80"/>
        </w:rPr>
        <w:t>completions</w:t>
      </w:r>
      <w:r w:rsidRPr="004A1196">
        <w:rPr>
          <w:rFonts w:eastAsia="Times New Roman"/>
          <w:color w:val="0B2B43" w:themeColor="text2" w:themeShade="80"/>
          <w:lang w:eastAsia="en-AU"/>
        </w:rPr>
        <w:t xml:space="preserve"> (50 per cent). </w:t>
      </w:r>
    </w:p>
    <w:p w:rsidR="002C6039" w:rsidRPr="004A1196" w:rsidRDefault="002C6039" w:rsidP="002C6039">
      <w:pPr>
        <w:rPr>
          <w:rFonts w:eastAsia="Times New Roman"/>
          <w:color w:val="0B2B43" w:themeColor="text2" w:themeShade="80"/>
          <w:lang w:eastAsia="en-AU"/>
        </w:rPr>
      </w:pPr>
      <w:r w:rsidRPr="004A1196">
        <w:rPr>
          <w:rFonts w:eastAsia="Calibri"/>
          <w:color w:val="0B2B43" w:themeColor="text2" w:themeShade="80"/>
        </w:rPr>
        <w:t>Universities</w:t>
      </w:r>
      <w:r w:rsidRPr="004A1196">
        <w:rPr>
          <w:rFonts w:eastAsia="Times New Roman"/>
          <w:color w:val="0B2B43" w:themeColor="text2" w:themeShade="80"/>
          <w:lang w:eastAsia="en-AU"/>
        </w:rPr>
        <w:t xml:space="preserve"> would report annually on the number of additional placements supported through the programme. This data </w:t>
      </w:r>
      <w:proofErr w:type="gramStart"/>
      <w:r w:rsidRPr="004A1196">
        <w:rPr>
          <w:rFonts w:eastAsia="Times New Roman"/>
          <w:color w:val="0B2B43" w:themeColor="text2" w:themeShade="80"/>
          <w:lang w:eastAsia="en-AU"/>
        </w:rPr>
        <w:t>would be published</w:t>
      </w:r>
      <w:proofErr w:type="gramEnd"/>
      <w:r w:rsidRPr="004A1196">
        <w:rPr>
          <w:rFonts w:eastAsia="Times New Roman"/>
          <w:color w:val="0B2B43" w:themeColor="text2" w:themeShade="80"/>
          <w:lang w:eastAsia="en-AU"/>
        </w:rPr>
        <w:t xml:space="preserve"> on the Department of Education and Training website.</w:t>
      </w:r>
    </w:p>
    <w:p w:rsidR="002C6039" w:rsidRPr="004A1196" w:rsidRDefault="002C6039" w:rsidP="002C6039">
      <w:pPr>
        <w:rPr>
          <w:rFonts w:eastAsia="Times New Roman"/>
          <w:color w:val="0B2B43" w:themeColor="text2" w:themeShade="80"/>
          <w:lang w:eastAsia="en-AU"/>
        </w:rPr>
      </w:pPr>
      <w:r w:rsidRPr="004A1196">
        <w:rPr>
          <w:rFonts w:eastAsia="Times New Roman"/>
          <w:color w:val="0B2B43" w:themeColor="text2" w:themeShade="80"/>
          <w:lang w:eastAsia="en-AU"/>
        </w:rPr>
        <w:t xml:space="preserve">The placement </w:t>
      </w:r>
      <w:proofErr w:type="gramStart"/>
      <w:r w:rsidRPr="004A1196">
        <w:rPr>
          <w:rFonts w:eastAsia="Times New Roman"/>
          <w:color w:val="0B2B43" w:themeColor="text2" w:themeShade="80"/>
          <w:lang w:eastAsia="en-AU"/>
        </w:rPr>
        <w:t>could be taken</w:t>
      </w:r>
      <w:proofErr w:type="gramEnd"/>
      <w:r w:rsidRPr="004A1196">
        <w:rPr>
          <w:rFonts w:eastAsia="Times New Roman"/>
          <w:color w:val="0B2B43" w:themeColor="text2" w:themeShade="80"/>
          <w:lang w:eastAsia="en-AU"/>
        </w:rPr>
        <w:t xml:space="preserve"> at any </w:t>
      </w:r>
      <w:r w:rsidRPr="004A1196">
        <w:rPr>
          <w:rFonts w:eastAsia="Calibri"/>
          <w:color w:val="0B2B43" w:themeColor="text2" w:themeShade="80"/>
        </w:rPr>
        <w:t>time</w:t>
      </w:r>
      <w:r w:rsidRPr="004A1196">
        <w:rPr>
          <w:rFonts w:eastAsia="Times New Roman"/>
          <w:color w:val="0B2B43" w:themeColor="text2" w:themeShade="80"/>
          <w:lang w:eastAsia="en-AU"/>
        </w:rPr>
        <w:t xml:space="preserve"> during the PhD candidature. It would be of minimum six months duration but could entertain proposals for a shorter or extended </w:t>
      </w:r>
      <w:proofErr w:type="gramStart"/>
      <w:r w:rsidRPr="004A1196">
        <w:rPr>
          <w:rFonts w:eastAsia="Times New Roman"/>
          <w:color w:val="0B2B43" w:themeColor="text2" w:themeShade="80"/>
          <w:lang w:eastAsia="en-AU"/>
        </w:rPr>
        <w:t>time period</w:t>
      </w:r>
      <w:proofErr w:type="gramEnd"/>
      <w:r w:rsidRPr="004A1196">
        <w:rPr>
          <w:rFonts w:eastAsia="Times New Roman"/>
          <w:color w:val="0B2B43" w:themeColor="text2" w:themeShade="80"/>
          <w:lang w:eastAsia="en-AU"/>
        </w:rPr>
        <w:t xml:space="preserve"> if this was judged to be more appropriate. Universities indicated that a common approach is to arrange placements in the time lag between thesis submission and ratification so that the candidature period </w:t>
      </w:r>
      <w:proofErr w:type="gramStart"/>
      <w:r w:rsidRPr="004A1196">
        <w:rPr>
          <w:rFonts w:eastAsia="Times New Roman"/>
          <w:color w:val="0B2B43" w:themeColor="text2" w:themeShade="80"/>
          <w:lang w:eastAsia="en-AU"/>
        </w:rPr>
        <w:t>is not lengthened</w:t>
      </w:r>
      <w:proofErr w:type="gramEnd"/>
      <w:r w:rsidRPr="004A1196">
        <w:rPr>
          <w:rFonts w:eastAsia="Times New Roman"/>
          <w:color w:val="0B2B43" w:themeColor="text2" w:themeShade="80"/>
          <w:lang w:eastAsia="en-AU"/>
        </w:rPr>
        <w:t xml:space="preserve">. However, flexibility about timing of the placement would be a matter for the </w:t>
      </w:r>
      <w:r w:rsidR="003904BC">
        <w:rPr>
          <w:rFonts w:eastAsia="Times New Roman"/>
          <w:color w:val="0B2B43" w:themeColor="text2" w:themeShade="80"/>
          <w:lang w:eastAsia="en-AU"/>
        </w:rPr>
        <w:t>end user</w:t>
      </w:r>
      <w:r w:rsidRPr="004A1196">
        <w:rPr>
          <w:rFonts w:eastAsia="Times New Roman"/>
          <w:color w:val="0B2B43" w:themeColor="text2" w:themeShade="80"/>
          <w:lang w:eastAsia="en-AU"/>
        </w:rPr>
        <w:t xml:space="preserve"> organisation to determine in consultation with the university. The proposed arrangements to allow universities greater flexibility in determining length of programmes under the research training schemes will work in conjunction with this new programme. </w:t>
      </w:r>
    </w:p>
    <w:p w:rsidR="002C6039" w:rsidRPr="004A1196" w:rsidRDefault="002C6039" w:rsidP="002C6039">
      <w:pPr>
        <w:rPr>
          <w:rFonts w:eastAsia="Times New Roman"/>
          <w:color w:val="0B2B43" w:themeColor="text2" w:themeShade="80"/>
          <w:lang w:eastAsia="en-AU"/>
        </w:rPr>
      </w:pPr>
      <w:r w:rsidRPr="004A1196">
        <w:rPr>
          <w:rFonts w:eastAsia="Times New Roman"/>
          <w:color w:val="0B2B43" w:themeColor="text2" w:themeShade="80"/>
          <w:lang w:eastAsia="en-AU"/>
        </w:rPr>
        <w:t xml:space="preserve">The costs to the universities administering the </w:t>
      </w:r>
      <w:r w:rsidRPr="004A1196">
        <w:rPr>
          <w:rFonts w:eastAsia="Calibri"/>
          <w:color w:val="0B2B43" w:themeColor="text2" w:themeShade="80"/>
        </w:rPr>
        <w:t>programme</w:t>
      </w:r>
      <w:r w:rsidRPr="004A1196">
        <w:rPr>
          <w:rFonts w:eastAsia="Times New Roman"/>
          <w:color w:val="0B2B43" w:themeColor="text2" w:themeShade="80"/>
          <w:lang w:eastAsia="en-AU"/>
        </w:rPr>
        <w:t xml:space="preserve">, finding relevant placement opportunities within business and other </w:t>
      </w:r>
      <w:r w:rsidR="003904BC">
        <w:rPr>
          <w:rFonts w:eastAsia="Times New Roman"/>
          <w:color w:val="0B2B43" w:themeColor="text2" w:themeShade="80"/>
          <w:lang w:eastAsia="en-AU"/>
        </w:rPr>
        <w:t>end user</w:t>
      </w:r>
      <w:r w:rsidRPr="004A1196">
        <w:rPr>
          <w:rFonts w:eastAsia="Times New Roman"/>
          <w:color w:val="0B2B43" w:themeColor="text2" w:themeShade="80"/>
          <w:lang w:eastAsia="en-AU"/>
        </w:rPr>
        <w:t xml:space="preserve"> organisations and supporting any costs to the placement entity </w:t>
      </w:r>
      <w:proofErr w:type="gramStart"/>
      <w:r w:rsidRPr="004A1196">
        <w:rPr>
          <w:rFonts w:eastAsia="Times New Roman"/>
          <w:color w:val="0B2B43" w:themeColor="text2" w:themeShade="80"/>
          <w:lang w:eastAsia="en-AU"/>
        </w:rPr>
        <w:t>would be managed</w:t>
      </w:r>
      <w:proofErr w:type="gramEnd"/>
      <w:r w:rsidRPr="004A1196">
        <w:rPr>
          <w:rFonts w:eastAsia="Times New Roman"/>
          <w:color w:val="0B2B43" w:themeColor="text2" w:themeShade="80"/>
          <w:lang w:eastAsia="en-AU"/>
        </w:rPr>
        <w:t xml:space="preserve"> through the allocation per student. Any intellectual property created during the course of the student placement </w:t>
      </w:r>
      <w:proofErr w:type="gramStart"/>
      <w:r w:rsidRPr="004A1196">
        <w:rPr>
          <w:rFonts w:eastAsia="Times New Roman"/>
          <w:color w:val="0B2B43" w:themeColor="text2" w:themeShade="80"/>
          <w:lang w:eastAsia="en-AU"/>
        </w:rPr>
        <w:t>would be owned</w:t>
      </w:r>
      <w:proofErr w:type="gramEnd"/>
      <w:r w:rsidRPr="004A1196">
        <w:rPr>
          <w:rFonts w:eastAsia="Times New Roman"/>
          <w:color w:val="0B2B43" w:themeColor="text2" w:themeShade="80"/>
          <w:lang w:eastAsia="en-AU"/>
        </w:rPr>
        <w:t xml:space="preserve"> by the business or </w:t>
      </w:r>
      <w:r w:rsidR="003904BC">
        <w:rPr>
          <w:rFonts w:eastAsia="Times New Roman"/>
          <w:color w:val="0B2B43" w:themeColor="text2" w:themeShade="80"/>
          <w:lang w:eastAsia="en-AU"/>
        </w:rPr>
        <w:t>end user</w:t>
      </w:r>
      <w:r w:rsidRPr="004A1196">
        <w:rPr>
          <w:rFonts w:eastAsia="Times New Roman"/>
          <w:color w:val="0B2B43" w:themeColor="text2" w:themeShade="80"/>
          <w:lang w:eastAsia="en-AU"/>
        </w:rPr>
        <w:t xml:space="preserve"> organisation. </w:t>
      </w:r>
    </w:p>
    <w:p w:rsidR="002C6039" w:rsidRPr="004A1196" w:rsidRDefault="002C6039" w:rsidP="002C6039">
      <w:pPr>
        <w:rPr>
          <w:rFonts w:eastAsia="Times New Roman"/>
          <w:color w:val="0B2B43" w:themeColor="text2" w:themeShade="80"/>
          <w:lang w:eastAsia="en-AU"/>
        </w:rPr>
      </w:pPr>
      <w:r w:rsidRPr="004A1196">
        <w:rPr>
          <w:rFonts w:eastAsia="Times New Roman"/>
          <w:color w:val="0B2B43" w:themeColor="text2" w:themeShade="80"/>
          <w:lang w:eastAsia="en-AU"/>
        </w:rPr>
        <w:t xml:space="preserve">The final details of the programme </w:t>
      </w:r>
      <w:proofErr w:type="gramStart"/>
      <w:r w:rsidRPr="004A1196">
        <w:rPr>
          <w:rFonts w:eastAsia="Times New Roman"/>
          <w:color w:val="0B2B43" w:themeColor="text2" w:themeShade="80"/>
          <w:lang w:eastAsia="en-AU"/>
        </w:rPr>
        <w:t>will be developed</w:t>
      </w:r>
      <w:proofErr w:type="gramEnd"/>
      <w:r w:rsidRPr="004A1196">
        <w:rPr>
          <w:rFonts w:eastAsia="Times New Roman"/>
          <w:color w:val="0B2B43" w:themeColor="text2" w:themeShade="80"/>
          <w:lang w:eastAsia="en-AU"/>
        </w:rPr>
        <w:t xml:space="preserve"> in consultation with universities and business and other </w:t>
      </w:r>
      <w:r w:rsidR="003904BC">
        <w:rPr>
          <w:rFonts w:eastAsia="Times New Roman"/>
          <w:color w:val="0B2B43" w:themeColor="text2" w:themeShade="80"/>
          <w:lang w:eastAsia="en-AU"/>
        </w:rPr>
        <w:t>end user</w:t>
      </w:r>
      <w:r w:rsidRPr="004A1196">
        <w:rPr>
          <w:rFonts w:eastAsia="Times New Roman"/>
          <w:color w:val="0B2B43" w:themeColor="text2" w:themeShade="80"/>
          <w:lang w:eastAsia="en-AU"/>
        </w:rPr>
        <w:t xml:space="preserve">s. An implementation plan </w:t>
      </w:r>
      <w:proofErr w:type="gramStart"/>
      <w:r w:rsidRPr="004A1196">
        <w:rPr>
          <w:rFonts w:eastAsia="Times New Roman"/>
          <w:color w:val="0B2B43" w:themeColor="text2" w:themeShade="80"/>
          <w:lang w:eastAsia="en-AU"/>
        </w:rPr>
        <w:t>should be developed</w:t>
      </w:r>
      <w:proofErr w:type="gramEnd"/>
      <w:r w:rsidRPr="004A1196">
        <w:rPr>
          <w:rFonts w:eastAsia="Times New Roman"/>
          <w:color w:val="0B2B43" w:themeColor="text2" w:themeShade="80"/>
          <w:lang w:eastAsia="en-AU"/>
        </w:rPr>
        <w:t xml:space="preserve"> in 2016 so that the new programme can start at the beginning of 2017. </w:t>
      </w:r>
    </w:p>
    <w:p w:rsidR="002C6039" w:rsidRPr="00696957" w:rsidRDefault="002C6039" w:rsidP="00696957">
      <w:pPr>
        <w:pStyle w:val="RIHeading2"/>
        <w:rPr>
          <w:rFonts w:eastAsia="Times New Roman"/>
          <w:sz w:val="28"/>
          <w:szCs w:val="28"/>
        </w:rPr>
      </w:pPr>
      <w:bookmarkStart w:id="279" w:name="_Toc436651858"/>
      <w:bookmarkStart w:id="280" w:name="_Toc436659666"/>
      <w:bookmarkStart w:id="281" w:name="_Toc436660164"/>
      <w:r w:rsidRPr="00696957">
        <w:rPr>
          <w:rFonts w:eastAsia="Times New Roman"/>
          <w:sz w:val="28"/>
          <w:szCs w:val="28"/>
        </w:rPr>
        <w:t>The role of university promotion policies</w:t>
      </w:r>
      <w:bookmarkEnd w:id="279"/>
      <w:bookmarkEnd w:id="280"/>
      <w:bookmarkEnd w:id="281"/>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The mobility of PhD qualified personnel </w:t>
      </w:r>
      <w:proofErr w:type="gramStart"/>
      <w:r w:rsidRPr="004A1196">
        <w:rPr>
          <w:rFonts w:eastAsia="Calibri"/>
          <w:color w:val="0B2B43" w:themeColor="text2" w:themeShade="80"/>
        </w:rPr>
        <w:t>is regarded</w:t>
      </w:r>
      <w:proofErr w:type="gramEnd"/>
      <w:r w:rsidRPr="004A1196">
        <w:rPr>
          <w:rFonts w:eastAsia="Calibri"/>
          <w:color w:val="0B2B43" w:themeColor="text2" w:themeShade="80"/>
        </w:rPr>
        <w:t xml:space="preserve"> as low in Australia.</w:t>
      </w:r>
      <w:r w:rsidRPr="004A1196">
        <w:rPr>
          <w:rFonts w:eastAsia="Calibri"/>
          <w:color w:val="0B2B43" w:themeColor="text2" w:themeShade="80"/>
          <w:vertAlign w:val="superscript"/>
        </w:rPr>
        <w:footnoteReference w:id="64"/>
      </w:r>
      <w:r w:rsidRPr="004A1196">
        <w:rPr>
          <w:rFonts w:eastAsia="Calibri"/>
          <w:color w:val="0B2B43" w:themeColor="text2" w:themeShade="80"/>
        </w:rPr>
        <w:t xml:space="preserve"> </w:t>
      </w:r>
      <w:r w:rsidR="00E76F82">
        <w:rPr>
          <w:rFonts w:eastAsia="Calibri"/>
          <w:color w:val="0B2B43" w:themeColor="text2" w:themeShade="80"/>
        </w:rPr>
        <w:t>S</w:t>
      </w:r>
      <w:r w:rsidRPr="004A1196">
        <w:rPr>
          <w:rFonts w:eastAsia="Calibri"/>
          <w:color w:val="0B2B43" w:themeColor="text2" w:themeShade="80"/>
        </w:rPr>
        <w:t xml:space="preserve">ome business groups and universities </w:t>
      </w:r>
      <w:r w:rsidR="00E76F82">
        <w:rPr>
          <w:rFonts w:eastAsia="Calibri"/>
          <w:color w:val="0B2B43" w:themeColor="text2" w:themeShade="80"/>
        </w:rPr>
        <w:t xml:space="preserve">raised the concern </w:t>
      </w:r>
      <w:r w:rsidRPr="004A1196">
        <w:rPr>
          <w:rFonts w:eastAsia="Calibri"/>
          <w:color w:val="0B2B43" w:themeColor="text2" w:themeShade="80"/>
        </w:rPr>
        <w:t xml:space="preserve">that the university sector does not recognise, or places low value on, business expertise relative to traditional measures of academic success such as publications and research grants. Promotion prospects for researchers who spend time in occupations outside of academia may be lowered because their productivity is likely to be less than those with full time academic </w:t>
      </w:r>
      <w:proofErr w:type="gramStart"/>
      <w:r w:rsidRPr="004A1196">
        <w:rPr>
          <w:rFonts w:eastAsia="Calibri"/>
          <w:color w:val="0B2B43" w:themeColor="text2" w:themeShade="80"/>
        </w:rPr>
        <w:t>positions</w:t>
      </w:r>
      <w:proofErr w:type="gramEnd"/>
      <w:r w:rsidRPr="004A1196">
        <w:rPr>
          <w:rFonts w:eastAsia="Calibri"/>
          <w:color w:val="0B2B43" w:themeColor="text2" w:themeShade="80"/>
        </w:rPr>
        <w:t xml:space="preserve">. </w:t>
      </w:r>
    </w:p>
    <w:p w:rsidR="002C6039" w:rsidRPr="004A1196" w:rsidRDefault="002C6039" w:rsidP="002C6039">
      <w:pPr>
        <w:rPr>
          <w:rFonts w:eastAsia="Calibri"/>
          <w:color w:val="0B2B43" w:themeColor="text2" w:themeShade="80"/>
        </w:rPr>
      </w:pPr>
      <w:r w:rsidRPr="004A1196">
        <w:rPr>
          <w:rFonts w:eastAsia="Calibri"/>
          <w:color w:val="0B2B43" w:themeColor="text2" w:themeShade="80"/>
        </w:rPr>
        <w:t xml:space="preserve">Spending time in business may act as an impediment to researcher mobility. During consultations, some universities indicated that appropriate promotion policies were changing to better recognise the value of business experience. Given the capacity of such policy changes to improve mobility across the business and university sector over time, the review encourages all universities to ensure that their appointment and promotion polices do not disadvantage applicants with business experience. </w:t>
      </w:r>
    </w:p>
    <w:p w:rsidR="0014465E" w:rsidRDefault="002C6039" w:rsidP="002C6039">
      <w:pPr>
        <w:rPr>
          <w:rFonts w:eastAsia="Calibri"/>
          <w:color w:val="0B2B43" w:themeColor="text2" w:themeShade="80"/>
        </w:rPr>
      </w:pPr>
      <w:r w:rsidRPr="004A1196">
        <w:rPr>
          <w:rFonts w:eastAsia="Calibri"/>
          <w:color w:val="0B2B43" w:themeColor="text2" w:themeShade="80"/>
        </w:rPr>
        <w:t>The review supports the Group of Eight commitment to work with its member universities to draft elements of a reward and recognition framework for academics that promotes a symbiosis between excellent functional research and research</w:t>
      </w:r>
      <w:r w:rsidR="0014465E">
        <w:rPr>
          <w:rFonts w:eastAsia="Calibri"/>
          <w:color w:val="0B2B43" w:themeColor="text2" w:themeShade="80"/>
        </w:rPr>
        <w:t xml:space="preserve"> impact </w:t>
      </w:r>
      <w:r w:rsidRPr="004A1196">
        <w:rPr>
          <w:rFonts w:eastAsia="Calibri"/>
          <w:color w:val="0B2B43" w:themeColor="text2" w:themeShade="80"/>
        </w:rPr>
        <w:t>that delivers outcomes for the community.</w:t>
      </w:r>
      <w:r w:rsidRPr="004A1196">
        <w:rPr>
          <w:rStyle w:val="FootnoteReference"/>
          <w:rFonts w:eastAsia="Calibri"/>
          <w:color w:val="0B2B43" w:themeColor="text2" w:themeShade="80"/>
        </w:rPr>
        <w:footnoteReference w:id="65"/>
      </w:r>
    </w:p>
    <w:p w:rsidR="0014465E" w:rsidRDefault="0014465E" w:rsidP="00C6639A">
      <w:pPr>
        <w:rPr>
          <w:rFonts w:eastAsia="Calibri"/>
        </w:rPr>
      </w:pPr>
      <w:r>
        <w:rPr>
          <w:rFonts w:eastAsia="Calibri"/>
        </w:rPr>
        <w:br w:type="page"/>
      </w:r>
    </w:p>
    <w:p w:rsidR="002C6039" w:rsidRPr="004A1196" w:rsidRDefault="002C6039" w:rsidP="002C6039">
      <w:pPr>
        <w:pStyle w:val="RIHeading2"/>
        <w:rPr>
          <w:rFonts w:eastAsia="Times New Roman"/>
          <w:color w:val="0B2B43" w:themeColor="text2" w:themeShade="80"/>
        </w:rPr>
      </w:pPr>
      <w:bookmarkStart w:id="282" w:name="_Toc436651859"/>
      <w:bookmarkStart w:id="283" w:name="_Toc436659667"/>
      <w:bookmarkStart w:id="284" w:name="_Toc436660165"/>
      <w:r w:rsidRPr="004A1196">
        <w:rPr>
          <w:rFonts w:eastAsia="Times New Roman"/>
          <w:color w:val="0B2B43" w:themeColor="text2" w:themeShade="80"/>
        </w:rPr>
        <w:t>Recommendations</w:t>
      </w:r>
      <w:bookmarkEnd w:id="282"/>
      <w:bookmarkEnd w:id="283"/>
      <w:bookmarkEnd w:id="284"/>
    </w:p>
    <w:p w:rsidR="002C6039" w:rsidRPr="004A1196" w:rsidRDefault="002C6039" w:rsidP="001C2886">
      <w:pPr>
        <w:pStyle w:val="ListParagraph"/>
        <w:numPr>
          <w:ilvl w:val="0"/>
          <w:numId w:val="65"/>
        </w:numPr>
        <w:rPr>
          <w:color w:val="0B2B43" w:themeColor="text2" w:themeShade="80"/>
        </w:rPr>
      </w:pPr>
      <w:r w:rsidRPr="004A1196">
        <w:rPr>
          <w:color w:val="0B2B43" w:themeColor="text2" w:themeShade="80"/>
        </w:rPr>
        <w:t xml:space="preserve">Australian Government funding of around $25 million over four years from 2016-17 be provided to expand Research Connections. </w:t>
      </w:r>
    </w:p>
    <w:p w:rsidR="00000773" w:rsidRPr="004A1196" w:rsidRDefault="00000773" w:rsidP="00000773">
      <w:pPr>
        <w:pStyle w:val="ListParagraph"/>
        <w:ind w:left="360"/>
        <w:rPr>
          <w:color w:val="0B2B43" w:themeColor="text2" w:themeShade="80"/>
        </w:rPr>
      </w:pPr>
    </w:p>
    <w:p w:rsidR="002C6039" w:rsidRPr="004A1196" w:rsidRDefault="002C6039" w:rsidP="001C2886">
      <w:pPr>
        <w:pStyle w:val="ListParagraph"/>
        <w:numPr>
          <w:ilvl w:val="0"/>
          <w:numId w:val="65"/>
        </w:numPr>
        <w:rPr>
          <w:color w:val="0B2B43" w:themeColor="text2" w:themeShade="80"/>
        </w:rPr>
      </w:pPr>
      <w:proofErr w:type="gramStart"/>
      <w:r w:rsidRPr="004A1196">
        <w:rPr>
          <w:color w:val="0B2B43" w:themeColor="text2" w:themeShade="80"/>
        </w:rPr>
        <w:t>Australian Government funding of $12.5 million per annum be provided</w:t>
      </w:r>
      <w:proofErr w:type="gramEnd"/>
      <w:r w:rsidRPr="004A1196">
        <w:rPr>
          <w:color w:val="0B2B43" w:themeColor="text2" w:themeShade="80"/>
        </w:rPr>
        <w:t xml:space="preserve"> </w:t>
      </w:r>
      <w:r w:rsidR="00FF5E57">
        <w:rPr>
          <w:color w:val="0B2B43" w:themeColor="text2" w:themeShade="80"/>
        </w:rPr>
        <w:t>to create a</w:t>
      </w:r>
      <w:r w:rsidRPr="004A1196">
        <w:rPr>
          <w:color w:val="0B2B43" w:themeColor="text2" w:themeShade="80"/>
        </w:rPr>
        <w:t xml:space="preserve"> small programme to support universities to increase numbers of industry placements for PhD students</w:t>
      </w:r>
      <w:r w:rsidR="00D62863" w:rsidRPr="004A1196">
        <w:rPr>
          <w:color w:val="0B2B43" w:themeColor="text2" w:themeShade="80"/>
        </w:rPr>
        <w:t xml:space="preserve">. </w:t>
      </w:r>
      <w:r w:rsidRPr="004A1196">
        <w:rPr>
          <w:color w:val="0B2B43" w:themeColor="text2" w:themeShade="80"/>
        </w:rPr>
        <w:t>The programme should commence in 2017 and the Department of Education and Training should develop the details of the new programme arrangements in consultation with the university and business sectors.</w:t>
      </w:r>
    </w:p>
    <w:p w:rsidR="002C6039" w:rsidRPr="004A1196" w:rsidRDefault="002C6039" w:rsidP="002C6039">
      <w:pPr>
        <w:pStyle w:val="ListParagraph"/>
        <w:ind w:left="1080"/>
        <w:rPr>
          <w:color w:val="0B2B43" w:themeColor="text2" w:themeShade="80"/>
        </w:rPr>
      </w:pPr>
    </w:p>
    <w:p w:rsidR="002C6039" w:rsidRPr="004A1196" w:rsidRDefault="002C6039" w:rsidP="001C2886">
      <w:pPr>
        <w:pStyle w:val="ListParagraph"/>
        <w:numPr>
          <w:ilvl w:val="0"/>
          <w:numId w:val="65"/>
        </w:numPr>
        <w:rPr>
          <w:rFonts w:eastAsia="Calibri"/>
          <w:color w:val="0B2B43" w:themeColor="text2" w:themeShade="80"/>
        </w:rPr>
      </w:pPr>
      <w:r w:rsidRPr="004A1196">
        <w:rPr>
          <w:rFonts w:eastAsia="Calibri" w:cs="Calibri"/>
          <w:color w:val="0B2B43" w:themeColor="text2" w:themeShade="80"/>
        </w:rPr>
        <w:t xml:space="preserve">The Department of Industry, Innovation and Science should implement, as a priority action in 2016, </w:t>
      </w:r>
      <w:r w:rsidRPr="004A1196">
        <w:rPr>
          <w:rFonts w:eastAsia="Calibri"/>
          <w:color w:val="0B2B43" w:themeColor="text2" w:themeShade="80"/>
        </w:rPr>
        <w:t xml:space="preserve">an online access </w:t>
      </w:r>
      <w:proofErr w:type="gramStart"/>
      <w:r w:rsidRPr="004A1196">
        <w:rPr>
          <w:rFonts w:eastAsia="Calibri"/>
          <w:color w:val="0B2B43" w:themeColor="text2" w:themeShade="80"/>
        </w:rPr>
        <w:t>point which</w:t>
      </w:r>
      <w:proofErr w:type="gramEnd"/>
      <w:r w:rsidRPr="004A1196">
        <w:rPr>
          <w:rFonts w:eastAsia="Calibri"/>
          <w:color w:val="0B2B43" w:themeColor="text2" w:themeShade="80"/>
        </w:rPr>
        <w:t xml:space="preserve"> will assist businesses to connect with business relevant research and researchers. </w:t>
      </w:r>
    </w:p>
    <w:p w:rsidR="002C6039" w:rsidRPr="004A1196" w:rsidRDefault="002C6039" w:rsidP="002C6039">
      <w:pPr>
        <w:pStyle w:val="ListParagraph"/>
        <w:ind w:left="360"/>
        <w:rPr>
          <w:rFonts w:eastAsia="Calibri"/>
          <w:color w:val="0B2B43" w:themeColor="text2" w:themeShade="80"/>
        </w:rPr>
      </w:pPr>
    </w:p>
    <w:p w:rsidR="002C6039" w:rsidRPr="004A1196" w:rsidRDefault="002C6039" w:rsidP="001C2886">
      <w:pPr>
        <w:pStyle w:val="ListParagraph"/>
        <w:numPr>
          <w:ilvl w:val="0"/>
          <w:numId w:val="65"/>
        </w:numPr>
        <w:rPr>
          <w:rFonts w:eastAsia="Calibri" w:cs="Calibri"/>
          <w:color w:val="0B2B43" w:themeColor="text2" w:themeShade="80"/>
        </w:rPr>
      </w:pPr>
      <w:r w:rsidRPr="004A1196">
        <w:rPr>
          <w:rFonts w:eastAsia="Calibri" w:cs="Calibri"/>
          <w:color w:val="0B2B43" w:themeColor="text2" w:themeShade="80"/>
        </w:rPr>
        <w:t xml:space="preserve">Universities revise their appointment and promotion policies where necessary to ensure that the value of business experience is recognised and that individuals who have spent time in business are not disadvantaged in the selection process. </w:t>
      </w:r>
    </w:p>
    <w:p w:rsidR="002C6039" w:rsidRPr="004A1196" w:rsidRDefault="002C6039" w:rsidP="002C6039">
      <w:pPr>
        <w:spacing w:before="0" w:after="200" w:line="276" w:lineRule="auto"/>
        <w:rPr>
          <w:rFonts w:eastAsia="MS Mincho"/>
          <w:b/>
          <w:bCs/>
          <w:color w:val="0B2B43" w:themeColor="text2" w:themeShade="80"/>
          <w:sz w:val="40"/>
          <w:szCs w:val="28"/>
        </w:rPr>
      </w:pPr>
      <w:bookmarkStart w:id="285" w:name="_Toc436392756"/>
      <w:bookmarkStart w:id="286" w:name="_Toc430871823"/>
      <w:bookmarkStart w:id="287" w:name="_Toc389222046"/>
      <w:bookmarkStart w:id="288" w:name="_Toc389745585"/>
      <w:r w:rsidRPr="004A1196">
        <w:rPr>
          <w:rFonts w:eastAsia="MS Mincho"/>
          <w:color w:val="0B2B43" w:themeColor="text2" w:themeShade="80"/>
        </w:rPr>
        <w:br w:type="page"/>
      </w:r>
    </w:p>
    <w:p w:rsidR="002C6039" w:rsidRPr="004A1196" w:rsidRDefault="002C6039" w:rsidP="004018A9">
      <w:pPr>
        <w:pStyle w:val="RIHeading1"/>
        <w:numPr>
          <w:ilvl w:val="0"/>
          <w:numId w:val="62"/>
        </w:numPr>
        <w:rPr>
          <w:rFonts w:eastAsia="MS Mincho"/>
          <w:color w:val="0B2B43" w:themeColor="text2" w:themeShade="80"/>
        </w:rPr>
      </w:pPr>
      <w:bookmarkStart w:id="289" w:name="_Toc436563387"/>
      <w:bookmarkStart w:id="290" w:name="_Toc436574576"/>
      <w:bookmarkStart w:id="291" w:name="_Toc436579526"/>
      <w:bookmarkStart w:id="292" w:name="_Toc436579544"/>
      <w:bookmarkStart w:id="293" w:name="_Toc436651860"/>
      <w:bookmarkStart w:id="294" w:name="_Toc436659668"/>
      <w:bookmarkStart w:id="295" w:name="_Toc436660166"/>
      <w:bookmarkStart w:id="296" w:name="_Toc436663724"/>
      <w:bookmarkStart w:id="297" w:name="_Toc436664114"/>
      <w:bookmarkStart w:id="298" w:name="_Toc436664675"/>
      <w:bookmarkStart w:id="299" w:name="_Toc436664817"/>
      <w:bookmarkStart w:id="300" w:name="_Toc436665032"/>
      <w:bookmarkStart w:id="301" w:name="_Toc436666149"/>
      <w:bookmarkStart w:id="302" w:name="_Toc436666856"/>
      <w:bookmarkStart w:id="303" w:name="_Toc436666974"/>
      <w:bookmarkStart w:id="304" w:name="_Toc440378837"/>
      <w:r w:rsidRPr="004A1196">
        <w:rPr>
          <w:rFonts w:eastAsia="MS Mincho"/>
          <w:color w:val="0B2B43" w:themeColor="text2" w:themeShade="80"/>
        </w:rPr>
        <w:t>Improved management of intellectual property</w:t>
      </w:r>
      <w:bookmarkEnd w:id="285"/>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rsidR="002C6039" w:rsidRPr="004A1196" w:rsidRDefault="002C6039" w:rsidP="002C6039">
      <w:pPr>
        <w:rPr>
          <w:color w:val="0B2B43" w:themeColor="text2" w:themeShade="80"/>
        </w:rPr>
      </w:pPr>
      <w:bookmarkStart w:id="305" w:name="_Toc430871824"/>
      <w:bookmarkEnd w:id="286"/>
      <w:r w:rsidRPr="004A1196">
        <w:rPr>
          <w:color w:val="0B2B43" w:themeColor="text2" w:themeShade="80"/>
        </w:rPr>
        <w:t>The terms of reference for the review call for advice on options to facilitate research</w:t>
      </w:r>
      <w:r w:rsidR="004A3C24">
        <w:rPr>
          <w:color w:val="0B2B43" w:themeColor="text2" w:themeShade="80"/>
        </w:rPr>
        <w:noBreakHyphen/>
      </w:r>
      <w:r w:rsidRPr="004A1196">
        <w:rPr>
          <w:color w:val="0B2B43" w:themeColor="text2" w:themeShade="80"/>
        </w:rPr>
        <w:t>business collaboration and the commercialisation of ideas — in particular, how to</w:t>
      </w:r>
      <w:r w:rsidR="0087616A">
        <w:rPr>
          <w:color w:val="0B2B43" w:themeColor="text2" w:themeShade="80"/>
        </w:rPr>
        <w:t>:</w:t>
      </w:r>
      <w:r w:rsidRPr="004A1196">
        <w:rPr>
          <w:color w:val="0B2B43" w:themeColor="text2" w:themeShade="80"/>
        </w:rPr>
        <w:t xml:space="preserve"> </w:t>
      </w:r>
    </w:p>
    <w:p w:rsidR="002C6039" w:rsidRPr="004A1196" w:rsidRDefault="002C6039" w:rsidP="002C6039">
      <w:pPr>
        <w:ind w:left="720"/>
        <w:rPr>
          <w:color w:val="0B2B43" w:themeColor="text2" w:themeShade="80"/>
          <w:sz w:val="22"/>
        </w:rPr>
      </w:pPr>
      <w:proofErr w:type="gramStart"/>
      <w:r w:rsidRPr="004A1196">
        <w:rPr>
          <w:color w:val="0B2B43" w:themeColor="text2" w:themeShade="80"/>
          <w:sz w:val="22"/>
        </w:rPr>
        <w:t>encourage</w:t>
      </w:r>
      <w:proofErr w:type="gramEnd"/>
      <w:r w:rsidRPr="004A1196">
        <w:rPr>
          <w:color w:val="0B2B43" w:themeColor="text2" w:themeShade="80"/>
          <w:sz w:val="22"/>
        </w:rPr>
        <w:t xml:space="preserve"> universities to engage in research commercialisation and knowledge transfer with business and the broader community, including through funding incentives and a focus on more effective management of intellectual property. </w:t>
      </w:r>
    </w:p>
    <w:p w:rsidR="002C6039" w:rsidRPr="004A1196" w:rsidRDefault="00887015" w:rsidP="002C6039">
      <w:pPr>
        <w:rPr>
          <w:color w:val="0B2B43" w:themeColor="text2" w:themeShade="80"/>
        </w:rPr>
      </w:pPr>
      <w:r>
        <w:rPr>
          <w:color w:val="0B2B43" w:themeColor="text2" w:themeShade="80"/>
        </w:rPr>
        <w:t>Funding arrangements</w:t>
      </w:r>
      <w:r w:rsidR="002C6039" w:rsidRPr="004A1196">
        <w:rPr>
          <w:color w:val="0B2B43" w:themeColor="text2" w:themeShade="80"/>
        </w:rPr>
        <w:t xml:space="preserve"> </w:t>
      </w:r>
      <w:proofErr w:type="gramStart"/>
      <w:r w:rsidR="002C6039" w:rsidRPr="004A1196">
        <w:rPr>
          <w:color w:val="0B2B43" w:themeColor="text2" w:themeShade="80"/>
        </w:rPr>
        <w:t>are covered</w:t>
      </w:r>
      <w:proofErr w:type="gramEnd"/>
      <w:r w:rsidR="002C6039" w:rsidRPr="004A1196">
        <w:rPr>
          <w:color w:val="0B2B43" w:themeColor="text2" w:themeShade="80"/>
        </w:rPr>
        <w:t xml:space="preserve"> in Chapter </w:t>
      </w:r>
      <w:r w:rsidR="00E53B62" w:rsidRPr="004A1196">
        <w:rPr>
          <w:color w:val="0B2B43" w:themeColor="text2" w:themeShade="80"/>
        </w:rPr>
        <w:t>2</w:t>
      </w:r>
      <w:r w:rsidR="002C6039" w:rsidRPr="004A1196">
        <w:rPr>
          <w:color w:val="0B2B43" w:themeColor="text2" w:themeShade="80"/>
        </w:rPr>
        <w:t xml:space="preserve"> and Chapter </w:t>
      </w:r>
      <w:r w:rsidR="00E53B62" w:rsidRPr="004A1196">
        <w:rPr>
          <w:color w:val="0B2B43" w:themeColor="text2" w:themeShade="80"/>
        </w:rPr>
        <w:t>3</w:t>
      </w:r>
      <w:r w:rsidR="002C6039" w:rsidRPr="004A1196">
        <w:rPr>
          <w:color w:val="0B2B43" w:themeColor="text2" w:themeShade="80"/>
        </w:rPr>
        <w:t xml:space="preserve">. This chapter deals with </w:t>
      </w:r>
      <w:r w:rsidR="002C6039" w:rsidRPr="004A1196">
        <w:rPr>
          <w:rFonts w:eastAsia="MS Mincho"/>
          <w:color w:val="0B2B43" w:themeColor="text2" w:themeShade="80"/>
        </w:rPr>
        <w:t xml:space="preserve">issues specific to the higher education sector on </w:t>
      </w:r>
      <w:r w:rsidR="002C6039" w:rsidRPr="004A1196">
        <w:rPr>
          <w:color w:val="0B2B43" w:themeColor="text2" w:themeShade="80"/>
        </w:rPr>
        <w:t>the more effective management of intellectual property (IP).</w:t>
      </w:r>
      <w:r w:rsidR="002C6039" w:rsidRPr="004A1196">
        <w:rPr>
          <w:rFonts w:eastAsia="MS Mincho"/>
          <w:color w:val="0B2B43" w:themeColor="text2" w:themeShade="80"/>
        </w:rPr>
        <w:t xml:space="preserve"> </w:t>
      </w:r>
    </w:p>
    <w:p w:rsidR="002C6039" w:rsidRPr="004A1196" w:rsidRDefault="002C6039" w:rsidP="002C6039">
      <w:pPr>
        <w:rPr>
          <w:rFonts w:eastAsia="MS Mincho"/>
          <w:color w:val="0B2B43" w:themeColor="text2" w:themeShade="80"/>
        </w:rPr>
      </w:pPr>
      <w:r w:rsidRPr="004A1196">
        <w:rPr>
          <w:rFonts w:eastAsia="MS Mincho"/>
          <w:color w:val="0B2B43" w:themeColor="text2" w:themeShade="80"/>
        </w:rPr>
        <w:t>Consultations with business groups and businesses of various sizes identified IP issues as actual or potential barriers to greater coll</w:t>
      </w:r>
      <w:r w:rsidR="00B753FB">
        <w:rPr>
          <w:rFonts w:eastAsia="MS Mincho"/>
          <w:color w:val="0B2B43" w:themeColor="text2" w:themeShade="80"/>
        </w:rPr>
        <w:t xml:space="preserve">aboration with universities and </w:t>
      </w:r>
      <w:r w:rsidR="0014465E">
        <w:rPr>
          <w:rFonts w:eastAsia="MS Mincho"/>
          <w:color w:val="0B2B43" w:themeColor="text2" w:themeShade="80"/>
        </w:rPr>
        <w:t>publicly funded research organisations (</w:t>
      </w:r>
      <w:proofErr w:type="spellStart"/>
      <w:r w:rsidR="00711674">
        <w:rPr>
          <w:rFonts w:eastAsia="MS Mincho"/>
          <w:color w:val="0B2B43" w:themeColor="text2" w:themeShade="80"/>
        </w:rPr>
        <w:t>PFRO</w:t>
      </w:r>
      <w:proofErr w:type="spellEnd"/>
      <w:r w:rsidR="0014465E">
        <w:rPr>
          <w:rFonts w:eastAsia="MS Mincho"/>
          <w:color w:val="0B2B43" w:themeColor="text2" w:themeShade="80"/>
        </w:rPr>
        <w:t>)</w:t>
      </w:r>
      <w:r w:rsidRPr="004A1196">
        <w:rPr>
          <w:rFonts w:eastAsia="MS Mincho"/>
          <w:color w:val="0B2B43" w:themeColor="text2" w:themeShade="80"/>
        </w:rPr>
        <w:t xml:space="preserve">. Issues </w:t>
      </w:r>
      <w:proofErr w:type="gramStart"/>
      <w:r w:rsidRPr="004A1196">
        <w:rPr>
          <w:rFonts w:eastAsia="MS Mincho"/>
          <w:color w:val="0B2B43" w:themeColor="text2" w:themeShade="80"/>
        </w:rPr>
        <w:t>raised</w:t>
      </w:r>
      <w:proofErr w:type="gramEnd"/>
      <w:r w:rsidRPr="004A1196">
        <w:rPr>
          <w:rFonts w:eastAsia="MS Mincho"/>
          <w:color w:val="0B2B43" w:themeColor="text2" w:themeShade="80"/>
        </w:rPr>
        <w:t xml:space="preserve"> included: </w:t>
      </w:r>
    </w:p>
    <w:p w:rsidR="002C6039" w:rsidRPr="004A1196" w:rsidRDefault="002C6039" w:rsidP="002C6039">
      <w:pPr>
        <w:pStyle w:val="ListParagraph"/>
        <w:numPr>
          <w:ilvl w:val="0"/>
          <w:numId w:val="18"/>
        </w:numPr>
        <w:rPr>
          <w:rFonts w:eastAsia="MS Mincho"/>
          <w:color w:val="0B2B43" w:themeColor="text2" w:themeShade="80"/>
        </w:rPr>
      </w:pPr>
      <w:r w:rsidRPr="004A1196">
        <w:rPr>
          <w:rFonts w:eastAsia="MS Mincho"/>
          <w:color w:val="0B2B43" w:themeColor="text2" w:themeShade="80"/>
        </w:rPr>
        <w:t>sometimes long and difficult IP contract negotiations and the resources required to engage them</w:t>
      </w:r>
    </w:p>
    <w:p w:rsidR="002C6039" w:rsidRPr="004A1196" w:rsidRDefault="002C6039" w:rsidP="002C6039">
      <w:pPr>
        <w:pStyle w:val="ListParagraph"/>
        <w:numPr>
          <w:ilvl w:val="0"/>
          <w:numId w:val="18"/>
        </w:numPr>
        <w:rPr>
          <w:rFonts w:eastAsia="MS Mincho"/>
          <w:color w:val="0B2B43" w:themeColor="text2" w:themeShade="80"/>
        </w:rPr>
      </w:pPr>
      <w:r w:rsidRPr="004A1196">
        <w:rPr>
          <w:rFonts w:eastAsia="MS Mincho"/>
          <w:color w:val="0B2B43" w:themeColor="text2" w:themeShade="80"/>
        </w:rPr>
        <w:t>an overvaluation in some universities of university-held IP, particularly early stage IP, in the belief it will generate significant revenue</w:t>
      </w:r>
    </w:p>
    <w:p w:rsidR="002C6039" w:rsidRPr="004A1196" w:rsidRDefault="002C6039" w:rsidP="002C6039">
      <w:pPr>
        <w:pStyle w:val="ListParagraph"/>
        <w:numPr>
          <w:ilvl w:val="0"/>
          <w:numId w:val="18"/>
        </w:numPr>
        <w:rPr>
          <w:rFonts w:eastAsia="MS Mincho"/>
          <w:color w:val="0B2B43" w:themeColor="text2" w:themeShade="80"/>
        </w:rPr>
      </w:pPr>
      <w:r w:rsidRPr="004A1196">
        <w:rPr>
          <w:rFonts w:eastAsia="MS Mincho"/>
          <w:color w:val="0B2B43" w:themeColor="text2" w:themeShade="80"/>
        </w:rPr>
        <w:t>the view that there is considerable unlicensed IP still held by universities which could be released and developed for commercial use</w:t>
      </w:r>
    </w:p>
    <w:p w:rsidR="002C6039" w:rsidRPr="004A1196" w:rsidRDefault="002C6039" w:rsidP="002C6039">
      <w:pPr>
        <w:pStyle w:val="ListParagraph"/>
        <w:numPr>
          <w:ilvl w:val="0"/>
          <w:numId w:val="18"/>
        </w:numPr>
        <w:rPr>
          <w:rFonts w:eastAsia="MS Mincho"/>
          <w:color w:val="0B2B43" w:themeColor="text2" w:themeShade="80"/>
        </w:rPr>
      </w:pPr>
      <w:r w:rsidRPr="004A1196">
        <w:rPr>
          <w:rFonts w:eastAsia="MS Mincho"/>
          <w:color w:val="0B2B43" w:themeColor="text2" w:themeShade="80"/>
        </w:rPr>
        <w:t xml:space="preserve">complexities arising from a lack of clarity on IP ownership and inventor rights for students in industry placements or researchers on secondment </w:t>
      </w:r>
    </w:p>
    <w:p w:rsidR="002C6039" w:rsidRPr="004A1196" w:rsidRDefault="002C6039" w:rsidP="002C6039">
      <w:pPr>
        <w:pStyle w:val="ListParagraph"/>
        <w:numPr>
          <w:ilvl w:val="0"/>
          <w:numId w:val="18"/>
        </w:numPr>
        <w:rPr>
          <w:rFonts w:eastAsia="MS Mincho"/>
          <w:color w:val="0B2B43" w:themeColor="text2" w:themeShade="80"/>
        </w:rPr>
      </w:pPr>
      <w:r w:rsidRPr="004A1196">
        <w:rPr>
          <w:rFonts w:eastAsia="MS Mincho"/>
          <w:color w:val="0B2B43" w:themeColor="text2" w:themeShade="80"/>
        </w:rPr>
        <w:t xml:space="preserve">sometimes poor management of translation and commercialisation activity in universities </w:t>
      </w:r>
    </w:p>
    <w:p w:rsidR="002C6039" w:rsidRPr="004A1196" w:rsidRDefault="002C6039" w:rsidP="002C6039">
      <w:pPr>
        <w:pStyle w:val="ListParagraph"/>
        <w:numPr>
          <w:ilvl w:val="0"/>
          <w:numId w:val="18"/>
        </w:numPr>
        <w:rPr>
          <w:rFonts w:eastAsia="MS Mincho"/>
          <w:color w:val="0B2B43" w:themeColor="text2" w:themeShade="80"/>
        </w:rPr>
      </w:pPr>
      <w:proofErr w:type="gramStart"/>
      <w:r w:rsidRPr="004A1196">
        <w:rPr>
          <w:rFonts w:eastAsia="MS Mincho"/>
          <w:color w:val="0B2B43" w:themeColor="text2" w:themeShade="80"/>
        </w:rPr>
        <w:t>the</w:t>
      </w:r>
      <w:proofErr w:type="gramEnd"/>
      <w:r w:rsidRPr="004A1196">
        <w:rPr>
          <w:rFonts w:eastAsia="MS Mincho"/>
          <w:color w:val="0B2B43" w:themeColor="text2" w:themeShade="80"/>
        </w:rPr>
        <w:t xml:space="preserve"> relatively few university staff having experience of working in commercially competitive environments</w:t>
      </w:r>
      <w:r w:rsidR="00763588">
        <w:rPr>
          <w:rFonts w:eastAsia="MS Mincho"/>
          <w:color w:val="0B2B43" w:themeColor="text2" w:themeShade="80"/>
        </w:rPr>
        <w:t>.</w:t>
      </w:r>
    </w:p>
    <w:p w:rsidR="002C6039" w:rsidRPr="004A1196" w:rsidRDefault="002C6039" w:rsidP="002C6039">
      <w:pPr>
        <w:rPr>
          <w:rFonts w:eastAsia="MS Mincho"/>
          <w:color w:val="0B2B43" w:themeColor="text2" w:themeShade="80"/>
        </w:rPr>
      </w:pPr>
      <w:r w:rsidRPr="004A1196">
        <w:rPr>
          <w:rFonts w:eastAsia="MS Mincho"/>
          <w:color w:val="0B2B43" w:themeColor="text2" w:themeShade="80"/>
        </w:rPr>
        <w:t xml:space="preserve">While the concerns raised </w:t>
      </w:r>
      <w:proofErr w:type="gramStart"/>
      <w:r w:rsidRPr="004A1196">
        <w:rPr>
          <w:rFonts w:eastAsia="MS Mincho"/>
          <w:color w:val="0B2B43" w:themeColor="text2" w:themeShade="80"/>
        </w:rPr>
        <w:t>were often based</w:t>
      </w:r>
      <w:proofErr w:type="gramEnd"/>
      <w:r w:rsidRPr="004A1196">
        <w:rPr>
          <w:rFonts w:eastAsia="MS Mincho"/>
          <w:color w:val="0B2B43" w:themeColor="text2" w:themeShade="80"/>
        </w:rPr>
        <w:t xml:space="preserve"> on anecdotal evidence, some of which was dated, they were keenly felt, and too widespread to be fully discounted. </w:t>
      </w:r>
    </w:p>
    <w:p w:rsidR="002C6039" w:rsidRPr="004A1196" w:rsidRDefault="002C6039" w:rsidP="002C6039">
      <w:pPr>
        <w:rPr>
          <w:rFonts w:eastAsia="MS Mincho"/>
          <w:color w:val="0B2B43" w:themeColor="text2" w:themeShade="80"/>
        </w:rPr>
      </w:pPr>
      <w:r w:rsidRPr="004A1196">
        <w:rPr>
          <w:rFonts w:eastAsia="MS Mincho"/>
          <w:color w:val="0B2B43" w:themeColor="text2" w:themeShade="80"/>
        </w:rPr>
        <w:t xml:space="preserve">The universities acknowledged some of the concerns in consultations, which they felt were </w:t>
      </w:r>
      <w:proofErr w:type="gramStart"/>
      <w:r w:rsidRPr="004A1196">
        <w:rPr>
          <w:rFonts w:eastAsia="MS Mincho"/>
          <w:color w:val="0B2B43" w:themeColor="text2" w:themeShade="80"/>
        </w:rPr>
        <w:t>overstated</w:t>
      </w:r>
      <w:proofErr w:type="gramEnd"/>
      <w:r w:rsidRPr="004A1196">
        <w:rPr>
          <w:rFonts w:eastAsia="MS Mincho"/>
          <w:color w:val="0B2B43" w:themeColor="text2" w:themeShade="80"/>
        </w:rPr>
        <w:t>, but also validly pointed to a variety of efforts made in recent years to address the problems. While these may have not yet borne full fruit, these efforts do have promise and they are having an impact.</w:t>
      </w:r>
    </w:p>
    <w:p w:rsidR="0014465E" w:rsidRDefault="002C6039" w:rsidP="002C6039">
      <w:pPr>
        <w:rPr>
          <w:color w:val="0B2B43" w:themeColor="text2" w:themeShade="80"/>
        </w:rPr>
      </w:pPr>
      <w:r w:rsidRPr="004A1196">
        <w:rPr>
          <w:rFonts w:eastAsia="MS Mincho"/>
          <w:color w:val="0B2B43" w:themeColor="text2" w:themeShade="80"/>
        </w:rPr>
        <w:t xml:space="preserve">The review considered </w:t>
      </w:r>
      <w:r w:rsidRPr="004A1196">
        <w:rPr>
          <w:color w:val="0B2B43" w:themeColor="text2" w:themeShade="80"/>
        </w:rPr>
        <w:t xml:space="preserve">further steps that </w:t>
      </w:r>
      <w:proofErr w:type="gramStart"/>
      <w:r w:rsidRPr="004A1196">
        <w:rPr>
          <w:color w:val="0B2B43" w:themeColor="text2" w:themeShade="80"/>
        </w:rPr>
        <w:t>can be taken</w:t>
      </w:r>
      <w:proofErr w:type="gramEnd"/>
      <w:r w:rsidRPr="004A1196">
        <w:rPr>
          <w:color w:val="0B2B43" w:themeColor="text2" w:themeShade="80"/>
        </w:rPr>
        <w:t xml:space="preserve"> to improve IP management, noting that many of these issues will need to be addressed at the institution level. It did not consider complexities of IP ownership during placements or </w:t>
      </w:r>
      <w:proofErr w:type="gramStart"/>
      <w:r w:rsidRPr="004A1196">
        <w:rPr>
          <w:color w:val="0B2B43" w:themeColor="text2" w:themeShade="80"/>
        </w:rPr>
        <w:t>secondments</w:t>
      </w:r>
      <w:proofErr w:type="gramEnd"/>
      <w:r w:rsidRPr="004A1196">
        <w:rPr>
          <w:color w:val="0B2B43" w:themeColor="text2" w:themeShade="80"/>
        </w:rPr>
        <w:t xml:space="preserve"> as this is a matter for the collaborating partners to resolve. </w:t>
      </w:r>
    </w:p>
    <w:p w:rsidR="0014465E" w:rsidRDefault="0014465E" w:rsidP="00C6639A">
      <w:r>
        <w:br w:type="page"/>
      </w:r>
    </w:p>
    <w:p w:rsidR="002C6039" w:rsidRPr="004A1196" w:rsidRDefault="002C6039" w:rsidP="002C6039">
      <w:pPr>
        <w:pStyle w:val="RIHeading2"/>
        <w:rPr>
          <w:rFonts w:eastAsia="MS Gothic"/>
          <w:color w:val="0B2B43" w:themeColor="text2" w:themeShade="80"/>
        </w:rPr>
      </w:pPr>
      <w:bookmarkStart w:id="306" w:name="_Toc436392757"/>
      <w:bookmarkStart w:id="307" w:name="_Toc436651861"/>
      <w:bookmarkStart w:id="308" w:name="_Toc436660167"/>
      <w:bookmarkEnd w:id="305"/>
      <w:r w:rsidRPr="004A1196">
        <w:rPr>
          <w:rFonts w:eastAsia="MS Gothic"/>
          <w:color w:val="0B2B43" w:themeColor="text2" w:themeShade="80"/>
        </w:rPr>
        <w:t>The framework for ma</w:t>
      </w:r>
      <w:r w:rsidR="008526FA">
        <w:rPr>
          <w:rFonts w:eastAsia="MS Gothic"/>
          <w:color w:val="0B2B43" w:themeColor="text2" w:themeShade="80"/>
        </w:rPr>
        <w:t xml:space="preserve">naging IP created from publicly </w:t>
      </w:r>
      <w:r w:rsidRPr="004A1196">
        <w:rPr>
          <w:rFonts w:eastAsia="MS Gothic"/>
          <w:color w:val="0B2B43" w:themeColor="text2" w:themeShade="80"/>
        </w:rPr>
        <w:t>funded research</w:t>
      </w:r>
      <w:bookmarkEnd w:id="306"/>
      <w:bookmarkEnd w:id="307"/>
      <w:bookmarkEnd w:id="308"/>
    </w:p>
    <w:p w:rsidR="002C6039" w:rsidRPr="004A1196" w:rsidRDefault="002C6039" w:rsidP="002C6039">
      <w:pPr>
        <w:rPr>
          <w:rFonts w:eastAsia="MS Mincho"/>
          <w:color w:val="0B2B43" w:themeColor="text2" w:themeShade="80"/>
        </w:rPr>
      </w:pPr>
      <w:r w:rsidRPr="004A1196">
        <w:rPr>
          <w:rFonts w:eastAsia="MS Mincho"/>
          <w:color w:val="0B2B43" w:themeColor="text2" w:themeShade="80"/>
        </w:rPr>
        <w:t>Since 2001, the Australian Research Council (ARC) and the National Health and Medical R</w:t>
      </w:r>
      <w:r w:rsidR="001E1737">
        <w:rPr>
          <w:rFonts w:eastAsia="MS Mincho"/>
          <w:color w:val="0B2B43" w:themeColor="text2" w:themeShade="80"/>
        </w:rPr>
        <w:t>esearch Council (NHMRC) have implemented</w:t>
      </w:r>
      <w:r w:rsidRPr="004A1196">
        <w:rPr>
          <w:rFonts w:eastAsia="MS Mincho"/>
          <w:color w:val="0B2B43" w:themeColor="text2" w:themeShade="80"/>
        </w:rPr>
        <w:t xml:space="preserve"> a national principles approach to IP management for the recipients of competitive research grant funds. Current funding agreements state that institutions that administer grant funding must have IP management and </w:t>
      </w:r>
      <w:proofErr w:type="gramStart"/>
      <w:r w:rsidRPr="004A1196">
        <w:rPr>
          <w:rFonts w:eastAsia="MS Mincho"/>
          <w:color w:val="0B2B43" w:themeColor="text2" w:themeShade="80"/>
        </w:rPr>
        <w:t>data sharing</w:t>
      </w:r>
      <w:proofErr w:type="gramEnd"/>
      <w:r w:rsidRPr="004A1196">
        <w:rPr>
          <w:rFonts w:eastAsia="MS Mincho"/>
          <w:color w:val="0B2B43" w:themeColor="text2" w:themeShade="80"/>
        </w:rPr>
        <w:t xml:space="preserve"> policies in place before a grant is given. This means a grant recipient must adhere to its institutional IP policy, including the aim of maximising the benefits arising from research — this may involve protection or rapid placement in the public domain. These funding agreements and policies state the funding councils make ‘no claim on the ownership of intellectual property brought into being as a result’ of the research activities for which funding is provided.</w:t>
      </w:r>
      <w:r w:rsidRPr="004A1196">
        <w:rPr>
          <w:rStyle w:val="FootnoteReference"/>
          <w:rFonts w:eastAsia="MS Mincho"/>
          <w:color w:val="0B2B43" w:themeColor="text2" w:themeShade="80"/>
        </w:rPr>
        <w:footnoteReference w:id="66"/>
      </w:r>
      <w:r w:rsidRPr="004A1196">
        <w:rPr>
          <w:rFonts w:eastAsia="MS Mincho"/>
          <w:color w:val="0B2B43" w:themeColor="text2" w:themeShade="80"/>
        </w:rPr>
        <w:t xml:space="preserve"> </w:t>
      </w:r>
    </w:p>
    <w:p w:rsidR="002C6039" w:rsidRPr="004A1196" w:rsidRDefault="002C6039" w:rsidP="002C6039">
      <w:pPr>
        <w:rPr>
          <w:rFonts w:eastAsia="MS Mincho"/>
          <w:color w:val="0B2B43" w:themeColor="text2" w:themeShade="80"/>
        </w:rPr>
      </w:pPr>
      <w:r w:rsidRPr="004A1196">
        <w:rPr>
          <w:rFonts w:eastAsia="MS Mincho"/>
          <w:color w:val="0B2B43" w:themeColor="text2" w:themeShade="80"/>
        </w:rPr>
        <w:t xml:space="preserve">This </w:t>
      </w:r>
      <w:proofErr w:type="gramStart"/>
      <w:r w:rsidRPr="004A1196">
        <w:rPr>
          <w:rFonts w:eastAsia="MS Mincho"/>
          <w:color w:val="0B2B43" w:themeColor="text2" w:themeShade="80"/>
        </w:rPr>
        <w:t>is complemented</w:t>
      </w:r>
      <w:proofErr w:type="gramEnd"/>
      <w:r w:rsidRPr="004A1196">
        <w:rPr>
          <w:rFonts w:eastAsia="MS Mincho"/>
          <w:color w:val="0B2B43" w:themeColor="text2" w:themeShade="80"/>
        </w:rPr>
        <w:t xml:space="preserve"> by good practice protocols for the management of IP created from publicly funded research</w:t>
      </w:r>
      <w:r w:rsidRPr="004A1196">
        <w:rPr>
          <w:rStyle w:val="FootnoteReference"/>
          <w:rFonts w:eastAsia="MS Mincho" w:cstheme="minorHAnsi"/>
          <w:color w:val="0B2B43" w:themeColor="text2" w:themeShade="80"/>
        </w:rPr>
        <w:footnoteReference w:id="67"/>
      </w:r>
      <w:r w:rsidRPr="004A1196">
        <w:rPr>
          <w:rFonts w:eastAsia="MS Mincho"/>
          <w:color w:val="0B2B43" w:themeColor="text2" w:themeShade="80"/>
        </w:rPr>
        <w:t xml:space="preserve"> — the Australian Code for the Responsible Conduct of Research</w:t>
      </w:r>
      <w:r w:rsidRPr="004A1196">
        <w:rPr>
          <w:rStyle w:val="FootnoteReference"/>
          <w:rFonts w:eastAsia="MS Mincho" w:cstheme="minorHAnsi"/>
          <w:color w:val="0B2B43" w:themeColor="text2" w:themeShade="80"/>
        </w:rPr>
        <w:footnoteReference w:id="68"/>
      </w:r>
      <w:r w:rsidRPr="004A1196">
        <w:rPr>
          <w:rFonts w:eastAsia="MS Mincho"/>
          <w:color w:val="0B2B43" w:themeColor="text2" w:themeShade="80"/>
        </w:rPr>
        <w:t xml:space="preserve"> (the Code) and the National Principles of Intellectual Property Management (the Principles) for publicly funded research.</w:t>
      </w:r>
      <w:r w:rsidRPr="004A1196">
        <w:rPr>
          <w:rStyle w:val="FootnoteReference"/>
          <w:rFonts w:eastAsia="MS Mincho" w:cstheme="minorHAnsi"/>
          <w:color w:val="0B2B43" w:themeColor="text2" w:themeShade="80"/>
        </w:rPr>
        <w:footnoteReference w:id="69"/>
      </w:r>
      <w:r w:rsidRPr="004A1196">
        <w:rPr>
          <w:rFonts w:eastAsia="MS Mincho"/>
          <w:color w:val="0B2B43" w:themeColor="text2" w:themeShade="80"/>
        </w:rPr>
        <w:t xml:space="preserve"> </w:t>
      </w:r>
    </w:p>
    <w:p w:rsidR="002C6039" w:rsidRPr="004A1196" w:rsidRDefault="002C6039" w:rsidP="002C6039">
      <w:pPr>
        <w:rPr>
          <w:rFonts w:eastAsia="MS Mincho"/>
          <w:color w:val="0B2B43" w:themeColor="text2" w:themeShade="80"/>
        </w:rPr>
      </w:pPr>
      <w:r w:rsidRPr="004A1196">
        <w:rPr>
          <w:rFonts w:eastAsia="MS Mincho"/>
          <w:color w:val="0B2B43" w:themeColor="text2" w:themeShade="80"/>
        </w:rPr>
        <w:t xml:space="preserve">The Code establishes the overall framework for responsible research practices in Australia. The Principles provide national guidance for the ownership, promotion, dissemination, exploitation and protection of IP generated through publicly funded research. The Principles state that universities must make the IP openly accessible through licensing and accessibility arrangements, particularly IP that would benefit innovation and the Australian economy, or protect the IP through licensing and accessibility arrangements that provide exclusive opportunities to undertake commercial exploitation. Neither the Code nor the Principles include mechanisms for reporting or monitoring compliance with these provisions. </w:t>
      </w:r>
    </w:p>
    <w:p w:rsidR="002C6039" w:rsidRPr="004A1196" w:rsidRDefault="002C6039" w:rsidP="002C6039">
      <w:pPr>
        <w:rPr>
          <w:rFonts w:eastAsia="MS Mincho"/>
          <w:color w:val="0B2B43" w:themeColor="text2" w:themeShade="80"/>
        </w:rPr>
      </w:pPr>
      <w:r w:rsidRPr="004A1196">
        <w:rPr>
          <w:rFonts w:eastAsia="MS Mincho"/>
          <w:color w:val="0B2B43" w:themeColor="text2" w:themeShade="80"/>
        </w:rPr>
        <w:t xml:space="preserve">In 2013, the ARC and the NHMRC introduced limited open access policies. Grant recipients </w:t>
      </w:r>
      <w:proofErr w:type="gramStart"/>
      <w:r w:rsidRPr="004A1196">
        <w:rPr>
          <w:rFonts w:eastAsia="MS Mincho"/>
          <w:color w:val="0B2B43" w:themeColor="text2" w:themeShade="80"/>
        </w:rPr>
        <w:t>are expected</w:t>
      </w:r>
      <w:proofErr w:type="gramEnd"/>
      <w:r w:rsidRPr="004A1196">
        <w:rPr>
          <w:rFonts w:eastAsia="MS Mincho"/>
          <w:color w:val="0B2B43" w:themeColor="text2" w:themeShade="80"/>
        </w:rPr>
        <w:t xml:space="preserve"> to deposit publications arising from competitive grant funded research projects into an open access institutional repository within twelve months from the date of publication. Responsibility for compliance and implementation rests with funding recipients who must justify in their final report why they have not complied with the open access policies. </w:t>
      </w:r>
    </w:p>
    <w:p w:rsidR="002C6039" w:rsidRPr="004A1196" w:rsidRDefault="002C6039" w:rsidP="002C6039">
      <w:pPr>
        <w:pStyle w:val="RIHeading2"/>
        <w:rPr>
          <w:rFonts w:eastAsia="MS Mincho"/>
          <w:color w:val="0B2B43" w:themeColor="text2" w:themeShade="80"/>
        </w:rPr>
      </w:pPr>
      <w:bookmarkStart w:id="309" w:name="_Toc436392758"/>
      <w:bookmarkStart w:id="310" w:name="_Toc436651862"/>
      <w:bookmarkStart w:id="311" w:name="_Toc436660168"/>
      <w:r w:rsidRPr="004A1196">
        <w:rPr>
          <w:rFonts w:eastAsia="MS Mincho"/>
          <w:color w:val="0B2B43" w:themeColor="text2" w:themeShade="80"/>
        </w:rPr>
        <w:t>University initiatives</w:t>
      </w:r>
      <w:bookmarkEnd w:id="309"/>
      <w:bookmarkEnd w:id="310"/>
      <w:bookmarkEnd w:id="311"/>
    </w:p>
    <w:p w:rsidR="002C6039" w:rsidRPr="004A1196" w:rsidRDefault="002C6039" w:rsidP="002C6039">
      <w:pPr>
        <w:rPr>
          <w:rFonts w:eastAsia="MS Mincho"/>
          <w:color w:val="0B2B43" w:themeColor="text2" w:themeShade="80"/>
        </w:rPr>
      </w:pPr>
      <w:r w:rsidRPr="004A1196">
        <w:rPr>
          <w:rFonts w:eastAsia="MS Mincho"/>
          <w:color w:val="0B2B43" w:themeColor="text2" w:themeShade="80"/>
        </w:rPr>
        <w:t>Consistent with this framework, universities have introduced their own policies for IP management. Seven Australian universities</w:t>
      </w:r>
      <w:r w:rsidRPr="004A1196">
        <w:rPr>
          <w:rStyle w:val="FootnoteReference"/>
          <w:rFonts w:eastAsia="MS Mincho" w:cstheme="minorHAnsi"/>
          <w:color w:val="0B2B43" w:themeColor="text2" w:themeShade="80"/>
        </w:rPr>
        <w:footnoteReference w:id="70"/>
      </w:r>
      <w:r w:rsidRPr="004A1196">
        <w:rPr>
          <w:rFonts w:eastAsia="MS Mincho"/>
          <w:color w:val="0B2B43" w:themeColor="text2" w:themeShade="80"/>
        </w:rPr>
        <w:t xml:space="preserve"> use the Easy Access IP model, with the University </w:t>
      </w:r>
      <w:proofErr w:type="gramStart"/>
      <w:r w:rsidRPr="004A1196">
        <w:rPr>
          <w:rFonts w:eastAsia="MS Mincho"/>
          <w:color w:val="0B2B43" w:themeColor="text2" w:themeShade="80"/>
        </w:rPr>
        <w:t>of</w:t>
      </w:r>
      <w:proofErr w:type="gramEnd"/>
      <w:r w:rsidRPr="004A1196">
        <w:rPr>
          <w:rFonts w:eastAsia="MS Mincho"/>
          <w:color w:val="0B2B43" w:themeColor="text2" w:themeShade="80"/>
        </w:rPr>
        <w:t xml:space="preserve"> New South Wales (UNSW) as the first Australian university to adopt the model in 2011. Easy Access IP is an international network of 26 universities and research </w:t>
      </w:r>
      <w:proofErr w:type="gramStart"/>
      <w:r w:rsidRPr="004A1196">
        <w:rPr>
          <w:rFonts w:eastAsia="MS Mincho"/>
          <w:color w:val="0B2B43" w:themeColor="text2" w:themeShade="80"/>
        </w:rPr>
        <w:t>institutes which</w:t>
      </w:r>
      <w:proofErr w:type="gramEnd"/>
      <w:r w:rsidRPr="004A1196">
        <w:rPr>
          <w:rFonts w:eastAsia="MS Mincho"/>
          <w:color w:val="0B2B43" w:themeColor="text2" w:themeShade="80"/>
        </w:rPr>
        <w:t xml:space="preserve"> aims to facilitate collaboration by offering a simplified one-page contract for IP.</w:t>
      </w:r>
      <w:r w:rsidRPr="004A1196">
        <w:rPr>
          <w:rStyle w:val="FootnoteReference"/>
          <w:rFonts w:eastAsia="MS Mincho" w:cstheme="minorHAnsi"/>
          <w:color w:val="0B2B43" w:themeColor="text2" w:themeShade="80"/>
        </w:rPr>
        <w:footnoteReference w:id="71"/>
      </w:r>
      <w:r w:rsidRPr="004A1196">
        <w:rPr>
          <w:rFonts w:eastAsia="MS Mincho"/>
          <w:color w:val="0B2B43" w:themeColor="text2" w:themeShade="80"/>
        </w:rPr>
        <w:t xml:space="preserve"> Universities in Easy Access IP network make early stage IP or higher risk IP available free of charge through the Easy Access IP Portfolio, using short and simple one-page agreements, which allow companies to evaluate it and put it to use quickly. Businesses must acknowledge the university’s contribution, provide reports on progress and agree to pay for all patent costs. Businesses have three years to exploit the IP or it </w:t>
      </w:r>
      <w:proofErr w:type="gramStart"/>
      <w:r w:rsidRPr="004A1196">
        <w:rPr>
          <w:rFonts w:eastAsia="MS Mincho"/>
          <w:color w:val="0B2B43" w:themeColor="text2" w:themeShade="80"/>
        </w:rPr>
        <w:t>reverts back</w:t>
      </w:r>
      <w:proofErr w:type="gramEnd"/>
      <w:r w:rsidRPr="004A1196">
        <w:rPr>
          <w:rFonts w:eastAsia="MS Mincho"/>
          <w:color w:val="0B2B43" w:themeColor="text2" w:themeShade="80"/>
        </w:rPr>
        <w:t xml:space="preserve"> to the university. Universities have no limitation on the use of their IP for teaching and research. Submissions from Australian </w:t>
      </w:r>
      <w:proofErr w:type="gramStart"/>
      <w:r w:rsidRPr="004A1196">
        <w:rPr>
          <w:rFonts w:eastAsia="MS Mincho"/>
          <w:color w:val="0B2B43" w:themeColor="text2" w:themeShade="80"/>
        </w:rPr>
        <w:t>universities which participate in Easy Access IP</w:t>
      </w:r>
      <w:proofErr w:type="gramEnd"/>
      <w:r w:rsidRPr="004A1196">
        <w:rPr>
          <w:rFonts w:eastAsia="MS Mincho"/>
          <w:color w:val="0B2B43" w:themeColor="text2" w:themeShade="80"/>
        </w:rPr>
        <w:t xml:space="preserve"> indicate that it is a useful tool to facilitate knowledge transfer with </w:t>
      </w:r>
      <w:r w:rsidR="003904BC">
        <w:rPr>
          <w:rFonts w:eastAsia="MS Mincho"/>
          <w:color w:val="0B2B43" w:themeColor="text2" w:themeShade="80"/>
        </w:rPr>
        <w:t>end user</w:t>
      </w:r>
      <w:r w:rsidRPr="004A1196">
        <w:rPr>
          <w:rFonts w:eastAsia="MS Mincho"/>
          <w:color w:val="0B2B43" w:themeColor="text2" w:themeShade="80"/>
        </w:rPr>
        <w:t>s of research.</w:t>
      </w:r>
    </w:p>
    <w:p w:rsidR="002C6039" w:rsidRPr="004A1196" w:rsidRDefault="002C6039" w:rsidP="002C6039">
      <w:pPr>
        <w:rPr>
          <w:rFonts w:eastAsia="MS Mincho"/>
          <w:color w:val="0B2B43" w:themeColor="text2" w:themeShade="80"/>
        </w:rPr>
      </w:pPr>
      <w:r w:rsidRPr="004A1196">
        <w:rPr>
          <w:rFonts w:eastAsia="MS Mincho"/>
          <w:color w:val="0B2B43" w:themeColor="text2" w:themeShade="80"/>
        </w:rPr>
        <w:t>A recent UK study conducted by the National Centre for Universities and Business concluded that, while still in its early stages, Easy Access IP has resulted in efficiencies in staff time and legal costs at the transaction stage but not in the partner identification stage.</w:t>
      </w:r>
      <w:r w:rsidR="008C111F" w:rsidRPr="008C111F">
        <w:rPr>
          <w:rStyle w:val="FootnoteReference"/>
          <w:rFonts w:eastAsia="MS Mincho" w:cstheme="minorHAnsi"/>
          <w:color w:val="0B2B43" w:themeColor="text2" w:themeShade="80"/>
        </w:rPr>
        <w:t xml:space="preserve"> </w:t>
      </w:r>
      <w:r w:rsidR="008C111F" w:rsidRPr="004A1196">
        <w:rPr>
          <w:rStyle w:val="FootnoteReference"/>
          <w:rFonts w:eastAsia="MS Mincho" w:cstheme="minorHAnsi"/>
          <w:color w:val="0B2B43" w:themeColor="text2" w:themeShade="80"/>
        </w:rPr>
        <w:footnoteReference w:id="72"/>
      </w:r>
      <w:r w:rsidRPr="004A1196">
        <w:rPr>
          <w:rFonts w:eastAsia="MS Mincho"/>
          <w:color w:val="0B2B43" w:themeColor="text2" w:themeShade="80"/>
        </w:rPr>
        <w:t xml:space="preserve"> The </w:t>
      </w:r>
      <w:r w:rsidR="0014465E">
        <w:rPr>
          <w:rFonts w:eastAsia="MS Mincho"/>
          <w:color w:val="0B2B43" w:themeColor="text2" w:themeShade="80"/>
        </w:rPr>
        <w:t>study</w:t>
      </w:r>
      <w:r w:rsidR="0014465E" w:rsidRPr="004A1196">
        <w:rPr>
          <w:rFonts w:eastAsia="MS Mincho"/>
          <w:color w:val="0B2B43" w:themeColor="text2" w:themeShade="80"/>
        </w:rPr>
        <w:t xml:space="preserve"> </w:t>
      </w:r>
      <w:r w:rsidRPr="004A1196">
        <w:rPr>
          <w:rFonts w:eastAsia="MS Mincho"/>
          <w:color w:val="0B2B43" w:themeColor="text2" w:themeShade="80"/>
        </w:rPr>
        <w:t xml:space="preserve">also concluded that while simplified contracts provide a base from which to negotiate collaborative arrangements, the contracts </w:t>
      </w:r>
      <w:proofErr w:type="gramStart"/>
      <w:r w:rsidRPr="004A1196">
        <w:rPr>
          <w:rFonts w:eastAsia="MS Mincho"/>
          <w:color w:val="0B2B43" w:themeColor="text2" w:themeShade="80"/>
        </w:rPr>
        <w:t>are not used</w:t>
      </w:r>
      <w:proofErr w:type="gramEnd"/>
      <w:r w:rsidRPr="004A1196">
        <w:rPr>
          <w:rFonts w:eastAsia="MS Mincho"/>
          <w:color w:val="0B2B43" w:themeColor="text2" w:themeShade="80"/>
        </w:rPr>
        <w:t xml:space="preserve"> extensively. In the reporting period from 2012 to early 2015, the </w:t>
      </w:r>
      <w:r w:rsidR="0014465E">
        <w:rPr>
          <w:rFonts w:eastAsia="MS Mincho"/>
          <w:color w:val="0B2B43" w:themeColor="text2" w:themeShade="80"/>
        </w:rPr>
        <w:t>study</w:t>
      </w:r>
      <w:r w:rsidR="0014465E" w:rsidRPr="004A1196">
        <w:rPr>
          <w:rFonts w:eastAsia="MS Mincho"/>
          <w:color w:val="0B2B43" w:themeColor="text2" w:themeShade="80"/>
        </w:rPr>
        <w:t xml:space="preserve"> </w:t>
      </w:r>
      <w:r w:rsidRPr="004A1196">
        <w:rPr>
          <w:rFonts w:eastAsia="MS Mincho"/>
          <w:color w:val="0B2B43" w:themeColor="text2" w:themeShade="80"/>
        </w:rPr>
        <w:t xml:space="preserve">found that there were 68 Easy Access IP licence deals by 18 organisations, compared to 677 traditional licence deals reported by 14 organisations. Two universities — UNSW and the University of Glasgow — accounted for 66 per cent of the reported Easy Access IP arrangements. </w:t>
      </w:r>
    </w:p>
    <w:p w:rsidR="002C6039" w:rsidRPr="004A1196" w:rsidRDefault="002C6039" w:rsidP="002C6039">
      <w:pPr>
        <w:rPr>
          <w:rFonts w:eastAsia="MS Mincho"/>
          <w:color w:val="0B2B43" w:themeColor="text2" w:themeShade="80"/>
        </w:rPr>
      </w:pPr>
      <w:r w:rsidRPr="004A1196">
        <w:rPr>
          <w:rFonts w:eastAsia="MS Mincho"/>
          <w:color w:val="0B2B43" w:themeColor="text2" w:themeShade="80"/>
        </w:rPr>
        <w:t xml:space="preserve">In a finding that is particularly relevant to Australia, the study found that the vast majority of reported deals under Easy Access IP were with </w:t>
      </w:r>
      <w:proofErr w:type="spellStart"/>
      <w:r w:rsidR="003904BC">
        <w:rPr>
          <w:rFonts w:eastAsia="MS Mincho"/>
          <w:color w:val="0B2B43" w:themeColor="text2" w:themeShade="80"/>
        </w:rPr>
        <w:t>SME</w:t>
      </w:r>
      <w:proofErr w:type="spellEnd"/>
      <w:r w:rsidRPr="004A1196">
        <w:rPr>
          <w:rFonts w:eastAsia="MS Mincho"/>
          <w:color w:val="0B2B43" w:themeColor="text2" w:themeShade="80"/>
        </w:rPr>
        <w:t>. This evidence gives some expectation that Easy Access IP arrangements can provide an important avenue to expand access to IP in universities as partners gain experience with these tools.</w:t>
      </w:r>
    </w:p>
    <w:bookmarkEnd w:id="287"/>
    <w:bookmarkEnd w:id="288"/>
    <w:p w:rsidR="002C6039" w:rsidRPr="004A1196" w:rsidRDefault="002C6039" w:rsidP="002C6039">
      <w:pPr>
        <w:rPr>
          <w:rFonts w:eastAsia="MS Mincho"/>
          <w:color w:val="0B2B43" w:themeColor="text2" w:themeShade="80"/>
        </w:rPr>
      </w:pPr>
      <w:r w:rsidRPr="004A1196">
        <w:rPr>
          <w:rFonts w:eastAsia="MS Mincho"/>
          <w:color w:val="0B2B43" w:themeColor="text2" w:themeShade="80"/>
        </w:rPr>
        <w:t xml:space="preserve">There was no clear consensus in consultations regarding the best way to improve the sharing of IP generated by universities. Several university submissions to the review supported the adoption of a consistent IP model across universities, including open access IP policies where appropriate. However, other university submissions stressed that government should not mandate a uniform system of IP management across the research sector. Similarly, two industry submissions to the review supported a standardised approach to IP management in industry-university research collaborations, while one went further and proposed making grants conditional on the dissemination of IP. </w:t>
      </w:r>
    </w:p>
    <w:p w:rsidR="002C6039" w:rsidRPr="004A1196" w:rsidRDefault="002C6039" w:rsidP="002C6039">
      <w:pPr>
        <w:rPr>
          <w:rFonts w:eastAsia="MS Mincho"/>
          <w:color w:val="0B2B43" w:themeColor="text2" w:themeShade="80"/>
        </w:rPr>
      </w:pPr>
      <w:r w:rsidRPr="004A1196">
        <w:rPr>
          <w:rFonts w:eastAsia="MS Mincho"/>
          <w:color w:val="0B2B43" w:themeColor="text2" w:themeShade="80"/>
        </w:rPr>
        <w:t xml:space="preserve">Most recently, on 25 November 2015, the Group of Eight universities announced their intention to </w:t>
      </w:r>
    </w:p>
    <w:p w:rsidR="002C6039" w:rsidRPr="004A1196" w:rsidRDefault="002C6039" w:rsidP="002C6039">
      <w:pPr>
        <w:ind w:left="720"/>
        <w:rPr>
          <w:rFonts w:eastAsia="MS Mincho"/>
          <w:color w:val="0B2B43" w:themeColor="text2" w:themeShade="80"/>
        </w:rPr>
      </w:pPr>
      <w:proofErr w:type="gramStart"/>
      <w:r w:rsidRPr="004A1196">
        <w:rPr>
          <w:rFonts w:eastAsia="MS Mincho"/>
          <w:color w:val="0B2B43" w:themeColor="text2" w:themeShade="80"/>
          <w:sz w:val="22"/>
        </w:rPr>
        <w:t>draft</w:t>
      </w:r>
      <w:proofErr w:type="gramEnd"/>
      <w:r w:rsidRPr="004A1196">
        <w:rPr>
          <w:rFonts w:eastAsia="MS Mincho"/>
          <w:color w:val="0B2B43" w:themeColor="text2" w:themeShade="80"/>
          <w:sz w:val="22"/>
        </w:rPr>
        <w:t xml:space="preserve"> general principles of an approach to IP that treats university IP as a national asset over which the sector is the custodian and which promotes open innovation partnerships to get this IP used.</w:t>
      </w:r>
      <w:r w:rsidRPr="004A1196">
        <w:rPr>
          <w:rStyle w:val="FootnoteReference"/>
          <w:rFonts w:eastAsia="MS Mincho" w:cstheme="minorHAnsi"/>
          <w:color w:val="0B2B43" w:themeColor="text2" w:themeShade="80"/>
          <w:sz w:val="22"/>
        </w:rPr>
        <w:footnoteReference w:id="73"/>
      </w:r>
    </w:p>
    <w:p w:rsidR="002C6039" w:rsidRPr="004A1196" w:rsidRDefault="002C6039" w:rsidP="002C6039">
      <w:pPr>
        <w:rPr>
          <w:rFonts w:eastAsia="MS Mincho"/>
          <w:color w:val="0B2B43" w:themeColor="text2" w:themeShade="80"/>
        </w:rPr>
      </w:pPr>
      <w:r w:rsidRPr="004A1196">
        <w:rPr>
          <w:rFonts w:eastAsia="MS Mincho"/>
          <w:color w:val="0B2B43" w:themeColor="text2" w:themeShade="80"/>
        </w:rPr>
        <w:t>Such an approach is a very useful step towards easier access to IP and a common model across the university sector.</w:t>
      </w:r>
    </w:p>
    <w:p w:rsidR="002C6039" w:rsidRPr="004A1196" w:rsidRDefault="002C6039" w:rsidP="002C6039">
      <w:pPr>
        <w:rPr>
          <w:rFonts w:eastAsia="MS Mincho"/>
          <w:color w:val="0B2B43" w:themeColor="text2" w:themeShade="80"/>
        </w:rPr>
      </w:pPr>
      <w:r w:rsidRPr="004A1196">
        <w:rPr>
          <w:rFonts w:eastAsia="MS Mincho"/>
          <w:color w:val="0B2B43" w:themeColor="text2" w:themeShade="80"/>
        </w:rPr>
        <w:t xml:space="preserve">The review acknowledges the significant efforts of universities to make IP more easily accessible but considers that more could be done to improve levels of collaboration between firms, particularly </w:t>
      </w:r>
      <w:proofErr w:type="spellStart"/>
      <w:r w:rsidR="003904BC">
        <w:rPr>
          <w:rFonts w:eastAsia="MS Mincho"/>
          <w:color w:val="0B2B43" w:themeColor="text2" w:themeShade="80"/>
        </w:rPr>
        <w:t>SME</w:t>
      </w:r>
      <w:proofErr w:type="spellEnd"/>
      <w:r w:rsidRPr="004A1196">
        <w:rPr>
          <w:rFonts w:eastAsia="MS Mincho"/>
          <w:color w:val="0B2B43" w:themeColor="text2" w:themeShade="80"/>
        </w:rPr>
        <w:t xml:space="preserve">, and university researchers. </w:t>
      </w:r>
    </w:p>
    <w:p w:rsidR="002C6039" w:rsidRPr="004A1196" w:rsidRDefault="002C6039" w:rsidP="002C6039">
      <w:pPr>
        <w:pStyle w:val="RIHeading2"/>
        <w:rPr>
          <w:rFonts w:eastAsia="MS Mincho"/>
          <w:color w:val="0B2B43" w:themeColor="text2" w:themeShade="80"/>
        </w:rPr>
      </w:pPr>
      <w:bookmarkStart w:id="312" w:name="_Toc436392759"/>
      <w:bookmarkStart w:id="313" w:name="_Toc436651863"/>
      <w:bookmarkStart w:id="314" w:name="_Toc436660169"/>
      <w:r w:rsidRPr="004A1196">
        <w:rPr>
          <w:rFonts w:eastAsia="MS Mincho"/>
          <w:color w:val="0B2B43" w:themeColor="text2" w:themeShade="80"/>
        </w:rPr>
        <w:t>Use it or lose it IP?</w:t>
      </w:r>
      <w:bookmarkEnd w:id="312"/>
      <w:bookmarkEnd w:id="313"/>
      <w:bookmarkEnd w:id="314"/>
    </w:p>
    <w:p w:rsidR="002C6039" w:rsidRPr="004A1196" w:rsidRDefault="002C6039" w:rsidP="002C6039">
      <w:pPr>
        <w:rPr>
          <w:rFonts w:eastAsia="MS Mincho"/>
          <w:color w:val="0B2B43" w:themeColor="text2" w:themeShade="80"/>
        </w:rPr>
      </w:pPr>
      <w:r w:rsidRPr="004A1196">
        <w:rPr>
          <w:rFonts w:eastAsia="MS Mincho"/>
          <w:color w:val="0B2B43" w:themeColor="text2" w:themeShade="80"/>
        </w:rPr>
        <w:t xml:space="preserve">The review has given consideration to the potential for a ‘use it or lose it’ regime for IP arising from public funding. </w:t>
      </w:r>
      <w:r w:rsidR="00F93033">
        <w:rPr>
          <w:rFonts w:eastAsia="MS Mincho"/>
          <w:color w:val="0B2B43" w:themeColor="text2" w:themeShade="80"/>
        </w:rPr>
        <w:t>‘Use it or lose it’</w:t>
      </w:r>
      <w:r w:rsidRPr="004A1196">
        <w:rPr>
          <w:rFonts w:eastAsia="MS Mincho"/>
          <w:color w:val="0B2B43" w:themeColor="text2" w:themeShade="80"/>
        </w:rPr>
        <w:t xml:space="preserve"> would not require universities to relinquish control but would require universities to make the IP arising from publicly funded projects openly accessible to potential </w:t>
      </w:r>
      <w:r w:rsidR="003904BC">
        <w:rPr>
          <w:rFonts w:eastAsia="MS Mincho"/>
          <w:color w:val="0B2B43" w:themeColor="text2" w:themeShade="80"/>
        </w:rPr>
        <w:t>end user</w:t>
      </w:r>
      <w:r w:rsidRPr="004A1196">
        <w:rPr>
          <w:rFonts w:eastAsia="MS Mincho"/>
          <w:color w:val="0B2B43" w:themeColor="text2" w:themeShade="80"/>
        </w:rPr>
        <w:t xml:space="preserve">s (e.g., through Easy Access IP arrangements) within a specific timeframe of the project’s completion, unless the university has taken steps to commercialise the IP. It would provide a significant push in access to IP but would mean ownership of IP would still rest with universities although with the addition of time specific conditions on its management. However, while attractive as a global policy setting, the review concluded that universities are moving in that direction anyway and that such a policy would be difficult to implement. </w:t>
      </w:r>
    </w:p>
    <w:p w:rsidR="002C6039" w:rsidRPr="004A1196" w:rsidRDefault="002C6039" w:rsidP="002C6039">
      <w:pPr>
        <w:rPr>
          <w:rFonts w:eastAsia="MS Mincho"/>
          <w:color w:val="0B2B43" w:themeColor="text2" w:themeShade="80"/>
        </w:rPr>
      </w:pPr>
      <w:proofErr w:type="gramStart"/>
      <w:r w:rsidRPr="004A1196">
        <w:rPr>
          <w:rFonts w:eastAsia="MS Mincho"/>
          <w:color w:val="0B2B43" w:themeColor="text2" w:themeShade="80"/>
        </w:rPr>
        <w:t xml:space="preserve">To enforce a </w:t>
      </w:r>
      <w:r w:rsidR="00F93033">
        <w:rPr>
          <w:rFonts w:eastAsia="MS Mincho"/>
          <w:color w:val="0B2B43" w:themeColor="text2" w:themeShade="80"/>
        </w:rPr>
        <w:t>‘use it or lose it’</w:t>
      </w:r>
      <w:r w:rsidRPr="004A1196">
        <w:rPr>
          <w:rFonts w:eastAsia="MS Mincho"/>
          <w:color w:val="0B2B43" w:themeColor="text2" w:themeShade="80"/>
        </w:rPr>
        <w:t xml:space="preserve"> policy would require a significant investment in a reporting and compliance regime by both universities and public research funders — the identification of the absence of action in a distributed network is likely to be expensive and ultimately less effective than the provision of incentives for local decision making to prioritise the exploitation of research outputs.</w:t>
      </w:r>
      <w:proofErr w:type="gramEnd"/>
    </w:p>
    <w:p w:rsidR="002C6039" w:rsidRPr="004A1196" w:rsidRDefault="002C6039" w:rsidP="002C6039">
      <w:pPr>
        <w:rPr>
          <w:rFonts w:eastAsia="MS Mincho"/>
          <w:color w:val="0B2B43" w:themeColor="text2" w:themeShade="80"/>
        </w:rPr>
      </w:pPr>
      <w:r w:rsidRPr="004A1196">
        <w:rPr>
          <w:rFonts w:eastAsia="MS Mincho"/>
          <w:color w:val="0B2B43" w:themeColor="text2" w:themeShade="80"/>
        </w:rPr>
        <w:t xml:space="preserve">On the evidence available, the review could not determine whether a significant number of research outcomes </w:t>
      </w:r>
      <w:proofErr w:type="gramStart"/>
      <w:r w:rsidRPr="004A1196">
        <w:rPr>
          <w:rFonts w:eastAsia="MS Mincho"/>
          <w:color w:val="0B2B43" w:themeColor="text2" w:themeShade="80"/>
        </w:rPr>
        <w:t>were being held</w:t>
      </w:r>
      <w:proofErr w:type="gramEnd"/>
      <w:r w:rsidRPr="004A1196">
        <w:rPr>
          <w:rFonts w:eastAsia="MS Mincho"/>
          <w:color w:val="0B2B43" w:themeColor="text2" w:themeShade="80"/>
        </w:rPr>
        <w:t xml:space="preserve"> at the university level or whether opportunities for exploitation or translation of the research were being regularly ignored. There are incentives for academics and students to share research outcomes, including any potential for IP, through a variety of mechanisms including publications, conferences and commercial partnerships. Further, the cost associated with identifying and registering IP suggests that universities have an incentive to exploit an IP that </w:t>
      </w:r>
      <w:proofErr w:type="gramStart"/>
      <w:r w:rsidRPr="004A1196">
        <w:rPr>
          <w:rFonts w:eastAsia="MS Mincho"/>
          <w:color w:val="0B2B43" w:themeColor="text2" w:themeShade="80"/>
        </w:rPr>
        <w:t>has been formally recognised</w:t>
      </w:r>
      <w:proofErr w:type="gramEnd"/>
      <w:r w:rsidRPr="004A1196">
        <w:rPr>
          <w:rFonts w:eastAsia="MS Mincho"/>
          <w:color w:val="0B2B43" w:themeColor="text2" w:themeShade="80"/>
        </w:rPr>
        <w:t xml:space="preserve"> through the IP registration system. Yet other views persist that neither incentive is sufficient.</w:t>
      </w:r>
    </w:p>
    <w:p w:rsidR="002C6039" w:rsidRPr="004A1196" w:rsidRDefault="002C6039" w:rsidP="002C6039">
      <w:pPr>
        <w:rPr>
          <w:rFonts w:eastAsia="MS Mincho"/>
          <w:color w:val="0B2B43" w:themeColor="text2" w:themeShade="80"/>
        </w:rPr>
      </w:pPr>
      <w:r w:rsidRPr="004A1196">
        <w:rPr>
          <w:rFonts w:eastAsia="MS Mincho"/>
          <w:color w:val="0B2B43" w:themeColor="text2" w:themeShade="80"/>
        </w:rPr>
        <w:t xml:space="preserve">On 18 August 2015, the Australian Government commissioned the Productivity Commission (PC) to undertake an inquiry into Australia’s IP arrangements, including their effect on investment, competition, trade, </w:t>
      </w:r>
      <w:proofErr w:type="gramStart"/>
      <w:r w:rsidRPr="004A1196">
        <w:rPr>
          <w:rFonts w:eastAsia="MS Mincho"/>
          <w:color w:val="0B2B43" w:themeColor="text2" w:themeShade="80"/>
        </w:rPr>
        <w:t>innovation</w:t>
      </w:r>
      <w:proofErr w:type="gramEnd"/>
      <w:r w:rsidRPr="004A1196">
        <w:rPr>
          <w:rFonts w:eastAsia="MS Mincho"/>
          <w:color w:val="0B2B43" w:themeColor="text2" w:themeShade="80"/>
        </w:rPr>
        <w:t xml:space="preserve"> and consumer welfare.</w:t>
      </w:r>
      <w:r w:rsidRPr="004A1196">
        <w:rPr>
          <w:rStyle w:val="FootnoteReference"/>
          <w:rFonts w:eastAsia="MS Mincho" w:cstheme="minorHAnsi"/>
          <w:color w:val="0B2B43" w:themeColor="text2" w:themeShade="80"/>
        </w:rPr>
        <w:footnoteReference w:id="74"/>
      </w:r>
      <w:r w:rsidRPr="004A1196">
        <w:rPr>
          <w:rFonts w:eastAsia="MS Mincho"/>
          <w:color w:val="0B2B43" w:themeColor="text2" w:themeShade="80"/>
        </w:rPr>
        <w:t xml:space="preserve"> The report and recommendations </w:t>
      </w:r>
      <w:proofErr w:type="gramStart"/>
      <w:r w:rsidRPr="004A1196">
        <w:rPr>
          <w:rFonts w:eastAsia="MS Mincho"/>
          <w:color w:val="0B2B43" w:themeColor="text2" w:themeShade="80"/>
        </w:rPr>
        <w:t>will be tabled</w:t>
      </w:r>
      <w:proofErr w:type="gramEnd"/>
      <w:r w:rsidRPr="004A1196">
        <w:rPr>
          <w:rFonts w:eastAsia="MS Mincho"/>
          <w:color w:val="0B2B43" w:themeColor="text2" w:themeShade="80"/>
        </w:rPr>
        <w:t xml:space="preserve"> in mid-2016. </w:t>
      </w:r>
    </w:p>
    <w:p w:rsidR="002C6039" w:rsidRPr="004A1196" w:rsidRDefault="002C6039" w:rsidP="002C6039">
      <w:pPr>
        <w:rPr>
          <w:rFonts w:eastAsia="MS Mincho"/>
          <w:color w:val="0B2B43" w:themeColor="text2" w:themeShade="80"/>
        </w:rPr>
      </w:pPr>
      <w:r w:rsidRPr="004A1196">
        <w:rPr>
          <w:rFonts w:eastAsia="MS Mincho"/>
          <w:color w:val="0B2B43" w:themeColor="text2" w:themeShade="80"/>
        </w:rPr>
        <w:t xml:space="preserve">The review considers that the comprehensive nature of the inquiry provides the better context for further consideration of a </w:t>
      </w:r>
      <w:r w:rsidR="00F93033">
        <w:rPr>
          <w:rFonts w:eastAsia="MS Mincho"/>
          <w:color w:val="0B2B43" w:themeColor="text2" w:themeShade="80"/>
        </w:rPr>
        <w:t>‘use it or lose it’</w:t>
      </w:r>
      <w:r w:rsidRPr="004A1196">
        <w:rPr>
          <w:rFonts w:eastAsia="MS Mincho"/>
          <w:color w:val="0B2B43" w:themeColor="text2" w:themeShade="80"/>
        </w:rPr>
        <w:t xml:space="preserve"> regime for publicly funded research activity. </w:t>
      </w:r>
      <w:r w:rsidRPr="004A1196">
        <w:rPr>
          <w:color w:val="0B2B43" w:themeColor="text2" w:themeShade="80"/>
        </w:rPr>
        <w:t xml:space="preserve">The PC should be asked to include in its inquiry </w:t>
      </w:r>
      <w:r w:rsidRPr="004A1196">
        <w:rPr>
          <w:rFonts w:eastAsia="MS Mincho"/>
          <w:color w:val="0B2B43" w:themeColor="text2" w:themeShade="80"/>
        </w:rPr>
        <w:t>consideration of the feasibility of a ‘use it or lose it’ arrangement, including whatever wider policy changes would be necessary to support this approach and, if recommended, set out appropriate implementation approaches to guard against unintended consequences.</w:t>
      </w:r>
    </w:p>
    <w:p w:rsidR="002C6039" w:rsidRPr="004A1196" w:rsidRDefault="002C6039" w:rsidP="002C6039">
      <w:pPr>
        <w:pStyle w:val="RIHeading2"/>
        <w:rPr>
          <w:rFonts w:eastAsia="MS Mincho"/>
          <w:color w:val="0B2B43" w:themeColor="text2" w:themeShade="80"/>
        </w:rPr>
      </w:pPr>
      <w:bookmarkStart w:id="315" w:name="_Toc436392760"/>
      <w:bookmarkStart w:id="316" w:name="_Toc436651864"/>
      <w:bookmarkStart w:id="317" w:name="_Toc436660170"/>
      <w:r w:rsidRPr="004A1196">
        <w:rPr>
          <w:rFonts w:eastAsia="MS Mincho"/>
          <w:color w:val="0B2B43" w:themeColor="text2" w:themeShade="80"/>
        </w:rPr>
        <w:t>Encouraging use</w:t>
      </w:r>
      <w:bookmarkEnd w:id="315"/>
      <w:bookmarkEnd w:id="316"/>
      <w:bookmarkEnd w:id="317"/>
      <w:r w:rsidRPr="004A1196">
        <w:rPr>
          <w:rFonts w:eastAsia="MS Mincho"/>
          <w:color w:val="0B2B43" w:themeColor="text2" w:themeShade="80"/>
        </w:rPr>
        <w:t xml:space="preserve"> </w:t>
      </w:r>
    </w:p>
    <w:p w:rsidR="002C6039" w:rsidRPr="004A1196" w:rsidRDefault="002C6039" w:rsidP="002C6039">
      <w:pPr>
        <w:rPr>
          <w:color w:val="0B2B43" w:themeColor="text2" w:themeShade="80"/>
        </w:rPr>
      </w:pPr>
      <w:r w:rsidRPr="004A1196">
        <w:rPr>
          <w:color w:val="0B2B43" w:themeColor="text2" w:themeShade="80"/>
        </w:rPr>
        <w:t xml:space="preserve">There are several possible options to increase the incentives for universities to ensure that they are fully harnessing outputs from publicly funded research and they are open to the potential for collaboration with business on the exploitation of IP, especially with </w:t>
      </w:r>
      <w:proofErr w:type="spellStart"/>
      <w:r w:rsidRPr="004A1196">
        <w:rPr>
          <w:color w:val="0B2B43" w:themeColor="text2" w:themeShade="80"/>
        </w:rPr>
        <w:t>SME</w:t>
      </w:r>
      <w:proofErr w:type="spellEnd"/>
      <w:r w:rsidRPr="004A1196">
        <w:rPr>
          <w:color w:val="0B2B43" w:themeColor="text2" w:themeShade="80"/>
        </w:rPr>
        <w:t>.</w:t>
      </w:r>
    </w:p>
    <w:p w:rsidR="002C6039" w:rsidRPr="004A1196" w:rsidRDefault="002C6039" w:rsidP="002C6039">
      <w:pPr>
        <w:pStyle w:val="RIHeading3"/>
        <w:rPr>
          <w:color w:val="0B2B43" w:themeColor="text2" w:themeShade="80"/>
        </w:rPr>
      </w:pPr>
      <w:bookmarkStart w:id="318" w:name="_Toc436392761"/>
      <w:bookmarkStart w:id="319" w:name="_Toc436651865"/>
      <w:bookmarkStart w:id="320" w:name="_Toc436660171"/>
      <w:r w:rsidRPr="004A1196">
        <w:rPr>
          <w:rFonts w:eastAsia="MS Mincho"/>
          <w:color w:val="0B2B43" w:themeColor="text2" w:themeShade="80"/>
        </w:rPr>
        <w:t>Source IP</w:t>
      </w:r>
      <w:bookmarkEnd w:id="318"/>
      <w:bookmarkEnd w:id="319"/>
      <w:bookmarkEnd w:id="320"/>
      <w:r w:rsidRPr="004A1196">
        <w:rPr>
          <w:rFonts w:eastAsia="MS Mincho"/>
          <w:color w:val="0B2B43" w:themeColor="text2" w:themeShade="80"/>
        </w:rPr>
        <w:t xml:space="preserve"> </w:t>
      </w:r>
    </w:p>
    <w:p w:rsidR="002C6039" w:rsidRPr="004A1196" w:rsidRDefault="002C6039" w:rsidP="002C6039">
      <w:pPr>
        <w:rPr>
          <w:rFonts w:eastAsia="MS Mincho"/>
          <w:color w:val="0B2B43" w:themeColor="text2" w:themeShade="80"/>
        </w:rPr>
      </w:pPr>
      <w:r w:rsidRPr="004A1196">
        <w:rPr>
          <w:rFonts w:eastAsia="MS Mincho"/>
          <w:color w:val="0B2B43" w:themeColor="text2" w:themeShade="80"/>
        </w:rPr>
        <w:t xml:space="preserve">IP Australia launched Source IP on 23 November 2015 as a central website for Australian universities, </w:t>
      </w:r>
      <w:proofErr w:type="spellStart"/>
      <w:r w:rsidRPr="004A1196">
        <w:rPr>
          <w:rFonts w:eastAsia="MS Mincho"/>
          <w:color w:val="0B2B43" w:themeColor="text2" w:themeShade="80"/>
        </w:rPr>
        <w:t>PFRO</w:t>
      </w:r>
      <w:proofErr w:type="spellEnd"/>
      <w:r w:rsidRPr="004A1196">
        <w:rPr>
          <w:rFonts w:eastAsia="MS Mincho"/>
          <w:color w:val="0B2B43" w:themeColor="text2" w:themeShade="80"/>
        </w:rPr>
        <w:t xml:space="preserve"> and research institutes to list their patent holdings and signal their licensing intent for Australian businesses to exploit.</w:t>
      </w:r>
      <w:r w:rsidR="00054DCC" w:rsidRPr="00054DCC">
        <w:rPr>
          <w:rStyle w:val="FootnoteReference"/>
          <w:rFonts w:eastAsia="MS Mincho"/>
          <w:color w:val="0B2B43" w:themeColor="text2" w:themeShade="80"/>
        </w:rPr>
        <w:t xml:space="preserve"> </w:t>
      </w:r>
      <w:r w:rsidR="00054DCC" w:rsidRPr="004A1196">
        <w:rPr>
          <w:rStyle w:val="FootnoteReference"/>
          <w:rFonts w:eastAsia="MS Mincho"/>
          <w:color w:val="0B2B43" w:themeColor="text2" w:themeShade="80"/>
        </w:rPr>
        <w:footnoteReference w:id="75"/>
      </w:r>
      <w:r w:rsidRPr="004A1196">
        <w:rPr>
          <w:rFonts w:eastAsia="MS Mincho"/>
          <w:color w:val="0B2B43" w:themeColor="text2" w:themeShade="80"/>
        </w:rPr>
        <w:t xml:space="preserve"> </w:t>
      </w:r>
      <w:r w:rsidRPr="004A1196">
        <w:rPr>
          <w:color w:val="0B2B43" w:themeColor="text2" w:themeShade="80"/>
        </w:rPr>
        <w:t xml:space="preserve">Australian universities, </w:t>
      </w:r>
      <w:proofErr w:type="spellStart"/>
      <w:r w:rsidRPr="004A1196">
        <w:rPr>
          <w:color w:val="0B2B43" w:themeColor="text2" w:themeShade="80"/>
        </w:rPr>
        <w:t>PFRO</w:t>
      </w:r>
      <w:proofErr w:type="spellEnd"/>
      <w:r w:rsidRPr="004A1196">
        <w:rPr>
          <w:color w:val="0B2B43" w:themeColor="text2" w:themeShade="80"/>
        </w:rPr>
        <w:t xml:space="preserve"> and research institutes will be able to use Source IP to promote their areas of innovation and technology specialisation to interested commercial partners. Source IP intends to make </w:t>
      </w:r>
      <w:r w:rsidRPr="004A1196">
        <w:rPr>
          <w:rFonts w:eastAsia="MS Mincho"/>
          <w:color w:val="0B2B43" w:themeColor="text2" w:themeShade="80"/>
        </w:rPr>
        <w:t>it easier for Australian businesses to find a public sector research partner.</w:t>
      </w:r>
    </w:p>
    <w:p w:rsidR="002C6039" w:rsidRPr="004A1196" w:rsidRDefault="002C6039" w:rsidP="002C6039">
      <w:pPr>
        <w:rPr>
          <w:rFonts w:eastAsia="MS Mincho"/>
          <w:color w:val="0B2B43" w:themeColor="text2" w:themeShade="80"/>
        </w:rPr>
      </w:pPr>
      <w:r w:rsidRPr="004A1196">
        <w:rPr>
          <w:rFonts w:eastAsia="MS Mincho"/>
          <w:color w:val="0B2B43" w:themeColor="text2" w:themeShade="80"/>
        </w:rPr>
        <w:t xml:space="preserve">IP Australia is collecting content for the website from universities, </w:t>
      </w:r>
      <w:proofErr w:type="spellStart"/>
      <w:r w:rsidRPr="004A1196">
        <w:rPr>
          <w:rFonts w:eastAsia="MS Mincho"/>
          <w:color w:val="0B2B43" w:themeColor="text2" w:themeShade="80"/>
        </w:rPr>
        <w:t>PFRO</w:t>
      </w:r>
      <w:proofErr w:type="spellEnd"/>
      <w:r w:rsidRPr="004A1196">
        <w:rPr>
          <w:rFonts w:eastAsia="MS Mincho"/>
          <w:color w:val="0B2B43" w:themeColor="text2" w:themeShade="80"/>
        </w:rPr>
        <w:t xml:space="preserve"> and research institutes across Australia. As at November 2015, all universities have signed up to use Source IP. </w:t>
      </w:r>
    </w:p>
    <w:p w:rsidR="002C6039" w:rsidRPr="004A1196" w:rsidRDefault="002C6039" w:rsidP="002C6039">
      <w:pPr>
        <w:rPr>
          <w:color w:val="0B2B43" w:themeColor="text2" w:themeShade="80"/>
        </w:rPr>
      </w:pPr>
      <w:r w:rsidRPr="004A1196">
        <w:rPr>
          <w:color w:val="0B2B43" w:themeColor="text2" w:themeShade="80"/>
        </w:rPr>
        <w:t xml:space="preserve">The review considers that the use of Source IP should be encouraged, and to do so, all recipients of public research funding should be required </w:t>
      </w:r>
      <w:proofErr w:type="gramStart"/>
      <w:r w:rsidRPr="004A1196">
        <w:rPr>
          <w:color w:val="0B2B43" w:themeColor="text2" w:themeShade="80"/>
        </w:rPr>
        <w:t>to regularly list</w:t>
      </w:r>
      <w:proofErr w:type="gramEnd"/>
      <w:r w:rsidRPr="004A1196">
        <w:rPr>
          <w:color w:val="0B2B43" w:themeColor="text2" w:themeShade="80"/>
        </w:rPr>
        <w:t xml:space="preserve"> the IP generated by public funding on Source IP from 2017.</w:t>
      </w:r>
    </w:p>
    <w:p w:rsidR="002C6039" w:rsidRPr="004A1196" w:rsidRDefault="002C6039" w:rsidP="002C6039">
      <w:pPr>
        <w:pStyle w:val="RIHeading3"/>
        <w:rPr>
          <w:color w:val="0B2B43" w:themeColor="text2" w:themeShade="80"/>
        </w:rPr>
      </w:pPr>
      <w:bookmarkStart w:id="321" w:name="_Toc436392762"/>
      <w:bookmarkStart w:id="322" w:name="_Toc436651866"/>
      <w:bookmarkStart w:id="323" w:name="_Toc436660172"/>
      <w:r w:rsidRPr="004A1196">
        <w:rPr>
          <w:color w:val="0B2B43" w:themeColor="text2" w:themeShade="80"/>
        </w:rPr>
        <w:t>Linkage Projects</w:t>
      </w:r>
      <w:bookmarkEnd w:id="321"/>
      <w:bookmarkEnd w:id="322"/>
      <w:bookmarkEnd w:id="323"/>
    </w:p>
    <w:p w:rsidR="002C6039" w:rsidRPr="004A1196" w:rsidRDefault="002C6039" w:rsidP="002C6039">
      <w:pPr>
        <w:rPr>
          <w:color w:val="0B2B43" w:themeColor="text2" w:themeShade="80"/>
        </w:rPr>
      </w:pPr>
      <w:r w:rsidRPr="004A1196">
        <w:rPr>
          <w:color w:val="0B2B43" w:themeColor="text2" w:themeShade="80"/>
        </w:rPr>
        <w:t xml:space="preserve">The ARC Linkage Projects scheme is the key funding programme supporting collaboration between universities and </w:t>
      </w:r>
      <w:r w:rsidR="003904BC">
        <w:rPr>
          <w:color w:val="0B2B43" w:themeColor="text2" w:themeShade="80"/>
        </w:rPr>
        <w:t>end user</w:t>
      </w:r>
      <w:r w:rsidRPr="004A1196">
        <w:rPr>
          <w:color w:val="0B2B43" w:themeColor="text2" w:themeShade="80"/>
        </w:rPr>
        <w:t xml:space="preserve">s. The review considers that given this focus, the ARC should require all future Linkage Project applications, and progress reports, to identify actual and potential IP to </w:t>
      </w:r>
      <w:proofErr w:type="gramStart"/>
      <w:r w:rsidRPr="004A1196">
        <w:rPr>
          <w:color w:val="0B2B43" w:themeColor="text2" w:themeShade="80"/>
        </w:rPr>
        <w:t>be generated</w:t>
      </w:r>
      <w:proofErr w:type="gramEnd"/>
      <w:r w:rsidRPr="004A1196">
        <w:rPr>
          <w:color w:val="0B2B43" w:themeColor="text2" w:themeShade="80"/>
        </w:rPr>
        <w:t xml:space="preserve"> through the project and the intended IP management arrangements. While it can be difficult to identify in advance the IP a research project will generate, increasing focus will increase the likelihood that IP issues </w:t>
      </w:r>
      <w:proofErr w:type="gramStart"/>
      <w:r w:rsidRPr="004A1196">
        <w:rPr>
          <w:color w:val="0B2B43" w:themeColor="text2" w:themeShade="80"/>
        </w:rPr>
        <w:t>will be considered</w:t>
      </w:r>
      <w:proofErr w:type="gramEnd"/>
      <w:r w:rsidRPr="004A1196">
        <w:rPr>
          <w:color w:val="0B2B43" w:themeColor="text2" w:themeShade="80"/>
        </w:rPr>
        <w:t xml:space="preserve">, planned and managed. </w:t>
      </w:r>
    </w:p>
    <w:p w:rsidR="002C6039" w:rsidRPr="004A1196" w:rsidRDefault="002C6039" w:rsidP="002C6039">
      <w:pPr>
        <w:pStyle w:val="RIHeading3"/>
        <w:rPr>
          <w:color w:val="0B2B43" w:themeColor="text2" w:themeShade="80"/>
        </w:rPr>
      </w:pPr>
      <w:bookmarkStart w:id="324" w:name="_Toc436392763"/>
      <w:bookmarkStart w:id="325" w:name="_Toc436651867"/>
      <w:bookmarkStart w:id="326" w:name="_Toc436660173"/>
      <w:r w:rsidRPr="004A1196">
        <w:rPr>
          <w:color w:val="0B2B43" w:themeColor="text2" w:themeShade="80"/>
        </w:rPr>
        <w:t>Simplified contracts</w:t>
      </w:r>
      <w:bookmarkEnd w:id="324"/>
      <w:bookmarkEnd w:id="325"/>
      <w:bookmarkEnd w:id="326"/>
    </w:p>
    <w:p w:rsidR="002C6039" w:rsidRPr="004A1196" w:rsidRDefault="002C6039" w:rsidP="002C6039">
      <w:pPr>
        <w:rPr>
          <w:rFonts w:eastAsia="MS Mincho"/>
          <w:color w:val="0B2B43" w:themeColor="text2" w:themeShade="80"/>
        </w:rPr>
      </w:pPr>
      <w:r w:rsidRPr="004A1196">
        <w:rPr>
          <w:rFonts w:eastAsia="MS Mincho"/>
          <w:color w:val="0B2B43" w:themeColor="text2" w:themeShade="80"/>
        </w:rPr>
        <w:t xml:space="preserve">The Australian Government launched the IP Toolkit in September 2015 to simplify and improve IP use and management with businesses — particularly </w:t>
      </w:r>
      <w:proofErr w:type="spellStart"/>
      <w:r w:rsidRPr="004A1196">
        <w:rPr>
          <w:rFonts w:eastAsia="MS Mincho"/>
          <w:color w:val="0B2B43" w:themeColor="text2" w:themeShade="80"/>
        </w:rPr>
        <w:t>SME</w:t>
      </w:r>
      <w:proofErr w:type="spellEnd"/>
      <w:r w:rsidRPr="004A1196">
        <w:rPr>
          <w:rFonts w:eastAsia="MS Mincho"/>
          <w:color w:val="0B2B43" w:themeColor="text2" w:themeShade="80"/>
        </w:rPr>
        <w:t xml:space="preserve"> — as well as </w:t>
      </w:r>
      <w:proofErr w:type="spellStart"/>
      <w:r w:rsidRPr="004A1196">
        <w:rPr>
          <w:rFonts w:eastAsia="MS Mincho"/>
          <w:color w:val="0B2B43" w:themeColor="text2" w:themeShade="80"/>
        </w:rPr>
        <w:t>PFRO</w:t>
      </w:r>
      <w:proofErr w:type="spellEnd"/>
      <w:r w:rsidRPr="004A1196">
        <w:rPr>
          <w:rFonts w:eastAsia="MS Mincho"/>
          <w:color w:val="0B2B43" w:themeColor="text2" w:themeShade="80"/>
        </w:rPr>
        <w:t xml:space="preserve"> and individual researchers intending to undertake collaborative research.</w:t>
      </w:r>
      <w:r w:rsidR="00054DCC" w:rsidRPr="004A1196">
        <w:rPr>
          <w:rStyle w:val="FootnoteReference"/>
          <w:rFonts w:eastAsia="MS Mincho" w:cstheme="minorHAnsi"/>
          <w:color w:val="0B2B43" w:themeColor="text2" w:themeShade="80"/>
        </w:rPr>
        <w:footnoteReference w:id="76"/>
      </w:r>
      <w:r w:rsidRPr="004A1196">
        <w:rPr>
          <w:rFonts w:eastAsia="MS Mincho"/>
          <w:color w:val="0B2B43" w:themeColor="text2" w:themeShade="80"/>
        </w:rPr>
        <w:t xml:space="preserve"> </w:t>
      </w:r>
    </w:p>
    <w:p w:rsidR="002C6039" w:rsidRPr="004A1196" w:rsidRDefault="002C6039" w:rsidP="002C6039">
      <w:pPr>
        <w:rPr>
          <w:rFonts w:eastAsia="MS Mincho"/>
          <w:color w:val="0B2B43" w:themeColor="text2" w:themeShade="80"/>
        </w:rPr>
      </w:pPr>
      <w:r w:rsidRPr="004A1196">
        <w:rPr>
          <w:rFonts w:eastAsia="MS Mincho"/>
          <w:color w:val="0B2B43" w:themeColor="text2" w:themeShade="80"/>
        </w:rPr>
        <w:t xml:space="preserve">The Toolkit contains two guides, a list of collaboration tools and a model contract. The two guides provide advice on identifying opportunities and market gaps in domestic and international markets; the identification of potential collaborators; the process of planning and negotiating collaborative arrangements; and contract negotiation. The collaboration tools provide a checklist, a relatively simple model confidentiality agreement and a term sheet with basic terms and conditions upon which the collaboration </w:t>
      </w:r>
      <w:proofErr w:type="gramStart"/>
      <w:r w:rsidRPr="004A1196">
        <w:rPr>
          <w:rFonts w:eastAsia="MS Mincho"/>
          <w:color w:val="0B2B43" w:themeColor="text2" w:themeShade="80"/>
        </w:rPr>
        <w:t>will be based</w:t>
      </w:r>
      <w:proofErr w:type="gramEnd"/>
      <w:r w:rsidRPr="004A1196">
        <w:rPr>
          <w:rFonts w:eastAsia="MS Mincho"/>
          <w:color w:val="0B2B43" w:themeColor="text2" w:themeShade="80"/>
        </w:rPr>
        <w:t xml:space="preserve">. While these elements are designed to be used independently, together they provide a common </w:t>
      </w:r>
      <w:proofErr w:type="gramStart"/>
      <w:r w:rsidRPr="004A1196">
        <w:rPr>
          <w:rFonts w:eastAsia="MS Mincho"/>
          <w:color w:val="0B2B43" w:themeColor="text2" w:themeShade="80"/>
        </w:rPr>
        <w:t>framework which</w:t>
      </w:r>
      <w:proofErr w:type="gramEnd"/>
      <w:r w:rsidRPr="004A1196">
        <w:rPr>
          <w:rFonts w:eastAsia="MS Mincho"/>
          <w:color w:val="0B2B43" w:themeColor="text2" w:themeShade="80"/>
        </w:rPr>
        <w:t xml:space="preserve"> should result in a more streamlined process for businesses and universities entering into collaborative IP arrangements. </w:t>
      </w:r>
    </w:p>
    <w:p w:rsidR="002C6039" w:rsidRPr="004A1196" w:rsidRDefault="002C6039" w:rsidP="002C6039">
      <w:pPr>
        <w:rPr>
          <w:rFonts w:eastAsia="MS Mincho"/>
          <w:color w:val="0B2B43" w:themeColor="text2" w:themeShade="80"/>
        </w:rPr>
      </w:pPr>
      <w:r w:rsidRPr="004A1196">
        <w:rPr>
          <w:rFonts w:eastAsia="MS Mincho"/>
          <w:color w:val="0B2B43" w:themeColor="text2" w:themeShade="80"/>
        </w:rPr>
        <w:t>To encourage uptake of the IP Toolkit, the review concluded universities should be required, as a condition of ARC and NHMRC grants</w:t>
      </w:r>
      <w:r w:rsidR="0014465E">
        <w:rPr>
          <w:rFonts w:eastAsia="MS Mincho"/>
          <w:color w:val="0B2B43" w:themeColor="text2" w:themeShade="80"/>
        </w:rPr>
        <w:t>,</w:t>
      </w:r>
      <w:r w:rsidRPr="004A1196">
        <w:rPr>
          <w:rFonts w:eastAsia="MS Mincho"/>
          <w:color w:val="0B2B43" w:themeColor="text2" w:themeShade="80"/>
        </w:rPr>
        <w:t xml:space="preserve"> to offer the IP Toolkit model contract and term sheet and that it be utilised, if requested, by business. This would not prevent the university or business partner identifying an alternative</w:t>
      </w:r>
      <w:r w:rsidR="008526FA">
        <w:rPr>
          <w:rFonts w:eastAsia="MS Mincho"/>
          <w:color w:val="0B2B43" w:themeColor="text2" w:themeShade="80"/>
        </w:rPr>
        <w:t xml:space="preserve"> streamlined </w:t>
      </w:r>
      <w:r w:rsidR="008526FA" w:rsidRPr="001F500D">
        <w:rPr>
          <w:rFonts w:eastAsia="MS Mincho"/>
          <w:color w:val="0B2B43" w:themeColor="text2" w:themeShade="80"/>
        </w:rPr>
        <w:t xml:space="preserve">agreement (such </w:t>
      </w:r>
      <w:r w:rsidR="00BB4232" w:rsidRPr="007C163F">
        <w:rPr>
          <w:rFonts w:eastAsia="MS Mincho"/>
          <w:color w:val="0B2B43" w:themeColor="text2" w:themeShade="80"/>
        </w:rPr>
        <w:t>a</w:t>
      </w:r>
      <w:r w:rsidR="00B07DAB" w:rsidRPr="007C163F">
        <w:rPr>
          <w:rFonts w:eastAsia="MS Mincho"/>
          <w:color w:val="0B2B43" w:themeColor="text2" w:themeShade="80"/>
        </w:rPr>
        <w:t xml:space="preserve">s </w:t>
      </w:r>
      <w:r w:rsidRPr="007C163F">
        <w:rPr>
          <w:rFonts w:eastAsia="MS Mincho"/>
          <w:color w:val="0B2B43" w:themeColor="text2" w:themeShade="80"/>
        </w:rPr>
        <w:t>Easy</w:t>
      </w:r>
      <w:r w:rsidR="001F500D">
        <w:rPr>
          <w:rFonts w:eastAsia="MS Mincho"/>
          <w:color w:val="0B2B43" w:themeColor="text2" w:themeShade="80"/>
        </w:rPr>
        <w:t> </w:t>
      </w:r>
      <w:r>
        <w:rPr>
          <w:rFonts w:eastAsia="MS Mincho"/>
          <w:color w:val="0B2B43" w:themeColor="text2" w:themeShade="80"/>
        </w:rPr>
        <w:t>Access</w:t>
      </w:r>
      <w:r w:rsidR="001F500D">
        <w:rPr>
          <w:rFonts w:eastAsia="MS Mincho"/>
          <w:color w:val="0B2B43" w:themeColor="text2" w:themeShade="80"/>
        </w:rPr>
        <w:t> </w:t>
      </w:r>
      <w:r w:rsidRPr="001F500D">
        <w:rPr>
          <w:rFonts w:eastAsia="MS Mincho"/>
          <w:color w:val="0B2B43" w:themeColor="text2" w:themeShade="80"/>
        </w:rPr>
        <w:t xml:space="preserve">IP) or more bespoke arrangement if </w:t>
      </w:r>
      <w:r>
        <w:rPr>
          <w:rFonts w:eastAsia="MS Mincho"/>
          <w:color w:val="0B2B43" w:themeColor="text2" w:themeShade="80"/>
        </w:rPr>
        <w:t xml:space="preserve">the circumstances warranted. </w:t>
      </w:r>
      <w:r w:rsidR="006E7AF9">
        <w:rPr>
          <w:rFonts w:eastAsia="MS Mincho"/>
          <w:color w:val="0B2B43" w:themeColor="text2" w:themeShade="80"/>
        </w:rPr>
        <w:t>However,</w:t>
      </w:r>
      <w:r w:rsidRPr="001F500D">
        <w:rPr>
          <w:rFonts w:eastAsia="MS Mincho"/>
          <w:color w:val="0B2B43" w:themeColor="text2" w:themeShade="80"/>
        </w:rPr>
        <w:t xml:space="preserve"> it will ensure that a</w:t>
      </w:r>
      <w:r w:rsidRPr="004A1196">
        <w:rPr>
          <w:rFonts w:eastAsia="MS Mincho"/>
          <w:color w:val="0B2B43" w:themeColor="text2" w:themeShade="80"/>
        </w:rPr>
        <w:t xml:space="preserve"> simplified contract alternative is available to businesses when negotiating IP arrangements.</w:t>
      </w:r>
    </w:p>
    <w:p w:rsidR="002C6039" w:rsidRPr="004A1196" w:rsidRDefault="002C6039" w:rsidP="002C6039">
      <w:pPr>
        <w:pStyle w:val="RIHeading3"/>
        <w:rPr>
          <w:color w:val="0B2B43" w:themeColor="text2" w:themeShade="80"/>
        </w:rPr>
      </w:pPr>
      <w:bookmarkStart w:id="327" w:name="_Toc436392764"/>
      <w:bookmarkStart w:id="328" w:name="_Toc436651868"/>
      <w:bookmarkStart w:id="329" w:name="_Toc436660174"/>
      <w:r w:rsidRPr="004A1196">
        <w:rPr>
          <w:color w:val="0B2B43" w:themeColor="text2" w:themeShade="80"/>
        </w:rPr>
        <w:t>Easy Access IP</w:t>
      </w:r>
      <w:bookmarkEnd w:id="327"/>
      <w:bookmarkEnd w:id="328"/>
      <w:bookmarkEnd w:id="329"/>
    </w:p>
    <w:p w:rsidR="002C6039" w:rsidRPr="004A1196" w:rsidRDefault="002C6039" w:rsidP="002C6039">
      <w:pPr>
        <w:rPr>
          <w:rFonts w:eastAsia="MS Mincho"/>
          <w:color w:val="0B2B43" w:themeColor="text2" w:themeShade="80"/>
        </w:rPr>
      </w:pPr>
      <w:r w:rsidRPr="004A1196">
        <w:rPr>
          <w:rFonts w:eastAsia="MS Mincho"/>
          <w:color w:val="0B2B43" w:themeColor="text2" w:themeShade="80"/>
        </w:rPr>
        <w:t xml:space="preserve">The review concluded that the Easy Access IP model is useful in supporting universities to release IP to businesses who want to commercialise it with reduced risk. The review proposes that government, through the Department of Education and Training and </w:t>
      </w:r>
      <w:proofErr w:type="spellStart"/>
      <w:r w:rsidR="0014465E">
        <w:rPr>
          <w:rFonts w:eastAsia="MS Mincho"/>
          <w:color w:val="0B2B43" w:themeColor="text2" w:themeShade="80"/>
        </w:rPr>
        <w:t>PFRO</w:t>
      </w:r>
      <w:proofErr w:type="spellEnd"/>
      <w:r w:rsidRPr="004A1196">
        <w:rPr>
          <w:rFonts w:eastAsia="MS Mincho"/>
          <w:color w:val="0B2B43" w:themeColor="text2" w:themeShade="80"/>
        </w:rPr>
        <w:t xml:space="preserve">, should continue to explore the broader application of Easy Access IP or similar arrangements across the publicly funded research sector. </w:t>
      </w:r>
    </w:p>
    <w:p w:rsidR="002C6039" w:rsidRPr="004A1196" w:rsidRDefault="002C6039" w:rsidP="002C6039">
      <w:pPr>
        <w:pStyle w:val="RIHeading3"/>
        <w:rPr>
          <w:rFonts w:eastAsia="MS Mincho"/>
          <w:color w:val="0B2B43" w:themeColor="text2" w:themeShade="80"/>
        </w:rPr>
      </w:pPr>
      <w:bookmarkStart w:id="330" w:name="_Toc436392765"/>
      <w:bookmarkStart w:id="331" w:name="_Toc436651869"/>
      <w:bookmarkStart w:id="332" w:name="_Toc436660175"/>
      <w:r w:rsidRPr="004A1196">
        <w:rPr>
          <w:rFonts w:eastAsia="MS Mincho"/>
          <w:color w:val="0B2B43" w:themeColor="text2" w:themeShade="80"/>
        </w:rPr>
        <w:t>Providing better information</w:t>
      </w:r>
      <w:bookmarkEnd w:id="330"/>
      <w:bookmarkEnd w:id="331"/>
      <w:bookmarkEnd w:id="332"/>
    </w:p>
    <w:p w:rsidR="002C6039" w:rsidRPr="004A1196" w:rsidRDefault="002C6039" w:rsidP="002C6039">
      <w:pPr>
        <w:rPr>
          <w:rFonts w:eastAsia="MS Mincho"/>
          <w:color w:val="0B2B43" w:themeColor="text2" w:themeShade="80"/>
        </w:rPr>
      </w:pPr>
      <w:r w:rsidRPr="004A1196">
        <w:rPr>
          <w:rFonts w:eastAsia="MS Mincho"/>
          <w:color w:val="0B2B43" w:themeColor="text2" w:themeShade="80"/>
        </w:rPr>
        <w:t xml:space="preserve">IP Australia’s Patent Analytics Hub is a trial service offered to universities, </w:t>
      </w:r>
      <w:proofErr w:type="spellStart"/>
      <w:r w:rsidRPr="004A1196">
        <w:rPr>
          <w:rFonts w:eastAsia="MS Mincho"/>
          <w:color w:val="0B2B43" w:themeColor="text2" w:themeShade="80"/>
        </w:rPr>
        <w:t>PFRO</w:t>
      </w:r>
      <w:proofErr w:type="spellEnd"/>
      <w:r w:rsidRPr="004A1196">
        <w:rPr>
          <w:rFonts w:eastAsia="MS Mincho"/>
          <w:color w:val="0B2B43" w:themeColor="text2" w:themeShade="80"/>
        </w:rPr>
        <w:t xml:space="preserve"> and businesses and </w:t>
      </w:r>
      <w:proofErr w:type="gramStart"/>
      <w:r w:rsidRPr="004A1196">
        <w:rPr>
          <w:rFonts w:eastAsia="MS Mincho"/>
          <w:color w:val="0B2B43" w:themeColor="text2" w:themeShade="80"/>
        </w:rPr>
        <w:t>is designed</w:t>
      </w:r>
      <w:proofErr w:type="gramEnd"/>
      <w:r w:rsidRPr="004A1196">
        <w:rPr>
          <w:rFonts w:eastAsia="MS Mincho"/>
          <w:color w:val="0B2B43" w:themeColor="text2" w:themeShade="80"/>
        </w:rPr>
        <w:t xml:space="preserve"> to help innovators assess market potential for their patents.</w:t>
      </w:r>
      <w:r w:rsidR="00054519" w:rsidRPr="004A1196">
        <w:rPr>
          <w:rStyle w:val="FootnoteReference"/>
          <w:rFonts w:eastAsia="MS Mincho" w:cstheme="minorHAnsi"/>
          <w:color w:val="0B2B43" w:themeColor="text2" w:themeShade="80"/>
        </w:rPr>
        <w:footnoteReference w:id="77"/>
      </w:r>
      <w:r w:rsidRPr="004A1196">
        <w:rPr>
          <w:rFonts w:eastAsia="MS Mincho"/>
          <w:color w:val="0B2B43" w:themeColor="text2" w:themeShade="80"/>
        </w:rPr>
        <w:t xml:space="preserve"> Upon request by organisations, the Patent Analytics Hub generates reports with data on the scale, intensity and areas of patent concentration, areas of specialisation and level of collaboration between companies, universities</w:t>
      </w:r>
      <w:r w:rsidR="0014465E">
        <w:rPr>
          <w:rFonts w:eastAsia="MS Mincho"/>
          <w:color w:val="0B2B43" w:themeColor="text2" w:themeShade="80"/>
        </w:rPr>
        <w:t>,</w:t>
      </w:r>
      <w:r w:rsidRPr="004A1196">
        <w:rPr>
          <w:rFonts w:eastAsia="MS Mincho"/>
          <w:color w:val="0B2B43" w:themeColor="text2" w:themeShade="80"/>
        </w:rPr>
        <w:t xml:space="preserve"> research centres or institutes in a given sector. These reports include information on the patenting activities of </w:t>
      </w:r>
      <w:proofErr w:type="spellStart"/>
      <w:r w:rsidRPr="004A1196">
        <w:rPr>
          <w:rFonts w:eastAsia="MS Mincho"/>
          <w:color w:val="0B2B43" w:themeColor="text2" w:themeShade="80"/>
        </w:rPr>
        <w:t>PFRO</w:t>
      </w:r>
      <w:proofErr w:type="spellEnd"/>
      <w:r w:rsidRPr="004A1196">
        <w:rPr>
          <w:rFonts w:eastAsia="MS Mincho"/>
          <w:color w:val="0B2B43" w:themeColor="text2" w:themeShade="80"/>
        </w:rPr>
        <w:t xml:space="preserve"> and universities in a particular </w:t>
      </w:r>
      <w:proofErr w:type="gramStart"/>
      <w:r w:rsidRPr="004A1196">
        <w:rPr>
          <w:rFonts w:eastAsia="MS Mincho"/>
          <w:color w:val="0B2B43" w:themeColor="text2" w:themeShade="80"/>
        </w:rPr>
        <w:t>area which</w:t>
      </w:r>
      <w:proofErr w:type="gramEnd"/>
      <w:r w:rsidRPr="004A1196">
        <w:rPr>
          <w:rFonts w:eastAsia="MS Mincho"/>
          <w:color w:val="0B2B43" w:themeColor="text2" w:themeShade="80"/>
        </w:rPr>
        <w:t xml:space="preserve"> could lead to potential collaboration and partnerships opportunities. To date, four reports have been published on the IP Australia website — the Australian mining industry, medical devices, a pilot study on the assessment of patents as indicators of university research impact, and the Australian food industry.</w:t>
      </w:r>
      <w:r w:rsidRPr="004A1196">
        <w:rPr>
          <w:rStyle w:val="FootnoteReference"/>
          <w:rFonts w:eastAsia="MS Mincho" w:cstheme="minorHAnsi"/>
          <w:color w:val="0B2B43" w:themeColor="text2" w:themeShade="80"/>
        </w:rPr>
        <w:footnoteReference w:id="78"/>
      </w:r>
      <w:r w:rsidRPr="004A1196">
        <w:rPr>
          <w:rFonts w:eastAsia="MS Mincho"/>
          <w:color w:val="0B2B43" w:themeColor="text2" w:themeShade="80"/>
        </w:rPr>
        <w:t xml:space="preserve"> </w:t>
      </w:r>
    </w:p>
    <w:p w:rsidR="002C6039" w:rsidRPr="004A1196" w:rsidRDefault="002C6039" w:rsidP="002C6039">
      <w:pPr>
        <w:rPr>
          <w:rFonts w:eastAsia="MS Mincho"/>
          <w:color w:val="0B2B43" w:themeColor="text2" w:themeShade="80"/>
        </w:rPr>
      </w:pPr>
      <w:r w:rsidRPr="004A1196">
        <w:rPr>
          <w:rFonts w:eastAsia="MS Mincho"/>
          <w:color w:val="0B2B43" w:themeColor="text2" w:themeShade="80"/>
        </w:rPr>
        <w:t xml:space="preserve">The review recommends that the relevant policy departments, IP Australia and Universities Australia promote the Patent Analytics Hub to industry and universities with a view to increasing its use. </w:t>
      </w:r>
    </w:p>
    <w:p w:rsidR="002C6039" w:rsidRPr="004A1196" w:rsidRDefault="002C6039" w:rsidP="002C6039">
      <w:pPr>
        <w:pStyle w:val="RIHeading3"/>
        <w:rPr>
          <w:color w:val="0B2B43" w:themeColor="text2" w:themeShade="80"/>
        </w:rPr>
      </w:pPr>
      <w:bookmarkStart w:id="333" w:name="_Toc436392766"/>
      <w:bookmarkStart w:id="334" w:name="_Toc436651870"/>
      <w:bookmarkStart w:id="335" w:name="_Toc436660176"/>
      <w:r w:rsidRPr="004A1196">
        <w:rPr>
          <w:color w:val="0B2B43" w:themeColor="text2" w:themeShade="80"/>
        </w:rPr>
        <w:t>Open access to research outputs</w:t>
      </w:r>
      <w:bookmarkEnd w:id="333"/>
      <w:bookmarkEnd w:id="334"/>
      <w:bookmarkEnd w:id="335"/>
    </w:p>
    <w:p w:rsidR="002C6039" w:rsidRPr="004A1196" w:rsidRDefault="002C6039" w:rsidP="002C6039">
      <w:pPr>
        <w:rPr>
          <w:color w:val="0B2B43" w:themeColor="text2" w:themeShade="80"/>
        </w:rPr>
      </w:pPr>
      <w:r w:rsidRPr="004A1196">
        <w:rPr>
          <w:color w:val="0B2B43" w:themeColor="text2" w:themeShade="80"/>
        </w:rPr>
        <w:t xml:space="preserve">The review considers that many of the concerns identified by stakeholders under the banner of ‘IP challenges’ are in practice better addressed through the continued promotion of open access arrangements as a key plank of government policy. Open access ensures the sharing of the output of publicly funded research, increasing the exposure, sharing, comparison and critique of research, which will raise the quality of research outputs and provided. </w:t>
      </w:r>
    </w:p>
    <w:p w:rsidR="002C6039" w:rsidRPr="004A1196" w:rsidRDefault="002C6039" w:rsidP="002C6039">
      <w:pPr>
        <w:rPr>
          <w:color w:val="0B2B43" w:themeColor="text2" w:themeShade="80"/>
        </w:rPr>
      </w:pPr>
      <w:r w:rsidRPr="004A1196">
        <w:rPr>
          <w:color w:val="0B2B43" w:themeColor="text2" w:themeShade="80"/>
        </w:rPr>
        <w:t>Since 2013, the NHMRC</w:t>
      </w:r>
      <w:r w:rsidRPr="004A1196">
        <w:rPr>
          <w:rStyle w:val="FootnoteReference"/>
          <w:color w:val="0B2B43" w:themeColor="text2" w:themeShade="80"/>
        </w:rPr>
        <w:footnoteReference w:id="79"/>
      </w:r>
      <w:r w:rsidRPr="004A1196">
        <w:rPr>
          <w:color w:val="0B2B43" w:themeColor="text2" w:themeShade="80"/>
        </w:rPr>
        <w:t xml:space="preserve"> and the ARC</w:t>
      </w:r>
      <w:r w:rsidRPr="004A1196">
        <w:rPr>
          <w:rStyle w:val="FootnoteReference"/>
          <w:color w:val="0B2B43" w:themeColor="text2" w:themeShade="80"/>
        </w:rPr>
        <w:footnoteReference w:id="80"/>
      </w:r>
      <w:r w:rsidRPr="004A1196">
        <w:rPr>
          <w:color w:val="0B2B43" w:themeColor="text2" w:themeShade="80"/>
        </w:rPr>
        <w:t xml:space="preserve"> have required any publication arising from research to which they contribute funding to be freely accessible to the public within 12 months of publication. To reinforce this policy, and to speed the open publishing of research results, the review considers that the 2018 ERA (refer to Chapter </w:t>
      </w:r>
      <w:r w:rsidR="00E53B62" w:rsidRPr="004A1196">
        <w:rPr>
          <w:color w:val="0B2B43" w:themeColor="text2" w:themeShade="80"/>
        </w:rPr>
        <w:t>6</w:t>
      </w:r>
      <w:r w:rsidRPr="004A1196">
        <w:rPr>
          <w:color w:val="0B2B43" w:themeColor="text2" w:themeShade="80"/>
        </w:rPr>
        <w:t>) should take into account the relative share of research output made available through publication, open source repositories or exploited through IP arrangements as a factor in assessing compliance with open access requirements by universities.</w:t>
      </w:r>
    </w:p>
    <w:p w:rsidR="002C6039" w:rsidRPr="004A1196" w:rsidRDefault="002C6039" w:rsidP="002C6039">
      <w:pPr>
        <w:pStyle w:val="RIHeading2"/>
        <w:rPr>
          <w:rFonts w:eastAsia="MS Mincho"/>
          <w:color w:val="0B2B43" w:themeColor="text2" w:themeShade="80"/>
        </w:rPr>
      </w:pPr>
      <w:bookmarkStart w:id="336" w:name="_Toc436392767"/>
      <w:bookmarkStart w:id="337" w:name="_Toc436651871"/>
      <w:bookmarkStart w:id="338" w:name="_Toc436660177"/>
      <w:r w:rsidRPr="004A1196">
        <w:rPr>
          <w:rFonts w:eastAsia="MS Mincho"/>
          <w:color w:val="0B2B43" w:themeColor="text2" w:themeShade="80"/>
        </w:rPr>
        <w:t>Recommendations</w:t>
      </w:r>
      <w:bookmarkEnd w:id="336"/>
      <w:bookmarkEnd w:id="337"/>
      <w:bookmarkEnd w:id="338"/>
    </w:p>
    <w:p w:rsidR="002C6039" w:rsidRPr="004A1196" w:rsidRDefault="002C6039" w:rsidP="001C2886">
      <w:pPr>
        <w:pStyle w:val="ListParagraph"/>
        <w:numPr>
          <w:ilvl w:val="0"/>
          <w:numId w:val="65"/>
        </w:numPr>
        <w:rPr>
          <w:color w:val="0B2B43" w:themeColor="text2" w:themeShade="80"/>
        </w:rPr>
      </w:pPr>
      <w:r w:rsidRPr="004A1196">
        <w:rPr>
          <w:color w:val="0B2B43" w:themeColor="text2" w:themeShade="80"/>
        </w:rPr>
        <w:t xml:space="preserve">The PC inquiry into </w:t>
      </w:r>
      <w:r w:rsidRPr="004A1196">
        <w:rPr>
          <w:rFonts w:eastAsia="MS Mincho" w:cstheme="minorHAnsi"/>
          <w:color w:val="0B2B43" w:themeColor="text2" w:themeShade="80"/>
        </w:rPr>
        <w:t>Australia’s IP arrangements</w:t>
      </w:r>
      <w:r w:rsidRPr="004A1196" w:rsidDel="001B7CC8">
        <w:rPr>
          <w:color w:val="0B2B43" w:themeColor="text2" w:themeShade="80"/>
        </w:rPr>
        <w:t xml:space="preserve"> </w:t>
      </w:r>
      <w:proofErr w:type="gramStart"/>
      <w:r w:rsidRPr="004A1196">
        <w:rPr>
          <w:color w:val="0B2B43" w:themeColor="text2" w:themeShade="80"/>
        </w:rPr>
        <w:t>should be asked</w:t>
      </w:r>
      <w:proofErr w:type="gramEnd"/>
      <w:r w:rsidRPr="004A1196">
        <w:rPr>
          <w:color w:val="0B2B43" w:themeColor="text2" w:themeShade="80"/>
        </w:rPr>
        <w:t xml:space="preserve"> to </w:t>
      </w:r>
      <w:r w:rsidRPr="004A1196">
        <w:rPr>
          <w:rFonts w:eastAsia="MS Mincho" w:cstheme="minorHAnsi"/>
          <w:color w:val="0B2B43" w:themeColor="text2" w:themeShade="80"/>
        </w:rPr>
        <w:t>consider</w:t>
      </w:r>
      <w:r w:rsidRPr="004A1196">
        <w:rPr>
          <w:color w:val="0B2B43" w:themeColor="text2" w:themeShade="80"/>
        </w:rPr>
        <w:t xml:space="preserve"> the feasibility of a ‘use it or lose it’ arrangement, including whatever wider policy changes would be necessary to support this approach. </w:t>
      </w:r>
    </w:p>
    <w:p w:rsidR="002C6039" w:rsidRPr="004A1196" w:rsidRDefault="002C6039" w:rsidP="002C6039">
      <w:pPr>
        <w:pStyle w:val="ListParagraph"/>
        <w:ind w:left="360"/>
        <w:rPr>
          <w:color w:val="0B2B43" w:themeColor="text2" w:themeShade="80"/>
        </w:rPr>
      </w:pPr>
    </w:p>
    <w:p w:rsidR="002C6039" w:rsidRPr="004A1196" w:rsidRDefault="002C6039" w:rsidP="001C2886">
      <w:pPr>
        <w:pStyle w:val="ListParagraph"/>
        <w:numPr>
          <w:ilvl w:val="0"/>
          <w:numId w:val="65"/>
        </w:numPr>
        <w:rPr>
          <w:color w:val="0B2B43" w:themeColor="text2" w:themeShade="80"/>
        </w:rPr>
      </w:pPr>
      <w:r w:rsidRPr="004A1196">
        <w:rPr>
          <w:color w:val="0B2B43" w:themeColor="text2" w:themeShade="80"/>
        </w:rPr>
        <w:t xml:space="preserve">The ARC should require all future Linkage Project applications, and progress reports, to identify actual and potential IP to </w:t>
      </w:r>
      <w:proofErr w:type="gramStart"/>
      <w:r w:rsidRPr="004A1196">
        <w:rPr>
          <w:color w:val="0B2B43" w:themeColor="text2" w:themeShade="80"/>
        </w:rPr>
        <w:t>be generated</w:t>
      </w:r>
      <w:proofErr w:type="gramEnd"/>
      <w:r w:rsidRPr="004A1196">
        <w:rPr>
          <w:color w:val="0B2B43" w:themeColor="text2" w:themeShade="80"/>
        </w:rPr>
        <w:t xml:space="preserve"> through the project and the intended IP management arrangements.</w:t>
      </w:r>
    </w:p>
    <w:p w:rsidR="002C6039" w:rsidRPr="004A1196" w:rsidRDefault="002C6039" w:rsidP="002C6039">
      <w:pPr>
        <w:pStyle w:val="ListParagraph"/>
        <w:rPr>
          <w:color w:val="0B2B43" w:themeColor="text2" w:themeShade="80"/>
        </w:rPr>
      </w:pPr>
    </w:p>
    <w:p w:rsidR="002C6039" w:rsidRPr="004A1196" w:rsidRDefault="002C6039" w:rsidP="001C2886">
      <w:pPr>
        <w:pStyle w:val="ListParagraph"/>
        <w:numPr>
          <w:ilvl w:val="0"/>
          <w:numId w:val="65"/>
        </w:numPr>
        <w:rPr>
          <w:color w:val="0B2B43" w:themeColor="text2" w:themeShade="80"/>
        </w:rPr>
      </w:pPr>
      <w:r w:rsidRPr="004A1196">
        <w:rPr>
          <w:color w:val="0B2B43" w:themeColor="text2" w:themeShade="80"/>
        </w:rPr>
        <w:t>The ARC and NHMRC amend funding agreements and funding policies as relevant to:</w:t>
      </w:r>
    </w:p>
    <w:p w:rsidR="002C6039" w:rsidRPr="004A1196" w:rsidRDefault="002C6039" w:rsidP="00C51BEE">
      <w:pPr>
        <w:pStyle w:val="ListParagraph"/>
        <w:numPr>
          <w:ilvl w:val="1"/>
          <w:numId w:val="65"/>
        </w:numPr>
        <w:rPr>
          <w:color w:val="0B2B43" w:themeColor="text2" w:themeShade="80"/>
        </w:rPr>
      </w:pPr>
      <w:r w:rsidRPr="004A1196">
        <w:rPr>
          <w:color w:val="0B2B43" w:themeColor="text2" w:themeShade="80"/>
        </w:rPr>
        <w:t>require institutions to list the IP generated by public funding on Source IP from 2017</w:t>
      </w:r>
    </w:p>
    <w:p w:rsidR="002C6039" w:rsidRPr="004A1196" w:rsidRDefault="002C6039" w:rsidP="00C51BEE">
      <w:pPr>
        <w:pStyle w:val="ListParagraph"/>
        <w:numPr>
          <w:ilvl w:val="1"/>
          <w:numId w:val="65"/>
        </w:numPr>
        <w:rPr>
          <w:rFonts w:eastAsia="MS Mincho" w:cstheme="minorHAnsi"/>
          <w:color w:val="0B2B43" w:themeColor="text2" w:themeShade="80"/>
        </w:rPr>
      </w:pPr>
      <w:proofErr w:type="gramStart"/>
      <w:r w:rsidRPr="004A1196">
        <w:rPr>
          <w:color w:val="0B2B43" w:themeColor="text2" w:themeShade="80"/>
        </w:rPr>
        <w:t>require</w:t>
      </w:r>
      <w:proofErr w:type="gramEnd"/>
      <w:r w:rsidRPr="004A1196">
        <w:rPr>
          <w:color w:val="0B2B43" w:themeColor="text2" w:themeShade="80"/>
        </w:rPr>
        <w:t xml:space="preserve"> institutions to offer, and utilise if requested, the IP Toolkit model contract and term sheet where collaborative research arrangements with business are involved</w:t>
      </w:r>
      <w:r w:rsidR="002D728F">
        <w:rPr>
          <w:color w:val="0B2B43" w:themeColor="text2" w:themeShade="80"/>
        </w:rPr>
        <w:t>.</w:t>
      </w:r>
    </w:p>
    <w:p w:rsidR="002C6039" w:rsidRPr="004A1196" w:rsidRDefault="002C6039" w:rsidP="002C6039">
      <w:pPr>
        <w:pStyle w:val="ListParagraph"/>
        <w:ind w:left="1080"/>
        <w:rPr>
          <w:rFonts w:eastAsia="MS Mincho" w:cstheme="minorHAnsi"/>
          <w:color w:val="0B2B43" w:themeColor="text2" w:themeShade="80"/>
        </w:rPr>
      </w:pPr>
    </w:p>
    <w:p w:rsidR="002C6039" w:rsidRPr="004A1196" w:rsidRDefault="002C6039" w:rsidP="001C2886">
      <w:pPr>
        <w:pStyle w:val="ListParagraph"/>
        <w:numPr>
          <w:ilvl w:val="0"/>
          <w:numId w:val="65"/>
        </w:numPr>
        <w:rPr>
          <w:rFonts w:eastAsia="MS Mincho"/>
          <w:color w:val="0B2B43" w:themeColor="text2" w:themeShade="80"/>
        </w:rPr>
      </w:pPr>
      <w:r w:rsidRPr="004A1196" w:rsidDel="00E729D4">
        <w:rPr>
          <w:rFonts w:eastAsia="MS Mincho"/>
          <w:color w:val="0B2B43" w:themeColor="text2" w:themeShade="80"/>
        </w:rPr>
        <w:t>The Department of Education and Training, in consultation with other relevant policy departments</w:t>
      </w:r>
      <w:r w:rsidRPr="004A1196">
        <w:rPr>
          <w:rFonts w:eastAsia="MS Mincho"/>
          <w:color w:val="0B2B43" w:themeColor="text2" w:themeShade="80"/>
        </w:rPr>
        <w:t>,</w:t>
      </w:r>
      <w:r w:rsidRPr="004A1196" w:rsidDel="00E729D4">
        <w:rPr>
          <w:rFonts w:eastAsia="MS Mincho"/>
          <w:color w:val="0B2B43" w:themeColor="text2" w:themeShade="80"/>
        </w:rPr>
        <w:t xml:space="preserve"> the </w:t>
      </w:r>
      <w:proofErr w:type="spellStart"/>
      <w:r w:rsidR="002D728F">
        <w:rPr>
          <w:rFonts w:eastAsia="MS Mincho"/>
          <w:color w:val="0B2B43" w:themeColor="text2" w:themeShade="80"/>
        </w:rPr>
        <w:t>PFRO</w:t>
      </w:r>
      <w:proofErr w:type="spellEnd"/>
      <w:r w:rsidRPr="004A1196">
        <w:rPr>
          <w:rFonts w:eastAsia="MS Mincho"/>
          <w:color w:val="0B2B43" w:themeColor="text2" w:themeShade="80"/>
        </w:rPr>
        <w:t xml:space="preserve"> </w:t>
      </w:r>
      <w:r w:rsidRPr="004A1196" w:rsidDel="00E729D4">
        <w:rPr>
          <w:rFonts w:eastAsia="MS Mincho"/>
          <w:color w:val="0B2B43" w:themeColor="text2" w:themeShade="80"/>
        </w:rPr>
        <w:t xml:space="preserve">and universities, should provide advice to </w:t>
      </w:r>
      <w:r w:rsidRPr="004A1196">
        <w:rPr>
          <w:rFonts w:eastAsia="MS Mincho"/>
          <w:color w:val="0B2B43" w:themeColor="text2" w:themeShade="80"/>
        </w:rPr>
        <w:t>Government</w:t>
      </w:r>
      <w:r w:rsidRPr="004A1196" w:rsidDel="00E729D4">
        <w:rPr>
          <w:rFonts w:eastAsia="MS Mincho"/>
          <w:color w:val="0B2B43" w:themeColor="text2" w:themeShade="80"/>
        </w:rPr>
        <w:t xml:space="preserve"> by June 2016 on the merits of the broader application of Easy Access IP or similar arrangements across the publicly</w:t>
      </w:r>
      <w:r w:rsidRPr="004A1196">
        <w:rPr>
          <w:rFonts w:eastAsia="MS Mincho"/>
          <w:color w:val="0B2B43" w:themeColor="text2" w:themeShade="80"/>
        </w:rPr>
        <w:t xml:space="preserve"> </w:t>
      </w:r>
      <w:r w:rsidRPr="004A1196" w:rsidDel="00E729D4">
        <w:rPr>
          <w:rFonts w:eastAsia="MS Mincho"/>
          <w:color w:val="0B2B43" w:themeColor="text2" w:themeShade="80"/>
        </w:rPr>
        <w:t>funded research sec</w:t>
      </w:r>
      <w:r w:rsidRPr="004A1196">
        <w:rPr>
          <w:rFonts w:eastAsia="MS Mincho"/>
          <w:color w:val="0B2B43" w:themeColor="text2" w:themeShade="80"/>
        </w:rPr>
        <w:t>tor</w:t>
      </w:r>
      <w:r w:rsidRPr="004A1196" w:rsidDel="00E729D4">
        <w:rPr>
          <w:rFonts w:eastAsia="MS Mincho"/>
          <w:color w:val="0B2B43" w:themeColor="text2" w:themeShade="80"/>
        </w:rPr>
        <w:t xml:space="preserve"> and, if relevant, proposed implementation arrangements.</w:t>
      </w:r>
    </w:p>
    <w:p w:rsidR="002C6039" w:rsidRPr="004A1196" w:rsidRDefault="002C6039" w:rsidP="002C6039">
      <w:pPr>
        <w:pStyle w:val="ListParagraph"/>
        <w:ind w:left="360"/>
        <w:rPr>
          <w:rFonts w:eastAsia="MS Mincho"/>
          <w:color w:val="0B2B43" w:themeColor="text2" w:themeShade="80"/>
        </w:rPr>
      </w:pPr>
    </w:p>
    <w:p w:rsidR="0014465E" w:rsidRDefault="002C6039" w:rsidP="001C2886">
      <w:pPr>
        <w:pStyle w:val="ListParagraph"/>
        <w:numPr>
          <w:ilvl w:val="0"/>
          <w:numId w:val="65"/>
        </w:numPr>
        <w:rPr>
          <w:color w:val="0B2B43" w:themeColor="text2" w:themeShade="80"/>
        </w:rPr>
      </w:pPr>
      <w:r w:rsidRPr="004A1196">
        <w:rPr>
          <w:color w:val="0B2B43" w:themeColor="text2" w:themeShade="80"/>
        </w:rPr>
        <w:t xml:space="preserve">The 2018 ERA (refer to Chapter </w:t>
      </w:r>
      <w:r w:rsidR="00000773" w:rsidRPr="004A1196">
        <w:rPr>
          <w:color w:val="0B2B43" w:themeColor="text2" w:themeShade="80"/>
        </w:rPr>
        <w:t>6</w:t>
      </w:r>
      <w:r w:rsidRPr="004A1196">
        <w:rPr>
          <w:color w:val="0B2B43" w:themeColor="text2" w:themeShade="80"/>
        </w:rPr>
        <w:t>) should take into account the relative share of research output made available through publication</w:t>
      </w:r>
      <w:r w:rsidR="00856B3D">
        <w:rPr>
          <w:color w:val="0B2B43" w:themeColor="text2" w:themeShade="80"/>
        </w:rPr>
        <w:t>, open source repositories and</w:t>
      </w:r>
      <w:r w:rsidRPr="004A1196">
        <w:rPr>
          <w:color w:val="0B2B43" w:themeColor="text2" w:themeShade="80"/>
        </w:rPr>
        <w:t xml:space="preserve"> exploited through IP arrangements in </w:t>
      </w:r>
      <w:r w:rsidR="00237EBD">
        <w:rPr>
          <w:color w:val="0B2B43" w:themeColor="text2" w:themeShade="80"/>
        </w:rPr>
        <w:t xml:space="preserve">the </w:t>
      </w:r>
      <w:r w:rsidRPr="004A1196">
        <w:rPr>
          <w:color w:val="0B2B43" w:themeColor="text2" w:themeShade="80"/>
        </w:rPr>
        <w:t xml:space="preserve">assessment </w:t>
      </w:r>
      <w:r w:rsidR="00666B0C">
        <w:rPr>
          <w:color w:val="0B2B43" w:themeColor="text2" w:themeShade="80"/>
        </w:rPr>
        <w:t>process</w:t>
      </w:r>
      <w:r w:rsidRPr="004A1196">
        <w:rPr>
          <w:color w:val="0B2B43" w:themeColor="text2" w:themeShade="80"/>
        </w:rPr>
        <w:t>.</w:t>
      </w:r>
    </w:p>
    <w:p w:rsidR="0014465E" w:rsidRDefault="0014465E" w:rsidP="00C6639A">
      <w:r>
        <w:br w:type="page"/>
      </w:r>
    </w:p>
    <w:p w:rsidR="002C6039" w:rsidRPr="004A1196" w:rsidRDefault="002C6039" w:rsidP="004018A9">
      <w:pPr>
        <w:pStyle w:val="RIHeading1"/>
        <w:numPr>
          <w:ilvl w:val="0"/>
          <w:numId w:val="62"/>
        </w:numPr>
        <w:rPr>
          <w:color w:val="0B2B43" w:themeColor="text2" w:themeShade="80"/>
        </w:rPr>
      </w:pPr>
      <w:bookmarkStart w:id="339" w:name="_Toc437945941"/>
      <w:bookmarkStart w:id="340" w:name="_Toc436228990"/>
      <w:bookmarkStart w:id="341" w:name="_Toc436392768"/>
      <w:bookmarkStart w:id="342" w:name="_Toc436563388"/>
      <w:bookmarkStart w:id="343" w:name="_Toc436574577"/>
      <w:bookmarkStart w:id="344" w:name="_Toc436579527"/>
      <w:bookmarkStart w:id="345" w:name="_Toc436579545"/>
      <w:bookmarkStart w:id="346" w:name="_Toc436651872"/>
      <w:bookmarkStart w:id="347" w:name="_Toc436660178"/>
      <w:bookmarkStart w:id="348" w:name="_Toc436663725"/>
      <w:bookmarkStart w:id="349" w:name="_Toc436664115"/>
      <w:bookmarkStart w:id="350" w:name="_Toc436664676"/>
      <w:bookmarkStart w:id="351" w:name="_Toc436664818"/>
      <w:bookmarkStart w:id="352" w:name="_Toc436665033"/>
      <w:bookmarkStart w:id="353" w:name="_Toc436666150"/>
      <w:bookmarkStart w:id="354" w:name="_Toc436666857"/>
      <w:bookmarkStart w:id="355" w:name="_Toc436666975"/>
      <w:bookmarkStart w:id="356" w:name="_Toc440378838"/>
      <w:bookmarkEnd w:id="339"/>
      <w:r w:rsidRPr="004A1196">
        <w:rPr>
          <w:color w:val="0B2B43" w:themeColor="text2" w:themeShade="80"/>
        </w:rPr>
        <w:t>Assessment of impact and engagement</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rsidR="002C6039" w:rsidRPr="004A1196" w:rsidRDefault="002C6039" w:rsidP="002C6039">
      <w:pPr>
        <w:rPr>
          <w:color w:val="0B2B43" w:themeColor="text2" w:themeShade="80"/>
        </w:rPr>
      </w:pPr>
      <w:r w:rsidRPr="004A1196">
        <w:rPr>
          <w:color w:val="0B2B43" w:themeColor="text2" w:themeShade="80"/>
        </w:rPr>
        <w:t xml:space="preserve">Although Australia’s research sector </w:t>
      </w:r>
      <w:proofErr w:type="gramStart"/>
      <w:r w:rsidRPr="004A1196">
        <w:rPr>
          <w:color w:val="0B2B43" w:themeColor="text2" w:themeShade="80"/>
        </w:rPr>
        <w:t>is globally recognised</w:t>
      </w:r>
      <w:proofErr w:type="gramEnd"/>
      <w:r w:rsidRPr="004A1196">
        <w:rPr>
          <w:color w:val="0B2B43" w:themeColor="text2" w:themeShade="80"/>
        </w:rPr>
        <w:t xml:space="preserve"> as producing high quality research,</w:t>
      </w:r>
      <w:r w:rsidRPr="004A1196">
        <w:rPr>
          <w:rStyle w:val="FootnoteReference"/>
          <w:color w:val="0B2B43" w:themeColor="text2" w:themeShade="80"/>
        </w:rPr>
        <w:footnoteReference w:id="81"/>
      </w:r>
      <w:r w:rsidRPr="004A1196">
        <w:rPr>
          <w:color w:val="0B2B43" w:themeColor="text2" w:themeShade="80"/>
        </w:rPr>
        <w:t xml:space="preserve"> this alone is not sufficient for the public investment that is made in Australia’s universities. Research must be high quality and </w:t>
      </w:r>
      <w:proofErr w:type="gramStart"/>
      <w:r w:rsidRPr="004A1196">
        <w:rPr>
          <w:color w:val="0B2B43" w:themeColor="text2" w:themeShade="80"/>
        </w:rPr>
        <w:t>must also</w:t>
      </w:r>
      <w:proofErr w:type="gramEnd"/>
      <w:r w:rsidRPr="004A1196">
        <w:rPr>
          <w:color w:val="0B2B43" w:themeColor="text2" w:themeShade="80"/>
        </w:rPr>
        <w:t xml:space="preserve"> have an impact. That is, as defined by the Higher Education Funding Council for England (</w:t>
      </w:r>
      <w:proofErr w:type="spellStart"/>
      <w:r w:rsidRPr="004A1196">
        <w:rPr>
          <w:color w:val="0B2B43" w:themeColor="text2" w:themeShade="80"/>
        </w:rPr>
        <w:t>HEFCE</w:t>
      </w:r>
      <w:proofErr w:type="spellEnd"/>
      <w:r w:rsidRPr="004A1196">
        <w:rPr>
          <w:color w:val="0B2B43" w:themeColor="text2" w:themeShade="80"/>
        </w:rPr>
        <w:t>), it must have ‘an effect on, change or benefit to the economy, society, culture, public policy or services, health, the environment or quality of life, beyond academia’.</w:t>
      </w:r>
      <w:r w:rsidRPr="004A1196">
        <w:rPr>
          <w:rStyle w:val="FootnoteReference"/>
          <w:color w:val="0B2B43" w:themeColor="text2" w:themeShade="80"/>
        </w:rPr>
        <w:footnoteReference w:id="82"/>
      </w:r>
      <w:r w:rsidRPr="004A1196">
        <w:rPr>
          <w:color w:val="0B2B43" w:themeColor="text2" w:themeShade="80"/>
        </w:rPr>
        <w:t xml:space="preserve"> </w:t>
      </w:r>
    </w:p>
    <w:p w:rsidR="002C6039" w:rsidRPr="004A1196" w:rsidRDefault="002C6039" w:rsidP="002C6039">
      <w:pPr>
        <w:rPr>
          <w:color w:val="0B2B43" w:themeColor="text2" w:themeShade="80"/>
          <w:lang w:eastAsia="ar-SA"/>
        </w:rPr>
      </w:pPr>
      <w:r w:rsidRPr="004A1196">
        <w:rPr>
          <w:color w:val="0B2B43" w:themeColor="text2" w:themeShade="80"/>
          <w:lang w:eastAsia="ar-SA"/>
        </w:rPr>
        <w:t xml:space="preserve">It </w:t>
      </w:r>
      <w:proofErr w:type="gramStart"/>
      <w:r w:rsidRPr="004A1196">
        <w:rPr>
          <w:color w:val="0B2B43" w:themeColor="text2" w:themeShade="80"/>
          <w:lang w:eastAsia="ar-SA"/>
        </w:rPr>
        <w:t>has long been recognised</w:t>
      </w:r>
      <w:proofErr w:type="gramEnd"/>
      <w:r w:rsidRPr="004A1196">
        <w:rPr>
          <w:color w:val="0B2B43" w:themeColor="text2" w:themeShade="80"/>
          <w:lang w:eastAsia="ar-SA"/>
        </w:rPr>
        <w:t xml:space="preserve"> that, with the emergence of a knowledge-based global economy, the diffusion of knowledge is just as important for innovation as the creation of knowledge.</w:t>
      </w:r>
      <w:r w:rsidRPr="004A1196">
        <w:rPr>
          <w:rStyle w:val="FootnoteReference"/>
          <w:color w:val="0B2B43" w:themeColor="text2" w:themeShade="80"/>
          <w:lang w:eastAsia="ar-SA"/>
        </w:rPr>
        <w:footnoteReference w:id="83"/>
      </w:r>
      <w:r w:rsidRPr="004A1196">
        <w:rPr>
          <w:color w:val="0B2B43" w:themeColor="text2" w:themeShade="80"/>
          <w:lang w:eastAsia="ar-SA"/>
        </w:rPr>
        <w:t xml:space="preserve"> Access to and application of relevant knowledge increasingly drives innovation that leads to new products, services and business models </w:t>
      </w:r>
    </w:p>
    <w:p w:rsidR="002C6039" w:rsidRPr="004A1196" w:rsidRDefault="002C6039" w:rsidP="002C6039">
      <w:pPr>
        <w:rPr>
          <w:color w:val="0B2B43" w:themeColor="text2" w:themeShade="80"/>
          <w:lang w:eastAsia="ar-SA"/>
        </w:rPr>
      </w:pPr>
      <w:proofErr w:type="gramStart"/>
      <w:r w:rsidRPr="004A1196">
        <w:rPr>
          <w:color w:val="0B2B43" w:themeColor="text2" w:themeShade="80"/>
          <w:lang w:eastAsia="ar-SA"/>
        </w:rPr>
        <w:t>For example, in a discussion paper produced for the Australian Council of Learned Academies (</w:t>
      </w:r>
      <w:proofErr w:type="spellStart"/>
      <w:r w:rsidRPr="004A1196">
        <w:rPr>
          <w:color w:val="0B2B43" w:themeColor="text2" w:themeShade="80"/>
          <w:lang w:eastAsia="ar-SA"/>
        </w:rPr>
        <w:t>ACOLA</w:t>
      </w:r>
      <w:proofErr w:type="spellEnd"/>
      <w:r w:rsidRPr="004A1196">
        <w:rPr>
          <w:color w:val="0B2B43" w:themeColor="text2" w:themeShade="80"/>
          <w:lang w:eastAsia="ar-SA"/>
        </w:rPr>
        <w:t xml:space="preserve">), </w:t>
      </w:r>
      <w:r w:rsidRPr="004A1196">
        <w:rPr>
          <w:i/>
          <w:color w:val="0B2B43" w:themeColor="text2" w:themeShade="80"/>
          <w:lang w:eastAsia="ar-SA"/>
        </w:rPr>
        <w:t>The role of science, research and technology in lifting Australia’s productivity</w:t>
      </w:r>
      <w:r w:rsidRPr="004A1196">
        <w:rPr>
          <w:color w:val="0B2B43" w:themeColor="text2" w:themeShade="80"/>
          <w:lang w:eastAsia="ar-SA"/>
        </w:rPr>
        <w:t>,</w:t>
      </w:r>
      <w:r w:rsidRPr="004A1196">
        <w:rPr>
          <w:rStyle w:val="FootnoteReference"/>
          <w:color w:val="0B2B43" w:themeColor="text2" w:themeShade="80"/>
          <w:lang w:eastAsia="ar-SA"/>
        </w:rPr>
        <w:t xml:space="preserve"> </w:t>
      </w:r>
      <w:r w:rsidRPr="004A1196">
        <w:rPr>
          <w:color w:val="0B2B43" w:themeColor="text2" w:themeShade="80"/>
          <w:lang w:eastAsia="ar-SA"/>
        </w:rPr>
        <w:t>the authors refer to the 2011 General Electric Global Innovation Barometer, which indicated that forty per cent of all innovation in the next decade was expected to be driven by collaboration across institutional and national boundaries.</w:t>
      </w:r>
      <w:r w:rsidRPr="004A1196">
        <w:rPr>
          <w:rStyle w:val="FootnoteReference"/>
          <w:color w:val="0B2B43" w:themeColor="text2" w:themeShade="80"/>
          <w:lang w:eastAsia="ar-SA"/>
        </w:rPr>
        <w:footnoteReference w:id="84"/>
      </w:r>
      <w:proofErr w:type="gramEnd"/>
      <w:r w:rsidRPr="004A1196">
        <w:rPr>
          <w:color w:val="0B2B43" w:themeColor="text2" w:themeShade="80"/>
          <w:lang w:eastAsia="ar-SA"/>
        </w:rPr>
        <w:t xml:space="preserve"> The discussion paper also noted that the nature of the relationships between business and research organisations is changing, saying that, </w:t>
      </w:r>
    </w:p>
    <w:p w:rsidR="002C6039" w:rsidRPr="004A1196" w:rsidRDefault="002C6039" w:rsidP="002C6039">
      <w:pPr>
        <w:autoSpaceDE w:val="0"/>
        <w:autoSpaceDN w:val="0"/>
        <w:adjustRightInd w:val="0"/>
        <w:spacing w:after="0"/>
        <w:ind w:left="567"/>
        <w:rPr>
          <w:color w:val="0B2B43" w:themeColor="text2" w:themeShade="80"/>
          <w:sz w:val="22"/>
          <w:lang w:eastAsia="ar-SA"/>
        </w:rPr>
      </w:pPr>
      <w:r w:rsidRPr="004A1196">
        <w:rPr>
          <w:color w:val="0B2B43" w:themeColor="text2" w:themeShade="80"/>
          <w:sz w:val="22"/>
          <w:lang w:eastAsia="ar-SA"/>
        </w:rPr>
        <w:t>Old linear models of ‘science push’, where business avails itself of findings from self-directed researchers and ‘market pull’, where researchers respond to the needs of business, are crude portrayals of a complicated reality. Notions of ‘technology transfer’, where one party supplies and another receives, have been replaced by the more relationship-based ideas of mutual engagement and ‘co-production of knowledge’.</w:t>
      </w:r>
      <w:r w:rsidRPr="004A1196">
        <w:rPr>
          <w:rStyle w:val="FootnoteReference"/>
          <w:color w:val="0B2B43" w:themeColor="text2" w:themeShade="80"/>
          <w:sz w:val="22"/>
          <w:lang w:eastAsia="ar-SA"/>
        </w:rPr>
        <w:footnoteReference w:id="85"/>
      </w:r>
      <w:r w:rsidRPr="004A1196">
        <w:rPr>
          <w:color w:val="0B2B43" w:themeColor="text2" w:themeShade="80"/>
          <w:sz w:val="22"/>
          <w:lang w:eastAsia="ar-SA"/>
        </w:rPr>
        <w:t xml:space="preserve"> </w:t>
      </w:r>
    </w:p>
    <w:p w:rsidR="002C6039" w:rsidRPr="004A1196" w:rsidRDefault="002C6039" w:rsidP="002C6039">
      <w:pPr>
        <w:rPr>
          <w:color w:val="0B2B43" w:themeColor="text2" w:themeShade="80"/>
          <w:lang w:eastAsia="ar-SA"/>
        </w:rPr>
      </w:pPr>
      <w:r w:rsidRPr="004A1196">
        <w:rPr>
          <w:color w:val="0B2B43" w:themeColor="text2" w:themeShade="80"/>
          <w:lang w:eastAsia="ar-SA"/>
        </w:rPr>
        <w:t xml:space="preserve">The broader </w:t>
      </w:r>
      <w:proofErr w:type="gramStart"/>
      <w:r w:rsidRPr="004A1196">
        <w:rPr>
          <w:color w:val="0B2B43" w:themeColor="text2" w:themeShade="80"/>
          <w:lang w:eastAsia="ar-SA"/>
        </w:rPr>
        <w:t>spill-over</w:t>
      </w:r>
      <w:proofErr w:type="gramEnd"/>
      <w:r w:rsidRPr="004A1196">
        <w:rPr>
          <w:color w:val="0B2B43" w:themeColor="text2" w:themeShade="80"/>
          <w:lang w:eastAsia="ar-SA"/>
        </w:rPr>
        <w:t xml:space="preserve"> and adoption benefits of research are also important. Productivity benefits from research and successful innovations </w:t>
      </w:r>
      <w:proofErr w:type="gramStart"/>
      <w:r w:rsidRPr="004A1196">
        <w:rPr>
          <w:color w:val="0B2B43" w:themeColor="text2" w:themeShade="80"/>
          <w:lang w:eastAsia="ar-SA"/>
        </w:rPr>
        <w:t>are not fully absorbed by the innovating organisations or firms, but rather diffused through the economy, leading to positive externalities in growth and the productivity performance of the other users</w:t>
      </w:r>
      <w:proofErr w:type="gramEnd"/>
      <w:r w:rsidRPr="004A1196">
        <w:rPr>
          <w:color w:val="0B2B43" w:themeColor="text2" w:themeShade="80"/>
          <w:lang w:eastAsia="ar-SA"/>
        </w:rPr>
        <w:t>.</w:t>
      </w:r>
    </w:p>
    <w:p w:rsidR="002C6039" w:rsidRPr="004A1196" w:rsidRDefault="002C6039" w:rsidP="002C6039">
      <w:pPr>
        <w:rPr>
          <w:color w:val="0B2B43" w:themeColor="text2" w:themeShade="80"/>
          <w:lang w:eastAsia="ar-SA"/>
        </w:rPr>
      </w:pPr>
      <w:r w:rsidRPr="004A1196">
        <w:rPr>
          <w:color w:val="0B2B43" w:themeColor="text2" w:themeShade="80"/>
          <w:lang w:eastAsia="ar-SA"/>
        </w:rPr>
        <w:t xml:space="preserve">Improved performance in research translation and business-researcher collaboration is essential. It benefits businesses and other </w:t>
      </w:r>
      <w:r w:rsidR="003904BC">
        <w:rPr>
          <w:color w:val="0B2B43" w:themeColor="text2" w:themeShade="80"/>
          <w:lang w:eastAsia="ar-SA"/>
        </w:rPr>
        <w:t>end user</w:t>
      </w:r>
      <w:r w:rsidRPr="004A1196">
        <w:rPr>
          <w:color w:val="0B2B43" w:themeColor="text2" w:themeShade="80"/>
          <w:lang w:eastAsia="ar-SA"/>
        </w:rPr>
        <w:t>s through the access to ideas, knowledge, equipment and talent that they would not otherwise possess. This gives commercial advantage and boosts productivity.</w:t>
      </w:r>
    </w:p>
    <w:p w:rsidR="002C6039" w:rsidRPr="004A1196" w:rsidRDefault="002C6039" w:rsidP="002C6039">
      <w:pPr>
        <w:rPr>
          <w:color w:val="0B2B43" w:themeColor="text2" w:themeShade="80"/>
          <w:lang w:eastAsia="ar-SA"/>
        </w:rPr>
      </w:pPr>
      <w:r w:rsidRPr="004A1196">
        <w:rPr>
          <w:color w:val="0B2B43" w:themeColor="text2" w:themeShade="80"/>
          <w:lang w:eastAsia="ar-SA"/>
        </w:rPr>
        <w:t xml:space="preserve">The benefits to universities include new sources of income and new research opportunities. Better collaboration with </w:t>
      </w:r>
      <w:r w:rsidR="003904BC">
        <w:rPr>
          <w:color w:val="0B2B43" w:themeColor="text2" w:themeShade="80"/>
          <w:lang w:eastAsia="ar-SA"/>
        </w:rPr>
        <w:t>end user</w:t>
      </w:r>
      <w:r w:rsidRPr="004A1196">
        <w:rPr>
          <w:color w:val="0B2B43" w:themeColor="text2" w:themeShade="80"/>
          <w:lang w:eastAsia="ar-SA"/>
        </w:rPr>
        <w:t>s can also produce a range of intangible benefits to researchers including enhanced reputation, insights to shape research agendas</w:t>
      </w:r>
      <w:r w:rsidR="002D728F">
        <w:rPr>
          <w:color w:val="0B2B43" w:themeColor="text2" w:themeShade="80"/>
          <w:lang w:eastAsia="ar-SA"/>
        </w:rPr>
        <w:t xml:space="preserve">, opportunity to engage in real </w:t>
      </w:r>
      <w:r w:rsidRPr="004A1196">
        <w:rPr>
          <w:color w:val="0B2B43" w:themeColor="text2" w:themeShade="80"/>
          <w:lang w:eastAsia="ar-SA"/>
        </w:rPr>
        <w:t>life problems, engagement with the broader community and improved employability for graduates.</w:t>
      </w:r>
    </w:p>
    <w:p w:rsidR="002C6039" w:rsidRPr="004A1196" w:rsidRDefault="002C6039" w:rsidP="002C6039">
      <w:pPr>
        <w:rPr>
          <w:color w:val="0B2B43" w:themeColor="text2" w:themeShade="80"/>
          <w:lang w:eastAsia="ar-SA"/>
        </w:rPr>
      </w:pPr>
      <w:r w:rsidRPr="004A1196">
        <w:rPr>
          <w:color w:val="0B2B43" w:themeColor="text2" w:themeShade="80"/>
          <w:lang w:eastAsia="ar-SA"/>
        </w:rPr>
        <w:t xml:space="preserve">A lack of strong person to person and institution to </w:t>
      </w:r>
      <w:r w:rsidR="003904BC">
        <w:rPr>
          <w:color w:val="0B2B43" w:themeColor="text2" w:themeShade="80"/>
          <w:lang w:eastAsia="ar-SA"/>
        </w:rPr>
        <w:t>end user</w:t>
      </w:r>
      <w:r w:rsidRPr="004A1196">
        <w:rPr>
          <w:color w:val="0B2B43" w:themeColor="text2" w:themeShade="80"/>
          <w:lang w:eastAsia="ar-SA"/>
        </w:rPr>
        <w:t xml:space="preserve"> links prevents knowledge, skills, and resources from </w:t>
      </w:r>
      <w:proofErr w:type="gramStart"/>
      <w:r w:rsidRPr="004A1196">
        <w:rPr>
          <w:color w:val="0B2B43" w:themeColor="text2" w:themeShade="80"/>
          <w:lang w:eastAsia="ar-SA"/>
        </w:rPr>
        <w:t>being shared</w:t>
      </w:r>
      <w:proofErr w:type="gramEnd"/>
      <w:r w:rsidRPr="004A1196">
        <w:rPr>
          <w:color w:val="0B2B43" w:themeColor="text2" w:themeShade="80"/>
          <w:lang w:eastAsia="ar-SA"/>
        </w:rPr>
        <w:t xml:space="preserve"> and this reduces impact. In contrast, better linkages between the research sector and </w:t>
      </w:r>
      <w:r w:rsidR="003904BC">
        <w:rPr>
          <w:color w:val="0B2B43" w:themeColor="text2" w:themeShade="80"/>
          <w:lang w:eastAsia="ar-SA"/>
        </w:rPr>
        <w:t>end user</w:t>
      </w:r>
      <w:r w:rsidRPr="004A1196">
        <w:rPr>
          <w:color w:val="0B2B43" w:themeColor="text2" w:themeShade="80"/>
          <w:lang w:eastAsia="ar-SA"/>
        </w:rPr>
        <w:t>s, including movement of academics and business people between universities and other sectors, helps build an innovation culture.</w:t>
      </w:r>
    </w:p>
    <w:p w:rsidR="002C6039" w:rsidRPr="004A1196" w:rsidRDefault="002C6039" w:rsidP="002C6039">
      <w:pPr>
        <w:pStyle w:val="RIHeading2"/>
        <w:rPr>
          <w:color w:val="0B2B43" w:themeColor="text2" w:themeShade="80"/>
        </w:rPr>
      </w:pPr>
      <w:bookmarkStart w:id="357" w:name="_Toc436651873"/>
      <w:bookmarkStart w:id="358" w:name="_Toc436660179"/>
      <w:r w:rsidRPr="004A1196">
        <w:rPr>
          <w:color w:val="0B2B43" w:themeColor="text2" w:themeShade="80"/>
        </w:rPr>
        <w:t>Impact and engagement sits alongside quality</w:t>
      </w:r>
      <w:bookmarkEnd w:id="357"/>
      <w:bookmarkEnd w:id="358"/>
    </w:p>
    <w:p w:rsidR="002C6039" w:rsidRPr="004A1196" w:rsidRDefault="002C6039" w:rsidP="002C6039">
      <w:pPr>
        <w:rPr>
          <w:color w:val="0B2B43" w:themeColor="text2" w:themeShade="80"/>
        </w:rPr>
      </w:pPr>
      <w:r w:rsidRPr="004A1196">
        <w:rPr>
          <w:color w:val="0B2B43" w:themeColor="text2" w:themeShade="80"/>
        </w:rPr>
        <w:t xml:space="preserve">Research quality is foundational to, and helps drive, research impact (as discussed in Chapter </w:t>
      </w:r>
      <w:r w:rsidR="00E53B62" w:rsidRPr="004A1196">
        <w:rPr>
          <w:color w:val="0B2B43" w:themeColor="text2" w:themeShade="80"/>
        </w:rPr>
        <w:t>3</w:t>
      </w:r>
      <w:r w:rsidRPr="004A1196">
        <w:rPr>
          <w:color w:val="0B2B43" w:themeColor="text2" w:themeShade="80"/>
        </w:rPr>
        <w:t xml:space="preserve">). The Australian university system has a strong focus on research quality, something that has been an important part of our recent relative success in international rankings. Excellence in Research for Australia (ERA) assesses the quality of research outputs of Australian universities against world standards. ERA uses expert review of a broad range of indicators of research (both quantitative and qualitative) to provide ratings of discipline areas in each university. The university response has been a strong one, perhaps reflective of the emphasis on research quality in the Australian system. Since its introduction in </w:t>
      </w:r>
      <w:r w:rsidR="00810B02">
        <w:rPr>
          <w:color w:val="0B2B43" w:themeColor="text2" w:themeShade="80"/>
        </w:rPr>
        <w:t>2010, ERA has contributed to a 20</w:t>
      </w:r>
      <w:r w:rsidRPr="004A1196">
        <w:rPr>
          <w:color w:val="0B2B43" w:themeColor="text2" w:themeShade="80"/>
        </w:rPr>
        <w:t xml:space="preserve"> per cent increase in the share of university research in areas where Australia </w:t>
      </w:r>
      <w:proofErr w:type="gramStart"/>
      <w:r w:rsidRPr="004A1196">
        <w:rPr>
          <w:color w:val="0B2B43" w:themeColor="text2" w:themeShade="80"/>
        </w:rPr>
        <w:t>is assessed</w:t>
      </w:r>
      <w:proofErr w:type="gramEnd"/>
      <w:r w:rsidRPr="004A1196">
        <w:rPr>
          <w:color w:val="0B2B43" w:themeColor="text2" w:themeShade="80"/>
        </w:rPr>
        <w:t xml:space="preserve"> to be at or above world standard.</w:t>
      </w:r>
      <w:r w:rsidRPr="004A1196">
        <w:rPr>
          <w:rStyle w:val="FootnoteReference"/>
          <w:color w:val="0B2B43" w:themeColor="text2" w:themeShade="80"/>
        </w:rPr>
        <w:footnoteReference w:id="86"/>
      </w:r>
      <w:r w:rsidRPr="004A1196">
        <w:rPr>
          <w:color w:val="0B2B43" w:themeColor="text2" w:themeShade="80"/>
        </w:rPr>
        <w:t xml:space="preserve"> </w:t>
      </w:r>
    </w:p>
    <w:p w:rsidR="002C6039" w:rsidRPr="004A1196" w:rsidRDefault="002C6039" w:rsidP="002C6039">
      <w:pPr>
        <w:rPr>
          <w:color w:val="0B2B43" w:themeColor="text2" w:themeShade="80"/>
        </w:rPr>
      </w:pPr>
      <w:r w:rsidRPr="004A1196">
        <w:rPr>
          <w:color w:val="0B2B43" w:themeColor="text2" w:themeShade="80"/>
        </w:rPr>
        <w:t xml:space="preserve">A review conducted by </w:t>
      </w:r>
      <w:proofErr w:type="spellStart"/>
      <w:r w:rsidRPr="004A1196">
        <w:rPr>
          <w:color w:val="0B2B43" w:themeColor="text2" w:themeShade="80"/>
        </w:rPr>
        <w:t>ACIL</w:t>
      </w:r>
      <w:proofErr w:type="spellEnd"/>
      <w:r w:rsidRPr="004A1196">
        <w:rPr>
          <w:color w:val="0B2B43" w:themeColor="text2" w:themeShade="80"/>
        </w:rPr>
        <w:t xml:space="preserve"> Allen Consulting found that in response to ERA, universities have </w:t>
      </w:r>
      <w:r w:rsidR="00284CE0">
        <w:rPr>
          <w:color w:val="0B2B43" w:themeColor="text2" w:themeShade="80"/>
        </w:rPr>
        <w:t>focused</w:t>
      </w:r>
      <w:r w:rsidRPr="004A1196">
        <w:rPr>
          <w:color w:val="0B2B43" w:themeColor="text2" w:themeShade="80"/>
        </w:rPr>
        <w:t xml:space="preserve"> their research efforts by filling gaps and discontinuing less productive activities thereby improving overall quality. Further, ERA has enhanced collaboration within the university sector and between universities and external partners. The review also found evidence that ERA has led to cost savings by improving the efficiency and effectiveness of university operations through better management and strategic planning of research efforts within institutions.</w:t>
      </w:r>
      <w:r w:rsidRPr="004A1196">
        <w:rPr>
          <w:rStyle w:val="FootnoteReference"/>
          <w:color w:val="0B2B43" w:themeColor="text2" w:themeShade="80"/>
        </w:rPr>
        <w:footnoteReference w:id="87"/>
      </w:r>
    </w:p>
    <w:p w:rsidR="002C6039" w:rsidRPr="004A1196" w:rsidRDefault="002C6039" w:rsidP="002C6039">
      <w:pPr>
        <w:rPr>
          <w:color w:val="0B2B43" w:themeColor="text2" w:themeShade="80"/>
        </w:rPr>
      </w:pPr>
      <w:r w:rsidRPr="004A1196">
        <w:rPr>
          <w:color w:val="0B2B43" w:themeColor="text2" w:themeShade="80"/>
        </w:rPr>
        <w:t xml:space="preserve">While universities have responded in these positive ways to ERA, there is no similar, systematic process for measuring the broader economic, social and environmental impact of university research. This is widely considered </w:t>
      </w:r>
      <w:proofErr w:type="gramStart"/>
      <w:r w:rsidRPr="004A1196">
        <w:rPr>
          <w:color w:val="0B2B43" w:themeColor="text2" w:themeShade="80"/>
        </w:rPr>
        <w:t>to be one</w:t>
      </w:r>
      <w:proofErr w:type="gramEnd"/>
      <w:r w:rsidRPr="004A1196">
        <w:rPr>
          <w:color w:val="0B2B43" w:themeColor="text2" w:themeShade="80"/>
        </w:rPr>
        <w:t xml:space="preserve"> reason why research impact is less of a focus than research quality. As in many areas of public policy, </w:t>
      </w:r>
      <w:proofErr w:type="gramStart"/>
      <w:r w:rsidRPr="004A1196">
        <w:rPr>
          <w:color w:val="0B2B43" w:themeColor="text2" w:themeShade="80"/>
        </w:rPr>
        <w:t>it is what</w:t>
      </w:r>
      <w:proofErr w:type="gramEnd"/>
      <w:r w:rsidRPr="004A1196">
        <w:rPr>
          <w:color w:val="0B2B43" w:themeColor="text2" w:themeShade="80"/>
        </w:rPr>
        <w:t xml:space="preserve"> is measured that is seen to matter.</w:t>
      </w:r>
    </w:p>
    <w:p w:rsidR="0014465E" w:rsidRDefault="002C6039" w:rsidP="002C6039">
      <w:pPr>
        <w:rPr>
          <w:color w:val="0B2B43" w:themeColor="text2" w:themeShade="80"/>
        </w:rPr>
      </w:pPr>
      <w:r w:rsidRPr="004A1196">
        <w:rPr>
          <w:color w:val="0B2B43" w:themeColor="text2" w:themeShade="80"/>
        </w:rPr>
        <w:t xml:space="preserve">The review concluded that measuring engagement and the impact of research is crucial to ensuring maximum benefits flow from Australia’s investment in research in universities and an assessment system should be introduced urgently. </w:t>
      </w:r>
    </w:p>
    <w:p w:rsidR="0014465E" w:rsidRDefault="0014465E" w:rsidP="00C6639A">
      <w:r>
        <w:br w:type="page"/>
      </w:r>
    </w:p>
    <w:p w:rsidR="002C6039" w:rsidRPr="004A1196" w:rsidRDefault="002C6039" w:rsidP="002C6039">
      <w:pPr>
        <w:pStyle w:val="RIHeading2"/>
        <w:rPr>
          <w:color w:val="0B2B43" w:themeColor="text2" w:themeShade="80"/>
        </w:rPr>
      </w:pPr>
      <w:bookmarkStart w:id="359" w:name="_Toc436651874"/>
      <w:bookmarkStart w:id="360" w:name="_Toc436660180"/>
      <w:r w:rsidRPr="004A1196">
        <w:rPr>
          <w:color w:val="0B2B43" w:themeColor="text2" w:themeShade="80"/>
        </w:rPr>
        <w:t>Approaches to assessing research impact</w:t>
      </w:r>
      <w:bookmarkEnd w:id="359"/>
      <w:bookmarkEnd w:id="360"/>
    </w:p>
    <w:p w:rsidR="002C6039" w:rsidRPr="004A1196" w:rsidRDefault="002C6039" w:rsidP="002C6039">
      <w:pPr>
        <w:rPr>
          <w:color w:val="0B2B43" w:themeColor="text2" w:themeShade="80"/>
        </w:rPr>
      </w:pPr>
      <w:r w:rsidRPr="004A1196">
        <w:rPr>
          <w:color w:val="0B2B43" w:themeColor="text2" w:themeShade="80"/>
        </w:rPr>
        <w:t xml:space="preserve">Measuring research impact is, however, difficult and international practice for doing so is still at an early stage. </w:t>
      </w:r>
      <w:proofErr w:type="gramStart"/>
      <w:r w:rsidRPr="004A1196">
        <w:rPr>
          <w:color w:val="0B2B43" w:themeColor="text2" w:themeShade="80"/>
        </w:rPr>
        <w:t>There are several methodologies that have been used or proposed to measure impact and engagement, including the use of quantitative data or metrics and qualitative case studies, often accompanied by peer review of the evidence.</w:t>
      </w:r>
      <w:proofErr w:type="gramEnd"/>
      <w:r w:rsidRPr="004A1196">
        <w:rPr>
          <w:color w:val="0B2B43" w:themeColor="text2" w:themeShade="80"/>
        </w:rPr>
        <w:t xml:space="preserve"> Several initiatives, both within Australia and overseas, have sought to assess research impact using these methodologies or combinations of them. The most notable international example is the United Kingdom’s Research Excellence Framework (REF), the new system for assessing the quality of research and impact in UK higher education institutions, which </w:t>
      </w:r>
      <w:proofErr w:type="gramStart"/>
      <w:r w:rsidRPr="004A1196">
        <w:rPr>
          <w:color w:val="0B2B43" w:themeColor="text2" w:themeShade="80"/>
        </w:rPr>
        <w:t>was first run</w:t>
      </w:r>
      <w:proofErr w:type="gramEnd"/>
      <w:r w:rsidRPr="004A1196">
        <w:rPr>
          <w:color w:val="0B2B43" w:themeColor="text2" w:themeShade="80"/>
        </w:rPr>
        <w:t xml:space="preserve"> in 2014 and replaced the previous Research Assessment Exercise (RAE).</w:t>
      </w:r>
      <w:r w:rsidRPr="004A1196">
        <w:rPr>
          <w:rStyle w:val="FootnoteReference"/>
          <w:color w:val="0B2B43" w:themeColor="text2" w:themeShade="80"/>
        </w:rPr>
        <w:footnoteReference w:id="88"/>
      </w:r>
      <w:r w:rsidRPr="004A1196">
        <w:rPr>
          <w:color w:val="0B2B43" w:themeColor="text2" w:themeShade="80"/>
        </w:rPr>
        <w:t xml:space="preserve"> </w:t>
      </w:r>
    </w:p>
    <w:p w:rsidR="002C6039" w:rsidRPr="004A1196" w:rsidRDefault="002C6039" w:rsidP="002C6039">
      <w:pPr>
        <w:pStyle w:val="RIHeading3"/>
        <w:rPr>
          <w:color w:val="0B2B43" w:themeColor="text2" w:themeShade="80"/>
        </w:rPr>
      </w:pPr>
      <w:bookmarkStart w:id="361" w:name="_Toc436651875"/>
      <w:bookmarkStart w:id="362" w:name="_Toc436660181"/>
      <w:r w:rsidRPr="004A1196">
        <w:rPr>
          <w:rFonts w:eastAsia="Calibri"/>
          <w:color w:val="0B2B43" w:themeColor="text2" w:themeShade="80"/>
        </w:rPr>
        <w:t xml:space="preserve">a) </w:t>
      </w:r>
      <w:r w:rsidRPr="004A1196">
        <w:rPr>
          <w:color w:val="0B2B43" w:themeColor="text2" w:themeShade="80"/>
        </w:rPr>
        <w:t>Case studies</w:t>
      </w:r>
      <w:bookmarkEnd w:id="361"/>
      <w:bookmarkEnd w:id="362"/>
    </w:p>
    <w:p w:rsidR="002C6039" w:rsidRPr="004A1196" w:rsidRDefault="002C6039" w:rsidP="002C6039">
      <w:pPr>
        <w:rPr>
          <w:color w:val="0B2B43" w:themeColor="text2" w:themeShade="80"/>
        </w:rPr>
      </w:pPr>
      <w:r w:rsidRPr="004A1196">
        <w:rPr>
          <w:color w:val="0B2B43" w:themeColor="text2" w:themeShade="80"/>
        </w:rPr>
        <w:t xml:space="preserve">A case study based approach to assessing impact involves the evaluation of written university submissions that explain the specific social, economic and other outcomes, benefits or effects of selected research activity. One advantage of this approach is that it helps allow for the analysis of complex phenomena within their contexts. In the case of research impact, case studies can help to answer questions about how and why research has impact, complementing other data on aspects that </w:t>
      </w:r>
      <w:proofErr w:type="gramStart"/>
      <w:r w:rsidRPr="004A1196">
        <w:rPr>
          <w:color w:val="0B2B43" w:themeColor="text2" w:themeShade="80"/>
        </w:rPr>
        <w:t>can be measured</w:t>
      </w:r>
      <w:proofErr w:type="gramEnd"/>
      <w:r w:rsidRPr="004A1196">
        <w:rPr>
          <w:color w:val="0B2B43" w:themeColor="text2" w:themeShade="80"/>
        </w:rPr>
        <w:t xml:space="preserve"> quantitatively. The use of case studies is also of particular importance to assessing the impact of research in disciplines such as the humanities, social sciences and creative arts where appropriate quantitative measures, such as financial results for </w:t>
      </w:r>
      <w:r w:rsidR="003904BC">
        <w:rPr>
          <w:color w:val="0B2B43" w:themeColor="text2" w:themeShade="80"/>
        </w:rPr>
        <w:t>end user</w:t>
      </w:r>
      <w:r w:rsidRPr="004A1196">
        <w:rPr>
          <w:color w:val="0B2B43" w:themeColor="text2" w:themeShade="80"/>
        </w:rPr>
        <w:t>s or commercialisation revenue may be low. Finally, some of the impacts in these disciplines may relate to social benefits over long time periods or may have an influence in informing policy settings in particular social, cultural, environmental or others areas, which can only be captured through qualitative analysis or assessment. Case studies of research impact are therefore best analysed and evaluated by peer reviewers with expertise in the relevant disciplines or fields in which the research has an impact.</w:t>
      </w:r>
    </w:p>
    <w:p w:rsidR="002C6039" w:rsidRPr="004A1196" w:rsidRDefault="002C6039" w:rsidP="002C6039">
      <w:pPr>
        <w:rPr>
          <w:color w:val="0B2B43" w:themeColor="text2" w:themeShade="80"/>
        </w:rPr>
      </w:pPr>
      <w:r w:rsidRPr="004A1196">
        <w:rPr>
          <w:color w:val="0B2B43" w:themeColor="text2" w:themeShade="80"/>
        </w:rPr>
        <w:t xml:space="preserve">The UK REF 2014 comprised assessment of research quality, the vitality of the research environment and impact case studies. For the impact case studies component, universities </w:t>
      </w:r>
      <w:proofErr w:type="gramStart"/>
      <w:r w:rsidRPr="004A1196">
        <w:rPr>
          <w:color w:val="0B2B43" w:themeColor="text2" w:themeShade="80"/>
        </w:rPr>
        <w:t>were asked</w:t>
      </w:r>
      <w:proofErr w:type="gramEnd"/>
      <w:r w:rsidRPr="004A1196">
        <w:rPr>
          <w:color w:val="0B2B43" w:themeColor="text2" w:themeShade="80"/>
        </w:rPr>
        <w:t xml:space="preserve"> to submit examples of impact that occurred between 2008 and 2013. They also completed an ‘impact </w:t>
      </w:r>
      <w:proofErr w:type="gramStart"/>
      <w:r w:rsidRPr="004A1196">
        <w:rPr>
          <w:color w:val="0B2B43" w:themeColor="text2" w:themeShade="80"/>
        </w:rPr>
        <w:t>template’ which</w:t>
      </w:r>
      <w:proofErr w:type="gramEnd"/>
      <w:r w:rsidRPr="004A1196">
        <w:rPr>
          <w:color w:val="0B2B43" w:themeColor="text2" w:themeShade="80"/>
        </w:rPr>
        <w:t xml:space="preserve"> provided a more general description of how they achieved impact and strategies to sustain the benefits from the research. The case studies were assessed and graded by panels of academics and research users in terms of the ‘reach and significance’ of the impacts.</w:t>
      </w:r>
    </w:p>
    <w:p w:rsidR="001C7443" w:rsidRPr="004A1196" w:rsidRDefault="002C6039" w:rsidP="002C6039">
      <w:pPr>
        <w:rPr>
          <w:color w:val="0B2B43" w:themeColor="text2" w:themeShade="80"/>
        </w:rPr>
      </w:pPr>
      <w:r w:rsidRPr="004A1196">
        <w:rPr>
          <w:color w:val="0B2B43" w:themeColor="text2" w:themeShade="80"/>
        </w:rPr>
        <w:t xml:space="preserve">The </w:t>
      </w:r>
      <w:r w:rsidR="000171A2" w:rsidRPr="004A1196">
        <w:rPr>
          <w:color w:val="0B2B43" w:themeColor="text2" w:themeShade="80"/>
        </w:rPr>
        <w:t xml:space="preserve">REF results are a key input to decisions on research funding allocations by </w:t>
      </w:r>
      <w:r w:rsidRPr="004A1196">
        <w:rPr>
          <w:color w:val="0B2B43" w:themeColor="text2" w:themeShade="80"/>
        </w:rPr>
        <w:t>UK higher education funding bodies</w:t>
      </w:r>
      <w:r w:rsidR="000171A2" w:rsidRPr="004A1196">
        <w:rPr>
          <w:color w:val="0B2B43" w:themeColor="text2" w:themeShade="80"/>
        </w:rPr>
        <w:t>. In 2015-16</w:t>
      </w:r>
      <w:r w:rsidR="008633D3" w:rsidRPr="004A1196">
        <w:rPr>
          <w:color w:val="0B2B43" w:themeColor="text2" w:themeShade="80"/>
        </w:rPr>
        <w:t>,</w:t>
      </w:r>
      <w:r w:rsidR="000171A2" w:rsidRPr="004A1196">
        <w:rPr>
          <w:color w:val="0B2B43" w:themeColor="text2" w:themeShade="80"/>
        </w:rPr>
        <w:t xml:space="preserve"> these bodies</w:t>
      </w:r>
      <w:r w:rsidRPr="004A1196">
        <w:rPr>
          <w:color w:val="0B2B43" w:themeColor="text2" w:themeShade="80"/>
        </w:rPr>
        <w:t xml:space="preserve"> will provide a total of £1,945 million in</w:t>
      </w:r>
      <w:r w:rsidR="000A39F9">
        <w:rPr>
          <w:color w:val="0B2B43" w:themeColor="text2" w:themeShade="80"/>
        </w:rPr>
        <w:t xml:space="preserve"> </w:t>
      </w:r>
      <w:r w:rsidRPr="004A1196">
        <w:rPr>
          <w:color w:val="0B2B43" w:themeColor="text2" w:themeShade="80"/>
        </w:rPr>
        <w:t xml:space="preserve">research funding, of which the REF results </w:t>
      </w:r>
      <w:r w:rsidR="000171A2" w:rsidRPr="004A1196">
        <w:rPr>
          <w:color w:val="0B2B43" w:themeColor="text2" w:themeShade="80"/>
        </w:rPr>
        <w:t xml:space="preserve">(including the impact assessment) </w:t>
      </w:r>
      <w:proofErr w:type="gramStart"/>
      <w:r w:rsidRPr="004A1196">
        <w:rPr>
          <w:color w:val="0B2B43" w:themeColor="text2" w:themeShade="80"/>
        </w:rPr>
        <w:t>will be used</w:t>
      </w:r>
      <w:proofErr w:type="gramEnd"/>
      <w:r w:rsidRPr="004A1196">
        <w:rPr>
          <w:color w:val="0B2B43" w:themeColor="text2" w:themeShade="80"/>
        </w:rPr>
        <w:t xml:space="preserve"> to allocate an estimated £1,610 million.</w:t>
      </w:r>
      <w:r w:rsidRPr="004A1196">
        <w:rPr>
          <w:rStyle w:val="FootnoteReference"/>
          <w:color w:val="0B2B43" w:themeColor="text2" w:themeShade="80"/>
        </w:rPr>
        <w:footnoteReference w:id="89"/>
      </w:r>
      <w:r w:rsidRPr="004A1196">
        <w:rPr>
          <w:color w:val="0B2B43" w:themeColor="text2" w:themeShade="80"/>
        </w:rPr>
        <w:t xml:space="preserve"> </w:t>
      </w:r>
    </w:p>
    <w:p w:rsidR="002C6039" w:rsidRPr="004A1196" w:rsidRDefault="002C6039" w:rsidP="002C6039">
      <w:pPr>
        <w:rPr>
          <w:color w:val="0B2B43" w:themeColor="text2" w:themeShade="80"/>
        </w:rPr>
      </w:pPr>
      <w:r w:rsidRPr="004A1196">
        <w:rPr>
          <w:color w:val="0B2B43" w:themeColor="text2" w:themeShade="80"/>
        </w:rPr>
        <w:t>An evaluation of the UK REF by RAND Europe found a number of benefits in assessing impact, including the ability for institutions to identify and understand impact, stimulation of broader strategic thinking about impact, increased recognition within institutions of impact activities and the review and reaffirmation of relationships with external stakeholders.</w:t>
      </w:r>
      <w:r w:rsidRPr="004A1196">
        <w:rPr>
          <w:rStyle w:val="FootnoteReference"/>
          <w:color w:val="0B2B43" w:themeColor="text2" w:themeShade="80"/>
        </w:rPr>
        <w:footnoteReference w:id="90"/>
      </w:r>
      <w:r w:rsidRPr="004A1196">
        <w:rPr>
          <w:color w:val="0B2B43" w:themeColor="text2" w:themeShade="80"/>
        </w:rPr>
        <w:t xml:space="preserve"> Further, the evaluation showed that the impact component influenced a change in behaviour</w:t>
      </w:r>
      <w:r w:rsidR="0014465E">
        <w:rPr>
          <w:color w:val="0B2B43" w:themeColor="text2" w:themeShade="80"/>
        </w:rPr>
        <w:t>. T</w:t>
      </w:r>
      <w:r w:rsidRPr="004A1196">
        <w:rPr>
          <w:color w:val="0B2B43" w:themeColor="text2" w:themeShade="80"/>
        </w:rPr>
        <w:t>his resulted in a cultural change with universities becoming more oriented towards measuring and recording benefits from the start of their research projects rather than a consideration once the researc</w:t>
      </w:r>
      <w:r w:rsidR="00054519">
        <w:rPr>
          <w:color w:val="0B2B43" w:themeColor="text2" w:themeShade="80"/>
        </w:rPr>
        <w:t>h was completed.</w:t>
      </w:r>
      <w:r w:rsidRPr="004A1196">
        <w:rPr>
          <w:rStyle w:val="FootnoteReference"/>
          <w:color w:val="0B2B43" w:themeColor="text2" w:themeShade="80"/>
        </w:rPr>
        <w:footnoteReference w:id="91"/>
      </w:r>
      <w:r w:rsidRPr="004A1196">
        <w:rPr>
          <w:color w:val="0B2B43" w:themeColor="text2" w:themeShade="80"/>
        </w:rPr>
        <w:t xml:space="preserve"> It also concluded that the use of case studies is the most appropriate means of assessing the impact of research because of the breadth and diversity of impact.</w:t>
      </w:r>
      <w:r w:rsidRPr="004A1196">
        <w:rPr>
          <w:rStyle w:val="FootnoteReference"/>
          <w:color w:val="0B2B43" w:themeColor="text2" w:themeShade="80"/>
        </w:rPr>
        <w:footnoteReference w:id="92"/>
      </w:r>
      <w:r w:rsidRPr="004A1196">
        <w:rPr>
          <w:color w:val="0B2B43" w:themeColor="text2" w:themeShade="80"/>
        </w:rPr>
        <w:t xml:space="preserve"> </w:t>
      </w:r>
    </w:p>
    <w:p w:rsidR="002C6039" w:rsidRPr="004A1196" w:rsidRDefault="002C6039" w:rsidP="002C6039">
      <w:pPr>
        <w:rPr>
          <w:color w:val="0B2B43" w:themeColor="text2" w:themeShade="80"/>
        </w:rPr>
      </w:pPr>
      <w:r w:rsidRPr="004A1196">
        <w:rPr>
          <w:color w:val="0B2B43" w:themeColor="text2" w:themeShade="80"/>
        </w:rPr>
        <w:t xml:space="preserve">Both in the UK and during the review’s </w:t>
      </w:r>
      <w:r w:rsidR="0014465E">
        <w:rPr>
          <w:color w:val="0B2B43" w:themeColor="text2" w:themeShade="80"/>
        </w:rPr>
        <w:t>consultation,</w:t>
      </w:r>
      <w:r w:rsidRPr="004A1196">
        <w:rPr>
          <w:color w:val="0B2B43" w:themeColor="text2" w:themeShade="80"/>
        </w:rPr>
        <w:t xml:space="preserve"> the cost of impact assessment </w:t>
      </w:r>
      <w:proofErr w:type="gramStart"/>
      <w:r w:rsidRPr="004A1196">
        <w:rPr>
          <w:color w:val="0B2B43" w:themeColor="text2" w:themeShade="80"/>
        </w:rPr>
        <w:t>was identified</w:t>
      </w:r>
      <w:proofErr w:type="gramEnd"/>
      <w:r w:rsidRPr="004A1196">
        <w:rPr>
          <w:color w:val="0B2B43" w:themeColor="text2" w:themeShade="80"/>
        </w:rPr>
        <w:t xml:space="preserve"> as a concern. A review of the costs of REF 2014 by </w:t>
      </w:r>
      <w:proofErr w:type="spellStart"/>
      <w:r w:rsidRPr="004A1196">
        <w:rPr>
          <w:color w:val="0B2B43" w:themeColor="text2" w:themeShade="80"/>
        </w:rPr>
        <w:t>Technopolis</w:t>
      </w:r>
      <w:proofErr w:type="spellEnd"/>
      <w:r w:rsidRPr="004A1196">
        <w:rPr>
          <w:color w:val="0B2B43" w:themeColor="text2" w:themeShade="80"/>
        </w:rPr>
        <w:t xml:space="preserve"> found that the total estimated cost to th</w:t>
      </w:r>
      <w:r w:rsidR="00215722">
        <w:rPr>
          <w:color w:val="0B2B43" w:themeColor="text2" w:themeShade="80"/>
        </w:rPr>
        <w:t>e UK was £246 million (around $</w:t>
      </w:r>
      <w:r w:rsidRPr="004A1196">
        <w:rPr>
          <w:color w:val="0B2B43" w:themeColor="text2" w:themeShade="80"/>
        </w:rPr>
        <w:t>420 million).</w:t>
      </w:r>
      <w:r w:rsidRPr="004A1196">
        <w:rPr>
          <w:rStyle w:val="FootnoteReference"/>
          <w:color w:val="0B2B43" w:themeColor="text2" w:themeShade="80"/>
        </w:rPr>
        <w:footnoteReference w:id="93"/>
      </w:r>
      <w:r w:rsidRPr="004A1196">
        <w:rPr>
          <w:color w:val="0B2B43" w:themeColor="text2" w:themeShade="80"/>
        </w:rPr>
        <w:t xml:space="preserve"> That comprised costs of around £232 million for the higher education community and £14 million for the funding bodies. It cost UK universities around £55 million to prepare impact submissions as part of REF 2014. The estimated median cost of an impact case stu</w:t>
      </w:r>
      <w:r w:rsidR="002D728F">
        <w:rPr>
          <w:color w:val="0B2B43" w:themeColor="text2" w:themeShade="80"/>
        </w:rPr>
        <w:t>dy were around £7,500 (around $</w:t>
      </w:r>
      <w:r w:rsidRPr="004A1196">
        <w:rPr>
          <w:color w:val="0B2B43" w:themeColor="text2" w:themeShade="80"/>
        </w:rPr>
        <w:t>16,000) and an i</w:t>
      </w:r>
      <w:r w:rsidR="002D728F">
        <w:rPr>
          <w:color w:val="0B2B43" w:themeColor="text2" w:themeShade="80"/>
        </w:rPr>
        <w:t>mpact template £4,500 (around $</w:t>
      </w:r>
      <w:r w:rsidRPr="004A1196">
        <w:rPr>
          <w:color w:val="0B2B43" w:themeColor="text2" w:themeShade="80"/>
        </w:rPr>
        <w:t>7</w:t>
      </w:r>
      <w:r w:rsidR="006448D2" w:rsidRPr="004A1196">
        <w:rPr>
          <w:color w:val="0B2B43" w:themeColor="text2" w:themeShade="80"/>
        </w:rPr>
        <w:t>,</w:t>
      </w:r>
      <w:r w:rsidRPr="004A1196">
        <w:rPr>
          <w:color w:val="0B2B43" w:themeColor="text2" w:themeShade="80"/>
        </w:rPr>
        <w:t xml:space="preserve">700). The </w:t>
      </w:r>
      <w:proofErr w:type="spellStart"/>
      <w:r w:rsidRPr="004A1196">
        <w:rPr>
          <w:color w:val="0B2B43" w:themeColor="text2" w:themeShade="80"/>
        </w:rPr>
        <w:t>Technopolis</w:t>
      </w:r>
      <w:proofErr w:type="spellEnd"/>
      <w:r w:rsidRPr="004A1196">
        <w:rPr>
          <w:color w:val="0B2B43" w:themeColor="text2" w:themeShade="80"/>
        </w:rPr>
        <w:t xml:space="preserve"> report noted, however, that these global figures tend to exaggerate the costs, which </w:t>
      </w:r>
      <w:proofErr w:type="gramStart"/>
      <w:r w:rsidRPr="004A1196">
        <w:rPr>
          <w:color w:val="0B2B43" w:themeColor="text2" w:themeShade="80"/>
        </w:rPr>
        <w:t>were not incurred</w:t>
      </w:r>
      <w:proofErr w:type="gramEnd"/>
      <w:r w:rsidRPr="004A1196">
        <w:rPr>
          <w:color w:val="0B2B43" w:themeColor="text2" w:themeShade="80"/>
        </w:rPr>
        <w:t xml:space="preserve"> in a single year. </w:t>
      </w:r>
    </w:p>
    <w:p w:rsidR="002C6039" w:rsidRPr="004A1196" w:rsidRDefault="002C6039" w:rsidP="002C6039">
      <w:pPr>
        <w:rPr>
          <w:color w:val="0B2B43" w:themeColor="text2" w:themeShade="80"/>
        </w:rPr>
      </w:pPr>
      <w:r w:rsidRPr="004A1196">
        <w:rPr>
          <w:color w:val="0B2B43" w:themeColor="text2" w:themeShade="80"/>
        </w:rPr>
        <w:t xml:space="preserve">Importantly, </w:t>
      </w:r>
      <w:proofErr w:type="spellStart"/>
      <w:r w:rsidRPr="004A1196">
        <w:rPr>
          <w:color w:val="0B2B43" w:themeColor="text2" w:themeShade="80"/>
        </w:rPr>
        <w:t>Technopolis</w:t>
      </w:r>
      <w:proofErr w:type="spellEnd"/>
      <w:r w:rsidRPr="004A1196">
        <w:rPr>
          <w:color w:val="0B2B43" w:themeColor="text2" w:themeShade="80"/>
        </w:rPr>
        <w:t xml:space="preserve"> provided an analysis of annualised costs over a six-year period (representing the time elapsed between the 2008 RAE and the 2014 REF),</w:t>
      </w:r>
      <w:r w:rsidRPr="004A1196">
        <w:rPr>
          <w:rStyle w:val="FootnoteReference"/>
          <w:color w:val="0B2B43" w:themeColor="text2" w:themeShade="80"/>
        </w:rPr>
        <w:footnoteReference w:id="94"/>
      </w:r>
      <w:r w:rsidRPr="004A1196">
        <w:rPr>
          <w:color w:val="0B2B43" w:themeColor="text2" w:themeShade="80"/>
        </w:rPr>
        <w:t xml:space="preserve"> finding that the total cost of the REF (£246 million) amounted to less than one per cent of higher education institutions’ research income from public sources in the UK over that period.</w:t>
      </w:r>
      <w:r w:rsidRPr="004A1196">
        <w:rPr>
          <w:rStyle w:val="FootnoteReference"/>
          <w:color w:val="0B2B43" w:themeColor="text2" w:themeShade="80"/>
        </w:rPr>
        <w:footnoteReference w:id="95"/>
      </w:r>
      <w:r w:rsidRPr="004A1196">
        <w:rPr>
          <w:color w:val="0B2B43" w:themeColor="text2" w:themeShade="80"/>
        </w:rPr>
        <w:t xml:space="preserve"> On that basis, the annualised cost of the impact component (£55 million) represents around 0.2 per cent of research income from public sources over six years. </w:t>
      </w:r>
    </w:p>
    <w:p w:rsidR="002C6039" w:rsidRPr="004A1196" w:rsidRDefault="002C6039" w:rsidP="002C6039">
      <w:pPr>
        <w:rPr>
          <w:color w:val="0B2B43" w:themeColor="text2" w:themeShade="80"/>
        </w:rPr>
      </w:pPr>
      <w:r w:rsidRPr="004A1196">
        <w:rPr>
          <w:color w:val="0B2B43" w:themeColor="text2" w:themeShade="80"/>
        </w:rPr>
        <w:t>Commentators have pointed out that criticisms of the cost associated with impact assessment draw the wrong conclusion.</w:t>
      </w:r>
      <w:r w:rsidRPr="004A1196">
        <w:rPr>
          <w:rStyle w:val="FootnoteReference"/>
          <w:color w:val="0B2B43" w:themeColor="text2" w:themeShade="80"/>
        </w:rPr>
        <w:footnoteReference w:id="96"/>
      </w:r>
      <w:r w:rsidRPr="004A1196">
        <w:rPr>
          <w:color w:val="0B2B43" w:themeColor="text2" w:themeShade="80"/>
        </w:rPr>
        <w:t xml:space="preserve"> The cost of the UK’s impact assessment </w:t>
      </w:r>
      <w:proofErr w:type="gramStart"/>
      <w:r w:rsidRPr="004A1196">
        <w:rPr>
          <w:color w:val="0B2B43" w:themeColor="text2" w:themeShade="80"/>
        </w:rPr>
        <w:t>should be compared to total UK university research expenditure and not just compared to the amount of funding distributed by the funding councils</w:t>
      </w:r>
      <w:proofErr w:type="gramEnd"/>
      <w:r w:rsidRPr="004A1196">
        <w:rPr>
          <w:color w:val="0B2B43" w:themeColor="text2" w:themeShade="80"/>
        </w:rPr>
        <w:t xml:space="preserve">. All countries make a substantial investment in university research, and the cost of impact assessment, which measures the economic, social and environment benefits of this funding, is comparatively small. </w:t>
      </w:r>
    </w:p>
    <w:p w:rsidR="002C6039" w:rsidRPr="004A1196" w:rsidRDefault="002C6039" w:rsidP="002C6039">
      <w:pPr>
        <w:rPr>
          <w:rFonts w:asciiTheme="minorHAnsi" w:hAnsiTheme="minorHAnsi" w:cstheme="minorBidi"/>
          <w:color w:val="0B2B43" w:themeColor="text2" w:themeShade="80"/>
        </w:rPr>
      </w:pPr>
      <w:r w:rsidRPr="004A1196">
        <w:rPr>
          <w:rFonts w:asciiTheme="minorHAnsi" w:hAnsiTheme="minorHAnsi" w:cstheme="minorBidi"/>
          <w:color w:val="0B2B43" w:themeColor="text2" w:themeShade="80"/>
        </w:rPr>
        <w:t xml:space="preserve">An additional benefit of the UK impact assessment exercise is the 6,679 published case </w:t>
      </w:r>
      <w:proofErr w:type="gramStart"/>
      <w:r w:rsidRPr="004A1196">
        <w:rPr>
          <w:rFonts w:asciiTheme="minorHAnsi" w:hAnsiTheme="minorHAnsi" w:cstheme="minorBidi"/>
          <w:color w:val="0B2B43" w:themeColor="text2" w:themeShade="80"/>
        </w:rPr>
        <w:t>studies which</w:t>
      </w:r>
      <w:proofErr w:type="gramEnd"/>
      <w:r w:rsidRPr="004A1196">
        <w:rPr>
          <w:rFonts w:asciiTheme="minorHAnsi" w:hAnsiTheme="minorHAnsi" w:cstheme="minorBidi"/>
          <w:color w:val="0B2B43" w:themeColor="text2" w:themeShade="80"/>
        </w:rPr>
        <w:t xml:space="preserve"> profile nationally important research. This sort of evidence is an important asset and useful in supporting informed advocacy for funding </w:t>
      </w:r>
      <w:r w:rsidR="001C7443" w:rsidRPr="004A1196">
        <w:rPr>
          <w:rFonts w:asciiTheme="minorHAnsi" w:hAnsiTheme="minorHAnsi" w:cstheme="minorBidi"/>
          <w:color w:val="0B2B43" w:themeColor="text2" w:themeShade="80"/>
        </w:rPr>
        <w:t>decisions regarding</w:t>
      </w:r>
      <w:r w:rsidRPr="004A1196">
        <w:rPr>
          <w:rFonts w:asciiTheme="minorHAnsi" w:hAnsiTheme="minorHAnsi" w:cstheme="minorBidi"/>
          <w:color w:val="0B2B43" w:themeColor="text2" w:themeShade="80"/>
        </w:rPr>
        <w:t xml:space="preserve"> university research.</w:t>
      </w:r>
      <w:r w:rsidRPr="004A1196">
        <w:rPr>
          <w:rStyle w:val="FootnoteReference"/>
          <w:color w:val="0B2B43" w:themeColor="text2" w:themeShade="80"/>
        </w:rPr>
        <w:footnoteReference w:id="97"/>
      </w:r>
    </w:p>
    <w:p w:rsidR="002C6039" w:rsidRPr="004A1196" w:rsidRDefault="002C6039" w:rsidP="002C6039">
      <w:pPr>
        <w:rPr>
          <w:color w:val="0B2B43" w:themeColor="text2" w:themeShade="80"/>
          <w:vertAlign w:val="superscript"/>
        </w:rPr>
      </w:pPr>
      <w:r w:rsidRPr="004A1196">
        <w:rPr>
          <w:color w:val="0B2B43" w:themeColor="text2" w:themeShade="80"/>
        </w:rPr>
        <w:t>There is Australian experience that is relevant. The 2012 Excellence in Innovation Australia (</w:t>
      </w:r>
      <w:proofErr w:type="spellStart"/>
      <w:r w:rsidRPr="004A1196">
        <w:rPr>
          <w:color w:val="0B2B43" w:themeColor="text2" w:themeShade="80"/>
        </w:rPr>
        <w:t>EIA</w:t>
      </w:r>
      <w:proofErr w:type="spellEnd"/>
      <w:r w:rsidRPr="004A1196">
        <w:rPr>
          <w:color w:val="0B2B43" w:themeColor="text2" w:themeShade="80"/>
        </w:rPr>
        <w:t>) trial, conducted by the Australian Technology Network of Universities (</w:t>
      </w:r>
      <w:proofErr w:type="spellStart"/>
      <w:r w:rsidRPr="004A1196">
        <w:rPr>
          <w:color w:val="0B2B43" w:themeColor="text2" w:themeShade="80"/>
        </w:rPr>
        <w:t>ATN</w:t>
      </w:r>
      <w:proofErr w:type="spellEnd"/>
      <w:r w:rsidRPr="004A1196">
        <w:rPr>
          <w:color w:val="0B2B43" w:themeColor="text2" w:themeShade="80"/>
        </w:rPr>
        <w:t>) and the Group of Eight (</w:t>
      </w:r>
      <w:proofErr w:type="spellStart"/>
      <w:r w:rsidRPr="004A1196">
        <w:rPr>
          <w:color w:val="0B2B43" w:themeColor="text2" w:themeShade="80"/>
        </w:rPr>
        <w:t>Go8</w:t>
      </w:r>
      <w:proofErr w:type="spellEnd"/>
      <w:r w:rsidRPr="004A1196">
        <w:rPr>
          <w:color w:val="0B2B43" w:themeColor="text2" w:themeShade="80"/>
        </w:rPr>
        <w:t xml:space="preserve">), assessed a selection of case studies put forward by participating institutions. The report on the trial concluded that Australian universities can generate compelling case studies of impact across a wide range of disciplines and impact areas and that it was possible to develop a methodology for assessing research </w:t>
      </w:r>
      <w:proofErr w:type="gramStart"/>
      <w:r w:rsidRPr="004A1196">
        <w:rPr>
          <w:color w:val="0B2B43" w:themeColor="text2" w:themeShade="80"/>
        </w:rPr>
        <w:t>impact which</w:t>
      </w:r>
      <w:proofErr w:type="gramEnd"/>
      <w:r w:rsidRPr="004A1196">
        <w:rPr>
          <w:color w:val="0B2B43" w:themeColor="text2" w:themeShade="80"/>
        </w:rPr>
        <w:t xml:space="preserve"> could be used for allocation of research funding</w:t>
      </w:r>
      <w:r w:rsidR="0014465E">
        <w:rPr>
          <w:color w:val="0B2B43" w:themeColor="text2" w:themeShade="80"/>
        </w:rPr>
        <w:t xml:space="preserve">. However, </w:t>
      </w:r>
      <w:r w:rsidRPr="004A1196">
        <w:rPr>
          <w:color w:val="0B2B43" w:themeColor="text2" w:themeShade="80"/>
        </w:rPr>
        <w:t>the number of case studies involved in an impact component of any broader research assessment exercise would require consideration to ensure both effectiveness of the exercise and administrative feasibility.</w:t>
      </w:r>
      <w:r w:rsidRPr="004A1196">
        <w:rPr>
          <w:color w:val="0B2B43" w:themeColor="text2" w:themeShade="80"/>
          <w:vertAlign w:val="superscript"/>
        </w:rPr>
        <w:footnoteReference w:id="98"/>
      </w:r>
    </w:p>
    <w:p w:rsidR="002C6039" w:rsidRPr="004A1196" w:rsidRDefault="002C6039" w:rsidP="002C6039">
      <w:pPr>
        <w:rPr>
          <w:color w:val="0B2B43" w:themeColor="text2" w:themeShade="80"/>
        </w:rPr>
      </w:pPr>
      <w:r w:rsidRPr="004A1196">
        <w:rPr>
          <w:color w:val="0B2B43" w:themeColor="text2" w:themeShade="80"/>
        </w:rPr>
        <w:t xml:space="preserve">Volunteer expert panels assessed the </w:t>
      </w:r>
      <w:proofErr w:type="spellStart"/>
      <w:r w:rsidRPr="004A1196">
        <w:rPr>
          <w:color w:val="0B2B43" w:themeColor="text2" w:themeShade="80"/>
        </w:rPr>
        <w:t>EIA</w:t>
      </w:r>
      <w:proofErr w:type="spellEnd"/>
      <w:r w:rsidRPr="004A1196">
        <w:rPr>
          <w:color w:val="0B2B43" w:themeColor="text2" w:themeShade="80"/>
        </w:rPr>
        <w:t xml:space="preserve"> case studies. A majority of volunteers on all panels came from outside the university sector and included senior representatives of business, community organisations and government, while the remainder came from the university sector. The trial found that the use of expert panels, with significant input from external panel members, was appropriate for a national impact assessment process.</w:t>
      </w:r>
      <w:r w:rsidRPr="004A1196">
        <w:rPr>
          <w:rStyle w:val="FootnoteReference"/>
          <w:color w:val="0B2B43" w:themeColor="text2" w:themeShade="80"/>
        </w:rPr>
        <w:footnoteReference w:id="99"/>
      </w:r>
      <w:r w:rsidRPr="004A1196">
        <w:rPr>
          <w:color w:val="0B2B43" w:themeColor="text2" w:themeShade="80"/>
        </w:rPr>
        <w:t xml:space="preserve"> </w:t>
      </w:r>
    </w:p>
    <w:p w:rsidR="002C6039" w:rsidRPr="004A1196" w:rsidRDefault="002C6039" w:rsidP="002C6039">
      <w:pPr>
        <w:rPr>
          <w:color w:val="0B2B43" w:themeColor="text2" w:themeShade="80"/>
        </w:rPr>
      </w:pPr>
      <w:r w:rsidRPr="004A1196">
        <w:rPr>
          <w:color w:val="0B2B43" w:themeColor="text2" w:themeShade="80"/>
        </w:rPr>
        <w:t xml:space="preserve">The RAND evaluation of the UK REF used the </w:t>
      </w:r>
      <w:proofErr w:type="spellStart"/>
      <w:r w:rsidRPr="004A1196">
        <w:rPr>
          <w:color w:val="0B2B43" w:themeColor="text2" w:themeShade="80"/>
        </w:rPr>
        <w:t>Technopolis</w:t>
      </w:r>
      <w:proofErr w:type="spellEnd"/>
      <w:r w:rsidRPr="004A1196">
        <w:rPr>
          <w:color w:val="0B2B43" w:themeColor="text2" w:themeShade="80"/>
        </w:rPr>
        <w:t xml:space="preserve"> data and compared the costs of preparing the REF impact case studies with those of a UK REF Impact Pilot Evaluation in 2010 and with the </w:t>
      </w:r>
      <w:proofErr w:type="spellStart"/>
      <w:r w:rsidRPr="004A1196">
        <w:rPr>
          <w:color w:val="0B2B43" w:themeColor="text2" w:themeShade="80"/>
        </w:rPr>
        <w:t>EIA</w:t>
      </w:r>
      <w:proofErr w:type="spellEnd"/>
      <w:r w:rsidRPr="004A1196">
        <w:rPr>
          <w:color w:val="0B2B43" w:themeColor="text2" w:themeShade="80"/>
        </w:rPr>
        <w:t xml:space="preserve"> trial in 2012. It found that there was ‘gold plating’ of the REF 2014 case studies, driven by the funding implications of the REF process.</w:t>
      </w:r>
      <w:r w:rsidRPr="004A1196">
        <w:rPr>
          <w:rStyle w:val="FootnoteReference"/>
          <w:color w:val="0B2B43" w:themeColor="text2" w:themeShade="80"/>
        </w:rPr>
        <w:footnoteReference w:id="100"/>
      </w:r>
      <w:r w:rsidRPr="004A1196">
        <w:rPr>
          <w:color w:val="0B2B43" w:themeColor="text2" w:themeShade="80"/>
        </w:rPr>
        <w:t xml:space="preserve"> REF impact case studies took a median time of 30 staff days to prepare, including training time. In contrast, case studies in the 2010 UK pilot took 3.2 days to prepare plus 2.1 coordination days. In the </w:t>
      </w:r>
      <w:proofErr w:type="spellStart"/>
      <w:r w:rsidRPr="004A1196">
        <w:rPr>
          <w:color w:val="0B2B43" w:themeColor="text2" w:themeShade="80"/>
        </w:rPr>
        <w:t>EIA</w:t>
      </w:r>
      <w:proofErr w:type="spellEnd"/>
      <w:r w:rsidRPr="004A1196">
        <w:rPr>
          <w:color w:val="0B2B43" w:themeColor="text2" w:themeShade="80"/>
        </w:rPr>
        <w:t xml:space="preserve"> trial</w:t>
      </w:r>
      <w:r w:rsidR="0014465E">
        <w:rPr>
          <w:color w:val="0B2B43" w:themeColor="text2" w:themeShade="80"/>
        </w:rPr>
        <w:t>,</w:t>
      </w:r>
      <w:r w:rsidRPr="004A1196">
        <w:rPr>
          <w:color w:val="0B2B43" w:themeColor="text2" w:themeShade="80"/>
        </w:rPr>
        <w:t xml:space="preserve"> the median time to produce a case study was 3 days and t</w:t>
      </w:r>
      <w:r w:rsidR="002D728F">
        <w:rPr>
          <w:color w:val="0B2B43" w:themeColor="text2" w:themeShade="80"/>
        </w:rPr>
        <w:t>he estimated cost was between $</w:t>
      </w:r>
      <w:r w:rsidRPr="004A1196">
        <w:rPr>
          <w:color w:val="0B2B43" w:themeColor="text2" w:themeShade="80"/>
        </w:rPr>
        <w:t>5</w:t>
      </w:r>
      <w:r w:rsidR="006448D2" w:rsidRPr="004A1196">
        <w:rPr>
          <w:color w:val="0B2B43" w:themeColor="text2" w:themeShade="80"/>
        </w:rPr>
        <w:t>,</w:t>
      </w:r>
      <w:r w:rsidR="002D728F">
        <w:rPr>
          <w:color w:val="0B2B43" w:themeColor="text2" w:themeShade="80"/>
        </w:rPr>
        <w:t>000 and $</w:t>
      </w:r>
      <w:r w:rsidRPr="004A1196">
        <w:rPr>
          <w:color w:val="0B2B43" w:themeColor="text2" w:themeShade="80"/>
        </w:rPr>
        <w:t xml:space="preserve">10,000. RAND found many instances of REF case studies </w:t>
      </w:r>
      <w:proofErr w:type="gramStart"/>
      <w:r w:rsidRPr="004A1196">
        <w:rPr>
          <w:color w:val="0B2B43" w:themeColor="text2" w:themeShade="80"/>
        </w:rPr>
        <w:t>being rewritten</w:t>
      </w:r>
      <w:proofErr w:type="gramEnd"/>
      <w:r w:rsidRPr="004A1196">
        <w:rPr>
          <w:color w:val="0B2B43" w:themeColor="text2" w:themeShade="80"/>
        </w:rPr>
        <w:t xml:space="preserve"> more than ten times, and in one extreme example 30 times. Such ‘gold plating’ was not present in the UK REF pilot or the </w:t>
      </w:r>
      <w:proofErr w:type="spellStart"/>
      <w:r w:rsidRPr="004A1196">
        <w:rPr>
          <w:color w:val="0B2B43" w:themeColor="text2" w:themeShade="80"/>
        </w:rPr>
        <w:t>EIA</w:t>
      </w:r>
      <w:proofErr w:type="spellEnd"/>
      <w:r w:rsidRPr="004A1196">
        <w:rPr>
          <w:color w:val="0B2B43" w:themeColor="text2" w:themeShade="80"/>
        </w:rPr>
        <w:t>, at least partly because future funding was not associated with these trials.</w:t>
      </w:r>
      <w:r w:rsidRPr="004A1196">
        <w:rPr>
          <w:rStyle w:val="FootnoteReference"/>
          <w:color w:val="0B2B43" w:themeColor="text2" w:themeShade="80"/>
        </w:rPr>
        <w:footnoteReference w:id="101"/>
      </w:r>
    </w:p>
    <w:p w:rsidR="002C6039" w:rsidRPr="004A1196" w:rsidRDefault="002C6039" w:rsidP="002C6039">
      <w:pPr>
        <w:rPr>
          <w:color w:val="0B2B43" w:themeColor="text2" w:themeShade="80"/>
        </w:rPr>
      </w:pPr>
      <w:r w:rsidRPr="004A1196">
        <w:rPr>
          <w:color w:val="0B2B43" w:themeColor="text2" w:themeShade="80"/>
        </w:rPr>
        <w:t xml:space="preserve">The review concluded that the need to measure and ensure the benefits of university research, which represents considerable public investment, justifies the comparatively small cost that is likely to be associated with case studies that form part of an impact and engagement assessment. However, the use of case studies </w:t>
      </w:r>
      <w:proofErr w:type="gramStart"/>
      <w:r w:rsidRPr="004A1196">
        <w:rPr>
          <w:color w:val="0B2B43" w:themeColor="text2" w:themeShade="80"/>
        </w:rPr>
        <w:t>should be informed</w:t>
      </w:r>
      <w:proofErr w:type="gramEnd"/>
      <w:r w:rsidRPr="004A1196">
        <w:rPr>
          <w:color w:val="0B2B43" w:themeColor="text2" w:themeShade="80"/>
        </w:rPr>
        <w:t xml:space="preserve"> by the lessons from the 2014 UK REF, 2012 </w:t>
      </w:r>
      <w:proofErr w:type="spellStart"/>
      <w:r w:rsidRPr="004A1196">
        <w:rPr>
          <w:color w:val="0B2B43" w:themeColor="text2" w:themeShade="80"/>
        </w:rPr>
        <w:t>EIA</w:t>
      </w:r>
      <w:proofErr w:type="spellEnd"/>
      <w:r w:rsidRPr="004A1196">
        <w:rPr>
          <w:color w:val="0B2B43" w:themeColor="text2" w:themeShade="80"/>
        </w:rPr>
        <w:t xml:space="preserve"> and 2010 UK REF pilot to ensure that the resource intensity of the process is minimised. This </w:t>
      </w:r>
      <w:proofErr w:type="gramStart"/>
      <w:r w:rsidRPr="004A1196">
        <w:rPr>
          <w:color w:val="0B2B43" w:themeColor="text2" w:themeShade="80"/>
        </w:rPr>
        <w:t>could be achieved</w:t>
      </w:r>
      <w:proofErr w:type="gramEnd"/>
      <w:r w:rsidRPr="004A1196">
        <w:rPr>
          <w:color w:val="0B2B43" w:themeColor="text2" w:themeShade="80"/>
        </w:rPr>
        <w:t xml:space="preserve"> b</w:t>
      </w:r>
      <w:r w:rsidR="00AD4C4B">
        <w:rPr>
          <w:color w:val="0B2B43" w:themeColor="text2" w:themeShade="80"/>
        </w:rPr>
        <w:t>y the use of standard templates,</w:t>
      </w:r>
      <w:r w:rsidRPr="004A1196">
        <w:rPr>
          <w:color w:val="0B2B43" w:themeColor="text2" w:themeShade="80"/>
        </w:rPr>
        <w:t xml:space="preserve"> imposing strict limits on length and limiting coverage to the major impacts arising from the research rather than the case study attempting to detail all aspects of research impact. </w:t>
      </w:r>
    </w:p>
    <w:p w:rsidR="002C6039" w:rsidRPr="004A1196" w:rsidRDefault="002C6039" w:rsidP="002C6039">
      <w:pPr>
        <w:pStyle w:val="RIHeading3"/>
        <w:rPr>
          <w:rFonts w:eastAsia="Calibri"/>
          <w:color w:val="0B2B43" w:themeColor="text2" w:themeShade="80"/>
        </w:rPr>
      </w:pPr>
      <w:bookmarkStart w:id="363" w:name="_Toc436651876"/>
      <w:bookmarkStart w:id="364" w:name="_Toc436659684"/>
      <w:bookmarkStart w:id="365" w:name="_Toc436660182"/>
      <w:r w:rsidRPr="004A1196">
        <w:rPr>
          <w:color w:val="0B2B43" w:themeColor="text2" w:themeShade="80"/>
        </w:rPr>
        <w:t xml:space="preserve">b) </w:t>
      </w:r>
      <w:r w:rsidRPr="004A1196">
        <w:rPr>
          <w:rFonts w:eastAsia="Calibri"/>
          <w:color w:val="0B2B43" w:themeColor="text2" w:themeShade="80"/>
        </w:rPr>
        <w:t>Metrics</w:t>
      </w:r>
      <w:bookmarkEnd w:id="363"/>
      <w:bookmarkEnd w:id="364"/>
      <w:bookmarkEnd w:id="365"/>
    </w:p>
    <w:p w:rsidR="002C6039" w:rsidRPr="004A1196" w:rsidRDefault="002C6039" w:rsidP="002C6039">
      <w:pPr>
        <w:rPr>
          <w:color w:val="0B2B43" w:themeColor="text2" w:themeShade="80"/>
        </w:rPr>
      </w:pPr>
      <w:r w:rsidRPr="004A1196">
        <w:rPr>
          <w:color w:val="0B2B43" w:themeColor="text2" w:themeShade="80"/>
        </w:rPr>
        <w:t xml:space="preserve">Metrics are quantitative standards used to measure and track performance. They </w:t>
      </w:r>
      <w:proofErr w:type="gramStart"/>
      <w:r w:rsidRPr="004A1196">
        <w:rPr>
          <w:color w:val="0B2B43" w:themeColor="text2" w:themeShade="80"/>
        </w:rPr>
        <w:t>are regularly used</w:t>
      </w:r>
      <w:proofErr w:type="gramEnd"/>
      <w:r w:rsidRPr="004A1196">
        <w:rPr>
          <w:color w:val="0B2B43" w:themeColor="text2" w:themeShade="80"/>
        </w:rPr>
        <w:t xml:space="preserve"> to drive university funding, including in Research Block Grants</w:t>
      </w:r>
      <w:r w:rsidR="00AD4C4B">
        <w:rPr>
          <w:color w:val="0B2B43" w:themeColor="text2" w:themeShade="80"/>
        </w:rPr>
        <w:t xml:space="preserve"> (</w:t>
      </w:r>
      <w:proofErr w:type="spellStart"/>
      <w:r w:rsidR="00AD4C4B">
        <w:rPr>
          <w:color w:val="0B2B43" w:themeColor="text2" w:themeShade="80"/>
        </w:rPr>
        <w:t>RBG</w:t>
      </w:r>
      <w:proofErr w:type="spellEnd"/>
      <w:r w:rsidR="00AD4C4B">
        <w:rPr>
          <w:color w:val="0B2B43" w:themeColor="text2" w:themeShade="80"/>
        </w:rPr>
        <w:t>)</w:t>
      </w:r>
      <w:r w:rsidRPr="004A1196">
        <w:rPr>
          <w:color w:val="0B2B43" w:themeColor="text2" w:themeShade="80"/>
        </w:rPr>
        <w:t xml:space="preserve">. Using metrics is generally a less costly method of measurement than case studies and assessment panels, particularly if it uses data that is already collected. Quantitative data is most useful where performance is easy to measure and outputs </w:t>
      </w:r>
      <w:proofErr w:type="gramStart"/>
      <w:r w:rsidRPr="004A1196">
        <w:rPr>
          <w:color w:val="0B2B43" w:themeColor="text2" w:themeShade="80"/>
        </w:rPr>
        <w:t>are easily quantified</w:t>
      </w:r>
      <w:proofErr w:type="gramEnd"/>
      <w:r w:rsidRPr="004A1196">
        <w:rPr>
          <w:color w:val="0B2B43" w:themeColor="text2" w:themeShade="80"/>
        </w:rPr>
        <w:t xml:space="preserve">. There are a number of engagement metrics and a commonly used one is income from research </w:t>
      </w:r>
      <w:r w:rsidR="003904BC">
        <w:rPr>
          <w:color w:val="0B2B43" w:themeColor="text2" w:themeShade="80"/>
        </w:rPr>
        <w:t>end user</w:t>
      </w:r>
      <w:r w:rsidRPr="004A1196">
        <w:rPr>
          <w:color w:val="0B2B43" w:themeColor="text2" w:themeShade="80"/>
        </w:rPr>
        <w:t xml:space="preserve">s. </w:t>
      </w:r>
    </w:p>
    <w:p w:rsidR="0072733E" w:rsidRPr="004A1196" w:rsidRDefault="002C6039" w:rsidP="002C6039">
      <w:pPr>
        <w:rPr>
          <w:color w:val="0B2B43" w:themeColor="text2" w:themeShade="80"/>
        </w:rPr>
      </w:pPr>
      <w:r w:rsidRPr="004A1196">
        <w:rPr>
          <w:color w:val="0B2B43" w:themeColor="text2" w:themeShade="80"/>
        </w:rPr>
        <w:t xml:space="preserve">The March 2015 report of the Australian Academy of </w:t>
      </w:r>
      <w:r w:rsidR="0064783F" w:rsidRPr="004A1196">
        <w:rPr>
          <w:color w:val="0B2B43" w:themeColor="text2" w:themeShade="80"/>
        </w:rPr>
        <w:t>Technology</w:t>
      </w:r>
      <w:r w:rsidRPr="004A1196">
        <w:rPr>
          <w:color w:val="0B2B43" w:themeColor="text2" w:themeShade="80"/>
        </w:rPr>
        <w:t xml:space="preserve"> and Engineering (</w:t>
      </w:r>
      <w:proofErr w:type="spellStart"/>
      <w:r w:rsidRPr="004A1196">
        <w:rPr>
          <w:color w:val="0B2B43" w:themeColor="text2" w:themeShade="80"/>
        </w:rPr>
        <w:t>ATSE</w:t>
      </w:r>
      <w:proofErr w:type="spellEnd"/>
      <w:r w:rsidRPr="004A1196">
        <w:rPr>
          <w:color w:val="0B2B43" w:themeColor="text2" w:themeShade="80"/>
        </w:rPr>
        <w:t xml:space="preserve">), </w:t>
      </w:r>
      <w:r w:rsidRPr="004A1196">
        <w:rPr>
          <w:i/>
          <w:color w:val="0B2B43" w:themeColor="text2" w:themeShade="80"/>
        </w:rPr>
        <w:t xml:space="preserve">Research Engagement </w:t>
      </w:r>
      <w:r w:rsidR="0064783F" w:rsidRPr="004A1196">
        <w:rPr>
          <w:i/>
          <w:color w:val="0B2B43" w:themeColor="text2" w:themeShade="80"/>
        </w:rPr>
        <w:t>f</w:t>
      </w:r>
      <w:r w:rsidRPr="004A1196">
        <w:rPr>
          <w:i/>
          <w:color w:val="0B2B43" w:themeColor="text2" w:themeShade="80"/>
        </w:rPr>
        <w:t>or Australia: Measuring research engagement between universities and end users,</w:t>
      </w:r>
      <w:r w:rsidRPr="004A1196">
        <w:rPr>
          <w:color w:val="0B2B43" w:themeColor="text2" w:themeShade="80"/>
        </w:rPr>
        <w:t xml:space="preserve"> proposed metrics to measure research engagement based on the amount of research income a university receives from industry and other </w:t>
      </w:r>
      <w:r w:rsidR="003904BC">
        <w:rPr>
          <w:color w:val="0B2B43" w:themeColor="text2" w:themeShade="80"/>
        </w:rPr>
        <w:t>end user</w:t>
      </w:r>
      <w:r w:rsidRPr="004A1196">
        <w:rPr>
          <w:color w:val="0B2B43" w:themeColor="text2" w:themeShade="80"/>
        </w:rPr>
        <w:t>s.</w:t>
      </w:r>
      <w:r w:rsidRPr="004A1196">
        <w:rPr>
          <w:rStyle w:val="FootnoteReference"/>
          <w:color w:val="0B2B43" w:themeColor="text2" w:themeShade="80"/>
        </w:rPr>
        <w:footnoteReference w:id="102"/>
      </w:r>
      <w:r w:rsidRPr="004A1196">
        <w:rPr>
          <w:color w:val="0B2B43" w:themeColor="text2" w:themeShade="80"/>
        </w:rPr>
        <w:t xml:space="preserve"> The model applies the metrics at the two-digit research discipline level to ensure comparison across like disciplines. </w:t>
      </w:r>
      <w:r w:rsidR="0072733E" w:rsidRPr="004A1196">
        <w:rPr>
          <w:color w:val="0B2B43" w:themeColor="text2" w:themeShade="80"/>
        </w:rPr>
        <w:t xml:space="preserve">The </w:t>
      </w:r>
      <w:proofErr w:type="spellStart"/>
      <w:r w:rsidR="0072733E" w:rsidRPr="004A1196">
        <w:rPr>
          <w:color w:val="0B2B43" w:themeColor="text2" w:themeShade="80"/>
        </w:rPr>
        <w:t>ATSE</w:t>
      </w:r>
      <w:proofErr w:type="spellEnd"/>
      <w:r w:rsidR="0072733E" w:rsidRPr="004A1196">
        <w:rPr>
          <w:color w:val="0B2B43" w:themeColor="text2" w:themeShade="80"/>
        </w:rPr>
        <w:t xml:space="preserve"> engagement metric </w:t>
      </w:r>
      <w:proofErr w:type="gramStart"/>
      <w:r w:rsidR="0072733E" w:rsidRPr="004A1196">
        <w:rPr>
          <w:color w:val="0B2B43" w:themeColor="text2" w:themeShade="80"/>
        </w:rPr>
        <w:t>is intended</w:t>
      </w:r>
      <w:proofErr w:type="gramEnd"/>
      <w:r w:rsidR="0072733E" w:rsidRPr="004A1196">
        <w:rPr>
          <w:color w:val="0B2B43" w:themeColor="text2" w:themeShade="80"/>
        </w:rPr>
        <w:t xml:space="preserve"> to drive individual researchers and departments towards increased engagement with </w:t>
      </w:r>
      <w:r w:rsidR="003904BC">
        <w:rPr>
          <w:color w:val="0B2B43" w:themeColor="text2" w:themeShade="80"/>
        </w:rPr>
        <w:t>end user</w:t>
      </w:r>
      <w:r w:rsidR="0072733E" w:rsidRPr="004A1196">
        <w:rPr>
          <w:color w:val="0B2B43" w:themeColor="text2" w:themeShade="80"/>
        </w:rPr>
        <w:t>s by publishing the ra</w:t>
      </w:r>
      <w:r w:rsidR="0064783F" w:rsidRPr="004A1196">
        <w:rPr>
          <w:color w:val="0B2B43" w:themeColor="text2" w:themeShade="80"/>
        </w:rPr>
        <w:t>t</w:t>
      </w:r>
      <w:r w:rsidR="0072733E" w:rsidRPr="004A1196">
        <w:rPr>
          <w:color w:val="0B2B43" w:themeColor="text2" w:themeShade="80"/>
        </w:rPr>
        <w:t>ing</w:t>
      </w:r>
      <w:r w:rsidR="0064783F" w:rsidRPr="004A1196">
        <w:rPr>
          <w:color w:val="0B2B43" w:themeColor="text2" w:themeShade="80"/>
        </w:rPr>
        <w:t xml:space="preserve"> and associated details at the field of research level.</w:t>
      </w:r>
      <w:r w:rsidR="0072733E" w:rsidRPr="004A1196">
        <w:rPr>
          <w:color w:val="0B2B43" w:themeColor="text2" w:themeShade="80"/>
        </w:rPr>
        <w:t xml:space="preserve"> </w:t>
      </w:r>
    </w:p>
    <w:p w:rsidR="002C6039" w:rsidRPr="004A1196" w:rsidRDefault="002C6039" w:rsidP="002C6039">
      <w:pPr>
        <w:rPr>
          <w:color w:val="0B2B43" w:themeColor="text2" w:themeShade="80"/>
        </w:rPr>
      </w:pPr>
      <w:r w:rsidRPr="004A1196">
        <w:rPr>
          <w:color w:val="0B2B43" w:themeColor="text2" w:themeShade="80"/>
        </w:rPr>
        <w:t xml:space="preserve">Between April and October 2015, </w:t>
      </w:r>
      <w:proofErr w:type="spellStart"/>
      <w:r w:rsidRPr="004A1196">
        <w:rPr>
          <w:color w:val="0B2B43" w:themeColor="text2" w:themeShade="80"/>
        </w:rPr>
        <w:t>ATSE</w:t>
      </w:r>
      <w:proofErr w:type="spellEnd"/>
      <w:r w:rsidRPr="004A1196">
        <w:rPr>
          <w:color w:val="0B2B43" w:themeColor="text2" w:themeShade="80"/>
        </w:rPr>
        <w:t xml:space="preserve"> conducted a pilot study applying the metrics in Queensland and South Australian universities. </w:t>
      </w:r>
      <w:proofErr w:type="spellStart"/>
      <w:r w:rsidR="0064783F" w:rsidRPr="004A1196">
        <w:rPr>
          <w:color w:val="0B2B43" w:themeColor="text2" w:themeShade="80"/>
        </w:rPr>
        <w:t>ATSE</w:t>
      </w:r>
      <w:proofErr w:type="spellEnd"/>
      <w:r w:rsidR="0064783F" w:rsidRPr="004A1196">
        <w:rPr>
          <w:color w:val="0B2B43" w:themeColor="text2" w:themeShade="80"/>
        </w:rPr>
        <w:t xml:space="preserve"> found that the participating universities were able to supply data for the pilot with minimal effort and reported that the results generally aligned with their perception of their own engagement activity. </w:t>
      </w:r>
      <w:r w:rsidRPr="004A1196">
        <w:rPr>
          <w:color w:val="0B2B43" w:themeColor="text2" w:themeShade="80"/>
        </w:rPr>
        <w:t xml:space="preserve">Based on the results of the pilot, </w:t>
      </w:r>
      <w:proofErr w:type="spellStart"/>
      <w:r w:rsidRPr="004A1196">
        <w:rPr>
          <w:color w:val="0B2B43" w:themeColor="text2" w:themeShade="80"/>
        </w:rPr>
        <w:t>ATSE</w:t>
      </w:r>
      <w:proofErr w:type="spellEnd"/>
      <w:r w:rsidRPr="004A1196">
        <w:rPr>
          <w:color w:val="0B2B43" w:themeColor="text2" w:themeShade="80"/>
        </w:rPr>
        <w:t xml:space="preserve"> has proposed enhancements to its approach, including the addition of income from sources not correctly counted in the metrics, such as income from </w:t>
      </w:r>
      <w:r w:rsidR="00AC3592">
        <w:rPr>
          <w:color w:val="0B2B43" w:themeColor="text2" w:themeShade="80"/>
        </w:rPr>
        <w:t>Research and Development Corporations (</w:t>
      </w:r>
      <w:proofErr w:type="spellStart"/>
      <w:r w:rsidR="00652F4F">
        <w:rPr>
          <w:color w:val="0B2B43" w:themeColor="text2" w:themeShade="80"/>
        </w:rPr>
        <w:t>RDC</w:t>
      </w:r>
      <w:proofErr w:type="spellEnd"/>
      <w:r w:rsidR="00AC3592">
        <w:rPr>
          <w:color w:val="0B2B43" w:themeColor="text2" w:themeShade="80"/>
        </w:rPr>
        <w:t>)</w:t>
      </w:r>
      <w:r w:rsidRPr="004A1196">
        <w:rPr>
          <w:color w:val="0B2B43" w:themeColor="text2" w:themeShade="80"/>
        </w:rPr>
        <w:t>, the inclusion of qualitative judgment to supplement numeric data, and assigning ratings to the level of engagement for specific disciplines within a given university.</w:t>
      </w:r>
      <w:r w:rsidRPr="004A1196">
        <w:rPr>
          <w:rStyle w:val="FootnoteReference"/>
          <w:color w:val="0B2B43" w:themeColor="text2" w:themeShade="80"/>
        </w:rPr>
        <w:footnoteReference w:id="103"/>
      </w:r>
    </w:p>
    <w:p w:rsidR="002C6039" w:rsidRPr="004A1196" w:rsidRDefault="002C6039" w:rsidP="002C6039">
      <w:pPr>
        <w:rPr>
          <w:color w:val="0B2B43" w:themeColor="text2" w:themeShade="80"/>
        </w:rPr>
      </w:pPr>
      <w:r w:rsidRPr="004A1196">
        <w:rPr>
          <w:color w:val="0B2B43" w:themeColor="text2" w:themeShade="80"/>
        </w:rPr>
        <w:t>This approach has considerable merit, demonstrating that it is possible to create research engagement metrics from available data in existing collections.</w:t>
      </w:r>
      <w:r w:rsidRPr="004A1196">
        <w:rPr>
          <w:rStyle w:val="FootnoteReference"/>
          <w:color w:val="0B2B43" w:themeColor="text2" w:themeShade="80"/>
        </w:rPr>
        <w:footnoteReference w:id="104"/>
      </w:r>
      <w:r w:rsidRPr="004A1196">
        <w:rPr>
          <w:color w:val="0B2B43" w:themeColor="text2" w:themeShade="80"/>
        </w:rPr>
        <w:t xml:space="preserve"> However, many of the submissions to this review raised concerns that, although the proposed metrics would be normalised for discipline, research income from </w:t>
      </w:r>
      <w:r w:rsidR="003904BC">
        <w:rPr>
          <w:color w:val="0B2B43" w:themeColor="text2" w:themeShade="80"/>
        </w:rPr>
        <w:t>end user</w:t>
      </w:r>
      <w:r w:rsidRPr="004A1196">
        <w:rPr>
          <w:color w:val="0B2B43" w:themeColor="text2" w:themeShade="80"/>
        </w:rPr>
        <w:t xml:space="preserve">s is not a good measure of knowledge transfer for the humanities, arts and social sciences. </w:t>
      </w:r>
    </w:p>
    <w:p w:rsidR="002C6039" w:rsidRPr="004A1196" w:rsidRDefault="002C6039" w:rsidP="002C6039">
      <w:pPr>
        <w:rPr>
          <w:color w:val="0B2B43" w:themeColor="text2" w:themeShade="80"/>
        </w:rPr>
      </w:pPr>
      <w:r w:rsidRPr="004A1196">
        <w:rPr>
          <w:color w:val="0B2B43" w:themeColor="text2" w:themeShade="80"/>
        </w:rPr>
        <w:t xml:space="preserve">Importantly, the proposed </w:t>
      </w:r>
      <w:proofErr w:type="spellStart"/>
      <w:r w:rsidRPr="004A1196">
        <w:rPr>
          <w:color w:val="0B2B43" w:themeColor="text2" w:themeShade="80"/>
        </w:rPr>
        <w:t>ATSE</w:t>
      </w:r>
      <w:proofErr w:type="spellEnd"/>
      <w:r w:rsidRPr="004A1196">
        <w:rPr>
          <w:color w:val="0B2B43" w:themeColor="text2" w:themeShade="80"/>
        </w:rPr>
        <w:t xml:space="preserve"> approach focuses on engagement, and does not address research impact more broadly. The review concludes that </w:t>
      </w:r>
      <w:proofErr w:type="spellStart"/>
      <w:r w:rsidRPr="004A1196">
        <w:rPr>
          <w:color w:val="0B2B43" w:themeColor="text2" w:themeShade="80"/>
        </w:rPr>
        <w:t>ATSE</w:t>
      </w:r>
      <w:proofErr w:type="spellEnd"/>
      <w:r w:rsidRPr="004A1196">
        <w:rPr>
          <w:color w:val="0B2B43" w:themeColor="text2" w:themeShade="80"/>
        </w:rPr>
        <w:t xml:space="preserve"> approach provides a</w:t>
      </w:r>
      <w:r w:rsidR="00401AD2" w:rsidRPr="004A1196">
        <w:rPr>
          <w:color w:val="0B2B43" w:themeColor="text2" w:themeShade="80"/>
        </w:rPr>
        <w:t>n important</w:t>
      </w:r>
      <w:r w:rsidRPr="004A1196">
        <w:rPr>
          <w:color w:val="0B2B43" w:themeColor="text2" w:themeShade="80"/>
        </w:rPr>
        <w:t xml:space="preserve"> starting point to </w:t>
      </w:r>
      <w:r w:rsidR="00401AD2" w:rsidRPr="004A1196">
        <w:rPr>
          <w:color w:val="0B2B43" w:themeColor="text2" w:themeShade="80"/>
        </w:rPr>
        <w:t>develop</w:t>
      </w:r>
      <w:r w:rsidRPr="004A1196">
        <w:rPr>
          <w:color w:val="0B2B43" w:themeColor="text2" w:themeShade="80"/>
        </w:rPr>
        <w:t xml:space="preserve"> impact metrics that build on existing data collections. </w:t>
      </w:r>
      <w:r w:rsidR="00401AD2" w:rsidRPr="004A1196">
        <w:rPr>
          <w:color w:val="0B2B43" w:themeColor="text2" w:themeShade="80"/>
        </w:rPr>
        <w:t>The review notes that measuring</w:t>
      </w:r>
      <w:r w:rsidRPr="004A1196">
        <w:rPr>
          <w:color w:val="0B2B43" w:themeColor="text2" w:themeShade="80"/>
        </w:rPr>
        <w:t xml:space="preserve"> impact more broadly </w:t>
      </w:r>
      <w:r w:rsidR="00401AD2" w:rsidRPr="004A1196">
        <w:rPr>
          <w:color w:val="0B2B43" w:themeColor="text2" w:themeShade="80"/>
        </w:rPr>
        <w:t>will require</w:t>
      </w:r>
      <w:r w:rsidRPr="004A1196">
        <w:rPr>
          <w:color w:val="0B2B43" w:themeColor="text2" w:themeShade="80"/>
        </w:rPr>
        <w:t xml:space="preserve"> a series of metrics </w:t>
      </w:r>
      <w:r w:rsidR="00401AD2" w:rsidRPr="004A1196">
        <w:rPr>
          <w:color w:val="0B2B43" w:themeColor="text2" w:themeShade="80"/>
        </w:rPr>
        <w:t xml:space="preserve">to </w:t>
      </w:r>
      <w:proofErr w:type="gramStart"/>
      <w:r w:rsidR="00401AD2" w:rsidRPr="004A1196">
        <w:rPr>
          <w:color w:val="0B2B43" w:themeColor="text2" w:themeShade="80"/>
        </w:rPr>
        <w:t>be considered</w:t>
      </w:r>
      <w:proofErr w:type="gramEnd"/>
      <w:r w:rsidRPr="004A1196">
        <w:rPr>
          <w:color w:val="0B2B43" w:themeColor="text2" w:themeShade="80"/>
        </w:rPr>
        <w:t xml:space="preserve">. </w:t>
      </w:r>
    </w:p>
    <w:p w:rsidR="002C6039" w:rsidRPr="004A1196" w:rsidRDefault="002C6039" w:rsidP="002C6039">
      <w:pPr>
        <w:pStyle w:val="RIHeading3"/>
        <w:rPr>
          <w:rFonts w:eastAsia="Calibri"/>
          <w:color w:val="0B2B43" w:themeColor="text2" w:themeShade="80"/>
        </w:rPr>
      </w:pPr>
      <w:bookmarkStart w:id="366" w:name="_Toc436651877"/>
      <w:bookmarkStart w:id="367" w:name="_Toc436659685"/>
      <w:bookmarkStart w:id="368" w:name="_Toc436660183"/>
      <w:r w:rsidRPr="004A1196">
        <w:rPr>
          <w:rFonts w:eastAsia="Calibri"/>
          <w:color w:val="0B2B43" w:themeColor="text2" w:themeShade="80"/>
        </w:rPr>
        <w:t>c) Peer review</w:t>
      </w:r>
      <w:bookmarkEnd w:id="366"/>
      <w:bookmarkEnd w:id="367"/>
      <w:bookmarkEnd w:id="368"/>
    </w:p>
    <w:p w:rsidR="002C6039" w:rsidRPr="004A1196" w:rsidRDefault="002C6039" w:rsidP="002C6039">
      <w:pPr>
        <w:rPr>
          <w:color w:val="0B2B43" w:themeColor="text2" w:themeShade="80"/>
        </w:rPr>
      </w:pPr>
      <w:r w:rsidRPr="004A1196">
        <w:rPr>
          <w:color w:val="0B2B43" w:themeColor="text2" w:themeShade="80"/>
        </w:rPr>
        <w:t xml:space="preserve">Expert peer review is used to assess quality of research and </w:t>
      </w:r>
      <w:proofErr w:type="gramStart"/>
      <w:r w:rsidRPr="004A1196">
        <w:rPr>
          <w:color w:val="0B2B43" w:themeColor="text2" w:themeShade="80"/>
        </w:rPr>
        <w:t>can also</w:t>
      </w:r>
      <w:proofErr w:type="gramEnd"/>
      <w:r w:rsidRPr="004A1196">
        <w:rPr>
          <w:color w:val="0B2B43" w:themeColor="text2" w:themeShade="80"/>
        </w:rPr>
        <w:t xml:space="preserve"> be used to assess impact, bringing expertise and judgement that is not possible in quantitative analysis alone. The Innovative Research Universities (</w:t>
      </w:r>
      <w:proofErr w:type="spellStart"/>
      <w:r w:rsidRPr="004A1196">
        <w:rPr>
          <w:color w:val="0B2B43" w:themeColor="text2" w:themeShade="80"/>
        </w:rPr>
        <w:t>IRU</w:t>
      </w:r>
      <w:proofErr w:type="spellEnd"/>
      <w:r w:rsidRPr="004A1196">
        <w:rPr>
          <w:color w:val="0B2B43" w:themeColor="text2" w:themeShade="80"/>
        </w:rPr>
        <w:t xml:space="preserve">) has proposed, as an alternative to </w:t>
      </w:r>
      <w:r w:rsidR="00401AD2" w:rsidRPr="004A1196">
        <w:rPr>
          <w:color w:val="0B2B43" w:themeColor="text2" w:themeShade="80"/>
        </w:rPr>
        <w:t>a</w:t>
      </w:r>
      <w:r w:rsidRPr="004A1196">
        <w:rPr>
          <w:color w:val="0B2B43" w:themeColor="text2" w:themeShade="80"/>
        </w:rPr>
        <w:t xml:space="preserve"> metrics </w:t>
      </w:r>
      <w:r w:rsidR="00401AD2" w:rsidRPr="004A1196">
        <w:rPr>
          <w:color w:val="0B2B43" w:themeColor="text2" w:themeShade="80"/>
        </w:rPr>
        <w:t>only</w:t>
      </w:r>
      <w:r w:rsidRPr="004A1196">
        <w:rPr>
          <w:color w:val="0B2B43" w:themeColor="text2" w:themeShade="80"/>
        </w:rPr>
        <w:t xml:space="preserve"> approach, using expert panel judgements on the value of university research for </w:t>
      </w:r>
      <w:r w:rsidR="003904BC">
        <w:rPr>
          <w:color w:val="0B2B43" w:themeColor="text2" w:themeShade="80"/>
        </w:rPr>
        <w:t>end user</w:t>
      </w:r>
      <w:r w:rsidRPr="004A1196">
        <w:rPr>
          <w:color w:val="0B2B43" w:themeColor="text2" w:themeShade="80"/>
        </w:rPr>
        <w:t>s.</w:t>
      </w:r>
      <w:r w:rsidRPr="004A1196">
        <w:rPr>
          <w:rStyle w:val="FootnoteReference"/>
          <w:color w:val="0B2B43" w:themeColor="text2" w:themeShade="80"/>
        </w:rPr>
        <w:footnoteReference w:id="105"/>
      </w:r>
      <w:r w:rsidRPr="004A1196">
        <w:rPr>
          <w:color w:val="0B2B43" w:themeColor="text2" w:themeShade="80"/>
        </w:rPr>
        <w:t xml:space="preserve"> </w:t>
      </w:r>
      <w:proofErr w:type="spellStart"/>
      <w:r w:rsidRPr="004A1196">
        <w:rPr>
          <w:color w:val="0B2B43" w:themeColor="text2" w:themeShade="80"/>
        </w:rPr>
        <w:t>IRU</w:t>
      </w:r>
      <w:proofErr w:type="spellEnd"/>
      <w:r w:rsidRPr="004A1196">
        <w:rPr>
          <w:color w:val="0B2B43" w:themeColor="text2" w:themeShade="80"/>
        </w:rPr>
        <w:t xml:space="preserve"> argues that this will give greater credibility to the process, allow more informed judgements to ensure data is </w:t>
      </w:r>
      <w:proofErr w:type="gramStart"/>
      <w:r w:rsidRPr="004A1196">
        <w:rPr>
          <w:color w:val="0B2B43" w:themeColor="text2" w:themeShade="80"/>
        </w:rPr>
        <w:t>not misinterpreted</w:t>
      </w:r>
      <w:proofErr w:type="gramEnd"/>
      <w:r w:rsidRPr="004A1196">
        <w:rPr>
          <w:color w:val="0B2B43" w:themeColor="text2" w:themeShade="80"/>
        </w:rPr>
        <w:t xml:space="preserve"> and protect against data manipulation. </w:t>
      </w:r>
      <w:r w:rsidR="00401AD2" w:rsidRPr="004A1196">
        <w:rPr>
          <w:color w:val="0B2B43" w:themeColor="text2" w:themeShade="80"/>
        </w:rPr>
        <w:t>The review noted that peer review processes could rely on either case study and/or metrics to inform judgements.</w:t>
      </w:r>
    </w:p>
    <w:p w:rsidR="002C6039" w:rsidRPr="004A1196" w:rsidRDefault="002C6039" w:rsidP="002C6039">
      <w:pPr>
        <w:rPr>
          <w:color w:val="0B2B43" w:themeColor="text2" w:themeShade="80"/>
        </w:rPr>
      </w:pPr>
      <w:r w:rsidRPr="004A1196">
        <w:rPr>
          <w:color w:val="0B2B43" w:themeColor="text2" w:themeShade="80"/>
        </w:rPr>
        <w:t>An evaluation of the UK’s REF by RAND Europe found that the majority of those involved in expert panels assessing research impact felt that it was a fair, reliable and robust form of assessment.</w:t>
      </w:r>
      <w:r w:rsidRPr="004A1196">
        <w:rPr>
          <w:rStyle w:val="FootnoteReference"/>
          <w:color w:val="0B2B43" w:themeColor="text2" w:themeShade="80"/>
        </w:rPr>
        <w:footnoteReference w:id="106"/>
      </w:r>
      <w:r w:rsidRPr="004A1196">
        <w:rPr>
          <w:color w:val="0B2B43" w:themeColor="text2" w:themeShade="80"/>
        </w:rPr>
        <w:t xml:space="preserve"> The evaluation also found that the panel review process was effective in bringing together different expert perspectives necessary to reflect the breadth and multidisciplinary nature of research. However, the burden of involvement in terms of time spent was a significant challenge for impact assessors and was a significant contributor to the overall cost.</w:t>
      </w:r>
    </w:p>
    <w:p w:rsidR="002C6039" w:rsidRPr="004A1196" w:rsidRDefault="002C6039" w:rsidP="002C6039">
      <w:pPr>
        <w:pStyle w:val="RIHeading2"/>
        <w:rPr>
          <w:color w:val="0B2B43" w:themeColor="text2" w:themeShade="80"/>
        </w:rPr>
      </w:pPr>
      <w:bookmarkStart w:id="369" w:name="_Toc436651878"/>
      <w:bookmarkStart w:id="370" w:name="_Toc436659686"/>
      <w:bookmarkStart w:id="371" w:name="_Toc436660184"/>
      <w:r w:rsidRPr="004A1196">
        <w:rPr>
          <w:color w:val="0B2B43" w:themeColor="text2" w:themeShade="80"/>
        </w:rPr>
        <w:t>A balanced approach is proposed</w:t>
      </w:r>
      <w:bookmarkEnd w:id="369"/>
      <w:bookmarkEnd w:id="370"/>
      <w:bookmarkEnd w:id="371"/>
    </w:p>
    <w:p w:rsidR="00B05BA8" w:rsidRPr="004A1196" w:rsidRDefault="002C6039" w:rsidP="002C6039">
      <w:pPr>
        <w:rPr>
          <w:color w:val="0B2B43" w:themeColor="text2" w:themeShade="80"/>
        </w:rPr>
      </w:pPr>
      <w:r w:rsidRPr="004A1196">
        <w:rPr>
          <w:color w:val="0B2B43" w:themeColor="text2" w:themeShade="80"/>
        </w:rPr>
        <w:t xml:space="preserve">The review concluded that it is essential that government assess the benefits flowing from university research </w:t>
      </w:r>
      <w:r w:rsidR="00B05BA8" w:rsidRPr="004A1196">
        <w:rPr>
          <w:color w:val="0B2B43" w:themeColor="text2" w:themeShade="80"/>
        </w:rPr>
        <w:t>in addition to the quality of the traditional research outputs,</w:t>
      </w:r>
      <w:r w:rsidRPr="004A1196">
        <w:rPr>
          <w:color w:val="0B2B43" w:themeColor="text2" w:themeShade="80"/>
        </w:rPr>
        <w:t xml:space="preserve"> given the very substantial amounts of public funding involved and the desire to improve the translational and commercial benefits of the research supported. Measuring impact </w:t>
      </w:r>
      <w:proofErr w:type="gramStart"/>
      <w:r w:rsidRPr="004A1196">
        <w:rPr>
          <w:color w:val="0B2B43" w:themeColor="text2" w:themeShade="80"/>
        </w:rPr>
        <w:t>is expected</w:t>
      </w:r>
      <w:proofErr w:type="gramEnd"/>
      <w:r w:rsidRPr="004A1196">
        <w:rPr>
          <w:color w:val="0B2B43" w:themeColor="text2" w:themeShade="80"/>
        </w:rPr>
        <w:t xml:space="preserve"> to bring about cultural change within our higher education sector and drive increased impact from university research. This conclusion </w:t>
      </w:r>
      <w:proofErr w:type="gramStart"/>
      <w:r w:rsidRPr="004A1196">
        <w:rPr>
          <w:color w:val="0B2B43" w:themeColor="text2" w:themeShade="80"/>
        </w:rPr>
        <w:t>is partly based</w:t>
      </w:r>
      <w:proofErr w:type="gramEnd"/>
      <w:r w:rsidRPr="004A1196">
        <w:rPr>
          <w:color w:val="0B2B43" w:themeColor="text2" w:themeShade="80"/>
        </w:rPr>
        <w:t xml:space="preserve"> on the experience in the UK where the evaluation of the REF impact assessment process resulted in a number of benefits for universities including an enhanced ability to identify and understand impact and the stimulation of broader strategic thinking about impact.</w:t>
      </w:r>
      <w:r w:rsidRPr="004A1196">
        <w:rPr>
          <w:rStyle w:val="FootnoteReference"/>
          <w:color w:val="0B2B43" w:themeColor="text2" w:themeShade="80"/>
        </w:rPr>
        <w:footnoteReference w:id="107"/>
      </w:r>
      <w:r w:rsidRPr="004A1196">
        <w:rPr>
          <w:color w:val="0B2B43" w:themeColor="text2" w:themeShade="80"/>
        </w:rPr>
        <w:t xml:space="preserve"> </w:t>
      </w:r>
      <w:r w:rsidR="00B05BA8" w:rsidRPr="004A1196">
        <w:rPr>
          <w:color w:val="0B2B43" w:themeColor="text2" w:themeShade="80"/>
        </w:rPr>
        <w:t xml:space="preserve">It also reflects </w:t>
      </w:r>
      <w:r w:rsidR="001828FE">
        <w:rPr>
          <w:color w:val="0B2B43" w:themeColor="text2" w:themeShade="80"/>
        </w:rPr>
        <w:t xml:space="preserve">Australia’s experience with </w:t>
      </w:r>
      <w:r w:rsidR="00B05BA8" w:rsidRPr="004A1196">
        <w:rPr>
          <w:color w:val="0B2B43" w:themeColor="text2" w:themeShade="80"/>
        </w:rPr>
        <w:t>ERA, which has clearly driven a focus on research quality across the higher education system.</w:t>
      </w:r>
    </w:p>
    <w:p w:rsidR="002C6039" w:rsidRPr="004A1196" w:rsidRDefault="002C6039" w:rsidP="002C6039">
      <w:pPr>
        <w:rPr>
          <w:color w:val="0B2B43" w:themeColor="text2" w:themeShade="80"/>
        </w:rPr>
      </w:pPr>
      <w:r w:rsidRPr="004A1196">
        <w:rPr>
          <w:color w:val="0B2B43" w:themeColor="text2" w:themeShade="80"/>
        </w:rPr>
        <w:t xml:space="preserve">Although it is early days, </w:t>
      </w:r>
      <w:r w:rsidR="00B05BA8" w:rsidRPr="004A1196">
        <w:rPr>
          <w:color w:val="0B2B43" w:themeColor="text2" w:themeShade="80"/>
        </w:rPr>
        <w:t>an</w:t>
      </w:r>
      <w:r w:rsidRPr="004A1196">
        <w:rPr>
          <w:color w:val="0B2B43" w:themeColor="text2" w:themeShade="80"/>
        </w:rPr>
        <w:t xml:space="preserve"> evaluation </w:t>
      </w:r>
      <w:r w:rsidR="00B05BA8" w:rsidRPr="004A1196">
        <w:rPr>
          <w:color w:val="0B2B43" w:themeColor="text2" w:themeShade="80"/>
        </w:rPr>
        <w:t xml:space="preserve">of the REF impact assessment </w:t>
      </w:r>
      <w:r w:rsidRPr="004A1196">
        <w:rPr>
          <w:color w:val="0B2B43" w:themeColor="text2" w:themeShade="80"/>
        </w:rPr>
        <w:t xml:space="preserve">also points to cultural and behavioural change among researchers and institutions </w:t>
      </w:r>
      <w:proofErr w:type="gramStart"/>
      <w:r w:rsidRPr="004A1196">
        <w:rPr>
          <w:color w:val="0B2B43" w:themeColor="text2" w:themeShade="80"/>
        </w:rPr>
        <w:t>as a result</w:t>
      </w:r>
      <w:proofErr w:type="gramEnd"/>
      <w:r w:rsidRPr="004A1196">
        <w:rPr>
          <w:color w:val="0B2B43" w:themeColor="text2" w:themeShade="80"/>
        </w:rPr>
        <w:t xml:space="preserve"> of assessing impact. Some respondents to the impact template said the process helped them to reflect on their own researc</w:t>
      </w:r>
      <w:r w:rsidR="001828FE">
        <w:rPr>
          <w:color w:val="0B2B43" w:themeColor="text2" w:themeShade="80"/>
        </w:rPr>
        <w:t>h and their strategy for impact,</w:t>
      </w:r>
      <w:r w:rsidRPr="004A1196">
        <w:rPr>
          <w:color w:val="0B2B43" w:themeColor="text2" w:themeShade="80"/>
        </w:rPr>
        <w:t xml:space="preserve"> while others said it helped them think about the wider faculty or institution’s impact strategy. The evaluation also found that including impact assessment in the REF increased recognition within universities of those academics under</w:t>
      </w:r>
      <w:r w:rsidR="001828FE">
        <w:rPr>
          <w:color w:val="0B2B43" w:themeColor="text2" w:themeShade="80"/>
        </w:rPr>
        <w:t>taking impact activities. It also</w:t>
      </w:r>
      <w:r w:rsidRPr="004A1196">
        <w:rPr>
          <w:color w:val="0B2B43" w:themeColor="text2" w:themeShade="80"/>
        </w:rPr>
        <w:t xml:space="preserve"> provided an opportunity for universities to review and reaffirm relationships with external stakeholders.</w:t>
      </w:r>
      <w:r w:rsidRPr="004A1196">
        <w:rPr>
          <w:color w:val="0B2B43" w:themeColor="text2" w:themeShade="80"/>
          <w:vertAlign w:val="superscript"/>
        </w:rPr>
        <w:footnoteReference w:id="108"/>
      </w:r>
    </w:p>
    <w:p w:rsidR="00B05BA8" w:rsidRPr="004A1196" w:rsidRDefault="002C6039" w:rsidP="002C6039">
      <w:pPr>
        <w:rPr>
          <w:color w:val="0B2B43" w:themeColor="text2" w:themeShade="80"/>
        </w:rPr>
      </w:pPr>
      <w:r w:rsidRPr="004A1196">
        <w:rPr>
          <w:color w:val="0B2B43" w:themeColor="text2" w:themeShade="80"/>
        </w:rPr>
        <w:t>In order to capture the full range of benefits assoc</w:t>
      </w:r>
      <w:r w:rsidR="007D57FE">
        <w:rPr>
          <w:color w:val="0B2B43" w:themeColor="text2" w:themeShade="80"/>
        </w:rPr>
        <w:t>iated with university research</w:t>
      </w:r>
      <w:r w:rsidR="00B05BA8" w:rsidRPr="004A1196">
        <w:rPr>
          <w:color w:val="0B2B43" w:themeColor="text2" w:themeShade="80"/>
        </w:rPr>
        <w:t xml:space="preserve"> </w:t>
      </w:r>
      <w:r w:rsidRPr="004A1196">
        <w:rPr>
          <w:color w:val="0B2B43" w:themeColor="text2" w:themeShade="80"/>
        </w:rPr>
        <w:t xml:space="preserve">the approach in Australia should initially combine quantitative metrics that provide measures of engagement, including the </w:t>
      </w:r>
      <w:proofErr w:type="spellStart"/>
      <w:r w:rsidRPr="004A1196">
        <w:rPr>
          <w:color w:val="0B2B43" w:themeColor="text2" w:themeShade="80"/>
        </w:rPr>
        <w:t>ATSE</w:t>
      </w:r>
      <w:proofErr w:type="spellEnd"/>
      <w:r w:rsidRPr="004A1196">
        <w:rPr>
          <w:color w:val="0B2B43" w:themeColor="text2" w:themeShade="80"/>
        </w:rPr>
        <w:t xml:space="preserve"> Research Engagement for Australia, and qualitative assessment based on case </w:t>
      </w:r>
      <w:proofErr w:type="gramStart"/>
      <w:r w:rsidRPr="004A1196">
        <w:rPr>
          <w:color w:val="0B2B43" w:themeColor="text2" w:themeShade="80"/>
        </w:rPr>
        <w:t>studies which</w:t>
      </w:r>
      <w:proofErr w:type="gramEnd"/>
      <w:r w:rsidRPr="004A1196">
        <w:rPr>
          <w:color w:val="0B2B43" w:themeColor="text2" w:themeShade="80"/>
        </w:rPr>
        <w:t xml:space="preserve"> will give a comprehensive picture of impact. Experts from the research sector, government and </w:t>
      </w:r>
      <w:r w:rsidR="003904BC">
        <w:rPr>
          <w:color w:val="0B2B43" w:themeColor="text2" w:themeShade="80"/>
        </w:rPr>
        <w:t>end user</w:t>
      </w:r>
      <w:r w:rsidRPr="004A1196">
        <w:rPr>
          <w:color w:val="0B2B43" w:themeColor="text2" w:themeShade="80"/>
        </w:rPr>
        <w:t>s (including business), should also be involved in the assessment.</w:t>
      </w:r>
    </w:p>
    <w:p w:rsidR="002C6039" w:rsidRPr="004A1196" w:rsidRDefault="002C6039" w:rsidP="002C6039">
      <w:pPr>
        <w:pStyle w:val="RIHeading2"/>
        <w:rPr>
          <w:color w:val="0B2B43" w:themeColor="text2" w:themeShade="80"/>
        </w:rPr>
      </w:pPr>
      <w:bookmarkStart w:id="372" w:name="_Toc436651879"/>
      <w:bookmarkStart w:id="373" w:name="_Toc436659687"/>
      <w:bookmarkStart w:id="374" w:name="_Toc436660185"/>
      <w:r w:rsidRPr="004A1196">
        <w:rPr>
          <w:color w:val="0B2B43" w:themeColor="text2" w:themeShade="80"/>
        </w:rPr>
        <w:t>Implementation and timing</w:t>
      </w:r>
      <w:bookmarkEnd w:id="372"/>
      <w:bookmarkEnd w:id="373"/>
      <w:bookmarkEnd w:id="374"/>
    </w:p>
    <w:p w:rsidR="002C6039" w:rsidRPr="004A1196" w:rsidRDefault="002C6039" w:rsidP="002C6039">
      <w:pPr>
        <w:rPr>
          <w:color w:val="0B2B43" w:themeColor="text2" w:themeShade="80"/>
        </w:rPr>
      </w:pPr>
      <w:r w:rsidRPr="004A1196">
        <w:rPr>
          <w:color w:val="0B2B43" w:themeColor="text2" w:themeShade="80"/>
        </w:rPr>
        <w:t xml:space="preserve">The impact assessment exercise </w:t>
      </w:r>
      <w:proofErr w:type="gramStart"/>
      <w:r w:rsidRPr="004A1196">
        <w:rPr>
          <w:color w:val="0B2B43" w:themeColor="text2" w:themeShade="80"/>
        </w:rPr>
        <w:t xml:space="preserve">should be </w:t>
      </w:r>
      <w:r w:rsidR="00B05BA8" w:rsidRPr="004A1196">
        <w:rPr>
          <w:color w:val="0B2B43" w:themeColor="text2" w:themeShade="80"/>
        </w:rPr>
        <w:t>developed</w:t>
      </w:r>
      <w:proofErr w:type="gramEnd"/>
      <w:r w:rsidRPr="004A1196">
        <w:rPr>
          <w:color w:val="0B2B43" w:themeColor="text2" w:themeShade="80"/>
        </w:rPr>
        <w:t xml:space="preserve"> by the </w:t>
      </w:r>
      <w:r w:rsidR="00B05BA8" w:rsidRPr="004A1196">
        <w:rPr>
          <w:color w:val="0B2B43" w:themeColor="text2" w:themeShade="80"/>
        </w:rPr>
        <w:t xml:space="preserve">Department of Education and Training and the </w:t>
      </w:r>
      <w:r w:rsidRPr="004A1196">
        <w:rPr>
          <w:color w:val="0B2B43" w:themeColor="text2" w:themeShade="80"/>
        </w:rPr>
        <w:t>A</w:t>
      </w:r>
      <w:r w:rsidR="00AC3592">
        <w:rPr>
          <w:color w:val="0B2B43" w:themeColor="text2" w:themeShade="80"/>
        </w:rPr>
        <w:t xml:space="preserve">ustralian </w:t>
      </w:r>
      <w:r w:rsidRPr="004A1196">
        <w:rPr>
          <w:color w:val="0B2B43" w:themeColor="text2" w:themeShade="80"/>
        </w:rPr>
        <w:t>R</w:t>
      </w:r>
      <w:r w:rsidR="00AC3592">
        <w:rPr>
          <w:color w:val="0B2B43" w:themeColor="text2" w:themeShade="80"/>
        </w:rPr>
        <w:t xml:space="preserve">esearch </w:t>
      </w:r>
      <w:r w:rsidRPr="004A1196">
        <w:rPr>
          <w:color w:val="0B2B43" w:themeColor="text2" w:themeShade="80"/>
        </w:rPr>
        <w:t>C</w:t>
      </w:r>
      <w:r w:rsidR="00AC3592">
        <w:rPr>
          <w:color w:val="0B2B43" w:themeColor="text2" w:themeShade="80"/>
        </w:rPr>
        <w:t>ouncil (ARC)</w:t>
      </w:r>
      <w:r w:rsidRPr="004A1196">
        <w:rPr>
          <w:color w:val="0B2B43" w:themeColor="text2" w:themeShade="80"/>
        </w:rPr>
        <w:t xml:space="preserve">, </w:t>
      </w:r>
      <w:r w:rsidR="00B05BA8" w:rsidRPr="004A1196">
        <w:rPr>
          <w:color w:val="0B2B43" w:themeColor="text2" w:themeShade="80"/>
        </w:rPr>
        <w:t>with the ARC</w:t>
      </w:r>
      <w:r w:rsidRPr="004A1196">
        <w:rPr>
          <w:color w:val="0B2B43" w:themeColor="text2" w:themeShade="80"/>
        </w:rPr>
        <w:t xml:space="preserve"> to </w:t>
      </w:r>
      <w:r w:rsidR="00B05BA8" w:rsidRPr="004A1196">
        <w:rPr>
          <w:color w:val="0B2B43" w:themeColor="text2" w:themeShade="80"/>
        </w:rPr>
        <w:t>take ongoing responsibility for implementation given it has</w:t>
      </w:r>
      <w:r w:rsidRPr="004A1196">
        <w:rPr>
          <w:color w:val="0B2B43" w:themeColor="text2" w:themeShade="80"/>
        </w:rPr>
        <w:t xml:space="preserve"> established the necessary infrastructure, methodology and expert involvement through three rounds of ERA. </w:t>
      </w:r>
      <w:r w:rsidRPr="00431C2C">
        <w:rPr>
          <w:color w:val="0B2B43" w:themeColor="text2" w:themeShade="80"/>
        </w:rPr>
        <w:t>Importantly, ERA al</w:t>
      </w:r>
      <w:r w:rsidR="001828FE" w:rsidRPr="00431C2C">
        <w:rPr>
          <w:color w:val="0B2B43" w:themeColor="text2" w:themeShade="80"/>
        </w:rPr>
        <w:t xml:space="preserve">ready captures relevant data </w:t>
      </w:r>
      <w:r w:rsidR="001828FE" w:rsidRPr="000B06B2">
        <w:rPr>
          <w:color w:val="0B2B43" w:themeColor="text2" w:themeShade="80"/>
        </w:rPr>
        <w:t>on</w:t>
      </w:r>
      <w:r w:rsidR="00FC1758" w:rsidRPr="000B06B2">
        <w:rPr>
          <w:color w:val="0B2B43" w:themeColor="text2" w:themeShade="80"/>
        </w:rPr>
        <w:t xml:space="preserve"> </w:t>
      </w:r>
      <w:r w:rsidRPr="000B06B2">
        <w:rPr>
          <w:color w:val="0B2B43" w:themeColor="text2" w:themeShade="80"/>
        </w:rPr>
        <w:t>university</w:t>
      </w:r>
      <w:r w:rsidR="00C92603" w:rsidRPr="000B06B2">
        <w:rPr>
          <w:color w:val="0B2B43" w:themeColor="text2" w:themeShade="80"/>
        </w:rPr>
        <w:noBreakHyphen/>
      </w:r>
      <w:r w:rsidRPr="004A1196">
        <w:rPr>
          <w:color w:val="0B2B43" w:themeColor="text2" w:themeShade="80"/>
        </w:rPr>
        <w:t>based research, including on industry funding, interdisciplinary activity, commercialisation income and patents, which the new impact and engagement assessment could incorporate. This would help minimise the compliance burden and costs of assessment.</w:t>
      </w:r>
    </w:p>
    <w:p w:rsidR="002C6039" w:rsidRPr="004A1196" w:rsidRDefault="002C6039" w:rsidP="002C6039">
      <w:pPr>
        <w:rPr>
          <w:color w:val="0B2B43" w:themeColor="text2" w:themeShade="80"/>
        </w:rPr>
      </w:pPr>
      <w:r w:rsidRPr="004A1196">
        <w:rPr>
          <w:color w:val="0B2B43" w:themeColor="text2" w:themeShade="80"/>
        </w:rPr>
        <w:t>The review considered options for implementation that included:</w:t>
      </w:r>
    </w:p>
    <w:p w:rsidR="002C6039" w:rsidRPr="004A1196" w:rsidRDefault="002C6039" w:rsidP="002C6039">
      <w:pPr>
        <w:pStyle w:val="ListParagraph"/>
        <w:numPr>
          <w:ilvl w:val="0"/>
          <w:numId w:val="26"/>
        </w:numPr>
        <w:rPr>
          <w:color w:val="0B2B43" w:themeColor="text2" w:themeShade="80"/>
        </w:rPr>
      </w:pPr>
      <w:r w:rsidRPr="004A1196">
        <w:rPr>
          <w:color w:val="0B2B43" w:themeColor="text2" w:themeShade="80"/>
        </w:rPr>
        <w:t>separately conducting ERA and the new impact and engagement assessment, every six years, with one or other process occurring every three years</w:t>
      </w:r>
    </w:p>
    <w:p w:rsidR="002C6039" w:rsidRPr="004A1196" w:rsidRDefault="002C6039" w:rsidP="002C6039">
      <w:pPr>
        <w:pStyle w:val="ListParagraph"/>
        <w:numPr>
          <w:ilvl w:val="0"/>
          <w:numId w:val="26"/>
        </w:numPr>
        <w:rPr>
          <w:color w:val="0B2B43" w:themeColor="text2" w:themeShade="80"/>
        </w:rPr>
      </w:pPr>
      <w:proofErr w:type="gramStart"/>
      <w:r w:rsidRPr="004A1196">
        <w:rPr>
          <w:color w:val="0B2B43" w:themeColor="text2" w:themeShade="80"/>
        </w:rPr>
        <w:t>conducting</w:t>
      </w:r>
      <w:proofErr w:type="gramEnd"/>
      <w:r w:rsidRPr="004A1196">
        <w:rPr>
          <w:color w:val="0B2B43" w:themeColor="text2" w:themeShade="80"/>
        </w:rPr>
        <w:t xml:space="preserve"> the new impact and engagement assessment in parallel with ERA once every three years</w:t>
      </w:r>
      <w:r w:rsidR="007B139E" w:rsidRPr="004A1196">
        <w:rPr>
          <w:color w:val="0B2B43" w:themeColor="text2" w:themeShade="80"/>
        </w:rPr>
        <w:t>.</w:t>
      </w:r>
    </w:p>
    <w:p w:rsidR="002C6039" w:rsidRPr="004A1196" w:rsidRDefault="00431C2C" w:rsidP="002C6039">
      <w:pPr>
        <w:rPr>
          <w:color w:val="0B2B43" w:themeColor="text2" w:themeShade="80"/>
        </w:rPr>
      </w:pPr>
      <w:r>
        <w:rPr>
          <w:color w:val="0B2B43" w:themeColor="text2" w:themeShade="80"/>
        </w:rPr>
        <w:t xml:space="preserve">Option </w:t>
      </w:r>
      <w:proofErr w:type="gramStart"/>
      <w:r>
        <w:rPr>
          <w:color w:val="0B2B43" w:themeColor="text2" w:themeShade="80"/>
        </w:rPr>
        <w:t>1</w:t>
      </w:r>
      <w:proofErr w:type="gramEnd"/>
      <w:r>
        <w:rPr>
          <w:color w:val="0B2B43" w:themeColor="text2" w:themeShade="80"/>
        </w:rPr>
        <w:t xml:space="preserve">, involved a six </w:t>
      </w:r>
      <w:r w:rsidR="002C6039" w:rsidRPr="004A1196">
        <w:rPr>
          <w:color w:val="0B2B43" w:themeColor="text2" w:themeShade="80"/>
        </w:rPr>
        <w:t xml:space="preserve">year period between assessments, which was considered too long. In particular, the value to industry and other </w:t>
      </w:r>
      <w:r w:rsidR="003904BC">
        <w:rPr>
          <w:color w:val="0B2B43" w:themeColor="text2" w:themeShade="80"/>
        </w:rPr>
        <w:t>end user</w:t>
      </w:r>
      <w:r w:rsidR="002C6039" w:rsidRPr="004A1196">
        <w:rPr>
          <w:color w:val="0B2B43" w:themeColor="text2" w:themeShade="80"/>
        </w:rPr>
        <w:t xml:space="preserve">s of measures of collaboration and commercialisation based on activity more than six years prior would be questionable. </w:t>
      </w:r>
    </w:p>
    <w:p w:rsidR="002C6039" w:rsidRPr="004A1196" w:rsidRDefault="002C6039" w:rsidP="002C6039">
      <w:pPr>
        <w:rPr>
          <w:color w:val="0B2B43" w:themeColor="text2" w:themeShade="80"/>
        </w:rPr>
      </w:pPr>
      <w:r w:rsidRPr="004A1196">
        <w:rPr>
          <w:color w:val="0B2B43" w:themeColor="text2" w:themeShade="80"/>
        </w:rPr>
        <w:t xml:space="preserve">Option 2 is preferable. However, there is a risk that conducting the assessment processes in parallel every three years would impose considerable administrative and resource burdens on universities and the assessing authority, unless the requirements and scope of ERA </w:t>
      </w:r>
      <w:proofErr w:type="gramStart"/>
      <w:r w:rsidRPr="004A1196">
        <w:rPr>
          <w:color w:val="0B2B43" w:themeColor="text2" w:themeShade="80"/>
        </w:rPr>
        <w:t>are reduced</w:t>
      </w:r>
      <w:proofErr w:type="gramEnd"/>
      <w:r w:rsidRPr="004A1196">
        <w:rPr>
          <w:color w:val="0B2B43" w:themeColor="text2" w:themeShade="80"/>
        </w:rPr>
        <w:t xml:space="preserve">. </w:t>
      </w:r>
    </w:p>
    <w:p w:rsidR="002C6039" w:rsidRPr="004A1196" w:rsidRDefault="002C6039" w:rsidP="002C6039">
      <w:pPr>
        <w:rPr>
          <w:color w:val="0B2B43" w:themeColor="text2" w:themeShade="80"/>
        </w:rPr>
      </w:pPr>
      <w:r w:rsidRPr="004A1196">
        <w:rPr>
          <w:color w:val="0B2B43" w:themeColor="text2" w:themeShade="80"/>
        </w:rPr>
        <w:t xml:space="preserve">A pilot impact and engagement assessment </w:t>
      </w:r>
      <w:proofErr w:type="gramStart"/>
      <w:r w:rsidRPr="004A1196">
        <w:rPr>
          <w:color w:val="0B2B43" w:themeColor="text2" w:themeShade="80"/>
        </w:rPr>
        <w:t>should be developed and undertaken in 2017 to ensure the effectiveness of the methodology and the appropriateness of the approach used, prior to undertaking a full impact and engagement assessment, along with ERA in 2018</w:t>
      </w:r>
      <w:proofErr w:type="gramEnd"/>
      <w:r w:rsidRPr="004A1196">
        <w:rPr>
          <w:color w:val="0B2B43" w:themeColor="text2" w:themeShade="80"/>
        </w:rPr>
        <w:t>.</w:t>
      </w:r>
    </w:p>
    <w:p w:rsidR="002C6039" w:rsidRPr="004A1196" w:rsidRDefault="002C6039" w:rsidP="002C6039">
      <w:pPr>
        <w:rPr>
          <w:color w:val="0B2B43" w:themeColor="text2" w:themeShade="80"/>
        </w:rPr>
      </w:pPr>
      <w:r w:rsidRPr="004A1196">
        <w:rPr>
          <w:color w:val="0B2B43" w:themeColor="text2" w:themeShade="80"/>
        </w:rPr>
        <w:t xml:space="preserve">An expert stakeholder group, </w:t>
      </w:r>
      <w:r w:rsidR="00B05BA8" w:rsidRPr="004A1196">
        <w:rPr>
          <w:color w:val="0B2B43" w:themeColor="text2" w:themeShade="80"/>
        </w:rPr>
        <w:t xml:space="preserve">convened by the Department of Education and Training and </w:t>
      </w:r>
      <w:r w:rsidRPr="004A1196">
        <w:rPr>
          <w:color w:val="0B2B43" w:themeColor="text2" w:themeShade="80"/>
        </w:rPr>
        <w:t xml:space="preserve">comprised of researchers, government and </w:t>
      </w:r>
      <w:r w:rsidR="003904BC">
        <w:rPr>
          <w:color w:val="0B2B43" w:themeColor="text2" w:themeShade="80"/>
        </w:rPr>
        <w:t>end user</w:t>
      </w:r>
      <w:r w:rsidRPr="004A1196">
        <w:rPr>
          <w:color w:val="0B2B43" w:themeColor="text2" w:themeShade="80"/>
        </w:rPr>
        <w:t xml:space="preserve"> (particularly business) representatives, </w:t>
      </w:r>
      <w:proofErr w:type="gramStart"/>
      <w:r w:rsidRPr="004A1196">
        <w:rPr>
          <w:color w:val="0B2B43" w:themeColor="text2" w:themeShade="80"/>
        </w:rPr>
        <w:t>should be established</w:t>
      </w:r>
      <w:proofErr w:type="gramEnd"/>
      <w:r w:rsidRPr="004A1196">
        <w:rPr>
          <w:color w:val="0B2B43" w:themeColor="text2" w:themeShade="80"/>
        </w:rPr>
        <w:t xml:space="preserve"> to oversee the development of the approach to be taken to impact and engagement assessment and its implementation. This group should conclude its work in the first half of 2016 so the pilot assessment can be properly prepared and conducted in 2017.</w:t>
      </w:r>
    </w:p>
    <w:p w:rsidR="002C6039" w:rsidRPr="004A1196" w:rsidRDefault="002C6039" w:rsidP="002C6039">
      <w:pPr>
        <w:rPr>
          <w:color w:val="0B2B43" w:themeColor="text2" w:themeShade="80"/>
        </w:rPr>
      </w:pPr>
      <w:r w:rsidRPr="004A1196">
        <w:rPr>
          <w:color w:val="0B2B43" w:themeColor="text2" w:themeShade="80"/>
        </w:rPr>
        <w:t xml:space="preserve">It will be very important that the new impact and engagement assessment </w:t>
      </w:r>
      <w:proofErr w:type="gramStart"/>
      <w:r w:rsidRPr="004A1196">
        <w:rPr>
          <w:color w:val="0B2B43" w:themeColor="text2" w:themeShade="80"/>
        </w:rPr>
        <w:t>is implemented</w:t>
      </w:r>
      <w:proofErr w:type="gramEnd"/>
      <w:r w:rsidRPr="004A1196">
        <w:rPr>
          <w:color w:val="0B2B43" w:themeColor="text2" w:themeShade="80"/>
        </w:rPr>
        <w:t xml:space="preserve"> in a manner that minimises the burden on universities and others involved. There must be arrangements in place to ensure that it does not involve a significant additional reporting burden on universities that </w:t>
      </w:r>
      <w:proofErr w:type="gramStart"/>
      <w:r w:rsidRPr="004A1196">
        <w:rPr>
          <w:color w:val="0B2B43" w:themeColor="text2" w:themeShade="80"/>
        </w:rPr>
        <w:t>is not at least matched</w:t>
      </w:r>
      <w:proofErr w:type="gramEnd"/>
      <w:r w:rsidRPr="004A1196">
        <w:rPr>
          <w:color w:val="0B2B43" w:themeColor="text2" w:themeShade="80"/>
        </w:rPr>
        <w:t xml:space="preserve"> by the expected benefit from their participation in such an exercise. The approach would need to take account of lessons learned from the UK’s experience with REF outlined </w:t>
      </w:r>
      <w:r w:rsidR="00AC3592">
        <w:rPr>
          <w:color w:val="0B2B43" w:themeColor="text2" w:themeShade="80"/>
        </w:rPr>
        <w:t>earlier</w:t>
      </w:r>
      <w:r w:rsidR="00AC3592" w:rsidRPr="004A1196">
        <w:rPr>
          <w:color w:val="0B2B43" w:themeColor="text2" w:themeShade="80"/>
        </w:rPr>
        <w:t xml:space="preserve"> </w:t>
      </w:r>
      <w:r w:rsidRPr="004A1196">
        <w:rPr>
          <w:color w:val="0B2B43" w:themeColor="text2" w:themeShade="80"/>
        </w:rPr>
        <w:t xml:space="preserve">and consider how a simplified approach to the case study component of impact assessment </w:t>
      </w:r>
      <w:proofErr w:type="gramStart"/>
      <w:r w:rsidRPr="004A1196">
        <w:rPr>
          <w:color w:val="0B2B43" w:themeColor="text2" w:themeShade="80"/>
        </w:rPr>
        <w:t>could be implemented</w:t>
      </w:r>
      <w:proofErr w:type="gramEnd"/>
      <w:r w:rsidRPr="004A1196">
        <w:rPr>
          <w:color w:val="0B2B43" w:themeColor="text2" w:themeShade="80"/>
        </w:rPr>
        <w:t xml:space="preserve">, given the cost to the government and universities involved in this component of the UK approach. </w:t>
      </w:r>
    </w:p>
    <w:p w:rsidR="002C6039" w:rsidRPr="004A1196" w:rsidRDefault="002C6039" w:rsidP="002C6039">
      <w:pPr>
        <w:rPr>
          <w:color w:val="0B2B43" w:themeColor="text2" w:themeShade="80"/>
        </w:rPr>
      </w:pPr>
      <w:r w:rsidRPr="004A1196">
        <w:rPr>
          <w:color w:val="0B2B43" w:themeColor="text2" w:themeShade="80"/>
        </w:rPr>
        <w:t xml:space="preserve">In developing the new framework, the Australian Government should take into account any scope to simplify reporting by universities, including </w:t>
      </w:r>
      <w:proofErr w:type="gramStart"/>
      <w:r w:rsidRPr="004A1196">
        <w:rPr>
          <w:color w:val="0B2B43" w:themeColor="text2" w:themeShade="80"/>
        </w:rPr>
        <w:t>through the use of</w:t>
      </w:r>
      <w:proofErr w:type="gramEnd"/>
      <w:r w:rsidRPr="004A1196">
        <w:rPr>
          <w:color w:val="0B2B43" w:themeColor="text2" w:themeShade="80"/>
        </w:rPr>
        <w:t xml:space="preserve"> existing </w:t>
      </w:r>
      <w:proofErr w:type="spellStart"/>
      <w:r w:rsidRPr="004A1196">
        <w:rPr>
          <w:color w:val="0B2B43" w:themeColor="text2" w:themeShade="80"/>
        </w:rPr>
        <w:t>bibliometric</w:t>
      </w:r>
      <w:proofErr w:type="spellEnd"/>
      <w:r w:rsidRPr="004A1196">
        <w:rPr>
          <w:color w:val="0B2B43" w:themeColor="text2" w:themeShade="80"/>
        </w:rPr>
        <w:t xml:space="preserve"> sources and by maximising the use of existing data collections. This should build on current work to consolidate the collection of Higher Education Research Data Collection (</w:t>
      </w:r>
      <w:proofErr w:type="spellStart"/>
      <w:r w:rsidRPr="004A1196">
        <w:rPr>
          <w:color w:val="0B2B43" w:themeColor="text2" w:themeShade="80"/>
        </w:rPr>
        <w:t>HERDC</w:t>
      </w:r>
      <w:proofErr w:type="spellEnd"/>
      <w:r w:rsidRPr="004A1196">
        <w:rPr>
          <w:color w:val="0B2B43" w:themeColor="text2" w:themeShade="80"/>
        </w:rPr>
        <w:t xml:space="preserve">) and ERA data underway by the Department of Education and Training and the ARC. The ERA data collection burden </w:t>
      </w:r>
      <w:proofErr w:type="gramStart"/>
      <w:r w:rsidRPr="004A1196">
        <w:rPr>
          <w:color w:val="0B2B43" w:themeColor="text2" w:themeShade="80"/>
        </w:rPr>
        <w:t>should also be reduced</w:t>
      </w:r>
      <w:proofErr w:type="gramEnd"/>
      <w:r w:rsidRPr="004A1196">
        <w:rPr>
          <w:color w:val="0B2B43" w:themeColor="text2" w:themeShade="80"/>
        </w:rPr>
        <w:t xml:space="preserve"> to help offset the additional data collection required for the impact and engagement assessment.</w:t>
      </w:r>
    </w:p>
    <w:p w:rsidR="002C6039" w:rsidRPr="004A1196" w:rsidRDefault="002C6039" w:rsidP="002C6039">
      <w:pPr>
        <w:rPr>
          <w:color w:val="0B2B43" w:themeColor="text2" w:themeShade="80"/>
        </w:rPr>
      </w:pPr>
      <w:r w:rsidRPr="004A1196">
        <w:rPr>
          <w:color w:val="0B2B43" w:themeColor="text2" w:themeShade="80"/>
        </w:rPr>
        <w:t xml:space="preserve">The impact and engagement assessment will be a key exercise for government in driving a stronger focus on enhancing the returns from public investment in research and providing a reliable evidence base to inform future research and innovation policy. It is therefore essential that the assessment is robust, credible and accepted by the university research sector and </w:t>
      </w:r>
      <w:r w:rsidR="003904BC">
        <w:rPr>
          <w:color w:val="0B2B43" w:themeColor="text2" w:themeShade="80"/>
        </w:rPr>
        <w:t>end user</w:t>
      </w:r>
      <w:r w:rsidRPr="004A1196">
        <w:rPr>
          <w:color w:val="0B2B43" w:themeColor="text2" w:themeShade="80"/>
        </w:rPr>
        <w:t xml:space="preserve">s alike. </w:t>
      </w:r>
      <w:proofErr w:type="gramStart"/>
      <w:r w:rsidRPr="004A1196">
        <w:rPr>
          <w:color w:val="0B2B43" w:themeColor="text2" w:themeShade="80"/>
        </w:rPr>
        <w:t xml:space="preserve">As the ARC is a small agency that will be unable to absorb the costs of implementing the assessment, the review recommends that the ARC should be provided with </w:t>
      </w:r>
      <w:r w:rsidR="00B05BA8" w:rsidRPr="004A1196">
        <w:rPr>
          <w:color w:val="0B2B43" w:themeColor="text2" w:themeShade="80"/>
        </w:rPr>
        <w:t>the necessary funding, expected to be</w:t>
      </w:r>
      <w:r w:rsidRPr="004A1196">
        <w:rPr>
          <w:color w:val="0B2B43" w:themeColor="text2" w:themeShade="80"/>
        </w:rPr>
        <w:t xml:space="preserve"> in the order of $10 million over the three year assessment cycle</w:t>
      </w:r>
      <w:r w:rsidR="00B05BA8" w:rsidRPr="004A1196">
        <w:rPr>
          <w:color w:val="0B2B43" w:themeColor="text2" w:themeShade="80"/>
        </w:rPr>
        <w:t>,</w:t>
      </w:r>
      <w:r w:rsidRPr="004A1196">
        <w:rPr>
          <w:color w:val="0B2B43" w:themeColor="text2" w:themeShade="80"/>
        </w:rPr>
        <w:t xml:space="preserve"> to manage the assessment, including to develop guidelines and technical documentation, manage expert qualitative review processes, report on the outcomes of the assessments, review and evaluate the assessments, and consult with the sector and stakeholders to further refine the methodology and systems for each assessment round.</w:t>
      </w:r>
      <w:proofErr w:type="gramEnd"/>
    </w:p>
    <w:p w:rsidR="00B05BA8" w:rsidRPr="004A1196" w:rsidRDefault="002C6039" w:rsidP="002C6039">
      <w:pPr>
        <w:rPr>
          <w:color w:val="0B2B43" w:themeColor="text2" w:themeShade="80"/>
        </w:rPr>
      </w:pPr>
      <w:r w:rsidRPr="004A1196">
        <w:rPr>
          <w:color w:val="0B2B43" w:themeColor="text2" w:themeShade="80"/>
        </w:rPr>
        <w:t xml:space="preserve">The review recommends that following the pilot of the new impact and engagement assessment initiative, the Australian Government should consider </w:t>
      </w:r>
      <w:proofErr w:type="gramStart"/>
      <w:r w:rsidRPr="004A1196">
        <w:rPr>
          <w:color w:val="0B2B43" w:themeColor="text2" w:themeShade="80"/>
        </w:rPr>
        <w:t>whether or not</w:t>
      </w:r>
      <w:proofErr w:type="gramEnd"/>
      <w:r w:rsidRPr="004A1196">
        <w:rPr>
          <w:color w:val="0B2B43" w:themeColor="text2" w:themeShade="80"/>
        </w:rPr>
        <w:t xml:space="preserve"> to attach a level of funding to impact outcomes. The </w:t>
      </w:r>
      <w:r w:rsidR="00B05BA8" w:rsidRPr="004A1196">
        <w:rPr>
          <w:color w:val="0B2B43" w:themeColor="text2" w:themeShade="80"/>
        </w:rPr>
        <w:t>review considers that the</w:t>
      </w:r>
      <w:r w:rsidRPr="004A1196">
        <w:rPr>
          <w:color w:val="0B2B43" w:themeColor="text2" w:themeShade="80"/>
        </w:rPr>
        <w:t xml:space="preserve"> results of the first full impact and engagement assessment in 2018 </w:t>
      </w:r>
      <w:proofErr w:type="gramStart"/>
      <w:r w:rsidRPr="004A1196">
        <w:rPr>
          <w:color w:val="0B2B43" w:themeColor="text2" w:themeShade="80"/>
        </w:rPr>
        <w:t>could be used</w:t>
      </w:r>
      <w:proofErr w:type="gramEnd"/>
      <w:r w:rsidRPr="004A1196">
        <w:rPr>
          <w:color w:val="0B2B43" w:themeColor="text2" w:themeShade="80"/>
        </w:rPr>
        <w:t xml:space="preserve"> to allocate </w:t>
      </w:r>
      <w:proofErr w:type="spellStart"/>
      <w:r w:rsidRPr="004A1196">
        <w:rPr>
          <w:color w:val="0B2B43" w:themeColor="text2" w:themeShade="80"/>
        </w:rPr>
        <w:t>RBG</w:t>
      </w:r>
      <w:proofErr w:type="spellEnd"/>
      <w:r w:rsidRPr="004A1196">
        <w:rPr>
          <w:color w:val="0B2B43" w:themeColor="text2" w:themeShade="80"/>
        </w:rPr>
        <w:t xml:space="preserve"> funding in the order of 10 to 20 per cent in 2019. The </w:t>
      </w:r>
      <w:proofErr w:type="spellStart"/>
      <w:r w:rsidRPr="004A1196">
        <w:rPr>
          <w:color w:val="0B2B43" w:themeColor="text2" w:themeShade="80"/>
        </w:rPr>
        <w:t>RBG</w:t>
      </w:r>
      <w:proofErr w:type="spellEnd"/>
      <w:r w:rsidRPr="004A1196">
        <w:rPr>
          <w:color w:val="0B2B43" w:themeColor="text2" w:themeShade="80"/>
        </w:rPr>
        <w:t xml:space="preserve"> model uses research income from Categories 2</w:t>
      </w:r>
      <w:r w:rsidR="004F326A">
        <w:rPr>
          <w:color w:val="0B2B43" w:themeColor="text2" w:themeShade="80"/>
        </w:rPr>
        <w:noBreakHyphen/>
      </w:r>
      <w:r w:rsidRPr="004A1196">
        <w:rPr>
          <w:color w:val="0B2B43" w:themeColor="text2" w:themeShade="80"/>
        </w:rPr>
        <w:t>4</w:t>
      </w:r>
      <w:r w:rsidR="006F5FDF">
        <w:rPr>
          <w:color w:val="0B2B43" w:themeColor="text2" w:themeShade="80"/>
        </w:rPr>
        <w:t> </w:t>
      </w:r>
      <w:r w:rsidRPr="004A1196">
        <w:rPr>
          <w:color w:val="0B2B43" w:themeColor="text2" w:themeShade="80"/>
        </w:rPr>
        <w:t xml:space="preserve">to measure engagement. While income is a reliable and auditable measure, it is an input measure only and does not capture the full spectrum of benefits associated with </w:t>
      </w:r>
      <w:r w:rsidR="003904BC">
        <w:rPr>
          <w:color w:val="0B2B43" w:themeColor="text2" w:themeShade="80"/>
        </w:rPr>
        <w:t>end user</w:t>
      </w:r>
      <w:r w:rsidRPr="004A1196">
        <w:rPr>
          <w:color w:val="0B2B43" w:themeColor="text2" w:themeShade="80"/>
        </w:rPr>
        <w:t xml:space="preserve"> engaged research. This </w:t>
      </w:r>
      <w:proofErr w:type="gramStart"/>
      <w:r w:rsidRPr="004A1196">
        <w:rPr>
          <w:color w:val="0B2B43" w:themeColor="text2" w:themeShade="80"/>
        </w:rPr>
        <w:t>will be done</w:t>
      </w:r>
      <w:proofErr w:type="gramEnd"/>
      <w:r w:rsidRPr="004A1196">
        <w:rPr>
          <w:color w:val="0B2B43" w:themeColor="text2" w:themeShade="80"/>
        </w:rPr>
        <w:t xml:space="preserve"> through the new impact and engagement framework proposed here. As this framework will produce superior measures of </w:t>
      </w:r>
      <w:r w:rsidR="003904BC">
        <w:rPr>
          <w:color w:val="0B2B43" w:themeColor="text2" w:themeShade="80"/>
        </w:rPr>
        <w:t>end user</w:t>
      </w:r>
      <w:r w:rsidRPr="004A1196">
        <w:rPr>
          <w:color w:val="0B2B43" w:themeColor="text2" w:themeShade="80"/>
        </w:rPr>
        <w:t xml:space="preserve"> engagement and its benefits, these measures </w:t>
      </w:r>
      <w:proofErr w:type="gramStart"/>
      <w:r w:rsidRPr="004A1196">
        <w:rPr>
          <w:color w:val="0B2B43" w:themeColor="text2" w:themeShade="80"/>
        </w:rPr>
        <w:t>could be used</w:t>
      </w:r>
      <w:proofErr w:type="gramEnd"/>
      <w:r w:rsidRPr="004A1196">
        <w:rPr>
          <w:color w:val="0B2B43" w:themeColor="text2" w:themeShade="80"/>
        </w:rPr>
        <w:t xml:space="preserve"> to </w:t>
      </w:r>
      <w:r w:rsidR="00B05BA8" w:rsidRPr="004A1196">
        <w:rPr>
          <w:color w:val="0B2B43" w:themeColor="text2" w:themeShade="80"/>
        </w:rPr>
        <w:t>balance or</w:t>
      </w:r>
      <w:r w:rsidRPr="004A1196">
        <w:rPr>
          <w:color w:val="0B2B43" w:themeColor="text2" w:themeShade="80"/>
        </w:rPr>
        <w:t xml:space="preserve"> replace income Categories 2-4 in the </w:t>
      </w:r>
      <w:proofErr w:type="spellStart"/>
      <w:r w:rsidRPr="004A1196">
        <w:rPr>
          <w:color w:val="0B2B43" w:themeColor="text2" w:themeShade="80"/>
        </w:rPr>
        <w:t>RBG</w:t>
      </w:r>
      <w:proofErr w:type="spellEnd"/>
      <w:r w:rsidRPr="004A1196">
        <w:rPr>
          <w:color w:val="0B2B43" w:themeColor="text2" w:themeShade="80"/>
        </w:rPr>
        <w:t xml:space="preserve"> model starting in 2019. </w:t>
      </w:r>
    </w:p>
    <w:p w:rsidR="002C6039" w:rsidRPr="004A1196" w:rsidRDefault="002C6039" w:rsidP="002C6039">
      <w:pPr>
        <w:rPr>
          <w:color w:val="0B2B43" w:themeColor="text2" w:themeShade="80"/>
        </w:rPr>
      </w:pPr>
      <w:r w:rsidRPr="004A1196">
        <w:rPr>
          <w:color w:val="0B2B43" w:themeColor="text2" w:themeShade="80"/>
        </w:rPr>
        <w:t xml:space="preserve">On the other hand, the </w:t>
      </w:r>
      <w:r w:rsidR="00B05BA8" w:rsidRPr="004A1196">
        <w:rPr>
          <w:color w:val="0B2B43" w:themeColor="text2" w:themeShade="80"/>
        </w:rPr>
        <w:t>r</w:t>
      </w:r>
      <w:r w:rsidRPr="004A1196">
        <w:rPr>
          <w:color w:val="0B2B43" w:themeColor="text2" w:themeShade="80"/>
        </w:rPr>
        <w:t xml:space="preserve">eview </w:t>
      </w:r>
      <w:r w:rsidR="00B05BA8" w:rsidRPr="004A1196">
        <w:rPr>
          <w:color w:val="0B2B43" w:themeColor="text2" w:themeShade="80"/>
        </w:rPr>
        <w:t>acknowledges</w:t>
      </w:r>
      <w:r w:rsidR="005D2BB0">
        <w:rPr>
          <w:color w:val="0B2B43" w:themeColor="text2" w:themeShade="80"/>
        </w:rPr>
        <w:t xml:space="preserve"> that due to lags in</w:t>
      </w:r>
      <w:r w:rsidRPr="004A1196">
        <w:rPr>
          <w:color w:val="0B2B43" w:themeColor="text2" w:themeShade="80"/>
        </w:rPr>
        <w:t xml:space="preserve"> </w:t>
      </w:r>
      <w:proofErr w:type="spellStart"/>
      <w:r w:rsidRPr="004A1196">
        <w:rPr>
          <w:color w:val="0B2B43" w:themeColor="text2" w:themeShade="80"/>
        </w:rPr>
        <w:t>RBG</w:t>
      </w:r>
      <w:proofErr w:type="spellEnd"/>
      <w:r w:rsidRPr="004A1196">
        <w:rPr>
          <w:color w:val="0B2B43" w:themeColor="text2" w:themeShade="80"/>
        </w:rPr>
        <w:t xml:space="preserve"> between data collection and allocation timeframes, </w:t>
      </w:r>
      <w:r w:rsidR="00B05BA8" w:rsidRPr="004A1196">
        <w:rPr>
          <w:color w:val="0B2B43" w:themeColor="text2" w:themeShade="80"/>
        </w:rPr>
        <w:t xml:space="preserve">means that </w:t>
      </w:r>
      <w:r w:rsidRPr="004A1196">
        <w:rPr>
          <w:color w:val="0B2B43" w:themeColor="text2" w:themeShade="80"/>
        </w:rPr>
        <w:t xml:space="preserve">the new </w:t>
      </w:r>
      <w:proofErr w:type="spellStart"/>
      <w:r w:rsidRPr="004A1196">
        <w:rPr>
          <w:color w:val="0B2B43" w:themeColor="text2" w:themeShade="80"/>
        </w:rPr>
        <w:t>RBG</w:t>
      </w:r>
      <w:proofErr w:type="spellEnd"/>
      <w:r w:rsidRPr="004A1196">
        <w:rPr>
          <w:color w:val="0B2B43" w:themeColor="text2" w:themeShade="80"/>
        </w:rPr>
        <w:t xml:space="preserve"> model proposed will not fully influence allocations to universities until 2019 (reflecting university performance in 2016 and 2017). Changing the allocation measures to reflect the results of impact and engagement assessment, in 2019, </w:t>
      </w:r>
      <w:r w:rsidR="00B05BA8" w:rsidRPr="004A1196">
        <w:rPr>
          <w:color w:val="0B2B43" w:themeColor="text2" w:themeShade="80"/>
        </w:rPr>
        <w:t>c</w:t>
      </w:r>
      <w:r w:rsidRPr="004A1196">
        <w:rPr>
          <w:color w:val="0B2B43" w:themeColor="text2" w:themeShade="80"/>
        </w:rPr>
        <w:t xml:space="preserve">ould introduce further complexity into the </w:t>
      </w:r>
      <w:proofErr w:type="spellStart"/>
      <w:r w:rsidRPr="004A1196">
        <w:rPr>
          <w:color w:val="0B2B43" w:themeColor="text2" w:themeShade="80"/>
        </w:rPr>
        <w:t>RBG</w:t>
      </w:r>
      <w:proofErr w:type="spellEnd"/>
      <w:r w:rsidRPr="004A1196">
        <w:rPr>
          <w:color w:val="0B2B43" w:themeColor="text2" w:themeShade="80"/>
        </w:rPr>
        <w:t xml:space="preserve"> funding system. This </w:t>
      </w:r>
      <w:proofErr w:type="gramStart"/>
      <w:r w:rsidRPr="004A1196">
        <w:rPr>
          <w:color w:val="0B2B43" w:themeColor="text2" w:themeShade="80"/>
        </w:rPr>
        <w:t>co</w:t>
      </w:r>
      <w:r w:rsidR="00431C2C">
        <w:rPr>
          <w:color w:val="0B2B43" w:themeColor="text2" w:themeShade="80"/>
        </w:rPr>
        <w:t xml:space="preserve">uld be detrimental in two ways — </w:t>
      </w:r>
      <w:r w:rsidRPr="004A1196">
        <w:rPr>
          <w:color w:val="0B2B43" w:themeColor="text2" w:themeShade="80"/>
        </w:rPr>
        <w:t>either</w:t>
      </w:r>
      <w:proofErr w:type="gramEnd"/>
      <w:r w:rsidRPr="004A1196">
        <w:rPr>
          <w:color w:val="0B2B43" w:themeColor="text2" w:themeShade="80"/>
        </w:rPr>
        <w:t xml:space="preserve"> by causing instability among universities when they are putting in place strategies to maximise performance in line with incentives under the new </w:t>
      </w:r>
      <w:proofErr w:type="spellStart"/>
      <w:r w:rsidRPr="004A1196">
        <w:rPr>
          <w:color w:val="0B2B43" w:themeColor="text2" w:themeShade="80"/>
        </w:rPr>
        <w:t>RBG</w:t>
      </w:r>
      <w:proofErr w:type="spellEnd"/>
      <w:r w:rsidRPr="004A1196">
        <w:rPr>
          <w:color w:val="0B2B43" w:themeColor="text2" w:themeShade="80"/>
        </w:rPr>
        <w:t xml:space="preserve"> model or by undermining the effect of the new </w:t>
      </w:r>
      <w:proofErr w:type="spellStart"/>
      <w:r w:rsidRPr="004A1196">
        <w:rPr>
          <w:color w:val="0B2B43" w:themeColor="text2" w:themeShade="80"/>
        </w:rPr>
        <w:t>RBG</w:t>
      </w:r>
      <w:proofErr w:type="spellEnd"/>
      <w:r w:rsidRPr="004A1196">
        <w:rPr>
          <w:color w:val="0B2B43" w:themeColor="text2" w:themeShade="80"/>
        </w:rPr>
        <w:t xml:space="preserve"> model before it starts to influence performance. </w:t>
      </w:r>
    </w:p>
    <w:p w:rsidR="002C6039" w:rsidRPr="004A1196" w:rsidRDefault="002C6039" w:rsidP="002C6039">
      <w:pPr>
        <w:rPr>
          <w:color w:val="0B2B43" w:themeColor="text2" w:themeShade="80"/>
        </w:rPr>
      </w:pPr>
      <w:r w:rsidRPr="004A1196">
        <w:rPr>
          <w:color w:val="0B2B43" w:themeColor="text2" w:themeShade="80"/>
        </w:rPr>
        <w:t xml:space="preserve">Given these concerns, the review </w:t>
      </w:r>
      <w:r w:rsidR="00B05BA8" w:rsidRPr="004A1196">
        <w:rPr>
          <w:color w:val="0B2B43" w:themeColor="text2" w:themeShade="80"/>
        </w:rPr>
        <w:t>considers</w:t>
      </w:r>
      <w:r w:rsidRPr="004A1196">
        <w:rPr>
          <w:color w:val="0B2B43" w:themeColor="text2" w:themeShade="80"/>
        </w:rPr>
        <w:t xml:space="preserve"> that a decision about apportioning a level of </w:t>
      </w:r>
      <w:proofErr w:type="spellStart"/>
      <w:r w:rsidRPr="004A1196">
        <w:rPr>
          <w:color w:val="0B2B43" w:themeColor="text2" w:themeShade="80"/>
        </w:rPr>
        <w:t>RBG</w:t>
      </w:r>
      <w:proofErr w:type="spellEnd"/>
      <w:r w:rsidRPr="004A1196">
        <w:rPr>
          <w:color w:val="0B2B43" w:themeColor="text2" w:themeShade="80"/>
        </w:rPr>
        <w:t xml:space="preserve"> funding </w:t>
      </w:r>
      <w:proofErr w:type="gramStart"/>
      <w:r w:rsidRPr="004A1196">
        <w:rPr>
          <w:color w:val="0B2B43" w:themeColor="text2" w:themeShade="80"/>
        </w:rPr>
        <w:t>on the basis of</w:t>
      </w:r>
      <w:proofErr w:type="gramEnd"/>
      <w:r w:rsidRPr="004A1196">
        <w:rPr>
          <w:color w:val="0B2B43" w:themeColor="text2" w:themeShade="80"/>
        </w:rPr>
        <w:t xml:space="preserve"> the impact and engagement assessment results </w:t>
      </w:r>
      <w:r w:rsidR="00B05BA8" w:rsidRPr="004A1196">
        <w:rPr>
          <w:color w:val="0B2B43" w:themeColor="text2" w:themeShade="80"/>
        </w:rPr>
        <w:t>should be</w:t>
      </w:r>
      <w:r w:rsidRPr="004A1196">
        <w:rPr>
          <w:color w:val="0B2B43" w:themeColor="text2" w:themeShade="80"/>
        </w:rPr>
        <w:t xml:space="preserve"> made in light of the outcomes of the pilot study in 2017. </w:t>
      </w:r>
    </w:p>
    <w:p w:rsidR="002C6039" w:rsidRPr="004A1196" w:rsidRDefault="002C6039" w:rsidP="002C6039">
      <w:pPr>
        <w:pStyle w:val="RIHeading2"/>
        <w:rPr>
          <w:color w:val="0B2B43" w:themeColor="text2" w:themeShade="80"/>
        </w:rPr>
      </w:pPr>
      <w:bookmarkStart w:id="375" w:name="_Toc436651880"/>
      <w:bookmarkStart w:id="376" w:name="_Toc436659688"/>
      <w:bookmarkStart w:id="377" w:name="_Toc436660186"/>
      <w:r w:rsidRPr="004A1196">
        <w:rPr>
          <w:color w:val="0B2B43" w:themeColor="text2" w:themeShade="80"/>
        </w:rPr>
        <w:t>Recommendations</w:t>
      </w:r>
      <w:bookmarkEnd w:id="375"/>
      <w:bookmarkEnd w:id="376"/>
      <w:bookmarkEnd w:id="377"/>
    </w:p>
    <w:p w:rsidR="002C6039" w:rsidRPr="004A1196" w:rsidRDefault="002C6039" w:rsidP="001C2886">
      <w:pPr>
        <w:pStyle w:val="ListParagraph"/>
        <w:numPr>
          <w:ilvl w:val="0"/>
          <w:numId w:val="65"/>
        </w:numPr>
        <w:rPr>
          <w:color w:val="0B2B43" w:themeColor="text2" w:themeShade="80"/>
        </w:rPr>
      </w:pPr>
      <w:proofErr w:type="gramStart"/>
      <w:r w:rsidRPr="004A1196">
        <w:rPr>
          <w:color w:val="0B2B43" w:themeColor="text2" w:themeShade="80"/>
        </w:rPr>
        <w:t>The Australian Government commit to the assessment of the economic, social and other benefits of university research through an impact and engagement assessment framework, which will have an impact on future research funding.</w:t>
      </w:r>
      <w:proofErr w:type="gramEnd"/>
      <w:r w:rsidRPr="004A1196">
        <w:rPr>
          <w:color w:val="0B2B43" w:themeColor="text2" w:themeShade="80"/>
        </w:rPr>
        <w:t xml:space="preserve"> </w:t>
      </w:r>
    </w:p>
    <w:p w:rsidR="002C6039" w:rsidRPr="004A1196" w:rsidRDefault="002C6039" w:rsidP="002C6039">
      <w:pPr>
        <w:pStyle w:val="ListParagraph"/>
        <w:ind w:left="360"/>
        <w:rPr>
          <w:color w:val="0B2B43" w:themeColor="text2" w:themeShade="80"/>
        </w:rPr>
      </w:pPr>
    </w:p>
    <w:p w:rsidR="002C6039" w:rsidRPr="004A1196" w:rsidRDefault="002C6039" w:rsidP="001C2886">
      <w:pPr>
        <w:pStyle w:val="ListParagraph"/>
        <w:numPr>
          <w:ilvl w:val="0"/>
          <w:numId w:val="65"/>
        </w:numPr>
        <w:rPr>
          <w:color w:val="0B2B43" w:themeColor="text2" w:themeShade="80"/>
        </w:rPr>
      </w:pPr>
      <w:r w:rsidRPr="004A1196">
        <w:rPr>
          <w:color w:val="0B2B43" w:themeColor="text2" w:themeShade="80"/>
        </w:rPr>
        <w:t xml:space="preserve">The framework include both quantitative and qualitative measures, </w:t>
      </w:r>
      <w:r w:rsidR="00B05BA8" w:rsidRPr="004A1196">
        <w:rPr>
          <w:color w:val="0B2B43" w:themeColor="text2" w:themeShade="80"/>
        </w:rPr>
        <w:t>moderated by</w:t>
      </w:r>
      <w:r w:rsidRPr="004A1196">
        <w:rPr>
          <w:color w:val="0B2B43" w:themeColor="text2" w:themeShade="80"/>
        </w:rPr>
        <w:t xml:space="preserve"> expert review, with:</w:t>
      </w:r>
    </w:p>
    <w:p w:rsidR="002C6039" w:rsidRPr="004A1196" w:rsidRDefault="002C6039" w:rsidP="001C2886">
      <w:pPr>
        <w:pStyle w:val="ListParagraph"/>
        <w:numPr>
          <w:ilvl w:val="1"/>
          <w:numId w:val="65"/>
        </w:numPr>
        <w:rPr>
          <w:color w:val="0B2B43" w:themeColor="text2" w:themeShade="80"/>
        </w:rPr>
      </w:pPr>
      <w:r w:rsidRPr="004A1196">
        <w:rPr>
          <w:color w:val="0B2B43" w:themeColor="text2" w:themeShade="80"/>
        </w:rPr>
        <w:t xml:space="preserve">the metrics proposed by </w:t>
      </w:r>
      <w:proofErr w:type="spellStart"/>
      <w:r w:rsidRPr="004A1196">
        <w:rPr>
          <w:color w:val="0B2B43" w:themeColor="text2" w:themeShade="80"/>
        </w:rPr>
        <w:t>ATSE</w:t>
      </w:r>
      <w:proofErr w:type="spellEnd"/>
      <w:r w:rsidRPr="004A1196">
        <w:rPr>
          <w:color w:val="0B2B43" w:themeColor="text2" w:themeShade="80"/>
        </w:rPr>
        <w:t xml:space="preserve"> as the starting point for the development of quantitative measures, and other potential measures also considered</w:t>
      </w:r>
    </w:p>
    <w:p w:rsidR="002C6039" w:rsidRPr="004A1196" w:rsidRDefault="002C6039" w:rsidP="001C2886">
      <w:pPr>
        <w:pStyle w:val="ListParagraph"/>
        <w:numPr>
          <w:ilvl w:val="1"/>
          <w:numId w:val="65"/>
        </w:numPr>
        <w:rPr>
          <w:color w:val="0B2B43" w:themeColor="text2" w:themeShade="80"/>
        </w:rPr>
      </w:pPr>
      <w:r w:rsidRPr="004A1196">
        <w:rPr>
          <w:color w:val="0B2B43" w:themeColor="text2" w:themeShade="80"/>
        </w:rPr>
        <w:t xml:space="preserve">the lessons of the 2014 UK REF, the 2012 </w:t>
      </w:r>
      <w:proofErr w:type="spellStart"/>
      <w:r w:rsidRPr="004A1196">
        <w:rPr>
          <w:color w:val="0B2B43" w:themeColor="text2" w:themeShade="80"/>
        </w:rPr>
        <w:t>EIA</w:t>
      </w:r>
      <w:proofErr w:type="spellEnd"/>
      <w:r w:rsidRPr="004A1196">
        <w:rPr>
          <w:color w:val="0B2B43" w:themeColor="text2" w:themeShade="80"/>
        </w:rPr>
        <w:t xml:space="preserve"> and the 2010 UK REF pilot drawn on to measure the extent and cost of the approach to qualitative measurement and minimise the burden imposed on universities and others by the assessment methodology</w:t>
      </w:r>
    </w:p>
    <w:p w:rsidR="002C6039" w:rsidRPr="004A1196" w:rsidRDefault="002C6039" w:rsidP="001C2886">
      <w:pPr>
        <w:pStyle w:val="ListParagraph"/>
        <w:numPr>
          <w:ilvl w:val="1"/>
          <w:numId w:val="65"/>
        </w:numPr>
        <w:rPr>
          <w:color w:val="0B2B43" w:themeColor="text2" w:themeShade="80"/>
        </w:rPr>
      </w:pPr>
      <w:r w:rsidRPr="004A1196">
        <w:rPr>
          <w:color w:val="0B2B43" w:themeColor="text2" w:themeShade="80"/>
        </w:rPr>
        <w:t>an expert working group</w:t>
      </w:r>
      <w:r w:rsidR="00B05BA8" w:rsidRPr="004A1196">
        <w:rPr>
          <w:color w:val="0B2B43" w:themeColor="text2" w:themeShade="80"/>
        </w:rPr>
        <w:t>, convened by the Department of Education and Training and</w:t>
      </w:r>
      <w:r w:rsidRPr="004A1196">
        <w:rPr>
          <w:color w:val="0B2B43" w:themeColor="text2" w:themeShade="80"/>
        </w:rPr>
        <w:t xml:space="preserve"> comprising representatives from the research sector, government and </w:t>
      </w:r>
      <w:r w:rsidR="003904BC">
        <w:rPr>
          <w:color w:val="0B2B43" w:themeColor="text2" w:themeShade="80"/>
        </w:rPr>
        <w:t>end user</w:t>
      </w:r>
      <w:r w:rsidRPr="004A1196">
        <w:rPr>
          <w:color w:val="0B2B43" w:themeColor="text2" w:themeShade="80"/>
        </w:rPr>
        <w:t>s (including business) established to provide advice by the end of June 2016 on the specific approach to be used, the measures to be adopted and the implementation path to be followed</w:t>
      </w:r>
      <w:r w:rsidR="00242B91" w:rsidRPr="004A1196">
        <w:rPr>
          <w:color w:val="0B2B43" w:themeColor="text2" w:themeShade="80"/>
        </w:rPr>
        <w:t>.</w:t>
      </w:r>
      <w:r w:rsidRPr="004A1196">
        <w:rPr>
          <w:color w:val="0B2B43" w:themeColor="text2" w:themeShade="80"/>
        </w:rPr>
        <w:br/>
      </w:r>
    </w:p>
    <w:p w:rsidR="002C6039" w:rsidRPr="004A1196" w:rsidRDefault="002C6039" w:rsidP="001C2886">
      <w:pPr>
        <w:pStyle w:val="ListParagraph"/>
        <w:numPr>
          <w:ilvl w:val="0"/>
          <w:numId w:val="65"/>
        </w:numPr>
        <w:spacing w:before="0" w:after="200"/>
        <w:rPr>
          <w:color w:val="0B2B43" w:themeColor="text2" w:themeShade="80"/>
        </w:rPr>
      </w:pPr>
      <w:r w:rsidRPr="004A1196">
        <w:rPr>
          <w:color w:val="0B2B43" w:themeColor="text2" w:themeShade="80"/>
        </w:rPr>
        <w:t>The impact and engagement assessment</w:t>
      </w:r>
      <w:r w:rsidRPr="004A1196" w:rsidDel="008A1A09">
        <w:rPr>
          <w:color w:val="0B2B43" w:themeColor="text2" w:themeShade="80"/>
        </w:rPr>
        <w:t xml:space="preserve"> </w:t>
      </w:r>
      <w:r w:rsidRPr="004A1196">
        <w:rPr>
          <w:color w:val="0B2B43" w:themeColor="text2" w:themeShade="80"/>
        </w:rPr>
        <w:t xml:space="preserve">model </w:t>
      </w:r>
      <w:proofErr w:type="gramStart"/>
      <w:r w:rsidRPr="004A1196">
        <w:rPr>
          <w:color w:val="0B2B43" w:themeColor="text2" w:themeShade="80"/>
        </w:rPr>
        <w:t>should be piloted</w:t>
      </w:r>
      <w:proofErr w:type="gramEnd"/>
      <w:r w:rsidRPr="004A1196">
        <w:rPr>
          <w:color w:val="0B2B43" w:themeColor="text2" w:themeShade="80"/>
        </w:rPr>
        <w:t xml:space="preserve"> in 2017, with the lessons from the pilot to be finalised by the end of 2017.</w:t>
      </w:r>
    </w:p>
    <w:p w:rsidR="002C6039" w:rsidRPr="004A1196" w:rsidRDefault="002C6039" w:rsidP="002C6039">
      <w:pPr>
        <w:pStyle w:val="ListParagraph"/>
        <w:spacing w:before="0" w:after="200"/>
        <w:ind w:left="360"/>
        <w:rPr>
          <w:color w:val="0B2B43" w:themeColor="text2" w:themeShade="80"/>
        </w:rPr>
      </w:pPr>
    </w:p>
    <w:p w:rsidR="002C6039" w:rsidRPr="004A1196" w:rsidRDefault="002C6039" w:rsidP="001C2886">
      <w:pPr>
        <w:pStyle w:val="ListParagraph"/>
        <w:numPr>
          <w:ilvl w:val="0"/>
          <w:numId w:val="65"/>
        </w:numPr>
        <w:spacing w:before="0" w:after="200"/>
        <w:rPr>
          <w:color w:val="0B2B43" w:themeColor="text2" w:themeShade="80"/>
        </w:rPr>
      </w:pPr>
      <w:r w:rsidRPr="004A1196">
        <w:rPr>
          <w:color w:val="0B2B43" w:themeColor="text2" w:themeShade="80"/>
        </w:rPr>
        <w:t>The new framework should:</w:t>
      </w:r>
    </w:p>
    <w:p w:rsidR="002C6039" w:rsidRPr="004A1196" w:rsidRDefault="002C6039" w:rsidP="00C51BEE">
      <w:pPr>
        <w:pStyle w:val="ListParagraph"/>
        <w:numPr>
          <w:ilvl w:val="0"/>
          <w:numId w:val="66"/>
        </w:numPr>
        <w:rPr>
          <w:color w:val="0B2B43" w:themeColor="text2" w:themeShade="80"/>
        </w:rPr>
      </w:pPr>
      <w:r w:rsidRPr="004A1196">
        <w:rPr>
          <w:color w:val="0B2B43" w:themeColor="text2" w:themeShade="80"/>
        </w:rPr>
        <w:t>be implemented as a companion to ERA in 2018, so that quality and impact and engagement can be assessed at the same time on a three year cycle</w:t>
      </w:r>
    </w:p>
    <w:p w:rsidR="002C6039" w:rsidRPr="004A1196" w:rsidRDefault="002C6039" w:rsidP="00C51BEE">
      <w:pPr>
        <w:pStyle w:val="ListParagraph"/>
        <w:numPr>
          <w:ilvl w:val="0"/>
          <w:numId w:val="66"/>
        </w:numPr>
        <w:rPr>
          <w:color w:val="0B2B43" w:themeColor="text2" w:themeShade="80"/>
        </w:rPr>
      </w:pPr>
      <w:proofErr w:type="gramStart"/>
      <w:r w:rsidRPr="004A1196">
        <w:rPr>
          <w:color w:val="0B2B43" w:themeColor="text2" w:themeShade="80"/>
        </w:rPr>
        <w:t>be</w:t>
      </w:r>
      <w:proofErr w:type="gramEnd"/>
      <w:r w:rsidRPr="004A1196">
        <w:rPr>
          <w:color w:val="0B2B43" w:themeColor="text2" w:themeShade="80"/>
        </w:rPr>
        <w:t xml:space="preserve"> implemented so that any additional burden on universities is minimised by using existing sources of data and evidence and reducing data and information required for ERA and/or other reporting</w:t>
      </w:r>
      <w:r w:rsidR="00431C2C">
        <w:rPr>
          <w:color w:val="0B2B43" w:themeColor="text2" w:themeShade="80"/>
        </w:rPr>
        <w:t>.</w:t>
      </w:r>
    </w:p>
    <w:p w:rsidR="002C6039" w:rsidRPr="004A1196" w:rsidRDefault="002C6039" w:rsidP="002C6039">
      <w:pPr>
        <w:pStyle w:val="ListParagraph"/>
        <w:ind w:left="1080"/>
        <w:rPr>
          <w:color w:val="0B2B43" w:themeColor="text2" w:themeShade="80"/>
        </w:rPr>
      </w:pPr>
    </w:p>
    <w:p w:rsidR="002C6039" w:rsidRPr="004A1196" w:rsidRDefault="002C6039" w:rsidP="001C2886">
      <w:pPr>
        <w:pStyle w:val="ListParagraph"/>
        <w:numPr>
          <w:ilvl w:val="0"/>
          <w:numId w:val="65"/>
        </w:numPr>
        <w:spacing w:before="0" w:after="200"/>
        <w:rPr>
          <w:color w:val="0B2B43" w:themeColor="text2" w:themeShade="80"/>
        </w:rPr>
      </w:pPr>
      <w:r w:rsidRPr="004A1196">
        <w:rPr>
          <w:color w:val="0B2B43" w:themeColor="text2" w:themeShade="80"/>
        </w:rPr>
        <w:t xml:space="preserve">Following the 2017 pilot, the Australian Government should consider whether a specific level of funding </w:t>
      </w:r>
      <w:proofErr w:type="gramStart"/>
      <w:r w:rsidRPr="004A1196">
        <w:rPr>
          <w:color w:val="0B2B43" w:themeColor="text2" w:themeShade="80"/>
        </w:rPr>
        <w:t>should be influenced</w:t>
      </w:r>
      <w:proofErr w:type="gramEnd"/>
      <w:r w:rsidRPr="004A1196">
        <w:rPr>
          <w:color w:val="0B2B43" w:themeColor="text2" w:themeShade="80"/>
        </w:rPr>
        <w:t xml:space="preserve"> by the impact and engagement assessment, with 10 to 20 per cent of </w:t>
      </w:r>
      <w:proofErr w:type="spellStart"/>
      <w:r w:rsidRPr="004A1196">
        <w:rPr>
          <w:color w:val="0B2B43" w:themeColor="text2" w:themeShade="80"/>
        </w:rPr>
        <w:t>RBG</w:t>
      </w:r>
      <w:proofErr w:type="spellEnd"/>
      <w:r w:rsidRPr="004A1196">
        <w:rPr>
          <w:color w:val="0B2B43" w:themeColor="text2" w:themeShade="80"/>
        </w:rPr>
        <w:t xml:space="preserve"> research support from 2019 being a possible starting point.</w:t>
      </w:r>
    </w:p>
    <w:p w:rsidR="002C6039" w:rsidRPr="004A1196" w:rsidRDefault="002C6039" w:rsidP="002C6039">
      <w:pPr>
        <w:pStyle w:val="ListParagraph"/>
        <w:spacing w:before="0" w:after="200"/>
        <w:ind w:left="360"/>
        <w:rPr>
          <w:color w:val="0B2B43" w:themeColor="text2" w:themeShade="80"/>
        </w:rPr>
      </w:pPr>
    </w:p>
    <w:p w:rsidR="002C6039" w:rsidRPr="004A1196" w:rsidRDefault="002C6039" w:rsidP="001C2886">
      <w:pPr>
        <w:pStyle w:val="ListParagraph"/>
        <w:numPr>
          <w:ilvl w:val="0"/>
          <w:numId w:val="65"/>
        </w:numPr>
        <w:spacing w:before="0" w:after="200"/>
        <w:rPr>
          <w:color w:val="0B2B43" w:themeColor="text2" w:themeShade="80"/>
        </w:rPr>
      </w:pPr>
      <w:r w:rsidRPr="004A1196">
        <w:rPr>
          <w:color w:val="0B2B43" w:themeColor="text2" w:themeShade="80"/>
        </w:rPr>
        <w:t>The ARC be provided with sufficient ongoing funding (around $10 million over the three year assessment cycle) to manage the development and implementation of the assessment.</w:t>
      </w:r>
    </w:p>
    <w:p w:rsidR="002C6039" w:rsidRPr="004A1196" w:rsidRDefault="002C6039" w:rsidP="002C6039">
      <w:pPr>
        <w:spacing w:before="0" w:after="200" w:line="276" w:lineRule="auto"/>
        <w:rPr>
          <w:color w:val="0B2B43" w:themeColor="text2" w:themeShade="80"/>
        </w:rPr>
      </w:pPr>
      <w:r w:rsidRPr="004A1196">
        <w:rPr>
          <w:color w:val="0B2B43" w:themeColor="text2" w:themeShade="80"/>
        </w:rPr>
        <w:br w:type="page"/>
      </w:r>
    </w:p>
    <w:p w:rsidR="002C6039" w:rsidRPr="004A1196" w:rsidRDefault="002C6039" w:rsidP="004018A9">
      <w:pPr>
        <w:pStyle w:val="RIHeading1"/>
        <w:numPr>
          <w:ilvl w:val="0"/>
          <w:numId w:val="62"/>
        </w:numPr>
        <w:rPr>
          <w:color w:val="0B2B43" w:themeColor="text2" w:themeShade="80"/>
        </w:rPr>
      </w:pPr>
      <w:bookmarkStart w:id="378" w:name="_Toc436228991"/>
      <w:bookmarkStart w:id="379" w:name="_Toc436392777"/>
      <w:bookmarkStart w:id="380" w:name="_Toc436563389"/>
      <w:bookmarkStart w:id="381" w:name="_Toc436574578"/>
      <w:bookmarkStart w:id="382" w:name="_Toc436579528"/>
      <w:bookmarkStart w:id="383" w:name="_Toc436579546"/>
      <w:bookmarkStart w:id="384" w:name="_Toc436651881"/>
      <w:bookmarkStart w:id="385" w:name="_Toc436659689"/>
      <w:bookmarkStart w:id="386" w:name="_Toc436660187"/>
      <w:bookmarkStart w:id="387" w:name="_Toc436663726"/>
      <w:bookmarkStart w:id="388" w:name="_Toc436664116"/>
      <w:bookmarkStart w:id="389" w:name="_Toc436664677"/>
      <w:bookmarkStart w:id="390" w:name="_Toc436664819"/>
      <w:bookmarkStart w:id="391" w:name="_Toc436665034"/>
      <w:bookmarkStart w:id="392" w:name="_Toc436666151"/>
      <w:bookmarkStart w:id="393" w:name="_Toc436666858"/>
      <w:bookmarkStart w:id="394" w:name="_Toc436666976"/>
      <w:bookmarkStart w:id="395" w:name="_Toc440378839"/>
      <w:r w:rsidRPr="004A1196">
        <w:rPr>
          <w:color w:val="0B2B43" w:themeColor="text2" w:themeShade="80"/>
        </w:rPr>
        <w:t>Assessing Australia’s research system</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rsidR="0021502C" w:rsidRDefault="002C6039" w:rsidP="002C6039">
      <w:pPr>
        <w:rPr>
          <w:color w:val="0B2B43" w:themeColor="text2" w:themeShade="80"/>
        </w:rPr>
      </w:pPr>
      <w:r w:rsidRPr="004A1196">
        <w:rPr>
          <w:color w:val="0B2B43" w:themeColor="text2" w:themeShade="80"/>
        </w:rPr>
        <w:t>The terms of referen</w:t>
      </w:r>
      <w:r w:rsidR="0087616A">
        <w:rPr>
          <w:color w:val="0B2B43" w:themeColor="text2" w:themeShade="80"/>
        </w:rPr>
        <w:t>ce request advice on options to:</w:t>
      </w:r>
    </w:p>
    <w:p w:rsidR="002C6039" w:rsidRPr="0021502C" w:rsidRDefault="002C6039" w:rsidP="0021502C">
      <w:pPr>
        <w:ind w:left="720"/>
        <w:rPr>
          <w:color w:val="0B2B43" w:themeColor="text2" w:themeShade="80"/>
          <w:sz w:val="22"/>
        </w:rPr>
      </w:pPr>
      <w:proofErr w:type="gramStart"/>
      <w:r w:rsidRPr="0021502C">
        <w:rPr>
          <w:color w:val="0B2B43" w:themeColor="text2" w:themeShade="80"/>
          <w:sz w:val="22"/>
        </w:rPr>
        <w:t>ensure</w:t>
      </w:r>
      <w:proofErr w:type="gramEnd"/>
      <w:r w:rsidRPr="0021502C">
        <w:rPr>
          <w:color w:val="0B2B43" w:themeColor="text2" w:themeShade="80"/>
          <w:sz w:val="22"/>
        </w:rPr>
        <w:t xml:space="preserve"> the quality and excellence of Australian university research and research training. </w:t>
      </w:r>
    </w:p>
    <w:p w:rsidR="002C6039" w:rsidRPr="004A1196" w:rsidRDefault="002C6039" w:rsidP="002C6039">
      <w:pPr>
        <w:rPr>
          <w:color w:val="0B2B43" w:themeColor="text2" w:themeShade="80"/>
        </w:rPr>
      </w:pPr>
      <w:r w:rsidRPr="004A1196">
        <w:rPr>
          <w:color w:val="0B2B43" w:themeColor="text2" w:themeShade="80"/>
        </w:rPr>
        <w:t>It would be incomplete</w:t>
      </w:r>
      <w:r w:rsidR="000A39F9">
        <w:rPr>
          <w:color w:val="0B2B43" w:themeColor="text2" w:themeShade="80"/>
        </w:rPr>
        <w:t xml:space="preserve"> </w:t>
      </w:r>
      <w:r w:rsidRPr="004A1196">
        <w:rPr>
          <w:color w:val="0B2B43" w:themeColor="text2" w:themeShade="80"/>
        </w:rPr>
        <w:t xml:space="preserve">to consider the effectiveness of the research activities at universities in isolation from the broader research endeavour supported by public funding. In particular, an effective research system should have space and opportunity for </w:t>
      </w:r>
      <w:proofErr w:type="gramStart"/>
      <w:r w:rsidRPr="004A1196">
        <w:rPr>
          <w:color w:val="0B2B43" w:themeColor="text2" w:themeShade="80"/>
        </w:rPr>
        <w:t>blue sky</w:t>
      </w:r>
      <w:proofErr w:type="gramEnd"/>
      <w:r w:rsidRPr="004A1196">
        <w:rPr>
          <w:color w:val="0B2B43" w:themeColor="text2" w:themeShade="80"/>
        </w:rPr>
        <w:t xml:space="preserve"> research but also value and prioritise applied research and translation activities. A diverse sector, in which research institutions are able to focus on their strengths and opportunities, but which </w:t>
      </w:r>
      <w:proofErr w:type="gramStart"/>
      <w:r w:rsidRPr="004A1196">
        <w:rPr>
          <w:color w:val="0B2B43" w:themeColor="text2" w:themeShade="80"/>
        </w:rPr>
        <w:t>is driven by an understanding of national priorities and imperatives</w:t>
      </w:r>
      <w:proofErr w:type="gramEnd"/>
      <w:r w:rsidRPr="004A1196">
        <w:rPr>
          <w:color w:val="0B2B43" w:themeColor="text2" w:themeShade="80"/>
        </w:rPr>
        <w:t>, is most likely to serve Australia’s interest.</w:t>
      </w:r>
    </w:p>
    <w:p w:rsidR="002C6039" w:rsidRPr="004A1196" w:rsidRDefault="002C6039" w:rsidP="002C6039">
      <w:pPr>
        <w:rPr>
          <w:color w:val="0B2B43" w:themeColor="text2" w:themeShade="80"/>
        </w:rPr>
      </w:pPr>
      <w:r w:rsidRPr="004A1196">
        <w:rPr>
          <w:color w:val="0B2B43" w:themeColor="text2" w:themeShade="80"/>
        </w:rPr>
        <w:t xml:space="preserve">There is currently no agreed set of performance measures for the publicly funded research system to help determine whether policy is encouraging the appropriate outcomes. This leaves something of a vacuum. It is therefore not surprising that each new data release from an Australian or an international source </w:t>
      </w:r>
      <w:proofErr w:type="gramStart"/>
      <w:r w:rsidRPr="004A1196">
        <w:rPr>
          <w:color w:val="0B2B43" w:themeColor="text2" w:themeShade="80"/>
        </w:rPr>
        <w:t>is routinely treated</w:t>
      </w:r>
      <w:proofErr w:type="gramEnd"/>
      <w:r w:rsidRPr="004A1196">
        <w:rPr>
          <w:color w:val="0B2B43" w:themeColor="text2" w:themeShade="80"/>
        </w:rPr>
        <w:t xml:space="preserve"> with the same scrutiny and focus in public discussion as the last, and with little sense of the quality of the data being scrutinised or its relevance to the Australian research system. Performance in these data releases is similarly often described as ‘world class’, ‘middle of the road’ and ‘poor’ with only scant understanding of what the data comprised and the way in which it was collected, ranked and presented. </w:t>
      </w:r>
    </w:p>
    <w:p w:rsidR="002C6039" w:rsidRPr="004A1196" w:rsidRDefault="002C6039" w:rsidP="002C6039">
      <w:pPr>
        <w:rPr>
          <w:color w:val="0B2B43" w:themeColor="text2" w:themeShade="80"/>
        </w:rPr>
      </w:pPr>
      <w:r w:rsidRPr="004A1196">
        <w:rPr>
          <w:color w:val="0B2B43" w:themeColor="text2" w:themeShade="80"/>
        </w:rPr>
        <w:t>For example, the regularly cited Global Innovation Index shows that in 2014 Australia was 81</w:t>
      </w:r>
      <w:r w:rsidRPr="00BE5CA5">
        <w:rPr>
          <w:color w:val="0B2B43" w:themeColor="text2" w:themeShade="80"/>
          <w:vertAlign w:val="superscript"/>
        </w:rPr>
        <w:t>st</w:t>
      </w:r>
      <w:r w:rsidRPr="004A1196">
        <w:rPr>
          <w:color w:val="0B2B43" w:themeColor="text2" w:themeShade="80"/>
        </w:rPr>
        <w:t xml:space="preserve"> of 143 countries on the ‘innovation </w:t>
      </w:r>
      <w:r w:rsidR="00431C2C">
        <w:rPr>
          <w:color w:val="0B2B43" w:themeColor="text2" w:themeShade="80"/>
        </w:rPr>
        <w:t xml:space="preserve">efficiency ratio’ — </w:t>
      </w:r>
      <w:r w:rsidRPr="004A1196">
        <w:rPr>
          <w:color w:val="0B2B43" w:themeColor="text2" w:themeShade="80"/>
        </w:rPr>
        <w:t xml:space="preserve">which purports to show how effectively we get returns from research, ideas and institutions. </w:t>
      </w:r>
      <w:proofErr w:type="gramStart"/>
      <w:r w:rsidRPr="004A1196">
        <w:rPr>
          <w:color w:val="0B2B43" w:themeColor="text2" w:themeShade="80"/>
        </w:rPr>
        <w:t>But</w:t>
      </w:r>
      <w:proofErr w:type="gramEnd"/>
      <w:r w:rsidRPr="004A1196">
        <w:rPr>
          <w:color w:val="0B2B43" w:themeColor="text2" w:themeShade="80"/>
        </w:rPr>
        <w:t xml:space="preserve">, on closer scrutiny, this index reveals that the top five countries on this composite measure of disparate inputs and outputs are Moldova, China, Malta, Indonesia and Vietnam. </w:t>
      </w:r>
    </w:p>
    <w:p w:rsidR="002C6039" w:rsidRPr="004A1196" w:rsidRDefault="002C6039" w:rsidP="002C6039">
      <w:pPr>
        <w:rPr>
          <w:color w:val="0B2B43" w:themeColor="text2" w:themeShade="80"/>
        </w:rPr>
      </w:pPr>
      <w:r w:rsidRPr="004A1196">
        <w:rPr>
          <w:color w:val="0B2B43" w:themeColor="text2" w:themeShade="80"/>
        </w:rPr>
        <w:t xml:space="preserve">It is important to develop a performance assessment and reporting system for </w:t>
      </w:r>
      <w:proofErr w:type="gramStart"/>
      <w:r w:rsidRPr="004A1196">
        <w:rPr>
          <w:color w:val="0B2B43" w:themeColor="text2" w:themeShade="80"/>
        </w:rPr>
        <w:t>Australia’s</w:t>
      </w:r>
      <w:proofErr w:type="gramEnd"/>
      <w:r w:rsidRPr="004A1196">
        <w:rPr>
          <w:color w:val="0B2B43" w:themeColor="text2" w:themeShade="80"/>
        </w:rPr>
        <w:t xml:space="preserve"> publicly funded investment in research that allows regular review of the outcomes being achieved. The changes proposed in this review need to </w:t>
      </w:r>
      <w:proofErr w:type="gramStart"/>
      <w:r w:rsidRPr="004A1196">
        <w:rPr>
          <w:color w:val="0B2B43" w:themeColor="text2" w:themeShade="80"/>
        </w:rPr>
        <w:t>be accompanied</w:t>
      </w:r>
      <w:proofErr w:type="gramEnd"/>
      <w:r w:rsidRPr="004A1196">
        <w:rPr>
          <w:color w:val="0B2B43" w:themeColor="text2" w:themeShade="80"/>
        </w:rPr>
        <w:t xml:space="preserve"> by the introduction of such a system. A clearer set of benchmarks and performance indicators for the publicly funded research system will provide </w:t>
      </w:r>
      <w:proofErr w:type="gramStart"/>
      <w:r w:rsidRPr="004A1196">
        <w:rPr>
          <w:color w:val="0B2B43" w:themeColor="text2" w:themeShade="80"/>
        </w:rPr>
        <w:t>much needed</w:t>
      </w:r>
      <w:proofErr w:type="gramEnd"/>
      <w:r w:rsidRPr="004A1196">
        <w:rPr>
          <w:color w:val="0B2B43" w:themeColor="text2" w:themeShade="80"/>
        </w:rPr>
        <w:t xml:space="preserve"> context to the assessment of the performance of research in universities. </w:t>
      </w:r>
    </w:p>
    <w:p w:rsidR="002C6039" w:rsidRPr="004A1196" w:rsidRDefault="002C6039" w:rsidP="002C6039">
      <w:pPr>
        <w:rPr>
          <w:color w:val="0B2B43" w:themeColor="text2" w:themeShade="80"/>
        </w:rPr>
      </w:pPr>
      <w:r w:rsidRPr="004A1196">
        <w:rPr>
          <w:color w:val="0B2B43" w:themeColor="text2" w:themeShade="80"/>
        </w:rPr>
        <w:t>As Australia becomes an increasingly knowledge</w:t>
      </w:r>
      <w:r w:rsidR="00AC3592">
        <w:rPr>
          <w:color w:val="0B2B43" w:themeColor="text2" w:themeShade="80"/>
        </w:rPr>
        <w:t xml:space="preserve"> </w:t>
      </w:r>
      <w:r w:rsidRPr="004A1196">
        <w:rPr>
          <w:color w:val="0B2B43" w:themeColor="text2" w:themeShade="80"/>
        </w:rPr>
        <w:t>intensive economy, the importance of the research system will only increase, as will the importance of having access to regular and up to date information on the system’s health and performance.</w:t>
      </w:r>
    </w:p>
    <w:p w:rsidR="002C6039" w:rsidRPr="004A1196" w:rsidRDefault="002C6039" w:rsidP="002C6039">
      <w:pPr>
        <w:rPr>
          <w:color w:val="0B2B43" w:themeColor="text2" w:themeShade="80"/>
        </w:rPr>
      </w:pPr>
      <w:r w:rsidRPr="004A1196">
        <w:rPr>
          <w:color w:val="0B2B43" w:themeColor="text2" w:themeShade="80"/>
        </w:rPr>
        <w:t xml:space="preserve">The Australian Government’s Boosting the Commercial Returns from Research </w:t>
      </w:r>
      <w:r w:rsidR="00431C2C">
        <w:rPr>
          <w:color w:val="0B2B43" w:themeColor="text2" w:themeShade="80"/>
        </w:rPr>
        <w:t>(</w:t>
      </w:r>
      <w:proofErr w:type="spellStart"/>
      <w:r w:rsidR="00431C2C">
        <w:rPr>
          <w:color w:val="0B2B43" w:themeColor="text2" w:themeShade="80"/>
        </w:rPr>
        <w:t>BCR</w:t>
      </w:r>
      <w:proofErr w:type="spellEnd"/>
      <w:r w:rsidR="00431C2C">
        <w:rPr>
          <w:color w:val="0B2B43" w:themeColor="text2" w:themeShade="80"/>
        </w:rPr>
        <w:t xml:space="preserve">) </w:t>
      </w:r>
      <w:r w:rsidRPr="004A1196">
        <w:rPr>
          <w:color w:val="0B2B43" w:themeColor="text2" w:themeShade="80"/>
        </w:rPr>
        <w:t>strategy has already recognised the need for this work, recommending that:</w:t>
      </w:r>
    </w:p>
    <w:p w:rsidR="002C6039" w:rsidRPr="004A1196" w:rsidRDefault="002C6039" w:rsidP="002C6039">
      <w:pPr>
        <w:ind w:left="720"/>
        <w:rPr>
          <w:color w:val="0B2B43" w:themeColor="text2" w:themeShade="80"/>
        </w:rPr>
      </w:pPr>
      <w:r w:rsidRPr="004A1196">
        <w:rPr>
          <w:color w:val="0B2B43" w:themeColor="text2" w:themeShade="80"/>
          <w:sz w:val="22"/>
        </w:rPr>
        <w:t>The Government work with the research sector and industry to improve assessment of the research system, including improved metrics on engagement and knowledge transfer with industry, as well as research outcomes and impact (</w:t>
      </w:r>
      <w:proofErr w:type="spellStart"/>
      <w:r w:rsidRPr="004A1196">
        <w:rPr>
          <w:color w:val="0B2B43" w:themeColor="text2" w:themeShade="80"/>
          <w:sz w:val="22"/>
        </w:rPr>
        <w:t>BCR</w:t>
      </w:r>
      <w:proofErr w:type="spellEnd"/>
      <w:r w:rsidRPr="004A1196">
        <w:rPr>
          <w:color w:val="0B2B43" w:themeColor="text2" w:themeShade="80"/>
          <w:sz w:val="22"/>
        </w:rPr>
        <w:t xml:space="preserve"> Action 14). </w:t>
      </w:r>
    </w:p>
    <w:p w:rsidR="002C6039" w:rsidRPr="004A1196" w:rsidRDefault="002C6039" w:rsidP="002C6039">
      <w:pPr>
        <w:pStyle w:val="RIHeading2"/>
        <w:rPr>
          <w:color w:val="0B2B43" w:themeColor="text2" w:themeShade="80"/>
        </w:rPr>
      </w:pPr>
      <w:bookmarkStart w:id="396" w:name="_Toc436392778"/>
      <w:bookmarkStart w:id="397" w:name="_Toc436651882"/>
      <w:bookmarkStart w:id="398" w:name="_Toc436659690"/>
      <w:bookmarkStart w:id="399" w:name="_Toc436660188"/>
      <w:r w:rsidRPr="004A1196">
        <w:rPr>
          <w:color w:val="0B2B43" w:themeColor="text2" w:themeShade="80"/>
        </w:rPr>
        <w:t>The research system as a whole: measuring what matters</w:t>
      </w:r>
      <w:bookmarkEnd w:id="396"/>
      <w:bookmarkEnd w:id="397"/>
      <w:bookmarkEnd w:id="398"/>
      <w:bookmarkEnd w:id="399"/>
    </w:p>
    <w:p w:rsidR="002C6039" w:rsidRPr="004A1196" w:rsidRDefault="002C6039" w:rsidP="002C6039">
      <w:pPr>
        <w:rPr>
          <w:color w:val="0B2B43" w:themeColor="text2" w:themeShade="80"/>
        </w:rPr>
      </w:pPr>
      <w:r w:rsidRPr="004A1196">
        <w:rPr>
          <w:color w:val="0B2B43" w:themeColor="text2" w:themeShade="80"/>
        </w:rPr>
        <w:t xml:space="preserve">Australia’s research system is complex, with 37 public universities as well as three private universities, </w:t>
      </w:r>
      <w:r w:rsidR="00AC3592">
        <w:rPr>
          <w:color w:val="0B2B43" w:themeColor="text2" w:themeShade="80"/>
        </w:rPr>
        <w:t>publicly funded research organisations (</w:t>
      </w:r>
      <w:proofErr w:type="spellStart"/>
      <w:r w:rsidR="007924DB">
        <w:rPr>
          <w:rFonts w:eastAsia="MS Mincho"/>
          <w:color w:val="0B2B43" w:themeColor="text2" w:themeShade="80"/>
        </w:rPr>
        <w:t>PFRO</w:t>
      </w:r>
      <w:proofErr w:type="spellEnd"/>
      <w:r w:rsidR="00AC3592">
        <w:rPr>
          <w:rFonts w:eastAsia="MS Mincho"/>
          <w:color w:val="0B2B43" w:themeColor="text2" w:themeShade="80"/>
        </w:rPr>
        <w:t>)</w:t>
      </w:r>
      <w:r w:rsidR="00242B91" w:rsidRPr="004A1196">
        <w:rPr>
          <w:color w:val="0B2B43" w:themeColor="text2" w:themeShade="80"/>
        </w:rPr>
        <w:t xml:space="preserve"> </w:t>
      </w:r>
      <w:r w:rsidRPr="004A1196">
        <w:rPr>
          <w:color w:val="0B2B43" w:themeColor="text2" w:themeShade="80"/>
        </w:rPr>
        <w:t xml:space="preserve">such as the CSIRO, medical research institutes (MRI) and research institutes in other specific subject areas. State and territory governments also support research programmes, as do a number of Commonwealth departments. Finally, significant research activity occurs in the private sector and through public-private collaborations. </w:t>
      </w:r>
    </w:p>
    <w:p w:rsidR="002C6039" w:rsidRPr="004A1196" w:rsidRDefault="002C6039" w:rsidP="002C6039">
      <w:pPr>
        <w:rPr>
          <w:color w:val="0B2B43" w:themeColor="text2" w:themeShade="80"/>
        </w:rPr>
      </w:pPr>
      <w:r w:rsidRPr="004A1196">
        <w:rPr>
          <w:color w:val="0B2B43" w:themeColor="text2" w:themeShade="80"/>
        </w:rPr>
        <w:t xml:space="preserve">Institutions that </w:t>
      </w:r>
      <w:proofErr w:type="gramStart"/>
      <w:r w:rsidRPr="004A1196">
        <w:rPr>
          <w:color w:val="0B2B43" w:themeColor="text2" w:themeShade="80"/>
        </w:rPr>
        <w:t>are wholly or largely publicly funded</w:t>
      </w:r>
      <w:proofErr w:type="gramEnd"/>
      <w:r w:rsidRPr="004A1196">
        <w:rPr>
          <w:color w:val="0B2B43" w:themeColor="text2" w:themeShade="80"/>
        </w:rPr>
        <w:t xml:space="preserve"> are, inter alia, charged with a complex set of priorities and challenges:</w:t>
      </w:r>
    </w:p>
    <w:p w:rsidR="002C6039" w:rsidRPr="004A1196" w:rsidRDefault="002C6039" w:rsidP="002C6039">
      <w:pPr>
        <w:pStyle w:val="ListParagraph"/>
        <w:numPr>
          <w:ilvl w:val="0"/>
          <w:numId w:val="14"/>
        </w:numPr>
        <w:rPr>
          <w:color w:val="0B2B43" w:themeColor="text2" w:themeShade="80"/>
        </w:rPr>
      </w:pPr>
      <w:r w:rsidRPr="004A1196">
        <w:rPr>
          <w:color w:val="0B2B43" w:themeColor="text2" w:themeShade="80"/>
        </w:rPr>
        <w:t xml:space="preserve">helping to develop solutions to address national and global challenges </w:t>
      </w:r>
    </w:p>
    <w:p w:rsidR="002C6039" w:rsidRPr="004A1196" w:rsidRDefault="002C6039" w:rsidP="002C6039">
      <w:pPr>
        <w:pStyle w:val="ListParagraph"/>
        <w:numPr>
          <w:ilvl w:val="0"/>
          <w:numId w:val="14"/>
        </w:numPr>
        <w:rPr>
          <w:color w:val="0B2B43" w:themeColor="text2" w:themeShade="80"/>
        </w:rPr>
      </w:pPr>
      <w:r w:rsidRPr="004A1196">
        <w:rPr>
          <w:color w:val="0B2B43" w:themeColor="text2" w:themeShade="80"/>
        </w:rPr>
        <w:t>contributing to improved quality of life and social prosperity</w:t>
      </w:r>
    </w:p>
    <w:p w:rsidR="002C6039" w:rsidRPr="004A1196" w:rsidRDefault="002C6039" w:rsidP="002C6039">
      <w:pPr>
        <w:pStyle w:val="ListParagraph"/>
        <w:numPr>
          <w:ilvl w:val="0"/>
          <w:numId w:val="14"/>
        </w:numPr>
        <w:rPr>
          <w:color w:val="0B2B43" w:themeColor="text2" w:themeShade="80"/>
        </w:rPr>
      </w:pPr>
      <w:r w:rsidRPr="004A1196">
        <w:rPr>
          <w:color w:val="0B2B43" w:themeColor="text2" w:themeShade="80"/>
        </w:rPr>
        <w:t>producing knowledge that helps drive the development of new products, technologies, processes and practices that contribute to productivity and economic growth</w:t>
      </w:r>
    </w:p>
    <w:p w:rsidR="002C6039" w:rsidRPr="004A1196" w:rsidRDefault="002C6039" w:rsidP="002C6039">
      <w:pPr>
        <w:pStyle w:val="ListParagraph"/>
        <w:numPr>
          <w:ilvl w:val="0"/>
          <w:numId w:val="14"/>
        </w:numPr>
        <w:rPr>
          <w:color w:val="0B2B43" w:themeColor="text2" w:themeShade="80"/>
        </w:rPr>
      </w:pPr>
      <w:r w:rsidRPr="004A1196">
        <w:rPr>
          <w:color w:val="0B2B43" w:themeColor="text2" w:themeShade="80"/>
        </w:rPr>
        <w:t xml:space="preserve">developing highly skilled research graduates </w:t>
      </w:r>
      <w:r w:rsidR="00AC3592">
        <w:rPr>
          <w:color w:val="0B2B43" w:themeColor="text2" w:themeShade="80"/>
        </w:rPr>
        <w:t>who</w:t>
      </w:r>
      <w:r w:rsidR="00AC3592" w:rsidRPr="004A1196">
        <w:rPr>
          <w:color w:val="0B2B43" w:themeColor="text2" w:themeShade="80"/>
        </w:rPr>
        <w:t xml:space="preserve"> </w:t>
      </w:r>
      <w:r w:rsidRPr="004A1196">
        <w:rPr>
          <w:color w:val="0B2B43" w:themeColor="text2" w:themeShade="80"/>
        </w:rPr>
        <w:t>are essential for industry innovation and competitiveness and the national research effort</w:t>
      </w:r>
    </w:p>
    <w:p w:rsidR="002C6039" w:rsidRPr="004A1196" w:rsidRDefault="002C6039" w:rsidP="002C6039">
      <w:pPr>
        <w:pStyle w:val="ListParagraph"/>
        <w:numPr>
          <w:ilvl w:val="0"/>
          <w:numId w:val="14"/>
        </w:numPr>
        <w:rPr>
          <w:color w:val="0B2B43" w:themeColor="text2" w:themeShade="80"/>
        </w:rPr>
      </w:pPr>
      <w:proofErr w:type="gramStart"/>
      <w:r w:rsidRPr="004A1196">
        <w:rPr>
          <w:color w:val="0B2B43" w:themeColor="text2" w:themeShade="80"/>
        </w:rPr>
        <w:t>collaborating</w:t>
      </w:r>
      <w:proofErr w:type="gramEnd"/>
      <w:r w:rsidRPr="004A1196">
        <w:rPr>
          <w:color w:val="0B2B43" w:themeColor="text2" w:themeShade="80"/>
        </w:rPr>
        <w:t xml:space="preserve"> with other research organisations and industry to maximise the gain from our investment by knowledge transfer and partnerships</w:t>
      </w:r>
      <w:r w:rsidR="00431C2C">
        <w:rPr>
          <w:color w:val="0B2B43" w:themeColor="text2" w:themeShade="80"/>
        </w:rPr>
        <w:t>.</w:t>
      </w:r>
    </w:p>
    <w:p w:rsidR="00C44B3B" w:rsidRPr="00C44B3B" w:rsidRDefault="002C6039" w:rsidP="00C44B3B">
      <w:pPr>
        <w:rPr>
          <w:color w:val="0B2B43" w:themeColor="text2" w:themeShade="80"/>
        </w:rPr>
      </w:pPr>
      <w:proofErr w:type="gramStart"/>
      <w:r w:rsidRPr="004A1196">
        <w:rPr>
          <w:color w:val="0B2B43" w:themeColor="text2" w:themeShade="80"/>
        </w:rPr>
        <w:t xml:space="preserve">At the federal level, Australian Government funding for </w:t>
      </w:r>
      <w:r w:rsidR="00D95EC0">
        <w:rPr>
          <w:color w:val="0B2B43" w:themeColor="text2" w:themeShade="80"/>
        </w:rPr>
        <w:t>research is provided through 13 </w:t>
      </w:r>
      <w:r w:rsidRPr="004A1196">
        <w:rPr>
          <w:color w:val="0B2B43" w:themeColor="text2" w:themeShade="80"/>
        </w:rPr>
        <w:t>portfolios in 2015-16.</w:t>
      </w:r>
      <w:r w:rsidRPr="004A1196">
        <w:rPr>
          <w:color w:val="0B2B43" w:themeColor="text2" w:themeShade="80"/>
          <w:vertAlign w:val="superscript"/>
        </w:rPr>
        <w:footnoteReference w:id="109"/>
      </w:r>
      <w:r w:rsidRPr="004A1196">
        <w:rPr>
          <w:color w:val="0B2B43" w:themeColor="text2" w:themeShade="80"/>
          <w:vertAlign w:val="superscript"/>
        </w:rPr>
        <w:t>,</w:t>
      </w:r>
      <w:r w:rsidRPr="004A1196">
        <w:rPr>
          <w:color w:val="0B2B43" w:themeColor="text2" w:themeShade="80"/>
          <w:vertAlign w:val="superscript"/>
        </w:rPr>
        <w:footnoteReference w:id="110"/>
      </w:r>
      <w:r w:rsidRPr="004A1196">
        <w:rPr>
          <w:color w:val="0B2B43" w:themeColor="text2" w:themeShade="80"/>
        </w:rPr>
        <w:t xml:space="preserve"> Education and Training, Industry, Innovation and Science, and Health administer the most funding but other portfolios, such as Defence</w:t>
      </w:r>
      <w:r w:rsidR="00544B34">
        <w:rPr>
          <w:color w:val="0B2B43" w:themeColor="text2" w:themeShade="80"/>
        </w:rPr>
        <w:t xml:space="preserve"> </w:t>
      </w:r>
      <w:r w:rsidRPr="004A1196">
        <w:rPr>
          <w:color w:val="0B2B43" w:themeColor="text2" w:themeShade="80"/>
        </w:rPr>
        <w:t>(</w:t>
      </w:r>
      <w:r w:rsidR="00C92603">
        <w:rPr>
          <w:color w:val="0B2B43" w:themeColor="text2" w:themeShade="80"/>
        </w:rPr>
        <w:t>Defence Science and Technology Organisation</w:t>
      </w:r>
      <w:r w:rsidRPr="004A1196">
        <w:rPr>
          <w:color w:val="0B2B43" w:themeColor="text2" w:themeShade="80"/>
        </w:rPr>
        <w:t>), Agriculture (</w:t>
      </w:r>
      <w:r w:rsidR="00C92603" w:rsidRPr="00C92603">
        <w:rPr>
          <w:color w:val="0B2B43" w:themeColor="text2" w:themeShade="80"/>
        </w:rPr>
        <w:t>Rural Research and Development for Profit</w:t>
      </w:r>
      <w:r w:rsidRPr="004A1196">
        <w:rPr>
          <w:color w:val="0B2B43" w:themeColor="text2" w:themeShade="80"/>
        </w:rPr>
        <w:t>), Environment (</w:t>
      </w:r>
      <w:r w:rsidRPr="0018651A">
        <w:rPr>
          <w:color w:val="0B2B43" w:themeColor="text2" w:themeShade="80"/>
        </w:rPr>
        <w:t>Antarctic Division, Bureau of Meteorology</w:t>
      </w:r>
      <w:r w:rsidRPr="004A1196">
        <w:rPr>
          <w:color w:val="0B2B43" w:themeColor="text2" w:themeShade="80"/>
        </w:rPr>
        <w:t xml:space="preserve">) and </w:t>
      </w:r>
      <w:r w:rsidR="00C44B3B">
        <w:rPr>
          <w:color w:val="0B2B43" w:themeColor="text2" w:themeShade="80"/>
        </w:rPr>
        <w:t>Foreign Affairs and Trade (Australian Centre for International Agricultural Research</w:t>
      </w:r>
      <w:r w:rsidRPr="004A1196">
        <w:rPr>
          <w:color w:val="0B2B43" w:themeColor="text2" w:themeShade="80"/>
        </w:rPr>
        <w:t>) also have significant roles.</w:t>
      </w:r>
      <w:proofErr w:type="gramEnd"/>
      <w:r w:rsidRPr="004A1196">
        <w:rPr>
          <w:color w:val="0B2B43" w:themeColor="text2" w:themeShade="80"/>
        </w:rPr>
        <w:t xml:space="preserve"> The other portfolios have smaller, sector specific research programmes. This has effectively meant that no single minister has overall responsibility for the research sector, and there is little focus on the performance of the publicly funded research system as a whole. </w:t>
      </w:r>
    </w:p>
    <w:p w:rsidR="002C6039" w:rsidRPr="004A1196" w:rsidRDefault="002C6039" w:rsidP="002C6039">
      <w:pPr>
        <w:rPr>
          <w:color w:val="0B2B43" w:themeColor="text2" w:themeShade="80"/>
        </w:rPr>
      </w:pPr>
      <w:r w:rsidRPr="004A1196">
        <w:rPr>
          <w:color w:val="0B2B43" w:themeColor="text2" w:themeShade="80"/>
        </w:rPr>
        <w:t xml:space="preserve">There </w:t>
      </w:r>
      <w:proofErr w:type="gramStart"/>
      <w:r w:rsidRPr="004A1196">
        <w:rPr>
          <w:color w:val="0B2B43" w:themeColor="text2" w:themeShade="80"/>
        </w:rPr>
        <w:t>are</w:t>
      </w:r>
      <w:proofErr w:type="gramEnd"/>
      <w:r w:rsidRPr="004A1196">
        <w:rPr>
          <w:color w:val="0B2B43" w:themeColor="text2" w:themeShade="80"/>
        </w:rPr>
        <w:t xml:space="preserve"> a variety of ways in which this lack of effective focus could be addressed. One might be for the research functions of the 13 portfolios to be </w:t>
      </w:r>
      <w:proofErr w:type="gramStart"/>
      <w:r w:rsidRPr="004A1196">
        <w:rPr>
          <w:color w:val="0B2B43" w:themeColor="text2" w:themeShade="80"/>
        </w:rPr>
        <w:t>combined</w:t>
      </w:r>
      <w:proofErr w:type="gramEnd"/>
      <w:r w:rsidRPr="004A1196">
        <w:rPr>
          <w:color w:val="0B2B43" w:themeColor="text2" w:themeShade="80"/>
        </w:rPr>
        <w:t xml:space="preserve"> into a new Research Department or included in one existing portfolio. That would, however, create more problems than it seeks to address — with the high attendant costs of disruption and change that new portfolio arrangements inevitably create, and the disjunction between research and other components of existing portfolios. Another option might be for the establishment of a Cabinet sub-committee to take on overall research responsibilities. However, given the rarity of Cabinet committees and the broad remit they usually have, such an option </w:t>
      </w:r>
      <w:proofErr w:type="gramStart"/>
      <w:r w:rsidRPr="004A1196">
        <w:rPr>
          <w:color w:val="0B2B43" w:themeColor="text2" w:themeShade="80"/>
        </w:rPr>
        <w:t>would rightly be reserved</w:t>
      </w:r>
      <w:proofErr w:type="gramEnd"/>
      <w:r w:rsidRPr="004A1196">
        <w:rPr>
          <w:color w:val="0B2B43" w:themeColor="text2" w:themeShade="80"/>
        </w:rPr>
        <w:t xml:space="preserve"> for coordinating and delivering a larger slab of a government’s policy agenda</w:t>
      </w:r>
      <w:r w:rsidR="006A7BF4" w:rsidRPr="004A1196">
        <w:rPr>
          <w:color w:val="0B2B43" w:themeColor="text2" w:themeShade="80"/>
        </w:rPr>
        <w:t>, such as the entire innovation agenda across industry, education and economic policy.</w:t>
      </w:r>
    </w:p>
    <w:p w:rsidR="002C6039" w:rsidRPr="004A1196" w:rsidRDefault="002C6039" w:rsidP="002C6039">
      <w:pPr>
        <w:rPr>
          <w:color w:val="0B2B43" w:themeColor="text2" w:themeShade="80"/>
        </w:rPr>
      </w:pPr>
      <w:r w:rsidRPr="004A1196">
        <w:rPr>
          <w:color w:val="0B2B43" w:themeColor="text2" w:themeShade="80"/>
        </w:rPr>
        <w:t xml:space="preserve">An alternative solution could be to have a single minister leading the assessment and reporting on the performance of the publicly funded research system — a ‘steward’ of sorts, who can provide a whole of sector view to support policy consideration at both the whole of government and </w:t>
      </w:r>
      <w:proofErr w:type="gramStart"/>
      <w:r w:rsidRPr="004A1196">
        <w:rPr>
          <w:color w:val="0B2B43" w:themeColor="text2" w:themeShade="80"/>
        </w:rPr>
        <w:t>portfolio by portfolio</w:t>
      </w:r>
      <w:proofErr w:type="gramEnd"/>
      <w:r w:rsidRPr="004A1196">
        <w:rPr>
          <w:color w:val="0B2B43" w:themeColor="text2" w:themeShade="80"/>
        </w:rPr>
        <w:t xml:space="preserve"> levels. </w:t>
      </w:r>
    </w:p>
    <w:p w:rsidR="002C6039" w:rsidRPr="004A1196" w:rsidRDefault="002C6039" w:rsidP="002C6039">
      <w:pPr>
        <w:rPr>
          <w:color w:val="0B2B43" w:themeColor="text2" w:themeShade="80"/>
        </w:rPr>
      </w:pPr>
      <w:r w:rsidRPr="004A1196">
        <w:rPr>
          <w:color w:val="0B2B43" w:themeColor="text2" w:themeShade="80"/>
        </w:rPr>
        <w:t xml:space="preserve">Under current </w:t>
      </w:r>
      <w:proofErr w:type="gramStart"/>
      <w:r w:rsidRPr="004A1196">
        <w:rPr>
          <w:color w:val="0B2B43" w:themeColor="text2" w:themeShade="80"/>
        </w:rPr>
        <w:t>arrangements</w:t>
      </w:r>
      <w:proofErr w:type="gramEnd"/>
      <w:r w:rsidRPr="004A1196">
        <w:rPr>
          <w:color w:val="0B2B43" w:themeColor="text2" w:themeShade="80"/>
        </w:rPr>
        <w:t xml:space="preserve"> this role is likely to be best placed with the Minister for Education and </w:t>
      </w:r>
      <w:r w:rsidR="00544B34">
        <w:rPr>
          <w:color w:val="0B2B43" w:themeColor="text2" w:themeShade="80"/>
        </w:rPr>
        <w:t>Training. That M</w:t>
      </w:r>
      <w:r w:rsidRPr="004A1196">
        <w:rPr>
          <w:color w:val="0B2B43" w:themeColor="text2" w:themeShade="80"/>
        </w:rPr>
        <w:t>inister already has responsibility for policy and funding to support the largest element of the publicly funded research system: university based research, which makes up over one third of the Australian Government funding support for public research.</w:t>
      </w:r>
      <w:r w:rsidRPr="004A1196">
        <w:rPr>
          <w:rStyle w:val="FootnoteReference"/>
          <w:color w:val="0B2B43" w:themeColor="text2" w:themeShade="80"/>
        </w:rPr>
        <w:footnoteReference w:id="111"/>
      </w:r>
      <w:r w:rsidRPr="004A1196">
        <w:rPr>
          <w:color w:val="0B2B43" w:themeColor="text2" w:themeShade="80"/>
        </w:rPr>
        <w:t xml:space="preserve"> </w:t>
      </w:r>
    </w:p>
    <w:p w:rsidR="002C6039" w:rsidRPr="004A1196" w:rsidRDefault="002C6039" w:rsidP="002C6039">
      <w:pPr>
        <w:rPr>
          <w:color w:val="0B2B43" w:themeColor="text2" w:themeShade="80"/>
        </w:rPr>
      </w:pPr>
      <w:r w:rsidRPr="004A1196">
        <w:rPr>
          <w:color w:val="0B2B43" w:themeColor="text2" w:themeShade="80"/>
        </w:rPr>
        <w:t xml:space="preserve">Such a role should not significantly impinge on the portfolio responsibilities of other ministers — it </w:t>
      </w:r>
      <w:proofErr w:type="gramStart"/>
      <w:r w:rsidRPr="004A1196">
        <w:rPr>
          <w:color w:val="0B2B43" w:themeColor="text2" w:themeShade="80"/>
        </w:rPr>
        <w:t>would be focused</w:t>
      </w:r>
      <w:proofErr w:type="gramEnd"/>
      <w:r w:rsidRPr="004A1196">
        <w:rPr>
          <w:color w:val="0B2B43" w:themeColor="text2" w:themeShade="80"/>
        </w:rPr>
        <w:t xml:space="preserve"> on reporting and assessing performance for the sector of reference as a whole. This assessment </w:t>
      </w:r>
      <w:proofErr w:type="gramStart"/>
      <w:r w:rsidRPr="004A1196">
        <w:rPr>
          <w:color w:val="0B2B43" w:themeColor="text2" w:themeShade="80"/>
        </w:rPr>
        <w:t>would be undertaken</w:t>
      </w:r>
      <w:proofErr w:type="gramEnd"/>
      <w:r w:rsidRPr="004A1196">
        <w:rPr>
          <w:color w:val="0B2B43" w:themeColor="text2" w:themeShade="80"/>
        </w:rPr>
        <w:t xml:space="preserve"> in close collaboration with the Minister for Industry, Innovation and Science and Minister for Health, given their portfolio responsibilities in respect of industry-research collaboration, innovation and health research. Other ministers with significant research responsibilities </w:t>
      </w:r>
      <w:proofErr w:type="gramStart"/>
      <w:r w:rsidRPr="004A1196">
        <w:rPr>
          <w:color w:val="0B2B43" w:themeColor="text2" w:themeShade="80"/>
        </w:rPr>
        <w:t>would also be consulted</w:t>
      </w:r>
      <w:proofErr w:type="gramEnd"/>
      <w:r w:rsidRPr="004A1196">
        <w:rPr>
          <w:color w:val="0B2B43" w:themeColor="text2" w:themeShade="80"/>
        </w:rPr>
        <w:t xml:space="preserve"> as part of the assessment approach. The </w:t>
      </w:r>
      <w:r w:rsidR="000A39F9">
        <w:rPr>
          <w:color w:val="0B2B43" w:themeColor="text2" w:themeShade="80"/>
        </w:rPr>
        <w:t xml:space="preserve">Australian </w:t>
      </w:r>
      <w:r w:rsidRPr="004A1196">
        <w:rPr>
          <w:color w:val="0B2B43" w:themeColor="text2" w:themeShade="80"/>
        </w:rPr>
        <w:t>Innovation System Report prepared by the Industry portfolio for a number of years may be an appropriate analogue — it draws together business performance, skills formation, trade performance and research activity to give an overarching assessment of ‘the performance of our innovation system over time, allowing emerging issues to be identified’.</w:t>
      </w:r>
      <w:r w:rsidRPr="004A1196">
        <w:rPr>
          <w:rStyle w:val="FootnoteReference"/>
          <w:color w:val="0B2B43" w:themeColor="text2" w:themeShade="80"/>
        </w:rPr>
        <w:footnoteReference w:id="112"/>
      </w:r>
    </w:p>
    <w:p w:rsidR="002C6039" w:rsidRPr="004A1196" w:rsidRDefault="002C6039" w:rsidP="002C6039">
      <w:pPr>
        <w:rPr>
          <w:color w:val="0B2B43" w:themeColor="text2" w:themeShade="80"/>
        </w:rPr>
      </w:pPr>
      <w:r w:rsidRPr="004A1196">
        <w:rPr>
          <w:color w:val="0B2B43" w:themeColor="text2" w:themeShade="80"/>
        </w:rPr>
        <w:t xml:space="preserve">While formally outside of the scope of this review, the stewardship role played by the Minister for Industry, Innovation and Science in relation to Australia’s innovation performance remains relevant and complementary to the proposal here and that role should continue and </w:t>
      </w:r>
      <w:proofErr w:type="gramStart"/>
      <w:r w:rsidRPr="004A1196">
        <w:rPr>
          <w:color w:val="0B2B43" w:themeColor="text2" w:themeShade="80"/>
        </w:rPr>
        <w:t>be enhanced</w:t>
      </w:r>
      <w:proofErr w:type="gramEnd"/>
      <w:r w:rsidRPr="004A1196">
        <w:rPr>
          <w:color w:val="0B2B43" w:themeColor="text2" w:themeShade="80"/>
        </w:rPr>
        <w:t xml:space="preserve"> as necessary to increase its effectiveness.</w:t>
      </w:r>
    </w:p>
    <w:p w:rsidR="002C6039" w:rsidRPr="004A1196" w:rsidRDefault="002C6039" w:rsidP="002C6039">
      <w:pPr>
        <w:rPr>
          <w:color w:val="0B2B43" w:themeColor="text2" w:themeShade="80"/>
        </w:rPr>
      </w:pPr>
      <w:r w:rsidRPr="004A1196">
        <w:rPr>
          <w:color w:val="0B2B43" w:themeColor="text2" w:themeShade="80"/>
        </w:rPr>
        <w:t xml:space="preserve">The first priority for such a steward’s role would be to establish an agreed framework to assess the performance of the research system. This would help inform possible adjustments to policy and programme settings to improve performance of the research system. Work already underway </w:t>
      </w:r>
      <w:r w:rsidRPr="004A1196">
        <w:rPr>
          <w:rFonts w:cs="Arial"/>
          <w:color w:val="0B2B43" w:themeColor="text2" w:themeShade="80"/>
        </w:rPr>
        <w:t>within the Departments of Education and Training and Innovation, Industry and Science</w:t>
      </w:r>
      <w:r w:rsidRPr="004A1196">
        <w:rPr>
          <w:color w:val="0B2B43" w:themeColor="text2" w:themeShade="80"/>
        </w:rPr>
        <w:t xml:space="preserve"> to </w:t>
      </w:r>
      <w:r w:rsidRPr="004A1196">
        <w:rPr>
          <w:rFonts w:cs="Arial"/>
          <w:color w:val="0B2B43" w:themeColor="text2" w:themeShade="80"/>
        </w:rPr>
        <w:t xml:space="preserve">implement the </w:t>
      </w:r>
      <w:proofErr w:type="spellStart"/>
      <w:r w:rsidRPr="004A1196">
        <w:rPr>
          <w:rFonts w:cs="Arial"/>
          <w:color w:val="0B2B43" w:themeColor="text2" w:themeShade="80"/>
        </w:rPr>
        <w:t>BCR</w:t>
      </w:r>
      <w:proofErr w:type="spellEnd"/>
      <w:r w:rsidRPr="004A1196">
        <w:rPr>
          <w:rFonts w:cs="Arial"/>
          <w:color w:val="0B2B43" w:themeColor="text2" w:themeShade="80"/>
        </w:rPr>
        <w:t xml:space="preserve"> strategy </w:t>
      </w:r>
      <w:r w:rsidRPr="004A1196">
        <w:rPr>
          <w:color w:val="0B2B43" w:themeColor="text2" w:themeShade="80"/>
        </w:rPr>
        <w:t xml:space="preserve">provides a starting point for the development of the assessment system and </w:t>
      </w:r>
      <w:proofErr w:type="gramStart"/>
      <w:r w:rsidRPr="004A1196">
        <w:rPr>
          <w:color w:val="0B2B43" w:themeColor="text2" w:themeShade="80"/>
        </w:rPr>
        <w:t>should be accelerated</w:t>
      </w:r>
      <w:proofErr w:type="gramEnd"/>
      <w:r w:rsidRPr="004A1196">
        <w:rPr>
          <w:color w:val="0B2B43" w:themeColor="text2" w:themeShade="80"/>
        </w:rPr>
        <w:t xml:space="preserve"> with the aim of developing the first whole of system assessment report in 2016.</w:t>
      </w:r>
    </w:p>
    <w:p w:rsidR="002C6039" w:rsidRPr="004A1196" w:rsidRDefault="002C6039" w:rsidP="002C6039">
      <w:pPr>
        <w:rPr>
          <w:color w:val="0B2B43" w:themeColor="text2" w:themeShade="80"/>
        </w:rPr>
      </w:pPr>
      <w:r w:rsidRPr="004A1196">
        <w:rPr>
          <w:color w:val="0B2B43" w:themeColor="text2" w:themeShade="80"/>
        </w:rPr>
        <w:t>Based on this assessment, the Minister for Education and Training in collaboration w</w:t>
      </w:r>
      <w:r w:rsidR="00DC77C1">
        <w:rPr>
          <w:color w:val="0B2B43" w:themeColor="text2" w:themeShade="80"/>
        </w:rPr>
        <w:t xml:space="preserve">ith the Ministers for Industry </w:t>
      </w:r>
      <w:r w:rsidRPr="004A1196">
        <w:rPr>
          <w:color w:val="0B2B43" w:themeColor="text2" w:themeShade="80"/>
        </w:rPr>
        <w:t xml:space="preserve">and Health could bring an annual report on the assessment of current and emerging policy challenges in the publicly funded research system to the Cabinet for whole of government consideration. The assessment </w:t>
      </w:r>
      <w:proofErr w:type="gramStart"/>
      <w:r w:rsidRPr="004A1196">
        <w:rPr>
          <w:color w:val="0B2B43" w:themeColor="text2" w:themeShade="80"/>
        </w:rPr>
        <w:t>would then be released</w:t>
      </w:r>
      <w:proofErr w:type="gramEnd"/>
      <w:r w:rsidRPr="004A1196">
        <w:rPr>
          <w:color w:val="0B2B43" w:themeColor="text2" w:themeShade="80"/>
        </w:rPr>
        <w:t xml:space="preserve"> publicly.</w:t>
      </w:r>
    </w:p>
    <w:p w:rsidR="002C6039" w:rsidRPr="004A1196" w:rsidRDefault="002C6039" w:rsidP="002C6039">
      <w:pPr>
        <w:pStyle w:val="RIHeading2"/>
        <w:rPr>
          <w:color w:val="0B2B43" w:themeColor="text2" w:themeShade="80"/>
        </w:rPr>
      </w:pPr>
      <w:bookmarkStart w:id="400" w:name="_Toc436392779"/>
      <w:bookmarkStart w:id="401" w:name="_Toc436651883"/>
      <w:bookmarkStart w:id="402" w:name="_Toc436659691"/>
      <w:bookmarkStart w:id="403" w:name="_Toc436660189"/>
      <w:r w:rsidRPr="004A1196">
        <w:rPr>
          <w:color w:val="0B2B43" w:themeColor="text2" w:themeShade="80"/>
        </w:rPr>
        <w:t>A possible approach to system assessment</w:t>
      </w:r>
      <w:bookmarkEnd w:id="400"/>
      <w:bookmarkEnd w:id="401"/>
      <w:bookmarkEnd w:id="402"/>
      <w:bookmarkEnd w:id="403"/>
      <w:r w:rsidRPr="004A1196">
        <w:rPr>
          <w:color w:val="0B2B43" w:themeColor="text2" w:themeShade="80"/>
        </w:rPr>
        <w:t xml:space="preserve"> </w:t>
      </w:r>
    </w:p>
    <w:p w:rsidR="002C6039" w:rsidRPr="004A1196" w:rsidRDefault="002C6039" w:rsidP="002C6039">
      <w:pPr>
        <w:rPr>
          <w:color w:val="0B2B43" w:themeColor="text2" w:themeShade="80"/>
        </w:rPr>
      </w:pPr>
      <w:r w:rsidRPr="004A1196">
        <w:rPr>
          <w:rFonts w:cs="Arial"/>
          <w:color w:val="0B2B43" w:themeColor="text2" w:themeShade="80"/>
        </w:rPr>
        <w:t xml:space="preserve">The system assessment work already underway has indicated a </w:t>
      </w:r>
      <w:r w:rsidRPr="004A1196">
        <w:rPr>
          <w:color w:val="0B2B43" w:themeColor="text2" w:themeShade="80"/>
        </w:rPr>
        <w:t xml:space="preserve">suite of measures that, when considered together, may allow an assessment of the health and performance of the Australian research system. </w:t>
      </w:r>
    </w:p>
    <w:p w:rsidR="002C6039" w:rsidRPr="004A1196" w:rsidRDefault="002C6039" w:rsidP="002C6039">
      <w:pPr>
        <w:pStyle w:val="RIHeading3"/>
        <w:rPr>
          <w:color w:val="0B2B43" w:themeColor="text2" w:themeShade="80"/>
        </w:rPr>
      </w:pPr>
      <w:bookmarkStart w:id="404" w:name="_Toc436392780"/>
      <w:bookmarkStart w:id="405" w:name="_Toc436651884"/>
      <w:bookmarkStart w:id="406" w:name="_Toc436659692"/>
      <w:bookmarkStart w:id="407" w:name="_Toc436660190"/>
      <w:r w:rsidRPr="004A1196">
        <w:rPr>
          <w:color w:val="0B2B43" w:themeColor="text2" w:themeShade="80"/>
        </w:rPr>
        <w:t>Characteristics of a well-performing publicly funded research system</w:t>
      </w:r>
      <w:bookmarkEnd w:id="404"/>
      <w:bookmarkEnd w:id="405"/>
      <w:bookmarkEnd w:id="406"/>
      <w:bookmarkEnd w:id="407"/>
    </w:p>
    <w:p w:rsidR="002C6039" w:rsidRPr="004A1196" w:rsidRDefault="002C6039" w:rsidP="002C6039">
      <w:pPr>
        <w:rPr>
          <w:b/>
          <w:color w:val="0B2B43" w:themeColor="text2" w:themeShade="80"/>
        </w:rPr>
      </w:pPr>
      <w:r w:rsidRPr="004A1196">
        <w:rPr>
          <w:color w:val="0B2B43" w:themeColor="text2" w:themeShade="80"/>
        </w:rPr>
        <w:t>Characteristics could include:</w:t>
      </w:r>
      <w:r w:rsidRPr="004A1196">
        <w:rPr>
          <w:b/>
          <w:color w:val="0B2B43" w:themeColor="text2" w:themeShade="80"/>
        </w:rPr>
        <w:t xml:space="preserve"> </w:t>
      </w:r>
    </w:p>
    <w:p w:rsidR="002C6039" w:rsidRPr="004A1196" w:rsidRDefault="002C6039" w:rsidP="002C6039">
      <w:pPr>
        <w:pStyle w:val="ListParagraph"/>
        <w:numPr>
          <w:ilvl w:val="0"/>
          <w:numId w:val="15"/>
        </w:numPr>
        <w:rPr>
          <w:color w:val="0B2B43" w:themeColor="text2" w:themeShade="80"/>
        </w:rPr>
      </w:pPr>
      <w:r w:rsidRPr="004A1196">
        <w:rPr>
          <w:b/>
          <w:color w:val="0B2B43" w:themeColor="text2" w:themeShade="80"/>
        </w:rPr>
        <w:t>High quality</w:t>
      </w:r>
      <w:r w:rsidRPr="004A1196">
        <w:rPr>
          <w:color w:val="0B2B43" w:themeColor="text2" w:themeShade="80"/>
        </w:rPr>
        <w:t xml:space="preserve"> — the research undertaken is of high quality, possessing ‘originality, significance and rigour’</w:t>
      </w:r>
      <w:r w:rsidRPr="004A1196">
        <w:rPr>
          <w:rStyle w:val="FootnoteReference"/>
          <w:color w:val="0B2B43" w:themeColor="text2" w:themeShade="80"/>
        </w:rPr>
        <w:footnoteReference w:id="113"/>
      </w:r>
    </w:p>
    <w:p w:rsidR="002C6039" w:rsidRPr="004A1196" w:rsidRDefault="002C6039" w:rsidP="002C6039">
      <w:pPr>
        <w:pStyle w:val="ListParagraph"/>
        <w:numPr>
          <w:ilvl w:val="0"/>
          <w:numId w:val="15"/>
        </w:numPr>
        <w:rPr>
          <w:color w:val="0B2B43" w:themeColor="text2" w:themeShade="80"/>
        </w:rPr>
      </w:pPr>
      <w:r w:rsidRPr="004A1196">
        <w:rPr>
          <w:b/>
          <w:color w:val="0B2B43" w:themeColor="text2" w:themeShade="80"/>
        </w:rPr>
        <w:t>Responsiveness</w:t>
      </w:r>
      <w:r w:rsidRPr="00C6639A">
        <w:rPr>
          <w:color w:val="0B2B43" w:themeColor="text2" w:themeShade="80"/>
        </w:rPr>
        <w:t xml:space="preserve"> —</w:t>
      </w:r>
      <w:r w:rsidRPr="004A1196">
        <w:rPr>
          <w:color w:val="0B2B43" w:themeColor="text2" w:themeShade="80"/>
        </w:rPr>
        <w:t xml:space="preserve"> the system addresses key regional, national and global challenges and is adaptable to changing priorities. Research effort </w:t>
      </w:r>
      <w:proofErr w:type="gramStart"/>
      <w:r w:rsidRPr="004A1196">
        <w:rPr>
          <w:color w:val="0B2B43" w:themeColor="text2" w:themeShade="80"/>
        </w:rPr>
        <w:t>is directed</w:t>
      </w:r>
      <w:proofErr w:type="gramEnd"/>
      <w:r w:rsidRPr="004A1196">
        <w:rPr>
          <w:color w:val="0B2B43" w:themeColor="text2" w:themeShade="80"/>
        </w:rPr>
        <w:t xml:space="preserve"> to where it is needed in order to maximise economic, social and environmental benefits.</w:t>
      </w:r>
    </w:p>
    <w:p w:rsidR="002C6039" w:rsidRPr="004A1196" w:rsidRDefault="002C6039" w:rsidP="002C6039">
      <w:pPr>
        <w:pStyle w:val="ListParagraph"/>
        <w:numPr>
          <w:ilvl w:val="0"/>
          <w:numId w:val="15"/>
        </w:numPr>
        <w:rPr>
          <w:color w:val="0B2B43" w:themeColor="text2" w:themeShade="80"/>
        </w:rPr>
      </w:pPr>
      <w:r w:rsidRPr="004A1196">
        <w:rPr>
          <w:b/>
          <w:color w:val="0B2B43" w:themeColor="text2" w:themeShade="80"/>
        </w:rPr>
        <w:t>Return on investment</w:t>
      </w:r>
      <w:r w:rsidRPr="004A1196">
        <w:rPr>
          <w:color w:val="0B2B43" w:themeColor="text2" w:themeShade="80"/>
        </w:rPr>
        <w:t xml:space="preserve"> — research leads to benefits with minimal duplication and wastage, so that every public dollar spent results in greater benefit. This includes the translation of research into new or improved products, technologies, processes and systems, thus contributing to economic and productivity growth. </w:t>
      </w:r>
    </w:p>
    <w:p w:rsidR="002C6039" w:rsidRPr="004A1196" w:rsidRDefault="002C6039" w:rsidP="002C6039">
      <w:pPr>
        <w:pStyle w:val="ListParagraph"/>
        <w:numPr>
          <w:ilvl w:val="0"/>
          <w:numId w:val="15"/>
        </w:numPr>
        <w:rPr>
          <w:color w:val="0B2B43" w:themeColor="text2" w:themeShade="80"/>
        </w:rPr>
      </w:pPr>
      <w:r w:rsidRPr="004A1196">
        <w:rPr>
          <w:b/>
          <w:color w:val="0B2B43" w:themeColor="text2" w:themeShade="80"/>
        </w:rPr>
        <w:t>Engagement</w:t>
      </w:r>
      <w:r w:rsidRPr="00C6639A">
        <w:rPr>
          <w:color w:val="0B2B43" w:themeColor="text2" w:themeShade="80"/>
        </w:rPr>
        <w:t xml:space="preserve"> —</w:t>
      </w:r>
      <w:r w:rsidRPr="004A1196">
        <w:rPr>
          <w:color w:val="0B2B43" w:themeColor="text2" w:themeShade="80"/>
        </w:rPr>
        <w:t xml:space="preserve"> there is strong engagement between public sector research organisations and research users, facilitating the flow of knowledge into society more broadly. The system </w:t>
      </w:r>
      <w:proofErr w:type="gramStart"/>
      <w:r w:rsidRPr="004A1196">
        <w:rPr>
          <w:color w:val="0B2B43" w:themeColor="text2" w:themeShade="80"/>
        </w:rPr>
        <w:t>is also engaged</w:t>
      </w:r>
      <w:proofErr w:type="gramEnd"/>
      <w:r w:rsidRPr="004A1196">
        <w:rPr>
          <w:color w:val="0B2B43" w:themeColor="text2" w:themeShade="80"/>
        </w:rPr>
        <w:t xml:space="preserve"> internationally, with domestic researchers collaborating with overseas counterparts, contributing to domestic and global research endeavour.</w:t>
      </w:r>
    </w:p>
    <w:p w:rsidR="00AC3592" w:rsidRPr="004A1196" w:rsidRDefault="002C6039" w:rsidP="002C6039">
      <w:pPr>
        <w:pStyle w:val="ListParagraph"/>
        <w:numPr>
          <w:ilvl w:val="0"/>
          <w:numId w:val="15"/>
        </w:numPr>
        <w:rPr>
          <w:color w:val="0B2B43" w:themeColor="text2" w:themeShade="80"/>
        </w:rPr>
      </w:pPr>
      <w:r w:rsidRPr="004A1196">
        <w:rPr>
          <w:b/>
          <w:color w:val="0B2B43" w:themeColor="text2" w:themeShade="80"/>
        </w:rPr>
        <w:t>Skilled workforce</w:t>
      </w:r>
      <w:r w:rsidRPr="00C6639A">
        <w:rPr>
          <w:color w:val="0B2B43" w:themeColor="text2" w:themeShade="80"/>
        </w:rPr>
        <w:t xml:space="preserve"> —</w:t>
      </w:r>
      <w:r w:rsidRPr="004A1196">
        <w:rPr>
          <w:color w:val="0B2B43" w:themeColor="text2" w:themeShade="80"/>
        </w:rPr>
        <w:t xml:space="preserve"> the research workforce is strong across disciplines and there is a supply of higher degree research graduates sufficient to meet Australia’s research needs. The research training system produces graduates with </w:t>
      </w:r>
      <w:r w:rsidR="00034E98">
        <w:rPr>
          <w:color w:val="0B2B43" w:themeColor="text2" w:themeShade="80"/>
        </w:rPr>
        <w:t>industry relevant</w:t>
      </w:r>
      <w:r w:rsidRPr="004A1196">
        <w:rPr>
          <w:color w:val="0B2B43" w:themeColor="text2" w:themeShade="80"/>
        </w:rPr>
        <w:t xml:space="preserve"> and entrepreneurial skills who will increase the innovativeness and absorptive capacity of their workplaces. Finally, researchers</w:t>
      </w:r>
      <w:r w:rsidR="00EC0A6D">
        <w:rPr>
          <w:color w:val="0B2B43" w:themeColor="text2" w:themeShade="80"/>
        </w:rPr>
        <w:t xml:space="preserve"> are mobile between sectors and </w:t>
      </w:r>
      <w:r w:rsidRPr="004A1196">
        <w:rPr>
          <w:color w:val="0B2B43" w:themeColor="text2" w:themeShade="80"/>
        </w:rPr>
        <w:t>internationally.</w:t>
      </w:r>
      <w:r w:rsidRPr="004A1196" w:rsidDel="00DC51D5">
        <w:rPr>
          <w:color w:val="0B2B43" w:themeColor="text2" w:themeShade="80"/>
        </w:rPr>
        <w:t xml:space="preserve"> </w:t>
      </w:r>
    </w:p>
    <w:p w:rsidR="00AC3592" w:rsidRDefault="002C6039" w:rsidP="00AC3592">
      <w:pPr>
        <w:pStyle w:val="ListParagraph"/>
        <w:numPr>
          <w:ilvl w:val="0"/>
          <w:numId w:val="15"/>
        </w:numPr>
      </w:pPr>
      <w:r w:rsidRPr="00C6639A">
        <w:rPr>
          <w:b/>
        </w:rPr>
        <w:t>Balance</w:t>
      </w:r>
      <w:r w:rsidRPr="004A1196">
        <w:t xml:space="preserve"> – there is an appropriate balance of government and private investment, including investment in research infrastructure. This includes a balance across the full spectrum from basic and applied research</w:t>
      </w:r>
      <w:r w:rsidR="00D62863" w:rsidRPr="004A1196">
        <w:t xml:space="preserve">. </w:t>
      </w:r>
    </w:p>
    <w:p w:rsidR="00AC3592" w:rsidRDefault="00AC3592" w:rsidP="00C6639A">
      <w:r>
        <w:br w:type="page"/>
      </w:r>
    </w:p>
    <w:p w:rsidR="002C6039" w:rsidRPr="004A1196" w:rsidRDefault="002C6039" w:rsidP="002C6039">
      <w:pPr>
        <w:pStyle w:val="RIHeading3"/>
        <w:rPr>
          <w:color w:val="0B2B43" w:themeColor="text2" w:themeShade="80"/>
        </w:rPr>
      </w:pPr>
      <w:bookmarkStart w:id="408" w:name="_Toc436392781"/>
      <w:bookmarkStart w:id="409" w:name="_Toc436651885"/>
      <w:bookmarkStart w:id="410" w:name="_Toc436659693"/>
      <w:bookmarkStart w:id="411" w:name="_Toc436660191"/>
      <w:r w:rsidRPr="004A1196">
        <w:rPr>
          <w:color w:val="0B2B43" w:themeColor="text2" w:themeShade="80"/>
        </w:rPr>
        <w:t>Data considerations</w:t>
      </w:r>
      <w:bookmarkEnd w:id="408"/>
      <w:bookmarkEnd w:id="409"/>
      <w:bookmarkEnd w:id="410"/>
      <w:bookmarkEnd w:id="411"/>
    </w:p>
    <w:p w:rsidR="002C6039" w:rsidRPr="004A1196" w:rsidRDefault="002C6039" w:rsidP="002C6039">
      <w:pPr>
        <w:rPr>
          <w:color w:val="0B2B43" w:themeColor="text2" w:themeShade="80"/>
        </w:rPr>
      </w:pPr>
      <w:r w:rsidRPr="004A1196">
        <w:rPr>
          <w:color w:val="0B2B43" w:themeColor="text2" w:themeShade="80"/>
        </w:rPr>
        <w:t xml:space="preserve">Performance against such possible benchmarks </w:t>
      </w:r>
      <w:proofErr w:type="gramStart"/>
      <w:r w:rsidRPr="004A1196">
        <w:rPr>
          <w:color w:val="0B2B43" w:themeColor="text2" w:themeShade="80"/>
        </w:rPr>
        <w:t>should be compared</w:t>
      </w:r>
      <w:proofErr w:type="gramEnd"/>
      <w:r w:rsidRPr="004A1196">
        <w:rPr>
          <w:color w:val="0B2B43" w:themeColor="text2" w:themeShade="80"/>
        </w:rPr>
        <w:t xml:space="preserve"> across the following: </w:t>
      </w:r>
    </w:p>
    <w:p w:rsidR="002C6039" w:rsidRPr="004A1196" w:rsidRDefault="002C6039" w:rsidP="002C6039">
      <w:pPr>
        <w:pStyle w:val="ListParagraph"/>
        <w:numPr>
          <w:ilvl w:val="0"/>
          <w:numId w:val="16"/>
        </w:numPr>
        <w:rPr>
          <w:color w:val="0B2B43" w:themeColor="text2" w:themeShade="80"/>
        </w:rPr>
      </w:pPr>
      <w:r w:rsidRPr="004A1196">
        <w:rPr>
          <w:color w:val="0B2B43" w:themeColor="text2" w:themeShade="80"/>
        </w:rPr>
        <w:t xml:space="preserve">relevant sectors (business, government, not-for-profit, </w:t>
      </w:r>
      <w:proofErr w:type="spellStart"/>
      <w:r w:rsidRPr="004A1196">
        <w:rPr>
          <w:color w:val="0B2B43" w:themeColor="text2" w:themeShade="80"/>
        </w:rPr>
        <w:t>etc</w:t>
      </w:r>
      <w:proofErr w:type="spellEnd"/>
      <w:r w:rsidRPr="004A1196">
        <w:rPr>
          <w:color w:val="0B2B43" w:themeColor="text2" w:themeShade="80"/>
        </w:rPr>
        <w:t>)</w:t>
      </w:r>
    </w:p>
    <w:p w:rsidR="002C6039" w:rsidRPr="004A1196" w:rsidRDefault="002C6039" w:rsidP="002C6039">
      <w:pPr>
        <w:pStyle w:val="ListParagraph"/>
        <w:numPr>
          <w:ilvl w:val="0"/>
          <w:numId w:val="16"/>
        </w:numPr>
        <w:rPr>
          <w:color w:val="0B2B43" w:themeColor="text2" w:themeShade="80"/>
        </w:rPr>
      </w:pPr>
      <w:r w:rsidRPr="004A1196">
        <w:rPr>
          <w:color w:val="0B2B43" w:themeColor="text2" w:themeShade="80"/>
        </w:rPr>
        <w:t xml:space="preserve">different types of </w:t>
      </w:r>
      <w:proofErr w:type="spellStart"/>
      <w:r w:rsidR="00EC0A6D">
        <w:rPr>
          <w:color w:val="0B2B43" w:themeColor="text2" w:themeShade="80"/>
        </w:rPr>
        <w:t>PFRO</w:t>
      </w:r>
      <w:proofErr w:type="spellEnd"/>
    </w:p>
    <w:p w:rsidR="002C6039" w:rsidRPr="004A1196" w:rsidRDefault="002C6039" w:rsidP="002C6039">
      <w:pPr>
        <w:pStyle w:val="ListParagraph"/>
        <w:numPr>
          <w:ilvl w:val="0"/>
          <w:numId w:val="16"/>
        </w:numPr>
        <w:rPr>
          <w:color w:val="0B2B43" w:themeColor="text2" w:themeShade="80"/>
        </w:rPr>
      </w:pPr>
      <w:proofErr w:type="gramStart"/>
      <w:r w:rsidRPr="004A1196">
        <w:rPr>
          <w:color w:val="0B2B43" w:themeColor="text2" w:themeShade="80"/>
        </w:rPr>
        <w:t>other</w:t>
      </w:r>
      <w:proofErr w:type="gramEnd"/>
      <w:r w:rsidRPr="004A1196">
        <w:rPr>
          <w:color w:val="0B2B43" w:themeColor="text2" w:themeShade="80"/>
        </w:rPr>
        <w:t xml:space="preserve"> relevant countries</w:t>
      </w:r>
      <w:r w:rsidR="00EC0A6D">
        <w:rPr>
          <w:color w:val="0B2B43" w:themeColor="text2" w:themeShade="80"/>
        </w:rPr>
        <w:t>.</w:t>
      </w:r>
    </w:p>
    <w:p w:rsidR="002C6039" w:rsidRPr="004A1196" w:rsidRDefault="002C6039" w:rsidP="002C6039">
      <w:pPr>
        <w:rPr>
          <w:color w:val="0B2B43" w:themeColor="text2" w:themeShade="80"/>
        </w:rPr>
      </w:pPr>
      <w:r w:rsidRPr="004A1196">
        <w:rPr>
          <w:color w:val="0B2B43" w:themeColor="text2" w:themeShade="80"/>
        </w:rPr>
        <w:t xml:space="preserve">Wherever possible, existing data </w:t>
      </w:r>
      <w:proofErr w:type="gramStart"/>
      <w:r w:rsidRPr="004A1196">
        <w:rPr>
          <w:color w:val="0B2B43" w:themeColor="text2" w:themeShade="80"/>
        </w:rPr>
        <w:t>should be used</w:t>
      </w:r>
      <w:proofErr w:type="gramEnd"/>
      <w:r w:rsidRPr="004A1196">
        <w:rPr>
          <w:color w:val="0B2B43" w:themeColor="text2" w:themeShade="80"/>
        </w:rPr>
        <w:t xml:space="preserve">. Careful consideration </w:t>
      </w:r>
      <w:proofErr w:type="gramStart"/>
      <w:r w:rsidRPr="004A1196">
        <w:rPr>
          <w:color w:val="0B2B43" w:themeColor="text2" w:themeShade="80"/>
        </w:rPr>
        <w:t>should be given</w:t>
      </w:r>
      <w:proofErr w:type="gramEnd"/>
      <w:r w:rsidRPr="004A1196">
        <w:rPr>
          <w:color w:val="0B2B43" w:themeColor="text2" w:themeShade="80"/>
        </w:rPr>
        <w:t xml:space="preserve"> to whether the collection of new data is crucial and could be justified under the Government’s Competitiveness Agenda. </w:t>
      </w:r>
    </w:p>
    <w:p w:rsidR="002C6039" w:rsidRPr="004A1196" w:rsidRDefault="002C6039" w:rsidP="002C6039">
      <w:pPr>
        <w:rPr>
          <w:rFonts w:asciiTheme="majorHAnsi" w:eastAsiaTheme="majorEastAsia" w:hAnsiTheme="majorHAnsi"/>
          <w:color w:val="0B2B43" w:themeColor="text2" w:themeShade="80"/>
          <w:sz w:val="26"/>
          <w:szCs w:val="26"/>
        </w:rPr>
      </w:pPr>
      <w:r w:rsidRPr="004A1196">
        <w:rPr>
          <w:color w:val="0B2B43" w:themeColor="text2" w:themeShade="80"/>
        </w:rPr>
        <w:t xml:space="preserve">The use of metrics to assess the performance of the publicly funded research system may influence the behaviour of institutions that receive government funding, </w:t>
      </w:r>
      <w:r w:rsidR="00EC0A6D">
        <w:rPr>
          <w:color w:val="0B2B43" w:themeColor="text2" w:themeShade="80"/>
        </w:rPr>
        <w:t xml:space="preserve">including universities and </w:t>
      </w:r>
      <w:proofErr w:type="spellStart"/>
      <w:r w:rsidR="00EC0A6D">
        <w:rPr>
          <w:color w:val="0B2B43" w:themeColor="text2" w:themeShade="80"/>
        </w:rPr>
        <w:t>PFRO</w:t>
      </w:r>
      <w:proofErr w:type="spellEnd"/>
      <w:r w:rsidRPr="004A1196">
        <w:rPr>
          <w:color w:val="0B2B43" w:themeColor="text2" w:themeShade="80"/>
        </w:rPr>
        <w:t xml:space="preserve">. It is important therefore that metrics are selected so that perverse incentives are not created, and </w:t>
      </w:r>
      <w:proofErr w:type="gramStart"/>
      <w:r w:rsidRPr="004A1196">
        <w:rPr>
          <w:color w:val="0B2B43" w:themeColor="text2" w:themeShade="80"/>
        </w:rPr>
        <w:t>the system is not distorted by them</w:t>
      </w:r>
      <w:proofErr w:type="gramEnd"/>
      <w:r w:rsidRPr="004A1196">
        <w:rPr>
          <w:color w:val="0B2B43" w:themeColor="text2" w:themeShade="80"/>
        </w:rPr>
        <w:t xml:space="preserve">. It is also important that the exercise does not undermine the health and performance of the very system it assesses. </w:t>
      </w:r>
    </w:p>
    <w:p w:rsidR="002C6039" w:rsidRPr="004A1196" w:rsidRDefault="002C6039" w:rsidP="002C6039">
      <w:pPr>
        <w:rPr>
          <w:color w:val="0B2B43" w:themeColor="text2" w:themeShade="80"/>
        </w:rPr>
      </w:pPr>
      <w:r w:rsidRPr="004A1196">
        <w:rPr>
          <w:color w:val="0B2B43" w:themeColor="text2" w:themeShade="80"/>
        </w:rPr>
        <w:t xml:space="preserve">There are a number of established data collections that </w:t>
      </w:r>
      <w:proofErr w:type="gramStart"/>
      <w:r w:rsidRPr="004A1196">
        <w:rPr>
          <w:color w:val="0B2B43" w:themeColor="text2" w:themeShade="80"/>
        </w:rPr>
        <w:t>could be used</w:t>
      </w:r>
      <w:proofErr w:type="gramEnd"/>
      <w:r w:rsidRPr="004A1196">
        <w:rPr>
          <w:color w:val="0B2B43" w:themeColor="text2" w:themeShade="80"/>
        </w:rPr>
        <w:t>, including:</w:t>
      </w:r>
    </w:p>
    <w:p w:rsidR="002C6039" w:rsidRPr="004A1196" w:rsidRDefault="002C6039" w:rsidP="002C6039">
      <w:pPr>
        <w:pStyle w:val="ListParagraph"/>
        <w:numPr>
          <w:ilvl w:val="0"/>
          <w:numId w:val="17"/>
        </w:numPr>
        <w:rPr>
          <w:color w:val="0B2B43" w:themeColor="text2" w:themeShade="80"/>
        </w:rPr>
      </w:pPr>
      <w:r w:rsidRPr="004A1196">
        <w:rPr>
          <w:color w:val="0B2B43" w:themeColor="text2" w:themeShade="80"/>
        </w:rPr>
        <w:t>the Australian Research Council’s (ARC) Excellence in Research for Australia (ERA), which evaluates the quality of research produced in Australian universities against national and international benchmarks at approximately three year intervals</w:t>
      </w:r>
    </w:p>
    <w:p w:rsidR="002C6039" w:rsidRPr="004A1196" w:rsidRDefault="002C6039" w:rsidP="002C6039">
      <w:pPr>
        <w:pStyle w:val="ListParagraph"/>
        <w:numPr>
          <w:ilvl w:val="0"/>
          <w:numId w:val="17"/>
        </w:numPr>
        <w:rPr>
          <w:color w:val="0B2B43" w:themeColor="text2" w:themeShade="80"/>
        </w:rPr>
      </w:pPr>
      <w:r w:rsidRPr="004A1196">
        <w:rPr>
          <w:color w:val="0B2B43" w:themeColor="text2" w:themeShade="80"/>
        </w:rPr>
        <w:t>data on university research inputs, outputs, research income, publications and the research workforce from the Higher Education Research Data Collection (</w:t>
      </w:r>
      <w:proofErr w:type="spellStart"/>
      <w:r w:rsidRPr="004A1196">
        <w:rPr>
          <w:color w:val="0B2B43" w:themeColor="text2" w:themeShade="80"/>
        </w:rPr>
        <w:t>HERDC</w:t>
      </w:r>
      <w:proofErr w:type="spellEnd"/>
      <w:r w:rsidRPr="004A1196">
        <w:rPr>
          <w:color w:val="0B2B43" w:themeColor="text2" w:themeShade="80"/>
        </w:rPr>
        <w:t>), higher education staff and student collections and the Australian Bureau of Statistics</w:t>
      </w:r>
    </w:p>
    <w:p w:rsidR="002C6039" w:rsidRPr="004A1196" w:rsidRDefault="002C6039" w:rsidP="002C6039">
      <w:pPr>
        <w:pStyle w:val="ListParagraph"/>
        <w:numPr>
          <w:ilvl w:val="0"/>
          <w:numId w:val="17"/>
        </w:numPr>
        <w:rPr>
          <w:color w:val="0B2B43" w:themeColor="text2" w:themeShade="80"/>
        </w:rPr>
      </w:pPr>
      <w:r w:rsidRPr="004A1196">
        <w:rPr>
          <w:color w:val="0B2B43" w:themeColor="text2" w:themeShade="80"/>
        </w:rPr>
        <w:t>the National Survey of Research Commercialisation (</w:t>
      </w:r>
      <w:proofErr w:type="spellStart"/>
      <w:r w:rsidRPr="004A1196">
        <w:rPr>
          <w:color w:val="0B2B43" w:themeColor="text2" w:themeShade="80"/>
        </w:rPr>
        <w:t>NSRC</w:t>
      </w:r>
      <w:proofErr w:type="spellEnd"/>
      <w:r w:rsidRPr="004A1196">
        <w:rPr>
          <w:color w:val="0B2B43" w:themeColor="text2" w:themeShade="80"/>
        </w:rPr>
        <w:t xml:space="preserve">), which captures data on research commercialisation </w:t>
      </w:r>
      <w:r w:rsidR="00EC0A6D">
        <w:rPr>
          <w:color w:val="0B2B43" w:themeColor="text2" w:themeShade="80"/>
        </w:rPr>
        <w:t xml:space="preserve">outputs from universities, </w:t>
      </w:r>
      <w:proofErr w:type="spellStart"/>
      <w:r w:rsidR="00EC0A6D">
        <w:rPr>
          <w:color w:val="0B2B43" w:themeColor="text2" w:themeShade="80"/>
        </w:rPr>
        <w:t>PFRO</w:t>
      </w:r>
      <w:proofErr w:type="spellEnd"/>
      <w:r w:rsidR="00EC0A6D">
        <w:rPr>
          <w:color w:val="0B2B43" w:themeColor="text2" w:themeShade="80"/>
        </w:rPr>
        <w:t xml:space="preserve"> and MRI</w:t>
      </w:r>
      <w:r w:rsidRPr="004A1196">
        <w:rPr>
          <w:color w:val="0B2B43" w:themeColor="text2" w:themeShade="80"/>
        </w:rPr>
        <w:t xml:space="preserve"> and provides for limited benchmarking with the US, Canada, the UK and, when data is available, the European Union</w:t>
      </w:r>
    </w:p>
    <w:p w:rsidR="002C6039" w:rsidRPr="004A1196" w:rsidRDefault="002C6039" w:rsidP="002C6039">
      <w:pPr>
        <w:pStyle w:val="ListParagraph"/>
        <w:numPr>
          <w:ilvl w:val="0"/>
          <w:numId w:val="17"/>
        </w:numPr>
        <w:rPr>
          <w:color w:val="0B2B43" w:themeColor="text2" w:themeShade="80"/>
        </w:rPr>
      </w:pPr>
      <w:r w:rsidRPr="004A1196">
        <w:rPr>
          <w:color w:val="0B2B43" w:themeColor="text2" w:themeShade="80"/>
        </w:rPr>
        <w:t>international ranking systems which assess Australian universities performance against their international contemporaries annually</w:t>
      </w:r>
    </w:p>
    <w:p w:rsidR="002C6039" w:rsidRPr="004A1196" w:rsidRDefault="002C6039" w:rsidP="002C6039">
      <w:pPr>
        <w:pStyle w:val="ListParagraph"/>
        <w:numPr>
          <w:ilvl w:val="0"/>
          <w:numId w:val="17"/>
        </w:numPr>
        <w:rPr>
          <w:color w:val="0B2B43" w:themeColor="text2" w:themeShade="80"/>
        </w:rPr>
      </w:pPr>
      <w:proofErr w:type="gramStart"/>
      <w:r w:rsidRPr="004A1196">
        <w:rPr>
          <w:color w:val="0B2B43" w:themeColor="text2" w:themeShade="80"/>
        </w:rPr>
        <w:t>internationally</w:t>
      </w:r>
      <w:proofErr w:type="gramEnd"/>
      <w:r w:rsidRPr="004A1196">
        <w:rPr>
          <w:color w:val="0B2B43" w:themeColor="text2" w:themeShade="80"/>
        </w:rPr>
        <w:t xml:space="preserve"> comparative data from the OECD, the World Bank and UNESCO on the proportion of basic and applied research in various countries and the percentage of business funded </w:t>
      </w:r>
      <w:r w:rsidR="00AC3592">
        <w:rPr>
          <w:color w:val="0B2B43" w:themeColor="text2" w:themeShade="80"/>
        </w:rPr>
        <w:t>research and development (</w:t>
      </w:r>
      <w:r w:rsidRPr="004A1196">
        <w:rPr>
          <w:color w:val="0B2B43" w:themeColor="text2" w:themeShade="80"/>
        </w:rPr>
        <w:t>R&amp;D</w:t>
      </w:r>
      <w:r w:rsidR="00AC3592">
        <w:rPr>
          <w:color w:val="0B2B43" w:themeColor="text2" w:themeShade="80"/>
        </w:rPr>
        <w:t>)</w:t>
      </w:r>
      <w:r w:rsidR="00EC0A6D">
        <w:rPr>
          <w:color w:val="0B2B43" w:themeColor="text2" w:themeShade="80"/>
        </w:rPr>
        <w:t>.</w:t>
      </w:r>
    </w:p>
    <w:p w:rsidR="002C6039" w:rsidRPr="004A1196" w:rsidRDefault="002C6039" w:rsidP="002C6039">
      <w:pPr>
        <w:pStyle w:val="RIHeading3"/>
        <w:rPr>
          <w:color w:val="0B2B43" w:themeColor="text2" w:themeShade="80"/>
        </w:rPr>
      </w:pPr>
      <w:bookmarkStart w:id="412" w:name="_Toc436392782"/>
      <w:bookmarkStart w:id="413" w:name="_Toc436651886"/>
      <w:bookmarkStart w:id="414" w:name="_Toc436659694"/>
      <w:bookmarkStart w:id="415" w:name="_Toc436660192"/>
      <w:r w:rsidRPr="004A1196">
        <w:rPr>
          <w:color w:val="0B2B43" w:themeColor="text2" w:themeShade="80"/>
        </w:rPr>
        <w:t>Selection of potential indicators and implementation</w:t>
      </w:r>
      <w:bookmarkEnd w:id="412"/>
      <w:bookmarkEnd w:id="413"/>
      <w:bookmarkEnd w:id="414"/>
      <w:bookmarkEnd w:id="415"/>
    </w:p>
    <w:p w:rsidR="002C6039" w:rsidRPr="004A1196" w:rsidRDefault="002C6039" w:rsidP="002C6039">
      <w:pPr>
        <w:rPr>
          <w:color w:val="0B2B43" w:themeColor="text2" w:themeShade="80"/>
        </w:rPr>
      </w:pPr>
      <w:r w:rsidRPr="004A1196">
        <w:rPr>
          <w:color w:val="0B2B43" w:themeColor="text2" w:themeShade="80"/>
        </w:rPr>
        <w:t xml:space="preserve">The work done to date on whole-of-system indicators is useful but further work is required to shape and develop a new assessment tool before it </w:t>
      </w:r>
      <w:proofErr w:type="gramStart"/>
      <w:r w:rsidRPr="004A1196">
        <w:rPr>
          <w:color w:val="0B2B43" w:themeColor="text2" w:themeShade="80"/>
        </w:rPr>
        <w:t>could be considered</w:t>
      </w:r>
      <w:proofErr w:type="gramEnd"/>
      <w:r w:rsidRPr="004A1196">
        <w:rPr>
          <w:color w:val="0B2B43" w:themeColor="text2" w:themeShade="80"/>
        </w:rPr>
        <w:t xml:space="preserve"> for implementation. Preliminary analysis to date by the Department of Education and Training and the Department of Industry, Innovation and Science has identified the measurement options set out in </w:t>
      </w:r>
      <w:r w:rsidR="009230B2" w:rsidRPr="004A1196">
        <w:rPr>
          <w:color w:val="0B2B43" w:themeColor="text2" w:themeShade="80"/>
        </w:rPr>
        <w:t>T</w:t>
      </w:r>
      <w:r w:rsidRPr="004A1196">
        <w:rPr>
          <w:color w:val="0B2B43" w:themeColor="text2" w:themeShade="80"/>
        </w:rPr>
        <w:t xml:space="preserve">able </w:t>
      </w:r>
      <w:r w:rsidR="009230B2" w:rsidRPr="004A1196">
        <w:rPr>
          <w:color w:val="0B2B43" w:themeColor="text2" w:themeShade="80"/>
        </w:rPr>
        <w:t>7.</w:t>
      </w:r>
      <w:r w:rsidRPr="004A1196">
        <w:rPr>
          <w:color w:val="0B2B43" w:themeColor="text2" w:themeShade="80"/>
        </w:rPr>
        <w:t xml:space="preserve"> A number of these indicators are applicable to universities only at present and broadening the scope of indicators so that they are applicable to all institutions conducting publicly funded research will be a challenge.</w:t>
      </w:r>
    </w:p>
    <w:p w:rsidR="002C6039" w:rsidRPr="004A1196" w:rsidRDefault="002C6039" w:rsidP="002C6039">
      <w:pPr>
        <w:rPr>
          <w:color w:val="0B2B43" w:themeColor="text2" w:themeShade="80"/>
        </w:rPr>
      </w:pPr>
      <w:r w:rsidRPr="004A1196">
        <w:rPr>
          <w:color w:val="0B2B43" w:themeColor="text2" w:themeShade="80"/>
        </w:rPr>
        <w:t xml:space="preserve">Further development of the indicators and arrangements for implementation </w:t>
      </w:r>
      <w:proofErr w:type="gramStart"/>
      <w:r w:rsidRPr="004A1196">
        <w:rPr>
          <w:color w:val="0B2B43" w:themeColor="text2" w:themeShade="80"/>
        </w:rPr>
        <w:t>should be informed</w:t>
      </w:r>
      <w:proofErr w:type="gramEnd"/>
      <w:r w:rsidRPr="004A1196">
        <w:rPr>
          <w:color w:val="0B2B43" w:themeColor="text2" w:themeShade="80"/>
        </w:rPr>
        <w:t xml:space="preserve"> by consultation across the relevant portfolios referred to in this chapter. This should commence in early 2016 </w:t>
      </w:r>
      <w:r w:rsidR="00D62863" w:rsidRPr="004A1196">
        <w:rPr>
          <w:color w:val="0B2B43" w:themeColor="text2" w:themeShade="80"/>
        </w:rPr>
        <w:t xml:space="preserve">so </w:t>
      </w:r>
      <w:r w:rsidR="005B2C1C" w:rsidRPr="004A1196">
        <w:rPr>
          <w:color w:val="0B2B43" w:themeColor="text2" w:themeShade="80"/>
        </w:rPr>
        <w:t xml:space="preserve">that it can inform the </w:t>
      </w:r>
      <w:r w:rsidRPr="004A1196">
        <w:rPr>
          <w:color w:val="0B2B43" w:themeColor="text2" w:themeShade="80"/>
        </w:rPr>
        <w:t xml:space="preserve">use of </w:t>
      </w:r>
      <w:r w:rsidR="005B2C1C" w:rsidRPr="004A1196">
        <w:rPr>
          <w:color w:val="0B2B43" w:themeColor="text2" w:themeShade="80"/>
        </w:rPr>
        <w:t>additional</w:t>
      </w:r>
      <w:r w:rsidRPr="004A1196">
        <w:rPr>
          <w:color w:val="0B2B43" w:themeColor="text2" w:themeShade="80"/>
        </w:rPr>
        <w:t xml:space="preserve"> indicators in the second performance report</w:t>
      </w:r>
      <w:r w:rsidR="005B2C1C" w:rsidRPr="004A1196">
        <w:rPr>
          <w:color w:val="0B2B43" w:themeColor="text2" w:themeShade="80"/>
        </w:rPr>
        <w:t xml:space="preserve"> to </w:t>
      </w:r>
      <w:proofErr w:type="gramStart"/>
      <w:r w:rsidR="005B2C1C" w:rsidRPr="004A1196">
        <w:rPr>
          <w:color w:val="0B2B43" w:themeColor="text2" w:themeShade="80"/>
        </w:rPr>
        <w:t>be produced</w:t>
      </w:r>
      <w:proofErr w:type="gramEnd"/>
      <w:r w:rsidR="005B2C1C" w:rsidRPr="004A1196">
        <w:rPr>
          <w:color w:val="0B2B43" w:themeColor="text2" w:themeShade="80"/>
        </w:rPr>
        <w:t xml:space="preserve"> in 2017</w:t>
      </w:r>
      <w:r w:rsidRPr="004A1196">
        <w:rPr>
          <w:color w:val="0B2B43" w:themeColor="text2" w:themeShade="80"/>
        </w:rPr>
        <w:t>.</w:t>
      </w:r>
    </w:p>
    <w:p w:rsidR="002C6039" w:rsidRPr="004A1196" w:rsidRDefault="002C6039" w:rsidP="002C6039">
      <w:pPr>
        <w:spacing w:after="0"/>
        <w:rPr>
          <w:b/>
          <w:color w:val="0B2B43" w:themeColor="text2" w:themeShade="80"/>
        </w:rPr>
      </w:pPr>
      <w:proofErr w:type="gramStart"/>
      <w:r w:rsidRPr="004A1196">
        <w:rPr>
          <w:b/>
          <w:color w:val="0B2B43" w:themeColor="text2" w:themeShade="80"/>
        </w:rPr>
        <w:t xml:space="preserve">Table </w:t>
      </w:r>
      <w:r w:rsidRPr="004A1196">
        <w:rPr>
          <w:b/>
          <w:color w:val="0B2B43" w:themeColor="text2" w:themeShade="80"/>
        </w:rPr>
        <w:fldChar w:fldCharType="begin"/>
      </w:r>
      <w:r w:rsidRPr="004A1196">
        <w:rPr>
          <w:b/>
          <w:color w:val="0B2B43" w:themeColor="text2" w:themeShade="80"/>
        </w:rPr>
        <w:instrText xml:space="preserve"> SEQ Table \* ARABIC </w:instrText>
      </w:r>
      <w:r w:rsidRPr="004A1196">
        <w:rPr>
          <w:b/>
          <w:color w:val="0B2B43" w:themeColor="text2" w:themeShade="80"/>
        </w:rPr>
        <w:fldChar w:fldCharType="separate"/>
      </w:r>
      <w:r w:rsidR="00E05D3F">
        <w:rPr>
          <w:b/>
          <w:noProof/>
          <w:color w:val="0B2B43" w:themeColor="text2" w:themeShade="80"/>
        </w:rPr>
        <w:t>7</w:t>
      </w:r>
      <w:r w:rsidRPr="004A1196">
        <w:rPr>
          <w:b/>
          <w:color w:val="0B2B43" w:themeColor="text2" w:themeShade="80"/>
        </w:rPr>
        <w:fldChar w:fldCharType="end"/>
      </w:r>
      <w:r w:rsidRPr="004A1196">
        <w:rPr>
          <w:b/>
          <w:color w:val="0B2B43" w:themeColor="text2" w:themeShade="80"/>
        </w:rPr>
        <w:t>.</w:t>
      </w:r>
      <w:proofErr w:type="gramEnd"/>
      <w:r w:rsidRPr="004A1196">
        <w:rPr>
          <w:b/>
          <w:color w:val="0B2B43" w:themeColor="text2" w:themeShade="80"/>
        </w:rPr>
        <w:t xml:space="preserve"> Possible benchmarks for assessing the research system against key principles</w:t>
      </w:r>
    </w:p>
    <w:tbl>
      <w:tblPr>
        <w:tblStyle w:val="Review"/>
        <w:tblW w:w="0" w:type="auto"/>
        <w:tblLayout w:type="fixed"/>
        <w:tblLook w:val="0460" w:firstRow="1" w:lastRow="1" w:firstColumn="0" w:lastColumn="0" w:noHBand="0" w:noVBand="1"/>
        <w:tblCaption w:val="Possible benchmarks for assessing the research system against key principles"/>
      </w:tblPr>
      <w:tblGrid>
        <w:gridCol w:w="1668"/>
        <w:gridCol w:w="3685"/>
        <w:gridCol w:w="3402"/>
      </w:tblGrid>
      <w:tr w:rsidR="004A1196" w:rsidRPr="004A1196" w:rsidTr="00962CAC">
        <w:trPr>
          <w:cnfStyle w:val="100000000000" w:firstRow="1" w:lastRow="0" w:firstColumn="0" w:lastColumn="0" w:oddVBand="0" w:evenVBand="0" w:oddHBand="0" w:evenHBand="0" w:firstRowFirstColumn="0" w:firstRowLastColumn="0" w:lastRowFirstColumn="0" w:lastRowLastColumn="0"/>
          <w:trHeight w:val="283"/>
          <w:tblHeader/>
        </w:trPr>
        <w:tc>
          <w:tcPr>
            <w:tcW w:w="1668" w:type="dxa"/>
          </w:tcPr>
          <w:p w:rsidR="002C6039" w:rsidRPr="004A1196" w:rsidRDefault="002C6039" w:rsidP="004C46EF">
            <w:pPr>
              <w:rPr>
                <w:b/>
                <w:color w:val="0B2B43" w:themeColor="text2" w:themeShade="80"/>
                <w:sz w:val="22"/>
              </w:rPr>
            </w:pPr>
            <w:r w:rsidRPr="004A1196">
              <w:rPr>
                <w:b/>
                <w:color w:val="0B2B43" w:themeColor="text2" w:themeShade="80"/>
                <w:sz w:val="22"/>
              </w:rPr>
              <w:t>Principle</w:t>
            </w:r>
          </w:p>
        </w:tc>
        <w:tc>
          <w:tcPr>
            <w:tcW w:w="3685" w:type="dxa"/>
          </w:tcPr>
          <w:p w:rsidR="002C6039" w:rsidRPr="004A1196" w:rsidRDefault="002C6039" w:rsidP="004C46EF">
            <w:pPr>
              <w:pStyle w:val="TableTitleRI"/>
              <w:rPr>
                <w:color w:val="0B2B43" w:themeColor="text2" w:themeShade="80"/>
                <w:sz w:val="22"/>
              </w:rPr>
            </w:pPr>
            <w:r w:rsidRPr="004A1196">
              <w:rPr>
                <w:color w:val="0B2B43" w:themeColor="text2" w:themeShade="80"/>
                <w:sz w:val="22"/>
              </w:rPr>
              <w:t>Short term measure</w:t>
            </w:r>
          </w:p>
        </w:tc>
        <w:tc>
          <w:tcPr>
            <w:tcW w:w="3402" w:type="dxa"/>
          </w:tcPr>
          <w:p w:rsidR="002C6039" w:rsidRPr="004A1196" w:rsidRDefault="002C6039" w:rsidP="004C46EF">
            <w:pPr>
              <w:pStyle w:val="TableTitleRI"/>
              <w:rPr>
                <w:color w:val="0B2B43" w:themeColor="text2" w:themeShade="80"/>
                <w:sz w:val="22"/>
              </w:rPr>
            </w:pPr>
            <w:r w:rsidRPr="004A1196">
              <w:rPr>
                <w:color w:val="0B2B43" w:themeColor="text2" w:themeShade="80"/>
                <w:sz w:val="22"/>
              </w:rPr>
              <w:t>Long term measure</w:t>
            </w:r>
          </w:p>
        </w:tc>
      </w:tr>
      <w:tr w:rsidR="004A1196" w:rsidRPr="004A1196" w:rsidTr="004C46EF">
        <w:trPr>
          <w:trHeight w:val="567"/>
        </w:trPr>
        <w:tc>
          <w:tcPr>
            <w:tcW w:w="1668" w:type="dxa"/>
          </w:tcPr>
          <w:p w:rsidR="002C6039" w:rsidRPr="004A1196" w:rsidRDefault="002C6039" w:rsidP="004C46EF">
            <w:pPr>
              <w:pStyle w:val="TabletextRI"/>
              <w:rPr>
                <w:color w:val="0B2B43" w:themeColor="text2" w:themeShade="80"/>
                <w:sz w:val="22"/>
              </w:rPr>
            </w:pPr>
            <w:r w:rsidRPr="004A1196">
              <w:rPr>
                <w:b/>
                <w:color w:val="0B2B43" w:themeColor="text2" w:themeShade="80"/>
                <w:sz w:val="22"/>
              </w:rPr>
              <w:t>Responsiveness</w:t>
            </w:r>
          </w:p>
        </w:tc>
        <w:tc>
          <w:tcPr>
            <w:tcW w:w="3685" w:type="dxa"/>
          </w:tcPr>
          <w:p w:rsidR="002C6039" w:rsidRPr="004A1196" w:rsidRDefault="002C6039" w:rsidP="004C46EF">
            <w:pPr>
              <w:pStyle w:val="TabletextRI"/>
              <w:rPr>
                <w:color w:val="0B2B43" w:themeColor="text2" w:themeShade="80"/>
                <w:sz w:val="22"/>
              </w:rPr>
            </w:pPr>
            <w:r w:rsidRPr="004A1196">
              <w:rPr>
                <w:color w:val="0B2B43" w:themeColor="text2" w:themeShade="80"/>
                <w:sz w:val="22"/>
              </w:rPr>
              <w:t>Expenditure on basic and applied research and the alignment of public and private expenditure on R&amp;D</w:t>
            </w:r>
          </w:p>
        </w:tc>
        <w:tc>
          <w:tcPr>
            <w:tcW w:w="3402" w:type="dxa"/>
          </w:tcPr>
          <w:p w:rsidR="002C6039" w:rsidRPr="004A1196" w:rsidRDefault="002C6039" w:rsidP="00DC77C1">
            <w:pPr>
              <w:pStyle w:val="TabletextRI"/>
              <w:rPr>
                <w:color w:val="0B2B43" w:themeColor="text2" w:themeShade="80"/>
                <w:sz w:val="22"/>
              </w:rPr>
            </w:pPr>
            <w:r w:rsidRPr="004A1196">
              <w:rPr>
                <w:color w:val="0B2B43" w:themeColor="text2" w:themeShade="80"/>
                <w:sz w:val="22"/>
              </w:rPr>
              <w:t>R&amp;D expenditure and alignment to National Science an</w:t>
            </w:r>
            <w:r w:rsidR="00DC77C1">
              <w:rPr>
                <w:color w:val="0B2B43" w:themeColor="text2" w:themeShade="80"/>
                <w:sz w:val="22"/>
              </w:rPr>
              <w:t>d Research Priorities</w:t>
            </w:r>
          </w:p>
        </w:tc>
      </w:tr>
      <w:tr w:rsidR="004A1196" w:rsidRPr="004A1196" w:rsidTr="004C46EF">
        <w:trPr>
          <w:cnfStyle w:val="000000010000" w:firstRow="0" w:lastRow="0" w:firstColumn="0" w:lastColumn="0" w:oddVBand="0" w:evenVBand="0" w:oddHBand="0" w:evenHBand="1" w:firstRowFirstColumn="0" w:firstRowLastColumn="0" w:lastRowFirstColumn="0" w:lastRowLastColumn="0"/>
        </w:trPr>
        <w:tc>
          <w:tcPr>
            <w:tcW w:w="1668" w:type="dxa"/>
          </w:tcPr>
          <w:p w:rsidR="002C6039" w:rsidRPr="004A1196" w:rsidRDefault="002C6039" w:rsidP="004C46EF">
            <w:pPr>
              <w:pStyle w:val="TabletextRI"/>
              <w:rPr>
                <w:color w:val="0B2B43" w:themeColor="text2" w:themeShade="80"/>
                <w:sz w:val="22"/>
              </w:rPr>
            </w:pPr>
            <w:r w:rsidRPr="004A1196">
              <w:rPr>
                <w:b/>
                <w:color w:val="0B2B43" w:themeColor="text2" w:themeShade="80"/>
                <w:sz w:val="22"/>
              </w:rPr>
              <w:t>Return on investment</w:t>
            </w:r>
          </w:p>
        </w:tc>
        <w:tc>
          <w:tcPr>
            <w:tcW w:w="3685" w:type="dxa"/>
          </w:tcPr>
          <w:p w:rsidR="002C6039" w:rsidRPr="004A1196" w:rsidRDefault="002C6039" w:rsidP="004C46EF">
            <w:pPr>
              <w:pStyle w:val="TabletextRI"/>
              <w:rPr>
                <w:color w:val="0B2B43" w:themeColor="text2" w:themeShade="80"/>
                <w:sz w:val="22"/>
              </w:rPr>
            </w:pPr>
            <w:r w:rsidRPr="004A1196">
              <w:rPr>
                <w:color w:val="0B2B43" w:themeColor="text2" w:themeShade="80"/>
                <w:sz w:val="22"/>
              </w:rPr>
              <w:t>Research system efficiency</w:t>
            </w:r>
            <w:r w:rsidR="0092178A" w:rsidRPr="004A1196">
              <w:rPr>
                <w:color w:val="0B2B43" w:themeColor="text2" w:themeShade="80"/>
                <w:sz w:val="22"/>
              </w:rPr>
              <w:t>: p</w:t>
            </w:r>
            <w:r w:rsidRPr="004A1196">
              <w:rPr>
                <w:color w:val="0B2B43" w:themeColor="text2" w:themeShade="80"/>
                <w:sz w:val="22"/>
              </w:rPr>
              <w:t>roportion of research outputs to research inputs (including patents filed and licensing/assignment income)</w:t>
            </w:r>
          </w:p>
          <w:p w:rsidR="002C6039" w:rsidRPr="004A1196" w:rsidRDefault="002C6039" w:rsidP="004C46EF">
            <w:pPr>
              <w:pStyle w:val="TabletextRI"/>
              <w:rPr>
                <w:color w:val="0B2B43" w:themeColor="text2" w:themeShade="80"/>
                <w:sz w:val="22"/>
              </w:rPr>
            </w:pPr>
            <w:r w:rsidRPr="004A1196">
              <w:rPr>
                <w:color w:val="0B2B43" w:themeColor="text2" w:themeShade="80"/>
                <w:sz w:val="22"/>
              </w:rPr>
              <w:t>Competitive grant efficiency</w:t>
            </w:r>
            <w:r w:rsidR="0092178A" w:rsidRPr="004A1196">
              <w:rPr>
                <w:color w:val="0B2B43" w:themeColor="text2" w:themeShade="80"/>
                <w:sz w:val="22"/>
              </w:rPr>
              <w:t>: t</w:t>
            </w:r>
            <w:r w:rsidRPr="004A1196">
              <w:rPr>
                <w:color w:val="0B2B43" w:themeColor="text2" w:themeShade="80"/>
                <w:sz w:val="22"/>
              </w:rPr>
              <w:t xml:space="preserve">rends in success rates for competitive grants administered by the </w:t>
            </w:r>
            <w:r w:rsidR="00E64128">
              <w:rPr>
                <w:color w:val="0B2B43" w:themeColor="text2" w:themeShade="80"/>
                <w:sz w:val="22"/>
              </w:rPr>
              <w:t>ARC</w:t>
            </w:r>
            <w:r w:rsidRPr="004A1196">
              <w:rPr>
                <w:color w:val="0B2B43" w:themeColor="text2" w:themeShade="80"/>
                <w:sz w:val="22"/>
              </w:rPr>
              <w:t xml:space="preserve"> and the </w:t>
            </w:r>
            <w:r w:rsidR="00E64128">
              <w:rPr>
                <w:color w:val="0B2B43" w:themeColor="text2" w:themeShade="80"/>
                <w:sz w:val="22"/>
              </w:rPr>
              <w:t>NHMRC</w:t>
            </w:r>
            <w:r w:rsidRPr="004A1196">
              <w:rPr>
                <w:color w:val="0B2B43" w:themeColor="text2" w:themeShade="80"/>
                <w:sz w:val="22"/>
              </w:rPr>
              <w:t xml:space="preserve"> </w:t>
            </w:r>
          </w:p>
        </w:tc>
        <w:tc>
          <w:tcPr>
            <w:tcW w:w="3402" w:type="dxa"/>
          </w:tcPr>
          <w:p w:rsidR="002C6039" w:rsidRPr="004A1196" w:rsidRDefault="009230B2" w:rsidP="004C46EF">
            <w:pPr>
              <w:pStyle w:val="TabletextRI"/>
              <w:rPr>
                <w:color w:val="0B2B43" w:themeColor="text2" w:themeShade="80"/>
                <w:sz w:val="22"/>
              </w:rPr>
            </w:pPr>
            <w:r w:rsidRPr="004A1196">
              <w:rPr>
                <w:color w:val="0B2B43" w:themeColor="text2" w:themeShade="80"/>
                <w:sz w:val="22"/>
              </w:rPr>
              <w:t>New</w:t>
            </w:r>
            <w:r w:rsidR="002C6039" w:rsidRPr="004A1196">
              <w:rPr>
                <w:color w:val="0B2B43" w:themeColor="text2" w:themeShade="80"/>
                <w:sz w:val="22"/>
              </w:rPr>
              <w:t xml:space="preserve"> impact </w:t>
            </w:r>
            <w:r w:rsidR="0079537D" w:rsidRPr="004A1196">
              <w:rPr>
                <w:color w:val="0B2B43" w:themeColor="text2" w:themeShade="80"/>
                <w:sz w:val="22"/>
              </w:rPr>
              <w:t xml:space="preserve">and </w:t>
            </w:r>
            <w:r w:rsidR="002C6039" w:rsidRPr="004A1196">
              <w:rPr>
                <w:color w:val="0B2B43" w:themeColor="text2" w:themeShade="80"/>
                <w:sz w:val="22"/>
              </w:rPr>
              <w:t xml:space="preserve">engagement assessment </w:t>
            </w:r>
            <w:r w:rsidR="0079537D" w:rsidRPr="004A1196">
              <w:rPr>
                <w:color w:val="0B2B43" w:themeColor="text2" w:themeShade="80"/>
                <w:sz w:val="22"/>
              </w:rPr>
              <w:t>framework</w:t>
            </w:r>
            <w:r w:rsidR="002C6039" w:rsidRPr="004A1196">
              <w:rPr>
                <w:color w:val="0B2B43" w:themeColor="text2" w:themeShade="80"/>
                <w:sz w:val="22"/>
              </w:rPr>
              <w:t xml:space="preserve"> for universities once implemented (refer to </w:t>
            </w:r>
            <w:r w:rsidR="00C31865" w:rsidRPr="004A1196">
              <w:rPr>
                <w:color w:val="0B2B43" w:themeColor="text2" w:themeShade="80"/>
                <w:sz w:val="22"/>
              </w:rPr>
              <w:t>C</w:t>
            </w:r>
            <w:r w:rsidR="002C6039" w:rsidRPr="004A1196">
              <w:rPr>
                <w:color w:val="0B2B43" w:themeColor="text2" w:themeShade="80"/>
                <w:sz w:val="22"/>
              </w:rPr>
              <w:t xml:space="preserve">hapter </w:t>
            </w:r>
            <w:r w:rsidR="00E53B62" w:rsidRPr="004A1196">
              <w:rPr>
                <w:color w:val="0B2B43" w:themeColor="text2" w:themeShade="80"/>
                <w:sz w:val="22"/>
              </w:rPr>
              <w:t>6</w:t>
            </w:r>
            <w:r w:rsidR="002C6039" w:rsidRPr="004A1196">
              <w:rPr>
                <w:color w:val="0B2B43" w:themeColor="text2" w:themeShade="80"/>
                <w:sz w:val="22"/>
              </w:rPr>
              <w:t xml:space="preserve">) </w:t>
            </w:r>
          </w:p>
        </w:tc>
      </w:tr>
      <w:tr w:rsidR="004A1196" w:rsidRPr="004A1196" w:rsidTr="004C46EF">
        <w:tc>
          <w:tcPr>
            <w:tcW w:w="1668" w:type="dxa"/>
          </w:tcPr>
          <w:p w:rsidR="002C6039" w:rsidRPr="004A1196" w:rsidRDefault="002C6039" w:rsidP="004C46EF">
            <w:pPr>
              <w:pStyle w:val="TabletextRI"/>
              <w:rPr>
                <w:color w:val="0B2B43" w:themeColor="text2" w:themeShade="80"/>
                <w:sz w:val="22"/>
              </w:rPr>
            </w:pPr>
            <w:r w:rsidRPr="004A1196">
              <w:rPr>
                <w:b/>
                <w:color w:val="0B2B43" w:themeColor="text2" w:themeShade="80"/>
                <w:sz w:val="22"/>
              </w:rPr>
              <w:t>Engagement</w:t>
            </w:r>
          </w:p>
        </w:tc>
        <w:tc>
          <w:tcPr>
            <w:tcW w:w="3685" w:type="dxa"/>
          </w:tcPr>
          <w:p w:rsidR="002C6039" w:rsidRPr="004A1196" w:rsidRDefault="002C6039" w:rsidP="004C46EF">
            <w:pPr>
              <w:pStyle w:val="TabletextRI"/>
              <w:rPr>
                <w:color w:val="0B2B43" w:themeColor="text2" w:themeShade="80"/>
                <w:sz w:val="22"/>
              </w:rPr>
            </w:pPr>
            <w:r w:rsidRPr="004A1196">
              <w:rPr>
                <w:color w:val="0B2B43" w:themeColor="text2" w:themeShade="80"/>
                <w:sz w:val="22"/>
              </w:rPr>
              <w:t>Public sector R&amp;D funded by industry, research income from industry, collaboration between industry and research institutions on innovation, and publications with co-authors and patent citations</w:t>
            </w:r>
          </w:p>
        </w:tc>
        <w:tc>
          <w:tcPr>
            <w:tcW w:w="3402" w:type="dxa"/>
          </w:tcPr>
          <w:p w:rsidR="002C6039" w:rsidRPr="004A1196" w:rsidRDefault="00EC0A6D" w:rsidP="00EC0A6D">
            <w:pPr>
              <w:pStyle w:val="TabletextRI"/>
              <w:rPr>
                <w:color w:val="0B2B43" w:themeColor="text2" w:themeShade="80"/>
                <w:sz w:val="22"/>
              </w:rPr>
            </w:pPr>
            <w:r>
              <w:rPr>
                <w:color w:val="0B2B43" w:themeColor="text2" w:themeShade="80"/>
                <w:sz w:val="22"/>
              </w:rPr>
              <w:t xml:space="preserve">Potentially also </w:t>
            </w:r>
            <w:proofErr w:type="spellStart"/>
            <w:r>
              <w:rPr>
                <w:color w:val="0B2B43" w:themeColor="text2" w:themeShade="80"/>
                <w:sz w:val="22"/>
              </w:rPr>
              <w:t>ATSE’s</w:t>
            </w:r>
            <w:proofErr w:type="spellEnd"/>
            <w:r w:rsidR="002C6039" w:rsidRPr="004A1196">
              <w:rPr>
                <w:color w:val="0B2B43" w:themeColor="text2" w:themeShade="80"/>
                <w:sz w:val="22"/>
              </w:rPr>
              <w:t xml:space="preserve"> new </w:t>
            </w:r>
            <w:r>
              <w:rPr>
                <w:color w:val="0B2B43" w:themeColor="text2" w:themeShade="80"/>
                <w:sz w:val="22"/>
              </w:rPr>
              <w:t>Research Engagement for Australia (</w:t>
            </w:r>
            <w:r w:rsidR="0079537D" w:rsidRPr="004A1196">
              <w:rPr>
                <w:color w:val="0B2B43" w:themeColor="text2" w:themeShade="80"/>
                <w:sz w:val="22"/>
              </w:rPr>
              <w:t>REA</w:t>
            </w:r>
            <w:r>
              <w:rPr>
                <w:color w:val="0B2B43" w:themeColor="text2" w:themeShade="80"/>
                <w:sz w:val="22"/>
              </w:rPr>
              <w:t>)</w:t>
            </w:r>
            <w:r w:rsidR="0079537D" w:rsidRPr="004A1196">
              <w:rPr>
                <w:color w:val="0B2B43" w:themeColor="text2" w:themeShade="80"/>
                <w:sz w:val="22"/>
              </w:rPr>
              <w:t xml:space="preserve"> </w:t>
            </w:r>
            <w:r w:rsidR="002C6039" w:rsidRPr="004A1196">
              <w:rPr>
                <w:color w:val="0B2B43" w:themeColor="text2" w:themeShade="80"/>
                <w:sz w:val="22"/>
              </w:rPr>
              <w:t>metric</w:t>
            </w:r>
            <w:r w:rsidR="0079537D" w:rsidRPr="004A1196">
              <w:rPr>
                <w:color w:val="0B2B43" w:themeColor="text2" w:themeShade="80"/>
                <w:sz w:val="22"/>
              </w:rPr>
              <w:t>s</w:t>
            </w:r>
            <w:r w:rsidR="002C6039" w:rsidRPr="004A1196">
              <w:rPr>
                <w:color w:val="0B2B43" w:themeColor="text2" w:themeShade="80"/>
                <w:sz w:val="22"/>
              </w:rPr>
              <w:t xml:space="preserve"> </w:t>
            </w:r>
            <w:r w:rsidR="0079537D" w:rsidRPr="004A1196">
              <w:rPr>
                <w:color w:val="0B2B43" w:themeColor="text2" w:themeShade="80"/>
                <w:sz w:val="22"/>
              </w:rPr>
              <w:t>and</w:t>
            </w:r>
            <w:r w:rsidR="002C6039" w:rsidRPr="004A1196">
              <w:rPr>
                <w:color w:val="0B2B43" w:themeColor="text2" w:themeShade="80"/>
                <w:sz w:val="22"/>
              </w:rPr>
              <w:t xml:space="preserve"> other new metrics developed as part of the </w:t>
            </w:r>
            <w:r w:rsidR="0079537D" w:rsidRPr="004A1196">
              <w:rPr>
                <w:color w:val="0B2B43" w:themeColor="text2" w:themeShade="80"/>
                <w:sz w:val="22"/>
              </w:rPr>
              <w:t xml:space="preserve">new </w:t>
            </w:r>
            <w:r w:rsidR="005B2C1C" w:rsidRPr="004A1196">
              <w:rPr>
                <w:color w:val="0B2B43" w:themeColor="text2" w:themeShade="80"/>
                <w:sz w:val="22"/>
              </w:rPr>
              <w:t>impact and engagement assessment</w:t>
            </w:r>
            <w:r w:rsidR="002C6039" w:rsidRPr="004A1196">
              <w:rPr>
                <w:color w:val="0B2B43" w:themeColor="text2" w:themeShade="80"/>
                <w:sz w:val="22"/>
              </w:rPr>
              <w:t xml:space="preserve"> </w:t>
            </w:r>
            <w:r w:rsidR="0079537D" w:rsidRPr="004A1196">
              <w:rPr>
                <w:color w:val="0B2B43" w:themeColor="text2" w:themeShade="80"/>
                <w:sz w:val="22"/>
              </w:rPr>
              <w:t xml:space="preserve">framework </w:t>
            </w:r>
            <w:r w:rsidR="002C6039" w:rsidRPr="004A1196">
              <w:rPr>
                <w:color w:val="0B2B43" w:themeColor="text2" w:themeShade="80"/>
                <w:sz w:val="22"/>
              </w:rPr>
              <w:t>(</w:t>
            </w:r>
            <w:r w:rsidR="00C31865" w:rsidRPr="004A1196">
              <w:rPr>
                <w:color w:val="0B2B43" w:themeColor="text2" w:themeShade="80"/>
                <w:sz w:val="22"/>
              </w:rPr>
              <w:t>refer to</w:t>
            </w:r>
            <w:r w:rsidR="002C6039" w:rsidRPr="004A1196">
              <w:rPr>
                <w:color w:val="0B2B43" w:themeColor="text2" w:themeShade="80"/>
                <w:sz w:val="22"/>
              </w:rPr>
              <w:t xml:space="preserve"> Chapter </w:t>
            </w:r>
            <w:r w:rsidR="00E53B62" w:rsidRPr="004A1196">
              <w:rPr>
                <w:color w:val="0B2B43" w:themeColor="text2" w:themeShade="80"/>
                <w:sz w:val="22"/>
              </w:rPr>
              <w:t>6</w:t>
            </w:r>
            <w:r w:rsidR="002C6039" w:rsidRPr="004A1196">
              <w:rPr>
                <w:color w:val="0B2B43" w:themeColor="text2" w:themeShade="80"/>
                <w:sz w:val="22"/>
              </w:rPr>
              <w:t>)</w:t>
            </w:r>
          </w:p>
        </w:tc>
      </w:tr>
      <w:tr w:rsidR="004A1196" w:rsidRPr="004A1196" w:rsidTr="004C46EF">
        <w:trPr>
          <w:cnfStyle w:val="000000010000" w:firstRow="0" w:lastRow="0" w:firstColumn="0" w:lastColumn="0" w:oddVBand="0" w:evenVBand="0" w:oddHBand="0" w:evenHBand="1" w:firstRowFirstColumn="0" w:firstRowLastColumn="0" w:lastRowFirstColumn="0" w:lastRowLastColumn="0"/>
          <w:trHeight w:val="624"/>
        </w:trPr>
        <w:tc>
          <w:tcPr>
            <w:tcW w:w="1668" w:type="dxa"/>
          </w:tcPr>
          <w:p w:rsidR="002C6039" w:rsidRPr="004A1196" w:rsidRDefault="002C6039" w:rsidP="004C46EF">
            <w:pPr>
              <w:pStyle w:val="TabletextRI"/>
              <w:rPr>
                <w:color w:val="0B2B43" w:themeColor="text2" w:themeShade="80"/>
                <w:sz w:val="22"/>
              </w:rPr>
            </w:pPr>
            <w:r w:rsidRPr="004A1196">
              <w:rPr>
                <w:b/>
                <w:color w:val="0B2B43" w:themeColor="text2" w:themeShade="80"/>
                <w:sz w:val="22"/>
              </w:rPr>
              <w:t>Skilled workforce</w:t>
            </w:r>
          </w:p>
        </w:tc>
        <w:tc>
          <w:tcPr>
            <w:tcW w:w="3685" w:type="dxa"/>
          </w:tcPr>
          <w:p w:rsidR="002C6039" w:rsidRPr="004A1196" w:rsidRDefault="002C6039" w:rsidP="004C46EF">
            <w:pPr>
              <w:pStyle w:val="TabletextRI"/>
              <w:rPr>
                <w:color w:val="0B2B43" w:themeColor="text2" w:themeShade="80"/>
                <w:sz w:val="22"/>
              </w:rPr>
            </w:pPr>
            <w:r w:rsidRPr="004A1196">
              <w:rPr>
                <w:color w:val="0B2B43" w:themeColor="text2" w:themeShade="80"/>
                <w:sz w:val="22"/>
              </w:rPr>
              <w:t>Size of research workforce and PhD graduation rate, measurement of researcher mobility</w:t>
            </w:r>
          </w:p>
        </w:tc>
        <w:tc>
          <w:tcPr>
            <w:tcW w:w="3402" w:type="dxa"/>
          </w:tcPr>
          <w:p w:rsidR="002C6039" w:rsidRPr="004A1196" w:rsidRDefault="002C6039" w:rsidP="004C46EF">
            <w:pPr>
              <w:pStyle w:val="TabletextRI"/>
              <w:rPr>
                <w:color w:val="0B2B43" w:themeColor="text2" w:themeShade="80"/>
                <w:sz w:val="22"/>
              </w:rPr>
            </w:pPr>
            <w:r w:rsidRPr="004A1196">
              <w:rPr>
                <w:color w:val="0B2B43" w:themeColor="text2" w:themeShade="80"/>
                <w:sz w:val="22"/>
              </w:rPr>
              <w:t>Size of research workforce and PhD graduation rate, measurement of researcher mobility</w:t>
            </w:r>
          </w:p>
        </w:tc>
      </w:tr>
      <w:tr w:rsidR="004A1196" w:rsidRPr="004A1196" w:rsidTr="004C46EF">
        <w:tc>
          <w:tcPr>
            <w:tcW w:w="1668" w:type="dxa"/>
          </w:tcPr>
          <w:p w:rsidR="002C6039" w:rsidRPr="004A1196" w:rsidRDefault="002C6039" w:rsidP="004C46EF">
            <w:pPr>
              <w:pStyle w:val="TabletextRI"/>
              <w:rPr>
                <w:color w:val="0B2B43" w:themeColor="text2" w:themeShade="80"/>
                <w:sz w:val="22"/>
              </w:rPr>
            </w:pPr>
            <w:r w:rsidRPr="004A1196">
              <w:rPr>
                <w:b/>
                <w:color w:val="0B2B43" w:themeColor="text2" w:themeShade="80"/>
                <w:sz w:val="22"/>
              </w:rPr>
              <w:t>High Quality</w:t>
            </w:r>
          </w:p>
        </w:tc>
        <w:tc>
          <w:tcPr>
            <w:tcW w:w="3685" w:type="dxa"/>
          </w:tcPr>
          <w:p w:rsidR="002C6039" w:rsidRPr="004A1196" w:rsidRDefault="002C6039" w:rsidP="004C46EF">
            <w:pPr>
              <w:pStyle w:val="TabletextRI"/>
              <w:rPr>
                <w:color w:val="0B2B43" w:themeColor="text2" w:themeShade="80"/>
                <w:sz w:val="22"/>
              </w:rPr>
            </w:pPr>
            <w:r w:rsidRPr="004A1196">
              <w:rPr>
                <w:color w:val="0B2B43" w:themeColor="text2" w:themeShade="80"/>
                <w:sz w:val="22"/>
              </w:rPr>
              <w:t>World research outputs and ERA</w:t>
            </w:r>
          </w:p>
        </w:tc>
        <w:tc>
          <w:tcPr>
            <w:tcW w:w="3402" w:type="dxa"/>
          </w:tcPr>
          <w:p w:rsidR="002C6039" w:rsidRPr="004A1196" w:rsidRDefault="002C6039">
            <w:pPr>
              <w:pStyle w:val="TabletextRI"/>
              <w:rPr>
                <w:color w:val="0B2B43" w:themeColor="text2" w:themeShade="80"/>
                <w:sz w:val="22"/>
              </w:rPr>
            </w:pPr>
            <w:r w:rsidRPr="004A1196">
              <w:rPr>
                <w:color w:val="0B2B43" w:themeColor="text2" w:themeShade="80"/>
                <w:sz w:val="22"/>
              </w:rPr>
              <w:t xml:space="preserve">ERA ratings for quality and </w:t>
            </w:r>
            <w:r w:rsidR="000A39F9">
              <w:rPr>
                <w:color w:val="0B2B43" w:themeColor="text2" w:themeShade="80"/>
                <w:sz w:val="22"/>
              </w:rPr>
              <w:t xml:space="preserve">new </w:t>
            </w:r>
            <w:r w:rsidRPr="004A1196">
              <w:rPr>
                <w:color w:val="0B2B43" w:themeColor="text2" w:themeShade="80"/>
                <w:sz w:val="22"/>
              </w:rPr>
              <w:t xml:space="preserve">impact </w:t>
            </w:r>
            <w:r w:rsidR="000A39F9">
              <w:rPr>
                <w:color w:val="0B2B43" w:themeColor="text2" w:themeShade="80"/>
                <w:sz w:val="22"/>
              </w:rPr>
              <w:t xml:space="preserve">and engagement </w:t>
            </w:r>
            <w:r w:rsidRPr="004A1196">
              <w:rPr>
                <w:color w:val="0B2B43" w:themeColor="text2" w:themeShade="80"/>
                <w:sz w:val="22"/>
              </w:rPr>
              <w:t xml:space="preserve">assessment </w:t>
            </w:r>
            <w:r w:rsidR="000A39F9">
              <w:rPr>
                <w:color w:val="0B2B43" w:themeColor="text2" w:themeShade="80"/>
                <w:sz w:val="22"/>
              </w:rPr>
              <w:t xml:space="preserve">framework (refer to Chapter 6) </w:t>
            </w:r>
            <w:r w:rsidRPr="004A1196">
              <w:rPr>
                <w:color w:val="0B2B43" w:themeColor="text2" w:themeShade="80"/>
                <w:sz w:val="22"/>
              </w:rPr>
              <w:t xml:space="preserve">— once implemented </w:t>
            </w:r>
          </w:p>
        </w:tc>
      </w:tr>
      <w:tr w:rsidR="004A1196" w:rsidRPr="004A1196" w:rsidTr="004C46EF">
        <w:trPr>
          <w:cnfStyle w:val="000000010000" w:firstRow="0" w:lastRow="0" w:firstColumn="0" w:lastColumn="0" w:oddVBand="0" w:evenVBand="0" w:oddHBand="0" w:evenHBand="1" w:firstRowFirstColumn="0" w:firstRowLastColumn="0" w:lastRowFirstColumn="0" w:lastRowLastColumn="0"/>
        </w:trPr>
        <w:tc>
          <w:tcPr>
            <w:tcW w:w="1668" w:type="dxa"/>
          </w:tcPr>
          <w:p w:rsidR="002C6039" w:rsidRPr="004A1196" w:rsidRDefault="002C6039" w:rsidP="004C46EF">
            <w:pPr>
              <w:pStyle w:val="TabletextRI"/>
              <w:rPr>
                <w:color w:val="0B2B43" w:themeColor="text2" w:themeShade="80"/>
                <w:sz w:val="22"/>
              </w:rPr>
            </w:pPr>
            <w:r w:rsidRPr="004A1196">
              <w:rPr>
                <w:b/>
                <w:color w:val="0B2B43" w:themeColor="text2" w:themeShade="80"/>
                <w:sz w:val="22"/>
              </w:rPr>
              <w:t>Balance</w:t>
            </w:r>
          </w:p>
        </w:tc>
        <w:tc>
          <w:tcPr>
            <w:tcW w:w="3685" w:type="dxa"/>
          </w:tcPr>
          <w:p w:rsidR="002C6039" w:rsidRPr="004A1196" w:rsidRDefault="002C6039" w:rsidP="004C46EF">
            <w:pPr>
              <w:pStyle w:val="TabletextRI"/>
              <w:rPr>
                <w:color w:val="0B2B43" w:themeColor="text2" w:themeShade="80"/>
                <w:sz w:val="22"/>
              </w:rPr>
            </w:pPr>
            <w:r w:rsidRPr="004A1196">
              <w:rPr>
                <w:color w:val="0B2B43" w:themeColor="text2" w:themeShade="80"/>
                <w:sz w:val="22"/>
              </w:rPr>
              <w:t>R&amp;D expenditure by sector as a proportion of GDP and government investment in R&amp;D</w:t>
            </w:r>
          </w:p>
        </w:tc>
        <w:tc>
          <w:tcPr>
            <w:tcW w:w="3402" w:type="dxa"/>
          </w:tcPr>
          <w:p w:rsidR="002C6039" w:rsidRPr="004A1196" w:rsidRDefault="002C6039" w:rsidP="004C46EF">
            <w:pPr>
              <w:pStyle w:val="TabletextRI"/>
              <w:rPr>
                <w:color w:val="0B2B43" w:themeColor="text2" w:themeShade="80"/>
                <w:sz w:val="22"/>
              </w:rPr>
            </w:pPr>
            <w:r w:rsidRPr="004A1196">
              <w:rPr>
                <w:color w:val="0B2B43" w:themeColor="text2" w:themeShade="80"/>
                <w:sz w:val="22"/>
              </w:rPr>
              <w:t>R&amp;D expenditure by sector as a proportion of GDP and government investment in R&amp;D</w:t>
            </w:r>
          </w:p>
        </w:tc>
      </w:tr>
    </w:tbl>
    <w:p w:rsidR="002C6039" w:rsidRPr="004A1196" w:rsidRDefault="002C6039" w:rsidP="002C6039">
      <w:pPr>
        <w:spacing w:before="0" w:after="200" w:line="276" w:lineRule="auto"/>
        <w:rPr>
          <w:rFonts w:eastAsiaTheme="majorEastAsia"/>
          <w:b/>
          <w:bCs/>
          <w:color w:val="0B2B43" w:themeColor="text2" w:themeShade="80"/>
          <w:sz w:val="32"/>
          <w:szCs w:val="32"/>
        </w:rPr>
      </w:pPr>
      <w:bookmarkStart w:id="416" w:name="_Toc436392783"/>
      <w:r w:rsidRPr="004A1196">
        <w:rPr>
          <w:color w:val="0B2B43" w:themeColor="text2" w:themeShade="80"/>
        </w:rPr>
        <w:br w:type="page"/>
      </w:r>
    </w:p>
    <w:p w:rsidR="002C6039" w:rsidRPr="004A1196" w:rsidRDefault="002C6039" w:rsidP="002C6039">
      <w:pPr>
        <w:pStyle w:val="RIHeading2"/>
        <w:rPr>
          <w:color w:val="0B2B43" w:themeColor="text2" w:themeShade="80"/>
        </w:rPr>
      </w:pPr>
      <w:bookmarkStart w:id="417" w:name="_Toc436651887"/>
      <w:bookmarkStart w:id="418" w:name="_Toc436659695"/>
      <w:bookmarkStart w:id="419" w:name="_Toc436660193"/>
      <w:r w:rsidRPr="004A1196">
        <w:rPr>
          <w:color w:val="0B2B43" w:themeColor="text2" w:themeShade="80"/>
        </w:rPr>
        <w:t>Recommendations</w:t>
      </w:r>
      <w:bookmarkEnd w:id="416"/>
      <w:bookmarkEnd w:id="417"/>
      <w:bookmarkEnd w:id="418"/>
      <w:bookmarkEnd w:id="419"/>
    </w:p>
    <w:p w:rsidR="002C6039" w:rsidRPr="004A1196" w:rsidRDefault="002C6039" w:rsidP="001C2886">
      <w:pPr>
        <w:pStyle w:val="ListParagraph"/>
        <w:numPr>
          <w:ilvl w:val="0"/>
          <w:numId w:val="65"/>
        </w:numPr>
        <w:rPr>
          <w:color w:val="0B2B43" w:themeColor="text2" w:themeShade="80"/>
        </w:rPr>
      </w:pPr>
      <w:r w:rsidRPr="004A1196">
        <w:rPr>
          <w:color w:val="0B2B43" w:themeColor="text2" w:themeShade="80"/>
        </w:rPr>
        <w:t>The Minister for Education and Training, in consultation with the Minister for Industry, Innovation and Science, the Minister for Health and other relevant ministers, should take the lead on assessing and reporting on the performance of the publicly funded research system through:</w:t>
      </w:r>
    </w:p>
    <w:p w:rsidR="002C6039" w:rsidRPr="004A1196" w:rsidRDefault="002C6039" w:rsidP="00C51BEE">
      <w:pPr>
        <w:pStyle w:val="ListParagraph"/>
        <w:numPr>
          <w:ilvl w:val="0"/>
          <w:numId w:val="67"/>
        </w:numPr>
        <w:rPr>
          <w:color w:val="0B2B43" w:themeColor="text2" w:themeShade="80"/>
        </w:rPr>
      </w:pPr>
      <w:r w:rsidRPr="004A1196">
        <w:rPr>
          <w:color w:val="0B2B43" w:themeColor="text2" w:themeShade="80"/>
        </w:rPr>
        <w:t>an annual public assessment of the performance of the Australian research system</w:t>
      </w:r>
    </w:p>
    <w:p w:rsidR="002C6039" w:rsidRPr="004A1196" w:rsidRDefault="002C6039" w:rsidP="00C51BEE">
      <w:pPr>
        <w:pStyle w:val="ListParagraph"/>
        <w:numPr>
          <w:ilvl w:val="0"/>
          <w:numId w:val="67"/>
        </w:numPr>
        <w:rPr>
          <w:color w:val="0B2B43" w:themeColor="text2" w:themeShade="80"/>
        </w:rPr>
      </w:pPr>
      <w:r w:rsidRPr="004A1196">
        <w:rPr>
          <w:color w:val="0B2B43" w:themeColor="text2" w:themeShade="80"/>
        </w:rPr>
        <w:t>advice to the Cabinet annually on current and emerging policy implications to inform policy consideration at both the whole of government and portfolio by portfolio levels</w:t>
      </w:r>
    </w:p>
    <w:p w:rsidR="002C6039" w:rsidRPr="004A1196" w:rsidRDefault="002C6039" w:rsidP="00C51BEE">
      <w:pPr>
        <w:pStyle w:val="ListParagraph"/>
        <w:numPr>
          <w:ilvl w:val="0"/>
          <w:numId w:val="67"/>
        </w:numPr>
        <w:rPr>
          <w:color w:val="0B2B43" w:themeColor="text2" w:themeShade="80"/>
        </w:rPr>
      </w:pPr>
      <w:proofErr w:type="gramStart"/>
      <w:r w:rsidRPr="004A1196">
        <w:rPr>
          <w:color w:val="0B2B43" w:themeColor="text2" w:themeShade="80"/>
        </w:rPr>
        <w:t>public</w:t>
      </w:r>
      <w:proofErr w:type="gramEnd"/>
      <w:r w:rsidRPr="004A1196">
        <w:rPr>
          <w:color w:val="0B2B43" w:themeColor="text2" w:themeShade="80"/>
        </w:rPr>
        <w:t xml:space="preserve"> release of the results of the assessment after the Cabinet’s consideration</w:t>
      </w:r>
      <w:r w:rsidR="00EC0A6D">
        <w:rPr>
          <w:color w:val="0B2B43" w:themeColor="text2" w:themeShade="80"/>
        </w:rPr>
        <w:t>.</w:t>
      </w:r>
    </w:p>
    <w:p w:rsidR="002C6039" w:rsidRPr="004A1196" w:rsidRDefault="002C6039" w:rsidP="002C6039">
      <w:pPr>
        <w:pStyle w:val="ListParagraph"/>
        <w:ind w:left="1080"/>
        <w:rPr>
          <w:color w:val="0B2B43" w:themeColor="text2" w:themeShade="80"/>
        </w:rPr>
      </w:pPr>
    </w:p>
    <w:p w:rsidR="002C6039" w:rsidRPr="004A1196" w:rsidRDefault="002C6039" w:rsidP="001C2886">
      <w:pPr>
        <w:pStyle w:val="ListParagraph"/>
        <w:numPr>
          <w:ilvl w:val="0"/>
          <w:numId w:val="65"/>
        </w:numPr>
        <w:spacing w:before="240" w:after="120"/>
        <w:contextualSpacing w:val="0"/>
        <w:rPr>
          <w:color w:val="0B2B43" w:themeColor="text2" w:themeShade="80"/>
        </w:rPr>
      </w:pPr>
      <w:r w:rsidRPr="004A1196">
        <w:rPr>
          <w:color w:val="0B2B43" w:themeColor="text2" w:themeShade="80"/>
        </w:rPr>
        <w:t xml:space="preserve">Early work currently underway by the Departments of Education and Training and Innovation, Industry and Science to develop system-level performance measures </w:t>
      </w:r>
      <w:proofErr w:type="gramStart"/>
      <w:r w:rsidRPr="004A1196">
        <w:rPr>
          <w:color w:val="0B2B43" w:themeColor="text2" w:themeShade="80"/>
        </w:rPr>
        <w:t>should be accelerated and developed in consultation with the business and the university sectors</w:t>
      </w:r>
      <w:proofErr w:type="gramEnd"/>
      <w:r w:rsidRPr="004A1196">
        <w:rPr>
          <w:color w:val="0B2B43" w:themeColor="text2" w:themeShade="80"/>
        </w:rPr>
        <w:t>.</w:t>
      </w:r>
    </w:p>
    <w:p w:rsidR="002C6039" w:rsidRPr="004A1196" w:rsidRDefault="002C6039" w:rsidP="001C2886">
      <w:pPr>
        <w:pStyle w:val="ListParagraph"/>
        <w:numPr>
          <w:ilvl w:val="0"/>
          <w:numId w:val="65"/>
        </w:numPr>
        <w:rPr>
          <w:color w:val="0B2B43" w:themeColor="text2" w:themeShade="80"/>
        </w:rPr>
      </w:pPr>
      <w:r w:rsidRPr="004A1196">
        <w:rPr>
          <w:color w:val="0B2B43" w:themeColor="text2" w:themeShade="80"/>
        </w:rPr>
        <w:t xml:space="preserve">The first assessment of the performance of the publicly funded research system </w:t>
      </w:r>
      <w:proofErr w:type="gramStart"/>
      <w:r w:rsidRPr="004A1196">
        <w:rPr>
          <w:color w:val="0B2B43" w:themeColor="text2" w:themeShade="80"/>
        </w:rPr>
        <w:t>should be produced</w:t>
      </w:r>
      <w:proofErr w:type="gramEnd"/>
      <w:r w:rsidRPr="004A1196">
        <w:rPr>
          <w:color w:val="0B2B43" w:themeColor="text2" w:themeShade="80"/>
        </w:rPr>
        <w:t xml:space="preserve"> by the end of 2016 using existing data collections. </w:t>
      </w:r>
    </w:p>
    <w:p w:rsidR="002C6039" w:rsidRPr="004A1196" w:rsidRDefault="002C6039" w:rsidP="002C6039">
      <w:pPr>
        <w:spacing w:before="0" w:after="200" w:line="276" w:lineRule="auto"/>
        <w:rPr>
          <w:color w:val="0B2B43" w:themeColor="text2" w:themeShade="80"/>
        </w:rPr>
      </w:pPr>
      <w:r w:rsidRPr="004A1196">
        <w:rPr>
          <w:color w:val="0B2B43" w:themeColor="text2" w:themeShade="80"/>
        </w:rPr>
        <w:br w:type="page"/>
      </w:r>
    </w:p>
    <w:p w:rsidR="002C6039" w:rsidRPr="004A1196" w:rsidRDefault="002C6039" w:rsidP="004018A9">
      <w:pPr>
        <w:pStyle w:val="RIHeading1"/>
        <w:numPr>
          <w:ilvl w:val="0"/>
          <w:numId w:val="62"/>
        </w:numPr>
        <w:rPr>
          <w:color w:val="0B2B43" w:themeColor="text2" w:themeShade="80"/>
        </w:rPr>
      </w:pPr>
      <w:bookmarkStart w:id="420" w:name="_Toc436228992"/>
      <w:bookmarkStart w:id="421" w:name="_Toc436392784"/>
      <w:bookmarkStart w:id="422" w:name="_Toc436563390"/>
      <w:bookmarkStart w:id="423" w:name="_Toc436574579"/>
      <w:bookmarkStart w:id="424" w:name="_Toc436579529"/>
      <w:bookmarkStart w:id="425" w:name="_Toc436579547"/>
      <w:bookmarkStart w:id="426" w:name="_Toc436651888"/>
      <w:bookmarkStart w:id="427" w:name="_Toc436659696"/>
      <w:bookmarkStart w:id="428" w:name="_Toc436660194"/>
      <w:bookmarkStart w:id="429" w:name="_Toc436663727"/>
      <w:bookmarkStart w:id="430" w:name="_Toc436664117"/>
      <w:bookmarkStart w:id="431" w:name="_Toc436664678"/>
      <w:bookmarkStart w:id="432" w:name="_Toc436664820"/>
      <w:bookmarkStart w:id="433" w:name="_Toc436665035"/>
      <w:bookmarkStart w:id="434" w:name="_Toc436666152"/>
      <w:bookmarkStart w:id="435" w:name="_Toc436666859"/>
      <w:bookmarkStart w:id="436" w:name="_Toc436666977"/>
      <w:bookmarkStart w:id="437" w:name="_Toc440378840"/>
      <w:r w:rsidRPr="004A1196">
        <w:rPr>
          <w:color w:val="0B2B43" w:themeColor="text2" w:themeShade="80"/>
        </w:rPr>
        <w:t xml:space="preserve">Global university ranking systems: an Australian developed </w:t>
      </w:r>
      <w:proofErr w:type="gramStart"/>
      <w:r w:rsidRPr="004A1196">
        <w:rPr>
          <w:color w:val="0B2B43" w:themeColor="text2" w:themeShade="80"/>
        </w:rPr>
        <w:t>system?</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roofErr w:type="gramEnd"/>
    </w:p>
    <w:p w:rsidR="0087616A" w:rsidRDefault="002C6039" w:rsidP="002C6039">
      <w:pPr>
        <w:rPr>
          <w:color w:val="0B2B43" w:themeColor="text2" w:themeShade="80"/>
        </w:rPr>
      </w:pPr>
      <w:r w:rsidRPr="004A1196">
        <w:rPr>
          <w:color w:val="0B2B43" w:themeColor="text2" w:themeShade="80"/>
        </w:rPr>
        <w:t>The terms of reference for the review require it to</w:t>
      </w:r>
      <w:r w:rsidR="009A28C1">
        <w:rPr>
          <w:color w:val="0B2B43" w:themeColor="text2" w:themeShade="80"/>
        </w:rPr>
        <w:t>:</w:t>
      </w:r>
      <w:r w:rsidRPr="004A1196">
        <w:rPr>
          <w:color w:val="0B2B43" w:themeColor="text2" w:themeShade="80"/>
        </w:rPr>
        <w:t xml:space="preserve"> </w:t>
      </w:r>
    </w:p>
    <w:p w:rsidR="0087616A" w:rsidRPr="0087616A" w:rsidRDefault="002C6039" w:rsidP="0087616A">
      <w:pPr>
        <w:autoSpaceDE w:val="0"/>
        <w:autoSpaceDN w:val="0"/>
        <w:adjustRightInd w:val="0"/>
        <w:spacing w:after="0"/>
        <w:ind w:left="567"/>
        <w:rPr>
          <w:color w:val="0B2B43" w:themeColor="text2" w:themeShade="80"/>
          <w:sz w:val="22"/>
          <w:lang w:eastAsia="ar-SA"/>
        </w:rPr>
      </w:pPr>
      <w:proofErr w:type="gramStart"/>
      <w:r w:rsidRPr="0087616A">
        <w:rPr>
          <w:color w:val="0B2B43" w:themeColor="text2" w:themeShade="80"/>
          <w:sz w:val="22"/>
          <w:lang w:eastAsia="ar-SA"/>
        </w:rPr>
        <w:t>consider</w:t>
      </w:r>
      <w:proofErr w:type="gramEnd"/>
      <w:r w:rsidRPr="0087616A">
        <w:rPr>
          <w:color w:val="0B2B43" w:themeColor="text2" w:themeShade="80"/>
          <w:sz w:val="22"/>
          <w:lang w:eastAsia="ar-SA"/>
        </w:rPr>
        <w:t xml:space="preserve"> the development of measures of research-industry engagement and collaboration, including the availability of international rankings to compare performance and drive improvement over time. </w:t>
      </w:r>
    </w:p>
    <w:p w:rsidR="002C6039" w:rsidRPr="004A1196" w:rsidRDefault="002C6039" w:rsidP="002C6039">
      <w:pPr>
        <w:rPr>
          <w:color w:val="0B2B43" w:themeColor="text2" w:themeShade="80"/>
        </w:rPr>
      </w:pPr>
      <w:r w:rsidRPr="004A1196">
        <w:rPr>
          <w:color w:val="0B2B43" w:themeColor="text2" w:themeShade="80"/>
        </w:rPr>
        <w:t xml:space="preserve">This chapter discusses the feasibility of developing a global ranking system to help drive better collaboration between universities and business and other research </w:t>
      </w:r>
      <w:r w:rsidR="003904BC">
        <w:rPr>
          <w:color w:val="0B2B43" w:themeColor="text2" w:themeShade="80"/>
        </w:rPr>
        <w:t>end user</w:t>
      </w:r>
      <w:r w:rsidRPr="004A1196">
        <w:rPr>
          <w:color w:val="0B2B43" w:themeColor="text2" w:themeShade="80"/>
        </w:rPr>
        <w:t xml:space="preserve">s. </w:t>
      </w:r>
    </w:p>
    <w:p w:rsidR="002C6039" w:rsidRPr="004A1196" w:rsidRDefault="002C6039" w:rsidP="002C6039">
      <w:pPr>
        <w:rPr>
          <w:color w:val="0B2B43" w:themeColor="text2" w:themeShade="80"/>
        </w:rPr>
      </w:pPr>
      <w:proofErr w:type="gramStart"/>
      <w:r w:rsidRPr="004A1196">
        <w:rPr>
          <w:color w:val="0B2B43" w:themeColor="text2" w:themeShade="80"/>
        </w:rPr>
        <w:t>There are currently more than twenty ranking systems that</w:t>
      </w:r>
      <w:proofErr w:type="gramEnd"/>
      <w:r w:rsidRPr="004A1196">
        <w:rPr>
          <w:color w:val="0B2B43" w:themeColor="text2" w:themeShade="80"/>
        </w:rPr>
        <w:t xml:space="preserve"> allow comparisons to be made among universities across the world. Some systems have been in existence for a decade or more, others are much more recent, and new systems are emerging regularly. Some of the newer systems are starting to include measures of </w:t>
      </w:r>
      <w:r w:rsidR="003904BC">
        <w:rPr>
          <w:color w:val="0B2B43" w:themeColor="text2" w:themeShade="80"/>
        </w:rPr>
        <w:t>end user</w:t>
      </w:r>
      <w:r w:rsidRPr="004A1196">
        <w:rPr>
          <w:color w:val="0B2B43" w:themeColor="text2" w:themeShade="80"/>
        </w:rPr>
        <w:t xml:space="preserve"> engagement and collaboration, whereas this focus is largely absent in the longer standing ones.</w:t>
      </w:r>
    </w:p>
    <w:p w:rsidR="002C6039" w:rsidRPr="004A1196" w:rsidRDefault="002C6039" w:rsidP="002C6039">
      <w:pPr>
        <w:rPr>
          <w:color w:val="0B2B43" w:themeColor="text2" w:themeShade="80"/>
        </w:rPr>
      </w:pPr>
      <w:r w:rsidRPr="004A1196">
        <w:rPr>
          <w:color w:val="0B2B43" w:themeColor="text2" w:themeShade="80"/>
        </w:rPr>
        <w:t xml:space="preserve">The ranking systems and the resulting university rankings do significantly influence the behaviour of those involved in the higher education system. They are used by universities to compare their performance and help improve it, to market themselves to prospective students, and to show accountability to their </w:t>
      </w:r>
      <w:proofErr w:type="gramStart"/>
      <w:r w:rsidRPr="004A1196">
        <w:rPr>
          <w:color w:val="0B2B43" w:themeColor="text2" w:themeShade="80"/>
        </w:rPr>
        <w:t>stakeholders.</w:t>
      </w:r>
      <w:r w:rsidRPr="004A1196">
        <w:rPr>
          <w:rStyle w:val="FootnoteReference"/>
          <w:color w:val="0B2B43" w:themeColor="text2" w:themeShade="80"/>
        </w:rPr>
        <w:footnoteReference w:id="114"/>
      </w:r>
      <w:r w:rsidRPr="004A1196">
        <w:rPr>
          <w:color w:val="0B2B43" w:themeColor="text2" w:themeShade="80"/>
          <w:vertAlign w:val="superscript"/>
        </w:rPr>
        <w:t>,</w:t>
      </w:r>
      <w:proofErr w:type="gramEnd"/>
      <w:r w:rsidRPr="004A1196">
        <w:rPr>
          <w:rStyle w:val="FootnoteReference"/>
          <w:color w:val="0B2B43" w:themeColor="text2" w:themeShade="80"/>
        </w:rPr>
        <w:footnoteReference w:id="115"/>
      </w:r>
      <w:r w:rsidRPr="004A1196">
        <w:rPr>
          <w:color w:val="0B2B43" w:themeColor="text2" w:themeShade="80"/>
        </w:rPr>
        <w:t xml:space="preserve"> Students, particularly international students, use them to help choose their place of study.</w:t>
      </w:r>
      <w:r w:rsidRPr="004A1196">
        <w:rPr>
          <w:rStyle w:val="FootnoteReference"/>
          <w:color w:val="0B2B43" w:themeColor="text2" w:themeShade="80"/>
        </w:rPr>
        <w:footnoteReference w:id="116"/>
      </w:r>
      <w:r w:rsidRPr="004A1196">
        <w:rPr>
          <w:color w:val="0B2B43" w:themeColor="text2" w:themeShade="80"/>
        </w:rPr>
        <w:t xml:space="preserve"> Governments use them to compare the relative performance of universities within their country and to compare their university systems with those of other countries. Finally, employers and the community use them to help infer the prestige of the qualifications and research produced by individual universities. </w:t>
      </w:r>
    </w:p>
    <w:p w:rsidR="002C6039" w:rsidRPr="004A1196" w:rsidRDefault="002C6039" w:rsidP="002C6039">
      <w:pPr>
        <w:rPr>
          <w:color w:val="0B2B43" w:themeColor="text2" w:themeShade="80"/>
        </w:rPr>
      </w:pPr>
      <w:r w:rsidRPr="004A1196">
        <w:rPr>
          <w:color w:val="0B2B43" w:themeColor="text2" w:themeShade="80"/>
        </w:rPr>
        <w:t xml:space="preserve">Ranking systems are a </w:t>
      </w:r>
      <w:proofErr w:type="spellStart"/>
      <w:proofErr w:type="gramStart"/>
      <w:r w:rsidRPr="004A1196">
        <w:rPr>
          <w:color w:val="0B2B43" w:themeColor="text2" w:themeShade="80"/>
        </w:rPr>
        <w:t>well</w:t>
      </w:r>
      <w:r w:rsidR="00AC3592">
        <w:rPr>
          <w:color w:val="0B2B43" w:themeColor="text2" w:themeShade="80"/>
        </w:rPr>
        <w:t xml:space="preserve"> </w:t>
      </w:r>
      <w:r w:rsidRPr="004A1196">
        <w:rPr>
          <w:color w:val="0B2B43" w:themeColor="text2" w:themeShade="80"/>
        </w:rPr>
        <w:t>established</w:t>
      </w:r>
      <w:proofErr w:type="spellEnd"/>
      <w:proofErr w:type="gramEnd"/>
      <w:r w:rsidRPr="004A1196">
        <w:rPr>
          <w:color w:val="0B2B43" w:themeColor="text2" w:themeShade="80"/>
        </w:rPr>
        <w:t xml:space="preserve"> part of the global university architecture, although they are not beyond criticism.</w:t>
      </w:r>
      <w:r w:rsidRPr="004A1196">
        <w:rPr>
          <w:rStyle w:val="FootnoteReference"/>
          <w:color w:val="0B2B43" w:themeColor="text2" w:themeShade="80"/>
        </w:rPr>
        <w:footnoteReference w:id="117"/>
      </w:r>
      <w:r w:rsidRPr="004A1196">
        <w:rPr>
          <w:color w:val="0B2B43" w:themeColor="text2" w:themeShade="80"/>
        </w:rPr>
        <w:t xml:space="preserve"> Adding just ‘one more system’ will not make a significant difference. However, developing a new system that measures the performance of universities across the world against metrics for business and </w:t>
      </w:r>
      <w:r w:rsidR="003904BC">
        <w:rPr>
          <w:color w:val="0B2B43" w:themeColor="text2" w:themeShade="80"/>
        </w:rPr>
        <w:t>end user</w:t>
      </w:r>
      <w:r w:rsidRPr="004A1196">
        <w:rPr>
          <w:color w:val="0B2B43" w:themeColor="text2" w:themeShade="80"/>
        </w:rPr>
        <w:t xml:space="preserve"> </w:t>
      </w:r>
      <w:r w:rsidR="00426418" w:rsidRPr="004A1196">
        <w:rPr>
          <w:color w:val="0B2B43" w:themeColor="text2" w:themeShade="80"/>
        </w:rPr>
        <w:t>collaboration</w:t>
      </w:r>
      <w:r w:rsidRPr="004A1196">
        <w:rPr>
          <w:color w:val="0B2B43" w:themeColor="text2" w:themeShade="80"/>
        </w:rPr>
        <w:t xml:space="preserve"> may encourage Australian universities to focus more on </w:t>
      </w:r>
      <w:r w:rsidR="003904BC">
        <w:rPr>
          <w:color w:val="0B2B43" w:themeColor="text2" w:themeShade="80"/>
        </w:rPr>
        <w:t>end user</w:t>
      </w:r>
      <w:r w:rsidRPr="004A1196">
        <w:rPr>
          <w:color w:val="0B2B43" w:themeColor="text2" w:themeShade="80"/>
        </w:rPr>
        <w:t xml:space="preserve"> engagement. Accordingly, the review considered the benefits of developing a new university ranking system </w:t>
      </w:r>
      <w:r w:rsidR="00284CE0">
        <w:rPr>
          <w:color w:val="0B2B43" w:themeColor="text2" w:themeShade="80"/>
        </w:rPr>
        <w:t>focused</w:t>
      </w:r>
      <w:r w:rsidRPr="004A1196">
        <w:rPr>
          <w:color w:val="0B2B43" w:themeColor="text2" w:themeShade="80"/>
        </w:rPr>
        <w:t xml:space="preserve"> on measuring research-industry collaboration, whether (if implemented domestically) it would attract the participation from other countries to enable it to become a new global ranking system, and whether there were other ways of achieving the same results.</w:t>
      </w:r>
    </w:p>
    <w:p w:rsidR="002C6039" w:rsidRPr="004A1196" w:rsidRDefault="002C6039" w:rsidP="002C6039">
      <w:pPr>
        <w:spacing w:before="0" w:after="200" w:line="276" w:lineRule="auto"/>
        <w:rPr>
          <w:color w:val="0B2B43" w:themeColor="text2" w:themeShade="80"/>
        </w:rPr>
      </w:pPr>
      <w:r w:rsidRPr="004A1196">
        <w:rPr>
          <w:color w:val="0B2B43" w:themeColor="text2" w:themeShade="80"/>
        </w:rPr>
        <w:br w:type="page"/>
      </w:r>
    </w:p>
    <w:p w:rsidR="002C6039" w:rsidRPr="004A1196" w:rsidRDefault="002C6039" w:rsidP="002C6039">
      <w:pPr>
        <w:pStyle w:val="RIHeading2"/>
        <w:rPr>
          <w:color w:val="0B2B43" w:themeColor="text2" w:themeShade="80"/>
        </w:rPr>
      </w:pPr>
      <w:bookmarkStart w:id="439" w:name="_Toc436392785"/>
      <w:bookmarkStart w:id="440" w:name="_Toc436651889"/>
      <w:bookmarkStart w:id="441" w:name="_Toc436659697"/>
      <w:bookmarkStart w:id="442" w:name="_Toc436660195"/>
      <w:r w:rsidRPr="004A1196">
        <w:rPr>
          <w:color w:val="0B2B43" w:themeColor="text2" w:themeShade="80"/>
        </w:rPr>
        <w:t>The established ranking systems</w:t>
      </w:r>
      <w:bookmarkEnd w:id="439"/>
      <w:bookmarkEnd w:id="440"/>
      <w:bookmarkEnd w:id="441"/>
      <w:bookmarkEnd w:id="442"/>
      <w:r w:rsidRPr="004A1196">
        <w:rPr>
          <w:color w:val="0B2B43" w:themeColor="text2" w:themeShade="80"/>
        </w:rPr>
        <w:t xml:space="preserve"> </w:t>
      </w:r>
    </w:p>
    <w:p w:rsidR="002C6039" w:rsidRPr="004A1196" w:rsidRDefault="002C6039" w:rsidP="002C6039">
      <w:pPr>
        <w:rPr>
          <w:color w:val="0B2B43" w:themeColor="text2" w:themeShade="80"/>
        </w:rPr>
      </w:pPr>
      <w:r w:rsidRPr="004A1196">
        <w:rPr>
          <w:color w:val="0B2B43" w:themeColor="text2" w:themeShade="80"/>
        </w:rPr>
        <w:t xml:space="preserve">The three most influential and longest running world ranking systems are: </w:t>
      </w:r>
    </w:p>
    <w:p w:rsidR="002C6039" w:rsidRPr="004A1196" w:rsidRDefault="002C6039" w:rsidP="002C6039">
      <w:pPr>
        <w:pStyle w:val="ListParagraph"/>
        <w:numPr>
          <w:ilvl w:val="0"/>
          <w:numId w:val="12"/>
        </w:numPr>
        <w:rPr>
          <w:color w:val="0B2B43" w:themeColor="text2" w:themeShade="80"/>
        </w:rPr>
      </w:pPr>
      <w:r w:rsidRPr="004A1196">
        <w:rPr>
          <w:color w:val="0B2B43" w:themeColor="text2" w:themeShade="80"/>
        </w:rPr>
        <w:t>Academic Ranking of World Universities (</w:t>
      </w:r>
      <w:proofErr w:type="spellStart"/>
      <w:r w:rsidRPr="004A1196">
        <w:rPr>
          <w:color w:val="0B2B43" w:themeColor="text2" w:themeShade="80"/>
        </w:rPr>
        <w:t>ARWU</w:t>
      </w:r>
      <w:proofErr w:type="spellEnd"/>
      <w:r w:rsidRPr="004A1196">
        <w:rPr>
          <w:color w:val="0B2B43" w:themeColor="text2" w:themeShade="80"/>
        </w:rPr>
        <w:t xml:space="preserve">) — which was established in 2003 by the Centre for World-Class Universities and the Institute for Higher Education of Shanghai Jiao Tong University, China. The ranking system </w:t>
      </w:r>
      <w:proofErr w:type="gramStart"/>
      <w:r w:rsidRPr="004A1196">
        <w:rPr>
          <w:color w:val="0B2B43" w:themeColor="text2" w:themeShade="80"/>
        </w:rPr>
        <w:t>was in</w:t>
      </w:r>
      <w:r w:rsidR="00884FB0" w:rsidRPr="004A1196">
        <w:rPr>
          <w:color w:val="0B2B43" w:themeColor="text2" w:themeShade="80"/>
        </w:rPr>
        <w:t>itially started</w:t>
      </w:r>
      <w:proofErr w:type="gramEnd"/>
      <w:r w:rsidR="00884FB0" w:rsidRPr="004A1196">
        <w:rPr>
          <w:color w:val="0B2B43" w:themeColor="text2" w:themeShade="80"/>
        </w:rPr>
        <w:t xml:space="preserve"> as an indicator</w:t>
      </w:r>
      <w:r w:rsidRPr="004A1196">
        <w:rPr>
          <w:color w:val="0B2B43" w:themeColor="text2" w:themeShade="80"/>
        </w:rPr>
        <w:t xml:space="preserve"> to show the global standing of Chinese universities and help improve their performance. </w:t>
      </w:r>
    </w:p>
    <w:p w:rsidR="002C6039" w:rsidRPr="004A1196" w:rsidRDefault="002C6039" w:rsidP="002C6039">
      <w:pPr>
        <w:pStyle w:val="ListParagraph"/>
        <w:numPr>
          <w:ilvl w:val="0"/>
          <w:numId w:val="12"/>
        </w:numPr>
        <w:rPr>
          <w:color w:val="0B2B43" w:themeColor="text2" w:themeShade="80"/>
        </w:rPr>
      </w:pPr>
      <w:r w:rsidRPr="004A1196">
        <w:rPr>
          <w:color w:val="0B2B43" w:themeColor="text2" w:themeShade="80"/>
        </w:rPr>
        <w:t xml:space="preserve">Times Higher Education (THE) World University Ranking — which was first published in 2004 by THE, a British publication, in collaboration with </w:t>
      </w:r>
      <w:proofErr w:type="spellStart"/>
      <w:r w:rsidRPr="004A1196">
        <w:rPr>
          <w:color w:val="0B2B43" w:themeColor="text2" w:themeShade="80"/>
        </w:rPr>
        <w:t>Quacquarelli</w:t>
      </w:r>
      <w:proofErr w:type="spellEnd"/>
      <w:r w:rsidRPr="004A1196">
        <w:rPr>
          <w:color w:val="0B2B43" w:themeColor="text2" w:themeShade="80"/>
        </w:rPr>
        <w:t xml:space="preserve"> Symonds (QS) and published independently from 2009</w:t>
      </w:r>
    </w:p>
    <w:p w:rsidR="002C6039" w:rsidRPr="004A1196" w:rsidRDefault="002C6039" w:rsidP="002C6039">
      <w:pPr>
        <w:pStyle w:val="ListParagraph"/>
        <w:numPr>
          <w:ilvl w:val="0"/>
          <w:numId w:val="12"/>
        </w:numPr>
        <w:rPr>
          <w:color w:val="0B2B43" w:themeColor="text2" w:themeShade="80"/>
        </w:rPr>
      </w:pPr>
      <w:r w:rsidRPr="004A1196">
        <w:rPr>
          <w:color w:val="0B2B43" w:themeColor="text2" w:themeShade="80"/>
        </w:rPr>
        <w:t xml:space="preserve">QS World University Ranking — from 2004 to 2009, QS rankings were published in collaboration with THE. In </w:t>
      </w:r>
      <w:proofErr w:type="gramStart"/>
      <w:r w:rsidRPr="004A1196">
        <w:rPr>
          <w:color w:val="0B2B43" w:themeColor="text2" w:themeShade="80"/>
        </w:rPr>
        <w:t>2010</w:t>
      </w:r>
      <w:proofErr w:type="gramEnd"/>
      <w:r w:rsidRPr="004A1196">
        <w:rPr>
          <w:color w:val="0B2B43" w:themeColor="text2" w:themeShade="80"/>
        </w:rPr>
        <w:t xml:space="preserve"> QS assumed independent publication of rankings</w:t>
      </w:r>
      <w:r w:rsidR="00EC0A6D">
        <w:rPr>
          <w:color w:val="0B2B43" w:themeColor="text2" w:themeShade="80"/>
        </w:rPr>
        <w:t>.</w:t>
      </w:r>
    </w:p>
    <w:p w:rsidR="002C6039" w:rsidRPr="004A1196" w:rsidRDefault="002C6039" w:rsidP="002C6039">
      <w:pPr>
        <w:rPr>
          <w:color w:val="0B2B43" w:themeColor="text2" w:themeShade="80"/>
        </w:rPr>
      </w:pPr>
      <w:r w:rsidRPr="004A1196">
        <w:rPr>
          <w:color w:val="0B2B43" w:themeColor="text2" w:themeShade="80"/>
        </w:rPr>
        <w:t xml:space="preserve">Another influential ranking system is the US News and World Report’s ‘Best Colleges </w:t>
      </w:r>
      <w:proofErr w:type="gramStart"/>
      <w:r w:rsidRPr="004A1196">
        <w:rPr>
          <w:color w:val="0B2B43" w:themeColor="text2" w:themeShade="80"/>
        </w:rPr>
        <w:t>Guide’ which</w:t>
      </w:r>
      <w:proofErr w:type="gramEnd"/>
      <w:r w:rsidRPr="004A1196">
        <w:rPr>
          <w:color w:val="0B2B43" w:themeColor="text2" w:themeShade="80"/>
        </w:rPr>
        <w:t xml:space="preserve"> has ranked American colleges since 1983. The rankings </w:t>
      </w:r>
      <w:proofErr w:type="gramStart"/>
      <w:r w:rsidRPr="004A1196">
        <w:rPr>
          <w:color w:val="0B2B43" w:themeColor="text2" w:themeShade="80"/>
        </w:rPr>
        <w:t>are regarded</w:t>
      </w:r>
      <w:proofErr w:type="gramEnd"/>
      <w:r w:rsidRPr="004A1196">
        <w:rPr>
          <w:color w:val="0B2B43" w:themeColor="text2" w:themeShade="80"/>
        </w:rPr>
        <w:t xml:space="preserve"> as strongly influencing students’ choice of college, college performance improvement and government higher education policy.</w:t>
      </w:r>
      <w:r w:rsidRPr="004A1196">
        <w:rPr>
          <w:rStyle w:val="FootnoteReference"/>
          <w:color w:val="0B2B43" w:themeColor="text2" w:themeShade="80"/>
        </w:rPr>
        <w:footnoteReference w:id="118"/>
      </w:r>
      <w:r w:rsidRPr="004A1196">
        <w:rPr>
          <w:color w:val="0B2B43" w:themeColor="text2" w:themeShade="80"/>
        </w:rPr>
        <w:t xml:space="preserve"> In 2014, US News and World Report established its Best Global University Rankings, although it uses a different methodology to its domestic rankings. The Global Rankings </w:t>
      </w:r>
      <w:proofErr w:type="gramStart"/>
      <w:r w:rsidRPr="004A1196">
        <w:rPr>
          <w:color w:val="0B2B43" w:themeColor="text2" w:themeShade="80"/>
        </w:rPr>
        <w:t>are expected</w:t>
      </w:r>
      <w:proofErr w:type="gramEnd"/>
      <w:r w:rsidRPr="004A1196">
        <w:rPr>
          <w:color w:val="0B2B43" w:themeColor="text2" w:themeShade="80"/>
        </w:rPr>
        <w:t xml:space="preserve"> to rapidly grow in influence given the strength of US News and World Report’s US domestic rankings.</w:t>
      </w:r>
    </w:p>
    <w:p w:rsidR="002C6039" w:rsidRPr="004A1196" w:rsidRDefault="002C6039" w:rsidP="002C6039">
      <w:pPr>
        <w:rPr>
          <w:color w:val="0B2B43" w:themeColor="text2" w:themeShade="80"/>
        </w:rPr>
      </w:pPr>
      <w:r w:rsidRPr="004A1196">
        <w:rPr>
          <w:color w:val="0B2B43" w:themeColor="text2" w:themeShade="80"/>
        </w:rPr>
        <w:t xml:space="preserve">The established ranking systems are generally based on combinations of </w:t>
      </w:r>
      <w:proofErr w:type="gramStart"/>
      <w:r w:rsidRPr="004A1196">
        <w:rPr>
          <w:color w:val="0B2B43" w:themeColor="text2" w:themeShade="80"/>
        </w:rPr>
        <w:t>indicators which</w:t>
      </w:r>
      <w:proofErr w:type="gramEnd"/>
      <w:r w:rsidRPr="004A1196">
        <w:rPr>
          <w:color w:val="0B2B43" w:themeColor="text2" w:themeShade="80"/>
        </w:rPr>
        <w:t xml:space="preserve"> focus on research performance. They each use citation indexes as the most heavily weighted indicator of university research performance. Some ranking systems use </w:t>
      </w:r>
      <w:r w:rsidR="0092178A" w:rsidRPr="004A1196">
        <w:rPr>
          <w:color w:val="0B2B43" w:themeColor="text2" w:themeShade="80"/>
        </w:rPr>
        <w:t xml:space="preserve">specific </w:t>
      </w:r>
      <w:r w:rsidRPr="004A1196">
        <w:rPr>
          <w:color w:val="0B2B43" w:themeColor="text2" w:themeShade="80"/>
        </w:rPr>
        <w:t xml:space="preserve">graduate outcomes </w:t>
      </w:r>
      <w:r w:rsidR="0092178A" w:rsidRPr="004A1196">
        <w:rPr>
          <w:color w:val="0B2B43" w:themeColor="text2" w:themeShade="80"/>
        </w:rPr>
        <w:t xml:space="preserve">(such as a count of </w:t>
      </w:r>
      <w:proofErr w:type="spellStart"/>
      <w:r w:rsidR="0092178A" w:rsidRPr="004A1196">
        <w:rPr>
          <w:color w:val="0B2B43" w:themeColor="text2" w:themeShade="80"/>
        </w:rPr>
        <w:t>CEO</w:t>
      </w:r>
      <w:proofErr w:type="spellEnd"/>
      <w:r w:rsidR="0092178A" w:rsidRPr="004A1196">
        <w:rPr>
          <w:color w:val="0B2B43" w:themeColor="text2" w:themeShade="80"/>
        </w:rPr>
        <w:t xml:space="preserve">) </w:t>
      </w:r>
      <w:r w:rsidRPr="004A1196">
        <w:rPr>
          <w:color w:val="0B2B43" w:themeColor="text2" w:themeShade="80"/>
        </w:rPr>
        <w:t xml:space="preserve">and the number of Nobel Laureates, which are not necessarily a fair representation of university performance. </w:t>
      </w:r>
      <w:r w:rsidR="0092178A" w:rsidRPr="004A1196">
        <w:rPr>
          <w:color w:val="0B2B43" w:themeColor="text2" w:themeShade="80"/>
        </w:rPr>
        <w:t>The</w:t>
      </w:r>
      <w:r w:rsidRPr="004A1196">
        <w:rPr>
          <w:color w:val="0B2B43" w:themeColor="text2" w:themeShade="80"/>
        </w:rPr>
        <w:t xml:space="preserve"> choice of indicator</w:t>
      </w:r>
      <w:r w:rsidR="0092178A" w:rsidRPr="004A1196">
        <w:rPr>
          <w:color w:val="0B2B43" w:themeColor="text2" w:themeShade="80"/>
        </w:rPr>
        <w:t>s in many ranking systems</w:t>
      </w:r>
      <w:r w:rsidRPr="004A1196">
        <w:rPr>
          <w:color w:val="0B2B43" w:themeColor="text2" w:themeShade="80"/>
        </w:rPr>
        <w:t xml:space="preserve"> has led to criticism that </w:t>
      </w:r>
      <w:r w:rsidR="0092178A" w:rsidRPr="004A1196">
        <w:rPr>
          <w:color w:val="0B2B43" w:themeColor="text2" w:themeShade="80"/>
        </w:rPr>
        <w:t>these</w:t>
      </w:r>
      <w:r w:rsidRPr="004A1196">
        <w:rPr>
          <w:color w:val="0B2B43" w:themeColor="text2" w:themeShade="80"/>
        </w:rPr>
        <w:t xml:space="preserve"> systems undervalue important aspects of university quality such as teaching.</w:t>
      </w:r>
      <w:r w:rsidR="0092178A" w:rsidRPr="004A1196">
        <w:rPr>
          <w:color w:val="0B2B43" w:themeColor="text2" w:themeShade="80"/>
        </w:rPr>
        <w:t xml:space="preserve"> Almost all rankings have a quantity bias in the calculation of their outcomes, rewarding institutions that have large numbers of high profile academics.</w:t>
      </w:r>
    </w:p>
    <w:p w:rsidR="002C6039" w:rsidRPr="004A1196" w:rsidRDefault="002C6039" w:rsidP="002C6039">
      <w:pPr>
        <w:rPr>
          <w:color w:val="0B2B43" w:themeColor="text2" w:themeShade="80"/>
        </w:rPr>
      </w:pPr>
      <w:r w:rsidRPr="004A1196">
        <w:rPr>
          <w:color w:val="0B2B43" w:themeColor="text2" w:themeShade="80"/>
        </w:rPr>
        <w:t>The majority of ranking systems do not seek to capture teaching quality except to consider metrics such as teacher to student ratios. Others, for example U-</w:t>
      </w:r>
      <w:proofErr w:type="spellStart"/>
      <w:r w:rsidRPr="004A1196">
        <w:rPr>
          <w:color w:val="0B2B43" w:themeColor="text2" w:themeShade="80"/>
        </w:rPr>
        <w:t>Multirank</w:t>
      </w:r>
      <w:proofErr w:type="spellEnd"/>
      <w:r w:rsidRPr="004A1196">
        <w:rPr>
          <w:color w:val="0B2B43" w:themeColor="text2" w:themeShade="80"/>
        </w:rPr>
        <w:t>, do include student survey data on items such as student satisfaction, teacher qualifications, graduating on time and the quality of courses and teaching. However, as with other data of this type, there are criticisms about the effectiveness of student perception as a measure of teacher quality.</w:t>
      </w:r>
      <w:r w:rsidRPr="004A1196">
        <w:rPr>
          <w:rStyle w:val="FootnoteReference"/>
          <w:color w:val="0B2B43" w:themeColor="text2" w:themeShade="80"/>
        </w:rPr>
        <w:footnoteReference w:id="119"/>
      </w:r>
    </w:p>
    <w:p w:rsidR="002C6039" w:rsidRPr="004A1196" w:rsidRDefault="002C6039" w:rsidP="002C6039">
      <w:pPr>
        <w:rPr>
          <w:color w:val="0B2B43" w:themeColor="text2" w:themeShade="80"/>
        </w:rPr>
      </w:pPr>
      <w:r w:rsidRPr="004A1196">
        <w:rPr>
          <w:color w:val="0B2B43" w:themeColor="text2" w:themeShade="80"/>
        </w:rPr>
        <w:t xml:space="preserve">Finally, the established ranking systems have also been criticised because of their focus on a narrow, traditional view of research performance that privileges publication output and academic citations over indicators which measure collaboration with industry and commercial outputs, such as research spin-offs and publications co-authored with business. </w:t>
      </w:r>
    </w:p>
    <w:p w:rsidR="002C6039" w:rsidRPr="004A1196" w:rsidRDefault="002C6039" w:rsidP="002C6039">
      <w:pPr>
        <w:rPr>
          <w:color w:val="0B2B43" w:themeColor="text2" w:themeShade="80"/>
        </w:rPr>
      </w:pPr>
      <w:r w:rsidRPr="004A1196">
        <w:rPr>
          <w:color w:val="0B2B43" w:themeColor="text2" w:themeShade="80"/>
        </w:rPr>
        <w:t>Under the established systems, Australian universities fare relatively well, with approximately six or seven in the top 100 universities and around 20 universities in the top</w:t>
      </w:r>
      <w:r w:rsidR="004F326A">
        <w:rPr>
          <w:color w:val="0B2B43" w:themeColor="text2" w:themeShade="80"/>
        </w:rPr>
        <w:t> </w:t>
      </w:r>
      <w:r w:rsidRPr="004A1196">
        <w:rPr>
          <w:color w:val="0B2B43" w:themeColor="text2" w:themeShade="80"/>
        </w:rPr>
        <w:t xml:space="preserve">500. The top-ranked Australian universities under these systems are </w:t>
      </w:r>
      <w:r w:rsidR="00AC4352" w:rsidRPr="004A1196">
        <w:rPr>
          <w:color w:val="0B2B43" w:themeColor="text2" w:themeShade="80"/>
        </w:rPr>
        <w:t>also the nation’s top performers in</w:t>
      </w:r>
      <w:r w:rsidRPr="004A1196">
        <w:rPr>
          <w:color w:val="0B2B43" w:themeColor="text2" w:themeShade="80"/>
        </w:rPr>
        <w:t xml:space="preserve"> research </w:t>
      </w:r>
      <w:r w:rsidR="00AC4352" w:rsidRPr="004A1196">
        <w:rPr>
          <w:color w:val="0B2B43" w:themeColor="text2" w:themeShade="80"/>
        </w:rPr>
        <w:t>quality</w:t>
      </w:r>
      <w:r w:rsidRPr="004A1196">
        <w:rPr>
          <w:color w:val="0B2B43" w:themeColor="text2" w:themeShade="80"/>
        </w:rPr>
        <w:t xml:space="preserve"> and volume</w:t>
      </w:r>
      <w:r w:rsidR="00AC4352" w:rsidRPr="004A1196">
        <w:rPr>
          <w:color w:val="0B2B43" w:themeColor="text2" w:themeShade="80"/>
        </w:rPr>
        <w:t xml:space="preserve">, reflecting </w:t>
      </w:r>
      <w:r w:rsidRPr="004A1196">
        <w:rPr>
          <w:color w:val="0B2B43" w:themeColor="text2" w:themeShade="80"/>
        </w:rPr>
        <w:t>the research focus of the ranking metrics.</w:t>
      </w:r>
    </w:p>
    <w:p w:rsidR="002C6039" w:rsidRPr="004A1196" w:rsidRDefault="002C6039" w:rsidP="002C6039">
      <w:pPr>
        <w:pStyle w:val="RIHeading2"/>
        <w:rPr>
          <w:color w:val="0B2B43" w:themeColor="text2" w:themeShade="80"/>
        </w:rPr>
      </w:pPr>
      <w:bookmarkStart w:id="443" w:name="_Toc436392786"/>
      <w:bookmarkStart w:id="444" w:name="_Toc436651890"/>
      <w:bookmarkStart w:id="445" w:name="_Toc436659698"/>
      <w:bookmarkStart w:id="446" w:name="_Toc436660196"/>
      <w:r w:rsidRPr="004A1196">
        <w:rPr>
          <w:color w:val="0B2B43" w:themeColor="text2" w:themeShade="80"/>
        </w:rPr>
        <w:t>The newer ranking systems</w:t>
      </w:r>
      <w:bookmarkEnd w:id="443"/>
      <w:bookmarkEnd w:id="444"/>
      <w:bookmarkEnd w:id="445"/>
      <w:bookmarkEnd w:id="446"/>
    </w:p>
    <w:p w:rsidR="002C6039" w:rsidRPr="004A1196" w:rsidRDefault="002C6039" w:rsidP="002C6039">
      <w:pPr>
        <w:rPr>
          <w:color w:val="0B2B43" w:themeColor="text2" w:themeShade="80"/>
        </w:rPr>
      </w:pPr>
      <w:r w:rsidRPr="004A1196">
        <w:rPr>
          <w:color w:val="0B2B43" w:themeColor="text2" w:themeShade="80"/>
        </w:rPr>
        <w:t xml:space="preserve">The number of international ranking systems is increasing and their coverage broadening. The scope of some existing systems </w:t>
      </w:r>
      <w:proofErr w:type="gramStart"/>
      <w:r w:rsidRPr="004A1196">
        <w:rPr>
          <w:color w:val="0B2B43" w:themeColor="text2" w:themeShade="80"/>
        </w:rPr>
        <w:t>is also being widened</w:t>
      </w:r>
      <w:proofErr w:type="gramEnd"/>
      <w:r w:rsidRPr="004A1196">
        <w:rPr>
          <w:color w:val="0B2B43" w:themeColor="text2" w:themeShade="80"/>
        </w:rPr>
        <w:t xml:space="preserve"> to include more universities in different parts of the world and, in some cases, different metrics.</w:t>
      </w:r>
    </w:p>
    <w:p w:rsidR="002C6039" w:rsidRPr="004A1196" w:rsidRDefault="002C6039" w:rsidP="002C6039">
      <w:pPr>
        <w:rPr>
          <w:color w:val="0B2B43" w:themeColor="text2" w:themeShade="80"/>
        </w:rPr>
      </w:pPr>
      <w:r w:rsidRPr="004A1196">
        <w:rPr>
          <w:color w:val="0B2B43" w:themeColor="text2" w:themeShade="80"/>
        </w:rPr>
        <w:t xml:space="preserve">Some newer systems include collaboration and innovation metrics. For example, the </w:t>
      </w:r>
      <w:proofErr w:type="spellStart"/>
      <w:r w:rsidRPr="004A1196">
        <w:rPr>
          <w:color w:val="0B2B43" w:themeColor="text2" w:themeShade="80"/>
        </w:rPr>
        <w:t>CWTS</w:t>
      </w:r>
      <w:proofErr w:type="spellEnd"/>
      <w:r w:rsidRPr="004A1196">
        <w:rPr>
          <w:color w:val="0B2B43" w:themeColor="text2" w:themeShade="80"/>
        </w:rPr>
        <w:t xml:space="preserve"> Leiden Ranking (established in the Netherlands by Leiden University’s Centre for Science and Technology Studies (</w:t>
      </w:r>
      <w:proofErr w:type="spellStart"/>
      <w:r w:rsidRPr="004A1196">
        <w:rPr>
          <w:color w:val="0B2B43" w:themeColor="text2" w:themeShade="80"/>
        </w:rPr>
        <w:t>CWTS</w:t>
      </w:r>
      <w:proofErr w:type="spellEnd"/>
      <w:r w:rsidRPr="004A1196">
        <w:rPr>
          <w:color w:val="0B2B43" w:themeColor="text2" w:themeShade="80"/>
        </w:rPr>
        <w:t>) in 2007) assesses collaboration performance based on the proportion of publications co-authored with one or more industrial partners.</w:t>
      </w:r>
      <w:r w:rsidRPr="004A1196">
        <w:rPr>
          <w:rStyle w:val="FootnoteReference"/>
          <w:color w:val="0B2B43" w:themeColor="text2" w:themeShade="80"/>
        </w:rPr>
        <w:footnoteReference w:id="120"/>
      </w:r>
      <w:r w:rsidRPr="004A1196">
        <w:rPr>
          <w:color w:val="0B2B43" w:themeColor="text2" w:themeShade="80"/>
        </w:rPr>
        <w:t xml:space="preserve"> Similarly, the </w:t>
      </w:r>
      <w:proofErr w:type="spellStart"/>
      <w:r w:rsidRPr="004A1196">
        <w:rPr>
          <w:color w:val="0B2B43" w:themeColor="text2" w:themeShade="80"/>
        </w:rPr>
        <w:t>SCImago</w:t>
      </w:r>
      <w:proofErr w:type="spellEnd"/>
      <w:r w:rsidRPr="004A1196">
        <w:rPr>
          <w:color w:val="0B2B43" w:themeColor="text2" w:themeShade="80"/>
        </w:rPr>
        <w:t xml:space="preserve"> Institutions Rankings (SIR)</w:t>
      </w:r>
      <w:r w:rsidR="00AC3592">
        <w:rPr>
          <w:color w:val="0B2B43" w:themeColor="text2" w:themeShade="80"/>
        </w:rPr>
        <w:t xml:space="preserve"> — </w:t>
      </w:r>
      <w:r w:rsidRPr="004A1196">
        <w:rPr>
          <w:color w:val="0B2B43" w:themeColor="text2" w:themeShade="80"/>
        </w:rPr>
        <w:t xml:space="preserve">established in 2009 in Spain by </w:t>
      </w:r>
      <w:proofErr w:type="spellStart"/>
      <w:r w:rsidRPr="004A1196">
        <w:rPr>
          <w:color w:val="0B2B43" w:themeColor="text2" w:themeShade="80"/>
        </w:rPr>
        <w:t>SCImago</w:t>
      </w:r>
      <w:proofErr w:type="spellEnd"/>
      <w:r w:rsidRPr="004A1196">
        <w:rPr>
          <w:color w:val="0B2B43" w:themeColor="text2" w:themeShade="80"/>
        </w:rPr>
        <w:t>, a data</w:t>
      </w:r>
      <w:r w:rsidR="00AC3592">
        <w:rPr>
          <w:color w:val="0B2B43" w:themeColor="text2" w:themeShade="80"/>
        </w:rPr>
        <w:noBreakHyphen/>
      </w:r>
      <w:r w:rsidRPr="004A1196">
        <w:rPr>
          <w:color w:val="0B2B43" w:themeColor="text2" w:themeShade="80"/>
        </w:rPr>
        <w:t xml:space="preserve">mining and visualisation group at the universities of Granada, Extremadura, Carlos III and </w:t>
      </w:r>
      <w:proofErr w:type="spellStart"/>
      <w:r w:rsidRPr="004A1196">
        <w:rPr>
          <w:color w:val="0B2B43" w:themeColor="text2" w:themeShade="80"/>
        </w:rPr>
        <w:t>Alcalá</w:t>
      </w:r>
      <w:proofErr w:type="spellEnd"/>
      <w:r w:rsidRPr="004A1196">
        <w:rPr>
          <w:color w:val="0B2B43" w:themeColor="text2" w:themeShade="80"/>
        </w:rPr>
        <w:t xml:space="preserve"> de </w:t>
      </w:r>
      <w:proofErr w:type="spellStart"/>
      <w:r w:rsidRPr="004A1196">
        <w:rPr>
          <w:color w:val="0B2B43" w:themeColor="text2" w:themeShade="80"/>
        </w:rPr>
        <w:t>Henare</w:t>
      </w:r>
      <w:proofErr w:type="spellEnd"/>
      <w:r w:rsidR="00AC3592">
        <w:rPr>
          <w:color w:val="0B2B43" w:themeColor="text2" w:themeShade="80"/>
        </w:rPr>
        <w:t xml:space="preserve"> —</w:t>
      </w:r>
      <w:r w:rsidRPr="004A1196">
        <w:rPr>
          <w:color w:val="0B2B43" w:themeColor="text2" w:themeShade="80"/>
        </w:rPr>
        <w:t xml:space="preserve"> includes ‘innovation’, measured in terms of the absolute and relative quantities of scientific research articles cited in patent applications.</w:t>
      </w:r>
      <w:r w:rsidRPr="004A1196">
        <w:rPr>
          <w:rStyle w:val="FootnoteReference"/>
          <w:color w:val="0B2B43" w:themeColor="text2" w:themeShade="80"/>
        </w:rPr>
        <w:footnoteReference w:id="121"/>
      </w:r>
      <w:r w:rsidRPr="004A1196">
        <w:rPr>
          <w:color w:val="0B2B43" w:themeColor="text2" w:themeShade="80"/>
        </w:rPr>
        <w:t xml:space="preserve"> </w:t>
      </w:r>
    </w:p>
    <w:p w:rsidR="002C6039" w:rsidRPr="004A1196" w:rsidRDefault="002C6039" w:rsidP="002C6039">
      <w:pPr>
        <w:rPr>
          <w:color w:val="0B2B43" w:themeColor="text2" w:themeShade="80"/>
        </w:rPr>
      </w:pPr>
      <w:r w:rsidRPr="004A1196">
        <w:rPr>
          <w:color w:val="0B2B43" w:themeColor="text2" w:themeShade="80"/>
        </w:rPr>
        <w:t>More recently still, U-</w:t>
      </w:r>
      <w:proofErr w:type="spellStart"/>
      <w:r w:rsidRPr="004A1196">
        <w:rPr>
          <w:color w:val="0B2B43" w:themeColor="text2" w:themeShade="80"/>
        </w:rPr>
        <w:t>Multirank</w:t>
      </w:r>
      <w:proofErr w:type="spellEnd"/>
      <w:r w:rsidRPr="004A1196">
        <w:rPr>
          <w:color w:val="0B2B43" w:themeColor="text2" w:themeShade="80"/>
        </w:rPr>
        <w:t xml:space="preserve"> (first released in 2014 with seed funding from the European Union and involving academic and industry partners from Germany, the Netherlands and Belgium) uses a range of metrics for knowledge transfer, including industry research income, joint industry publications, spin-offs and patents.</w:t>
      </w:r>
      <w:r w:rsidRPr="004A1196">
        <w:rPr>
          <w:rStyle w:val="FootnoteReference"/>
          <w:color w:val="0B2B43" w:themeColor="text2" w:themeShade="80"/>
        </w:rPr>
        <w:footnoteReference w:id="122"/>
      </w:r>
      <w:r w:rsidRPr="004A1196">
        <w:rPr>
          <w:color w:val="0B2B43" w:themeColor="text2" w:themeShade="80"/>
        </w:rPr>
        <w:t xml:space="preserve"> Unlike other major global ranking systems, U-</w:t>
      </w:r>
      <w:proofErr w:type="spellStart"/>
      <w:r w:rsidRPr="004A1196">
        <w:rPr>
          <w:color w:val="0B2B43" w:themeColor="text2" w:themeShade="80"/>
        </w:rPr>
        <w:t>Multirank</w:t>
      </w:r>
      <w:proofErr w:type="spellEnd"/>
      <w:r w:rsidRPr="004A1196">
        <w:rPr>
          <w:color w:val="0B2B43" w:themeColor="text2" w:themeShade="80"/>
        </w:rPr>
        <w:t xml:space="preserve"> ranks universities against each indicator and does not aggregate results into an institutional ranking. The aim of U-</w:t>
      </w:r>
      <w:proofErr w:type="spellStart"/>
      <w:r w:rsidRPr="004A1196">
        <w:rPr>
          <w:color w:val="0B2B43" w:themeColor="text2" w:themeShade="80"/>
        </w:rPr>
        <w:t>Multirank</w:t>
      </w:r>
      <w:proofErr w:type="spellEnd"/>
      <w:r w:rsidRPr="004A1196">
        <w:rPr>
          <w:color w:val="0B2B43" w:themeColor="text2" w:themeShade="80"/>
        </w:rPr>
        <w:t xml:space="preserve"> is to provide a user-driven form of university ranking, whereby the individual tailors the indicators to match their own priorities for a university.</w:t>
      </w:r>
    </w:p>
    <w:p w:rsidR="002C6039" w:rsidRPr="004A1196" w:rsidRDefault="002C6039" w:rsidP="002C6039">
      <w:pPr>
        <w:rPr>
          <w:color w:val="0B2B43" w:themeColor="text2" w:themeShade="80"/>
        </w:rPr>
      </w:pPr>
      <w:proofErr w:type="gramStart"/>
      <w:r w:rsidRPr="004A1196">
        <w:rPr>
          <w:color w:val="0B2B43" w:themeColor="text2" w:themeShade="80"/>
        </w:rPr>
        <w:t>THE is</w:t>
      </w:r>
      <w:proofErr w:type="gramEnd"/>
      <w:r w:rsidRPr="004A1196">
        <w:rPr>
          <w:color w:val="0B2B43" w:themeColor="text2" w:themeShade="80"/>
        </w:rPr>
        <w:t xml:space="preserve"> also developing ‘innovation indicators’ that aim to assess university-industry collaboration performance.</w:t>
      </w:r>
      <w:r w:rsidRPr="004A1196">
        <w:rPr>
          <w:rStyle w:val="FootnoteReference"/>
          <w:color w:val="0B2B43" w:themeColor="text2" w:themeShade="80"/>
        </w:rPr>
        <w:footnoteReference w:id="123"/>
      </w:r>
      <w:r w:rsidR="00EC0A6D">
        <w:rPr>
          <w:color w:val="0B2B43" w:themeColor="text2" w:themeShade="80"/>
        </w:rPr>
        <w:t xml:space="preserve"> The four indicators </w:t>
      </w:r>
      <w:r w:rsidRPr="004A1196">
        <w:rPr>
          <w:color w:val="0B2B43" w:themeColor="text2" w:themeShade="80"/>
        </w:rPr>
        <w:t xml:space="preserve">THE uses are: </w:t>
      </w:r>
    </w:p>
    <w:p w:rsidR="002C6039" w:rsidRPr="004A1196" w:rsidRDefault="002C6039" w:rsidP="002C6039">
      <w:pPr>
        <w:pStyle w:val="ListParagraph"/>
        <w:numPr>
          <w:ilvl w:val="0"/>
          <w:numId w:val="13"/>
        </w:numPr>
        <w:rPr>
          <w:color w:val="0B2B43" w:themeColor="text2" w:themeShade="80"/>
        </w:rPr>
      </w:pPr>
      <w:r w:rsidRPr="004A1196">
        <w:rPr>
          <w:b/>
          <w:color w:val="0B2B43" w:themeColor="text2" w:themeShade="80"/>
        </w:rPr>
        <w:t>resources from industry</w:t>
      </w:r>
      <w:r w:rsidRPr="004A1196">
        <w:rPr>
          <w:color w:val="0B2B43" w:themeColor="text2" w:themeShade="80"/>
        </w:rPr>
        <w:t xml:space="preserve"> — quantity of research income received from industry </w:t>
      </w:r>
    </w:p>
    <w:p w:rsidR="002C6039" w:rsidRPr="004A1196" w:rsidRDefault="002C6039" w:rsidP="002C6039">
      <w:pPr>
        <w:pStyle w:val="ListParagraph"/>
        <w:numPr>
          <w:ilvl w:val="0"/>
          <w:numId w:val="13"/>
        </w:numPr>
        <w:rPr>
          <w:color w:val="0B2B43" w:themeColor="text2" w:themeShade="80"/>
        </w:rPr>
      </w:pPr>
      <w:r w:rsidRPr="004A1196">
        <w:rPr>
          <w:b/>
          <w:color w:val="0B2B43" w:themeColor="text2" w:themeShade="80"/>
        </w:rPr>
        <w:t>patent citations</w:t>
      </w:r>
      <w:r w:rsidRPr="004A1196">
        <w:rPr>
          <w:color w:val="0B2B43" w:themeColor="text2" w:themeShade="80"/>
        </w:rPr>
        <w:t xml:space="preserve"> — proportion of papers published by an institution that have been cited by patents, compared to those that have not </w:t>
      </w:r>
    </w:p>
    <w:p w:rsidR="002C6039" w:rsidRPr="004A1196" w:rsidRDefault="002C6039" w:rsidP="002C6039">
      <w:pPr>
        <w:pStyle w:val="ListParagraph"/>
        <w:numPr>
          <w:ilvl w:val="0"/>
          <w:numId w:val="13"/>
        </w:numPr>
        <w:rPr>
          <w:color w:val="0B2B43" w:themeColor="text2" w:themeShade="80"/>
        </w:rPr>
      </w:pPr>
      <w:r w:rsidRPr="004A1196">
        <w:rPr>
          <w:b/>
          <w:color w:val="0B2B43" w:themeColor="text2" w:themeShade="80"/>
        </w:rPr>
        <w:t>industry collaboration</w:t>
      </w:r>
      <w:r w:rsidRPr="004A1196">
        <w:rPr>
          <w:i/>
          <w:color w:val="0B2B43" w:themeColor="text2" w:themeShade="80"/>
        </w:rPr>
        <w:t xml:space="preserve"> —</w:t>
      </w:r>
      <w:r w:rsidRPr="004A1196">
        <w:rPr>
          <w:color w:val="0B2B43" w:themeColor="text2" w:themeShade="80"/>
        </w:rPr>
        <w:t xml:space="preserve"> percentage of papers published by an institution that involve an element of working with industry directly, compared to those that do not</w:t>
      </w:r>
      <w:r w:rsidRPr="004A1196">
        <w:rPr>
          <w:i/>
          <w:color w:val="0B2B43" w:themeColor="text2" w:themeShade="80"/>
        </w:rPr>
        <w:t xml:space="preserve"> </w:t>
      </w:r>
    </w:p>
    <w:p w:rsidR="002C6039" w:rsidRPr="004A1196" w:rsidRDefault="002C6039" w:rsidP="002C6039">
      <w:pPr>
        <w:pStyle w:val="ListParagraph"/>
        <w:numPr>
          <w:ilvl w:val="0"/>
          <w:numId w:val="13"/>
        </w:numPr>
        <w:rPr>
          <w:color w:val="0B2B43" w:themeColor="text2" w:themeShade="80"/>
        </w:rPr>
      </w:pPr>
      <w:proofErr w:type="gramStart"/>
      <w:r w:rsidRPr="004A1196">
        <w:rPr>
          <w:b/>
          <w:color w:val="0B2B43" w:themeColor="text2" w:themeShade="80"/>
        </w:rPr>
        <w:t>industry</w:t>
      </w:r>
      <w:proofErr w:type="gramEnd"/>
      <w:r w:rsidRPr="004A1196">
        <w:rPr>
          <w:b/>
          <w:color w:val="0B2B43" w:themeColor="text2" w:themeShade="80"/>
        </w:rPr>
        <w:t xml:space="preserve"> contribution</w:t>
      </w:r>
      <w:r w:rsidRPr="004A1196">
        <w:rPr>
          <w:color w:val="0B2B43" w:themeColor="text2" w:themeShade="80"/>
        </w:rPr>
        <w:t xml:space="preserve"> — proportion of research income that an institution receives from industry sources, as a percentage of their total institutional income</w:t>
      </w:r>
      <w:r w:rsidR="00AC3592">
        <w:rPr>
          <w:color w:val="0B2B43" w:themeColor="text2" w:themeShade="80"/>
        </w:rPr>
        <w:t>.</w:t>
      </w:r>
      <w:r w:rsidRPr="004A1196">
        <w:rPr>
          <w:color w:val="0B2B43" w:themeColor="text2" w:themeShade="80"/>
        </w:rPr>
        <w:t xml:space="preserve"> </w:t>
      </w:r>
    </w:p>
    <w:p w:rsidR="002C6039" w:rsidRPr="004A1196" w:rsidRDefault="002C6039" w:rsidP="002C6039">
      <w:pPr>
        <w:ind w:left="-5"/>
        <w:rPr>
          <w:color w:val="0B2B43" w:themeColor="text2" w:themeShade="80"/>
        </w:rPr>
      </w:pPr>
      <w:r w:rsidRPr="004A1196">
        <w:rPr>
          <w:color w:val="0B2B43" w:themeColor="text2" w:themeShade="80"/>
        </w:rPr>
        <w:t xml:space="preserve">When first trialled and published in August 2015 the </w:t>
      </w:r>
      <w:proofErr w:type="gramStart"/>
      <w:r w:rsidRPr="004A1196">
        <w:rPr>
          <w:color w:val="0B2B43" w:themeColor="text2" w:themeShade="80"/>
        </w:rPr>
        <w:t>new innovation</w:t>
      </w:r>
      <w:proofErr w:type="gramEnd"/>
      <w:r w:rsidRPr="004A1196">
        <w:rPr>
          <w:color w:val="0B2B43" w:themeColor="text2" w:themeShade="80"/>
        </w:rPr>
        <w:t xml:space="preserve"> indicators were applied only to STEM and medical research activity, rather than to the full disciplinary breadth of university research. This limits their usefulness as overall university research indicators. </w:t>
      </w:r>
    </w:p>
    <w:p w:rsidR="002C6039" w:rsidRPr="004A1196" w:rsidRDefault="002C6039" w:rsidP="002C6039">
      <w:pPr>
        <w:ind w:left="-5"/>
        <w:rPr>
          <w:color w:val="0B2B43" w:themeColor="text2" w:themeShade="80"/>
        </w:rPr>
      </w:pPr>
      <w:proofErr w:type="gramStart"/>
      <w:r w:rsidRPr="004A1196">
        <w:rPr>
          <w:color w:val="0B2B43" w:themeColor="text2" w:themeShade="80"/>
        </w:rPr>
        <w:t>THE published rankings for the top 15 institutions for each indicator.</w:t>
      </w:r>
      <w:proofErr w:type="gramEnd"/>
      <w:r w:rsidRPr="004A1196">
        <w:rPr>
          <w:color w:val="0B2B43" w:themeColor="text2" w:themeShade="80"/>
          <w:vertAlign w:val="superscript"/>
        </w:rPr>
        <w:footnoteReference w:id="124"/>
      </w:r>
      <w:r w:rsidRPr="004A1196">
        <w:rPr>
          <w:color w:val="0B2B43" w:themeColor="text2" w:themeShade="80"/>
        </w:rPr>
        <w:t xml:space="preserve"> There has been no attempt to produce a single innovation ranking. The institutions that performed well on the four innovation indicators were not the expected elite universities </w:t>
      </w:r>
      <w:r w:rsidR="00AC4352" w:rsidRPr="004A1196">
        <w:rPr>
          <w:color w:val="0B2B43" w:themeColor="text2" w:themeShade="80"/>
        </w:rPr>
        <w:t>that usually feature prominently in major global university rankings</w:t>
      </w:r>
      <w:r w:rsidRPr="004A1196">
        <w:rPr>
          <w:color w:val="0B2B43" w:themeColor="text2" w:themeShade="80"/>
        </w:rPr>
        <w:t>.</w:t>
      </w:r>
    </w:p>
    <w:p w:rsidR="002C6039" w:rsidRPr="004A1196" w:rsidRDefault="002C6039" w:rsidP="002C6039">
      <w:pPr>
        <w:pStyle w:val="RIHeading2"/>
        <w:rPr>
          <w:color w:val="0B2B43" w:themeColor="text2" w:themeShade="80"/>
          <w:sz w:val="24"/>
          <w:szCs w:val="24"/>
        </w:rPr>
      </w:pPr>
      <w:bookmarkStart w:id="447" w:name="_Toc436392787"/>
      <w:bookmarkStart w:id="448" w:name="_Toc436651891"/>
      <w:bookmarkStart w:id="449" w:name="_Toc436659699"/>
      <w:bookmarkStart w:id="450" w:name="_Toc436660197"/>
      <w:r w:rsidRPr="004A1196">
        <w:rPr>
          <w:color w:val="0B2B43" w:themeColor="text2" w:themeShade="80"/>
        </w:rPr>
        <w:t xml:space="preserve">A new Australian developed </w:t>
      </w:r>
      <w:proofErr w:type="gramStart"/>
      <w:r w:rsidRPr="004A1196">
        <w:rPr>
          <w:color w:val="0B2B43" w:themeColor="text2" w:themeShade="80"/>
        </w:rPr>
        <w:t>system?</w:t>
      </w:r>
      <w:bookmarkEnd w:id="447"/>
      <w:bookmarkEnd w:id="448"/>
      <w:bookmarkEnd w:id="449"/>
      <w:bookmarkEnd w:id="450"/>
      <w:proofErr w:type="gramEnd"/>
    </w:p>
    <w:p w:rsidR="002C6039" w:rsidRPr="004A1196" w:rsidRDefault="002C6039" w:rsidP="002C6039">
      <w:pPr>
        <w:rPr>
          <w:color w:val="0B2B43" w:themeColor="text2" w:themeShade="80"/>
        </w:rPr>
      </w:pPr>
      <w:r w:rsidRPr="004A1196">
        <w:rPr>
          <w:color w:val="0B2B43" w:themeColor="text2" w:themeShade="80"/>
        </w:rPr>
        <w:t>In responding to the terms of reference, the review considered the large number of existing ranking systems, noting that Australian universities already participate in the major rankings and that these are important in terms of reputation and in</w:t>
      </w:r>
      <w:r w:rsidR="00EC0A6D">
        <w:rPr>
          <w:color w:val="0B2B43" w:themeColor="text2" w:themeShade="80"/>
        </w:rPr>
        <w:t>fluence on student choice. The r</w:t>
      </w:r>
      <w:r w:rsidRPr="004A1196">
        <w:rPr>
          <w:color w:val="0B2B43" w:themeColor="text2" w:themeShade="80"/>
        </w:rPr>
        <w:t xml:space="preserve">eview also considered that while many established ranking systems do not include measures of industry engagement or commercialisation, some of the newer ones do, and that this trend is </w:t>
      </w:r>
      <w:r w:rsidR="00EC0A6D">
        <w:rPr>
          <w:color w:val="0B2B43" w:themeColor="text2" w:themeShade="80"/>
        </w:rPr>
        <w:t xml:space="preserve">likely to continue. </w:t>
      </w:r>
      <w:proofErr w:type="gramStart"/>
      <w:r w:rsidR="00EC0A6D">
        <w:rPr>
          <w:color w:val="0B2B43" w:themeColor="text2" w:themeShade="80"/>
        </w:rPr>
        <w:t>Further</w:t>
      </w:r>
      <w:proofErr w:type="gramEnd"/>
      <w:r w:rsidR="00EC0A6D">
        <w:rPr>
          <w:color w:val="0B2B43" w:themeColor="text2" w:themeShade="80"/>
        </w:rPr>
        <w:t xml:space="preserve"> </w:t>
      </w:r>
      <w:r w:rsidRPr="004A1196">
        <w:rPr>
          <w:color w:val="0B2B43" w:themeColor="text2" w:themeShade="80"/>
        </w:rPr>
        <w:t xml:space="preserve">THE World University Ranking is intending to develop ‘innovation’ indicators to specifically measure performance in this area. </w:t>
      </w:r>
      <w:proofErr w:type="gramStart"/>
      <w:r w:rsidRPr="004A1196">
        <w:rPr>
          <w:color w:val="0B2B43" w:themeColor="text2" w:themeShade="80"/>
        </w:rPr>
        <w:t>THE intends</w:t>
      </w:r>
      <w:proofErr w:type="gramEnd"/>
      <w:r w:rsidRPr="004A1196">
        <w:rPr>
          <w:color w:val="0B2B43" w:themeColor="text2" w:themeShade="80"/>
        </w:rPr>
        <w:t xml:space="preserve"> to introduce these indicators into the existing rankings within the next few years. Australian universities participat</w:t>
      </w:r>
      <w:r w:rsidR="00EC0A6D">
        <w:rPr>
          <w:color w:val="0B2B43" w:themeColor="text2" w:themeShade="80"/>
        </w:rPr>
        <w:t xml:space="preserve">e in </w:t>
      </w:r>
      <w:r w:rsidRPr="004A1196">
        <w:rPr>
          <w:color w:val="0B2B43" w:themeColor="text2" w:themeShade="80"/>
        </w:rPr>
        <w:t xml:space="preserve">THE rankings and consequently </w:t>
      </w:r>
      <w:proofErr w:type="gramStart"/>
      <w:r w:rsidRPr="004A1196">
        <w:rPr>
          <w:color w:val="0B2B43" w:themeColor="text2" w:themeShade="80"/>
        </w:rPr>
        <w:t>will be ranked</w:t>
      </w:r>
      <w:proofErr w:type="gramEnd"/>
      <w:r w:rsidRPr="004A1196">
        <w:rPr>
          <w:color w:val="0B2B43" w:themeColor="text2" w:themeShade="80"/>
        </w:rPr>
        <w:t xml:space="preserve"> against the new indicators once th</w:t>
      </w:r>
      <w:r w:rsidR="00EC0A6D">
        <w:rPr>
          <w:color w:val="0B2B43" w:themeColor="text2" w:themeShade="80"/>
        </w:rPr>
        <w:t xml:space="preserve">ey are introduced. </w:t>
      </w:r>
      <w:proofErr w:type="gramStart"/>
      <w:r w:rsidR="00EC0A6D">
        <w:rPr>
          <w:color w:val="0B2B43" w:themeColor="text2" w:themeShade="80"/>
        </w:rPr>
        <w:t>Finally</w:t>
      </w:r>
      <w:proofErr w:type="gramEnd"/>
      <w:r w:rsidR="00EC0A6D">
        <w:rPr>
          <w:color w:val="0B2B43" w:themeColor="text2" w:themeShade="80"/>
        </w:rPr>
        <w:t xml:space="preserve"> the r</w:t>
      </w:r>
      <w:r w:rsidRPr="004A1196">
        <w:rPr>
          <w:color w:val="0B2B43" w:themeColor="text2" w:themeShade="80"/>
        </w:rPr>
        <w:t xml:space="preserve">eview considered other possible ways to achieve the broad objectives of the terms of reference. </w:t>
      </w:r>
    </w:p>
    <w:p w:rsidR="002C6039" w:rsidRPr="004A1196" w:rsidRDefault="002C6039" w:rsidP="002C6039">
      <w:pPr>
        <w:rPr>
          <w:color w:val="0B2B43" w:themeColor="text2" w:themeShade="80"/>
        </w:rPr>
      </w:pPr>
      <w:r w:rsidRPr="004A1196">
        <w:rPr>
          <w:color w:val="0B2B43" w:themeColor="text2" w:themeShade="80"/>
        </w:rPr>
        <w:t xml:space="preserve">Consultations suggested there was no significant support for the development of a new Australian-led ranking system, whether </w:t>
      </w:r>
      <w:proofErr w:type="gramStart"/>
      <w:r w:rsidRPr="004A1196">
        <w:rPr>
          <w:color w:val="0B2B43" w:themeColor="text2" w:themeShade="80"/>
        </w:rPr>
        <w:t>developed</w:t>
      </w:r>
      <w:proofErr w:type="gramEnd"/>
      <w:r w:rsidRPr="004A1196">
        <w:rPr>
          <w:color w:val="0B2B43" w:themeColor="text2" w:themeShade="80"/>
        </w:rPr>
        <w:t xml:space="preserve"> or supported by the Australian Government, to focus on measuring universities’ performance in terms of business and </w:t>
      </w:r>
      <w:r w:rsidR="003904BC">
        <w:rPr>
          <w:color w:val="0B2B43" w:themeColor="text2" w:themeShade="80"/>
        </w:rPr>
        <w:t>end user</w:t>
      </w:r>
      <w:r w:rsidRPr="004A1196">
        <w:rPr>
          <w:color w:val="0B2B43" w:themeColor="text2" w:themeShade="80"/>
        </w:rPr>
        <w:t xml:space="preserve"> engagement and collaboration. </w:t>
      </w:r>
    </w:p>
    <w:p w:rsidR="002C6039" w:rsidRPr="004A1196" w:rsidRDefault="002C6039" w:rsidP="002C6039">
      <w:pPr>
        <w:rPr>
          <w:color w:val="0B2B43" w:themeColor="text2" w:themeShade="80"/>
        </w:rPr>
      </w:pPr>
      <w:r w:rsidRPr="004A1196">
        <w:rPr>
          <w:color w:val="0B2B43" w:themeColor="text2" w:themeShade="80"/>
        </w:rPr>
        <w:t xml:space="preserve">Australian universities already participate in the most influential global ranking systems and generally perform well. International education has considerable economic, social and cultural importance to Australia. Government development or sponsorship of a new system may send the wrong signal to international students as it may appear that, in taking this step, the Australian Government is turning away from those existing systems. International students studying in Australia reported that their choices </w:t>
      </w:r>
      <w:proofErr w:type="gramStart"/>
      <w:r w:rsidRPr="004A1196">
        <w:rPr>
          <w:color w:val="0B2B43" w:themeColor="text2" w:themeShade="80"/>
        </w:rPr>
        <w:t>were driven</w:t>
      </w:r>
      <w:proofErr w:type="gramEnd"/>
      <w:r w:rsidRPr="004A1196">
        <w:rPr>
          <w:color w:val="0B2B43" w:themeColor="text2" w:themeShade="80"/>
        </w:rPr>
        <w:t xml:space="preserve"> by course and institution reputation.</w:t>
      </w:r>
      <w:r w:rsidRPr="004A1196">
        <w:rPr>
          <w:rStyle w:val="FootnoteReference"/>
          <w:color w:val="0B2B43" w:themeColor="text2" w:themeShade="80"/>
        </w:rPr>
        <w:footnoteReference w:id="125"/>
      </w:r>
      <w:r w:rsidRPr="004A1196">
        <w:rPr>
          <w:color w:val="0B2B43" w:themeColor="text2" w:themeShade="80"/>
        </w:rPr>
        <w:t xml:space="preserve"> One of the main drivers of an institution’s reputation is its standing in rankings. As our third largest export industry, worth $18 billion per annum, international education is of great importance to Australia, and two-thirds of that income comes from higher education. Any sense that, in committing to the development of a new ranking system, the government has lost faith in the existing systems that rank Australian universities highly may have a negative effect on that industry. </w:t>
      </w:r>
    </w:p>
    <w:p w:rsidR="002C6039" w:rsidRPr="004A1196" w:rsidRDefault="002C6039" w:rsidP="002C6039">
      <w:pPr>
        <w:rPr>
          <w:color w:val="0B2B43" w:themeColor="text2" w:themeShade="80"/>
        </w:rPr>
      </w:pPr>
      <w:r w:rsidRPr="004A1196">
        <w:rPr>
          <w:color w:val="0B2B43" w:themeColor="text2" w:themeShade="80"/>
        </w:rPr>
        <w:t xml:space="preserve">Further, global rankings systems </w:t>
      </w:r>
      <w:proofErr w:type="gramStart"/>
      <w:r w:rsidRPr="004A1196">
        <w:rPr>
          <w:color w:val="0B2B43" w:themeColor="text2" w:themeShade="80"/>
        </w:rPr>
        <w:t>are usually produced</w:t>
      </w:r>
      <w:proofErr w:type="gramEnd"/>
      <w:r w:rsidRPr="004A1196">
        <w:rPr>
          <w:color w:val="0B2B43" w:themeColor="text2" w:themeShade="80"/>
        </w:rPr>
        <w:t xml:space="preserve"> by non-government organisations and/or through universities with specific expertise in measuring higher education research systems. There may be little or no interest from other countries, and their universities, in joining a new system developed or even supported by the Australia Government, particularly given the crowded landscape of global rankings and the national and university sensitivity to the rankings themselves. If Australia developed a new global ranking system domestically and was unsuccessful in securing the participation of other countries to ‘internationalise’ the ranking, it would significantly reduce its standing and usefulness. Further, to introduce a new ranking system that needed data that may not be publicly available, or require the creation of new data </w:t>
      </w:r>
      <w:proofErr w:type="gramStart"/>
      <w:r w:rsidRPr="004A1196">
        <w:rPr>
          <w:color w:val="0B2B43" w:themeColor="text2" w:themeShade="80"/>
        </w:rPr>
        <w:t>sets,</w:t>
      </w:r>
      <w:proofErr w:type="gramEnd"/>
      <w:r w:rsidRPr="004A1196">
        <w:rPr>
          <w:color w:val="0B2B43" w:themeColor="text2" w:themeShade="80"/>
        </w:rPr>
        <w:t xml:space="preserve"> adds complexity and risk in trying to encourage international partners and universities and would present significant barriers to the creation of a new system.</w:t>
      </w:r>
    </w:p>
    <w:p w:rsidR="002C6039" w:rsidRPr="004A1196" w:rsidRDefault="002C6039" w:rsidP="002C6039">
      <w:pPr>
        <w:rPr>
          <w:color w:val="0B2B43" w:themeColor="text2" w:themeShade="80"/>
        </w:rPr>
      </w:pPr>
      <w:proofErr w:type="gramStart"/>
      <w:r w:rsidRPr="004A1196">
        <w:rPr>
          <w:color w:val="0B2B43" w:themeColor="text2" w:themeShade="80"/>
        </w:rPr>
        <w:t xml:space="preserve">Finally, and most importantly, there are other more powerful drivers than a new global university ranking system that can influence Australian university behaviour to encourage </w:t>
      </w:r>
      <w:r w:rsidR="003904BC">
        <w:rPr>
          <w:color w:val="0B2B43" w:themeColor="text2" w:themeShade="80"/>
        </w:rPr>
        <w:t>end user</w:t>
      </w:r>
      <w:r w:rsidRPr="004A1196">
        <w:rPr>
          <w:color w:val="0B2B43" w:themeColor="text2" w:themeShade="80"/>
        </w:rPr>
        <w:t xml:space="preserve"> collaboration.</w:t>
      </w:r>
      <w:proofErr w:type="gramEnd"/>
      <w:r w:rsidRPr="004A1196">
        <w:rPr>
          <w:color w:val="0B2B43" w:themeColor="text2" w:themeShade="80"/>
        </w:rPr>
        <w:t xml:space="preserve"> </w:t>
      </w:r>
    </w:p>
    <w:p w:rsidR="002C6039" w:rsidRPr="004A1196" w:rsidRDefault="00EC0A6D" w:rsidP="002C6039">
      <w:pPr>
        <w:rPr>
          <w:color w:val="0B2B43" w:themeColor="text2" w:themeShade="80"/>
        </w:rPr>
      </w:pPr>
      <w:r>
        <w:rPr>
          <w:color w:val="0B2B43" w:themeColor="text2" w:themeShade="80"/>
        </w:rPr>
        <w:t>In sum, the r</w:t>
      </w:r>
      <w:r w:rsidR="002C6039" w:rsidRPr="004A1196">
        <w:rPr>
          <w:color w:val="0B2B43" w:themeColor="text2" w:themeShade="80"/>
        </w:rPr>
        <w:t>eview was not convinced that the development of a new ranking system led by Australia would be the most effective way to achieve the Government’s objective of increasing university-</w:t>
      </w:r>
      <w:r w:rsidR="003904BC">
        <w:rPr>
          <w:color w:val="0B2B43" w:themeColor="text2" w:themeShade="80"/>
        </w:rPr>
        <w:t>end user</w:t>
      </w:r>
      <w:r w:rsidR="002C6039" w:rsidRPr="004A1196">
        <w:rPr>
          <w:color w:val="0B2B43" w:themeColor="text2" w:themeShade="80"/>
        </w:rPr>
        <w:t xml:space="preserve"> engagement. This is more likely to be realised by introducing a system to assess engagement and the impact of university research (see </w:t>
      </w:r>
      <w:r w:rsidR="00E53B62" w:rsidRPr="004A1196">
        <w:rPr>
          <w:color w:val="0B2B43" w:themeColor="text2" w:themeShade="80"/>
        </w:rPr>
        <w:t>C</w:t>
      </w:r>
      <w:r w:rsidR="002C6039" w:rsidRPr="004A1196">
        <w:rPr>
          <w:color w:val="0B2B43" w:themeColor="text2" w:themeShade="80"/>
        </w:rPr>
        <w:t xml:space="preserve">hapter </w:t>
      </w:r>
      <w:r w:rsidR="00E53B62" w:rsidRPr="004A1196">
        <w:rPr>
          <w:color w:val="0B2B43" w:themeColor="text2" w:themeShade="80"/>
        </w:rPr>
        <w:t>2</w:t>
      </w:r>
      <w:r w:rsidR="002C6039" w:rsidRPr="004A1196">
        <w:rPr>
          <w:color w:val="0B2B43" w:themeColor="text2" w:themeShade="80"/>
        </w:rPr>
        <w:t xml:space="preserve"> on Research Block Grants and </w:t>
      </w:r>
      <w:r w:rsidR="00E53B62" w:rsidRPr="004A1196">
        <w:rPr>
          <w:color w:val="0B2B43" w:themeColor="text2" w:themeShade="80"/>
        </w:rPr>
        <w:t>C</w:t>
      </w:r>
      <w:r w:rsidR="002C6039" w:rsidRPr="004A1196">
        <w:rPr>
          <w:color w:val="0B2B43" w:themeColor="text2" w:themeShade="80"/>
        </w:rPr>
        <w:t xml:space="preserve">hapter </w:t>
      </w:r>
      <w:r w:rsidR="00E53B62" w:rsidRPr="004A1196">
        <w:rPr>
          <w:color w:val="0B2B43" w:themeColor="text2" w:themeShade="80"/>
        </w:rPr>
        <w:t>6</w:t>
      </w:r>
      <w:r w:rsidR="002C6039" w:rsidRPr="004A1196">
        <w:rPr>
          <w:color w:val="0B2B43" w:themeColor="text2" w:themeShade="80"/>
        </w:rPr>
        <w:t xml:space="preserve"> on Assessing Impact and Engagement for further details).</w:t>
      </w:r>
    </w:p>
    <w:p w:rsidR="002C6039" w:rsidRPr="004A1196" w:rsidRDefault="002C6039" w:rsidP="002C6039">
      <w:pPr>
        <w:rPr>
          <w:color w:val="0B2B43" w:themeColor="text2" w:themeShade="80"/>
        </w:rPr>
      </w:pPr>
      <w:r w:rsidRPr="004A1196">
        <w:rPr>
          <w:color w:val="0B2B43" w:themeColor="text2" w:themeShade="80"/>
        </w:rPr>
        <w:t xml:space="preserve">It would, however, still be open to Australia to seek to work with THE in a </w:t>
      </w:r>
      <w:proofErr w:type="gramStart"/>
      <w:r w:rsidRPr="004A1196">
        <w:rPr>
          <w:color w:val="0B2B43" w:themeColor="text2" w:themeShade="80"/>
        </w:rPr>
        <w:t>low key</w:t>
      </w:r>
      <w:proofErr w:type="gramEnd"/>
      <w:r w:rsidRPr="004A1196">
        <w:rPr>
          <w:color w:val="0B2B43" w:themeColor="text2" w:themeShade="80"/>
        </w:rPr>
        <w:t xml:space="preserve"> way on further development of its ‘innovation indicators’. THE is currently seeking feedback on its new approach, including what other indicators might be developed, how they might be combined and whether it would be possible to work towards a full innovation and impact university ranking system.</w:t>
      </w:r>
      <w:r w:rsidRPr="004A1196">
        <w:rPr>
          <w:color w:val="0B2B43" w:themeColor="text2" w:themeShade="80"/>
          <w:vertAlign w:val="superscript"/>
        </w:rPr>
        <w:footnoteReference w:id="126"/>
      </w:r>
      <w:r w:rsidRPr="004A1196">
        <w:rPr>
          <w:color w:val="0B2B43" w:themeColor="text2" w:themeShade="80"/>
        </w:rPr>
        <w:t xml:space="preserve"> This may provide an opportunity for Australia to encourage </w:t>
      </w:r>
      <w:proofErr w:type="spellStart"/>
      <w:r w:rsidRPr="004A1196">
        <w:rPr>
          <w:color w:val="0B2B43" w:themeColor="text2" w:themeShade="80"/>
        </w:rPr>
        <w:t>THE’s</w:t>
      </w:r>
      <w:proofErr w:type="spellEnd"/>
      <w:r w:rsidRPr="004A1196">
        <w:rPr>
          <w:color w:val="0B2B43" w:themeColor="text2" w:themeShade="80"/>
        </w:rPr>
        <w:t xml:space="preserve"> work and help influence the development of the ‘innovation indicators’, including by contributing recent Australian experience on developing engagement, commercialisation and impact measures. This wo</w:t>
      </w:r>
      <w:r w:rsidR="00EC0A6D">
        <w:rPr>
          <w:color w:val="0B2B43" w:themeColor="text2" w:themeShade="80"/>
        </w:rPr>
        <w:t xml:space="preserve">uld draw on the standing of </w:t>
      </w:r>
      <w:r w:rsidRPr="004A1196">
        <w:rPr>
          <w:color w:val="0B2B43" w:themeColor="text2" w:themeShade="80"/>
        </w:rPr>
        <w:t xml:space="preserve">THE ranking and would capitalise on the work </w:t>
      </w:r>
      <w:proofErr w:type="gramStart"/>
      <w:r w:rsidRPr="004A1196">
        <w:rPr>
          <w:color w:val="0B2B43" w:themeColor="text2" w:themeShade="80"/>
        </w:rPr>
        <w:t>THE has</w:t>
      </w:r>
      <w:proofErr w:type="gramEnd"/>
      <w:r w:rsidRPr="004A1196">
        <w:rPr>
          <w:color w:val="0B2B43" w:themeColor="text2" w:themeShade="80"/>
        </w:rPr>
        <w:t xml:space="preserve"> already undertaken in consultation with universities around the world to identify potential innovation indicators for inclusion in an innovation ranking system. </w:t>
      </w:r>
    </w:p>
    <w:p w:rsidR="002C6039" w:rsidRPr="004A1196" w:rsidRDefault="002C6039" w:rsidP="002C6039">
      <w:pPr>
        <w:rPr>
          <w:color w:val="0B2B43" w:themeColor="text2" w:themeShade="80"/>
        </w:rPr>
      </w:pPr>
      <w:r w:rsidRPr="004A1196">
        <w:rPr>
          <w:color w:val="0B2B43" w:themeColor="text2" w:themeShade="80"/>
        </w:rPr>
        <w:t>It would also be open to Australia to collaborate with other university rating systems seeking to measure research-industry engagement and collaboration.</w:t>
      </w:r>
    </w:p>
    <w:p w:rsidR="002C6039" w:rsidRPr="004A1196" w:rsidRDefault="002C6039" w:rsidP="002C6039">
      <w:pPr>
        <w:pStyle w:val="RIHeading2"/>
        <w:rPr>
          <w:color w:val="0B2B43" w:themeColor="text2" w:themeShade="80"/>
        </w:rPr>
      </w:pPr>
      <w:bookmarkStart w:id="451" w:name="_Toc436392788"/>
      <w:bookmarkStart w:id="452" w:name="_Toc436651892"/>
      <w:bookmarkStart w:id="453" w:name="_Toc436659700"/>
      <w:bookmarkStart w:id="454" w:name="_Toc436660198"/>
      <w:r w:rsidRPr="004A1196">
        <w:rPr>
          <w:color w:val="0B2B43" w:themeColor="text2" w:themeShade="80"/>
        </w:rPr>
        <w:t>Recommendations</w:t>
      </w:r>
      <w:bookmarkEnd w:id="451"/>
      <w:bookmarkEnd w:id="452"/>
      <w:bookmarkEnd w:id="453"/>
      <w:bookmarkEnd w:id="454"/>
    </w:p>
    <w:p w:rsidR="002C6039" w:rsidRPr="004A1196" w:rsidRDefault="002C6039" w:rsidP="001C2886">
      <w:pPr>
        <w:pStyle w:val="ListParagraph"/>
        <w:numPr>
          <w:ilvl w:val="0"/>
          <w:numId w:val="65"/>
        </w:numPr>
        <w:spacing w:before="0" w:after="200"/>
        <w:rPr>
          <w:color w:val="0B2B43" w:themeColor="text2" w:themeShade="80"/>
        </w:rPr>
      </w:pPr>
      <w:r w:rsidRPr="004A1196">
        <w:rPr>
          <w:color w:val="0B2B43" w:themeColor="text2" w:themeShade="80"/>
        </w:rPr>
        <w:t xml:space="preserve">Australia should seek to influence the initiatives of existing and possibly new global ranking systems moving to incorporate innovation and industry engagement measures into their rankings. </w:t>
      </w:r>
    </w:p>
    <w:p w:rsidR="002C6039" w:rsidRPr="004A1196" w:rsidRDefault="002C6039" w:rsidP="002C6039">
      <w:pPr>
        <w:spacing w:before="0" w:after="200" w:line="276" w:lineRule="auto"/>
        <w:rPr>
          <w:color w:val="0B2B43" w:themeColor="text2" w:themeShade="80"/>
        </w:rPr>
      </w:pPr>
      <w:r w:rsidRPr="004A1196">
        <w:rPr>
          <w:color w:val="0B2B43" w:themeColor="text2" w:themeShade="80"/>
        </w:rPr>
        <w:br w:type="page"/>
      </w:r>
    </w:p>
    <w:p w:rsidR="002C6039" w:rsidRPr="004A1196" w:rsidRDefault="002C6039" w:rsidP="002C6039">
      <w:pPr>
        <w:pStyle w:val="RIHeading1"/>
        <w:rPr>
          <w:color w:val="0B2B43" w:themeColor="text2" w:themeShade="80"/>
        </w:rPr>
      </w:pPr>
      <w:bookmarkStart w:id="455" w:name="_Toc436228993"/>
      <w:bookmarkStart w:id="456" w:name="_Toc436392789"/>
      <w:bookmarkStart w:id="457" w:name="_Toc436563391"/>
      <w:bookmarkStart w:id="458" w:name="_Toc436574580"/>
      <w:bookmarkStart w:id="459" w:name="_Toc436579530"/>
      <w:bookmarkStart w:id="460" w:name="_Toc436579548"/>
      <w:bookmarkStart w:id="461" w:name="_Toc436651893"/>
      <w:bookmarkStart w:id="462" w:name="_Toc436659701"/>
      <w:bookmarkStart w:id="463" w:name="_Toc436660199"/>
      <w:bookmarkStart w:id="464" w:name="_Toc436663728"/>
      <w:bookmarkStart w:id="465" w:name="_Toc436664118"/>
      <w:bookmarkStart w:id="466" w:name="_Toc436664679"/>
      <w:bookmarkStart w:id="467" w:name="_Toc436664821"/>
      <w:bookmarkStart w:id="468" w:name="_Toc436665036"/>
      <w:bookmarkStart w:id="469" w:name="_Toc436666153"/>
      <w:bookmarkStart w:id="470" w:name="_Toc436666860"/>
      <w:bookmarkStart w:id="471" w:name="_Toc436666978"/>
      <w:bookmarkStart w:id="472" w:name="_Toc440378841"/>
      <w:r w:rsidRPr="004A1196">
        <w:rPr>
          <w:color w:val="0B2B43" w:themeColor="text2" w:themeShade="80"/>
        </w:rPr>
        <w:t>Appendices</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rsidR="002C6039" w:rsidRPr="004A1196" w:rsidRDefault="002C6039" w:rsidP="002C6039">
      <w:pPr>
        <w:pStyle w:val="ListParagraph"/>
        <w:numPr>
          <w:ilvl w:val="0"/>
          <w:numId w:val="45"/>
        </w:numPr>
        <w:spacing w:before="0" w:after="200" w:line="276" w:lineRule="auto"/>
        <w:rPr>
          <w:color w:val="0B2B43" w:themeColor="text2" w:themeShade="80"/>
        </w:rPr>
      </w:pPr>
      <w:r w:rsidRPr="004A1196">
        <w:rPr>
          <w:color w:val="0B2B43" w:themeColor="text2" w:themeShade="80"/>
        </w:rPr>
        <w:t>University approaches to research collaboration</w:t>
      </w:r>
    </w:p>
    <w:p w:rsidR="002C6039" w:rsidRPr="004A1196" w:rsidRDefault="002C6039" w:rsidP="002C6039">
      <w:pPr>
        <w:pStyle w:val="ListParagraph"/>
        <w:numPr>
          <w:ilvl w:val="0"/>
          <w:numId w:val="45"/>
        </w:numPr>
        <w:spacing w:before="0" w:after="200" w:line="276" w:lineRule="auto"/>
        <w:rPr>
          <w:color w:val="0B2B43" w:themeColor="text2" w:themeShade="80"/>
        </w:rPr>
      </w:pPr>
      <w:r w:rsidRPr="004A1196">
        <w:rPr>
          <w:color w:val="0B2B43" w:themeColor="text2" w:themeShade="80"/>
        </w:rPr>
        <w:t>List of consultations</w:t>
      </w:r>
    </w:p>
    <w:p w:rsidR="002C6039" w:rsidRPr="004A1196" w:rsidRDefault="002C6039" w:rsidP="002C6039">
      <w:pPr>
        <w:pStyle w:val="ListParagraph"/>
        <w:numPr>
          <w:ilvl w:val="0"/>
          <w:numId w:val="45"/>
        </w:numPr>
        <w:rPr>
          <w:color w:val="0B2B43" w:themeColor="text2" w:themeShade="80"/>
        </w:rPr>
      </w:pPr>
      <w:r w:rsidRPr="004A1196">
        <w:rPr>
          <w:color w:val="0B2B43" w:themeColor="text2" w:themeShade="80"/>
        </w:rPr>
        <w:t xml:space="preserve">List of submissions </w:t>
      </w:r>
    </w:p>
    <w:p w:rsidR="00AC4352" w:rsidRPr="004A1196" w:rsidRDefault="002C6039" w:rsidP="002C6039">
      <w:pPr>
        <w:pStyle w:val="ListParagraph"/>
        <w:numPr>
          <w:ilvl w:val="0"/>
          <w:numId w:val="45"/>
        </w:numPr>
        <w:rPr>
          <w:color w:val="0B2B43" w:themeColor="text2" w:themeShade="80"/>
        </w:rPr>
      </w:pPr>
      <w:r w:rsidRPr="004A1196">
        <w:rPr>
          <w:color w:val="0B2B43" w:themeColor="text2" w:themeShade="80"/>
        </w:rPr>
        <w:t>References</w:t>
      </w:r>
    </w:p>
    <w:p w:rsidR="00AC4352" w:rsidRPr="004A1196" w:rsidRDefault="00AC4352">
      <w:pPr>
        <w:spacing w:before="0" w:after="200" w:line="276" w:lineRule="auto"/>
        <w:rPr>
          <w:color w:val="0B2B43" w:themeColor="text2" w:themeShade="80"/>
        </w:rPr>
      </w:pPr>
      <w:bookmarkStart w:id="473" w:name="_Toc436228994"/>
      <w:bookmarkStart w:id="474" w:name="_Toc436392790"/>
      <w:r w:rsidRPr="004A1196">
        <w:rPr>
          <w:color w:val="0B2B43" w:themeColor="text2" w:themeShade="80"/>
        </w:rPr>
        <w:br w:type="page"/>
      </w:r>
    </w:p>
    <w:p w:rsidR="002C6039" w:rsidRPr="004A1196" w:rsidRDefault="002C6039" w:rsidP="002C6039">
      <w:pPr>
        <w:jc w:val="right"/>
        <w:rPr>
          <w:b/>
          <w:color w:val="0B2B43" w:themeColor="text2" w:themeShade="80"/>
        </w:rPr>
      </w:pPr>
      <w:r w:rsidRPr="004A1196">
        <w:rPr>
          <w:b/>
          <w:color w:val="0B2B43" w:themeColor="text2" w:themeShade="80"/>
        </w:rPr>
        <w:t>APPENDIX A</w:t>
      </w:r>
    </w:p>
    <w:p w:rsidR="002C6039" w:rsidRPr="004A1196" w:rsidRDefault="002C6039" w:rsidP="002C6039">
      <w:pPr>
        <w:pStyle w:val="RIHeading1"/>
        <w:rPr>
          <w:color w:val="0B2B43" w:themeColor="text2" w:themeShade="80"/>
        </w:rPr>
      </w:pPr>
      <w:bookmarkStart w:id="475" w:name="_Toc436563392"/>
      <w:bookmarkStart w:id="476" w:name="_Toc436574581"/>
      <w:bookmarkStart w:id="477" w:name="_Toc436579531"/>
      <w:bookmarkStart w:id="478" w:name="_Toc436579549"/>
      <w:bookmarkStart w:id="479" w:name="_Toc436651894"/>
      <w:bookmarkStart w:id="480" w:name="_Toc436659702"/>
      <w:bookmarkStart w:id="481" w:name="_Toc436660200"/>
      <w:bookmarkStart w:id="482" w:name="_Toc436663729"/>
      <w:bookmarkStart w:id="483" w:name="_Toc436664119"/>
      <w:bookmarkStart w:id="484" w:name="_Toc436664680"/>
      <w:bookmarkStart w:id="485" w:name="_Toc436664822"/>
      <w:bookmarkStart w:id="486" w:name="_Toc436665037"/>
      <w:bookmarkStart w:id="487" w:name="_Toc436666154"/>
      <w:bookmarkStart w:id="488" w:name="_Toc436666861"/>
      <w:bookmarkStart w:id="489" w:name="_Toc436666979"/>
      <w:bookmarkStart w:id="490" w:name="_Toc440378842"/>
      <w:r w:rsidRPr="004A1196">
        <w:rPr>
          <w:color w:val="0B2B43" w:themeColor="text2" w:themeShade="80"/>
        </w:rPr>
        <w:t>University approaches to research collaboration</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rsidRPr="004A1196">
        <w:rPr>
          <w:color w:val="0B2B43" w:themeColor="text2" w:themeShade="80"/>
        </w:rPr>
        <w:t xml:space="preserve"> </w:t>
      </w:r>
    </w:p>
    <w:p w:rsidR="0087616A" w:rsidRDefault="002C6039" w:rsidP="0087616A">
      <w:pPr>
        <w:rPr>
          <w:color w:val="0B2B43" w:themeColor="text2" w:themeShade="80"/>
        </w:rPr>
      </w:pPr>
      <w:r w:rsidRPr="004A1196">
        <w:rPr>
          <w:color w:val="0B2B43" w:themeColor="text2" w:themeShade="80"/>
        </w:rPr>
        <w:t>The terms of reference for the review call for advice on options which</w:t>
      </w:r>
      <w:r w:rsidR="008A414D">
        <w:rPr>
          <w:color w:val="0B2B43" w:themeColor="text2" w:themeShade="80"/>
        </w:rPr>
        <w:t>:</w:t>
      </w:r>
    </w:p>
    <w:p w:rsidR="002C6039" w:rsidRPr="004A1196" w:rsidRDefault="002C6039" w:rsidP="0087616A">
      <w:pPr>
        <w:autoSpaceDE w:val="0"/>
        <w:autoSpaceDN w:val="0"/>
        <w:adjustRightInd w:val="0"/>
        <w:spacing w:after="0"/>
        <w:ind w:left="567"/>
        <w:rPr>
          <w:color w:val="0B2B43" w:themeColor="text2" w:themeShade="80"/>
        </w:rPr>
      </w:pPr>
      <w:proofErr w:type="gramStart"/>
      <w:r w:rsidRPr="00C6639A">
        <w:rPr>
          <w:color w:val="0B2B43" w:themeColor="text2" w:themeShade="80"/>
          <w:sz w:val="22"/>
        </w:rPr>
        <w:t>encourage</w:t>
      </w:r>
      <w:proofErr w:type="gramEnd"/>
      <w:r w:rsidRPr="00C6639A">
        <w:rPr>
          <w:color w:val="0B2B43" w:themeColor="text2" w:themeShade="80"/>
          <w:sz w:val="22"/>
        </w:rPr>
        <w:t xml:space="preserve"> universities to engage in research commercialisation and knowledge transfer with industry and the broader community</w:t>
      </w:r>
      <w:r w:rsidRPr="004A1196">
        <w:rPr>
          <w:color w:val="0B2B43" w:themeColor="text2" w:themeShade="80"/>
        </w:rPr>
        <w:t>.</w:t>
      </w:r>
    </w:p>
    <w:p w:rsidR="002C6039" w:rsidRPr="004A1196" w:rsidRDefault="002C6039" w:rsidP="002C6039">
      <w:pPr>
        <w:rPr>
          <w:color w:val="0B2B43" w:themeColor="text2" w:themeShade="80"/>
        </w:rPr>
      </w:pPr>
      <w:r w:rsidRPr="004A1196">
        <w:rPr>
          <w:color w:val="0B2B43" w:themeColor="text2" w:themeShade="80"/>
        </w:rPr>
        <w:t>This review has considered how the Australian Government, through its policy and funding arrangements with univers</w:t>
      </w:r>
      <w:r w:rsidR="00EC0A6D">
        <w:rPr>
          <w:color w:val="0B2B43" w:themeColor="text2" w:themeShade="80"/>
        </w:rPr>
        <w:t xml:space="preserve">ities and through </w:t>
      </w:r>
      <w:proofErr w:type="gramStart"/>
      <w:r w:rsidR="00EC0A6D">
        <w:rPr>
          <w:color w:val="0B2B43" w:themeColor="text2" w:themeShade="80"/>
        </w:rPr>
        <w:t>business focu</w:t>
      </w:r>
      <w:r w:rsidRPr="004A1196">
        <w:rPr>
          <w:color w:val="0B2B43" w:themeColor="text2" w:themeShade="80"/>
        </w:rPr>
        <w:t>sed</w:t>
      </w:r>
      <w:proofErr w:type="gramEnd"/>
      <w:r w:rsidRPr="004A1196">
        <w:rPr>
          <w:color w:val="0B2B43" w:themeColor="text2" w:themeShade="80"/>
        </w:rPr>
        <w:t xml:space="preserve"> initiatives, can help to encourage increased collaboration between universities and business and other research </w:t>
      </w:r>
      <w:r w:rsidR="003904BC">
        <w:rPr>
          <w:color w:val="0B2B43" w:themeColor="text2" w:themeShade="80"/>
        </w:rPr>
        <w:t>end user</w:t>
      </w:r>
      <w:r w:rsidRPr="004A1196">
        <w:rPr>
          <w:color w:val="0B2B43" w:themeColor="text2" w:themeShade="80"/>
        </w:rPr>
        <w:t xml:space="preserve">s. This appendix gives a brief overview of the strategies and specific initiatives undertaken by </w:t>
      </w:r>
      <w:proofErr w:type="gramStart"/>
      <w:r w:rsidRPr="004A1196">
        <w:rPr>
          <w:color w:val="0B2B43" w:themeColor="text2" w:themeShade="80"/>
        </w:rPr>
        <w:t>universities which</w:t>
      </w:r>
      <w:proofErr w:type="gramEnd"/>
      <w:r w:rsidRPr="004A1196">
        <w:rPr>
          <w:color w:val="0B2B43" w:themeColor="text2" w:themeShade="80"/>
        </w:rPr>
        <w:t xml:space="preserve"> focus on increasing engagement and collaboration. </w:t>
      </w:r>
    </w:p>
    <w:p w:rsidR="002C6039" w:rsidRPr="004A1196" w:rsidRDefault="002C6039" w:rsidP="002C6039">
      <w:pPr>
        <w:rPr>
          <w:color w:val="0B2B43" w:themeColor="text2" w:themeShade="80"/>
        </w:rPr>
      </w:pPr>
      <w:r w:rsidRPr="004A1196">
        <w:rPr>
          <w:color w:val="0B2B43" w:themeColor="text2" w:themeShade="80"/>
        </w:rPr>
        <w:t xml:space="preserve">As part of the review consultation process, universities </w:t>
      </w:r>
      <w:proofErr w:type="gramStart"/>
      <w:r w:rsidRPr="004A1196">
        <w:rPr>
          <w:color w:val="0B2B43" w:themeColor="text2" w:themeShade="80"/>
        </w:rPr>
        <w:t>were invited</w:t>
      </w:r>
      <w:proofErr w:type="gramEnd"/>
      <w:r w:rsidRPr="004A1196">
        <w:rPr>
          <w:color w:val="0B2B43" w:themeColor="text2" w:themeShade="80"/>
        </w:rPr>
        <w:t xml:space="preserve"> to submit case studies to highlight particularly productive relationships they had cultivated with </w:t>
      </w:r>
      <w:r w:rsidR="003904BC">
        <w:rPr>
          <w:color w:val="0B2B43" w:themeColor="text2" w:themeShade="80"/>
        </w:rPr>
        <w:t>end user</w:t>
      </w:r>
      <w:r w:rsidRPr="004A1196">
        <w:rPr>
          <w:color w:val="0B2B43" w:themeColor="text2" w:themeShade="80"/>
        </w:rPr>
        <w:t>s of research. The review received 4</w:t>
      </w:r>
      <w:r w:rsidR="00FC707F">
        <w:rPr>
          <w:color w:val="0B2B43" w:themeColor="text2" w:themeShade="80"/>
        </w:rPr>
        <w:t>8</w:t>
      </w:r>
      <w:r w:rsidRPr="004A1196">
        <w:rPr>
          <w:color w:val="0B2B43" w:themeColor="text2" w:themeShade="80"/>
        </w:rPr>
        <w:t xml:space="preserve"> case studies from 32 universities. These involved collaborations across medical, agricultural, aerospace, manufacturing, mining, oil and gas and automotive industries. The case studies themselves </w:t>
      </w:r>
      <w:proofErr w:type="gramStart"/>
      <w:r w:rsidRPr="004A1196">
        <w:rPr>
          <w:color w:val="0B2B43" w:themeColor="text2" w:themeShade="80"/>
        </w:rPr>
        <w:t>are published</w:t>
      </w:r>
      <w:proofErr w:type="gramEnd"/>
      <w:r w:rsidRPr="004A1196">
        <w:rPr>
          <w:color w:val="0B2B43" w:themeColor="text2" w:themeShade="80"/>
        </w:rPr>
        <w:t xml:space="preserve"> in a separate volume ‘Review of Research Policy and Funding</w:t>
      </w:r>
      <w:r w:rsidR="007922DE">
        <w:rPr>
          <w:color w:val="0B2B43" w:themeColor="text2" w:themeShade="80"/>
        </w:rPr>
        <w:t xml:space="preserve"> Arrangements</w:t>
      </w:r>
      <w:r w:rsidRPr="004A1196">
        <w:rPr>
          <w:color w:val="0B2B43" w:themeColor="text2" w:themeShade="80"/>
        </w:rPr>
        <w:t xml:space="preserve">: Case studies on university-business collaboration’. </w:t>
      </w:r>
      <w:r w:rsidR="00AC4352" w:rsidRPr="004A1196">
        <w:rPr>
          <w:color w:val="0B2B43" w:themeColor="text2" w:themeShade="80"/>
        </w:rPr>
        <w:t xml:space="preserve">The effort taken by universities in preparing these case studies </w:t>
      </w:r>
      <w:proofErr w:type="gramStart"/>
      <w:r w:rsidR="00AC4352" w:rsidRPr="004A1196">
        <w:rPr>
          <w:color w:val="0B2B43" w:themeColor="text2" w:themeShade="80"/>
        </w:rPr>
        <w:t>is appreciated</w:t>
      </w:r>
      <w:proofErr w:type="gramEnd"/>
      <w:r w:rsidR="00AC4352" w:rsidRPr="004A1196">
        <w:rPr>
          <w:color w:val="0B2B43" w:themeColor="text2" w:themeShade="80"/>
        </w:rPr>
        <w:t xml:space="preserve"> and the material provided was influential in framing the report’s recommendations.</w:t>
      </w:r>
    </w:p>
    <w:p w:rsidR="002C6039" w:rsidRPr="004A1196" w:rsidRDefault="002C6039" w:rsidP="002C6039">
      <w:pPr>
        <w:rPr>
          <w:color w:val="0B2B43" w:themeColor="text2" w:themeShade="80"/>
        </w:rPr>
      </w:pPr>
      <w:r w:rsidRPr="004A1196">
        <w:rPr>
          <w:color w:val="0B2B43" w:themeColor="text2" w:themeShade="80"/>
        </w:rPr>
        <w:t xml:space="preserve">Universities and businesses alike agreed that cultural change is required in both sectors so that business can more easily </w:t>
      </w:r>
      <w:proofErr w:type="gramStart"/>
      <w:r w:rsidRPr="004A1196">
        <w:rPr>
          <w:color w:val="0B2B43" w:themeColor="text2" w:themeShade="80"/>
        </w:rPr>
        <w:t>identify,</w:t>
      </w:r>
      <w:proofErr w:type="gramEnd"/>
      <w:r w:rsidRPr="004A1196">
        <w:rPr>
          <w:color w:val="0B2B43" w:themeColor="text2" w:themeShade="80"/>
        </w:rPr>
        <w:t xml:space="preserve"> access and undertake relevant research in collaboration with universities. Over time, this culture change has the potential to achieve significant improvements in collaboration and engagement between the sectors. </w:t>
      </w:r>
    </w:p>
    <w:p w:rsidR="002C6039" w:rsidRPr="004A1196" w:rsidRDefault="002C6039" w:rsidP="002C6039">
      <w:pPr>
        <w:rPr>
          <w:color w:val="0B2B43" w:themeColor="text2" w:themeShade="80"/>
        </w:rPr>
      </w:pPr>
      <w:r w:rsidRPr="004A1196">
        <w:rPr>
          <w:color w:val="0B2B43" w:themeColor="text2" w:themeShade="80"/>
        </w:rPr>
        <w:t xml:space="preserve">However, consultations also highlighted the fact that the current academic rewards do not always encourage business collaboration. In this framework, the time taken to cultivate productive relationships with the private sector or other </w:t>
      </w:r>
      <w:r w:rsidR="003904BC">
        <w:rPr>
          <w:color w:val="0B2B43" w:themeColor="text2" w:themeShade="80"/>
        </w:rPr>
        <w:t>end user</w:t>
      </w:r>
      <w:r w:rsidRPr="004A1196">
        <w:rPr>
          <w:color w:val="0B2B43" w:themeColor="text2" w:themeShade="80"/>
        </w:rPr>
        <w:t xml:space="preserve"> </w:t>
      </w:r>
      <w:proofErr w:type="gramStart"/>
      <w:r w:rsidRPr="004A1196">
        <w:rPr>
          <w:color w:val="0B2B43" w:themeColor="text2" w:themeShade="80"/>
        </w:rPr>
        <w:t>is sometimes regarded</w:t>
      </w:r>
      <w:proofErr w:type="gramEnd"/>
      <w:r w:rsidRPr="004A1196">
        <w:rPr>
          <w:color w:val="0B2B43" w:themeColor="text2" w:themeShade="80"/>
        </w:rPr>
        <w:t xml:space="preserve"> as a cost rather than a benefit for the researcher or the institution. </w:t>
      </w:r>
    </w:p>
    <w:p w:rsidR="002C6039" w:rsidRPr="004A1196" w:rsidRDefault="002C6039" w:rsidP="002C6039">
      <w:pPr>
        <w:rPr>
          <w:color w:val="0B2B43" w:themeColor="text2" w:themeShade="80"/>
        </w:rPr>
      </w:pPr>
      <w:r w:rsidRPr="004A1196">
        <w:rPr>
          <w:color w:val="0B2B43" w:themeColor="text2" w:themeShade="80"/>
        </w:rPr>
        <w:t xml:space="preserve">The review commended the range of strategies universities are employing to build more systematic and sustained relationships with business, moving away from transactional approaches centred on ad hoc research projects. </w:t>
      </w:r>
    </w:p>
    <w:p w:rsidR="002C6039" w:rsidRPr="004A1196" w:rsidRDefault="002C6039" w:rsidP="002C6039">
      <w:pPr>
        <w:rPr>
          <w:color w:val="0B2B43" w:themeColor="text2" w:themeShade="80"/>
        </w:rPr>
      </w:pPr>
      <w:r w:rsidRPr="004A1196">
        <w:rPr>
          <w:color w:val="0B2B43" w:themeColor="text2" w:themeShade="80"/>
        </w:rPr>
        <w:t xml:space="preserve">This </w:t>
      </w:r>
      <w:r w:rsidR="00FF19D4">
        <w:rPr>
          <w:color w:val="0B2B43" w:themeColor="text2" w:themeShade="80"/>
        </w:rPr>
        <w:t>appendix</w:t>
      </w:r>
      <w:r w:rsidRPr="004A1196">
        <w:rPr>
          <w:color w:val="0B2B43" w:themeColor="text2" w:themeShade="80"/>
        </w:rPr>
        <w:t xml:space="preserve"> gives a brief overview of the strategies that universities are using to establish new research collaborations and build on their existing ones. </w:t>
      </w:r>
      <w:proofErr w:type="gramStart"/>
      <w:r w:rsidRPr="004A1196">
        <w:rPr>
          <w:color w:val="0B2B43" w:themeColor="text2" w:themeShade="80"/>
        </w:rPr>
        <w:t>It is by no means exhaustive and covers only some of the main strategies which include: co-location with industry, promotion of research strengths and dissemination of research outcomes, establishment of technology transfer and commercialisation offices, business access to research labs and large scale research infrastructure, business sponsored/funded academic chairs, staff exchanges between universities and the private sector, student placements, business experts on university committees and targeting research at local business needs.</w:t>
      </w:r>
      <w:proofErr w:type="gramEnd"/>
      <w:r w:rsidRPr="004A1196">
        <w:rPr>
          <w:color w:val="0B2B43" w:themeColor="text2" w:themeShade="80"/>
        </w:rPr>
        <w:t xml:space="preserve"> </w:t>
      </w:r>
    </w:p>
    <w:p w:rsidR="002C6039" w:rsidRPr="004A1196" w:rsidRDefault="002C6039" w:rsidP="002C6039">
      <w:pPr>
        <w:rPr>
          <w:color w:val="0B2B43" w:themeColor="text2" w:themeShade="80"/>
        </w:rPr>
      </w:pPr>
      <w:r w:rsidRPr="004A1196">
        <w:rPr>
          <w:color w:val="0B2B43" w:themeColor="text2" w:themeShade="80"/>
        </w:rPr>
        <w:t xml:space="preserve">In addition, some universities highlighted recent changes in their appointment and promotion </w:t>
      </w:r>
      <w:proofErr w:type="gramStart"/>
      <w:r w:rsidRPr="004A1196">
        <w:rPr>
          <w:color w:val="0B2B43" w:themeColor="text2" w:themeShade="80"/>
        </w:rPr>
        <w:t>policies which</w:t>
      </w:r>
      <w:proofErr w:type="gramEnd"/>
      <w:r w:rsidRPr="004A1196">
        <w:rPr>
          <w:color w:val="0B2B43" w:themeColor="text2" w:themeShade="80"/>
        </w:rPr>
        <w:t xml:space="preserve"> give significant weight to a track record in engagement with business and other </w:t>
      </w:r>
      <w:r w:rsidR="003904BC">
        <w:rPr>
          <w:color w:val="0B2B43" w:themeColor="text2" w:themeShade="80"/>
        </w:rPr>
        <w:t>end user</w:t>
      </w:r>
      <w:r w:rsidRPr="004A1196">
        <w:rPr>
          <w:color w:val="0B2B43" w:themeColor="text2" w:themeShade="80"/>
        </w:rPr>
        <w:t xml:space="preserve">s alongside traditional measures of academic performance. </w:t>
      </w:r>
    </w:p>
    <w:p w:rsidR="002C6039" w:rsidRPr="004A1196" w:rsidRDefault="002C6039" w:rsidP="002C6039">
      <w:pPr>
        <w:pStyle w:val="RIHeading2"/>
        <w:rPr>
          <w:color w:val="0B2B43" w:themeColor="text2" w:themeShade="80"/>
        </w:rPr>
      </w:pPr>
      <w:bookmarkStart w:id="491" w:name="_Toc436651895"/>
      <w:bookmarkStart w:id="492" w:name="_Toc436659703"/>
      <w:bookmarkStart w:id="493" w:name="_Toc436660201"/>
      <w:r w:rsidRPr="004A1196">
        <w:rPr>
          <w:color w:val="0B2B43" w:themeColor="text2" w:themeShade="80"/>
        </w:rPr>
        <w:t xml:space="preserve">Building on </w:t>
      </w:r>
      <w:r w:rsidR="00AC3592">
        <w:rPr>
          <w:color w:val="0B2B43" w:themeColor="text2" w:themeShade="80"/>
        </w:rPr>
        <w:t>r</w:t>
      </w:r>
      <w:r w:rsidRPr="004A1196">
        <w:rPr>
          <w:color w:val="0B2B43" w:themeColor="text2" w:themeShade="80"/>
        </w:rPr>
        <w:t>esearch strengths</w:t>
      </w:r>
      <w:bookmarkEnd w:id="491"/>
      <w:bookmarkEnd w:id="492"/>
      <w:bookmarkEnd w:id="493"/>
    </w:p>
    <w:p w:rsidR="002C6039" w:rsidRPr="004A1196" w:rsidRDefault="002C6039" w:rsidP="002C6039">
      <w:pPr>
        <w:rPr>
          <w:color w:val="0B2B43" w:themeColor="text2" w:themeShade="80"/>
        </w:rPr>
      </w:pPr>
      <w:r w:rsidRPr="004A1196">
        <w:rPr>
          <w:color w:val="0B2B43" w:themeColor="text2" w:themeShade="80"/>
        </w:rPr>
        <w:t xml:space="preserve">In five case studies, it was the </w:t>
      </w:r>
      <w:proofErr w:type="gramStart"/>
      <w:r w:rsidRPr="004A1196">
        <w:rPr>
          <w:color w:val="0B2B43" w:themeColor="text2" w:themeShade="80"/>
        </w:rPr>
        <w:t>track record</w:t>
      </w:r>
      <w:proofErr w:type="gramEnd"/>
      <w:r w:rsidRPr="004A1196">
        <w:rPr>
          <w:color w:val="0B2B43" w:themeColor="text2" w:themeShade="80"/>
        </w:rPr>
        <w:t xml:space="preserve"> of a university, or individual researchers, in a specific research field that attracted busines</w:t>
      </w:r>
      <w:r w:rsidR="00610CA7">
        <w:rPr>
          <w:color w:val="0B2B43" w:themeColor="text2" w:themeShade="80"/>
        </w:rPr>
        <w:t>s to work with the university.</w:t>
      </w:r>
    </w:p>
    <w:p w:rsidR="002C6039" w:rsidRPr="004A1196" w:rsidRDefault="002C6039" w:rsidP="002C6039">
      <w:pPr>
        <w:rPr>
          <w:color w:val="0B2B43" w:themeColor="text2" w:themeShade="80"/>
        </w:rPr>
      </w:pPr>
      <w:r w:rsidRPr="004A1196">
        <w:rPr>
          <w:color w:val="0B2B43" w:themeColor="text2" w:themeShade="80"/>
        </w:rPr>
        <w:t xml:space="preserve">The Griffith University case study highlighted the importance of having a </w:t>
      </w:r>
      <w:proofErr w:type="spellStart"/>
      <w:proofErr w:type="gramStart"/>
      <w:r w:rsidRPr="004A1196">
        <w:rPr>
          <w:color w:val="0B2B43" w:themeColor="text2" w:themeShade="80"/>
        </w:rPr>
        <w:t>well known</w:t>
      </w:r>
      <w:proofErr w:type="spellEnd"/>
      <w:proofErr w:type="gramEnd"/>
      <w:r w:rsidRPr="004A1196">
        <w:rPr>
          <w:color w:val="0B2B43" w:themeColor="text2" w:themeShade="80"/>
        </w:rPr>
        <w:t xml:space="preserve"> and well connected researcher lead the project. Associate Professor </w:t>
      </w:r>
      <w:proofErr w:type="spellStart"/>
      <w:r w:rsidRPr="004A1196">
        <w:rPr>
          <w:color w:val="0B2B43" w:themeColor="text2" w:themeShade="80"/>
        </w:rPr>
        <w:t>Mavin’s</w:t>
      </w:r>
      <w:proofErr w:type="spellEnd"/>
      <w:r w:rsidRPr="004A1196">
        <w:rPr>
          <w:color w:val="0B2B43" w:themeColor="text2" w:themeShade="80"/>
        </w:rPr>
        <w:t xml:space="preserve"> practical experience as a professional pilot and a member of the Civil Aviation Safety Authority prior to becoming an academic, and his research on pilot training, were crucial to attracting Qantas, Air New Zealand and the Defence Science and Technology Group to collaborate on competency assessment and education programmes to improve and streamline pilot training. These commercial research and consultancy engagements have generated industry contributions in excess of $1.2 million. </w:t>
      </w:r>
    </w:p>
    <w:p w:rsidR="002C6039" w:rsidRPr="004A1196" w:rsidRDefault="002C6039" w:rsidP="002C6039">
      <w:pPr>
        <w:rPr>
          <w:color w:val="0B2B43" w:themeColor="text2" w:themeShade="80"/>
        </w:rPr>
      </w:pPr>
      <w:r w:rsidRPr="004A1196">
        <w:rPr>
          <w:color w:val="0B2B43" w:themeColor="text2" w:themeShade="80"/>
        </w:rPr>
        <w:t xml:space="preserve">The James Cook University case study highlighted its research in aquaculture and success in linking to a Melbourne-based energy company, </w:t>
      </w:r>
      <w:proofErr w:type="spellStart"/>
      <w:r w:rsidRPr="004A1196">
        <w:rPr>
          <w:color w:val="0B2B43" w:themeColor="text2" w:themeShade="80"/>
        </w:rPr>
        <w:t>MBD</w:t>
      </w:r>
      <w:proofErr w:type="spellEnd"/>
      <w:r w:rsidRPr="004A1196">
        <w:rPr>
          <w:color w:val="0B2B43" w:themeColor="text2" w:themeShade="80"/>
        </w:rPr>
        <w:t xml:space="preserve"> Energy, as the initial business partner. The partnership with </w:t>
      </w:r>
      <w:proofErr w:type="spellStart"/>
      <w:r w:rsidRPr="004A1196">
        <w:rPr>
          <w:color w:val="0B2B43" w:themeColor="text2" w:themeShade="80"/>
        </w:rPr>
        <w:t>MBD</w:t>
      </w:r>
      <w:proofErr w:type="spellEnd"/>
      <w:r w:rsidRPr="004A1196">
        <w:rPr>
          <w:color w:val="0B2B43" w:themeColor="text2" w:themeShade="80"/>
        </w:rPr>
        <w:t xml:space="preserve"> Energy, a project using algae to clean water and to develop stock feed and biofuels commenced in 2008 as a $250,000 trial project. It has since garnered $40</w:t>
      </w:r>
      <w:r w:rsidR="00AC4352" w:rsidRPr="004A1196">
        <w:rPr>
          <w:color w:val="0B2B43" w:themeColor="text2" w:themeShade="80"/>
        </w:rPr>
        <w:t> </w:t>
      </w:r>
      <w:r w:rsidRPr="004A1196">
        <w:rPr>
          <w:color w:val="0B2B43" w:themeColor="text2" w:themeShade="80"/>
        </w:rPr>
        <w:t xml:space="preserve">million of private equity and $30 million of government support. This led to a further partnership with Australia’s largest prawn farm business, Pacific Reef Fisheries, in Ayr, North Queensland. </w:t>
      </w:r>
    </w:p>
    <w:p w:rsidR="002C6039" w:rsidRPr="004A1196" w:rsidRDefault="002C6039" w:rsidP="002C6039">
      <w:pPr>
        <w:rPr>
          <w:color w:val="0B2B43" w:themeColor="text2" w:themeShade="80"/>
        </w:rPr>
      </w:pPr>
      <w:r w:rsidRPr="004A1196">
        <w:rPr>
          <w:color w:val="0B2B43" w:themeColor="text2" w:themeShade="80"/>
        </w:rPr>
        <w:t xml:space="preserve">Seven case studies involved a number of universities pooling their research expertise to conduct multidisciplinary research projects, or one university working with many industry partners. This approach </w:t>
      </w:r>
      <w:proofErr w:type="gramStart"/>
      <w:r w:rsidRPr="004A1196">
        <w:rPr>
          <w:color w:val="0B2B43" w:themeColor="text2" w:themeShade="80"/>
        </w:rPr>
        <w:t>was featured</w:t>
      </w:r>
      <w:proofErr w:type="gramEnd"/>
      <w:r w:rsidRPr="004A1196">
        <w:rPr>
          <w:color w:val="0B2B43" w:themeColor="text2" w:themeShade="80"/>
        </w:rPr>
        <w:t xml:space="preserve"> in the case studies provided by the University of Western Australia, the University of Wollongong, the University of Newcastle, Bond University, Monash University, the Australian National University and South</w:t>
      </w:r>
      <w:r w:rsidR="00AC3592">
        <w:rPr>
          <w:color w:val="0B2B43" w:themeColor="text2" w:themeShade="80"/>
        </w:rPr>
        <w:t>ern</w:t>
      </w:r>
      <w:r w:rsidRPr="004A1196">
        <w:rPr>
          <w:color w:val="0B2B43" w:themeColor="text2" w:themeShade="80"/>
        </w:rPr>
        <w:t xml:space="preserve"> Cross University.</w:t>
      </w:r>
    </w:p>
    <w:p w:rsidR="00AC3592" w:rsidRDefault="002C6039" w:rsidP="00C6639A">
      <w:pPr>
        <w:rPr>
          <w:color w:val="0B2B43" w:themeColor="text2" w:themeShade="80"/>
        </w:rPr>
      </w:pPr>
      <w:r w:rsidRPr="004A1196">
        <w:rPr>
          <w:color w:val="0B2B43" w:themeColor="text2" w:themeShade="80"/>
        </w:rPr>
        <w:t xml:space="preserve">The University of Western </w:t>
      </w:r>
      <w:proofErr w:type="gramStart"/>
      <w:r w:rsidRPr="004A1196">
        <w:rPr>
          <w:color w:val="0B2B43" w:themeColor="text2" w:themeShade="80"/>
        </w:rPr>
        <w:t>Australia’s</w:t>
      </w:r>
      <w:proofErr w:type="gramEnd"/>
      <w:r w:rsidRPr="004A1196">
        <w:rPr>
          <w:color w:val="0B2B43" w:themeColor="text2" w:themeShade="80"/>
        </w:rPr>
        <w:t xml:space="preserve"> </w:t>
      </w:r>
      <w:proofErr w:type="spellStart"/>
      <w:r w:rsidRPr="004A1196">
        <w:rPr>
          <w:color w:val="0B2B43" w:themeColor="text2" w:themeShade="80"/>
        </w:rPr>
        <w:t>INSAFE</w:t>
      </w:r>
      <w:proofErr w:type="spellEnd"/>
      <w:r w:rsidRPr="004A1196">
        <w:rPr>
          <w:color w:val="0B2B43" w:themeColor="text2" w:themeShade="80"/>
        </w:rPr>
        <w:t xml:space="preserve"> Joint Industry Project, which ran from 2008 to 2010 involved major oil and gas partners (ConocoPhillips, DONG Energy, ExxonMobil, and Shell), Oxford University, the National University of Singapore, state and federal regulatory bodies, surveyors, builders, owners and operators of references, and site investigation companies. While industry representatives provided records to the university, the university established and analysed a database of monitored offshore data on mobile drilling units. The project resulted in guidelines to improve the safety of offshore mobile drilling </w:t>
      </w:r>
      <w:proofErr w:type="gramStart"/>
      <w:r w:rsidRPr="004A1196">
        <w:rPr>
          <w:color w:val="0B2B43" w:themeColor="text2" w:themeShade="80"/>
        </w:rPr>
        <w:t>units which</w:t>
      </w:r>
      <w:proofErr w:type="gramEnd"/>
      <w:r w:rsidRPr="004A1196">
        <w:rPr>
          <w:color w:val="0B2B43" w:themeColor="text2" w:themeShade="80"/>
        </w:rPr>
        <w:t xml:space="preserve"> are becoming best practice in the industry. </w:t>
      </w:r>
      <w:bookmarkStart w:id="494" w:name="_Toc436651896"/>
      <w:bookmarkStart w:id="495" w:name="_Toc436659704"/>
      <w:bookmarkStart w:id="496" w:name="_Toc436660202"/>
    </w:p>
    <w:p w:rsidR="00AC3592" w:rsidRDefault="00AC3592">
      <w:pPr>
        <w:spacing w:before="0" w:after="200" w:line="276" w:lineRule="auto"/>
        <w:rPr>
          <w:rFonts w:eastAsiaTheme="majorEastAsia"/>
          <w:b/>
          <w:bCs/>
          <w:sz w:val="32"/>
          <w:szCs w:val="32"/>
        </w:rPr>
      </w:pPr>
      <w:r>
        <w:br w:type="page"/>
      </w:r>
    </w:p>
    <w:p w:rsidR="002C6039" w:rsidRPr="004A1196" w:rsidRDefault="002C6039">
      <w:pPr>
        <w:pStyle w:val="RIHeading2"/>
      </w:pPr>
      <w:r w:rsidRPr="004A1196">
        <w:t>Building relationships and focussing on local needs</w:t>
      </w:r>
      <w:bookmarkEnd w:id="494"/>
      <w:bookmarkEnd w:id="495"/>
      <w:bookmarkEnd w:id="496"/>
    </w:p>
    <w:p w:rsidR="002C6039" w:rsidRPr="004A1196" w:rsidRDefault="002C6039" w:rsidP="002C6039">
      <w:pPr>
        <w:rPr>
          <w:color w:val="0B2B43" w:themeColor="text2" w:themeShade="80"/>
        </w:rPr>
      </w:pPr>
      <w:r w:rsidRPr="004A1196">
        <w:rPr>
          <w:color w:val="0B2B43" w:themeColor="text2" w:themeShade="80"/>
        </w:rPr>
        <w:t xml:space="preserve">Seven case studies illustrate the value in building on existing relationships and growing </w:t>
      </w:r>
      <w:proofErr w:type="gramStart"/>
      <w:r w:rsidRPr="004A1196">
        <w:rPr>
          <w:color w:val="0B2B43" w:themeColor="text2" w:themeShade="80"/>
        </w:rPr>
        <w:t>partnerships which</w:t>
      </w:r>
      <w:proofErr w:type="gramEnd"/>
      <w:r w:rsidRPr="004A1196">
        <w:rPr>
          <w:color w:val="0B2B43" w:themeColor="text2" w:themeShade="80"/>
        </w:rPr>
        <w:t xml:space="preserve"> start out in the context of small projects. </w:t>
      </w:r>
    </w:p>
    <w:p w:rsidR="002C6039" w:rsidRPr="004A1196" w:rsidRDefault="002C6039" w:rsidP="002C6039">
      <w:pPr>
        <w:rPr>
          <w:color w:val="0B2B43" w:themeColor="text2" w:themeShade="80"/>
        </w:rPr>
      </w:pPr>
      <w:r w:rsidRPr="004A1196">
        <w:rPr>
          <w:color w:val="0B2B43" w:themeColor="text2" w:themeShade="80"/>
        </w:rPr>
        <w:t xml:space="preserve">The Soil Health and Natural Resource Management Planning </w:t>
      </w:r>
      <w:proofErr w:type="gramStart"/>
      <w:r w:rsidRPr="004A1196">
        <w:rPr>
          <w:color w:val="0B2B43" w:themeColor="text2" w:themeShade="80"/>
        </w:rPr>
        <w:t>project,</w:t>
      </w:r>
      <w:proofErr w:type="gramEnd"/>
      <w:r w:rsidRPr="004A1196">
        <w:rPr>
          <w:color w:val="0B2B43" w:themeColor="text2" w:themeShade="80"/>
        </w:rPr>
        <w:t xml:space="preserve"> funded from 2012 to 2014 and led by the Centre for </w:t>
      </w:r>
      <w:proofErr w:type="spellStart"/>
      <w:r w:rsidRPr="004A1196">
        <w:rPr>
          <w:color w:val="0B2B43" w:themeColor="text2" w:themeShade="80"/>
        </w:rPr>
        <w:t>eResearch</w:t>
      </w:r>
      <w:proofErr w:type="spellEnd"/>
      <w:r w:rsidRPr="004A1196">
        <w:rPr>
          <w:color w:val="0B2B43" w:themeColor="text2" w:themeShade="80"/>
        </w:rPr>
        <w:t xml:space="preserve"> and Digital Innovation at Federation University Australia, was the result of a long standing partnership with Corangamite Catchment Management Authority (</w:t>
      </w:r>
      <w:proofErr w:type="spellStart"/>
      <w:r w:rsidRPr="004A1196">
        <w:rPr>
          <w:color w:val="0B2B43" w:themeColor="text2" w:themeShade="80"/>
        </w:rPr>
        <w:t>CCMA</w:t>
      </w:r>
      <w:proofErr w:type="spellEnd"/>
      <w:r w:rsidRPr="004A1196">
        <w:rPr>
          <w:color w:val="0B2B43" w:themeColor="text2" w:themeShade="80"/>
        </w:rPr>
        <w:t xml:space="preserve">). Federation University and </w:t>
      </w:r>
      <w:proofErr w:type="spellStart"/>
      <w:r w:rsidRPr="004A1196">
        <w:rPr>
          <w:color w:val="0B2B43" w:themeColor="text2" w:themeShade="80"/>
        </w:rPr>
        <w:t>CCMA</w:t>
      </w:r>
      <w:proofErr w:type="spellEnd"/>
      <w:r w:rsidRPr="004A1196">
        <w:rPr>
          <w:color w:val="0B2B43" w:themeColor="text2" w:themeShade="80"/>
        </w:rPr>
        <w:t xml:space="preserve"> started with a small online knowledge management project, which has now developed into a </w:t>
      </w:r>
      <w:proofErr w:type="gramStart"/>
      <w:r w:rsidRPr="004A1196">
        <w:rPr>
          <w:color w:val="0B2B43" w:themeColor="text2" w:themeShade="80"/>
        </w:rPr>
        <w:t>10 year</w:t>
      </w:r>
      <w:proofErr w:type="gramEnd"/>
      <w:r w:rsidRPr="004A1196">
        <w:rPr>
          <w:color w:val="0B2B43" w:themeColor="text2" w:themeShade="80"/>
        </w:rPr>
        <w:t xml:space="preserve"> partnership and includes projects such as the Corangamite Groundwater Bore and Research Database, the Corangamite Erosion and Landslide Database and the Corangamite Knowledge Base. </w:t>
      </w:r>
    </w:p>
    <w:p w:rsidR="002C6039" w:rsidRPr="004A1196" w:rsidRDefault="002C6039" w:rsidP="002C6039">
      <w:pPr>
        <w:rPr>
          <w:color w:val="0B2B43" w:themeColor="text2" w:themeShade="80"/>
        </w:rPr>
      </w:pPr>
      <w:r w:rsidRPr="004A1196">
        <w:rPr>
          <w:color w:val="0B2B43" w:themeColor="text2" w:themeShade="80"/>
        </w:rPr>
        <w:t xml:space="preserve">Universities understand the value in adopting a </w:t>
      </w:r>
      <w:proofErr w:type="gramStart"/>
      <w:r w:rsidRPr="004A1196">
        <w:rPr>
          <w:color w:val="0B2B43" w:themeColor="text2" w:themeShade="80"/>
        </w:rPr>
        <w:t>long</w:t>
      </w:r>
      <w:r w:rsidR="00AC3592">
        <w:rPr>
          <w:color w:val="0B2B43" w:themeColor="text2" w:themeShade="80"/>
        </w:rPr>
        <w:t xml:space="preserve"> </w:t>
      </w:r>
      <w:r w:rsidRPr="004A1196">
        <w:rPr>
          <w:color w:val="0B2B43" w:themeColor="text2" w:themeShade="80"/>
        </w:rPr>
        <w:t>term</w:t>
      </w:r>
      <w:proofErr w:type="gramEnd"/>
      <w:r w:rsidRPr="004A1196">
        <w:rPr>
          <w:color w:val="0B2B43" w:themeColor="text2" w:themeShade="80"/>
        </w:rPr>
        <w:t xml:space="preserve"> focus to their relationships with businesses and other </w:t>
      </w:r>
      <w:r w:rsidR="003904BC">
        <w:rPr>
          <w:color w:val="0B2B43" w:themeColor="text2" w:themeShade="80"/>
        </w:rPr>
        <w:t>end user</w:t>
      </w:r>
      <w:r w:rsidRPr="004A1196">
        <w:rPr>
          <w:color w:val="0B2B43" w:themeColor="text2" w:themeShade="80"/>
        </w:rPr>
        <w:t xml:space="preserve">s. The </w:t>
      </w:r>
      <w:r w:rsidR="00EC0A6D">
        <w:rPr>
          <w:color w:val="0B2B43" w:themeColor="text2" w:themeShade="80"/>
        </w:rPr>
        <w:t>University of Sydney</w:t>
      </w:r>
      <w:r w:rsidRPr="004A1196">
        <w:rPr>
          <w:color w:val="0B2B43" w:themeColor="text2" w:themeShade="80"/>
        </w:rPr>
        <w:t xml:space="preserve"> and University of Queensland case illustrate the importance of this, defining successful partnerships as including repeat business, no matter how small the initial or even subsequent collaboration. Case studies from the University of South Australia, the University of Adelaide and the University of Queensland show that time invested in a relationship to build trust and confidence will generate follow-on projects over decades.</w:t>
      </w:r>
    </w:p>
    <w:p w:rsidR="002C6039" w:rsidRPr="004A1196" w:rsidRDefault="002C6039" w:rsidP="002C6039">
      <w:pPr>
        <w:rPr>
          <w:color w:val="0B2B43" w:themeColor="text2" w:themeShade="80"/>
        </w:rPr>
      </w:pPr>
      <w:r w:rsidRPr="004A1196">
        <w:rPr>
          <w:color w:val="0B2B43" w:themeColor="text2" w:themeShade="80"/>
        </w:rPr>
        <w:t xml:space="preserve">The collaborations highlighted in two case studies were assisted by the Australian Government’s Research Connections programme or its predecessor, the Researchers in Business programme (more information on this programme is included in Chapter </w:t>
      </w:r>
      <w:r w:rsidR="00E53B62" w:rsidRPr="004A1196">
        <w:rPr>
          <w:color w:val="0B2B43" w:themeColor="text2" w:themeShade="80"/>
        </w:rPr>
        <w:t>4</w:t>
      </w:r>
      <w:r w:rsidRPr="004A1196">
        <w:rPr>
          <w:color w:val="0B2B43" w:themeColor="text2" w:themeShade="80"/>
        </w:rPr>
        <w:t xml:space="preserve">). </w:t>
      </w:r>
      <w:proofErr w:type="spellStart"/>
      <w:r w:rsidRPr="004A1196">
        <w:rPr>
          <w:color w:val="0B2B43" w:themeColor="text2" w:themeShade="80"/>
        </w:rPr>
        <w:t>Sirtex</w:t>
      </w:r>
      <w:proofErr w:type="spellEnd"/>
      <w:r w:rsidRPr="004A1196">
        <w:rPr>
          <w:color w:val="0B2B43" w:themeColor="text2" w:themeShade="80"/>
        </w:rPr>
        <w:t xml:space="preserve">, a medical device and cancer treatment company, accessed the Research Connections scheme to facilitate meetings with the University of Sydney and build pilot research data. The University of Sydney then successfully applied for a Linkage project grant to further its collaboration with </w:t>
      </w:r>
      <w:proofErr w:type="spellStart"/>
      <w:r w:rsidRPr="004A1196">
        <w:rPr>
          <w:color w:val="0B2B43" w:themeColor="text2" w:themeShade="80"/>
        </w:rPr>
        <w:t>Sirtex</w:t>
      </w:r>
      <w:proofErr w:type="spellEnd"/>
      <w:r w:rsidRPr="004A1196">
        <w:rPr>
          <w:color w:val="0B2B43" w:themeColor="text2" w:themeShade="80"/>
        </w:rPr>
        <w:t xml:space="preserve">. </w:t>
      </w:r>
    </w:p>
    <w:p w:rsidR="002C6039" w:rsidRPr="004A1196" w:rsidRDefault="002C6039" w:rsidP="002C6039">
      <w:pPr>
        <w:pStyle w:val="RIHeading2"/>
        <w:rPr>
          <w:color w:val="0B2B43" w:themeColor="text2" w:themeShade="80"/>
        </w:rPr>
      </w:pPr>
      <w:bookmarkStart w:id="497" w:name="_Toc436651897"/>
      <w:bookmarkStart w:id="498" w:name="_Toc436659705"/>
      <w:bookmarkStart w:id="499" w:name="_Toc436660203"/>
      <w:r w:rsidRPr="004A1196">
        <w:rPr>
          <w:color w:val="0B2B43" w:themeColor="text2" w:themeShade="80"/>
        </w:rPr>
        <w:t xml:space="preserve">Co-location of universities and </w:t>
      </w:r>
      <w:r w:rsidR="003904BC">
        <w:rPr>
          <w:color w:val="0B2B43" w:themeColor="text2" w:themeShade="80"/>
        </w:rPr>
        <w:t>end user</w:t>
      </w:r>
      <w:r w:rsidRPr="004A1196">
        <w:rPr>
          <w:color w:val="0B2B43" w:themeColor="text2" w:themeShade="80"/>
        </w:rPr>
        <w:t>s</w:t>
      </w:r>
      <w:bookmarkEnd w:id="497"/>
      <w:bookmarkEnd w:id="498"/>
      <w:bookmarkEnd w:id="499"/>
    </w:p>
    <w:p w:rsidR="002C6039" w:rsidRPr="004A1196" w:rsidRDefault="002C6039" w:rsidP="002C6039">
      <w:pPr>
        <w:rPr>
          <w:color w:val="0B2B43" w:themeColor="text2" w:themeShade="80"/>
        </w:rPr>
      </w:pPr>
      <w:r w:rsidRPr="004A1196">
        <w:rPr>
          <w:color w:val="0B2B43" w:themeColor="text2" w:themeShade="80"/>
        </w:rPr>
        <w:t xml:space="preserve">A number of case studies demonstrated the value in working with partner organisations in shared facilities or within an innovation district. For example, </w:t>
      </w:r>
      <w:proofErr w:type="spellStart"/>
      <w:r w:rsidRPr="004A1196">
        <w:rPr>
          <w:color w:val="0B2B43" w:themeColor="text2" w:themeShade="80"/>
        </w:rPr>
        <w:t>CSL</w:t>
      </w:r>
      <w:proofErr w:type="spellEnd"/>
      <w:r w:rsidRPr="004A1196">
        <w:rPr>
          <w:color w:val="0B2B43" w:themeColor="text2" w:themeShade="80"/>
        </w:rPr>
        <w:t xml:space="preserve">, Australia’s largest biotechnology company, relocated part of its Melbourne-based Protein Therapeutics Research Group to the University of Melbourne’s </w:t>
      </w:r>
      <w:proofErr w:type="spellStart"/>
      <w:r w:rsidRPr="004A1196">
        <w:rPr>
          <w:color w:val="0B2B43" w:themeColor="text2" w:themeShade="80"/>
        </w:rPr>
        <w:t>Bio21</w:t>
      </w:r>
      <w:proofErr w:type="spellEnd"/>
      <w:r w:rsidRPr="004A1196">
        <w:rPr>
          <w:color w:val="0B2B43" w:themeColor="text2" w:themeShade="80"/>
        </w:rPr>
        <w:t xml:space="preserve"> Institute of Molecular Science and Biotechnology. Subsequently, </w:t>
      </w:r>
      <w:proofErr w:type="spellStart"/>
      <w:r w:rsidRPr="004A1196">
        <w:rPr>
          <w:color w:val="0B2B43" w:themeColor="text2" w:themeShade="80"/>
        </w:rPr>
        <w:t>CSL</w:t>
      </w:r>
      <w:proofErr w:type="spellEnd"/>
      <w:r w:rsidRPr="004A1196">
        <w:rPr>
          <w:color w:val="0B2B43" w:themeColor="text2" w:themeShade="80"/>
        </w:rPr>
        <w:t xml:space="preserve"> has established close links with many of the University’s researchers and higher degree students located in the </w:t>
      </w:r>
      <w:proofErr w:type="spellStart"/>
      <w:r w:rsidRPr="004A1196">
        <w:rPr>
          <w:color w:val="0B2B43" w:themeColor="text2" w:themeShade="80"/>
        </w:rPr>
        <w:t>Bio21</w:t>
      </w:r>
      <w:proofErr w:type="spellEnd"/>
      <w:r w:rsidRPr="004A1196">
        <w:rPr>
          <w:color w:val="0B2B43" w:themeColor="text2" w:themeShade="80"/>
        </w:rPr>
        <w:t xml:space="preserve"> Institute. </w:t>
      </w:r>
      <w:proofErr w:type="spellStart"/>
      <w:r w:rsidRPr="004A1196">
        <w:rPr>
          <w:color w:val="0B2B43" w:themeColor="text2" w:themeShade="80"/>
        </w:rPr>
        <w:t>CSL’s</w:t>
      </w:r>
      <w:proofErr w:type="spellEnd"/>
      <w:r w:rsidRPr="004A1196">
        <w:rPr>
          <w:color w:val="0B2B43" w:themeColor="text2" w:themeShade="80"/>
        </w:rPr>
        <w:t xml:space="preserve"> co-location has provided early career researchers and graduate research students with opportunities to work with the biotechnology industry. </w:t>
      </w:r>
    </w:p>
    <w:p w:rsidR="002C6039" w:rsidRPr="004A1196" w:rsidRDefault="002C6039" w:rsidP="002C6039">
      <w:pPr>
        <w:rPr>
          <w:color w:val="0B2B43" w:themeColor="text2" w:themeShade="80"/>
        </w:rPr>
      </w:pPr>
      <w:r w:rsidRPr="004A1196">
        <w:rPr>
          <w:color w:val="0B2B43" w:themeColor="text2" w:themeShade="80"/>
        </w:rPr>
        <w:t xml:space="preserve">Industry stakeholders have co-funded or sponsored campus research centres at the University of Adelaide, the University of Sydney and the University of Technology Sydney. The University of Adelaide’s Fertiliser Technology Research Centre </w:t>
      </w:r>
      <w:proofErr w:type="gramStart"/>
      <w:r w:rsidRPr="004A1196">
        <w:rPr>
          <w:color w:val="0B2B43" w:themeColor="text2" w:themeShade="80"/>
        </w:rPr>
        <w:t>was established</w:t>
      </w:r>
      <w:proofErr w:type="gramEnd"/>
      <w:r w:rsidRPr="004A1196">
        <w:rPr>
          <w:color w:val="0B2B43" w:themeColor="text2" w:themeShade="80"/>
        </w:rPr>
        <w:t xml:space="preserve"> in 2007 in partnership with the Mosaic Company, the world's largest phosphate and potash fertiliser manufacturer. Mosaic agreed to fund research at the new centre in return for commercialisation rights and a share of the intellectual property, initially signing a $5 million five year agreement. </w:t>
      </w:r>
    </w:p>
    <w:p w:rsidR="002C6039" w:rsidRPr="004A1196" w:rsidRDefault="002C6039" w:rsidP="002C6039">
      <w:pPr>
        <w:pStyle w:val="RIHeading2"/>
        <w:rPr>
          <w:color w:val="0B2B43" w:themeColor="text2" w:themeShade="80"/>
        </w:rPr>
      </w:pPr>
      <w:bookmarkStart w:id="500" w:name="_Toc436651898"/>
      <w:bookmarkStart w:id="501" w:name="_Toc436659706"/>
      <w:bookmarkStart w:id="502" w:name="_Toc436660204"/>
      <w:r w:rsidRPr="004A1196">
        <w:rPr>
          <w:color w:val="0B2B43" w:themeColor="text2" w:themeShade="80"/>
        </w:rPr>
        <w:t>Technology transfer/commercialisation offices</w:t>
      </w:r>
      <w:bookmarkEnd w:id="500"/>
      <w:bookmarkEnd w:id="501"/>
      <w:bookmarkEnd w:id="502"/>
    </w:p>
    <w:p w:rsidR="002C6039" w:rsidRPr="004A1196" w:rsidRDefault="002C6039" w:rsidP="002C6039">
      <w:pPr>
        <w:rPr>
          <w:color w:val="0B2B43" w:themeColor="text2" w:themeShade="80"/>
        </w:rPr>
      </w:pPr>
      <w:r w:rsidRPr="004A1196">
        <w:rPr>
          <w:color w:val="0B2B43" w:themeColor="text2" w:themeShade="80"/>
        </w:rPr>
        <w:t>Technology transfer or commercialis</w:t>
      </w:r>
      <w:r w:rsidR="00AC4352" w:rsidRPr="004A1196">
        <w:rPr>
          <w:color w:val="0B2B43" w:themeColor="text2" w:themeShade="80"/>
        </w:rPr>
        <w:t>a</w:t>
      </w:r>
      <w:r w:rsidRPr="004A1196">
        <w:rPr>
          <w:color w:val="0B2B43" w:themeColor="text2" w:themeShade="80"/>
        </w:rPr>
        <w:t xml:space="preserve">tion offices should aim to build and extend engagement with business and other </w:t>
      </w:r>
      <w:r w:rsidR="003904BC">
        <w:rPr>
          <w:color w:val="0B2B43" w:themeColor="text2" w:themeShade="80"/>
        </w:rPr>
        <w:t>end user</w:t>
      </w:r>
      <w:r w:rsidRPr="004A1196">
        <w:rPr>
          <w:color w:val="0B2B43" w:themeColor="text2" w:themeShade="80"/>
        </w:rPr>
        <w:t xml:space="preserve">s of research. These offices often have a key role in sustaining long-term relationships but need to </w:t>
      </w:r>
      <w:proofErr w:type="gramStart"/>
      <w:r w:rsidRPr="004A1196">
        <w:rPr>
          <w:color w:val="0B2B43" w:themeColor="text2" w:themeShade="80"/>
        </w:rPr>
        <w:t>be adequately resourced</w:t>
      </w:r>
      <w:proofErr w:type="gramEnd"/>
      <w:r w:rsidRPr="004A1196">
        <w:rPr>
          <w:color w:val="0B2B43" w:themeColor="text2" w:themeShade="80"/>
        </w:rPr>
        <w:t xml:space="preserve"> to do so effectively. Some universities and business submissions noted these offices are under</w:t>
      </w:r>
      <w:r w:rsidR="004F326A">
        <w:rPr>
          <w:color w:val="0B2B43" w:themeColor="text2" w:themeShade="80"/>
        </w:rPr>
        <w:noBreakHyphen/>
      </w:r>
      <w:r w:rsidRPr="004A1196">
        <w:rPr>
          <w:color w:val="0B2B43" w:themeColor="text2" w:themeShade="80"/>
        </w:rPr>
        <w:t xml:space="preserve">resourced and lack experienced facilitators or intermediaries in Australia who understand the language and cultures of both the research and business sectors. This is a concern that universities need to consider and, if necessary, seriously address. </w:t>
      </w:r>
    </w:p>
    <w:p w:rsidR="002C6039" w:rsidRPr="004A1196" w:rsidRDefault="002C6039" w:rsidP="002C6039">
      <w:pPr>
        <w:rPr>
          <w:color w:val="0B2B43" w:themeColor="text2" w:themeShade="80"/>
        </w:rPr>
      </w:pPr>
      <w:proofErr w:type="spellStart"/>
      <w:r w:rsidRPr="004A1196">
        <w:rPr>
          <w:color w:val="0B2B43" w:themeColor="text2" w:themeShade="80"/>
        </w:rPr>
        <w:t>UniQuest</w:t>
      </w:r>
      <w:proofErr w:type="spellEnd"/>
      <w:r w:rsidRPr="004A1196">
        <w:rPr>
          <w:color w:val="0B2B43" w:themeColor="text2" w:themeShade="80"/>
        </w:rPr>
        <w:t xml:space="preserve"> Pty Limited, the commercialisation company of the University of Queensland, has established its reputation as a successful commercialisation centre through its </w:t>
      </w:r>
      <w:proofErr w:type="gramStart"/>
      <w:r w:rsidRPr="004A1196">
        <w:rPr>
          <w:color w:val="0B2B43" w:themeColor="text2" w:themeShade="80"/>
        </w:rPr>
        <w:t>30 year</w:t>
      </w:r>
      <w:proofErr w:type="gramEnd"/>
      <w:r w:rsidRPr="004A1196">
        <w:rPr>
          <w:color w:val="0B2B43" w:themeColor="text2" w:themeShade="80"/>
        </w:rPr>
        <w:t xml:space="preserve"> history of research translation in collaboration with industry. As described in the University of Queensland submissio</w:t>
      </w:r>
      <w:r w:rsidR="007517E9">
        <w:rPr>
          <w:color w:val="0B2B43" w:themeColor="text2" w:themeShade="80"/>
        </w:rPr>
        <w:t xml:space="preserve">n, </w:t>
      </w:r>
      <w:proofErr w:type="spellStart"/>
      <w:r w:rsidR="007517E9">
        <w:rPr>
          <w:color w:val="0B2B43" w:themeColor="text2" w:themeShade="80"/>
        </w:rPr>
        <w:t>UniQuest</w:t>
      </w:r>
      <w:proofErr w:type="spellEnd"/>
      <w:r w:rsidR="007517E9">
        <w:rPr>
          <w:color w:val="0B2B43" w:themeColor="text2" w:themeShade="80"/>
        </w:rPr>
        <w:t xml:space="preserve"> has an annual licenc</w:t>
      </w:r>
      <w:r w:rsidRPr="004A1196">
        <w:rPr>
          <w:color w:val="0B2B43" w:themeColor="text2" w:themeShade="80"/>
        </w:rPr>
        <w:t xml:space="preserve">e </w:t>
      </w:r>
      <w:proofErr w:type="gramStart"/>
      <w:r w:rsidRPr="004A1196">
        <w:rPr>
          <w:color w:val="0B2B43" w:themeColor="text2" w:themeShade="80"/>
        </w:rPr>
        <w:t>income which is</w:t>
      </w:r>
      <w:proofErr w:type="gramEnd"/>
      <w:r w:rsidRPr="004A1196">
        <w:rPr>
          <w:color w:val="0B2B43" w:themeColor="text2" w:themeShade="80"/>
        </w:rPr>
        <w:t xml:space="preserve"> double that of all the other Group of Eight universities combined. To date, products commercialised by </w:t>
      </w:r>
      <w:proofErr w:type="spellStart"/>
      <w:r w:rsidRPr="004A1196">
        <w:rPr>
          <w:color w:val="0B2B43" w:themeColor="text2" w:themeShade="80"/>
        </w:rPr>
        <w:t>UniQuest</w:t>
      </w:r>
      <w:proofErr w:type="spellEnd"/>
      <w:r w:rsidRPr="004A1196">
        <w:rPr>
          <w:color w:val="0B2B43" w:themeColor="text2" w:themeShade="80"/>
        </w:rPr>
        <w:t xml:space="preserve"> have generated more than $11.7 billion globally, the bulk of which stems from Gardasil, the world’s first cancer vaccine. Given that </w:t>
      </w:r>
      <w:proofErr w:type="spellStart"/>
      <w:r w:rsidRPr="004A1196">
        <w:rPr>
          <w:color w:val="0B2B43" w:themeColor="text2" w:themeShade="80"/>
        </w:rPr>
        <w:t>Uniquest</w:t>
      </w:r>
      <w:proofErr w:type="spellEnd"/>
      <w:r w:rsidRPr="004A1196">
        <w:rPr>
          <w:color w:val="0B2B43" w:themeColor="text2" w:themeShade="80"/>
        </w:rPr>
        <w:t xml:space="preserve"> processes over 400 contracts each year, including repeat clients, their commercialisation centre is clearly active in connecting </w:t>
      </w:r>
      <w:r w:rsidR="003904BC">
        <w:rPr>
          <w:color w:val="0B2B43" w:themeColor="text2" w:themeShade="80"/>
        </w:rPr>
        <w:t>end user</w:t>
      </w:r>
      <w:r w:rsidRPr="004A1196">
        <w:rPr>
          <w:color w:val="0B2B43" w:themeColor="text2" w:themeShade="80"/>
        </w:rPr>
        <w:t xml:space="preserve">s with researchers. </w:t>
      </w:r>
    </w:p>
    <w:p w:rsidR="002C6039" w:rsidRPr="004A1196" w:rsidRDefault="002C6039" w:rsidP="002C6039">
      <w:pPr>
        <w:pStyle w:val="RIHeading2"/>
        <w:rPr>
          <w:color w:val="0B2B43" w:themeColor="text2" w:themeShade="80"/>
        </w:rPr>
      </w:pPr>
      <w:bookmarkStart w:id="503" w:name="_Toc436651899"/>
      <w:bookmarkStart w:id="504" w:name="_Toc436659707"/>
      <w:bookmarkStart w:id="505" w:name="_Toc436660205"/>
      <w:r w:rsidRPr="004A1196">
        <w:rPr>
          <w:color w:val="0B2B43" w:themeColor="text2" w:themeShade="80"/>
        </w:rPr>
        <w:t>Staff secondments</w:t>
      </w:r>
      <w:bookmarkEnd w:id="503"/>
      <w:bookmarkEnd w:id="504"/>
      <w:bookmarkEnd w:id="505"/>
    </w:p>
    <w:p w:rsidR="002C6039" w:rsidRPr="004A1196" w:rsidRDefault="002C6039" w:rsidP="002C6039">
      <w:pPr>
        <w:rPr>
          <w:color w:val="0B2B43" w:themeColor="text2" w:themeShade="80"/>
        </w:rPr>
      </w:pPr>
      <w:r w:rsidRPr="004A1196">
        <w:rPr>
          <w:color w:val="0B2B43" w:themeColor="text2" w:themeShade="80"/>
        </w:rPr>
        <w:t xml:space="preserve">Many case studies noted the importance of sharing project governance with the partner organisation to build trust, develop a common understanding of the desired outcomes and improve understanding of each partner’s expertise and contribution to the project outcomes. The Australian National University partnership with </w:t>
      </w:r>
      <w:proofErr w:type="spellStart"/>
      <w:r w:rsidRPr="004A1196">
        <w:rPr>
          <w:color w:val="0B2B43" w:themeColor="text2" w:themeShade="80"/>
        </w:rPr>
        <w:t>Sirtex</w:t>
      </w:r>
      <w:proofErr w:type="spellEnd"/>
      <w:r w:rsidRPr="004A1196">
        <w:rPr>
          <w:color w:val="0B2B43" w:themeColor="text2" w:themeShade="80"/>
        </w:rPr>
        <w:t xml:space="preserve"> shows how a multidisciplinary leadership team — which included </w:t>
      </w:r>
      <w:proofErr w:type="spellStart"/>
      <w:r w:rsidRPr="004A1196">
        <w:rPr>
          <w:color w:val="0B2B43" w:themeColor="text2" w:themeShade="80"/>
        </w:rPr>
        <w:t>Sirtex’s</w:t>
      </w:r>
      <w:proofErr w:type="spellEnd"/>
      <w:r w:rsidRPr="004A1196">
        <w:rPr>
          <w:color w:val="0B2B43" w:themeColor="text2" w:themeShade="80"/>
        </w:rPr>
        <w:t xml:space="preserve"> Chief Executive Officer and </w:t>
      </w:r>
      <w:r w:rsidR="00AC3592">
        <w:rPr>
          <w:color w:val="0B2B43" w:themeColor="text2" w:themeShade="80"/>
        </w:rPr>
        <w:t>research and development (</w:t>
      </w:r>
      <w:r w:rsidRPr="004A1196">
        <w:rPr>
          <w:color w:val="0B2B43" w:themeColor="text2" w:themeShade="80"/>
        </w:rPr>
        <w:t>R&amp;D</w:t>
      </w:r>
      <w:r w:rsidR="00AC3592">
        <w:rPr>
          <w:color w:val="0B2B43" w:themeColor="text2" w:themeShade="80"/>
        </w:rPr>
        <w:t>)</w:t>
      </w:r>
      <w:r w:rsidRPr="004A1196">
        <w:rPr>
          <w:color w:val="0B2B43" w:themeColor="text2" w:themeShade="80"/>
        </w:rPr>
        <w:t xml:space="preserve"> staff with scientific, medical or engineering backgrounds as well as the university researchers — ensure both partners are fully committed and engage in articulating the research problem and working collaboratively on solutions. </w:t>
      </w:r>
    </w:p>
    <w:p w:rsidR="002C6039" w:rsidRPr="004A1196" w:rsidRDefault="002C6039" w:rsidP="002C6039">
      <w:pPr>
        <w:rPr>
          <w:color w:val="0B2B43" w:themeColor="text2" w:themeShade="80"/>
        </w:rPr>
      </w:pPr>
      <w:r w:rsidRPr="004A1196">
        <w:rPr>
          <w:color w:val="0B2B43" w:themeColor="text2" w:themeShade="80"/>
        </w:rPr>
        <w:t xml:space="preserve">The University of Wollongong case study demonstrated the value of a shared leadership approach in its Steel Research Hub, launched in 2014. </w:t>
      </w:r>
      <w:proofErr w:type="gramStart"/>
      <w:r w:rsidRPr="004A1196">
        <w:rPr>
          <w:color w:val="0B2B43" w:themeColor="text2" w:themeShade="80"/>
        </w:rPr>
        <w:t>A Research Management Committee, with a membership drawn from industry, oversaw funding allocations to projects and assesses progress.</w:t>
      </w:r>
      <w:proofErr w:type="gramEnd"/>
      <w:r w:rsidRPr="004A1196">
        <w:rPr>
          <w:color w:val="0B2B43" w:themeColor="text2" w:themeShade="80"/>
        </w:rPr>
        <w:t xml:space="preserve"> </w:t>
      </w:r>
      <w:proofErr w:type="gramStart"/>
      <w:r w:rsidRPr="004A1196">
        <w:rPr>
          <w:color w:val="0B2B43" w:themeColor="text2" w:themeShade="80"/>
        </w:rPr>
        <w:t>Projects were jointly led by an academic researcher and an industry champion</w:t>
      </w:r>
      <w:proofErr w:type="gramEnd"/>
      <w:r w:rsidRPr="004A1196">
        <w:rPr>
          <w:color w:val="0B2B43" w:themeColor="text2" w:themeShade="80"/>
        </w:rPr>
        <w:t>. The University of Southern Queensland and Monash University also provided examples of shared governance where business representatives were included on project boards and involved in defining the project scope, agreeing on the project’s objectives and assessing progress against those objectives.</w:t>
      </w:r>
    </w:p>
    <w:p w:rsidR="002C6039" w:rsidRPr="004A1196" w:rsidRDefault="002C6039" w:rsidP="002C6039">
      <w:pPr>
        <w:rPr>
          <w:color w:val="0B2B43" w:themeColor="text2" w:themeShade="80"/>
        </w:rPr>
      </w:pPr>
      <w:r w:rsidRPr="004A1196">
        <w:rPr>
          <w:color w:val="0B2B43" w:themeColor="text2" w:themeShade="80"/>
        </w:rPr>
        <w:t xml:space="preserve">Another approach to promote culture change is to recognise the success of researchers in engaging with business or appoint business representatives to university bodies. </w:t>
      </w:r>
      <w:proofErr w:type="spellStart"/>
      <w:r w:rsidRPr="004A1196">
        <w:rPr>
          <w:color w:val="0B2B43" w:themeColor="text2" w:themeShade="80"/>
        </w:rPr>
        <w:t>RMIT</w:t>
      </w:r>
      <w:proofErr w:type="spellEnd"/>
      <w:r w:rsidRPr="004A1196">
        <w:rPr>
          <w:color w:val="0B2B43" w:themeColor="text2" w:themeShade="80"/>
        </w:rPr>
        <w:t xml:space="preserve">, the University of Technology Sydney and the University of Queensland appointed ‘Innovation Champions’ to acknowledge those academics whose research has been successfully commercialised and demonstrated significant impact. Under the University of Queensland’s programme, launched in 2014, Innovation Champions mentor early to mid-career researchers and serve on an advisory board to the University’s Executive. Macquarie University and the Australian National University have appointed industry Adjunct Professors and Industry Chairs as part of their approaches to engaging with businesses. </w:t>
      </w:r>
    </w:p>
    <w:p w:rsidR="002C6039" w:rsidRPr="004A1196" w:rsidRDefault="002C6039" w:rsidP="002C6039">
      <w:pPr>
        <w:pStyle w:val="RIHeading2"/>
        <w:rPr>
          <w:color w:val="0B2B43" w:themeColor="text2" w:themeShade="80"/>
        </w:rPr>
      </w:pPr>
      <w:bookmarkStart w:id="506" w:name="_Toc436651900"/>
      <w:bookmarkStart w:id="507" w:name="_Toc436659708"/>
      <w:bookmarkStart w:id="508" w:name="_Toc436660206"/>
      <w:r w:rsidRPr="004A1196">
        <w:rPr>
          <w:color w:val="0B2B43" w:themeColor="text2" w:themeShade="80"/>
        </w:rPr>
        <w:t xml:space="preserve">PhD placements in </w:t>
      </w:r>
      <w:r w:rsidR="00AC3592">
        <w:rPr>
          <w:color w:val="0B2B43" w:themeColor="text2" w:themeShade="80"/>
        </w:rPr>
        <w:t>b</w:t>
      </w:r>
      <w:r w:rsidRPr="004A1196">
        <w:rPr>
          <w:color w:val="0B2B43" w:themeColor="text2" w:themeShade="80"/>
        </w:rPr>
        <w:t xml:space="preserve">usiness and other </w:t>
      </w:r>
      <w:r w:rsidR="003904BC">
        <w:rPr>
          <w:color w:val="0B2B43" w:themeColor="text2" w:themeShade="80"/>
        </w:rPr>
        <w:t>end user</w:t>
      </w:r>
      <w:r w:rsidRPr="004A1196">
        <w:rPr>
          <w:color w:val="0B2B43" w:themeColor="text2" w:themeShade="80"/>
        </w:rPr>
        <w:t xml:space="preserve"> organisations</w:t>
      </w:r>
      <w:bookmarkEnd w:id="506"/>
      <w:bookmarkEnd w:id="507"/>
      <w:bookmarkEnd w:id="508"/>
    </w:p>
    <w:p w:rsidR="002C6039" w:rsidRPr="004A1196" w:rsidRDefault="002C6039" w:rsidP="002C6039">
      <w:pPr>
        <w:rPr>
          <w:color w:val="0B2B43" w:themeColor="text2" w:themeShade="80"/>
        </w:rPr>
      </w:pPr>
      <w:r w:rsidRPr="004A1196">
        <w:rPr>
          <w:color w:val="0B2B43" w:themeColor="text2" w:themeShade="80"/>
        </w:rPr>
        <w:t xml:space="preserve">Eight university case studies emphasised that PhD student industry placements were a crucial part of their partnerships with businesses and in some instances, provided </w:t>
      </w:r>
      <w:r w:rsidR="00866C9F">
        <w:rPr>
          <w:color w:val="0B2B43" w:themeColor="text2" w:themeShade="80"/>
        </w:rPr>
        <w:t xml:space="preserve">higher degree by research </w:t>
      </w:r>
      <w:r w:rsidRPr="004A1196">
        <w:rPr>
          <w:color w:val="0B2B43" w:themeColor="text2" w:themeShade="80"/>
        </w:rPr>
        <w:t xml:space="preserve">students with employment on completion of their studies. </w:t>
      </w:r>
    </w:p>
    <w:p w:rsidR="002C6039" w:rsidRPr="004A1196" w:rsidRDefault="002C6039" w:rsidP="002C6039">
      <w:pPr>
        <w:rPr>
          <w:color w:val="0B2B43" w:themeColor="text2" w:themeShade="80"/>
        </w:rPr>
      </w:pPr>
      <w:r w:rsidRPr="004A1196">
        <w:rPr>
          <w:color w:val="0B2B43" w:themeColor="text2" w:themeShade="80"/>
        </w:rPr>
        <w:t xml:space="preserve">These included the University of South Australia, Monash University, Macquarie University, Southern Cross University, </w:t>
      </w:r>
      <w:proofErr w:type="spellStart"/>
      <w:r w:rsidRPr="004A1196">
        <w:rPr>
          <w:color w:val="0B2B43" w:themeColor="text2" w:themeShade="80"/>
        </w:rPr>
        <w:t>RMIT</w:t>
      </w:r>
      <w:proofErr w:type="spellEnd"/>
      <w:r w:rsidRPr="004A1196">
        <w:rPr>
          <w:color w:val="0B2B43" w:themeColor="text2" w:themeShade="80"/>
        </w:rPr>
        <w:t xml:space="preserve"> and Central Queensland University and </w:t>
      </w:r>
      <w:proofErr w:type="gramStart"/>
      <w:r w:rsidRPr="004A1196">
        <w:rPr>
          <w:color w:val="0B2B43" w:themeColor="text2" w:themeShade="80"/>
        </w:rPr>
        <w:t>two</w:t>
      </w:r>
      <w:proofErr w:type="gramEnd"/>
      <w:r w:rsidRPr="004A1196">
        <w:rPr>
          <w:color w:val="0B2B43" w:themeColor="text2" w:themeShade="80"/>
        </w:rPr>
        <w:t xml:space="preserve"> examples from Edith Cowan University. The </w:t>
      </w:r>
      <w:proofErr w:type="spellStart"/>
      <w:r w:rsidRPr="004A1196">
        <w:rPr>
          <w:color w:val="0B2B43" w:themeColor="text2" w:themeShade="80"/>
        </w:rPr>
        <w:t>iPrep</w:t>
      </w:r>
      <w:proofErr w:type="spellEnd"/>
      <w:r w:rsidRPr="004A1196">
        <w:rPr>
          <w:color w:val="0B2B43" w:themeColor="text2" w:themeShade="80"/>
        </w:rPr>
        <w:t xml:space="preserve"> training programme, developed and trialled by Edith Cowan University in 2014 as a </w:t>
      </w:r>
      <w:proofErr w:type="gramStart"/>
      <w:r w:rsidRPr="004A1196">
        <w:rPr>
          <w:color w:val="0B2B43" w:themeColor="text2" w:themeShade="80"/>
        </w:rPr>
        <w:t>six week</w:t>
      </w:r>
      <w:proofErr w:type="gramEnd"/>
      <w:r w:rsidRPr="004A1196">
        <w:rPr>
          <w:color w:val="0B2B43" w:themeColor="text2" w:themeShade="80"/>
        </w:rPr>
        <w:t xml:space="preserve"> industry placement for PhD students during their thesis examination period, is now a programme run by all five Western Australian universities. </w:t>
      </w:r>
    </w:p>
    <w:p w:rsidR="002C6039" w:rsidRPr="004A1196" w:rsidRDefault="002C6039" w:rsidP="002C6039">
      <w:pPr>
        <w:rPr>
          <w:color w:val="0B2B43" w:themeColor="text2" w:themeShade="80"/>
        </w:rPr>
      </w:pPr>
      <w:r w:rsidRPr="004A1196">
        <w:rPr>
          <w:color w:val="0B2B43" w:themeColor="text2" w:themeShade="80"/>
        </w:rPr>
        <w:t xml:space="preserve">In </w:t>
      </w:r>
      <w:proofErr w:type="spellStart"/>
      <w:r w:rsidRPr="004A1196">
        <w:rPr>
          <w:color w:val="0B2B43" w:themeColor="text2" w:themeShade="80"/>
        </w:rPr>
        <w:t>RMIT’s</w:t>
      </w:r>
      <w:proofErr w:type="spellEnd"/>
      <w:r w:rsidRPr="004A1196">
        <w:rPr>
          <w:color w:val="0B2B43" w:themeColor="text2" w:themeShade="80"/>
        </w:rPr>
        <w:t xml:space="preserve"> partnership with </w:t>
      </w:r>
      <w:proofErr w:type="spellStart"/>
      <w:r w:rsidRPr="004A1196">
        <w:rPr>
          <w:color w:val="0B2B43" w:themeColor="text2" w:themeShade="80"/>
        </w:rPr>
        <w:t>ANCA</w:t>
      </w:r>
      <w:proofErr w:type="spellEnd"/>
      <w:r w:rsidRPr="004A1196">
        <w:rPr>
          <w:color w:val="0B2B43" w:themeColor="text2" w:themeShade="80"/>
        </w:rPr>
        <w:t xml:space="preserve">, a </w:t>
      </w:r>
      <w:proofErr w:type="gramStart"/>
      <w:r w:rsidRPr="004A1196">
        <w:rPr>
          <w:color w:val="0B2B43" w:themeColor="text2" w:themeShade="80"/>
        </w:rPr>
        <w:t>tool grinding</w:t>
      </w:r>
      <w:proofErr w:type="gramEnd"/>
      <w:r w:rsidRPr="004A1196">
        <w:rPr>
          <w:color w:val="0B2B43" w:themeColor="text2" w:themeShade="80"/>
        </w:rPr>
        <w:t xml:space="preserve"> manufacturer, six PhD students were engaged in a more than three year collaboration. They spent a third of their project time at </w:t>
      </w:r>
      <w:proofErr w:type="spellStart"/>
      <w:r w:rsidRPr="004A1196">
        <w:rPr>
          <w:color w:val="0B2B43" w:themeColor="text2" w:themeShade="80"/>
        </w:rPr>
        <w:t>ANCA’s</w:t>
      </w:r>
      <w:proofErr w:type="spellEnd"/>
      <w:r w:rsidRPr="004A1196">
        <w:rPr>
          <w:color w:val="0B2B43" w:themeColor="text2" w:themeShade="80"/>
        </w:rPr>
        <w:t xml:space="preserve"> facilities and attended regular project meetings. The PhD students worked to develop and ensure the commercial viability of a new grinding machine, undertaking a long</w:t>
      </w:r>
      <w:r w:rsidR="004F326A">
        <w:rPr>
          <w:color w:val="0B2B43" w:themeColor="text2" w:themeShade="80"/>
        </w:rPr>
        <w:noBreakHyphen/>
      </w:r>
      <w:r w:rsidRPr="004A1196">
        <w:rPr>
          <w:color w:val="0B2B43" w:themeColor="text2" w:themeShade="80"/>
        </w:rPr>
        <w:t xml:space="preserve">term </w:t>
      </w:r>
      <w:proofErr w:type="gramStart"/>
      <w:r w:rsidRPr="004A1196">
        <w:rPr>
          <w:color w:val="0B2B43" w:themeColor="text2" w:themeShade="80"/>
        </w:rPr>
        <w:t>placement which</w:t>
      </w:r>
      <w:proofErr w:type="gramEnd"/>
      <w:r w:rsidRPr="004A1196">
        <w:rPr>
          <w:color w:val="0B2B43" w:themeColor="text2" w:themeShade="80"/>
        </w:rPr>
        <w:t xml:space="preserve"> had the direct benefit for business of enabling the product to be rapidly developed and enter the market after only three years of development. </w:t>
      </w:r>
    </w:p>
    <w:p w:rsidR="002C6039" w:rsidRPr="004A1196" w:rsidRDefault="002C6039" w:rsidP="002C6039">
      <w:pPr>
        <w:spacing w:before="0" w:after="200" w:line="276" w:lineRule="auto"/>
        <w:rPr>
          <w:rFonts w:eastAsiaTheme="majorEastAsia"/>
          <w:b/>
          <w:bCs/>
          <w:color w:val="0B2B43" w:themeColor="text2" w:themeShade="80"/>
          <w:sz w:val="40"/>
          <w:szCs w:val="28"/>
        </w:rPr>
      </w:pPr>
      <w:r w:rsidRPr="004A1196">
        <w:rPr>
          <w:color w:val="0B2B43" w:themeColor="text2" w:themeShade="80"/>
        </w:rPr>
        <w:br w:type="page"/>
      </w:r>
    </w:p>
    <w:p w:rsidR="002C6039" w:rsidRPr="004A1196" w:rsidRDefault="002C6039" w:rsidP="002C6039">
      <w:pPr>
        <w:jc w:val="right"/>
        <w:rPr>
          <w:b/>
          <w:color w:val="0B2B43" w:themeColor="text2" w:themeShade="80"/>
        </w:rPr>
      </w:pPr>
      <w:r w:rsidRPr="004A1196">
        <w:rPr>
          <w:b/>
          <w:color w:val="0B2B43" w:themeColor="text2" w:themeShade="80"/>
        </w:rPr>
        <w:t>APPENDIX B</w:t>
      </w:r>
    </w:p>
    <w:p w:rsidR="002C6039" w:rsidRPr="004A1196" w:rsidRDefault="002C6039" w:rsidP="002C6039">
      <w:pPr>
        <w:pStyle w:val="RIHeading1"/>
        <w:rPr>
          <w:color w:val="0B2B43" w:themeColor="text2" w:themeShade="80"/>
        </w:rPr>
      </w:pPr>
      <w:bookmarkStart w:id="509" w:name="_Toc436563393"/>
      <w:bookmarkStart w:id="510" w:name="_Toc436574582"/>
      <w:bookmarkStart w:id="511" w:name="_Toc436579532"/>
      <w:bookmarkStart w:id="512" w:name="_Toc436579550"/>
      <w:bookmarkStart w:id="513" w:name="_Toc436651901"/>
      <w:bookmarkStart w:id="514" w:name="_Toc436659709"/>
      <w:bookmarkStart w:id="515" w:name="_Toc436660207"/>
      <w:bookmarkStart w:id="516" w:name="_Toc436663730"/>
      <w:bookmarkStart w:id="517" w:name="_Toc436664120"/>
      <w:bookmarkStart w:id="518" w:name="_Toc436664681"/>
      <w:bookmarkStart w:id="519" w:name="_Toc436664823"/>
      <w:bookmarkStart w:id="520" w:name="_Toc436665038"/>
      <w:bookmarkStart w:id="521" w:name="_Toc436666155"/>
      <w:bookmarkStart w:id="522" w:name="_Toc436666862"/>
      <w:bookmarkStart w:id="523" w:name="_Toc436666980"/>
      <w:bookmarkStart w:id="524" w:name="_Toc440378843"/>
      <w:r w:rsidRPr="004A1196">
        <w:rPr>
          <w:color w:val="0B2B43" w:themeColor="text2" w:themeShade="80"/>
        </w:rPr>
        <w:t>List of consultations</w:t>
      </w:r>
      <w:bookmarkEnd w:id="473"/>
      <w:bookmarkEnd w:id="474"/>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rsidR="002C6039" w:rsidRPr="004A1196" w:rsidRDefault="002C6039" w:rsidP="002C6039">
      <w:pPr>
        <w:pStyle w:val="RIHeading2"/>
        <w:rPr>
          <w:color w:val="0B2B43" w:themeColor="text2" w:themeShade="80"/>
        </w:rPr>
      </w:pPr>
      <w:bookmarkStart w:id="525" w:name="_Toc436392791"/>
      <w:bookmarkStart w:id="526" w:name="_Toc436651902"/>
      <w:bookmarkStart w:id="527" w:name="_Toc436659710"/>
      <w:bookmarkStart w:id="528" w:name="_Toc436660208"/>
      <w:r w:rsidRPr="004A1196">
        <w:rPr>
          <w:color w:val="0B2B43" w:themeColor="text2" w:themeShade="80"/>
        </w:rPr>
        <w:t>Ministers</w:t>
      </w:r>
      <w:bookmarkEnd w:id="525"/>
      <w:bookmarkEnd w:id="526"/>
      <w:bookmarkEnd w:id="527"/>
      <w:bookmarkEnd w:id="528"/>
    </w:p>
    <w:p w:rsidR="00AC4352" w:rsidRPr="004A1196" w:rsidRDefault="00AC4352" w:rsidP="00AC4352">
      <w:pPr>
        <w:pStyle w:val="ListParagraph"/>
        <w:numPr>
          <w:ilvl w:val="0"/>
          <w:numId w:val="37"/>
        </w:numPr>
        <w:rPr>
          <w:color w:val="0B2B43" w:themeColor="text2" w:themeShade="80"/>
        </w:rPr>
      </w:pPr>
      <w:r w:rsidRPr="004A1196">
        <w:rPr>
          <w:color w:val="0B2B43" w:themeColor="text2" w:themeShade="80"/>
        </w:rPr>
        <w:t>Senator The Hon Simon Birmingham,</w:t>
      </w:r>
      <w:r w:rsidR="002C6039" w:rsidRPr="004A1196">
        <w:rPr>
          <w:color w:val="0B2B43" w:themeColor="text2" w:themeShade="80"/>
        </w:rPr>
        <w:t xml:space="preserve"> Minister for Education and Training</w:t>
      </w:r>
    </w:p>
    <w:p w:rsidR="00AC4352" w:rsidRPr="004A1196" w:rsidRDefault="00AC4352" w:rsidP="00AC4352">
      <w:pPr>
        <w:pStyle w:val="ListParagraph"/>
        <w:numPr>
          <w:ilvl w:val="0"/>
          <w:numId w:val="37"/>
        </w:numPr>
        <w:rPr>
          <w:color w:val="0B2B43" w:themeColor="text2" w:themeShade="80"/>
        </w:rPr>
      </w:pPr>
      <w:r w:rsidRPr="004A1196">
        <w:rPr>
          <w:color w:val="0B2B43" w:themeColor="text2" w:themeShade="80"/>
        </w:rPr>
        <w:t xml:space="preserve">Ms Kelly </w:t>
      </w:r>
      <w:proofErr w:type="spellStart"/>
      <w:r w:rsidRPr="004A1196">
        <w:rPr>
          <w:color w:val="0B2B43" w:themeColor="text2" w:themeShade="80"/>
        </w:rPr>
        <w:t>O’Dwyer</w:t>
      </w:r>
      <w:proofErr w:type="spellEnd"/>
      <w:r w:rsidRPr="004A1196">
        <w:rPr>
          <w:color w:val="0B2B43" w:themeColor="text2" w:themeShade="80"/>
        </w:rPr>
        <w:t>,</w:t>
      </w:r>
      <w:r w:rsidR="002C6039" w:rsidRPr="004A1196">
        <w:rPr>
          <w:color w:val="0B2B43" w:themeColor="text2" w:themeShade="80"/>
        </w:rPr>
        <w:t xml:space="preserve"> Minister</w:t>
      </w:r>
      <w:r w:rsidRPr="004A1196">
        <w:rPr>
          <w:color w:val="0B2B43" w:themeColor="text2" w:themeShade="80"/>
        </w:rPr>
        <w:t> </w:t>
      </w:r>
      <w:r w:rsidR="002C6039" w:rsidRPr="004A1196">
        <w:rPr>
          <w:color w:val="0B2B43" w:themeColor="text2" w:themeShade="80"/>
        </w:rPr>
        <w:t xml:space="preserve">for </w:t>
      </w:r>
      <w:r w:rsidRPr="004A1196">
        <w:rPr>
          <w:color w:val="0B2B43" w:themeColor="text2" w:themeShade="80"/>
        </w:rPr>
        <w:t>Small Business</w:t>
      </w:r>
    </w:p>
    <w:p w:rsidR="002C6039" w:rsidRPr="004A1196" w:rsidRDefault="002C6039" w:rsidP="002C6039">
      <w:pPr>
        <w:pStyle w:val="ListParagraph"/>
        <w:numPr>
          <w:ilvl w:val="0"/>
          <w:numId w:val="37"/>
        </w:numPr>
        <w:rPr>
          <w:color w:val="0B2B43" w:themeColor="text2" w:themeShade="80"/>
        </w:rPr>
      </w:pPr>
      <w:r w:rsidRPr="004A1196">
        <w:rPr>
          <w:color w:val="0B2B43" w:themeColor="text2" w:themeShade="80"/>
        </w:rPr>
        <w:t xml:space="preserve">The Hon Christopher Pyne, Minister for </w:t>
      </w:r>
      <w:r w:rsidR="00AC4352" w:rsidRPr="004A1196">
        <w:rPr>
          <w:color w:val="0B2B43" w:themeColor="text2" w:themeShade="80"/>
        </w:rPr>
        <w:t>Industry</w:t>
      </w:r>
      <w:r w:rsidRPr="004A1196">
        <w:rPr>
          <w:color w:val="0B2B43" w:themeColor="text2" w:themeShade="80"/>
        </w:rPr>
        <w:t>, Innovation and Science</w:t>
      </w:r>
    </w:p>
    <w:p w:rsidR="002C6039" w:rsidRPr="004A1196" w:rsidRDefault="002C6039" w:rsidP="002C6039">
      <w:pPr>
        <w:pStyle w:val="RIHeading2"/>
        <w:rPr>
          <w:color w:val="0B2B43" w:themeColor="text2" w:themeShade="80"/>
        </w:rPr>
      </w:pPr>
      <w:bookmarkStart w:id="529" w:name="_Toc436651903"/>
      <w:bookmarkStart w:id="530" w:name="_Toc436659711"/>
      <w:bookmarkStart w:id="531" w:name="_Toc436660209"/>
      <w:bookmarkStart w:id="532" w:name="_Toc436392792"/>
      <w:r w:rsidRPr="004A1196">
        <w:rPr>
          <w:color w:val="0B2B43" w:themeColor="text2" w:themeShade="80"/>
        </w:rPr>
        <w:t>Universities</w:t>
      </w:r>
      <w:bookmarkEnd w:id="529"/>
      <w:bookmarkEnd w:id="530"/>
      <w:bookmarkEnd w:id="531"/>
      <w:r w:rsidRPr="004A1196">
        <w:rPr>
          <w:color w:val="0B2B43" w:themeColor="text2" w:themeShade="80"/>
        </w:rPr>
        <w:t xml:space="preserve"> </w:t>
      </w:r>
      <w:bookmarkEnd w:id="532"/>
    </w:p>
    <w:p w:rsidR="002C6039" w:rsidRPr="004A1196" w:rsidRDefault="002C6039" w:rsidP="002C6039">
      <w:pPr>
        <w:pStyle w:val="ListParagraph"/>
        <w:numPr>
          <w:ilvl w:val="0"/>
          <w:numId w:val="38"/>
        </w:numPr>
        <w:rPr>
          <w:color w:val="0B2B43" w:themeColor="text2" w:themeShade="80"/>
        </w:rPr>
      </w:pPr>
      <w:r w:rsidRPr="004A1196">
        <w:rPr>
          <w:color w:val="0B2B43" w:themeColor="text2" w:themeShade="80"/>
        </w:rPr>
        <w:t>Australian Catholic University</w:t>
      </w:r>
    </w:p>
    <w:p w:rsidR="00617C22" w:rsidRPr="004A1196" w:rsidRDefault="00617C22" w:rsidP="00617C22">
      <w:pPr>
        <w:pStyle w:val="ListParagraph"/>
        <w:numPr>
          <w:ilvl w:val="0"/>
          <w:numId w:val="38"/>
        </w:numPr>
        <w:rPr>
          <w:color w:val="0B2B43" w:themeColor="text2" w:themeShade="80"/>
        </w:rPr>
      </w:pPr>
      <w:r w:rsidRPr="004A1196">
        <w:rPr>
          <w:color w:val="0B2B43" w:themeColor="text2" w:themeShade="80"/>
        </w:rPr>
        <w:t>Batchelor Institute of Indigenous Tertiary Education</w:t>
      </w:r>
    </w:p>
    <w:p w:rsidR="002C6039" w:rsidRPr="004A1196" w:rsidRDefault="002C6039" w:rsidP="002C6039">
      <w:pPr>
        <w:pStyle w:val="ListParagraph"/>
        <w:numPr>
          <w:ilvl w:val="0"/>
          <w:numId w:val="38"/>
        </w:numPr>
        <w:rPr>
          <w:color w:val="0B2B43" w:themeColor="text2" w:themeShade="80"/>
        </w:rPr>
      </w:pPr>
      <w:r w:rsidRPr="004A1196">
        <w:rPr>
          <w:color w:val="0B2B43" w:themeColor="text2" w:themeShade="80"/>
        </w:rPr>
        <w:t>Bond University</w:t>
      </w:r>
    </w:p>
    <w:p w:rsidR="002C6039" w:rsidRPr="004A1196" w:rsidRDefault="002C6039" w:rsidP="002C6039">
      <w:pPr>
        <w:pStyle w:val="ListParagraph"/>
        <w:numPr>
          <w:ilvl w:val="0"/>
          <w:numId w:val="38"/>
        </w:numPr>
        <w:rPr>
          <w:color w:val="0B2B43" w:themeColor="text2" w:themeShade="80"/>
        </w:rPr>
      </w:pPr>
      <w:r w:rsidRPr="004A1196">
        <w:rPr>
          <w:color w:val="0B2B43" w:themeColor="text2" w:themeShade="80"/>
        </w:rPr>
        <w:t>Charles Darwin University</w:t>
      </w:r>
    </w:p>
    <w:p w:rsidR="002C6039" w:rsidRPr="004A1196" w:rsidRDefault="002C6039" w:rsidP="002C6039">
      <w:pPr>
        <w:pStyle w:val="ListParagraph"/>
        <w:numPr>
          <w:ilvl w:val="0"/>
          <w:numId w:val="38"/>
        </w:numPr>
        <w:rPr>
          <w:color w:val="0B2B43" w:themeColor="text2" w:themeShade="80"/>
        </w:rPr>
      </w:pPr>
      <w:r w:rsidRPr="004A1196">
        <w:rPr>
          <w:color w:val="0B2B43" w:themeColor="text2" w:themeShade="80"/>
        </w:rPr>
        <w:t>Charles Sturt University</w:t>
      </w:r>
    </w:p>
    <w:p w:rsidR="002C6039" w:rsidRPr="004A1196" w:rsidRDefault="00386935" w:rsidP="002C6039">
      <w:pPr>
        <w:pStyle w:val="ListParagraph"/>
        <w:numPr>
          <w:ilvl w:val="0"/>
          <w:numId w:val="38"/>
        </w:numPr>
        <w:rPr>
          <w:color w:val="0B2B43" w:themeColor="text2" w:themeShade="80"/>
        </w:rPr>
      </w:pPr>
      <w:r w:rsidRPr="004A1196">
        <w:rPr>
          <w:color w:val="0B2B43" w:themeColor="text2" w:themeShade="80"/>
        </w:rPr>
        <w:t>C</w:t>
      </w:r>
      <w:r>
        <w:rPr>
          <w:color w:val="0B2B43" w:themeColor="text2" w:themeShade="80"/>
        </w:rPr>
        <w:t xml:space="preserve">entral </w:t>
      </w:r>
      <w:r w:rsidRPr="004A1196">
        <w:rPr>
          <w:color w:val="0B2B43" w:themeColor="text2" w:themeShade="80"/>
        </w:rPr>
        <w:t>Q</w:t>
      </w:r>
      <w:r>
        <w:rPr>
          <w:color w:val="0B2B43" w:themeColor="text2" w:themeShade="80"/>
        </w:rPr>
        <w:t xml:space="preserve">ueensland </w:t>
      </w:r>
      <w:r w:rsidR="002C6039" w:rsidRPr="004A1196">
        <w:rPr>
          <w:color w:val="0B2B43" w:themeColor="text2" w:themeShade="80"/>
        </w:rPr>
        <w:t>University</w:t>
      </w:r>
    </w:p>
    <w:p w:rsidR="00500D8F" w:rsidRDefault="00500D8F" w:rsidP="00500D8F">
      <w:pPr>
        <w:pStyle w:val="ListParagraph"/>
        <w:numPr>
          <w:ilvl w:val="0"/>
          <w:numId w:val="38"/>
        </w:numPr>
        <w:rPr>
          <w:color w:val="0B2B43" w:themeColor="text2" w:themeShade="80"/>
        </w:rPr>
      </w:pPr>
      <w:r w:rsidRPr="00500D8F">
        <w:rPr>
          <w:color w:val="0B2B43" w:themeColor="text2" w:themeShade="80"/>
        </w:rPr>
        <w:t xml:space="preserve">Curtin University of Technology </w:t>
      </w:r>
    </w:p>
    <w:p w:rsidR="002C6039" w:rsidRPr="004A1196" w:rsidRDefault="002C6039" w:rsidP="00500D8F">
      <w:pPr>
        <w:pStyle w:val="ListParagraph"/>
        <w:numPr>
          <w:ilvl w:val="0"/>
          <w:numId w:val="38"/>
        </w:numPr>
        <w:rPr>
          <w:color w:val="0B2B43" w:themeColor="text2" w:themeShade="80"/>
        </w:rPr>
      </w:pPr>
      <w:r w:rsidRPr="004A1196">
        <w:rPr>
          <w:color w:val="0B2B43" w:themeColor="text2" w:themeShade="80"/>
        </w:rPr>
        <w:t>Deakin University</w:t>
      </w:r>
    </w:p>
    <w:p w:rsidR="002C6039" w:rsidRPr="004A1196" w:rsidRDefault="002C6039" w:rsidP="002C6039">
      <w:pPr>
        <w:pStyle w:val="ListParagraph"/>
        <w:numPr>
          <w:ilvl w:val="0"/>
          <w:numId w:val="38"/>
        </w:numPr>
        <w:rPr>
          <w:color w:val="0B2B43" w:themeColor="text2" w:themeShade="80"/>
        </w:rPr>
      </w:pPr>
      <w:r w:rsidRPr="004A1196">
        <w:rPr>
          <w:color w:val="0B2B43" w:themeColor="text2" w:themeShade="80"/>
        </w:rPr>
        <w:t>Edith Cowan University</w:t>
      </w:r>
    </w:p>
    <w:p w:rsidR="002C6039" w:rsidRPr="004A1196" w:rsidRDefault="002C6039" w:rsidP="002C6039">
      <w:pPr>
        <w:pStyle w:val="ListParagraph"/>
        <w:numPr>
          <w:ilvl w:val="0"/>
          <w:numId w:val="38"/>
        </w:numPr>
        <w:rPr>
          <w:color w:val="0B2B43" w:themeColor="text2" w:themeShade="80"/>
        </w:rPr>
      </w:pPr>
      <w:r w:rsidRPr="004A1196">
        <w:rPr>
          <w:color w:val="0B2B43" w:themeColor="text2" w:themeShade="80"/>
        </w:rPr>
        <w:t>Federation University Australia</w:t>
      </w:r>
    </w:p>
    <w:p w:rsidR="00500D8F" w:rsidRDefault="00500D8F" w:rsidP="00500D8F">
      <w:pPr>
        <w:pStyle w:val="ListParagraph"/>
        <w:numPr>
          <w:ilvl w:val="0"/>
          <w:numId w:val="38"/>
        </w:numPr>
        <w:rPr>
          <w:color w:val="0B2B43" w:themeColor="text2" w:themeShade="80"/>
        </w:rPr>
      </w:pPr>
      <w:r w:rsidRPr="00500D8F">
        <w:rPr>
          <w:color w:val="0B2B43" w:themeColor="text2" w:themeShade="80"/>
        </w:rPr>
        <w:t xml:space="preserve">The Flinders University of South Australia </w:t>
      </w:r>
    </w:p>
    <w:p w:rsidR="002C6039" w:rsidRPr="004A1196" w:rsidRDefault="002C6039" w:rsidP="00500D8F">
      <w:pPr>
        <w:pStyle w:val="ListParagraph"/>
        <w:numPr>
          <w:ilvl w:val="0"/>
          <w:numId w:val="38"/>
        </w:numPr>
        <w:rPr>
          <w:color w:val="0B2B43" w:themeColor="text2" w:themeShade="80"/>
        </w:rPr>
      </w:pPr>
      <w:r w:rsidRPr="004A1196">
        <w:rPr>
          <w:color w:val="0B2B43" w:themeColor="text2" w:themeShade="80"/>
        </w:rPr>
        <w:t>Griffith University</w:t>
      </w:r>
    </w:p>
    <w:p w:rsidR="002C6039" w:rsidRPr="004A1196" w:rsidRDefault="002C6039" w:rsidP="002C6039">
      <w:pPr>
        <w:pStyle w:val="ListParagraph"/>
        <w:numPr>
          <w:ilvl w:val="0"/>
          <w:numId w:val="38"/>
        </w:numPr>
        <w:rPr>
          <w:color w:val="0B2B43" w:themeColor="text2" w:themeShade="80"/>
        </w:rPr>
      </w:pPr>
      <w:r w:rsidRPr="004A1196">
        <w:rPr>
          <w:color w:val="0B2B43" w:themeColor="text2" w:themeShade="80"/>
        </w:rPr>
        <w:t>James Cook University</w:t>
      </w:r>
    </w:p>
    <w:p w:rsidR="002C6039" w:rsidRPr="004A1196" w:rsidRDefault="002C6039" w:rsidP="002C6039">
      <w:pPr>
        <w:pStyle w:val="ListParagraph"/>
        <w:numPr>
          <w:ilvl w:val="0"/>
          <w:numId w:val="38"/>
        </w:numPr>
        <w:rPr>
          <w:color w:val="0B2B43" w:themeColor="text2" w:themeShade="80"/>
        </w:rPr>
      </w:pPr>
      <w:r w:rsidRPr="004A1196">
        <w:rPr>
          <w:color w:val="0B2B43" w:themeColor="text2" w:themeShade="80"/>
        </w:rPr>
        <w:t>La Trobe University</w:t>
      </w:r>
    </w:p>
    <w:p w:rsidR="002C6039" w:rsidRPr="004A1196" w:rsidRDefault="002C6039" w:rsidP="002C6039">
      <w:pPr>
        <w:pStyle w:val="ListParagraph"/>
        <w:numPr>
          <w:ilvl w:val="0"/>
          <w:numId w:val="38"/>
        </w:numPr>
        <w:rPr>
          <w:color w:val="0B2B43" w:themeColor="text2" w:themeShade="80"/>
        </w:rPr>
      </w:pPr>
      <w:r w:rsidRPr="004A1196">
        <w:rPr>
          <w:color w:val="0B2B43" w:themeColor="text2" w:themeShade="80"/>
        </w:rPr>
        <w:t>Macquarie University</w:t>
      </w:r>
    </w:p>
    <w:p w:rsidR="00794AF7" w:rsidRDefault="00794AF7" w:rsidP="00794AF7">
      <w:pPr>
        <w:pStyle w:val="ListParagraph"/>
        <w:numPr>
          <w:ilvl w:val="0"/>
          <w:numId w:val="38"/>
        </w:numPr>
        <w:rPr>
          <w:color w:val="0B2B43" w:themeColor="text2" w:themeShade="80"/>
        </w:rPr>
      </w:pPr>
      <w:r w:rsidRPr="006155F5">
        <w:rPr>
          <w:color w:val="0B2B43" w:themeColor="text2" w:themeShade="80"/>
        </w:rPr>
        <w:t xml:space="preserve">MCD University of Divinity </w:t>
      </w:r>
    </w:p>
    <w:p w:rsidR="002C6039" w:rsidRPr="004A1196" w:rsidRDefault="002C6039" w:rsidP="002C6039">
      <w:pPr>
        <w:pStyle w:val="ListParagraph"/>
        <w:numPr>
          <w:ilvl w:val="0"/>
          <w:numId w:val="38"/>
        </w:numPr>
        <w:rPr>
          <w:color w:val="0B2B43" w:themeColor="text2" w:themeShade="80"/>
        </w:rPr>
      </w:pPr>
      <w:r w:rsidRPr="004A1196">
        <w:rPr>
          <w:color w:val="0B2B43" w:themeColor="text2" w:themeShade="80"/>
        </w:rPr>
        <w:t>Monash University</w:t>
      </w:r>
    </w:p>
    <w:p w:rsidR="002C6039" w:rsidRPr="004A1196" w:rsidRDefault="002C6039" w:rsidP="002C6039">
      <w:pPr>
        <w:pStyle w:val="ListParagraph"/>
        <w:numPr>
          <w:ilvl w:val="0"/>
          <w:numId w:val="38"/>
        </w:numPr>
        <w:rPr>
          <w:color w:val="0B2B43" w:themeColor="text2" w:themeShade="80"/>
        </w:rPr>
      </w:pPr>
      <w:r w:rsidRPr="004A1196">
        <w:rPr>
          <w:color w:val="0B2B43" w:themeColor="text2" w:themeShade="80"/>
        </w:rPr>
        <w:t>Murdock University</w:t>
      </w:r>
    </w:p>
    <w:p w:rsidR="002C6039" w:rsidRPr="004A1196" w:rsidRDefault="002C6039" w:rsidP="002C6039">
      <w:pPr>
        <w:pStyle w:val="ListParagraph"/>
        <w:numPr>
          <w:ilvl w:val="0"/>
          <w:numId w:val="38"/>
        </w:numPr>
        <w:rPr>
          <w:color w:val="0B2B43" w:themeColor="text2" w:themeShade="80"/>
        </w:rPr>
      </w:pPr>
      <w:r w:rsidRPr="004A1196">
        <w:rPr>
          <w:color w:val="0B2B43" w:themeColor="text2" w:themeShade="80"/>
        </w:rPr>
        <w:t>Queensland University of Technology</w:t>
      </w:r>
    </w:p>
    <w:p w:rsidR="00500D8F" w:rsidRDefault="00500D8F" w:rsidP="00500D8F">
      <w:pPr>
        <w:pStyle w:val="ListParagraph"/>
        <w:numPr>
          <w:ilvl w:val="0"/>
          <w:numId w:val="38"/>
        </w:numPr>
        <w:rPr>
          <w:color w:val="0B2B43" w:themeColor="text2" w:themeShade="80"/>
        </w:rPr>
      </w:pPr>
      <w:r w:rsidRPr="00500D8F">
        <w:rPr>
          <w:color w:val="0B2B43" w:themeColor="text2" w:themeShade="80"/>
        </w:rPr>
        <w:t xml:space="preserve">Royal Melbourne Institute of Technology </w:t>
      </w:r>
    </w:p>
    <w:p w:rsidR="002C6039" w:rsidRPr="004A1196" w:rsidRDefault="002C6039" w:rsidP="00500D8F">
      <w:pPr>
        <w:pStyle w:val="ListParagraph"/>
        <w:numPr>
          <w:ilvl w:val="0"/>
          <w:numId w:val="38"/>
        </w:numPr>
        <w:rPr>
          <w:color w:val="0B2B43" w:themeColor="text2" w:themeShade="80"/>
        </w:rPr>
      </w:pPr>
      <w:r w:rsidRPr="004A1196">
        <w:rPr>
          <w:color w:val="0B2B43" w:themeColor="text2" w:themeShade="80"/>
        </w:rPr>
        <w:t>Southern Cross University</w:t>
      </w:r>
    </w:p>
    <w:p w:rsidR="002C6039" w:rsidRPr="004A1196" w:rsidRDefault="002C6039" w:rsidP="002C6039">
      <w:pPr>
        <w:pStyle w:val="ListParagraph"/>
        <w:numPr>
          <w:ilvl w:val="0"/>
          <w:numId w:val="38"/>
        </w:numPr>
        <w:rPr>
          <w:color w:val="0B2B43" w:themeColor="text2" w:themeShade="80"/>
        </w:rPr>
      </w:pPr>
      <w:r w:rsidRPr="004A1196">
        <w:rPr>
          <w:color w:val="0B2B43" w:themeColor="text2" w:themeShade="80"/>
        </w:rPr>
        <w:t>Swinburne University of Technology</w:t>
      </w:r>
    </w:p>
    <w:p w:rsidR="002C6039" w:rsidRPr="004A1196" w:rsidRDefault="002C6039" w:rsidP="002C6039">
      <w:pPr>
        <w:pStyle w:val="ListParagraph"/>
        <w:numPr>
          <w:ilvl w:val="0"/>
          <w:numId w:val="38"/>
        </w:numPr>
        <w:rPr>
          <w:color w:val="0B2B43" w:themeColor="text2" w:themeShade="80"/>
        </w:rPr>
      </w:pPr>
      <w:r w:rsidRPr="004A1196">
        <w:rPr>
          <w:color w:val="0B2B43" w:themeColor="text2" w:themeShade="80"/>
        </w:rPr>
        <w:t>The Australian National University</w:t>
      </w:r>
    </w:p>
    <w:p w:rsidR="002C6039" w:rsidRPr="004A1196" w:rsidRDefault="002C6039" w:rsidP="002C6039">
      <w:pPr>
        <w:pStyle w:val="ListParagraph"/>
        <w:numPr>
          <w:ilvl w:val="0"/>
          <w:numId w:val="38"/>
        </w:numPr>
        <w:rPr>
          <w:color w:val="0B2B43" w:themeColor="text2" w:themeShade="80"/>
        </w:rPr>
      </w:pPr>
      <w:r w:rsidRPr="004A1196">
        <w:rPr>
          <w:color w:val="0B2B43" w:themeColor="text2" w:themeShade="80"/>
        </w:rPr>
        <w:t>The University of Adelaide</w:t>
      </w:r>
    </w:p>
    <w:p w:rsidR="002C6039" w:rsidRPr="004A1196" w:rsidRDefault="002C6039" w:rsidP="006155F5">
      <w:pPr>
        <w:pStyle w:val="ListParagraph"/>
        <w:numPr>
          <w:ilvl w:val="0"/>
          <w:numId w:val="38"/>
        </w:numPr>
        <w:rPr>
          <w:color w:val="0B2B43" w:themeColor="text2" w:themeShade="80"/>
        </w:rPr>
      </w:pPr>
      <w:r w:rsidRPr="004A1196">
        <w:rPr>
          <w:color w:val="0B2B43" w:themeColor="text2" w:themeShade="80"/>
        </w:rPr>
        <w:t>The University of Melbourne</w:t>
      </w:r>
    </w:p>
    <w:p w:rsidR="002C6039" w:rsidRPr="004A1196" w:rsidRDefault="002C6039" w:rsidP="002C6039">
      <w:pPr>
        <w:pStyle w:val="ListParagraph"/>
        <w:numPr>
          <w:ilvl w:val="0"/>
          <w:numId w:val="38"/>
        </w:numPr>
        <w:rPr>
          <w:color w:val="0B2B43" w:themeColor="text2" w:themeShade="80"/>
        </w:rPr>
      </w:pPr>
      <w:r w:rsidRPr="004A1196">
        <w:rPr>
          <w:color w:val="0B2B43" w:themeColor="text2" w:themeShade="80"/>
        </w:rPr>
        <w:t>The University of Newcastle</w:t>
      </w:r>
    </w:p>
    <w:p w:rsidR="002C6039" w:rsidRPr="004A1196" w:rsidRDefault="002C6039" w:rsidP="002C6039">
      <w:pPr>
        <w:pStyle w:val="ListParagraph"/>
        <w:numPr>
          <w:ilvl w:val="0"/>
          <w:numId w:val="38"/>
        </w:numPr>
        <w:rPr>
          <w:color w:val="0B2B43" w:themeColor="text2" w:themeShade="80"/>
        </w:rPr>
      </w:pPr>
      <w:r w:rsidRPr="004A1196">
        <w:rPr>
          <w:color w:val="0B2B43" w:themeColor="text2" w:themeShade="80"/>
        </w:rPr>
        <w:t>The University of Notre Dame</w:t>
      </w:r>
      <w:r w:rsidR="00500D8F">
        <w:rPr>
          <w:color w:val="0B2B43" w:themeColor="text2" w:themeShade="80"/>
        </w:rPr>
        <w:t xml:space="preserve"> Australia</w:t>
      </w:r>
    </w:p>
    <w:p w:rsidR="002C6039" w:rsidRPr="004A1196" w:rsidRDefault="002C6039" w:rsidP="002C6039">
      <w:pPr>
        <w:pStyle w:val="ListParagraph"/>
        <w:numPr>
          <w:ilvl w:val="0"/>
          <w:numId w:val="38"/>
        </w:numPr>
        <w:rPr>
          <w:color w:val="0B2B43" w:themeColor="text2" w:themeShade="80"/>
        </w:rPr>
      </w:pPr>
      <w:r w:rsidRPr="004A1196">
        <w:rPr>
          <w:color w:val="0B2B43" w:themeColor="text2" w:themeShade="80"/>
        </w:rPr>
        <w:t>The University of Queensland</w:t>
      </w:r>
    </w:p>
    <w:p w:rsidR="002C6039" w:rsidRPr="004A1196" w:rsidRDefault="002C6039" w:rsidP="002C6039">
      <w:pPr>
        <w:pStyle w:val="ListParagraph"/>
        <w:numPr>
          <w:ilvl w:val="0"/>
          <w:numId w:val="38"/>
        </w:numPr>
        <w:rPr>
          <w:color w:val="0B2B43" w:themeColor="text2" w:themeShade="80"/>
        </w:rPr>
      </w:pPr>
      <w:r w:rsidRPr="004A1196">
        <w:rPr>
          <w:color w:val="0B2B43" w:themeColor="text2" w:themeShade="80"/>
        </w:rPr>
        <w:t>The University of Sydney</w:t>
      </w:r>
    </w:p>
    <w:p w:rsidR="002C6039" w:rsidRPr="004A1196" w:rsidRDefault="002C6039" w:rsidP="002C6039">
      <w:pPr>
        <w:pStyle w:val="ListParagraph"/>
        <w:numPr>
          <w:ilvl w:val="0"/>
          <w:numId w:val="38"/>
        </w:numPr>
        <w:rPr>
          <w:color w:val="0B2B43" w:themeColor="text2" w:themeShade="80"/>
        </w:rPr>
      </w:pPr>
      <w:r w:rsidRPr="004A1196">
        <w:rPr>
          <w:color w:val="0B2B43" w:themeColor="text2" w:themeShade="80"/>
        </w:rPr>
        <w:t>The University of Western Australia</w:t>
      </w:r>
    </w:p>
    <w:p w:rsidR="002C6039" w:rsidRPr="004A1196" w:rsidRDefault="002C6039" w:rsidP="002C6039">
      <w:pPr>
        <w:pStyle w:val="ListParagraph"/>
        <w:numPr>
          <w:ilvl w:val="0"/>
          <w:numId w:val="38"/>
        </w:numPr>
        <w:rPr>
          <w:color w:val="0B2B43" w:themeColor="text2" w:themeShade="80"/>
        </w:rPr>
      </w:pPr>
      <w:r w:rsidRPr="004A1196">
        <w:rPr>
          <w:color w:val="0B2B43" w:themeColor="text2" w:themeShade="80"/>
        </w:rPr>
        <w:t>University of Canberra</w:t>
      </w:r>
    </w:p>
    <w:p w:rsidR="00794AF7" w:rsidRPr="004A1196" w:rsidRDefault="00794AF7" w:rsidP="00794AF7">
      <w:pPr>
        <w:pStyle w:val="ListParagraph"/>
        <w:numPr>
          <w:ilvl w:val="0"/>
          <w:numId w:val="38"/>
        </w:numPr>
        <w:rPr>
          <w:color w:val="0B2B43" w:themeColor="text2" w:themeShade="80"/>
        </w:rPr>
      </w:pPr>
      <w:r w:rsidRPr="004A1196">
        <w:rPr>
          <w:color w:val="0B2B43" w:themeColor="text2" w:themeShade="80"/>
        </w:rPr>
        <w:t>University of New South Wales</w:t>
      </w:r>
    </w:p>
    <w:p w:rsidR="002C6039" w:rsidRPr="004A1196" w:rsidRDefault="002C6039" w:rsidP="002C6039">
      <w:pPr>
        <w:pStyle w:val="ListParagraph"/>
        <w:numPr>
          <w:ilvl w:val="0"/>
          <w:numId w:val="38"/>
        </w:numPr>
        <w:rPr>
          <w:color w:val="0B2B43" w:themeColor="text2" w:themeShade="80"/>
        </w:rPr>
      </w:pPr>
      <w:r w:rsidRPr="004A1196">
        <w:rPr>
          <w:color w:val="0B2B43" w:themeColor="text2" w:themeShade="80"/>
        </w:rPr>
        <w:t>University of South Australia</w:t>
      </w:r>
    </w:p>
    <w:p w:rsidR="002C6039" w:rsidRPr="004A1196" w:rsidRDefault="002C6039" w:rsidP="002C6039">
      <w:pPr>
        <w:pStyle w:val="ListParagraph"/>
        <w:numPr>
          <w:ilvl w:val="0"/>
          <w:numId w:val="38"/>
        </w:numPr>
        <w:rPr>
          <w:color w:val="0B2B43" w:themeColor="text2" w:themeShade="80"/>
        </w:rPr>
      </w:pPr>
      <w:r w:rsidRPr="004A1196">
        <w:rPr>
          <w:color w:val="0B2B43" w:themeColor="text2" w:themeShade="80"/>
        </w:rPr>
        <w:t>University of Southern Queensland</w:t>
      </w:r>
    </w:p>
    <w:p w:rsidR="002C6039" w:rsidRPr="004A1196" w:rsidRDefault="002C6039" w:rsidP="002C6039">
      <w:pPr>
        <w:pStyle w:val="ListParagraph"/>
        <w:numPr>
          <w:ilvl w:val="0"/>
          <w:numId w:val="38"/>
        </w:numPr>
        <w:rPr>
          <w:color w:val="0B2B43" w:themeColor="text2" w:themeShade="80"/>
        </w:rPr>
      </w:pPr>
      <w:r w:rsidRPr="004A1196">
        <w:rPr>
          <w:color w:val="0B2B43" w:themeColor="text2" w:themeShade="80"/>
        </w:rPr>
        <w:t>University of Tasmania</w:t>
      </w:r>
    </w:p>
    <w:p w:rsidR="002C6039" w:rsidRPr="004A1196" w:rsidRDefault="002C6039" w:rsidP="002C6039">
      <w:pPr>
        <w:pStyle w:val="ListParagraph"/>
        <w:numPr>
          <w:ilvl w:val="0"/>
          <w:numId w:val="38"/>
        </w:numPr>
        <w:rPr>
          <w:color w:val="0B2B43" w:themeColor="text2" w:themeShade="80"/>
        </w:rPr>
      </w:pPr>
      <w:r w:rsidRPr="004A1196">
        <w:rPr>
          <w:color w:val="0B2B43" w:themeColor="text2" w:themeShade="80"/>
        </w:rPr>
        <w:t>University of Technology</w:t>
      </w:r>
      <w:r w:rsidR="006155F5">
        <w:rPr>
          <w:color w:val="0B2B43" w:themeColor="text2" w:themeShade="80"/>
        </w:rPr>
        <w:t>,</w:t>
      </w:r>
      <w:r w:rsidRPr="004A1196">
        <w:rPr>
          <w:color w:val="0B2B43" w:themeColor="text2" w:themeShade="80"/>
        </w:rPr>
        <w:t xml:space="preserve"> Sydney</w:t>
      </w:r>
    </w:p>
    <w:p w:rsidR="002C6039" w:rsidRPr="004A1196" w:rsidRDefault="002C6039" w:rsidP="002C6039">
      <w:pPr>
        <w:pStyle w:val="ListParagraph"/>
        <w:numPr>
          <w:ilvl w:val="0"/>
          <w:numId w:val="38"/>
        </w:numPr>
        <w:rPr>
          <w:color w:val="0B2B43" w:themeColor="text2" w:themeShade="80"/>
        </w:rPr>
      </w:pPr>
      <w:r w:rsidRPr="004A1196">
        <w:rPr>
          <w:color w:val="0B2B43" w:themeColor="text2" w:themeShade="80"/>
        </w:rPr>
        <w:t>University of the Sunshine Coast</w:t>
      </w:r>
    </w:p>
    <w:p w:rsidR="002C6039" w:rsidRPr="004A1196" w:rsidRDefault="002C6039" w:rsidP="002C6039">
      <w:pPr>
        <w:pStyle w:val="ListParagraph"/>
        <w:numPr>
          <w:ilvl w:val="0"/>
          <w:numId w:val="38"/>
        </w:numPr>
        <w:rPr>
          <w:color w:val="0B2B43" w:themeColor="text2" w:themeShade="80"/>
        </w:rPr>
      </w:pPr>
      <w:r w:rsidRPr="004A1196">
        <w:rPr>
          <w:color w:val="0B2B43" w:themeColor="text2" w:themeShade="80"/>
        </w:rPr>
        <w:t>University of Wollongong</w:t>
      </w:r>
    </w:p>
    <w:p w:rsidR="002C6039" w:rsidRPr="004A1196" w:rsidRDefault="002C6039" w:rsidP="002C6039">
      <w:pPr>
        <w:pStyle w:val="ListParagraph"/>
        <w:numPr>
          <w:ilvl w:val="0"/>
          <w:numId w:val="38"/>
        </w:numPr>
        <w:rPr>
          <w:color w:val="0B2B43" w:themeColor="text2" w:themeShade="80"/>
        </w:rPr>
      </w:pPr>
      <w:r w:rsidRPr="004A1196">
        <w:rPr>
          <w:color w:val="0B2B43" w:themeColor="text2" w:themeShade="80"/>
        </w:rPr>
        <w:t>Victoria University</w:t>
      </w:r>
    </w:p>
    <w:p w:rsidR="002C6039" w:rsidRPr="004A1196" w:rsidRDefault="002C6039" w:rsidP="002C6039">
      <w:pPr>
        <w:pStyle w:val="ListParagraph"/>
        <w:numPr>
          <w:ilvl w:val="0"/>
          <w:numId w:val="38"/>
        </w:numPr>
        <w:rPr>
          <w:color w:val="0B2B43" w:themeColor="text2" w:themeShade="80"/>
        </w:rPr>
      </w:pPr>
      <w:r w:rsidRPr="004A1196">
        <w:rPr>
          <w:color w:val="0B2B43" w:themeColor="text2" w:themeShade="80"/>
        </w:rPr>
        <w:t>Western Sydney University</w:t>
      </w:r>
    </w:p>
    <w:p w:rsidR="002C6039" w:rsidRPr="004A1196" w:rsidRDefault="002C6039" w:rsidP="002C6039">
      <w:pPr>
        <w:pStyle w:val="RIHeading2"/>
        <w:rPr>
          <w:rFonts w:asciiTheme="minorHAnsi" w:hAnsiTheme="minorHAnsi" w:cstheme="minorHAnsi"/>
          <w:color w:val="0B2B43" w:themeColor="text2" w:themeShade="80"/>
          <w:sz w:val="24"/>
          <w:szCs w:val="24"/>
        </w:rPr>
      </w:pPr>
      <w:bookmarkStart w:id="533" w:name="_Toc436651904"/>
      <w:bookmarkStart w:id="534" w:name="_Toc436659712"/>
      <w:bookmarkStart w:id="535" w:name="_Toc436660210"/>
      <w:r w:rsidRPr="004A1196">
        <w:rPr>
          <w:rFonts w:asciiTheme="minorHAnsi" w:hAnsiTheme="minorHAnsi" w:cstheme="minorHAnsi"/>
          <w:color w:val="0B2B43" w:themeColor="text2" w:themeShade="80"/>
          <w:sz w:val="24"/>
          <w:szCs w:val="24"/>
        </w:rPr>
        <w:t>Research Institutes</w:t>
      </w:r>
      <w:bookmarkEnd w:id="533"/>
      <w:bookmarkEnd w:id="534"/>
      <w:bookmarkEnd w:id="535"/>
      <w:r w:rsidRPr="004A1196">
        <w:rPr>
          <w:rFonts w:asciiTheme="minorHAnsi" w:hAnsiTheme="minorHAnsi" w:cstheme="minorHAnsi"/>
          <w:color w:val="0B2B43" w:themeColor="text2" w:themeShade="80"/>
          <w:sz w:val="24"/>
          <w:szCs w:val="24"/>
        </w:rPr>
        <w:t xml:space="preserve"> </w:t>
      </w:r>
    </w:p>
    <w:p w:rsidR="002C6039" w:rsidRPr="004A1196" w:rsidRDefault="002C6039" w:rsidP="002C6039">
      <w:pPr>
        <w:pStyle w:val="ListParagraph"/>
        <w:numPr>
          <w:ilvl w:val="0"/>
          <w:numId w:val="39"/>
        </w:numPr>
        <w:rPr>
          <w:color w:val="0B2B43" w:themeColor="text2" w:themeShade="80"/>
        </w:rPr>
      </w:pPr>
      <w:r w:rsidRPr="004A1196">
        <w:rPr>
          <w:color w:val="0B2B43" w:themeColor="text2" w:themeShade="80"/>
        </w:rPr>
        <w:t>Australasian Joint Research Centre for Building Information Modelling (BIM)</w:t>
      </w:r>
    </w:p>
    <w:p w:rsidR="002C6039" w:rsidRPr="004A1196" w:rsidRDefault="002C6039" w:rsidP="002C6039">
      <w:pPr>
        <w:pStyle w:val="ListParagraph"/>
        <w:numPr>
          <w:ilvl w:val="0"/>
          <w:numId w:val="39"/>
        </w:numPr>
        <w:rPr>
          <w:color w:val="0B2B43" w:themeColor="text2" w:themeShade="80"/>
        </w:rPr>
      </w:pPr>
      <w:r w:rsidRPr="004A1196">
        <w:rPr>
          <w:color w:val="0B2B43" w:themeColor="text2" w:themeShade="80"/>
        </w:rPr>
        <w:t xml:space="preserve">Centre for </w:t>
      </w:r>
      <w:proofErr w:type="spellStart"/>
      <w:r w:rsidRPr="004A1196">
        <w:rPr>
          <w:color w:val="0B2B43" w:themeColor="text2" w:themeShade="80"/>
        </w:rPr>
        <w:t>Macroalgal</w:t>
      </w:r>
      <w:proofErr w:type="spellEnd"/>
      <w:r w:rsidRPr="004A1196">
        <w:rPr>
          <w:color w:val="0B2B43" w:themeColor="text2" w:themeShade="80"/>
        </w:rPr>
        <w:t xml:space="preserve"> Resources &amp; Biotechnology</w:t>
      </w:r>
    </w:p>
    <w:p w:rsidR="002C6039" w:rsidRPr="004A1196" w:rsidRDefault="002C6039" w:rsidP="002C6039">
      <w:pPr>
        <w:pStyle w:val="ListParagraph"/>
        <w:numPr>
          <w:ilvl w:val="0"/>
          <w:numId w:val="39"/>
        </w:numPr>
        <w:rPr>
          <w:color w:val="0B2B43" w:themeColor="text2" w:themeShade="80"/>
        </w:rPr>
      </w:pPr>
      <w:r w:rsidRPr="004A1196">
        <w:rPr>
          <w:color w:val="0B2B43" w:themeColor="text2" w:themeShade="80"/>
        </w:rPr>
        <w:t>Centre for Sustainable Tropical Fisheries and Aquaculture</w:t>
      </w:r>
    </w:p>
    <w:p w:rsidR="002C6039" w:rsidRPr="004A1196" w:rsidRDefault="002C6039" w:rsidP="002C6039">
      <w:pPr>
        <w:pStyle w:val="ListParagraph"/>
        <w:numPr>
          <w:ilvl w:val="0"/>
          <w:numId w:val="39"/>
        </w:numPr>
        <w:rPr>
          <w:color w:val="0B2B43" w:themeColor="text2" w:themeShade="80"/>
        </w:rPr>
      </w:pPr>
      <w:r w:rsidRPr="004A1196">
        <w:rPr>
          <w:color w:val="0B2B43" w:themeColor="text2" w:themeShade="80"/>
        </w:rPr>
        <w:t>Centre for Tropical Water and Aquatic Ecosystem Research</w:t>
      </w:r>
    </w:p>
    <w:p w:rsidR="002C6039" w:rsidRPr="004A1196" w:rsidRDefault="002C6039" w:rsidP="002C6039">
      <w:pPr>
        <w:pStyle w:val="ListParagraph"/>
        <w:numPr>
          <w:ilvl w:val="0"/>
          <w:numId w:val="39"/>
        </w:numPr>
        <w:rPr>
          <w:color w:val="0B2B43" w:themeColor="text2" w:themeShade="80"/>
        </w:rPr>
      </w:pPr>
      <w:r w:rsidRPr="004A1196">
        <w:rPr>
          <w:color w:val="0B2B43" w:themeColor="text2" w:themeShade="80"/>
        </w:rPr>
        <w:t>CSIRO</w:t>
      </w:r>
    </w:p>
    <w:p w:rsidR="002C6039" w:rsidRPr="004A1196" w:rsidRDefault="002C6039" w:rsidP="002C6039">
      <w:pPr>
        <w:pStyle w:val="ListParagraph"/>
        <w:numPr>
          <w:ilvl w:val="0"/>
          <w:numId w:val="39"/>
        </w:numPr>
        <w:rPr>
          <w:color w:val="0B2B43" w:themeColor="text2" w:themeShade="80"/>
        </w:rPr>
      </w:pPr>
      <w:r w:rsidRPr="004A1196">
        <w:rPr>
          <w:color w:val="0B2B43" w:themeColor="text2" w:themeShade="80"/>
        </w:rPr>
        <w:t>Edith Cowan University Security Research Institute</w:t>
      </w:r>
    </w:p>
    <w:p w:rsidR="002C6039" w:rsidRPr="004A1196" w:rsidRDefault="002C6039" w:rsidP="002C6039">
      <w:pPr>
        <w:pStyle w:val="ListParagraph"/>
        <w:numPr>
          <w:ilvl w:val="0"/>
          <w:numId w:val="39"/>
        </w:numPr>
        <w:rPr>
          <w:color w:val="0B2B43" w:themeColor="text2" w:themeShade="80"/>
        </w:rPr>
      </w:pPr>
      <w:r w:rsidRPr="004A1196">
        <w:rPr>
          <w:color w:val="0B2B43" w:themeColor="text2" w:themeShade="80"/>
        </w:rPr>
        <w:t xml:space="preserve">Harry Perkins Institute of Medical Research </w:t>
      </w:r>
    </w:p>
    <w:p w:rsidR="002C6039" w:rsidRPr="004A1196" w:rsidRDefault="002C6039" w:rsidP="002C6039">
      <w:pPr>
        <w:pStyle w:val="ListParagraph"/>
        <w:numPr>
          <w:ilvl w:val="0"/>
          <w:numId w:val="39"/>
        </w:numPr>
        <w:rPr>
          <w:color w:val="0B2B43" w:themeColor="text2" w:themeShade="80"/>
        </w:rPr>
      </w:pPr>
      <w:r w:rsidRPr="004A1196">
        <w:rPr>
          <w:color w:val="0B2B43" w:themeColor="text2" w:themeShade="80"/>
        </w:rPr>
        <w:t>Industry and PhD Research Engagement Program (</w:t>
      </w:r>
      <w:proofErr w:type="spellStart"/>
      <w:r w:rsidRPr="004A1196">
        <w:rPr>
          <w:color w:val="0B2B43" w:themeColor="text2" w:themeShade="80"/>
        </w:rPr>
        <w:t>iPREP</w:t>
      </w:r>
      <w:proofErr w:type="spellEnd"/>
      <w:r w:rsidRPr="004A1196">
        <w:rPr>
          <w:color w:val="0B2B43" w:themeColor="text2" w:themeShade="80"/>
        </w:rPr>
        <w:t>)</w:t>
      </w:r>
    </w:p>
    <w:p w:rsidR="002C6039" w:rsidRPr="004A1196" w:rsidRDefault="002C6039" w:rsidP="002C6039">
      <w:pPr>
        <w:pStyle w:val="ListParagraph"/>
        <w:numPr>
          <w:ilvl w:val="0"/>
          <w:numId w:val="39"/>
        </w:numPr>
        <w:rPr>
          <w:color w:val="0B2B43" w:themeColor="text2" w:themeShade="80"/>
        </w:rPr>
      </w:pPr>
      <w:r w:rsidRPr="004A1196">
        <w:rPr>
          <w:color w:val="0B2B43" w:themeColor="text2" w:themeShade="80"/>
        </w:rPr>
        <w:t>Institute for Immunology and Infectious Diseases</w:t>
      </w:r>
    </w:p>
    <w:p w:rsidR="002C6039" w:rsidRPr="004A1196" w:rsidRDefault="002C6039" w:rsidP="002C6039">
      <w:pPr>
        <w:pStyle w:val="ListParagraph"/>
        <w:numPr>
          <w:ilvl w:val="0"/>
          <w:numId w:val="39"/>
        </w:numPr>
        <w:rPr>
          <w:color w:val="0B2B43" w:themeColor="text2" w:themeShade="80"/>
        </w:rPr>
      </w:pPr>
      <w:r w:rsidRPr="004A1196">
        <w:rPr>
          <w:color w:val="0B2B43" w:themeColor="text2" w:themeShade="80"/>
        </w:rPr>
        <w:t xml:space="preserve">James Cook University </w:t>
      </w:r>
      <w:proofErr w:type="spellStart"/>
      <w:r w:rsidRPr="004A1196">
        <w:rPr>
          <w:color w:val="0B2B43" w:themeColor="text2" w:themeShade="80"/>
        </w:rPr>
        <w:t>eResearch</w:t>
      </w:r>
      <w:proofErr w:type="spellEnd"/>
      <w:r w:rsidRPr="004A1196">
        <w:rPr>
          <w:color w:val="0B2B43" w:themeColor="text2" w:themeShade="80"/>
        </w:rPr>
        <w:t xml:space="preserve"> Centre </w:t>
      </w:r>
    </w:p>
    <w:p w:rsidR="002C6039" w:rsidRPr="004A1196" w:rsidRDefault="002C6039" w:rsidP="002C6039">
      <w:pPr>
        <w:pStyle w:val="ListParagraph"/>
        <w:numPr>
          <w:ilvl w:val="0"/>
          <w:numId w:val="39"/>
        </w:numPr>
        <w:rPr>
          <w:color w:val="0B2B43" w:themeColor="text2" w:themeShade="80"/>
        </w:rPr>
      </w:pPr>
      <w:r w:rsidRPr="004A1196">
        <w:rPr>
          <w:color w:val="0B2B43" w:themeColor="text2" w:themeShade="80"/>
        </w:rPr>
        <w:t>Western Australian Energy Research Alliance (</w:t>
      </w:r>
      <w:proofErr w:type="spellStart"/>
      <w:r w:rsidRPr="004A1196">
        <w:rPr>
          <w:color w:val="0B2B43" w:themeColor="text2" w:themeShade="80"/>
        </w:rPr>
        <w:t>WA:ERA</w:t>
      </w:r>
      <w:proofErr w:type="spellEnd"/>
      <w:r w:rsidRPr="004A1196">
        <w:rPr>
          <w:color w:val="0B2B43" w:themeColor="text2" w:themeShade="80"/>
        </w:rPr>
        <w:t>)</w:t>
      </w:r>
    </w:p>
    <w:p w:rsidR="002C6039" w:rsidRPr="004A1196" w:rsidRDefault="002C6039" w:rsidP="002C6039">
      <w:pPr>
        <w:pStyle w:val="RIHeading2"/>
        <w:spacing w:before="0"/>
        <w:rPr>
          <w:rFonts w:asciiTheme="minorHAnsi" w:hAnsiTheme="minorHAnsi" w:cstheme="minorHAnsi"/>
          <w:color w:val="0B2B43" w:themeColor="text2" w:themeShade="80"/>
          <w:sz w:val="24"/>
          <w:szCs w:val="24"/>
        </w:rPr>
      </w:pPr>
      <w:bookmarkStart w:id="536" w:name="_Toc436651905"/>
      <w:bookmarkStart w:id="537" w:name="_Toc436659713"/>
      <w:bookmarkStart w:id="538" w:name="_Toc436660211"/>
      <w:r w:rsidRPr="004A1196">
        <w:rPr>
          <w:rFonts w:asciiTheme="minorHAnsi" w:hAnsiTheme="minorHAnsi" w:cstheme="minorHAnsi"/>
          <w:color w:val="0B2B43" w:themeColor="text2" w:themeShade="80"/>
          <w:sz w:val="24"/>
          <w:szCs w:val="24"/>
        </w:rPr>
        <w:t>University Cohort Groups</w:t>
      </w:r>
      <w:bookmarkEnd w:id="536"/>
      <w:bookmarkEnd w:id="537"/>
      <w:bookmarkEnd w:id="538"/>
    </w:p>
    <w:p w:rsidR="002C6039" w:rsidRPr="004A1196" w:rsidRDefault="002C6039" w:rsidP="002C6039">
      <w:pPr>
        <w:pStyle w:val="ListParagraph"/>
        <w:numPr>
          <w:ilvl w:val="0"/>
          <w:numId w:val="40"/>
        </w:numPr>
        <w:rPr>
          <w:color w:val="0B2B43" w:themeColor="text2" w:themeShade="80"/>
        </w:rPr>
      </w:pPr>
      <w:r w:rsidRPr="004A1196">
        <w:rPr>
          <w:color w:val="0B2B43" w:themeColor="text2" w:themeShade="80"/>
        </w:rPr>
        <w:t>Australian Technology Network of Universities</w:t>
      </w:r>
    </w:p>
    <w:p w:rsidR="002C6039" w:rsidRPr="004A1196" w:rsidRDefault="002C6039" w:rsidP="002C6039">
      <w:pPr>
        <w:pStyle w:val="ListParagraph"/>
        <w:numPr>
          <w:ilvl w:val="0"/>
          <w:numId w:val="40"/>
        </w:numPr>
        <w:rPr>
          <w:color w:val="0B2B43" w:themeColor="text2" w:themeShade="80"/>
        </w:rPr>
      </w:pPr>
      <w:r w:rsidRPr="004A1196">
        <w:rPr>
          <w:color w:val="0B2B43" w:themeColor="text2" w:themeShade="80"/>
        </w:rPr>
        <w:t xml:space="preserve">Group of Eight </w:t>
      </w:r>
    </w:p>
    <w:p w:rsidR="002C6039" w:rsidRPr="004A1196" w:rsidRDefault="002C6039" w:rsidP="002C6039">
      <w:pPr>
        <w:pStyle w:val="ListParagraph"/>
        <w:numPr>
          <w:ilvl w:val="0"/>
          <w:numId w:val="40"/>
        </w:numPr>
        <w:rPr>
          <w:color w:val="0B2B43" w:themeColor="text2" w:themeShade="80"/>
        </w:rPr>
      </w:pPr>
      <w:r w:rsidRPr="004A1196">
        <w:rPr>
          <w:color w:val="0B2B43" w:themeColor="text2" w:themeShade="80"/>
        </w:rPr>
        <w:t>Innovative Research Universities</w:t>
      </w:r>
    </w:p>
    <w:p w:rsidR="002C6039" w:rsidRPr="004A1196" w:rsidRDefault="002C6039" w:rsidP="002C6039">
      <w:pPr>
        <w:pStyle w:val="ListParagraph"/>
        <w:numPr>
          <w:ilvl w:val="0"/>
          <w:numId w:val="40"/>
        </w:numPr>
        <w:rPr>
          <w:color w:val="0B2B43" w:themeColor="text2" w:themeShade="80"/>
        </w:rPr>
      </w:pPr>
      <w:r w:rsidRPr="004A1196">
        <w:rPr>
          <w:color w:val="0B2B43" w:themeColor="text2" w:themeShade="80"/>
        </w:rPr>
        <w:t>Regional Universities Network</w:t>
      </w:r>
    </w:p>
    <w:p w:rsidR="002C6039" w:rsidRPr="004A1196" w:rsidRDefault="002C6039" w:rsidP="002C6039">
      <w:pPr>
        <w:pStyle w:val="ListParagraph"/>
        <w:numPr>
          <w:ilvl w:val="0"/>
          <w:numId w:val="40"/>
        </w:numPr>
        <w:rPr>
          <w:color w:val="0B2B43" w:themeColor="text2" w:themeShade="80"/>
        </w:rPr>
      </w:pPr>
      <w:r w:rsidRPr="004A1196">
        <w:rPr>
          <w:color w:val="0B2B43" w:themeColor="text2" w:themeShade="80"/>
        </w:rPr>
        <w:t>Universities Australia</w:t>
      </w:r>
    </w:p>
    <w:p w:rsidR="002C6039" w:rsidRPr="004A1196" w:rsidRDefault="002C6039" w:rsidP="002C6039">
      <w:pPr>
        <w:pStyle w:val="RIHeading2"/>
        <w:rPr>
          <w:rFonts w:asciiTheme="minorHAnsi" w:hAnsiTheme="minorHAnsi" w:cstheme="minorHAnsi"/>
          <w:color w:val="0B2B43" w:themeColor="text2" w:themeShade="80"/>
          <w:sz w:val="24"/>
          <w:szCs w:val="24"/>
        </w:rPr>
      </w:pPr>
      <w:bookmarkStart w:id="539" w:name="_Toc436651906"/>
      <w:bookmarkStart w:id="540" w:name="_Toc436659714"/>
      <w:bookmarkStart w:id="541" w:name="_Toc436660212"/>
      <w:r w:rsidRPr="004A1196">
        <w:rPr>
          <w:rFonts w:asciiTheme="minorHAnsi" w:hAnsiTheme="minorHAnsi" w:cstheme="minorHAnsi"/>
          <w:color w:val="0B2B43" w:themeColor="text2" w:themeShade="80"/>
          <w:sz w:val="24"/>
          <w:szCs w:val="24"/>
        </w:rPr>
        <w:t>Funding Councils</w:t>
      </w:r>
      <w:bookmarkEnd w:id="539"/>
      <w:bookmarkEnd w:id="540"/>
      <w:bookmarkEnd w:id="541"/>
    </w:p>
    <w:p w:rsidR="002C6039" w:rsidRPr="004A1196" w:rsidRDefault="002C6039" w:rsidP="002C6039">
      <w:pPr>
        <w:pStyle w:val="ListParagraph"/>
        <w:numPr>
          <w:ilvl w:val="0"/>
          <w:numId w:val="41"/>
        </w:numPr>
        <w:rPr>
          <w:rFonts w:asciiTheme="minorHAnsi" w:hAnsiTheme="minorHAnsi"/>
          <w:b/>
          <w:color w:val="0B2B43" w:themeColor="text2" w:themeShade="80"/>
        </w:rPr>
      </w:pPr>
      <w:r w:rsidRPr="004A1196">
        <w:rPr>
          <w:color w:val="0B2B43" w:themeColor="text2" w:themeShade="80"/>
        </w:rPr>
        <w:t>Australian Research Council</w:t>
      </w:r>
    </w:p>
    <w:p w:rsidR="002C6039" w:rsidRPr="004A1196" w:rsidRDefault="002C6039" w:rsidP="002C6039">
      <w:pPr>
        <w:pStyle w:val="ListParagraph"/>
        <w:numPr>
          <w:ilvl w:val="0"/>
          <w:numId w:val="41"/>
        </w:numPr>
        <w:rPr>
          <w:color w:val="0B2B43" w:themeColor="text2" w:themeShade="80"/>
        </w:rPr>
      </w:pPr>
      <w:r w:rsidRPr="004A1196">
        <w:rPr>
          <w:color w:val="0B2B43" w:themeColor="text2" w:themeShade="80"/>
        </w:rPr>
        <w:t>National Health and Medical Research Council</w:t>
      </w:r>
    </w:p>
    <w:p w:rsidR="002C6039" w:rsidRPr="004A1196" w:rsidRDefault="002C6039" w:rsidP="002C6039">
      <w:pPr>
        <w:pStyle w:val="RIHeading2"/>
        <w:spacing w:before="0"/>
        <w:rPr>
          <w:rFonts w:asciiTheme="minorHAnsi" w:hAnsiTheme="minorHAnsi" w:cstheme="minorHAnsi"/>
          <w:color w:val="0B2B43" w:themeColor="text2" w:themeShade="80"/>
          <w:sz w:val="24"/>
          <w:szCs w:val="24"/>
        </w:rPr>
      </w:pPr>
      <w:bookmarkStart w:id="542" w:name="_Toc436651907"/>
      <w:bookmarkStart w:id="543" w:name="_Toc436659715"/>
      <w:bookmarkStart w:id="544" w:name="_Toc436660213"/>
      <w:r w:rsidRPr="004A1196">
        <w:rPr>
          <w:rFonts w:asciiTheme="minorHAnsi" w:hAnsiTheme="minorHAnsi" w:cstheme="minorHAnsi"/>
          <w:color w:val="0B2B43" w:themeColor="text2" w:themeShade="80"/>
          <w:sz w:val="24"/>
          <w:szCs w:val="24"/>
        </w:rPr>
        <w:t>Academies</w:t>
      </w:r>
      <w:bookmarkEnd w:id="542"/>
      <w:bookmarkEnd w:id="543"/>
      <w:bookmarkEnd w:id="544"/>
      <w:r w:rsidRPr="004A1196">
        <w:rPr>
          <w:rFonts w:asciiTheme="minorHAnsi" w:hAnsiTheme="minorHAnsi" w:cstheme="minorHAnsi"/>
          <w:color w:val="0B2B43" w:themeColor="text2" w:themeShade="80"/>
          <w:sz w:val="24"/>
          <w:szCs w:val="24"/>
        </w:rPr>
        <w:t xml:space="preserve"> </w:t>
      </w:r>
    </w:p>
    <w:p w:rsidR="002C6039" w:rsidRPr="004A1196" w:rsidRDefault="002C6039" w:rsidP="002C6039">
      <w:pPr>
        <w:pStyle w:val="ListParagraph"/>
        <w:numPr>
          <w:ilvl w:val="0"/>
          <w:numId w:val="42"/>
        </w:numPr>
        <w:rPr>
          <w:color w:val="0B2B43" w:themeColor="text2" w:themeShade="80"/>
        </w:rPr>
      </w:pPr>
      <w:r w:rsidRPr="004A1196">
        <w:rPr>
          <w:color w:val="0B2B43" w:themeColor="text2" w:themeShade="80"/>
        </w:rPr>
        <w:t>Australian Academy of the Humanities</w:t>
      </w:r>
    </w:p>
    <w:p w:rsidR="002C6039" w:rsidRPr="004A1196" w:rsidRDefault="002C6039" w:rsidP="002C6039">
      <w:pPr>
        <w:pStyle w:val="ListParagraph"/>
        <w:numPr>
          <w:ilvl w:val="0"/>
          <w:numId w:val="42"/>
        </w:numPr>
        <w:rPr>
          <w:color w:val="0B2B43" w:themeColor="text2" w:themeShade="80"/>
        </w:rPr>
      </w:pPr>
      <w:r w:rsidRPr="004A1196">
        <w:rPr>
          <w:color w:val="0B2B43" w:themeColor="text2" w:themeShade="80"/>
        </w:rPr>
        <w:t>Australian Academy of Science</w:t>
      </w:r>
    </w:p>
    <w:p w:rsidR="002C6039" w:rsidRPr="004A1196" w:rsidRDefault="002C6039" w:rsidP="002C6039">
      <w:pPr>
        <w:pStyle w:val="ListParagraph"/>
        <w:numPr>
          <w:ilvl w:val="0"/>
          <w:numId w:val="42"/>
        </w:numPr>
        <w:rPr>
          <w:color w:val="0B2B43" w:themeColor="text2" w:themeShade="80"/>
        </w:rPr>
      </w:pPr>
      <w:r w:rsidRPr="004A1196">
        <w:rPr>
          <w:color w:val="0B2B43" w:themeColor="text2" w:themeShade="80"/>
        </w:rPr>
        <w:t>Australian Academy of Technolog</w:t>
      </w:r>
      <w:r w:rsidR="00866C9F">
        <w:rPr>
          <w:color w:val="0B2B43" w:themeColor="text2" w:themeShade="80"/>
        </w:rPr>
        <w:t xml:space="preserve">y </w:t>
      </w:r>
      <w:r w:rsidRPr="004A1196">
        <w:rPr>
          <w:color w:val="0B2B43" w:themeColor="text2" w:themeShade="80"/>
        </w:rPr>
        <w:t>and Engineering</w:t>
      </w:r>
    </w:p>
    <w:p w:rsidR="002C6039" w:rsidRPr="004A1196" w:rsidRDefault="002C6039" w:rsidP="002C6039">
      <w:pPr>
        <w:pStyle w:val="ListParagraph"/>
        <w:numPr>
          <w:ilvl w:val="0"/>
          <w:numId w:val="42"/>
        </w:numPr>
        <w:rPr>
          <w:color w:val="0B2B43" w:themeColor="text2" w:themeShade="80"/>
        </w:rPr>
      </w:pPr>
      <w:r w:rsidRPr="004A1196">
        <w:rPr>
          <w:color w:val="0B2B43" w:themeColor="text2" w:themeShade="80"/>
        </w:rPr>
        <w:t>Australian Council of Learned Academies</w:t>
      </w:r>
    </w:p>
    <w:p w:rsidR="002C6039" w:rsidRPr="004A1196" w:rsidRDefault="002C6039" w:rsidP="002C6039">
      <w:pPr>
        <w:pStyle w:val="ListParagraph"/>
        <w:numPr>
          <w:ilvl w:val="0"/>
          <w:numId w:val="42"/>
        </w:numPr>
        <w:rPr>
          <w:color w:val="0B2B43" w:themeColor="text2" w:themeShade="80"/>
        </w:rPr>
      </w:pPr>
      <w:r w:rsidRPr="004A1196">
        <w:rPr>
          <w:color w:val="0B2B43" w:themeColor="text2" w:themeShade="80"/>
        </w:rPr>
        <w:t>Academy of Social Sciences in Australia</w:t>
      </w:r>
    </w:p>
    <w:p w:rsidR="002C6039" w:rsidRPr="004A1196" w:rsidRDefault="002C6039" w:rsidP="002C6039">
      <w:pPr>
        <w:pStyle w:val="RIHeading2"/>
        <w:rPr>
          <w:rFonts w:asciiTheme="minorHAnsi" w:hAnsiTheme="minorHAnsi" w:cstheme="minorHAnsi"/>
          <w:color w:val="0B2B43" w:themeColor="text2" w:themeShade="80"/>
          <w:sz w:val="24"/>
          <w:szCs w:val="24"/>
        </w:rPr>
      </w:pPr>
      <w:bookmarkStart w:id="545" w:name="_Toc436651908"/>
      <w:bookmarkStart w:id="546" w:name="_Toc436659716"/>
      <w:bookmarkStart w:id="547" w:name="_Toc436660214"/>
      <w:r w:rsidRPr="004A1196">
        <w:rPr>
          <w:rFonts w:asciiTheme="minorHAnsi" w:hAnsiTheme="minorHAnsi" w:cstheme="minorHAnsi"/>
          <w:color w:val="0B2B43" w:themeColor="text2" w:themeShade="80"/>
          <w:sz w:val="24"/>
          <w:szCs w:val="24"/>
        </w:rPr>
        <w:t>Peak Bodies</w:t>
      </w:r>
      <w:bookmarkEnd w:id="545"/>
      <w:bookmarkEnd w:id="546"/>
      <w:bookmarkEnd w:id="547"/>
      <w:r w:rsidRPr="004A1196">
        <w:rPr>
          <w:rFonts w:asciiTheme="minorHAnsi" w:hAnsiTheme="minorHAnsi" w:cstheme="minorHAnsi"/>
          <w:color w:val="0B2B43" w:themeColor="text2" w:themeShade="80"/>
          <w:sz w:val="24"/>
          <w:szCs w:val="24"/>
        </w:rPr>
        <w:t xml:space="preserve"> </w:t>
      </w:r>
    </w:p>
    <w:p w:rsidR="002C6039" w:rsidRPr="004A1196" w:rsidRDefault="002C6039" w:rsidP="002C6039">
      <w:pPr>
        <w:pStyle w:val="ListParagraph"/>
        <w:numPr>
          <w:ilvl w:val="0"/>
          <w:numId w:val="43"/>
        </w:numPr>
        <w:rPr>
          <w:color w:val="0B2B43" w:themeColor="text2" w:themeShade="80"/>
        </w:rPr>
      </w:pPr>
      <w:r w:rsidRPr="004A1196">
        <w:rPr>
          <w:rFonts w:eastAsia="Symbol"/>
          <w:color w:val="0B2B43" w:themeColor="text2" w:themeShade="80"/>
        </w:rPr>
        <w:t>Association of Australian Medical Research Institutes</w:t>
      </w:r>
    </w:p>
    <w:p w:rsidR="002C6039" w:rsidRPr="004A1196" w:rsidRDefault="002C6039" w:rsidP="002C6039">
      <w:pPr>
        <w:pStyle w:val="ListParagraph"/>
        <w:numPr>
          <w:ilvl w:val="0"/>
          <w:numId w:val="43"/>
        </w:numPr>
        <w:rPr>
          <w:color w:val="0B2B43" w:themeColor="text2" w:themeShade="80"/>
        </w:rPr>
      </w:pPr>
      <w:r w:rsidRPr="004A1196">
        <w:rPr>
          <w:color w:val="0B2B43" w:themeColor="text2" w:themeShade="80"/>
        </w:rPr>
        <w:t xml:space="preserve">Australian Council of Graduate Research </w:t>
      </w:r>
    </w:p>
    <w:p w:rsidR="002C6039" w:rsidRPr="004A1196" w:rsidRDefault="002C6039" w:rsidP="002C6039">
      <w:pPr>
        <w:pStyle w:val="ListParagraph"/>
        <w:numPr>
          <w:ilvl w:val="0"/>
          <w:numId w:val="43"/>
        </w:numPr>
        <w:rPr>
          <w:rFonts w:eastAsia="Times New Roman"/>
          <w:color w:val="0B2B43" w:themeColor="text2" w:themeShade="80"/>
        </w:rPr>
      </w:pPr>
      <w:r w:rsidRPr="004A1196">
        <w:rPr>
          <w:rFonts w:eastAsia="Times New Roman"/>
          <w:color w:val="0B2B43" w:themeColor="text2" w:themeShade="80"/>
        </w:rPr>
        <w:t>Council of Australian Postgraduate Associations</w:t>
      </w:r>
    </w:p>
    <w:p w:rsidR="002C6039" w:rsidRPr="004A1196" w:rsidRDefault="002C6039" w:rsidP="002C6039">
      <w:pPr>
        <w:pStyle w:val="ListParagraph"/>
        <w:numPr>
          <w:ilvl w:val="0"/>
          <w:numId w:val="43"/>
        </w:numPr>
        <w:rPr>
          <w:color w:val="0B2B43" w:themeColor="text2" w:themeShade="80"/>
        </w:rPr>
      </w:pPr>
      <w:r w:rsidRPr="004A1196">
        <w:rPr>
          <w:rFonts w:eastAsia="Times New Roman" w:cs="Calibri"/>
          <w:color w:val="0B2B43" w:themeColor="text2" w:themeShade="80"/>
        </w:rPr>
        <w:t>Knowledge Commercialisation Australia</w:t>
      </w:r>
    </w:p>
    <w:p w:rsidR="002C6039" w:rsidRDefault="002C6039" w:rsidP="002C6039">
      <w:pPr>
        <w:pStyle w:val="ListParagraph"/>
        <w:numPr>
          <w:ilvl w:val="0"/>
          <w:numId w:val="43"/>
        </w:numPr>
        <w:rPr>
          <w:color w:val="0B2B43" w:themeColor="text2" w:themeShade="80"/>
        </w:rPr>
      </w:pPr>
      <w:r w:rsidRPr="004A1196">
        <w:rPr>
          <w:color w:val="0B2B43" w:themeColor="text2" w:themeShade="80"/>
        </w:rPr>
        <w:t>National Tertiary Education Union</w:t>
      </w:r>
    </w:p>
    <w:p w:rsidR="00866C9F" w:rsidRPr="00C6639A" w:rsidRDefault="00866C9F" w:rsidP="00C6639A">
      <w:pPr>
        <w:rPr>
          <w:color w:val="0B2B43" w:themeColor="text2" w:themeShade="80"/>
        </w:rPr>
      </w:pPr>
    </w:p>
    <w:p w:rsidR="002C6039" w:rsidRPr="004A1196" w:rsidRDefault="002C6039" w:rsidP="002C6039">
      <w:pPr>
        <w:pStyle w:val="RIHeading2"/>
        <w:spacing w:before="0"/>
        <w:rPr>
          <w:rFonts w:asciiTheme="minorHAnsi" w:hAnsiTheme="minorHAnsi" w:cstheme="minorHAnsi"/>
          <w:color w:val="0B2B43" w:themeColor="text2" w:themeShade="80"/>
          <w:sz w:val="24"/>
          <w:szCs w:val="24"/>
        </w:rPr>
      </w:pPr>
      <w:bookmarkStart w:id="548" w:name="_Toc436651909"/>
      <w:bookmarkStart w:id="549" w:name="_Toc436659717"/>
      <w:bookmarkStart w:id="550" w:name="_Toc436660215"/>
      <w:r w:rsidRPr="004A1196">
        <w:rPr>
          <w:rFonts w:asciiTheme="minorHAnsi" w:hAnsiTheme="minorHAnsi" w:cstheme="minorHAnsi"/>
          <w:color w:val="0B2B43" w:themeColor="text2" w:themeShade="80"/>
          <w:sz w:val="24"/>
          <w:szCs w:val="24"/>
        </w:rPr>
        <w:t>Business</w:t>
      </w:r>
      <w:bookmarkEnd w:id="548"/>
      <w:bookmarkEnd w:id="549"/>
      <w:bookmarkEnd w:id="550"/>
      <w:r w:rsidRPr="004A1196">
        <w:rPr>
          <w:rFonts w:asciiTheme="minorHAnsi" w:hAnsiTheme="minorHAnsi" w:cstheme="minorHAnsi"/>
          <w:color w:val="0B2B43" w:themeColor="text2" w:themeShade="80"/>
          <w:sz w:val="24"/>
          <w:szCs w:val="24"/>
        </w:rPr>
        <w:t xml:space="preserve"> </w:t>
      </w:r>
    </w:p>
    <w:p w:rsidR="002C6039" w:rsidRPr="004A1196" w:rsidRDefault="002C6039" w:rsidP="002C6039">
      <w:pPr>
        <w:pStyle w:val="ListParagraph"/>
        <w:numPr>
          <w:ilvl w:val="0"/>
          <w:numId w:val="44"/>
        </w:numPr>
        <w:rPr>
          <w:color w:val="0B2B43" w:themeColor="text2" w:themeShade="80"/>
        </w:rPr>
      </w:pPr>
      <w:r w:rsidRPr="004A1196">
        <w:rPr>
          <w:rFonts w:eastAsia="Times New Roman"/>
          <w:color w:val="0B2B43" w:themeColor="text2" w:themeShade="80"/>
        </w:rPr>
        <w:t>Australian Chamber of Commerce and Industry</w:t>
      </w:r>
    </w:p>
    <w:p w:rsidR="002C6039" w:rsidRPr="004A1196" w:rsidRDefault="002C6039" w:rsidP="002C6039">
      <w:pPr>
        <w:pStyle w:val="ListParagraph"/>
        <w:numPr>
          <w:ilvl w:val="0"/>
          <w:numId w:val="44"/>
        </w:numPr>
        <w:rPr>
          <w:color w:val="0B2B43" w:themeColor="text2" w:themeShade="80"/>
        </w:rPr>
      </w:pPr>
      <w:r w:rsidRPr="004A1196">
        <w:rPr>
          <w:color w:val="0B2B43" w:themeColor="text2" w:themeShade="80"/>
        </w:rPr>
        <w:t>Australian Industry Group</w:t>
      </w:r>
    </w:p>
    <w:p w:rsidR="002C6039" w:rsidRPr="004A1196" w:rsidRDefault="002C6039" w:rsidP="002C6039">
      <w:pPr>
        <w:pStyle w:val="ListParagraph"/>
        <w:numPr>
          <w:ilvl w:val="0"/>
          <w:numId w:val="44"/>
        </w:numPr>
        <w:rPr>
          <w:color w:val="0B2B43" w:themeColor="text2" w:themeShade="80"/>
        </w:rPr>
      </w:pPr>
      <w:r w:rsidRPr="004A1196">
        <w:rPr>
          <w:color w:val="0B2B43" w:themeColor="text2" w:themeShade="80"/>
        </w:rPr>
        <w:t xml:space="preserve">Brazier </w:t>
      </w:r>
      <w:proofErr w:type="spellStart"/>
      <w:r w:rsidRPr="004A1196">
        <w:rPr>
          <w:color w:val="0B2B43" w:themeColor="text2" w:themeShade="80"/>
        </w:rPr>
        <w:t>Motti</w:t>
      </w:r>
      <w:proofErr w:type="spellEnd"/>
      <w:r w:rsidRPr="004A1196">
        <w:rPr>
          <w:color w:val="0B2B43" w:themeColor="text2" w:themeShade="80"/>
        </w:rPr>
        <w:t xml:space="preserve"> </w:t>
      </w:r>
    </w:p>
    <w:p w:rsidR="002C6039" w:rsidRPr="004A1196" w:rsidRDefault="002C6039" w:rsidP="002C6039">
      <w:pPr>
        <w:pStyle w:val="ListParagraph"/>
        <w:numPr>
          <w:ilvl w:val="0"/>
          <w:numId w:val="44"/>
        </w:numPr>
        <w:rPr>
          <w:color w:val="0B2B43" w:themeColor="text2" w:themeShade="80"/>
        </w:rPr>
      </w:pPr>
      <w:r w:rsidRPr="004A1196">
        <w:rPr>
          <w:color w:val="0B2B43" w:themeColor="text2" w:themeShade="80"/>
        </w:rPr>
        <w:t xml:space="preserve">Business Council of Australia </w:t>
      </w:r>
    </w:p>
    <w:p w:rsidR="002C6039" w:rsidRPr="004A1196" w:rsidRDefault="002C6039" w:rsidP="002C6039">
      <w:pPr>
        <w:pStyle w:val="ListParagraph"/>
        <w:numPr>
          <w:ilvl w:val="0"/>
          <w:numId w:val="44"/>
        </w:numPr>
        <w:rPr>
          <w:color w:val="0B2B43" w:themeColor="text2" w:themeShade="80"/>
        </w:rPr>
      </w:pPr>
      <w:proofErr w:type="spellStart"/>
      <w:r w:rsidRPr="004A1196">
        <w:rPr>
          <w:color w:val="0B2B43" w:themeColor="text2" w:themeShade="80"/>
        </w:rPr>
        <w:t>Glencore</w:t>
      </w:r>
      <w:proofErr w:type="spellEnd"/>
      <w:r w:rsidRPr="004A1196">
        <w:rPr>
          <w:color w:val="0B2B43" w:themeColor="text2" w:themeShade="80"/>
        </w:rPr>
        <w:t xml:space="preserve"> Port </w:t>
      </w:r>
    </w:p>
    <w:p w:rsidR="002C6039" w:rsidRPr="004A1196" w:rsidRDefault="002C6039" w:rsidP="002C6039">
      <w:pPr>
        <w:pStyle w:val="ListParagraph"/>
        <w:numPr>
          <w:ilvl w:val="0"/>
          <w:numId w:val="44"/>
        </w:numPr>
        <w:rPr>
          <w:color w:val="0B2B43" w:themeColor="text2" w:themeShade="80"/>
        </w:rPr>
      </w:pPr>
      <w:r w:rsidRPr="004A1196">
        <w:rPr>
          <w:color w:val="0B2B43" w:themeColor="text2" w:themeShade="80"/>
        </w:rPr>
        <w:t>Mainstream Aquaculture</w:t>
      </w:r>
    </w:p>
    <w:p w:rsidR="002C6039" w:rsidRPr="004A1196" w:rsidRDefault="002C6039" w:rsidP="002C6039">
      <w:pPr>
        <w:pStyle w:val="ListParagraph"/>
        <w:numPr>
          <w:ilvl w:val="0"/>
          <w:numId w:val="44"/>
        </w:numPr>
        <w:rPr>
          <w:color w:val="0B2B43" w:themeColor="text2" w:themeShade="80"/>
        </w:rPr>
      </w:pPr>
      <w:proofErr w:type="spellStart"/>
      <w:r w:rsidRPr="004A1196">
        <w:rPr>
          <w:color w:val="0B2B43" w:themeColor="text2" w:themeShade="80"/>
        </w:rPr>
        <w:t>MBD</w:t>
      </w:r>
      <w:proofErr w:type="spellEnd"/>
      <w:r w:rsidRPr="004A1196">
        <w:rPr>
          <w:color w:val="0B2B43" w:themeColor="text2" w:themeShade="80"/>
        </w:rPr>
        <w:t xml:space="preserve"> Energy Ltd</w:t>
      </w:r>
    </w:p>
    <w:p w:rsidR="002C6039" w:rsidRPr="004A1196" w:rsidRDefault="002C6039" w:rsidP="002C6039">
      <w:pPr>
        <w:pStyle w:val="ListParagraph"/>
        <w:numPr>
          <w:ilvl w:val="0"/>
          <w:numId w:val="44"/>
        </w:numPr>
        <w:rPr>
          <w:color w:val="0B2B43" w:themeColor="text2" w:themeShade="80"/>
        </w:rPr>
      </w:pPr>
      <w:proofErr w:type="spellStart"/>
      <w:r w:rsidRPr="004A1196">
        <w:rPr>
          <w:color w:val="0B2B43" w:themeColor="text2" w:themeShade="80"/>
        </w:rPr>
        <w:t>Osmotion</w:t>
      </w:r>
      <w:proofErr w:type="spellEnd"/>
      <w:r w:rsidRPr="004A1196">
        <w:rPr>
          <w:color w:val="0B2B43" w:themeColor="text2" w:themeShade="80"/>
        </w:rPr>
        <w:t xml:space="preserve"> Ltd</w:t>
      </w:r>
    </w:p>
    <w:p w:rsidR="002C6039" w:rsidRPr="004A1196" w:rsidRDefault="002C6039" w:rsidP="002C6039">
      <w:pPr>
        <w:pStyle w:val="ListParagraph"/>
        <w:numPr>
          <w:ilvl w:val="0"/>
          <w:numId w:val="44"/>
        </w:numPr>
        <w:rPr>
          <w:color w:val="0B2B43" w:themeColor="text2" w:themeShade="80"/>
        </w:rPr>
      </w:pPr>
      <w:r w:rsidRPr="004A1196">
        <w:rPr>
          <w:color w:val="0B2B43" w:themeColor="text2" w:themeShade="80"/>
        </w:rPr>
        <w:t>Pacific Reef Fisheries</w:t>
      </w:r>
    </w:p>
    <w:p w:rsidR="002C6039" w:rsidRPr="004A1196" w:rsidRDefault="002C6039" w:rsidP="002C6039">
      <w:pPr>
        <w:pStyle w:val="ListParagraph"/>
        <w:numPr>
          <w:ilvl w:val="0"/>
          <w:numId w:val="44"/>
        </w:numPr>
        <w:rPr>
          <w:color w:val="0B2B43" w:themeColor="text2" w:themeShade="80"/>
        </w:rPr>
      </w:pPr>
      <w:r w:rsidRPr="004A1196">
        <w:rPr>
          <w:color w:val="0B2B43" w:themeColor="text2" w:themeShade="80"/>
        </w:rPr>
        <w:t xml:space="preserve">Port of Townsville Ltd </w:t>
      </w:r>
    </w:p>
    <w:p w:rsidR="002C6039" w:rsidRPr="004A1196" w:rsidRDefault="002C6039" w:rsidP="002C6039">
      <w:pPr>
        <w:pStyle w:val="ListParagraph"/>
        <w:numPr>
          <w:ilvl w:val="0"/>
          <w:numId w:val="44"/>
        </w:numPr>
        <w:rPr>
          <w:color w:val="0B2B43" w:themeColor="text2" w:themeShade="80"/>
        </w:rPr>
      </w:pPr>
      <w:r w:rsidRPr="004A1196">
        <w:rPr>
          <w:color w:val="0B2B43" w:themeColor="text2" w:themeShade="80"/>
        </w:rPr>
        <w:t>Queensland Airports Ltd</w:t>
      </w:r>
    </w:p>
    <w:p w:rsidR="002C6039" w:rsidRPr="004A1196" w:rsidRDefault="002C6039" w:rsidP="002C6039">
      <w:pPr>
        <w:pStyle w:val="ListParagraph"/>
        <w:numPr>
          <w:ilvl w:val="0"/>
          <w:numId w:val="44"/>
        </w:numPr>
        <w:rPr>
          <w:color w:val="0B2B43" w:themeColor="text2" w:themeShade="80"/>
        </w:rPr>
      </w:pPr>
      <w:proofErr w:type="spellStart"/>
      <w:r w:rsidRPr="004A1196">
        <w:rPr>
          <w:color w:val="0B2B43" w:themeColor="text2" w:themeShade="80"/>
        </w:rPr>
        <w:t>Rockfield</w:t>
      </w:r>
      <w:proofErr w:type="spellEnd"/>
      <w:r w:rsidRPr="004A1196">
        <w:rPr>
          <w:color w:val="0B2B43" w:themeColor="text2" w:themeShade="80"/>
        </w:rPr>
        <w:t xml:space="preserve"> Technologies Australia Pty Ltd</w:t>
      </w:r>
    </w:p>
    <w:p w:rsidR="002C6039" w:rsidRPr="004A1196" w:rsidRDefault="002C6039" w:rsidP="002C6039">
      <w:pPr>
        <w:pStyle w:val="ListParagraph"/>
        <w:numPr>
          <w:ilvl w:val="0"/>
          <w:numId w:val="44"/>
        </w:numPr>
        <w:rPr>
          <w:color w:val="0B2B43" w:themeColor="text2" w:themeShade="80"/>
        </w:rPr>
      </w:pPr>
      <w:proofErr w:type="spellStart"/>
      <w:r w:rsidRPr="004A1196">
        <w:rPr>
          <w:color w:val="0B2B43" w:themeColor="text2" w:themeShade="80"/>
        </w:rPr>
        <w:t>SeaLink</w:t>
      </w:r>
      <w:proofErr w:type="spellEnd"/>
      <w:r w:rsidRPr="004A1196">
        <w:rPr>
          <w:color w:val="0B2B43" w:themeColor="text2" w:themeShade="80"/>
        </w:rPr>
        <w:t xml:space="preserve"> Queensland Pty Ltd</w:t>
      </w:r>
    </w:p>
    <w:p w:rsidR="002C6039" w:rsidRPr="004A1196" w:rsidRDefault="002C6039" w:rsidP="002C6039">
      <w:pPr>
        <w:pStyle w:val="ListParagraph"/>
        <w:numPr>
          <w:ilvl w:val="0"/>
          <w:numId w:val="44"/>
        </w:numPr>
        <w:rPr>
          <w:color w:val="0B2B43" w:themeColor="text2" w:themeShade="80"/>
        </w:rPr>
      </w:pPr>
      <w:r w:rsidRPr="004A1196">
        <w:rPr>
          <w:color w:val="0B2B43" w:themeColor="text2" w:themeShade="80"/>
        </w:rPr>
        <w:t xml:space="preserve">Townsville Chamber of Commerce Board </w:t>
      </w:r>
    </w:p>
    <w:p w:rsidR="002C6039" w:rsidRPr="004A1196" w:rsidRDefault="002C6039" w:rsidP="002C6039">
      <w:pPr>
        <w:pStyle w:val="ListParagraph"/>
        <w:numPr>
          <w:ilvl w:val="0"/>
          <w:numId w:val="44"/>
        </w:numPr>
        <w:rPr>
          <w:color w:val="0B2B43" w:themeColor="text2" w:themeShade="80"/>
        </w:rPr>
      </w:pPr>
      <w:r w:rsidRPr="004A1196">
        <w:rPr>
          <w:color w:val="0B2B43" w:themeColor="text2" w:themeShade="80"/>
        </w:rPr>
        <w:t>Townsville Hospital</w:t>
      </w:r>
    </w:p>
    <w:p w:rsidR="002C6039" w:rsidRPr="004A1196" w:rsidRDefault="002C6039" w:rsidP="002C6039">
      <w:pPr>
        <w:pStyle w:val="ListParagraph"/>
        <w:numPr>
          <w:ilvl w:val="0"/>
          <w:numId w:val="44"/>
        </w:numPr>
        <w:rPr>
          <w:color w:val="0B2B43" w:themeColor="text2" w:themeShade="80"/>
        </w:rPr>
      </w:pPr>
      <w:r w:rsidRPr="004A1196">
        <w:rPr>
          <w:color w:val="0B2B43" w:themeColor="text2" w:themeShade="80"/>
        </w:rPr>
        <w:t>Townsville Enterprise Ltd</w:t>
      </w:r>
    </w:p>
    <w:p w:rsidR="002C6039" w:rsidRPr="004A1196" w:rsidRDefault="002C6039" w:rsidP="002C6039">
      <w:pPr>
        <w:pStyle w:val="ListParagraph"/>
        <w:numPr>
          <w:ilvl w:val="0"/>
          <w:numId w:val="44"/>
        </w:numPr>
        <w:rPr>
          <w:color w:val="0B2B43" w:themeColor="text2" w:themeShade="80"/>
        </w:rPr>
      </w:pPr>
      <w:r w:rsidRPr="004A1196">
        <w:rPr>
          <w:color w:val="0B2B43" w:themeColor="text2" w:themeShade="80"/>
        </w:rPr>
        <w:t xml:space="preserve">Wilson/Ryan/Grose Lawyers </w:t>
      </w:r>
    </w:p>
    <w:p w:rsidR="002C6039" w:rsidRPr="004A1196" w:rsidRDefault="002C6039" w:rsidP="002C6039">
      <w:pPr>
        <w:pStyle w:val="RIHeading2"/>
        <w:spacing w:before="0"/>
        <w:rPr>
          <w:rFonts w:asciiTheme="minorHAnsi" w:hAnsiTheme="minorHAnsi" w:cstheme="minorHAnsi"/>
          <w:color w:val="0B2B43" w:themeColor="text2" w:themeShade="80"/>
          <w:sz w:val="24"/>
          <w:szCs w:val="24"/>
        </w:rPr>
      </w:pPr>
      <w:bookmarkStart w:id="551" w:name="_Toc436651910"/>
      <w:bookmarkStart w:id="552" w:name="_Toc436659718"/>
      <w:bookmarkStart w:id="553" w:name="_Toc436660216"/>
      <w:r w:rsidRPr="004A1196">
        <w:rPr>
          <w:rFonts w:asciiTheme="minorHAnsi" w:hAnsiTheme="minorHAnsi" w:cstheme="minorHAnsi"/>
          <w:color w:val="0B2B43" w:themeColor="text2" w:themeShade="80"/>
          <w:sz w:val="24"/>
          <w:szCs w:val="24"/>
        </w:rPr>
        <w:t>Individuals</w:t>
      </w:r>
      <w:bookmarkEnd w:id="551"/>
      <w:bookmarkEnd w:id="552"/>
      <w:bookmarkEnd w:id="553"/>
      <w:r w:rsidRPr="004A1196">
        <w:rPr>
          <w:rFonts w:asciiTheme="minorHAnsi" w:hAnsiTheme="minorHAnsi" w:cstheme="minorHAnsi"/>
          <w:color w:val="0B2B43" w:themeColor="text2" w:themeShade="80"/>
          <w:sz w:val="24"/>
          <w:szCs w:val="24"/>
        </w:rPr>
        <w:t xml:space="preserve"> </w:t>
      </w:r>
    </w:p>
    <w:p w:rsidR="000F1238" w:rsidRPr="004A1196" w:rsidRDefault="000F1238" w:rsidP="000F1238">
      <w:pPr>
        <w:pStyle w:val="ListParagraph"/>
        <w:numPr>
          <w:ilvl w:val="0"/>
          <w:numId w:val="36"/>
        </w:numPr>
        <w:spacing w:before="100" w:beforeAutospacing="1" w:after="100" w:afterAutospacing="1"/>
        <w:rPr>
          <w:rFonts w:asciiTheme="minorHAnsi" w:hAnsiTheme="minorHAnsi" w:cstheme="minorHAnsi"/>
          <w:color w:val="0B2B43" w:themeColor="text2" w:themeShade="80"/>
        </w:rPr>
      </w:pPr>
      <w:r w:rsidRPr="004A1196">
        <w:rPr>
          <w:rFonts w:asciiTheme="minorHAnsi" w:hAnsiTheme="minorHAnsi" w:cstheme="minorHAnsi"/>
          <w:color w:val="0B2B43" w:themeColor="text2" w:themeShade="80"/>
        </w:rPr>
        <w:t xml:space="preserve">Mr Michael Chaney, Business member of the Commonwealth Science Council </w:t>
      </w:r>
    </w:p>
    <w:p w:rsidR="000F1238" w:rsidRPr="004A1196" w:rsidRDefault="000F1238" w:rsidP="000F1238">
      <w:pPr>
        <w:pStyle w:val="ListParagraph"/>
        <w:numPr>
          <w:ilvl w:val="0"/>
          <w:numId w:val="36"/>
        </w:numPr>
        <w:spacing w:before="100" w:beforeAutospacing="1" w:after="100" w:afterAutospacing="1"/>
        <w:rPr>
          <w:rFonts w:asciiTheme="minorHAnsi" w:hAnsiTheme="minorHAnsi" w:cstheme="minorHAnsi"/>
          <w:color w:val="0B2B43" w:themeColor="text2" w:themeShade="80"/>
        </w:rPr>
      </w:pPr>
      <w:r w:rsidRPr="004A1196">
        <w:rPr>
          <w:rFonts w:asciiTheme="minorHAnsi" w:hAnsiTheme="minorHAnsi" w:cstheme="minorHAnsi"/>
          <w:color w:val="0B2B43" w:themeColor="text2" w:themeShade="80"/>
        </w:rPr>
        <w:t xml:space="preserve">Ms Jackie Fairley, Business member of the Commonwealth Science Council </w:t>
      </w:r>
    </w:p>
    <w:p w:rsidR="002C6039" w:rsidRPr="004A1196" w:rsidRDefault="002C6039" w:rsidP="002C6039">
      <w:pPr>
        <w:pStyle w:val="ListParagraph"/>
        <w:numPr>
          <w:ilvl w:val="0"/>
          <w:numId w:val="36"/>
        </w:numPr>
        <w:spacing w:before="0" w:after="0"/>
        <w:rPr>
          <w:rFonts w:asciiTheme="minorHAnsi" w:hAnsiTheme="minorHAnsi" w:cstheme="minorHAnsi"/>
          <w:color w:val="0B2B43" w:themeColor="text2" w:themeShade="80"/>
        </w:rPr>
      </w:pPr>
      <w:r w:rsidRPr="004A1196">
        <w:rPr>
          <w:rFonts w:asciiTheme="minorHAnsi" w:hAnsiTheme="minorHAnsi" w:cstheme="minorHAnsi"/>
          <w:color w:val="0B2B43" w:themeColor="text2" w:themeShade="80"/>
        </w:rPr>
        <w:t xml:space="preserve">Mr David </w:t>
      </w:r>
      <w:proofErr w:type="spellStart"/>
      <w:r w:rsidRPr="004A1196">
        <w:rPr>
          <w:rFonts w:asciiTheme="minorHAnsi" w:hAnsiTheme="minorHAnsi" w:cstheme="minorHAnsi"/>
          <w:color w:val="0B2B43" w:themeColor="text2" w:themeShade="80"/>
        </w:rPr>
        <w:t>Gonski</w:t>
      </w:r>
      <w:proofErr w:type="spellEnd"/>
      <w:r w:rsidRPr="004A1196">
        <w:rPr>
          <w:rFonts w:asciiTheme="minorHAnsi" w:hAnsiTheme="minorHAnsi" w:cstheme="minorHAnsi"/>
          <w:color w:val="0B2B43" w:themeColor="text2" w:themeShade="80"/>
        </w:rPr>
        <w:t xml:space="preserve">, Chairman, </w:t>
      </w:r>
      <w:proofErr w:type="spellStart"/>
      <w:r w:rsidRPr="004A1196">
        <w:rPr>
          <w:rFonts w:asciiTheme="minorHAnsi" w:hAnsiTheme="minorHAnsi" w:cstheme="minorHAnsi"/>
          <w:color w:val="0B2B43" w:themeColor="text2" w:themeShade="80"/>
        </w:rPr>
        <w:t>ANZ</w:t>
      </w:r>
      <w:proofErr w:type="spellEnd"/>
    </w:p>
    <w:p w:rsidR="002C6039" w:rsidRPr="004A1196" w:rsidRDefault="002C6039" w:rsidP="002C6039">
      <w:pPr>
        <w:pStyle w:val="ListParagraph"/>
        <w:numPr>
          <w:ilvl w:val="0"/>
          <w:numId w:val="36"/>
        </w:numPr>
        <w:spacing w:before="0" w:after="0"/>
        <w:rPr>
          <w:rFonts w:asciiTheme="minorHAnsi" w:hAnsiTheme="minorHAnsi" w:cstheme="minorHAnsi"/>
          <w:color w:val="0B2B43" w:themeColor="text2" w:themeShade="80"/>
        </w:rPr>
      </w:pPr>
      <w:r w:rsidRPr="004A1196">
        <w:rPr>
          <w:rFonts w:asciiTheme="minorHAnsi" w:hAnsiTheme="minorHAnsi" w:cstheme="minorHAnsi"/>
          <w:color w:val="0B2B43" w:themeColor="text2" w:themeShade="80"/>
        </w:rPr>
        <w:t>Mr Matthew Grounds, Chief Executive, UBS Australia</w:t>
      </w:r>
    </w:p>
    <w:p w:rsidR="002C6039" w:rsidRPr="00C6639A" w:rsidRDefault="002C6039" w:rsidP="002C6039">
      <w:pPr>
        <w:pStyle w:val="ListParagraph"/>
        <w:numPr>
          <w:ilvl w:val="0"/>
          <w:numId w:val="36"/>
        </w:numPr>
        <w:spacing w:before="0" w:after="0"/>
        <w:rPr>
          <w:rFonts w:asciiTheme="minorHAnsi" w:hAnsiTheme="minorHAnsi" w:cstheme="minorHAnsi"/>
          <w:color w:val="0B2B43" w:themeColor="text2" w:themeShade="80"/>
        </w:rPr>
      </w:pPr>
      <w:r w:rsidRPr="004A1196">
        <w:rPr>
          <w:rFonts w:asciiTheme="minorHAnsi" w:eastAsia="Times New Roman" w:hAnsiTheme="minorHAnsi" w:cstheme="minorHAnsi"/>
          <w:color w:val="0B2B43" w:themeColor="text2" w:themeShade="80"/>
        </w:rPr>
        <w:t>Mr Simon McKeon AO, Chairman of Macquarie Group Limited</w:t>
      </w:r>
    </w:p>
    <w:p w:rsidR="00866C9F" w:rsidRPr="00C6639A" w:rsidRDefault="00866C9F" w:rsidP="00C6639A">
      <w:pPr>
        <w:spacing w:before="0" w:after="0"/>
        <w:rPr>
          <w:rFonts w:asciiTheme="minorHAnsi" w:hAnsiTheme="minorHAnsi" w:cstheme="minorHAnsi"/>
          <w:color w:val="0B2B43" w:themeColor="text2" w:themeShade="80"/>
        </w:rPr>
      </w:pPr>
    </w:p>
    <w:p w:rsidR="002C6039" w:rsidRPr="004A1196" w:rsidRDefault="002C6039" w:rsidP="002C6039">
      <w:pPr>
        <w:pStyle w:val="RIHeading2"/>
        <w:spacing w:before="0"/>
        <w:rPr>
          <w:rFonts w:asciiTheme="minorHAnsi" w:hAnsiTheme="minorHAnsi" w:cstheme="minorHAnsi"/>
          <w:color w:val="0B2B43" w:themeColor="text2" w:themeShade="80"/>
          <w:sz w:val="24"/>
          <w:szCs w:val="24"/>
        </w:rPr>
      </w:pPr>
      <w:bookmarkStart w:id="554" w:name="_Toc436228961"/>
      <w:bookmarkStart w:id="555" w:name="_Toc436651911"/>
      <w:bookmarkStart w:id="556" w:name="_Toc436659719"/>
      <w:bookmarkStart w:id="557" w:name="_Toc436660217"/>
      <w:r w:rsidRPr="004A1196">
        <w:rPr>
          <w:rFonts w:asciiTheme="minorHAnsi" w:hAnsiTheme="minorHAnsi" w:cstheme="minorHAnsi"/>
          <w:color w:val="0B2B43" w:themeColor="text2" w:themeShade="80"/>
          <w:sz w:val="24"/>
          <w:szCs w:val="24"/>
        </w:rPr>
        <w:t xml:space="preserve">Government </w:t>
      </w:r>
      <w:bookmarkEnd w:id="554"/>
      <w:r w:rsidRPr="004A1196">
        <w:rPr>
          <w:rFonts w:asciiTheme="minorHAnsi" w:hAnsiTheme="minorHAnsi" w:cstheme="minorHAnsi"/>
          <w:color w:val="0B2B43" w:themeColor="text2" w:themeShade="80"/>
          <w:sz w:val="24"/>
          <w:szCs w:val="24"/>
        </w:rPr>
        <w:t>departments</w:t>
      </w:r>
      <w:bookmarkEnd w:id="555"/>
      <w:bookmarkEnd w:id="556"/>
      <w:bookmarkEnd w:id="557"/>
    </w:p>
    <w:p w:rsidR="002C6039" w:rsidRPr="004A1196" w:rsidRDefault="002C6039" w:rsidP="002C6039">
      <w:pPr>
        <w:pStyle w:val="ListParagraph"/>
        <w:numPr>
          <w:ilvl w:val="0"/>
          <w:numId w:val="5"/>
        </w:numPr>
        <w:spacing w:before="0" w:after="0"/>
        <w:rPr>
          <w:rFonts w:asciiTheme="minorHAnsi" w:hAnsiTheme="minorHAnsi" w:cstheme="minorHAnsi"/>
          <w:color w:val="0B2B43" w:themeColor="text2" w:themeShade="80"/>
        </w:rPr>
      </w:pPr>
      <w:r w:rsidRPr="004A1196">
        <w:rPr>
          <w:rFonts w:asciiTheme="minorHAnsi" w:hAnsiTheme="minorHAnsi" w:cstheme="minorHAnsi"/>
          <w:color w:val="0B2B43" w:themeColor="text2" w:themeShade="80"/>
        </w:rPr>
        <w:t>Department of the Prime Minister and Cabinet</w:t>
      </w:r>
    </w:p>
    <w:p w:rsidR="002C6039" w:rsidRPr="004A1196" w:rsidRDefault="002C6039" w:rsidP="002C6039">
      <w:pPr>
        <w:pStyle w:val="ListParagraph"/>
        <w:numPr>
          <w:ilvl w:val="0"/>
          <w:numId w:val="5"/>
        </w:numPr>
        <w:spacing w:before="100" w:beforeAutospacing="1" w:after="120"/>
        <w:rPr>
          <w:rFonts w:asciiTheme="minorHAnsi" w:hAnsiTheme="minorHAnsi" w:cstheme="minorHAnsi"/>
          <w:color w:val="0B2B43" w:themeColor="text2" w:themeShade="80"/>
        </w:rPr>
      </w:pPr>
      <w:r w:rsidRPr="004A1196">
        <w:rPr>
          <w:rFonts w:asciiTheme="minorHAnsi" w:hAnsiTheme="minorHAnsi" w:cstheme="minorHAnsi"/>
          <w:color w:val="0B2B43" w:themeColor="text2" w:themeShade="80"/>
        </w:rPr>
        <w:t>The Treasury</w:t>
      </w:r>
    </w:p>
    <w:p w:rsidR="002C6039" w:rsidRPr="004A1196" w:rsidRDefault="002C6039" w:rsidP="002C6039">
      <w:pPr>
        <w:pStyle w:val="ListParagraph"/>
        <w:numPr>
          <w:ilvl w:val="0"/>
          <w:numId w:val="5"/>
        </w:numPr>
        <w:spacing w:before="100" w:beforeAutospacing="1" w:after="120"/>
        <w:rPr>
          <w:rFonts w:asciiTheme="minorHAnsi" w:hAnsiTheme="minorHAnsi" w:cstheme="minorHAnsi"/>
          <w:color w:val="0B2B43" w:themeColor="text2" w:themeShade="80"/>
        </w:rPr>
      </w:pPr>
      <w:r w:rsidRPr="004A1196">
        <w:rPr>
          <w:rFonts w:asciiTheme="minorHAnsi" w:hAnsiTheme="minorHAnsi" w:cstheme="minorHAnsi"/>
          <w:color w:val="0B2B43" w:themeColor="text2" w:themeShade="80"/>
        </w:rPr>
        <w:t xml:space="preserve">Department of Finance </w:t>
      </w:r>
    </w:p>
    <w:p w:rsidR="002C6039" w:rsidRPr="004A1196" w:rsidRDefault="002C6039" w:rsidP="002C6039">
      <w:pPr>
        <w:pStyle w:val="ListParagraph"/>
        <w:numPr>
          <w:ilvl w:val="0"/>
          <w:numId w:val="5"/>
        </w:numPr>
        <w:spacing w:before="100" w:beforeAutospacing="1" w:after="120"/>
        <w:rPr>
          <w:rFonts w:asciiTheme="minorHAnsi" w:hAnsiTheme="minorHAnsi" w:cstheme="minorHAnsi"/>
          <w:color w:val="0B2B43" w:themeColor="text2" w:themeShade="80"/>
        </w:rPr>
      </w:pPr>
      <w:r w:rsidRPr="004A1196">
        <w:rPr>
          <w:rFonts w:asciiTheme="minorHAnsi" w:hAnsiTheme="minorHAnsi" w:cstheme="minorHAnsi"/>
          <w:color w:val="0B2B43" w:themeColor="text2" w:themeShade="80"/>
        </w:rPr>
        <w:t>Department of Industry, Innovation and Science</w:t>
      </w:r>
    </w:p>
    <w:p w:rsidR="002C6039" w:rsidRPr="004A1196" w:rsidRDefault="002C6039" w:rsidP="002C6039">
      <w:pPr>
        <w:pStyle w:val="ListParagraph"/>
        <w:numPr>
          <w:ilvl w:val="0"/>
          <w:numId w:val="5"/>
        </w:numPr>
        <w:spacing w:before="100" w:beforeAutospacing="1" w:after="120"/>
        <w:rPr>
          <w:rFonts w:asciiTheme="minorHAnsi" w:hAnsiTheme="minorHAnsi" w:cstheme="minorHAnsi"/>
          <w:color w:val="0B2B43" w:themeColor="text2" w:themeShade="80"/>
        </w:rPr>
      </w:pPr>
      <w:r w:rsidRPr="004A1196">
        <w:rPr>
          <w:rFonts w:asciiTheme="minorHAnsi" w:hAnsiTheme="minorHAnsi" w:cstheme="minorHAnsi"/>
          <w:color w:val="0B2B43" w:themeColor="text2" w:themeShade="80"/>
        </w:rPr>
        <w:t>Department of Health</w:t>
      </w:r>
    </w:p>
    <w:p w:rsidR="002C6039" w:rsidRPr="004A1196" w:rsidRDefault="002C6039" w:rsidP="002C6039">
      <w:pPr>
        <w:pStyle w:val="ListParagraph"/>
        <w:numPr>
          <w:ilvl w:val="0"/>
          <w:numId w:val="5"/>
        </w:numPr>
        <w:spacing w:before="100" w:beforeAutospacing="1" w:after="120"/>
        <w:rPr>
          <w:rFonts w:asciiTheme="minorHAnsi" w:hAnsiTheme="minorHAnsi" w:cstheme="minorHAnsi"/>
          <w:color w:val="0B2B43" w:themeColor="text2" w:themeShade="80"/>
        </w:rPr>
      </w:pPr>
      <w:r w:rsidRPr="004A1196">
        <w:rPr>
          <w:rFonts w:asciiTheme="minorHAnsi" w:hAnsiTheme="minorHAnsi" w:cstheme="minorHAnsi"/>
          <w:color w:val="0B2B43" w:themeColor="text2" w:themeShade="80"/>
        </w:rPr>
        <w:t>Department of Education and Training</w:t>
      </w:r>
    </w:p>
    <w:p w:rsidR="002C6039" w:rsidRPr="004A1196" w:rsidRDefault="002C6039" w:rsidP="002C6039">
      <w:pPr>
        <w:pStyle w:val="ListParagraph"/>
        <w:numPr>
          <w:ilvl w:val="0"/>
          <w:numId w:val="5"/>
        </w:numPr>
        <w:spacing w:before="100" w:beforeAutospacing="1" w:after="120"/>
        <w:rPr>
          <w:rFonts w:asciiTheme="minorHAnsi" w:hAnsiTheme="minorHAnsi" w:cstheme="minorHAnsi"/>
          <w:color w:val="0B2B43" w:themeColor="text2" w:themeShade="80"/>
        </w:rPr>
      </w:pPr>
      <w:r w:rsidRPr="004A1196">
        <w:rPr>
          <w:rFonts w:asciiTheme="minorHAnsi" w:hAnsiTheme="minorHAnsi" w:cstheme="minorHAnsi"/>
          <w:color w:val="0B2B43" w:themeColor="text2" w:themeShade="80"/>
        </w:rPr>
        <w:t xml:space="preserve">Office of the Australia’s Chief Scientist </w:t>
      </w:r>
    </w:p>
    <w:p w:rsidR="002C6039" w:rsidRPr="004A1196" w:rsidRDefault="002C6039" w:rsidP="002C6039">
      <w:pPr>
        <w:spacing w:before="0" w:after="200" w:line="276" w:lineRule="auto"/>
        <w:rPr>
          <w:color w:val="0B2B43" w:themeColor="text2" w:themeShade="80"/>
        </w:rPr>
      </w:pPr>
      <w:r w:rsidRPr="004A1196">
        <w:rPr>
          <w:color w:val="0B2B43" w:themeColor="text2" w:themeShade="80"/>
        </w:rPr>
        <w:br w:type="page"/>
      </w:r>
    </w:p>
    <w:p w:rsidR="002C6039" w:rsidRPr="004A1196" w:rsidRDefault="002C6039" w:rsidP="002C6039">
      <w:pPr>
        <w:jc w:val="right"/>
        <w:rPr>
          <w:b/>
          <w:color w:val="0B2B43" w:themeColor="text2" w:themeShade="80"/>
        </w:rPr>
      </w:pPr>
      <w:bookmarkStart w:id="558" w:name="_Toc436228995"/>
      <w:bookmarkStart w:id="559" w:name="_Toc436392796"/>
      <w:r w:rsidRPr="004A1196">
        <w:rPr>
          <w:b/>
          <w:color w:val="0B2B43" w:themeColor="text2" w:themeShade="80"/>
        </w:rPr>
        <w:t>APPENDIX C</w:t>
      </w:r>
    </w:p>
    <w:p w:rsidR="002C6039" w:rsidRPr="004A1196" w:rsidRDefault="002C6039" w:rsidP="002C6039">
      <w:pPr>
        <w:pStyle w:val="RIHeading1"/>
        <w:rPr>
          <w:color w:val="0B2B43" w:themeColor="text2" w:themeShade="80"/>
        </w:rPr>
      </w:pPr>
      <w:bookmarkStart w:id="560" w:name="_Toc436563394"/>
      <w:bookmarkStart w:id="561" w:name="_Toc436574583"/>
      <w:bookmarkStart w:id="562" w:name="_Toc436579533"/>
      <w:bookmarkStart w:id="563" w:name="_Toc436579551"/>
      <w:bookmarkStart w:id="564" w:name="_Toc436651912"/>
      <w:bookmarkStart w:id="565" w:name="_Toc436659720"/>
      <w:bookmarkStart w:id="566" w:name="_Toc436660218"/>
      <w:bookmarkStart w:id="567" w:name="_Toc436663731"/>
      <w:bookmarkStart w:id="568" w:name="_Toc436664121"/>
      <w:bookmarkStart w:id="569" w:name="_Toc436664682"/>
      <w:bookmarkStart w:id="570" w:name="_Toc436664824"/>
      <w:bookmarkStart w:id="571" w:name="_Toc436665039"/>
      <w:bookmarkStart w:id="572" w:name="_Toc436666156"/>
      <w:bookmarkStart w:id="573" w:name="_Toc436666863"/>
      <w:bookmarkStart w:id="574" w:name="_Toc436666981"/>
      <w:bookmarkStart w:id="575" w:name="_Toc440378844"/>
      <w:r w:rsidRPr="004A1196">
        <w:rPr>
          <w:color w:val="0B2B43" w:themeColor="text2" w:themeShade="80"/>
        </w:rPr>
        <w:t>List of submissions</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rsidR="002C6039" w:rsidRPr="004A1196" w:rsidRDefault="002C6039" w:rsidP="002C6039">
      <w:pPr>
        <w:rPr>
          <w:color w:val="0B2B43" w:themeColor="text2" w:themeShade="80"/>
          <w:sz w:val="20"/>
        </w:rPr>
      </w:pPr>
      <w:r w:rsidRPr="004A1196">
        <w:rPr>
          <w:color w:val="0B2B43" w:themeColor="text2" w:themeShade="80"/>
          <w:szCs w:val="27"/>
        </w:rPr>
        <w:t xml:space="preserve">The review received </w:t>
      </w:r>
      <w:proofErr w:type="gramStart"/>
      <w:r w:rsidRPr="004A1196">
        <w:rPr>
          <w:color w:val="0B2B43" w:themeColor="text2" w:themeShade="80"/>
          <w:szCs w:val="27"/>
        </w:rPr>
        <w:t>a total of 76</w:t>
      </w:r>
      <w:proofErr w:type="gramEnd"/>
      <w:r w:rsidRPr="004A1196">
        <w:rPr>
          <w:color w:val="0B2B43" w:themeColor="text2" w:themeShade="80"/>
          <w:szCs w:val="27"/>
        </w:rPr>
        <w:t xml:space="preserve"> written submissions. The following individuals and organisations have agreed that their submissions </w:t>
      </w:r>
      <w:proofErr w:type="gramStart"/>
      <w:r w:rsidRPr="004A1196">
        <w:rPr>
          <w:color w:val="0B2B43" w:themeColor="text2" w:themeShade="80"/>
          <w:szCs w:val="27"/>
        </w:rPr>
        <w:t>can be made</w:t>
      </w:r>
      <w:proofErr w:type="gramEnd"/>
      <w:r w:rsidRPr="004A1196">
        <w:rPr>
          <w:color w:val="0B2B43" w:themeColor="text2" w:themeShade="80"/>
          <w:szCs w:val="27"/>
        </w:rPr>
        <w:t xml:space="preserve"> public. </w:t>
      </w:r>
      <w:r w:rsidR="005302B3" w:rsidRPr="004A1196">
        <w:rPr>
          <w:color w:val="0B2B43" w:themeColor="text2" w:themeShade="80"/>
          <w:szCs w:val="27"/>
        </w:rPr>
        <w:t>Confidential s</w:t>
      </w:r>
      <w:r w:rsidRPr="004A1196">
        <w:rPr>
          <w:color w:val="0B2B43" w:themeColor="text2" w:themeShade="80"/>
          <w:szCs w:val="27"/>
        </w:rPr>
        <w:t xml:space="preserve">ubmissions </w:t>
      </w:r>
      <w:proofErr w:type="gramStart"/>
      <w:r w:rsidRPr="004A1196">
        <w:rPr>
          <w:color w:val="0B2B43" w:themeColor="text2" w:themeShade="80"/>
          <w:szCs w:val="27"/>
        </w:rPr>
        <w:t>are not listed</w:t>
      </w:r>
      <w:proofErr w:type="gramEnd"/>
      <w:r w:rsidRPr="004A1196">
        <w:rPr>
          <w:color w:val="0B2B43" w:themeColor="text2" w:themeShade="80"/>
          <w:szCs w:val="27"/>
        </w:rPr>
        <w:t xml:space="preserve"> here.</w:t>
      </w:r>
    </w:p>
    <w:p w:rsidR="00495F59" w:rsidRPr="00C6639A" w:rsidRDefault="00495F59"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Association of Australian Medical Research Institutes</w:t>
      </w:r>
    </w:p>
    <w:p w:rsidR="00FC1174" w:rsidRPr="00C6639A" w:rsidRDefault="00FC1174"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Australian Academy of Humanities</w:t>
      </w:r>
    </w:p>
    <w:p w:rsidR="008C2167" w:rsidRPr="00C6639A" w:rsidRDefault="008C2167"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Australian Academy of Science</w:t>
      </w:r>
    </w:p>
    <w:p w:rsidR="00270990" w:rsidRPr="00C6639A" w:rsidRDefault="00270990"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Australian Academy of Technology and Engineering</w:t>
      </w:r>
    </w:p>
    <w:p w:rsidR="005E47C7" w:rsidRPr="00C6639A" w:rsidRDefault="005E47C7"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Australian Advanced Manufacturing Council</w:t>
      </w:r>
    </w:p>
    <w:p w:rsidR="005E47C7" w:rsidRPr="00C6639A" w:rsidRDefault="005E47C7"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 xml:space="preserve">Australian Business Deans Council </w:t>
      </w:r>
    </w:p>
    <w:p w:rsidR="00C42FD0" w:rsidRPr="00C6639A" w:rsidRDefault="00C42FD0"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Australian Catholic University</w:t>
      </w:r>
    </w:p>
    <w:p w:rsidR="00DE5F56" w:rsidRPr="00C6639A" w:rsidRDefault="00DE5F56"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Australian Council of Deans and Directors of Creative Arts</w:t>
      </w:r>
    </w:p>
    <w:p w:rsidR="00DE5F56" w:rsidRPr="00C6639A" w:rsidRDefault="00DE5F56" w:rsidP="00C6639A">
      <w:pPr>
        <w:pStyle w:val="ListParagraph"/>
        <w:numPr>
          <w:ilvl w:val="0"/>
          <w:numId w:val="69"/>
        </w:numPr>
        <w:spacing w:before="0" w:after="0"/>
        <w:rPr>
          <w:rFonts w:asciiTheme="minorHAnsi" w:hAnsiTheme="minorHAnsi" w:cstheme="minorHAnsi"/>
          <w:color w:val="0B2B43" w:themeColor="text2" w:themeShade="80"/>
        </w:rPr>
      </w:pPr>
      <w:proofErr w:type="gramStart"/>
      <w:r w:rsidRPr="00C6639A">
        <w:rPr>
          <w:rFonts w:asciiTheme="minorHAnsi" w:hAnsiTheme="minorHAnsi" w:cstheme="minorHAnsi"/>
          <w:color w:val="0B2B43" w:themeColor="text2" w:themeShade="80"/>
        </w:rPr>
        <w:t>Australian Council of Graduate Research Inc.</w:t>
      </w:r>
      <w:proofErr w:type="gramEnd"/>
      <w:r w:rsidRPr="00C6639A">
        <w:rPr>
          <w:rFonts w:asciiTheme="minorHAnsi" w:hAnsiTheme="minorHAnsi" w:cstheme="minorHAnsi"/>
          <w:color w:val="0B2B43" w:themeColor="text2" w:themeShade="80"/>
        </w:rPr>
        <w:t xml:space="preserve"> </w:t>
      </w:r>
    </w:p>
    <w:p w:rsidR="005C1099" w:rsidRPr="00C6639A" w:rsidRDefault="005C1099"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A</w:t>
      </w:r>
      <w:r w:rsidR="005E47C7" w:rsidRPr="00C6639A">
        <w:rPr>
          <w:rFonts w:asciiTheme="minorHAnsi" w:hAnsiTheme="minorHAnsi" w:cstheme="minorHAnsi"/>
          <w:color w:val="0B2B43" w:themeColor="text2" w:themeShade="80"/>
        </w:rPr>
        <w:t xml:space="preserve">ustralian </w:t>
      </w:r>
      <w:r w:rsidRPr="00C6639A">
        <w:rPr>
          <w:rFonts w:asciiTheme="minorHAnsi" w:hAnsiTheme="minorHAnsi" w:cstheme="minorHAnsi"/>
          <w:color w:val="0B2B43" w:themeColor="text2" w:themeShade="80"/>
        </w:rPr>
        <w:t>H</w:t>
      </w:r>
      <w:r w:rsidR="005E47C7" w:rsidRPr="00C6639A">
        <w:rPr>
          <w:rFonts w:asciiTheme="minorHAnsi" w:hAnsiTheme="minorHAnsi" w:cstheme="minorHAnsi"/>
          <w:color w:val="0B2B43" w:themeColor="text2" w:themeShade="80"/>
        </w:rPr>
        <w:t xml:space="preserve">ousing and </w:t>
      </w:r>
      <w:r w:rsidRPr="00C6639A">
        <w:rPr>
          <w:rFonts w:asciiTheme="minorHAnsi" w:hAnsiTheme="minorHAnsi" w:cstheme="minorHAnsi"/>
          <w:color w:val="0B2B43" w:themeColor="text2" w:themeShade="80"/>
        </w:rPr>
        <w:t>U</w:t>
      </w:r>
      <w:r w:rsidR="005E47C7" w:rsidRPr="00C6639A">
        <w:rPr>
          <w:rFonts w:asciiTheme="minorHAnsi" w:hAnsiTheme="minorHAnsi" w:cstheme="minorHAnsi"/>
          <w:color w:val="0B2B43" w:themeColor="text2" w:themeShade="80"/>
        </w:rPr>
        <w:t xml:space="preserve">rban </w:t>
      </w:r>
      <w:r w:rsidRPr="00C6639A">
        <w:rPr>
          <w:rFonts w:asciiTheme="minorHAnsi" w:hAnsiTheme="minorHAnsi" w:cstheme="minorHAnsi"/>
          <w:color w:val="0B2B43" w:themeColor="text2" w:themeShade="80"/>
        </w:rPr>
        <w:t>R</w:t>
      </w:r>
      <w:r w:rsidR="005E47C7" w:rsidRPr="00C6639A">
        <w:rPr>
          <w:rFonts w:asciiTheme="minorHAnsi" w:hAnsiTheme="minorHAnsi" w:cstheme="minorHAnsi"/>
          <w:color w:val="0B2B43" w:themeColor="text2" w:themeShade="80"/>
        </w:rPr>
        <w:t xml:space="preserve">esearch </w:t>
      </w:r>
      <w:r w:rsidRPr="00C6639A">
        <w:rPr>
          <w:rFonts w:asciiTheme="minorHAnsi" w:hAnsiTheme="minorHAnsi" w:cstheme="minorHAnsi"/>
          <w:color w:val="0B2B43" w:themeColor="text2" w:themeShade="80"/>
        </w:rPr>
        <w:t>I</w:t>
      </w:r>
      <w:r w:rsidR="005E47C7" w:rsidRPr="00C6639A">
        <w:rPr>
          <w:rFonts w:asciiTheme="minorHAnsi" w:hAnsiTheme="minorHAnsi" w:cstheme="minorHAnsi"/>
          <w:color w:val="0B2B43" w:themeColor="text2" w:themeShade="80"/>
        </w:rPr>
        <w:t>nstitute</w:t>
      </w:r>
    </w:p>
    <w:p w:rsidR="00DE5F56" w:rsidRPr="00C6639A" w:rsidRDefault="00DE5F56"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Australian Library and Information Association</w:t>
      </w:r>
    </w:p>
    <w:p w:rsidR="005E47C7" w:rsidRPr="00C6639A" w:rsidRDefault="005E47C7"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Australian Mathematical Sciences Institute</w:t>
      </w:r>
    </w:p>
    <w:p w:rsidR="005E47C7" w:rsidRPr="00C6639A" w:rsidRDefault="005E47C7"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Australian National Data Service</w:t>
      </w:r>
    </w:p>
    <w:p w:rsidR="005E47C7" w:rsidRPr="00C6639A" w:rsidRDefault="005E47C7"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 xml:space="preserve">Australasian Open Access Support Group </w:t>
      </w:r>
    </w:p>
    <w:p w:rsidR="005E47C7" w:rsidRPr="00C6639A" w:rsidRDefault="005E47C7"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Professors Barnett, Graves and Clarke</w:t>
      </w:r>
    </w:p>
    <w:p w:rsidR="005E47C7" w:rsidRPr="00C6639A" w:rsidRDefault="005E47C7"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Mr Steve Burdon</w:t>
      </w:r>
    </w:p>
    <w:p w:rsidR="005E47C7" w:rsidRPr="00C6639A" w:rsidRDefault="005E47C7"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Prof</w:t>
      </w:r>
      <w:r w:rsidR="00811D93" w:rsidRPr="00C6639A">
        <w:rPr>
          <w:rFonts w:asciiTheme="minorHAnsi" w:hAnsiTheme="minorHAnsi" w:cstheme="minorHAnsi"/>
          <w:color w:val="0B2B43" w:themeColor="text2" w:themeShade="80"/>
        </w:rPr>
        <w:t>essors</w:t>
      </w:r>
      <w:r w:rsidRPr="00C6639A">
        <w:rPr>
          <w:rFonts w:asciiTheme="minorHAnsi" w:hAnsiTheme="minorHAnsi" w:cstheme="minorHAnsi"/>
          <w:color w:val="0B2B43" w:themeColor="text2" w:themeShade="80"/>
        </w:rPr>
        <w:t xml:space="preserve"> Bruce Chapman and Prof Glenn Withers</w:t>
      </w:r>
    </w:p>
    <w:p w:rsidR="00C42FD0" w:rsidRPr="00C6639A" w:rsidRDefault="00C42FD0"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Central Queensland University</w:t>
      </w:r>
    </w:p>
    <w:p w:rsidR="00C42FD0" w:rsidRPr="00C6639A" w:rsidRDefault="00C42FD0"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Charles Darwin University</w:t>
      </w:r>
    </w:p>
    <w:p w:rsidR="00C42FD0" w:rsidRPr="00C6639A" w:rsidRDefault="00C42FD0"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Charles Sturt University</w:t>
      </w:r>
    </w:p>
    <w:p w:rsidR="00DE5F56" w:rsidRPr="00C6639A" w:rsidRDefault="00DE5F56"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Cooperative Research Centres Association</w:t>
      </w:r>
    </w:p>
    <w:p w:rsidR="00DE5F56" w:rsidRPr="00C6639A" w:rsidRDefault="00DE5F56"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Council of Australian University Librarians</w:t>
      </w:r>
    </w:p>
    <w:p w:rsidR="00DE5F56" w:rsidRPr="00C6639A" w:rsidRDefault="00DE5F56"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Council of Private Higher Education</w:t>
      </w:r>
    </w:p>
    <w:p w:rsidR="00DE5F56" w:rsidRPr="00C6639A" w:rsidRDefault="00C42FD0"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Deakin University</w:t>
      </w:r>
      <w:r w:rsidR="00DE5F56" w:rsidRPr="00C6639A">
        <w:rPr>
          <w:rFonts w:asciiTheme="minorHAnsi" w:hAnsiTheme="minorHAnsi" w:cstheme="minorHAnsi"/>
          <w:color w:val="0B2B43" w:themeColor="text2" w:themeShade="80"/>
        </w:rPr>
        <w:t xml:space="preserve"> </w:t>
      </w:r>
    </w:p>
    <w:p w:rsidR="00DE5F56" w:rsidRPr="00C6639A" w:rsidRDefault="00DE5F56"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Deep Exploration Technologies Cooperative Research Centre</w:t>
      </w:r>
    </w:p>
    <w:p w:rsidR="00C42FD0" w:rsidRPr="00C6639A" w:rsidRDefault="00C42FD0"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Flinders University</w:t>
      </w:r>
    </w:p>
    <w:p w:rsidR="00C42FD0" w:rsidRPr="00C6639A" w:rsidRDefault="00C42FD0"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Griffith University</w:t>
      </w:r>
    </w:p>
    <w:p w:rsidR="005E47C7" w:rsidRPr="00C6639A" w:rsidRDefault="005E47C7"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Group of Eight</w:t>
      </w:r>
    </w:p>
    <w:p w:rsidR="005E47C7" w:rsidRPr="00C6639A" w:rsidRDefault="005E47C7"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Innovative Research Universities</w:t>
      </w:r>
    </w:p>
    <w:p w:rsidR="00C42FD0" w:rsidRPr="00C6639A" w:rsidRDefault="00C42FD0"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James Cook University</w:t>
      </w:r>
    </w:p>
    <w:p w:rsidR="00C42FD0" w:rsidRPr="00C6639A" w:rsidRDefault="00C42FD0"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La Trobe University</w:t>
      </w:r>
    </w:p>
    <w:p w:rsidR="00C42FD0" w:rsidRPr="00C6639A" w:rsidRDefault="00C42FD0"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Laureate Australia</w:t>
      </w:r>
    </w:p>
    <w:p w:rsidR="00DE5F56" w:rsidRPr="00C6639A" w:rsidRDefault="00DE5F56"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Medicines Australia</w:t>
      </w:r>
    </w:p>
    <w:p w:rsidR="00DE5F56" w:rsidRPr="00C6639A" w:rsidRDefault="00DE5F56"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Medical Technology Association Australia</w:t>
      </w:r>
    </w:p>
    <w:p w:rsidR="00DE5F56" w:rsidRPr="00C6639A" w:rsidRDefault="00DE5F56"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Minerals Council of Australia</w:t>
      </w:r>
    </w:p>
    <w:p w:rsidR="00C42FD0" w:rsidRPr="00C6639A" w:rsidRDefault="00C42FD0"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Monash University</w:t>
      </w:r>
    </w:p>
    <w:p w:rsidR="005E47C7" w:rsidRPr="00C6639A" w:rsidRDefault="005E47C7"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National Disability Services</w:t>
      </w:r>
    </w:p>
    <w:p w:rsidR="005E47C7" w:rsidRPr="00C6639A" w:rsidRDefault="005E47C7"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Mr Nigel Palmer</w:t>
      </w:r>
    </w:p>
    <w:p w:rsidR="00DE5F56" w:rsidRPr="00C6639A" w:rsidRDefault="00DE5F56"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Pfizer Australia</w:t>
      </w:r>
    </w:p>
    <w:p w:rsidR="00DE5F56" w:rsidRPr="00C6639A" w:rsidRDefault="00DE5F56"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Public Health Association of Australia and Council of Public Health Institutions of Australia</w:t>
      </w:r>
    </w:p>
    <w:p w:rsidR="002C6039" w:rsidRPr="00C6639A" w:rsidRDefault="002C6039"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Queensland University of Technology</w:t>
      </w:r>
    </w:p>
    <w:p w:rsidR="005E47C7" w:rsidRPr="00C6639A" w:rsidRDefault="005E47C7"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Research Australia</w:t>
      </w:r>
    </w:p>
    <w:p w:rsidR="002C6039" w:rsidRPr="00C6639A" w:rsidRDefault="002C6039" w:rsidP="00C6639A">
      <w:pPr>
        <w:pStyle w:val="ListParagraph"/>
        <w:numPr>
          <w:ilvl w:val="0"/>
          <w:numId w:val="69"/>
        </w:numPr>
        <w:spacing w:before="0" w:after="0"/>
        <w:rPr>
          <w:rFonts w:asciiTheme="minorHAnsi" w:hAnsiTheme="minorHAnsi" w:cstheme="minorHAnsi"/>
          <w:color w:val="0B2B43" w:themeColor="text2" w:themeShade="80"/>
        </w:rPr>
      </w:pPr>
      <w:proofErr w:type="spellStart"/>
      <w:r w:rsidRPr="00C6639A">
        <w:rPr>
          <w:rFonts w:asciiTheme="minorHAnsi" w:hAnsiTheme="minorHAnsi" w:cstheme="minorHAnsi"/>
          <w:color w:val="0B2B43" w:themeColor="text2" w:themeShade="80"/>
        </w:rPr>
        <w:t>RMIT</w:t>
      </w:r>
      <w:proofErr w:type="spellEnd"/>
      <w:r w:rsidRPr="00C6639A">
        <w:rPr>
          <w:rFonts w:asciiTheme="minorHAnsi" w:hAnsiTheme="minorHAnsi" w:cstheme="minorHAnsi"/>
          <w:color w:val="0B2B43" w:themeColor="text2" w:themeShade="80"/>
        </w:rPr>
        <w:t xml:space="preserve"> </w:t>
      </w:r>
      <w:r w:rsidR="00643BF9" w:rsidRPr="00C6639A">
        <w:rPr>
          <w:rFonts w:asciiTheme="minorHAnsi" w:hAnsiTheme="minorHAnsi" w:cstheme="minorHAnsi"/>
          <w:color w:val="0B2B43" w:themeColor="text2" w:themeShade="80"/>
        </w:rPr>
        <w:t>University</w:t>
      </w:r>
    </w:p>
    <w:p w:rsidR="00C42FD0" w:rsidRPr="00C6639A" w:rsidRDefault="00C42FD0"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Southern Cross University</w:t>
      </w:r>
    </w:p>
    <w:p w:rsidR="00C42FD0" w:rsidRPr="00C6639A" w:rsidRDefault="00C42FD0"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Swinburne University of Technology</w:t>
      </w:r>
    </w:p>
    <w:p w:rsidR="00643BF9" w:rsidRPr="00C6639A" w:rsidRDefault="00643BF9"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The Australian National University</w:t>
      </w:r>
    </w:p>
    <w:p w:rsidR="00643BF9" w:rsidRPr="00C6639A" w:rsidRDefault="00643BF9"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The Australian Technology Network</w:t>
      </w:r>
    </w:p>
    <w:p w:rsidR="00643BF9" w:rsidRPr="00C6639A" w:rsidRDefault="00643BF9"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 xml:space="preserve">The Council of Australian Postgraduate Associations </w:t>
      </w:r>
    </w:p>
    <w:p w:rsidR="00643BF9" w:rsidRPr="00C6639A" w:rsidRDefault="00643BF9"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The Regional Universities Network</w:t>
      </w:r>
    </w:p>
    <w:p w:rsidR="005302B3" w:rsidRPr="00C6639A" w:rsidRDefault="005302B3"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The University of Melbourne</w:t>
      </w:r>
    </w:p>
    <w:p w:rsidR="005302B3" w:rsidRPr="00C6639A" w:rsidRDefault="005302B3"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The University of New South Wales Australia</w:t>
      </w:r>
    </w:p>
    <w:p w:rsidR="00643BF9" w:rsidRPr="00C6639A" w:rsidRDefault="005302B3"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 xml:space="preserve">The University of Notre Dame </w:t>
      </w:r>
      <w:r w:rsidR="00BD4A25" w:rsidRPr="00C6639A">
        <w:rPr>
          <w:rFonts w:asciiTheme="minorHAnsi" w:hAnsiTheme="minorHAnsi" w:cstheme="minorHAnsi"/>
          <w:color w:val="0B2B43" w:themeColor="text2" w:themeShade="80"/>
        </w:rPr>
        <w:t>Australia</w:t>
      </w:r>
    </w:p>
    <w:p w:rsidR="00643BF9" w:rsidRPr="00C6639A" w:rsidRDefault="00643BF9"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The University of Queensland</w:t>
      </w:r>
    </w:p>
    <w:p w:rsidR="00643BF9" w:rsidRPr="00C6639A" w:rsidRDefault="00643BF9"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University of Canberra</w:t>
      </w:r>
    </w:p>
    <w:p w:rsidR="005E47C7" w:rsidRPr="00C6639A" w:rsidRDefault="005E47C7"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University of Divinity</w:t>
      </w:r>
    </w:p>
    <w:p w:rsidR="005E47C7" w:rsidRPr="00C6639A" w:rsidRDefault="005E47C7"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University of Newcastle</w:t>
      </w:r>
    </w:p>
    <w:p w:rsidR="00C42FD0" w:rsidRPr="00C6639A" w:rsidRDefault="00C42FD0"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University of Tasmania</w:t>
      </w:r>
    </w:p>
    <w:p w:rsidR="005E47C7" w:rsidRPr="00C6639A" w:rsidRDefault="005E47C7"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University of Technology Sydney</w:t>
      </w:r>
    </w:p>
    <w:p w:rsidR="005E47C7" w:rsidRPr="00C6639A" w:rsidRDefault="005E47C7"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University of the Sunshine Coast</w:t>
      </w:r>
    </w:p>
    <w:p w:rsidR="00C42FD0" w:rsidRPr="00C6639A" w:rsidRDefault="00C42FD0"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University of Wollongong</w:t>
      </w:r>
    </w:p>
    <w:p w:rsidR="00C42FD0" w:rsidRPr="00C6639A" w:rsidRDefault="00C42FD0"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Victoria University</w:t>
      </w:r>
    </w:p>
    <w:p w:rsidR="002C6039" w:rsidRPr="00C6639A" w:rsidRDefault="002C6039"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Victorian TAFE Association</w:t>
      </w:r>
    </w:p>
    <w:p w:rsidR="005302B3" w:rsidRPr="00C6639A" w:rsidRDefault="005302B3"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Western Sydney University</w:t>
      </w:r>
    </w:p>
    <w:p w:rsidR="00DE5F56" w:rsidRPr="00C6639A" w:rsidRDefault="00DE5F56" w:rsidP="00C6639A">
      <w:pPr>
        <w:pStyle w:val="ListParagraph"/>
        <w:numPr>
          <w:ilvl w:val="0"/>
          <w:numId w:val="69"/>
        </w:numPr>
        <w:spacing w:before="0" w:after="0"/>
        <w:rPr>
          <w:rFonts w:asciiTheme="minorHAnsi" w:hAnsiTheme="minorHAnsi" w:cstheme="minorHAnsi"/>
          <w:color w:val="0B2B43" w:themeColor="text2" w:themeShade="80"/>
        </w:rPr>
      </w:pPr>
      <w:r w:rsidRPr="00C6639A">
        <w:rPr>
          <w:rFonts w:asciiTheme="minorHAnsi" w:hAnsiTheme="minorHAnsi" w:cstheme="minorHAnsi"/>
          <w:color w:val="0B2B43" w:themeColor="text2" w:themeShade="80"/>
        </w:rPr>
        <w:t>Universities Australia</w:t>
      </w:r>
    </w:p>
    <w:p w:rsidR="002C6039" w:rsidRPr="004A1196" w:rsidRDefault="002C6039" w:rsidP="002C6039">
      <w:pPr>
        <w:spacing w:before="0" w:after="200" w:line="276" w:lineRule="auto"/>
        <w:rPr>
          <w:b/>
          <w:color w:val="0B2B43" w:themeColor="text2" w:themeShade="80"/>
          <w:sz w:val="40"/>
        </w:rPr>
      </w:pPr>
      <w:r w:rsidRPr="004A1196">
        <w:rPr>
          <w:color w:val="0B2B43" w:themeColor="text2" w:themeShade="80"/>
        </w:rPr>
        <w:br w:type="page"/>
      </w:r>
    </w:p>
    <w:p w:rsidR="002C6039" w:rsidRPr="004A1196" w:rsidRDefault="002C6039" w:rsidP="002C6039">
      <w:pPr>
        <w:jc w:val="right"/>
        <w:rPr>
          <w:b/>
          <w:color w:val="0B2B43" w:themeColor="text2" w:themeShade="80"/>
        </w:rPr>
      </w:pPr>
      <w:bookmarkStart w:id="576" w:name="_Toc436392804"/>
      <w:r w:rsidRPr="004A1196">
        <w:rPr>
          <w:b/>
          <w:color w:val="0B2B43" w:themeColor="text2" w:themeShade="80"/>
        </w:rPr>
        <w:t>APPENDIX D</w:t>
      </w:r>
    </w:p>
    <w:p w:rsidR="002C6039" w:rsidRPr="004A1196" w:rsidRDefault="002C6039" w:rsidP="002C6039">
      <w:pPr>
        <w:pStyle w:val="RIHeading1"/>
        <w:rPr>
          <w:color w:val="0B2B43" w:themeColor="text2" w:themeShade="80"/>
          <w:sz w:val="24"/>
          <w:szCs w:val="24"/>
        </w:rPr>
      </w:pPr>
      <w:bookmarkStart w:id="577" w:name="_Toc436563395"/>
      <w:bookmarkStart w:id="578" w:name="_Toc436574584"/>
      <w:bookmarkStart w:id="579" w:name="_Toc436579534"/>
      <w:bookmarkStart w:id="580" w:name="_Toc436579552"/>
      <w:bookmarkStart w:id="581" w:name="_Toc436651913"/>
      <w:bookmarkStart w:id="582" w:name="_Toc436659721"/>
      <w:bookmarkStart w:id="583" w:name="_Toc436660219"/>
      <w:bookmarkStart w:id="584" w:name="_Toc436663732"/>
      <w:bookmarkStart w:id="585" w:name="_Toc436664122"/>
      <w:bookmarkStart w:id="586" w:name="_Toc436664683"/>
      <w:bookmarkStart w:id="587" w:name="_Toc436664825"/>
      <w:bookmarkStart w:id="588" w:name="_Toc436665040"/>
      <w:bookmarkStart w:id="589" w:name="_Toc436666157"/>
      <w:bookmarkStart w:id="590" w:name="_Toc436666864"/>
      <w:bookmarkStart w:id="591" w:name="_Toc436666982"/>
      <w:bookmarkStart w:id="592" w:name="_Toc440378845"/>
      <w:r w:rsidRPr="004A1196">
        <w:rPr>
          <w:color w:val="0B2B43" w:themeColor="text2" w:themeShade="80"/>
        </w:rPr>
        <w:t>References</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rsidR="002C6039" w:rsidRPr="004A1196" w:rsidRDefault="002C6039" w:rsidP="002C6039">
      <w:pPr>
        <w:rPr>
          <w:rFonts w:cstheme="minorHAnsi"/>
          <w:color w:val="0B2B43" w:themeColor="text2" w:themeShade="80"/>
        </w:rPr>
      </w:pPr>
      <w:proofErr w:type="spellStart"/>
      <w:proofErr w:type="gramStart"/>
      <w:r w:rsidRPr="004A1196">
        <w:rPr>
          <w:rFonts w:cstheme="minorHAnsi"/>
          <w:color w:val="0B2B43" w:themeColor="text2" w:themeShade="80"/>
        </w:rPr>
        <w:t>ACIL</w:t>
      </w:r>
      <w:proofErr w:type="spellEnd"/>
      <w:r w:rsidRPr="004A1196">
        <w:rPr>
          <w:rFonts w:cstheme="minorHAnsi"/>
          <w:color w:val="0B2B43" w:themeColor="text2" w:themeShade="80"/>
        </w:rPr>
        <w:t xml:space="preserve"> Allen Consulting, 2013, </w:t>
      </w:r>
      <w:r w:rsidRPr="004A1196">
        <w:rPr>
          <w:rFonts w:cstheme="minorHAnsi"/>
          <w:i/>
          <w:color w:val="0B2B43" w:themeColor="text2" w:themeShade="80"/>
        </w:rPr>
        <w:t>Benefits Realisation Review of Excellence in Research for Australia: Final Report</w:t>
      </w:r>
      <w:r w:rsidRPr="004A1196">
        <w:rPr>
          <w:rFonts w:cstheme="minorHAnsi"/>
          <w:color w:val="0B2B43" w:themeColor="text2" w:themeShade="80"/>
        </w:rPr>
        <w:t>, accessed November 2015, &lt;http://www.arc.gov.au/sites/default/files/filedepot/Public/ERA/Benefits%20realisation%20review.pdf&gt;.</w:t>
      </w:r>
      <w:proofErr w:type="gramEnd"/>
    </w:p>
    <w:p w:rsidR="002C6039" w:rsidRPr="004A1196" w:rsidRDefault="002C6039" w:rsidP="002C6039">
      <w:pPr>
        <w:rPr>
          <w:color w:val="0B2B43" w:themeColor="text2" w:themeShade="80"/>
        </w:rPr>
      </w:pPr>
      <w:proofErr w:type="gramStart"/>
      <w:r w:rsidRPr="004A1196">
        <w:rPr>
          <w:color w:val="0B2B43" w:themeColor="text2" w:themeShade="80"/>
        </w:rPr>
        <w:t xml:space="preserve">Advisory Council on Intellectual Property, 2012, </w:t>
      </w:r>
      <w:r w:rsidRPr="004A1196">
        <w:rPr>
          <w:i/>
          <w:color w:val="0B2B43" w:themeColor="text2" w:themeShade="80"/>
        </w:rPr>
        <w:t xml:space="preserve">Collaborations between the Public and Private Sectors: The Role of Intellectual Property, </w:t>
      </w:r>
      <w:r w:rsidRPr="004A1196">
        <w:rPr>
          <w:color w:val="0B2B43" w:themeColor="text2" w:themeShade="80"/>
        </w:rPr>
        <w:t>accessed August 2015, &lt;http://www.acip.gov.au/pdfs/ACIP_Final_Report_Collaborations_between_the_Public_and_Private_Sectors_Archived.pdf&gt;.</w:t>
      </w:r>
      <w:proofErr w:type="gramEnd"/>
    </w:p>
    <w:p w:rsidR="005E1B91" w:rsidRPr="004A1196" w:rsidRDefault="005E1B91" w:rsidP="002C6039">
      <w:pPr>
        <w:rPr>
          <w:color w:val="0B2B43" w:themeColor="text2" w:themeShade="80"/>
        </w:rPr>
      </w:pPr>
      <w:proofErr w:type="gramStart"/>
      <w:r w:rsidRPr="004A1196">
        <w:rPr>
          <w:rFonts w:cstheme="minorHAnsi"/>
          <w:color w:val="0B2B43" w:themeColor="text2" w:themeShade="80"/>
        </w:rPr>
        <w:t>Australian Council of Learned Academies.</w:t>
      </w:r>
      <w:proofErr w:type="gramEnd"/>
      <w:r w:rsidRPr="004A1196">
        <w:rPr>
          <w:rFonts w:cstheme="minorHAnsi"/>
          <w:color w:val="0B2B43" w:themeColor="text2" w:themeShade="80"/>
        </w:rPr>
        <w:t xml:space="preserve"> </w:t>
      </w:r>
      <w:proofErr w:type="gramStart"/>
      <w:r w:rsidRPr="004A1196">
        <w:rPr>
          <w:rFonts w:cstheme="minorHAnsi"/>
          <w:i/>
          <w:color w:val="0B2B43" w:themeColor="text2" w:themeShade="80"/>
        </w:rPr>
        <w:t>Translating research for economic and social benefit: country comparisons</w:t>
      </w:r>
      <w:r w:rsidRPr="004A1196">
        <w:rPr>
          <w:rFonts w:cstheme="minorHAnsi"/>
          <w:color w:val="0B2B43" w:themeColor="text2" w:themeShade="80"/>
        </w:rPr>
        <w:t>, 2015.</w:t>
      </w:r>
      <w:proofErr w:type="gramEnd"/>
    </w:p>
    <w:p w:rsidR="002C6039" w:rsidRPr="004A1196" w:rsidRDefault="002C6039" w:rsidP="002C6039">
      <w:pPr>
        <w:rPr>
          <w:color w:val="0B2B43" w:themeColor="text2" w:themeShade="80"/>
        </w:rPr>
      </w:pPr>
      <w:proofErr w:type="gramStart"/>
      <w:r w:rsidRPr="004A1196">
        <w:rPr>
          <w:color w:val="0B2B43" w:themeColor="text2" w:themeShade="80"/>
        </w:rPr>
        <w:t xml:space="preserve">Australian Academy of Technology and Engineering, 2015, </w:t>
      </w:r>
      <w:r w:rsidRPr="004A1196">
        <w:rPr>
          <w:i/>
          <w:color w:val="0B2B43" w:themeColor="text2" w:themeShade="80"/>
        </w:rPr>
        <w:t>Research Engagement for Australia: Measuring research engagement between universities and end users</w:t>
      </w:r>
      <w:r w:rsidRPr="004A1196">
        <w:rPr>
          <w:color w:val="0B2B43" w:themeColor="text2" w:themeShade="80"/>
        </w:rPr>
        <w:t>, accessed August 2015, &lt;http://www.atse.org.au/Documents/reports/research-engagement-australia.pdf&gt;.</w:t>
      </w:r>
      <w:proofErr w:type="gramEnd"/>
      <w:r w:rsidRPr="004A1196">
        <w:rPr>
          <w:color w:val="0B2B43" w:themeColor="text2" w:themeShade="80"/>
        </w:rPr>
        <w:t xml:space="preserve"> </w:t>
      </w:r>
    </w:p>
    <w:p w:rsidR="002C6039" w:rsidRPr="004A1196" w:rsidRDefault="002C6039" w:rsidP="002C6039">
      <w:pPr>
        <w:rPr>
          <w:color w:val="0B2B43" w:themeColor="text2" w:themeShade="80"/>
        </w:rPr>
      </w:pPr>
      <w:proofErr w:type="gramStart"/>
      <w:r w:rsidRPr="004A1196">
        <w:rPr>
          <w:color w:val="0B2B43" w:themeColor="text2" w:themeShade="80"/>
        </w:rPr>
        <w:t>Australian Academy of Technolog</w:t>
      </w:r>
      <w:r w:rsidR="00B67032" w:rsidRPr="004A1196">
        <w:rPr>
          <w:color w:val="0B2B43" w:themeColor="text2" w:themeShade="80"/>
        </w:rPr>
        <w:t>y</w:t>
      </w:r>
      <w:r w:rsidRPr="004A1196">
        <w:rPr>
          <w:color w:val="0B2B43" w:themeColor="text2" w:themeShade="80"/>
        </w:rPr>
        <w:t xml:space="preserve"> and Engineering (</w:t>
      </w:r>
      <w:proofErr w:type="spellStart"/>
      <w:r w:rsidRPr="004A1196">
        <w:rPr>
          <w:color w:val="0B2B43" w:themeColor="text2" w:themeShade="80"/>
        </w:rPr>
        <w:t>ATSE</w:t>
      </w:r>
      <w:proofErr w:type="spellEnd"/>
      <w:r w:rsidRPr="004A1196">
        <w:rPr>
          <w:color w:val="0B2B43" w:themeColor="text2" w:themeShade="80"/>
        </w:rPr>
        <w:t xml:space="preserve">) 2015, </w:t>
      </w:r>
      <w:r w:rsidRPr="004A1196">
        <w:rPr>
          <w:i/>
          <w:color w:val="0B2B43" w:themeColor="text2" w:themeShade="80"/>
        </w:rPr>
        <w:t>Research Engagement for Australia: Pilot Study Findings</w:t>
      </w:r>
      <w:r w:rsidRPr="004A1196">
        <w:rPr>
          <w:color w:val="0B2B43" w:themeColor="text2" w:themeShade="80"/>
        </w:rPr>
        <w:t xml:space="preserve">, draft report provided by </w:t>
      </w:r>
      <w:proofErr w:type="spellStart"/>
      <w:r w:rsidRPr="004A1196">
        <w:rPr>
          <w:color w:val="0B2B43" w:themeColor="text2" w:themeShade="80"/>
        </w:rPr>
        <w:t>ATSE</w:t>
      </w:r>
      <w:proofErr w:type="spellEnd"/>
      <w:r w:rsidRPr="004A1196">
        <w:rPr>
          <w:color w:val="0B2B43" w:themeColor="text2" w:themeShade="80"/>
        </w:rPr>
        <w:t>.</w:t>
      </w:r>
      <w:proofErr w:type="gramEnd"/>
    </w:p>
    <w:p w:rsidR="002C6039" w:rsidRPr="004A1196" w:rsidRDefault="002C6039" w:rsidP="002C6039">
      <w:pPr>
        <w:rPr>
          <w:color w:val="0B2B43" w:themeColor="text2" w:themeShade="80"/>
        </w:rPr>
      </w:pPr>
      <w:r w:rsidRPr="004A1196">
        <w:rPr>
          <w:color w:val="0B2B43" w:themeColor="text2" w:themeShade="80"/>
        </w:rPr>
        <w:t>Australian Bureau of Statistics, 2012, ‘8111.0 - Research and Experimental Development, Higher Education Organisations, Australia’, accessed August 2015, &lt;http://www.abs.gov.au/ausstats/abs@.nsf/mf/8111.0/&gt;.</w:t>
      </w:r>
    </w:p>
    <w:p w:rsidR="002C6039" w:rsidRPr="004A1196" w:rsidRDefault="002C6039" w:rsidP="002C6039">
      <w:pPr>
        <w:rPr>
          <w:color w:val="0B2B43" w:themeColor="text2" w:themeShade="80"/>
        </w:rPr>
      </w:pPr>
      <w:r w:rsidRPr="004A1196">
        <w:rPr>
          <w:color w:val="0B2B43" w:themeColor="text2" w:themeShade="80"/>
        </w:rPr>
        <w:t xml:space="preserve">Australian Bureau of Statistics, 2014, ‘8158.0 - Innovation in Australian Business, 2012-13’, accessed August 2015, &lt;http://www.abs.gov.au/ausstats/abs@.nsf/mf/8158.0&gt;. </w:t>
      </w:r>
    </w:p>
    <w:p w:rsidR="002C6039" w:rsidRPr="004A1196" w:rsidRDefault="002C6039" w:rsidP="002C6039">
      <w:pPr>
        <w:rPr>
          <w:rFonts w:cstheme="minorHAnsi"/>
          <w:color w:val="0B2B43" w:themeColor="text2" w:themeShade="80"/>
        </w:rPr>
      </w:pPr>
      <w:r w:rsidRPr="004A1196">
        <w:rPr>
          <w:rFonts w:cstheme="minorHAnsi"/>
          <w:color w:val="0B2B43" w:themeColor="text2" w:themeShade="80"/>
        </w:rPr>
        <w:t>Australian Bureau of Statistics, 2015, ‘</w:t>
      </w:r>
      <w:r w:rsidRPr="004A1196">
        <w:rPr>
          <w:color w:val="0B2B43" w:themeColor="text2" w:themeShade="80"/>
        </w:rPr>
        <w:t xml:space="preserve">8165.0 - Counts of Australian Businesses, including Entries and Exits, Jun 2010 to Jun </w:t>
      </w:r>
      <w:r w:rsidRPr="004A1196">
        <w:rPr>
          <w:rFonts w:cstheme="minorHAnsi"/>
          <w:color w:val="0B2B43" w:themeColor="text2" w:themeShade="80"/>
        </w:rPr>
        <w:t>2014’, accessed November 2015, &lt;http://www.abs.gov.au/AUSSTATS/abs@.nsf/ProductsbyCatalogue/85372091B76BD119CA257B710014993B?OpenDocument&gt;.</w:t>
      </w:r>
    </w:p>
    <w:p w:rsidR="002C6039" w:rsidRPr="0054341C" w:rsidRDefault="002C6039" w:rsidP="002C6039">
      <w:pPr>
        <w:rPr>
          <w:color w:val="0B2B43" w:themeColor="text2" w:themeShade="80"/>
        </w:rPr>
      </w:pPr>
      <w:r w:rsidRPr="004A1196">
        <w:rPr>
          <w:color w:val="0B2B43" w:themeColor="text2" w:themeShade="80"/>
        </w:rPr>
        <w:t>Australian Bureau of Statistics, 2015, ‘8104.0 - Gross Expenditure on R&amp;D (</w:t>
      </w:r>
      <w:proofErr w:type="spellStart"/>
      <w:r w:rsidRPr="004A1196">
        <w:rPr>
          <w:color w:val="0B2B43" w:themeColor="text2" w:themeShade="80"/>
        </w:rPr>
        <w:t>GERD</w:t>
      </w:r>
      <w:proofErr w:type="spellEnd"/>
      <w:r w:rsidRPr="004A1196">
        <w:rPr>
          <w:color w:val="0B2B43" w:themeColor="text2" w:themeShade="80"/>
        </w:rPr>
        <w:t xml:space="preserve">), Research and Experimental Development, Businesses, Australian 2013-14’, accessed November 2015, </w:t>
      </w:r>
      <w:r w:rsidRPr="0054341C">
        <w:rPr>
          <w:color w:val="0B2B43" w:themeColor="text2" w:themeShade="80"/>
        </w:rPr>
        <w:t>&lt;http://www.abs.gov.au/ausstats/abs@.nsf/Latestproducts/8104.0Main%20Features42013-14?opendocument&amp;tabname=Summary&amp;prodno=8104.0&amp;issue=2013-14&amp;num=&amp;view=&gt;.</w:t>
      </w:r>
    </w:p>
    <w:p w:rsidR="003A20F6" w:rsidRPr="004A1196" w:rsidRDefault="003A20F6" w:rsidP="002C6039">
      <w:pPr>
        <w:rPr>
          <w:color w:val="0B2B43" w:themeColor="text2" w:themeShade="80"/>
        </w:rPr>
      </w:pPr>
      <w:r w:rsidRPr="004A1196">
        <w:rPr>
          <w:color w:val="0B2B43" w:themeColor="text2" w:themeShade="80"/>
        </w:rPr>
        <w:t>Australian Bureau of Statistics, 2015, ‘6401.0 - Consumer Price Index, Australia, Sep 2015</w:t>
      </w:r>
      <w:r w:rsidR="0054341C">
        <w:rPr>
          <w:color w:val="0B2B43" w:themeColor="text2" w:themeShade="80"/>
        </w:rPr>
        <w:t>’</w:t>
      </w:r>
      <w:r w:rsidRPr="004A1196">
        <w:rPr>
          <w:color w:val="0B2B43" w:themeColor="text2" w:themeShade="80"/>
        </w:rPr>
        <w:t>, accessed November 2015, &lt;http://www.abs.gov.au/AUSSTATS/abs@.nsf/mf/6401.0?opendocument#from-banner=LN&gt;</w:t>
      </w:r>
    </w:p>
    <w:p w:rsidR="00F02D0F" w:rsidRPr="004A1196" w:rsidRDefault="00F02D0F" w:rsidP="002C6039">
      <w:pPr>
        <w:rPr>
          <w:color w:val="0B2B43" w:themeColor="text2" w:themeShade="80"/>
        </w:rPr>
      </w:pPr>
      <w:proofErr w:type="gramStart"/>
      <w:r w:rsidRPr="004A1196">
        <w:rPr>
          <w:color w:val="0B2B43" w:themeColor="text2" w:themeShade="80"/>
        </w:rPr>
        <w:t xml:space="preserve">Australian Government, </w:t>
      </w:r>
      <w:r w:rsidRPr="004A1196">
        <w:rPr>
          <w:i/>
          <w:color w:val="0B2B43" w:themeColor="text2" w:themeShade="80"/>
        </w:rPr>
        <w:t>Australian IP Toolkit for Collaboration</w:t>
      </w:r>
      <w:r w:rsidRPr="004A1196">
        <w:rPr>
          <w:color w:val="0B2B43" w:themeColor="text2" w:themeShade="80"/>
        </w:rPr>
        <w:t>, accessed November 2015, &lt;http://www.business.gov.au/business-topics/business-planning/intellectual-property/ip-toolkit/Pages/default.aspx&gt;.</w:t>
      </w:r>
      <w:proofErr w:type="gramEnd"/>
    </w:p>
    <w:p w:rsidR="00053D66" w:rsidRPr="004A1196" w:rsidRDefault="00053D66" w:rsidP="002C6039">
      <w:pPr>
        <w:rPr>
          <w:color w:val="0B2B43" w:themeColor="text2" w:themeShade="80"/>
        </w:rPr>
      </w:pPr>
      <w:proofErr w:type="gramStart"/>
      <w:r w:rsidRPr="004A1196">
        <w:rPr>
          <w:color w:val="0B2B43" w:themeColor="text2" w:themeShade="80"/>
        </w:rPr>
        <w:t>Australian Government, Portfolio Budget Statements 2015, &lt; http://budget.gov.au/2015-16/content/pbs/html/index.htm&gt; accessed November 2015.</w:t>
      </w:r>
      <w:proofErr w:type="gramEnd"/>
      <w:r w:rsidRPr="004A1196">
        <w:rPr>
          <w:color w:val="0B2B43" w:themeColor="text2" w:themeShade="80"/>
        </w:rPr>
        <w:t xml:space="preserve"> </w:t>
      </w:r>
    </w:p>
    <w:p w:rsidR="00A33E7C" w:rsidRPr="004A1196" w:rsidRDefault="00A33E7C" w:rsidP="002C6039">
      <w:pPr>
        <w:rPr>
          <w:color w:val="0B2B43" w:themeColor="text2" w:themeShade="80"/>
        </w:rPr>
      </w:pPr>
      <w:r w:rsidRPr="004A1196">
        <w:rPr>
          <w:color w:val="0B2B43" w:themeColor="text2" w:themeShade="80"/>
        </w:rPr>
        <w:t xml:space="preserve">Australian Government, </w:t>
      </w:r>
      <w:r w:rsidRPr="004A1196">
        <w:rPr>
          <w:i/>
          <w:color w:val="0B2B43" w:themeColor="text2" w:themeShade="80"/>
        </w:rPr>
        <w:t>R&amp;D Tax Incentive</w:t>
      </w:r>
      <w:r w:rsidRPr="004A1196">
        <w:rPr>
          <w:color w:val="0B2B43" w:themeColor="text2" w:themeShade="80"/>
        </w:rPr>
        <w:t>, accessed November 2015 &lt;http://www.business.gov.au/grants-and-assistance/innovation-rd/RD-TaxIncentive/Pages/default.aspx</w:t>
      </w:r>
      <w:r w:rsidRPr="004A1196">
        <w:rPr>
          <w:rStyle w:val="Hyperlink"/>
          <w:color w:val="0B2B43" w:themeColor="text2" w:themeShade="80"/>
          <w:u w:val="none"/>
        </w:rPr>
        <w:t>&gt;.</w:t>
      </w:r>
    </w:p>
    <w:p w:rsidR="002C6039" w:rsidRPr="004A1196" w:rsidRDefault="002C6039" w:rsidP="002C6039">
      <w:pPr>
        <w:rPr>
          <w:color w:val="0B2B43" w:themeColor="text2" w:themeShade="80"/>
        </w:rPr>
      </w:pPr>
      <w:r w:rsidRPr="004A1196">
        <w:rPr>
          <w:color w:val="0B2B43" w:themeColor="text2" w:themeShade="80"/>
        </w:rPr>
        <w:t>Australian Government, 2014</w:t>
      </w:r>
      <w:r w:rsidRPr="004A1196">
        <w:rPr>
          <w:i/>
          <w:color w:val="0B2B43" w:themeColor="text2" w:themeShade="80"/>
        </w:rPr>
        <w:t>, Industry Innovation and Competitiveness Agenda: An action plan for a stronger Australia</w:t>
      </w:r>
      <w:r w:rsidRPr="004A1196">
        <w:rPr>
          <w:color w:val="0B2B43" w:themeColor="text2" w:themeShade="80"/>
        </w:rPr>
        <w:t>, accessed November 2015, &lt;https://www.dpmc.gov.au/sites/default/files/publications/industry_innovation_competitiveness_agenda.pdf&gt;.</w:t>
      </w:r>
    </w:p>
    <w:p w:rsidR="002C6039" w:rsidRDefault="002C6039" w:rsidP="002C6039">
      <w:pPr>
        <w:rPr>
          <w:color w:val="0B2B43" w:themeColor="text2" w:themeShade="80"/>
        </w:rPr>
      </w:pPr>
      <w:r w:rsidRPr="004A1196">
        <w:rPr>
          <w:color w:val="0B2B43" w:themeColor="text2" w:themeShade="80"/>
        </w:rPr>
        <w:t xml:space="preserve">Australian Research Council, 2012, </w:t>
      </w:r>
      <w:r w:rsidRPr="004A1196">
        <w:rPr>
          <w:i/>
          <w:color w:val="0B2B43" w:themeColor="text2" w:themeShade="80"/>
        </w:rPr>
        <w:t>Excellence in Research for Australia: 2012 National Report</w:t>
      </w:r>
      <w:r w:rsidRPr="004A1196">
        <w:rPr>
          <w:color w:val="0B2B43" w:themeColor="text2" w:themeShade="80"/>
        </w:rPr>
        <w:t xml:space="preserve">, accessed </w:t>
      </w:r>
      <w:r w:rsidR="00ED1E98">
        <w:rPr>
          <w:color w:val="0B2B43" w:themeColor="text2" w:themeShade="80"/>
        </w:rPr>
        <w:t xml:space="preserve">December </w:t>
      </w:r>
      <w:r w:rsidRPr="004A1196">
        <w:rPr>
          <w:color w:val="0B2B43" w:themeColor="text2" w:themeShade="80"/>
        </w:rPr>
        <w:t>2015, &lt;http://archive.arc.gov.au/file-search/ERA?level_1=ERA&amp;level_2=2012&amp;level_3=National%20Report&amp;sort=asc&amp;order=Document%20Name&gt;.</w:t>
      </w:r>
    </w:p>
    <w:p w:rsidR="00A77501" w:rsidRDefault="00A77501" w:rsidP="002C6039">
      <w:pPr>
        <w:rPr>
          <w:i/>
          <w:color w:val="0B2B43" w:themeColor="text2" w:themeShade="80"/>
        </w:rPr>
      </w:pPr>
      <w:proofErr w:type="gramStart"/>
      <w:r w:rsidRPr="00A77501">
        <w:rPr>
          <w:color w:val="0B2B43" w:themeColor="text2" w:themeShade="80"/>
        </w:rPr>
        <w:t xml:space="preserve">Australian Research Council, 2015, </w:t>
      </w:r>
      <w:r w:rsidRPr="00A77501">
        <w:rPr>
          <w:i/>
          <w:color w:val="0B2B43" w:themeColor="text2" w:themeShade="80"/>
        </w:rPr>
        <w:t>State of Australian University Research 2015-16: Volume 1 ERA National Report.</w:t>
      </w:r>
      <w:proofErr w:type="gramEnd"/>
    </w:p>
    <w:p w:rsidR="00054BD8" w:rsidRPr="004A1196" w:rsidRDefault="00054BD8" w:rsidP="002C6039">
      <w:pPr>
        <w:rPr>
          <w:color w:val="0B2B43" w:themeColor="text2" w:themeShade="80"/>
        </w:rPr>
      </w:pPr>
      <w:proofErr w:type="gramStart"/>
      <w:r w:rsidRPr="004A1196">
        <w:rPr>
          <w:color w:val="0B2B43" w:themeColor="text2" w:themeShade="80"/>
        </w:rPr>
        <w:t xml:space="preserve">Australian Research Council, 2015, </w:t>
      </w:r>
      <w:r w:rsidRPr="004A1196">
        <w:rPr>
          <w:i/>
          <w:color w:val="0B2B43" w:themeColor="text2" w:themeShade="80"/>
        </w:rPr>
        <w:t>ARC Open Access Policy</w:t>
      </w:r>
      <w:r w:rsidRPr="004A1196">
        <w:rPr>
          <w:color w:val="0B2B43" w:themeColor="text2" w:themeShade="80"/>
        </w:rPr>
        <w:t>, Version 2015.1, accessed November 2015, &lt;http://www.arc.gov.au/arc-open-access-policy&gt;.</w:t>
      </w:r>
      <w:proofErr w:type="gramEnd"/>
    </w:p>
    <w:p w:rsidR="00A33E7C" w:rsidRPr="004A1196" w:rsidRDefault="00A33E7C" w:rsidP="002C6039">
      <w:pPr>
        <w:rPr>
          <w:color w:val="0B2B43" w:themeColor="text2" w:themeShade="80"/>
        </w:rPr>
      </w:pPr>
      <w:r w:rsidRPr="004A1196">
        <w:rPr>
          <w:color w:val="0B2B43" w:themeColor="text2" w:themeShade="80"/>
        </w:rPr>
        <w:t xml:space="preserve">Australian Taxation Office, </w:t>
      </w:r>
      <w:r w:rsidRPr="004A1196">
        <w:rPr>
          <w:i/>
          <w:color w:val="0B2B43" w:themeColor="text2" w:themeShade="80"/>
        </w:rPr>
        <w:t>Annual report 2014-15</w:t>
      </w:r>
      <w:r w:rsidRPr="004A1196">
        <w:rPr>
          <w:color w:val="0B2B43" w:themeColor="text2" w:themeShade="80"/>
        </w:rPr>
        <w:t>, accessed November 2015, &lt;https://www.ato.gov.au/About-ATO/Access,-accountability-and-reporting/Reporting-to-parliament/Annual-report/</w:t>
      </w:r>
      <w:r w:rsidRPr="004A1196">
        <w:rPr>
          <w:rStyle w:val="Hyperlink"/>
          <w:color w:val="0B2B43" w:themeColor="text2" w:themeShade="80"/>
          <w:u w:val="none"/>
        </w:rPr>
        <w:t>&gt;</w:t>
      </w:r>
      <w:r w:rsidRPr="004A1196">
        <w:rPr>
          <w:color w:val="0B2B43" w:themeColor="text2" w:themeShade="80"/>
        </w:rPr>
        <w:t>.</w:t>
      </w:r>
    </w:p>
    <w:p w:rsidR="002C6039" w:rsidRPr="004A1196" w:rsidRDefault="002C6039" w:rsidP="002C6039">
      <w:pPr>
        <w:rPr>
          <w:color w:val="0B2B43" w:themeColor="text2" w:themeShade="80"/>
        </w:rPr>
      </w:pPr>
      <w:proofErr w:type="gramStart"/>
      <w:r w:rsidRPr="004A1196">
        <w:rPr>
          <w:color w:val="0B2B43" w:themeColor="text2" w:themeShade="80"/>
        </w:rPr>
        <w:t xml:space="preserve">Australian Universities Quality Agency, 2006, </w:t>
      </w:r>
      <w:r w:rsidRPr="004A1196">
        <w:rPr>
          <w:i/>
          <w:color w:val="0B2B43" w:themeColor="text2" w:themeShade="80"/>
        </w:rPr>
        <w:t>Ranking of Higher Education Institutions</w:t>
      </w:r>
      <w:r w:rsidRPr="004A1196">
        <w:rPr>
          <w:color w:val="0B2B43" w:themeColor="text2" w:themeShade="80"/>
        </w:rPr>
        <w:t>, accessed August 2015, &lt;http://catalogue.nla.gov.au/Record/5784960&gt;.</w:t>
      </w:r>
      <w:proofErr w:type="gramEnd"/>
      <w:r w:rsidRPr="004A1196">
        <w:rPr>
          <w:color w:val="0B2B43" w:themeColor="text2" w:themeShade="80"/>
        </w:rPr>
        <w:t xml:space="preserve"> </w:t>
      </w:r>
    </w:p>
    <w:p w:rsidR="002C6039" w:rsidRPr="004A1196" w:rsidRDefault="002C6039" w:rsidP="002C6039">
      <w:pPr>
        <w:rPr>
          <w:rFonts w:cstheme="minorHAnsi"/>
          <w:color w:val="0B2B43" w:themeColor="text2" w:themeShade="80"/>
        </w:rPr>
      </w:pPr>
      <w:r w:rsidRPr="004A1196">
        <w:rPr>
          <w:rFonts w:cstheme="minorHAnsi"/>
          <w:color w:val="0B2B43" w:themeColor="text2" w:themeShade="80"/>
        </w:rPr>
        <w:t xml:space="preserve">Bell J, Frater B, Butterfield L, Cunningham S, Dodgson M, Fox K, </w:t>
      </w:r>
      <w:proofErr w:type="spellStart"/>
      <w:r w:rsidRPr="004A1196">
        <w:rPr>
          <w:rFonts w:cstheme="minorHAnsi"/>
          <w:color w:val="0B2B43" w:themeColor="text2" w:themeShade="80"/>
        </w:rPr>
        <w:t>Sp</w:t>
      </w:r>
      <w:r w:rsidR="009D16FC">
        <w:rPr>
          <w:rFonts w:cstheme="minorHAnsi"/>
          <w:color w:val="0B2B43" w:themeColor="text2" w:themeShade="80"/>
        </w:rPr>
        <w:t>urling</w:t>
      </w:r>
      <w:proofErr w:type="spellEnd"/>
      <w:r w:rsidR="009D16FC">
        <w:rPr>
          <w:rFonts w:cstheme="minorHAnsi"/>
          <w:color w:val="0B2B43" w:themeColor="text2" w:themeShade="80"/>
        </w:rPr>
        <w:t xml:space="preserve"> T and</w:t>
      </w:r>
      <w:r w:rsidRPr="004A1196">
        <w:rPr>
          <w:rFonts w:cstheme="minorHAnsi"/>
          <w:color w:val="0B2B43" w:themeColor="text2" w:themeShade="80"/>
        </w:rPr>
        <w:t xml:space="preserve"> Webster E, 2014, </w:t>
      </w:r>
      <w:proofErr w:type="gramStart"/>
      <w:r w:rsidRPr="004A1196">
        <w:rPr>
          <w:rFonts w:cstheme="minorHAnsi"/>
          <w:i/>
          <w:color w:val="0B2B43" w:themeColor="text2" w:themeShade="80"/>
        </w:rPr>
        <w:t>The</w:t>
      </w:r>
      <w:proofErr w:type="gramEnd"/>
      <w:r w:rsidRPr="004A1196">
        <w:rPr>
          <w:rFonts w:cstheme="minorHAnsi"/>
          <w:i/>
          <w:color w:val="0B2B43" w:themeColor="text2" w:themeShade="80"/>
        </w:rPr>
        <w:t xml:space="preserve"> role of science, research and technology in lifting Australia’s productivity</w:t>
      </w:r>
      <w:r w:rsidRPr="004A1196">
        <w:rPr>
          <w:rFonts w:cstheme="minorHAnsi"/>
          <w:color w:val="0B2B43" w:themeColor="text2" w:themeShade="80"/>
        </w:rPr>
        <w:t>, Australian Council of Learned Academies, accessed November 2015, &lt;http://www.acola.org.au/PDF/SAF04Reports/SAF04%20Role%20of%20SRT%20in%20lifting%20Aus%20Productivity%20FINAL%20REPORT.pdf&gt;.</w:t>
      </w:r>
    </w:p>
    <w:p w:rsidR="00934A8D" w:rsidRPr="004A1196" w:rsidRDefault="00934A8D" w:rsidP="002C6039">
      <w:pPr>
        <w:rPr>
          <w:rFonts w:cstheme="minorHAnsi"/>
          <w:color w:val="0B2B43" w:themeColor="text2" w:themeShade="80"/>
        </w:rPr>
      </w:pPr>
      <w:r w:rsidRPr="004A1196">
        <w:rPr>
          <w:color w:val="0B2B43" w:themeColor="text2" w:themeShade="80"/>
        </w:rPr>
        <w:t xml:space="preserve">Bothwell E, 2015, </w:t>
      </w:r>
      <w:r w:rsidRPr="004A1196">
        <w:rPr>
          <w:i/>
          <w:color w:val="0B2B43" w:themeColor="text2" w:themeShade="80"/>
        </w:rPr>
        <w:t>Which universities are the most innovative</w:t>
      </w:r>
      <w:proofErr w:type="gramStart"/>
      <w:r w:rsidRPr="004A1196">
        <w:rPr>
          <w:i/>
          <w:color w:val="0B2B43" w:themeColor="text2" w:themeShade="80"/>
        </w:rPr>
        <w:t>?</w:t>
      </w:r>
      <w:r w:rsidRPr="004A1196">
        <w:rPr>
          <w:color w:val="0B2B43" w:themeColor="text2" w:themeShade="80"/>
        </w:rPr>
        <w:t>,</w:t>
      </w:r>
      <w:proofErr w:type="gramEnd"/>
      <w:r w:rsidRPr="004A1196">
        <w:rPr>
          <w:color w:val="0B2B43" w:themeColor="text2" w:themeShade="80"/>
        </w:rPr>
        <w:t xml:space="preserve"> Times Higher Education World University Rankings, accessed November 2015, &lt;https://www.timeshighereducation.com/features/which-universities-are-the-most-innovative&gt;.</w:t>
      </w:r>
    </w:p>
    <w:p w:rsidR="002C6039" w:rsidRPr="004A1196" w:rsidRDefault="002C6039" w:rsidP="002C6039">
      <w:pPr>
        <w:rPr>
          <w:color w:val="0B2B43" w:themeColor="text2" w:themeShade="80"/>
        </w:rPr>
      </w:pPr>
      <w:r w:rsidRPr="004A1196">
        <w:rPr>
          <w:color w:val="0B2B43" w:themeColor="text2" w:themeShade="80"/>
        </w:rPr>
        <w:t xml:space="preserve">Committee for Economic Development of Australia, 2015, </w:t>
      </w:r>
      <w:r w:rsidRPr="004A1196">
        <w:rPr>
          <w:i/>
          <w:color w:val="0B2B43" w:themeColor="text2" w:themeShade="80"/>
        </w:rPr>
        <w:t>Australia’s future workforce</w:t>
      </w:r>
      <w:proofErr w:type="gramStart"/>
      <w:r w:rsidRPr="004A1196">
        <w:rPr>
          <w:i/>
          <w:color w:val="0B2B43" w:themeColor="text2" w:themeShade="80"/>
        </w:rPr>
        <w:t>?,</w:t>
      </w:r>
      <w:proofErr w:type="gramEnd"/>
      <w:r w:rsidRPr="004A1196">
        <w:rPr>
          <w:color w:val="0B2B43" w:themeColor="text2" w:themeShade="80"/>
        </w:rPr>
        <w:t xml:space="preserve"> accessed August 2015, &lt;http://adminpanel.ceda.com.au/FOLDERS/Service/Files/Documents/26792~Futureworkforce_June2015.pdf&gt;.</w:t>
      </w:r>
    </w:p>
    <w:p w:rsidR="002C6039" w:rsidRPr="004A1196" w:rsidRDefault="002C6039" w:rsidP="002C6039">
      <w:pPr>
        <w:rPr>
          <w:color w:val="0B2B43" w:themeColor="text2" w:themeShade="80"/>
        </w:rPr>
      </w:pPr>
      <w:proofErr w:type="gramStart"/>
      <w:r w:rsidRPr="004A1196">
        <w:rPr>
          <w:color w:val="0B2B43" w:themeColor="text2" w:themeShade="80"/>
        </w:rPr>
        <w:t xml:space="preserve">Commonwealth of Australia, 2011, </w:t>
      </w:r>
      <w:r w:rsidRPr="004A1196">
        <w:rPr>
          <w:i/>
          <w:color w:val="0B2B43" w:themeColor="text2" w:themeShade="80"/>
        </w:rPr>
        <w:t>Higher Education Standards Framework (Threshold Standards) 2011</w:t>
      </w:r>
      <w:r w:rsidRPr="004A1196">
        <w:rPr>
          <w:color w:val="0B2B43" w:themeColor="text2" w:themeShade="80"/>
        </w:rPr>
        <w:t xml:space="preserve">, </w:t>
      </w:r>
      <w:proofErr w:type="spellStart"/>
      <w:r w:rsidRPr="004A1196">
        <w:rPr>
          <w:color w:val="0B2B43" w:themeColor="text2" w:themeShade="80"/>
        </w:rPr>
        <w:t>FRLI</w:t>
      </w:r>
      <w:proofErr w:type="spellEnd"/>
      <w:r w:rsidRPr="004A1196">
        <w:rPr>
          <w:color w:val="0B2B43" w:themeColor="text2" w:themeShade="80"/>
        </w:rPr>
        <w:t xml:space="preserve"> </w:t>
      </w:r>
      <w:proofErr w:type="spellStart"/>
      <w:r w:rsidRPr="004A1196">
        <w:rPr>
          <w:color w:val="0B2B43" w:themeColor="text2" w:themeShade="80"/>
        </w:rPr>
        <w:t>F2012L00003</w:t>
      </w:r>
      <w:proofErr w:type="spellEnd"/>
      <w:r w:rsidRPr="004A1196">
        <w:rPr>
          <w:color w:val="0B2B43" w:themeColor="text2" w:themeShade="80"/>
        </w:rPr>
        <w:t>, accessed November 2015, &lt;https://www.comlaw.gov.au/Details/F2012L00003/Download&gt;.</w:t>
      </w:r>
      <w:proofErr w:type="gramEnd"/>
    </w:p>
    <w:p w:rsidR="00A33E7C" w:rsidRPr="004A1196" w:rsidRDefault="00A33E7C" w:rsidP="002C6039">
      <w:pPr>
        <w:rPr>
          <w:color w:val="0B2B43" w:themeColor="text2" w:themeShade="80"/>
        </w:rPr>
      </w:pPr>
      <w:r w:rsidRPr="004A1196">
        <w:rPr>
          <w:color w:val="0B2B43" w:themeColor="text2" w:themeShade="80"/>
        </w:rPr>
        <w:t xml:space="preserve">CSIRO, </w:t>
      </w:r>
      <w:r w:rsidRPr="004A1196">
        <w:rPr>
          <w:i/>
          <w:color w:val="0B2B43" w:themeColor="text2" w:themeShade="80"/>
        </w:rPr>
        <w:t xml:space="preserve">Solutions for </w:t>
      </w:r>
      <w:proofErr w:type="spellStart"/>
      <w:r w:rsidRPr="004A1196">
        <w:rPr>
          <w:i/>
          <w:color w:val="0B2B43" w:themeColor="text2" w:themeShade="80"/>
        </w:rPr>
        <w:t>SMEs</w:t>
      </w:r>
      <w:proofErr w:type="spellEnd"/>
      <w:r w:rsidRPr="004A1196">
        <w:rPr>
          <w:color w:val="0B2B43" w:themeColor="text2" w:themeShade="80"/>
        </w:rPr>
        <w:t>, accessed November 2015 &lt;http://www.csiro.au/en/Do-business/Solutions-for-s</w:t>
      </w:r>
      <w:r w:rsidRPr="004A1196">
        <w:rPr>
          <w:rStyle w:val="Hyperlink"/>
          <w:color w:val="0B2B43" w:themeColor="text2" w:themeShade="80"/>
          <w:u w:val="none"/>
        </w:rPr>
        <w:t>&gt;.</w:t>
      </w:r>
    </w:p>
    <w:p w:rsidR="00055021" w:rsidRPr="004A1196" w:rsidRDefault="00055021" w:rsidP="002C6039">
      <w:pPr>
        <w:rPr>
          <w:color w:val="0B2B43" w:themeColor="text2" w:themeShade="80"/>
        </w:rPr>
      </w:pPr>
      <w:proofErr w:type="spellStart"/>
      <w:r w:rsidRPr="004A1196">
        <w:rPr>
          <w:color w:val="0B2B43" w:themeColor="text2" w:themeShade="80"/>
        </w:rPr>
        <w:t>CWTS</w:t>
      </w:r>
      <w:proofErr w:type="spellEnd"/>
      <w:r w:rsidRPr="004A1196">
        <w:rPr>
          <w:color w:val="0B2B43" w:themeColor="text2" w:themeShade="80"/>
        </w:rPr>
        <w:t xml:space="preserve"> Leiden University, 2015, </w:t>
      </w:r>
      <w:proofErr w:type="spellStart"/>
      <w:r w:rsidRPr="004A1196">
        <w:rPr>
          <w:i/>
          <w:color w:val="0B2B43" w:themeColor="text2" w:themeShade="80"/>
        </w:rPr>
        <w:t>CWTS</w:t>
      </w:r>
      <w:proofErr w:type="spellEnd"/>
      <w:r w:rsidRPr="004A1196">
        <w:rPr>
          <w:i/>
          <w:color w:val="0B2B43" w:themeColor="text2" w:themeShade="80"/>
        </w:rPr>
        <w:t xml:space="preserve"> Leiden Ranking 2015</w:t>
      </w:r>
      <w:r w:rsidRPr="004A1196">
        <w:rPr>
          <w:color w:val="0B2B43" w:themeColor="text2" w:themeShade="80"/>
        </w:rPr>
        <w:t>, accessed November 2015, &lt;http://www.leidenranking.com/&gt;.</w:t>
      </w:r>
    </w:p>
    <w:p w:rsidR="00C07832" w:rsidRPr="004A1196" w:rsidRDefault="00C07832" w:rsidP="002C6039">
      <w:pPr>
        <w:rPr>
          <w:color w:val="0B2B43" w:themeColor="text2" w:themeShade="80"/>
        </w:rPr>
      </w:pPr>
      <w:r w:rsidRPr="004A1196">
        <w:rPr>
          <w:color w:val="0B2B43" w:themeColor="text2" w:themeShade="80"/>
        </w:rPr>
        <w:t xml:space="preserve">Department of Education and Training, 2014, </w:t>
      </w:r>
      <w:r w:rsidRPr="004A1196">
        <w:rPr>
          <w:i/>
          <w:color w:val="0B2B43" w:themeColor="text2" w:themeShade="80"/>
        </w:rPr>
        <w:t>Discussion paper ‘Boosting the Commercial Returns from Research’ released</w:t>
      </w:r>
      <w:r w:rsidRPr="004A1196">
        <w:rPr>
          <w:color w:val="0B2B43" w:themeColor="text2" w:themeShade="80"/>
        </w:rPr>
        <w:t>, 29 October &lt;https://education.gov.au/news/discussion-paper-boosting-commercial-returns-research-released</w:t>
      </w:r>
      <w:r w:rsidRPr="004A1196">
        <w:rPr>
          <w:rStyle w:val="Hyperlink"/>
          <w:color w:val="0B2B43" w:themeColor="text2" w:themeShade="80"/>
          <w:u w:val="none"/>
        </w:rPr>
        <w:t>&gt;.</w:t>
      </w:r>
    </w:p>
    <w:p w:rsidR="00AD7430" w:rsidRPr="004A1196" w:rsidRDefault="00AD7430" w:rsidP="002C6039">
      <w:pPr>
        <w:rPr>
          <w:color w:val="0B2B43" w:themeColor="text2" w:themeShade="80"/>
        </w:rPr>
      </w:pPr>
      <w:r w:rsidRPr="004A1196">
        <w:rPr>
          <w:color w:val="0B2B43" w:themeColor="text2" w:themeShade="80"/>
        </w:rPr>
        <w:t xml:space="preserve">Department of Education and Training, 2015, </w:t>
      </w:r>
      <w:r w:rsidRPr="004A1196">
        <w:rPr>
          <w:i/>
          <w:color w:val="0B2B43" w:themeColor="text2" w:themeShade="80"/>
        </w:rPr>
        <w:t>International Student Survey 2014, Overview Report</w:t>
      </w:r>
      <w:r w:rsidRPr="004A1196">
        <w:rPr>
          <w:color w:val="0B2B43" w:themeColor="text2" w:themeShade="80"/>
        </w:rPr>
        <w:t>, accessed November 2015 &lt;https://internationaleducation.gov.au/research/research-papers/pages/research%20papers.aspx&gt;.</w:t>
      </w:r>
    </w:p>
    <w:p w:rsidR="002C6039" w:rsidRPr="004A1196" w:rsidRDefault="002C6039" w:rsidP="002C6039">
      <w:pPr>
        <w:rPr>
          <w:color w:val="0B2B43" w:themeColor="text2" w:themeShade="80"/>
        </w:rPr>
      </w:pPr>
      <w:r w:rsidRPr="004A1196">
        <w:rPr>
          <w:color w:val="0B2B43" w:themeColor="text2" w:themeShade="80"/>
        </w:rPr>
        <w:t>Department of Education and Training, 2015,</w:t>
      </w:r>
      <w:r w:rsidRPr="004A1196">
        <w:rPr>
          <w:i/>
          <w:color w:val="0B2B43" w:themeColor="text2" w:themeShade="80"/>
        </w:rPr>
        <w:t xml:space="preserve"> Launch of the strategy </w:t>
      </w:r>
      <w:proofErr w:type="gramStart"/>
      <w:r w:rsidRPr="004A1196">
        <w:rPr>
          <w:i/>
          <w:color w:val="0B2B43" w:themeColor="text2" w:themeShade="80"/>
        </w:rPr>
        <w:t>Boosting</w:t>
      </w:r>
      <w:proofErr w:type="gramEnd"/>
      <w:r w:rsidRPr="004A1196">
        <w:rPr>
          <w:i/>
          <w:color w:val="0B2B43" w:themeColor="text2" w:themeShade="80"/>
        </w:rPr>
        <w:t xml:space="preserve"> the Commercial Returns from Research</w:t>
      </w:r>
      <w:r w:rsidRPr="004A1196">
        <w:rPr>
          <w:color w:val="0B2B43" w:themeColor="text2" w:themeShade="80"/>
        </w:rPr>
        <w:t>, accessed November 2015 &lt;http://www.education.gov.au/news/launch-strategy-boosting-commercial-returns-research&gt;.</w:t>
      </w:r>
    </w:p>
    <w:p w:rsidR="002C6039" w:rsidRPr="004A1196" w:rsidRDefault="002C6039" w:rsidP="002C6039">
      <w:pPr>
        <w:rPr>
          <w:color w:val="0B2B43" w:themeColor="text2" w:themeShade="80"/>
        </w:rPr>
      </w:pPr>
      <w:r w:rsidRPr="004A1196">
        <w:rPr>
          <w:color w:val="0B2B43" w:themeColor="text2" w:themeShade="80"/>
        </w:rPr>
        <w:t>Department of Education and Training, 2015, ‘Research Block Grants: Australian Competitive Grants Register’, accessed August 2015, &lt;http://www.education.gov.au/australian-competitive-grants-register&gt;.</w:t>
      </w:r>
    </w:p>
    <w:p w:rsidR="002C6039" w:rsidRPr="004A1196" w:rsidRDefault="002C6039" w:rsidP="002C6039">
      <w:pPr>
        <w:rPr>
          <w:color w:val="0B2B43" w:themeColor="text2" w:themeShade="80"/>
        </w:rPr>
      </w:pPr>
      <w:r w:rsidRPr="004A1196">
        <w:rPr>
          <w:color w:val="0B2B43" w:themeColor="text2" w:themeShade="80"/>
        </w:rPr>
        <w:t xml:space="preserve">Department of Education and Training, 2015, ‘Research Block Grants: Calculation Methodology’, accessed August 2015, &lt;https://www.education.gov.au/research-block-grants-calculation-methodology&gt;. </w:t>
      </w:r>
    </w:p>
    <w:p w:rsidR="002C6039" w:rsidRPr="004A1196" w:rsidRDefault="002C6039" w:rsidP="002C6039">
      <w:pPr>
        <w:rPr>
          <w:color w:val="0B2B43" w:themeColor="text2" w:themeShade="80"/>
        </w:rPr>
      </w:pPr>
      <w:r w:rsidRPr="004A1196">
        <w:rPr>
          <w:color w:val="0B2B43" w:themeColor="text2" w:themeShade="80"/>
        </w:rPr>
        <w:t>Department of Industry and Science, 2015</w:t>
      </w:r>
      <w:r w:rsidRPr="004A1196">
        <w:rPr>
          <w:i/>
          <w:color w:val="0B2B43" w:themeColor="text2" w:themeShade="80"/>
        </w:rPr>
        <w:t>, The Australian Government’s 2015-16 Science, Research and Innovation Budget Tables</w:t>
      </w:r>
      <w:r w:rsidRPr="004A1196">
        <w:rPr>
          <w:color w:val="0B2B43" w:themeColor="text2" w:themeShade="80"/>
        </w:rPr>
        <w:t>, accessed November 2015, &lt;http://www.industry.gov.au/innovation/reportsandstudies/Pages/SRIBudget.aspx&gt;.</w:t>
      </w:r>
    </w:p>
    <w:p w:rsidR="002C6039" w:rsidRPr="004A1196" w:rsidRDefault="002C6039" w:rsidP="002C6039">
      <w:pPr>
        <w:rPr>
          <w:color w:val="0B2B43" w:themeColor="text2" w:themeShade="80"/>
        </w:rPr>
      </w:pPr>
      <w:r w:rsidRPr="004A1196">
        <w:rPr>
          <w:color w:val="0B2B43" w:themeColor="text2" w:themeShade="80"/>
        </w:rPr>
        <w:t>Department of Industry and Science and IP Australia, ‘Australian IP Toolkit for Collaboration’, accessed September 2015, &lt;http://www.business.gov.au/business-topics/business-planning/intellectual-property/ip-toolkit/Pages/default.aspx&gt;.</w:t>
      </w:r>
    </w:p>
    <w:p w:rsidR="00C04B9E" w:rsidRPr="004A1196" w:rsidRDefault="00C04B9E" w:rsidP="002C6039">
      <w:pPr>
        <w:rPr>
          <w:color w:val="0B2B43" w:themeColor="text2" w:themeShade="80"/>
        </w:rPr>
      </w:pPr>
      <w:r w:rsidRPr="004A1196">
        <w:rPr>
          <w:color w:val="0B2B43" w:themeColor="text2" w:themeShade="80"/>
        </w:rPr>
        <w:t xml:space="preserve">Department of Innovation, Industry, Science and Research, 2011, </w:t>
      </w:r>
      <w:r w:rsidRPr="004A1196">
        <w:rPr>
          <w:i/>
          <w:color w:val="0B2B43" w:themeColor="text2" w:themeShade="80"/>
        </w:rPr>
        <w:t xml:space="preserve">Australian Innovation System Report, 2011, </w:t>
      </w:r>
      <w:r w:rsidRPr="004A1196">
        <w:rPr>
          <w:color w:val="0B2B43" w:themeColor="text2" w:themeShade="80"/>
        </w:rPr>
        <w:t>accessed August 2015, &lt;http://industry.gov.au/innovation/reportsandstudies/Documents/2011-Australian-Innovation-System-Report.pdf&gt;.</w:t>
      </w:r>
    </w:p>
    <w:p w:rsidR="002C6039" w:rsidRPr="004A1196" w:rsidRDefault="00C04B9E" w:rsidP="002C6039">
      <w:pPr>
        <w:rPr>
          <w:color w:val="0B2B43" w:themeColor="text2" w:themeShade="80"/>
        </w:rPr>
      </w:pPr>
      <w:r w:rsidRPr="004A1196">
        <w:rPr>
          <w:color w:val="0B2B43" w:themeColor="text2" w:themeShade="80"/>
        </w:rPr>
        <w:t xml:space="preserve">Department of Innovation, Industry, Science and Research, 2011, </w:t>
      </w:r>
      <w:r w:rsidRPr="004A1196">
        <w:rPr>
          <w:i/>
          <w:color w:val="0B2B43" w:themeColor="text2" w:themeShade="80"/>
        </w:rPr>
        <w:t>Research Skills for an Innovative Future</w:t>
      </w:r>
      <w:r w:rsidRPr="004A1196">
        <w:rPr>
          <w:color w:val="0B2B43" w:themeColor="text2" w:themeShade="80"/>
        </w:rPr>
        <w:t>, accessed November 2015 &lt;http://www.industry.gov.au/research/ResearchWorkforceIssues/Documents/ResearchSkillsforanInnovativeFuture.pdf&gt;.</w:t>
      </w:r>
    </w:p>
    <w:p w:rsidR="002C6039" w:rsidRPr="004A1196" w:rsidRDefault="002C6039" w:rsidP="002C6039">
      <w:pPr>
        <w:rPr>
          <w:color w:val="0B2B43" w:themeColor="text2" w:themeShade="80"/>
        </w:rPr>
      </w:pPr>
      <w:proofErr w:type="spellStart"/>
      <w:r w:rsidRPr="004A1196">
        <w:rPr>
          <w:color w:val="0B2B43" w:themeColor="text2" w:themeShade="80"/>
        </w:rPr>
        <w:t>Dollinger</w:t>
      </w:r>
      <w:proofErr w:type="spellEnd"/>
      <w:r w:rsidRPr="004A1196">
        <w:rPr>
          <w:color w:val="0B2B43" w:themeColor="text2" w:themeShade="80"/>
        </w:rPr>
        <w:t xml:space="preserve"> M, Naylor M, Bexley E, Croucher G and Coates H, 2015</w:t>
      </w:r>
      <w:r w:rsidRPr="004A1196">
        <w:rPr>
          <w:i/>
          <w:color w:val="0B2B43" w:themeColor="text2" w:themeShade="80"/>
        </w:rPr>
        <w:t xml:space="preserve">, International Innovation Benchmarks – Scan of </w:t>
      </w:r>
      <w:proofErr w:type="spellStart"/>
      <w:r w:rsidRPr="004A1196">
        <w:rPr>
          <w:i/>
          <w:color w:val="0B2B43" w:themeColor="text2" w:themeShade="80"/>
        </w:rPr>
        <w:t>overseases</w:t>
      </w:r>
      <w:proofErr w:type="spellEnd"/>
      <w:r w:rsidRPr="004A1196">
        <w:rPr>
          <w:i/>
          <w:color w:val="0B2B43" w:themeColor="text2" w:themeShade="80"/>
        </w:rPr>
        <w:t xml:space="preserve"> models of university/industry research collaboration and analysis of implications for Australia</w:t>
      </w:r>
      <w:r w:rsidRPr="004A1196">
        <w:rPr>
          <w:color w:val="0B2B43" w:themeColor="text2" w:themeShade="80"/>
        </w:rPr>
        <w:t>, Melbourne Centre for the Study of Higher Education, The University of Melbourne.</w:t>
      </w:r>
    </w:p>
    <w:p w:rsidR="002C6039" w:rsidRPr="004A1196" w:rsidRDefault="009D16FC" w:rsidP="002C6039">
      <w:pPr>
        <w:rPr>
          <w:color w:val="0B2B43" w:themeColor="text2" w:themeShade="80"/>
        </w:rPr>
      </w:pPr>
      <w:r>
        <w:rPr>
          <w:color w:val="0B2B43" w:themeColor="text2" w:themeShade="80"/>
        </w:rPr>
        <w:t xml:space="preserve">Dutta S, </w:t>
      </w:r>
      <w:proofErr w:type="spellStart"/>
      <w:r>
        <w:rPr>
          <w:color w:val="0B2B43" w:themeColor="text2" w:themeShade="80"/>
        </w:rPr>
        <w:t>Lanvin</w:t>
      </w:r>
      <w:proofErr w:type="spellEnd"/>
      <w:r>
        <w:rPr>
          <w:color w:val="0B2B43" w:themeColor="text2" w:themeShade="80"/>
        </w:rPr>
        <w:t xml:space="preserve"> B and</w:t>
      </w:r>
      <w:r w:rsidR="002C6039" w:rsidRPr="004A1196">
        <w:rPr>
          <w:color w:val="0B2B43" w:themeColor="text2" w:themeShade="80"/>
        </w:rPr>
        <w:t xml:space="preserve"> </w:t>
      </w:r>
      <w:proofErr w:type="spellStart"/>
      <w:r w:rsidR="002C6039" w:rsidRPr="004A1196">
        <w:rPr>
          <w:color w:val="0B2B43" w:themeColor="text2" w:themeShade="80"/>
        </w:rPr>
        <w:t>Wunsch</w:t>
      </w:r>
      <w:proofErr w:type="spellEnd"/>
      <w:r w:rsidR="002C6039" w:rsidRPr="004A1196">
        <w:rPr>
          <w:color w:val="0B2B43" w:themeColor="text2" w:themeShade="80"/>
        </w:rPr>
        <w:t xml:space="preserve">-Vincent S, 2015, </w:t>
      </w:r>
      <w:r w:rsidR="002C6039" w:rsidRPr="004A1196">
        <w:rPr>
          <w:i/>
          <w:color w:val="0B2B43" w:themeColor="text2" w:themeShade="80"/>
        </w:rPr>
        <w:t>The Global Innovation Index 2015:</w:t>
      </w:r>
      <w:r w:rsidR="002C6039" w:rsidRPr="004A1196">
        <w:rPr>
          <w:color w:val="0B2B43" w:themeColor="text2" w:themeShade="80"/>
        </w:rPr>
        <w:t xml:space="preserve"> </w:t>
      </w:r>
      <w:r w:rsidR="002C6039" w:rsidRPr="004A1196">
        <w:rPr>
          <w:i/>
          <w:color w:val="0B2B43" w:themeColor="text2" w:themeShade="80"/>
        </w:rPr>
        <w:t xml:space="preserve">Effective Innovation Policies for Development, </w:t>
      </w:r>
      <w:r w:rsidR="002C6039" w:rsidRPr="004A1196">
        <w:rPr>
          <w:color w:val="0B2B43" w:themeColor="text2" w:themeShade="80"/>
        </w:rPr>
        <w:t xml:space="preserve">Cornell University, </w:t>
      </w:r>
      <w:proofErr w:type="spellStart"/>
      <w:r w:rsidR="002C6039" w:rsidRPr="004A1196">
        <w:rPr>
          <w:color w:val="0B2B43" w:themeColor="text2" w:themeShade="80"/>
        </w:rPr>
        <w:t>INSEAD</w:t>
      </w:r>
      <w:proofErr w:type="spellEnd"/>
      <w:r w:rsidR="002C6039" w:rsidRPr="004A1196">
        <w:rPr>
          <w:color w:val="0B2B43" w:themeColor="text2" w:themeShade="80"/>
        </w:rPr>
        <w:t xml:space="preserve"> and the World Intellectual Property Organisation (</w:t>
      </w:r>
      <w:proofErr w:type="spellStart"/>
      <w:r w:rsidR="002C6039" w:rsidRPr="004A1196">
        <w:rPr>
          <w:color w:val="0B2B43" w:themeColor="text2" w:themeShade="80"/>
        </w:rPr>
        <w:t>WIPO</w:t>
      </w:r>
      <w:proofErr w:type="spellEnd"/>
      <w:r w:rsidR="002C6039" w:rsidRPr="004A1196">
        <w:rPr>
          <w:color w:val="0B2B43" w:themeColor="text2" w:themeShade="80"/>
        </w:rPr>
        <w:t>), accessed November 2015, &lt;https://www.globalinnovationindex.org/content/page/GII-Home&gt;.</w:t>
      </w:r>
    </w:p>
    <w:p w:rsidR="002C6039" w:rsidRPr="004A1196" w:rsidRDefault="002C6039" w:rsidP="002C6039">
      <w:pPr>
        <w:rPr>
          <w:color w:val="0B2B43" w:themeColor="text2" w:themeShade="80"/>
        </w:rPr>
      </w:pPr>
      <w:proofErr w:type="gramStart"/>
      <w:r w:rsidRPr="004A1196">
        <w:rPr>
          <w:color w:val="0B2B43" w:themeColor="text2" w:themeShade="80"/>
        </w:rPr>
        <w:t>Easy Access IP, accessed November 2015, &lt;http://easyaccessip.com/&gt;.</w:t>
      </w:r>
      <w:proofErr w:type="gramEnd"/>
    </w:p>
    <w:p w:rsidR="002C6039" w:rsidRPr="004A1196" w:rsidRDefault="002C6039" w:rsidP="002C6039">
      <w:pPr>
        <w:rPr>
          <w:color w:val="0B2B43" w:themeColor="text2" w:themeShade="80"/>
        </w:rPr>
      </w:pPr>
      <w:proofErr w:type="spellStart"/>
      <w:proofErr w:type="gramStart"/>
      <w:r w:rsidRPr="004A1196">
        <w:rPr>
          <w:color w:val="0B2B43" w:themeColor="text2" w:themeShade="80"/>
        </w:rPr>
        <w:t>Elnasri</w:t>
      </w:r>
      <w:proofErr w:type="spellEnd"/>
      <w:r w:rsidRPr="004A1196">
        <w:rPr>
          <w:color w:val="0B2B43" w:themeColor="text2" w:themeShade="80"/>
        </w:rPr>
        <w:t xml:space="preserve"> A, Fox K J, 2014, ‘The Contribution of Research and Innovation to Productivity and Economic Growth’, </w:t>
      </w:r>
      <w:r w:rsidRPr="004A1196">
        <w:rPr>
          <w:i/>
          <w:color w:val="0B2B43" w:themeColor="text2" w:themeShade="80"/>
        </w:rPr>
        <w:t>UNSW Australian School of Business Research Paper No. 2014-08</w:t>
      </w:r>
      <w:r w:rsidRPr="004A1196">
        <w:rPr>
          <w:color w:val="0B2B43" w:themeColor="text2" w:themeShade="80"/>
        </w:rPr>
        <w:t>, pp. 1</w:t>
      </w:r>
      <w:r w:rsidR="004F326A">
        <w:rPr>
          <w:color w:val="0B2B43" w:themeColor="text2" w:themeShade="80"/>
        </w:rPr>
        <w:noBreakHyphen/>
      </w:r>
      <w:r w:rsidRPr="004A1196">
        <w:rPr>
          <w:color w:val="0B2B43" w:themeColor="text2" w:themeShade="80"/>
        </w:rPr>
        <w:t>48.</w:t>
      </w:r>
      <w:proofErr w:type="gramEnd"/>
      <w:r w:rsidRPr="004A1196">
        <w:rPr>
          <w:color w:val="0B2B43" w:themeColor="text2" w:themeShade="80"/>
        </w:rPr>
        <w:t xml:space="preserve"> </w:t>
      </w:r>
    </w:p>
    <w:p w:rsidR="002C6039" w:rsidRPr="004A1196" w:rsidRDefault="002C6039" w:rsidP="002C6039">
      <w:pPr>
        <w:rPr>
          <w:color w:val="0B2B43" w:themeColor="text2" w:themeShade="80"/>
        </w:rPr>
      </w:pPr>
      <w:r w:rsidRPr="004A1196">
        <w:rPr>
          <w:color w:val="0B2B43" w:themeColor="text2" w:themeShade="80"/>
        </w:rPr>
        <w:t xml:space="preserve">Graduate Careers Australia, 2014, </w:t>
      </w:r>
      <w:r w:rsidRPr="004A1196">
        <w:rPr>
          <w:i/>
          <w:color w:val="0B2B43" w:themeColor="text2" w:themeShade="80"/>
        </w:rPr>
        <w:t>Postgraduate Destinations 2013: A report on the work and study outcomes of recent higher education postgraduates</w:t>
      </w:r>
      <w:r w:rsidRPr="004A1196">
        <w:rPr>
          <w:color w:val="0B2B43" w:themeColor="text2" w:themeShade="80"/>
        </w:rPr>
        <w:t xml:space="preserve">, accessed August 2015, &lt;http://www.graduatecareers.com.au/wp-content/uploads/2014/09/Postgraduate_Destinations_2013_FINAL.pdf&gt;. </w:t>
      </w:r>
    </w:p>
    <w:p w:rsidR="002C6039" w:rsidRPr="004A1196" w:rsidRDefault="002C6039" w:rsidP="002C6039">
      <w:pPr>
        <w:rPr>
          <w:color w:val="0B2B43" w:themeColor="text2" w:themeShade="80"/>
        </w:rPr>
      </w:pPr>
      <w:r w:rsidRPr="004A1196">
        <w:rPr>
          <w:color w:val="0B2B43" w:themeColor="text2" w:themeShade="80"/>
        </w:rPr>
        <w:t>Group of Eight, 2015 ‘</w:t>
      </w:r>
      <w:proofErr w:type="spellStart"/>
      <w:r w:rsidRPr="004A1196">
        <w:rPr>
          <w:color w:val="0B2B43" w:themeColor="text2" w:themeShade="80"/>
        </w:rPr>
        <w:t>Go8</w:t>
      </w:r>
      <w:proofErr w:type="spellEnd"/>
      <w:r w:rsidRPr="004A1196">
        <w:rPr>
          <w:color w:val="0B2B43" w:themeColor="text2" w:themeShade="80"/>
        </w:rPr>
        <w:t xml:space="preserve"> delivers industry and innovation work plan to Minister’, accessed November 2015, &lt;https://go8.edu.au/sites/default/files/docs/article/go8_media_release_-_go8_delivers_industry_and_innovation_work_plan_to_minister_communique_0.pdf&gt;.</w:t>
      </w:r>
    </w:p>
    <w:p w:rsidR="002C6039" w:rsidRPr="004A1196" w:rsidRDefault="002C6039" w:rsidP="002C6039">
      <w:pPr>
        <w:rPr>
          <w:rFonts w:cstheme="minorHAnsi"/>
          <w:color w:val="0B2B43" w:themeColor="text2" w:themeShade="80"/>
        </w:rPr>
      </w:pPr>
      <w:r w:rsidRPr="004A1196">
        <w:rPr>
          <w:rFonts w:cstheme="minorHAnsi"/>
          <w:color w:val="0B2B43" w:themeColor="text2" w:themeShade="80"/>
        </w:rPr>
        <w:t xml:space="preserve">Group of Eight, Australian Technology Network of Universities, 2012, </w:t>
      </w:r>
      <w:r w:rsidRPr="004A1196">
        <w:rPr>
          <w:rFonts w:cstheme="minorHAnsi"/>
          <w:i/>
          <w:color w:val="0B2B43" w:themeColor="text2" w:themeShade="80"/>
        </w:rPr>
        <w:t xml:space="preserve">Excellence in Innovation: Research </w:t>
      </w:r>
      <w:proofErr w:type="gramStart"/>
      <w:r w:rsidRPr="004A1196">
        <w:rPr>
          <w:rFonts w:cstheme="minorHAnsi"/>
          <w:i/>
          <w:color w:val="0B2B43" w:themeColor="text2" w:themeShade="80"/>
        </w:rPr>
        <w:t>impacting</w:t>
      </w:r>
      <w:proofErr w:type="gramEnd"/>
      <w:r w:rsidRPr="004A1196">
        <w:rPr>
          <w:rFonts w:cstheme="minorHAnsi"/>
          <w:i/>
          <w:color w:val="0B2B43" w:themeColor="text2" w:themeShade="80"/>
        </w:rPr>
        <w:t xml:space="preserve"> our nation’s future – assessing the benefits</w:t>
      </w:r>
      <w:r w:rsidRPr="004A1196">
        <w:rPr>
          <w:rFonts w:cstheme="minorHAnsi"/>
          <w:color w:val="0B2B43" w:themeColor="text2" w:themeShade="80"/>
        </w:rPr>
        <w:t>, accessed November 2015, &lt;https://go8.edu.au/sites/default/files/docs/atn-go8-report-web-pdf.pdf&gt;.</w:t>
      </w:r>
    </w:p>
    <w:p w:rsidR="002C6039" w:rsidRPr="004A1196" w:rsidRDefault="002C6039" w:rsidP="002C6039">
      <w:pPr>
        <w:rPr>
          <w:rFonts w:cstheme="minorHAnsi"/>
          <w:color w:val="0B2B43" w:themeColor="text2" w:themeShade="80"/>
        </w:rPr>
      </w:pPr>
      <w:proofErr w:type="gramStart"/>
      <w:r w:rsidRPr="004A1196">
        <w:rPr>
          <w:rFonts w:cstheme="minorHAnsi"/>
          <w:color w:val="0B2B43" w:themeColor="text2" w:themeShade="80"/>
        </w:rPr>
        <w:t>Higher Education Funding Council for England (</w:t>
      </w:r>
      <w:proofErr w:type="spellStart"/>
      <w:r w:rsidRPr="004A1196">
        <w:rPr>
          <w:rFonts w:cstheme="minorHAnsi"/>
          <w:color w:val="0B2B43" w:themeColor="text2" w:themeShade="80"/>
        </w:rPr>
        <w:t>HEFCE</w:t>
      </w:r>
      <w:proofErr w:type="spellEnd"/>
      <w:r w:rsidRPr="004A1196">
        <w:rPr>
          <w:rFonts w:cstheme="minorHAnsi"/>
          <w:color w:val="0B2B43" w:themeColor="text2" w:themeShade="80"/>
        </w:rPr>
        <w:t>), 2015, ‘</w:t>
      </w:r>
      <w:r w:rsidRPr="004A1196">
        <w:rPr>
          <w:color w:val="0B2B43" w:themeColor="text2" w:themeShade="80"/>
        </w:rPr>
        <w:t xml:space="preserve">REF </w:t>
      </w:r>
      <w:r w:rsidRPr="004A1196">
        <w:rPr>
          <w:rFonts w:cstheme="minorHAnsi"/>
          <w:color w:val="0B2B43" w:themeColor="text2" w:themeShade="80"/>
        </w:rPr>
        <w:t>Impact’, accessed November 2015, &lt;http://www.hefce.ac.uk/rsrch/REFimpact/&gt;.</w:t>
      </w:r>
      <w:proofErr w:type="gramEnd"/>
    </w:p>
    <w:p w:rsidR="002C6039" w:rsidRPr="004A1196" w:rsidRDefault="002C6039" w:rsidP="002C6039">
      <w:pPr>
        <w:rPr>
          <w:color w:val="0B2B43" w:themeColor="text2" w:themeShade="80"/>
        </w:rPr>
      </w:pPr>
      <w:r w:rsidRPr="004A1196">
        <w:rPr>
          <w:color w:val="0B2B43" w:themeColor="text2" w:themeShade="80"/>
        </w:rPr>
        <w:t xml:space="preserve">Howard Partners, 2007, </w:t>
      </w:r>
      <w:r w:rsidRPr="004A1196">
        <w:rPr>
          <w:i/>
          <w:color w:val="0B2B43" w:themeColor="text2" w:themeShade="80"/>
        </w:rPr>
        <w:t>Department of Industry, Tourism and Resources:</w:t>
      </w:r>
      <w:r w:rsidRPr="004A1196">
        <w:rPr>
          <w:color w:val="0B2B43" w:themeColor="text2" w:themeShade="80"/>
        </w:rPr>
        <w:t xml:space="preserve"> </w:t>
      </w:r>
      <w:r w:rsidRPr="004A1196">
        <w:rPr>
          <w:i/>
          <w:color w:val="0B2B43" w:themeColor="text2" w:themeShade="80"/>
        </w:rPr>
        <w:t>Study of the Role of Intermediaries in Support of Innovation</w:t>
      </w:r>
      <w:r w:rsidRPr="004A1196">
        <w:rPr>
          <w:color w:val="0B2B43" w:themeColor="text2" w:themeShade="80"/>
        </w:rPr>
        <w:t xml:space="preserve">, Department of Industry, Tourism and Resources, accessed November 2015, &lt;http://www.industry.gov.au/innovation/reportsandstudies/Documents/InnovationIntermediariesReport.pdf&gt;. </w:t>
      </w:r>
    </w:p>
    <w:p w:rsidR="00E3593C" w:rsidRPr="004A1196" w:rsidRDefault="00E3593C" w:rsidP="00E3593C">
      <w:pPr>
        <w:rPr>
          <w:color w:val="0B2B43" w:themeColor="text2" w:themeShade="80"/>
        </w:rPr>
      </w:pPr>
      <w:proofErr w:type="spellStart"/>
      <w:r w:rsidRPr="004A1196">
        <w:rPr>
          <w:color w:val="0B2B43" w:themeColor="text2" w:themeShade="80"/>
        </w:rPr>
        <w:t>Incites</w:t>
      </w:r>
      <w:r w:rsidRPr="004A1196">
        <w:rPr>
          <w:color w:val="0B2B43" w:themeColor="text2" w:themeShade="80"/>
          <w:vertAlign w:val="superscript"/>
        </w:rPr>
        <w:t>TM</w:t>
      </w:r>
      <w:proofErr w:type="gramStart"/>
      <w:r w:rsidRPr="004A1196">
        <w:rPr>
          <w:color w:val="0B2B43" w:themeColor="text2" w:themeShade="80"/>
        </w:rPr>
        <w:t>,Thomson</w:t>
      </w:r>
      <w:proofErr w:type="spellEnd"/>
      <w:proofErr w:type="gramEnd"/>
      <w:r w:rsidRPr="004A1196">
        <w:rPr>
          <w:color w:val="0B2B43" w:themeColor="text2" w:themeShade="80"/>
        </w:rPr>
        <w:t xml:space="preserve"> Reuters, 2014, </w:t>
      </w:r>
      <w:r w:rsidRPr="004A1196">
        <w:rPr>
          <w:i/>
          <w:color w:val="0B2B43" w:themeColor="text2" w:themeShade="80"/>
        </w:rPr>
        <w:t>Benchmarking Report</w:t>
      </w:r>
      <w:r w:rsidRPr="004A1196">
        <w:rPr>
          <w:color w:val="0B2B43" w:themeColor="text2" w:themeShade="80"/>
        </w:rPr>
        <w:t>, produced for Department of Education and Department of Industry.</w:t>
      </w:r>
    </w:p>
    <w:p w:rsidR="002C6039" w:rsidRPr="004A1196" w:rsidRDefault="002C6039" w:rsidP="002C6039">
      <w:pPr>
        <w:rPr>
          <w:color w:val="0B2B43" w:themeColor="text2" w:themeShade="80"/>
        </w:rPr>
      </w:pPr>
      <w:proofErr w:type="spellStart"/>
      <w:r w:rsidRPr="004A1196">
        <w:rPr>
          <w:color w:val="0B2B43" w:themeColor="text2" w:themeShade="80"/>
        </w:rPr>
        <w:t>Informilo</w:t>
      </w:r>
      <w:proofErr w:type="spellEnd"/>
      <w:r w:rsidRPr="004A1196">
        <w:rPr>
          <w:color w:val="0B2B43" w:themeColor="text2" w:themeShade="80"/>
        </w:rPr>
        <w:t>, 2013, ‘Cambridge: The UK’s first tech city’, accessed August 2015, &lt;http://www.informilo.com/2013/03/cambridge-the-uk-s-first-tech-city/&gt;.</w:t>
      </w:r>
    </w:p>
    <w:p w:rsidR="002C6039" w:rsidRPr="004A1196" w:rsidRDefault="002C6039" w:rsidP="002C6039">
      <w:pPr>
        <w:rPr>
          <w:color w:val="0B2B43" w:themeColor="text2" w:themeShade="80"/>
        </w:rPr>
      </w:pPr>
      <w:proofErr w:type="gramStart"/>
      <w:r w:rsidRPr="004A1196">
        <w:rPr>
          <w:color w:val="0B2B43" w:themeColor="text2" w:themeShade="80"/>
        </w:rPr>
        <w:t xml:space="preserve">Innovative Research Universities, 2015, </w:t>
      </w:r>
      <w:r w:rsidRPr="004A1196">
        <w:rPr>
          <w:i/>
          <w:color w:val="0B2B43" w:themeColor="text2" w:themeShade="80"/>
        </w:rPr>
        <w:t>Measuring Research Value for End users</w:t>
      </w:r>
      <w:r w:rsidRPr="004A1196">
        <w:rPr>
          <w:color w:val="0B2B43" w:themeColor="text2" w:themeShade="80"/>
        </w:rPr>
        <w:t>, accessed August 2015, &lt;http://www.iru.edu.au/media/55230/measuring%20research%20value%20for%20external%20users.pdf&gt;.</w:t>
      </w:r>
      <w:proofErr w:type="gramEnd"/>
    </w:p>
    <w:p w:rsidR="003947FC" w:rsidRPr="004A1196" w:rsidRDefault="003947FC" w:rsidP="002C6039">
      <w:pPr>
        <w:rPr>
          <w:color w:val="0B2B43" w:themeColor="text2" w:themeShade="80"/>
        </w:rPr>
      </w:pPr>
      <w:proofErr w:type="gramStart"/>
      <w:r w:rsidRPr="004A1196">
        <w:rPr>
          <w:color w:val="0B2B43" w:themeColor="text2" w:themeShade="80"/>
        </w:rPr>
        <w:t xml:space="preserve">Innovation Centre WA, </w:t>
      </w:r>
      <w:r w:rsidRPr="004A1196">
        <w:rPr>
          <w:i/>
          <w:color w:val="0B2B43" w:themeColor="text2" w:themeShade="80"/>
        </w:rPr>
        <w:t>Innovation Vouchers Program 2015</w:t>
      </w:r>
      <w:r w:rsidRPr="004A1196">
        <w:rPr>
          <w:color w:val="0B2B43" w:themeColor="text2" w:themeShade="80"/>
        </w:rPr>
        <w:t>, accessed November 2015, &lt;http://innovation.wa.gov.au/programs/innovation-vouchers-program-2015/&gt;.</w:t>
      </w:r>
      <w:proofErr w:type="gramEnd"/>
    </w:p>
    <w:p w:rsidR="002C6039" w:rsidRPr="004A1196" w:rsidRDefault="005F39B9" w:rsidP="002C6039">
      <w:pPr>
        <w:rPr>
          <w:color w:val="0B2B43" w:themeColor="text2" w:themeShade="80"/>
        </w:rPr>
      </w:pPr>
      <w:proofErr w:type="gramStart"/>
      <w:r w:rsidRPr="004A1196">
        <w:rPr>
          <w:color w:val="0B2B43" w:themeColor="text2" w:themeShade="80"/>
        </w:rPr>
        <w:t xml:space="preserve">IP Australia, 2015, </w:t>
      </w:r>
      <w:r w:rsidRPr="004A1196">
        <w:rPr>
          <w:i/>
          <w:color w:val="0B2B43" w:themeColor="text2" w:themeShade="80"/>
        </w:rPr>
        <w:t>Source IP</w:t>
      </w:r>
      <w:r w:rsidR="002C6039" w:rsidRPr="004A1196">
        <w:rPr>
          <w:color w:val="0B2B43" w:themeColor="text2" w:themeShade="80"/>
        </w:rPr>
        <w:t>, accessed November 2015, &lt;https://sourceip.ipaustralia.gov.au/#/&gt;.</w:t>
      </w:r>
      <w:proofErr w:type="gramEnd"/>
    </w:p>
    <w:p w:rsidR="002C6039" w:rsidRPr="004A1196" w:rsidRDefault="002C6039" w:rsidP="002C6039">
      <w:pPr>
        <w:rPr>
          <w:color w:val="0B2B43" w:themeColor="text2" w:themeShade="80"/>
        </w:rPr>
      </w:pPr>
      <w:proofErr w:type="gramStart"/>
      <w:r w:rsidRPr="004A1196">
        <w:rPr>
          <w:color w:val="0B2B43" w:themeColor="text2" w:themeShade="80"/>
        </w:rPr>
        <w:t>IP Australia, ‘Patent Analytics Hub’, accessed November 2015, &lt;http://www.ipaustralia.gov.au/about-us/economics-of-ip/patent-analytics-hub/&gt;.</w:t>
      </w:r>
      <w:proofErr w:type="gramEnd"/>
    </w:p>
    <w:p w:rsidR="002C6039" w:rsidRPr="004A1196" w:rsidRDefault="002C6039" w:rsidP="002C6039">
      <w:pPr>
        <w:rPr>
          <w:color w:val="0B2B43" w:themeColor="text2" w:themeShade="80"/>
        </w:rPr>
      </w:pPr>
      <w:r w:rsidRPr="004A1196">
        <w:rPr>
          <w:color w:val="0B2B43" w:themeColor="text2" w:themeShade="80"/>
        </w:rPr>
        <w:t xml:space="preserve">Kemp D A, 1999, </w:t>
      </w:r>
      <w:r w:rsidRPr="004A1196">
        <w:rPr>
          <w:i/>
          <w:color w:val="0B2B43" w:themeColor="text2" w:themeShade="80"/>
        </w:rPr>
        <w:t>Knowledge and Innovation: a policy statement on research and research training</w:t>
      </w:r>
      <w:r w:rsidRPr="004A1196">
        <w:rPr>
          <w:color w:val="0B2B43" w:themeColor="text2" w:themeShade="80"/>
        </w:rPr>
        <w:t>,</w:t>
      </w:r>
      <w:r w:rsidRPr="004A1196">
        <w:rPr>
          <w:i/>
          <w:color w:val="0B2B43" w:themeColor="text2" w:themeShade="80"/>
        </w:rPr>
        <w:t xml:space="preserve"> </w:t>
      </w:r>
      <w:r w:rsidRPr="004A1196">
        <w:rPr>
          <w:color w:val="0B2B43" w:themeColor="text2" w:themeShade="80"/>
        </w:rPr>
        <w:t xml:space="preserve">Commonwealth of Australia. </w:t>
      </w:r>
    </w:p>
    <w:p w:rsidR="002C6039" w:rsidRPr="004A1196" w:rsidRDefault="002C6039" w:rsidP="002C6039">
      <w:pPr>
        <w:rPr>
          <w:color w:val="0B2B43" w:themeColor="text2" w:themeShade="80"/>
        </w:rPr>
      </w:pPr>
      <w:proofErr w:type="spellStart"/>
      <w:r w:rsidRPr="004A1196">
        <w:rPr>
          <w:rFonts w:cstheme="minorHAnsi"/>
          <w:color w:val="0B2B43" w:themeColor="text2" w:themeShade="80"/>
        </w:rPr>
        <w:t>Koshi</w:t>
      </w:r>
      <w:proofErr w:type="spellEnd"/>
      <w:r w:rsidRPr="004A1196">
        <w:rPr>
          <w:rFonts w:cstheme="minorHAnsi"/>
          <w:color w:val="0B2B43" w:themeColor="text2" w:themeShade="80"/>
        </w:rPr>
        <w:t xml:space="preserve"> P and Seymour R, 2015 </w:t>
      </w:r>
      <w:r w:rsidRPr="004A1196">
        <w:rPr>
          <w:rFonts w:cstheme="minorHAnsi"/>
          <w:i/>
          <w:iCs/>
          <w:color w:val="0B2B43" w:themeColor="text2" w:themeShade="80"/>
        </w:rPr>
        <w:t>Student Equity Performance in Australian Higher Education: 2007 to 2014</w:t>
      </w:r>
      <w:r w:rsidRPr="004A1196">
        <w:rPr>
          <w:rFonts w:cstheme="minorHAnsi"/>
          <w:color w:val="0B2B43" w:themeColor="text2" w:themeShade="80"/>
        </w:rPr>
        <w:t>. National Centre for Student Equity in Higher Education (</w:t>
      </w:r>
      <w:proofErr w:type="spellStart"/>
      <w:r w:rsidRPr="004A1196">
        <w:rPr>
          <w:rFonts w:cstheme="minorHAnsi"/>
          <w:color w:val="0B2B43" w:themeColor="text2" w:themeShade="80"/>
        </w:rPr>
        <w:t>NCSEHE</w:t>
      </w:r>
      <w:proofErr w:type="spellEnd"/>
      <w:r w:rsidRPr="004A1196">
        <w:rPr>
          <w:rFonts w:cstheme="minorHAnsi"/>
          <w:color w:val="0B2B43" w:themeColor="text2" w:themeShade="80"/>
        </w:rPr>
        <w:t xml:space="preserve">), Perth: Curtin </w:t>
      </w:r>
      <w:proofErr w:type="gramStart"/>
      <w:r w:rsidRPr="004A1196">
        <w:rPr>
          <w:rFonts w:cstheme="minorHAnsi"/>
          <w:color w:val="0B2B43" w:themeColor="text2" w:themeShade="80"/>
        </w:rPr>
        <w:t>University,</w:t>
      </w:r>
      <w:proofErr w:type="gramEnd"/>
      <w:r w:rsidRPr="004A1196">
        <w:rPr>
          <w:rFonts w:cstheme="minorHAnsi"/>
          <w:color w:val="0B2B43" w:themeColor="text2" w:themeShade="80"/>
        </w:rPr>
        <w:t xml:space="preserve"> accessed November 2015 &lt;</w:t>
      </w:r>
      <w:r w:rsidRPr="004A1196">
        <w:rPr>
          <w:color w:val="0B2B43" w:themeColor="text2" w:themeShade="80"/>
        </w:rPr>
        <w:t xml:space="preserve"> </w:t>
      </w:r>
      <w:r w:rsidRPr="004A1196">
        <w:rPr>
          <w:rFonts w:cstheme="minorHAnsi"/>
          <w:color w:val="0B2B43" w:themeColor="text2" w:themeShade="80"/>
        </w:rPr>
        <w:t>https://www.ncsehe.edu.au/wp-content/uploads/2015/09/Student-Equity-Performance-in-Australian-Higher-Education-2007-to-2014.pdf&gt;.</w:t>
      </w:r>
    </w:p>
    <w:p w:rsidR="002C6039" w:rsidRPr="004A1196" w:rsidRDefault="002C6039" w:rsidP="002C6039">
      <w:pPr>
        <w:rPr>
          <w:color w:val="0B2B43" w:themeColor="text2" w:themeShade="80"/>
        </w:rPr>
      </w:pPr>
      <w:r w:rsidRPr="004A1196">
        <w:rPr>
          <w:color w:val="0B2B43" w:themeColor="text2" w:themeShade="80"/>
        </w:rPr>
        <w:t xml:space="preserve">Lomax-Smith J, Watson L, Webster B, 2011, </w:t>
      </w:r>
      <w:r w:rsidRPr="004A1196">
        <w:rPr>
          <w:i/>
          <w:color w:val="0B2B43" w:themeColor="text2" w:themeShade="80"/>
        </w:rPr>
        <w:t>Higher Education Base Funding Review: Final Report</w:t>
      </w:r>
      <w:r w:rsidRPr="004A1196">
        <w:rPr>
          <w:color w:val="0B2B43" w:themeColor="text2" w:themeShade="80"/>
        </w:rPr>
        <w:t>, Department of Employment, Education and Workplace Relations &lt;http://www.canberra.edu.au/research/faculty-research-centres/edinstitute/documents/HigherEd_FundingReviewReport1.pdf&gt;.</w:t>
      </w:r>
    </w:p>
    <w:p w:rsidR="002C6039" w:rsidRPr="004A1196" w:rsidRDefault="009D16FC" w:rsidP="002C6039">
      <w:pPr>
        <w:rPr>
          <w:color w:val="0B2B43" w:themeColor="text2" w:themeShade="80"/>
        </w:rPr>
      </w:pPr>
      <w:proofErr w:type="spellStart"/>
      <w:proofErr w:type="gramStart"/>
      <w:r>
        <w:rPr>
          <w:color w:val="0B2B43" w:themeColor="text2" w:themeShade="80"/>
        </w:rPr>
        <w:t>Lundequist</w:t>
      </w:r>
      <w:proofErr w:type="spellEnd"/>
      <w:r>
        <w:rPr>
          <w:color w:val="0B2B43" w:themeColor="text2" w:themeShade="80"/>
        </w:rPr>
        <w:t xml:space="preserve"> P and</w:t>
      </w:r>
      <w:r w:rsidR="002C6039" w:rsidRPr="004A1196">
        <w:rPr>
          <w:color w:val="0B2B43" w:themeColor="text2" w:themeShade="80"/>
        </w:rPr>
        <w:t xml:space="preserve"> </w:t>
      </w:r>
      <w:proofErr w:type="spellStart"/>
      <w:r w:rsidR="002C6039" w:rsidRPr="004A1196">
        <w:rPr>
          <w:color w:val="0B2B43" w:themeColor="text2" w:themeShade="80"/>
        </w:rPr>
        <w:t>Waxell</w:t>
      </w:r>
      <w:proofErr w:type="spellEnd"/>
      <w:r w:rsidR="002C6039" w:rsidRPr="004A1196">
        <w:rPr>
          <w:color w:val="0B2B43" w:themeColor="text2" w:themeShade="80"/>
        </w:rPr>
        <w:t xml:space="preserve"> A, 2010, ‘Regionalising “Mode 2”?</w:t>
      </w:r>
      <w:proofErr w:type="gramEnd"/>
      <w:r w:rsidR="002C6039" w:rsidRPr="004A1196">
        <w:rPr>
          <w:color w:val="0B2B43" w:themeColor="text2" w:themeShade="80"/>
        </w:rPr>
        <w:t xml:space="preserve"> The adoption of Centres of Excellence in Swedish research policy’, </w:t>
      </w:r>
      <w:proofErr w:type="spellStart"/>
      <w:r w:rsidR="002C6039" w:rsidRPr="004A1196">
        <w:rPr>
          <w:i/>
          <w:color w:val="0B2B43" w:themeColor="text2" w:themeShade="80"/>
        </w:rPr>
        <w:t>Geografiska</w:t>
      </w:r>
      <w:proofErr w:type="spellEnd"/>
      <w:r w:rsidR="002C6039" w:rsidRPr="004A1196">
        <w:rPr>
          <w:i/>
          <w:color w:val="0B2B43" w:themeColor="text2" w:themeShade="80"/>
        </w:rPr>
        <w:t xml:space="preserve"> </w:t>
      </w:r>
      <w:proofErr w:type="spellStart"/>
      <w:r w:rsidR="002C6039" w:rsidRPr="004A1196">
        <w:rPr>
          <w:i/>
          <w:color w:val="0B2B43" w:themeColor="text2" w:themeShade="80"/>
        </w:rPr>
        <w:t>Annaler</w:t>
      </w:r>
      <w:proofErr w:type="spellEnd"/>
      <w:r w:rsidR="002C6039" w:rsidRPr="004A1196">
        <w:rPr>
          <w:i/>
          <w:color w:val="0B2B43" w:themeColor="text2" w:themeShade="80"/>
        </w:rPr>
        <w:t>: Series B, Human Geography</w:t>
      </w:r>
      <w:r w:rsidR="002C6039" w:rsidRPr="004A1196">
        <w:rPr>
          <w:color w:val="0B2B43" w:themeColor="text2" w:themeShade="80"/>
        </w:rPr>
        <w:t xml:space="preserve">, Vol. 92, Issue 3, pp. 263-279. </w:t>
      </w:r>
    </w:p>
    <w:p w:rsidR="002C6039" w:rsidRPr="004A1196" w:rsidRDefault="002C6039" w:rsidP="002C6039">
      <w:pPr>
        <w:rPr>
          <w:rFonts w:cstheme="minorHAnsi"/>
          <w:color w:val="0B2B43" w:themeColor="text2" w:themeShade="80"/>
        </w:rPr>
      </w:pPr>
      <w:r w:rsidRPr="004A1196">
        <w:rPr>
          <w:rFonts w:cstheme="minorHAnsi"/>
          <w:color w:val="0B2B43" w:themeColor="text2" w:themeShade="80"/>
        </w:rPr>
        <w:t xml:space="preserve">Manville C, Guthrie S, </w:t>
      </w:r>
      <w:proofErr w:type="spellStart"/>
      <w:r w:rsidRPr="004A1196">
        <w:rPr>
          <w:rFonts w:cstheme="minorHAnsi"/>
          <w:color w:val="0B2B43" w:themeColor="text2" w:themeShade="80"/>
        </w:rPr>
        <w:t>Henham</w:t>
      </w:r>
      <w:proofErr w:type="spellEnd"/>
      <w:r w:rsidRPr="004A1196">
        <w:rPr>
          <w:rFonts w:cstheme="minorHAnsi"/>
          <w:color w:val="0B2B43" w:themeColor="text2" w:themeShade="80"/>
        </w:rPr>
        <w:t xml:space="preserve"> M, </w:t>
      </w:r>
      <w:proofErr w:type="spellStart"/>
      <w:r w:rsidRPr="004A1196">
        <w:rPr>
          <w:rFonts w:cstheme="minorHAnsi"/>
          <w:color w:val="0B2B43" w:themeColor="text2" w:themeShade="80"/>
        </w:rPr>
        <w:t>Garrod</w:t>
      </w:r>
      <w:proofErr w:type="spellEnd"/>
      <w:r w:rsidRPr="004A1196">
        <w:rPr>
          <w:rFonts w:cstheme="minorHAnsi"/>
          <w:color w:val="0B2B43" w:themeColor="text2" w:themeShade="80"/>
        </w:rPr>
        <w:t xml:space="preserve"> S, Sousa S, </w:t>
      </w:r>
      <w:proofErr w:type="spellStart"/>
      <w:r w:rsidRPr="004A1196">
        <w:rPr>
          <w:rFonts w:cstheme="minorHAnsi"/>
          <w:color w:val="0B2B43" w:themeColor="text2" w:themeShade="80"/>
        </w:rPr>
        <w:t>Kirtley</w:t>
      </w:r>
      <w:proofErr w:type="spellEnd"/>
      <w:r w:rsidRPr="004A1196">
        <w:rPr>
          <w:rFonts w:cstheme="minorHAnsi"/>
          <w:color w:val="0B2B43" w:themeColor="text2" w:themeShade="80"/>
        </w:rPr>
        <w:t xml:space="preserve"> A, Castle-Clarke S, Ling T, 2015, </w:t>
      </w:r>
      <w:r w:rsidRPr="004A1196">
        <w:rPr>
          <w:rFonts w:cstheme="minorHAnsi"/>
          <w:i/>
          <w:color w:val="0B2B43" w:themeColor="text2" w:themeShade="80"/>
        </w:rPr>
        <w:t>Assessing Impact submissions for REF 2014: An evaluation</w:t>
      </w:r>
      <w:r w:rsidRPr="004A1196">
        <w:rPr>
          <w:rFonts w:cstheme="minorHAnsi"/>
          <w:color w:val="0B2B43" w:themeColor="text2" w:themeShade="80"/>
        </w:rPr>
        <w:t>, RAND Europe, accessed November 2015 &lt;http://www.rand.org/pubs/research_reports/RR1032.html&gt;.</w:t>
      </w:r>
    </w:p>
    <w:p w:rsidR="002C6039" w:rsidRPr="004A1196" w:rsidRDefault="002C6039" w:rsidP="002C6039">
      <w:pPr>
        <w:rPr>
          <w:rFonts w:cstheme="minorHAnsi"/>
          <w:color w:val="0B2B43" w:themeColor="text2" w:themeShade="80"/>
        </w:rPr>
      </w:pPr>
      <w:r w:rsidRPr="004A1196">
        <w:rPr>
          <w:rFonts w:cstheme="minorHAnsi"/>
          <w:color w:val="0B2B43" w:themeColor="text2" w:themeShade="80"/>
        </w:rPr>
        <w:t xml:space="preserve">Manville C, Morgan Jones M, </w:t>
      </w:r>
      <w:proofErr w:type="spellStart"/>
      <w:r w:rsidRPr="004A1196">
        <w:rPr>
          <w:rFonts w:cstheme="minorHAnsi"/>
          <w:color w:val="0B2B43" w:themeColor="text2" w:themeShade="80"/>
        </w:rPr>
        <w:t>Frearson</w:t>
      </w:r>
      <w:proofErr w:type="spellEnd"/>
      <w:r w:rsidRPr="004A1196">
        <w:rPr>
          <w:rFonts w:cstheme="minorHAnsi"/>
          <w:color w:val="0B2B43" w:themeColor="text2" w:themeShade="80"/>
        </w:rPr>
        <w:t xml:space="preserve"> M, Castle-Clarke S, </w:t>
      </w:r>
      <w:proofErr w:type="spellStart"/>
      <w:r w:rsidRPr="004A1196">
        <w:rPr>
          <w:rFonts w:cstheme="minorHAnsi"/>
          <w:color w:val="0B2B43" w:themeColor="text2" w:themeShade="80"/>
        </w:rPr>
        <w:t>Henham</w:t>
      </w:r>
      <w:proofErr w:type="spellEnd"/>
      <w:r w:rsidRPr="004A1196">
        <w:rPr>
          <w:rFonts w:cstheme="minorHAnsi"/>
          <w:color w:val="0B2B43" w:themeColor="text2" w:themeShade="80"/>
        </w:rPr>
        <w:t xml:space="preserve"> M, </w:t>
      </w:r>
      <w:proofErr w:type="spellStart"/>
      <w:r w:rsidRPr="004A1196">
        <w:rPr>
          <w:rFonts w:cstheme="minorHAnsi"/>
          <w:color w:val="0B2B43" w:themeColor="text2" w:themeShade="80"/>
        </w:rPr>
        <w:t>Gunashekar</w:t>
      </w:r>
      <w:proofErr w:type="spellEnd"/>
      <w:r w:rsidRPr="004A1196">
        <w:rPr>
          <w:rFonts w:cstheme="minorHAnsi"/>
          <w:color w:val="0B2B43" w:themeColor="text2" w:themeShade="80"/>
        </w:rPr>
        <w:t xml:space="preserve"> S, Grant</w:t>
      </w:r>
      <w:r w:rsidR="0054341C">
        <w:rPr>
          <w:rFonts w:cstheme="minorHAnsi"/>
          <w:color w:val="0B2B43" w:themeColor="text2" w:themeShade="80"/>
        </w:rPr>
        <w:t> </w:t>
      </w:r>
      <w:r w:rsidRPr="004A1196">
        <w:rPr>
          <w:rFonts w:cstheme="minorHAnsi"/>
          <w:color w:val="0B2B43" w:themeColor="text2" w:themeShade="80"/>
        </w:rPr>
        <w:t xml:space="preserve">J, 2014, </w:t>
      </w:r>
      <w:r w:rsidRPr="004A1196">
        <w:rPr>
          <w:rFonts w:cstheme="minorHAnsi"/>
          <w:i/>
          <w:color w:val="0B2B43" w:themeColor="text2" w:themeShade="80"/>
        </w:rPr>
        <w:t>Preparing impact submissions for REF 2104: An evaluation: Findings and observations</w:t>
      </w:r>
      <w:r w:rsidRPr="004A1196">
        <w:rPr>
          <w:rFonts w:cstheme="minorHAnsi"/>
          <w:color w:val="0B2B43" w:themeColor="text2" w:themeShade="80"/>
        </w:rPr>
        <w:t>, RAND Europe, accessed November 2014, &lt;http://www.rand.org/pubs/research_reports/RR727.html&gt;.</w:t>
      </w:r>
    </w:p>
    <w:p w:rsidR="002C6039" w:rsidRPr="004A1196" w:rsidRDefault="002C6039" w:rsidP="002C6039">
      <w:pPr>
        <w:rPr>
          <w:rFonts w:cstheme="minorHAnsi"/>
          <w:color w:val="0B2B43" w:themeColor="text2" w:themeShade="80"/>
        </w:rPr>
      </w:pPr>
      <w:r w:rsidRPr="004A1196">
        <w:rPr>
          <w:rFonts w:cstheme="minorHAnsi"/>
          <w:color w:val="0B2B43" w:themeColor="text2" w:themeShade="80"/>
        </w:rPr>
        <w:t xml:space="preserve">Morgan Jones M, Castle-Clarke S, Manville C, </w:t>
      </w:r>
      <w:proofErr w:type="spellStart"/>
      <w:r w:rsidRPr="004A1196">
        <w:rPr>
          <w:rFonts w:cstheme="minorHAnsi"/>
          <w:color w:val="0B2B43" w:themeColor="text2" w:themeShade="80"/>
        </w:rPr>
        <w:t>Gunashekar</w:t>
      </w:r>
      <w:proofErr w:type="spellEnd"/>
      <w:r w:rsidRPr="004A1196">
        <w:rPr>
          <w:rFonts w:cstheme="minorHAnsi"/>
          <w:color w:val="0B2B43" w:themeColor="text2" w:themeShade="80"/>
        </w:rPr>
        <w:t xml:space="preserve"> S, Grant J, 2013, </w:t>
      </w:r>
      <w:r w:rsidRPr="004A1196">
        <w:rPr>
          <w:rFonts w:cstheme="minorHAnsi"/>
          <w:i/>
          <w:color w:val="0B2B43" w:themeColor="text2" w:themeShade="80"/>
        </w:rPr>
        <w:t>Assessing Research Impact: An international review of the Excellence in Innovation for Australia Trial</w:t>
      </w:r>
      <w:r w:rsidRPr="004A1196">
        <w:rPr>
          <w:rFonts w:cstheme="minorHAnsi"/>
          <w:color w:val="0B2B43" w:themeColor="text2" w:themeShade="80"/>
        </w:rPr>
        <w:t>, accessed August 2015, &lt;http://www.rand.org/content/dam/rand/pubs/research_reports/RR200/RR278/RAND_RR278.pdf&gt;</w:t>
      </w:r>
    </w:p>
    <w:p w:rsidR="0054341C" w:rsidRPr="004A1196" w:rsidRDefault="00055021" w:rsidP="002C6039">
      <w:pPr>
        <w:rPr>
          <w:color w:val="0B2B43" w:themeColor="text2" w:themeShade="80"/>
        </w:rPr>
      </w:pPr>
      <w:r w:rsidRPr="004A1196">
        <w:rPr>
          <w:color w:val="0B2B43" w:themeColor="text2" w:themeShade="80"/>
        </w:rPr>
        <w:t xml:space="preserve">Morse R, 2008, The Real and Perceived Influence of the </w:t>
      </w:r>
      <w:r w:rsidRPr="00C6639A">
        <w:rPr>
          <w:color w:val="0B2B43" w:themeColor="text2" w:themeShade="80"/>
        </w:rPr>
        <w:t>US News</w:t>
      </w:r>
      <w:r w:rsidRPr="004A1196">
        <w:rPr>
          <w:color w:val="0B2B43" w:themeColor="text2" w:themeShade="80"/>
        </w:rPr>
        <w:t xml:space="preserve"> Ranking, </w:t>
      </w:r>
      <w:r w:rsidRPr="004A1196">
        <w:rPr>
          <w:i/>
          <w:color w:val="0B2B43" w:themeColor="text2" w:themeShade="80"/>
        </w:rPr>
        <w:t>Higher Education in Europe</w:t>
      </w:r>
      <w:r w:rsidRPr="004A1196">
        <w:rPr>
          <w:color w:val="0B2B43" w:themeColor="text2" w:themeShade="80"/>
        </w:rPr>
        <w:t xml:space="preserve">, </w:t>
      </w:r>
      <w:proofErr w:type="spellStart"/>
      <w:r w:rsidRPr="004A1196">
        <w:rPr>
          <w:color w:val="0B2B43" w:themeColor="text2" w:themeShade="80"/>
        </w:rPr>
        <w:t>Vol</w:t>
      </w:r>
      <w:proofErr w:type="spellEnd"/>
      <w:r w:rsidRPr="004A1196">
        <w:rPr>
          <w:color w:val="0B2B43" w:themeColor="text2" w:themeShade="80"/>
        </w:rPr>
        <w:t xml:space="preserve"> 33, No 2/3, July-October </w:t>
      </w:r>
      <w:r w:rsidR="006E7F6B">
        <w:rPr>
          <w:color w:val="0B2B43" w:themeColor="text2" w:themeShade="80"/>
        </w:rPr>
        <w:t>&lt;</w:t>
      </w:r>
      <w:r w:rsidRPr="006E7F6B">
        <w:t>http://www.tandfonline.com/doi/abs/10.1080/03797720802254262</w:t>
      </w:r>
      <w:r w:rsidR="006E7F6B">
        <w:t>&gt;</w:t>
      </w:r>
      <w:r w:rsidRPr="004A1196">
        <w:rPr>
          <w:color w:val="0B2B43" w:themeColor="text2" w:themeShade="80"/>
        </w:rPr>
        <w:t>.</w:t>
      </w:r>
    </w:p>
    <w:p w:rsidR="002C6039" w:rsidRPr="004A1196" w:rsidRDefault="002C6039" w:rsidP="00C6639A">
      <w:pPr>
        <w:keepLines/>
        <w:rPr>
          <w:color w:val="0B2B43" w:themeColor="text2" w:themeShade="80"/>
        </w:rPr>
      </w:pPr>
      <w:r w:rsidRPr="004A1196">
        <w:rPr>
          <w:color w:val="0B2B43" w:themeColor="text2" w:themeShade="80"/>
        </w:rPr>
        <w:t xml:space="preserve">National Centre for Universities and Business, 2015, </w:t>
      </w:r>
      <w:r w:rsidRPr="004A1196">
        <w:rPr>
          <w:i/>
          <w:color w:val="0B2B43" w:themeColor="text2" w:themeShade="80"/>
        </w:rPr>
        <w:t>Easy Access IP: A Preliminary Assessment of the Initiative</w:t>
      </w:r>
      <w:r w:rsidRPr="004A1196">
        <w:rPr>
          <w:color w:val="0B2B43" w:themeColor="text2" w:themeShade="80"/>
        </w:rPr>
        <w:t>, accessed November 2015,</w:t>
      </w:r>
      <w:r w:rsidR="0054341C">
        <w:rPr>
          <w:color w:val="0B2B43" w:themeColor="text2" w:themeShade="80"/>
        </w:rPr>
        <w:t xml:space="preserve"> </w:t>
      </w:r>
      <w:r w:rsidRPr="004A1196">
        <w:rPr>
          <w:color w:val="0B2B43" w:themeColor="text2" w:themeShade="80"/>
        </w:rPr>
        <w:t>&lt;http://www.ncub.co.uk/index.php?option=com_docman&amp;task=doc_download&amp;gid=256&amp;Itemid=&gt;.</w:t>
      </w:r>
    </w:p>
    <w:p w:rsidR="00F02D0F" w:rsidRPr="004A1196" w:rsidRDefault="00F02D0F" w:rsidP="002C6039">
      <w:pPr>
        <w:rPr>
          <w:color w:val="0B2B43" w:themeColor="text2" w:themeShade="80"/>
        </w:rPr>
      </w:pPr>
      <w:r w:rsidRPr="004A1196">
        <w:rPr>
          <w:color w:val="0B2B43" w:themeColor="text2" w:themeShade="80"/>
        </w:rPr>
        <w:t xml:space="preserve">National Health and Medical Research Council, 2014, </w:t>
      </w:r>
      <w:proofErr w:type="spellStart"/>
      <w:r w:rsidRPr="004A1196">
        <w:rPr>
          <w:i/>
          <w:color w:val="0B2B43" w:themeColor="text2" w:themeShade="80"/>
        </w:rPr>
        <w:t>NHMRC’s</w:t>
      </w:r>
      <w:proofErr w:type="spellEnd"/>
      <w:r w:rsidRPr="004A1196">
        <w:rPr>
          <w:i/>
          <w:color w:val="0B2B43" w:themeColor="text2" w:themeShade="80"/>
        </w:rPr>
        <w:t xml:space="preserve"> Policy on the Dissemination of Research Findings</w:t>
      </w:r>
      <w:r w:rsidRPr="004A1196">
        <w:rPr>
          <w:color w:val="0B2B43" w:themeColor="text2" w:themeShade="80"/>
        </w:rPr>
        <w:t>, accessed November 2015, &lt;https://www.nhmrc.gov.au/grants-funding/policy/nhmrc-open-access-policy&gt;.</w:t>
      </w:r>
    </w:p>
    <w:p w:rsidR="002C6039" w:rsidRPr="004A1196" w:rsidRDefault="002C6039" w:rsidP="002C6039">
      <w:pPr>
        <w:rPr>
          <w:color w:val="0B2B43" w:themeColor="text2" w:themeShade="80"/>
        </w:rPr>
      </w:pPr>
      <w:r w:rsidRPr="004A1196">
        <w:rPr>
          <w:color w:val="0B2B43" w:themeColor="text2" w:themeShade="80"/>
        </w:rPr>
        <w:t xml:space="preserve">National Health and Medical Research Council, 2014, </w:t>
      </w:r>
      <w:r w:rsidRPr="004A1196">
        <w:rPr>
          <w:i/>
          <w:color w:val="0B2B43" w:themeColor="text2" w:themeShade="80"/>
        </w:rPr>
        <w:t>Research Funding Facts Book 2013</w:t>
      </w:r>
      <w:r w:rsidRPr="004A1196">
        <w:rPr>
          <w:color w:val="0B2B43" w:themeColor="text2" w:themeShade="80"/>
        </w:rPr>
        <w:t>, accessed October 2015, &lt;http://www.nhmrc.gov.au/_files_nhmrc/publications/attachments/nh167_funding_facts_book_2013.pdf&gt;.</w:t>
      </w:r>
    </w:p>
    <w:p w:rsidR="002C6039" w:rsidRPr="004A1196" w:rsidRDefault="002C6039" w:rsidP="002C6039">
      <w:pPr>
        <w:rPr>
          <w:color w:val="0B2B43" w:themeColor="text2" w:themeShade="80"/>
        </w:rPr>
      </w:pPr>
      <w:r w:rsidRPr="004A1196">
        <w:rPr>
          <w:color w:val="0B2B43" w:themeColor="text2" w:themeShade="80"/>
        </w:rPr>
        <w:t>National Health and Medical Research Council, 2015, ‘Assessment Criteria’, accessed August 2015, &lt;http://www.nhmrc.gov.au/book/nhmrc-funding-rules-2015/6-assessment-criteria&gt;.</w:t>
      </w:r>
    </w:p>
    <w:p w:rsidR="002C6039" w:rsidRPr="004A1196" w:rsidRDefault="002C6039" w:rsidP="002C6039">
      <w:pPr>
        <w:rPr>
          <w:color w:val="0B2B43" w:themeColor="text2" w:themeShade="80"/>
        </w:rPr>
      </w:pPr>
      <w:r w:rsidRPr="004A1196">
        <w:rPr>
          <w:color w:val="0B2B43" w:themeColor="text2" w:themeShade="80"/>
        </w:rPr>
        <w:t xml:space="preserve">National Health and Medical Research Council, 2015, ‘Grants &amp; Funding’, accessed August 2015, &lt;https://www.nhmrc.gov.au/grants-funding/apply-funding&gt;. </w:t>
      </w:r>
    </w:p>
    <w:p w:rsidR="00180E2F" w:rsidRPr="004A1196" w:rsidRDefault="00180E2F" w:rsidP="002C6039">
      <w:pPr>
        <w:rPr>
          <w:rFonts w:cstheme="minorHAnsi"/>
          <w:color w:val="0B2B43" w:themeColor="text2" w:themeShade="80"/>
        </w:rPr>
      </w:pPr>
      <w:r w:rsidRPr="004A1196">
        <w:rPr>
          <w:color w:val="0B2B43" w:themeColor="text2" w:themeShade="80"/>
        </w:rPr>
        <w:t xml:space="preserve">New South Wales Department of Industry, </w:t>
      </w:r>
      <w:proofErr w:type="spellStart"/>
      <w:r w:rsidRPr="004A1196">
        <w:rPr>
          <w:i/>
          <w:color w:val="0B2B43" w:themeColor="text2" w:themeShade="80"/>
        </w:rPr>
        <w:t>Techvouchers</w:t>
      </w:r>
      <w:proofErr w:type="spellEnd"/>
      <w:r w:rsidRPr="004A1196">
        <w:rPr>
          <w:color w:val="0B2B43" w:themeColor="text2" w:themeShade="80"/>
        </w:rPr>
        <w:t>, accessed November 2015 &lt;http://www.business.nsw.gov.au/business-and-business-in-nsw/innovation-and-research/techvouchers&gt;.</w:t>
      </w:r>
    </w:p>
    <w:p w:rsidR="002C6039" w:rsidRPr="004A1196" w:rsidRDefault="002C6039" w:rsidP="002C6039">
      <w:pPr>
        <w:rPr>
          <w:rFonts w:cstheme="minorHAnsi"/>
          <w:color w:val="0B2B43" w:themeColor="text2" w:themeShade="80"/>
        </w:rPr>
      </w:pPr>
      <w:proofErr w:type="gramStart"/>
      <w:r w:rsidRPr="004A1196">
        <w:rPr>
          <w:rFonts w:cstheme="minorHAnsi"/>
          <w:color w:val="0B2B43" w:themeColor="text2" w:themeShade="80"/>
        </w:rPr>
        <w:t xml:space="preserve">OECD, 1996, </w:t>
      </w:r>
      <w:r w:rsidRPr="004A1196">
        <w:rPr>
          <w:rFonts w:cstheme="minorHAnsi"/>
          <w:i/>
          <w:color w:val="0B2B43" w:themeColor="text2" w:themeShade="80"/>
        </w:rPr>
        <w:t>The Knowledge-Based Economy</w:t>
      </w:r>
      <w:r w:rsidRPr="004A1196">
        <w:rPr>
          <w:rFonts w:cstheme="minorHAnsi"/>
          <w:color w:val="0B2B43" w:themeColor="text2" w:themeShade="80"/>
        </w:rPr>
        <w:t>, accessed November 2015, &lt;http://www.oecd.org/sti/sci-tech/1913021.pdf&gt;.</w:t>
      </w:r>
      <w:proofErr w:type="gramEnd"/>
    </w:p>
    <w:p w:rsidR="002C6039" w:rsidRPr="004A1196" w:rsidRDefault="002C6039" w:rsidP="002C6039">
      <w:pPr>
        <w:rPr>
          <w:rFonts w:cstheme="minorHAnsi"/>
          <w:color w:val="0B2B43" w:themeColor="text2" w:themeShade="80"/>
        </w:rPr>
      </w:pPr>
      <w:proofErr w:type="gramStart"/>
      <w:r w:rsidRPr="004A1196">
        <w:rPr>
          <w:rFonts w:cstheme="minorHAnsi"/>
          <w:color w:val="0B2B43" w:themeColor="text2" w:themeShade="80"/>
        </w:rPr>
        <w:t xml:space="preserve">OECD, 2010, </w:t>
      </w:r>
      <w:r w:rsidRPr="004A1196">
        <w:rPr>
          <w:rFonts w:cstheme="minorHAnsi"/>
          <w:i/>
          <w:color w:val="0B2B43" w:themeColor="text2" w:themeShade="80"/>
        </w:rPr>
        <w:t>The OECD Innovation Strategy: Getting a Head Start on Tomorrow</w:t>
      </w:r>
      <w:r w:rsidRPr="004A1196">
        <w:rPr>
          <w:rFonts w:cstheme="minorHAnsi"/>
          <w:color w:val="0B2B43" w:themeColor="text2" w:themeShade="80"/>
        </w:rPr>
        <w:t>, accessed November 2015, &lt;http://dx.doi.org/10.1787/9789264193321-en&gt;.</w:t>
      </w:r>
      <w:proofErr w:type="gramEnd"/>
    </w:p>
    <w:p w:rsidR="002C6039" w:rsidRPr="004A1196" w:rsidRDefault="002C6039" w:rsidP="002C6039">
      <w:pPr>
        <w:rPr>
          <w:rFonts w:cstheme="minorHAnsi"/>
          <w:color w:val="0B2B43" w:themeColor="text2" w:themeShade="80"/>
        </w:rPr>
      </w:pPr>
      <w:r w:rsidRPr="004A1196">
        <w:rPr>
          <w:rFonts w:cstheme="minorHAnsi"/>
          <w:color w:val="0B2B43" w:themeColor="text2" w:themeShade="80"/>
        </w:rPr>
        <w:t xml:space="preserve">OECD, 2010, </w:t>
      </w:r>
      <w:r w:rsidRPr="004A1196">
        <w:rPr>
          <w:rFonts w:cstheme="minorHAnsi"/>
          <w:i/>
          <w:color w:val="0B2B43" w:themeColor="text2" w:themeShade="80"/>
        </w:rPr>
        <w:t>Ministerial report on the OECD Innovation Strategy: Innovation to strengthen growth and address global and social challenges – Key Findings</w:t>
      </w:r>
      <w:r w:rsidRPr="004A1196">
        <w:rPr>
          <w:rFonts w:cstheme="minorHAnsi"/>
          <w:color w:val="0B2B43" w:themeColor="text2" w:themeShade="80"/>
        </w:rPr>
        <w:t>, accessed November 2015, &lt;http://www.oecd.org/sti/45326349.pdf&gt;.</w:t>
      </w:r>
    </w:p>
    <w:p w:rsidR="002C6039" w:rsidRPr="004A1196" w:rsidRDefault="002C6039" w:rsidP="002C6039">
      <w:pPr>
        <w:rPr>
          <w:color w:val="0B2B43" w:themeColor="text2" w:themeShade="80"/>
        </w:rPr>
      </w:pPr>
      <w:r w:rsidRPr="004A1196">
        <w:rPr>
          <w:color w:val="0B2B43" w:themeColor="text2" w:themeShade="80"/>
        </w:rPr>
        <w:t xml:space="preserve">OECD, 2013, </w:t>
      </w:r>
      <w:r w:rsidRPr="004A1196">
        <w:rPr>
          <w:i/>
          <w:color w:val="0B2B43" w:themeColor="text2" w:themeShade="80"/>
        </w:rPr>
        <w:t>Commercialising Public Research: New Trends and Strategies</w:t>
      </w:r>
      <w:r w:rsidRPr="004A1196">
        <w:rPr>
          <w:color w:val="0B2B43" w:themeColor="text2" w:themeShade="80"/>
        </w:rPr>
        <w:t>, accessed August 2015, &lt;http://www.oecd.org/sti/sci-tech/commercialising-public-research.htm&gt;.</w:t>
      </w:r>
    </w:p>
    <w:p w:rsidR="002C6039" w:rsidRPr="004A1196" w:rsidRDefault="002C6039" w:rsidP="002C6039">
      <w:pPr>
        <w:rPr>
          <w:color w:val="0B2B43" w:themeColor="text2" w:themeShade="80"/>
        </w:rPr>
      </w:pPr>
      <w:r w:rsidRPr="004A1196">
        <w:rPr>
          <w:color w:val="0B2B43" w:themeColor="text2" w:themeShade="80"/>
        </w:rPr>
        <w:t xml:space="preserve">OECD, 2013, </w:t>
      </w:r>
      <w:r w:rsidRPr="004A1196">
        <w:rPr>
          <w:i/>
          <w:color w:val="0B2B43" w:themeColor="text2" w:themeShade="80"/>
        </w:rPr>
        <w:t>Raising the Returns to Innovation: Structural Policies for a Knowledge-Based Economy</w:t>
      </w:r>
      <w:r w:rsidRPr="004A1196">
        <w:rPr>
          <w:color w:val="0B2B43" w:themeColor="text2" w:themeShade="80"/>
        </w:rPr>
        <w:t xml:space="preserve">, accessed August 2015, &lt;http://www.oecd.org/economy/KBC%20Policy%20note.pdf&gt;. </w:t>
      </w:r>
    </w:p>
    <w:p w:rsidR="002C6039" w:rsidRPr="004A1196" w:rsidRDefault="002C6039" w:rsidP="002C6039">
      <w:pPr>
        <w:rPr>
          <w:color w:val="0B2B43" w:themeColor="text2" w:themeShade="80"/>
        </w:rPr>
      </w:pPr>
      <w:proofErr w:type="gramStart"/>
      <w:r w:rsidRPr="004A1196">
        <w:rPr>
          <w:color w:val="0B2B43" w:themeColor="text2" w:themeShade="80"/>
        </w:rPr>
        <w:t xml:space="preserve">OECD, 2015, </w:t>
      </w:r>
      <w:r w:rsidRPr="004A1196">
        <w:rPr>
          <w:i/>
          <w:color w:val="0B2B43" w:themeColor="text2" w:themeShade="80"/>
        </w:rPr>
        <w:t xml:space="preserve">Main Science and Technology Indicators; </w:t>
      </w:r>
      <w:proofErr w:type="spellStart"/>
      <w:r w:rsidRPr="004A1196">
        <w:rPr>
          <w:i/>
          <w:color w:val="0B2B43" w:themeColor="text2" w:themeShade="80"/>
        </w:rPr>
        <w:t>GERD</w:t>
      </w:r>
      <w:proofErr w:type="spellEnd"/>
      <w:r w:rsidRPr="004A1196">
        <w:rPr>
          <w:i/>
          <w:color w:val="0B2B43" w:themeColor="text2" w:themeShade="80"/>
        </w:rPr>
        <w:t xml:space="preserve"> as a percentage of GDP</w:t>
      </w:r>
      <w:r w:rsidRPr="004A1196">
        <w:rPr>
          <w:color w:val="0B2B43" w:themeColor="text2" w:themeShade="80"/>
        </w:rPr>
        <w:t>, accessed November 2015 &lt;</w:t>
      </w:r>
      <w:hyperlink r:id="rId40" w:history="1">
        <w:r w:rsidRPr="004A1196">
          <w:rPr>
            <w:rStyle w:val="Hyperlink"/>
            <w:color w:val="0B2B43" w:themeColor="text2" w:themeShade="80"/>
            <w:u w:val="none"/>
          </w:rPr>
          <w:t>http://stats.oecd.org/Index.aspx?DataSetCode=GERD_FUNDS</w:t>
        </w:r>
      </w:hyperlink>
      <w:r w:rsidRPr="004A1196">
        <w:rPr>
          <w:rStyle w:val="Hyperlink"/>
          <w:color w:val="0B2B43" w:themeColor="text2" w:themeShade="80"/>
          <w:u w:val="none"/>
        </w:rPr>
        <w:t>&gt;.</w:t>
      </w:r>
      <w:proofErr w:type="gramEnd"/>
    </w:p>
    <w:p w:rsidR="002C6039" w:rsidRPr="004A1196" w:rsidRDefault="002C6039" w:rsidP="002C6039">
      <w:pPr>
        <w:rPr>
          <w:rFonts w:cstheme="minorHAnsi"/>
          <w:color w:val="0B2B43" w:themeColor="text2" w:themeShade="80"/>
        </w:rPr>
      </w:pPr>
      <w:proofErr w:type="gramStart"/>
      <w:r w:rsidRPr="004A1196">
        <w:rPr>
          <w:rFonts w:cstheme="minorHAnsi"/>
          <w:color w:val="0B2B43" w:themeColor="text2" w:themeShade="80"/>
        </w:rPr>
        <w:t xml:space="preserve">OECD, 2015, </w:t>
      </w:r>
      <w:r w:rsidRPr="004A1196">
        <w:rPr>
          <w:rFonts w:cstheme="minorHAnsi"/>
          <w:i/>
          <w:color w:val="0B2B43" w:themeColor="text2" w:themeShade="80"/>
        </w:rPr>
        <w:t>The Innovation Imperative: Contributing to Productivity, Growth and Well-Being</w:t>
      </w:r>
      <w:r w:rsidRPr="004A1196">
        <w:rPr>
          <w:rFonts w:cstheme="minorHAnsi"/>
          <w:color w:val="0B2B43" w:themeColor="text2" w:themeShade="80"/>
        </w:rPr>
        <w:t>, accessed November 2015, &lt;http://dx.doi.org/10.1787/9789264239814-en&gt;.</w:t>
      </w:r>
      <w:proofErr w:type="gramEnd"/>
    </w:p>
    <w:p w:rsidR="002C6039" w:rsidRPr="004A1196" w:rsidRDefault="002C6039" w:rsidP="00C6639A">
      <w:pPr>
        <w:keepLines/>
        <w:rPr>
          <w:color w:val="0B2B43" w:themeColor="text2" w:themeShade="80"/>
        </w:rPr>
      </w:pPr>
      <w:proofErr w:type="gramStart"/>
      <w:r w:rsidRPr="004A1196">
        <w:rPr>
          <w:color w:val="0B2B43" w:themeColor="text2" w:themeShade="80"/>
        </w:rPr>
        <w:t xml:space="preserve">Office of the Chief Economist, 2014, </w:t>
      </w:r>
      <w:r w:rsidRPr="004A1196">
        <w:rPr>
          <w:i/>
          <w:color w:val="0B2B43" w:themeColor="text2" w:themeShade="80"/>
        </w:rPr>
        <w:t>Australian Innovation System Report 2014</w:t>
      </w:r>
      <w:r w:rsidRPr="004A1196">
        <w:rPr>
          <w:color w:val="0B2B43" w:themeColor="text2" w:themeShade="80"/>
        </w:rPr>
        <w:t>, Department of Industry, accessed November 2015, &lt;http://www.industry.gov.au/Office-of-the-Chief-Economist/Publications/Documents/Australian-Innovation-System/Australian-Innovation-System-Report-2014.pdf&gt;.</w:t>
      </w:r>
      <w:proofErr w:type="gramEnd"/>
    </w:p>
    <w:p w:rsidR="002C6039" w:rsidRPr="004A1196" w:rsidRDefault="002C6039" w:rsidP="002C6039">
      <w:pPr>
        <w:rPr>
          <w:color w:val="0B2B43" w:themeColor="text2" w:themeShade="80"/>
        </w:rPr>
      </w:pPr>
      <w:proofErr w:type="gramStart"/>
      <w:r w:rsidRPr="004A1196">
        <w:rPr>
          <w:color w:val="0B2B43" w:themeColor="text2" w:themeShade="80"/>
        </w:rPr>
        <w:t xml:space="preserve">Office of the Chief Economist, 2015, </w:t>
      </w:r>
      <w:r w:rsidRPr="004A1196">
        <w:rPr>
          <w:i/>
          <w:color w:val="0B2B43" w:themeColor="text2" w:themeShade="80"/>
        </w:rPr>
        <w:t>Australian Innovation System Report 2015 Tables: Table</w:t>
      </w:r>
      <w:r w:rsidR="004F326A">
        <w:rPr>
          <w:i/>
          <w:color w:val="0B2B43" w:themeColor="text2" w:themeShade="80"/>
        </w:rPr>
        <w:t> </w:t>
      </w:r>
      <w:r w:rsidRPr="004A1196">
        <w:rPr>
          <w:i/>
          <w:color w:val="0B2B43" w:themeColor="text2" w:themeShade="80"/>
        </w:rPr>
        <w:t>4 – Australia’s business collaboration by innovation active business</w:t>
      </w:r>
      <w:r w:rsidRPr="004A1196">
        <w:rPr>
          <w:color w:val="0B2B43" w:themeColor="text2" w:themeShade="80"/>
        </w:rPr>
        <w:t>, Department of Industry and Science, accessed November 2015, &lt;http://www.industry.gov.au/Office-of-the-Chief-Economist/Publications/Pages/Australian-Innovation-System-Report-2015.aspx&gt;.</w:t>
      </w:r>
      <w:proofErr w:type="gramEnd"/>
    </w:p>
    <w:p w:rsidR="002C6039" w:rsidRPr="004A1196" w:rsidRDefault="002C6039" w:rsidP="002C6039">
      <w:pPr>
        <w:rPr>
          <w:color w:val="0B2B43" w:themeColor="text2" w:themeShade="80"/>
        </w:rPr>
      </w:pPr>
      <w:r w:rsidRPr="004A1196">
        <w:rPr>
          <w:color w:val="0B2B43" w:themeColor="text2" w:themeShade="80"/>
        </w:rPr>
        <w:t>Office of the Chief Scientist, 2014</w:t>
      </w:r>
      <w:r w:rsidRPr="004A1196">
        <w:rPr>
          <w:i/>
          <w:color w:val="0B2B43" w:themeColor="text2" w:themeShade="80"/>
        </w:rPr>
        <w:t>, Science, Technology, Engineering and Mathematics: Australia’s Future</w:t>
      </w:r>
      <w:r w:rsidRPr="004A1196">
        <w:rPr>
          <w:color w:val="0B2B43" w:themeColor="text2" w:themeShade="80"/>
        </w:rPr>
        <w:t xml:space="preserve">, accessed August 2015, &lt;http://www.chiefscientist.gov.au/wp-content/uploads/STEM_AustraliasFuture_Sept2014_Web.pdf&gt;. </w:t>
      </w:r>
    </w:p>
    <w:p w:rsidR="002C6039" w:rsidRPr="004A1196" w:rsidRDefault="00243F37" w:rsidP="002C6039">
      <w:pPr>
        <w:rPr>
          <w:color w:val="0B2B43" w:themeColor="text2" w:themeShade="80"/>
        </w:rPr>
      </w:pPr>
      <w:proofErr w:type="gramStart"/>
      <w:r w:rsidRPr="004A1196">
        <w:rPr>
          <w:color w:val="0B2B43" w:themeColor="text2" w:themeShade="80"/>
        </w:rPr>
        <w:t xml:space="preserve">Productivity Commission, 2015, </w:t>
      </w:r>
      <w:r w:rsidR="002C6039" w:rsidRPr="004A1196">
        <w:rPr>
          <w:i/>
          <w:color w:val="0B2B43" w:themeColor="text2" w:themeShade="80"/>
        </w:rPr>
        <w:t>Intellectual Proper</w:t>
      </w:r>
      <w:r w:rsidRPr="004A1196">
        <w:rPr>
          <w:i/>
          <w:color w:val="0B2B43" w:themeColor="text2" w:themeShade="80"/>
        </w:rPr>
        <w:t>ty Arrangements: Public inquiry</w:t>
      </w:r>
      <w:r w:rsidR="002C6039" w:rsidRPr="004A1196">
        <w:rPr>
          <w:color w:val="0B2B43" w:themeColor="text2" w:themeShade="80"/>
        </w:rPr>
        <w:t>, accessed October 2015, &lt;http://www.pc.gov.au/inquiries/current/intellectual-property&gt;.</w:t>
      </w:r>
      <w:proofErr w:type="gramEnd"/>
    </w:p>
    <w:p w:rsidR="00243F37" w:rsidRPr="004A1196" w:rsidRDefault="00243F37" w:rsidP="002C6039">
      <w:pPr>
        <w:rPr>
          <w:color w:val="0B2B43" w:themeColor="text2" w:themeShade="80"/>
        </w:rPr>
      </w:pPr>
      <w:proofErr w:type="gramStart"/>
      <w:r w:rsidRPr="004A1196">
        <w:rPr>
          <w:color w:val="0B2B43" w:themeColor="text2" w:themeShade="80"/>
        </w:rPr>
        <w:t xml:space="preserve">Productivity Commission, 2015, </w:t>
      </w:r>
      <w:r w:rsidRPr="004A1196">
        <w:rPr>
          <w:i/>
          <w:color w:val="0B2B43" w:themeColor="text2" w:themeShade="80"/>
        </w:rPr>
        <w:t>Intellectual Property Arrangements: Terms of reference</w:t>
      </w:r>
      <w:r w:rsidRPr="004A1196">
        <w:rPr>
          <w:color w:val="0B2B43" w:themeColor="text2" w:themeShade="80"/>
        </w:rPr>
        <w:t>, accessed November 2015, &lt;</w:t>
      </w:r>
      <w:r w:rsidRPr="004A1196">
        <w:rPr>
          <w:rFonts w:eastAsia="MS Mincho" w:cstheme="minorHAnsi"/>
          <w:color w:val="0B2B43" w:themeColor="text2" w:themeShade="80"/>
        </w:rPr>
        <w:t>http://www.pc.gov.au/inquiries/current/intellectual-property/terms-of-reference&gt;.</w:t>
      </w:r>
      <w:proofErr w:type="gramEnd"/>
    </w:p>
    <w:p w:rsidR="00242885" w:rsidRPr="004A1196" w:rsidRDefault="00242885" w:rsidP="00242885">
      <w:pPr>
        <w:rPr>
          <w:color w:val="0B2B43" w:themeColor="text2" w:themeShade="80"/>
        </w:rPr>
      </w:pPr>
      <w:r w:rsidRPr="004A1196">
        <w:rPr>
          <w:color w:val="0B2B43" w:themeColor="text2" w:themeShade="80"/>
        </w:rPr>
        <w:t xml:space="preserve">QS Top Universities, 2014, </w:t>
      </w:r>
      <w:r w:rsidRPr="004A1196">
        <w:rPr>
          <w:i/>
          <w:color w:val="0B2B43" w:themeColor="text2" w:themeShade="80"/>
        </w:rPr>
        <w:t>A Decade of International Student Rankings; What do Students Think</w:t>
      </w:r>
      <w:proofErr w:type="gramStart"/>
      <w:r w:rsidRPr="004A1196">
        <w:rPr>
          <w:i/>
          <w:color w:val="0B2B43" w:themeColor="text2" w:themeShade="80"/>
        </w:rPr>
        <w:t>?</w:t>
      </w:r>
      <w:r w:rsidRPr="004A1196">
        <w:rPr>
          <w:color w:val="0B2B43" w:themeColor="text2" w:themeShade="80"/>
        </w:rPr>
        <w:t>,</w:t>
      </w:r>
      <w:proofErr w:type="gramEnd"/>
      <w:r w:rsidRPr="004A1196">
        <w:rPr>
          <w:color w:val="0B2B43" w:themeColor="text2" w:themeShade="80"/>
        </w:rPr>
        <w:t xml:space="preserve"> accessed November 2015,</w:t>
      </w:r>
      <w:r w:rsidRPr="004A1196">
        <w:rPr>
          <w:i/>
          <w:color w:val="0B2B43" w:themeColor="text2" w:themeShade="80"/>
        </w:rPr>
        <w:t xml:space="preserve"> &lt;</w:t>
      </w:r>
      <w:hyperlink r:id="rId41" w:history="1">
        <w:r w:rsidRPr="004A1196">
          <w:rPr>
            <w:color w:val="0B2B43" w:themeColor="text2" w:themeShade="80"/>
          </w:rPr>
          <w:t>http://www.topuniversities.com/blog/decade-international-university-rankings-what-do-students-think</w:t>
        </w:r>
      </w:hyperlink>
      <w:r w:rsidRPr="004A1196">
        <w:rPr>
          <w:color w:val="0B2B43" w:themeColor="text2" w:themeShade="80"/>
        </w:rPr>
        <w:t>&gt;.</w:t>
      </w:r>
    </w:p>
    <w:p w:rsidR="000D7328" w:rsidRPr="004A1196" w:rsidRDefault="000D7328" w:rsidP="002C6039">
      <w:pPr>
        <w:rPr>
          <w:color w:val="0B2B43" w:themeColor="text2" w:themeShade="80"/>
        </w:rPr>
      </w:pPr>
      <w:r w:rsidRPr="004A1196">
        <w:rPr>
          <w:color w:val="0B2B43" w:themeColor="text2" w:themeShade="80"/>
        </w:rPr>
        <w:t xml:space="preserve">QS Top Universities, 2014, </w:t>
      </w:r>
      <w:r w:rsidRPr="004A1196">
        <w:rPr>
          <w:i/>
          <w:color w:val="0B2B43" w:themeColor="text2" w:themeShade="80"/>
        </w:rPr>
        <w:t>How do Universities Use Rankings</w:t>
      </w:r>
      <w:proofErr w:type="gramStart"/>
      <w:r w:rsidRPr="004A1196">
        <w:rPr>
          <w:i/>
          <w:color w:val="0B2B43" w:themeColor="text2" w:themeShade="80"/>
        </w:rPr>
        <w:t>?</w:t>
      </w:r>
      <w:r w:rsidRPr="004A1196">
        <w:rPr>
          <w:color w:val="0B2B43" w:themeColor="text2" w:themeShade="80"/>
        </w:rPr>
        <w:t>,</w:t>
      </w:r>
      <w:proofErr w:type="gramEnd"/>
      <w:r w:rsidRPr="004A1196">
        <w:rPr>
          <w:color w:val="0B2B43" w:themeColor="text2" w:themeShade="80"/>
        </w:rPr>
        <w:t xml:space="preserve"> accessed November 2015, &lt;</w:t>
      </w:r>
      <w:hyperlink r:id="rId42" w:history="1">
        <w:r w:rsidRPr="004A1196">
          <w:rPr>
            <w:color w:val="0B2B43" w:themeColor="text2" w:themeShade="80"/>
          </w:rPr>
          <w:t>http://www.topuniversities.com/student-info/university-news/how-do-universities-use-rankings</w:t>
        </w:r>
      </w:hyperlink>
      <w:r w:rsidRPr="004A1196">
        <w:rPr>
          <w:color w:val="0B2B43" w:themeColor="text2" w:themeShade="80"/>
        </w:rPr>
        <w:t>&gt;</w:t>
      </w:r>
      <w:r w:rsidR="004E315A" w:rsidRPr="004A1196">
        <w:rPr>
          <w:color w:val="0B2B43" w:themeColor="text2" w:themeShade="80"/>
        </w:rPr>
        <w:t>.</w:t>
      </w:r>
    </w:p>
    <w:p w:rsidR="002C6039" w:rsidRPr="004A1196" w:rsidRDefault="002C6039" w:rsidP="002C6039">
      <w:pPr>
        <w:rPr>
          <w:color w:val="0B2B43" w:themeColor="text2" w:themeShade="80"/>
        </w:rPr>
      </w:pPr>
      <w:proofErr w:type="gramStart"/>
      <w:r w:rsidRPr="004A1196">
        <w:rPr>
          <w:color w:val="0B2B43" w:themeColor="text2" w:themeShade="80"/>
        </w:rPr>
        <w:t>Research Excellence Framework, 2014, ‘About the REF’, accessed November 2014, &lt;http://www.ref.ac.uk/about/&gt;.</w:t>
      </w:r>
      <w:proofErr w:type="gramEnd"/>
    </w:p>
    <w:p w:rsidR="002C6039" w:rsidRPr="004A1196" w:rsidRDefault="002C6039" w:rsidP="002C6039">
      <w:pPr>
        <w:rPr>
          <w:color w:val="0B2B43" w:themeColor="text2" w:themeShade="80"/>
        </w:rPr>
      </w:pPr>
      <w:proofErr w:type="gramStart"/>
      <w:r w:rsidRPr="004A1196">
        <w:rPr>
          <w:color w:val="0B2B43" w:themeColor="text2" w:themeShade="80"/>
        </w:rPr>
        <w:t xml:space="preserve">Research Excellence Framework, 2014, </w:t>
      </w:r>
      <w:r w:rsidRPr="004A1196">
        <w:rPr>
          <w:i/>
          <w:color w:val="0B2B43" w:themeColor="text2" w:themeShade="80"/>
        </w:rPr>
        <w:t>Assessment framework and guidance on submissions</w:t>
      </w:r>
      <w:r w:rsidRPr="004A1196">
        <w:rPr>
          <w:color w:val="0B2B43" w:themeColor="text2" w:themeShade="80"/>
        </w:rPr>
        <w:t>, accessed November 2015, &lt;http://www.ref.ac.uk/media/ref/content/pub/assessmentframeworkandguidanceonsubmissions/GOS%20including%20addendum.pdf&gt;</w:t>
      </w:r>
      <w:r w:rsidRPr="004A1196">
        <w:rPr>
          <w:rStyle w:val="Hyperlink"/>
          <w:color w:val="0B2B43" w:themeColor="text2" w:themeShade="80"/>
        </w:rPr>
        <w:t>.</w:t>
      </w:r>
      <w:proofErr w:type="gramEnd"/>
    </w:p>
    <w:p w:rsidR="002C6039" w:rsidRPr="004A1196" w:rsidRDefault="002C6039" w:rsidP="002C6039">
      <w:pPr>
        <w:rPr>
          <w:color w:val="0B2B43" w:themeColor="text2" w:themeShade="80"/>
        </w:rPr>
      </w:pPr>
      <w:proofErr w:type="gramStart"/>
      <w:r w:rsidRPr="004A1196">
        <w:rPr>
          <w:color w:val="0B2B43" w:themeColor="text2" w:themeShade="80"/>
        </w:rPr>
        <w:t xml:space="preserve">Science Business Innovation Board, 2012, </w:t>
      </w:r>
      <w:r w:rsidRPr="004A1196">
        <w:rPr>
          <w:i/>
          <w:color w:val="0B2B43" w:themeColor="text2" w:themeShade="80"/>
        </w:rPr>
        <w:t>Making Industry-University Partnerships Work: Lessons from Successful Collaborations</w:t>
      </w:r>
      <w:r w:rsidRPr="004A1196">
        <w:rPr>
          <w:color w:val="0B2B43" w:themeColor="text2" w:themeShade="80"/>
        </w:rPr>
        <w:t>, accessed November 2015, &lt;http://www.sciencebusiness.net/Assets/94fe6d15-5432-4cf9-a656-633248e63541.pdf&gt;.</w:t>
      </w:r>
      <w:proofErr w:type="gramEnd"/>
    </w:p>
    <w:p w:rsidR="00055021" w:rsidRPr="004A1196" w:rsidRDefault="00055021" w:rsidP="002C6039">
      <w:pPr>
        <w:rPr>
          <w:rFonts w:cstheme="minorHAnsi"/>
          <w:color w:val="0B2B43" w:themeColor="text2" w:themeShade="80"/>
        </w:rPr>
      </w:pPr>
      <w:proofErr w:type="spellStart"/>
      <w:proofErr w:type="gramStart"/>
      <w:r w:rsidRPr="004A1196">
        <w:rPr>
          <w:color w:val="0B2B43" w:themeColor="text2" w:themeShade="80"/>
        </w:rPr>
        <w:t>SCImago</w:t>
      </w:r>
      <w:proofErr w:type="spellEnd"/>
      <w:r w:rsidRPr="004A1196">
        <w:rPr>
          <w:color w:val="0B2B43" w:themeColor="text2" w:themeShade="80"/>
        </w:rPr>
        <w:t xml:space="preserve">, 2015, </w:t>
      </w:r>
      <w:proofErr w:type="spellStart"/>
      <w:r w:rsidRPr="004A1196">
        <w:rPr>
          <w:i/>
          <w:color w:val="0B2B43" w:themeColor="text2" w:themeShade="80"/>
        </w:rPr>
        <w:t>SCImago</w:t>
      </w:r>
      <w:proofErr w:type="spellEnd"/>
      <w:r w:rsidRPr="004A1196">
        <w:rPr>
          <w:i/>
          <w:color w:val="0B2B43" w:themeColor="text2" w:themeShade="80"/>
        </w:rPr>
        <w:t xml:space="preserve"> Institutions Rankings</w:t>
      </w:r>
      <w:r w:rsidRPr="004A1196">
        <w:rPr>
          <w:color w:val="0B2B43" w:themeColor="text2" w:themeShade="80"/>
        </w:rPr>
        <w:t>, accessed November 2015, &lt;http://scimagoir.com&gt;.</w:t>
      </w:r>
      <w:proofErr w:type="gramEnd"/>
    </w:p>
    <w:p w:rsidR="002C6039" w:rsidRPr="004A1196" w:rsidRDefault="002C6039" w:rsidP="002C6039">
      <w:pPr>
        <w:rPr>
          <w:rFonts w:cstheme="minorHAnsi"/>
          <w:color w:val="0B2B43" w:themeColor="text2" w:themeShade="80"/>
        </w:rPr>
      </w:pPr>
      <w:r w:rsidRPr="004A1196">
        <w:rPr>
          <w:rFonts w:cstheme="minorHAnsi"/>
          <w:color w:val="0B2B43" w:themeColor="text2" w:themeShade="80"/>
        </w:rPr>
        <w:t>Sharma, A, 2015, ‘</w:t>
      </w:r>
      <w:r w:rsidRPr="004A1196">
        <w:rPr>
          <w:color w:val="0B2B43" w:themeColor="text2" w:themeShade="80"/>
        </w:rPr>
        <w:t xml:space="preserve">World University Rankings blog: the value of impact </w:t>
      </w:r>
      <w:r w:rsidRPr="004A1196">
        <w:rPr>
          <w:rFonts w:cstheme="minorHAnsi"/>
          <w:color w:val="0B2B43" w:themeColor="text2" w:themeShade="80"/>
        </w:rPr>
        <w:t>assessment’, accessed November 2015, &lt;https://www.timeshighereducation.com/blog/world-university-rankings-blog-value-impact-assessment&gt;.</w:t>
      </w:r>
    </w:p>
    <w:p w:rsidR="003947FC" w:rsidRPr="004A1196" w:rsidRDefault="003947FC" w:rsidP="002C6039">
      <w:pPr>
        <w:rPr>
          <w:rStyle w:val="Hyperlink"/>
          <w:color w:val="0B2B43" w:themeColor="text2" w:themeShade="80"/>
          <w:u w:val="none"/>
        </w:rPr>
      </w:pPr>
      <w:proofErr w:type="gramStart"/>
      <w:r w:rsidRPr="004A1196">
        <w:rPr>
          <w:color w:val="0B2B43" w:themeColor="text2" w:themeShade="80"/>
        </w:rPr>
        <w:t xml:space="preserve">South Australia Department of State Development, </w:t>
      </w:r>
      <w:r w:rsidRPr="004A1196">
        <w:rPr>
          <w:i/>
          <w:color w:val="0B2B43" w:themeColor="text2" w:themeShade="80"/>
        </w:rPr>
        <w:t>Innovation Voucher Program</w:t>
      </w:r>
      <w:r w:rsidRPr="004A1196">
        <w:rPr>
          <w:color w:val="0B2B43" w:themeColor="text2" w:themeShade="80"/>
        </w:rPr>
        <w:t>, accessed November 2015, &lt;http://www.statedevelopment.sa.gov.au/business/manufacturing/manufacturing-programs-and-initiatives/innovation-voucher-program</w:t>
      </w:r>
      <w:r w:rsidRPr="004A1196">
        <w:rPr>
          <w:rStyle w:val="Hyperlink"/>
          <w:color w:val="0B2B43" w:themeColor="text2" w:themeShade="80"/>
          <w:u w:val="none"/>
        </w:rPr>
        <w:t>&gt;.</w:t>
      </w:r>
      <w:proofErr w:type="gramEnd"/>
    </w:p>
    <w:p w:rsidR="004E315A" w:rsidRPr="004A1196" w:rsidRDefault="001208F7" w:rsidP="002C6039">
      <w:pPr>
        <w:rPr>
          <w:rFonts w:cstheme="minorHAnsi"/>
          <w:color w:val="0B2B43" w:themeColor="text2" w:themeShade="80"/>
        </w:rPr>
      </w:pPr>
      <w:proofErr w:type="gramStart"/>
      <w:r>
        <w:rPr>
          <w:color w:val="0B2B43" w:themeColor="text2" w:themeShade="80"/>
        </w:rPr>
        <w:t>Stella A and</w:t>
      </w:r>
      <w:r w:rsidR="006D4855" w:rsidRPr="004A1196">
        <w:rPr>
          <w:color w:val="0B2B43" w:themeColor="text2" w:themeShade="80"/>
        </w:rPr>
        <w:t xml:space="preserve"> Woodhouse D, 2008</w:t>
      </w:r>
      <w:r w:rsidR="004E315A" w:rsidRPr="004A1196">
        <w:rPr>
          <w:color w:val="0B2B43" w:themeColor="text2" w:themeShade="80"/>
        </w:rPr>
        <w:t xml:space="preserve">, </w:t>
      </w:r>
      <w:r w:rsidR="004E315A" w:rsidRPr="004A1196">
        <w:rPr>
          <w:i/>
          <w:color w:val="0B2B43" w:themeColor="text2" w:themeShade="80"/>
        </w:rPr>
        <w:t>Promoting Quality Literacy: Undoing the Damage of Rankings</w:t>
      </w:r>
      <w:r w:rsidR="004E315A" w:rsidRPr="004A1196">
        <w:rPr>
          <w:color w:val="0B2B43" w:themeColor="text2" w:themeShade="80"/>
        </w:rPr>
        <w:t>, Presentation to Australian Universities Quality Forum, Canberra, July.</w:t>
      </w:r>
      <w:proofErr w:type="gramEnd"/>
    </w:p>
    <w:p w:rsidR="002C6039" w:rsidRPr="004A1196" w:rsidRDefault="002C6039" w:rsidP="002C6039">
      <w:pPr>
        <w:rPr>
          <w:rFonts w:cstheme="minorHAnsi"/>
          <w:color w:val="0B2B43" w:themeColor="text2" w:themeShade="80"/>
        </w:rPr>
      </w:pPr>
      <w:proofErr w:type="spellStart"/>
      <w:r w:rsidRPr="004A1196">
        <w:rPr>
          <w:rFonts w:cstheme="minorHAnsi"/>
          <w:color w:val="0B2B43" w:themeColor="text2" w:themeShade="80"/>
        </w:rPr>
        <w:t>Technopolis</w:t>
      </w:r>
      <w:proofErr w:type="spellEnd"/>
      <w:r w:rsidRPr="004A1196">
        <w:rPr>
          <w:rFonts w:cstheme="minorHAnsi"/>
          <w:color w:val="0B2B43" w:themeColor="text2" w:themeShade="80"/>
        </w:rPr>
        <w:t xml:space="preserve"> Group, 2015, </w:t>
      </w:r>
      <w:r w:rsidRPr="004A1196">
        <w:rPr>
          <w:rFonts w:cstheme="minorHAnsi"/>
          <w:i/>
          <w:color w:val="0B2B43" w:themeColor="text2" w:themeShade="80"/>
        </w:rPr>
        <w:t>REF 2014 Accountability Review: costs, benefits and burden</w:t>
      </w:r>
      <w:r w:rsidRPr="004A1196">
        <w:rPr>
          <w:rFonts w:cstheme="minorHAnsi"/>
          <w:color w:val="0B2B43" w:themeColor="text2" w:themeShade="80"/>
        </w:rPr>
        <w:t>, accessed November 2015, &lt;http://www.hefce.ac.uk/media/HEFCE</w:t>
      </w:r>
      <w:proofErr w:type="gramStart"/>
      <w:r w:rsidRPr="004A1196">
        <w:rPr>
          <w:rFonts w:cstheme="minorHAnsi"/>
          <w:color w:val="0B2B43" w:themeColor="text2" w:themeShade="80"/>
        </w:rPr>
        <w:t>,2014</w:t>
      </w:r>
      <w:proofErr w:type="gramEnd"/>
      <w:r w:rsidRPr="004A1196">
        <w:rPr>
          <w:rFonts w:cstheme="minorHAnsi"/>
          <w:color w:val="0B2B43" w:themeColor="text2" w:themeShade="80"/>
        </w:rPr>
        <w:t>/Content/Pubs/Independentresearch/2015/REF,Accountability,Review,Costs,benefits,and,burden/2015_refreviewcosts.pdf&gt;.</w:t>
      </w:r>
    </w:p>
    <w:p w:rsidR="002C6039" w:rsidRPr="004A1196" w:rsidRDefault="002C6039" w:rsidP="002C6039">
      <w:pPr>
        <w:rPr>
          <w:color w:val="0B2B43" w:themeColor="text2" w:themeShade="80"/>
        </w:rPr>
      </w:pPr>
      <w:proofErr w:type="gramStart"/>
      <w:r w:rsidRPr="004A1196">
        <w:rPr>
          <w:color w:val="0B2B43" w:themeColor="text2" w:themeShade="80"/>
        </w:rPr>
        <w:t xml:space="preserve">UK Government Department for Business Innovation and Skills, 2013, </w:t>
      </w:r>
      <w:r w:rsidRPr="004A1196">
        <w:rPr>
          <w:i/>
          <w:color w:val="0B2B43" w:themeColor="text2" w:themeShade="80"/>
        </w:rPr>
        <w:t>Technology Strategy Board, Triennial Review</w:t>
      </w:r>
      <w:r w:rsidRPr="004A1196">
        <w:rPr>
          <w:color w:val="0B2B43" w:themeColor="text2" w:themeShade="80"/>
        </w:rPr>
        <w:t>, accessed August 2015, &lt;https://www.gov.uk/government/uploads/system/uploads/attachment_data/file/253593/bis-13-1073-triennial-review-of-the-technology-strategy-board.pdf&gt;.</w:t>
      </w:r>
      <w:proofErr w:type="gramEnd"/>
    </w:p>
    <w:p w:rsidR="00934A8D" w:rsidRPr="004A1196" w:rsidRDefault="00934A8D" w:rsidP="002C6039">
      <w:pPr>
        <w:rPr>
          <w:color w:val="0B2B43" w:themeColor="text2" w:themeShade="80"/>
        </w:rPr>
      </w:pPr>
      <w:r w:rsidRPr="004A1196">
        <w:rPr>
          <w:color w:val="0B2B43" w:themeColor="text2" w:themeShade="80"/>
        </w:rPr>
        <w:t>U-</w:t>
      </w:r>
      <w:proofErr w:type="spellStart"/>
      <w:r w:rsidRPr="004A1196">
        <w:rPr>
          <w:color w:val="0B2B43" w:themeColor="text2" w:themeShade="80"/>
        </w:rPr>
        <w:t>Multirank</w:t>
      </w:r>
      <w:proofErr w:type="spellEnd"/>
      <w:r w:rsidRPr="004A1196">
        <w:rPr>
          <w:color w:val="0B2B43" w:themeColor="text2" w:themeShade="80"/>
        </w:rPr>
        <w:t xml:space="preserve">, 2015, </w:t>
      </w:r>
      <w:r w:rsidRPr="004A1196">
        <w:rPr>
          <w:i/>
          <w:color w:val="0B2B43" w:themeColor="text2" w:themeShade="80"/>
        </w:rPr>
        <w:t>U-</w:t>
      </w:r>
      <w:proofErr w:type="spellStart"/>
      <w:r w:rsidRPr="004A1196">
        <w:rPr>
          <w:i/>
          <w:color w:val="0B2B43" w:themeColor="text2" w:themeShade="80"/>
        </w:rPr>
        <w:t>Multirank</w:t>
      </w:r>
      <w:proofErr w:type="spellEnd"/>
      <w:r w:rsidRPr="004A1196">
        <w:rPr>
          <w:color w:val="0B2B43" w:themeColor="text2" w:themeShade="80"/>
        </w:rPr>
        <w:t>, accessed November 2015, &lt;http://u-multirank.eu/#!/about?trackType=home&amp;sightMode=undefined&gt;.</w:t>
      </w:r>
    </w:p>
    <w:p w:rsidR="004E315A" w:rsidRPr="004A1196" w:rsidRDefault="004E315A" w:rsidP="002C6039">
      <w:pPr>
        <w:rPr>
          <w:color w:val="0B2B43" w:themeColor="text2" w:themeShade="80"/>
        </w:rPr>
      </w:pPr>
      <w:proofErr w:type="spellStart"/>
      <w:r w:rsidRPr="004A1196">
        <w:rPr>
          <w:color w:val="0B2B43" w:themeColor="text2" w:themeShade="80"/>
        </w:rPr>
        <w:t>Wedlin</w:t>
      </w:r>
      <w:proofErr w:type="spellEnd"/>
      <w:r w:rsidRPr="004A1196">
        <w:rPr>
          <w:color w:val="0B2B43" w:themeColor="text2" w:themeShade="80"/>
        </w:rPr>
        <w:t xml:space="preserve"> L, 2014, </w:t>
      </w:r>
      <w:r w:rsidRPr="004A1196">
        <w:rPr>
          <w:i/>
          <w:color w:val="0B2B43" w:themeColor="text2" w:themeShade="80"/>
        </w:rPr>
        <w:t>How global comparisons matter: the ‘truths’ of international rankings</w:t>
      </w:r>
      <w:r w:rsidRPr="004A1196">
        <w:rPr>
          <w:color w:val="0B2B43" w:themeColor="text2" w:themeShade="80"/>
        </w:rPr>
        <w:t>, in ‘</w:t>
      </w:r>
      <w:proofErr w:type="spellStart"/>
      <w:r w:rsidRPr="004A1196">
        <w:rPr>
          <w:color w:val="0B2B43" w:themeColor="text2" w:themeShade="80"/>
        </w:rPr>
        <w:t>Bibliometrics</w:t>
      </w:r>
      <w:proofErr w:type="spellEnd"/>
      <w:r w:rsidRPr="004A1196">
        <w:rPr>
          <w:color w:val="0B2B43" w:themeColor="text2" w:themeShade="80"/>
        </w:rPr>
        <w:t xml:space="preserve">: Use and Abuse in the review of research performance’, ed. </w:t>
      </w:r>
      <w:proofErr w:type="spellStart"/>
      <w:r w:rsidRPr="004A1196">
        <w:rPr>
          <w:color w:val="0B2B43" w:themeColor="text2" w:themeShade="80"/>
        </w:rPr>
        <w:t>Blockmans</w:t>
      </w:r>
      <w:proofErr w:type="spellEnd"/>
      <w:r w:rsidRPr="004A1196">
        <w:rPr>
          <w:color w:val="0B2B43" w:themeColor="text2" w:themeShade="80"/>
        </w:rPr>
        <w:t xml:space="preserve">, W, </w:t>
      </w:r>
      <w:proofErr w:type="spellStart"/>
      <w:r w:rsidRPr="004A1196">
        <w:rPr>
          <w:color w:val="0B2B43" w:themeColor="text2" w:themeShade="80"/>
        </w:rPr>
        <w:t>Engwall</w:t>
      </w:r>
      <w:proofErr w:type="spellEnd"/>
      <w:r w:rsidRPr="004A1196">
        <w:rPr>
          <w:color w:val="0B2B43" w:themeColor="text2" w:themeShade="80"/>
        </w:rPr>
        <w:t xml:space="preserve">, L, and </w:t>
      </w:r>
      <w:proofErr w:type="spellStart"/>
      <w:r w:rsidRPr="004A1196">
        <w:rPr>
          <w:color w:val="0B2B43" w:themeColor="text2" w:themeShade="80"/>
        </w:rPr>
        <w:t>Weaire</w:t>
      </w:r>
      <w:proofErr w:type="spellEnd"/>
      <w:r w:rsidRPr="004A1196">
        <w:rPr>
          <w:color w:val="0B2B43" w:themeColor="text2" w:themeShade="80"/>
        </w:rPr>
        <w:t>, D, Portland Press, &lt;http://www.portlandpress.com/pp/books/online/wg87/087/0065/0870075.pdf&gt;</w:t>
      </w:r>
    </w:p>
    <w:p w:rsidR="002C6039" w:rsidRPr="004A1196" w:rsidRDefault="002C6039" w:rsidP="00962C66">
      <w:pPr>
        <w:rPr>
          <w:color w:val="0B2B43" w:themeColor="text2" w:themeShade="80"/>
        </w:rPr>
      </w:pPr>
      <w:proofErr w:type="gramStart"/>
      <w:r w:rsidRPr="004A1196">
        <w:rPr>
          <w:color w:val="0B2B43" w:themeColor="text2" w:themeShade="80"/>
        </w:rPr>
        <w:t xml:space="preserve">World Intellectual Property Organisation, 2013, </w:t>
      </w:r>
      <w:r w:rsidRPr="004A1196">
        <w:rPr>
          <w:i/>
          <w:color w:val="0B2B43" w:themeColor="text2" w:themeShade="80"/>
        </w:rPr>
        <w:t>Global Innovation Index 2013: The Local Dynamics of Innovation</w:t>
      </w:r>
      <w:r w:rsidRPr="004A1196">
        <w:rPr>
          <w:color w:val="0B2B43" w:themeColor="text2" w:themeShade="80"/>
        </w:rPr>
        <w:t>, accessed August 2015, &lt;http://www.wipo.int/edocs/pubdocs/en/economics/gii/gii_2013.pdf&gt;.</w:t>
      </w:r>
      <w:proofErr w:type="gramEnd"/>
      <w:r w:rsidRPr="004A1196">
        <w:rPr>
          <w:color w:val="0B2B43" w:themeColor="text2" w:themeShade="80"/>
        </w:rPr>
        <w:t xml:space="preserve"> </w:t>
      </w:r>
    </w:p>
    <w:sectPr w:rsidR="002C6039" w:rsidRPr="004A1196" w:rsidSect="0008103C">
      <w:footerReference w:type="even" r:id="rId43"/>
      <w:footerReference w:type="default" r:id="rId44"/>
      <w:pgSz w:w="11906" w:h="16838"/>
      <w:pgMar w:top="1440" w:right="1416" w:bottom="1440" w:left="1440" w:header="709" w:footer="10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592" w:rsidRDefault="00AC3592" w:rsidP="00985E6E">
      <w:r>
        <w:separator/>
      </w:r>
    </w:p>
  </w:endnote>
  <w:endnote w:type="continuationSeparator" w:id="0">
    <w:p w:rsidR="00AC3592" w:rsidRDefault="00AC3592" w:rsidP="00985E6E">
      <w:r>
        <w:continuationSeparator/>
      </w:r>
    </w:p>
  </w:endnote>
  <w:endnote w:type="continuationNotice" w:id="1">
    <w:p w:rsidR="00AC3592" w:rsidRDefault="00AC359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 LT 45 Light">
    <w:panose1 w:val="00000000000000000000"/>
    <w:charset w:val="00"/>
    <w:family w:val="roman"/>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ITC Garamond Std Lt">
    <w:altName w:val="ITC Garamond Std Lt"/>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592" w:rsidRPr="00E635AD" w:rsidRDefault="00AC3592" w:rsidP="00E635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592" w:rsidRPr="00DA1515" w:rsidRDefault="00AC3592" w:rsidP="00DA15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592" w:rsidRDefault="00AC359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592" w:rsidRDefault="006F6E42" w:rsidP="00FA3AB4">
    <w:pPr>
      <w:pStyle w:val="Footer"/>
    </w:pPr>
    <w:sdt>
      <w:sdtPr>
        <w:id w:val="-1970964303"/>
        <w:docPartObj>
          <w:docPartGallery w:val="Page Numbers (Bottom of Page)"/>
          <w:docPartUnique/>
        </w:docPartObj>
      </w:sdtPr>
      <w:sdtEndPr>
        <w:rPr>
          <w:noProof/>
        </w:rPr>
      </w:sdtEndPr>
      <w:sdtContent>
        <w:r w:rsidR="00AC3592" w:rsidRPr="00985E6E">
          <w:fldChar w:fldCharType="begin"/>
        </w:r>
        <w:r w:rsidR="00AC3592" w:rsidRPr="00985E6E">
          <w:instrText xml:space="preserve"> PAGE   \* MERGEFORMAT </w:instrText>
        </w:r>
        <w:r w:rsidR="00AC3592" w:rsidRPr="00985E6E">
          <w:fldChar w:fldCharType="separate"/>
        </w:r>
        <w:r w:rsidR="00521C1B">
          <w:rPr>
            <w:noProof/>
          </w:rPr>
          <w:t>viii</w:t>
        </w:r>
        <w:r w:rsidR="00AC3592" w:rsidRPr="00985E6E">
          <w:rPr>
            <w:noProof/>
          </w:rPr>
          <w:fldChar w:fldCharType="end"/>
        </w:r>
        <w:r w:rsidR="00AC3592" w:rsidRPr="0027032E">
          <w:rPr>
            <w:noProof/>
          </w:rPr>
          <w:t>|</w:t>
        </w:r>
        <w:r w:rsidR="00AC3592">
          <w:rPr>
            <w:noProof/>
          </w:rPr>
          <w:t xml:space="preserve"> </w:t>
        </w:r>
        <w:r w:rsidR="00AC3592">
          <w:rPr>
            <w:noProof/>
          </w:rPr>
          <w:tab/>
          <w:t xml:space="preserve">Review of </w:t>
        </w:r>
        <w:r w:rsidR="00AC3592" w:rsidRPr="00985E6E">
          <w:rPr>
            <w:noProof/>
          </w:rPr>
          <w:t xml:space="preserve">Research </w:t>
        </w:r>
        <w:r w:rsidR="00E402EC">
          <w:rPr>
            <w:noProof/>
          </w:rPr>
          <w:t>Policy</w:t>
        </w:r>
        <w:r w:rsidR="00AC3592">
          <w:rPr>
            <w:noProof/>
          </w:rPr>
          <w:t xml:space="preserve"> and </w:t>
        </w:r>
        <w:r w:rsidR="00E402EC">
          <w:rPr>
            <w:noProof/>
          </w:rPr>
          <w:t xml:space="preserve">Funding </w:t>
        </w:r>
        <w:r w:rsidR="00AC3592">
          <w:rPr>
            <w:noProof/>
          </w:rPr>
          <w:t xml:space="preserve">Arrangements — </w:t>
        </w:r>
        <w:r w:rsidR="00AC3592" w:rsidRPr="00985E6E">
          <w:rPr>
            <w:noProof/>
          </w:rPr>
          <w:t>Report</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592" w:rsidRDefault="006F6E42" w:rsidP="00C6639A">
    <w:pPr>
      <w:pStyle w:val="Footer"/>
      <w:ind w:firstLine="720"/>
    </w:pPr>
    <w:sdt>
      <w:sdtPr>
        <w:id w:val="442657061"/>
        <w:docPartObj>
          <w:docPartGallery w:val="Page Numbers (Bottom of Page)"/>
          <w:docPartUnique/>
        </w:docPartObj>
      </w:sdtPr>
      <w:sdtEndPr>
        <w:rPr>
          <w:noProof/>
        </w:rPr>
      </w:sdtEndPr>
      <w:sdtContent>
        <w:r w:rsidR="00AC3592">
          <w:rPr>
            <w:noProof/>
          </w:rPr>
          <w:t xml:space="preserve">Review of </w:t>
        </w:r>
        <w:r w:rsidR="00AC3592" w:rsidRPr="00985E6E">
          <w:rPr>
            <w:noProof/>
          </w:rPr>
          <w:t xml:space="preserve">Research </w:t>
        </w:r>
        <w:r w:rsidR="00E402EC">
          <w:rPr>
            <w:noProof/>
          </w:rPr>
          <w:t>Policy</w:t>
        </w:r>
        <w:r w:rsidR="00AC3592">
          <w:rPr>
            <w:noProof/>
          </w:rPr>
          <w:t xml:space="preserve"> and </w:t>
        </w:r>
        <w:r w:rsidR="00E402EC">
          <w:rPr>
            <w:noProof/>
          </w:rPr>
          <w:t xml:space="preserve">Funding </w:t>
        </w:r>
        <w:r w:rsidR="00AC3592">
          <w:rPr>
            <w:noProof/>
          </w:rPr>
          <w:t xml:space="preserve">Arrangements — </w:t>
        </w:r>
        <w:r w:rsidR="00AC3592" w:rsidRPr="00985E6E">
          <w:rPr>
            <w:noProof/>
          </w:rPr>
          <w:t>Report</w:t>
        </w:r>
        <w:r w:rsidR="00AC3592">
          <w:rPr>
            <w:noProof/>
          </w:rPr>
          <w:tab/>
        </w:r>
        <w:r w:rsidR="00AC3592" w:rsidRPr="0027032E">
          <w:rPr>
            <w:noProof/>
          </w:rPr>
          <w:t>|</w:t>
        </w:r>
        <w:r w:rsidR="00AC3592" w:rsidRPr="00985E6E">
          <w:fldChar w:fldCharType="begin"/>
        </w:r>
        <w:r w:rsidR="00AC3592" w:rsidRPr="00985E6E">
          <w:instrText xml:space="preserve"> PAGE   \* MERGEFORMAT </w:instrText>
        </w:r>
        <w:r w:rsidR="00AC3592" w:rsidRPr="00985E6E">
          <w:fldChar w:fldCharType="separate"/>
        </w:r>
        <w:r w:rsidR="00521C1B">
          <w:rPr>
            <w:noProof/>
          </w:rPr>
          <w:t>ix</w:t>
        </w:r>
        <w:r w:rsidR="00AC3592" w:rsidRPr="00985E6E">
          <w:rPr>
            <w:noProof/>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592" w:rsidRPr="008A1F54" w:rsidRDefault="006F6E42" w:rsidP="00D84C85">
    <w:pPr>
      <w:pStyle w:val="Footer"/>
      <w:jc w:val="center"/>
      <w:rPr>
        <w:color w:val="0B2B43" w:themeColor="text2" w:themeShade="80"/>
      </w:rPr>
    </w:pPr>
    <w:sdt>
      <w:sdtPr>
        <w:rPr>
          <w:color w:val="0B2B43" w:themeColor="text2" w:themeShade="80"/>
        </w:rPr>
        <w:id w:val="-1187982938"/>
        <w:docPartObj>
          <w:docPartGallery w:val="Page Numbers (Bottom of Page)"/>
          <w:docPartUnique/>
        </w:docPartObj>
      </w:sdtPr>
      <w:sdtEndPr>
        <w:rPr>
          <w:noProof/>
        </w:rPr>
      </w:sdtEndPr>
      <w:sdtContent>
        <w:r w:rsidR="00AC3592" w:rsidRPr="008A1F54">
          <w:rPr>
            <w:color w:val="0B2B43" w:themeColor="text2" w:themeShade="80"/>
          </w:rPr>
          <w:fldChar w:fldCharType="begin"/>
        </w:r>
        <w:r w:rsidR="00AC3592" w:rsidRPr="008A1F54">
          <w:rPr>
            <w:color w:val="0B2B43" w:themeColor="text2" w:themeShade="80"/>
          </w:rPr>
          <w:instrText xml:space="preserve"> PAGE   \* MERGEFORMAT </w:instrText>
        </w:r>
        <w:r w:rsidR="00AC3592" w:rsidRPr="008A1F54">
          <w:rPr>
            <w:color w:val="0B2B43" w:themeColor="text2" w:themeShade="80"/>
          </w:rPr>
          <w:fldChar w:fldCharType="separate"/>
        </w:r>
        <w:r w:rsidR="00AC3592">
          <w:rPr>
            <w:noProof/>
            <w:color w:val="0B2B43" w:themeColor="text2" w:themeShade="80"/>
          </w:rPr>
          <w:t>i</w:t>
        </w:r>
        <w:r w:rsidR="00AC3592" w:rsidRPr="008A1F54">
          <w:rPr>
            <w:noProof/>
            <w:color w:val="0B2B43" w:themeColor="text2" w:themeShade="80"/>
          </w:rPr>
          <w:fldChar w:fldCharType="end"/>
        </w:r>
      </w:sdtContent>
    </w:sdt>
    <w:r w:rsidR="00AC3592" w:rsidRPr="008A1F54">
      <w:rPr>
        <w:noProof/>
        <w:color w:val="0B2B43" w:themeColor="text2" w:themeShade="80"/>
      </w:rPr>
      <w:t xml:space="preserve"> </w:t>
    </w:r>
    <w:r w:rsidR="00AC3592">
      <w:rPr>
        <w:noProof/>
        <w:color w:val="0B2B43" w:themeColor="text2" w:themeShade="80"/>
      </w:rPr>
      <w:br/>
    </w:r>
    <w:r w:rsidR="00AC3592" w:rsidRPr="008A1F54">
      <w:rPr>
        <w:noProof/>
        <w:color w:val="0B2B43" w:themeColor="text2" w:themeShade="80"/>
      </w:rPr>
      <w:t>Review of Research Funding and Policy Arrangements — Report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592" w:rsidRPr="00C6639A" w:rsidRDefault="006F6E42" w:rsidP="00E635AD">
    <w:pPr>
      <w:pStyle w:val="Footer"/>
      <w:rPr>
        <w:color w:val="0B2B43" w:themeColor="text2" w:themeShade="80"/>
      </w:rPr>
    </w:pPr>
    <w:sdt>
      <w:sdtPr>
        <w:id w:val="190125770"/>
        <w:docPartObj>
          <w:docPartGallery w:val="Page Numbers (Bottom of Page)"/>
          <w:docPartUnique/>
        </w:docPartObj>
      </w:sdtPr>
      <w:sdtEndPr>
        <w:rPr>
          <w:noProof/>
          <w:color w:val="0B2B43" w:themeColor="text2" w:themeShade="80"/>
        </w:rPr>
      </w:sdtEndPr>
      <w:sdtContent>
        <w:r w:rsidR="00AC3592" w:rsidRPr="00C6639A">
          <w:rPr>
            <w:color w:val="0B2B43" w:themeColor="text2" w:themeShade="80"/>
          </w:rPr>
          <w:fldChar w:fldCharType="begin"/>
        </w:r>
        <w:r w:rsidR="00AC3592" w:rsidRPr="00C6639A">
          <w:rPr>
            <w:color w:val="0B2B43" w:themeColor="text2" w:themeShade="80"/>
          </w:rPr>
          <w:instrText xml:space="preserve"> PAGE   \* MERGEFORMAT </w:instrText>
        </w:r>
        <w:r w:rsidR="00AC3592" w:rsidRPr="00C6639A">
          <w:rPr>
            <w:color w:val="0B2B43" w:themeColor="text2" w:themeShade="80"/>
          </w:rPr>
          <w:fldChar w:fldCharType="separate"/>
        </w:r>
        <w:r>
          <w:rPr>
            <w:noProof/>
            <w:color w:val="0B2B43" w:themeColor="text2" w:themeShade="80"/>
          </w:rPr>
          <w:t>84</w:t>
        </w:r>
        <w:r w:rsidR="00AC3592" w:rsidRPr="00C6639A">
          <w:rPr>
            <w:noProof/>
            <w:color w:val="0B2B43" w:themeColor="text2" w:themeShade="80"/>
          </w:rPr>
          <w:fldChar w:fldCharType="end"/>
        </w:r>
        <w:r w:rsidR="00AC3592" w:rsidRPr="0027032E">
          <w:rPr>
            <w:noProof/>
            <w:color w:val="0B2B43" w:themeColor="text2" w:themeShade="80"/>
          </w:rPr>
          <w:t>|</w:t>
        </w:r>
        <w:r w:rsidR="00AC3592" w:rsidRPr="00C6639A">
          <w:rPr>
            <w:noProof/>
            <w:color w:val="0B2B43" w:themeColor="text2" w:themeShade="80"/>
          </w:rPr>
          <w:t xml:space="preserve"> </w:t>
        </w:r>
        <w:r w:rsidR="00AC3592" w:rsidRPr="00C6639A">
          <w:rPr>
            <w:noProof/>
            <w:color w:val="0B2B43" w:themeColor="text2" w:themeShade="80"/>
          </w:rPr>
          <w:tab/>
          <w:t xml:space="preserve">Review of Research </w:t>
        </w:r>
        <w:r w:rsidR="00E402EC">
          <w:rPr>
            <w:noProof/>
            <w:color w:val="0B2B43" w:themeColor="text2" w:themeShade="80"/>
          </w:rPr>
          <w:t>Policy</w:t>
        </w:r>
        <w:r w:rsidR="00AC3592" w:rsidRPr="00C6639A">
          <w:rPr>
            <w:noProof/>
            <w:color w:val="0B2B43" w:themeColor="text2" w:themeShade="80"/>
          </w:rPr>
          <w:t xml:space="preserve"> and </w:t>
        </w:r>
        <w:r w:rsidR="00E402EC">
          <w:rPr>
            <w:noProof/>
            <w:color w:val="0B2B43" w:themeColor="text2" w:themeShade="80"/>
          </w:rPr>
          <w:t xml:space="preserve">Funding </w:t>
        </w:r>
        <w:r w:rsidR="00AC3592" w:rsidRPr="00C6639A">
          <w:rPr>
            <w:noProof/>
            <w:color w:val="0B2B43" w:themeColor="text2" w:themeShade="80"/>
          </w:rPr>
          <w:t>Arrangements — Report</w:t>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592" w:rsidRPr="008A1F54" w:rsidRDefault="00AC3592" w:rsidP="00E635AD">
    <w:pPr>
      <w:pStyle w:val="Footer"/>
      <w:rPr>
        <w:color w:val="0B2B43" w:themeColor="text2" w:themeShade="80"/>
      </w:rPr>
    </w:pPr>
    <w:r>
      <w:rPr>
        <w:noProof/>
        <w:color w:val="0B2B43" w:themeColor="text2" w:themeShade="80"/>
      </w:rPr>
      <w:tab/>
    </w:r>
    <w:r w:rsidRPr="008A1F54">
      <w:rPr>
        <w:noProof/>
        <w:color w:val="0B2B43" w:themeColor="text2" w:themeShade="80"/>
      </w:rPr>
      <w:t xml:space="preserve">Review of Research </w:t>
    </w:r>
    <w:r w:rsidR="00E402EC">
      <w:rPr>
        <w:noProof/>
        <w:color w:val="0B2B43" w:themeColor="text2" w:themeShade="80"/>
      </w:rPr>
      <w:t>Policy</w:t>
    </w:r>
    <w:r w:rsidRPr="008A1F54">
      <w:rPr>
        <w:noProof/>
        <w:color w:val="0B2B43" w:themeColor="text2" w:themeShade="80"/>
      </w:rPr>
      <w:t xml:space="preserve"> and </w:t>
    </w:r>
    <w:r w:rsidR="00E402EC">
      <w:rPr>
        <w:noProof/>
        <w:color w:val="0B2B43" w:themeColor="text2" w:themeShade="80"/>
      </w:rPr>
      <w:t xml:space="preserve">Funding </w:t>
    </w:r>
    <w:r w:rsidRPr="008A1F54">
      <w:rPr>
        <w:noProof/>
        <w:color w:val="0B2B43" w:themeColor="text2" w:themeShade="80"/>
      </w:rPr>
      <w:t>Arrangements — Report</w:t>
    </w:r>
    <w:r w:rsidRPr="00E635AD">
      <w:rPr>
        <w:color w:val="0B2B43" w:themeColor="text2" w:themeShade="80"/>
      </w:rPr>
      <w:t xml:space="preserve"> </w:t>
    </w:r>
    <w:sdt>
      <w:sdtPr>
        <w:rPr>
          <w:color w:val="0B2B43" w:themeColor="text2" w:themeShade="80"/>
        </w:rPr>
        <w:id w:val="1115553500"/>
        <w:docPartObj>
          <w:docPartGallery w:val="Page Numbers (Bottom of Page)"/>
          <w:docPartUnique/>
        </w:docPartObj>
      </w:sdtPr>
      <w:sdtEndPr>
        <w:rPr>
          <w:noProof/>
        </w:rPr>
      </w:sdtEndPr>
      <w:sdtContent>
        <w:r>
          <w:rPr>
            <w:color w:val="0B2B43" w:themeColor="text2" w:themeShade="80"/>
          </w:rPr>
          <w:tab/>
        </w:r>
        <w:r w:rsidRPr="0027032E">
          <w:rPr>
            <w:color w:val="0B2B43" w:themeColor="text2" w:themeShade="80"/>
          </w:rPr>
          <w:t>|</w:t>
        </w:r>
        <w:r w:rsidRPr="008A1F54">
          <w:rPr>
            <w:color w:val="0B2B43" w:themeColor="text2" w:themeShade="80"/>
          </w:rPr>
          <w:fldChar w:fldCharType="begin"/>
        </w:r>
        <w:r w:rsidRPr="008A1F54">
          <w:rPr>
            <w:color w:val="0B2B43" w:themeColor="text2" w:themeShade="80"/>
          </w:rPr>
          <w:instrText xml:space="preserve"> PAGE   \* MERGEFORMAT </w:instrText>
        </w:r>
        <w:r w:rsidRPr="008A1F54">
          <w:rPr>
            <w:color w:val="0B2B43" w:themeColor="text2" w:themeShade="80"/>
          </w:rPr>
          <w:fldChar w:fldCharType="separate"/>
        </w:r>
        <w:r w:rsidR="006F6E42">
          <w:rPr>
            <w:noProof/>
            <w:color w:val="0B2B43" w:themeColor="text2" w:themeShade="80"/>
          </w:rPr>
          <w:t>83</w:t>
        </w:r>
        <w:r w:rsidRPr="008A1F54">
          <w:rPr>
            <w:noProof/>
            <w:color w:val="0B2B43" w:themeColor="text2" w:themeShade="8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592" w:rsidRDefault="00AC3592" w:rsidP="00985E6E">
      <w:r>
        <w:separator/>
      </w:r>
    </w:p>
  </w:footnote>
  <w:footnote w:type="continuationSeparator" w:id="0">
    <w:p w:rsidR="00AC3592" w:rsidRDefault="00AC3592" w:rsidP="00985E6E">
      <w:r>
        <w:continuationSeparator/>
      </w:r>
    </w:p>
  </w:footnote>
  <w:footnote w:type="continuationNotice" w:id="1">
    <w:p w:rsidR="00AC3592" w:rsidRDefault="00AC3592">
      <w:pPr>
        <w:spacing w:before="0" w:after="0"/>
      </w:pPr>
    </w:p>
  </w:footnote>
  <w:footnote w:id="2">
    <w:p w:rsidR="00AC3592" w:rsidRPr="007F16CF" w:rsidRDefault="00AC3592" w:rsidP="002C6039">
      <w:pPr>
        <w:pStyle w:val="FootnoteText"/>
        <w:rPr>
          <w:color w:val="0B2B43" w:themeColor="text2" w:themeShade="80"/>
          <w:lang w:val="en-AU"/>
        </w:rPr>
      </w:pPr>
      <w:r w:rsidRPr="007F16CF">
        <w:rPr>
          <w:rStyle w:val="FootnoteReference"/>
          <w:color w:val="0B2B43" w:themeColor="text2" w:themeShade="80"/>
        </w:rPr>
        <w:footnoteRef/>
      </w:r>
      <w:r w:rsidRPr="007F16CF">
        <w:rPr>
          <w:color w:val="0B2B43" w:themeColor="text2" w:themeShade="80"/>
        </w:rPr>
        <w:t xml:space="preserve"> Office of the Chief Economist, 2015, </w:t>
      </w:r>
      <w:r w:rsidRPr="007F16CF">
        <w:rPr>
          <w:i/>
          <w:color w:val="0B2B43" w:themeColor="text2" w:themeShade="80"/>
        </w:rPr>
        <w:t>Australian Innovation System Report 2015 Tables.</w:t>
      </w:r>
    </w:p>
  </w:footnote>
  <w:footnote w:id="3">
    <w:p w:rsidR="00AC3592" w:rsidRPr="007F16CF" w:rsidRDefault="00AC3592" w:rsidP="00446B1F">
      <w:pPr>
        <w:pStyle w:val="FootnoteText"/>
        <w:rPr>
          <w:color w:val="0B2B43" w:themeColor="text2" w:themeShade="80"/>
          <w:lang w:val="en-AU"/>
        </w:rPr>
      </w:pPr>
      <w:r w:rsidRPr="007F16CF">
        <w:rPr>
          <w:rStyle w:val="FootnoteReference"/>
          <w:color w:val="0B2B43" w:themeColor="text2" w:themeShade="80"/>
        </w:rPr>
        <w:footnoteRef/>
      </w:r>
      <w:r w:rsidRPr="007F16CF">
        <w:rPr>
          <w:color w:val="0B2B43" w:themeColor="text2" w:themeShade="80"/>
        </w:rPr>
        <w:t xml:space="preserve"> </w:t>
      </w:r>
      <w:proofErr w:type="gramStart"/>
      <w:r w:rsidRPr="007F16CF">
        <w:rPr>
          <w:color w:val="0B2B43" w:themeColor="text2" w:themeShade="80"/>
        </w:rPr>
        <w:t xml:space="preserve">Dutta S, </w:t>
      </w:r>
      <w:proofErr w:type="spellStart"/>
      <w:r w:rsidRPr="007F16CF">
        <w:rPr>
          <w:color w:val="0B2B43" w:themeColor="text2" w:themeShade="80"/>
        </w:rPr>
        <w:t>Lanvin</w:t>
      </w:r>
      <w:proofErr w:type="spellEnd"/>
      <w:r w:rsidRPr="007F16CF">
        <w:rPr>
          <w:color w:val="0B2B43" w:themeColor="text2" w:themeShade="80"/>
        </w:rPr>
        <w:t xml:space="preserve"> B </w:t>
      </w:r>
      <w:r w:rsidR="00521C1B">
        <w:rPr>
          <w:color w:val="0B2B43" w:themeColor="text2" w:themeShade="80"/>
        </w:rPr>
        <w:t>and</w:t>
      </w:r>
      <w:r w:rsidRPr="007F16CF">
        <w:rPr>
          <w:color w:val="0B2B43" w:themeColor="text2" w:themeShade="80"/>
        </w:rPr>
        <w:t xml:space="preserve"> </w:t>
      </w:r>
      <w:proofErr w:type="spellStart"/>
      <w:r w:rsidRPr="007F16CF">
        <w:rPr>
          <w:color w:val="0B2B43" w:themeColor="text2" w:themeShade="80"/>
        </w:rPr>
        <w:t>Wunsch</w:t>
      </w:r>
      <w:proofErr w:type="spellEnd"/>
      <w:r w:rsidRPr="007F16CF">
        <w:rPr>
          <w:color w:val="0B2B43" w:themeColor="text2" w:themeShade="80"/>
        </w:rPr>
        <w:t>-Vincent S, 2015.</w:t>
      </w:r>
      <w:proofErr w:type="gramEnd"/>
      <w:r w:rsidRPr="007F16CF">
        <w:rPr>
          <w:color w:val="0B2B43" w:themeColor="text2" w:themeShade="80"/>
        </w:rPr>
        <w:t xml:space="preserve"> </w:t>
      </w:r>
    </w:p>
  </w:footnote>
  <w:footnote w:id="4">
    <w:p w:rsidR="00AC3592" w:rsidRPr="007F16CF" w:rsidRDefault="00AC3592" w:rsidP="002C6039">
      <w:pPr>
        <w:pStyle w:val="FootnoteText"/>
        <w:rPr>
          <w:color w:val="0B2B43" w:themeColor="text2" w:themeShade="80"/>
          <w:lang w:val="en-AU"/>
        </w:rPr>
      </w:pPr>
      <w:r w:rsidRPr="007F16CF">
        <w:rPr>
          <w:rStyle w:val="FootnoteReference"/>
          <w:color w:val="0B2B43" w:themeColor="text2" w:themeShade="80"/>
        </w:rPr>
        <w:footnoteRef/>
      </w:r>
      <w:r w:rsidRPr="007F16CF">
        <w:rPr>
          <w:color w:val="0B2B43" w:themeColor="text2" w:themeShade="80"/>
        </w:rPr>
        <w:t xml:space="preserve"> </w:t>
      </w:r>
      <w:proofErr w:type="gramStart"/>
      <w:r w:rsidRPr="007F16CF">
        <w:rPr>
          <w:color w:val="0B2B43" w:themeColor="text2" w:themeShade="80"/>
          <w:lang w:val="en-AU"/>
        </w:rPr>
        <w:t xml:space="preserve">Australian Research Council, 2015, </w:t>
      </w:r>
      <w:r w:rsidR="00FE7436">
        <w:rPr>
          <w:i/>
          <w:color w:val="0B2B43" w:themeColor="text2" w:themeShade="80"/>
          <w:lang w:val="en-AU"/>
        </w:rPr>
        <w:t>State of Australian University Research 2015-16: Volume 1 ERA National Report</w:t>
      </w:r>
      <w:r>
        <w:rPr>
          <w:i/>
          <w:color w:val="0B2B43" w:themeColor="text2" w:themeShade="80"/>
          <w:lang w:val="en-AU"/>
        </w:rPr>
        <w:t>.</w:t>
      </w:r>
      <w:proofErr w:type="gramEnd"/>
    </w:p>
  </w:footnote>
  <w:footnote w:id="5">
    <w:p w:rsidR="00AC3592" w:rsidRPr="007F16CF" w:rsidRDefault="00AC3592" w:rsidP="002C6039">
      <w:pPr>
        <w:pStyle w:val="FootnoteText"/>
        <w:rPr>
          <w:color w:val="0B2B43" w:themeColor="text2" w:themeShade="80"/>
          <w:lang w:val="en-AU"/>
        </w:rPr>
      </w:pPr>
      <w:r w:rsidRPr="007F16CF">
        <w:rPr>
          <w:rStyle w:val="FootnoteReference"/>
          <w:color w:val="0B2B43" w:themeColor="text2" w:themeShade="80"/>
        </w:rPr>
        <w:footnoteRef/>
      </w:r>
      <w:r w:rsidRPr="007F16CF">
        <w:rPr>
          <w:color w:val="0B2B43" w:themeColor="text2" w:themeShade="80"/>
        </w:rPr>
        <w:t xml:space="preserve"> </w:t>
      </w:r>
      <w:proofErr w:type="gramStart"/>
      <w:r w:rsidRPr="007F16CF">
        <w:rPr>
          <w:color w:val="0B2B43" w:themeColor="text2" w:themeShade="80"/>
        </w:rPr>
        <w:t>Australian Bureau of Statistics, 2015, ‘8104.0 - Gross Expenditure on R&amp;D (</w:t>
      </w:r>
      <w:proofErr w:type="spellStart"/>
      <w:r w:rsidRPr="007F16CF">
        <w:rPr>
          <w:color w:val="0B2B43" w:themeColor="text2" w:themeShade="80"/>
        </w:rPr>
        <w:t>GERD</w:t>
      </w:r>
      <w:proofErr w:type="spellEnd"/>
      <w:r w:rsidRPr="007F16CF">
        <w:rPr>
          <w:color w:val="0B2B43" w:themeColor="text2" w:themeShade="80"/>
        </w:rPr>
        <w:t>), Research and Experimental Development, Businesses, Australian 2013-14’.</w:t>
      </w:r>
      <w:proofErr w:type="gramEnd"/>
      <w:r w:rsidRPr="007F16CF">
        <w:rPr>
          <w:color w:val="0B2B43" w:themeColor="text2" w:themeShade="80"/>
        </w:rPr>
        <w:t xml:space="preserve"> </w:t>
      </w:r>
    </w:p>
  </w:footnote>
  <w:footnote w:id="6">
    <w:p w:rsidR="00AC3592" w:rsidRPr="007F16CF" w:rsidRDefault="00AC3592" w:rsidP="0031054D">
      <w:pPr>
        <w:pStyle w:val="FootnoteText"/>
        <w:rPr>
          <w:color w:val="0B2B43" w:themeColor="text2" w:themeShade="80"/>
          <w:lang w:val="en-AU"/>
        </w:rPr>
      </w:pPr>
      <w:r w:rsidRPr="007F16CF">
        <w:rPr>
          <w:rStyle w:val="FootnoteReference"/>
          <w:color w:val="0B2B43" w:themeColor="text2" w:themeShade="80"/>
        </w:rPr>
        <w:footnoteRef/>
      </w:r>
      <w:r w:rsidRPr="007F16CF">
        <w:rPr>
          <w:color w:val="0B2B43" w:themeColor="text2" w:themeShade="80"/>
        </w:rPr>
        <w:t xml:space="preserve"> </w:t>
      </w:r>
      <w:proofErr w:type="gramStart"/>
      <w:r w:rsidRPr="007F16CF">
        <w:rPr>
          <w:color w:val="0B2B43" w:themeColor="text2" w:themeShade="80"/>
        </w:rPr>
        <w:t xml:space="preserve">OECD, 2015, ‘Main Science and Technology Indicators; </w:t>
      </w:r>
      <w:proofErr w:type="spellStart"/>
      <w:r w:rsidRPr="007F16CF">
        <w:rPr>
          <w:color w:val="0B2B43" w:themeColor="text2" w:themeShade="80"/>
        </w:rPr>
        <w:t>GERD</w:t>
      </w:r>
      <w:proofErr w:type="spellEnd"/>
      <w:r w:rsidRPr="007F16CF">
        <w:rPr>
          <w:color w:val="0B2B43" w:themeColor="text2" w:themeShade="80"/>
        </w:rPr>
        <w:t xml:space="preserve"> as a percentage of GDP’.</w:t>
      </w:r>
      <w:proofErr w:type="gramEnd"/>
    </w:p>
  </w:footnote>
  <w:footnote w:id="7">
    <w:p w:rsidR="00AC3592" w:rsidRPr="007F16CF" w:rsidRDefault="00AC3592">
      <w:pPr>
        <w:pStyle w:val="FootnoteText"/>
        <w:rPr>
          <w:color w:val="0B2B43" w:themeColor="text2" w:themeShade="80"/>
          <w:lang w:val="en-AU"/>
        </w:rPr>
      </w:pPr>
      <w:r w:rsidRPr="007F16CF">
        <w:rPr>
          <w:rStyle w:val="FootnoteReference"/>
          <w:color w:val="0B2B43" w:themeColor="text2" w:themeShade="80"/>
        </w:rPr>
        <w:footnoteRef/>
      </w:r>
      <w:r w:rsidRPr="007F16CF">
        <w:rPr>
          <w:color w:val="0B2B43" w:themeColor="text2" w:themeShade="80"/>
        </w:rPr>
        <w:t xml:space="preserve"> </w:t>
      </w:r>
      <w:proofErr w:type="gramStart"/>
      <w:r w:rsidRPr="007F16CF">
        <w:rPr>
          <w:color w:val="0B2B43" w:themeColor="text2" w:themeShade="80"/>
        </w:rPr>
        <w:t>Australian Bureau of Statistics, 2015, ‘8104.0 - Gross Expenditure on R&amp;D (</w:t>
      </w:r>
      <w:proofErr w:type="spellStart"/>
      <w:r w:rsidRPr="007F16CF">
        <w:rPr>
          <w:color w:val="0B2B43" w:themeColor="text2" w:themeShade="80"/>
        </w:rPr>
        <w:t>GERD</w:t>
      </w:r>
      <w:proofErr w:type="spellEnd"/>
      <w:r w:rsidRPr="007F16CF">
        <w:rPr>
          <w:color w:val="0B2B43" w:themeColor="text2" w:themeShade="80"/>
        </w:rPr>
        <w:t>), Research and Experimental Development, Businesses, Australian 2013-14’</w:t>
      </w:r>
      <w:r>
        <w:rPr>
          <w:color w:val="0B2B43" w:themeColor="text2" w:themeShade="80"/>
        </w:rPr>
        <w:t>.</w:t>
      </w:r>
      <w:proofErr w:type="gramEnd"/>
    </w:p>
  </w:footnote>
  <w:footnote w:id="8">
    <w:p w:rsidR="00AC3592" w:rsidRPr="007F16CF" w:rsidRDefault="00AC3592">
      <w:pPr>
        <w:pStyle w:val="FootnoteText"/>
        <w:rPr>
          <w:color w:val="0B2B43" w:themeColor="text2" w:themeShade="80"/>
          <w:lang w:val="en-AU"/>
        </w:rPr>
      </w:pPr>
      <w:r w:rsidRPr="007F16CF">
        <w:rPr>
          <w:rStyle w:val="FootnoteReference"/>
          <w:color w:val="0B2B43" w:themeColor="text2" w:themeShade="80"/>
        </w:rPr>
        <w:footnoteRef/>
      </w:r>
      <w:r w:rsidR="00521C1B">
        <w:rPr>
          <w:color w:val="0B2B43" w:themeColor="text2" w:themeShade="80"/>
        </w:rPr>
        <w:t xml:space="preserve"> </w:t>
      </w:r>
      <w:proofErr w:type="gramStart"/>
      <w:r w:rsidR="00521C1B">
        <w:rPr>
          <w:color w:val="0B2B43" w:themeColor="text2" w:themeShade="80"/>
        </w:rPr>
        <w:t xml:space="preserve">Dutta S, </w:t>
      </w:r>
      <w:proofErr w:type="spellStart"/>
      <w:r w:rsidR="00521C1B">
        <w:rPr>
          <w:color w:val="0B2B43" w:themeColor="text2" w:themeShade="80"/>
        </w:rPr>
        <w:t>Lanvin</w:t>
      </w:r>
      <w:proofErr w:type="spellEnd"/>
      <w:r w:rsidR="00521C1B">
        <w:rPr>
          <w:color w:val="0B2B43" w:themeColor="text2" w:themeShade="80"/>
        </w:rPr>
        <w:t xml:space="preserve"> B and</w:t>
      </w:r>
      <w:r w:rsidRPr="007F16CF">
        <w:rPr>
          <w:color w:val="0B2B43" w:themeColor="text2" w:themeShade="80"/>
        </w:rPr>
        <w:t xml:space="preserve"> </w:t>
      </w:r>
      <w:proofErr w:type="spellStart"/>
      <w:r w:rsidRPr="007F16CF">
        <w:rPr>
          <w:color w:val="0B2B43" w:themeColor="text2" w:themeShade="80"/>
        </w:rPr>
        <w:t>Wunsch</w:t>
      </w:r>
      <w:proofErr w:type="spellEnd"/>
      <w:r w:rsidRPr="007F16CF">
        <w:rPr>
          <w:color w:val="0B2B43" w:themeColor="text2" w:themeShade="80"/>
        </w:rPr>
        <w:t>-Vincent S, 2015.</w:t>
      </w:r>
      <w:proofErr w:type="gramEnd"/>
    </w:p>
  </w:footnote>
  <w:footnote w:id="9">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Office of the Chief Economist, 2015, </w:t>
      </w:r>
      <w:r w:rsidRPr="007F16CF">
        <w:rPr>
          <w:i/>
          <w:color w:val="0B2B43" w:themeColor="text2" w:themeShade="80"/>
        </w:rPr>
        <w:t>Australian Innovation System Report 2015 Tables</w:t>
      </w:r>
      <w:r w:rsidRPr="007F16CF">
        <w:rPr>
          <w:color w:val="0B2B43" w:themeColor="text2" w:themeShade="80"/>
        </w:rPr>
        <w:t>.</w:t>
      </w:r>
    </w:p>
  </w:footnote>
  <w:footnote w:id="10">
    <w:p w:rsidR="00AC3592" w:rsidRPr="007F16CF" w:rsidRDefault="00AC3592" w:rsidP="00446B1F">
      <w:pPr>
        <w:pStyle w:val="FootnoteText"/>
        <w:rPr>
          <w:color w:val="0B2B43" w:themeColor="text2" w:themeShade="80"/>
          <w:lang w:val="en-AU"/>
        </w:rPr>
      </w:pPr>
      <w:r w:rsidRPr="007F16CF">
        <w:rPr>
          <w:rStyle w:val="FootnoteReference"/>
          <w:color w:val="0B2B43" w:themeColor="text2" w:themeShade="80"/>
        </w:rPr>
        <w:footnoteRef/>
      </w:r>
      <w:r w:rsidRPr="007F16CF">
        <w:rPr>
          <w:color w:val="0B2B43" w:themeColor="text2" w:themeShade="80"/>
        </w:rPr>
        <w:t xml:space="preserve"> Australian Government, 2014</w:t>
      </w:r>
      <w:r w:rsidRPr="007F16CF">
        <w:rPr>
          <w:i/>
          <w:color w:val="0B2B43" w:themeColor="text2" w:themeShade="80"/>
        </w:rPr>
        <w:t>, Industry Innovation and Competitiveness Agenda: An action plan for a stronger Australia</w:t>
      </w:r>
      <w:r w:rsidRPr="007F16CF">
        <w:rPr>
          <w:color w:val="0B2B43" w:themeColor="text2" w:themeShade="80"/>
        </w:rPr>
        <w:t>.</w:t>
      </w:r>
    </w:p>
  </w:footnote>
  <w:footnote w:id="11">
    <w:p w:rsidR="00AC3592" w:rsidRPr="0043205E" w:rsidRDefault="00AC3592" w:rsidP="002C6039">
      <w:pPr>
        <w:pStyle w:val="FootnoteText"/>
        <w:rPr>
          <w:color w:val="104165" w:themeColor="text2" w:themeShade="BF"/>
          <w:lang w:val="en-AU"/>
        </w:rPr>
      </w:pPr>
      <w:r w:rsidRPr="007F16CF">
        <w:rPr>
          <w:rStyle w:val="FootnoteReference"/>
          <w:color w:val="0B2B43" w:themeColor="text2" w:themeShade="80"/>
        </w:rPr>
        <w:footnoteRef/>
      </w:r>
      <w:r w:rsidRPr="007F16CF">
        <w:rPr>
          <w:color w:val="0B2B43" w:themeColor="text2" w:themeShade="80"/>
        </w:rPr>
        <w:t xml:space="preserve"> Department of Education and Training, 2015,</w:t>
      </w:r>
      <w:r w:rsidRPr="007F16CF">
        <w:rPr>
          <w:i/>
          <w:color w:val="0B2B43" w:themeColor="text2" w:themeShade="80"/>
        </w:rPr>
        <w:t xml:space="preserve"> Launch of the strategy </w:t>
      </w:r>
      <w:proofErr w:type="gramStart"/>
      <w:r w:rsidRPr="007F16CF">
        <w:rPr>
          <w:i/>
          <w:color w:val="0B2B43" w:themeColor="text2" w:themeShade="80"/>
        </w:rPr>
        <w:t>Boosting</w:t>
      </w:r>
      <w:proofErr w:type="gramEnd"/>
      <w:r w:rsidRPr="007F16CF">
        <w:rPr>
          <w:i/>
          <w:color w:val="0B2B43" w:themeColor="text2" w:themeShade="80"/>
        </w:rPr>
        <w:t xml:space="preserve"> the Commercial Returns from Research</w:t>
      </w:r>
      <w:r w:rsidRPr="007F16CF">
        <w:rPr>
          <w:color w:val="0B2B43" w:themeColor="text2" w:themeShade="80"/>
        </w:rPr>
        <w:t>.</w:t>
      </w:r>
    </w:p>
  </w:footnote>
  <w:footnote w:id="12">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w:t>
      </w:r>
      <w:r w:rsidRPr="007F16CF">
        <w:rPr>
          <w:rFonts w:cstheme="minorHAnsi"/>
          <w:color w:val="0B2B43" w:themeColor="text2" w:themeShade="80"/>
        </w:rPr>
        <w:t xml:space="preserve">The programmes constituting </w:t>
      </w:r>
      <w:proofErr w:type="spellStart"/>
      <w:r w:rsidRPr="007F16CF">
        <w:rPr>
          <w:rFonts w:cstheme="minorHAnsi"/>
          <w:color w:val="0B2B43" w:themeColor="text2" w:themeShade="80"/>
        </w:rPr>
        <w:t>RBG</w:t>
      </w:r>
      <w:proofErr w:type="spellEnd"/>
      <w:r w:rsidRPr="007F16CF">
        <w:rPr>
          <w:rFonts w:cstheme="minorHAnsi"/>
          <w:color w:val="0B2B43" w:themeColor="text2" w:themeShade="80"/>
        </w:rPr>
        <w:t xml:space="preserve"> have been introduced over time but were established with integrated policy underpinnings from 2002 as a result of the 1999 policy statement by the then Minister for Education, Training and Youth Affairs, Dr David Kemp, </w:t>
      </w:r>
      <w:r w:rsidRPr="007F16CF">
        <w:rPr>
          <w:rFonts w:cstheme="minorHAnsi"/>
          <w:i/>
          <w:color w:val="0B2B43" w:themeColor="text2" w:themeShade="80"/>
        </w:rPr>
        <w:t>Knowledge and Innovation: A policy statement on research and research training</w:t>
      </w:r>
      <w:r w:rsidRPr="007F16CF">
        <w:rPr>
          <w:rFonts w:cstheme="minorHAnsi"/>
          <w:color w:val="0B2B43" w:themeColor="text2" w:themeShade="80"/>
        </w:rPr>
        <w:t>.</w:t>
      </w:r>
    </w:p>
  </w:footnote>
  <w:footnote w:id="13">
    <w:p w:rsidR="00AC3592" w:rsidRPr="007F16CF" w:rsidRDefault="00AC3592" w:rsidP="00446B1F">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National Health and Medical Research Council 2014, </w:t>
      </w:r>
      <w:r w:rsidRPr="007F16CF">
        <w:rPr>
          <w:i/>
          <w:color w:val="0B2B43" w:themeColor="text2" w:themeShade="80"/>
        </w:rPr>
        <w:t>Research Funding Facts Book 2013</w:t>
      </w:r>
      <w:r w:rsidRPr="007F16CF">
        <w:rPr>
          <w:color w:val="0B2B43" w:themeColor="text2" w:themeShade="80"/>
        </w:rPr>
        <w:t>.</w:t>
      </w:r>
    </w:p>
    <w:p w:rsidR="00AC3592" w:rsidRPr="007F16CF" w:rsidRDefault="00AC3592" w:rsidP="00446B1F">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w:t>
      </w:r>
      <w:proofErr w:type="gramStart"/>
      <w:r w:rsidRPr="007F16CF">
        <w:rPr>
          <w:color w:val="0B2B43" w:themeColor="text2" w:themeShade="80"/>
        </w:rPr>
        <w:t>Department of Industry and Science 2015.</w:t>
      </w:r>
      <w:proofErr w:type="gramEnd"/>
      <w:r w:rsidRPr="007F16CF">
        <w:rPr>
          <w:color w:val="0B2B43" w:themeColor="text2" w:themeShade="80"/>
        </w:rPr>
        <w:t xml:space="preserve"> </w:t>
      </w:r>
      <w:r w:rsidRPr="007F16CF">
        <w:rPr>
          <w:i/>
          <w:color w:val="0B2B43" w:themeColor="text2" w:themeShade="80"/>
        </w:rPr>
        <w:t>The Australian Government’s 2015-16 Science, Research and Innovation Budget Tables</w:t>
      </w:r>
      <w:r w:rsidRPr="007F16CF">
        <w:rPr>
          <w:color w:val="0B2B43" w:themeColor="text2" w:themeShade="80"/>
        </w:rPr>
        <w:t>.</w:t>
      </w:r>
    </w:p>
  </w:footnote>
  <w:footnote w:id="14">
    <w:p w:rsidR="00AC3592" w:rsidRPr="007F16CF" w:rsidRDefault="00AC3592" w:rsidP="002C6039">
      <w:pPr>
        <w:spacing w:after="0"/>
        <w:rPr>
          <w:color w:val="0B2B43" w:themeColor="text2" w:themeShade="80"/>
        </w:rPr>
      </w:pPr>
    </w:p>
  </w:footnote>
  <w:footnote w:id="15">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w:t>
      </w:r>
      <w:proofErr w:type="gramStart"/>
      <w:r w:rsidRPr="007F16CF">
        <w:rPr>
          <w:color w:val="0B2B43" w:themeColor="text2" w:themeShade="80"/>
        </w:rPr>
        <w:t>Commonwealth of Australia 2011.</w:t>
      </w:r>
      <w:proofErr w:type="gramEnd"/>
      <w:r w:rsidRPr="007F16CF">
        <w:rPr>
          <w:color w:val="0B2B43" w:themeColor="text2" w:themeShade="80"/>
        </w:rPr>
        <w:t xml:space="preserve"> </w:t>
      </w:r>
      <w:proofErr w:type="gramStart"/>
      <w:r w:rsidRPr="007F16CF">
        <w:rPr>
          <w:i/>
          <w:color w:val="0B2B43" w:themeColor="text2" w:themeShade="80"/>
        </w:rPr>
        <w:t>Higher Education Standards Framework (Threshold Standards) 2011</w:t>
      </w:r>
      <w:r w:rsidRPr="007F16CF">
        <w:rPr>
          <w:color w:val="0B2B43" w:themeColor="text2" w:themeShade="80"/>
        </w:rPr>
        <w:t>.</w:t>
      </w:r>
      <w:proofErr w:type="gramEnd"/>
    </w:p>
  </w:footnote>
  <w:footnote w:id="16">
    <w:p w:rsidR="00AC3592" w:rsidRPr="001505FB" w:rsidRDefault="00AC3592" w:rsidP="00446B1F">
      <w:pPr>
        <w:pStyle w:val="FootnoteText"/>
        <w:rPr>
          <w:color w:val="104165" w:themeColor="text2" w:themeShade="BF"/>
        </w:rPr>
      </w:pPr>
      <w:r w:rsidRPr="007F16CF">
        <w:rPr>
          <w:rStyle w:val="FootnoteReference"/>
          <w:color w:val="0B2B43" w:themeColor="text2" w:themeShade="80"/>
        </w:rPr>
        <w:footnoteRef/>
      </w:r>
      <w:r w:rsidRPr="007F16CF">
        <w:rPr>
          <w:color w:val="0B2B43" w:themeColor="text2" w:themeShade="80"/>
        </w:rPr>
        <w:t xml:space="preserve"> Lomax-Smith J, Watson L, Webster B, 2011, </w:t>
      </w:r>
      <w:r w:rsidRPr="007F16CF">
        <w:rPr>
          <w:i/>
          <w:color w:val="0B2B43" w:themeColor="text2" w:themeShade="80"/>
        </w:rPr>
        <w:t>Higher Education Base Funding Review: Final Report</w:t>
      </w:r>
      <w:r w:rsidRPr="007F16CF">
        <w:rPr>
          <w:color w:val="0B2B43" w:themeColor="text2" w:themeShade="80"/>
        </w:rPr>
        <w:t>.</w:t>
      </w:r>
    </w:p>
  </w:footnote>
  <w:footnote w:id="17">
    <w:p w:rsidR="00AC3592" w:rsidRPr="00AD1A4D" w:rsidRDefault="00AC3592" w:rsidP="002C6039">
      <w:pPr>
        <w:pStyle w:val="FootnoteText"/>
        <w:rPr>
          <w:color w:val="104165" w:themeColor="text2" w:themeShade="BF"/>
        </w:rPr>
      </w:pPr>
      <w:r w:rsidRPr="007F16CF">
        <w:rPr>
          <w:rStyle w:val="FootnoteReference"/>
          <w:color w:val="0B2B43" w:themeColor="text2" w:themeShade="80"/>
        </w:rPr>
        <w:footnoteRef/>
      </w:r>
      <w:r w:rsidRPr="007F16CF">
        <w:rPr>
          <w:color w:val="0B2B43" w:themeColor="text2" w:themeShade="80"/>
        </w:rPr>
        <w:t xml:space="preserve"> Data averaging</w:t>
      </w:r>
      <w:r>
        <w:rPr>
          <w:color w:val="0B2B43" w:themeColor="text2" w:themeShade="80"/>
        </w:rPr>
        <w:t xml:space="preserve">: </w:t>
      </w:r>
      <w:r w:rsidRPr="007F16CF">
        <w:rPr>
          <w:color w:val="0B2B43" w:themeColor="text2" w:themeShade="80"/>
        </w:rPr>
        <w:t xml:space="preserve">data other than student load is averaged over the current reporting year and the previous year; pipelines provide guaranteed funding for ongoing students in </w:t>
      </w:r>
      <w:proofErr w:type="spellStart"/>
      <w:r w:rsidRPr="007F16CF">
        <w:rPr>
          <w:color w:val="0B2B43" w:themeColor="text2" w:themeShade="80"/>
        </w:rPr>
        <w:t>APA</w:t>
      </w:r>
      <w:proofErr w:type="spellEnd"/>
      <w:r w:rsidRPr="007F16CF">
        <w:rPr>
          <w:color w:val="0B2B43" w:themeColor="text2" w:themeShade="80"/>
        </w:rPr>
        <w:t xml:space="preserve"> and </w:t>
      </w:r>
      <w:proofErr w:type="spellStart"/>
      <w:r w:rsidRPr="007F16CF">
        <w:rPr>
          <w:color w:val="0B2B43" w:themeColor="text2" w:themeShade="80"/>
        </w:rPr>
        <w:t>IPRS</w:t>
      </w:r>
      <w:proofErr w:type="spellEnd"/>
      <w:r w:rsidRPr="007F16CF">
        <w:rPr>
          <w:color w:val="0B2B43" w:themeColor="text2" w:themeShade="80"/>
        </w:rPr>
        <w:t xml:space="preserve">; safety nets for </w:t>
      </w:r>
      <w:proofErr w:type="spellStart"/>
      <w:r w:rsidRPr="007F16CF">
        <w:rPr>
          <w:color w:val="0B2B43" w:themeColor="text2" w:themeShade="80"/>
        </w:rPr>
        <w:t>RTS</w:t>
      </w:r>
      <w:proofErr w:type="spellEnd"/>
      <w:r w:rsidRPr="007F16CF">
        <w:rPr>
          <w:color w:val="0B2B43" w:themeColor="text2" w:themeShade="80"/>
        </w:rPr>
        <w:t xml:space="preserve"> and </w:t>
      </w:r>
      <w:proofErr w:type="spellStart"/>
      <w:r w:rsidRPr="007F16CF">
        <w:rPr>
          <w:color w:val="0B2B43" w:themeColor="text2" w:themeShade="80"/>
        </w:rPr>
        <w:t>JRE</w:t>
      </w:r>
      <w:proofErr w:type="spellEnd"/>
      <w:r w:rsidRPr="007F16CF">
        <w:rPr>
          <w:color w:val="0B2B43" w:themeColor="text2" w:themeShade="80"/>
        </w:rPr>
        <w:t xml:space="preserve"> are set at 95% so that the institutions funding cannot decline by more than 5% from year to year. </w:t>
      </w:r>
    </w:p>
  </w:footnote>
  <w:footnote w:id="18">
    <w:p w:rsidR="00AC3592" w:rsidRPr="007F16CF" w:rsidRDefault="00AC3592" w:rsidP="00446B1F">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External Reference Group, 2004, </w:t>
      </w:r>
      <w:r w:rsidRPr="007F16CF">
        <w:rPr>
          <w:i/>
          <w:color w:val="0B2B43" w:themeColor="text2" w:themeShade="80"/>
        </w:rPr>
        <w:t>Evaluation of</w:t>
      </w:r>
      <w:r w:rsidRPr="007F16CF">
        <w:rPr>
          <w:color w:val="0B2B43" w:themeColor="text2" w:themeShade="80"/>
        </w:rPr>
        <w:t xml:space="preserve"> </w:t>
      </w:r>
      <w:r w:rsidRPr="00C6639A">
        <w:rPr>
          <w:i/>
          <w:color w:val="0B2B43" w:themeColor="text2" w:themeShade="80"/>
        </w:rPr>
        <w:t>Knowledge and Innovation</w:t>
      </w:r>
      <w:r w:rsidRPr="007F16CF">
        <w:rPr>
          <w:i/>
          <w:color w:val="0B2B43" w:themeColor="text2" w:themeShade="80"/>
        </w:rPr>
        <w:t xml:space="preserve"> Reforms Consultation Report</w:t>
      </w:r>
      <w:r w:rsidRPr="007F16CF">
        <w:rPr>
          <w:color w:val="0B2B43" w:themeColor="text2" w:themeShade="80"/>
        </w:rPr>
        <w:t>.</w:t>
      </w:r>
    </w:p>
  </w:footnote>
  <w:footnote w:id="19">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Kemp D A, 1999, </w:t>
      </w:r>
      <w:r w:rsidRPr="007F16CF">
        <w:rPr>
          <w:i/>
          <w:color w:val="0B2B43" w:themeColor="text2" w:themeShade="80"/>
        </w:rPr>
        <w:t>Knowledge and Innovation: a policy statement on research and research training</w:t>
      </w:r>
      <w:r w:rsidRPr="007F16CF">
        <w:rPr>
          <w:color w:val="0B2B43" w:themeColor="text2" w:themeShade="80"/>
        </w:rPr>
        <w:t>.</w:t>
      </w:r>
    </w:p>
  </w:footnote>
  <w:footnote w:id="20">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The transparent costing exercise collected data on how university researchers balanced their time between research and other activities over a two week period. It aimed to determine the relative costs associated with supporting </w:t>
      </w:r>
      <w:proofErr w:type="spellStart"/>
      <w:r>
        <w:rPr>
          <w:color w:val="0B2B43" w:themeColor="text2" w:themeShade="80"/>
        </w:rPr>
        <w:t>ACG</w:t>
      </w:r>
      <w:proofErr w:type="spellEnd"/>
      <w:r>
        <w:rPr>
          <w:color w:val="0B2B43" w:themeColor="text2" w:themeShade="80"/>
        </w:rPr>
        <w:t xml:space="preserve"> </w:t>
      </w:r>
      <w:r w:rsidRPr="007F16CF">
        <w:rPr>
          <w:color w:val="0B2B43" w:themeColor="text2" w:themeShade="80"/>
        </w:rPr>
        <w:t xml:space="preserve">research. </w:t>
      </w:r>
    </w:p>
  </w:footnote>
  <w:footnote w:id="21">
    <w:p w:rsidR="00AC3592" w:rsidRPr="007F16CF" w:rsidRDefault="00AC3592">
      <w:pPr>
        <w:pStyle w:val="FootnoteText"/>
        <w:rPr>
          <w:color w:val="0B2B43" w:themeColor="text2" w:themeShade="80"/>
          <w:lang w:val="en-AU"/>
        </w:rPr>
      </w:pPr>
      <w:r w:rsidRPr="007F16CF">
        <w:rPr>
          <w:rStyle w:val="FootnoteReference"/>
          <w:color w:val="0B2B43" w:themeColor="text2" w:themeShade="80"/>
        </w:rPr>
        <w:footnoteRef/>
      </w:r>
      <w:r w:rsidRPr="007F16CF">
        <w:rPr>
          <w:color w:val="0B2B43" w:themeColor="text2" w:themeShade="80"/>
        </w:rPr>
        <w:t xml:space="preserve"> </w:t>
      </w:r>
      <w:proofErr w:type="gramStart"/>
      <w:r w:rsidRPr="007F16CF">
        <w:rPr>
          <w:color w:val="0B2B43" w:themeColor="text2" w:themeShade="80"/>
          <w:lang w:val="en-AU"/>
        </w:rPr>
        <w:t>Department of Education and Training data.</w:t>
      </w:r>
      <w:proofErr w:type="gramEnd"/>
    </w:p>
  </w:footnote>
  <w:footnote w:id="22">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Higher Education Research Data Collection data is available from the Depart</w:t>
      </w:r>
      <w:r w:rsidR="00E402EC">
        <w:rPr>
          <w:color w:val="0B2B43" w:themeColor="text2" w:themeShade="80"/>
        </w:rPr>
        <w:t xml:space="preserve">ment of Education and Training </w:t>
      </w:r>
      <w:r w:rsidRPr="007F16CF">
        <w:rPr>
          <w:color w:val="0B2B43" w:themeColor="text2" w:themeShade="80"/>
        </w:rPr>
        <w:t>http://www.education.gov.au/higher-edu</w:t>
      </w:r>
      <w:r w:rsidR="00E402EC">
        <w:rPr>
          <w:color w:val="0B2B43" w:themeColor="text2" w:themeShade="80"/>
        </w:rPr>
        <w:t>cation-research-data-collection</w:t>
      </w:r>
      <w:r w:rsidRPr="007F16CF">
        <w:rPr>
          <w:color w:val="0B2B43" w:themeColor="text2" w:themeShade="80"/>
        </w:rPr>
        <w:t>.</w:t>
      </w:r>
    </w:p>
  </w:footnote>
  <w:footnote w:id="23">
    <w:p w:rsidR="00AC3592" w:rsidRPr="007F16CF" w:rsidRDefault="00AC3592" w:rsidP="0095003C">
      <w:pPr>
        <w:pStyle w:val="FootnoteText"/>
        <w:rPr>
          <w:rFonts w:cstheme="minorHAnsi"/>
          <w:color w:val="0B2B43" w:themeColor="text2" w:themeShade="80"/>
        </w:rPr>
      </w:pPr>
      <w:r w:rsidRPr="007F16CF">
        <w:rPr>
          <w:rStyle w:val="FootnoteReference"/>
          <w:rFonts w:cstheme="minorHAnsi"/>
          <w:color w:val="0B2B43" w:themeColor="text2" w:themeShade="80"/>
        </w:rPr>
        <w:footnoteRef/>
      </w:r>
      <w:r w:rsidRPr="007F16CF">
        <w:rPr>
          <w:rFonts w:cstheme="minorHAnsi"/>
          <w:color w:val="0B2B43" w:themeColor="text2" w:themeShade="80"/>
        </w:rPr>
        <w:t xml:space="preserve"> </w:t>
      </w:r>
      <w:proofErr w:type="spellStart"/>
      <w:proofErr w:type="gramStart"/>
      <w:r w:rsidRPr="007F16CF">
        <w:rPr>
          <w:rFonts w:cstheme="minorHAnsi"/>
          <w:color w:val="0B2B43" w:themeColor="text2" w:themeShade="80"/>
        </w:rPr>
        <w:t>Koshi</w:t>
      </w:r>
      <w:proofErr w:type="spellEnd"/>
      <w:r w:rsidRPr="007F16CF">
        <w:rPr>
          <w:rFonts w:cstheme="minorHAnsi"/>
          <w:color w:val="0B2B43" w:themeColor="text2" w:themeShade="80"/>
        </w:rPr>
        <w:t xml:space="preserve"> P, and Seymour R, 2015.</w:t>
      </w:r>
      <w:proofErr w:type="gramEnd"/>
    </w:p>
  </w:footnote>
  <w:footnote w:id="24">
    <w:p w:rsidR="00AC3592" w:rsidRPr="007F16CF" w:rsidRDefault="00AC3592" w:rsidP="00A55827">
      <w:pPr>
        <w:spacing w:before="0" w:after="0"/>
        <w:rPr>
          <w:color w:val="0B2B43" w:themeColor="text2" w:themeShade="80"/>
          <w:sz w:val="20"/>
          <w:szCs w:val="20"/>
        </w:rPr>
      </w:pPr>
      <w:r w:rsidRPr="007F16CF">
        <w:rPr>
          <w:rStyle w:val="FootnoteReference"/>
          <w:color w:val="0B2B43" w:themeColor="text2" w:themeShade="80"/>
        </w:rPr>
        <w:footnoteRef/>
      </w:r>
      <w:r w:rsidRPr="007F16CF">
        <w:rPr>
          <w:color w:val="0B2B43" w:themeColor="text2" w:themeShade="80"/>
          <w:sz w:val="20"/>
          <w:szCs w:val="20"/>
        </w:rPr>
        <w:t xml:space="preserve"> OECD, 2010, </w:t>
      </w:r>
      <w:r w:rsidRPr="007F16CF">
        <w:rPr>
          <w:i/>
          <w:color w:val="0B2B43" w:themeColor="text2" w:themeShade="80"/>
          <w:sz w:val="20"/>
          <w:szCs w:val="20"/>
        </w:rPr>
        <w:t>Ministerial report on the OECD Innovation Strategy: Innovation to strengthen growth and address global and social challenges – Key Findings</w:t>
      </w:r>
      <w:r w:rsidRPr="007F16CF">
        <w:rPr>
          <w:color w:val="0B2B43" w:themeColor="text2" w:themeShade="80"/>
          <w:sz w:val="20"/>
          <w:szCs w:val="20"/>
        </w:rPr>
        <w:t xml:space="preserve">. </w:t>
      </w:r>
    </w:p>
  </w:footnote>
  <w:footnote w:id="25">
    <w:p w:rsidR="00AC3592" w:rsidRPr="007F16CF" w:rsidRDefault="00AC3592" w:rsidP="00A55827">
      <w:pPr>
        <w:spacing w:before="0" w:after="0"/>
        <w:rPr>
          <w:color w:val="0B2B43" w:themeColor="text2" w:themeShade="80"/>
          <w:sz w:val="20"/>
          <w:szCs w:val="20"/>
        </w:rPr>
      </w:pPr>
      <w:r w:rsidRPr="007F16CF">
        <w:rPr>
          <w:rStyle w:val="FootnoteReference"/>
          <w:color w:val="0B2B43" w:themeColor="text2" w:themeShade="80"/>
        </w:rPr>
        <w:footnoteRef/>
      </w:r>
      <w:r w:rsidRPr="007F16CF">
        <w:rPr>
          <w:color w:val="0B2B43" w:themeColor="text2" w:themeShade="80"/>
          <w:sz w:val="20"/>
          <w:szCs w:val="20"/>
        </w:rPr>
        <w:t xml:space="preserve"> OECD, 2015</w:t>
      </w:r>
      <w:r w:rsidRPr="007F16CF">
        <w:rPr>
          <w:i/>
          <w:color w:val="0B2B43" w:themeColor="text2" w:themeShade="80"/>
          <w:sz w:val="20"/>
          <w:szCs w:val="20"/>
        </w:rPr>
        <w:t xml:space="preserve">, </w:t>
      </w:r>
      <w:proofErr w:type="gramStart"/>
      <w:r w:rsidRPr="007F16CF">
        <w:rPr>
          <w:i/>
          <w:color w:val="0B2B43" w:themeColor="text2" w:themeShade="80"/>
          <w:sz w:val="20"/>
          <w:szCs w:val="20"/>
        </w:rPr>
        <w:t>The</w:t>
      </w:r>
      <w:proofErr w:type="gramEnd"/>
      <w:r w:rsidRPr="007F16CF">
        <w:rPr>
          <w:i/>
          <w:color w:val="0B2B43" w:themeColor="text2" w:themeShade="80"/>
          <w:sz w:val="20"/>
          <w:szCs w:val="20"/>
        </w:rPr>
        <w:t xml:space="preserve"> Innovation Imperative: Contributing to Productivity, Growth and Well-Being</w:t>
      </w:r>
      <w:r w:rsidRPr="007F16CF">
        <w:rPr>
          <w:color w:val="0B2B43" w:themeColor="text2" w:themeShade="80"/>
          <w:sz w:val="20"/>
          <w:szCs w:val="20"/>
        </w:rPr>
        <w:t xml:space="preserve">. </w:t>
      </w:r>
    </w:p>
  </w:footnote>
  <w:footnote w:id="26">
    <w:p w:rsidR="00AC3592" w:rsidRPr="007F16CF" w:rsidRDefault="00AC3592" w:rsidP="002C6039">
      <w:pPr>
        <w:pStyle w:val="FootnoteText"/>
        <w:rPr>
          <w:color w:val="0B2B43" w:themeColor="text2" w:themeShade="80"/>
          <w:lang w:val="en-AU"/>
        </w:rPr>
      </w:pPr>
      <w:r w:rsidRPr="007F16CF">
        <w:rPr>
          <w:rStyle w:val="FootnoteReference"/>
          <w:color w:val="0B2B43" w:themeColor="text2" w:themeShade="80"/>
        </w:rPr>
        <w:footnoteRef/>
      </w:r>
      <w:r w:rsidRPr="007F16CF">
        <w:rPr>
          <w:color w:val="0B2B43" w:themeColor="text2" w:themeShade="80"/>
        </w:rPr>
        <w:t xml:space="preserve"> Data provided by ARC. Figures include combined totals for the Linkage Projects scheme, </w:t>
      </w:r>
      <w:proofErr w:type="spellStart"/>
      <w:r>
        <w:rPr>
          <w:color w:val="0B2B43" w:themeColor="text2" w:themeShade="80"/>
        </w:rPr>
        <w:t>ITRH</w:t>
      </w:r>
      <w:proofErr w:type="spellEnd"/>
      <w:r w:rsidRPr="007F16CF">
        <w:rPr>
          <w:color w:val="0B2B43" w:themeColor="text2" w:themeShade="80"/>
        </w:rPr>
        <w:t xml:space="preserve"> and </w:t>
      </w:r>
      <w:proofErr w:type="spellStart"/>
      <w:r>
        <w:rPr>
          <w:color w:val="0B2B43" w:themeColor="text2" w:themeShade="80"/>
        </w:rPr>
        <w:t>ITTC</w:t>
      </w:r>
      <w:proofErr w:type="spellEnd"/>
      <w:r w:rsidRPr="007F16CF">
        <w:rPr>
          <w:color w:val="0B2B43" w:themeColor="text2" w:themeShade="80"/>
        </w:rPr>
        <w:t>. Although some projects under these schemes involve collaboration between research institutions, there are no projects that involve only research institutions as partners. Figures for the ARC Centres of Excellence scheme have not been included, as collaboration between research institutions is a key focus of the scheme, and it includes some projects that involve collaboration between research institutions only.</w:t>
      </w:r>
    </w:p>
  </w:footnote>
  <w:footnote w:id="27">
    <w:p w:rsidR="00AC3592" w:rsidRPr="007F16CF" w:rsidRDefault="00AC3592" w:rsidP="002C6039">
      <w:pPr>
        <w:pStyle w:val="FootnoteText"/>
        <w:rPr>
          <w:color w:val="0B2B43" w:themeColor="text2" w:themeShade="80"/>
          <w:lang w:val="en-AU"/>
        </w:rPr>
      </w:pPr>
      <w:r w:rsidRPr="007F16CF">
        <w:rPr>
          <w:rStyle w:val="FootnoteReference"/>
          <w:color w:val="0B2B43" w:themeColor="text2" w:themeShade="80"/>
        </w:rPr>
        <w:footnoteRef/>
      </w:r>
      <w:r w:rsidRPr="007F16CF">
        <w:rPr>
          <w:color w:val="0B2B43" w:themeColor="text2" w:themeShade="80"/>
        </w:rPr>
        <w:t xml:space="preserve"> Data provided by ARC. The Linkage Programme also includes the Linkage Infrastructure, Equipment and Facilities scheme. This scheme provides funding for research infrastructure, equipment and facilities to eligible organisations.</w:t>
      </w:r>
    </w:p>
  </w:footnote>
  <w:footnote w:id="28">
    <w:p w:rsidR="00AC3592" w:rsidRPr="007F16CF" w:rsidRDefault="00AC3592" w:rsidP="002C6039">
      <w:pPr>
        <w:pStyle w:val="FootnoteText"/>
        <w:rPr>
          <w:color w:val="0B2B43" w:themeColor="text2" w:themeShade="80"/>
          <w:lang w:val="en-AU"/>
        </w:rPr>
      </w:pPr>
      <w:r w:rsidRPr="007F16CF">
        <w:rPr>
          <w:rStyle w:val="FootnoteReference"/>
          <w:color w:val="0B2B43" w:themeColor="text2" w:themeShade="80"/>
        </w:rPr>
        <w:footnoteRef/>
      </w:r>
      <w:r w:rsidRPr="007F16CF">
        <w:rPr>
          <w:color w:val="0B2B43" w:themeColor="text2" w:themeShade="80"/>
        </w:rPr>
        <w:t xml:space="preserve"> Collaboration between research institutions is a key focus of the ARC Centres of Excellence scheme. ARC funding in 2015 for projects under the scheme involving only Australian and </w:t>
      </w:r>
      <w:proofErr w:type="gramStart"/>
      <w:r w:rsidRPr="007F16CF">
        <w:rPr>
          <w:color w:val="0B2B43" w:themeColor="text2" w:themeShade="80"/>
        </w:rPr>
        <w:t>international research institutions was</w:t>
      </w:r>
      <w:proofErr w:type="gramEnd"/>
      <w:r w:rsidRPr="007F16CF">
        <w:rPr>
          <w:color w:val="0B2B43" w:themeColor="text2" w:themeShade="80"/>
        </w:rPr>
        <w:t xml:space="preserve"> $17.0 million (data provided by ARC).</w:t>
      </w:r>
    </w:p>
  </w:footnote>
  <w:footnote w:id="29">
    <w:p w:rsidR="00AC3592" w:rsidRPr="007F16CF" w:rsidRDefault="00AC3592" w:rsidP="002C6039">
      <w:pPr>
        <w:pStyle w:val="FootnoteText"/>
        <w:rPr>
          <w:color w:val="0B2B43" w:themeColor="text2" w:themeShade="80"/>
          <w:lang w:val="en-AU"/>
        </w:rPr>
      </w:pPr>
      <w:r w:rsidRPr="007F16CF">
        <w:rPr>
          <w:rStyle w:val="FootnoteReference"/>
          <w:color w:val="0B2B43" w:themeColor="text2" w:themeShade="80"/>
        </w:rPr>
        <w:footnoteRef/>
      </w:r>
      <w:r w:rsidRPr="007F16CF">
        <w:rPr>
          <w:color w:val="0B2B43" w:themeColor="text2" w:themeShade="80"/>
        </w:rPr>
        <w:t xml:space="preserve"> </w:t>
      </w:r>
      <w:r w:rsidRPr="007F16CF">
        <w:rPr>
          <w:color w:val="0B2B43" w:themeColor="text2" w:themeShade="80"/>
          <w:lang w:val="en-AU"/>
        </w:rPr>
        <w:t>Data provided by ARC.</w:t>
      </w:r>
    </w:p>
  </w:footnote>
  <w:footnote w:id="30">
    <w:p w:rsidR="00AC3592" w:rsidRPr="007F16CF" w:rsidRDefault="00AC3592" w:rsidP="002C6039">
      <w:pPr>
        <w:pStyle w:val="FootnoteText"/>
        <w:rPr>
          <w:color w:val="0B2B43" w:themeColor="text2" w:themeShade="80"/>
          <w:lang w:val="en-AU"/>
        </w:rPr>
      </w:pPr>
      <w:r w:rsidRPr="007F16CF">
        <w:rPr>
          <w:rStyle w:val="FootnoteReference"/>
          <w:color w:val="0B2B43" w:themeColor="text2" w:themeShade="80"/>
        </w:rPr>
        <w:footnoteRef/>
      </w:r>
      <w:r w:rsidRPr="007F16CF">
        <w:rPr>
          <w:color w:val="0B2B43" w:themeColor="text2" w:themeShade="80"/>
        </w:rPr>
        <w:t xml:space="preserve"> </w:t>
      </w:r>
      <w:r w:rsidRPr="007F16CF">
        <w:rPr>
          <w:color w:val="0B2B43" w:themeColor="text2" w:themeShade="80"/>
          <w:lang w:val="en-AU"/>
        </w:rPr>
        <w:t>Data provided by ARC.</w:t>
      </w:r>
    </w:p>
  </w:footnote>
  <w:footnote w:id="31">
    <w:p w:rsidR="00AC3592" w:rsidRDefault="00AC3592" w:rsidP="00865E89">
      <w:pPr>
        <w:pStyle w:val="FootnoteText"/>
      </w:pPr>
      <w:r w:rsidRPr="007F16CF">
        <w:rPr>
          <w:rStyle w:val="FootnoteReference"/>
          <w:color w:val="0B2B43" w:themeColor="text2" w:themeShade="80"/>
        </w:rPr>
        <w:footnoteRef/>
      </w:r>
      <w:r w:rsidRPr="007F16CF">
        <w:rPr>
          <w:color w:val="0B2B43" w:themeColor="text2" w:themeShade="80"/>
        </w:rPr>
        <w:t xml:space="preserve"> Under the NHMRC Act, NHMRC is responsible for promoting the development of individual and public health standards, fostering national consistency in health standards, supporting research and training, and fostering consideration of relevant ethical issues.</w:t>
      </w:r>
    </w:p>
  </w:footnote>
  <w:footnote w:id="32">
    <w:p w:rsidR="00AC3592" w:rsidRPr="007F16CF" w:rsidRDefault="00AC3592" w:rsidP="002C6039">
      <w:pPr>
        <w:pStyle w:val="FootnoteText"/>
        <w:rPr>
          <w:color w:val="0B2B43" w:themeColor="text2" w:themeShade="80"/>
          <w:lang w:val="en-AU"/>
        </w:rPr>
      </w:pPr>
      <w:r w:rsidRPr="007F16CF">
        <w:rPr>
          <w:rStyle w:val="FootnoteReference"/>
          <w:color w:val="0B2B43" w:themeColor="text2" w:themeShade="80"/>
        </w:rPr>
        <w:footnoteRef/>
      </w:r>
      <w:r w:rsidRPr="007F16CF">
        <w:rPr>
          <w:color w:val="0B2B43" w:themeColor="text2" w:themeShade="80"/>
        </w:rPr>
        <w:t xml:space="preserve"> </w:t>
      </w:r>
      <w:proofErr w:type="gramStart"/>
      <w:r w:rsidRPr="007F16CF">
        <w:rPr>
          <w:color w:val="0B2B43" w:themeColor="text2" w:themeShade="80"/>
          <w:lang w:val="en-AU"/>
        </w:rPr>
        <w:t xml:space="preserve">OECD, 2010, </w:t>
      </w:r>
      <w:r w:rsidRPr="007F16CF">
        <w:rPr>
          <w:i/>
          <w:color w:val="0B2B43" w:themeColor="text2" w:themeShade="80"/>
          <w:lang w:val="en-AU"/>
        </w:rPr>
        <w:t>The OECD Innovation Strategy: Getting a Head Start on Tomorrow</w:t>
      </w:r>
      <w:r w:rsidRPr="007F16CF">
        <w:rPr>
          <w:color w:val="0B2B43" w:themeColor="text2" w:themeShade="80"/>
          <w:lang w:val="en-AU"/>
        </w:rPr>
        <w:t>.</w:t>
      </w:r>
      <w:proofErr w:type="gramEnd"/>
      <w:r w:rsidRPr="007F16CF">
        <w:rPr>
          <w:color w:val="0B2B43" w:themeColor="text2" w:themeShade="80"/>
          <w:lang w:val="en-AU"/>
        </w:rPr>
        <w:t xml:space="preserve"> </w:t>
      </w:r>
    </w:p>
  </w:footnote>
  <w:footnote w:id="33">
    <w:p w:rsidR="00AC3592" w:rsidRPr="007F16CF" w:rsidRDefault="00AC3592" w:rsidP="002C6039">
      <w:pPr>
        <w:pStyle w:val="FootnoteText"/>
        <w:rPr>
          <w:color w:val="0B2B43" w:themeColor="text2" w:themeShade="80"/>
          <w:lang w:val="en-AU"/>
        </w:rPr>
      </w:pPr>
      <w:r w:rsidRPr="007F16CF">
        <w:rPr>
          <w:rStyle w:val="FootnoteReference"/>
          <w:color w:val="0B2B43" w:themeColor="text2" w:themeShade="80"/>
        </w:rPr>
        <w:footnoteRef/>
      </w:r>
      <w:r w:rsidRPr="007F16CF">
        <w:rPr>
          <w:color w:val="0B2B43" w:themeColor="text2" w:themeShade="80"/>
        </w:rPr>
        <w:t xml:space="preserve"> </w:t>
      </w:r>
      <w:proofErr w:type="gramStart"/>
      <w:r w:rsidRPr="007F16CF">
        <w:rPr>
          <w:color w:val="0B2B43" w:themeColor="text2" w:themeShade="80"/>
          <w:lang w:val="en-AU"/>
        </w:rPr>
        <w:t xml:space="preserve">Australian Bureau of Statistics, 2015, </w:t>
      </w:r>
      <w:r w:rsidRPr="007F16CF">
        <w:rPr>
          <w:i/>
          <w:color w:val="0B2B43" w:themeColor="text2" w:themeShade="80"/>
          <w:lang w:val="en-AU"/>
        </w:rPr>
        <w:t>8165.0 - Counts of Australian Businesses, including Entries and Exits, Jun 2010 to Jun 2014</w:t>
      </w:r>
      <w:r w:rsidRPr="007F16CF">
        <w:rPr>
          <w:color w:val="0B2B43" w:themeColor="text2" w:themeShade="80"/>
          <w:lang w:val="en-AU"/>
        </w:rPr>
        <w:t>.</w:t>
      </w:r>
      <w:proofErr w:type="gramEnd"/>
    </w:p>
  </w:footnote>
  <w:footnote w:id="34">
    <w:p w:rsidR="00AC3592" w:rsidRPr="007F16CF" w:rsidRDefault="00AC3592" w:rsidP="002C6039">
      <w:pPr>
        <w:pStyle w:val="FootnoteText"/>
        <w:rPr>
          <w:color w:val="0B2B43" w:themeColor="text2" w:themeShade="80"/>
          <w:lang w:val="en-AU"/>
        </w:rPr>
      </w:pPr>
      <w:r w:rsidRPr="007F16CF">
        <w:rPr>
          <w:rStyle w:val="FootnoteReference"/>
          <w:color w:val="0B2B43" w:themeColor="text2" w:themeShade="80"/>
        </w:rPr>
        <w:footnoteRef/>
      </w:r>
      <w:r w:rsidRPr="007F16CF">
        <w:rPr>
          <w:color w:val="0B2B43" w:themeColor="text2" w:themeShade="80"/>
        </w:rPr>
        <w:t xml:space="preserve"> </w:t>
      </w:r>
      <w:proofErr w:type="gramStart"/>
      <w:r w:rsidRPr="007F16CF">
        <w:rPr>
          <w:color w:val="0B2B43" w:themeColor="text2" w:themeShade="80"/>
          <w:lang w:val="en-AU"/>
        </w:rPr>
        <w:t>Australian Bureau of Statistics, 2015,</w:t>
      </w:r>
      <w:r w:rsidRPr="007F16CF">
        <w:rPr>
          <w:i/>
          <w:color w:val="0B2B43" w:themeColor="text2" w:themeShade="80"/>
          <w:lang w:val="en-AU"/>
        </w:rPr>
        <w:t xml:space="preserve"> Business Expenditure on R&amp;D (</w:t>
      </w:r>
      <w:proofErr w:type="spellStart"/>
      <w:r w:rsidRPr="007F16CF">
        <w:rPr>
          <w:i/>
          <w:color w:val="0B2B43" w:themeColor="text2" w:themeShade="80"/>
          <w:lang w:val="en-AU"/>
        </w:rPr>
        <w:t>BERD</w:t>
      </w:r>
      <w:proofErr w:type="spellEnd"/>
      <w:r>
        <w:rPr>
          <w:i/>
          <w:color w:val="0B2B43" w:themeColor="text2" w:themeShade="80"/>
          <w:lang w:val="en-AU"/>
        </w:rPr>
        <w:t>)</w:t>
      </w:r>
      <w:r w:rsidRPr="007F16CF">
        <w:rPr>
          <w:i/>
          <w:color w:val="0B2B43" w:themeColor="text2" w:themeShade="80"/>
          <w:lang w:val="en-AU"/>
        </w:rPr>
        <w:t>.</w:t>
      </w:r>
      <w:proofErr w:type="gramEnd"/>
    </w:p>
  </w:footnote>
  <w:footnote w:id="35">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The Cooperative Research Centres programme, administered by the Department of Industry, Innovation and Science captures data on </w:t>
      </w:r>
      <w:proofErr w:type="spellStart"/>
      <w:r w:rsidRPr="007F16CF">
        <w:rPr>
          <w:color w:val="0B2B43" w:themeColor="text2" w:themeShade="80"/>
        </w:rPr>
        <w:t>SME</w:t>
      </w:r>
      <w:proofErr w:type="spellEnd"/>
      <w:r w:rsidRPr="007F16CF">
        <w:rPr>
          <w:color w:val="0B2B43" w:themeColor="text2" w:themeShade="80"/>
        </w:rPr>
        <w:t xml:space="preserve"> involvement</w:t>
      </w:r>
      <w:r>
        <w:rPr>
          <w:color w:val="0B2B43" w:themeColor="text2" w:themeShade="80"/>
        </w:rPr>
        <w:t>. T</w:t>
      </w:r>
      <w:r w:rsidRPr="007F16CF">
        <w:rPr>
          <w:color w:val="0B2B43" w:themeColor="text2" w:themeShade="80"/>
        </w:rPr>
        <w:t>he ARC has indicated that it is considering whether to collect this information in the future.</w:t>
      </w:r>
    </w:p>
  </w:footnote>
  <w:footnote w:id="36">
    <w:p w:rsidR="00AC3592" w:rsidRPr="007F16CF" w:rsidRDefault="00AC3592" w:rsidP="002C6039">
      <w:pPr>
        <w:pStyle w:val="FootnoteText"/>
        <w:rPr>
          <w:color w:val="0B2B43" w:themeColor="text2" w:themeShade="80"/>
          <w:lang w:val="en-AU"/>
        </w:rPr>
      </w:pPr>
      <w:r w:rsidRPr="007F16CF">
        <w:rPr>
          <w:rStyle w:val="FootnoteReference"/>
          <w:color w:val="0B2B43" w:themeColor="text2" w:themeShade="80"/>
        </w:rPr>
        <w:footnoteRef/>
      </w:r>
      <w:r w:rsidRPr="007F16CF">
        <w:rPr>
          <w:color w:val="0B2B43" w:themeColor="text2" w:themeShade="80"/>
        </w:rPr>
        <w:t xml:space="preserve"> </w:t>
      </w:r>
      <w:r w:rsidRPr="007F16CF">
        <w:rPr>
          <w:color w:val="0B2B43" w:themeColor="text2" w:themeShade="80"/>
          <w:lang w:val="en-AU"/>
        </w:rPr>
        <w:t>Data provided by ARC.</w:t>
      </w:r>
    </w:p>
  </w:footnote>
  <w:footnote w:id="37">
    <w:p w:rsidR="00AC3592" w:rsidRPr="007F16CF" w:rsidRDefault="00AC3592" w:rsidP="002C6039">
      <w:pPr>
        <w:pStyle w:val="FootnoteText"/>
        <w:rPr>
          <w:color w:val="0B2B43" w:themeColor="text2" w:themeShade="80"/>
          <w:lang w:val="en-AU"/>
        </w:rPr>
      </w:pPr>
      <w:r w:rsidRPr="007F16CF">
        <w:rPr>
          <w:rStyle w:val="FootnoteReference"/>
          <w:color w:val="0B2B43" w:themeColor="text2" w:themeShade="80"/>
        </w:rPr>
        <w:footnoteRef/>
      </w:r>
      <w:r w:rsidRPr="007F16CF">
        <w:rPr>
          <w:color w:val="0B2B43" w:themeColor="text2" w:themeShade="80"/>
        </w:rPr>
        <w:t xml:space="preserve"> </w:t>
      </w:r>
      <w:r w:rsidRPr="007F16CF">
        <w:rPr>
          <w:color w:val="0B2B43" w:themeColor="text2" w:themeShade="80"/>
          <w:lang w:val="en-AU"/>
        </w:rPr>
        <w:t>Data provided by ARC.</w:t>
      </w:r>
    </w:p>
  </w:footnote>
  <w:footnote w:id="38">
    <w:p w:rsidR="00AC3592" w:rsidRPr="007F16CF" w:rsidRDefault="00AC3592" w:rsidP="002C6039">
      <w:pPr>
        <w:pStyle w:val="FootnoteText"/>
        <w:rPr>
          <w:color w:val="0B2B43" w:themeColor="text2" w:themeShade="80"/>
          <w:lang w:val="en-AU"/>
        </w:rPr>
      </w:pPr>
      <w:r w:rsidRPr="007F16CF">
        <w:rPr>
          <w:rStyle w:val="FootnoteReference"/>
          <w:color w:val="0B2B43" w:themeColor="text2" w:themeShade="80"/>
        </w:rPr>
        <w:footnoteRef/>
      </w:r>
      <w:r w:rsidRPr="007F16CF">
        <w:rPr>
          <w:color w:val="0B2B43" w:themeColor="text2" w:themeShade="80"/>
        </w:rPr>
        <w:t xml:space="preserve"> </w:t>
      </w:r>
      <w:r w:rsidRPr="007F16CF">
        <w:rPr>
          <w:color w:val="0B2B43" w:themeColor="text2" w:themeShade="80"/>
          <w:lang w:val="en-AU"/>
        </w:rPr>
        <w:t>Data provided by NHMRC.</w:t>
      </w:r>
    </w:p>
  </w:footnote>
  <w:footnote w:id="39">
    <w:p w:rsidR="00AC3592" w:rsidRPr="007F16CF" w:rsidRDefault="00AC3592" w:rsidP="002C6039">
      <w:pPr>
        <w:pStyle w:val="FootnoteText"/>
        <w:rPr>
          <w:color w:val="0B2B43" w:themeColor="text2" w:themeShade="80"/>
          <w:lang w:val="en-AU"/>
        </w:rPr>
      </w:pPr>
      <w:r w:rsidRPr="007F16CF">
        <w:rPr>
          <w:rStyle w:val="FootnoteReference"/>
          <w:color w:val="0B2B43" w:themeColor="text2" w:themeShade="80"/>
        </w:rPr>
        <w:footnoteRef/>
      </w:r>
      <w:r w:rsidRPr="007F16CF">
        <w:rPr>
          <w:color w:val="0B2B43" w:themeColor="text2" w:themeShade="80"/>
        </w:rPr>
        <w:t xml:space="preserve"> </w:t>
      </w:r>
      <w:r w:rsidRPr="007F16CF">
        <w:rPr>
          <w:color w:val="0B2B43" w:themeColor="text2" w:themeShade="80"/>
          <w:lang w:val="en-AU"/>
        </w:rPr>
        <w:t>Data provided by ARC.</w:t>
      </w:r>
    </w:p>
  </w:footnote>
  <w:footnote w:id="40">
    <w:p w:rsidR="00AC3592" w:rsidRPr="007F16CF" w:rsidRDefault="00AC3592" w:rsidP="002C6039">
      <w:pPr>
        <w:pStyle w:val="FootnoteText"/>
        <w:rPr>
          <w:color w:val="0B2B43" w:themeColor="text2" w:themeShade="80"/>
          <w:lang w:val="en-AU"/>
        </w:rPr>
      </w:pPr>
      <w:r w:rsidRPr="007F16CF">
        <w:rPr>
          <w:rStyle w:val="FootnoteReference"/>
          <w:color w:val="0B2B43" w:themeColor="text2" w:themeShade="80"/>
        </w:rPr>
        <w:footnoteRef/>
      </w:r>
      <w:r w:rsidRPr="007F16CF">
        <w:rPr>
          <w:color w:val="0B2B43" w:themeColor="text2" w:themeShade="80"/>
        </w:rPr>
        <w:t xml:space="preserve"> </w:t>
      </w:r>
      <w:r w:rsidRPr="007F16CF">
        <w:rPr>
          <w:color w:val="0B2B43" w:themeColor="text2" w:themeShade="80"/>
          <w:lang w:val="en-AU"/>
        </w:rPr>
        <w:t>Data provided by NHMRC.</w:t>
      </w:r>
    </w:p>
  </w:footnote>
  <w:footnote w:id="41">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Department of Industry, 2013, </w:t>
      </w:r>
      <w:r w:rsidRPr="007F16CF">
        <w:rPr>
          <w:i/>
          <w:color w:val="0B2B43" w:themeColor="text2" w:themeShade="80"/>
        </w:rPr>
        <w:t>Australian Innovation System Report 2013</w:t>
      </w:r>
      <w:r w:rsidRPr="007F16CF">
        <w:rPr>
          <w:color w:val="0B2B43" w:themeColor="text2" w:themeShade="80"/>
        </w:rPr>
        <w:t>.</w:t>
      </w:r>
    </w:p>
  </w:footnote>
  <w:footnote w:id="42">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Office of the Chief Economist, 2015, </w:t>
      </w:r>
      <w:r w:rsidRPr="007F16CF">
        <w:rPr>
          <w:i/>
          <w:color w:val="0B2B43" w:themeColor="text2" w:themeShade="80"/>
        </w:rPr>
        <w:t>Australian Innovation System Report 2015 Tables: Table 4 – Australia’s business collaboration by innovation active business</w:t>
      </w:r>
    </w:p>
  </w:footnote>
  <w:footnote w:id="43">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Australian Bureau of Statistics, 2014, 8158.0 - </w:t>
      </w:r>
      <w:r w:rsidRPr="007F16CF">
        <w:rPr>
          <w:i/>
          <w:color w:val="0B2B43" w:themeColor="text2" w:themeShade="80"/>
        </w:rPr>
        <w:t>Innovation in Australian Business, 2012-13</w:t>
      </w:r>
      <w:r w:rsidRPr="007F16CF">
        <w:rPr>
          <w:color w:val="0B2B43" w:themeColor="text2" w:themeShade="80"/>
        </w:rPr>
        <w:t>.</w:t>
      </w:r>
    </w:p>
  </w:footnote>
  <w:footnote w:id="44">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In 2013-14, 1,800 businesses were involved as partners on programmes and initiatives for business collaboration (excluding Department of Agriculture as it does not collect data on this metric). Initiatives were administered by the NHMRC, ARC, and the Department of Industry and Science (DIS).</w:t>
      </w:r>
    </w:p>
  </w:footnote>
  <w:footnote w:id="45">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Office of the Chief Economist, 2015, </w:t>
      </w:r>
      <w:r w:rsidRPr="007F16CF">
        <w:rPr>
          <w:i/>
          <w:color w:val="0B2B43" w:themeColor="text2" w:themeShade="80"/>
        </w:rPr>
        <w:t>Australian Innovation System Report 2015</w:t>
      </w:r>
      <w:r w:rsidRPr="007F16CF">
        <w:rPr>
          <w:color w:val="0B2B43" w:themeColor="text2" w:themeShade="80"/>
        </w:rPr>
        <w:t>.</w:t>
      </w:r>
    </w:p>
  </w:footnote>
  <w:footnote w:id="46">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w:t>
      </w:r>
      <w:proofErr w:type="gramStart"/>
      <w:r w:rsidRPr="007F16CF">
        <w:rPr>
          <w:color w:val="0B2B43" w:themeColor="text2" w:themeShade="80"/>
        </w:rPr>
        <w:t xml:space="preserve">Department of Education and Training, 2014, </w:t>
      </w:r>
      <w:r w:rsidRPr="007F16CF">
        <w:rPr>
          <w:i/>
          <w:color w:val="0B2B43" w:themeColor="text2" w:themeShade="80"/>
        </w:rPr>
        <w:t>Discussion paper ‘Boosting the Commercial Returns from Research’</w:t>
      </w:r>
      <w:r w:rsidRPr="007F16CF">
        <w:rPr>
          <w:rStyle w:val="Hyperlink"/>
          <w:color w:val="0B2B43" w:themeColor="text2" w:themeShade="80"/>
          <w:u w:val="none"/>
        </w:rPr>
        <w:t>.</w:t>
      </w:r>
      <w:proofErr w:type="gramEnd"/>
      <w:r w:rsidRPr="007F16CF">
        <w:rPr>
          <w:color w:val="0B2B43" w:themeColor="text2" w:themeShade="80"/>
        </w:rPr>
        <w:t xml:space="preserve"> </w:t>
      </w:r>
    </w:p>
  </w:footnote>
  <w:footnote w:id="47">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Department of Industry, Innovation and Science, 2015, Data Collection Selected Government Agencies programmes and initiatives on industry collaboration, </w:t>
      </w:r>
      <w:proofErr w:type="gramStart"/>
      <w:r w:rsidRPr="007F16CF">
        <w:rPr>
          <w:color w:val="0B2B43" w:themeColor="text2" w:themeShade="80"/>
        </w:rPr>
        <w:t>Unpublished</w:t>
      </w:r>
      <w:proofErr w:type="gramEnd"/>
      <w:r w:rsidRPr="007F16CF">
        <w:rPr>
          <w:color w:val="0B2B43" w:themeColor="text2" w:themeShade="80"/>
        </w:rPr>
        <w:t xml:space="preserve"> data.</w:t>
      </w:r>
    </w:p>
  </w:footnote>
  <w:footnote w:id="48">
    <w:p w:rsidR="00AC3592" w:rsidRPr="007F16CF" w:rsidRDefault="00AC3592" w:rsidP="00C07832">
      <w:pPr>
        <w:spacing w:before="0" w:after="0"/>
        <w:rPr>
          <w:color w:val="0B2B43" w:themeColor="text2" w:themeShade="80"/>
          <w:sz w:val="20"/>
          <w:szCs w:val="20"/>
        </w:rPr>
      </w:pPr>
      <w:r w:rsidRPr="007F16CF">
        <w:rPr>
          <w:rStyle w:val="FootnoteReference"/>
          <w:color w:val="0B2B43" w:themeColor="text2" w:themeShade="80"/>
          <w:sz w:val="20"/>
          <w:szCs w:val="20"/>
        </w:rPr>
        <w:footnoteRef/>
      </w:r>
      <w:r w:rsidRPr="007F16CF">
        <w:rPr>
          <w:color w:val="0B2B43" w:themeColor="text2" w:themeShade="80"/>
          <w:sz w:val="20"/>
          <w:szCs w:val="20"/>
        </w:rPr>
        <w:t xml:space="preserve"> </w:t>
      </w:r>
      <w:proofErr w:type="gramStart"/>
      <w:r w:rsidRPr="007F16CF">
        <w:rPr>
          <w:rFonts w:cstheme="minorHAnsi"/>
          <w:color w:val="0B2B43" w:themeColor="text2" w:themeShade="80"/>
          <w:sz w:val="20"/>
          <w:szCs w:val="20"/>
        </w:rPr>
        <w:t xml:space="preserve">OECD, 2010, </w:t>
      </w:r>
      <w:r w:rsidRPr="007F16CF">
        <w:rPr>
          <w:rFonts w:cstheme="minorHAnsi"/>
          <w:i/>
          <w:color w:val="0B2B43" w:themeColor="text2" w:themeShade="80"/>
          <w:sz w:val="20"/>
          <w:szCs w:val="20"/>
        </w:rPr>
        <w:t>The OECD Innovation Strategy: Getting a Head Start on Tomorrow</w:t>
      </w:r>
      <w:r w:rsidRPr="007F16CF">
        <w:rPr>
          <w:rFonts w:cstheme="minorHAnsi"/>
          <w:color w:val="0B2B43" w:themeColor="text2" w:themeShade="80"/>
          <w:sz w:val="20"/>
          <w:szCs w:val="20"/>
        </w:rPr>
        <w:t>.</w:t>
      </w:r>
      <w:proofErr w:type="gramEnd"/>
    </w:p>
  </w:footnote>
  <w:footnote w:id="49">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Australian Bureau of Statistics, 8165.0 - </w:t>
      </w:r>
      <w:r w:rsidRPr="007F16CF">
        <w:rPr>
          <w:i/>
          <w:color w:val="0B2B43" w:themeColor="text2" w:themeShade="80"/>
        </w:rPr>
        <w:t>Counts of Australian Businesses, including Entries and Exits, Jun 2010 to Jun 2014</w:t>
      </w:r>
      <w:r w:rsidRPr="007F16CF">
        <w:rPr>
          <w:color w:val="0B2B43" w:themeColor="text2" w:themeShade="80"/>
        </w:rPr>
        <w:t>.</w:t>
      </w:r>
    </w:p>
  </w:footnote>
  <w:footnote w:id="50">
    <w:p w:rsidR="00AC3592" w:rsidRDefault="00AC3592" w:rsidP="002C6039">
      <w:pPr>
        <w:pStyle w:val="FootnoteText"/>
      </w:pPr>
      <w:r w:rsidRPr="007F16CF">
        <w:rPr>
          <w:rStyle w:val="FootnoteReference"/>
          <w:color w:val="0B2B43" w:themeColor="text2" w:themeShade="80"/>
        </w:rPr>
        <w:footnoteRef/>
      </w:r>
      <w:r w:rsidRPr="007F16CF">
        <w:rPr>
          <w:color w:val="0B2B43" w:themeColor="text2" w:themeShade="80"/>
        </w:rPr>
        <w:t xml:space="preserve"> </w:t>
      </w:r>
      <w:proofErr w:type="gramStart"/>
      <w:r w:rsidRPr="007F16CF">
        <w:rPr>
          <w:color w:val="0B2B43" w:themeColor="text2" w:themeShade="80"/>
        </w:rPr>
        <w:t xml:space="preserve">Australian Bureau of Statistics, 2015, </w:t>
      </w:r>
      <w:r w:rsidRPr="007F16CF">
        <w:rPr>
          <w:i/>
          <w:color w:val="0B2B43" w:themeColor="text2" w:themeShade="80"/>
        </w:rPr>
        <w:t>Business Expenditure on R&amp;D (</w:t>
      </w:r>
      <w:proofErr w:type="spellStart"/>
      <w:r w:rsidRPr="007F16CF">
        <w:rPr>
          <w:i/>
          <w:color w:val="0B2B43" w:themeColor="text2" w:themeShade="80"/>
        </w:rPr>
        <w:t>BERD</w:t>
      </w:r>
      <w:proofErr w:type="spellEnd"/>
      <w:r w:rsidRPr="007F16CF">
        <w:rPr>
          <w:i/>
          <w:color w:val="0B2B43" w:themeColor="text2" w:themeShade="80"/>
        </w:rPr>
        <w:t>)</w:t>
      </w:r>
      <w:r w:rsidRPr="007F16CF">
        <w:rPr>
          <w:color w:val="0B2B43" w:themeColor="text2" w:themeShade="80"/>
        </w:rPr>
        <w:t>.</w:t>
      </w:r>
      <w:proofErr w:type="gramEnd"/>
    </w:p>
  </w:footnote>
  <w:footnote w:id="51">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w:t>
      </w:r>
      <w:proofErr w:type="gramStart"/>
      <w:r w:rsidRPr="007F16CF">
        <w:rPr>
          <w:color w:val="0B2B43" w:themeColor="text2" w:themeShade="80"/>
        </w:rPr>
        <w:t>Department of Industry and Science, 2015</w:t>
      </w:r>
      <w:r w:rsidRPr="007F16CF">
        <w:rPr>
          <w:i/>
          <w:color w:val="0B2B43" w:themeColor="text2" w:themeShade="80"/>
        </w:rPr>
        <w:t>, The Australian Government’s 2015-16 Science, Research and Innovation Budget Tables</w:t>
      </w:r>
      <w:r w:rsidRPr="007F16CF">
        <w:rPr>
          <w:color w:val="0B2B43" w:themeColor="text2" w:themeShade="80"/>
        </w:rPr>
        <w:t>.</w:t>
      </w:r>
      <w:proofErr w:type="gramEnd"/>
    </w:p>
  </w:footnote>
  <w:footnote w:id="52">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As part of taking part in the </w:t>
      </w:r>
      <w:r>
        <w:rPr>
          <w:color w:val="0B2B43" w:themeColor="text2" w:themeShade="80"/>
        </w:rPr>
        <w:t>Researchers in Business (</w:t>
      </w:r>
      <w:proofErr w:type="spellStart"/>
      <w:r w:rsidRPr="007F16CF">
        <w:rPr>
          <w:color w:val="0B2B43" w:themeColor="text2" w:themeShade="80"/>
        </w:rPr>
        <w:t>RiB</w:t>
      </w:r>
      <w:proofErr w:type="spellEnd"/>
      <w:r>
        <w:rPr>
          <w:color w:val="0B2B43" w:themeColor="text2" w:themeShade="80"/>
        </w:rPr>
        <w:t>)</w:t>
      </w:r>
      <w:r w:rsidRPr="007F16CF">
        <w:rPr>
          <w:color w:val="0B2B43" w:themeColor="text2" w:themeShade="80"/>
        </w:rPr>
        <w:t xml:space="preserve"> programme, businesses provided information on the experience and the data summarises the feedback obtained from </w:t>
      </w:r>
      <w:proofErr w:type="spellStart"/>
      <w:r w:rsidRPr="007F16CF">
        <w:rPr>
          <w:color w:val="0B2B43" w:themeColor="text2" w:themeShade="80"/>
        </w:rPr>
        <w:t>SME</w:t>
      </w:r>
      <w:proofErr w:type="spellEnd"/>
      <w:r w:rsidRPr="007F16CF">
        <w:rPr>
          <w:color w:val="0B2B43" w:themeColor="text2" w:themeShade="80"/>
        </w:rPr>
        <w:t xml:space="preserve"> participants who had completed </w:t>
      </w:r>
      <w:proofErr w:type="gramStart"/>
      <w:r w:rsidRPr="007F16CF">
        <w:rPr>
          <w:color w:val="0B2B43" w:themeColor="text2" w:themeShade="80"/>
        </w:rPr>
        <w:t>an</w:t>
      </w:r>
      <w:proofErr w:type="gramEnd"/>
      <w:r w:rsidRPr="007F16CF">
        <w:rPr>
          <w:color w:val="0B2B43" w:themeColor="text2" w:themeShade="80"/>
        </w:rPr>
        <w:t xml:space="preserve"> </w:t>
      </w:r>
      <w:proofErr w:type="spellStart"/>
      <w:r w:rsidRPr="007F16CF">
        <w:rPr>
          <w:color w:val="0B2B43" w:themeColor="text2" w:themeShade="80"/>
        </w:rPr>
        <w:t>RiB</w:t>
      </w:r>
      <w:proofErr w:type="spellEnd"/>
      <w:r w:rsidRPr="007F16CF">
        <w:rPr>
          <w:color w:val="0B2B43" w:themeColor="text2" w:themeShade="80"/>
        </w:rPr>
        <w:t xml:space="preserve"> project.</w:t>
      </w:r>
    </w:p>
  </w:footnote>
  <w:footnote w:id="53">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Pr>
          <w:color w:val="0B2B43" w:themeColor="text2" w:themeShade="80"/>
        </w:rPr>
        <w:t xml:space="preserve"> </w:t>
      </w:r>
      <w:proofErr w:type="gramStart"/>
      <w:r w:rsidRPr="007F16CF">
        <w:rPr>
          <w:color w:val="0B2B43" w:themeColor="text2" w:themeShade="80"/>
        </w:rPr>
        <w:t xml:space="preserve">New South Wales Department of Industry, </w:t>
      </w:r>
      <w:proofErr w:type="spellStart"/>
      <w:r w:rsidRPr="007F16CF">
        <w:rPr>
          <w:i/>
          <w:color w:val="0B2B43" w:themeColor="text2" w:themeShade="80"/>
        </w:rPr>
        <w:t>Techvouchers</w:t>
      </w:r>
      <w:proofErr w:type="spellEnd"/>
      <w:r w:rsidRPr="007F16CF">
        <w:rPr>
          <w:color w:val="0B2B43" w:themeColor="text2" w:themeShade="80"/>
        </w:rPr>
        <w:t>.</w:t>
      </w:r>
      <w:proofErr w:type="gramEnd"/>
    </w:p>
  </w:footnote>
  <w:footnote w:id="54">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Pr>
          <w:color w:val="0B2B43" w:themeColor="text2" w:themeShade="80"/>
        </w:rPr>
        <w:t xml:space="preserve"> </w:t>
      </w:r>
      <w:proofErr w:type="gramStart"/>
      <w:r w:rsidRPr="007F16CF">
        <w:rPr>
          <w:color w:val="0B2B43" w:themeColor="text2" w:themeShade="80"/>
        </w:rPr>
        <w:t xml:space="preserve">Innovation Centre WA, </w:t>
      </w:r>
      <w:r w:rsidRPr="007F16CF">
        <w:rPr>
          <w:i/>
          <w:color w:val="0B2B43" w:themeColor="text2" w:themeShade="80"/>
        </w:rPr>
        <w:t>Innovation Vouchers Program 2015</w:t>
      </w:r>
      <w:r w:rsidRPr="007F16CF">
        <w:rPr>
          <w:color w:val="0B2B43" w:themeColor="text2" w:themeShade="80"/>
        </w:rPr>
        <w:t>.</w:t>
      </w:r>
      <w:proofErr w:type="gramEnd"/>
    </w:p>
  </w:footnote>
  <w:footnote w:id="55">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w:t>
      </w:r>
      <w:proofErr w:type="gramStart"/>
      <w:r w:rsidRPr="007F16CF">
        <w:rPr>
          <w:color w:val="0B2B43" w:themeColor="text2" w:themeShade="80"/>
        </w:rPr>
        <w:t xml:space="preserve">South Australia Department of State Development, </w:t>
      </w:r>
      <w:r w:rsidRPr="007F16CF">
        <w:rPr>
          <w:i/>
          <w:color w:val="0B2B43" w:themeColor="text2" w:themeShade="80"/>
        </w:rPr>
        <w:t>Innovation Voucher Program</w:t>
      </w:r>
      <w:r w:rsidRPr="007F16CF">
        <w:rPr>
          <w:color w:val="0B2B43" w:themeColor="text2" w:themeShade="80"/>
        </w:rPr>
        <w:t>.</w:t>
      </w:r>
      <w:proofErr w:type="gramEnd"/>
    </w:p>
  </w:footnote>
  <w:footnote w:id="56">
    <w:p w:rsidR="00AC3592" w:rsidRPr="007F16CF" w:rsidRDefault="00AC3592" w:rsidP="00560D15">
      <w:pPr>
        <w:pStyle w:val="FootnoteText"/>
        <w:rPr>
          <w:color w:val="0B2B43" w:themeColor="text2" w:themeShade="80"/>
        </w:rPr>
      </w:pPr>
      <w:r w:rsidRPr="007F16CF">
        <w:rPr>
          <w:rStyle w:val="FootnoteReference"/>
          <w:color w:val="0B2B43" w:themeColor="text2" w:themeShade="80"/>
        </w:rPr>
        <w:footnoteRef/>
      </w:r>
      <w:r>
        <w:rPr>
          <w:color w:val="0B2B43" w:themeColor="text2" w:themeShade="80"/>
        </w:rPr>
        <w:t xml:space="preserve"> </w:t>
      </w:r>
      <w:r w:rsidRPr="007F16CF">
        <w:rPr>
          <w:color w:val="0B2B43" w:themeColor="text2" w:themeShade="80"/>
        </w:rPr>
        <w:t xml:space="preserve">Australian Government, </w:t>
      </w:r>
      <w:r w:rsidRPr="007F16CF">
        <w:rPr>
          <w:i/>
          <w:color w:val="0B2B43" w:themeColor="text2" w:themeShade="80"/>
        </w:rPr>
        <w:t>R&amp;D Tax Incentive</w:t>
      </w:r>
      <w:r w:rsidRPr="007F16CF">
        <w:rPr>
          <w:color w:val="0B2B43" w:themeColor="text2" w:themeShade="80"/>
        </w:rPr>
        <w:t>.</w:t>
      </w:r>
    </w:p>
  </w:footnote>
  <w:footnote w:id="57">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Australian Taxation Office, </w:t>
      </w:r>
      <w:r w:rsidRPr="007F16CF">
        <w:rPr>
          <w:i/>
          <w:color w:val="0B2B43" w:themeColor="text2" w:themeShade="80"/>
        </w:rPr>
        <w:t>Annual report 2014-15</w:t>
      </w:r>
      <w:r w:rsidRPr="007F16CF">
        <w:rPr>
          <w:color w:val="0B2B43" w:themeColor="text2" w:themeShade="80"/>
        </w:rPr>
        <w:t>.</w:t>
      </w:r>
    </w:p>
  </w:footnote>
  <w:footnote w:id="58">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w:t>
      </w:r>
      <w:proofErr w:type="gramStart"/>
      <w:r w:rsidRPr="007F16CF">
        <w:rPr>
          <w:color w:val="0B2B43" w:themeColor="text2" w:themeShade="80"/>
        </w:rPr>
        <w:t>For example, the Australian Technology Network or the Group of Eight.</w:t>
      </w:r>
      <w:proofErr w:type="gramEnd"/>
    </w:p>
  </w:footnote>
  <w:footnote w:id="59">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w:t>
      </w:r>
      <w:r w:rsidRPr="007F16CF">
        <w:rPr>
          <w:rFonts w:cstheme="minorHAnsi"/>
          <w:color w:val="0B2B43" w:themeColor="text2" w:themeShade="80"/>
          <w:lang w:eastAsia="en-AU"/>
        </w:rPr>
        <w:t>In late March 2015, t</w:t>
      </w:r>
      <w:r w:rsidRPr="007F16CF">
        <w:rPr>
          <w:color w:val="0B2B43" w:themeColor="text2" w:themeShade="80"/>
        </w:rPr>
        <w:t>he</w:t>
      </w:r>
      <w:r w:rsidRPr="007F16CF">
        <w:rPr>
          <w:rFonts w:cstheme="minorHAnsi"/>
          <w:color w:val="0B2B43" w:themeColor="text2" w:themeShade="80"/>
          <w:lang w:eastAsia="en-AU"/>
        </w:rPr>
        <w:t xml:space="preserve"> Australian </w:t>
      </w:r>
      <w:r w:rsidRPr="007F16CF">
        <w:rPr>
          <w:color w:val="0B2B43" w:themeColor="text2" w:themeShade="80"/>
          <w:lang w:eastAsia="en-AU"/>
        </w:rPr>
        <w:t>Government</w:t>
      </w:r>
      <w:r w:rsidRPr="007F16CF">
        <w:rPr>
          <w:rFonts w:cstheme="minorHAnsi"/>
          <w:color w:val="0B2B43" w:themeColor="text2" w:themeShade="80"/>
          <w:lang w:eastAsia="en-AU"/>
        </w:rPr>
        <w:t xml:space="preserve"> announced a review of Taxation, which will examine a range of tax measures including the R&amp;D tax rebate.</w:t>
      </w:r>
    </w:p>
  </w:footnote>
  <w:footnote w:id="60">
    <w:p w:rsidR="00AC3592" w:rsidRPr="007F16CF" w:rsidRDefault="00AC3592" w:rsidP="00560D15">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CSIRO, </w:t>
      </w:r>
      <w:r w:rsidRPr="007F16CF">
        <w:rPr>
          <w:i/>
          <w:color w:val="0B2B43" w:themeColor="text2" w:themeShade="80"/>
        </w:rPr>
        <w:t xml:space="preserve">Solutions for </w:t>
      </w:r>
      <w:proofErr w:type="spellStart"/>
      <w:r w:rsidRPr="007F16CF">
        <w:rPr>
          <w:i/>
          <w:color w:val="0B2B43" w:themeColor="text2" w:themeShade="80"/>
        </w:rPr>
        <w:t>SMEs</w:t>
      </w:r>
      <w:proofErr w:type="spellEnd"/>
      <w:r w:rsidRPr="007F16CF">
        <w:rPr>
          <w:color w:val="0B2B43" w:themeColor="text2" w:themeShade="80"/>
        </w:rPr>
        <w:t>.</w:t>
      </w:r>
    </w:p>
  </w:footnote>
  <w:footnote w:id="61">
    <w:p w:rsidR="00AC3592" w:rsidRPr="002D2F5F" w:rsidRDefault="00AC3592" w:rsidP="002C6039">
      <w:pPr>
        <w:pStyle w:val="FootnoteText"/>
        <w:rPr>
          <w:color w:val="0B2B43" w:themeColor="text2" w:themeShade="80"/>
        </w:rPr>
      </w:pPr>
      <w:r w:rsidRPr="002D2F5F">
        <w:rPr>
          <w:rStyle w:val="FootnoteReference"/>
          <w:color w:val="0B2B43" w:themeColor="text2" w:themeShade="80"/>
        </w:rPr>
        <w:footnoteRef/>
      </w:r>
      <w:r w:rsidRPr="002D2F5F">
        <w:rPr>
          <w:color w:val="0B2B43" w:themeColor="text2" w:themeShade="80"/>
        </w:rPr>
        <w:t xml:space="preserve"> Work integrated learning programmes can range from a student being employed for a period in a business and the employment counts toward course or qualification credit, internships, or as a non-credit activity to gain workplace skills, exposure to workplace culture or </w:t>
      </w:r>
      <w:r>
        <w:rPr>
          <w:color w:val="0B2B43" w:themeColor="text2" w:themeShade="80"/>
        </w:rPr>
        <w:t xml:space="preserve">to </w:t>
      </w:r>
      <w:r w:rsidRPr="002D2F5F">
        <w:rPr>
          <w:color w:val="0B2B43" w:themeColor="text2" w:themeShade="80"/>
        </w:rPr>
        <w:t>develop professional networks and relationships. On 11 March 2015, Universities Australia, Australian Chamber of Commerce and Industry, Australian Industry Group, the Business Council of Australia and the Australian Collaborative Education Network launched the National Work Integrated Learning Strategy. See https://www.universitiesaustralia.edu.au/news/media-releases/Landmark-strategy-to-make-graduates-more--job-ready-#.Vk1munLouUl</w:t>
      </w:r>
    </w:p>
  </w:footnote>
  <w:footnote w:id="62">
    <w:p w:rsidR="00AC3592" w:rsidRPr="007F16CF" w:rsidRDefault="00AC3592" w:rsidP="002C6039">
      <w:pPr>
        <w:pStyle w:val="FootnoteText"/>
        <w:rPr>
          <w:color w:val="0B2B43" w:themeColor="text2" w:themeShade="80"/>
          <w:lang w:val="en-AU"/>
        </w:rPr>
      </w:pPr>
      <w:r w:rsidRPr="002D2F5F">
        <w:rPr>
          <w:rStyle w:val="FootnoteReference"/>
          <w:color w:val="0B2B43" w:themeColor="text2" w:themeShade="80"/>
        </w:rPr>
        <w:footnoteRef/>
      </w:r>
      <w:r w:rsidRPr="002D2F5F">
        <w:rPr>
          <w:color w:val="0B2B43" w:themeColor="text2" w:themeShade="80"/>
        </w:rPr>
        <w:t xml:space="preserve"> Group of Eight, 2015, </w:t>
      </w:r>
      <w:proofErr w:type="spellStart"/>
      <w:r w:rsidRPr="002D2F5F">
        <w:rPr>
          <w:i/>
          <w:color w:val="0B2B43" w:themeColor="text2" w:themeShade="80"/>
        </w:rPr>
        <w:t>Go8</w:t>
      </w:r>
      <w:proofErr w:type="spellEnd"/>
      <w:r w:rsidRPr="002D2F5F">
        <w:rPr>
          <w:i/>
          <w:color w:val="0B2B43" w:themeColor="text2" w:themeShade="80"/>
        </w:rPr>
        <w:t xml:space="preserve"> delivers industry and innovation work plan to Minister</w:t>
      </w:r>
      <w:r w:rsidRPr="002D2F5F">
        <w:rPr>
          <w:color w:val="0B2B43" w:themeColor="text2" w:themeShade="80"/>
        </w:rPr>
        <w:t>.</w:t>
      </w:r>
    </w:p>
  </w:footnote>
  <w:footnote w:id="63">
    <w:p w:rsidR="00AC3592" w:rsidRPr="00095C5E" w:rsidRDefault="00AC3592" w:rsidP="002C6039">
      <w:pPr>
        <w:pStyle w:val="FootnoteText"/>
        <w:rPr>
          <w:color w:val="104165" w:themeColor="text2" w:themeShade="BF"/>
        </w:rPr>
      </w:pPr>
      <w:r w:rsidRPr="007F16CF">
        <w:rPr>
          <w:rStyle w:val="FootnoteReference"/>
          <w:color w:val="0B2B43" w:themeColor="text2" w:themeShade="80"/>
        </w:rPr>
        <w:footnoteRef/>
      </w:r>
      <w:r w:rsidRPr="007F16CF">
        <w:rPr>
          <w:color w:val="0B2B43" w:themeColor="text2" w:themeShade="80"/>
        </w:rPr>
        <w:t xml:space="preserve"> </w:t>
      </w:r>
      <w:proofErr w:type="gramStart"/>
      <w:r w:rsidRPr="007F16CF">
        <w:rPr>
          <w:color w:val="0B2B43" w:themeColor="text2" w:themeShade="80"/>
        </w:rPr>
        <w:t>Department of Education and Training higher education data</w:t>
      </w:r>
      <w:r>
        <w:rPr>
          <w:color w:val="0B2B43" w:themeColor="text2" w:themeShade="80"/>
        </w:rPr>
        <w:t>.</w:t>
      </w:r>
      <w:proofErr w:type="gramEnd"/>
      <w:r w:rsidRPr="007F16CF">
        <w:rPr>
          <w:color w:val="0B2B43" w:themeColor="text2" w:themeShade="80"/>
        </w:rPr>
        <w:t xml:space="preserve"> </w:t>
      </w:r>
    </w:p>
  </w:footnote>
  <w:footnote w:id="64">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w:t>
      </w:r>
      <w:proofErr w:type="gramStart"/>
      <w:r w:rsidRPr="007F16CF">
        <w:rPr>
          <w:color w:val="0B2B43" w:themeColor="text2" w:themeShade="80"/>
        </w:rPr>
        <w:t xml:space="preserve">Department of Innovation, Industry, Science and Research, 2011, </w:t>
      </w:r>
      <w:r w:rsidRPr="007F16CF">
        <w:rPr>
          <w:i/>
          <w:color w:val="0B2B43" w:themeColor="text2" w:themeShade="80"/>
        </w:rPr>
        <w:t>Research Skills for an Innovative Future</w:t>
      </w:r>
      <w:r w:rsidRPr="007F16CF">
        <w:rPr>
          <w:color w:val="0B2B43" w:themeColor="text2" w:themeShade="80"/>
        </w:rPr>
        <w:t>.</w:t>
      </w:r>
      <w:proofErr w:type="gramEnd"/>
    </w:p>
  </w:footnote>
  <w:footnote w:id="65">
    <w:p w:rsidR="00AC3592" w:rsidRPr="007F16CF" w:rsidRDefault="00AC3592" w:rsidP="002C6039">
      <w:pPr>
        <w:pStyle w:val="FootnoteText"/>
        <w:rPr>
          <w:color w:val="0B2B43" w:themeColor="text2" w:themeShade="80"/>
          <w:lang w:val="en-AU"/>
        </w:rPr>
      </w:pPr>
      <w:r w:rsidRPr="007F16CF">
        <w:rPr>
          <w:rStyle w:val="FootnoteReference"/>
          <w:color w:val="0B2B43" w:themeColor="text2" w:themeShade="80"/>
        </w:rPr>
        <w:footnoteRef/>
      </w:r>
      <w:r w:rsidRPr="007F16CF">
        <w:rPr>
          <w:color w:val="0B2B43" w:themeColor="text2" w:themeShade="80"/>
        </w:rPr>
        <w:t xml:space="preserve"> Group of Eight, 2015, </w:t>
      </w:r>
      <w:proofErr w:type="spellStart"/>
      <w:r w:rsidRPr="007F16CF">
        <w:rPr>
          <w:i/>
          <w:color w:val="0B2B43" w:themeColor="text2" w:themeShade="80"/>
        </w:rPr>
        <w:t>Go8</w:t>
      </w:r>
      <w:proofErr w:type="spellEnd"/>
      <w:r w:rsidRPr="007F16CF">
        <w:rPr>
          <w:i/>
          <w:color w:val="0B2B43" w:themeColor="text2" w:themeShade="80"/>
        </w:rPr>
        <w:t xml:space="preserve"> delivers industry and innovation work plan to Minister</w:t>
      </w:r>
      <w:r w:rsidRPr="007F16CF">
        <w:rPr>
          <w:color w:val="0B2B43" w:themeColor="text2" w:themeShade="80"/>
        </w:rPr>
        <w:t>.</w:t>
      </w:r>
    </w:p>
  </w:footnote>
  <w:footnote w:id="66">
    <w:p w:rsidR="00AC3592" w:rsidRPr="007F16CF" w:rsidRDefault="00AC3592" w:rsidP="002C6039">
      <w:pPr>
        <w:pStyle w:val="FootnoteText"/>
        <w:rPr>
          <w:color w:val="0B2B43" w:themeColor="text2" w:themeShade="80"/>
          <w:lang w:val="en-AU"/>
        </w:rPr>
      </w:pPr>
      <w:r w:rsidRPr="00521C1B">
        <w:rPr>
          <w:rStyle w:val="FootnoteReference"/>
          <w:color w:val="0B2B43" w:themeColor="text2" w:themeShade="80"/>
        </w:rPr>
        <w:footnoteRef/>
      </w:r>
      <w:r w:rsidRPr="00521C1B">
        <w:rPr>
          <w:color w:val="0B2B43" w:themeColor="text2" w:themeShade="80"/>
        </w:rPr>
        <w:t xml:space="preserve"> </w:t>
      </w:r>
      <w:r w:rsidRPr="00521C1B">
        <w:rPr>
          <w:color w:val="0B2B43" w:themeColor="text2" w:themeShade="80"/>
          <w:lang w:val="en-AU"/>
        </w:rPr>
        <w:t xml:space="preserve">See for example, </w:t>
      </w:r>
      <w:hyperlink r:id="rId1" w:history="1">
        <w:r w:rsidRPr="00521C1B">
          <w:rPr>
            <w:rStyle w:val="Hyperlink"/>
            <w:color w:val="0B2B43" w:themeColor="text2" w:themeShade="80"/>
            <w:u w:val="none"/>
            <w:lang w:val="en-AU"/>
          </w:rPr>
          <w:t>http://www.arc.gov.au/sites/default/files/filedepot/Public/NCGP/LP15/LP15_Funding_Agreement_16July15.pdf</w:t>
        </w:r>
      </w:hyperlink>
      <w:r w:rsidRPr="00521C1B">
        <w:rPr>
          <w:color w:val="0B2B43" w:themeColor="text2" w:themeShade="80"/>
          <w:lang w:val="en-AU"/>
        </w:rPr>
        <w:t xml:space="preserve"> </w:t>
      </w:r>
      <w:r w:rsidRPr="007F16CF">
        <w:rPr>
          <w:color w:val="0B2B43" w:themeColor="text2" w:themeShade="80"/>
          <w:lang w:val="en-AU"/>
        </w:rPr>
        <w:t>or http://www.nhmrc.gov.au/_files_nhmrc/file/grants/policy/nhmrc_funding_agreement_effective_october15_150807_0.pdf</w:t>
      </w:r>
    </w:p>
  </w:footnote>
  <w:footnote w:id="67">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w:t>
      </w:r>
      <w:r w:rsidRPr="007F16CF">
        <w:rPr>
          <w:i/>
          <w:color w:val="0B2B43" w:themeColor="text2" w:themeShade="80"/>
        </w:rPr>
        <w:t xml:space="preserve">The Patents Act 1990 </w:t>
      </w:r>
      <w:r w:rsidRPr="007F16CF">
        <w:rPr>
          <w:color w:val="0B2B43" w:themeColor="text2" w:themeShade="80"/>
        </w:rPr>
        <w:t xml:space="preserve">and </w:t>
      </w:r>
      <w:r w:rsidRPr="007F16CF">
        <w:rPr>
          <w:i/>
          <w:color w:val="0B2B43" w:themeColor="text2" w:themeShade="80"/>
        </w:rPr>
        <w:t>the Copyright Act 1968</w:t>
      </w:r>
      <w:r w:rsidRPr="007F16CF">
        <w:rPr>
          <w:color w:val="0B2B43" w:themeColor="text2" w:themeShade="80"/>
        </w:rPr>
        <w:t xml:space="preserve"> provide the legislative framework. The Attorney-General’s Department and the Department of Finance share responsibilities for determining IP ownership, indemnities and warranties in government contracts and have issued protocol and guidance documents on these matters. </w:t>
      </w:r>
    </w:p>
  </w:footnote>
  <w:footnote w:id="68">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rFonts w:eastAsia="MS Mincho" w:cstheme="minorHAnsi"/>
          <w:color w:val="0B2B43" w:themeColor="text2" w:themeShade="80"/>
          <w:szCs w:val="24"/>
          <w:lang w:val="en-US"/>
        </w:rPr>
        <w:t xml:space="preserve">The </w:t>
      </w:r>
      <w:proofErr w:type="gramStart"/>
      <w:r w:rsidRPr="007F16CF">
        <w:rPr>
          <w:rFonts w:eastAsia="MS Mincho" w:cstheme="minorHAnsi"/>
          <w:color w:val="0B2B43" w:themeColor="text2" w:themeShade="80"/>
          <w:szCs w:val="24"/>
          <w:lang w:val="en-US"/>
        </w:rPr>
        <w:t>Code was developed by the ARC, the NHMRC and Universities Australia</w:t>
      </w:r>
      <w:proofErr w:type="gramEnd"/>
      <w:r w:rsidRPr="007F16CF">
        <w:rPr>
          <w:rFonts w:eastAsia="MS Mincho" w:cstheme="minorHAnsi"/>
          <w:color w:val="0B2B43" w:themeColor="text2" w:themeShade="80"/>
          <w:szCs w:val="24"/>
          <w:lang w:val="en-US"/>
        </w:rPr>
        <w:t xml:space="preserve"> in 2007. </w:t>
      </w:r>
      <w:r w:rsidRPr="007F16CF">
        <w:rPr>
          <w:color w:val="0B2B43" w:themeColor="text2" w:themeShade="80"/>
        </w:rPr>
        <w:t>For a copy of the code, refer to https://www.nhmrc.gov.au/guidelines-publications/r39</w:t>
      </w:r>
    </w:p>
  </w:footnote>
  <w:footnote w:id="69">
    <w:p w:rsidR="00AC3592" w:rsidRPr="00AA4A1B" w:rsidRDefault="00AC3592" w:rsidP="002C6039">
      <w:pPr>
        <w:pStyle w:val="FootnoteText"/>
        <w:rPr>
          <w:color w:val="104165" w:themeColor="text2" w:themeShade="BF"/>
        </w:rPr>
      </w:pPr>
      <w:r w:rsidRPr="007F16CF">
        <w:rPr>
          <w:rStyle w:val="FootnoteReference"/>
          <w:color w:val="0B2B43" w:themeColor="text2" w:themeShade="80"/>
        </w:rPr>
        <w:footnoteRef/>
      </w:r>
      <w:r w:rsidRPr="007F16CF">
        <w:rPr>
          <w:color w:val="0B2B43" w:themeColor="text2" w:themeShade="80"/>
        </w:rPr>
        <w:t xml:space="preserve"> </w:t>
      </w:r>
      <w:r w:rsidRPr="007F16CF">
        <w:rPr>
          <w:rFonts w:eastAsia="MS Mincho" w:cstheme="minorHAnsi"/>
          <w:color w:val="0B2B43" w:themeColor="text2" w:themeShade="80"/>
          <w:szCs w:val="24"/>
          <w:lang w:val="en-US"/>
        </w:rPr>
        <w:t xml:space="preserve">The Principles </w:t>
      </w:r>
      <w:proofErr w:type="gramStart"/>
      <w:r w:rsidRPr="007F16CF">
        <w:rPr>
          <w:rFonts w:eastAsia="MS Mincho" w:cstheme="minorHAnsi"/>
          <w:color w:val="0B2B43" w:themeColor="text2" w:themeShade="80"/>
          <w:szCs w:val="24"/>
          <w:lang w:val="en-US"/>
        </w:rPr>
        <w:t>were developed</w:t>
      </w:r>
      <w:proofErr w:type="gramEnd"/>
      <w:r w:rsidRPr="007F16CF">
        <w:rPr>
          <w:rFonts w:eastAsia="MS Mincho" w:cstheme="minorHAnsi"/>
          <w:color w:val="0B2B43" w:themeColor="text2" w:themeShade="80"/>
          <w:szCs w:val="24"/>
          <w:lang w:val="en-US"/>
        </w:rPr>
        <w:t xml:space="preserve"> by the Coordination Committee on Innovation IP Working Group and were adopted by the ARC and the NHMRC in April 2013. </w:t>
      </w:r>
      <w:r w:rsidRPr="007F16CF">
        <w:rPr>
          <w:color w:val="0B2B43" w:themeColor="text2" w:themeShade="80"/>
        </w:rPr>
        <w:t xml:space="preserve">The Coordination Committee on Innovation (CCI) is a discussion forum for Australian Government departments and agencies with responsibilities or interests that impact on the national innovation system. The CCI IP working group comprised the NHMRC (chair), the Department of Industry, Innovation and Science, the ARC, the Department of Agriculture, Fisheries and Forestry, Department of Climate Change, Department of Environment, </w:t>
      </w:r>
      <w:proofErr w:type="spellStart"/>
      <w:r w:rsidRPr="007F16CF">
        <w:rPr>
          <w:color w:val="0B2B43" w:themeColor="text2" w:themeShade="80"/>
        </w:rPr>
        <w:t>DSTO</w:t>
      </w:r>
      <w:proofErr w:type="spellEnd"/>
      <w:r w:rsidRPr="007F16CF">
        <w:rPr>
          <w:color w:val="0B2B43" w:themeColor="text2" w:themeShade="80"/>
        </w:rPr>
        <w:t xml:space="preserve">, Geoscience Australia, Council of Rural Research and Development Corporations, the Australian Institute of Marine Science and IP Australia. For more information, see </w:t>
      </w:r>
      <w:r w:rsidRPr="007F16CF">
        <w:rPr>
          <w:color w:val="0B2B43" w:themeColor="text2" w:themeShade="80"/>
          <w:lang w:val="en-AU"/>
        </w:rPr>
        <w:t>http://www.industry.gov.au/</w:t>
      </w:r>
    </w:p>
  </w:footnote>
  <w:footnote w:id="70">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w:t>
      </w:r>
      <w:r w:rsidRPr="007F16CF">
        <w:rPr>
          <w:rFonts w:eastAsia="MS Mincho" w:cstheme="minorHAnsi"/>
          <w:color w:val="0B2B43" w:themeColor="text2" w:themeShade="80"/>
          <w:szCs w:val="24"/>
          <w:lang w:val="en-US"/>
        </w:rPr>
        <w:t xml:space="preserve">The University of Glasgow introduced the Easy Access IP model in 2010. </w:t>
      </w:r>
      <w:r w:rsidRPr="007F16CF">
        <w:rPr>
          <w:color w:val="0B2B43" w:themeColor="text2" w:themeShade="80"/>
        </w:rPr>
        <w:t>The seven Australian universities which use Easy Access IP are Edith Cowan University, Macquarie University, UNSW Australia, University of Technology Sydney, University of Western Sydney, University of Wollongong and La Trobe University.</w:t>
      </w:r>
    </w:p>
  </w:footnote>
  <w:footnote w:id="71">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The international universities are: the University of Ottawa and </w:t>
      </w:r>
      <w:proofErr w:type="spellStart"/>
      <w:r w:rsidRPr="007F16CF">
        <w:rPr>
          <w:color w:val="0B2B43" w:themeColor="text2" w:themeShade="80"/>
        </w:rPr>
        <w:t>l’Ecole</w:t>
      </w:r>
      <w:proofErr w:type="spellEnd"/>
      <w:r w:rsidRPr="007F16CF">
        <w:rPr>
          <w:color w:val="0B2B43" w:themeColor="text2" w:themeShade="80"/>
        </w:rPr>
        <w:t xml:space="preserve"> de </w:t>
      </w:r>
      <w:proofErr w:type="spellStart"/>
      <w:r w:rsidRPr="007F16CF">
        <w:rPr>
          <w:color w:val="0B2B43" w:themeColor="text2" w:themeShade="80"/>
        </w:rPr>
        <w:t>technologie</w:t>
      </w:r>
      <w:proofErr w:type="spellEnd"/>
      <w:r w:rsidRPr="007F16CF">
        <w:rPr>
          <w:color w:val="0B2B43" w:themeColor="text2" w:themeShade="80"/>
        </w:rPr>
        <w:t xml:space="preserve"> </w:t>
      </w:r>
      <w:proofErr w:type="spellStart"/>
      <w:r w:rsidRPr="007F16CF">
        <w:rPr>
          <w:color w:val="0B2B43" w:themeColor="text2" w:themeShade="80"/>
        </w:rPr>
        <w:t>sup</w:t>
      </w:r>
      <w:r w:rsidRPr="007F16CF">
        <w:rPr>
          <w:rFonts w:cstheme="minorHAnsi"/>
          <w:color w:val="0B2B43" w:themeColor="text2" w:themeShade="80"/>
        </w:rPr>
        <w:t>é</w:t>
      </w:r>
      <w:r w:rsidRPr="007F16CF">
        <w:rPr>
          <w:color w:val="0B2B43" w:themeColor="text2" w:themeShade="80"/>
        </w:rPr>
        <w:t>rieure</w:t>
      </w:r>
      <w:proofErr w:type="spellEnd"/>
      <w:r w:rsidRPr="007F16CF">
        <w:rPr>
          <w:color w:val="0B2B43" w:themeColor="text2" w:themeShade="80"/>
        </w:rPr>
        <w:t xml:space="preserve">, Canada; Shanghai Jiao Tong University, China; the University of Copenhagen, Denmark; </w:t>
      </w:r>
      <w:proofErr w:type="spellStart"/>
      <w:r w:rsidRPr="007F16CF">
        <w:rPr>
          <w:color w:val="0B2B43" w:themeColor="text2" w:themeShade="80"/>
        </w:rPr>
        <w:t>dkfz</w:t>
      </w:r>
      <w:proofErr w:type="spellEnd"/>
      <w:r w:rsidRPr="007F16CF">
        <w:rPr>
          <w:color w:val="0B2B43" w:themeColor="text2" w:themeShade="80"/>
        </w:rPr>
        <w:t xml:space="preserve"> (the German Cancer Research Centre in the Helmholtz Association) in Germany; the Link</w:t>
      </w:r>
      <w:r w:rsidRPr="007F16CF">
        <w:rPr>
          <w:rFonts w:cstheme="minorHAnsi"/>
          <w:color w:val="0B2B43" w:themeColor="text2" w:themeShade="80"/>
        </w:rPr>
        <w:t xml:space="preserve">öping University and </w:t>
      </w:r>
      <w:proofErr w:type="spellStart"/>
      <w:r w:rsidRPr="007F16CF">
        <w:rPr>
          <w:rFonts w:cstheme="minorHAnsi"/>
          <w:color w:val="0B2B43" w:themeColor="text2" w:themeShade="80"/>
        </w:rPr>
        <w:t>Mittuniversitetet</w:t>
      </w:r>
      <w:proofErr w:type="spellEnd"/>
      <w:r w:rsidRPr="007F16CF">
        <w:rPr>
          <w:rFonts w:cstheme="minorHAnsi"/>
          <w:color w:val="0B2B43" w:themeColor="text2" w:themeShade="80"/>
        </w:rPr>
        <w:t>, Sweden; CERN technology, Switzerland; King’s College London, Lancaster University, Staffordshire University, Swansea University, University of Birmingham, University of Bristol, University of Exeter, University of Glasgow, University of Sussex, Durham University and the UK Defence Science and Technology Laboratory, United Kingdom.</w:t>
      </w:r>
    </w:p>
  </w:footnote>
  <w:footnote w:id="72">
    <w:p w:rsidR="00AC3592" w:rsidRPr="007F16CF" w:rsidRDefault="00AC3592" w:rsidP="008C111F">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National Centre for Universities and Business, 2015, </w:t>
      </w:r>
      <w:r w:rsidRPr="007F16CF">
        <w:rPr>
          <w:i/>
          <w:color w:val="0B2B43" w:themeColor="text2" w:themeShade="80"/>
        </w:rPr>
        <w:t>Easy Access IP: A Preliminary Assessment of the Initiative</w:t>
      </w:r>
      <w:r w:rsidRPr="007F16CF">
        <w:rPr>
          <w:color w:val="0B2B43" w:themeColor="text2" w:themeShade="80"/>
        </w:rPr>
        <w:t>.</w:t>
      </w:r>
    </w:p>
  </w:footnote>
  <w:footnote w:id="73">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Group of Eight, 2015</w:t>
      </w:r>
      <w:r>
        <w:rPr>
          <w:color w:val="0B2B43" w:themeColor="text2" w:themeShade="80"/>
        </w:rPr>
        <w:t>,</w:t>
      </w:r>
      <w:r w:rsidRPr="007F16CF">
        <w:rPr>
          <w:color w:val="0B2B43" w:themeColor="text2" w:themeShade="80"/>
        </w:rPr>
        <w:t xml:space="preserve"> </w:t>
      </w:r>
      <w:proofErr w:type="spellStart"/>
      <w:r w:rsidRPr="007F16CF">
        <w:rPr>
          <w:i/>
          <w:color w:val="0B2B43" w:themeColor="text2" w:themeShade="80"/>
        </w:rPr>
        <w:t>Go8</w:t>
      </w:r>
      <w:proofErr w:type="spellEnd"/>
      <w:r w:rsidRPr="007F16CF">
        <w:rPr>
          <w:i/>
          <w:color w:val="0B2B43" w:themeColor="text2" w:themeShade="80"/>
        </w:rPr>
        <w:t xml:space="preserve"> delivers industry and innovation work plan to Minister</w:t>
      </w:r>
      <w:r w:rsidRPr="007F16CF">
        <w:rPr>
          <w:color w:val="0B2B43" w:themeColor="text2" w:themeShade="80"/>
        </w:rPr>
        <w:t>.</w:t>
      </w:r>
    </w:p>
  </w:footnote>
  <w:footnote w:id="74">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Productivity Commission, 2015, </w:t>
      </w:r>
      <w:r w:rsidRPr="007F16CF">
        <w:rPr>
          <w:i/>
          <w:color w:val="0B2B43" w:themeColor="text2" w:themeShade="80"/>
        </w:rPr>
        <w:t>Intellectual Property Arrangements: Terms of reference</w:t>
      </w:r>
      <w:r w:rsidRPr="007F16CF">
        <w:rPr>
          <w:color w:val="0B2B43" w:themeColor="text2" w:themeShade="80"/>
        </w:rPr>
        <w:t>.</w:t>
      </w:r>
    </w:p>
  </w:footnote>
  <w:footnote w:id="75">
    <w:p w:rsidR="00AC3592" w:rsidRPr="005F39B9" w:rsidRDefault="00AC3592" w:rsidP="00054DCC">
      <w:pPr>
        <w:pStyle w:val="FootnoteText"/>
        <w:rPr>
          <w:color w:val="104165" w:themeColor="text2" w:themeShade="BF"/>
          <w:lang w:val="en-AU"/>
        </w:rPr>
      </w:pPr>
      <w:r w:rsidRPr="007F16CF">
        <w:rPr>
          <w:rStyle w:val="FootnoteReference"/>
          <w:color w:val="0B2B43" w:themeColor="text2" w:themeShade="80"/>
        </w:rPr>
        <w:footnoteRef/>
      </w:r>
      <w:r w:rsidRPr="007F16CF">
        <w:rPr>
          <w:color w:val="0B2B43" w:themeColor="text2" w:themeShade="80"/>
        </w:rPr>
        <w:t xml:space="preserve"> IP Australia, 2015, </w:t>
      </w:r>
      <w:r w:rsidRPr="007F16CF">
        <w:rPr>
          <w:i/>
          <w:color w:val="0B2B43" w:themeColor="text2" w:themeShade="80"/>
        </w:rPr>
        <w:t>Source IP</w:t>
      </w:r>
      <w:r w:rsidRPr="007F16CF">
        <w:rPr>
          <w:color w:val="0B2B43" w:themeColor="text2" w:themeShade="80"/>
        </w:rPr>
        <w:t>.</w:t>
      </w:r>
    </w:p>
  </w:footnote>
  <w:footnote w:id="76">
    <w:p w:rsidR="00AC3592" w:rsidRPr="007F16CF" w:rsidRDefault="00AC3592" w:rsidP="00054DCC">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Australian Government, </w:t>
      </w:r>
      <w:r w:rsidRPr="007F16CF">
        <w:rPr>
          <w:i/>
          <w:color w:val="0B2B43" w:themeColor="text2" w:themeShade="80"/>
        </w:rPr>
        <w:t>Australian IP Toolkit for Collaboration</w:t>
      </w:r>
      <w:r w:rsidRPr="007F16CF">
        <w:rPr>
          <w:color w:val="0B2B43" w:themeColor="text2" w:themeShade="80"/>
        </w:rPr>
        <w:t>.</w:t>
      </w:r>
    </w:p>
  </w:footnote>
  <w:footnote w:id="77">
    <w:p w:rsidR="00AC3592" w:rsidRPr="007F16CF" w:rsidRDefault="00AC3592" w:rsidP="0005451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w:t>
      </w:r>
      <w:proofErr w:type="gramStart"/>
      <w:r w:rsidRPr="007F16CF">
        <w:rPr>
          <w:color w:val="0B2B43" w:themeColor="text2" w:themeShade="80"/>
        </w:rPr>
        <w:t xml:space="preserve">IP Australia, 2015, </w:t>
      </w:r>
      <w:r w:rsidRPr="007F16CF">
        <w:rPr>
          <w:i/>
          <w:color w:val="0B2B43" w:themeColor="text2" w:themeShade="80"/>
        </w:rPr>
        <w:t>Patent Analytics Hub</w:t>
      </w:r>
      <w:r w:rsidRPr="007F16CF">
        <w:rPr>
          <w:rStyle w:val="Hyperlink"/>
          <w:color w:val="0B2B43" w:themeColor="text2" w:themeShade="80"/>
          <w:u w:val="none"/>
        </w:rPr>
        <w:t>.</w:t>
      </w:r>
      <w:proofErr w:type="gramEnd"/>
    </w:p>
  </w:footnote>
  <w:footnote w:id="78">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As an example, the 2014 report on the Australian food industry (</w:t>
      </w:r>
      <w:hyperlink r:id="rId2" w:history="1">
        <w:r w:rsidRPr="006C52AA">
          <w:rPr>
            <w:rStyle w:val="Hyperlink"/>
            <w:color w:val="0B2B43" w:themeColor="text2" w:themeShade="80"/>
            <w:u w:val="none"/>
          </w:rPr>
          <w:t>http://www.ipaustralia.gov.au/uploaded-files/reports/The_Australian_Food_Industry_Patent_Analytics_Report.pdf</w:t>
        </w:r>
      </w:hyperlink>
      <w:r w:rsidRPr="007F16CF">
        <w:rPr>
          <w:color w:val="0B2B43" w:themeColor="text2" w:themeShade="80"/>
        </w:rPr>
        <w:t xml:space="preserve">) identifies </w:t>
      </w:r>
      <w:r w:rsidRPr="007F16CF">
        <w:rPr>
          <w:rFonts w:eastAsia="MS Mincho" w:cstheme="minorHAnsi"/>
          <w:color w:val="0B2B43" w:themeColor="text2" w:themeShade="80"/>
          <w:lang w:val="en-US"/>
        </w:rPr>
        <w:t xml:space="preserve">the scale and intensity of patent activity in food inventions, the number of food inventions originating in Australia, national and regional </w:t>
      </w:r>
      <w:proofErr w:type="spellStart"/>
      <w:r w:rsidRPr="007F16CF">
        <w:rPr>
          <w:rFonts w:eastAsia="MS Mincho" w:cstheme="minorHAnsi"/>
          <w:color w:val="0B2B43" w:themeColor="text2" w:themeShade="80"/>
          <w:lang w:val="en-US"/>
        </w:rPr>
        <w:t>specialisations</w:t>
      </w:r>
      <w:proofErr w:type="spellEnd"/>
      <w:r w:rsidRPr="007F16CF">
        <w:rPr>
          <w:rFonts w:eastAsia="MS Mincho" w:cstheme="minorHAnsi"/>
          <w:color w:val="0B2B43" w:themeColor="text2" w:themeShade="80"/>
          <w:lang w:val="en-US"/>
        </w:rPr>
        <w:t>, key patents applications by the top filing 30 entities, small businesses which received Australian Government grants for product development or to protect IP rights, and the extent of collaboration which measured through co-applicants and patent citations. The report concluded that Australia ranks 14</w:t>
      </w:r>
      <w:r w:rsidRPr="007F16CF">
        <w:rPr>
          <w:rFonts w:eastAsia="MS Mincho" w:cstheme="minorHAnsi"/>
          <w:color w:val="0B2B43" w:themeColor="text2" w:themeShade="80"/>
          <w:vertAlign w:val="superscript"/>
          <w:lang w:val="en-US"/>
        </w:rPr>
        <w:t>th</w:t>
      </w:r>
      <w:r w:rsidRPr="007F16CF">
        <w:rPr>
          <w:rFonts w:eastAsia="MS Mincho" w:cstheme="minorHAnsi"/>
          <w:color w:val="0B2B43" w:themeColor="text2" w:themeShade="80"/>
          <w:lang w:val="en-US"/>
        </w:rPr>
        <w:t xml:space="preserve"> in food inventions globally and that the majority of Australian patents are in the beverage, sugar and dairy sectors of references. Twenty-three per cent of patents in Australia are collaborative, which is above collaboration rates in comparable countries such as Canada (18 per cent), Norway (17 per cent) and Sweden (8 per cent). </w:t>
      </w:r>
    </w:p>
  </w:footnote>
  <w:footnote w:id="79">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National Health and Medical Research Council, 2014, </w:t>
      </w:r>
      <w:proofErr w:type="spellStart"/>
      <w:r w:rsidRPr="007F16CF">
        <w:rPr>
          <w:i/>
          <w:color w:val="0B2B43" w:themeColor="text2" w:themeShade="80"/>
        </w:rPr>
        <w:t>NHMRC’s</w:t>
      </w:r>
      <w:proofErr w:type="spellEnd"/>
      <w:r w:rsidRPr="007F16CF">
        <w:rPr>
          <w:i/>
          <w:color w:val="0B2B43" w:themeColor="text2" w:themeShade="80"/>
        </w:rPr>
        <w:t xml:space="preserve"> Policy on the Dissemination of Research Findings</w:t>
      </w:r>
      <w:r w:rsidR="006C52AA">
        <w:rPr>
          <w:color w:val="0B2B43" w:themeColor="text2" w:themeShade="80"/>
        </w:rPr>
        <w:t xml:space="preserve">, accessed November 2015, </w:t>
      </w:r>
      <w:r w:rsidRPr="007F16CF">
        <w:rPr>
          <w:color w:val="0B2B43" w:themeColor="text2" w:themeShade="80"/>
        </w:rPr>
        <w:t>https://www.nhmrc.gov.au/grants-funding/</w:t>
      </w:r>
      <w:r w:rsidR="006C52AA">
        <w:rPr>
          <w:color w:val="0B2B43" w:themeColor="text2" w:themeShade="80"/>
        </w:rPr>
        <w:t>policy/nhmrc-open-access-policy</w:t>
      </w:r>
      <w:r w:rsidRPr="007F16CF">
        <w:rPr>
          <w:color w:val="0B2B43" w:themeColor="text2" w:themeShade="80"/>
        </w:rPr>
        <w:t>.</w:t>
      </w:r>
    </w:p>
  </w:footnote>
  <w:footnote w:id="80">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w:t>
      </w:r>
      <w:proofErr w:type="gramStart"/>
      <w:r w:rsidRPr="007F16CF">
        <w:rPr>
          <w:color w:val="0B2B43" w:themeColor="text2" w:themeShade="80"/>
        </w:rPr>
        <w:t xml:space="preserve">Australian Research Council, 2015, </w:t>
      </w:r>
      <w:r w:rsidRPr="007F16CF">
        <w:rPr>
          <w:i/>
          <w:color w:val="0B2B43" w:themeColor="text2" w:themeShade="80"/>
        </w:rPr>
        <w:t>ARC Open Access Policy</w:t>
      </w:r>
      <w:r w:rsidRPr="007F16CF">
        <w:rPr>
          <w:color w:val="0B2B43" w:themeColor="text2" w:themeShade="80"/>
        </w:rPr>
        <w:t>.</w:t>
      </w:r>
      <w:proofErr w:type="gramEnd"/>
    </w:p>
  </w:footnote>
  <w:footnote w:id="81">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Office of the Chief Economist, 2014, </w:t>
      </w:r>
      <w:r w:rsidRPr="007F16CF">
        <w:rPr>
          <w:i/>
          <w:color w:val="0B2B43" w:themeColor="text2" w:themeShade="80"/>
        </w:rPr>
        <w:t>Australian Innovation System Report 2014</w:t>
      </w:r>
      <w:r w:rsidRPr="007F16CF">
        <w:rPr>
          <w:color w:val="0B2B43" w:themeColor="text2" w:themeShade="80"/>
        </w:rPr>
        <w:t>.</w:t>
      </w:r>
    </w:p>
  </w:footnote>
  <w:footnote w:id="82">
    <w:p w:rsidR="00AC3592" w:rsidRPr="007F16CF" w:rsidRDefault="00AC3592" w:rsidP="00224828">
      <w:pPr>
        <w:spacing w:before="0" w:after="0"/>
        <w:rPr>
          <w:color w:val="0B2B43" w:themeColor="text2" w:themeShade="80"/>
          <w:sz w:val="20"/>
        </w:rPr>
      </w:pPr>
      <w:r w:rsidRPr="007F16CF">
        <w:rPr>
          <w:rStyle w:val="FootnoteReference"/>
          <w:color w:val="0B2B43" w:themeColor="text2" w:themeShade="80"/>
        </w:rPr>
        <w:footnoteRef/>
      </w:r>
      <w:r w:rsidRPr="007F16CF">
        <w:rPr>
          <w:color w:val="0B2B43" w:themeColor="text2" w:themeShade="80"/>
          <w:sz w:val="20"/>
        </w:rPr>
        <w:t xml:space="preserve"> </w:t>
      </w:r>
      <w:proofErr w:type="gramStart"/>
      <w:r w:rsidRPr="007F16CF">
        <w:rPr>
          <w:color w:val="0B2B43" w:themeColor="text2" w:themeShade="80"/>
          <w:sz w:val="20"/>
        </w:rPr>
        <w:t xml:space="preserve">Higher Education Funding Council for England, 2015, </w:t>
      </w:r>
      <w:r w:rsidRPr="007F16CF">
        <w:rPr>
          <w:i/>
          <w:color w:val="0B2B43" w:themeColor="text2" w:themeShade="80"/>
          <w:sz w:val="20"/>
        </w:rPr>
        <w:t>REF Impact</w:t>
      </w:r>
      <w:r w:rsidRPr="007F16CF">
        <w:rPr>
          <w:color w:val="0B2B43" w:themeColor="text2" w:themeShade="80"/>
          <w:sz w:val="20"/>
        </w:rPr>
        <w:t>.</w:t>
      </w:r>
      <w:proofErr w:type="gramEnd"/>
    </w:p>
  </w:footnote>
  <w:footnote w:id="83">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OECD, 1996, </w:t>
      </w:r>
      <w:proofErr w:type="gramStart"/>
      <w:r w:rsidRPr="007F16CF">
        <w:rPr>
          <w:i/>
          <w:color w:val="0B2B43" w:themeColor="text2" w:themeShade="80"/>
        </w:rPr>
        <w:t>The</w:t>
      </w:r>
      <w:proofErr w:type="gramEnd"/>
      <w:r w:rsidRPr="007F16CF">
        <w:rPr>
          <w:i/>
          <w:color w:val="0B2B43" w:themeColor="text2" w:themeShade="80"/>
        </w:rPr>
        <w:t xml:space="preserve"> Knowledge-Based Economy</w:t>
      </w:r>
      <w:r w:rsidRPr="007F16CF">
        <w:rPr>
          <w:color w:val="0B2B43" w:themeColor="text2" w:themeShade="80"/>
        </w:rPr>
        <w:t>.</w:t>
      </w:r>
    </w:p>
  </w:footnote>
  <w:footnote w:id="84">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Bell J, Frater B, Butterfield L, Cunningham S, Dodgson M, Fox K, </w:t>
      </w:r>
      <w:proofErr w:type="spellStart"/>
      <w:r w:rsidRPr="007F16CF">
        <w:rPr>
          <w:color w:val="0B2B43" w:themeColor="text2" w:themeShade="80"/>
        </w:rPr>
        <w:t>Spurling</w:t>
      </w:r>
      <w:proofErr w:type="spellEnd"/>
      <w:r w:rsidRPr="007F16CF">
        <w:rPr>
          <w:color w:val="0B2B43" w:themeColor="text2" w:themeShade="80"/>
        </w:rPr>
        <w:t xml:space="preserve"> T </w:t>
      </w:r>
      <w:r w:rsidR="003E6737">
        <w:rPr>
          <w:color w:val="0B2B43" w:themeColor="text2" w:themeShade="80"/>
        </w:rPr>
        <w:t>and</w:t>
      </w:r>
      <w:r w:rsidRPr="007F16CF">
        <w:rPr>
          <w:color w:val="0B2B43" w:themeColor="text2" w:themeShade="80"/>
        </w:rPr>
        <w:t xml:space="preserve"> Webster E, 2014, </w:t>
      </w:r>
      <w:proofErr w:type="gramStart"/>
      <w:r w:rsidRPr="007F16CF">
        <w:rPr>
          <w:i/>
          <w:color w:val="0B2B43" w:themeColor="text2" w:themeShade="80"/>
        </w:rPr>
        <w:t>The</w:t>
      </w:r>
      <w:proofErr w:type="gramEnd"/>
      <w:r w:rsidRPr="007F16CF">
        <w:rPr>
          <w:i/>
          <w:color w:val="0B2B43" w:themeColor="text2" w:themeShade="80"/>
        </w:rPr>
        <w:t xml:space="preserve"> role of science, research and technology in lifting Australia’s productivity</w:t>
      </w:r>
      <w:r w:rsidRPr="007F16CF">
        <w:rPr>
          <w:color w:val="0B2B43" w:themeColor="text2" w:themeShade="80"/>
        </w:rPr>
        <w:t>.</w:t>
      </w:r>
    </w:p>
  </w:footnote>
  <w:footnote w:id="85">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Ibid.</w:t>
      </w:r>
    </w:p>
  </w:footnote>
  <w:footnote w:id="86">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w:t>
      </w:r>
      <w:proofErr w:type="gramStart"/>
      <w:r w:rsidR="004A3C24" w:rsidRPr="004A3C24">
        <w:rPr>
          <w:color w:val="0B2B43" w:themeColor="text2" w:themeShade="80"/>
          <w:lang w:val="en-AU"/>
        </w:rPr>
        <w:t xml:space="preserve">Australian Research Council, 2015, </w:t>
      </w:r>
      <w:r w:rsidR="004A3C24" w:rsidRPr="004A3C24">
        <w:rPr>
          <w:i/>
          <w:color w:val="0B2B43" w:themeColor="text2" w:themeShade="80"/>
          <w:lang w:val="en-AU"/>
        </w:rPr>
        <w:t>State of Australian University Research 2015-16: Volume 1 ERA National Report.</w:t>
      </w:r>
      <w:proofErr w:type="gramEnd"/>
    </w:p>
  </w:footnote>
  <w:footnote w:id="87">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w:t>
      </w:r>
      <w:proofErr w:type="spellStart"/>
      <w:r w:rsidRPr="007F16CF">
        <w:rPr>
          <w:color w:val="0B2B43" w:themeColor="text2" w:themeShade="80"/>
        </w:rPr>
        <w:t>ACIL</w:t>
      </w:r>
      <w:proofErr w:type="spellEnd"/>
      <w:r w:rsidRPr="007F16CF">
        <w:rPr>
          <w:color w:val="0B2B43" w:themeColor="text2" w:themeShade="80"/>
        </w:rPr>
        <w:t xml:space="preserve"> Allen Consulting, 2013, </w:t>
      </w:r>
      <w:r w:rsidRPr="007F16CF">
        <w:rPr>
          <w:i/>
          <w:color w:val="0B2B43" w:themeColor="text2" w:themeShade="80"/>
        </w:rPr>
        <w:t>Benefits Realisation Review of Excellence in Research for Australia: Final Report</w:t>
      </w:r>
      <w:r w:rsidRPr="007F16CF">
        <w:rPr>
          <w:color w:val="0B2B43" w:themeColor="text2" w:themeShade="80"/>
        </w:rPr>
        <w:t>.</w:t>
      </w:r>
    </w:p>
  </w:footnote>
  <w:footnote w:id="88">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w:t>
      </w:r>
      <w:proofErr w:type="gramStart"/>
      <w:r w:rsidRPr="007F16CF">
        <w:rPr>
          <w:color w:val="0B2B43" w:themeColor="text2" w:themeShade="80"/>
        </w:rPr>
        <w:t xml:space="preserve">Research Excellence Framework, 2014, </w:t>
      </w:r>
      <w:r w:rsidRPr="007F16CF">
        <w:rPr>
          <w:i/>
          <w:color w:val="0B2B43" w:themeColor="text2" w:themeShade="80"/>
        </w:rPr>
        <w:t>About the REF</w:t>
      </w:r>
      <w:r w:rsidRPr="007F16CF">
        <w:rPr>
          <w:color w:val="0B2B43" w:themeColor="text2" w:themeShade="80"/>
        </w:rPr>
        <w:t>.</w:t>
      </w:r>
      <w:proofErr w:type="gramEnd"/>
    </w:p>
  </w:footnote>
  <w:footnote w:id="89">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Advice and data provided by </w:t>
      </w:r>
      <w:proofErr w:type="spellStart"/>
      <w:r w:rsidRPr="007F16CF">
        <w:rPr>
          <w:color w:val="0B2B43" w:themeColor="text2" w:themeShade="80"/>
        </w:rPr>
        <w:t>HEFCE</w:t>
      </w:r>
      <w:proofErr w:type="spellEnd"/>
      <w:r w:rsidRPr="007F16CF">
        <w:rPr>
          <w:color w:val="0B2B43" w:themeColor="text2" w:themeShade="80"/>
        </w:rPr>
        <w:t xml:space="preserve">. Note: for England, </w:t>
      </w:r>
      <w:proofErr w:type="spellStart"/>
      <w:r w:rsidRPr="007F16CF">
        <w:rPr>
          <w:color w:val="0B2B43" w:themeColor="text2" w:themeShade="80"/>
        </w:rPr>
        <w:t>HEFCE</w:t>
      </w:r>
      <w:proofErr w:type="spellEnd"/>
      <w:r w:rsidRPr="007F16CF">
        <w:rPr>
          <w:color w:val="0B2B43" w:themeColor="text2" w:themeShade="80"/>
        </w:rPr>
        <w:t xml:space="preserve"> is allocating 82.8 per cent of its recurrent research funding for the academic year 2015-16 using the results of the 2014 REF. </w:t>
      </w:r>
      <w:proofErr w:type="spellStart"/>
      <w:r w:rsidRPr="007F16CF">
        <w:rPr>
          <w:color w:val="0B2B43" w:themeColor="text2" w:themeShade="80"/>
        </w:rPr>
        <w:t>HEFCE</w:t>
      </w:r>
      <w:proofErr w:type="spellEnd"/>
      <w:r w:rsidRPr="007F16CF">
        <w:rPr>
          <w:color w:val="0B2B43" w:themeColor="text2" w:themeShade="80"/>
        </w:rPr>
        <w:t xml:space="preserve"> is allocating 13.0 per cent of its recurrent research funding for the academic year 2015-16 using the impact quality profile from the 2014 REF. If applied consistently across the four UK funding bodies, this means that £253 million is directly allocated using the impact metric.</w:t>
      </w:r>
    </w:p>
  </w:footnote>
  <w:footnote w:id="90">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Manville C, Morgan Jones M, </w:t>
      </w:r>
      <w:proofErr w:type="spellStart"/>
      <w:r w:rsidRPr="007F16CF">
        <w:rPr>
          <w:color w:val="0B2B43" w:themeColor="text2" w:themeShade="80"/>
        </w:rPr>
        <w:t>Frearson</w:t>
      </w:r>
      <w:proofErr w:type="spellEnd"/>
      <w:r w:rsidRPr="007F16CF">
        <w:rPr>
          <w:color w:val="0B2B43" w:themeColor="text2" w:themeShade="80"/>
        </w:rPr>
        <w:t xml:space="preserve"> M, Castle-Clarke S, </w:t>
      </w:r>
      <w:proofErr w:type="spellStart"/>
      <w:r w:rsidRPr="007F16CF">
        <w:rPr>
          <w:color w:val="0B2B43" w:themeColor="text2" w:themeShade="80"/>
        </w:rPr>
        <w:t>Henham</w:t>
      </w:r>
      <w:proofErr w:type="spellEnd"/>
      <w:r w:rsidRPr="007F16CF">
        <w:rPr>
          <w:color w:val="0B2B43" w:themeColor="text2" w:themeShade="80"/>
        </w:rPr>
        <w:t xml:space="preserve"> M, </w:t>
      </w:r>
      <w:proofErr w:type="spellStart"/>
      <w:r w:rsidRPr="007F16CF">
        <w:rPr>
          <w:color w:val="0B2B43" w:themeColor="text2" w:themeShade="80"/>
        </w:rPr>
        <w:t>Gunashekar</w:t>
      </w:r>
      <w:proofErr w:type="spellEnd"/>
      <w:r w:rsidRPr="007F16CF">
        <w:rPr>
          <w:color w:val="0B2B43" w:themeColor="text2" w:themeShade="80"/>
        </w:rPr>
        <w:t xml:space="preserve"> S, Grant J, 2014.</w:t>
      </w:r>
    </w:p>
  </w:footnote>
  <w:footnote w:id="91">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Ibid.</w:t>
      </w:r>
    </w:p>
  </w:footnote>
  <w:footnote w:id="92">
    <w:p w:rsidR="00AC3592" w:rsidRPr="007F16CF" w:rsidRDefault="00AC3592" w:rsidP="003A6BB0">
      <w:pPr>
        <w:spacing w:before="0" w:after="0"/>
        <w:rPr>
          <w:color w:val="0B2B43" w:themeColor="text2" w:themeShade="80"/>
        </w:rPr>
      </w:pPr>
      <w:r w:rsidRPr="007F16CF">
        <w:rPr>
          <w:rStyle w:val="FootnoteReference"/>
          <w:color w:val="0B2B43" w:themeColor="text2" w:themeShade="80"/>
          <w:sz w:val="20"/>
        </w:rPr>
        <w:footnoteRef/>
      </w:r>
      <w:r w:rsidRPr="007F16CF">
        <w:rPr>
          <w:color w:val="0B2B43" w:themeColor="text2" w:themeShade="80"/>
          <w:sz w:val="20"/>
          <w:szCs w:val="20"/>
        </w:rPr>
        <w:t xml:space="preserve"> Ibid.</w:t>
      </w:r>
    </w:p>
  </w:footnote>
  <w:footnote w:id="93">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w:t>
      </w:r>
      <w:proofErr w:type="spellStart"/>
      <w:r w:rsidRPr="007F16CF">
        <w:rPr>
          <w:color w:val="0B2B43" w:themeColor="text2" w:themeShade="80"/>
        </w:rPr>
        <w:t>Technopolis</w:t>
      </w:r>
      <w:proofErr w:type="spellEnd"/>
      <w:r w:rsidRPr="007F16CF">
        <w:rPr>
          <w:color w:val="0B2B43" w:themeColor="text2" w:themeShade="80"/>
        </w:rPr>
        <w:t xml:space="preserve"> Group, 2015.</w:t>
      </w:r>
    </w:p>
  </w:footnote>
  <w:footnote w:id="94">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Ibid.</w:t>
      </w:r>
    </w:p>
  </w:footnote>
  <w:footnote w:id="95">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Ibid. </w:t>
      </w:r>
      <w:proofErr w:type="spellStart"/>
      <w:r w:rsidRPr="007F16CF">
        <w:rPr>
          <w:color w:val="0B2B43" w:themeColor="text2" w:themeShade="80"/>
        </w:rPr>
        <w:t>Technopolis</w:t>
      </w:r>
      <w:proofErr w:type="spellEnd"/>
      <w:r w:rsidRPr="007F16CF">
        <w:rPr>
          <w:color w:val="0B2B43" w:themeColor="text2" w:themeShade="80"/>
        </w:rPr>
        <w:t xml:space="preserve"> notes that ‘Research income from public sources in publicly</w:t>
      </w:r>
      <w:r>
        <w:rPr>
          <w:color w:val="0B2B43" w:themeColor="text2" w:themeShade="80"/>
        </w:rPr>
        <w:t xml:space="preserve"> </w:t>
      </w:r>
      <w:r w:rsidRPr="007F16CF">
        <w:rPr>
          <w:color w:val="0B2B43" w:themeColor="text2" w:themeShade="80"/>
        </w:rPr>
        <w:t xml:space="preserve">funded UK </w:t>
      </w:r>
      <w:r>
        <w:rPr>
          <w:color w:val="0B2B43" w:themeColor="text2" w:themeShade="80"/>
        </w:rPr>
        <w:t>higher education institutions</w:t>
      </w:r>
      <w:r w:rsidRPr="007F16CF">
        <w:rPr>
          <w:color w:val="0B2B43" w:themeColor="text2" w:themeShade="80"/>
        </w:rPr>
        <w:t xml:space="preserve"> in 2013-14 was £</w:t>
      </w:r>
      <w:proofErr w:type="spellStart"/>
      <w:r w:rsidRPr="007F16CF">
        <w:rPr>
          <w:color w:val="0B2B43" w:themeColor="text2" w:themeShade="80"/>
        </w:rPr>
        <w:t>4,513M</w:t>
      </w:r>
      <w:proofErr w:type="spellEnd"/>
      <w:r w:rsidRPr="007F16CF">
        <w:rPr>
          <w:color w:val="0B2B43" w:themeColor="text2" w:themeShade="80"/>
        </w:rPr>
        <w:t>. £</w:t>
      </w:r>
      <w:proofErr w:type="spellStart"/>
      <w:r w:rsidRPr="007F16CF">
        <w:rPr>
          <w:color w:val="0B2B43" w:themeColor="text2" w:themeShade="80"/>
        </w:rPr>
        <w:t>27bn</w:t>
      </w:r>
      <w:proofErr w:type="spellEnd"/>
      <w:r w:rsidRPr="007F16CF">
        <w:rPr>
          <w:color w:val="0B2B43" w:themeColor="text2" w:themeShade="80"/>
        </w:rPr>
        <w:t xml:space="preserve"> represents £</w:t>
      </w:r>
      <w:proofErr w:type="spellStart"/>
      <w:r w:rsidRPr="007F16CF">
        <w:rPr>
          <w:color w:val="0B2B43" w:themeColor="text2" w:themeShade="80"/>
        </w:rPr>
        <w:t>4,513M</w:t>
      </w:r>
      <w:proofErr w:type="spellEnd"/>
      <w:r w:rsidRPr="007F16CF">
        <w:rPr>
          <w:color w:val="0B2B43" w:themeColor="text2" w:themeShade="80"/>
        </w:rPr>
        <w:t xml:space="preserve"> multiplied by six years’.</w:t>
      </w:r>
    </w:p>
  </w:footnote>
  <w:footnote w:id="96">
    <w:p w:rsidR="00AC3592" w:rsidRPr="00AD4C4B" w:rsidRDefault="00AC3592" w:rsidP="002C6039">
      <w:pPr>
        <w:pStyle w:val="FootnoteText"/>
        <w:rPr>
          <w:color w:val="0B2B43" w:themeColor="text2" w:themeShade="80"/>
        </w:rPr>
      </w:pPr>
      <w:r w:rsidRPr="00AD4C4B">
        <w:rPr>
          <w:rStyle w:val="FootnoteReference"/>
          <w:color w:val="0B2B43" w:themeColor="text2" w:themeShade="80"/>
        </w:rPr>
        <w:footnoteRef/>
      </w:r>
      <w:r w:rsidRPr="00AD4C4B">
        <w:rPr>
          <w:color w:val="0B2B43" w:themeColor="text2" w:themeShade="80"/>
        </w:rPr>
        <w:t xml:space="preserve"> Sharma A, 2015.</w:t>
      </w:r>
    </w:p>
  </w:footnote>
  <w:footnote w:id="97">
    <w:p w:rsidR="00AC3592" w:rsidRPr="00AD4C4B" w:rsidRDefault="00AC3592" w:rsidP="002C6039">
      <w:pPr>
        <w:pStyle w:val="FootnoteText"/>
        <w:rPr>
          <w:color w:val="0B2B43" w:themeColor="text2" w:themeShade="80"/>
        </w:rPr>
      </w:pPr>
      <w:r w:rsidRPr="00AD4C4B">
        <w:rPr>
          <w:rStyle w:val="FootnoteReference"/>
          <w:color w:val="0B2B43" w:themeColor="text2" w:themeShade="80"/>
        </w:rPr>
        <w:footnoteRef/>
      </w:r>
      <w:r w:rsidRPr="00AD4C4B">
        <w:rPr>
          <w:color w:val="0B2B43" w:themeColor="text2" w:themeShade="80"/>
        </w:rPr>
        <w:t xml:space="preserve"> Ibid.</w:t>
      </w:r>
    </w:p>
  </w:footnote>
  <w:footnote w:id="98">
    <w:p w:rsidR="00AC3592" w:rsidRPr="00AD4C4B" w:rsidRDefault="00AC3592" w:rsidP="00224828">
      <w:pPr>
        <w:autoSpaceDE w:val="0"/>
        <w:autoSpaceDN w:val="0"/>
        <w:adjustRightInd w:val="0"/>
        <w:spacing w:before="0" w:after="0"/>
        <w:rPr>
          <w:rFonts w:cs="Times New Roman"/>
          <w:color w:val="0B2B43" w:themeColor="text2" w:themeShade="80"/>
          <w:sz w:val="20"/>
          <w:szCs w:val="20"/>
        </w:rPr>
      </w:pPr>
      <w:r w:rsidRPr="00AD4C4B">
        <w:rPr>
          <w:rStyle w:val="FootnoteReference"/>
          <w:color w:val="0B2B43" w:themeColor="text2" w:themeShade="80"/>
          <w:sz w:val="20"/>
          <w:szCs w:val="20"/>
        </w:rPr>
        <w:footnoteRef/>
      </w:r>
      <w:r w:rsidRPr="00AD4C4B">
        <w:rPr>
          <w:color w:val="0B2B43" w:themeColor="text2" w:themeShade="80"/>
          <w:sz w:val="20"/>
          <w:szCs w:val="20"/>
        </w:rPr>
        <w:t xml:space="preserve"> Group of Eight, Australian Technology Network of Universities, 2012, </w:t>
      </w:r>
      <w:r w:rsidRPr="00AD4C4B">
        <w:rPr>
          <w:i/>
          <w:color w:val="0B2B43" w:themeColor="text2" w:themeShade="80"/>
          <w:sz w:val="20"/>
          <w:szCs w:val="20"/>
        </w:rPr>
        <w:t xml:space="preserve">Excellence in Innovation: Research </w:t>
      </w:r>
      <w:proofErr w:type="gramStart"/>
      <w:r w:rsidRPr="00AD4C4B">
        <w:rPr>
          <w:i/>
          <w:color w:val="0B2B43" w:themeColor="text2" w:themeShade="80"/>
          <w:sz w:val="20"/>
          <w:szCs w:val="20"/>
        </w:rPr>
        <w:t>impacting</w:t>
      </w:r>
      <w:proofErr w:type="gramEnd"/>
      <w:r w:rsidRPr="00AD4C4B">
        <w:rPr>
          <w:i/>
          <w:color w:val="0B2B43" w:themeColor="text2" w:themeShade="80"/>
          <w:sz w:val="20"/>
          <w:szCs w:val="20"/>
        </w:rPr>
        <w:t xml:space="preserve"> our nation’s future </w:t>
      </w:r>
      <w:r w:rsidR="00063F31">
        <w:rPr>
          <w:i/>
          <w:color w:val="0B2B43" w:themeColor="text2" w:themeShade="80"/>
          <w:sz w:val="20"/>
          <w:szCs w:val="20"/>
        </w:rPr>
        <w:t>—</w:t>
      </w:r>
      <w:r w:rsidRPr="00AD4C4B">
        <w:rPr>
          <w:i/>
          <w:color w:val="0B2B43" w:themeColor="text2" w:themeShade="80"/>
          <w:sz w:val="20"/>
          <w:szCs w:val="20"/>
        </w:rPr>
        <w:t xml:space="preserve"> assessing the benefits</w:t>
      </w:r>
      <w:r w:rsidRPr="00AD4C4B">
        <w:rPr>
          <w:color w:val="0B2B43" w:themeColor="text2" w:themeShade="80"/>
          <w:sz w:val="20"/>
          <w:szCs w:val="20"/>
        </w:rPr>
        <w:t>.</w:t>
      </w:r>
    </w:p>
  </w:footnote>
  <w:footnote w:id="99">
    <w:p w:rsidR="00AC3592" w:rsidRPr="00AD4C4B" w:rsidRDefault="00AC3592" w:rsidP="002C6039">
      <w:pPr>
        <w:pStyle w:val="FootnoteText"/>
        <w:rPr>
          <w:color w:val="0B2B43" w:themeColor="text2" w:themeShade="80"/>
        </w:rPr>
      </w:pPr>
      <w:r w:rsidRPr="00AD4C4B">
        <w:rPr>
          <w:rStyle w:val="FootnoteReference"/>
          <w:color w:val="0B2B43" w:themeColor="text2" w:themeShade="80"/>
        </w:rPr>
        <w:footnoteRef/>
      </w:r>
      <w:r w:rsidRPr="00AD4C4B">
        <w:rPr>
          <w:color w:val="0B2B43" w:themeColor="text2" w:themeShade="80"/>
        </w:rPr>
        <w:t xml:space="preserve"> Ibid.</w:t>
      </w:r>
    </w:p>
  </w:footnote>
  <w:footnote w:id="100">
    <w:p w:rsidR="00AC3592" w:rsidRPr="007F16CF" w:rsidRDefault="00AC3592" w:rsidP="002C6039">
      <w:pPr>
        <w:pStyle w:val="FootnoteText"/>
        <w:rPr>
          <w:color w:val="0B2B43" w:themeColor="text2" w:themeShade="80"/>
        </w:rPr>
      </w:pPr>
      <w:r w:rsidRPr="00AD4C4B">
        <w:rPr>
          <w:rStyle w:val="FootnoteReference"/>
          <w:color w:val="0B2B43" w:themeColor="text2" w:themeShade="80"/>
        </w:rPr>
        <w:footnoteRef/>
      </w:r>
      <w:r w:rsidRPr="00AD4C4B">
        <w:rPr>
          <w:color w:val="0B2B43" w:themeColor="text2" w:themeShade="80"/>
        </w:rPr>
        <w:t xml:space="preserve"> Manville C, Morgan Jones M, </w:t>
      </w:r>
      <w:proofErr w:type="spellStart"/>
      <w:r w:rsidRPr="00AD4C4B">
        <w:rPr>
          <w:color w:val="0B2B43" w:themeColor="text2" w:themeShade="80"/>
        </w:rPr>
        <w:t>Frearson</w:t>
      </w:r>
      <w:proofErr w:type="spellEnd"/>
      <w:r w:rsidRPr="00AD4C4B">
        <w:rPr>
          <w:color w:val="0B2B43" w:themeColor="text2" w:themeShade="80"/>
        </w:rPr>
        <w:t xml:space="preserve"> M, Castle-Clarke S, </w:t>
      </w:r>
      <w:proofErr w:type="spellStart"/>
      <w:r w:rsidRPr="00AD4C4B">
        <w:rPr>
          <w:color w:val="0B2B43" w:themeColor="text2" w:themeShade="80"/>
        </w:rPr>
        <w:t>Henham</w:t>
      </w:r>
      <w:proofErr w:type="spellEnd"/>
      <w:r w:rsidRPr="00AD4C4B">
        <w:rPr>
          <w:color w:val="0B2B43" w:themeColor="text2" w:themeShade="80"/>
        </w:rPr>
        <w:t xml:space="preserve"> M, </w:t>
      </w:r>
      <w:proofErr w:type="spellStart"/>
      <w:r w:rsidRPr="00AD4C4B">
        <w:rPr>
          <w:color w:val="0B2B43" w:themeColor="text2" w:themeShade="80"/>
        </w:rPr>
        <w:t>Gunashekar</w:t>
      </w:r>
      <w:proofErr w:type="spellEnd"/>
      <w:r w:rsidRPr="00AD4C4B">
        <w:rPr>
          <w:color w:val="0B2B43" w:themeColor="text2" w:themeShade="80"/>
        </w:rPr>
        <w:t xml:space="preserve"> S, </w:t>
      </w:r>
      <w:r w:rsidR="001D1C1E">
        <w:rPr>
          <w:color w:val="0B2B43" w:themeColor="text2" w:themeShade="80"/>
        </w:rPr>
        <w:t xml:space="preserve">and </w:t>
      </w:r>
      <w:r w:rsidRPr="00AD4C4B">
        <w:rPr>
          <w:color w:val="0B2B43" w:themeColor="text2" w:themeShade="80"/>
        </w:rPr>
        <w:t>Grant J, 2014.</w:t>
      </w:r>
    </w:p>
  </w:footnote>
  <w:footnote w:id="101">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Ibid.</w:t>
      </w:r>
    </w:p>
  </w:footnote>
  <w:footnote w:id="102">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Australian Academy of </w:t>
      </w:r>
      <w:r>
        <w:rPr>
          <w:color w:val="0B2B43" w:themeColor="text2" w:themeShade="80"/>
        </w:rPr>
        <w:t>Technology</w:t>
      </w:r>
      <w:r w:rsidRPr="007F16CF">
        <w:rPr>
          <w:color w:val="0B2B43" w:themeColor="text2" w:themeShade="80"/>
        </w:rPr>
        <w:t xml:space="preserve"> and Engineering (</w:t>
      </w:r>
      <w:proofErr w:type="spellStart"/>
      <w:r w:rsidRPr="007F16CF">
        <w:rPr>
          <w:color w:val="0B2B43" w:themeColor="text2" w:themeShade="80"/>
        </w:rPr>
        <w:t>ATSE</w:t>
      </w:r>
      <w:proofErr w:type="spellEnd"/>
      <w:r w:rsidRPr="007F16CF">
        <w:rPr>
          <w:color w:val="0B2B43" w:themeColor="text2" w:themeShade="80"/>
        </w:rPr>
        <w:t xml:space="preserve">), 2015, </w:t>
      </w:r>
      <w:r w:rsidRPr="007F16CF">
        <w:rPr>
          <w:i/>
          <w:color w:val="0B2B43" w:themeColor="text2" w:themeShade="80"/>
        </w:rPr>
        <w:t>Research Engagement for Australia: Measuring research engagement between universities and end users</w:t>
      </w:r>
      <w:r w:rsidRPr="007F16CF">
        <w:rPr>
          <w:color w:val="0B2B43" w:themeColor="text2" w:themeShade="80"/>
        </w:rPr>
        <w:t>.</w:t>
      </w:r>
    </w:p>
  </w:footnote>
  <w:footnote w:id="103">
    <w:p w:rsidR="00AC3592" w:rsidRPr="007F16CF" w:rsidRDefault="00AC3592" w:rsidP="002C6039">
      <w:pPr>
        <w:pStyle w:val="FootnoteText"/>
        <w:rPr>
          <w:color w:val="0B2B43" w:themeColor="text2" w:themeShade="80"/>
          <w:lang w:val="en-AU"/>
        </w:rPr>
      </w:pPr>
      <w:r w:rsidRPr="007F16CF">
        <w:rPr>
          <w:rStyle w:val="FootnoteReference"/>
          <w:color w:val="0B2B43" w:themeColor="text2" w:themeShade="80"/>
        </w:rPr>
        <w:footnoteRef/>
      </w:r>
      <w:r w:rsidRPr="007F16CF">
        <w:rPr>
          <w:rStyle w:val="FootnoteReference"/>
          <w:color w:val="0B2B43" w:themeColor="text2" w:themeShade="80"/>
        </w:rPr>
        <w:t xml:space="preserve"> </w:t>
      </w:r>
      <w:r w:rsidRPr="007F16CF">
        <w:rPr>
          <w:color w:val="0B2B43" w:themeColor="text2" w:themeShade="80"/>
        </w:rPr>
        <w:t xml:space="preserve">Australian Academy of </w:t>
      </w:r>
      <w:r>
        <w:rPr>
          <w:color w:val="0B2B43" w:themeColor="text2" w:themeShade="80"/>
        </w:rPr>
        <w:t>Technology</w:t>
      </w:r>
      <w:r w:rsidRPr="007F16CF">
        <w:rPr>
          <w:color w:val="0B2B43" w:themeColor="text2" w:themeShade="80"/>
        </w:rPr>
        <w:t xml:space="preserve"> and Engineering (</w:t>
      </w:r>
      <w:proofErr w:type="spellStart"/>
      <w:r w:rsidRPr="007F16CF">
        <w:rPr>
          <w:color w:val="0B2B43" w:themeColor="text2" w:themeShade="80"/>
        </w:rPr>
        <w:t>ATSE</w:t>
      </w:r>
      <w:proofErr w:type="spellEnd"/>
      <w:r w:rsidRPr="007F16CF">
        <w:rPr>
          <w:color w:val="0B2B43" w:themeColor="text2" w:themeShade="80"/>
        </w:rPr>
        <w:t xml:space="preserve">) 2015, </w:t>
      </w:r>
      <w:r w:rsidRPr="007F16CF">
        <w:rPr>
          <w:i/>
          <w:color w:val="0B2B43" w:themeColor="text2" w:themeShade="80"/>
        </w:rPr>
        <w:t>Research Engagement for Australia: Pilot Study Findings</w:t>
      </w:r>
      <w:r w:rsidRPr="007F16CF">
        <w:rPr>
          <w:color w:val="0B2B43" w:themeColor="text2" w:themeShade="80"/>
        </w:rPr>
        <w:t xml:space="preserve">. </w:t>
      </w:r>
    </w:p>
  </w:footnote>
  <w:footnote w:id="104">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w:t>
      </w:r>
      <w:proofErr w:type="spellStart"/>
      <w:r w:rsidRPr="007F16CF">
        <w:rPr>
          <w:color w:val="0B2B43" w:themeColor="text2" w:themeShade="80"/>
        </w:rPr>
        <w:t>ATSE</w:t>
      </w:r>
      <w:proofErr w:type="spellEnd"/>
      <w:r w:rsidRPr="007F16CF">
        <w:rPr>
          <w:color w:val="0B2B43" w:themeColor="text2" w:themeShade="80"/>
        </w:rPr>
        <w:t xml:space="preserve">, 2015, </w:t>
      </w:r>
      <w:r w:rsidRPr="007F16CF">
        <w:rPr>
          <w:i/>
          <w:color w:val="0B2B43" w:themeColor="text2" w:themeShade="80"/>
        </w:rPr>
        <w:t>Research Engagement for Australia: Measuring research engagement between universities and end users</w:t>
      </w:r>
      <w:r w:rsidRPr="007F16CF">
        <w:rPr>
          <w:color w:val="0B2B43" w:themeColor="text2" w:themeShade="80"/>
        </w:rPr>
        <w:t>.</w:t>
      </w:r>
    </w:p>
  </w:footnote>
  <w:footnote w:id="105">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w:t>
      </w:r>
      <w:proofErr w:type="gramStart"/>
      <w:r w:rsidRPr="007F16CF">
        <w:rPr>
          <w:color w:val="0B2B43" w:themeColor="text2" w:themeShade="80"/>
        </w:rPr>
        <w:t xml:space="preserve">Innovative Research Universities, 2015, </w:t>
      </w:r>
      <w:r w:rsidRPr="007F16CF">
        <w:rPr>
          <w:i/>
          <w:color w:val="0B2B43" w:themeColor="text2" w:themeShade="80"/>
        </w:rPr>
        <w:t>Measuring Research Value for End Users</w:t>
      </w:r>
      <w:r w:rsidRPr="007F16CF">
        <w:rPr>
          <w:color w:val="0B2B43" w:themeColor="text2" w:themeShade="80"/>
        </w:rPr>
        <w:t>.</w:t>
      </w:r>
      <w:proofErr w:type="gramEnd"/>
      <w:r w:rsidRPr="007F16CF">
        <w:rPr>
          <w:color w:val="0B2B43" w:themeColor="text2" w:themeShade="80"/>
        </w:rPr>
        <w:t xml:space="preserve"> </w:t>
      </w:r>
    </w:p>
  </w:footnote>
  <w:footnote w:id="106">
    <w:p w:rsidR="00AC3592" w:rsidRPr="007F16CF" w:rsidRDefault="00AC3592" w:rsidP="002C6039">
      <w:pPr>
        <w:pStyle w:val="FootnoteText"/>
        <w:rPr>
          <w:i/>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Manville</w:t>
      </w:r>
      <w:r w:rsidR="005A1437">
        <w:rPr>
          <w:color w:val="0B2B43" w:themeColor="text2" w:themeShade="80"/>
        </w:rPr>
        <w:t xml:space="preserve"> C, Guthrie S, </w:t>
      </w:r>
      <w:proofErr w:type="spellStart"/>
      <w:r w:rsidR="005A1437">
        <w:rPr>
          <w:color w:val="0B2B43" w:themeColor="text2" w:themeShade="80"/>
        </w:rPr>
        <w:t>Henham</w:t>
      </w:r>
      <w:proofErr w:type="spellEnd"/>
      <w:r w:rsidR="005A1437">
        <w:rPr>
          <w:color w:val="0B2B43" w:themeColor="text2" w:themeShade="80"/>
        </w:rPr>
        <w:t xml:space="preserve"> M, </w:t>
      </w:r>
      <w:proofErr w:type="spellStart"/>
      <w:r w:rsidR="005A1437">
        <w:rPr>
          <w:color w:val="0B2B43" w:themeColor="text2" w:themeShade="80"/>
        </w:rPr>
        <w:t>Garrod</w:t>
      </w:r>
      <w:proofErr w:type="spellEnd"/>
      <w:r w:rsidR="005A1437">
        <w:rPr>
          <w:color w:val="0B2B43" w:themeColor="text2" w:themeShade="80"/>
        </w:rPr>
        <w:t xml:space="preserve"> S, Sousa</w:t>
      </w:r>
      <w:r w:rsidRPr="007F16CF">
        <w:rPr>
          <w:color w:val="0B2B43" w:themeColor="text2" w:themeShade="80"/>
        </w:rPr>
        <w:t xml:space="preserve"> S, </w:t>
      </w:r>
      <w:proofErr w:type="spellStart"/>
      <w:r w:rsidRPr="007F16CF">
        <w:rPr>
          <w:color w:val="0B2B43" w:themeColor="text2" w:themeShade="80"/>
        </w:rPr>
        <w:t>Kirtley</w:t>
      </w:r>
      <w:proofErr w:type="spellEnd"/>
      <w:r w:rsidRPr="007F16CF">
        <w:rPr>
          <w:color w:val="0B2B43" w:themeColor="text2" w:themeShade="80"/>
        </w:rPr>
        <w:t xml:space="preserve"> A, Castle-Clarke S, Ling T, 2014.</w:t>
      </w:r>
    </w:p>
  </w:footnote>
  <w:footnote w:id="107">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Manville C, Morgan Jones M, </w:t>
      </w:r>
      <w:proofErr w:type="spellStart"/>
      <w:r w:rsidRPr="007F16CF">
        <w:rPr>
          <w:color w:val="0B2B43" w:themeColor="text2" w:themeShade="80"/>
        </w:rPr>
        <w:t>Frearson</w:t>
      </w:r>
      <w:proofErr w:type="spellEnd"/>
      <w:r w:rsidRPr="007F16CF">
        <w:rPr>
          <w:color w:val="0B2B43" w:themeColor="text2" w:themeShade="80"/>
        </w:rPr>
        <w:t xml:space="preserve"> M, Castle-Clarke S, </w:t>
      </w:r>
      <w:proofErr w:type="spellStart"/>
      <w:r w:rsidRPr="007F16CF">
        <w:rPr>
          <w:color w:val="0B2B43" w:themeColor="text2" w:themeShade="80"/>
        </w:rPr>
        <w:t>Henham</w:t>
      </w:r>
      <w:proofErr w:type="spellEnd"/>
      <w:r w:rsidRPr="007F16CF">
        <w:rPr>
          <w:color w:val="0B2B43" w:themeColor="text2" w:themeShade="80"/>
        </w:rPr>
        <w:t xml:space="preserve"> M, </w:t>
      </w:r>
      <w:proofErr w:type="spellStart"/>
      <w:r w:rsidRPr="007F16CF">
        <w:rPr>
          <w:color w:val="0B2B43" w:themeColor="text2" w:themeShade="80"/>
        </w:rPr>
        <w:t>Gunashekar</w:t>
      </w:r>
      <w:proofErr w:type="spellEnd"/>
      <w:r w:rsidRPr="007F16CF">
        <w:rPr>
          <w:color w:val="0B2B43" w:themeColor="text2" w:themeShade="80"/>
        </w:rPr>
        <w:t xml:space="preserve"> S, Grant, J, 2014. </w:t>
      </w:r>
    </w:p>
  </w:footnote>
  <w:footnote w:id="108">
    <w:p w:rsidR="00AC3592" w:rsidRPr="007F16CF" w:rsidRDefault="00AC3592" w:rsidP="00224828">
      <w:pPr>
        <w:spacing w:before="0" w:after="0"/>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w:t>
      </w:r>
      <w:r w:rsidRPr="007F16CF">
        <w:rPr>
          <w:rFonts w:asciiTheme="minorHAnsi" w:eastAsiaTheme="minorHAnsi" w:hAnsiTheme="minorHAnsi"/>
          <w:color w:val="0B2B43" w:themeColor="text2" w:themeShade="80"/>
          <w:sz w:val="20"/>
          <w:lang w:val="en-GB" w:eastAsia="en-GB"/>
        </w:rPr>
        <w:t>Ibid.</w:t>
      </w:r>
    </w:p>
  </w:footnote>
  <w:footnote w:id="109">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Department of Industry and Science, 2015,</w:t>
      </w:r>
      <w:r w:rsidRPr="007F16CF">
        <w:rPr>
          <w:i/>
          <w:color w:val="0B2B43" w:themeColor="text2" w:themeShade="80"/>
        </w:rPr>
        <w:t xml:space="preserve"> The Australian Government’s 2015-16 Science, Research and Innovation Budget Tables</w:t>
      </w:r>
      <w:r w:rsidRPr="007F16CF">
        <w:rPr>
          <w:color w:val="0B2B43" w:themeColor="text2" w:themeShade="80"/>
        </w:rPr>
        <w:t>, 30 July.</w:t>
      </w:r>
    </w:p>
  </w:footnote>
  <w:footnote w:id="110">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The 13 portfolios are (in order of amount of funding administered): Industry and Science, Education and Training, Health, Defence, Agriculture, Environment, Foreign Affairs and Trade, Social Services, Communications, Veterans’ Affairs, Infrastructure and Regional Development, Attorney-General’s, and Prime Minister and Cabinet.</w:t>
      </w:r>
    </w:p>
  </w:footnote>
  <w:footnote w:id="111">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proofErr w:type="gramStart"/>
      <w:r w:rsidRPr="007F16CF">
        <w:rPr>
          <w:color w:val="0B2B43" w:themeColor="text2" w:themeShade="80"/>
        </w:rPr>
        <w:t xml:space="preserve">Department of Industry and Science, 2015, </w:t>
      </w:r>
      <w:r w:rsidRPr="007F16CF">
        <w:rPr>
          <w:i/>
          <w:color w:val="0B2B43" w:themeColor="text2" w:themeShade="80"/>
        </w:rPr>
        <w:t>The Australian Government’s 2015-16 Science, Research and Innovation Budget Tables</w:t>
      </w:r>
      <w:r w:rsidRPr="007F16CF">
        <w:rPr>
          <w:color w:val="0B2B43" w:themeColor="text2" w:themeShade="80"/>
        </w:rPr>
        <w:t>.</w:t>
      </w:r>
      <w:proofErr w:type="gramEnd"/>
    </w:p>
  </w:footnote>
  <w:footnote w:id="112">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Office of the Chief Economist, 2014, </w:t>
      </w:r>
      <w:r w:rsidRPr="007F16CF">
        <w:rPr>
          <w:i/>
          <w:color w:val="0B2B43" w:themeColor="text2" w:themeShade="80"/>
        </w:rPr>
        <w:t>Australian Innovation System Report 2014</w:t>
      </w:r>
      <w:r w:rsidRPr="007F16CF">
        <w:rPr>
          <w:color w:val="0B2B43" w:themeColor="text2" w:themeShade="80"/>
        </w:rPr>
        <w:t>.</w:t>
      </w:r>
    </w:p>
  </w:footnote>
  <w:footnote w:id="113">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w:t>
      </w:r>
      <w:proofErr w:type="gramStart"/>
      <w:r w:rsidRPr="007F16CF">
        <w:rPr>
          <w:color w:val="0B2B43" w:themeColor="text2" w:themeShade="80"/>
        </w:rPr>
        <w:t xml:space="preserve">Research Excellence Framework, 2014, </w:t>
      </w:r>
      <w:r w:rsidRPr="007F16CF">
        <w:rPr>
          <w:i/>
          <w:color w:val="0B2B43" w:themeColor="text2" w:themeShade="80"/>
        </w:rPr>
        <w:t>Research Excellence Framework 2014: Assessment framework and guidance on submission</w:t>
      </w:r>
      <w:r w:rsidRPr="009C5616">
        <w:rPr>
          <w:rStyle w:val="Hyperlink"/>
          <w:color w:val="0B2B43" w:themeColor="text2" w:themeShade="80"/>
          <w:u w:val="none"/>
        </w:rPr>
        <w:t>.</w:t>
      </w:r>
      <w:proofErr w:type="gramEnd"/>
    </w:p>
  </w:footnote>
  <w:footnote w:id="114">
    <w:p w:rsidR="00AC3592" w:rsidRPr="007F16CF" w:rsidRDefault="00AC3592" w:rsidP="002C6039">
      <w:pPr>
        <w:spacing w:after="244"/>
        <w:ind w:left="-5"/>
        <w:contextualSpacing/>
        <w:rPr>
          <w:color w:val="0B2B43" w:themeColor="text2" w:themeShade="80"/>
          <w:sz w:val="20"/>
        </w:rPr>
      </w:pPr>
      <w:r w:rsidRPr="007F16CF">
        <w:rPr>
          <w:rStyle w:val="FootnoteReference"/>
          <w:color w:val="0B2B43" w:themeColor="text2" w:themeShade="80"/>
          <w:sz w:val="20"/>
        </w:rPr>
        <w:footnoteRef/>
      </w:r>
      <w:r w:rsidRPr="007F16CF">
        <w:rPr>
          <w:color w:val="0B2B43" w:themeColor="text2" w:themeShade="80"/>
          <w:sz w:val="20"/>
          <w:szCs w:val="20"/>
        </w:rPr>
        <w:t xml:space="preserve"> QS Top Universities, 2014, </w:t>
      </w:r>
      <w:proofErr w:type="gramStart"/>
      <w:r w:rsidRPr="007F16CF">
        <w:rPr>
          <w:i/>
          <w:color w:val="0B2B43" w:themeColor="text2" w:themeShade="80"/>
          <w:sz w:val="20"/>
          <w:szCs w:val="20"/>
        </w:rPr>
        <w:t>How</w:t>
      </w:r>
      <w:proofErr w:type="gramEnd"/>
      <w:r w:rsidRPr="007F16CF">
        <w:rPr>
          <w:i/>
          <w:color w:val="0B2B43" w:themeColor="text2" w:themeShade="80"/>
          <w:sz w:val="20"/>
          <w:szCs w:val="20"/>
        </w:rPr>
        <w:t xml:space="preserve"> do Universities Use Rankings?</w:t>
      </w:r>
    </w:p>
  </w:footnote>
  <w:footnote w:id="115">
    <w:p w:rsidR="00AC3592" w:rsidRPr="007F16CF" w:rsidRDefault="00AC3592" w:rsidP="002C6039">
      <w:pPr>
        <w:spacing w:after="244"/>
        <w:ind w:left="-5"/>
        <w:contextualSpacing/>
        <w:rPr>
          <w:color w:val="0B2B43" w:themeColor="text2" w:themeShade="80"/>
          <w:sz w:val="20"/>
        </w:rPr>
      </w:pPr>
      <w:r w:rsidRPr="007F16CF">
        <w:rPr>
          <w:color w:val="0B2B43" w:themeColor="text2" w:themeShade="80"/>
          <w:sz w:val="20"/>
          <w:vertAlign w:val="superscript"/>
        </w:rPr>
        <w:footnoteRef/>
      </w:r>
      <w:r w:rsidRPr="007F16CF">
        <w:rPr>
          <w:color w:val="0B2B43" w:themeColor="text2" w:themeShade="80"/>
          <w:sz w:val="20"/>
          <w:szCs w:val="20"/>
        </w:rPr>
        <w:t xml:space="preserve"> </w:t>
      </w:r>
      <w:proofErr w:type="spellStart"/>
      <w:r w:rsidRPr="007F16CF">
        <w:rPr>
          <w:color w:val="0B2B43" w:themeColor="text2" w:themeShade="80"/>
          <w:sz w:val="20"/>
          <w:szCs w:val="20"/>
        </w:rPr>
        <w:t>Wedlin</w:t>
      </w:r>
      <w:proofErr w:type="spellEnd"/>
      <w:r w:rsidRPr="007F16CF">
        <w:rPr>
          <w:color w:val="0B2B43" w:themeColor="text2" w:themeShade="80"/>
          <w:sz w:val="20"/>
          <w:szCs w:val="20"/>
        </w:rPr>
        <w:t xml:space="preserve"> L, 2014.</w:t>
      </w:r>
    </w:p>
  </w:footnote>
  <w:footnote w:id="116">
    <w:p w:rsidR="00AC3592" w:rsidRPr="007F16CF" w:rsidRDefault="00AC3592" w:rsidP="002C6039">
      <w:pPr>
        <w:spacing w:after="0"/>
        <w:ind w:left="-5"/>
        <w:contextualSpacing/>
        <w:rPr>
          <w:color w:val="0B2B43" w:themeColor="text2" w:themeShade="80"/>
          <w:sz w:val="20"/>
        </w:rPr>
      </w:pPr>
      <w:r w:rsidRPr="007F16CF">
        <w:rPr>
          <w:color w:val="0B2B43" w:themeColor="text2" w:themeShade="80"/>
          <w:sz w:val="20"/>
          <w:vertAlign w:val="superscript"/>
        </w:rPr>
        <w:footnoteRef/>
      </w:r>
      <w:r w:rsidRPr="007F16CF">
        <w:rPr>
          <w:color w:val="0B2B43" w:themeColor="text2" w:themeShade="80"/>
          <w:sz w:val="20"/>
          <w:szCs w:val="20"/>
        </w:rPr>
        <w:t xml:space="preserve"> QS Top Universities, 2014, </w:t>
      </w:r>
      <w:r w:rsidRPr="007F16CF">
        <w:rPr>
          <w:i/>
          <w:color w:val="0B2B43" w:themeColor="text2" w:themeShade="80"/>
          <w:sz w:val="20"/>
          <w:szCs w:val="20"/>
        </w:rPr>
        <w:t xml:space="preserve">A Decade of International Student Rankings; </w:t>
      </w:r>
      <w:proofErr w:type="gramStart"/>
      <w:r w:rsidRPr="007F16CF">
        <w:rPr>
          <w:i/>
          <w:color w:val="0B2B43" w:themeColor="text2" w:themeShade="80"/>
          <w:sz w:val="20"/>
          <w:szCs w:val="20"/>
        </w:rPr>
        <w:t>What</w:t>
      </w:r>
      <w:proofErr w:type="gramEnd"/>
      <w:r w:rsidRPr="007F16CF">
        <w:rPr>
          <w:i/>
          <w:color w:val="0B2B43" w:themeColor="text2" w:themeShade="80"/>
          <w:sz w:val="20"/>
          <w:szCs w:val="20"/>
        </w:rPr>
        <w:t xml:space="preserve"> do Students Think?</w:t>
      </w:r>
    </w:p>
  </w:footnote>
  <w:footnote w:id="117">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Pr>
          <w:color w:val="0B2B43" w:themeColor="text2" w:themeShade="80"/>
        </w:rPr>
        <w:t xml:space="preserve"> </w:t>
      </w:r>
      <w:proofErr w:type="gramStart"/>
      <w:r>
        <w:rPr>
          <w:color w:val="0B2B43" w:themeColor="text2" w:themeShade="80"/>
        </w:rPr>
        <w:t>Stella A</w:t>
      </w:r>
      <w:bookmarkStart w:id="438" w:name="_GoBack"/>
      <w:bookmarkEnd w:id="438"/>
      <w:r>
        <w:rPr>
          <w:color w:val="0B2B43" w:themeColor="text2" w:themeShade="80"/>
        </w:rPr>
        <w:t xml:space="preserve"> and</w:t>
      </w:r>
      <w:r w:rsidRPr="007F16CF">
        <w:rPr>
          <w:color w:val="0B2B43" w:themeColor="text2" w:themeShade="80"/>
        </w:rPr>
        <w:t xml:space="preserve"> Woodhouse D, 2008.</w:t>
      </w:r>
      <w:proofErr w:type="gramEnd"/>
    </w:p>
  </w:footnote>
  <w:footnote w:id="118">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Morse R, 2008.</w:t>
      </w:r>
    </w:p>
  </w:footnote>
  <w:footnote w:id="119">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The measurement of the teaching quality of a university is a controversial topic and without consensus for an appropriate metric. The main issue is identifying how the student has gained from the teaching experience. In effect it requires the testing of student before, during and after the university teaching experience and then somehow controlling for individual ability. Instead proxy style measures that survey students are used, though they are not without issues such as cognitive bias, individual perceptions of quality, and that students are not comparing experiences across universities but only at the university at which they are enrolled.</w:t>
      </w:r>
    </w:p>
  </w:footnote>
  <w:footnote w:id="120">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w:t>
      </w:r>
      <w:proofErr w:type="spellStart"/>
      <w:proofErr w:type="gramStart"/>
      <w:r w:rsidRPr="007F16CF">
        <w:rPr>
          <w:color w:val="0B2B43" w:themeColor="text2" w:themeShade="80"/>
        </w:rPr>
        <w:t>CWTS</w:t>
      </w:r>
      <w:proofErr w:type="spellEnd"/>
      <w:r w:rsidRPr="007F16CF">
        <w:rPr>
          <w:color w:val="0B2B43" w:themeColor="text2" w:themeShade="80"/>
        </w:rPr>
        <w:t xml:space="preserve"> Leiden University, 2015.</w:t>
      </w:r>
      <w:proofErr w:type="gramEnd"/>
    </w:p>
  </w:footnote>
  <w:footnote w:id="121">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w:t>
      </w:r>
      <w:proofErr w:type="spellStart"/>
      <w:proofErr w:type="gramStart"/>
      <w:r w:rsidRPr="007F16CF">
        <w:rPr>
          <w:color w:val="0B2B43" w:themeColor="text2" w:themeShade="80"/>
        </w:rPr>
        <w:t>SCImago</w:t>
      </w:r>
      <w:proofErr w:type="spellEnd"/>
      <w:r w:rsidRPr="007F16CF">
        <w:rPr>
          <w:color w:val="0B2B43" w:themeColor="text2" w:themeShade="80"/>
        </w:rPr>
        <w:t>, 2015.</w:t>
      </w:r>
      <w:proofErr w:type="gramEnd"/>
    </w:p>
  </w:footnote>
  <w:footnote w:id="122">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w:t>
      </w:r>
      <w:proofErr w:type="gramStart"/>
      <w:r w:rsidRPr="007F16CF">
        <w:rPr>
          <w:color w:val="0B2B43" w:themeColor="text2" w:themeShade="80"/>
        </w:rPr>
        <w:t>U-</w:t>
      </w:r>
      <w:proofErr w:type="spellStart"/>
      <w:r w:rsidRPr="007F16CF">
        <w:rPr>
          <w:color w:val="0B2B43" w:themeColor="text2" w:themeShade="80"/>
        </w:rPr>
        <w:t>Multirank</w:t>
      </w:r>
      <w:proofErr w:type="spellEnd"/>
      <w:r w:rsidRPr="007F16CF">
        <w:rPr>
          <w:color w:val="0B2B43" w:themeColor="text2" w:themeShade="80"/>
        </w:rPr>
        <w:t>, 2015.</w:t>
      </w:r>
      <w:proofErr w:type="gramEnd"/>
    </w:p>
  </w:footnote>
  <w:footnote w:id="123">
    <w:p w:rsidR="00AC3592" w:rsidRPr="00EC0A6D" w:rsidRDefault="00AC3592" w:rsidP="002C6039">
      <w:pPr>
        <w:pStyle w:val="FootnoteText"/>
        <w:rPr>
          <w:color w:val="0B2B43" w:themeColor="text2" w:themeShade="80"/>
        </w:rPr>
      </w:pPr>
      <w:r w:rsidRPr="00EC0A6D">
        <w:rPr>
          <w:rStyle w:val="FootnoteReference"/>
          <w:color w:val="0B2B43" w:themeColor="text2" w:themeShade="80"/>
        </w:rPr>
        <w:footnoteRef/>
      </w:r>
      <w:r w:rsidRPr="00EC0A6D">
        <w:rPr>
          <w:color w:val="0B2B43" w:themeColor="text2" w:themeShade="80"/>
        </w:rPr>
        <w:t xml:space="preserve"> </w:t>
      </w:r>
      <w:proofErr w:type="spellStart"/>
      <w:r w:rsidRPr="00EC0A6D">
        <w:rPr>
          <w:color w:val="0B2B43" w:themeColor="text2" w:themeShade="80"/>
        </w:rPr>
        <w:t>Bothwell</w:t>
      </w:r>
      <w:proofErr w:type="spellEnd"/>
      <w:r w:rsidRPr="00EC0A6D">
        <w:rPr>
          <w:color w:val="0B2B43" w:themeColor="text2" w:themeShade="80"/>
        </w:rPr>
        <w:t xml:space="preserve"> E, 2015.</w:t>
      </w:r>
    </w:p>
  </w:footnote>
  <w:footnote w:id="124">
    <w:p w:rsidR="00AC3592" w:rsidRPr="007F16CF" w:rsidRDefault="00AC3592" w:rsidP="002C6039">
      <w:pPr>
        <w:pStyle w:val="footnotedescription"/>
        <w:rPr>
          <w:color w:val="0B2B43" w:themeColor="text2" w:themeShade="80"/>
        </w:rPr>
      </w:pPr>
      <w:r w:rsidRPr="00EC0A6D">
        <w:rPr>
          <w:rStyle w:val="footnotemark"/>
          <w:color w:val="0B2B43" w:themeColor="text2" w:themeShade="80"/>
        </w:rPr>
        <w:footnoteRef/>
      </w:r>
      <w:hyperlink r:id="rId3">
        <w:r w:rsidRPr="00EC0A6D">
          <w:rPr>
            <w:color w:val="0B2B43" w:themeColor="text2" w:themeShade="80"/>
            <w:vertAlign w:val="baseline"/>
          </w:rPr>
          <w:t xml:space="preserve"> </w:t>
        </w:r>
      </w:hyperlink>
      <w:r w:rsidRPr="00EC0A6D">
        <w:rPr>
          <w:color w:val="0B2B43" w:themeColor="text2" w:themeShade="80"/>
          <w:vertAlign w:val="baseline"/>
        </w:rPr>
        <w:t>Ibid.</w:t>
      </w:r>
      <w:r>
        <w:rPr>
          <w:color w:val="0B2B43" w:themeColor="text2" w:themeShade="80"/>
          <w:vertAlign w:val="baseline"/>
        </w:rPr>
        <w:t xml:space="preserve"> </w:t>
      </w:r>
      <w:r w:rsidRPr="00EC0A6D">
        <w:rPr>
          <w:color w:val="0B2B43" w:themeColor="text2" w:themeShade="80"/>
          <w:vertAlign w:val="baseline"/>
        </w:rPr>
        <w:t xml:space="preserve">Australia had only one research institution, and no universities, which ranked against any of the innovation indicators — the </w:t>
      </w:r>
      <w:proofErr w:type="spellStart"/>
      <w:r w:rsidRPr="00EC0A6D">
        <w:rPr>
          <w:color w:val="0B2B43" w:themeColor="text2" w:themeShade="80"/>
          <w:vertAlign w:val="baseline"/>
        </w:rPr>
        <w:t>QIMR</w:t>
      </w:r>
      <w:proofErr w:type="spellEnd"/>
      <w:r w:rsidRPr="00EC0A6D">
        <w:rPr>
          <w:color w:val="0B2B43" w:themeColor="text2" w:themeShade="80"/>
          <w:vertAlign w:val="baseline"/>
        </w:rPr>
        <w:t xml:space="preserve"> </w:t>
      </w:r>
      <w:proofErr w:type="spellStart"/>
      <w:r w:rsidRPr="00EC0A6D">
        <w:rPr>
          <w:color w:val="0B2B43" w:themeColor="text2" w:themeShade="80"/>
          <w:vertAlign w:val="baseline"/>
        </w:rPr>
        <w:t>Berghofer</w:t>
      </w:r>
      <w:proofErr w:type="spellEnd"/>
      <w:r w:rsidRPr="00EC0A6D">
        <w:rPr>
          <w:color w:val="0B2B43" w:themeColor="text2" w:themeShade="80"/>
          <w:vertAlign w:val="baseline"/>
        </w:rPr>
        <w:t xml:space="preserve"> Medic</w:t>
      </w:r>
      <w:r w:rsidR="00D96637">
        <w:rPr>
          <w:color w:val="0B2B43" w:themeColor="text2" w:themeShade="80"/>
          <w:vertAlign w:val="baseline"/>
        </w:rPr>
        <w:t xml:space="preserve">al Research Institute ranked </w:t>
      </w:r>
      <w:proofErr w:type="gramStart"/>
      <w:r w:rsidR="00D96637">
        <w:rPr>
          <w:color w:val="0B2B43" w:themeColor="text2" w:themeShade="80"/>
          <w:vertAlign w:val="baseline"/>
        </w:rPr>
        <w:t>6</w:t>
      </w:r>
      <w:r w:rsidR="00D96637" w:rsidRPr="00D96637">
        <w:rPr>
          <w:color w:val="0B2B43" w:themeColor="text2" w:themeShade="80"/>
        </w:rPr>
        <w:t>th</w:t>
      </w:r>
      <w:proofErr w:type="gramEnd"/>
      <w:r w:rsidR="00D96637">
        <w:rPr>
          <w:color w:val="0B2B43" w:themeColor="text2" w:themeShade="80"/>
          <w:vertAlign w:val="baseline"/>
        </w:rPr>
        <w:t xml:space="preserve"> </w:t>
      </w:r>
      <w:r w:rsidRPr="00EC0A6D">
        <w:rPr>
          <w:color w:val="0B2B43" w:themeColor="text2" w:themeShade="80"/>
          <w:vertAlign w:val="baseline"/>
        </w:rPr>
        <w:t>on the patent citations indicator.</w:t>
      </w:r>
    </w:p>
  </w:footnote>
  <w:footnote w:id="125">
    <w:p w:rsidR="00AC3592" w:rsidRPr="007F16CF" w:rsidRDefault="00AC3592" w:rsidP="002C6039">
      <w:pPr>
        <w:pStyle w:val="FootnoteText"/>
        <w:rPr>
          <w:color w:val="0B2B43" w:themeColor="text2" w:themeShade="80"/>
        </w:rPr>
      </w:pPr>
      <w:r w:rsidRPr="007F16CF">
        <w:rPr>
          <w:rStyle w:val="FootnoteReference"/>
          <w:color w:val="0B2B43" w:themeColor="text2" w:themeShade="80"/>
        </w:rPr>
        <w:footnoteRef/>
      </w:r>
      <w:r w:rsidRPr="007F16CF">
        <w:rPr>
          <w:color w:val="0B2B43" w:themeColor="text2" w:themeShade="80"/>
        </w:rPr>
        <w:t xml:space="preserve"> </w:t>
      </w:r>
      <w:proofErr w:type="gramStart"/>
      <w:r w:rsidRPr="007F16CF">
        <w:rPr>
          <w:color w:val="0B2B43" w:themeColor="text2" w:themeShade="80"/>
        </w:rPr>
        <w:t xml:space="preserve">Department of Education and Training, 2015, </w:t>
      </w:r>
      <w:r w:rsidRPr="007F16CF">
        <w:rPr>
          <w:i/>
          <w:color w:val="0B2B43" w:themeColor="text2" w:themeShade="80"/>
        </w:rPr>
        <w:t>International Student Survey 2014, Overview Report</w:t>
      </w:r>
      <w:r w:rsidRPr="007F16CF">
        <w:rPr>
          <w:color w:val="0B2B43" w:themeColor="text2" w:themeShade="80"/>
        </w:rPr>
        <w:t>.</w:t>
      </w:r>
      <w:proofErr w:type="gramEnd"/>
    </w:p>
  </w:footnote>
  <w:footnote w:id="126">
    <w:p w:rsidR="00AC3592" w:rsidRPr="007F16CF" w:rsidRDefault="00AC3592" w:rsidP="002C6039">
      <w:pPr>
        <w:pStyle w:val="footnotedescription"/>
        <w:rPr>
          <w:color w:val="0B2B43" w:themeColor="text2" w:themeShade="80"/>
        </w:rPr>
      </w:pPr>
      <w:r w:rsidRPr="007F16CF">
        <w:rPr>
          <w:rStyle w:val="footnotemark"/>
          <w:color w:val="0B2B43" w:themeColor="text2" w:themeShade="80"/>
        </w:rPr>
        <w:footnoteRef/>
      </w:r>
      <w:hyperlink r:id="rId4" w:history="1">
        <w:r w:rsidRPr="006A5A1F">
          <w:rPr>
            <w:rStyle w:val="Hyperlink"/>
            <w:color w:val="0B2B43" w:themeColor="text2" w:themeShade="80"/>
            <w:u w:val="none"/>
            <w:vertAlign w:val="baseline"/>
          </w:rPr>
          <w:t xml:space="preserve"> </w:t>
        </w:r>
      </w:hyperlink>
      <w:r>
        <w:rPr>
          <w:color w:val="0B2B43" w:themeColor="text2" w:themeShade="80"/>
        </w:rPr>
        <w:t xml:space="preserve"> </w:t>
      </w:r>
      <w:r w:rsidRPr="007F16CF">
        <w:rPr>
          <w:color w:val="0B2B43" w:themeColor="text2" w:themeShade="80"/>
          <w:vertAlign w:val="baseline"/>
        </w:rPr>
        <w:t>Bothwell 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592" w:rsidRDefault="00AC35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592" w:rsidRPr="00DA12D2" w:rsidRDefault="00AC3592" w:rsidP="00985E6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856D3"/>
    <w:multiLevelType w:val="hybridMultilevel"/>
    <w:tmpl w:val="24229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8256D3"/>
    <w:multiLevelType w:val="hybridMultilevel"/>
    <w:tmpl w:val="68E6D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B46AE3"/>
    <w:multiLevelType w:val="hybridMultilevel"/>
    <w:tmpl w:val="54A4AEA8"/>
    <w:lvl w:ilvl="0" w:tplc="0C090001">
      <w:start w:val="1"/>
      <w:numFmt w:val="bullet"/>
      <w:lvlText w:val=""/>
      <w:lvlJc w:val="left"/>
      <w:pPr>
        <w:ind w:left="720" w:hanging="360"/>
      </w:pPr>
      <w:rPr>
        <w:rFonts w:ascii="Symbol" w:hAnsi="Symbol" w:hint="default"/>
      </w:rPr>
    </w:lvl>
    <w:lvl w:ilvl="1" w:tplc="DB62DBB2">
      <w:start w:val="50"/>
      <w:numFmt w:val="bullet"/>
      <w:lvlText w:val="•"/>
      <w:lvlJc w:val="left"/>
      <w:pPr>
        <w:ind w:left="1800" w:hanging="720"/>
      </w:pPr>
      <w:rPr>
        <w:rFonts w:ascii="Calibri" w:eastAsiaTheme="minorEastAsia"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3C374F3"/>
    <w:multiLevelType w:val="hybridMultilevel"/>
    <w:tmpl w:val="7942509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065C2633"/>
    <w:multiLevelType w:val="hybridMultilevel"/>
    <w:tmpl w:val="77C8B6B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06E81900"/>
    <w:multiLevelType w:val="hybridMultilevel"/>
    <w:tmpl w:val="89D40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8A67719"/>
    <w:multiLevelType w:val="hybridMultilevel"/>
    <w:tmpl w:val="BAFAB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EAB690D"/>
    <w:multiLevelType w:val="hybridMultilevel"/>
    <w:tmpl w:val="00AAE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F556ABD"/>
    <w:multiLevelType w:val="hybridMultilevel"/>
    <w:tmpl w:val="3B78D19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12A900A7"/>
    <w:multiLevelType w:val="hybridMultilevel"/>
    <w:tmpl w:val="773A4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64A4A85"/>
    <w:multiLevelType w:val="hybridMultilevel"/>
    <w:tmpl w:val="0B4CB0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nsid w:val="179A169A"/>
    <w:multiLevelType w:val="hybridMultilevel"/>
    <w:tmpl w:val="AE463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7C230D2"/>
    <w:multiLevelType w:val="hybridMultilevel"/>
    <w:tmpl w:val="575CF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A027D38"/>
    <w:multiLevelType w:val="hybridMultilevel"/>
    <w:tmpl w:val="29309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D840746"/>
    <w:multiLevelType w:val="hybridMultilevel"/>
    <w:tmpl w:val="73680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DF16718"/>
    <w:multiLevelType w:val="hybridMultilevel"/>
    <w:tmpl w:val="AF50F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EA60FD9"/>
    <w:multiLevelType w:val="hybridMultilevel"/>
    <w:tmpl w:val="31ACE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F275848"/>
    <w:multiLevelType w:val="hybridMultilevel"/>
    <w:tmpl w:val="2278A600"/>
    <w:lvl w:ilvl="0" w:tplc="A42A4A18">
      <w:start w:val="1"/>
      <w:numFmt w:val="decimal"/>
      <w:lvlText w:val="%1."/>
      <w:lvlJc w:val="left"/>
      <w:pPr>
        <w:ind w:left="36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nsid w:val="1FFB1884"/>
    <w:multiLevelType w:val="hybridMultilevel"/>
    <w:tmpl w:val="4B64B06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20ED5E4E"/>
    <w:multiLevelType w:val="hybridMultilevel"/>
    <w:tmpl w:val="5DF88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2B94034"/>
    <w:multiLevelType w:val="hybridMultilevel"/>
    <w:tmpl w:val="7942509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23145C0F"/>
    <w:multiLevelType w:val="hybridMultilevel"/>
    <w:tmpl w:val="B7B66B8E"/>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nsid w:val="25D505F1"/>
    <w:multiLevelType w:val="hybridMultilevel"/>
    <w:tmpl w:val="201E9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A7F0C4C"/>
    <w:multiLevelType w:val="hybridMultilevel"/>
    <w:tmpl w:val="FA6CCE84"/>
    <w:lvl w:ilvl="0" w:tplc="14BCE668">
      <w:start w:val="1"/>
      <w:numFmt w:val="decimal"/>
      <w:lvlText w:val="%1."/>
      <w:lvlJc w:val="left"/>
      <w:pPr>
        <w:ind w:left="360" w:hanging="360"/>
      </w:pPr>
      <w:rPr>
        <w:b w:val="0"/>
        <w:i w:val="0"/>
      </w:rPr>
    </w:lvl>
    <w:lvl w:ilvl="1" w:tplc="38625674">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2BE06CB6"/>
    <w:multiLevelType w:val="hybridMultilevel"/>
    <w:tmpl w:val="86AA9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C464036"/>
    <w:multiLevelType w:val="hybridMultilevel"/>
    <w:tmpl w:val="37B22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2CBA1327"/>
    <w:multiLevelType w:val="hybridMultilevel"/>
    <w:tmpl w:val="B7B66B8E"/>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nsid w:val="32257718"/>
    <w:multiLevelType w:val="hybridMultilevel"/>
    <w:tmpl w:val="4686D2E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338D5EBA"/>
    <w:multiLevelType w:val="hybridMultilevel"/>
    <w:tmpl w:val="81D4373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nsid w:val="351D55A7"/>
    <w:multiLevelType w:val="hybridMultilevel"/>
    <w:tmpl w:val="54B2B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5B758FB"/>
    <w:multiLevelType w:val="hybridMultilevel"/>
    <w:tmpl w:val="DA8CD238"/>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33">
    <w:nsid w:val="39911EEE"/>
    <w:multiLevelType w:val="hybridMultilevel"/>
    <w:tmpl w:val="B7B66B8E"/>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nsid w:val="40AA7C1E"/>
    <w:multiLevelType w:val="hybridMultilevel"/>
    <w:tmpl w:val="D7F2E5FE"/>
    <w:lvl w:ilvl="0" w:tplc="A42A4A18">
      <w:start w:val="1"/>
      <w:numFmt w:val="decimal"/>
      <w:lvlText w:val="%1."/>
      <w:lvlJc w:val="left"/>
      <w:pPr>
        <w:ind w:left="360" w:hanging="360"/>
      </w:pPr>
      <w:rPr>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40D625C0"/>
    <w:multiLevelType w:val="hybridMultilevel"/>
    <w:tmpl w:val="F092C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3136009"/>
    <w:multiLevelType w:val="hybridMultilevel"/>
    <w:tmpl w:val="14266EDA"/>
    <w:lvl w:ilvl="0" w:tplc="0C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nsid w:val="436C4C91"/>
    <w:multiLevelType w:val="hybridMultilevel"/>
    <w:tmpl w:val="2A3A6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48C60ED2"/>
    <w:multiLevelType w:val="hybridMultilevel"/>
    <w:tmpl w:val="86B66BC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nsid w:val="4AD05F91"/>
    <w:multiLevelType w:val="hybridMultilevel"/>
    <w:tmpl w:val="32765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4C853CA0"/>
    <w:multiLevelType w:val="hybridMultilevel"/>
    <w:tmpl w:val="F586B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4D075AED"/>
    <w:multiLevelType w:val="hybridMultilevel"/>
    <w:tmpl w:val="07B4D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4D2B38D4"/>
    <w:multiLevelType w:val="hybridMultilevel"/>
    <w:tmpl w:val="CB1C78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4E334BEF"/>
    <w:multiLevelType w:val="hybridMultilevel"/>
    <w:tmpl w:val="7942509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nsid w:val="50D12B26"/>
    <w:multiLevelType w:val="hybridMultilevel"/>
    <w:tmpl w:val="0A5E3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
    <w:nsid w:val="5B476B9B"/>
    <w:multiLevelType w:val="hybridMultilevel"/>
    <w:tmpl w:val="E4D2D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5ED13503"/>
    <w:multiLevelType w:val="hybridMultilevel"/>
    <w:tmpl w:val="C59CA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60172F5B"/>
    <w:multiLevelType w:val="hybridMultilevel"/>
    <w:tmpl w:val="E48C6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604F0002"/>
    <w:multiLevelType w:val="hybridMultilevel"/>
    <w:tmpl w:val="E61ED25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nsid w:val="621D4A13"/>
    <w:multiLevelType w:val="hybridMultilevel"/>
    <w:tmpl w:val="E97AA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6328419C"/>
    <w:multiLevelType w:val="hybridMultilevel"/>
    <w:tmpl w:val="9AE48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63381B50"/>
    <w:multiLevelType w:val="hybridMultilevel"/>
    <w:tmpl w:val="F0FA2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63DE7765"/>
    <w:multiLevelType w:val="hybridMultilevel"/>
    <w:tmpl w:val="4428497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nsid w:val="66EE0625"/>
    <w:multiLevelType w:val="hybridMultilevel"/>
    <w:tmpl w:val="DAF0D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67783EBA"/>
    <w:multiLevelType w:val="hybridMultilevel"/>
    <w:tmpl w:val="49862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6C1665E4"/>
    <w:multiLevelType w:val="hybridMultilevel"/>
    <w:tmpl w:val="39340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6DF115A0"/>
    <w:multiLevelType w:val="hybridMultilevel"/>
    <w:tmpl w:val="A3BAA3B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nsid w:val="6E1157FB"/>
    <w:multiLevelType w:val="hybridMultilevel"/>
    <w:tmpl w:val="E1063742"/>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9">
    <w:nsid w:val="701B1028"/>
    <w:multiLevelType w:val="hybridMultilevel"/>
    <w:tmpl w:val="E4A41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705F3157"/>
    <w:multiLevelType w:val="hybridMultilevel"/>
    <w:tmpl w:val="CE3C5FFC"/>
    <w:lvl w:ilvl="0" w:tplc="14BCE668">
      <w:start w:val="1"/>
      <w:numFmt w:val="decimal"/>
      <w:lvlText w:val="%1."/>
      <w:lvlJc w:val="left"/>
      <w:pPr>
        <w:ind w:left="360" w:hanging="360"/>
      </w:pPr>
      <w:rPr>
        <w:b w:val="0"/>
        <w:i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1">
    <w:nsid w:val="72601247"/>
    <w:multiLevelType w:val="hybridMultilevel"/>
    <w:tmpl w:val="B7B66B8E"/>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2">
    <w:nsid w:val="72E03F83"/>
    <w:multiLevelType w:val="hybridMultilevel"/>
    <w:tmpl w:val="8A6CB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749958C4"/>
    <w:multiLevelType w:val="hybridMultilevel"/>
    <w:tmpl w:val="652EF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75C43C17"/>
    <w:multiLevelType w:val="hybridMultilevel"/>
    <w:tmpl w:val="9CB65D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nsid w:val="76D47C8D"/>
    <w:multiLevelType w:val="hybridMultilevel"/>
    <w:tmpl w:val="DFEE6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7B861785"/>
    <w:multiLevelType w:val="hybridMultilevel"/>
    <w:tmpl w:val="48C62A3E"/>
    <w:lvl w:ilvl="0" w:tplc="14BCE668">
      <w:start w:val="1"/>
      <w:numFmt w:val="decimal"/>
      <w:lvlText w:val="%1."/>
      <w:lvlJc w:val="left"/>
      <w:pPr>
        <w:ind w:left="360" w:hanging="360"/>
      </w:pPr>
      <w:rPr>
        <w:b w:val="0"/>
        <w:i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nsid w:val="7E7E0B06"/>
    <w:multiLevelType w:val="hybridMultilevel"/>
    <w:tmpl w:val="2C26F1FC"/>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nsid w:val="7EC4719F"/>
    <w:multiLevelType w:val="hybridMultilevel"/>
    <w:tmpl w:val="51A82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45"/>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num>
  <w:num w:numId="5">
    <w:abstractNumId w:val="43"/>
  </w:num>
  <w:num w:numId="6">
    <w:abstractNumId w:val="31"/>
  </w:num>
  <w:num w:numId="7">
    <w:abstractNumId w:val="46"/>
  </w:num>
  <w:num w:numId="8">
    <w:abstractNumId w:val="7"/>
  </w:num>
  <w:num w:numId="9">
    <w:abstractNumId w:val="13"/>
  </w:num>
  <w:num w:numId="10">
    <w:abstractNumId w:val="47"/>
  </w:num>
  <w:num w:numId="11">
    <w:abstractNumId w:val="21"/>
  </w:num>
  <w:num w:numId="12">
    <w:abstractNumId w:val="48"/>
  </w:num>
  <w:num w:numId="13">
    <w:abstractNumId w:val="50"/>
  </w:num>
  <w:num w:numId="14">
    <w:abstractNumId w:val="14"/>
  </w:num>
  <w:num w:numId="15">
    <w:abstractNumId w:val="0"/>
  </w:num>
  <w:num w:numId="16">
    <w:abstractNumId w:val="44"/>
  </w:num>
  <w:num w:numId="17">
    <w:abstractNumId w:val="56"/>
  </w:num>
  <w:num w:numId="18">
    <w:abstractNumId w:val="55"/>
  </w:num>
  <w:num w:numId="19">
    <w:abstractNumId w:val="37"/>
  </w:num>
  <w:num w:numId="20">
    <w:abstractNumId w:val="9"/>
  </w:num>
  <w:num w:numId="21">
    <w:abstractNumId w:val="2"/>
  </w:num>
  <w:num w:numId="22">
    <w:abstractNumId w:val="65"/>
  </w:num>
  <w:num w:numId="23">
    <w:abstractNumId w:val="12"/>
  </w:num>
  <w:num w:numId="24">
    <w:abstractNumId w:val="10"/>
  </w:num>
  <w:num w:numId="25">
    <w:abstractNumId w:val="32"/>
  </w:num>
  <w:num w:numId="26">
    <w:abstractNumId w:val="18"/>
  </w:num>
  <w:num w:numId="27">
    <w:abstractNumId w:val="35"/>
  </w:num>
  <w:num w:numId="28">
    <w:abstractNumId w:val="63"/>
  </w:num>
  <w:num w:numId="29">
    <w:abstractNumId w:val="68"/>
  </w:num>
  <w:num w:numId="30">
    <w:abstractNumId w:val="59"/>
  </w:num>
  <w:num w:numId="31">
    <w:abstractNumId w:val="17"/>
  </w:num>
  <w:num w:numId="32">
    <w:abstractNumId w:val="5"/>
  </w:num>
  <w:num w:numId="33">
    <w:abstractNumId w:val="16"/>
  </w:num>
  <w:num w:numId="34">
    <w:abstractNumId w:val="60"/>
  </w:num>
  <w:num w:numId="35">
    <w:abstractNumId w:val="15"/>
  </w:num>
  <w:num w:numId="36">
    <w:abstractNumId w:val="3"/>
  </w:num>
  <w:num w:numId="37">
    <w:abstractNumId w:val="30"/>
  </w:num>
  <w:num w:numId="38">
    <w:abstractNumId w:val="8"/>
  </w:num>
  <w:num w:numId="39">
    <w:abstractNumId w:val="4"/>
  </w:num>
  <w:num w:numId="40">
    <w:abstractNumId w:val="57"/>
  </w:num>
  <w:num w:numId="41">
    <w:abstractNumId w:val="49"/>
  </w:num>
  <w:num w:numId="42">
    <w:abstractNumId w:val="20"/>
  </w:num>
  <w:num w:numId="43">
    <w:abstractNumId w:val="53"/>
  </w:num>
  <w:num w:numId="44">
    <w:abstractNumId w:val="38"/>
  </w:num>
  <w:num w:numId="45">
    <w:abstractNumId w:val="67"/>
  </w:num>
  <w:num w:numId="46">
    <w:abstractNumId w:val="61"/>
  </w:num>
  <w:num w:numId="47">
    <w:abstractNumId w:val="24"/>
  </w:num>
  <w:num w:numId="48">
    <w:abstractNumId w:val="54"/>
  </w:num>
  <w:num w:numId="49">
    <w:abstractNumId w:val="40"/>
  </w:num>
  <w:num w:numId="50">
    <w:abstractNumId w:val="6"/>
  </w:num>
  <w:num w:numId="51">
    <w:abstractNumId w:val="39"/>
  </w:num>
  <w:num w:numId="52">
    <w:abstractNumId w:val="27"/>
  </w:num>
  <w:num w:numId="53">
    <w:abstractNumId w:val="52"/>
  </w:num>
  <w:num w:numId="54">
    <w:abstractNumId w:val="1"/>
  </w:num>
  <w:num w:numId="55">
    <w:abstractNumId w:val="51"/>
  </w:num>
  <w:num w:numId="56">
    <w:abstractNumId w:val="41"/>
  </w:num>
  <w:num w:numId="57">
    <w:abstractNumId w:val="29"/>
  </w:num>
  <w:num w:numId="58">
    <w:abstractNumId w:val="26"/>
  </w:num>
  <w:num w:numId="59">
    <w:abstractNumId w:val="36"/>
  </w:num>
  <w:num w:numId="60">
    <w:abstractNumId w:val="42"/>
  </w:num>
  <w:num w:numId="61">
    <w:abstractNumId w:val="62"/>
  </w:num>
  <w:num w:numId="62">
    <w:abstractNumId w:val="64"/>
  </w:num>
  <w:num w:numId="63">
    <w:abstractNumId w:val="25"/>
  </w:num>
  <w:num w:numId="64">
    <w:abstractNumId w:val="28"/>
  </w:num>
  <w:num w:numId="65">
    <w:abstractNumId w:val="66"/>
  </w:num>
  <w:num w:numId="66">
    <w:abstractNumId w:val="33"/>
  </w:num>
  <w:num w:numId="67">
    <w:abstractNumId w:val="23"/>
  </w:num>
  <w:num w:numId="68">
    <w:abstractNumId w:val="58"/>
  </w:num>
  <w:num w:numId="69">
    <w:abstractNumId w:val="2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activeWritingStyle w:appName="MSWord" w:lang="en-US" w:vendorID="64" w:dllVersion="131078" w:nlCheck="1" w:checkStyle="0"/>
  <w:activeWritingStyle w:appName="MSWord" w:lang="en-AU" w:vendorID="64" w:dllVersion="131078" w:nlCheck="1" w:checkStyle="0"/>
  <w:activeWritingStyle w:appName="MSWord" w:lang="en-GB" w:vendorID="64" w:dllVersion="131078" w:nlCheck="1" w:checkStyle="1"/>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F9569E"/>
    <w:rsid w:val="00000773"/>
    <w:rsid w:val="00002721"/>
    <w:rsid w:val="00004F2B"/>
    <w:rsid w:val="00007E0C"/>
    <w:rsid w:val="00010700"/>
    <w:rsid w:val="0001555F"/>
    <w:rsid w:val="000171A2"/>
    <w:rsid w:val="00023134"/>
    <w:rsid w:val="000246DF"/>
    <w:rsid w:val="00024E24"/>
    <w:rsid w:val="00025983"/>
    <w:rsid w:val="00027BEA"/>
    <w:rsid w:val="000301D7"/>
    <w:rsid w:val="0003304D"/>
    <w:rsid w:val="00033AD4"/>
    <w:rsid w:val="0003403E"/>
    <w:rsid w:val="000341B3"/>
    <w:rsid w:val="00034E98"/>
    <w:rsid w:val="00034EAA"/>
    <w:rsid w:val="00044090"/>
    <w:rsid w:val="00047266"/>
    <w:rsid w:val="0005172A"/>
    <w:rsid w:val="00051B4A"/>
    <w:rsid w:val="00053D66"/>
    <w:rsid w:val="00054519"/>
    <w:rsid w:val="00054BD8"/>
    <w:rsid w:val="00054DCC"/>
    <w:rsid w:val="00055021"/>
    <w:rsid w:val="00055875"/>
    <w:rsid w:val="00056125"/>
    <w:rsid w:val="0006123D"/>
    <w:rsid w:val="00061AC9"/>
    <w:rsid w:val="00062298"/>
    <w:rsid w:val="00063F31"/>
    <w:rsid w:val="000653ED"/>
    <w:rsid w:val="00073507"/>
    <w:rsid w:val="00076970"/>
    <w:rsid w:val="00076E70"/>
    <w:rsid w:val="0008103C"/>
    <w:rsid w:val="00082F37"/>
    <w:rsid w:val="00085E60"/>
    <w:rsid w:val="0008613B"/>
    <w:rsid w:val="000861A6"/>
    <w:rsid w:val="000875BF"/>
    <w:rsid w:val="000930F4"/>
    <w:rsid w:val="00094922"/>
    <w:rsid w:val="000A00D1"/>
    <w:rsid w:val="000A39F9"/>
    <w:rsid w:val="000A3EB2"/>
    <w:rsid w:val="000A414A"/>
    <w:rsid w:val="000A52AC"/>
    <w:rsid w:val="000B06B2"/>
    <w:rsid w:val="000B47F8"/>
    <w:rsid w:val="000B6552"/>
    <w:rsid w:val="000C1AA0"/>
    <w:rsid w:val="000C47AE"/>
    <w:rsid w:val="000C683A"/>
    <w:rsid w:val="000C7533"/>
    <w:rsid w:val="000C7C66"/>
    <w:rsid w:val="000D2580"/>
    <w:rsid w:val="000D6299"/>
    <w:rsid w:val="000D7328"/>
    <w:rsid w:val="000D7FD3"/>
    <w:rsid w:val="000E1A25"/>
    <w:rsid w:val="000E25A7"/>
    <w:rsid w:val="000E3D28"/>
    <w:rsid w:val="000E4BAE"/>
    <w:rsid w:val="000E7E7B"/>
    <w:rsid w:val="000F1238"/>
    <w:rsid w:val="000F1AE8"/>
    <w:rsid w:val="000F1B9B"/>
    <w:rsid w:val="000F3BA2"/>
    <w:rsid w:val="000F59D4"/>
    <w:rsid w:val="000F7129"/>
    <w:rsid w:val="0011431B"/>
    <w:rsid w:val="001175BF"/>
    <w:rsid w:val="001208F7"/>
    <w:rsid w:val="00121BF6"/>
    <w:rsid w:val="0012231D"/>
    <w:rsid w:val="0012326B"/>
    <w:rsid w:val="00123B8F"/>
    <w:rsid w:val="00124309"/>
    <w:rsid w:val="00126B9F"/>
    <w:rsid w:val="00130923"/>
    <w:rsid w:val="00131920"/>
    <w:rsid w:val="00133CFF"/>
    <w:rsid w:val="001344E8"/>
    <w:rsid w:val="00134B0F"/>
    <w:rsid w:val="00137083"/>
    <w:rsid w:val="001414F3"/>
    <w:rsid w:val="00143FCD"/>
    <w:rsid w:val="0014465E"/>
    <w:rsid w:val="00152006"/>
    <w:rsid w:val="00153188"/>
    <w:rsid w:val="00154AA3"/>
    <w:rsid w:val="00154AEA"/>
    <w:rsid w:val="00155F2B"/>
    <w:rsid w:val="00162191"/>
    <w:rsid w:val="00166870"/>
    <w:rsid w:val="001776EE"/>
    <w:rsid w:val="00180E2F"/>
    <w:rsid w:val="001828FE"/>
    <w:rsid w:val="00183C84"/>
    <w:rsid w:val="00184F91"/>
    <w:rsid w:val="001857F4"/>
    <w:rsid w:val="0018651A"/>
    <w:rsid w:val="001902E5"/>
    <w:rsid w:val="00190F01"/>
    <w:rsid w:val="0019192D"/>
    <w:rsid w:val="00192A59"/>
    <w:rsid w:val="00195534"/>
    <w:rsid w:val="001A0228"/>
    <w:rsid w:val="001A7351"/>
    <w:rsid w:val="001B169D"/>
    <w:rsid w:val="001B2018"/>
    <w:rsid w:val="001B3082"/>
    <w:rsid w:val="001B37A6"/>
    <w:rsid w:val="001B4447"/>
    <w:rsid w:val="001B6137"/>
    <w:rsid w:val="001B6259"/>
    <w:rsid w:val="001B6467"/>
    <w:rsid w:val="001B66DA"/>
    <w:rsid w:val="001C14CB"/>
    <w:rsid w:val="001C2886"/>
    <w:rsid w:val="001C5A0D"/>
    <w:rsid w:val="001C7443"/>
    <w:rsid w:val="001D0143"/>
    <w:rsid w:val="001D03DC"/>
    <w:rsid w:val="001D133D"/>
    <w:rsid w:val="001D1C1E"/>
    <w:rsid w:val="001D4B12"/>
    <w:rsid w:val="001D57CC"/>
    <w:rsid w:val="001D7EC4"/>
    <w:rsid w:val="001E1737"/>
    <w:rsid w:val="001E282E"/>
    <w:rsid w:val="001E2FBD"/>
    <w:rsid w:val="001E41DC"/>
    <w:rsid w:val="001E50B6"/>
    <w:rsid w:val="001E689C"/>
    <w:rsid w:val="001E7944"/>
    <w:rsid w:val="001F0FAB"/>
    <w:rsid w:val="001F3EB3"/>
    <w:rsid w:val="001F500D"/>
    <w:rsid w:val="001F53B4"/>
    <w:rsid w:val="001F54F0"/>
    <w:rsid w:val="001F67D8"/>
    <w:rsid w:val="001F6A73"/>
    <w:rsid w:val="00203A27"/>
    <w:rsid w:val="00207EE1"/>
    <w:rsid w:val="0021502C"/>
    <w:rsid w:val="00215722"/>
    <w:rsid w:val="002172FE"/>
    <w:rsid w:val="002235BA"/>
    <w:rsid w:val="00223820"/>
    <w:rsid w:val="00223EB1"/>
    <w:rsid w:val="00224828"/>
    <w:rsid w:val="002262C6"/>
    <w:rsid w:val="00235BBE"/>
    <w:rsid w:val="00236913"/>
    <w:rsid w:val="00236917"/>
    <w:rsid w:val="00237EBD"/>
    <w:rsid w:val="00242885"/>
    <w:rsid w:val="00242B91"/>
    <w:rsid w:val="00243D6B"/>
    <w:rsid w:val="00243F37"/>
    <w:rsid w:val="002452C0"/>
    <w:rsid w:val="00246BCD"/>
    <w:rsid w:val="0025070D"/>
    <w:rsid w:val="00250835"/>
    <w:rsid w:val="00251C47"/>
    <w:rsid w:val="002536AB"/>
    <w:rsid w:val="00253FFE"/>
    <w:rsid w:val="002544C7"/>
    <w:rsid w:val="002608FC"/>
    <w:rsid w:val="00262B7B"/>
    <w:rsid w:val="0026492F"/>
    <w:rsid w:val="00266A3C"/>
    <w:rsid w:val="00270160"/>
    <w:rsid w:val="0027032E"/>
    <w:rsid w:val="00270990"/>
    <w:rsid w:val="00271582"/>
    <w:rsid w:val="00274C4D"/>
    <w:rsid w:val="002764E9"/>
    <w:rsid w:val="00276990"/>
    <w:rsid w:val="00277D8B"/>
    <w:rsid w:val="00281A39"/>
    <w:rsid w:val="00284CE0"/>
    <w:rsid w:val="00285A53"/>
    <w:rsid w:val="00285E9E"/>
    <w:rsid w:val="00287214"/>
    <w:rsid w:val="002876D7"/>
    <w:rsid w:val="00287DE2"/>
    <w:rsid w:val="002902BF"/>
    <w:rsid w:val="00293DD3"/>
    <w:rsid w:val="002973FF"/>
    <w:rsid w:val="00297C54"/>
    <w:rsid w:val="002A0B36"/>
    <w:rsid w:val="002A18DC"/>
    <w:rsid w:val="002A5CB6"/>
    <w:rsid w:val="002B00F0"/>
    <w:rsid w:val="002B06E6"/>
    <w:rsid w:val="002C0461"/>
    <w:rsid w:val="002C3AA1"/>
    <w:rsid w:val="002C3B42"/>
    <w:rsid w:val="002C3BAE"/>
    <w:rsid w:val="002C45FE"/>
    <w:rsid w:val="002C6039"/>
    <w:rsid w:val="002C7758"/>
    <w:rsid w:val="002D271F"/>
    <w:rsid w:val="002D2F5F"/>
    <w:rsid w:val="002D6386"/>
    <w:rsid w:val="002D6DEB"/>
    <w:rsid w:val="002D728F"/>
    <w:rsid w:val="002D75B5"/>
    <w:rsid w:val="002E11CA"/>
    <w:rsid w:val="002E7C87"/>
    <w:rsid w:val="002F0468"/>
    <w:rsid w:val="002F1999"/>
    <w:rsid w:val="002F283F"/>
    <w:rsid w:val="002F3548"/>
    <w:rsid w:val="002F461B"/>
    <w:rsid w:val="00300764"/>
    <w:rsid w:val="003022F2"/>
    <w:rsid w:val="003028BF"/>
    <w:rsid w:val="00302CBB"/>
    <w:rsid w:val="003039D0"/>
    <w:rsid w:val="00305B35"/>
    <w:rsid w:val="0031054D"/>
    <w:rsid w:val="003117CA"/>
    <w:rsid w:val="00313536"/>
    <w:rsid w:val="0031385A"/>
    <w:rsid w:val="00315304"/>
    <w:rsid w:val="003155A7"/>
    <w:rsid w:val="00315E33"/>
    <w:rsid w:val="003166C5"/>
    <w:rsid w:val="0032061E"/>
    <w:rsid w:val="003242B9"/>
    <w:rsid w:val="00331071"/>
    <w:rsid w:val="00337D3D"/>
    <w:rsid w:val="00345AAA"/>
    <w:rsid w:val="00355E24"/>
    <w:rsid w:val="00356508"/>
    <w:rsid w:val="0036381A"/>
    <w:rsid w:val="00363CA3"/>
    <w:rsid w:val="00366E47"/>
    <w:rsid w:val="003705CA"/>
    <w:rsid w:val="003765B7"/>
    <w:rsid w:val="00377802"/>
    <w:rsid w:val="00377CEC"/>
    <w:rsid w:val="00377EFC"/>
    <w:rsid w:val="003844A0"/>
    <w:rsid w:val="00386935"/>
    <w:rsid w:val="003904BC"/>
    <w:rsid w:val="003947FC"/>
    <w:rsid w:val="00396E5F"/>
    <w:rsid w:val="00397997"/>
    <w:rsid w:val="003979FC"/>
    <w:rsid w:val="003A20F6"/>
    <w:rsid w:val="003A2149"/>
    <w:rsid w:val="003A2FA1"/>
    <w:rsid w:val="003A33D8"/>
    <w:rsid w:val="003A6BB0"/>
    <w:rsid w:val="003A707B"/>
    <w:rsid w:val="003B0C72"/>
    <w:rsid w:val="003B3AF9"/>
    <w:rsid w:val="003B4264"/>
    <w:rsid w:val="003C0118"/>
    <w:rsid w:val="003C2AE8"/>
    <w:rsid w:val="003C4C29"/>
    <w:rsid w:val="003D0D08"/>
    <w:rsid w:val="003D1B08"/>
    <w:rsid w:val="003D2A87"/>
    <w:rsid w:val="003D4AF7"/>
    <w:rsid w:val="003D608A"/>
    <w:rsid w:val="003D67FC"/>
    <w:rsid w:val="003D68C5"/>
    <w:rsid w:val="003D7F8D"/>
    <w:rsid w:val="003E18EB"/>
    <w:rsid w:val="003E6737"/>
    <w:rsid w:val="003E6767"/>
    <w:rsid w:val="003E67F7"/>
    <w:rsid w:val="003E6E65"/>
    <w:rsid w:val="003F04B5"/>
    <w:rsid w:val="003F7DB9"/>
    <w:rsid w:val="004006E0"/>
    <w:rsid w:val="00400B87"/>
    <w:rsid w:val="004018A9"/>
    <w:rsid w:val="00401AD2"/>
    <w:rsid w:val="004030BA"/>
    <w:rsid w:val="00404A85"/>
    <w:rsid w:val="00406E5A"/>
    <w:rsid w:val="00407A8C"/>
    <w:rsid w:val="0041055F"/>
    <w:rsid w:val="00412312"/>
    <w:rsid w:val="00412B22"/>
    <w:rsid w:val="004136B1"/>
    <w:rsid w:val="0041490D"/>
    <w:rsid w:val="004150DB"/>
    <w:rsid w:val="004222B5"/>
    <w:rsid w:val="004233BD"/>
    <w:rsid w:val="004259C5"/>
    <w:rsid w:val="00426418"/>
    <w:rsid w:val="00431C2C"/>
    <w:rsid w:val="004367E5"/>
    <w:rsid w:val="004367F2"/>
    <w:rsid w:val="0043745A"/>
    <w:rsid w:val="00437D83"/>
    <w:rsid w:val="00440FC0"/>
    <w:rsid w:val="0044125E"/>
    <w:rsid w:val="00446B1F"/>
    <w:rsid w:val="00451B9C"/>
    <w:rsid w:val="0045273D"/>
    <w:rsid w:val="004545FC"/>
    <w:rsid w:val="00455B34"/>
    <w:rsid w:val="00461472"/>
    <w:rsid w:val="004647B2"/>
    <w:rsid w:val="00470BD3"/>
    <w:rsid w:val="004718C3"/>
    <w:rsid w:val="004730EC"/>
    <w:rsid w:val="00474E36"/>
    <w:rsid w:val="00481F02"/>
    <w:rsid w:val="00484D5B"/>
    <w:rsid w:val="0048762C"/>
    <w:rsid w:val="0049438D"/>
    <w:rsid w:val="00495F59"/>
    <w:rsid w:val="00496BB2"/>
    <w:rsid w:val="004A1196"/>
    <w:rsid w:val="004A2881"/>
    <w:rsid w:val="004A36CC"/>
    <w:rsid w:val="004A3C24"/>
    <w:rsid w:val="004A3ECF"/>
    <w:rsid w:val="004A7BD3"/>
    <w:rsid w:val="004B256F"/>
    <w:rsid w:val="004C24DE"/>
    <w:rsid w:val="004C46EF"/>
    <w:rsid w:val="004C5461"/>
    <w:rsid w:val="004C59FD"/>
    <w:rsid w:val="004C5ACC"/>
    <w:rsid w:val="004C69F4"/>
    <w:rsid w:val="004D3487"/>
    <w:rsid w:val="004D5407"/>
    <w:rsid w:val="004D5598"/>
    <w:rsid w:val="004E11E4"/>
    <w:rsid w:val="004E2FF5"/>
    <w:rsid w:val="004E315A"/>
    <w:rsid w:val="004E568C"/>
    <w:rsid w:val="004E5EC1"/>
    <w:rsid w:val="004F0E1C"/>
    <w:rsid w:val="004F326A"/>
    <w:rsid w:val="004F3F88"/>
    <w:rsid w:val="005003FB"/>
    <w:rsid w:val="005009DC"/>
    <w:rsid w:val="00500D8F"/>
    <w:rsid w:val="00504687"/>
    <w:rsid w:val="0050538E"/>
    <w:rsid w:val="005067D4"/>
    <w:rsid w:val="00507C68"/>
    <w:rsid w:val="00510E70"/>
    <w:rsid w:val="005113B6"/>
    <w:rsid w:val="00512243"/>
    <w:rsid w:val="00512334"/>
    <w:rsid w:val="005127E1"/>
    <w:rsid w:val="005139A0"/>
    <w:rsid w:val="00513A34"/>
    <w:rsid w:val="00515C70"/>
    <w:rsid w:val="0051737F"/>
    <w:rsid w:val="0052002F"/>
    <w:rsid w:val="00521C1B"/>
    <w:rsid w:val="005227E1"/>
    <w:rsid w:val="00523C18"/>
    <w:rsid w:val="005248B5"/>
    <w:rsid w:val="00524BD2"/>
    <w:rsid w:val="00527694"/>
    <w:rsid w:val="005302B3"/>
    <w:rsid w:val="00531817"/>
    <w:rsid w:val="0053275C"/>
    <w:rsid w:val="00532911"/>
    <w:rsid w:val="005330ED"/>
    <w:rsid w:val="005341E5"/>
    <w:rsid w:val="00534CDE"/>
    <w:rsid w:val="005412AA"/>
    <w:rsid w:val="0054204A"/>
    <w:rsid w:val="0054341C"/>
    <w:rsid w:val="00544B34"/>
    <w:rsid w:val="00546141"/>
    <w:rsid w:val="00554159"/>
    <w:rsid w:val="00554A5F"/>
    <w:rsid w:val="00555362"/>
    <w:rsid w:val="00557059"/>
    <w:rsid w:val="00560362"/>
    <w:rsid w:val="00560CA0"/>
    <w:rsid w:val="00560D15"/>
    <w:rsid w:val="005624F3"/>
    <w:rsid w:val="005627B0"/>
    <w:rsid w:val="00563260"/>
    <w:rsid w:val="00563A2F"/>
    <w:rsid w:val="00563D71"/>
    <w:rsid w:val="005712EC"/>
    <w:rsid w:val="00571795"/>
    <w:rsid w:val="00574987"/>
    <w:rsid w:val="00575453"/>
    <w:rsid w:val="005756CA"/>
    <w:rsid w:val="00575BD0"/>
    <w:rsid w:val="0057729F"/>
    <w:rsid w:val="005800AA"/>
    <w:rsid w:val="00580E6F"/>
    <w:rsid w:val="005811EF"/>
    <w:rsid w:val="0058727A"/>
    <w:rsid w:val="005875F7"/>
    <w:rsid w:val="00596738"/>
    <w:rsid w:val="005A02A2"/>
    <w:rsid w:val="005A1437"/>
    <w:rsid w:val="005A2216"/>
    <w:rsid w:val="005A379E"/>
    <w:rsid w:val="005A780B"/>
    <w:rsid w:val="005B0728"/>
    <w:rsid w:val="005B0878"/>
    <w:rsid w:val="005B09E1"/>
    <w:rsid w:val="005B2C1C"/>
    <w:rsid w:val="005B2E35"/>
    <w:rsid w:val="005B33A7"/>
    <w:rsid w:val="005B3B49"/>
    <w:rsid w:val="005B60B6"/>
    <w:rsid w:val="005B6E3F"/>
    <w:rsid w:val="005C1099"/>
    <w:rsid w:val="005C15C0"/>
    <w:rsid w:val="005C1BBA"/>
    <w:rsid w:val="005C7AD6"/>
    <w:rsid w:val="005D08AD"/>
    <w:rsid w:val="005D21AD"/>
    <w:rsid w:val="005D2BB0"/>
    <w:rsid w:val="005D41E2"/>
    <w:rsid w:val="005D425D"/>
    <w:rsid w:val="005E1B91"/>
    <w:rsid w:val="005E329B"/>
    <w:rsid w:val="005E4550"/>
    <w:rsid w:val="005E47C7"/>
    <w:rsid w:val="005E57AD"/>
    <w:rsid w:val="005E61C2"/>
    <w:rsid w:val="005E7646"/>
    <w:rsid w:val="005F39B9"/>
    <w:rsid w:val="005F3B4F"/>
    <w:rsid w:val="0060090B"/>
    <w:rsid w:val="0060232C"/>
    <w:rsid w:val="00603434"/>
    <w:rsid w:val="00603453"/>
    <w:rsid w:val="006047AB"/>
    <w:rsid w:val="0060613B"/>
    <w:rsid w:val="00610654"/>
    <w:rsid w:val="00610CA7"/>
    <w:rsid w:val="00614034"/>
    <w:rsid w:val="006155F5"/>
    <w:rsid w:val="00617C22"/>
    <w:rsid w:val="00620077"/>
    <w:rsid w:val="006217C4"/>
    <w:rsid w:val="00627594"/>
    <w:rsid w:val="006314E6"/>
    <w:rsid w:val="006318B9"/>
    <w:rsid w:val="00631D50"/>
    <w:rsid w:val="0063204B"/>
    <w:rsid w:val="006327B5"/>
    <w:rsid w:val="00632A36"/>
    <w:rsid w:val="00633CC3"/>
    <w:rsid w:val="006348D5"/>
    <w:rsid w:val="00635920"/>
    <w:rsid w:val="00641BB9"/>
    <w:rsid w:val="00642E8E"/>
    <w:rsid w:val="00643BF9"/>
    <w:rsid w:val="006441F8"/>
    <w:rsid w:val="006442DA"/>
    <w:rsid w:val="006448D2"/>
    <w:rsid w:val="0064783F"/>
    <w:rsid w:val="00650B89"/>
    <w:rsid w:val="00651E07"/>
    <w:rsid w:val="00652F4F"/>
    <w:rsid w:val="006540EA"/>
    <w:rsid w:val="0065502C"/>
    <w:rsid w:val="00660874"/>
    <w:rsid w:val="00663388"/>
    <w:rsid w:val="00664606"/>
    <w:rsid w:val="00666B0C"/>
    <w:rsid w:val="00666E23"/>
    <w:rsid w:val="0067026C"/>
    <w:rsid w:val="00672941"/>
    <w:rsid w:val="006742F6"/>
    <w:rsid w:val="00675A20"/>
    <w:rsid w:val="00676E9D"/>
    <w:rsid w:val="006775C6"/>
    <w:rsid w:val="00691499"/>
    <w:rsid w:val="00691EAB"/>
    <w:rsid w:val="00692B50"/>
    <w:rsid w:val="0069353D"/>
    <w:rsid w:val="00696531"/>
    <w:rsid w:val="00696957"/>
    <w:rsid w:val="006A25D1"/>
    <w:rsid w:val="006A5A1F"/>
    <w:rsid w:val="006A7BF4"/>
    <w:rsid w:val="006B1723"/>
    <w:rsid w:val="006B1851"/>
    <w:rsid w:val="006B1D13"/>
    <w:rsid w:val="006B239C"/>
    <w:rsid w:val="006B5A2E"/>
    <w:rsid w:val="006B68B9"/>
    <w:rsid w:val="006B7250"/>
    <w:rsid w:val="006C088A"/>
    <w:rsid w:val="006C0D34"/>
    <w:rsid w:val="006C1FAB"/>
    <w:rsid w:val="006C2C79"/>
    <w:rsid w:val="006C52AA"/>
    <w:rsid w:val="006D4855"/>
    <w:rsid w:val="006D56BC"/>
    <w:rsid w:val="006E2D49"/>
    <w:rsid w:val="006E7AF9"/>
    <w:rsid w:val="006E7F6B"/>
    <w:rsid w:val="006F1B98"/>
    <w:rsid w:val="006F26D8"/>
    <w:rsid w:val="006F2ADF"/>
    <w:rsid w:val="006F4B8D"/>
    <w:rsid w:val="006F5FDF"/>
    <w:rsid w:val="006F6E42"/>
    <w:rsid w:val="006F7605"/>
    <w:rsid w:val="006F76D1"/>
    <w:rsid w:val="00703253"/>
    <w:rsid w:val="007051F6"/>
    <w:rsid w:val="007062A2"/>
    <w:rsid w:val="0070644C"/>
    <w:rsid w:val="00711674"/>
    <w:rsid w:val="0071580B"/>
    <w:rsid w:val="007217C1"/>
    <w:rsid w:val="00723A09"/>
    <w:rsid w:val="0072595D"/>
    <w:rsid w:val="00726299"/>
    <w:rsid w:val="00726382"/>
    <w:rsid w:val="0072733E"/>
    <w:rsid w:val="00727DD4"/>
    <w:rsid w:val="007409D9"/>
    <w:rsid w:val="0074196B"/>
    <w:rsid w:val="007443CA"/>
    <w:rsid w:val="007447B1"/>
    <w:rsid w:val="00745651"/>
    <w:rsid w:val="007468FC"/>
    <w:rsid w:val="00746F68"/>
    <w:rsid w:val="00747252"/>
    <w:rsid w:val="00747427"/>
    <w:rsid w:val="00747EB7"/>
    <w:rsid w:val="007517E9"/>
    <w:rsid w:val="00752EC9"/>
    <w:rsid w:val="007541D9"/>
    <w:rsid w:val="00754332"/>
    <w:rsid w:val="0076152E"/>
    <w:rsid w:val="007622BA"/>
    <w:rsid w:val="00763588"/>
    <w:rsid w:val="00766585"/>
    <w:rsid w:val="00767918"/>
    <w:rsid w:val="00774D2C"/>
    <w:rsid w:val="00784B3D"/>
    <w:rsid w:val="007922DE"/>
    <w:rsid w:val="007924DB"/>
    <w:rsid w:val="00792CA3"/>
    <w:rsid w:val="00794AF7"/>
    <w:rsid w:val="0079537D"/>
    <w:rsid w:val="0079549A"/>
    <w:rsid w:val="007A0300"/>
    <w:rsid w:val="007A066B"/>
    <w:rsid w:val="007A0E08"/>
    <w:rsid w:val="007A12D0"/>
    <w:rsid w:val="007A34D2"/>
    <w:rsid w:val="007A5928"/>
    <w:rsid w:val="007A5D4B"/>
    <w:rsid w:val="007A63BF"/>
    <w:rsid w:val="007B023D"/>
    <w:rsid w:val="007B0DC9"/>
    <w:rsid w:val="007B139E"/>
    <w:rsid w:val="007B1B56"/>
    <w:rsid w:val="007B266F"/>
    <w:rsid w:val="007B2FDD"/>
    <w:rsid w:val="007B4DC5"/>
    <w:rsid w:val="007B6301"/>
    <w:rsid w:val="007B7E46"/>
    <w:rsid w:val="007C163F"/>
    <w:rsid w:val="007C4200"/>
    <w:rsid w:val="007D009A"/>
    <w:rsid w:val="007D3A38"/>
    <w:rsid w:val="007D4C89"/>
    <w:rsid w:val="007D57FE"/>
    <w:rsid w:val="007D58FB"/>
    <w:rsid w:val="007D5EFE"/>
    <w:rsid w:val="007E1609"/>
    <w:rsid w:val="007F16CF"/>
    <w:rsid w:val="007F37B3"/>
    <w:rsid w:val="00801D1C"/>
    <w:rsid w:val="00807482"/>
    <w:rsid w:val="00810B02"/>
    <w:rsid w:val="00811D93"/>
    <w:rsid w:val="0081444B"/>
    <w:rsid w:val="0081585F"/>
    <w:rsid w:val="008164FC"/>
    <w:rsid w:val="008210B7"/>
    <w:rsid w:val="00821F07"/>
    <w:rsid w:val="00824454"/>
    <w:rsid w:val="00825334"/>
    <w:rsid w:val="008269EE"/>
    <w:rsid w:val="0083468A"/>
    <w:rsid w:val="00834AEE"/>
    <w:rsid w:val="00837277"/>
    <w:rsid w:val="0084113C"/>
    <w:rsid w:val="00841DD2"/>
    <w:rsid w:val="00842D43"/>
    <w:rsid w:val="008434F9"/>
    <w:rsid w:val="008457FD"/>
    <w:rsid w:val="00845B93"/>
    <w:rsid w:val="008526FA"/>
    <w:rsid w:val="00852CC8"/>
    <w:rsid w:val="00853BEF"/>
    <w:rsid w:val="00856B3D"/>
    <w:rsid w:val="00856D1C"/>
    <w:rsid w:val="008601FA"/>
    <w:rsid w:val="008617C6"/>
    <w:rsid w:val="008633D3"/>
    <w:rsid w:val="00865E89"/>
    <w:rsid w:val="008663E8"/>
    <w:rsid w:val="00866C9F"/>
    <w:rsid w:val="00867F94"/>
    <w:rsid w:val="008730B2"/>
    <w:rsid w:val="00874C70"/>
    <w:rsid w:val="0087616A"/>
    <w:rsid w:val="00876AC0"/>
    <w:rsid w:val="0088107C"/>
    <w:rsid w:val="0088294A"/>
    <w:rsid w:val="00882F21"/>
    <w:rsid w:val="00884FB0"/>
    <w:rsid w:val="0088564D"/>
    <w:rsid w:val="00887015"/>
    <w:rsid w:val="0089011D"/>
    <w:rsid w:val="0089146C"/>
    <w:rsid w:val="00893C48"/>
    <w:rsid w:val="00895B2C"/>
    <w:rsid w:val="008A0768"/>
    <w:rsid w:val="008A1F54"/>
    <w:rsid w:val="008A414D"/>
    <w:rsid w:val="008A45C8"/>
    <w:rsid w:val="008B0FE4"/>
    <w:rsid w:val="008B3501"/>
    <w:rsid w:val="008B756E"/>
    <w:rsid w:val="008C111F"/>
    <w:rsid w:val="008C2167"/>
    <w:rsid w:val="008C3C31"/>
    <w:rsid w:val="008D106B"/>
    <w:rsid w:val="008D6771"/>
    <w:rsid w:val="008D7A60"/>
    <w:rsid w:val="008E56F3"/>
    <w:rsid w:val="008E7E25"/>
    <w:rsid w:val="008F1445"/>
    <w:rsid w:val="008F5C50"/>
    <w:rsid w:val="008F651B"/>
    <w:rsid w:val="00902D18"/>
    <w:rsid w:val="00902D9F"/>
    <w:rsid w:val="00903408"/>
    <w:rsid w:val="00903575"/>
    <w:rsid w:val="00903886"/>
    <w:rsid w:val="00903AA5"/>
    <w:rsid w:val="00904EC9"/>
    <w:rsid w:val="0090647E"/>
    <w:rsid w:val="00906CAE"/>
    <w:rsid w:val="00907B78"/>
    <w:rsid w:val="00910B1F"/>
    <w:rsid w:val="00910B5D"/>
    <w:rsid w:val="009116EA"/>
    <w:rsid w:val="00911EF4"/>
    <w:rsid w:val="00914781"/>
    <w:rsid w:val="0092178A"/>
    <w:rsid w:val="009230B2"/>
    <w:rsid w:val="00925B1F"/>
    <w:rsid w:val="009267AE"/>
    <w:rsid w:val="009307C0"/>
    <w:rsid w:val="009309A8"/>
    <w:rsid w:val="00931E23"/>
    <w:rsid w:val="00932B8C"/>
    <w:rsid w:val="00933671"/>
    <w:rsid w:val="00933F3A"/>
    <w:rsid w:val="00934A8D"/>
    <w:rsid w:val="0093645A"/>
    <w:rsid w:val="009368F6"/>
    <w:rsid w:val="009405CC"/>
    <w:rsid w:val="009433A4"/>
    <w:rsid w:val="00946D57"/>
    <w:rsid w:val="0095003C"/>
    <w:rsid w:val="00950B4D"/>
    <w:rsid w:val="00953369"/>
    <w:rsid w:val="00953ACD"/>
    <w:rsid w:val="00953C70"/>
    <w:rsid w:val="00953D58"/>
    <w:rsid w:val="0095508C"/>
    <w:rsid w:val="00955350"/>
    <w:rsid w:val="00955560"/>
    <w:rsid w:val="00956568"/>
    <w:rsid w:val="00956A6D"/>
    <w:rsid w:val="00962C66"/>
    <w:rsid w:val="00962CAC"/>
    <w:rsid w:val="00967409"/>
    <w:rsid w:val="0096784F"/>
    <w:rsid w:val="00972BF7"/>
    <w:rsid w:val="00972DD5"/>
    <w:rsid w:val="00973493"/>
    <w:rsid w:val="00980F2B"/>
    <w:rsid w:val="00980F92"/>
    <w:rsid w:val="009818FC"/>
    <w:rsid w:val="0098267E"/>
    <w:rsid w:val="009832AB"/>
    <w:rsid w:val="0098436F"/>
    <w:rsid w:val="00984879"/>
    <w:rsid w:val="00984B85"/>
    <w:rsid w:val="00985632"/>
    <w:rsid w:val="00985E6E"/>
    <w:rsid w:val="0099035F"/>
    <w:rsid w:val="00991B63"/>
    <w:rsid w:val="00996403"/>
    <w:rsid w:val="009A28C1"/>
    <w:rsid w:val="009A5A2B"/>
    <w:rsid w:val="009A5E8F"/>
    <w:rsid w:val="009B139B"/>
    <w:rsid w:val="009B2428"/>
    <w:rsid w:val="009B3820"/>
    <w:rsid w:val="009B5CB7"/>
    <w:rsid w:val="009C2AD3"/>
    <w:rsid w:val="009C3320"/>
    <w:rsid w:val="009C5616"/>
    <w:rsid w:val="009D12A8"/>
    <w:rsid w:val="009D16FC"/>
    <w:rsid w:val="009E03A4"/>
    <w:rsid w:val="009E2530"/>
    <w:rsid w:val="009E5958"/>
    <w:rsid w:val="009F2173"/>
    <w:rsid w:val="009F4CC7"/>
    <w:rsid w:val="009F552A"/>
    <w:rsid w:val="009F6DE6"/>
    <w:rsid w:val="00A016D9"/>
    <w:rsid w:val="00A02029"/>
    <w:rsid w:val="00A02F8E"/>
    <w:rsid w:val="00A03385"/>
    <w:rsid w:val="00A03B37"/>
    <w:rsid w:val="00A0496A"/>
    <w:rsid w:val="00A07E5F"/>
    <w:rsid w:val="00A105DC"/>
    <w:rsid w:val="00A112AC"/>
    <w:rsid w:val="00A12DFD"/>
    <w:rsid w:val="00A13944"/>
    <w:rsid w:val="00A13AB1"/>
    <w:rsid w:val="00A17695"/>
    <w:rsid w:val="00A17E29"/>
    <w:rsid w:val="00A17F6D"/>
    <w:rsid w:val="00A20657"/>
    <w:rsid w:val="00A21176"/>
    <w:rsid w:val="00A21CCA"/>
    <w:rsid w:val="00A2207F"/>
    <w:rsid w:val="00A22775"/>
    <w:rsid w:val="00A24D95"/>
    <w:rsid w:val="00A31242"/>
    <w:rsid w:val="00A3238D"/>
    <w:rsid w:val="00A3243E"/>
    <w:rsid w:val="00A32C6C"/>
    <w:rsid w:val="00A32F89"/>
    <w:rsid w:val="00A3391A"/>
    <w:rsid w:val="00A33E7C"/>
    <w:rsid w:val="00A37EA0"/>
    <w:rsid w:val="00A42F35"/>
    <w:rsid w:val="00A43BF1"/>
    <w:rsid w:val="00A43F78"/>
    <w:rsid w:val="00A475CB"/>
    <w:rsid w:val="00A52530"/>
    <w:rsid w:val="00A53A6F"/>
    <w:rsid w:val="00A551BF"/>
    <w:rsid w:val="00A55362"/>
    <w:rsid w:val="00A55827"/>
    <w:rsid w:val="00A61106"/>
    <w:rsid w:val="00A62CD2"/>
    <w:rsid w:val="00A63C72"/>
    <w:rsid w:val="00A641A5"/>
    <w:rsid w:val="00A6560D"/>
    <w:rsid w:val="00A6596A"/>
    <w:rsid w:val="00A67056"/>
    <w:rsid w:val="00A70524"/>
    <w:rsid w:val="00A73406"/>
    <w:rsid w:val="00A74922"/>
    <w:rsid w:val="00A7736A"/>
    <w:rsid w:val="00A77501"/>
    <w:rsid w:val="00A80899"/>
    <w:rsid w:val="00A81887"/>
    <w:rsid w:val="00A832A2"/>
    <w:rsid w:val="00A8333F"/>
    <w:rsid w:val="00A83F29"/>
    <w:rsid w:val="00A92D8B"/>
    <w:rsid w:val="00A93585"/>
    <w:rsid w:val="00A93822"/>
    <w:rsid w:val="00A95D4E"/>
    <w:rsid w:val="00A978D6"/>
    <w:rsid w:val="00AA0394"/>
    <w:rsid w:val="00AA1E4F"/>
    <w:rsid w:val="00AA5FB0"/>
    <w:rsid w:val="00AB0B62"/>
    <w:rsid w:val="00AB1073"/>
    <w:rsid w:val="00AB12F2"/>
    <w:rsid w:val="00AB20D8"/>
    <w:rsid w:val="00AB54C0"/>
    <w:rsid w:val="00AB5C1D"/>
    <w:rsid w:val="00AB5D56"/>
    <w:rsid w:val="00AB6175"/>
    <w:rsid w:val="00AB6307"/>
    <w:rsid w:val="00AB7B3C"/>
    <w:rsid w:val="00AC1D9E"/>
    <w:rsid w:val="00AC2D1C"/>
    <w:rsid w:val="00AC3592"/>
    <w:rsid w:val="00AC4352"/>
    <w:rsid w:val="00AC65DA"/>
    <w:rsid w:val="00AD09E4"/>
    <w:rsid w:val="00AD1893"/>
    <w:rsid w:val="00AD246A"/>
    <w:rsid w:val="00AD4C4B"/>
    <w:rsid w:val="00AD53FF"/>
    <w:rsid w:val="00AD61B1"/>
    <w:rsid w:val="00AD7430"/>
    <w:rsid w:val="00AE0322"/>
    <w:rsid w:val="00AE0D8B"/>
    <w:rsid w:val="00AE1D9F"/>
    <w:rsid w:val="00AE3995"/>
    <w:rsid w:val="00AE3A45"/>
    <w:rsid w:val="00AE3DBB"/>
    <w:rsid w:val="00AF1737"/>
    <w:rsid w:val="00AF28DA"/>
    <w:rsid w:val="00AF4C92"/>
    <w:rsid w:val="00AF6F73"/>
    <w:rsid w:val="00AF7555"/>
    <w:rsid w:val="00B01878"/>
    <w:rsid w:val="00B01DD9"/>
    <w:rsid w:val="00B021F4"/>
    <w:rsid w:val="00B027E7"/>
    <w:rsid w:val="00B05BA8"/>
    <w:rsid w:val="00B06322"/>
    <w:rsid w:val="00B0645C"/>
    <w:rsid w:val="00B065DB"/>
    <w:rsid w:val="00B07DAB"/>
    <w:rsid w:val="00B1072A"/>
    <w:rsid w:val="00B11B51"/>
    <w:rsid w:val="00B145F9"/>
    <w:rsid w:val="00B156F5"/>
    <w:rsid w:val="00B21A8F"/>
    <w:rsid w:val="00B2265E"/>
    <w:rsid w:val="00B22AAD"/>
    <w:rsid w:val="00B23780"/>
    <w:rsid w:val="00B241DF"/>
    <w:rsid w:val="00B2668F"/>
    <w:rsid w:val="00B26711"/>
    <w:rsid w:val="00B26D28"/>
    <w:rsid w:val="00B2722A"/>
    <w:rsid w:val="00B31B2A"/>
    <w:rsid w:val="00B33091"/>
    <w:rsid w:val="00B33F82"/>
    <w:rsid w:val="00B3608D"/>
    <w:rsid w:val="00B36A43"/>
    <w:rsid w:val="00B370FC"/>
    <w:rsid w:val="00B455FC"/>
    <w:rsid w:val="00B50C6B"/>
    <w:rsid w:val="00B51BF9"/>
    <w:rsid w:val="00B525B8"/>
    <w:rsid w:val="00B5315C"/>
    <w:rsid w:val="00B53DEB"/>
    <w:rsid w:val="00B53E7E"/>
    <w:rsid w:val="00B53F24"/>
    <w:rsid w:val="00B53FDE"/>
    <w:rsid w:val="00B54628"/>
    <w:rsid w:val="00B55B96"/>
    <w:rsid w:val="00B56BCC"/>
    <w:rsid w:val="00B56E7C"/>
    <w:rsid w:val="00B57CCA"/>
    <w:rsid w:val="00B608C7"/>
    <w:rsid w:val="00B60ACB"/>
    <w:rsid w:val="00B61041"/>
    <w:rsid w:val="00B618BA"/>
    <w:rsid w:val="00B619ED"/>
    <w:rsid w:val="00B64738"/>
    <w:rsid w:val="00B6691E"/>
    <w:rsid w:val="00B67032"/>
    <w:rsid w:val="00B70515"/>
    <w:rsid w:val="00B71754"/>
    <w:rsid w:val="00B7279A"/>
    <w:rsid w:val="00B753FB"/>
    <w:rsid w:val="00B759A1"/>
    <w:rsid w:val="00B7681D"/>
    <w:rsid w:val="00B816BC"/>
    <w:rsid w:val="00B81827"/>
    <w:rsid w:val="00B822FC"/>
    <w:rsid w:val="00B83998"/>
    <w:rsid w:val="00B83DEE"/>
    <w:rsid w:val="00B84E1F"/>
    <w:rsid w:val="00B859C5"/>
    <w:rsid w:val="00B86102"/>
    <w:rsid w:val="00B91A2F"/>
    <w:rsid w:val="00B94969"/>
    <w:rsid w:val="00BA1AC3"/>
    <w:rsid w:val="00BA282D"/>
    <w:rsid w:val="00BA30D9"/>
    <w:rsid w:val="00BA377B"/>
    <w:rsid w:val="00BA41B6"/>
    <w:rsid w:val="00BA4D57"/>
    <w:rsid w:val="00BA5002"/>
    <w:rsid w:val="00BA6246"/>
    <w:rsid w:val="00BA741C"/>
    <w:rsid w:val="00BB272D"/>
    <w:rsid w:val="00BB383E"/>
    <w:rsid w:val="00BB4232"/>
    <w:rsid w:val="00BB6260"/>
    <w:rsid w:val="00BB71FB"/>
    <w:rsid w:val="00BC0FDD"/>
    <w:rsid w:val="00BC25B4"/>
    <w:rsid w:val="00BC56D4"/>
    <w:rsid w:val="00BD0E23"/>
    <w:rsid w:val="00BD153E"/>
    <w:rsid w:val="00BD49A6"/>
    <w:rsid w:val="00BD4A25"/>
    <w:rsid w:val="00BD7CB9"/>
    <w:rsid w:val="00BE288F"/>
    <w:rsid w:val="00BE4B8F"/>
    <w:rsid w:val="00BE5CA5"/>
    <w:rsid w:val="00BE6EE1"/>
    <w:rsid w:val="00BE787D"/>
    <w:rsid w:val="00BF27D1"/>
    <w:rsid w:val="00BF299C"/>
    <w:rsid w:val="00BF51EF"/>
    <w:rsid w:val="00C0028F"/>
    <w:rsid w:val="00C04B9E"/>
    <w:rsid w:val="00C05E74"/>
    <w:rsid w:val="00C07832"/>
    <w:rsid w:val="00C10C19"/>
    <w:rsid w:val="00C121D1"/>
    <w:rsid w:val="00C12A56"/>
    <w:rsid w:val="00C143B8"/>
    <w:rsid w:val="00C15D5B"/>
    <w:rsid w:val="00C16083"/>
    <w:rsid w:val="00C17D02"/>
    <w:rsid w:val="00C24342"/>
    <w:rsid w:val="00C267A7"/>
    <w:rsid w:val="00C26CEB"/>
    <w:rsid w:val="00C2714F"/>
    <w:rsid w:val="00C27A45"/>
    <w:rsid w:val="00C31717"/>
    <w:rsid w:val="00C31865"/>
    <w:rsid w:val="00C32BF8"/>
    <w:rsid w:val="00C37257"/>
    <w:rsid w:val="00C37B15"/>
    <w:rsid w:val="00C37CCD"/>
    <w:rsid w:val="00C42FD0"/>
    <w:rsid w:val="00C43173"/>
    <w:rsid w:val="00C43DE5"/>
    <w:rsid w:val="00C44125"/>
    <w:rsid w:val="00C442DE"/>
    <w:rsid w:val="00C44B3B"/>
    <w:rsid w:val="00C4533A"/>
    <w:rsid w:val="00C457EC"/>
    <w:rsid w:val="00C46F23"/>
    <w:rsid w:val="00C4701C"/>
    <w:rsid w:val="00C51BEE"/>
    <w:rsid w:val="00C52B71"/>
    <w:rsid w:val="00C54B14"/>
    <w:rsid w:val="00C55272"/>
    <w:rsid w:val="00C555DA"/>
    <w:rsid w:val="00C5649C"/>
    <w:rsid w:val="00C57EE1"/>
    <w:rsid w:val="00C65D58"/>
    <w:rsid w:val="00C6639A"/>
    <w:rsid w:val="00C66544"/>
    <w:rsid w:val="00C703AD"/>
    <w:rsid w:val="00C70A03"/>
    <w:rsid w:val="00C729FA"/>
    <w:rsid w:val="00C734D9"/>
    <w:rsid w:val="00C73F11"/>
    <w:rsid w:val="00C75486"/>
    <w:rsid w:val="00C75A89"/>
    <w:rsid w:val="00C76B4B"/>
    <w:rsid w:val="00C779BC"/>
    <w:rsid w:val="00C8119E"/>
    <w:rsid w:val="00C8202C"/>
    <w:rsid w:val="00C858EA"/>
    <w:rsid w:val="00C87A7C"/>
    <w:rsid w:val="00C90564"/>
    <w:rsid w:val="00C92603"/>
    <w:rsid w:val="00C92A5B"/>
    <w:rsid w:val="00C93D14"/>
    <w:rsid w:val="00C95E4C"/>
    <w:rsid w:val="00CA269E"/>
    <w:rsid w:val="00CA2893"/>
    <w:rsid w:val="00CA46EC"/>
    <w:rsid w:val="00CA724B"/>
    <w:rsid w:val="00CA7859"/>
    <w:rsid w:val="00CB74CB"/>
    <w:rsid w:val="00CC1569"/>
    <w:rsid w:val="00CC16D7"/>
    <w:rsid w:val="00CC1E0D"/>
    <w:rsid w:val="00CC3ACC"/>
    <w:rsid w:val="00CC4E6E"/>
    <w:rsid w:val="00CC72F7"/>
    <w:rsid w:val="00CD34BE"/>
    <w:rsid w:val="00CE06A7"/>
    <w:rsid w:val="00CE232D"/>
    <w:rsid w:val="00CE6C1E"/>
    <w:rsid w:val="00CF058E"/>
    <w:rsid w:val="00CF093E"/>
    <w:rsid w:val="00CF2599"/>
    <w:rsid w:val="00CF2EC1"/>
    <w:rsid w:val="00CF3D28"/>
    <w:rsid w:val="00CF78C2"/>
    <w:rsid w:val="00D04A3E"/>
    <w:rsid w:val="00D05B29"/>
    <w:rsid w:val="00D07A80"/>
    <w:rsid w:val="00D127DD"/>
    <w:rsid w:val="00D1394D"/>
    <w:rsid w:val="00D148B8"/>
    <w:rsid w:val="00D26774"/>
    <w:rsid w:val="00D267CD"/>
    <w:rsid w:val="00D27217"/>
    <w:rsid w:val="00D30822"/>
    <w:rsid w:val="00D34A56"/>
    <w:rsid w:val="00D37656"/>
    <w:rsid w:val="00D4159A"/>
    <w:rsid w:val="00D46F68"/>
    <w:rsid w:val="00D47740"/>
    <w:rsid w:val="00D53978"/>
    <w:rsid w:val="00D53C33"/>
    <w:rsid w:val="00D55D17"/>
    <w:rsid w:val="00D561C6"/>
    <w:rsid w:val="00D579D3"/>
    <w:rsid w:val="00D62863"/>
    <w:rsid w:val="00D62E4D"/>
    <w:rsid w:val="00D63109"/>
    <w:rsid w:val="00D637EA"/>
    <w:rsid w:val="00D64845"/>
    <w:rsid w:val="00D67C25"/>
    <w:rsid w:val="00D74FDE"/>
    <w:rsid w:val="00D761F7"/>
    <w:rsid w:val="00D812B9"/>
    <w:rsid w:val="00D81735"/>
    <w:rsid w:val="00D833A6"/>
    <w:rsid w:val="00D84C85"/>
    <w:rsid w:val="00D85564"/>
    <w:rsid w:val="00D85AA4"/>
    <w:rsid w:val="00D86239"/>
    <w:rsid w:val="00D8753D"/>
    <w:rsid w:val="00D903FD"/>
    <w:rsid w:val="00D94BC5"/>
    <w:rsid w:val="00D95EC0"/>
    <w:rsid w:val="00D96637"/>
    <w:rsid w:val="00D96C08"/>
    <w:rsid w:val="00DA12D2"/>
    <w:rsid w:val="00DA1515"/>
    <w:rsid w:val="00DA165C"/>
    <w:rsid w:val="00DB008A"/>
    <w:rsid w:val="00DB5DE4"/>
    <w:rsid w:val="00DB7DF0"/>
    <w:rsid w:val="00DC117F"/>
    <w:rsid w:val="00DC3052"/>
    <w:rsid w:val="00DC32A2"/>
    <w:rsid w:val="00DC332D"/>
    <w:rsid w:val="00DC62ED"/>
    <w:rsid w:val="00DC77C1"/>
    <w:rsid w:val="00DC77E1"/>
    <w:rsid w:val="00DD0B56"/>
    <w:rsid w:val="00DD2926"/>
    <w:rsid w:val="00DD43B0"/>
    <w:rsid w:val="00DD4A9C"/>
    <w:rsid w:val="00DD75F6"/>
    <w:rsid w:val="00DE08C6"/>
    <w:rsid w:val="00DE4192"/>
    <w:rsid w:val="00DE4C51"/>
    <w:rsid w:val="00DE5F56"/>
    <w:rsid w:val="00DE6D7E"/>
    <w:rsid w:val="00DE743A"/>
    <w:rsid w:val="00DE77AC"/>
    <w:rsid w:val="00DF388C"/>
    <w:rsid w:val="00DF46C4"/>
    <w:rsid w:val="00DF4CA3"/>
    <w:rsid w:val="00E014AC"/>
    <w:rsid w:val="00E026D5"/>
    <w:rsid w:val="00E03B8C"/>
    <w:rsid w:val="00E05D3F"/>
    <w:rsid w:val="00E06A7A"/>
    <w:rsid w:val="00E06F4D"/>
    <w:rsid w:val="00E11ECE"/>
    <w:rsid w:val="00E14DCE"/>
    <w:rsid w:val="00E161A0"/>
    <w:rsid w:val="00E16589"/>
    <w:rsid w:val="00E26A8F"/>
    <w:rsid w:val="00E27A6E"/>
    <w:rsid w:val="00E30962"/>
    <w:rsid w:val="00E315EE"/>
    <w:rsid w:val="00E31E0F"/>
    <w:rsid w:val="00E324A5"/>
    <w:rsid w:val="00E34629"/>
    <w:rsid w:val="00E3593C"/>
    <w:rsid w:val="00E36C33"/>
    <w:rsid w:val="00E402EC"/>
    <w:rsid w:val="00E40631"/>
    <w:rsid w:val="00E4123B"/>
    <w:rsid w:val="00E41735"/>
    <w:rsid w:val="00E42874"/>
    <w:rsid w:val="00E47EA8"/>
    <w:rsid w:val="00E509A8"/>
    <w:rsid w:val="00E50D30"/>
    <w:rsid w:val="00E53B62"/>
    <w:rsid w:val="00E54284"/>
    <w:rsid w:val="00E56622"/>
    <w:rsid w:val="00E61BC8"/>
    <w:rsid w:val="00E62153"/>
    <w:rsid w:val="00E635AD"/>
    <w:rsid w:val="00E640DE"/>
    <w:rsid w:val="00E64128"/>
    <w:rsid w:val="00E65513"/>
    <w:rsid w:val="00E65722"/>
    <w:rsid w:val="00E73414"/>
    <w:rsid w:val="00E74328"/>
    <w:rsid w:val="00E76007"/>
    <w:rsid w:val="00E76F82"/>
    <w:rsid w:val="00E82B2A"/>
    <w:rsid w:val="00E84B5B"/>
    <w:rsid w:val="00E861A9"/>
    <w:rsid w:val="00E90B22"/>
    <w:rsid w:val="00E936B9"/>
    <w:rsid w:val="00EA0C40"/>
    <w:rsid w:val="00EA0EDB"/>
    <w:rsid w:val="00EA2D9C"/>
    <w:rsid w:val="00EA3EE3"/>
    <w:rsid w:val="00EA3F2A"/>
    <w:rsid w:val="00EA4168"/>
    <w:rsid w:val="00EA6DB7"/>
    <w:rsid w:val="00EB2559"/>
    <w:rsid w:val="00EB2AE0"/>
    <w:rsid w:val="00EB5364"/>
    <w:rsid w:val="00EB580B"/>
    <w:rsid w:val="00EB5849"/>
    <w:rsid w:val="00EB617A"/>
    <w:rsid w:val="00EB6DDF"/>
    <w:rsid w:val="00EC0A6D"/>
    <w:rsid w:val="00EC39EB"/>
    <w:rsid w:val="00EC5BCC"/>
    <w:rsid w:val="00EC6614"/>
    <w:rsid w:val="00EC6864"/>
    <w:rsid w:val="00EC78E7"/>
    <w:rsid w:val="00ED11C6"/>
    <w:rsid w:val="00ED1E98"/>
    <w:rsid w:val="00ED2EAA"/>
    <w:rsid w:val="00ED43D2"/>
    <w:rsid w:val="00ED472C"/>
    <w:rsid w:val="00ED4BD4"/>
    <w:rsid w:val="00ED4D02"/>
    <w:rsid w:val="00EE1CAB"/>
    <w:rsid w:val="00EE3B8C"/>
    <w:rsid w:val="00EE61A1"/>
    <w:rsid w:val="00EF08A2"/>
    <w:rsid w:val="00EF1F8A"/>
    <w:rsid w:val="00EF3C3F"/>
    <w:rsid w:val="00EF4A38"/>
    <w:rsid w:val="00EF5845"/>
    <w:rsid w:val="00EF61CC"/>
    <w:rsid w:val="00F00F65"/>
    <w:rsid w:val="00F02D0F"/>
    <w:rsid w:val="00F06DD4"/>
    <w:rsid w:val="00F10174"/>
    <w:rsid w:val="00F102B3"/>
    <w:rsid w:val="00F10485"/>
    <w:rsid w:val="00F110F2"/>
    <w:rsid w:val="00F11B8F"/>
    <w:rsid w:val="00F12202"/>
    <w:rsid w:val="00F200D4"/>
    <w:rsid w:val="00F22409"/>
    <w:rsid w:val="00F23855"/>
    <w:rsid w:val="00F254A4"/>
    <w:rsid w:val="00F306C4"/>
    <w:rsid w:val="00F3194F"/>
    <w:rsid w:val="00F328D6"/>
    <w:rsid w:val="00F36DCD"/>
    <w:rsid w:val="00F4465E"/>
    <w:rsid w:val="00F47193"/>
    <w:rsid w:val="00F55A70"/>
    <w:rsid w:val="00F61534"/>
    <w:rsid w:val="00F739CE"/>
    <w:rsid w:val="00F74011"/>
    <w:rsid w:val="00F77C9E"/>
    <w:rsid w:val="00F80AF6"/>
    <w:rsid w:val="00F80CFC"/>
    <w:rsid w:val="00F836DC"/>
    <w:rsid w:val="00F83BCD"/>
    <w:rsid w:val="00F86AF7"/>
    <w:rsid w:val="00F90ADB"/>
    <w:rsid w:val="00F9215D"/>
    <w:rsid w:val="00F92617"/>
    <w:rsid w:val="00F93033"/>
    <w:rsid w:val="00F9569E"/>
    <w:rsid w:val="00F978A1"/>
    <w:rsid w:val="00F97BF4"/>
    <w:rsid w:val="00FA3AB4"/>
    <w:rsid w:val="00FA507A"/>
    <w:rsid w:val="00FA525F"/>
    <w:rsid w:val="00FA587C"/>
    <w:rsid w:val="00FB0CFB"/>
    <w:rsid w:val="00FB10CB"/>
    <w:rsid w:val="00FB12C8"/>
    <w:rsid w:val="00FB313A"/>
    <w:rsid w:val="00FB708B"/>
    <w:rsid w:val="00FC1174"/>
    <w:rsid w:val="00FC1758"/>
    <w:rsid w:val="00FC5185"/>
    <w:rsid w:val="00FC66C8"/>
    <w:rsid w:val="00FC707F"/>
    <w:rsid w:val="00FD088E"/>
    <w:rsid w:val="00FD204A"/>
    <w:rsid w:val="00FD4721"/>
    <w:rsid w:val="00FD5AA2"/>
    <w:rsid w:val="00FD63AC"/>
    <w:rsid w:val="00FE137D"/>
    <w:rsid w:val="00FE1817"/>
    <w:rsid w:val="00FE4A9C"/>
    <w:rsid w:val="00FE5122"/>
    <w:rsid w:val="00FE560B"/>
    <w:rsid w:val="00FE5CFC"/>
    <w:rsid w:val="00FE7436"/>
    <w:rsid w:val="00FF0CAF"/>
    <w:rsid w:val="00FF19D4"/>
    <w:rsid w:val="00FF1A70"/>
    <w:rsid w:val="00FF5E57"/>
    <w:rsid w:val="00FF5F57"/>
    <w:rsid w:val="00FF6172"/>
    <w:rsid w:val="00FF65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heme="majorBidi"/>
        <w:color w:val="1F355E"/>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E6E"/>
    <w:pPr>
      <w:spacing w:before="120" w:after="240" w:line="240" w:lineRule="auto"/>
    </w:pPr>
    <w:rPr>
      <w:sz w:val="24"/>
      <w:szCs w:val="24"/>
    </w:rPr>
  </w:style>
  <w:style w:type="paragraph" w:styleId="Heading1">
    <w:name w:val="heading 1"/>
    <w:basedOn w:val="Normal"/>
    <w:next w:val="Normal"/>
    <w:link w:val="Heading1Char"/>
    <w:uiPriority w:val="9"/>
    <w:qFormat/>
    <w:rsid w:val="00E90B22"/>
    <w:pPr>
      <w:contextualSpacing/>
      <w:outlineLvl w:val="0"/>
    </w:pPr>
    <w:rPr>
      <w:rFonts w:eastAsiaTheme="majorEastAsia"/>
      <w:b/>
      <w:bCs/>
      <w:sz w:val="36"/>
      <w:szCs w:val="28"/>
    </w:rPr>
  </w:style>
  <w:style w:type="paragraph" w:styleId="Heading2">
    <w:name w:val="heading 2"/>
    <w:basedOn w:val="Normal"/>
    <w:next w:val="Normal"/>
    <w:link w:val="Heading2Char"/>
    <w:uiPriority w:val="9"/>
    <w:unhideWhenUsed/>
    <w:qFormat/>
    <w:rsid w:val="001E50B6"/>
    <w:pPr>
      <w:spacing w:before="200" w:after="0"/>
      <w:outlineLvl w:val="1"/>
    </w:pPr>
    <w:rPr>
      <w:rFonts w:eastAsiaTheme="majorEastAsia"/>
      <w:b/>
      <w:bCs/>
      <w:sz w:val="28"/>
      <w:szCs w:val="26"/>
    </w:rPr>
  </w:style>
  <w:style w:type="paragraph" w:styleId="Heading3">
    <w:name w:val="heading 3"/>
    <w:aliases w:val="Heading 3 RI"/>
    <w:basedOn w:val="Normal"/>
    <w:next w:val="Normal"/>
    <w:link w:val="Heading3Char"/>
    <w:uiPriority w:val="9"/>
    <w:unhideWhenUsed/>
    <w:qFormat/>
    <w:rsid w:val="005875F7"/>
    <w:pPr>
      <w:spacing w:before="200" w:after="0"/>
      <w:outlineLvl w:val="2"/>
    </w:pPr>
    <w:rPr>
      <w:rFonts w:eastAsiaTheme="majorEastAsia"/>
      <w:bCs/>
    </w:rPr>
  </w:style>
  <w:style w:type="paragraph" w:styleId="Heading4">
    <w:name w:val="heading 4"/>
    <w:aliases w:val="Heading 4 RI"/>
    <w:basedOn w:val="Normal"/>
    <w:next w:val="Normal"/>
    <w:link w:val="Heading4Char"/>
    <w:uiPriority w:val="9"/>
    <w:unhideWhenUsed/>
    <w:qFormat/>
    <w:rsid w:val="00236917"/>
    <w:pPr>
      <w:spacing w:before="200" w:after="0"/>
      <w:outlineLvl w:val="3"/>
    </w:pPr>
    <w:rPr>
      <w:rFonts w:eastAsiaTheme="majorEastAsia"/>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eastAsiaTheme="majorEastAsia"/>
      <w:b/>
      <w:bCs/>
      <w:color w:val="757575"/>
    </w:rPr>
  </w:style>
  <w:style w:type="paragraph" w:styleId="Heading6">
    <w:name w:val="heading 6"/>
    <w:aliases w:val="Heading 6 RI"/>
    <w:basedOn w:val="Normal"/>
    <w:next w:val="Normal"/>
    <w:link w:val="Heading6Char"/>
    <w:uiPriority w:val="9"/>
    <w:unhideWhenUsed/>
    <w:rsid w:val="00933671"/>
    <w:pPr>
      <w:spacing w:before="200" w:after="0"/>
      <w:outlineLvl w:val="5"/>
    </w:pPr>
    <w:rPr>
      <w:rFonts w:eastAsiaTheme="majorEastAsia"/>
      <w:b/>
      <w:bCs/>
      <w:i/>
      <w:iCs/>
      <w:color w:val="757575"/>
    </w:rPr>
  </w:style>
  <w:style w:type="paragraph" w:styleId="Heading7">
    <w:name w:val="heading 7"/>
    <w:basedOn w:val="Normal"/>
    <w:next w:val="Normal"/>
    <w:link w:val="Heading7Char"/>
    <w:uiPriority w:val="9"/>
    <w:semiHidden/>
    <w:unhideWhenUsed/>
    <w:rsid w:val="00AC65DA"/>
    <w:pPr>
      <w:spacing w:after="0"/>
      <w:outlineLvl w:val="6"/>
    </w:pPr>
    <w:rPr>
      <w:rFonts w:asciiTheme="majorHAnsi" w:eastAsiaTheme="majorEastAsia" w:hAnsiTheme="majorHAns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E90B22"/>
    <w:rPr>
      <w:rFonts w:ascii="Calibri" w:eastAsiaTheme="majorEastAsia" w:hAnsi="Calibri" w:cstheme="majorBidi"/>
      <w:b/>
      <w:bCs/>
      <w:sz w:val="36"/>
      <w:szCs w:val="28"/>
    </w:rPr>
  </w:style>
  <w:style w:type="character" w:customStyle="1" w:styleId="Heading2Char">
    <w:name w:val="Heading 2 Char"/>
    <w:basedOn w:val="DefaultParagraphFont"/>
    <w:link w:val="Heading2"/>
    <w:uiPriority w:val="9"/>
    <w:rsid w:val="001E50B6"/>
    <w:rPr>
      <w:rFonts w:eastAsiaTheme="majorEastAsia"/>
      <w:b/>
      <w:bCs/>
      <w:sz w:val="28"/>
      <w:szCs w:val="26"/>
    </w:rPr>
  </w:style>
  <w:style w:type="character" w:customStyle="1" w:styleId="Heading3Char">
    <w:name w:val="Heading 3 Char"/>
    <w:aliases w:val="Heading 3 RI Char"/>
    <w:basedOn w:val="DefaultParagraphFont"/>
    <w:link w:val="Heading3"/>
    <w:uiPriority w:val="9"/>
    <w:rsid w:val="005875F7"/>
    <w:rPr>
      <w:rFonts w:eastAsiaTheme="majorEastAsia"/>
      <w:bCs/>
    </w:rPr>
  </w:style>
  <w:style w:type="character" w:customStyle="1" w:styleId="Heading4Char">
    <w:name w:val="Heading 4 Char"/>
    <w:aliases w:val="Heading 4 RI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aliases w:val="Heading 6 RI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C56D4"/>
    <w:pPr>
      <w:spacing w:after="720" w:line="540" w:lineRule="exact"/>
      <w:contextualSpacing/>
    </w:pPr>
    <w:rPr>
      <w:rFonts w:eastAsiaTheme="majorEastAsia"/>
      <w:b/>
      <w:color w:val="24315A"/>
      <w:spacing w:val="-5"/>
      <w:sz w:val="52"/>
      <w:szCs w:val="56"/>
    </w:rPr>
  </w:style>
  <w:style w:type="character" w:customStyle="1" w:styleId="TitleChar">
    <w:name w:val="Title Char"/>
    <w:basedOn w:val="DefaultParagraphFont"/>
    <w:link w:val="Title"/>
    <w:uiPriority w:val="10"/>
    <w:rsid w:val="00BC56D4"/>
    <w:rPr>
      <w:rFonts w:eastAsiaTheme="majorEastAsia"/>
      <w:b/>
      <w:color w:val="24315A"/>
      <w:spacing w:val="-5"/>
      <w:sz w:val="52"/>
      <w:szCs w:val="56"/>
    </w:rPr>
  </w:style>
  <w:style w:type="paragraph" w:styleId="Subtitle">
    <w:name w:val="Subtitle"/>
    <w:basedOn w:val="Normal"/>
    <w:next w:val="Normal"/>
    <w:link w:val="SubtitleChar"/>
    <w:uiPriority w:val="11"/>
    <w:qFormat/>
    <w:rsid w:val="0019192D"/>
    <w:pPr>
      <w:spacing w:before="0" w:after="100" w:afterAutospacing="1" w:line="500" w:lineRule="exact"/>
    </w:pPr>
    <w:rPr>
      <w:rFonts w:eastAsiaTheme="majorEastAsia"/>
      <w:iCs/>
      <w:color w:val="24315A"/>
      <w:spacing w:val="-13"/>
      <w:sz w:val="40"/>
      <w:szCs w:val="40"/>
    </w:rPr>
  </w:style>
  <w:style w:type="character" w:customStyle="1" w:styleId="SubtitleChar">
    <w:name w:val="Subtitle Char"/>
    <w:basedOn w:val="DefaultParagraphFont"/>
    <w:link w:val="Subtitle"/>
    <w:uiPriority w:val="11"/>
    <w:rsid w:val="0019192D"/>
    <w:rPr>
      <w:rFonts w:eastAsiaTheme="majorEastAsia"/>
      <w:iCs/>
      <w:color w:val="24315A"/>
      <w:spacing w:val="-13"/>
      <w:sz w:val="40"/>
      <w:szCs w:val="40"/>
    </w:rPr>
  </w:style>
  <w:style w:type="paragraph" w:styleId="NoSpacing">
    <w:name w:val="No Spacing"/>
    <w:basedOn w:val="Normal"/>
    <w:link w:val="NoSpacingChar"/>
    <w:uiPriority w:val="1"/>
    <w:qFormat/>
    <w:rsid w:val="00AC65DA"/>
    <w:pPr>
      <w:spacing w:after="0"/>
    </w:pPr>
  </w:style>
  <w:style w:type="paragraph" w:styleId="ListParagraph">
    <w:name w:val="List Paragraph"/>
    <w:aliases w:val="List Paragraph1,Recommendation,List Paragraph11,L,bullet point list,0Bullet,Bullet point,Bullets,Content descriptions,DDM Gen Text,Dot point 1.5 line spacing,List Paragraph - bullets,List Paragraph Number,NAST Quote,NFP GP Bulleted List"/>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unhideWhenUsed/>
    <w:qFormat/>
    <w:rsid w:val="00AC65DA"/>
    <w:pPr>
      <w:outlineLvl w:val="9"/>
    </w:pPr>
    <w:rPr>
      <w:lang w:bidi="en-US"/>
    </w:rPr>
  </w:style>
  <w:style w:type="paragraph" w:styleId="ListNumber">
    <w:name w:val="List Number"/>
    <w:basedOn w:val="Normal"/>
    <w:uiPriority w:val="99"/>
    <w:unhideWhenUsed/>
    <w:rsid w:val="00FB10CB"/>
    <w:pPr>
      <w:numPr>
        <w:numId w:val="1"/>
      </w:numPr>
      <w:spacing w:after="120"/>
      <w:ind w:left="369" w:hanging="369"/>
      <w:contextualSpacing/>
    </w:pPr>
  </w:style>
  <w:style w:type="paragraph" w:styleId="ListNumber2">
    <w:name w:val="List Number 2"/>
    <w:basedOn w:val="Normal"/>
    <w:uiPriority w:val="99"/>
    <w:unhideWhenUsed/>
    <w:rsid w:val="00985632"/>
    <w:pPr>
      <w:numPr>
        <w:ilvl w:val="1"/>
        <w:numId w:val="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
      </w:numPr>
      <w:spacing w:after="120"/>
      <w:ind w:left="1701" w:hanging="765"/>
      <w:contextualSpacing/>
    </w:pPr>
  </w:style>
  <w:style w:type="paragraph" w:styleId="ListNumber4">
    <w:name w:val="List Number 4"/>
    <w:basedOn w:val="Normal"/>
    <w:uiPriority w:val="99"/>
    <w:unhideWhenUsed/>
    <w:rsid w:val="00406E5A"/>
    <w:pPr>
      <w:numPr>
        <w:ilvl w:val="3"/>
        <w:numId w:val="1"/>
      </w:numPr>
      <w:spacing w:after="120"/>
      <w:ind w:left="2637" w:hanging="936"/>
      <w:contextualSpacing/>
    </w:pPr>
  </w:style>
  <w:style w:type="paragraph" w:styleId="ListBullet">
    <w:name w:val="List Bullet"/>
    <w:basedOn w:val="Normal"/>
    <w:uiPriority w:val="99"/>
    <w:unhideWhenUsed/>
    <w:rsid w:val="00CA46EC"/>
    <w:pPr>
      <w:numPr>
        <w:numId w:val="2"/>
      </w:numPr>
      <w:spacing w:after="120"/>
      <w:ind w:left="369" w:hanging="369"/>
      <w:contextualSpacing/>
    </w:pPr>
  </w:style>
  <w:style w:type="paragraph" w:styleId="ListBullet2">
    <w:name w:val="List Bullet 2"/>
    <w:basedOn w:val="Normal"/>
    <w:uiPriority w:val="99"/>
    <w:unhideWhenUsed/>
    <w:rsid w:val="00CA46EC"/>
    <w:pPr>
      <w:numPr>
        <w:ilvl w:val="1"/>
        <w:numId w:val="2"/>
      </w:numPr>
      <w:spacing w:after="120"/>
      <w:ind w:left="766" w:hanging="369"/>
      <w:contextualSpacing/>
    </w:pPr>
  </w:style>
  <w:style w:type="paragraph" w:styleId="ListBullet3">
    <w:name w:val="List Bullet 3"/>
    <w:basedOn w:val="Normal"/>
    <w:uiPriority w:val="99"/>
    <w:unhideWhenUsed/>
    <w:rsid w:val="00CA46EC"/>
    <w:pPr>
      <w:numPr>
        <w:ilvl w:val="2"/>
        <w:numId w:val="2"/>
      </w:numPr>
      <w:spacing w:after="120"/>
      <w:ind w:left="1163" w:hanging="369"/>
      <w:contextualSpacing/>
    </w:pPr>
  </w:style>
  <w:style w:type="paragraph" w:styleId="ListBullet4">
    <w:name w:val="List Bullet 4"/>
    <w:basedOn w:val="Normal"/>
    <w:uiPriority w:val="99"/>
    <w:unhideWhenUsed/>
    <w:rsid w:val="00CA46EC"/>
    <w:pPr>
      <w:numPr>
        <w:ilvl w:val="3"/>
        <w:numId w:val="2"/>
      </w:numPr>
      <w:spacing w:after="120"/>
      <w:ind w:left="1503" w:hanging="369"/>
      <w:contextualSpacing/>
    </w:pPr>
  </w:style>
  <w:style w:type="table" w:styleId="TableGrid">
    <w:name w:val="Table Grid"/>
    <w:basedOn w:val="TableNormal"/>
    <w:uiPriority w:val="9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E-HELP">
    <w:name w:val="FEE-HELP"/>
    <w:basedOn w:val="TableNormal"/>
    <w:uiPriority w:val="99"/>
    <w:rsid w:val="003E18EB"/>
    <w:pPr>
      <w:spacing w:after="0" w:line="240" w:lineRule="auto"/>
    </w:pPr>
    <w:rPr>
      <w:color w:val="000000" w:themeColor="text1"/>
      <w:sz w:val="20"/>
    </w:rPr>
    <w:tblPr>
      <w:tblStyleRowBandSize w:val="1"/>
      <w:tblStyleColBandSize w:val="1"/>
      <w:tblBorders>
        <w:top w:val="single" w:sz="4" w:space="0" w:color="auto"/>
        <w:bottom w:val="single" w:sz="4" w:space="0" w:color="auto"/>
        <w:insideH w:val="single" w:sz="4" w:space="0" w:color="auto"/>
        <w:insideV w:val="single" w:sz="4" w:space="0" w:color="auto"/>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cPr>
        <w:tcBorders>
          <w:top w:val="single" w:sz="4" w:space="0" w:color="auto"/>
          <w:left w:val="nil"/>
          <w:bottom w:val="single" w:sz="4" w:space="0" w:color="auto"/>
          <w:right w:val="nil"/>
          <w:insideH w:val="nil"/>
          <w:insideV w:val="single" w:sz="4" w:space="0" w:color="FFFFFF" w:themeColor="background2"/>
          <w:tl2br w:val="nil"/>
          <w:tr2bl w:val="nil"/>
        </w:tcBorders>
        <w:shd w:val="clear" w:color="auto" w:fill="00588F"/>
      </w:tcPr>
    </w:tblStylePr>
    <w:tblStylePr w:type="lastRow">
      <w:tblPr/>
      <w:tcPr>
        <w:tcBorders>
          <w:top w:val="single" w:sz="8" w:space="0" w:color="auto"/>
          <w:bottom w:val="single" w:sz="8" w:space="0" w:color="auto"/>
          <w:insideV w:val="single" w:sz="4" w:space="0" w:color="auto"/>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auto"/>
          <w:left w:val="nil"/>
          <w:bottom w:val="single" w:sz="4" w:space="0" w:color="auto"/>
          <w:right w:val="nil"/>
          <w:insideH w:val="nil"/>
          <w:insideV w:val="single" w:sz="4" w:space="0" w:color="auto"/>
          <w:tl2br w:val="nil"/>
          <w:tr2bl w:val="nil"/>
        </w:tcBorders>
      </w:tcPr>
    </w:tblStylePr>
    <w:tblStylePr w:type="band2Horz">
      <w:tblPr/>
      <w:tcPr>
        <w:shd w:val="clear" w:color="auto" w:fill="E5EBF4"/>
      </w:tcPr>
    </w:tblStylePr>
  </w:style>
  <w:style w:type="paragraph" w:customStyle="1" w:styleId="Default">
    <w:name w:val="Default"/>
    <w:rsid w:val="00130923"/>
    <w:pPr>
      <w:autoSpaceDE w:val="0"/>
      <w:autoSpaceDN w:val="0"/>
      <w:adjustRightInd w:val="0"/>
      <w:spacing w:after="0" w:line="240" w:lineRule="auto"/>
    </w:pPr>
    <w:rPr>
      <w:rFonts w:eastAsia="Times New Roman" w:cs="Calibri"/>
      <w:color w:val="000000"/>
      <w:sz w:val="24"/>
      <w:szCs w:val="24"/>
      <w:lang w:eastAsia="en-AU"/>
    </w:rPr>
  </w:style>
  <w:style w:type="paragraph" w:styleId="BodyText">
    <w:name w:val="Body Text"/>
    <w:basedOn w:val="Normal"/>
    <w:link w:val="BodyTextChar"/>
    <w:rsid w:val="00130923"/>
    <w:pPr>
      <w:spacing w:after="120"/>
    </w:pPr>
    <w:rPr>
      <w:rFonts w:eastAsia="Times New Roman" w:cs="Times New Roman"/>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3"/>
      </w:numPr>
      <w:spacing w:after="0"/>
    </w:pPr>
    <w:rPr>
      <w:rFonts w:eastAsiaTheme="minorHAnsi" w:cs="Calibri"/>
      <w:lang w:eastAsia="en-AU"/>
    </w:rPr>
  </w:style>
  <w:style w:type="paragraph" w:styleId="BalloonText">
    <w:name w:val="Balloon Text"/>
    <w:basedOn w:val="Normal"/>
    <w:link w:val="BalloonTextChar"/>
    <w:uiPriority w:val="99"/>
    <w:semiHidden/>
    <w:unhideWhenUsed/>
    <w:rsid w:val="0013092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qFormat/>
    <w:rsid w:val="00315E33"/>
    <w:pPr>
      <w:tabs>
        <w:tab w:val="left" w:pos="8505"/>
      </w:tabs>
      <w:spacing w:after="100"/>
    </w:pPr>
  </w:style>
  <w:style w:type="paragraph" w:styleId="TOC2">
    <w:name w:val="toc 2"/>
    <w:basedOn w:val="Normal"/>
    <w:next w:val="Normal"/>
    <w:autoRedefine/>
    <w:uiPriority w:val="39"/>
    <w:unhideWhenUsed/>
    <w:qFormat/>
    <w:rsid w:val="00EF4A38"/>
    <w:pPr>
      <w:spacing w:after="100"/>
      <w:ind w:left="220"/>
    </w:pPr>
  </w:style>
  <w:style w:type="paragraph" w:styleId="TOC3">
    <w:name w:val="toc 3"/>
    <w:basedOn w:val="Normal"/>
    <w:next w:val="Normal"/>
    <w:autoRedefine/>
    <w:uiPriority w:val="39"/>
    <w:unhideWhenUsed/>
    <w:qFormat/>
    <w:rsid w:val="00EF4A38"/>
    <w:pPr>
      <w:spacing w:after="100"/>
      <w:ind w:left="440"/>
    </w:pPr>
  </w:style>
  <w:style w:type="paragraph" w:styleId="Caption">
    <w:name w:val="caption"/>
    <w:basedOn w:val="Heading4"/>
    <w:next w:val="Normal"/>
    <w:uiPriority w:val="35"/>
    <w:unhideWhenUsed/>
    <w:rsid w:val="00B2722A"/>
    <w:rPr>
      <w:i w:val="0"/>
    </w:rPr>
  </w:style>
  <w:style w:type="paragraph" w:customStyle="1" w:styleId="Source">
    <w:name w:val="Source"/>
    <w:basedOn w:val="Normal"/>
    <w:qFormat/>
    <w:rsid w:val="001B6137"/>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paragraph" w:customStyle="1" w:styleId="Heading1RI">
    <w:name w:val="Heading 1 RI"/>
    <w:basedOn w:val="Heading1"/>
    <w:qFormat/>
    <w:rsid w:val="00331071"/>
    <w:rPr>
      <w:color w:val="00588F"/>
    </w:rPr>
  </w:style>
  <w:style w:type="paragraph" w:customStyle="1" w:styleId="TitleHeadings">
    <w:name w:val="Title (Headings)"/>
    <w:basedOn w:val="Normal"/>
    <w:uiPriority w:val="99"/>
    <w:rsid w:val="00DA12D2"/>
    <w:pPr>
      <w:suppressAutoHyphens/>
      <w:autoSpaceDE w:val="0"/>
      <w:autoSpaceDN w:val="0"/>
      <w:adjustRightInd w:val="0"/>
      <w:spacing w:after="0" w:line="720" w:lineRule="atLeast"/>
      <w:textAlignment w:val="center"/>
    </w:pPr>
    <w:rPr>
      <w:rFonts w:ascii="HelveticaNeue LT 45 Light" w:hAnsi="HelveticaNeue LT 45 Light" w:cs="HelveticaNeue LT 45 Light"/>
      <w:color w:val="000000"/>
      <w:sz w:val="68"/>
      <w:szCs w:val="68"/>
      <w:lang w:val="en-GB"/>
    </w:rPr>
  </w:style>
  <w:style w:type="paragraph" w:customStyle="1" w:styleId="SubTitleHeadings">
    <w:name w:val="Sub Title (Headings)"/>
    <w:basedOn w:val="Normal"/>
    <w:uiPriority w:val="99"/>
    <w:rsid w:val="00DA12D2"/>
    <w:pPr>
      <w:autoSpaceDE w:val="0"/>
      <w:autoSpaceDN w:val="0"/>
      <w:adjustRightInd w:val="0"/>
      <w:spacing w:after="0" w:line="340" w:lineRule="atLeast"/>
      <w:textAlignment w:val="center"/>
    </w:pPr>
    <w:rPr>
      <w:rFonts w:ascii="HelveticaNeue LT 45 Light" w:hAnsi="HelveticaNeue LT 45 Light" w:cs="HelveticaNeue LT 45 Light"/>
      <w:color w:val="000000"/>
      <w:sz w:val="30"/>
      <w:szCs w:val="30"/>
      <w:lang w:val="en-GB"/>
    </w:rPr>
  </w:style>
  <w:style w:type="paragraph" w:customStyle="1" w:styleId="Heading2RI">
    <w:name w:val="Heading 2 RI"/>
    <w:basedOn w:val="Heading2"/>
    <w:qFormat/>
    <w:rsid w:val="004E5EC1"/>
    <w:rPr>
      <w:color w:val="00588F"/>
    </w:rPr>
  </w:style>
  <w:style w:type="paragraph" w:customStyle="1" w:styleId="RIHeading1">
    <w:name w:val="RI Heading 1"/>
    <w:basedOn w:val="Heading1RI"/>
    <w:qFormat/>
    <w:rsid w:val="00E42874"/>
    <w:pPr>
      <w:spacing w:after="0"/>
    </w:pPr>
    <w:rPr>
      <w:color w:val="1F355E"/>
      <w:sz w:val="40"/>
    </w:rPr>
  </w:style>
  <w:style w:type="character" w:styleId="CommentReference">
    <w:name w:val="annotation reference"/>
    <w:basedOn w:val="DefaultParagraphFont"/>
    <w:uiPriority w:val="99"/>
    <w:unhideWhenUsed/>
    <w:rsid w:val="00BA6246"/>
    <w:rPr>
      <w:sz w:val="16"/>
      <w:szCs w:val="16"/>
    </w:rPr>
  </w:style>
  <w:style w:type="paragraph" w:customStyle="1" w:styleId="RIHeading2">
    <w:name w:val="RI Heading 2"/>
    <w:basedOn w:val="Heading2RI"/>
    <w:qFormat/>
    <w:rsid w:val="00E42874"/>
    <w:pPr>
      <w:spacing w:before="360"/>
    </w:pPr>
    <w:rPr>
      <w:color w:val="1F355E"/>
      <w:sz w:val="32"/>
      <w:szCs w:val="32"/>
    </w:rPr>
  </w:style>
  <w:style w:type="paragraph" w:customStyle="1" w:styleId="RIHeading3">
    <w:name w:val="RI Heading 3"/>
    <w:basedOn w:val="Heading3"/>
    <w:qFormat/>
    <w:rsid w:val="00955350"/>
    <w:pPr>
      <w:spacing w:before="360"/>
    </w:pPr>
    <w:rPr>
      <w:b/>
      <w:sz w:val="28"/>
      <w:szCs w:val="28"/>
    </w:rPr>
  </w:style>
  <w:style w:type="paragraph" w:customStyle="1" w:styleId="spaceonheaderpage">
    <w:name w:val="space on header page"/>
    <w:basedOn w:val="Normal"/>
    <w:qFormat/>
    <w:rsid w:val="0058727A"/>
    <w:pPr>
      <w:spacing w:before="10000"/>
    </w:pPr>
    <w:rPr>
      <w:noProof/>
    </w:rPr>
  </w:style>
  <w:style w:type="table" w:customStyle="1" w:styleId="HECS-HELP">
    <w:name w:val="HECS-HELP"/>
    <w:basedOn w:val="FEE-HELP"/>
    <w:uiPriority w:val="99"/>
    <w:rsid w:val="00121BF6"/>
    <w:tblPr/>
    <w:tblStylePr w:type="firstRow">
      <w:pPr>
        <w:wordWrap/>
        <w:ind w:leftChars="0" w:left="0" w:rightChars="0" w:right="0"/>
        <w:jc w:val="left"/>
      </w:pPr>
      <w:rPr>
        <w:rFonts w:asciiTheme="minorHAnsi" w:hAnsiTheme="minorHAnsi"/>
        <w:b/>
        <w:color w:val="FFFFFF" w:themeColor="background2"/>
        <w:sz w:val="20"/>
      </w:rPr>
      <w:tblPr/>
      <w:tcPr>
        <w:tcBorders>
          <w:top w:val="single" w:sz="4" w:space="0" w:color="auto"/>
          <w:left w:val="nil"/>
          <w:bottom w:val="single" w:sz="4" w:space="0" w:color="auto"/>
          <w:right w:val="nil"/>
          <w:insideH w:val="nil"/>
          <w:insideV w:val="single" w:sz="4" w:space="0" w:color="FFFFFF" w:themeColor="background2"/>
          <w:tl2br w:val="nil"/>
          <w:tr2bl w:val="nil"/>
        </w:tcBorders>
        <w:shd w:val="clear" w:color="auto" w:fill="C50068"/>
      </w:tcPr>
    </w:tblStylePr>
    <w:tblStylePr w:type="lastRow">
      <w:tblPr/>
      <w:tcPr>
        <w:tcBorders>
          <w:top w:val="single" w:sz="8" w:space="0" w:color="auto"/>
          <w:bottom w:val="single" w:sz="8" w:space="0" w:color="auto"/>
          <w:insideV w:val="single" w:sz="4" w:space="0" w:color="auto"/>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auto"/>
          <w:left w:val="nil"/>
          <w:bottom w:val="single" w:sz="4" w:space="0" w:color="auto"/>
          <w:right w:val="nil"/>
          <w:insideH w:val="nil"/>
          <w:insideV w:val="single" w:sz="4" w:space="0" w:color="auto"/>
          <w:tl2br w:val="nil"/>
          <w:tr2bl w:val="nil"/>
        </w:tcBorders>
      </w:tcPr>
    </w:tblStylePr>
    <w:tblStylePr w:type="band2Horz">
      <w:tblPr/>
      <w:tcPr>
        <w:shd w:val="clear" w:color="auto" w:fill="F9EAF1"/>
      </w:tcPr>
    </w:tblStylePr>
  </w:style>
  <w:style w:type="table" w:customStyle="1" w:styleId="OS-HELP">
    <w:name w:val="OS-HELP"/>
    <w:basedOn w:val="HECS-HELP"/>
    <w:uiPriority w:val="99"/>
    <w:rsid w:val="00C55272"/>
    <w:tblPr/>
    <w:tblStylePr w:type="firstRow">
      <w:pPr>
        <w:wordWrap/>
        <w:ind w:leftChars="0" w:left="0" w:rightChars="0" w:right="0"/>
        <w:jc w:val="left"/>
      </w:pPr>
      <w:rPr>
        <w:rFonts w:asciiTheme="minorHAnsi" w:hAnsiTheme="minorHAnsi"/>
        <w:b/>
        <w:color w:val="FFFFFF" w:themeColor="background2"/>
        <w:sz w:val="20"/>
      </w:rPr>
      <w:tblPr/>
      <w:tcPr>
        <w:tcBorders>
          <w:top w:val="single" w:sz="4" w:space="0" w:color="auto"/>
          <w:left w:val="nil"/>
          <w:bottom w:val="single" w:sz="4" w:space="0" w:color="auto"/>
          <w:right w:val="nil"/>
          <w:insideH w:val="nil"/>
          <w:insideV w:val="single" w:sz="4" w:space="0" w:color="FFFFFF" w:themeColor="background2"/>
          <w:tl2br w:val="nil"/>
          <w:tr2bl w:val="nil"/>
        </w:tcBorders>
        <w:shd w:val="clear" w:color="auto" w:fill="4A2278"/>
      </w:tcPr>
    </w:tblStylePr>
    <w:tblStylePr w:type="lastRow">
      <w:tblPr/>
      <w:tcPr>
        <w:tcBorders>
          <w:top w:val="single" w:sz="8" w:space="0" w:color="auto"/>
          <w:bottom w:val="single" w:sz="8" w:space="0" w:color="auto"/>
          <w:insideV w:val="single" w:sz="4" w:space="0" w:color="auto"/>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auto"/>
          <w:left w:val="nil"/>
          <w:bottom w:val="single" w:sz="4" w:space="0" w:color="auto"/>
          <w:right w:val="nil"/>
          <w:insideH w:val="nil"/>
          <w:insideV w:val="single" w:sz="4" w:space="0" w:color="auto"/>
          <w:tl2br w:val="nil"/>
          <w:tr2bl w:val="nil"/>
        </w:tcBorders>
      </w:tcPr>
    </w:tblStylePr>
    <w:tblStylePr w:type="band2Horz">
      <w:tblPr/>
      <w:tcPr>
        <w:shd w:val="clear" w:color="auto" w:fill="E9E5F2"/>
      </w:tcPr>
    </w:tblStylePr>
  </w:style>
  <w:style w:type="table" w:customStyle="1" w:styleId="SA-HELP">
    <w:name w:val="SA-HELP"/>
    <w:basedOn w:val="OS-HELP"/>
    <w:uiPriority w:val="99"/>
    <w:rsid w:val="00207EE1"/>
    <w:tblPr/>
    <w:tblStylePr w:type="firstRow">
      <w:pPr>
        <w:wordWrap/>
        <w:ind w:leftChars="0" w:left="0" w:rightChars="0" w:right="0"/>
        <w:jc w:val="left"/>
      </w:pPr>
      <w:rPr>
        <w:rFonts w:asciiTheme="minorHAnsi" w:hAnsiTheme="minorHAnsi"/>
        <w:b/>
        <w:color w:val="FFFFFF" w:themeColor="background2"/>
        <w:sz w:val="20"/>
      </w:rPr>
      <w:tblPr/>
      <w:tcPr>
        <w:tcBorders>
          <w:top w:val="single" w:sz="4" w:space="0" w:color="auto"/>
          <w:left w:val="nil"/>
          <w:bottom w:val="single" w:sz="4" w:space="0" w:color="auto"/>
          <w:right w:val="nil"/>
          <w:insideH w:val="nil"/>
          <w:insideV w:val="single" w:sz="4" w:space="0" w:color="FFFFFF" w:themeColor="background2"/>
          <w:tl2br w:val="nil"/>
          <w:tr2bl w:val="nil"/>
        </w:tcBorders>
        <w:shd w:val="clear" w:color="auto" w:fill="35752D"/>
      </w:tcPr>
    </w:tblStylePr>
    <w:tblStylePr w:type="lastRow">
      <w:tblPr/>
      <w:tcPr>
        <w:tcBorders>
          <w:top w:val="single" w:sz="8" w:space="0" w:color="auto"/>
          <w:bottom w:val="single" w:sz="8" w:space="0" w:color="auto"/>
          <w:insideV w:val="single" w:sz="4" w:space="0" w:color="auto"/>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auto"/>
          <w:left w:val="nil"/>
          <w:bottom w:val="single" w:sz="4" w:space="0" w:color="auto"/>
          <w:right w:val="nil"/>
          <w:insideH w:val="nil"/>
          <w:insideV w:val="single" w:sz="4" w:space="0" w:color="auto"/>
          <w:tl2br w:val="nil"/>
          <w:tr2bl w:val="nil"/>
        </w:tcBorders>
      </w:tcPr>
    </w:tblStylePr>
    <w:tblStylePr w:type="band2Horz">
      <w:tblPr/>
      <w:tcPr>
        <w:shd w:val="clear" w:color="auto" w:fill="EAEFE7"/>
      </w:tcPr>
    </w:tblStylePr>
  </w:style>
  <w:style w:type="paragraph" w:customStyle="1" w:styleId="Highlightboxtitle">
    <w:name w:val="Highlight box title"/>
    <w:basedOn w:val="Heading4"/>
    <w:qFormat/>
    <w:rsid w:val="00955350"/>
    <w:pPr>
      <w:outlineLvl w:val="9"/>
    </w:pPr>
    <w:rPr>
      <w:i w:val="0"/>
      <w:sz w:val="28"/>
      <w:szCs w:val="28"/>
      <w:lang w:val="en-GB"/>
    </w:rPr>
  </w:style>
  <w:style w:type="table" w:customStyle="1" w:styleId="FEEHELPPULLOUTBOX">
    <w:name w:val="FEE HELP PULLOUT BOX"/>
    <w:basedOn w:val="TableNormal"/>
    <w:uiPriority w:val="99"/>
    <w:rsid w:val="00E26A8F"/>
    <w:pPr>
      <w:spacing w:after="0" w:line="240" w:lineRule="auto"/>
    </w:pPr>
    <w:tblPr/>
    <w:tcPr>
      <w:shd w:val="clear" w:color="auto" w:fill="E5EBF4"/>
    </w:tcPr>
  </w:style>
  <w:style w:type="table" w:customStyle="1" w:styleId="HECSHELPPULLOUTBOX">
    <w:name w:val="HECS HELP PULLOUT BOX"/>
    <w:basedOn w:val="TableNormal"/>
    <w:uiPriority w:val="99"/>
    <w:rsid w:val="00E26A8F"/>
    <w:pPr>
      <w:spacing w:after="0" w:line="240" w:lineRule="auto"/>
    </w:pPr>
    <w:tblPr/>
    <w:tcPr>
      <w:shd w:val="clear" w:color="auto" w:fill="F9EAF1"/>
    </w:tcPr>
  </w:style>
  <w:style w:type="table" w:customStyle="1" w:styleId="OSHELPPULLOUTBOX">
    <w:name w:val="OS HELP PULLOUT BOX"/>
    <w:basedOn w:val="TableNormal"/>
    <w:uiPriority w:val="99"/>
    <w:rsid w:val="00E26A8F"/>
    <w:pPr>
      <w:spacing w:after="0" w:line="240" w:lineRule="auto"/>
    </w:pPr>
    <w:tblPr/>
    <w:tcPr>
      <w:shd w:val="clear" w:color="auto" w:fill="E9E5F2"/>
    </w:tcPr>
  </w:style>
  <w:style w:type="table" w:customStyle="1" w:styleId="SAHELPPULLOUTBOX">
    <w:name w:val="SA HELP PULLOUT BOX"/>
    <w:basedOn w:val="TableNormal"/>
    <w:uiPriority w:val="99"/>
    <w:rsid w:val="00337D3D"/>
    <w:pPr>
      <w:spacing w:after="0" w:line="240" w:lineRule="auto"/>
    </w:pPr>
    <w:tblPr/>
    <w:tcPr>
      <w:shd w:val="clear" w:color="auto" w:fill="EAEFE7"/>
    </w:tcPr>
  </w:style>
  <w:style w:type="paragraph" w:styleId="TOC6">
    <w:name w:val="toc 6"/>
    <w:basedOn w:val="Normal"/>
    <w:next w:val="Normal"/>
    <w:autoRedefine/>
    <w:uiPriority w:val="39"/>
    <w:unhideWhenUsed/>
    <w:rsid w:val="00474E36"/>
    <w:pPr>
      <w:spacing w:after="100"/>
      <w:ind w:left="1100"/>
    </w:pPr>
  </w:style>
  <w:style w:type="paragraph" w:customStyle="1" w:styleId="Heading1RI0">
    <w:name w:val="Heading 1  RI"/>
    <w:basedOn w:val="RIHeading1"/>
    <w:qFormat/>
    <w:rsid w:val="00E42874"/>
  </w:style>
  <w:style w:type="paragraph" w:customStyle="1" w:styleId="TabletextRI">
    <w:name w:val="Table text RI"/>
    <w:basedOn w:val="Normal"/>
    <w:qFormat/>
    <w:rsid w:val="00C52B71"/>
    <w:pPr>
      <w:spacing w:before="40" w:after="40"/>
    </w:pPr>
    <w:rPr>
      <w:color w:val="000000" w:themeColor="text1"/>
    </w:rPr>
  </w:style>
  <w:style w:type="paragraph" w:customStyle="1" w:styleId="TableTitleRI">
    <w:name w:val="Table Title RI"/>
    <w:basedOn w:val="Normal"/>
    <w:qFormat/>
    <w:rsid w:val="00955350"/>
    <w:rPr>
      <w:rFonts w:asciiTheme="minorHAnsi" w:hAnsiTheme="minorHAnsi"/>
      <w:b/>
      <w:color w:val="000000" w:themeColor="text1"/>
    </w:rPr>
  </w:style>
  <w:style w:type="paragraph" w:customStyle="1" w:styleId="BasicParagraph">
    <w:name w:val="[Basic Paragraph]"/>
    <w:basedOn w:val="Normal"/>
    <w:uiPriority w:val="99"/>
    <w:rsid w:val="00BC56D4"/>
    <w:pPr>
      <w:autoSpaceDE w:val="0"/>
      <w:autoSpaceDN w:val="0"/>
      <w:adjustRightInd w:val="0"/>
      <w:spacing w:before="0" w:after="0" w:line="288" w:lineRule="auto"/>
      <w:textAlignment w:val="center"/>
    </w:pPr>
    <w:rPr>
      <w:rFonts w:ascii="Minion Pro" w:hAnsi="Minion Pro" w:cs="Minion Pro"/>
      <w:color w:val="000000"/>
      <w:lang w:val="en-GB"/>
    </w:rPr>
  </w:style>
  <w:style w:type="paragraph" w:styleId="CommentText">
    <w:name w:val="annotation text"/>
    <w:basedOn w:val="Normal"/>
    <w:link w:val="CommentTextChar"/>
    <w:uiPriority w:val="99"/>
    <w:unhideWhenUsed/>
    <w:rsid w:val="002C6039"/>
    <w:pPr>
      <w:spacing w:before="0" w:after="200"/>
    </w:pPr>
    <w:rPr>
      <w:rFonts w:asciiTheme="minorHAnsi" w:eastAsiaTheme="minorHAnsi" w:hAnsiTheme="minorHAnsi" w:cstheme="minorBidi"/>
      <w:color w:val="auto"/>
      <w:sz w:val="20"/>
      <w:szCs w:val="20"/>
      <w:lang w:val="en-GB" w:eastAsia="en-GB"/>
    </w:rPr>
  </w:style>
  <w:style w:type="character" w:customStyle="1" w:styleId="CommentTextChar">
    <w:name w:val="Comment Text Char"/>
    <w:basedOn w:val="DefaultParagraphFont"/>
    <w:link w:val="CommentText"/>
    <w:uiPriority w:val="99"/>
    <w:rsid w:val="002C6039"/>
    <w:rPr>
      <w:rFonts w:asciiTheme="minorHAnsi" w:eastAsiaTheme="minorHAnsi" w:hAnsiTheme="minorHAnsi" w:cstheme="minorBidi"/>
      <w:color w:val="auto"/>
      <w:sz w:val="20"/>
      <w:szCs w:val="20"/>
      <w:lang w:val="en-GB" w:eastAsia="en-GB"/>
    </w:rPr>
  </w:style>
  <w:style w:type="paragraph" w:styleId="FootnoteText">
    <w:name w:val="footnote text"/>
    <w:basedOn w:val="Normal"/>
    <w:link w:val="FootnoteTextChar"/>
    <w:uiPriority w:val="99"/>
    <w:unhideWhenUsed/>
    <w:rsid w:val="002C6039"/>
    <w:pPr>
      <w:spacing w:before="0" w:after="0"/>
    </w:pPr>
    <w:rPr>
      <w:rFonts w:asciiTheme="minorHAnsi" w:eastAsiaTheme="minorHAnsi" w:hAnsiTheme="minorHAnsi" w:cstheme="minorBidi"/>
      <w:color w:val="auto"/>
      <w:sz w:val="20"/>
      <w:szCs w:val="20"/>
      <w:lang w:val="en-GB" w:eastAsia="en-GB"/>
    </w:rPr>
  </w:style>
  <w:style w:type="character" w:customStyle="1" w:styleId="FootnoteTextChar">
    <w:name w:val="Footnote Text Char"/>
    <w:basedOn w:val="DefaultParagraphFont"/>
    <w:link w:val="FootnoteText"/>
    <w:uiPriority w:val="99"/>
    <w:rsid w:val="002C6039"/>
    <w:rPr>
      <w:rFonts w:asciiTheme="minorHAnsi" w:eastAsiaTheme="minorHAnsi" w:hAnsiTheme="minorHAnsi" w:cstheme="minorBidi"/>
      <w:color w:val="auto"/>
      <w:sz w:val="20"/>
      <w:szCs w:val="20"/>
      <w:lang w:val="en-GB" w:eastAsia="en-GB"/>
    </w:rPr>
  </w:style>
  <w:style w:type="character" w:styleId="FootnoteReference">
    <w:name w:val="footnote reference"/>
    <w:basedOn w:val="DefaultParagraphFont"/>
    <w:uiPriority w:val="99"/>
    <w:unhideWhenUsed/>
    <w:rsid w:val="002C6039"/>
    <w:rPr>
      <w:vertAlign w:val="superscript"/>
    </w:rPr>
  </w:style>
  <w:style w:type="character" w:customStyle="1" w:styleId="ListParagraphChar">
    <w:name w:val="List Paragraph Char"/>
    <w:aliases w:val="List Paragraph1 Char,Recommendation Char,List Paragraph11 Char,L Char,bullet point list Char,0Bullet Char,Bullet point Char,Bullets Char,Content descriptions Char,DDM Gen Text Char,Dot point 1.5 line spacing Char,NAST Quote Char"/>
    <w:basedOn w:val="DefaultParagraphFont"/>
    <w:link w:val="ListParagraph"/>
    <w:uiPriority w:val="34"/>
    <w:locked/>
    <w:rsid w:val="002C6039"/>
    <w:rPr>
      <w:sz w:val="24"/>
      <w:szCs w:val="24"/>
    </w:rPr>
  </w:style>
  <w:style w:type="paragraph" w:styleId="NormalWeb">
    <w:name w:val="Normal (Web)"/>
    <w:basedOn w:val="Normal"/>
    <w:uiPriority w:val="99"/>
    <w:unhideWhenUsed/>
    <w:rsid w:val="002C6039"/>
    <w:pPr>
      <w:spacing w:before="240"/>
    </w:pPr>
    <w:rPr>
      <w:rFonts w:ascii="Times New Roman" w:eastAsia="Times New Roman" w:hAnsi="Times New Roman" w:cs="Times New Roman"/>
      <w:color w:val="auto"/>
      <w:lang w:eastAsia="en-AU"/>
    </w:rPr>
  </w:style>
  <w:style w:type="paragraph" w:customStyle="1" w:styleId="ACOLA">
    <w:name w:val="ACOLA"/>
    <w:basedOn w:val="Normal"/>
    <w:link w:val="ACOLAChar"/>
    <w:rsid w:val="002C6039"/>
    <w:pPr>
      <w:spacing w:before="0" w:after="200"/>
    </w:pPr>
    <w:rPr>
      <w:rFonts w:eastAsia="Calibri" w:cs="Arial"/>
      <w:color w:val="auto"/>
      <w:sz w:val="22"/>
      <w:szCs w:val="22"/>
    </w:rPr>
  </w:style>
  <w:style w:type="character" w:customStyle="1" w:styleId="ACOLAChar">
    <w:name w:val="ACOLA Char"/>
    <w:link w:val="ACOLA"/>
    <w:rsid w:val="002C6039"/>
    <w:rPr>
      <w:rFonts w:eastAsia="Calibri" w:cs="Arial"/>
      <w:color w:val="auto"/>
    </w:rPr>
  </w:style>
  <w:style w:type="paragraph" w:styleId="CommentSubject">
    <w:name w:val="annotation subject"/>
    <w:basedOn w:val="CommentText"/>
    <w:next w:val="CommentText"/>
    <w:link w:val="CommentSubjectChar"/>
    <w:uiPriority w:val="99"/>
    <w:semiHidden/>
    <w:unhideWhenUsed/>
    <w:rsid w:val="002C6039"/>
    <w:pPr>
      <w:spacing w:before="120" w:after="240"/>
    </w:pPr>
    <w:rPr>
      <w:rFonts w:ascii="Calibri" w:eastAsiaTheme="minorEastAsia" w:hAnsi="Calibri" w:cstheme="majorBidi"/>
      <w:b/>
      <w:bCs/>
      <w:color w:val="1F355E"/>
      <w:lang w:val="en-AU" w:eastAsia="en-US"/>
    </w:rPr>
  </w:style>
  <w:style w:type="character" w:customStyle="1" w:styleId="CommentSubjectChar">
    <w:name w:val="Comment Subject Char"/>
    <w:basedOn w:val="CommentTextChar"/>
    <w:link w:val="CommentSubject"/>
    <w:uiPriority w:val="99"/>
    <w:semiHidden/>
    <w:rsid w:val="002C6039"/>
    <w:rPr>
      <w:rFonts w:asciiTheme="minorHAnsi" w:eastAsiaTheme="minorHAnsi" w:hAnsiTheme="minorHAnsi" w:cstheme="minorBidi"/>
      <w:b/>
      <w:bCs/>
      <w:color w:val="auto"/>
      <w:sz w:val="20"/>
      <w:szCs w:val="20"/>
      <w:lang w:val="en-GB" w:eastAsia="en-GB"/>
    </w:rPr>
  </w:style>
  <w:style w:type="paragraph" w:customStyle="1" w:styleId="footnotedescription">
    <w:name w:val="footnote description"/>
    <w:next w:val="Normal"/>
    <w:link w:val="footnotedescriptionChar"/>
    <w:hidden/>
    <w:rsid w:val="002C6039"/>
    <w:pPr>
      <w:spacing w:after="0" w:line="259" w:lineRule="auto"/>
    </w:pPr>
    <w:rPr>
      <w:rFonts w:eastAsia="Calibri" w:cs="Calibri"/>
      <w:color w:val="000000"/>
      <w:sz w:val="20"/>
      <w:vertAlign w:val="superscript"/>
      <w:lang w:eastAsia="en-AU"/>
    </w:rPr>
  </w:style>
  <w:style w:type="character" w:customStyle="1" w:styleId="footnotedescriptionChar">
    <w:name w:val="footnote description Char"/>
    <w:link w:val="footnotedescription"/>
    <w:rsid w:val="002C6039"/>
    <w:rPr>
      <w:rFonts w:eastAsia="Calibri" w:cs="Calibri"/>
      <w:color w:val="000000"/>
      <w:sz w:val="20"/>
      <w:vertAlign w:val="superscript"/>
      <w:lang w:eastAsia="en-AU"/>
    </w:rPr>
  </w:style>
  <w:style w:type="character" w:customStyle="1" w:styleId="footnotemark">
    <w:name w:val="footnote mark"/>
    <w:hidden/>
    <w:rsid w:val="002C6039"/>
    <w:rPr>
      <w:rFonts w:ascii="Calibri" w:eastAsia="Calibri" w:hAnsi="Calibri" w:cs="Calibri"/>
      <w:color w:val="000000"/>
      <w:sz w:val="20"/>
      <w:vertAlign w:val="superscript"/>
    </w:rPr>
  </w:style>
  <w:style w:type="paragraph" w:styleId="TOC4">
    <w:name w:val="toc 4"/>
    <w:basedOn w:val="Normal"/>
    <w:next w:val="Normal"/>
    <w:autoRedefine/>
    <w:uiPriority w:val="39"/>
    <w:unhideWhenUsed/>
    <w:rsid w:val="002C6039"/>
    <w:pPr>
      <w:spacing w:before="0" w:after="100" w:line="276" w:lineRule="auto"/>
      <w:ind w:left="660"/>
    </w:pPr>
    <w:rPr>
      <w:rFonts w:asciiTheme="minorHAnsi" w:hAnsiTheme="minorHAnsi" w:cstheme="minorBidi"/>
      <w:color w:val="auto"/>
      <w:sz w:val="22"/>
      <w:szCs w:val="22"/>
      <w:lang w:eastAsia="en-AU"/>
    </w:rPr>
  </w:style>
  <w:style w:type="paragraph" w:styleId="TOC5">
    <w:name w:val="toc 5"/>
    <w:basedOn w:val="Normal"/>
    <w:next w:val="Normal"/>
    <w:autoRedefine/>
    <w:uiPriority w:val="39"/>
    <w:unhideWhenUsed/>
    <w:rsid w:val="002C6039"/>
    <w:pPr>
      <w:spacing w:before="0" w:after="100" w:line="276" w:lineRule="auto"/>
      <w:ind w:left="880"/>
    </w:pPr>
    <w:rPr>
      <w:rFonts w:asciiTheme="minorHAnsi" w:hAnsiTheme="minorHAnsi" w:cstheme="minorBidi"/>
      <w:color w:val="auto"/>
      <w:sz w:val="22"/>
      <w:szCs w:val="22"/>
      <w:lang w:eastAsia="en-AU"/>
    </w:rPr>
  </w:style>
  <w:style w:type="paragraph" w:styleId="TOC7">
    <w:name w:val="toc 7"/>
    <w:basedOn w:val="Normal"/>
    <w:next w:val="Normal"/>
    <w:autoRedefine/>
    <w:uiPriority w:val="39"/>
    <w:unhideWhenUsed/>
    <w:rsid w:val="002C6039"/>
    <w:pPr>
      <w:spacing w:before="0" w:after="100" w:line="276" w:lineRule="auto"/>
      <w:ind w:left="1320"/>
    </w:pPr>
    <w:rPr>
      <w:rFonts w:asciiTheme="minorHAnsi" w:hAnsiTheme="minorHAnsi" w:cstheme="minorBidi"/>
      <w:color w:val="auto"/>
      <w:sz w:val="22"/>
      <w:szCs w:val="22"/>
      <w:lang w:eastAsia="en-AU"/>
    </w:rPr>
  </w:style>
  <w:style w:type="paragraph" w:styleId="TOC8">
    <w:name w:val="toc 8"/>
    <w:basedOn w:val="Normal"/>
    <w:next w:val="Normal"/>
    <w:autoRedefine/>
    <w:uiPriority w:val="39"/>
    <w:unhideWhenUsed/>
    <w:rsid w:val="002C6039"/>
    <w:pPr>
      <w:spacing w:before="0" w:after="100" w:line="276" w:lineRule="auto"/>
      <w:ind w:left="1540"/>
    </w:pPr>
    <w:rPr>
      <w:rFonts w:asciiTheme="minorHAnsi" w:hAnsiTheme="minorHAnsi" w:cstheme="minorBidi"/>
      <w:color w:val="auto"/>
      <w:sz w:val="22"/>
      <w:szCs w:val="22"/>
      <w:lang w:eastAsia="en-AU"/>
    </w:rPr>
  </w:style>
  <w:style w:type="paragraph" w:styleId="TOC9">
    <w:name w:val="toc 9"/>
    <w:basedOn w:val="Normal"/>
    <w:next w:val="Normal"/>
    <w:autoRedefine/>
    <w:uiPriority w:val="39"/>
    <w:unhideWhenUsed/>
    <w:rsid w:val="002C6039"/>
    <w:pPr>
      <w:spacing w:before="0" w:after="100" w:line="276" w:lineRule="auto"/>
      <w:ind w:left="1760"/>
    </w:pPr>
    <w:rPr>
      <w:rFonts w:asciiTheme="minorHAnsi" w:hAnsiTheme="minorHAnsi" w:cstheme="minorBidi"/>
      <w:color w:val="auto"/>
      <w:sz w:val="22"/>
      <w:szCs w:val="22"/>
      <w:lang w:eastAsia="en-AU"/>
    </w:rPr>
  </w:style>
  <w:style w:type="paragraph" w:styleId="PlainText">
    <w:name w:val="Plain Text"/>
    <w:basedOn w:val="Normal"/>
    <w:link w:val="PlainTextChar"/>
    <w:uiPriority w:val="99"/>
    <w:unhideWhenUsed/>
    <w:rsid w:val="002C6039"/>
    <w:pPr>
      <w:spacing w:before="0" w:after="0"/>
    </w:pPr>
    <w:rPr>
      <w:rFonts w:eastAsiaTheme="minorHAnsi" w:cstheme="minorBidi"/>
      <w:color w:val="auto"/>
      <w:sz w:val="22"/>
      <w:szCs w:val="21"/>
    </w:rPr>
  </w:style>
  <w:style w:type="character" w:customStyle="1" w:styleId="PlainTextChar">
    <w:name w:val="Plain Text Char"/>
    <w:basedOn w:val="DefaultParagraphFont"/>
    <w:link w:val="PlainText"/>
    <w:uiPriority w:val="99"/>
    <w:rsid w:val="002C6039"/>
    <w:rPr>
      <w:rFonts w:eastAsiaTheme="minorHAnsi" w:cstheme="minorBidi"/>
      <w:color w:val="auto"/>
      <w:szCs w:val="21"/>
    </w:rPr>
  </w:style>
  <w:style w:type="table" w:styleId="LightShading-Accent1">
    <w:name w:val="Light Shading Accent 1"/>
    <w:basedOn w:val="TableNormal"/>
    <w:uiPriority w:val="60"/>
    <w:rsid w:val="002C6039"/>
    <w:pPr>
      <w:spacing w:after="0" w:line="240" w:lineRule="auto"/>
    </w:pPr>
    <w:rPr>
      <w:rFonts w:asciiTheme="minorHAnsi" w:eastAsiaTheme="minorHAnsi" w:hAnsiTheme="minorHAnsi" w:cstheme="minorBidi"/>
      <w:color w:val="104165" w:themeColor="accent1" w:themeShade="BF"/>
    </w:rPr>
    <w:tblPr>
      <w:tblStyleRowBandSize w:val="1"/>
      <w:tblStyleColBandSize w:val="1"/>
      <w:tblBorders>
        <w:top w:val="single" w:sz="8" w:space="0" w:color="165788" w:themeColor="accent1"/>
        <w:bottom w:val="single" w:sz="8" w:space="0" w:color="165788" w:themeColor="accent1"/>
      </w:tblBorders>
    </w:tblPr>
    <w:tblStylePr w:type="firstRow">
      <w:pPr>
        <w:spacing w:before="0" w:after="0" w:line="240" w:lineRule="auto"/>
      </w:pPr>
      <w:rPr>
        <w:b/>
        <w:bCs/>
      </w:rPr>
      <w:tblPr/>
      <w:tcPr>
        <w:tcBorders>
          <w:top w:val="single" w:sz="8" w:space="0" w:color="165788" w:themeColor="accent1"/>
          <w:left w:val="nil"/>
          <w:bottom w:val="single" w:sz="8" w:space="0" w:color="165788" w:themeColor="accent1"/>
          <w:right w:val="nil"/>
          <w:insideH w:val="nil"/>
          <w:insideV w:val="nil"/>
        </w:tcBorders>
      </w:tcPr>
    </w:tblStylePr>
    <w:tblStylePr w:type="lastRow">
      <w:pPr>
        <w:spacing w:before="0" w:after="0" w:line="240" w:lineRule="auto"/>
      </w:pPr>
      <w:rPr>
        <w:b/>
        <w:bCs/>
      </w:rPr>
      <w:tblPr/>
      <w:tcPr>
        <w:tcBorders>
          <w:top w:val="single" w:sz="8" w:space="0" w:color="165788" w:themeColor="accent1"/>
          <w:left w:val="nil"/>
          <w:bottom w:val="single" w:sz="8" w:space="0" w:color="16578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D7F3" w:themeFill="accent1" w:themeFillTint="3F"/>
      </w:tcPr>
    </w:tblStylePr>
    <w:tblStylePr w:type="band1Horz">
      <w:tblPr/>
      <w:tcPr>
        <w:tcBorders>
          <w:left w:val="nil"/>
          <w:right w:val="nil"/>
          <w:insideH w:val="nil"/>
          <w:insideV w:val="nil"/>
        </w:tcBorders>
        <w:shd w:val="clear" w:color="auto" w:fill="B4D7F3" w:themeFill="accent1" w:themeFillTint="3F"/>
      </w:tcPr>
    </w:tblStylePr>
  </w:style>
  <w:style w:type="table" w:styleId="MediumGrid2-Accent1">
    <w:name w:val="Medium Grid 2 Accent 1"/>
    <w:basedOn w:val="TableNormal"/>
    <w:uiPriority w:val="68"/>
    <w:rsid w:val="002C6039"/>
    <w:pPr>
      <w:spacing w:after="0" w:line="240" w:lineRule="auto"/>
    </w:pPr>
    <w:rPr>
      <w:rFonts w:asciiTheme="majorHAnsi" w:eastAsiaTheme="majorEastAsia" w:hAnsiTheme="majorHAnsi"/>
      <w:color w:val="000000" w:themeColor="text1"/>
    </w:rPr>
    <w:tblPr>
      <w:tblStyleRowBandSize w:val="1"/>
      <w:tblStyleColBandSize w:val="1"/>
      <w:tblBorders>
        <w:top w:val="single" w:sz="8" w:space="0" w:color="165788" w:themeColor="accent1"/>
        <w:left w:val="single" w:sz="8" w:space="0" w:color="165788" w:themeColor="accent1"/>
        <w:bottom w:val="single" w:sz="8" w:space="0" w:color="165788" w:themeColor="accent1"/>
        <w:right w:val="single" w:sz="8" w:space="0" w:color="165788" w:themeColor="accent1"/>
        <w:insideH w:val="single" w:sz="8" w:space="0" w:color="165788" w:themeColor="accent1"/>
        <w:insideV w:val="single" w:sz="8" w:space="0" w:color="165788" w:themeColor="accent1"/>
      </w:tblBorders>
    </w:tblPr>
    <w:tcPr>
      <w:shd w:val="clear" w:color="auto" w:fill="B4D7F3" w:themeFill="accent1" w:themeFillTint="3F"/>
    </w:tcPr>
    <w:tblStylePr w:type="firstRow">
      <w:rPr>
        <w:b/>
        <w:bCs/>
        <w:color w:val="000000" w:themeColor="text1"/>
      </w:rPr>
      <w:tblPr/>
      <w:tcPr>
        <w:shd w:val="clear" w:color="auto" w:fill="E1EF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7F7F7F" w:themeFill="background1"/>
      </w:tcPr>
    </w:tblStylePr>
    <w:tblStylePr w:type="firstCol">
      <w:rPr>
        <w:b/>
        <w:bCs/>
        <w:color w:val="000000" w:themeColor="text1"/>
      </w:rPr>
      <w:tblPr/>
      <w:tcPr>
        <w:tcBorders>
          <w:top w:val="nil"/>
          <w:left w:val="nil"/>
          <w:bottom w:val="nil"/>
          <w:right w:val="nil"/>
          <w:insideH w:val="nil"/>
          <w:insideV w:val="nil"/>
        </w:tcBorders>
        <w:shd w:val="clear" w:color="auto" w:fill="7F7F7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DFF5" w:themeFill="accent1" w:themeFillTint="33"/>
      </w:tcPr>
    </w:tblStylePr>
    <w:tblStylePr w:type="band1Vert">
      <w:tblPr/>
      <w:tcPr>
        <w:shd w:val="clear" w:color="auto" w:fill="68B0E6" w:themeFill="accent1" w:themeFillTint="7F"/>
      </w:tcPr>
    </w:tblStylePr>
    <w:tblStylePr w:type="band1Horz">
      <w:tblPr/>
      <w:tcPr>
        <w:tcBorders>
          <w:insideH w:val="single" w:sz="6" w:space="0" w:color="165788" w:themeColor="accent1"/>
          <w:insideV w:val="single" w:sz="6" w:space="0" w:color="165788" w:themeColor="accent1"/>
        </w:tcBorders>
        <w:shd w:val="clear" w:color="auto" w:fill="68B0E6" w:themeFill="accent1" w:themeFillTint="7F"/>
      </w:tcPr>
    </w:tblStylePr>
    <w:tblStylePr w:type="nwCell">
      <w:tblPr/>
      <w:tcPr>
        <w:shd w:val="clear" w:color="auto" w:fill="7F7F7F" w:themeFill="background1"/>
      </w:tcPr>
    </w:tblStylePr>
  </w:style>
  <w:style w:type="paragraph" w:customStyle="1" w:styleId="Legal1">
    <w:name w:val="Legal 1"/>
    <w:basedOn w:val="Normal"/>
    <w:uiPriority w:val="99"/>
    <w:rsid w:val="002C6039"/>
    <w:pPr>
      <w:keepNext/>
      <w:tabs>
        <w:tab w:val="left" w:pos="454"/>
      </w:tabs>
      <w:spacing w:after="120"/>
    </w:pPr>
    <w:rPr>
      <w:rFonts w:eastAsia="Times New Roman" w:cs="Arial"/>
      <w:color w:val="auto"/>
      <w:sz w:val="22"/>
      <w:szCs w:val="20"/>
      <w:lang w:eastAsia="en-AU"/>
    </w:rPr>
  </w:style>
  <w:style w:type="paragraph" w:styleId="Revision">
    <w:name w:val="Revision"/>
    <w:hidden/>
    <w:uiPriority w:val="99"/>
    <w:semiHidden/>
    <w:rsid w:val="002C6039"/>
    <w:pPr>
      <w:spacing w:after="0" w:line="240" w:lineRule="auto"/>
    </w:pPr>
    <w:rPr>
      <w:rFonts w:asciiTheme="minorHAnsi" w:eastAsiaTheme="minorHAnsi" w:hAnsiTheme="minorHAnsi" w:cstheme="minorBidi"/>
      <w:color w:val="auto"/>
    </w:rPr>
  </w:style>
  <w:style w:type="table" w:customStyle="1" w:styleId="TableGrid1">
    <w:name w:val="Table Grid1"/>
    <w:basedOn w:val="TableNormal"/>
    <w:next w:val="TableGrid"/>
    <w:uiPriority w:val="59"/>
    <w:rsid w:val="002C6039"/>
    <w:pPr>
      <w:spacing w:after="0" w:line="240" w:lineRule="auto"/>
    </w:pPr>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C6039"/>
  </w:style>
  <w:style w:type="table" w:customStyle="1" w:styleId="TableGrid2">
    <w:name w:val="Table Grid2"/>
    <w:basedOn w:val="TableNormal"/>
    <w:next w:val="TableGrid"/>
    <w:uiPriority w:val="99"/>
    <w:rsid w:val="002C6039"/>
    <w:pPr>
      <w:spacing w:after="0" w:line="240" w:lineRule="auto"/>
    </w:pPr>
    <w:rPr>
      <w:rFonts w:eastAsia="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2C6039"/>
    <w:pPr>
      <w:spacing w:after="0" w:line="240" w:lineRule="auto"/>
    </w:pPr>
    <w:rPr>
      <w:rFonts w:eastAsia="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
    <w:name w:val="Medium Grid 2 - Accent 11"/>
    <w:basedOn w:val="TableNormal"/>
    <w:next w:val="MediumGrid2-Accent1"/>
    <w:uiPriority w:val="68"/>
    <w:rsid w:val="002C6039"/>
    <w:pPr>
      <w:spacing w:after="0" w:line="240" w:lineRule="auto"/>
    </w:pPr>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eGrid11">
    <w:name w:val="Table Grid11"/>
    <w:basedOn w:val="TableNormal"/>
    <w:next w:val="TableGrid"/>
    <w:uiPriority w:val="59"/>
    <w:rsid w:val="002C6039"/>
    <w:pPr>
      <w:spacing w:after="0" w:line="240" w:lineRule="auto"/>
    </w:pPr>
    <w:rPr>
      <w:rFonts w:eastAsia="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view">
    <w:name w:val="Review"/>
    <w:basedOn w:val="TableNormal"/>
    <w:uiPriority w:val="99"/>
    <w:rsid w:val="002C6039"/>
    <w:pPr>
      <w:spacing w:after="0" w:line="240" w:lineRule="auto"/>
    </w:pPr>
    <w:rPr>
      <w:color w:val="104165" w:themeColor="text2" w:themeShade="BF"/>
    </w:rPr>
    <w:tblPr>
      <w:tblStyleRowBandSize w:val="1"/>
      <w:tbl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insideH w:val="single" w:sz="4" w:space="0" w:color="B2B2B2" w:themeColor="background1" w:themeTint="99"/>
        <w:insideV w:val="single" w:sz="4" w:space="0" w:color="B2B2B2" w:themeColor="background1" w:themeTint="99"/>
      </w:tblBorders>
    </w:tblPr>
    <w:tblStylePr w:type="firstRow">
      <w:rPr>
        <w:color w:val="104165" w:themeColor="text2" w:themeShade="BF"/>
      </w:rPr>
      <w:tblPr/>
      <w:tcPr>
        <w:shd w:val="clear" w:color="auto" w:fill="FFC000"/>
      </w:tcPr>
    </w:tblStylePr>
    <w:tblStylePr w:type="band2Horz">
      <w:rPr>
        <w:rFonts w:asciiTheme="minorHAnsi" w:hAnsiTheme="minorHAnsi"/>
        <w:color w:val="104165" w:themeColor="text2" w:themeShade="BF"/>
        <w:sz w:val="24"/>
      </w:rPr>
      <w:tblPr/>
      <w:tcPr>
        <w:shd w:val="clear" w:color="auto" w:fill="FFF1D9"/>
      </w:tcPr>
    </w:tblStylePr>
  </w:style>
  <w:style w:type="character" w:customStyle="1" w:styleId="st1">
    <w:name w:val="st1"/>
    <w:basedOn w:val="DefaultParagraphFont"/>
    <w:rsid w:val="002C6039"/>
  </w:style>
  <w:style w:type="character" w:styleId="FollowedHyperlink">
    <w:name w:val="FollowedHyperlink"/>
    <w:basedOn w:val="DefaultParagraphFont"/>
    <w:uiPriority w:val="99"/>
    <w:semiHidden/>
    <w:unhideWhenUsed/>
    <w:rsid w:val="002C6039"/>
    <w:rPr>
      <w:color w:val="000000" w:themeColor="followedHyperlink"/>
      <w:u w:val="single"/>
    </w:rPr>
  </w:style>
  <w:style w:type="character" w:customStyle="1" w:styleId="A8">
    <w:name w:val="A8"/>
    <w:uiPriority w:val="99"/>
    <w:rsid w:val="00841DD2"/>
    <w:rPr>
      <w:rFonts w:cs="ITC Garamond Std Lt"/>
      <w:color w:val="000000"/>
      <w:sz w:val="12"/>
      <w:szCs w:val="12"/>
    </w:rPr>
  </w:style>
  <w:style w:type="paragraph" w:customStyle="1" w:styleId="Heading1Reversed">
    <w:name w:val="Heading 1 Reversed"/>
    <w:basedOn w:val="Normal"/>
    <w:next w:val="Normal"/>
    <w:qFormat/>
    <w:rsid w:val="00962C66"/>
    <w:pPr>
      <w:spacing w:before="840" w:after="200"/>
    </w:pPr>
    <w:rPr>
      <w:b/>
      <w:noProof/>
      <w:color w:val="FFFFFF" w:themeColor="background2"/>
      <w:sz w:val="4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heme="majorBidi"/>
        <w:color w:val="1F355E"/>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E6E"/>
    <w:pPr>
      <w:spacing w:before="120" w:after="240" w:line="240" w:lineRule="auto"/>
    </w:pPr>
    <w:rPr>
      <w:sz w:val="24"/>
      <w:szCs w:val="24"/>
    </w:rPr>
  </w:style>
  <w:style w:type="paragraph" w:styleId="Heading1">
    <w:name w:val="heading 1"/>
    <w:basedOn w:val="Normal"/>
    <w:next w:val="Normal"/>
    <w:link w:val="Heading1Char"/>
    <w:uiPriority w:val="9"/>
    <w:qFormat/>
    <w:rsid w:val="00E90B22"/>
    <w:pPr>
      <w:contextualSpacing/>
      <w:outlineLvl w:val="0"/>
    </w:pPr>
    <w:rPr>
      <w:rFonts w:eastAsiaTheme="majorEastAsia"/>
      <w:b/>
      <w:bCs/>
      <w:sz w:val="36"/>
      <w:szCs w:val="28"/>
    </w:rPr>
  </w:style>
  <w:style w:type="paragraph" w:styleId="Heading2">
    <w:name w:val="heading 2"/>
    <w:basedOn w:val="Normal"/>
    <w:next w:val="Normal"/>
    <w:link w:val="Heading2Char"/>
    <w:uiPriority w:val="9"/>
    <w:unhideWhenUsed/>
    <w:qFormat/>
    <w:rsid w:val="001E50B6"/>
    <w:pPr>
      <w:spacing w:before="200" w:after="0"/>
      <w:outlineLvl w:val="1"/>
    </w:pPr>
    <w:rPr>
      <w:rFonts w:eastAsiaTheme="majorEastAsia"/>
      <w:b/>
      <w:bCs/>
      <w:sz w:val="28"/>
      <w:szCs w:val="26"/>
    </w:rPr>
  </w:style>
  <w:style w:type="paragraph" w:styleId="Heading3">
    <w:name w:val="heading 3"/>
    <w:aliases w:val="Heading 3 RI"/>
    <w:basedOn w:val="Normal"/>
    <w:next w:val="Normal"/>
    <w:link w:val="Heading3Char"/>
    <w:uiPriority w:val="9"/>
    <w:unhideWhenUsed/>
    <w:qFormat/>
    <w:rsid w:val="005875F7"/>
    <w:pPr>
      <w:spacing w:before="200" w:after="0"/>
      <w:outlineLvl w:val="2"/>
    </w:pPr>
    <w:rPr>
      <w:rFonts w:eastAsiaTheme="majorEastAsia"/>
      <w:bCs/>
    </w:rPr>
  </w:style>
  <w:style w:type="paragraph" w:styleId="Heading4">
    <w:name w:val="heading 4"/>
    <w:aliases w:val="Heading 4 RI"/>
    <w:basedOn w:val="Normal"/>
    <w:next w:val="Normal"/>
    <w:link w:val="Heading4Char"/>
    <w:uiPriority w:val="9"/>
    <w:unhideWhenUsed/>
    <w:qFormat/>
    <w:rsid w:val="00236917"/>
    <w:pPr>
      <w:spacing w:before="200" w:after="0"/>
      <w:outlineLvl w:val="3"/>
    </w:pPr>
    <w:rPr>
      <w:rFonts w:eastAsiaTheme="majorEastAsia"/>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eastAsiaTheme="majorEastAsia"/>
      <w:b/>
      <w:bCs/>
      <w:color w:val="757575"/>
    </w:rPr>
  </w:style>
  <w:style w:type="paragraph" w:styleId="Heading6">
    <w:name w:val="heading 6"/>
    <w:aliases w:val="Heading 6 RI"/>
    <w:basedOn w:val="Normal"/>
    <w:next w:val="Normal"/>
    <w:link w:val="Heading6Char"/>
    <w:uiPriority w:val="9"/>
    <w:unhideWhenUsed/>
    <w:rsid w:val="00933671"/>
    <w:pPr>
      <w:spacing w:before="200" w:after="0"/>
      <w:outlineLvl w:val="5"/>
    </w:pPr>
    <w:rPr>
      <w:rFonts w:eastAsiaTheme="majorEastAsia"/>
      <w:b/>
      <w:bCs/>
      <w:i/>
      <w:iCs/>
      <w:color w:val="757575"/>
    </w:rPr>
  </w:style>
  <w:style w:type="paragraph" w:styleId="Heading7">
    <w:name w:val="heading 7"/>
    <w:basedOn w:val="Normal"/>
    <w:next w:val="Normal"/>
    <w:link w:val="Heading7Char"/>
    <w:uiPriority w:val="9"/>
    <w:semiHidden/>
    <w:unhideWhenUsed/>
    <w:rsid w:val="00AC65DA"/>
    <w:pPr>
      <w:spacing w:after="0"/>
      <w:outlineLvl w:val="6"/>
    </w:pPr>
    <w:rPr>
      <w:rFonts w:asciiTheme="majorHAnsi" w:eastAsiaTheme="majorEastAsia" w:hAnsiTheme="majorHAns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E90B22"/>
    <w:rPr>
      <w:rFonts w:ascii="Calibri" w:eastAsiaTheme="majorEastAsia" w:hAnsi="Calibri" w:cstheme="majorBidi"/>
      <w:b/>
      <w:bCs/>
      <w:sz w:val="36"/>
      <w:szCs w:val="28"/>
    </w:rPr>
  </w:style>
  <w:style w:type="character" w:customStyle="1" w:styleId="Heading2Char">
    <w:name w:val="Heading 2 Char"/>
    <w:basedOn w:val="DefaultParagraphFont"/>
    <w:link w:val="Heading2"/>
    <w:uiPriority w:val="9"/>
    <w:rsid w:val="001E50B6"/>
    <w:rPr>
      <w:rFonts w:eastAsiaTheme="majorEastAsia"/>
      <w:b/>
      <w:bCs/>
      <w:sz w:val="28"/>
      <w:szCs w:val="26"/>
    </w:rPr>
  </w:style>
  <w:style w:type="character" w:customStyle="1" w:styleId="Heading3Char">
    <w:name w:val="Heading 3 Char"/>
    <w:aliases w:val="Heading 3 RI Char"/>
    <w:basedOn w:val="DefaultParagraphFont"/>
    <w:link w:val="Heading3"/>
    <w:uiPriority w:val="9"/>
    <w:rsid w:val="005875F7"/>
    <w:rPr>
      <w:rFonts w:eastAsiaTheme="majorEastAsia"/>
      <w:bCs/>
    </w:rPr>
  </w:style>
  <w:style w:type="character" w:customStyle="1" w:styleId="Heading4Char">
    <w:name w:val="Heading 4 Char"/>
    <w:aliases w:val="Heading 4 RI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aliases w:val="Heading 6 RI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C56D4"/>
    <w:pPr>
      <w:spacing w:after="720" w:line="540" w:lineRule="exact"/>
      <w:contextualSpacing/>
    </w:pPr>
    <w:rPr>
      <w:rFonts w:eastAsiaTheme="majorEastAsia"/>
      <w:b/>
      <w:color w:val="24315A"/>
      <w:spacing w:val="-5"/>
      <w:sz w:val="52"/>
      <w:szCs w:val="56"/>
    </w:rPr>
  </w:style>
  <w:style w:type="character" w:customStyle="1" w:styleId="TitleChar">
    <w:name w:val="Title Char"/>
    <w:basedOn w:val="DefaultParagraphFont"/>
    <w:link w:val="Title"/>
    <w:uiPriority w:val="10"/>
    <w:rsid w:val="00BC56D4"/>
    <w:rPr>
      <w:rFonts w:eastAsiaTheme="majorEastAsia"/>
      <w:b/>
      <w:color w:val="24315A"/>
      <w:spacing w:val="-5"/>
      <w:sz w:val="52"/>
      <w:szCs w:val="56"/>
    </w:rPr>
  </w:style>
  <w:style w:type="paragraph" w:styleId="Subtitle">
    <w:name w:val="Subtitle"/>
    <w:basedOn w:val="Normal"/>
    <w:next w:val="Normal"/>
    <w:link w:val="SubtitleChar"/>
    <w:uiPriority w:val="11"/>
    <w:qFormat/>
    <w:rsid w:val="0019192D"/>
    <w:pPr>
      <w:spacing w:before="0" w:after="100" w:afterAutospacing="1" w:line="500" w:lineRule="exact"/>
    </w:pPr>
    <w:rPr>
      <w:rFonts w:eastAsiaTheme="majorEastAsia"/>
      <w:iCs/>
      <w:color w:val="24315A"/>
      <w:spacing w:val="-13"/>
      <w:sz w:val="40"/>
      <w:szCs w:val="40"/>
    </w:rPr>
  </w:style>
  <w:style w:type="character" w:customStyle="1" w:styleId="SubtitleChar">
    <w:name w:val="Subtitle Char"/>
    <w:basedOn w:val="DefaultParagraphFont"/>
    <w:link w:val="Subtitle"/>
    <w:uiPriority w:val="11"/>
    <w:rsid w:val="0019192D"/>
    <w:rPr>
      <w:rFonts w:eastAsiaTheme="majorEastAsia"/>
      <w:iCs/>
      <w:color w:val="24315A"/>
      <w:spacing w:val="-13"/>
      <w:sz w:val="40"/>
      <w:szCs w:val="40"/>
    </w:rPr>
  </w:style>
  <w:style w:type="paragraph" w:styleId="NoSpacing">
    <w:name w:val="No Spacing"/>
    <w:basedOn w:val="Normal"/>
    <w:link w:val="NoSpacingChar"/>
    <w:uiPriority w:val="1"/>
    <w:qFormat/>
    <w:rsid w:val="00AC65DA"/>
    <w:pPr>
      <w:spacing w:after="0"/>
    </w:pPr>
  </w:style>
  <w:style w:type="paragraph" w:styleId="ListParagraph">
    <w:name w:val="List Paragraph"/>
    <w:aliases w:val="List Paragraph1,Recommendation,List Paragraph11,L,bullet point list,0Bullet,Bullet point,Bullets,Content descriptions,DDM Gen Text,Dot point 1.5 line spacing,List Paragraph - bullets,List Paragraph Number,NAST Quote,NFP GP Bulleted List"/>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unhideWhenUsed/>
    <w:qFormat/>
    <w:rsid w:val="00AC65DA"/>
    <w:pPr>
      <w:outlineLvl w:val="9"/>
    </w:pPr>
    <w:rPr>
      <w:lang w:bidi="en-US"/>
    </w:rPr>
  </w:style>
  <w:style w:type="paragraph" w:styleId="ListNumber">
    <w:name w:val="List Number"/>
    <w:basedOn w:val="Normal"/>
    <w:uiPriority w:val="99"/>
    <w:unhideWhenUsed/>
    <w:rsid w:val="00FB10CB"/>
    <w:pPr>
      <w:numPr>
        <w:numId w:val="1"/>
      </w:numPr>
      <w:spacing w:after="120"/>
      <w:ind w:left="369" w:hanging="369"/>
      <w:contextualSpacing/>
    </w:pPr>
  </w:style>
  <w:style w:type="paragraph" w:styleId="ListNumber2">
    <w:name w:val="List Number 2"/>
    <w:basedOn w:val="Normal"/>
    <w:uiPriority w:val="99"/>
    <w:unhideWhenUsed/>
    <w:rsid w:val="00985632"/>
    <w:pPr>
      <w:numPr>
        <w:ilvl w:val="1"/>
        <w:numId w:val="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
      </w:numPr>
      <w:spacing w:after="120"/>
      <w:ind w:left="1701" w:hanging="765"/>
      <w:contextualSpacing/>
    </w:pPr>
  </w:style>
  <w:style w:type="paragraph" w:styleId="ListNumber4">
    <w:name w:val="List Number 4"/>
    <w:basedOn w:val="Normal"/>
    <w:uiPriority w:val="99"/>
    <w:unhideWhenUsed/>
    <w:rsid w:val="00406E5A"/>
    <w:pPr>
      <w:numPr>
        <w:ilvl w:val="3"/>
        <w:numId w:val="1"/>
      </w:numPr>
      <w:spacing w:after="120"/>
      <w:ind w:left="2637" w:hanging="936"/>
      <w:contextualSpacing/>
    </w:pPr>
  </w:style>
  <w:style w:type="paragraph" w:styleId="ListBullet">
    <w:name w:val="List Bullet"/>
    <w:basedOn w:val="Normal"/>
    <w:uiPriority w:val="99"/>
    <w:unhideWhenUsed/>
    <w:rsid w:val="00CA46EC"/>
    <w:pPr>
      <w:numPr>
        <w:numId w:val="2"/>
      </w:numPr>
      <w:spacing w:after="120"/>
      <w:ind w:left="369" w:hanging="369"/>
      <w:contextualSpacing/>
    </w:pPr>
  </w:style>
  <w:style w:type="paragraph" w:styleId="ListBullet2">
    <w:name w:val="List Bullet 2"/>
    <w:basedOn w:val="Normal"/>
    <w:uiPriority w:val="99"/>
    <w:unhideWhenUsed/>
    <w:rsid w:val="00CA46EC"/>
    <w:pPr>
      <w:numPr>
        <w:ilvl w:val="1"/>
        <w:numId w:val="2"/>
      </w:numPr>
      <w:spacing w:after="120"/>
      <w:ind w:left="766" w:hanging="369"/>
      <w:contextualSpacing/>
    </w:pPr>
  </w:style>
  <w:style w:type="paragraph" w:styleId="ListBullet3">
    <w:name w:val="List Bullet 3"/>
    <w:basedOn w:val="Normal"/>
    <w:uiPriority w:val="99"/>
    <w:unhideWhenUsed/>
    <w:rsid w:val="00CA46EC"/>
    <w:pPr>
      <w:numPr>
        <w:ilvl w:val="2"/>
        <w:numId w:val="2"/>
      </w:numPr>
      <w:spacing w:after="120"/>
      <w:ind w:left="1163" w:hanging="369"/>
      <w:contextualSpacing/>
    </w:pPr>
  </w:style>
  <w:style w:type="paragraph" w:styleId="ListBullet4">
    <w:name w:val="List Bullet 4"/>
    <w:basedOn w:val="Normal"/>
    <w:uiPriority w:val="99"/>
    <w:unhideWhenUsed/>
    <w:rsid w:val="00CA46EC"/>
    <w:pPr>
      <w:numPr>
        <w:ilvl w:val="3"/>
        <w:numId w:val="2"/>
      </w:numPr>
      <w:spacing w:after="120"/>
      <w:ind w:left="1503" w:hanging="369"/>
      <w:contextualSpacing/>
    </w:pPr>
  </w:style>
  <w:style w:type="table" w:styleId="TableGrid">
    <w:name w:val="Table Grid"/>
    <w:basedOn w:val="TableNormal"/>
    <w:uiPriority w:val="9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E-HELP">
    <w:name w:val="FEE-HELP"/>
    <w:basedOn w:val="TableNormal"/>
    <w:uiPriority w:val="99"/>
    <w:rsid w:val="003E18EB"/>
    <w:pPr>
      <w:spacing w:after="0" w:line="240" w:lineRule="auto"/>
    </w:pPr>
    <w:rPr>
      <w:color w:val="000000" w:themeColor="text1"/>
      <w:sz w:val="20"/>
    </w:rPr>
    <w:tblPr>
      <w:tblStyleRowBandSize w:val="1"/>
      <w:tblStyleColBandSize w:val="1"/>
      <w:tblBorders>
        <w:top w:val="single" w:sz="4" w:space="0" w:color="auto"/>
        <w:bottom w:val="single" w:sz="4" w:space="0" w:color="auto"/>
        <w:insideH w:val="single" w:sz="4" w:space="0" w:color="auto"/>
        <w:insideV w:val="single" w:sz="4" w:space="0" w:color="auto"/>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cPr>
        <w:tcBorders>
          <w:top w:val="single" w:sz="4" w:space="0" w:color="auto"/>
          <w:left w:val="nil"/>
          <w:bottom w:val="single" w:sz="4" w:space="0" w:color="auto"/>
          <w:right w:val="nil"/>
          <w:insideH w:val="nil"/>
          <w:insideV w:val="single" w:sz="4" w:space="0" w:color="FFFFFF" w:themeColor="background2"/>
          <w:tl2br w:val="nil"/>
          <w:tr2bl w:val="nil"/>
        </w:tcBorders>
        <w:shd w:val="clear" w:color="auto" w:fill="00588F"/>
      </w:tcPr>
    </w:tblStylePr>
    <w:tblStylePr w:type="lastRow">
      <w:tblPr/>
      <w:tcPr>
        <w:tcBorders>
          <w:top w:val="single" w:sz="8" w:space="0" w:color="auto"/>
          <w:bottom w:val="single" w:sz="8" w:space="0" w:color="auto"/>
          <w:insideV w:val="single" w:sz="4" w:space="0" w:color="auto"/>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auto"/>
          <w:left w:val="nil"/>
          <w:bottom w:val="single" w:sz="4" w:space="0" w:color="auto"/>
          <w:right w:val="nil"/>
          <w:insideH w:val="nil"/>
          <w:insideV w:val="single" w:sz="4" w:space="0" w:color="auto"/>
          <w:tl2br w:val="nil"/>
          <w:tr2bl w:val="nil"/>
        </w:tcBorders>
      </w:tcPr>
    </w:tblStylePr>
    <w:tblStylePr w:type="band2Horz">
      <w:tblPr/>
      <w:tcPr>
        <w:shd w:val="clear" w:color="auto" w:fill="E5EBF4"/>
      </w:tcPr>
    </w:tblStylePr>
  </w:style>
  <w:style w:type="paragraph" w:customStyle="1" w:styleId="Default">
    <w:name w:val="Default"/>
    <w:rsid w:val="00130923"/>
    <w:pPr>
      <w:autoSpaceDE w:val="0"/>
      <w:autoSpaceDN w:val="0"/>
      <w:adjustRightInd w:val="0"/>
      <w:spacing w:after="0" w:line="240" w:lineRule="auto"/>
    </w:pPr>
    <w:rPr>
      <w:rFonts w:eastAsia="Times New Roman" w:cs="Calibri"/>
      <w:color w:val="000000"/>
      <w:sz w:val="24"/>
      <w:szCs w:val="24"/>
      <w:lang w:eastAsia="en-AU"/>
    </w:rPr>
  </w:style>
  <w:style w:type="paragraph" w:styleId="BodyText">
    <w:name w:val="Body Text"/>
    <w:basedOn w:val="Normal"/>
    <w:link w:val="BodyTextChar"/>
    <w:rsid w:val="00130923"/>
    <w:pPr>
      <w:spacing w:after="120"/>
    </w:pPr>
    <w:rPr>
      <w:rFonts w:eastAsia="Times New Roman" w:cs="Times New Roman"/>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3"/>
      </w:numPr>
      <w:spacing w:after="0"/>
    </w:pPr>
    <w:rPr>
      <w:rFonts w:eastAsiaTheme="minorHAnsi" w:cs="Calibri"/>
      <w:lang w:eastAsia="en-AU"/>
    </w:rPr>
  </w:style>
  <w:style w:type="paragraph" w:styleId="BalloonText">
    <w:name w:val="Balloon Text"/>
    <w:basedOn w:val="Normal"/>
    <w:link w:val="BalloonTextChar"/>
    <w:uiPriority w:val="99"/>
    <w:semiHidden/>
    <w:unhideWhenUsed/>
    <w:rsid w:val="0013092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qFormat/>
    <w:rsid w:val="00315E33"/>
    <w:pPr>
      <w:tabs>
        <w:tab w:val="left" w:pos="8505"/>
      </w:tabs>
      <w:spacing w:after="100"/>
    </w:pPr>
  </w:style>
  <w:style w:type="paragraph" w:styleId="TOC2">
    <w:name w:val="toc 2"/>
    <w:basedOn w:val="Normal"/>
    <w:next w:val="Normal"/>
    <w:autoRedefine/>
    <w:uiPriority w:val="39"/>
    <w:unhideWhenUsed/>
    <w:qFormat/>
    <w:rsid w:val="00EF4A38"/>
    <w:pPr>
      <w:spacing w:after="100"/>
      <w:ind w:left="220"/>
    </w:pPr>
  </w:style>
  <w:style w:type="paragraph" w:styleId="TOC3">
    <w:name w:val="toc 3"/>
    <w:basedOn w:val="Normal"/>
    <w:next w:val="Normal"/>
    <w:autoRedefine/>
    <w:uiPriority w:val="39"/>
    <w:unhideWhenUsed/>
    <w:qFormat/>
    <w:rsid w:val="00EF4A38"/>
    <w:pPr>
      <w:spacing w:after="100"/>
      <w:ind w:left="440"/>
    </w:pPr>
  </w:style>
  <w:style w:type="paragraph" w:styleId="Caption">
    <w:name w:val="caption"/>
    <w:basedOn w:val="Heading4"/>
    <w:next w:val="Normal"/>
    <w:uiPriority w:val="35"/>
    <w:unhideWhenUsed/>
    <w:rsid w:val="00B2722A"/>
    <w:rPr>
      <w:i w:val="0"/>
    </w:rPr>
  </w:style>
  <w:style w:type="paragraph" w:customStyle="1" w:styleId="Source">
    <w:name w:val="Source"/>
    <w:basedOn w:val="Normal"/>
    <w:qFormat/>
    <w:rsid w:val="001B6137"/>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paragraph" w:customStyle="1" w:styleId="Heading1RI">
    <w:name w:val="Heading 1 RI"/>
    <w:basedOn w:val="Heading1"/>
    <w:qFormat/>
    <w:rsid w:val="00331071"/>
    <w:rPr>
      <w:color w:val="00588F"/>
    </w:rPr>
  </w:style>
  <w:style w:type="paragraph" w:customStyle="1" w:styleId="TitleHeadings">
    <w:name w:val="Title (Headings)"/>
    <w:basedOn w:val="Normal"/>
    <w:uiPriority w:val="99"/>
    <w:rsid w:val="00DA12D2"/>
    <w:pPr>
      <w:suppressAutoHyphens/>
      <w:autoSpaceDE w:val="0"/>
      <w:autoSpaceDN w:val="0"/>
      <w:adjustRightInd w:val="0"/>
      <w:spacing w:after="0" w:line="720" w:lineRule="atLeast"/>
      <w:textAlignment w:val="center"/>
    </w:pPr>
    <w:rPr>
      <w:rFonts w:ascii="HelveticaNeue LT 45 Light" w:hAnsi="HelveticaNeue LT 45 Light" w:cs="HelveticaNeue LT 45 Light"/>
      <w:color w:val="000000"/>
      <w:sz w:val="68"/>
      <w:szCs w:val="68"/>
      <w:lang w:val="en-GB"/>
    </w:rPr>
  </w:style>
  <w:style w:type="paragraph" w:customStyle="1" w:styleId="SubTitleHeadings">
    <w:name w:val="Sub Title (Headings)"/>
    <w:basedOn w:val="Normal"/>
    <w:uiPriority w:val="99"/>
    <w:rsid w:val="00DA12D2"/>
    <w:pPr>
      <w:autoSpaceDE w:val="0"/>
      <w:autoSpaceDN w:val="0"/>
      <w:adjustRightInd w:val="0"/>
      <w:spacing w:after="0" w:line="340" w:lineRule="atLeast"/>
      <w:textAlignment w:val="center"/>
    </w:pPr>
    <w:rPr>
      <w:rFonts w:ascii="HelveticaNeue LT 45 Light" w:hAnsi="HelveticaNeue LT 45 Light" w:cs="HelveticaNeue LT 45 Light"/>
      <w:color w:val="000000"/>
      <w:sz w:val="30"/>
      <w:szCs w:val="30"/>
      <w:lang w:val="en-GB"/>
    </w:rPr>
  </w:style>
  <w:style w:type="paragraph" w:customStyle="1" w:styleId="Heading2RI">
    <w:name w:val="Heading 2 RI"/>
    <w:basedOn w:val="Heading2"/>
    <w:qFormat/>
    <w:rsid w:val="004E5EC1"/>
    <w:rPr>
      <w:color w:val="00588F"/>
    </w:rPr>
  </w:style>
  <w:style w:type="paragraph" w:customStyle="1" w:styleId="RIHeading1">
    <w:name w:val="RI Heading 1"/>
    <w:basedOn w:val="Heading1RI"/>
    <w:qFormat/>
    <w:rsid w:val="00E42874"/>
    <w:pPr>
      <w:spacing w:after="0"/>
    </w:pPr>
    <w:rPr>
      <w:color w:val="1F355E"/>
      <w:sz w:val="40"/>
    </w:rPr>
  </w:style>
  <w:style w:type="character" w:styleId="CommentReference">
    <w:name w:val="annotation reference"/>
    <w:basedOn w:val="DefaultParagraphFont"/>
    <w:uiPriority w:val="99"/>
    <w:unhideWhenUsed/>
    <w:rsid w:val="00BA6246"/>
    <w:rPr>
      <w:sz w:val="16"/>
      <w:szCs w:val="16"/>
    </w:rPr>
  </w:style>
  <w:style w:type="paragraph" w:customStyle="1" w:styleId="RIHeading2">
    <w:name w:val="RI Heading 2"/>
    <w:basedOn w:val="Heading2RI"/>
    <w:qFormat/>
    <w:rsid w:val="00E42874"/>
    <w:pPr>
      <w:spacing w:before="360"/>
    </w:pPr>
    <w:rPr>
      <w:color w:val="1F355E"/>
      <w:sz w:val="32"/>
      <w:szCs w:val="32"/>
    </w:rPr>
  </w:style>
  <w:style w:type="paragraph" w:customStyle="1" w:styleId="RIHeading3">
    <w:name w:val="RI Heading 3"/>
    <w:basedOn w:val="Heading3"/>
    <w:qFormat/>
    <w:rsid w:val="00955350"/>
    <w:pPr>
      <w:spacing w:before="360"/>
    </w:pPr>
    <w:rPr>
      <w:b/>
      <w:sz w:val="28"/>
      <w:szCs w:val="28"/>
    </w:rPr>
  </w:style>
  <w:style w:type="paragraph" w:customStyle="1" w:styleId="spaceonheaderpage">
    <w:name w:val="space on header page"/>
    <w:basedOn w:val="Normal"/>
    <w:qFormat/>
    <w:rsid w:val="0058727A"/>
    <w:pPr>
      <w:spacing w:before="10000"/>
    </w:pPr>
    <w:rPr>
      <w:noProof/>
    </w:rPr>
  </w:style>
  <w:style w:type="table" w:customStyle="1" w:styleId="HECS-HELP">
    <w:name w:val="HECS-HELP"/>
    <w:basedOn w:val="FEE-HELP"/>
    <w:uiPriority w:val="99"/>
    <w:rsid w:val="00121BF6"/>
    <w:tblPr/>
    <w:tblStylePr w:type="firstRow">
      <w:pPr>
        <w:wordWrap/>
        <w:ind w:leftChars="0" w:left="0" w:rightChars="0" w:right="0"/>
        <w:jc w:val="left"/>
      </w:pPr>
      <w:rPr>
        <w:rFonts w:asciiTheme="minorHAnsi" w:hAnsiTheme="minorHAnsi"/>
        <w:b/>
        <w:color w:val="FFFFFF" w:themeColor="background2"/>
        <w:sz w:val="20"/>
      </w:rPr>
      <w:tblPr/>
      <w:tcPr>
        <w:tcBorders>
          <w:top w:val="single" w:sz="4" w:space="0" w:color="auto"/>
          <w:left w:val="nil"/>
          <w:bottom w:val="single" w:sz="4" w:space="0" w:color="auto"/>
          <w:right w:val="nil"/>
          <w:insideH w:val="nil"/>
          <w:insideV w:val="single" w:sz="4" w:space="0" w:color="FFFFFF" w:themeColor="background2"/>
          <w:tl2br w:val="nil"/>
          <w:tr2bl w:val="nil"/>
        </w:tcBorders>
        <w:shd w:val="clear" w:color="auto" w:fill="C50068"/>
      </w:tcPr>
    </w:tblStylePr>
    <w:tblStylePr w:type="lastRow">
      <w:tblPr/>
      <w:tcPr>
        <w:tcBorders>
          <w:top w:val="single" w:sz="8" w:space="0" w:color="auto"/>
          <w:bottom w:val="single" w:sz="8" w:space="0" w:color="auto"/>
          <w:insideV w:val="single" w:sz="4" w:space="0" w:color="auto"/>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auto"/>
          <w:left w:val="nil"/>
          <w:bottom w:val="single" w:sz="4" w:space="0" w:color="auto"/>
          <w:right w:val="nil"/>
          <w:insideH w:val="nil"/>
          <w:insideV w:val="single" w:sz="4" w:space="0" w:color="auto"/>
          <w:tl2br w:val="nil"/>
          <w:tr2bl w:val="nil"/>
        </w:tcBorders>
      </w:tcPr>
    </w:tblStylePr>
    <w:tblStylePr w:type="band2Horz">
      <w:tblPr/>
      <w:tcPr>
        <w:shd w:val="clear" w:color="auto" w:fill="F9EAF1"/>
      </w:tcPr>
    </w:tblStylePr>
  </w:style>
  <w:style w:type="table" w:customStyle="1" w:styleId="OS-HELP">
    <w:name w:val="OS-HELP"/>
    <w:basedOn w:val="HECS-HELP"/>
    <w:uiPriority w:val="99"/>
    <w:rsid w:val="00C55272"/>
    <w:tblPr/>
    <w:tblStylePr w:type="firstRow">
      <w:pPr>
        <w:wordWrap/>
        <w:ind w:leftChars="0" w:left="0" w:rightChars="0" w:right="0"/>
        <w:jc w:val="left"/>
      </w:pPr>
      <w:rPr>
        <w:rFonts w:asciiTheme="minorHAnsi" w:hAnsiTheme="minorHAnsi"/>
        <w:b/>
        <w:color w:val="FFFFFF" w:themeColor="background2"/>
        <w:sz w:val="20"/>
      </w:rPr>
      <w:tblPr/>
      <w:tcPr>
        <w:tcBorders>
          <w:top w:val="single" w:sz="4" w:space="0" w:color="auto"/>
          <w:left w:val="nil"/>
          <w:bottom w:val="single" w:sz="4" w:space="0" w:color="auto"/>
          <w:right w:val="nil"/>
          <w:insideH w:val="nil"/>
          <w:insideV w:val="single" w:sz="4" w:space="0" w:color="FFFFFF" w:themeColor="background2"/>
          <w:tl2br w:val="nil"/>
          <w:tr2bl w:val="nil"/>
        </w:tcBorders>
        <w:shd w:val="clear" w:color="auto" w:fill="4A2278"/>
      </w:tcPr>
    </w:tblStylePr>
    <w:tblStylePr w:type="lastRow">
      <w:tblPr/>
      <w:tcPr>
        <w:tcBorders>
          <w:top w:val="single" w:sz="8" w:space="0" w:color="auto"/>
          <w:bottom w:val="single" w:sz="8" w:space="0" w:color="auto"/>
          <w:insideV w:val="single" w:sz="4" w:space="0" w:color="auto"/>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auto"/>
          <w:left w:val="nil"/>
          <w:bottom w:val="single" w:sz="4" w:space="0" w:color="auto"/>
          <w:right w:val="nil"/>
          <w:insideH w:val="nil"/>
          <w:insideV w:val="single" w:sz="4" w:space="0" w:color="auto"/>
          <w:tl2br w:val="nil"/>
          <w:tr2bl w:val="nil"/>
        </w:tcBorders>
      </w:tcPr>
    </w:tblStylePr>
    <w:tblStylePr w:type="band2Horz">
      <w:tblPr/>
      <w:tcPr>
        <w:shd w:val="clear" w:color="auto" w:fill="E9E5F2"/>
      </w:tcPr>
    </w:tblStylePr>
  </w:style>
  <w:style w:type="table" w:customStyle="1" w:styleId="SA-HELP">
    <w:name w:val="SA-HELP"/>
    <w:basedOn w:val="OS-HELP"/>
    <w:uiPriority w:val="99"/>
    <w:rsid w:val="00207EE1"/>
    <w:tblPr/>
    <w:tblStylePr w:type="firstRow">
      <w:pPr>
        <w:wordWrap/>
        <w:ind w:leftChars="0" w:left="0" w:rightChars="0" w:right="0"/>
        <w:jc w:val="left"/>
      </w:pPr>
      <w:rPr>
        <w:rFonts w:asciiTheme="minorHAnsi" w:hAnsiTheme="minorHAnsi"/>
        <w:b/>
        <w:color w:val="FFFFFF" w:themeColor="background2"/>
        <w:sz w:val="20"/>
      </w:rPr>
      <w:tblPr/>
      <w:tcPr>
        <w:tcBorders>
          <w:top w:val="single" w:sz="4" w:space="0" w:color="auto"/>
          <w:left w:val="nil"/>
          <w:bottom w:val="single" w:sz="4" w:space="0" w:color="auto"/>
          <w:right w:val="nil"/>
          <w:insideH w:val="nil"/>
          <w:insideV w:val="single" w:sz="4" w:space="0" w:color="FFFFFF" w:themeColor="background2"/>
          <w:tl2br w:val="nil"/>
          <w:tr2bl w:val="nil"/>
        </w:tcBorders>
        <w:shd w:val="clear" w:color="auto" w:fill="35752D"/>
      </w:tcPr>
    </w:tblStylePr>
    <w:tblStylePr w:type="lastRow">
      <w:tblPr/>
      <w:tcPr>
        <w:tcBorders>
          <w:top w:val="single" w:sz="8" w:space="0" w:color="auto"/>
          <w:bottom w:val="single" w:sz="8" w:space="0" w:color="auto"/>
          <w:insideV w:val="single" w:sz="4" w:space="0" w:color="auto"/>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auto"/>
          <w:left w:val="nil"/>
          <w:bottom w:val="single" w:sz="4" w:space="0" w:color="auto"/>
          <w:right w:val="nil"/>
          <w:insideH w:val="nil"/>
          <w:insideV w:val="single" w:sz="4" w:space="0" w:color="auto"/>
          <w:tl2br w:val="nil"/>
          <w:tr2bl w:val="nil"/>
        </w:tcBorders>
      </w:tcPr>
    </w:tblStylePr>
    <w:tblStylePr w:type="band2Horz">
      <w:tblPr/>
      <w:tcPr>
        <w:shd w:val="clear" w:color="auto" w:fill="EAEFE7"/>
      </w:tcPr>
    </w:tblStylePr>
  </w:style>
  <w:style w:type="paragraph" w:customStyle="1" w:styleId="Highlightboxtitle">
    <w:name w:val="Highlight box title"/>
    <w:basedOn w:val="Heading4"/>
    <w:qFormat/>
    <w:rsid w:val="00955350"/>
    <w:pPr>
      <w:outlineLvl w:val="9"/>
    </w:pPr>
    <w:rPr>
      <w:i w:val="0"/>
      <w:sz w:val="28"/>
      <w:szCs w:val="28"/>
      <w:lang w:val="en-GB"/>
    </w:rPr>
  </w:style>
  <w:style w:type="table" w:customStyle="1" w:styleId="FEEHELPPULLOUTBOX">
    <w:name w:val="FEE HELP PULLOUT BOX"/>
    <w:basedOn w:val="TableNormal"/>
    <w:uiPriority w:val="99"/>
    <w:rsid w:val="00E26A8F"/>
    <w:pPr>
      <w:spacing w:after="0" w:line="240" w:lineRule="auto"/>
    </w:pPr>
    <w:tblPr/>
    <w:tcPr>
      <w:shd w:val="clear" w:color="auto" w:fill="E5EBF4"/>
    </w:tcPr>
  </w:style>
  <w:style w:type="table" w:customStyle="1" w:styleId="HECSHELPPULLOUTBOX">
    <w:name w:val="HECS HELP PULLOUT BOX"/>
    <w:basedOn w:val="TableNormal"/>
    <w:uiPriority w:val="99"/>
    <w:rsid w:val="00E26A8F"/>
    <w:pPr>
      <w:spacing w:after="0" w:line="240" w:lineRule="auto"/>
    </w:pPr>
    <w:tblPr/>
    <w:tcPr>
      <w:shd w:val="clear" w:color="auto" w:fill="F9EAF1"/>
    </w:tcPr>
  </w:style>
  <w:style w:type="table" w:customStyle="1" w:styleId="OSHELPPULLOUTBOX">
    <w:name w:val="OS HELP PULLOUT BOX"/>
    <w:basedOn w:val="TableNormal"/>
    <w:uiPriority w:val="99"/>
    <w:rsid w:val="00E26A8F"/>
    <w:pPr>
      <w:spacing w:after="0" w:line="240" w:lineRule="auto"/>
    </w:pPr>
    <w:tblPr/>
    <w:tcPr>
      <w:shd w:val="clear" w:color="auto" w:fill="E9E5F2"/>
    </w:tcPr>
  </w:style>
  <w:style w:type="table" w:customStyle="1" w:styleId="SAHELPPULLOUTBOX">
    <w:name w:val="SA HELP PULLOUT BOX"/>
    <w:basedOn w:val="TableNormal"/>
    <w:uiPriority w:val="99"/>
    <w:rsid w:val="00337D3D"/>
    <w:pPr>
      <w:spacing w:after="0" w:line="240" w:lineRule="auto"/>
    </w:pPr>
    <w:tblPr/>
    <w:tcPr>
      <w:shd w:val="clear" w:color="auto" w:fill="EAEFE7"/>
    </w:tcPr>
  </w:style>
  <w:style w:type="paragraph" w:styleId="TOC6">
    <w:name w:val="toc 6"/>
    <w:basedOn w:val="Normal"/>
    <w:next w:val="Normal"/>
    <w:autoRedefine/>
    <w:uiPriority w:val="39"/>
    <w:unhideWhenUsed/>
    <w:rsid w:val="00474E36"/>
    <w:pPr>
      <w:spacing w:after="100"/>
      <w:ind w:left="1100"/>
    </w:pPr>
  </w:style>
  <w:style w:type="paragraph" w:customStyle="1" w:styleId="Heading1RI0">
    <w:name w:val="Heading 1  RI"/>
    <w:basedOn w:val="RIHeading1"/>
    <w:qFormat/>
    <w:rsid w:val="00E42874"/>
  </w:style>
  <w:style w:type="paragraph" w:customStyle="1" w:styleId="TabletextRI">
    <w:name w:val="Table text RI"/>
    <w:basedOn w:val="Normal"/>
    <w:qFormat/>
    <w:rsid w:val="00C52B71"/>
    <w:pPr>
      <w:spacing w:before="40" w:after="40"/>
    </w:pPr>
    <w:rPr>
      <w:color w:val="000000" w:themeColor="text1"/>
    </w:rPr>
  </w:style>
  <w:style w:type="paragraph" w:customStyle="1" w:styleId="TableTitleRI">
    <w:name w:val="Table Title RI"/>
    <w:basedOn w:val="Normal"/>
    <w:qFormat/>
    <w:rsid w:val="00955350"/>
    <w:rPr>
      <w:rFonts w:asciiTheme="minorHAnsi" w:hAnsiTheme="minorHAnsi"/>
      <w:b/>
      <w:color w:val="000000" w:themeColor="text1"/>
    </w:rPr>
  </w:style>
  <w:style w:type="paragraph" w:customStyle="1" w:styleId="BasicParagraph">
    <w:name w:val="[Basic Paragraph]"/>
    <w:basedOn w:val="Normal"/>
    <w:uiPriority w:val="99"/>
    <w:rsid w:val="00BC56D4"/>
    <w:pPr>
      <w:autoSpaceDE w:val="0"/>
      <w:autoSpaceDN w:val="0"/>
      <w:adjustRightInd w:val="0"/>
      <w:spacing w:before="0" w:after="0" w:line="288" w:lineRule="auto"/>
      <w:textAlignment w:val="center"/>
    </w:pPr>
    <w:rPr>
      <w:rFonts w:ascii="Minion Pro" w:hAnsi="Minion Pro" w:cs="Minion Pro"/>
      <w:color w:val="000000"/>
      <w:lang w:val="en-GB"/>
    </w:rPr>
  </w:style>
  <w:style w:type="paragraph" w:styleId="CommentText">
    <w:name w:val="annotation text"/>
    <w:basedOn w:val="Normal"/>
    <w:link w:val="CommentTextChar"/>
    <w:uiPriority w:val="99"/>
    <w:unhideWhenUsed/>
    <w:rsid w:val="002C6039"/>
    <w:pPr>
      <w:spacing w:before="0" w:after="200"/>
    </w:pPr>
    <w:rPr>
      <w:rFonts w:asciiTheme="minorHAnsi" w:eastAsiaTheme="minorHAnsi" w:hAnsiTheme="minorHAnsi" w:cstheme="minorBidi"/>
      <w:color w:val="auto"/>
      <w:sz w:val="20"/>
      <w:szCs w:val="20"/>
      <w:lang w:val="en-GB" w:eastAsia="en-GB"/>
    </w:rPr>
  </w:style>
  <w:style w:type="character" w:customStyle="1" w:styleId="CommentTextChar">
    <w:name w:val="Comment Text Char"/>
    <w:basedOn w:val="DefaultParagraphFont"/>
    <w:link w:val="CommentText"/>
    <w:uiPriority w:val="99"/>
    <w:rsid w:val="002C6039"/>
    <w:rPr>
      <w:rFonts w:asciiTheme="minorHAnsi" w:eastAsiaTheme="minorHAnsi" w:hAnsiTheme="minorHAnsi" w:cstheme="minorBidi"/>
      <w:color w:val="auto"/>
      <w:sz w:val="20"/>
      <w:szCs w:val="20"/>
      <w:lang w:val="en-GB" w:eastAsia="en-GB"/>
    </w:rPr>
  </w:style>
  <w:style w:type="paragraph" w:styleId="FootnoteText">
    <w:name w:val="footnote text"/>
    <w:basedOn w:val="Normal"/>
    <w:link w:val="FootnoteTextChar"/>
    <w:uiPriority w:val="99"/>
    <w:unhideWhenUsed/>
    <w:rsid w:val="002C6039"/>
    <w:pPr>
      <w:spacing w:before="0" w:after="0"/>
    </w:pPr>
    <w:rPr>
      <w:rFonts w:asciiTheme="minorHAnsi" w:eastAsiaTheme="minorHAnsi" w:hAnsiTheme="minorHAnsi" w:cstheme="minorBidi"/>
      <w:color w:val="auto"/>
      <w:sz w:val="20"/>
      <w:szCs w:val="20"/>
      <w:lang w:val="en-GB" w:eastAsia="en-GB"/>
    </w:rPr>
  </w:style>
  <w:style w:type="character" w:customStyle="1" w:styleId="FootnoteTextChar">
    <w:name w:val="Footnote Text Char"/>
    <w:basedOn w:val="DefaultParagraphFont"/>
    <w:link w:val="FootnoteText"/>
    <w:uiPriority w:val="99"/>
    <w:rsid w:val="002C6039"/>
    <w:rPr>
      <w:rFonts w:asciiTheme="minorHAnsi" w:eastAsiaTheme="minorHAnsi" w:hAnsiTheme="minorHAnsi" w:cstheme="minorBidi"/>
      <w:color w:val="auto"/>
      <w:sz w:val="20"/>
      <w:szCs w:val="20"/>
      <w:lang w:val="en-GB" w:eastAsia="en-GB"/>
    </w:rPr>
  </w:style>
  <w:style w:type="character" w:styleId="FootnoteReference">
    <w:name w:val="footnote reference"/>
    <w:basedOn w:val="DefaultParagraphFont"/>
    <w:uiPriority w:val="99"/>
    <w:unhideWhenUsed/>
    <w:rsid w:val="002C6039"/>
    <w:rPr>
      <w:vertAlign w:val="superscript"/>
    </w:rPr>
  </w:style>
  <w:style w:type="character" w:customStyle="1" w:styleId="ListParagraphChar">
    <w:name w:val="List Paragraph Char"/>
    <w:aliases w:val="List Paragraph1 Char,Recommendation Char,List Paragraph11 Char,L Char,bullet point list Char,0Bullet Char,Bullet point Char,Bullets Char,Content descriptions Char,DDM Gen Text Char,Dot point 1.5 line spacing Char,NAST Quote Char"/>
    <w:basedOn w:val="DefaultParagraphFont"/>
    <w:link w:val="ListParagraph"/>
    <w:uiPriority w:val="34"/>
    <w:locked/>
    <w:rsid w:val="002C6039"/>
    <w:rPr>
      <w:sz w:val="24"/>
      <w:szCs w:val="24"/>
    </w:rPr>
  </w:style>
  <w:style w:type="paragraph" w:styleId="NormalWeb">
    <w:name w:val="Normal (Web)"/>
    <w:basedOn w:val="Normal"/>
    <w:uiPriority w:val="99"/>
    <w:unhideWhenUsed/>
    <w:rsid w:val="002C6039"/>
    <w:pPr>
      <w:spacing w:before="240"/>
    </w:pPr>
    <w:rPr>
      <w:rFonts w:ascii="Times New Roman" w:eastAsia="Times New Roman" w:hAnsi="Times New Roman" w:cs="Times New Roman"/>
      <w:color w:val="auto"/>
      <w:lang w:eastAsia="en-AU"/>
    </w:rPr>
  </w:style>
  <w:style w:type="paragraph" w:customStyle="1" w:styleId="ACOLA">
    <w:name w:val="ACOLA"/>
    <w:basedOn w:val="Normal"/>
    <w:link w:val="ACOLAChar"/>
    <w:rsid w:val="002C6039"/>
    <w:pPr>
      <w:spacing w:before="0" w:after="200"/>
    </w:pPr>
    <w:rPr>
      <w:rFonts w:eastAsia="Calibri" w:cs="Arial"/>
      <w:color w:val="auto"/>
      <w:sz w:val="22"/>
      <w:szCs w:val="22"/>
    </w:rPr>
  </w:style>
  <w:style w:type="character" w:customStyle="1" w:styleId="ACOLAChar">
    <w:name w:val="ACOLA Char"/>
    <w:link w:val="ACOLA"/>
    <w:rsid w:val="002C6039"/>
    <w:rPr>
      <w:rFonts w:eastAsia="Calibri" w:cs="Arial"/>
      <w:color w:val="auto"/>
    </w:rPr>
  </w:style>
  <w:style w:type="paragraph" w:styleId="CommentSubject">
    <w:name w:val="annotation subject"/>
    <w:basedOn w:val="CommentText"/>
    <w:next w:val="CommentText"/>
    <w:link w:val="CommentSubjectChar"/>
    <w:uiPriority w:val="99"/>
    <w:semiHidden/>
    <w:unhideWhenUsed/>
    <w:rsid w:val="002C6039"/>
    <w:pPr>
      <w:spacing w:before="120" w:after="240"/>
    </w:pPr>
    <w:rPr>
      <w:rFonts w:ascii="Calibri" w:eastAsiaTheme="minorEastAsia" w:hAnsi="Calibri" w:cstheme="majorBidi"/>
      <w:b/>
      <w:bCs/>
      <w:color w:val="1F355E"/>
      <w:lang w:val="en-AU" w:eastAsia="en-US"/>
    </w:rPr>
  </w:style>
  <w:style w:type="character" w:customStyle="1" w:styleId="CommentSubjectChar">
    <w:name w:val="Comment Subject Char"/>
    <w:basedOn w:val="CommentTextChar"/>
    <w:link w:val="CommentSubject"/>
    <w:uiPriority w:val="99"/>
    <w:semiHidden/>
    <w:rsid w:val="002C6039"/>
    <w:rPr>
      <w:rFonts w:asciiTheme="minorHAnsi" w:eastAsiaTheme="minorHAnsi" w:hAnsiTheme="minorHAnsi" w:cstheme="minorBidi"/>
      <w:b/>
      <w:bCs/>
      <w:color w:val="auto"/>
      <w:sz w:val="20"/>
      <w:szCs w:val="20"/>
      <w:lang w:val="en-GB" w:eastAsia="en-GB"/>
    </w:rPr>
  </w:style>
  <w:style w:type="paragraph" w:customStyle="1" w:styleId="footnotedescription">
    <w:name w:val="footnote description"/>
    <w:next w:val="Normal"/>
    <w:link w:val="footnotedescriptionChar"/>
    <w:hidden/>
    <w:rsid w:val="002C6039"/>
    <w:pPr>
      <w:spacing w:after="0" w:line="259" w:lineRule="auto"/>
    </w:pPr>
    <w:rPr>
      <w:rFonts w:eastAsia="Calibri" w:cs="Calibri"/>
      <w:color w:val="000000"/>
      <w:sz w:val="20"/>
      <w:vertAlign w:val="superscript"/>
      <w:lang w:eastAsia="en-AU"/>
    </w:rPr>
  </w:style>
  <w:style w:type="character" w:customStyle="1" w:styleId="footnotedescriptionChar">
    <w:name w:val="footnote description Char"/>
    <w:link w:val="footnotedescription"/>
    <w:rsid w:val="002C6039"/>
    <w:rPr>
      <w:rFonts w:eastAsia="Calibri" w:cs="Calibri"/>
      <w:color w:val="000000"/>
      <w:sz w:val="20"/>
      <w:vertAlign w:val="superscript"/>
      <w:lang w:eastAsia="en-AU"/>
    </w:rPr>
  </w:style>
  <w:style w:type="character" w:customStyle="1" w:styleId="footnotemark">
    <w:name w:val="footnote mark"/>
    <w:hidden/>
    <w:rsid w:val="002C6039"/>
    <w:rPr>
      <w:rFonts w:ascii="Calibri" w:eastAsia="Calibri" w:hAnsi="Calibri" w:cs="Calibri"/>
      <w:color w:val="000000"/>
      <w:sz w:val="20"/>
      <w:vertAlign w:val="superscript"/>
    </w:rPr>
  </w:style>
  <w:style w:type="paragraph" w:styleId="TOC4">
    <w:name w:val="toc 4"/>
    <w:basedOn w:val="Normal"/>
    <w:next w:val="Normal"/>
    <w:autoRedefine/>
    <w:uiPriority w:val="39"/>
    <w:unhideWhenUsed/>
    <w:rsid w:val="002C6039"/>
    <w:pPr>
      <w:spacing w:before="0" w:after="100" w:line="276" w:lineRule="auto"/>
      <w:ind w:left="660"/>
    </w:pPr>
    <w:rPr>
      <w:rFonts w:asciiTheme="minorHAnsi" w:hAnsiTheme="minorHAnsi" w:cstheme="minorBidi"/>
      <w:color w:val="auto"/>
      <w:sz w:val="22"/>
      <w:szCs w:val="22"/>
      <w:lang w:eastAsia="en-AU"/>
    </w:rPr>
  </w:style>
  <w:style w:type="paragraph" w:styleId="TOC5">
    <w:name w:val="toc 5"/>
    <w:basedOn w:val="Normal"/>
    <w:next w:val="Normal"/>
    <w:autoRedefine/>
    <w:uiPriority w:val="39"/>
    <w:unhideWhenUsed/>
    <w:rsid w:val="002C6039"/>
    <w:pPr>
      <w:spacing w:before="0" w:after="100" w:line="276" w:lineRule="auto"/>
      <w:ind w:left="880"/>
    </w:pPr>
    <w:rPr>
      <w:rFonts w:asciiTheme="minorHAnsi" w:hAnsiTheme="minorHAnsi" w:cstheme="minorBidi"/>
      <w:color w:val="auto"/>
      <w:sz w:val="22"/>
      <w:szCs w:val="22"/>
      <w:lang w:eastAsia="en-AU"/>
    </w:rPr>
  </w:style>
  <w:style w:type="paragraph" w:styleId="TOC7">
    <w:name w:val="toc 7"/>
    <w:basedOn w:val="Normal"/>
    <w:next w:val="Normal"/>
    <w:autoRedefine/>
    <w:uiPriority w:val="39"/>
    <w:unhideWhenUsed/>
    <w:rsid w:val="002C6039"/>
    <w:pPr>
      <w:spacing w:before="0" w:after="100" w:line="276" w:lineRule="auto"/>
      <w:ind w:left="1320"/>
    </w:pPr>
    <w:rPr>
      <w:rFonts w:asciiTheme="minorHAnsi" w:hAnsiTheme="minorHAnsi" w:cstheme="minorBidi"/>
      <w:color w:val="auto"/>
      <w:sz w:val="22"/>
      <w:szCs w:val="22"/>
      <w:lang w:eastAsia="en-AU"/>
    </w:rPr>
  </w:style>
  <w:style w:type="paragraph" w:styleId="TOC8">
    <w:name w:val="toc 8"/>
    <w:basedOn w:val="Normal"/>
    <w:next w:val="Normal"/>
    <w:autoRedefine/>
    <w:uiPriority w:val="39"/>
    <w:unhideWhenUsed/>
    <w:rsid w:val="002C6039"/>
    <w:pPr>
      <w:spacing w:before="0" w:after="100" w:line="276" w:lineRule="auto"/>
      <w:ind w:left="1540"/>
    </w:pPr>
    <w:rPr>
      <w:rFonts w:asciiTheme="minorHAnsi" w:hAnsiTheme="minorHAnsi" w:cstheme="minorBidi"/>
      <w:color w:val="auto"/>
      <w:sz w:val="22"/>
      <w:szCs w:val="22"/>
      <w:lang w:eastAsia="en-AU"/>
    </w:rPr>
  </w:style>
  <w:style w:type="paragraph" w:styleId="TOC9">
    <w:name w:val="toc 9"/>
    <w:basedOn w:val="Normal"/>
    <w:next w:val="Normal"/>
    <w:autoRedefine/>
    <w:uiPriority w:val="39"/>
    <w:unhideWhenUsed/>
    <w:rsid w:val="002C6039"/>
    <w:pPr>
      <w:spacing w:before="0" w:after="100" w:line="276" w:lineRule="auto"/>
      <w:ind w:left="1760"/>
    </w:pPr>
    <w:rPr>
      <w:rFonts w:asciiTheme="minorHAnsi" w:hAnsiTheme="minorHAnsi" w:cstheme="minorBidi"/>
      <w:color w:val="auto"/>
      <w:sz w:val="22"/>
      <w:szCs w:val="22"/>
      <w:lang w:eastAsia="en-AU"/>
    </w:rPr>
  </w:style>
  <w:style w:type="paragraph" w:styleId="PlainText">
    <w:name w:val="Plain Text"/>
    <w:basedOn w:val="Normal"/>
    <w:link w:val="PlainTextChar"/>
    <w:uiPriority w:val="99"/>
    <w:unhideWhenUsed/>
    <w:rsid w:val="002C6039"/>
    <w:pPr>
      <w:spacing w:before="0" w:after="0"/>
    </w:pPr>
    <w:rPr>
      <w:rFonts w:eastAsiaTheme="minorHAnsi" w:cstheme="minorBidi"/>
      <w:color w:val="auto"/>
      <w:sz w:val="22"/>
      <w:szCs w:val="21"/>
    </w:rPr>
  </w:style>
  <w:style w:type="character" w:customStyle="1" w:styleId="PlainTextChar">
    <w:name w:val="Plain Text Char"/>
    <w:basedOn w:val="DefaultParagraphFont"/>
    <w:link w:val="PlainText"/>
    <w:uiPriority w:val="99"/>
    <w:rsid w:val="002C6039"/>
    <w:rPr>
      <w:rFonts w:eastAsiaTheme="minorHAnsi" w:cstheme="minorBidi"/>
      <w:color w:val="auto"/>
      <w:szCs w:val="21"/>
    </w:rPr>
  </w:style>
  <w:style w:type="table" w:styleId="LightShading-Accent1">
    <w:name w:val="Light Shading Accent 1"/>
    <w:basedOn w:val="TableNormal"/>
    <w:uiPriority w:val="60"/>
    <w:rsid w:val="002C6039"/>
    <w:pPr>
      <w:spacing w:after="0" w:line="240" w:lineRule="auto"/>
    </w:pPr>
    <w:rPr>
      <w:rFonts w:asciiTheme="minorHAnsi" w:eastAsiaTheme="minorHAnsi" w:hAnsiTheme="minorHAnsi" w:cstheme="minorBidi"/>
      <w:color w:val="104165" w:themeColor="accent1" w:themeShade="BF"/>
    </w:rPr>
    <w:tblPr>
      <w:tblStyleRowBandSize w:val="1"/>
      <w:tblStyleColBandSize w:val="1"/>
      <w:tblBorders>
        <w:top w:val="single" w:sz="8" w:space="0" w:color="165788" w:themeColor="accent1"/>
        <w:bottom w:val="single" w:sz="8" w:space="0" w:color="165788" w:themeColor="accent1"/>
      </w:tblBorders>
    </w:tblPr>
    <w:tblStylePr w:type="firstRow">
      <w:pPr>
        <w:spacing w:before="0" w:after="0" w:line="240" w:lineRule="auto"/>
      </w:pPr>
      <w:rPr>
        <w:b/>
        <w:bCs/>
      </w:rPr>
      <w:tblPr/>
      <w:tcPr>
        <w:tcBorders>
          <w:top w:val="single" w:sz="8" w:space="0" w:color="165788" w:themeColor="accent1"/>
          <w:left w:val="nil"/>
          <w:bottom w:val="single" w:sz="8" w:space="0" w:color="165788" w:themeColor="accent1"/>
          <w:right w:val="nil"/>
          <w:insideH w:val="nil"/>
          <w:insideV w:val="nil"/>
        </w:tcBorders>
      </w:tcPr>
    </w:tblStylePr>
    <w:tblStylePr w:type="lastRow">
      <w:pPr>
        <w:spacing w:before="0" w:after="0" w:line="240" w:lineRule="auto"/>
      </w:pPr>
      <w:rPr>
        <w:b/>
        <w:bCs/>
      </w:rPr>
      <w:tblPr/>
      <w:tcPr>
        <w:tcBorders>
          <w:top w:val="single" w:sz="8" w:space="0" w:color="165788" w:themeColor="accent1"/>
          <w:left w:val="nil"/>
          <w:bottom w:val="single" w:sz="8" w:space="0" w:color="16578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D7F3" w:themeFill="accent1" w:themeFillTint="3F"/>
      </w:tcPr>
    </w:tblStylePr>
    <w:tblStylePr w:type="band1Horz">
      <w:tblPr/>
      <w:tcPr>
        <w:tcBorders>
          <w:left w:val="nil"/>
          <w:right w:val="nil"/>
          <w:insideH w:val="nil"/>
          <w:insideV w:val="nil"/>
        </w:tcBorders>
        <w:shd w:val="clear" w:color="auto" w:fill="B4D7F3" w:themeFill="accent1" w:themeFillTint="3F"/>
      </w:tcPr>
    </w:tblStylePr>
  </w:style>
  <w:style w:type="table" w:styleId="MediumGrid2-Accent1">
    <w:name w:val="Medium Grid 2 Accent 1"/>
    <w:basedOn w:val="TableNormal"/>
    <w:uiPriority w:val="68"/>
    <w:rsid w:val="002C6039"/>
    <w:pPr>
      <w:spacing w:after="0" w:line="240" w:lineRule="auto"/>
    </w:pPr>
    <w:rPr>
      <w:rFonts w:asciiTheme="majorHAnsi" w:eastAsiaTheme="majorEastAsia" w:hAnsiTheme="majorHAnsi"/>
      <w:color w:val="000000" w:themeColor="text1"/>
    </w:rPr>
    <w:tblPr>
      <w:tblStyleRowBandSize w:val="1"/>
      <w:tblStyleColBandSize w:val="1"/>
      <w:tblBorders>
        <w:top w:val="single" w:sz="8" w:space="0" w:color="165788" w:themeColor="accent1"/>
        <w:left w:val="single" w:sz="8" w:space="0" w:color="165788" w:themeColor="accent1"/>
        <w:bottom w:val="single" w:sz="8" w:space="0" w:color="165788" w:themeColor="accent1"/>
        <w:right w:val="single" w:sz="8" w:space="0" w:color="165788" w:themeColor="accent1"/>
        <w:insideH w:val="single" w:sz="8" w:space="0" w:color="165788" w:themeColor="accent1"/>
        <w:insideV w:val="single" w:sz="8" w:space="0" w:color="165788" w:themeColor="accent1"/>
      </w:tblBorders>
    </w:tblPr>
    <w:tcPr>
      <w:shd w:val="clear" w:color="auto" w:fill="B4D7F3" w:themeFill="accent1" w:themeFillTint="3F"/>
    </w:tcPr>
    <w:tblStylePr w:type="firstRow">
      <w:rPr>
        <w:b/>
        <w:bCs/>
        <w:color w:val="000000" w:themeColor="text1"/>
      </w:rPr>
      <w:tblPr/>
      <w:tcPr>
        <w:shd w:val="clear" w:color="auto" w:fill="E1EF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7F7F7F" w:themeFill="background1"/>
      </w:tcPr>
    </w:tblStylePr>
    <w:tblStylePr w:type="firstCol">
      <w:rPr>
        <w:b/>
        <w:bCs/>
        <w:color w:val="000000" w:themeColor="text1"/>
      </w:rPr>
      <w:tblPr/>
      <w:tcPr>
        <w:tcBorders>
          <w:top w:val="nil"/>
          <w:left w:val="nil"/>
          <w:bottom w:val="nil"/>
          <w:right w:val="nil"/>
          <w:insideH w:val="nil"/>
          <w:insideV w:val="nil"/>
        </w:tcBorders>
        <w:shd w:val="clear" w:color="auto" w:fill="7F7F7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DFF5" w:themeFill="accent1" w:themeFillTint="33"/>
      </w:tcPr>
    </w:tblStylePr>
    <w:tblStylePr w:type="band1Vert">
      <w:tblPr/>
      <w:tcPr>
        <w:shd w:val="clear" w:color="auto" w:fill="68B0E6" w:themeFill="accent1" w:themeFillTint="7F"/>
      </w:tcPr>
    </w:tblStylePr>
    <w:tblStylePr w:type="band1Horz">
      <w:tblPr/>
      <w:tcPr>
        <w:tcBorders>
          <w:insideH w:val="single" w:sz="6" w:space="0" w:color="165788" w:themeColor="accent1"/>
          <w:insideV w:val="single" w:sz="6" w:space="0" w:color="165788" w:themeColor="accent1"/>
        </w:tcBorders>
        <w:shd w:val="clear" w:color="auto" w:fill="68B0E6" w:themeFill="accent1" w:themeFillTint="7F"/>
      </w:tcPr>
    </w:tblStylePr>
    <w:tblStylePr w:type="nwCell">
      <w:tblPr/>
      <w:tcPr>
        <w:shd w:val="clear" w:color="auto" w:fill="7F7F7F" w:themeFill="background1"/>
      </w:tcPr>
    </w:tblStylePr>
  </w:style>
  <w:style w:type="paragraph" w:customStyle="1" w:styleId="Legal1">
    <w:name w:val="Legal 1"/>
    <w:basedOn w:val="Normal"/>
    <w:uiPriority w:val="99"/>
    <w:rsid w:val="002C6039"/>
    <w:pPr>
      <w:keepNext/>
      <w:tabs>
        <w:tab w:val="left" w:pos="454"/>
      </w:tabs>
      <w:spacing w:after="120"/>
    </w:pPr>
    <w:rPr>
      <w:rFonts w:eastAsia="Times New Roman" w:cs="Arial"/>
      <w:color w:val="auto"/>
      <w:sz w:val="22"/>
      <w:szCs w:val="20"/>
      <w:lang w:eastAsia="en-AU"/>
    </w:rPr>
  </w:style>
  <w:style w:type="paragraph" w:styleId="Revision">
    <w:name w:val="Revision"/>
    <w:hidden/>
    <w:uiPriority w:val="99"/>
    <w:semiHidden/>
    <w:rsid w:val="002C6039"/>
    <w:pPr>
      <w:spacing w:after="0" w:line="240" w:lineRule="auto"/>
    </w:pPr>
    <w:rPr>
      <w:rFonts w:asciiTheme="minorHAnsi" w:eastAsiaTheme="minorHAnsi" w:hAnsiTheme="minorHAnsi" w:cstheme="minorBidi"/>
      <w:color w:val="auto"/>
    </w:rPr>
  </w:style>
  <w:style w:type="table" w:customStyle="1" w:styleId="TableGrid1">
    <w:name w:val="Table Grid1"/>
    <w:basedOn w:val="TableNormal"/>
    <w:next w:val="TableGrid"/>
    <w:uiPriority w:val="59"/>
    <w:rsid w:val="002C6039"/>
    <w:pPr>
      <w:spacing w:after="0" w:line="240" w:lineRule="auto"/>
    </w:pPr>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C6039"/>
  </w:style>
  <w:style w:type="table" w:customStyle="1" w:styleId="TableGrid2">
    <w:name w:val="Table Grid2"/>
    <w:basedOn w:val="TableNormal"/>
    <w:next w:val="TableGrid"/>
    <w:uiPriority w:val="99"/>
    <w:rsid w:val="002C6039"/>
    <w:pPr>
      <w:spacing w:after="0" w:line="240" w:lineRule="auto"/>
    </w:pPr>
    <w:rPr>
      <w:rFonts w:eastAsia="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2C6039"/>
    <w:pPr>
      <w:spacing w:after="0" w:line="240" w:lineRule="auto"/>
    </w:pPr>
    <w:rPr>
      <w:rFonts w:eastAsia="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
    <w:name w:val="Medium Grid 2 - Accent 11"/>
    <w:basedOn w:val="TableNormal"/>
    <w:next w:val="MediumGrid2-Accent1"/>
    <w:uiPriority w:val="68"/>
    <w:rsid w:val="002C6039"/>
    <w:pPr>
      <w:spacing w:after="0" w:line="240" w:lineRule="auto"/>
    </w:pPr>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eGrid11">
    <w:name w:val="Table Grid11"/>
    <w:basedOn w:val="TableNormal"/>
    <w:next w:val="TableGrid"/>
    <w:uiPriority w:val="59"/>
    <w:rsid w:val="002C6039"/>
    <w:pPr>
      <w:spacing w:after="0" w:line="240" w:lineRule="auto"/>
    </w:pPr>
    <w:rPr>
      <w:rFonts w:eastAsia="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view">
    <w:name w:val="Review"/>
    <w:basedOn w:val="TableNormal"/>
    <w:uiPriority w:val="99"/>
    <w:rsid w:val="002C6039"/>
    <w:pPr>
      <w:spacing w:after="0" w:line="240" w:lineRule="auto"/>
    </w:pPr>
    <w:rPr>
      <w:color w:val="104165" w:themeColor="text2" w:themeShade="BF"/>
    </w:rPr>
    <w:tblPr>
      <w:tblStyleRowBandSize w:val="1"/>
      <w:tbl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insideH w:val="single" w:sz="4" w:space="0" w:color="B2B2B2" w:themeColor="background1" w:themeTint="99"/>
        <w:insideV w:val="single" w:sz="4" w:space="0" w:color="B2B2B2" w:themeColor="background1" w:themeTint="99"/>
      </w:tblBorders>
    </w:tblPr>
    <w:tblStylePr w:type="firstRow">
      <w:rPr>
        <w:color w:val="104165" w:themeColor="text2" w:themeShade="BF"/>
      </w:rPr>
      <w:tblPr/>
      <w:tcPr>
        <w:shd w:val="clear" w:color="auto" w:fill="FFC000"/>
      </w:tcPr>
    </w:tblStylePr>
    <w:tblStylePr w:type="band2Horz">
      <w:rPr>
        <w:rFonts w:asciiTheme="minorHAnsi" w:hAnsiTheme="minorHAnsi"/>
        <w:color w:val="104165" w:themeColor="text2" w:themeShade="BF"/>
        <w:sz w:val="24"/>
      </w:rPr>
      <w:tblPr/>
      <w:tcPr>
        <w:shd w:val="clear" w:color="auto" w:fill="FFF1D9"/>
      </w:tcPr>
    </w:tblStylePr>
  </w:style>
  <w:style w:type="character" w:customStyle="1" w:styleId="st1">
    <w:name w:val="st1"/>
    <w:basedOn w:val="DefaultParagraphFont"/>
    <w:rsid w:val="002C6039"/>
  </w:style>
  <w:style w:type="character" w:styleId="FollowedHyperlink">
    <w:name w:val="FollowedHyperlink"/>
    <w:basedOn w:val="DefaultParagraphFont"/>
    <w:uiPriority w:val="99"/>
    <w:semiHidden/>
    <w:unhideWhenUsed/>
    <w:rsid w:val="002C6039"/>
    <w:rPr>
      <w:color w:val="000000" w:themeColor="followedHyperlink"/>
      <w:u w:val="single"/>
    </w:rPr>
  </w:style>
  <w:style w:type="character" w:customStyle="1" w:styleId="A8">
    <w:name w:val="A8"/>
    <w:uiPriority w:val="99"/>
    <w:rsid w:val="00841DD2"/>
    <w:rPr>
      <w:rFonts w:cs="ITC Garamond Std Lt"/>
      <w:color w:val="000000"/>
      <w:sz w:val="12"/>
      <w:szCs w:val="12"/>
    </w:rPr>
  </w:style>
  <w:style w:type="paragraph" w:customStyle="1" w:styleId="Heading1Reversed">
    <w:name w:val="Heading 1 Reversed"/>
    <w:basedOn w:val="Normal"/>
    <w:next w:val="Normal"/>
    <w:qFormat/>
    <w:rsid w:val="00962C66"/>
    <w:pPr>
      <w:spacing w:before="840" w:after="200"/>
    </w:pPr>
    <w:rPr>
      <w:b/>
      <w:noProof/>
      <w:color w:val="FFFFFF" w:themeColor="background2"/>
      <w:sz w:val="4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175201">
      <w:bodyDiv w:val="1"/>
      <w:marLeft w:val="0"/>
      <w:marRight w:val="0"/>
      <w:marTop w:val="0"/>
      <w:marBottom w:val="0"/>
      <w:divBdr>
        <w:top w:val="none" w:sz="0" w:space="0" w:color="auto"/>
        <w:left w:val="none" w:sz="0" w:space="0" w:color="auto"/>
        <w:bottom w:val="none" w:sz="0" w:space="0" w:color="auto"/>
        <w:right w:val="none" w:sz="0" w:space="0" w:color="auto"/>
      </w:divBdr>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291716353">
      <w:bodyDiv w:val="1"/>
      <w:marLeft w:val="0"/>
      <w:marRight w:val="0"/>
      <w:marTop w:val="0"/>
      <w:marBottom w:val="0"/>
      <w:divBdr>
        <w:top w:val="none" w:sz="0" w:space="0" w:color="auto"/>
        <w:left w:val="none" w:sz="0" w:space="0" w:color="auto"/>
        <w:bottom w:val="none" w:sz="0" w:space="0" w:color="auto"/>
        <w:right w:val="none" w:sz="0" w:space="0" w:color="auto"/>
      </w:divBdr>
    </w:div>
    <w:div w:id="467938694">
      <w:bodyDiv w:val="1"/>
      <w:marLeft w:val="0"/>
      <w:marRight w:val="0"/>
      <w:marTop w:val="0"/>
      <w:marBottom w:val="0"/>
      <w:divBdr>
        <w:top w:val="none" w:sz="0" w:space="0" w:color="auto"/>
        <w:left w:val="none" w:sz="0" w:space="0" w:color="auto"/>
        <w:bottom w:val="none" w:sz="0" w:space="0" w:color="auto"/>
        <w:right w:val="none" w:sz="0" w:space="0" w:color="auto"/>
      </w:divBdr>
    </w:div>
    <w:div w:id="610433997">
      <w:bodyDiv w:val="1"/>
      <w:marLeft w:val="0"/>
      <w:marRight w:val="0"/>
      <w:marTop w:val="0"/>
      <w:marBottom w:val="0"/>
      <w:divBdr>
        <w:top w:val="none" w:sz="0" w:space="0" w:color="auto"/>
        <w:left w:val="none" w:sz="0" w:space="0" w:color="auto"/>
        <w:bottom w:val="none" w:sz="0" w:space="0" w:color="auto"/>
        <w:right w:val="none" w:sz="0" w:space="0" w:color="auto"/>
      </w:divBdr>
    </w:div>
    <w:div w:id="722295192">
      <w:bodyDiv w:val="1"/>
      <w:marLeft w:val="0"/>
      <w:marRight w:val="0"/>
      <w:marTop w:val="0"/>
      <w:marBottom w:val="0"/>
      <w:divBdr>
        <w:top w:val="none" w:sz="0" w:space="0" w:color="auto"/>
        <w:left w:val="none" w:sz="0" w:space="0" w:color="auto"/>
        <w:bottom w:val="none" w:sz="0" w:space="0" w:color="auto"/>
        <w:right w:val="none" w:sz="0" w:space="0" w:color="auto"/>
      </w:divBdr>
    </w:div>
    <w:div w:id="1450508394">
      <w:bodyDiv w:val="1"/>
      <w:marLeft w:val="0"/>
      <w:marRight w:val="0"/>
      <w:marTop w:val="0"/>
      <w:marBottom w:val="0"/>
      <w:divBdr>
        <w:top w:val="none" w:sz="0" w:space="0" w:color="auto"/>
        <w:left w:val="none" w:sz="0" w:space="0" w:color="auto"/>
        <w:bottom w:val="none" w:sz="0" w:space="0" w:color="auto"/>
        <w:right w:val="none" w:sz="0" w:space="0" w:color="auto"/>
      </w:divBdr>
    </w:div>
    <w:div w:id="1472481248">
      <w:bodyDiv w:val="1"/>
      <w:marLeft w:val="0"/>
      <w:marRight w:val="0"/>
      <w:marTop w:val="0"/>
      <w:marBottom w:val="0"/>
      <w:divBdr>
        <w:top w:val="none" w:sz="0" w:space="0" w:color="auto"/>
        <w:left w:val="none" w:sz="0" w:space="0" w:color="auto"/>
        <w:bottom w:val="none" w:sz="0" w:space="0" w:color="auto"/>
        <w:right w:val="none" w:sz="0" w:space="0" w:color="auto"/>
      </w:divBdr>
      <w:divsChild>
        <w:div w:id="988509718">
          <w:marLeft w:val="0"/>
          <w:marRight w:val="0"/>
          <w:marTop w:val="0"/>
          <w:marBottom w:val="0"/>
          <w:divBdr>
            <w:top w:val="none" w:sz="0" w:space="0" w:color="auto"/>
            <w:left w:val="none" w:sz="0" w:space="0" w:color="auto"/>
            <w:bottom w:val="none" w:sz="0" w:space="0" w:color="auto"/>
            <w:right w:val="none" w:sz="0" w:space="0" w:color="auto"/>
          </w:divBdr>
          <w:divsChild>
            <w:div w:id="1681200394">
              <w:marLeft w:val="0"/>
              <w:marRight w:val="0"/>
              <w:marTop w:val="0"/>
              <w:marBottom w:val="0"/>
              <w:divBdr>
                <w:top w:val="none" w:sz="0" w:space="0" w:color="auto"/>
                <w:left w:val="none" w:sz="0" w:space="0" w:color="auto"/>
                <w:bottom w:val="none" w:sz="0" w:space="0" w:color="auto"/>
                <w:right w:val="none" w:sz="0" w:space="0" w:color="auto"/>
              </w:divBdr>
              <w:divsChild>
                <w:div w:id="1334452409">
                  <w:marLeft w:val="0"/>
                  <w:marRight w:val="0"/>
                  <w:marTop w:val="0"/>
                  <w:marBottom w:val="0"/>
                  <w:divBdr>
                    <w:top w:val="none" w:sz="0" w:space="0" w:color="auto"/>
                    <w:left w:val="none" w:sz="0" w:space="0" w:color="auto"/>
                    <w:bottom w:val="none" w:sz="0" w:space="0" w:color="auto"/>
                    <w:right w:val="none" w:sz="0" w:space="0" w:color="auto"/>
                  </w:divBdr>
                  <w:divsChild>
                    <w:div w:id="382563388">
                      <w:marLeft w:val="0"/>
                      <w:marRight w:val="0"/>
                      <w:marTop w:val="0"/>
                      <w:marBottom w:val="0"/>
                      <w:divBdr>
                        <w:top w:val="none" w:sz="0" w:space="0" w:color="auto"/>
                        <w:left w:val="none" w:sz="0" w:space="0" w:color="auto"/>
                        <w:bottom w:val="none" w:sz="0" w:space="0" w:color="auto"/>
                        <w:right w:val="none" w:sz="0" w:space="0" w:color="auto"/>
                      </w:divBdr>
                      <w:divsChild>
                        <w:div w:id="575752234">
                          <w:marLeft w:val="0"/>
                          <w:marRight w:val="0"/>
                          <w:marTop w:val="0"/>
                          <w:marBottom w:val="0"/>
                          <w:divBdr>
                            <w:top w:val="none" w:sz="0" w:space="0" w:color="auto"/>
                            <w:left w:val="none" w:sz="0" w:space="0" w:color="auto"/>
                            <w:bottom w:val="none" w:sz="0" w:space="0" w:color="auto"/>
                            <w:right w:val="none" w:sz="0" w:space="0" w:color="auto"/>
                          </w:divBdr>
                          <w:divsChild>
                            <w:div w:id="1523587568">
                              <w:marLeft w:val="0"/>
                              <w:marRight w:val="0"/>
                              <w:marTop w:val="0"/>
                              <w:marBottom w:val="0"/>
                              <w:divBdr>
                                <w:top w:val="none" w:sz="0" w:space="0" w:color="auto"/>
                                <w:left w:val="none" w:sz="0" w:space="0" w:color="auto"/>
                                <w:bottom w:val="none" w:sz="0" w:space="0" w:color="auto"/>
                                <w:right w:val="none" w:sz="0" w:space="0" w:color="auto"/>
                              </w:divBdr>
                              <w:divsChild>
                                <w:div w:id="124004884">
                                  <w:marLeft w:val="0"/>
                                  <w:marRight w:val="0"/>
                                  <w:marTop w:val="0"/>
                                  <w:marBottom w:val="0"/>
                                  <w:divBdr>
                                    <w:top w:val="none" w:sz="0" w:space="0" w:color="auto"/>
                                    <w:left w:val="none" w:sz="0" w:space="0" w:color="auto"/>
                                    <w:bottom w:val="none" w:sz="0" w:space="0" w:color="auto"/>
                                    <w:right w:val="none" w:sz="0" w:space="0" w:color="auto"/>
                                  </w:divBdr>
                                  <w:divsChild>
                                    <w:div w:id="1956206615">
                                      <w:marLeft w:val="0"/>
                                      <w:marRight w:val="0"/>
                                      <w:marTop w:val="0"/>
                                      <w:marBottom w:val="0"/>
                                      <w:divBdr>
                                        <w:top w:val="none" w:sz="0" w:space="0" w:color="auto"/>
                                        <w:left w:val="none" w:sz="0" w:space="0" w:color="auto"/>
                                        <w:bottom w:val="none" w:sz="0" w:space="0" w:color="auto"/>
                                        <w:right w:val="none" w:sz="0" w:space="0" w:color="auto"/>
                                      </w:divBdr>
                                      <w:divsChild>
                                        <w:div w:id="1780293127">
                                          <w:marLeft w:val="0"/>
                                          <w:marRight w:val="0"/>
                                          <w:marTop w:val="0"/>
                                          <w:marBottom w:val="0"/>
                                          <w:divBdr>
                                            <w:top w:val="none" w:sz="0" w:space="0" w:color="auto"/>
                                            <w:left w:val="none" w:sz="0" w:space="0" w:color="auto"/>
                                            <w:bottom w:val="none" w:sz="0" w:space="0" w:color="auto"/>
                                            <w:right w:val="none" w:sz="0" w:space="0" w:color="auto"/>
                                          </w:divBdr>
                                          <w:divsChild>
                                            <w:div w:id="213575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4.png"/><Relationship Id="rId39" Type="http://schemas.openxmlformats.org/officeDocument/2006/relationships/hyperlink" Target="http://www.business.gov.au/Pages/default.aspx"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yperlink" Target="http://education.gov.au/research-block-grants-calculation-methodology" TargetMode="External"/><Relationship Id="rId42" Type="http://schemas.openxmlformats.org/officeDocument/2006/relationships/hyperlink" Target="http://www.topuniversities.com/student-info/university-news/how-do-universities-use-rankings" TargetMode="Externa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header" Target="header2.xml"/><Relationship Id="rId33" Type="http://schemas.openxmlformats.org/officeDocument/2006/relationships/image" Target="media/image10.emf"/><Relationship Id="rId38" Type="http://schemas.openxmlformats.org/officeDocument/2006/relationships/image" Target="media/image14.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creativecommons.org/licenses/by/3.0/au/legalcode" TargetMode="External"/><Relationship Id="rId20" Type="http://schemas.openxmlformats.org/officeDocument/2006/relationships/footer" Target="footer3.xml"/><Relationship Id="rId29" Type="http://schemas.openxmlformats.org/officeDocument/2006/relationships/image" Target="media/image7.png"/><Relationship Id="rId41" Type="http://schemas.openxmlformats.org/officeDocument/2006/relationships/hyperlink" Target="http://www.topuniversities.com/blog/decade-international-university-rankings-what-do-students-thin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image" Target="cid:image004.png@01D12B61.C9062420" TargetMode="External"/><Relationship Id="rId37" Type="http://schemas.openxmlformats.org/officeDocument/2006/relationships/image" Target="media/image13.png"/><Relationship Id="rId40" Type="http://schemas.openxmlformats.org/officeDocument/2006/relationships/hyperlink" Target="http://stats.oecd.org/Index.aspx?DataSetCode=GERD_FUNDS"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creativecommons.org/licenses/by/3.0/au/" TargetMode="External"/><Relationship Id="rId23" Type="http://schemas.openxmlformats.org/officeDocument/2006/relationships/footer" Target="footer6.xml"/><Relationship Id="rId28" Type="http://schemas.openxmlformats.org/officeDocument/2006/relationships/image" Target="media/image6.png"/><Relationship Id="rId36" Type="http://schemas.openxmlformats.org/officeDocument/2006/relationships/image" Target="media/image12.emf"/><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cid:image001.png@01CC5B5E.C6C84990" TargetMode="Externa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1.emf"/><Relationship Id="rId43" Type="http://schemas.openxmlformats.org/officeDocument/2006/relationships/footer" Target="footer7.xml"/></Relationships>
</file>

<file path=word/_rels/footnotes.xml.rels><?xml version="1.0" encoding="UTF-8" standalone="yes"?>
<Relationships xmlns="http://schemas.openxmlformats.org/package/2006/relationships"><Relationship Id="rId3" Type="http://schemas.openxmlformats.org/officeDocument/2006/relationships/hyperlink" Target="https://www.timeshighereducation.co.uk/features/which-universities-are-the-most-innovative" TargetMode="External"/><Relationship Id="rId2" Type="http://schemas.openxmlformats.org/officeDocument/2006/relationships/hyperlink" Target="http://www.ipaustralia.gov.au/uploaded-files/reports/The_Australian_Food_Industry_Patent_Analytics_Report.pdf" TargetMode="External"/><Relationship Id="rId1" Type="http://schemas.openxmlformats.org/officeDocument/2006/relationships/hyperlink" Target="http://www.arc.gov.au/sites/default/files/filedepot/Public/NCGP/LP15/LP15_Funding_Agreement_16July15.pdf" TargetMode="External"/><Relationship Id="rId4" Type="http://schemas.openxmlformats.org/officeDocument/2006/relationships/hyperlink" Target="http://dnet.hosts.network/projects/Review-of-Research-Policy-and-Funding/DocumentsLibrary/Final%20report/Final%20report%20-%20design%20layout" TargetMode="External"/></Relationship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Policy Auditing</Name>
    <Type>10001</Type>
    <SequenceNumber>1100</SequenceNumber>
    <Assembly>Microsoft.Office.Policy, Version=12.0.0.0, Culture=neutral, PublicKeyToken=71e9bce111e9429c</Assembly>
    <Class>Microsoft.Office.RecordsManagement.Internal.AuditHandler</Class>
    <Data/>
    <Filter/>
  </Receiver>
  <Receiver>
    <Name>Policy Auditing</Name>
    <Type>10002</Type>
    <SequenceNumber>1101</SequenceNumber>
    <Assembly>Microsoft.Office.Policy, Version=12.0.0.0, Culture=neutral, PublicKeyToken=71e9bce111e9429c</Assembly>
    <Class>Microsoft.Office.RecordsManagement.Internal.AuditHandler</Class>
    <Data/>
    <Filter/>
  </Receiver>
  <Receiver>
    <Name>Policy Auditing</Name>
    <Type>10004</Type>
    <SequenceNumber>1102</SequenceNumber>
    <Assembly>Microsoft.Office.Policy, Version=12.0.0.0, Culture=neutral, PublicKeyToken=71e9bce111e9429c</Assembly>
    <Class>Microsoft.Office.RecordsManagement.Internal.AuditHandler</Class>
    <Data/>
    <Filter/>
  </Receiver>
  <Receiver>
    <Name>Policy Auditing</Name>
    <Type>10006</Type>
    <SequenceNumber>1103</SequenceNumber>
    <Assembly>Microsoft.Office.Policy, Version=12.0.0.0, Culture=neutral, PublicKeyToken=71e9bce111e9429c</Assembly>
    <Class>Microsoft.Office.RecordsManagement.Internal.AuditHandler</Class>
    <Data/>
    <Filter/>
  </Receiver>
  <Receiver>
    <Name>Microsoft.Office.RecordsManagement.PolicyFeatures.ExpirationEventReceiver</Name>
    <Type>10001</Type>
    <SequenceNumber>101</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10002</Type>
    <SequenceNumber>102</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10004</Type>
    <SequenceNumber>103</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10006</Type>
    <SequenceNumber>104</SequenceNumber>
    <Assembly>Microsoft.Office.Policy, Version=12.0.0.0, Culture=neutral, PublicKeyToken=71e9bce111e9429c</Assembly>
    <Class>Microsoft.Office.RecordsManagement.Internal.UpdateExpireDate</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DdocsSearchTerms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docs Word Document" ma:contentTypeID="0x0101009EDC4876AF524A70BD125A9D2C0D191E0C00AD6CD0D41B42534E97FC825913241741" ma:contentTypeVersion="18" ma:contentTypeDescription="Ddocs' Word Content Type" ma:contentTypeScope="" ma:versionID="eb752a1e279f70074316569a05e7b35d">
  <xsd:schema xmlns:xsd="http://www.w3.org/2001/XMLSchema" xmlns:xs="http://www.w3.org/2001/XMLSchema" xmlns:p="http://schemas.microsoft.com/office/2006/metadata/properties" xmlns:ns2="http://schemas.microsoft.com/sharepoint/v3/fields" xmlns:ns3="c094ce0d-e73c-47bb-879a-c2bfd0ea7f03" targetNamespace="http://schemas.microsoft.com/office/2006/metadata/properties" ma:root="true" ma:fieldsID="93584c27293860addcc9d1cd72eedd9b" ns2:_="" ns3:_="">
    <xsd:import namespace="http://schemas.microsoft.com/sharepoint/v3/fields"/>
    <xsd:import namespace="c094ce0d-e73c-47bb-879a-c2bfd0ea7f03"/>
    <xsd:element name="properties">
      <xsd:complexType>
        <xsd:sequence>
          <xsd:element name="documentManagement">
            <xsd:complexType>
              <xsd:all>
                <xsd:element ref="ns2:DdocsSearchTerms" minOccurs="0"/>
                <xsd:element ref="ns3:_dlc_ExpireDateSaved" minOccurs="0"/>
                <xsd:element ref="ns3:_dlc_ExpireDate" minOccurs="0"/>
                <xsd:element ref="ns2:TrimDatePublished" minOccurs="0"/>
                <xsd:element ref="ns2:TrimDocumentNumber" minOccurs="0"/>
                <xsd:element ref="ns2:TrimDocumentUri" minOccurs="0"/>
                <xsd:element ref="ns2:TrimFileNumber" minOccurs="0"/>
                <xsd:element ref="ns2:DNetUnique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docsSearchTerms" ma:index="2" nillable="true" ma:displayName="Search terms" ma:internalName="DdocsSearchTerms">
      <xsd:simpleType>
        <xsd:restriction base="dms:Text"/>
      </xsd:simpleType>
    </xsd:element>
    <xsd:element name="TrimDatePublished" ma:index="11" nillable="true" ma:displayName="TRIM Date Published" ma:internalName="TrimDatePublished" ma:readOnly="true">
      <xsd:simpleType>
        <xsd:restriction base="dms:DateTime"/>
      </xsd:simpleType>
    </xsd:element>
    <xsd:element name="TrimDocumentNumber" ma:index="12" nillable="true" ma:displayName="TRIM Document Number" ma:internalName="TrimDocumentNumber" ma:readOnly="true">
      <xsd:simpleType>
        <xsd:restriction base="dms:Text"/>
      </xsd:simpleType>
    </xsd:element>
    <xsd:element name="TrimDocumentUri" ma:index="13" nillable="true" ma:displayName="TRIM Document Uri" ma:hidden="true" ma:internalName="TrimDocumentUri" ma:readOnly="true">
      <xsd:simpleType>
        <xsd:restriction base="dms:Unknown"/>
      </xsd:simpleType>
    </xsd:element>
    <xsd:element name="TrimFileNumber" ma:index="14" nillable="true" ma:displayName="TRIM File Number" ma:internalName="TrimFileNumber" ma:readOnly="true">
      <xsd:simpleType>
        <xsd:restriction base="dms:Text"/>
      </xsd:simpleType>
    </xsd:element>
    <xsd:element name="DNetUniqueId" ma:index="15" nillable="true" ma:displayName="DdocsId" ma:indexed="true" ma:internalName="DNet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94ce0d-e73c-47bb-879a-c2bfd0ea7f03" elementFormDefault="qualified">
    <xsd:import namespace="http://schemas.microsoft.com/office/2006/documentManagement/types"/>
    <xsd:import namespace="http://schemas.microsoft.com/office/infopath/2007/PartnerControls"/>
    <xsd:element name="_dlc_ExpireDateSaved" ma:index="9" nillable="true" ma:displayName="Original Expiration Date" ma:description="" ma:hidden="true" ma:internalName="_dlc_ExpireDateSaved" ma:readOnly="true">
      <xsd:simpleType>
        <xsd:restriction base="dms:DateTime"/>
      </xsd:simpleType>
    </xsd:element>
    <xsd:element name="_dlc_ExpireDate" ma:index="10" nillable="true" ma:displayName="Expiration Date" ma:description="" ma:hidden="true" ma:indexed="true" ma:internalName="_dlc_ExpireDat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B9865-5BE0-4345-A155-1825DB14BD4D}">
  <ds:schemaRefs>
    <ds:schemaRef ds:uri="http://schemas.microsoft.com/sharepoint/events"/>
  </ds:schemaRefs>
</ds:datastoreItem>
</file>

<file path=customXml/itemProps2.xml><?xml version="1.0" encoding="utf-8"?>
<ds:datastoreItem xmlns:ds="http://schemas.openxmlformats.org/officeDocument/2006/customXml" ds:itemID="{D37BBA81-5FE6-4E73-A1AE-2B6460AF8190}">
  <ds:schemaRefs>
    <ds:schemaRef ds:uri="http://www.w3.org/XML/1998/namespace"/>
    <ds:schemaRef ds:uri="http://purl.org/dc/elements/1.1/"/>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schemas.microsoft.com/sharepoint/v3/fields"/>
    <ds:schemaRef ds:uri="http://purl.org/dc/dcmitype/"/>
    <ds:schemaRef ds:uri="http://schemas.microsoft.com/office/infopath/2007/PartnerControls"/>
    <ds:schemaRef ds:uri="c094ce0d-e73c-47bb-879a-c2bfd0ea7f03"/>
  </ds:schemaRefs>
</ds:datastoreItem>
</file>

<file path=customXml/itemProps3.xml><?xml version="1.0" encoding="utf-8"?>
<ds:datastoreItem xmlns:ds="http://schemas.openxmlformats.org/officeDocument/2006/customXml" ds:itemID="{B46632BD-5898-4A5C-96CA-FCDC3E695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094ce0d-e73c-47bb-879a-c2bfd0ea7f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76A2DE-9CBC-4EFE-A773-FACCB7FD7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9EEE5D6E.dotm</Template>
  <TotalTime>26</TotalTime>
  <Pages>125</Pages>
  <Words>40242</Words>
  <Characters>229385</Characters>
  <Application>Microsoft Office Word</Application>
  <DocSecurity>0</DocSecurity>
  <Lines>1911</Lines>
  <Paragraphs>538</Paragraphs>
  <ScaleCrop>false</ScaleCrop>
  <HeadingPairs>
    <vt:vector size="2" baseType="variant">
      <vt:variant>
        <vt:lpstr>Title</vt:lpstr>
      </vt:variant>
      <vt:variant>
        <vt:i4>1</vt:i4>
      </vt:variant>
    </vt:vector>
  </HeadingPairs>
  <TitlesOfParts>
    <vt:vector size="1" baseType="lpstr">
      <vt:lpstr>Research Infrastructure Review</vt:lpstr>
    </vt:vector>
  </TitlesOfParts>
  <Company>Australian Government</Company>
  <LinksUpToDate>false</LinksUpToDate>
  <CharactersWithSpaces>269089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Infrastructure Review</dc:title>
  <dc:creator>Michelle Chatelin</dc:creator>
  <cp:lastModifiedBy>Drew Menzies-McVey</cp:lastModifiedBy>
  <cp:revision>18</cp:revision>
  <cp:lastPrinted>2015-12-10T05:57:00Z</cp:lastPrinted>
  <dcterms:created xsi:type="dcterms:W3CDTF">2016-01-12T05:02:00Z</dcterms:created>
  <dcterms:modified xsi:type="dcterms:W3CDTF">2016-01-12T05:27:00Z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0x0101009EDC4876AF524A70BD125A9D2C0D191E0C00AD6CD0D41B42534E97FC825913241741</vt:lpwstr>
  </property>
  <property fmtid="{D5CDD505-2E9C-101B-9397-08002B2CF9AE}" pid="3" name="ItemRetentionFormula">
    <vt:lpwstr/>
  </property>
  <property fmtid="{D5CDD505-2E9C-101B-9397-08002B2CF9AE}" pid="4" name="_dlc_policyId">
    <vt:lpwstr/>
  </property>
</Properties>
</file>