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FB" w:rsidRPr="00213E72" w:rsidRDefault="00112FFB" w:rsidP="0048108E">
      <w:pPr>
        <w:pStyle w:val="Title"/>
      </w:pPr>
      <w:bookmarkStart w:id="0" w:name="_Toc148409422"/>
      <w:bookmarkStart w:id="1" w:name="_Toc188345353"/>
      <w:bookmarkStart w:id="2" w:name="OLE_LINK14"/>
      <w:bookmarkStart w:id="3" w:name="OLE_LINK15"/>
      <w:r w:rsidRPr="00213E72">
        <w:t xml:space="preserve">FINANCIAL ASSISTANCE GRANTED </w:t>
      </w:r>
      <w:r w:rsidR="001D25CD" w:rsidRPr="00213E72">
        <w:t>TO EACH STATE IN RESPECT OF 201</w:t>
      </w:r>
      <w:r w:rsidR="0034385B">
        <w:t>2</w:t>
      </w:r>
    </w:p>
    <w:p w:rsidR="00112FFB" w:rsidRPr="00213E72" w:rsidRDefault="00112FFB" w:rsidP="0048108E">
      <w:pPr>
        <w:pStyle w:val="Subtitle"/>
      </w:pPr>
      <w:r w:rsidRPr="00213E72">
        <w:t>Schools Assistance Act 2008</w:t>
      </w:r>
    </w:p>
    <w:p w:rsidR="00112FFB" w:rsidRPr="00213E72" w:rsidRDefault="00112FFB" w:rsidP="006B6826">
      <w:pPr>
        <w:pStyle w:val="FootnoteText"/>
      </w:pPr>
      <w:proofErr w:type="gramStart"/>
      <w:r w:rsidRPr="0048108E">
        <w:rPr>
          <w:rStyle w:val="SubtleReference"/>
        </w:rPr>
        <w:t>pursuant</w:t>
      </w:r>
      <w:proofErr w:type="gramEnd"/>
      <w:r w:rsidRPr="0048108E">
        <w:rPr>
          <w:rStyle w:val="SubtleReference"/>
        </w:rPr>
        <w:t xml:space="preserve"> to Section 172 of the</w:t>
      </w:r>
      <w:r w:rsidR="006B6826">
        <w:rPr>
          <w:rStyle w:val="SubtleReference"/>
        </w:rPr>
        <w:t xml:space="preserve"> </w:t>
      </w:r>
      <w:r w:rsidRPr="0048108E">
        <w:rPr>
          <w:rStyle w:val="Emphasis"/>
        </w:rPr>
        <w:t>Schools Assistance Act 2008</w:t>
      </w:r>
    </w:p>
    <w:p w:rsidR="00112FFB" w:rsidRPr="00213E72" w:rsidRDefault="00112FFB" w:rsidP="0048108E">
      <w:pPr>
        <w:sectPr w:rsidR="00112FFB" w:rsidRPr="00213E72" w:rsidSect="00112FFB">
          <w:footerReference w:type="even" r:id="rId9"/>
          <w:footerReference w:type="default" r:id="rId10"/>
          <w:headerReference w:type="first" r:id="rId11"/>
          <w:footerReference w:type="first" r:id="rId12"/>
          <w:pgSz w:w="11906" w:h="16838"/>
          <w:pgMar w:top="1440" w:right="907" w:bottom="1134" w:left="907" w:header="709" w:footer="709" w:gutter="0"/>
          <w:pgNumType w:fmt="lowerRoman" w:start="1"/>
          <w:cols w:space="720"/>
          <w:titlePg/>
        </w:sectPr>
      </w:pPr>
    </w:p>
    <w:p w:rsidR="00726843" w:rsidRPr="00213E72" w:rsidRDefault="00726843" w:rsidP="00154284">
      <w:pPr>
        <w:pStyle w:val="numberedpara"/>
        <w:numPr>
          <w:ilvl w:val="0"/>
          <w:numId w:val="0"/>
        </w:numPr>
      </w:pPr>
      <w:r w:rsidRPr="00213E72">
        <w:rPr>
          <w:noProof/>
        </w:rPr>
        <w:lastRenderedPageBreak/>
        <w:drawing>
          <wp:inline distT="0" distB="0" distL="0" distR="0" wp14:anchorId="09A52766" wp14:editId="1FE529DB">
            <wp:extent cx="1057275" cy="361950"/>
            <wp:effectExtent l="0" t="0" r="9525" b="0"/>
            <wp:docPr id="1" name="Picture 1" descr="Creative Commons Atribution 3.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DCD60.359787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rsidR="00726843" w:rsidRPr="0048108E" w:rsidRDefault="00726843" w:rsidP="0048108E">
      <w:r w:rsidRPr="0048108E">
        <w:t>With the exception of the Commonwealth Coat of Arms and where otherwise noted all material presented in this document is provided under a Creative Commons Attribution 3.0 Australia (</w:t>
      </w:r>
      <w:hyperlink r:id="rId15" w:history="1">
        <w:r w:rsidRPr="0048108E">
          <w:rPr>
            <w:rStyle w:val="Hyperlink"/>
          </w:rPr>
          <w:t>http://creativecommons.org/licenses/by/3.0/au</w:t>
        </w:r>
        <w:r w:rsidR="0048108E" w:rsidRPr="0048108E">
          <w:rPr>
            <w:rStyle w:val="Hyperlink"/>
          </w:rPr>
          <w:t>/</w:t>
        </w:r>
      </w:hyperlink>
      <w:r w:rsidRPr="0048108E">
        <w:t xml:space="preserve">) licence. </w:t>
      </w:r>
    </w:p>
    <w:p w:rsidR="00726843" w:rsidRPr="0048108E" w:rsidRDefault="00726843" w:rsidP="0048108E">
      <w:r w:rsidRPr="0048108E">
        <w:t>The details of the relevant licence conditions are available on the Creative Commons website (accessible using the links provided) as is the full legal code for the CC BY 3.0 AU licence (</w:t>
      </w:r>
      <w:hyperlink r:id="rId16" w:history="1">
        <w:r w:rsidRPr="0048108E">
          <w:rPr>
            <w:rStyle w:val="Hyperlink"/>
          </w:rPr>
          <w:t>http://creativecommons.org/licenses/by/3.0/au/legalcode</w:t>
        </w:r>
      </w:hyperlink>
      <w:r w:rsidRPr="0048108E">
        <w:t xml:space="preserve">). </w:t>
      </w:r>
    </w:p>
    <w:p w:rsidR="0048108E" w:rsidRDefault="00726843" w:rsidP="0048108E">
      <w:r w:rsidRPr="0048108E">
        <w:t xml:space="preserve">The document must be attributed as the </w:t>
      </w:r>
      <w:r w:rsidRPr="00154284">
        <w:rPr>
          <w:rStyle w:val="Emphasis"/>
        </w:rPr>
        <w:t>Schools Assistance Act 2008</w:t>
      </w:r>
      <w:r w:rsidRPr="0048108E">
        <w:t xml:space="preserve"> Report on Financial Assistance Granted to each State in Respect of 201</w:t>
      </w:r>
      <w:r w:rsidR="008558BC" w:rsidRPr="0048108E">
        <w:t>2</w:t>
      </w:r>
      <w:r w:rsidRPr="0048108E">
        <w:t>.</w:t>
      </w:r>
    </w:p>
    <w:p w:rsidR="007454B7" w:rsidRDefault="00112FFB" w:rsidP="007454B7">
      <w:pPr>
        <w:pStyle w:val="TOC1"/>
      </w:pPr>
      <w:r w:rsidRPr="00213E72">
        <w:br w:type="page"/>
      </w:r>
      <w:bookmarkStart w:id="4" w:name="_Toc414963242"/>
      <w:bookmarkStart w:id="5" w:name="_Toc414963353"/>
    </w:p>
    <w:p w:rsidR="007454B7" w:rsidRDefault="007454B7" w:rsidP="007454B7">
      <w:pPr>
        <w:pStyle w:val="TOC1"/>
        <w:sectPr w:rsidR="007454B7" w:rsidSect="007454B7">
          <w:footerReference w:type="default" r:id="rId17"/>
          <w:type w:val="continuous"/>
          <w:pgSz w:w="11907" w:h="16839" w:code="9"/>
          <w:pgMar w:top="851" w:right="1134" w:bottom="816" w:left="1134" w:header="708" w:footer="708" w:gutter="0"/>
          <w:pgNumType w:fmt="lowerRoman" w:start="2"/>
          <w:cols w:space="708"/>
          <w:docGrid w:linePitch="360"/>
        </w:sectPr>
      </w:pPr>
    </w:p>
    <w:p w:rsidR="00835D63" w:rsidRDefault="007454B7">
      <w:pPr>
        <w:pStyle w:val="TOC1"/>
        <w:rPr>
          <w:rFonts w:asciiTheme="minorHAnsi" w:eastAsiaTheme="minorEastAsia" w:hAnsiTheme="minorHAnsi" w:cstheme="minorBidi"/>
          <w:b w:val="0"/>
          <w:bCs w:val="0"/>
          <w:color w:val="auto"/>
          <w:szCs w:val="22"/>
        </w:rPr>
      </w:pPr>
      <w:r>
        <w:lastRenderedPageBreak/>
        <w:fldChar w:fldCharType="begin"/>
      </w:r>
      <w:r>
        <w:instrText xml:space="preserve"> TOC \o "1-2" \h \z \u </w:instrText>
      </w:r>
      <w:r>
        <w:fldChar w:fldCharType="separate"/>
      </w:r>
      <w:hyperlink w:anchor="_Toc414969246" w:history="1">
        <w:r w:rsidR="00835D63" w:rsidRPr="004C7D3F">
          <w:rPr>
            <w:rStyle w:val="Hyperlink"/>
          </w:rPr>
          <w:t>INTRODUCTION</w:t>
        </w:r>
        <w:r w:rsidR="00835D63">
          <w:rPr>
            <w:webHidden/>
          </w:rPr>
          <w:tab/>
        </w:r>
        <w:r w:rsidR="00835D63">
          <w:rPr>
            <w:webHidden/>
          </w:rPr>
          <w:fldChar w:fldCharType="begin"/>
        </w:r>
        <w:r w:rsidR="00835D63">
          <w:rPr>
            <w:webHidden/>
          </w:rPr>
          <w:instrText xml:space="preserve"> PAGEREF _Toc414969246 \h </w:instrText>
        </w:r>
        <w:r w:rsidR="00835D63">
          <w:rPr>
            <w:webHidden/>
          </w:rPr>
        </w:r>
        <w:r w:rsidR="00835D63">
          <w:rPr>
            <w:webHidden/>
          </w:rPr>
          <w:fldChar w:fldCharType="separate"/>
        </w:r>
        <w:r w:rsidR="00FA456B">
          <w:rPr>
            <w:webHidden/>
          </w:rPr>
          <w:t>v</w:t>
        </w:r>
        <w:r w:rsidR="00835D63">
          <w:rPr>
            <w:webHidden/>
          </w:rPr>
          <w:fldChar w:fldCharType="end"/>
        </w:r>
      </w:hyperlink>
    </w:p>
    <w:p w:rsidR="00835D63" w:rsidRDefault="005C71DC">
      <w:pPr>
        <w:pStyle w:val="TOC1"/>
        <w:rPr>
          <w:rFonts w:asciiTheme="minorHAnsi" w:eastAsiaTheme="minorEastAsia" w:hAnsiTheme="minorHAnsi" w:cstheme="minorBidi"/>
          <w:b w:val="0"/>
          <w:bCs w:val="0"/>
          <w:color w:val="auto"/>
          <w:szCs w:val="22"/>
        </w:rPr>
      </w:pPr>
      <w:hyperlink w:anchor="_Toc414969247" w:history="1">
        <w:r w:rsidR="00835D63" w:rsidRPr="004C7D3F">
          <w:rPr>
            <w:rStyle w:val="Hyperlink"/>
          </w:rPr>
          <w:t>FORMS OF FINANCIAL ASSISTANCE</w:t>
        </w:r>
        <w:r w:rsidR="00835D63">
          <w:rPr>
            <w:webHidden/>
          </w:rPr>
          <w:tab/>
        </w:r>
        <w:r w:rsidR="00835D63">
          <w:rPr>
            <w:webHidden/>
          </w:rPr>
          <w:fldChar w:fldCharType="begin"/>
        </w:r>
        <w:r w:rsidR="00835D63">
          <w:rPr>
            <w:webHidden/>
          </w:rPr>
          <w:instrText xml:space="preserve"> PAGEREF _Toc414969247 \h </w:instrText>
        </w:r>
        <w:r w:rsidR="00835D63">
          <w:rPr>
            <w:webHidden/>
          </w:rPr>
        </w:r>
        <w:r w:rsidR="00835D63">
          <w:rPr>
            <w:webHidden/>
          </w:rPr>
          <w:fldChar w:fldCharType="separate"/>
        </w:r>
        <w:r w:rsidR="00FA456B">
          <w:rPr>
            <w:webHidden/>
          </w:rPr>
          <w:t>vi</w:t>
        </w:r>
        <w:r w:rsidR="00835D63">
          <w:rPr>
            <w:webHidden/>
          </w:rPr>
          <w:fldChar w:fldCharType="end"/>
        </w:r>
      </w:hyperlink>
    </w:p>
    <w:p w:rsidR="00835D63" w:rsidRDefault="005C71DC">
      <w:pPr>
        <w:pStyle w:val="TOC1"/>
        <w:rPr>
          <w:rFonts w:asciiTheme="minorHAnsi" w:eastAsiaTheme="minorEastAsia" w:hAnsiTheme="minorHAnsi" w:cstheme="minorBidi"/>
          <w:b w:val="0"/>
          <w:bCs w:val="0"/>
          <w:color w:val="auto"/>
          <w:szCs w:val="22"/>
        </w:rPr>
      </w:pPr>
      <w:hyperlink w:anchor="_Toc414969248" w:history="1">
        <w:r w:rsidR="00835D63" w:rsidRPr="004C7D3F">
          <w:rPr>
            <w:rStyle w:val="Hyperlink"/>
          </w:rPr>
          <w:t>RECURRENT GRANTS PROGRAMME – Non Government Schools</w:t>
        </w:r>
        <w:r w:rsidR="00835D63">
          <w:rPr>
            <w:webHidden/>
          </w:rPr>
          <w:tab/>
        </w:r>
        <w:r w:rsidR="00835D63">
          <w:rPr>
            <w:webHidden/>
          </w:rPr>
          <w:fldChar w:fldCharType="begin"/>
        </w:r>
        <w:r w:rsidR="00835D63">
          <w:rPr>
            <w:webHidden/>
          </w:rPr>
          <w:instrText xml:space="preserve"> PAGEREF _Toc414969248 \h </w:instrText>
        </w:r>
        <w:r w:rsidR="00835D63">
          <w:rPr>
            <w:webHidden/>
          </w:rPr>
        </w:r>
        <w:r w:rsidR="00835D63">
          <w:rPr>
            <w:webHidden/>
          </w:rPr>
          <w:fldChar w:fldCharType="separate"/>
        </w:r>
        <w:r w:rsidR="00FA456B">
          <w:rPr>
            <w:webHidden/>
          </w:rPr>
          <w:t>vi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49" w:history="1">
        <w:r w:rsidR="00835D63" w:rsidRPr="004C7D3F">
          <w:rPr>
            <w:rStyle w:val="Hyperlink"/>
          </w:rPr>
          <w:t>Socioeconomic Status (SES) Funding</w:t>
        </w:r>
        <w:r w:rsidR="00835D63">
          <w:rPr>
            <w:webHidden/>
          </w:rPr>
          <w:tab/>
        </w:r>
        <w:r w:rsidR="00835D63">
          <w:rPr>
            <w:webHidden/>
          </w:rPr>
          <w:fldChar w:fldCharType="begin"/>
        </w:r>
        <w:r w:rsidR="00835D63">
          <w:rPr>
            <w:webHidden/>
          </w:rPr>
          <w:instrText xml:space="preserve"> PAGEREF _Toc414969249 \h </w:instrText>
        </w:r>
        <w:r w:rsidR="00835D63">
          <w:rPr>
            <w:webHidden/>
          </w:rPr>
        </w:r>
        <w:r w:rsidR="00835D63">
          <w:rPr>
            <w:webHidden/>
          </w:rPr>
          <w:fldChar w:fldCharType="separate"/>
        </w:r>
        <w:r w:rsidR="00FA456B">
          <w:rPr>
            <w:webHidden/>
          </w:rPr>
          <w:t>vi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0" w:history="1">
        <w:r w:rsidR="00835D63" w:rsidRPr="004C7D3F">
          <w:rPr>
            <w:rStyle w:val="Hyperlink"/>
          </w:rPr>
          <w:t>Distance Education</w:t>
        </w:r>
        <w:r w:rsidR="00835D63">
          <w:rPr>
            <w:webHidden/>
          </w:rPr>
          <w:tab/>
        </w:r>
        <w:r w:rsidR="00835D63">
          <w:rPr>
            <w:webHidden/>
          </w:rPr>
          <w:fldChar w:fldCharType="begin"/>
        </w:r>
        <w:r w:rsidR="00835D63">
          <w:rPr>
            <w:webHidden/>
          </w:rPr>
          <w:instrText xml:space="preserve"> PAGEREF _Toc414969250 \h </w:instrText>
        </w:r>
        <w:r w:rsidR="00835D63">
          <w:rPr>
            <w:webHidden/>
          </w:rPr>
        </w:r>
        <w:r w:rsidR="00835D63">
          <w:rPr>
            <w:webHidden/>
          </w:rPr>
          <w:fldChar w:fldCharType="separate"/>
        </w:r>
        <w:r w:rsidR="00FA456B">
          <w:rPr>
            <w:webHidden/>
          </w:rPr>
          <w:t>ix</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1" w:history="1">
        <w:r w:rsidR="00835D63" w:rsidRPr="004C7D3F">
          <w:rPr>
            <w:rStyle w:val="Hyperlink"/>
          </w:rPr>
          <w:t>Remoteness Loading</w:t>
        </w:r>
        <w:r w:rsidR="00835D63">
          <w:rPr>
            <w:webHidden/>
          </w:rPr>
          <w:tab/>
        </w:r>
        <w:r w:rsidR="00835D63">
          <w:rPr>
            <w:webHidden/>
          </w:rPr>
          <w:fldChar w:fldCharType="begin"/>
        </w:r>
        <w:r w:rsidR="00835D63">
          <w:rPr>
            <w:webHidden/>
          </w:rPr>
          <w:instrText xml:space="preserve"> PAGEREF _Toc414969251 \h </w:instrText>
        </w:r>
        <w:r w:rsidR="00835D63">
          <w:rPr>
            <w:webHidden/>
          </w:rPr>
        </w:r>
        <w:r w:rsidR="00835D63">
          <w:rPr>
            <w:webHidden/>
          </w:rPr>
          <w:fldChar w:fldCharType="separate"/>
        </w:r>
        <w:r w:rsidR="00FA456B">
          <w:rPr>
            <w:webHidden/>
          </w:rPr>
          <w:t>ix</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2" w:history="1">
        <w:r w:rsidR="00835D63" w:rsidRPr="004C7D3F">
          <w:rPr>
            <w:rStyle w:val="Hyperlink"/>
          </w:rPr>
          <w:t>Indigenous Supplementary Assistance</w:t>
        </w:r>
        <w:r w:rsidR="00835D63">
          <w:rPr>
            <w:webHidden/>
          </w:rPr>
          <w:tab/>
        </w:r>
        <w:r w:rsidR="00835D63">
          <w:rPr>
            <w:webHidden/>
          </w:rPr>
          <w:fldChar w:fldCharType="begin"/>
        </w:r>
        <w:r w:rsidR="00835D63">
          <w:rPr>
            <w:webHidden/>
          </w:rPr>
          <w:instrText xml:space="preserve"> PAGEREF _Toc414969252 \h </w:instrText>
        </w:r>
        <w:r w:rsidR="00835D63">
          <w:rPr>
            <w:webHidden/>
          </w:rPr>
        </w:r>
        <w:r w:rsidR="00835D63">
          <w:rPr>
            <w:webHidden/>
          </w:rPr>
          <w:fldChar w:fldCharType="separate"/>
        </w:r>
        <w:r w:rsidR="00FA456B">
          <w:rPr>
            <w:webHidden/>
          </w:rPr>
          <w:t>x</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3" w:history="1">
        <w:r w:rsidR="00835D63" w:rsidRPr="004C7D3F">
          <w:rPr>
            <w:rStyle w:val="Hyperlink"/>
          </w:rPr>
          <w:t>Indigenous Funding Guarantee</w:t>
        </w:r>
        <w:r w:rsidR="00835D63">
          <w:rPr>
            <w:webHidden/>
          </w:rPr>
          <w:tab/>
        </w:r>
        <w:r w:rsidR="00835D63">
          <w:rPr>
            <w:webHidden/>
          </w:rPr>
          <w:fldChar w:fldCharType="begin"/>
        </w:r>
        <w:r w:rsidR="00835D63">
          <w:rPr>
            <w:webHidden/>
          </w:rPr>
          <w:instrText xml:space="preserve"> PAGEREF _Toc414969253 \h </w:instrText>
        </w:r>
        <w:r w:rsidR="00835D63">
          <w:rPr>
            <w:webHidden/>
          </w:rPr>
        </w:r>
        <w:r w:rsidR="00835D63">
          <w:rPr>
            <w:webHidden/>
          </w:rPr>
          <w:fldChar w:fldCharType="separate"/>
        </w:r>
        <w:r w:rsidR="00FA456B">
          <w:rPr>
            <w:webHidden/>
          </w:rPr>
          <w:t>x</w:t>
        </w:r>
        <w:r w:rsidR="00835D63">
          <w:rPr>
            <w:webHidden/>
          </w:rPr>
          <w:fldChar w:fldCharType="end"/>
        </w:r>
      </w:hyperlink>
    </w:p>
    <w:p w:rsidR="00835D63" w:rsidRDefault="005C71DC">
      <w:pPr>
        <w:pStyle w:val="TOC1"/>
        <w:rPr>
          <w:rFonts w:asciiTheme="minorHAnsi" w:eastAsiaTheme="minorEastAsia" w:hAnsiTheme="minorHAnsi" w:cstheme="minorBidi"/>
          <w:b w:val="0"/>
          <w:bCs w:val="0"/>
          <w:color w:val="auto"/>
          <w:szCs w:val="22"/>
        </w:rPr>
      </w:pPr>
      <w:hyperlink w:anchor="_Toc414969254" w:history="1">
        <w:r w:rsidR="00835D63" w:rsidRPr="004C7D3F">
          <w:rPr>
            <w:rStyle w:val="Hyperlink"/>
          </w:rPr>
          <w:t>CAPITAL GRANTS PROGRAMME – Non Government Schools</w:t>
        </w:r>
        <w:r w:rsidR="00835D63">
          <w:rPr>
            <w:webHidden/>
          </w:rPr>
          <w:tab/>
        </w:r>
        <w:r w:rsidR="00835D63">
          <w:rPr>
            <w:webHidden/>
          </w:rPr>
          <w:fldChar w:fldCharType="begin"/>
        </w:r>
        <w:r w:rsidR="00835D63">
          <w:rPr>
            <w:webHidden/>
          </w:rPr>
          <w:instrText xml:space="preserve"> PAGEREF _Toc414969254 \h </w:instrText>
        </w:r>
        <w:r w:rsidR="00835D63">
          <w:rPr>
            <w:webHidden/>
          </w:rPr>
        </w:r>
        <w:r w:rsidR="00835D63">
          <w:rPr>
            <w:webHidden/>
          </w:rPr>
          <w:fldChar w:fldCharType="separate"/>
        </w:r>
        <w:r w:rsidR="00FA456B">
          <w:rPr>
            <w:webHidden/>
          </w:rPr>
          <w:t>xi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5" w:history="1">
        <w:r w:rsidR="00835D63" w:rsidRPr="004C7D3F">
          <w:rPr>
            <w:rStyle w:val="Hyperlink"/>
          </w:rPr>
          <w:t>Grants for Capital Expenditure</w:t>
        </w:r>
        <w:r w:rsidR="00835D63">
          <w:rPr>
            <w:webHidden/>
          </w:rPr>
          <w:tab/>
        </w:r>
        <w:r w:rsidR="00835D63">
          <w:rPr>
            <w:webHidden/>
          </w:rPr>
          <w:fldChar w:fldCharType="begin"/>
        </w:r>
        <w:r w:rsidR="00835D63">
          <w:rPr>
            <w:webHidden/>
          </w:rPr>
          <w:instrText xml:space="preserve"> PAGEREF _Toc414969255 \h </w:instrText>
        </w:r>
        <w:r w:rsidR="00835D63">
          <w:rPr>
            <w:webHidden/>
          </w:rPr>
        </w:r>
        <w:r w:rsidR="00835D63">
          <w:rPr>
            <w:webHidden/>
          </w:rPr>
          <w:fldChar w:fldCharType="separate"/>
        </w:r>
        <w:r w:rsidR="00FA456B">
          <w:rPr>
            <w:webHidden/>
          </w:rPr>
          <w:t>xi</w:t>
        </w:r>
        <w:r w:rsidR="00835D63">
          <w:rPr>
            <w:webHidden/>
          </w:rPr>
          <w:fldChar w:fldCharType="end"/>
        </w:r>
      </w:hyperlink>
    </w:p>
    <w:p w:rsidR="00835D63" w:rsidRDefault="005C71DC">
      <w:pPr>
        <w:pStyle w:val="TOC1"/>
        <w:rPr>
          <w:rFonts w:asciiTheme="minorHAnsi" w:eastAsiaTheme="minorEastAsia" w:hAnsiTheme="minorHAnsi" w:cstheme="minorBidi"/>
          <w:b w:val="0"/>
          <w:bCs w:val="0"/>
          <w:color w:val="auto"/>
          <w:szCs w:val="22"/>
        </w:rPr>
      </w:pPr>
      <w:hyperlink w:anchor="_Toc414969256" w:history="1">
        <w:r w:rsidR="00835D63" w:rsidRPr="004C7D3F">
          <w:rPr>
            <w:rStyle w:val="Hyperlink"/>
          </w:rPr>
          <w:t>TARGETED GRANTS PROGRAMMES</w:t>
        </w:r>
        <w:r w:rsidR="00835D63">
          <w:rPr>
            <w:webHidden/>
          </w:rPr>
          <w:tab/>
        </w:r>
        <w:r w:rsidR="00835D63">
          <w:rPr>
            <w:webHidden/>
          </w:rPr>
          <w:fldChar w:fldCharType="begin"/>
        </w:r>
        <w:r w:rsidR="00835D63">
          <w:rPr>
            <w:webHidden/>
          </w:rPr>
          <w:instrText xml:space="preserve"> PAGEREF _Toc414969256 \h </w:instrText>
        </w:r>
        <w:r w:rsidR="00835D63">
          <w:rPr>
            <w:webHidden/>
          </w:rPr>
        </w:r>
        <w:r w:rsidR="00835D63">
          <w:rPr>
            <w:webHidden/>
          </w:rPr>
          <w:fldChar w:fldCharType="separate"/>
        </w:r>
        <w:r w:rsidR="00FA456B">
          <w:rPr>
            <w:webHidden/>
          </w:rPr>
          <w:t>xii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7" w:history="1">
        <w:r w:rsidR="00835D63" w:rsidRPr="004C7D3F">
          <w:rPr>
            <w:rStyle w:val="Hyperlink"/>
          </w:rPr>
          <w:t>Short Term Emergency Assistance</w:t>
        </w:r>
        <w:r w:rsidR="00835D63">
          <w:rPr>
            <w:webHidden/>
          </w:rPr>
          <w:tab/>
        </w:r>
        <w:r w:rsidR="00835D63">
          <w:rPr>
            <w:webHidden/>
          </w:rPr>
          <w:fldChar w:fldCharType="begin"/>
        </w:r>
        <w:r w:rsidR="00835D63">
          <w:rPr>
            <w:webHidden/>
          </w:rPr>
          <w:instrText xml:space="preserve"> PAGEREF _Toc414969257 \h </w:instrText>
        </w:r>
        <w:r w:rsidR="00835D63">
          <w:rPr>
            <w:webHidden/>
          </w:rPr>
        </w:r>
        <w:r w:rsidR="00835D63">
          <w:rPr>
            <w:webHidden/>
          </w:rPr>
          <w:fldChar w:fldCharType="separate"/>
        </w:r>
        <w:r w:rsidR="00FA456B">
          <w:rPr>
            <w:webHidden/>
          </w:rPr>
          <w:t>xii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8" w:history="1">
        <w:r w:rsidR="00835D63" w:rsidRPr="004C7D3F">
          <w:rPr>
            <w:rStyle w:val="Hyperlink"/>
          </w:rPr>
          <w:t>Education in Country Areas</w:t>
        </w:r>
        <w:r w:rsidR="00835D63">
          <w:rPr>
            <w:webHidden/>
          </w:rPr>
          <w:tab/>
        </w:r>
        <w:r w:rsidR="00835D63">
          <w:rPr>
            <w:webHidden/>
          </w:rPr>
          <w:fldChar w:fldCharType="begin"/>
        </w:r>
        <w:r w:rsidR="00835D63">
          <w:rPr>
            <w:webHidden/>
          </w:rPr>
          <w:instrText xml:space="preserve"> PAGEREF _Toc414969258 \h </w:instrText>
        </w:r>
        <w:r w:rsidR="00835D63">
          <w:rPr>
            <w:webHidden/>
          </w:rPr>
        </w:r>
        <w:r w:rsidR="00835D63">
          <w:rPr>
            <w:webHidden/>
          </w:rPr>
          <w:fldChar w:fldCharType="separate"/>
        </w:r>
        <w:r w:rsidR="00FA456B">
          <w:rPr>
            <w:webHidden/>
          </w:rPr>
          <w:t>xii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59" w:history="1">
        <w:r w:rsidR="00835D63" w:rsidRPr="004C7D3F">
          <w:rPr>
            <w:rStyle w:val="Hyperlink"/>
          </w:rPr>
          <w:t>Languages Education</w:t>
        </w:r>
        <w:r w:rsidR="00835D63">
          <w:rPr>
            <w:webHidden/>
          </w:rPr>
          <w:tab/>
        </w:r>
        <w:r w:rsidR="00835D63">
          <w:rPr>
            <w:webHidden/>
          </w:rPr>
          <w:fldChar w:fldCharType="begin"/>
        </w:r>
        <w:r w:rsidR="00835D63">
          <w:rPr>
            <w:webHidden/>
          </w:rPr>
          <w:instrText xml:space="preserve"> PAGEREF _Toc414969259 \h </w:instrText>
        </w:r>
        <w:r w:rsidR="00835D63">
          <w:rPr>
            <w:webHidden/>
          </w:rPr>
        </w:r>
        <w:r w:rsidR="00835D63">
          <w:rPr>
            <w:webHidden/>
          </w:rPr>
          <w:fldChar w:fldCharType="separate"/>
        </w:r>
        <w:r w:rsidR="00FA456B">
          <w:rPr>
            <w:webHidden/>
          </w:rPr>
          <w:t>xii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60" w:history="1">
        <w:r w:rsidR="00835D63" w:rsidRPr="004C7D3F">
          <w:rPr>
            <w:rStyle w:val="Hyperlink"/>
          </w:rPr>
          <w:t>Teaching English to New Arrivals</w:t>
        </w:r>
        <w:r w:rsidR="00835D63">
          <w:rPr>
            <w:webHidden/>
          </w:rPr>
          <w:tab/>
        </w:r>
        <w:r w:rsidR="00835D63">
          <w:rPr>
            <w:webHidden/>
          </w:rPr>
          <w:fldChar w:fldCharType="begin"/>
        </w:r>
        <w:r w:rsidR="00835D63">
          <w:rPr>
            <w:webHidden/>
          </w:rPr>
          <w:instrText xml:space="preserve"> PAGEREF _Toc414969260 \h </w:instrText>
        </w:r>
        <w:r w:rsidR="00835D63">
          <w:rPr>
            <w:webHidden/>
          </w:rPr>
        </w:r>
        <w:r w:rsidR="00835D63">
          <w:rPr>
            <w:webHidden/>
          </w:rPr>
          <w:fldChar w:fldCharType="separate"/>
        </w:r>
        <w:r w:rsidR="00FA456B">
          <w:rPr>
            <w:webHidden/>
          </w:rPr>
          <w:t>xiii</w:t>
        </w:r>
        <w:r w:rsidR="00835D63">
          <w:rPr>
            <w:webHidden/>
          </w:rPr>
          <w:fldChar w:fldCharType="end"/>
        </w:r>
      </w:hyperlink>
    </w:p>
    <w:p w:rsidR="00835D63" w:rsidRDefault="005C71DC">
      <w:pPr>
        <w:pStyle w:val="TOC2"/>
        <w:rPr>
          <w:rFonts w:asciiTheme="minorHAnsi" w:eastAsiaTheme="minorEastAsia" w:hAnsiTheme="minorHAnsi" w:cstheme="minorBidi"/>
          <w:b w:val="0"/>
          <w:color w:val="auto"/>
          <w:sz w:val="22"/>
        </w:rPr>
      </w:pPr>
      <w:hyperlink w:anchor="_Toc414969261" w:history="1">
        <w:r w:rsidR="00835D63" w:rsidRPr="004C7D3F">
          <w:rPr>
            <w:rStyle w:val="Hyperlink"/>
          </w:rPr>
          <w:t>Literacy, Numeracy and Special Learning Needs (LNSLN)</w:t>
        </w:r>
        <w:r w:rsidR="00835D63">
          <w:rPr>
            <w:webHidden/>
          </w:rPr>
          <w:tab/>
        </w:r>
        <w:r w:rsidR="00835D63">
          <w:rPr>
            <w:webHidden/>
          </w:rPr>
          <w:fldChar w:fldCharType="begin"/>
        </w:r>
        <w:r w:rsidR="00835D63">
          <w:rPr>
            <w:webHidden/>
          </w:rPr>
          <w:instrText xml:space="preserve"> PAGEREF _Toc414969261 \h </w:instrText>
        </w:r>
        <w:r w:rsidR="00835D63">
          <w:rPr>
            <w:webHidden/>
          </w:rPr>
        </w:r>
        <w:r w:rsidR="00835D63">
          <w:rPr>
            <w:webHidden/>
          </w:rPr>
          <w:fldChar w:fldCharType="separate"/>
        </w:r>
        <w:r w:rsidR="00FA456B">
          <w:rPr>
            <w:webHidden/>
          </w:rPr>
          <w:t>xiii</w:t>
        </w:r>
        <w:r w:rsidR="00835D63">
          <w:rPr>
            <w:webHidden/>
          </w:rPr>
          <w:fldChar w:fldCharType="end"/>
        </w:r>
      </w:hyperlink>
    </w:p>
    <w:p w:rsidR="007454B7" w:rsidRDefault="007454B7">
      <w:pPr>
        <w:autoSpaceDE/>
        <w:autoSpaceDN/>
        <w:spacing w:after="0"/>
      </w:pPr>
      <w:r>
        <w:fldChar w:fldCharType="end"/>
      </w:r>
    </w:p>
    <w:p w:rsidR="007454B7" w:rsidRDefault="007454B7">
      <w:pPr>
        <w:autoSpaceDE/>
        <w:autoSpaceDN/>
        <w:spacing w:after="0"/>
      </w:pPr>
      <w:r>
        <w:br w:type="page"/>
      </w:r>
    </w:p>
    <w:p w:rsidR="007454B7" w:rsidRDefault="007454B7">
      <w:pPr>
        <w:autoSpaceDE/>
        <w:autoSpaceDN/>
        <w:spacing w:after="0"/>
        <w:rPr>
          <w:rFonts w:eastAsia="Times New Roman" w:cs="Arial"/>
          <w:b/>
          <w:bCs/>
          <w:noProof/>
          <w:szCs w:val="20"/>
        </w:rPr>
      </w:pPr>
      <w:r>
        <w:lastRenderedPageBreak/>
        <w:br w:type="page"/>
      </w:r>
    </w:p>
    <w:p w:rsidR="00F11ED3" w:rsidRPr="00213E72" w:rsidRDefault="00F11ED3" w:rsidP="00716747">
      <w:pPr>
        <w:pStyle w:val="Heading1"/>
      </w:pPr>
      <w:bookmarkStart w:id="6" w:name="_Toc414969246"/>
      <w:r w:rsidRPr="00213E72">
        <w:lastRenderedPageBreak/>
        <w:t>INTRODUCTION</w:t>
      </w:r>
      <w:bookmarkEnd w:id="0"/>
      <w:bookmarkEnd w:id="1"/>
      <w:bookmarkEnd w:id="4"/>
      <w:bookmarkEnd w:id="5"/>
      <w:bookmarkEnd w:id="6"/>
    </w:p>
    <w:p w:rsidR="00F11ED3" w:rsidRPr="00213E72" w:rsidRDefault="00F11ED3" w:rsidP="0048108E">
      <w:r w:rsidRPr="00213E72">
        <w:t xml:space="preserve">The </w:t>
      </w:r>
      <w:r w:rsidRPr="00154284">
        <w:rPr>
          <w:rStyle w:val="Emphasis"/>
        </w:rPr>
        <w:t xml:space="preserve">Schools Assistance Act 2008 </w:t>
      </w:r>
      <w:r w:rsidRPr="00213E72">
        <w:rPr>
          <w:rFonts w:cs="Arial"/>
        </w:rPr>
        <w:t xml:space="preserve">(the Act) </w:t>
      </w:r>
      <w:r w:rsidRPr="00213E72">
        <w:t>provide</w:t>
      </w:r>
      <w:r w:rsidR="00B910B6">
        <w:t>d</w:t>
      </w:r>
      <w:r w:rsidRPr="00213E72">
        <w:t xml:space="preserve"> the legislative basis for schools assistance </w:t>
      </w:r>
      <w:r w:rsidR="00CB32DE">
        <w:t>programme</w:t>
      </w:r>
      <w:r w:rsidRPr="00213E72">
        <w:t>s administered by the Department of Education</w:t>
      </w:r>
      <w:r w:rsidR="00302480">
        <w:t xml:space="preserve"> and Training</w:t>
      </w:r>
      <w:r w:rsidR="00443EDA" w:rsidRPr="00213E72">
        <w:t xml:space="preserve">.  </w:t>
      </w:r>
      <w:r w:rsidR="00B910B6">
        <w:t>From 1 January 2009 to 31 December 2013 the</w:t>
      </w:r>
      <w:r w:rsidR="008E450A">
        <w:t xml:space="preserve"> </w:t>
      </w:r>
      <w:r w:rsidRPr="00213E72">
        <w:t>Act specifies the funds to be provided and the associated conditions set by the Australian Government for non-government schools.</w:t>
      </w:r>
    </w:p>
    <w:p w:rsidR="00F11ED3" w:rsidRPr="00213E72" w:rsidRDefault="003012C5" w:rsidP="0048108E">
      <w:r w:rsidRPr="00B9033C">
        <w:t>For the 201</w:t>
      </w:r>
      <w:r w:rsidR="00BB3B6D" w:rsidRPr="00B9033C">
        <w:t>2</w:t>
      </w:r>
      <w:r w:rsidRPr="00B9033C">
        <w:t xml:space="preserve"> </w:t>
      </w:r>
      <w:r w:rsidR="00CB32DE" w:rsidRPr="00B9033C">
        <w:t>programme</w:t>
      </w:r>
      <w:r w:rsidRPr="00B9033C">
        <w:t xml:space="preserve"> year, the </w:t>
      </w:r>
      <w:r w:rsidR="00D4376B" w:rsidRPr="00B9033C">
        <w:t>S</w:t>
      </w:r>
      <w:r w:rsidR="008A6EFB" w:rsidRPr="00B9033C">
        <w:t>elect Legislative Instrument 20</w:t>
      </w:r>
      <w:r w:rsidR="008E480D" w:rsidRPr="00B9033C">
        <w:t>1</w:t>
      </w:r>
      <w:r w:rsidR="00BB3B6D" w:rsidRPr="00B9033C">
        <w:t>2</w:t>
      </w:r>
      <w:r w:rsidR="008A6EFB" w:rsidRPr="00B9033C">
        <w:t xml:space="preserve"> No. </w:t>
      </w:r>
      <w:r w:rsidR="00BB3B6D" w:rsidRPr="00B9033C">
        <w:t>223</w:t>
      </w:r>
      <w:r w:rsidR="008A6EFB" w:rsidRPr="00B9033C">
        <w:t xml:space="preserve">, </w:t>
      </w:r>
      <w:r w:rsidR="008A6EFB" w:rsidRPr="006F330B">
        <w:rPr>
          <w:rStyle w:val="Emphasis"/>
        </w:rPr>
        <w:t>Schools Assistance Amendment Regulation 20</w:t>
      </w:r>
      <w:r w:rsidR="008E480D" w:rsidRPr="006F330B">
        <w:rPr>
          <w:rStyle w:val="Emphasis"/>
        </w:rPr>
        <w:t>1</w:t>
      </w:r>
      <w:r w:rsidR="00BB3B6D" w:rsidRPr="006F330B">
        <w:rPr>
          <w:rStyle w:val="Emphasis"/>
        </w:rPr>
        <w:t>2</w:t>
      </w:r>
      <w:r w:rsidR="008A6EFB" w:rsidRPr="006F330B">
        <w:rPr>
          <w:rStyle w:val="Emphasis"/>
        </w:rPr>
        <w:t xml:space="preserve"> (No.</w:t>
      </w:r>
      <w:r w:rsidR="00D4376B" w:rsidRPr="006F330B">
        <w:rPr>
          <w:rStyle w:val="Emphasis"/>
        </w:rPr>
        <w:t xml:space="preserve"> 1</w:t>
      </w:r>
      <w:r w:rsidR="008A6EFB" w:rsidRPr="006F330B">
        <w:rPr>
          <w:rStyle w:val="Emphasis"/>
        </w:rPr>
        <w:t>)</w:t>
      </w:r>
      <w:r w:rsidR="008A6EFB" w:rsidRPr="00B9033C">
        <w:t>, supplemented funding through adjustments to recurrent, capital and targeted expenditure for primary and secondary non</w:t>
      </w:r>
      <w:r w:rsidR="001C23A5" w:rsidRPr="00B9033C">
        <w:noBreakHyphen/>
      </w:r>
      <w:r w:rsidR="008A6EFB" w:rsidRPr="00B9033C">
        <w:t xml:space="preserve">government schools in line with the changes in the Average Government Schools </w:t>
      </w:r>
      <w:r w:rsidR="0004630B" w:rsidRPr="00B9033C">
        <w:t xml:space="preserve">Recurrent </w:t>
      </w:r>
      <w:r w:rsidR="008A6EFB" w:rsidRPr="00B9033C">
        <w:t>Costs.</w:t>
      </w:r>
    </w:p>
    <w:p w:rsidR="00F11ED3" w:rsidRPr="00213E72" w:rsidRDefault="00F11ED3" w:rsidP="0048108E">
      <w:r w:rsidRPr="00213E72">
        <w:t>Section 172 of the Act requires the Minister to cause a report with respect to the financial assistance granted under the Act to be laid before each House of Parliament as soon as practicable after 30 June</w:t>
      </w:r>
      <w:r w:rsidR="008E480D" w:rsidRPr="00213E72">
        <w:t xml:space="preserve"> following a </w:t>
      </w:r>
      <w:r w:rsidR="00CB32DE">
        <w:t>programme</w:t>
      </w:r>
      <w:r w:rsidR="008E480D" w:rsidRPr="00213E72">
        <w:t xml:space="preserve"> year</w:t>
      </w:r>
      <w:r w:rsidRPr="00213E72">
        <w:t xml:space="preserve">. This report provides a detailed breakdown of expenditure in </w:t>
      </w:r>
      <w:r w:rsidR="00422100">
        <w:t>201</w:t>
      </w:r>
      <w:r w:rsidR="008558BC">
        <w:t>2</w:t>
      </w:r>
      <w:r w:rsidR="001D25CD" w:rsidRPr="00213E72">
        <w:t xml:space="preserve"> </w:t>
      </w:r>
      <w:r w:rsidRPr="00213E72">
        <w:t xml:space="preserve">from funds appropriated by the Act and a brief description of how funding was allocated in line with the objectives for Australian Government </w:t>
      </w:r>
      <w:r w:rsidR="00CB32DE">
        <w:t>programme</w:t>
      </w:r>
      <w:r w:rsidRPr="00213E72">
        <w:t>s for</w:t>
      </w:r>
      <w:r w:rsidR="0055533F" w:rsidRPr="00213E72">
        <w:t xml:space="preserve"> non</w:t>
      </w:r>
      <w:r w:rsidR="00F711C9">
        <w:t>-</w:t>
      </w:r>
      <w:r w:rsidR="0055533F" w:rsidRPr="00213E72">
        <w:t>government</w:t>
      </w:r>
      <w:r w:rsidRPr="00213E72">
        <w:t xml:space="preserve"> schools.</w:t>
      </w:r>
    </w:p>
    <w:p w:rsidR="00F11ED3" w:rsidRPr="00213E72" w:rsidRDefault="00F11ED3" w:rsidP="0048108E">
      <w:r w:rsidRPr="00213E72">
        <w:t xml:space="preserve">Funding is provided by the Australian Government as part of its contribution to the national effort for Australian schooling and the </w:t>
      </w:r>
      <w:r w:rsidR="00CB32DE">
        <w:t>programme</w:t>
      </w:r>
      <w:r w:rsidRPr="00213E72">
        <w:t xml:space="preserve">s represent an integrated approach by the Government to the funding of primary and secondary education. Not all amounts in this report have been the subject of </w:t>
      </w:r>
      <w:r w:rsidR="00EE28DD" w:rsidRPr="00213E72">
        <w:t xml:space="preserve">acquittal </w:t>
      </w:r>
      <w:r w:rsidRPr="00213E72">
        <w:t>certifi</w:t>
      </w:r>
      <w:r w:rsidR="00EE28DD" w:rsidRPr="00213E72">
        <w:t>cates</w:t>
      </w:r>
      <w:r w:rsidRPr="00213E72">
        <w:t xml:space="preserve"> at this time. </w:t>
      </w:r>
      <w:r w:rsidR="0074016B" w:rsidRPr="00213E72">
        <w:t xml:space="preserve"> </w:t>
      </w:r>
      <w:r w:rsidRPr="00213E72">
        <w:t xml:space="preserve">Due to timing, some figures in this report may differ in later financial reports issued by the </w:t>
      </w:r>
      <w:r w:rsidR="006E5AD0">
        <w:t>d</w:t>
      </w:r>
      <w:r w:rsidRPr="00213E72">
        <w:t>epartment.</w:t>
      </w:r>
      <w:r w:rsidR="00461751" w:rsidRPr="00213E72">
        <w:t xml:space="preserve"> </w:t>
      </w:r>
      <w:r w:rsidRPr="00213E72">
        <w:t>Figures in this report may not add to totals due to rounding or truncating and the amounts shown exclude GST.</w:t>
      </w:r>
    </w:p>
    <w:p w:rsidR="00F11ED3" w:rsidRPr="00213E72" w:rsidRDefault="00F11ED3" w:rsidP="00716747">
      <w:pPr>
        <w:pStyle w:val="Heading1"/>
      </w:pPr>
      <w:bookmarkStart w:id="7" w:name="_Toc188345354"/>
      <w:bookmarkEnd w:id="2"/>
      <w:bookmarkEnd w:id="3"/>
      <w:r w:rsidRPr="00213E72">
        <w:br w:type="page"/>
      </w:r>
      <w:bookmarkStart w:id="8" w:name="_Toc414963243"/>
      <w:bookmarkStart w:id="9" w:name="_Toc414963354"/>
      <w:bookmarkStart w:id="10" w:name="_Toc414969247"/>
      <w:r w:rsidRPr="00213E72">
        <w:lastRenderedPageBreak/>
        <w:t>FORMS OF FINANCIAL ASSISTANCE</w:t>
      </w:r>
      <w:bookmarkEnd w:id="7"/>
      <w:bookmarkEnd w:id="8"/>
      <w:bookmarkEnd w:id="9"/>
      <w:bookmarkEnd w:id="10"/>
    </w:p>
    <w:p w:rsidR="00F11ED3" w:rsidRPr="00213E72" w:rsidRDefault="00F11ED3" w:rsidP="006F330B">
      <w:pPr>
        <w:pStyle w:val="Heading1"/>
      </w:pPr>
      <w:bookmarkStart w:id="11" w:name="_Toc188345355"/>
      <w:bookmarkStart w:id="12" w:name="_Toc414963244"/>
      <w:bookmarkStart w:id="13" w:name="_Toc414963355"/>
      <w:bookmarkStart w:id="14" w:name="_Toc414969248"/>
      <w:r w:rsidRPr="00213E72">
        <w:t xml:space="preserve">RECURRENT GRANTS </w:t>
      </w:r>
      <w:bookmarkEnd w:id="11"/>
      <w:r w:rsidR="00CB32DE">
        <w:t>PROGRAMME</w:t>
      </w:r>
      <w:r w:rsidR="00F50991" w:rsidRPr="00213E72">
        <w:t xml:space="preserve"> </w:t>
      </w:r>
      <w:r w:rsidR="003C4185" w:rsidRPr="00213E72">
        <w:t>– Non Government Schools</w:t>
      </w:r>
      <w:bookmarkEnd w:id="12"/>
      <w:bookmarkEnd w:id="13"/>
      <w:bookmarkEnd w:id="14"/>
    </w:p>
    <w:p w:rsidR="00F11ED3" w:rsidRPr="00213E72" w:rsidRDefault="00F11ED3" w:rsidP="0048108E">
      <w:r w:rsidRPr="00213E72">
        <w:t xml:space="preserve">The objective of the Recurrent Grants </w:t>
      </w:r>
      <w:r w:rsidR="00CB32DE">
        <w:t>Programme</w:t>
      </w:r>
      <w:r w:rsidRPr="00213E72">
        <w:t xml:space="preserve"> </w:t>
      </w:r>
      <w:r w:rsidR="00B910B6">
        <w:t>was</w:t>
      </w:r>
      <w:r w:rsidRPr="00213E72">
        <w:t xml:space="preserve"> to help non-government schools with the recurrent costs of school education so they can offer students educational </w:t>
      </w:r>
      <w:r w:rsidR="00CB32DE">
        <w:t>programme</w:t>
      </w:r>
      <w:r w:rsidRPr="00213E72">
        <w:t>s directed towards the achievement of the Australian Government’s priorities for schooling.</w:t>
      </w:r>
    </w:p>
    <w:p w:rsidR="00F11ED3" w:rsidRPr="00213E72" w:rsidRDefault="00F11ED3" w:rsidP="0048108E">
      <w:r w:rsidRPr="00213E72">
        <w:t xml:space="preserve">Those priorities are aimed at ensuring all students are </w:t>
      </w:r>
      <w:r w:rsidR="000B6B1D">
        <w:t>able</w:t>
      </w:r>
      <w:r w:rsidRPr="00213E72">
        <w:t xml:space="preserve"> to realise their full potential, so that they leave school with the knowledge, skills and attitudes appropriate to their post-school destinations, and they have a sound foundation for undertaking further education and training, participating successfully in the workforce, and contributing to and benefiting from Australian society.</w:t>
      </w:r>
    </w:p>
    <w:p w:rsidR="00F11ED3" w:rsidRPr="00213E72" w:rsidRDefault="00F11ED3" w:rsidP="0048108E">
      <w:r w:rsidRPr="00213E72">
        <w:t>Those priorities also include support for the principles of access, choice, equity and excellence in schooling by encouraging the provision of a strong, viable and diverse selection of government and non-government schools from which parents can choose.</w:t>
      </w:r>
    </w:p>
    <w:p w:rsidR="00F11ED3" w:rsidRPr="00213E72" w:rsidRDefault="00F11ED3" w:rsidP="0048108E">
      <w:r w:rsidRPr="00213E72">
        <w:t xml:space="preserve">Under agreements between the Australian Government and non-government school authorities, the authorities </w:t>
      </w:r>
      <w:r w:rsidR="00B910B6">
        <w:t>were</w:t>
      </w:r>
      <w:r w:rsidRPr="00213E72">
        <w:t xml:space="preserve"> required to meet educational accountability obligations by complying with the requirements set out in the Administrative Guidelines: </w:t>
      </w:r>
      <w:r w:rsidRPr="006F330B">
        <w:rPr>
          <w:rStyle w:val="Emphasis"/>
        </w:rPr>
        <w:t xml:space="preserve">Commonwealth </w:t>
      </w:r>
      <w:r w:rsidR="00CB32DE" w:rsidRPr="006F330B">
        <w:rPr>
          <w:rStyle w:val="Emphasis"/>
        </w:rPr>
        <w:t>Programme</w:t>
      </w:r>
      <w:r w:rsidRPr="006F330B">
        <w:rPr>
          <w:rStyle w:val="Emphasis"/>
        </w:rPr>
        <w:t>s for Non</w:t>
      </w:r>
      <w:r w:rsidR="003606A4" w:rsidRPr="006F330B">
        <w:rPr>
          <w:rStyle w:val="Emphasis"/>
        </w:rPr>
        <w:noBreakHyphen/>
      </w:r>
      <w:r w:rsidRPr="006F330B">
        <w:rPr>
          <w:rStyle w:val="Emphasis"/>
        </w:rPr>
        <w:t>Government Schools, 2009 to 201</w:t>
      </w:r>
      <w:r w:rsidR="00F8214D" w:rsidRPr="006F330B">
        <w:rPr>
          <w:rStyle w:val="Emphasis"/>
        </w:rPr>
        <w:t>3/14</w:t>
      </w:r>
      <w:r w:rsidRPr="00213E72">
        <w:t>.  The agreements require</w:t>
      </w:r>
      <w:r w:rsidR="00B910B6">
        <w:t>d</w:t>
      </w:r>
      <w:r w:rsidRPr="00213E72">
        <w:t xml:space="preserve"> authorities to participate in an annual National Report on Schooling in Australia, including participating in sample studies and </w:t>
      </w:r>
      <w:r w:rsidR="00CB32DE">
        <w:t>programme</w:t>
      </w:r>
      <w:r w:rsidRPr="00213E72">
        <w:t xml:space="preserve"> evaluations as required by the Australian Government.</w:t>
      </w:r>
    </w:p>
    <w:p w:rsidR="00F11ED3" w:rsidRPr="00213E72" w:rsidRDefault="00F11ED3" w:rsidP="006F330B">
      <w:pPr>
        <w:pStyle w:val="Heading2"/>
      </w:pPr>
      <w:bookmarkStart w:id="15" w:name="_Toc189973340"/>
      <w:bookmarkStart w:id="16" w:name="_Toc414963245"/>
      <w:bookmarkStart w:id="17" w:name="_Toc414963356"/>
      <w:bookmarkStart w:id="18" w:name="_Toc414969249"/>
      <w:r w:rsidRPr="00213E72">
        <w:t>Socioeconomic Status (SES) Funding</w:t>
      </w:r>
      <w:bookmarkEnd w:id="15"/>
      <w:bookmarkEnd w:id="16"/>
      <w:bookmarkEnd w:id="17"/>
      <w:bookmarkEnd w:id="18"/>
      <w:r w:rsidRPr="00213E72">
        <w:t xml:space="preserve"> </w:t>
      </w:r>
    </w:p>
    <w:p w:rsidR="00F11ED3" w:rsidRPr="00213E72" w:rsidRDefault="00F11ED3" w:rsidP="0048108E">
      <w:r w:rsidRPr="00213E72">
        <w:t xml:space="preserve">The SES arrangements involve the linking of student residential address data to the </w:t>
      </w:r>
      <w:r w:rsidRPr="00D215B1">
        <w:t>2006</w:t>
      </w:r>
      <w:r w:rsidRPr="00213E72">
        <w:t xml:space="preserve"> Australian Bureau of Statistics (ABS) national Census data to obtain a measure of the capacity of the school community to support its school. The SES Data Collection of student addresses was undertaken by the </w:t>
      </w:r>
      <w:r w:rsidR="006E5AD0">
        <w:t>d</w:t>
      </w:r>
      <w:r w:rsidRPr="00213E72">
        <w:t>epartment in 2007.  For the 2009</w:t>
      </w:r>
      <w:r w:rsidR="003561F0" w:rsidRPr="00213E72">
        <w:t xml:space="preserve"> to </w:t>
      </w:r>
      <w:r w:rsidRPr="00213E72">
        <w:t>201</w:t>
      </w:r>
      <w:r w:rsidR="006E4076" w:rsidRPr="00213E72">
        <w:t>3</w:t>
      </w:r>
      <w:r w:rsidRPr="00213E72">
        <w:t xml:space="preserve"> funding </w:t>
      </w:r>
      <w:r w:rsidR="006E4076" w:rsidRPr="00213E72">
        <w:t>period</w:t>
      </w:r>
      <w:r w:rsidRPr="00213E72">
        <w:t>, all non-government schools are funded by the Australian Government under the SES funding arrangements</w:t>
      </w:r>
      <w:r w:rsidR="006E4076" w:rsidRPr="00213E72">
        <w:t xml:space="preserve">. These schools </w:t>
      </w:r>
      <w:r w:rsidRPr="00213E72">
        <w:t>are:</w:t>
      </w:r>
    </w:p>
    <w:p w:rsidR="00F11ED3" w:rsidRPr="00213E72" w:rsidRDefault="006E4076" w:rsidP="00E14CF8">
      <w:pPr>
        <w:pStyle w:val="ListParagraph"/>
      </w:pPr>
      <w:r w:rsidRPr="00213E72">
        <w:t>SES-</w:t>
      </w:r>
      <w:r w:rsidR="00F11ED3" w:rsidRPr="00213E72">
        <w:t>funded and have their funding entitlements assessed according to the SES of their school community</w:t>
      </w:r>
      <w:r w:rsidRPr="00213E72">
        <w:t>; or</w:t>
      </w:r>
    </w:p>
    <w:p w:rsidR="00F11ED3" w:rsidRPr="00213E72" w:rsidRDefault="00F11ED3" w:rsidP="00E14CF8">
      <w:pPr>
        <w:pStyle w:val="ListParagraph"/>
      </w:pPr>
      <w:r w:rsidRPr="00213E72">
        <w:t>funding maintained and have their funding entitlements preserved in real terms at their year 2000 (in the case of independent schools) or 2004 (in the case of Catholic systemic schools) funding levels</w:t>
      </w:r>
      <w:r w:rsidR="00461751" w:rsidRPr="00213E72">
        <w:t xml:space="preserve">, </w:t>
      </w:r>
      <w:r w:rsidRPr="00213E72">
        <w:t>or</w:t>
      </w:r>
    </w:p>
    <w:p w:rsidR="00F11ED3" w:rsidRPr="00213E72" w:rsidRDefault="00F11ED3" w:rsidP="00E14CF8">
      <w:pPr>
        <w:pStyle w:val="ListParagraph"/>
      </w:pPr>
      <w:proofErr w:type="gramStart"/>
      <w:r w:rsidRPr="00213E72">
        <w:t>funding</w:t>
      </w:r>
      <w:proofErr w:type="gramEnd"/>
      <w:r w:rsidRPr="00213E72">
        <w:t xml:space="preserve"> guaranteed and have their 2008 per capita funding amounts frozen until </w:t>
      </w:r>
      <w:r w:rsidR="00D92BE4" w:rsidRPr="00213E72">
        <w:t xml:space="preserve">the value of </w:t>
      </w:r>
      <w:r w:rsidRPr="00213E72">
        <w:t>th</w:t>
      </w:r>
      <w:r w:rsidR="001C7E64" w:rsidRPr="00213E72">
        <w:t xml:space="preserve">is amount </w:t>
      </w:r>
      <w:r w:rsidR="00D92BE4" w:rsidRPr="00213E72">
        <w:t xml:space="preserve">is less than </w:t>
      </w:r>
      <w:r w:rsidRPr="00213E72">
        <w:t>the funding associated with their 2009</w:t>
      </w:r>
      <w:r w:rsidR="003561F0" w:rsidRPr="00213E72">
        <w:t xml:space="preserve"> to </w:t>
      </w:r>
      <w:r w:rsidRPr="00213E72">
        <w:t>201</w:t>
      </w:r>
      <w:r w:rsidR="006E4076" w:rsidRPr="00213E72">
        <w:t>3</w:t>
      </w:r>
      <w:r w:rsidRPr="00213E72">
        <w:t xml:space="preserve"> SES score.</w:t>
      </w:r>
    </w:p>
    <w:p w:rsidR="00F11ED3" w:rsidRPr="00213E72" w:rsidRDefault="00F11ED3" w:rsidP="0048108E">
      <w:r w:rsidRPr="002025C0">
        <w:t xml:space="preserve">Table 1 </w:t>
      </w:r>
      <w:proofErr w:type="gramStart"/>
      <w:r w:rsidRPr="002025C0">
        <w:t>sets</w:t>
      </w:r>
      <w:proofErr w:type="gramEnd"/>
      <w:r w:rsidRPr="002025C0">
        <w:t xml:space="preserve"> out the SES funding levels for non-government per capita grants in </w:t>
      </w:r>
      <w:r w:rsidR="001D25CD" w:rsidRPr="002025C0">
        <w:t>201</w:t>
      </w:r>
      <w:r w:rsidR="0034385B" w:rsidRPr="002025C0">
        <w:t>2</w:t>
      </w:r>
      <w:r w:rsidRPr="002025C0">
        <w:t>. Table</w:t>
      </w:r>
      <w:r w:rsidR="006E4076" w:rsidRPr="002025C0">
        <w:t> </w:t>
      </w:r>
      <w:r w:rsidRPr="002025C0">
        <w:t xml:space="preserve">2 sets out the </w:t>
      </w:r>
      <w:r w:rsidR="00EA5FB0" w:rsidRPr="002025C0">
        <w:t>y</w:t>
      </w:r>
      <w:r w:rsidRPr="002025C0">
        <w:t xml:space="preserve">ear 2000 </w:t>
      </w:r>
      <w:r w:rsidR="006E4076" w:rsidRPr="002025C0">
        <w:t>n</w:t>
      </w:r>
      <w:r w:rsidRPr="002025C0">
        <w:t>on-</w:t>
      </w:r>
      <w:r w:rsidR="006E4076" w:rsidRPr="002025C0">
        <w:t>g</w:t>
      </w:r>
      <w:r w:rsidRPr="002025C0">
        <w:t xml:space="preserve">overnment per capita rates for </w:t>
      </w:r>
      <w:r w:rsidR="001D25CD" w:rsidRPr="002025C0">
        <w:t>201</w:t>
      </w:r>
      <w:r w:rsidR="002B5411" w:rsidRPr="002025C0">
        <w:t>2</w:t>
      </w:r>
      <w:r w:rsidR="001D25CD" w:rsidRPr="002025C0">
        <w:t xml:space="preserve"> </w:t>
      </w:r>
      <w:r w:rsidRPr="002025C0">
        <w:t>for independent school</w:t>
      </w:r>
      <w:r w:rsidR="008413B8" w:rsidRPr="002025C0">
        <w:t>s which are funding maintained.</w:t>
      </w:r>
    </w:p>
    <w:p w:rsidR="007B6BD6" w:rsidRPr="00213E72" w:rsidRDefault="00EA5FB0" w:rsidP="0048108E">
      <w:r w:rsidRPr="00213E72">
        <w:t>Total f</w:t>
      </w:r>
      <w:r w:rsidR="00F11ED3" w:rsidRPr="00213E72">
        <w:t xml:space="preserve">unding of </w:t>
      </w:r>
      <w:r w:rsidR="00080EFD" w:rsidRPr="00213E72">
        <w:t>$</w:t>
      </w:r>
      <w:r w:rsidR="00BD52C4">
        <w:t>7</w:t>
      </w:r>
      <w:r w:rsidR="00835D63">
        <w:t>, 2</w:t>
      </w:r>
      <w:r w:rsidR="00BD52C4">
        <w:t>57</w:t>
      </w:r>
      <w:r w:rsidR="00835D63">
        <w:t>,</w:t>
      </w:r>
      <w:r w:rsidR="008901E1">
        <w:t>658</w:t>
      </w:r>
      <w:r w:rsidR="00835D63">
        <w:t>,</w:t>
      </w:r>
      <w:r w:rsidR="008901E1">
        <w:t>004</w:t>
      </w:r>
      <w:r w:rsidR="00F11ED3" w:rsidRPr="00213E72">
        <w:t xml:space="preserve"> was distributed to non-government schools on a per capita basis.  Funds were made available under Sections 39</w:t>
      </w:r>
      <w:r w:rsidR="00FC3ED9" w:rsidRPr="00213E72">
        <w:t xml:space="preserve">, 41, 44, 48, 50 and 54 of the Act. </w:t>
      </w:r>
    </w:p>
    <w:p w:rsidR="00F11ED3" w:rsidRPr="00213E72" w:rsidRDefault="00F11ED3" w:rsidP="008E4FAA">
      <w:pPr>
        <w:pStyle w:val="Heading3"/>
      </w:pPr>
      <w:bookmarkStart w:id="19" w:name="_Toc414963246"/>
      <w:r w:rsidRPr="002025C0">
        <w:lastRenderedPageBreak/>
        <w:t xml:space="preserve">Table 1:  Non-government per capita rates for </w:t>
      </w:r>
      <w:r w:rsidR="001D25CD" w:rsidRPr="002025C0">
        <w:t>201</w:t>
      </w:r>
      <w:r w:rsidR="0034385B" w:rsidRPr="002025C0">
        <w:t>2</w:t>
      </w:r>
      <w:r w:rsidR="001D25CD" w:rsidRPr="002025C0">
        <w:t xml:space="preserve"> </w:t>
      </w:r>
      <w:r w:rsidRPr="002025C0">
        <w:t>SES funding levels</w:t>
      </w:r>
      <w:bookmarkEnd w:id="19"/>
    </w:p>
    <w:tbl>
      <w:tblPr>
        <w:tblStyle w:val="Table"/>
        <w:tblW w:w="0" w:type="auto"/>
        <w:tblLook w:val="0020" w:firstRow="1" w:lastRow="0" w:firstColumn="0" w:lastColumn="0" w:noHBand="0" w:noVBand="0"/>
        <w:tblDescription w:val="Table 1:  Non-government per capita rates for 2012 SES funding levels"/>
      </w:tblPr>
      <w:tblGrid>
        <w:gridCol w:w="1364"/>
        <w:gridCol w:w="1774"/>
        <w:gridCol w:w="1267"/>
        <w:gridCol w:w="2407"/>
      </w:tblGrid>
      <w:tr w:rsidR="00932D75" w:rsidRPr="008B3DF7" w:rsidTr="008B3DF7">
        <w:trPr>
          <w:trHeight w:val="567"/>
        </w:trPr>
        <w:tc>
          <w:tcPr>
            <w:tcW w:w="1001" w:type="pct"/>
            <w:hideMark/>
          </w:tcPr>
          <w:p w:rsidR="00932D75" w:rsidRPr="008B3DF7" w:rsidRDefault="00932D75" w:rsidP="008B3DF7">
            <w:pPr>
              <w:pStyle w:val="RatesTable"/>
            </w:pPr>
            <w:bookmarkStart w:id="20" w:name="OLE_LINK7"/>
            <w:r w:rsidRPr="008B3DF7">
              <w:t>SES score</w:t>
            </w:r>
          </w:p>
        </w:tc>
        <w:tc>
          <w:tcPr>
            <w:tcW w:w="1302" w:type="pct"/>
            <w:hideMark/>
          </w:tcPr>
          <w:p w:rsidR="00932D75" w:rsidRPr="008B3DF7" w:rsidRDefault="00932D75" w:rsidP="008B3DF7">
            <w:pPr>
              <w:pStyle w:val="RatesTable"/>
            </w:pPr>
            <w:r w:rsidRPr="008B3DF7">
              <w:t xml:space="preserve">SES funding level </w:t>
            </w:r>
            <w:r w:rsidRPr="008B3DF7">
              <w:br/>
              <w:t>(% of AGSRC)</w:t>
            </w:r>
          </w:p>
        </w:tc>
        <w:tc>
          <w:tcPr>
            <w:tcW w:w="930" w:type="pct"/>
            <w:hideMark/>
          </w:tcPr>
          <w:p w:rsidR="00932D75" w:rsidRPr="008B3DF7" w:rsidRDefault="00932D75" w:rsidP="008B3DF7">
            <w:pPr>
              <w:pStyle w:val="RatesTable"/>
            </w:pPr>
            <w:r w:rsidRPr="008B3DF7">
              <w:t xml:space="preserve">Primary rate </w:t>
            </w:r>
            <w:r w:rsidRPr="008B3DF7">
              <w:br/>
              <w:t>per student $</w:t>
            </w:r>
          </w:p>
        </w:tc>
        <w:tc>
          <w:tcPr>
            <w:tcW w:w="1767" w:type="pct"/>
            <w:hideMark/>
          </w:tcPr>
          <w:p w:rsidR="00932D75" w:rsidRPr="008B3DF7" w:rsidRDefault="00932D75" w:rsidP="008B3DF7">
            <w:pPr>
              <w:pStyle w:val="RatesTable"/>
            </w:pPr>
            <w:r w:rsidRPr="008B3DF7">
              <w:t xml:space="preserve">Secondary rate </w:t>
            </w:r>
            <w:r w:rsidRPr="008B3DF7">
              <w:br/>
              <w:t>per student $</w:t>
            </w:r>
          </w:p>
        </w:tc>
      </w:tr>
      <w:tr w:rsidR="008B3DF7" w:rsidRPr="008B3DF7" w:rsidTr="008B3DF7">
        <w:trPr>
          <w:trHeight w:val="255"/>
        </w:trPr>
        <w:tc>
          <w:tcPr>
            <w:tcW w:w="1001" w:type="pct"/>
          </w:tcPr>
          <w:p w:rsidR="008B3DF7" w:rsidRPr="008B3DF7" w:rsidRDefault="008B3DF7" w:rsidP="008B3DF7">
            <w:pPr>
              <w:pStyle w:val="RatesTable"/>
            </w:pPr>
            <w:r w:rsidRPr="008B3DF7">
              <w:t>130 or greater</w:t>
            </w:r>
          </w:p>
        </w:tc>
        <w:tc>
          <w:tcPr>
            <w:tcW w:w="1302" w:type="pct"/>
          </w:tcPr>
          <w:p w:rsidR="008B3DF7" w:rsidRPr="008B3DF7" w:rsidRDefault="008B3DF7" w:rsidP="008B3DF7">
            <w:pPr>
              <w:pStyle w:val="RatesTable"/>
            </w:pPr>
            <w:r>
              <w:t>13.7</w:t>
            </w:r>
          </w:p>
        </w:tc>
        <w:tc>
          <w:tcPr>
            <w:tcW w:w="930" w:type="pct"/>
          </w:tcPr>
          <w:p w:rsidR="008B3DF7" w:rsidRPr="008B3DF7" w:rsidRDefault="008B3DF7" w:rsidP="008B3DF7">
            <w:pPr>
              <w:pStyle w:val="RatesTable"/>
            </w:pPr>
            <w:r>
              <w:t>1,378</w:t>
            </w:r>
          </w:p>
        </w:tc>
        <w:tc>
          <w:tcPr>
            <w:tcW w:w="1767" w:type="pct"/>
          </w:tcPr>
          <w:p w:rsidR="008B3DF7" w:rsidRPr="008B3DF7" w:rsidRDefault="008B3DF7" w:rsidP="008B3DF7">
            <w:pPr>
              <w:pStyle w:val="RatesTable"/>
            </w:pPr>
            <w:r>
              <w:t>1,705</w:t>
            </w:r>
          </w:p>
        </w:tc>
      </w:tr>
      <w:tr w:rsidR="00932D75" w:rsidRPr="008B3DF7" w:rsidTr="008B3DF7">
        <w:trPr>
          <w:trHeight w:val="255"/>
        </w:trPr>
        <w:tc>
          <w:tcPr>
            <w:tcW w:w="1001" w:type="pct"/>
            <w:hideMark/>
          </w:tcPr>
          <w:p w:rsidR="00932D75" w:rsidRPr="008B3DF7" w:rsidRDefault="00932D75" w:rsidP="008B3DF7">
            <w:pPr>
              <w:pStyle w:val="RatesTable"/>
            </w:pPr>
            <w:r w:rsidRPr="008B3DF7">
              <w:t>129</w:t>
            </w:r>
          </w:p>
        </w:tc>
        <w:tc>
          <w:tcPr>
            <w:tcW w:w="1302" w:type="pct"/>
            <w:hideMark/>
          </w:tcPr>
          <w:p w:rsidR="00932D75" w:rsidRPr="008B3DF7" w:rsidRDefault="00932D75" w:rsidP="008B3DF7">
            <w:pPr>
              <w:pStyle w:val="RatesTable"/>
            </w:pPr>
            <w:r w:rsidRPr="008B3DF7">
              <w:t>15</w:t>
            </w:r>
          </w:p>
        </w:tc>
        <w:tc>
          <w:tcPr>
            <w:tcW w:w="930" w:type="pct"/>
            <w:hideMark/>
          </w:tcPr>
          <w:p w:rsidR="00932D75" w:rsidRPr="008B3DF7" w:rsidRDefault="00932D75" w:rsidP="008B3DF7">
            <w:pPr>
              <w:pStyle w:val="RatesTable"/>
            </w:pPr>
            <w:r w:rsidRPr="008B3DF7">
              <w:t>1,509</w:t>
            </w:r>
          </w:p>
        </w:tc>
        <w:tc>
          <w:tcPr>
            <w:tcW w:w="1767" w:type="pct"/>
            <w:hideMark/>
          </w:tcPr>
          <w:p w:rsidR="00932D75" w:rsidRPr="008B3DF7" w:rsidRDefault="00932D75" w:rsidP="008B3DF7">
            <w:pPr>
              <w:pStyle w:val="RatesTable"/>
            </w:pPr>
            <w:r w:rsidRPr="008B3DF7">
              <w:t>1,867</w:t>
            </w:r>
          </w:p>
        </w:tc>
      </w:tr>
      <w:tr w:rsidR="00932D75" w:rsidRPr="008B3DF7" w:rsidTr="008B3DF7">
        <w:trPr>
          <w:trHeight w:val="255"/>
        </w:trPr>
        <w:tc>
          <w:tcPr>
            <w:tcW w:w="1001" w:type="pct"/>
            <w:hideMark/>
          </w:tcPr>
          <w:p w:rsidR="00932D75" w:rsidRPr="008B3DF7" w:rsidRDefault="00932D75" w:rsidP="008B3DF7">
            <w:pPr>
              <w:pStyle w:val="RatesTable"/>
            </w:pPr>
            <w:r w:rsidRPr="008B3DF7">
              <w:t>128</w:t>
            </w:r>
          </w:p>
        </w:tc>
        <w:tc>
          <w:tcPr>
            <w:tcW w:w="1302" w:type="pct"/>
            <w:hideMark/>
          </w:tcPr>
          <w:p w:rsidR="00932D75" w:rsidRPr="008B3DF7" w:rsidRDefault="00932D75" w:rsidP="008B3DF7">
            <w:pPr>
              <w:pStyle w:val="RatesTable"/>
            </w:pPr>
            <w:r w:rsidRPr="008B3DF7">
              <w:t>16.2</w:t>
            </w:r>
          </w:p>
        </w:tc>
        <w:tc>
          <w:tcPr>
            <w:tcW w:w="930" w:type="pct"/>
            <w:hideMark/>
          </w:tcPr>
          <w:p w:rsidR="00932D75" w:rsidRPr="008B3DF7" w:rsidRDefault="00932D75" w:rsidP="008B3DF7">
            <w:pPr>
              <w:pStyle w:val="RatesTable"/>
            </w:pPr>
            <w:r w:rsidRPr="008B3DF7">
              <w:t>1,630</w:t>
            </w:r>
          </w:p>
        </w:tc>
        <w:tc>
          <w:tcPr>
            <w:tcW w:w="1767" w:type="pct"/>
            <w:hideMark/>
          </w:tcPr>
          <w:p w:rsidR="00932D75" w:rsidRPr="008B3DF7" w:rsidRDefault="00932D75" w:rsidP="008B3DF7">
            <w:pPr>
              <w:pStyle w:val="RatesTable"/>
            </w:pPr>
            <w:r w:rsidRPr="008B3DF7">
              <w:t>2,017</w:t>
            </w:r>
          </w:p>
        </w:tc>
      </w:tr>
      <w:tr w:rsidR="00932D75" w:rsidRPr="008B3DF7" w:rsidTr="008B3DF7">
        <w:trPr>
          <w:trHeight w:val="255"/>
        </w:trPr>
        <w:tc>
          <w:tcPr>
            <w:tcW w:w="1001" w:type="pct"/>
            <w:hideMark/>
          </w:tcPr>
          <w:p w:rsidR="00932D75" w:rsidRPr="008B3DF7" w:rsidRDefault="00932D75" w:rsidP="008B3DF7">
            <w:pPr>
              <w:pStyle w:val="RatesTable"/>
            </w:pPr>
            <w:r w:rsidRPr="008B3DF7">
              <w:t>127</w:t>
            </w:r>
          </w:p>
        </w:tc>
        <w:tc>
          <w:tcPr>
            <w:tcW w:w="1302" w:type="pct"/>
            <w:hideMark/>
          </w:tcPr>
          <w:p w:rsidR="00932D75" w:rsidRPr="008B3DF7" w:rsidRDefault="00932D75" w:rsidP="008B3DF7">
            <w:pPr>
              <w:pStyle w:val="RatesTable"/>
            </w:pPr>
            <w:r w:rsidRPr="008B3DF7">
              <w:t>17.5</w:t>
            </w:r>
          </w:p>
        </w:tc>
        <w:tc>
          <w:tcPr>
            <w:tcW w:w="930" w:type="pct"/>
            <w:hideMark/>
          </w:tcPr>
          <w:p w:rsidR="00932D75" w:rsidRPr="008B3DF7" w:rsidRDefault="00932D75" w:rsidP="008B3DF7">
            <w:pPr>
              <w:pStyle w:val="RatesTable"/>
            </w:pPr>
            <w:r w:rsidRPr="008B3DF7">
              <w:t>1,760</w:t>
            </w:r>
          </w:p>
        </w:tc>
        <w:tc>
          <w:tcPr>
            <w:tcW w:w="1767" w:type="pct"/>
            <w:hideMark/>
          </w:tcPr>
          <w:p w:rsidR="00932D75" w:rsidRPr="008B3DF7" w:rsidRDefault="00932D75" w:rsidP="008B3DF7">
            <w:pPr>
              <w:pStyle w:val="RatesTable"/>
            </w:pPr>
            <w:r w:rsidRPr="008B3DF7">
              <w:t>2,178</w:t>
            </w:r>
          </w:p>
        </w:tc>
      </w:tr>
      <w:tr w:rsidR="00932D75" w:rsidRPr="008B3DF7" w:rsidTr="008B3DF7">
        <w:trPr>
          <w:trHeight w:val="255"/>
        </w:trPr>
        <w:tc>
          <w:tcPr>
            <w:tcW w:w="1001" w:type="pct"/>
            <w:hideMark/>
          </w:tcPr>
          <w:p w:rsidR="00932D75" w:rsidRPr="008B3DF7" w:rsidRDefault="00932D75" w:rsidP="008B3DF7">
            <w:pPr>
              <w:pStyle w:val="RatesTable"/>
            </w:pPr>
            <w:r w:rsidRPr="008B3DF7">
              <w:t>126</w:t>
            </w:r>
          </w:p>
        </w:tc>
        <w:tc>
          <w:tcPr>
            <w:tcW w:w="1302" w:type="pct"/>
            <w:hideMark/>
          </w:tcPr>
          <w:p w:rsidR="00932D75" w:rsidRPr="008B3DF7" w:rsidRDefault="00932D75" w:rsidP="008B3DF7">
            <w:pPr>
              <w:pStyle w:val="RatesTable"/>
            </w:pPr>
            <w:r w:rsidRPr="008B3DF7">
              <w:t>18.7</w:t>
            </w:r>
          </w:p>
        </w:tc>
        <w:tc>
          <w:tcPr>
            <w:tcW w:w="930" w:type="pct"/>
            <w:hideMark/>
          </w:tcPr>
          <w:p w:rsidR="00932D75" w:rsidRPr="008B3DF7" w:rsidRDefault="00932D75" w:rsidP="008B3DF7">
            <w:pPr>
              <w:pStyle w:val="RatesTable"/>
            </w:pPr>
            <w:r w:rsidRPr="008B3DF7">
              <w:t>1,881</w:t>
            </w:r>
          </w:p>
        </w:tc>
        <w:tc>
          <w:tcPr>
            <w:tcW w:w="1767" w:type="pct"/>
            <w:hideMark/>
          </w:tcPr>
          <w:p w:rsidR="00932D75" w:rsidRPr="008B3DF7" w:rsidRDefault="00932D75" w:rsidP="008B3DF7">
            <w:pPr>
              <w:pStyle w:val="RatesTable"/>
            </w:pPr>
            <w:r w:rsidRPr="008B3DF7">
              <w:t>2,328</w:t>
            </w:r>
          </w:p>
        </w:tc>
      </w:tr>
      <w:tr w:rsidR="00932D75" w:rsidRPr="008B3DF7" w:rsidTr="008B3DF7">
        <w:trPr>
          <w:trHeight w:val="255"/>
        </w:trPr>
        <w:tc>
          <w:tcPr>
            <w:tcW w:w="1001" w:type="pct"/>
            <w:hideMark/>
          </w:tcPr>
          <w:p w:rsidR="00932D75" w:rsidRPr="008B3DF7" w:rsidRDefault="00932D75" w:rsidP="008B3DF7">
            <w:pPr>
              <w:pStyle w:val="RatesTable"/>
            </w:pPr>
            <w:r w:rsidRPr="008B3DF7">
              <w:t>125</w:t>
            </w:r>
          </w:p>
        </w:tc>
        <w:tc>
          <w:tcPr>
            <w:tcW w:w="1302" w:type="pct"/>
            <w:hideMark/>
          </w:tcPr>
          <w:p w:rsidR="00932D75" w:rsidRPr="008B3DF7" w:rsidRDefault="00932D75" w:rsidP="008B3DF7">
            <w:pPr>
              <w:pStyle w:val="RatesTable"/>
            </w:pPr>
            <w:r w:rsidRPr="008B3DF7">
              <w:t>20</w:t>
            </w:r>
          </w:p>
        </w:tc>
        <w:tc>
          <w:tcPr>
            <w:tcW w:w="930" w:type="pct"/>
            <w:hideMark/>
          </w:tcPr>
          <w:p w:rsidR="00932D75" w:rsidRPr="008B3DF7" w:rsidRDefault="00932D75" w:rsidP="008B3DF7">
            <w:pPr>
              <w:pStyle w:val="RatesTable"/>
            </w:pPr>
            <w:r w:rsidRPr="008B3DF7">
              <w:t>2,012</w:t>
            </w:r>
          </w:p>
        </w:tc>
        <w:tc>
          <w:tcPr>
            <w:tcW w:w="1767" w:type="pct"/>
            <w:hideMark/>
          </w:tcPr>
          <w:p w:rsidR="00932D75" w:rsidRPr="008B3DF7" w:rsidRDefault="00932D75" w:rsidP="008B3DF7">
            <w:pPr>
              <w:pStyle w:val="RatesTable"/>
            </w:pPr>
            <w:r w:rsidRPr="008B3DF7">
              <w:t>2,489</w:t>
            </w:r>
          </w:p>
        </w:tc>
      </w:tr>
      <w:tr w:rsidR="00932D75" w:rsidRPr="008B3DF7" w:rsidTr="008B3DF7">
        <w:trPr>
          <w:trHeight w:val="255"/>
        </w:trPr>
        <w:tc>
          <w:tcPr>
            <w:tcW w:w="1001" w:type="pct"/>
            <w:hideMark/>
          </w:tcPr>
          <w:p w:rsidR="00932D75" w:rsidRPr="008B3DF7" w:rsidRDefault="00932D75" w:rsidP="008B3DF7">
            <w:pPr>
              <w:pStyle w:val="RatesTable"/>
            </w:pPr>
            <w:r w:rsidRPr="008B3DF7">
              <w:t>124</w:t>
            </w:r>
          </w:p>
        </w:tc>
        <w:tc>
          <w:tcPr>
            <w:tcW w:w="1302" w:type="pct"/>
            <w:hideMark/>
          </w:tcPr>
          <w:p w:rsidR="00932D75" w:rsidRPr="008B3DF7" w:rsidRDefault="00932D75" w:rsidP="008B3DF7">
            <w:pPr>
              <w:pStyle w:val="RatesTable"/>
            </w:pPr>
            <w:r w:rsidRPr="008B3DF7">
              <w:t>21.2</w:t>
            </w:r>
          </w:p>
        </w:tc>
        <w:tc>
          <w:tcPr>
            <w:tcW w:w="930" w:type="pct"/>
            <w:hideMark/>
          </w:tcPr>
          <w:p w:rsidR="00932D75" w:rsidRPr="008B3DF7" w:rsidRDefault="00932D75" w:rsidP="008B3DF7">
            <w:pPr>
              <w:pStyle w:val="RatesTable"/>
            </w:pPr>
            <w:r w:rsidRPr="008B3DF7">
              <w:t>2,133</w:t>
            </w:r>
          </w:p>
        </w:tc>
        <w:tc>
          <w:tcPr>
            <w:tcW w:w="1767" w:type="pct"/>
            <w:hideMark/>
          </w:tcPr>
          <w:p w:rsidR="00932D75" w:rsidRPr="008B3DF7" w:rsidRDefault="00932D75" w:rsidP="008B3DF7">
            <w:pPr>
              <w:pStyle w:val="RatesTable"/>
            </w:pPr>
            <w:r w:rsidRPr="008B3DF7">
              <w:t>2,639</w:t>
            </w:r>
          </w:p>
        </w:tc>
      </w:tr>
      <w:tr w:rsidR="00932D75" w:rsidRPr="008B3DF7" w:rsidTr="008B3DF7">
        <w:trPr>
          <w:trHeight w:val="255"/>
        </w:trPr>
        <w:tc>
          <w:tcPr>
            <w:tcW w:w="1001" w:type="pct"/>
            <w:hideMark/>
          </w:tcPr>
          <w:p w:rsidR="00932D75" w:rsidRPr="008B3DF7" w:rsidRDefault="00932D75" w:rsidP="008B3DF7">
            <w:pPr>
              <w:pStyle w:val="RatesTable"/>
            </w:pPr>
            <w:r w:rsidRPr="008B3DF7">
              <w:t>123</w:t>
            </w:r>
          </w:p>
        </w:tc>
        <w:tc>
          <w:tcPr>
            <w:tcW w:w="1302" w:type="pct"/>
            <w:hideMark/>
          </w:tcPr>
          <w:p w:rsidR="00932D75" w:rsidRPr="008B3DF7" w:rsidRDefault="00932D75" w:rsidP="008B3DF7">
            <w:pPr>
              <w:pStyle w:val="RatesTable"/>
            </w:pPr>
            <w:r w:rsidRPr="008B3DF7">
              <w:t>22.5</w:t>
            </w:r>
          </w:p>
        </w:tc>
        <w:tc>
          <w:tcPr>
            <w:tcW w:w="930" w:type="pct"/>
            <w:hideMark/>
          </w:tcPr>
          <w:p w:rsidR="00932D75" w:rsidRPr="008B3DF7" w:rsidRDefault="00932D75" w:rsidP="008B3DF7">
            <w:pPr>
              <w:pStyle w:val="RatesTable"/>
            </w:pPr>
            <w:r w:rsidRPr="008B3DF7">
              <w:t>2,263</w:t>
            </w:r>
          </w:p>
        </w:tc>
        <w:tc>
          <w:tcPr>
            <w:tcW w:w="1767" w:type="pct"/>
            <w:hideMark/>
          </w:tcPr>
          <w:p w:rsidR="00932D75" w:rsidRPr="008B3DF7" w:rsidRDefault="00932D75" w:rsidP="008B3DF7">
            <w:pPr>
              <w:pStyle w:val="RatesTable"/>
            </w:pPr>
            <w:r w:rsidRPr="008B3DF7">
              <w:t>2,801</w:t>
            </w:r>
          </w:p>
        </w:tc>
      </w:tr>
      <w:tr w:rsidR="00932D75" w:rsidRPr="008B3DF7" w:rsidTr="008B3DF7">
        <w:trPr>
          <w:trHeight w:val="255"/>
        </w:trPr>
        <w:tc>
          <w:tcPr>
            <w:tcW w:w="1001" w:type="pct"/>
            <w:hideMark/>
          </w:tcPr>
          <w:p w:rsidR="00932D75" w:rsidRPr="008B3DF7" w:rsidRDefault="00932D75" w:rsidP="008B3DF7">
            <w:pPr>
              <w:pStyle w:val="RatesTable"/>
            </w:pPr>
            <w:r w:rsidRPr="008B3DF7">
              <w:t>122</w:t>
            </w:r>
          </w:p>
        </w:tc>
        <w:tc>
          <w:tcPr>
            <w:tcW w:w="1302" w:type="pct"/>
            <w:hideMark/>
          </w:tcPr>
          <w:p w:rsidR="00932D75" w:rsidRPr="008B3DF7" w:rsidRDefault="00932D75" w:rsidP="008B3DF7">
            <w:pPr>
              <w:pStyle w:val="RatesTable"/>
            </w:pPr>
            <w:r w:rsidRPr="008B3DF7">
              <w:t>23.7</w:t>
            </w:r>
          </w:p>
        </w:tc>
        <w:tc>
          <w:tcPr>
            <w:tcW w:w="930" w:type="pct"/>
            <w:hideMark/>
          </w:tcPr>
          <w:p w:rsidR="00932D75" w:rsidRPr="008B3DF7" w:rsidRDefault="00932D75" w:rsidP="008B3DF7">
            <w:pPr>
              <w:pStyle w:val="RatesTable"/>
            </w:pPr>
            <w:r w:rsidRPr="008B3DF7">
              <w:t>2,384</w:t>
            </w:r>
          </w:p>
        </w:tc>
        <w:tc>
          <w:tcPr>
            <w:tcW w:w="1767" w:type="pct"/>
            <w:hideMark/>
          </w:tcPr>
          <w:p w:rsidR="00932D75" w:rsidRPr="008B3DF7" w:rsidRDefault="00932D75" w:rsidP="008B3DF7">
            <w:pPr>
              <w:pStyle w:val="RatesTable"/>
            </w:pPr>
            <w:r w:rsidRPr="008B3DF7">
              <w:t>2,950</w:t>
            </w:r>
          </w:p>
        </w:tc>
      </w:tr>
      <w:tr w:rsidR="00932D75" w:rsidRPr="008B3DF7" w:rsidTr="008B3DF7">
        <w:trPr>
          <w:trHeight w:val="255"/>
        </w:trPr>
        <w:tc>
          <w:tcPr>
            <w:tcW w:w="1001" w:type="pct"/>
            <w:hideMark/>
          </w:tcPr>
          <w:p w:rsidR="00932D75" w:rsidRPr="008B3DF7" w:rsidRDefault="00932D75" w:rsidP="008B3DF7">
            <w:pPr>
              <w:pStyle w:val="RatesTable"/>
            </w:pPr>
            <w:r w:rsidRPr="008B3DF7">
              <w:t>121</w:t>
            </w:r>
          </w:p>
        </w:tc>
        <w:tc>
          <w:tcPr>
            <w:tcW w:w="1302" w:type="pct"/>
            <w:hideMark/>
          </w:tcPr>
          <w:p w:rsidR="00932D75" w:rsidRPr="008B3DF7" w:rsidRDefault="00932D75" w:rsidP="008B3DF7">
            <w:pPr>
              <w:pStyle w:val="RatesTable"/>
            </w:pPr>
            <w:r w:rsidRPr="008B3DF7">
              <w:t>25</w:t>
            </w:r>
          </w:p>
        </w:tc>
        <w:tc>
          <w:tcPr>
            <w:tcW w:w="930" w:type="pct"/>
            <w:hideMark/>
          </w:tcPr>
          <w:p w:rsidR="00932D75" w:rsidRPr="008B3DF7" w:rsidRDefault="00932D75" w:rsidP="008B3DF7">
            <w:pPr>
              <w:pStyle w:val="RatesTable"/>
            </w:pPr>
            <w:r w:rsidRPr="008B3DF7">
              <w:t>2,515</w:t>
            </w:r>
          </w:p>
        </w:tc>
        <w:tc>
          <w:tcPr>
            <w:tcW w:w="1767" w:type="pct"/>
            <w:hideMark/>
          </w:tcPr>
          <w:p w:rsidR="00932D75" w:rsidRPr="008B3DF7" w:rsidRDefault="00932D75" w:rsidP="008B3DF7">
            <w:pPr>
              <w:pStyle w:val="RatesTable"/>
            </w:pPr>
            <w:r w:rsidRPr="008B3DF7">
              <w:t>3,112</w:t>
            </w:r>
          </w:p>
        </w:tc>
      </w:tr>
      <w:tr w:rsidR="00932D75" w:rsidRPr="008B3DF7" w:rsidTr="008B3DF7">
        <w:trPr>
          <w:trHeight w:val="255"/>
        </w:trPr>
        <w:tc>
          <w:tcPr>
            <w:tcW w:w="1001" w:type="pct"/>
            <w:hideMark/>
          </w:tcPr>
          <w:p w:rsidR="00932D75" w:rsidRPr="008B3DF7" w:rsidRDefault="00932D75" w:rsidP="008B3DF7">
            <w:pPr>
              <w:pStyle w:val="RatesTable"/>
            </w:pPr>
            <w:r w:rsidRPr="008B3DF7">
              <w:t>120</w:t>
            </w:r>
          </w:p>
        </w:tc>
        <w:tc>
          <w:tcPr>
            <w:tcW w:w="1302" w:type="pct"/>
            <w:hideMark/>
          </w:tcPr>
          <w:p w:rsidR="00932D75" w:rsidRPr="008B3DF7" w:rsidRDefault="00932D75" w:rsidP="008B3DF7">
            <w:pPr>
              <w:pStyle w:val="RatesTable"/>
            </w:pPr>
            <w:r w:rsidRPr="008B3DF7">
              <w:t>26.2</w:t>
            </w:r>
          </w:p>
        </w:tc>
        <w:tc>
          <w:tcPr>
            <w:tcW w:w="930" w:type="pct"/>
            <w:hideMark/>
          </w:tcPr>
          <w:p w:rsidR="00932D75" w:rsidRPr="008B3DF7" w:rsidRDefault="00932D75" w:rsidP="008B3DF7">
            <w:pPr>
              <w:pStyle w:val="RatesTable"/>
            </w:pPr>
            <w:r w:rsidRPr="008B3DF7">
              <w:t>2,635</w:t>
            </w:r>
          </w:p>
        </w:tc>
        <w:tc>
          <w:tcPr>
            <w:tcW w:w="1767" w:type="pct"/>
            <w:hideMark/>
          </w:tcPr>
          <w:p w:rsidR="00932D75" w:rsidRPr="008B3DF7" w:rsidRDefault="00932D75" w:rsidP="008B3DF7">
            <w:pPr>
              <w:pStyle w:val="RatesTable"/>
            </w:pPr>
            <w:r w:rsidRPr="008B3DF7">
              <w:t>3,261</w:t>
            </w:r>
          </w:p>
        </w:tc>
      </w:tr>
      <w:tr w:rsidR="00932D75" w:rsidRPr="008B3DF7" w:rsidTr="008B3DF7">
        <w:trPr>
          <w:trHeight w:val="255"/>
        </w:trPr>
        <w:tc>
          <w:tcPr>
            <w:tcW w:w="1001" w:type="pct"/>
            <w:hideMark/>
          </w:tcPr>
          <w:p w:rsidR="00932D75" w:rsidRPr="008B3DF7" w:rsidRDefault="00932D75" w:rsidP="008B3DF7">
            <w:pPr>
              <w:pStyle w:val="RatesTable"/>
            </w:pPr>
            <w:r w:rsidRPr="008B3DF7">
              <w:t>119</w:t>
            </w:r>
          </w:p>
        </w:tc>
        <w:tc>
          <w:tcPr>
            <w:tcW w:w="1302" w:type="pct"/>
            <w:hideMark/>
          </w:tcPr>
          <w:p w:rsidR="00932D75" w:rsidRPr="008B3DF7" w:rsidRDefault="00932D75" w:rsidP="008B3DF7">
            <w:pPr>
              <w:pStyle w:val="RatesTable"/>
            </w:pPr>
            <w:r w:rsidRPr="008B3DF7">
              <w:t>27.5</w:t>
            </w:r>
          </w:p>
        </w:tc>
        <w:tc>
          <w:tcPr>
            <w:tcW w:w="930" w:type="pct"/>
            <w:hideMark/>
          </w:tcPr>
          <w:p w:rsidR="00932D75" w:rsidRPr="008B3DF7" w:rsidRDefault="00932D75" w:rsidP="008B3DF7">
            <w:pPr>
              <w:pStyle w:val="RatesTable"/>
            </w:pPr>
            <w:r w:rsidRPr="008B3DF7">
              <w:t>2,766</w:t>
            </w:r>
          </w:p>
        </w:tc>
        <w:tc>
          <w:tcPr>
            <w:tcW w:w="1767" w:type="pct"/>
            <w:hideMark/>
          </w:tcPr>
          <w:p w:rsidR="00932D75" w:rsidRPr="008B3DF7" w:rsidRDefault="00932D75" w:rsidP="008B3DF7">
            <w:pPr>
              <w:pStyle w:val="RatesTable"/>
            </w:pPr>
            <w:r w:rsidRPr="008B3DF7">
              <w:t>3,423</w:t>
            </w:r>
          </w:p>
        </w:tc>
      </w:tr>
      <w:tr w:rsidR="00932D75" w:rsidRPr="008B3DF7" w:rsidTr="008B3DF7">
        <w:trPr>
          <w:trHeight w:val="255"/>
        </w:trPr>
        <w:tc>
          <w:tcPr>
            <w:tcW w:w="1001" w:type="pct"/>
            <w:hideMark/>
          </w:tcPr>
          <w:p w:rsidR="00932D75" w:rsidRPr="008B3DF7" w:rsidRDefault="00932D75" w:rsidP="008B3DF7">
            <w:pPr>
              <w:pStyle w:val="RatesTable"/>
            </w:pPr>
            <w:r w:rsidRPr="008B3DF7">
              <w:t>118</w:t>
            </w:r>
          </w:p>
        </w:tc>
        <w:tc>
          <w:tcPr>
            <w:tcW w:w="1302" w:type="pct"/>
            <w:hideMark/>
          </w:tcPr>
          <w:p w:rsidR="00932D75" w:rsidRPr="008B3DF7" w:rsidRDefault="00932D75" w:rsidP="008B3DF7">
            <w:pPr>
              <w:pStyle w:val="RatesTable"/>
            </w:pPr>
            <w:r w:rsidRPr="008B3DF7">
              <w:t>28.7</w:t>
            </w:r>
          </w:p>
        </w:tc>
        <w:tc>
          <w:tcPr>
            <w:tcW w:w="930" w:type="pct"/>
            <w:hideMark/>
          </w:tcPr>
          <w:p w:rsidR="00932D75" w:rsidRPr="008B3DF7" w:rsidRDefault="00932D75" w:rsidP="008B3DF7">
            <w:pPr>
              <w:pStyle w:val="RatesTable"/>
            </w:pPr>
            <w:r w:rsidRPr="008B3DF7">
              <w:t>2,887</w:t>
            </w:r>
          </w:p>
        </w:tc>
        <w:tc>
          <w:tcPr>
            <w:tcW w:w="1767" w:type="pct"/>
            <w:hideMark/>
          </w:tcPr>
          <w:p w:rsidR="00932D75" w:rsidRPr="008B3DF7" w:rsidRDefault="00932D75" w:rsidP="008B3DF7">
            <w:pPr>
              <w:pStyle w:val="RatesTable"/>
            </w:pPr>
            <w:r w:rsidRPr="008B3DF7">
              <w:t>3,572</w:t>
            </w:r>
          </w:p>
        </w:tc>
      </w:tr>
      <w:tr w:rsidR="00932D75" w:rsidRPr="008B3DF7" w:rsidTr="008B3DF7">
        <w:trPr>
          <w:trHeight w:val="255"/>
        </w:trPr>
        <w:tc>
          <w:tcPr>
            <w:tcW w:w="1001" w:type="pct"/>
            <w:hideMark/>
          </w:tcPr>
          <w:p w:rsidR="00932D75" w:rsidRPr="008B3DF7" w:rsidRDefault="00932D75" w:rsidP="008B3DF7">
            <w:pPr>
              <w:pStyle w:val="RatesTable"/>
            </w:pPr>
            <w:r w:rsidRPr="008B3DF7">
              <w:t>117</w:t>
            </w:r>
          </w:p>
        </w:tc>
        <w:tc>
          <w:tcPr>
            <w:tcW w:w="1302" w:type="pct"/>
            <w:hideMark/>
          </w:tcPr>
          <w:p w:rsidR="00932D75" w:rsidRPr="008B3DF7" w:rsidRDefault="00932D75" w:rsidP="008B3DF7">
            <w:pPr>
              <w:pStyle w:val="RatesTable"/>
            </w:pPr>
            <w:r w:rsidRPr="008B3DF7">
              <w:t>30</w:t>
            </w:r>
          </w:p>
        </w:tc>
        <w:tc>
          <w:tcPr>
            <w:tcW w:w="930" w:type="pct"/>
            <w:hideMark/>
          </w:tcPr>
          <w:p w:rsidR="00932D75" w:rsidRPr="008B3DF7" w:rsidRDefault="00932D75" w:rsidP="008B3DF7">
            <w:pPr>
              <w:pStyle w:val="RatesTable"/>
            </w:pPr>
            <w:r w:rsidRPr="008B3DF7">
              <w:t>3,018</w:t>
            </w:r>
          </w:p>
        </w:tc>
        <w:tc>
          <w:tcPr>
            <w:tcW w:w="1767" w:type="pct"/>
            <w:hideMark/>
          </w:tcPr>
          <w:p w:rsidR="00932D75" w:rsidRPr="008B3DF7" w:rsidRDefault="00932D75" w:rsidP="008B3DF7">
            <w:pPr>
              <w:pStyle w:val="RatesTable"/>
            </w:pPr>
            <w:r w:rsidRPr="008B3DF7">
              <w:t>3,734</w:t>
            </w:r>
          </w:p>
        </w:tc>
      </w:tr>
      <w:tr w:rsidR="00932D75" w:rsidRPr="008B3DF7" w:rsidTr="008B3DF7">
        <w:trPr>
          <w:trHeight w:val="255"/>
        </w:trPr>
        <w:tc>
          <w:tcPr>
            <w:tcW w:w="1001" w:type="pct"/>
            <w:hideMark/>
          </w:tcPr>
          <w:p w:rsidR="00932D75" w:rsidRPr="008B3DF7" w:rsidRDefault="00932D75" w:rsidP="008B3DF7">
            <w:pPr>
              <w:pStyle w:val="RatesTable"/>
            </w:pPr>
            <w:r w:rsidRPr="008B3DF7">
              <w:t>116</w:t>
            </w:r>
          </w:p>
        </w:tc>
        <w:tc>
          <w:tcPr>
            <w:tcW w:w="1302" w:type="pct"/>
            <w:hideMark/>
          </w:tcPr>
          <w:p w:rsidR="00932D75" w:rsidRPr="008B3DF7" w:rsidRDefault="00932D75" w:rsidP="008B3DF7">
            <w:pPr>
              <w:pStyle w:val="RatesTable"/>
            </w:pPr>
            <w:r w:rsidRPr="008B3DF7">
              <w:t>31.2</w:t>
            </w:r>
          </w:p>
        </w:tc>
        <w:tc>
          <w:tcPr>
            <w:tcW w:w="930" w:type="pct"/>
            <w:hideMark/>
          </w:tcPr>
          <w:p w:rsidR="00932D75" w:rsidRPr="008B3DF7" w:rsidRDefault="00932D75" w:rsidP="008B3DF7">
            <w:pPr>
              <w:pStyle w:val="RatesTable"/>
            </w:pPr>
            <w:r w:rsidRPr="008B3DF7">
              <w:t>3,138</w:t>
            </w:r>
          </w:p>
        </w:tc>
        <w:tc>
          <w:tcPr>
            <w:tcW w:w="1767" w:type="pct"/>
            <w:hideMark/>
          </w:tcPr>
          <w:p w:rsidR="00932D75" w:rsidRPr="008B3DF7" w:rsidRDefault="00932D75" w:rsidP="008B3DF7">
            <w:pPr>
              <w:pStyle w:val="RatesTable"/>
            </w:pPr>
            <w:r w:rsidRPr="008B3DF7">
              <w:t>3,883</w:t>
            </w:r>
          </w:p>
        </w:tc>
      </w:tr>
      <w:tr w:rsidR="00932D75" w:rsidRPr="008B3DF7" w:rsidTr="008B3DF7">
        <w:trPr>
          <w:trHeight w:val="255"/>
        </w:trPr>
        <w:tc>
          <w:tcPr>
            <w:tcW w:w="1001" w:type="pct"/>
            <w:hideMark/>
          </w:tcPr>
          <w:p w:rsidR="00932D75" w:rsidRPr="008B3DF7" w:rsidRDefault="00932D75" w:rsidP="008B3DF7">
            <w:pPr>
              <w:pStyle w:val="RatesTable"/>
            </w:pPr>
            <w:r w:rsidRPr="008B3DF7">
              <w:t>115</w:t>
            </w:r>
          </w:p>
        </w:tc>
        <w:tc>
          <w:tcPr>
            <w:tcW w:w="1302" w:type="pct"/>
            <w:hideMark/>
          </w:tcPr>
          <w:p w:rsidR="00932D75" w:rsidRPr="008B3DF7" w:rsidRDefault="00932D75" w:rsidP="008B3DF7">
            <w:pPr>
              <w:pStyle w:val="RatesTable"/>
            </w:pPr>
            <w:r w:rsidRPr="008B3DF7">
              <w:t>32.5</w:t>
            </w:r>
          </w:p>
        </w:tc>
        <w:tc>
          <w:tcPr>
            <w:tcW w:w="930" w:type="pct"/>
            <w:hideMark/>
          </w:tcPr>
          <w:p w:rsidR="00932D75" w:rsidRPr="008B3DF7" w:rsidRDefault="00932D75" w:rsidP="008B3DF7">
            <w:pPr>
              <w:pStyle w:val="RatesTable"/>
            </w:pPr>
            <w:r w:rsidRPr="008B3DF7">
              <w:t>3,269</w:t>
            </w:r>
          </w:p>
        </w:tc>
        <w:tc>
          <w:tcPr>
            <w:tcW w:w="1767" w:type="pct"/>
            <w:hideMark/>
          </w:tcPr>
          <w:p w:rsidR="00932D75" w:rsidRPr="008B3DF7" w:rsidRDefault="00932D75" w:rsidP="008B3DF7">
            <w:pPr>
              <w:pStyle w:val="RatesTable"/>
            </w:pPr>
            <w:r w:rsidRPr="008B3DF7">
              <w:t>4,045</w:t>
            </w:r>
          </w:p>
        </w:tc>
      </w:tr>
      <w:tr w:rsidR="00932D75" w:rsidRPr="008B3DF7" w:rsidTr="008B3DF7">
        <w:trPr>
          <w:trHeight w:val="255"/>
        </w:trPr>
        <w:tc>
          <w:tcPr>
            <w:tcW w:w="1001" w:type="pct"/>
            <w:hideMark/>
          </w:tcPr>
          <w:p w:rsidR="00932D75" w:rsidRPr="008B3DF7" w:rsidRDefault="00932D75" w:rsidP="008B3DF7">
            <w:pPr>
              <w:pStyle w:val="RatesTable"/>
            </w:pPr>
            <w:r w:rsidRPr="008B3DF7">
              <w:t>114</w:t>
            </w:r>
          </w:p>
        </w:tc>
        <w:tc>
          <w:tcPr>
            <w:tcW w:w="1302" w:type="pct"/>
            <w:hideMark/>
          </w:tcPr>
          <w:p w:rsidR="00932D75" w:rsidRPr="008B3DF7" w:rsidRDefault="00932D75" w:rsidP="008B3DF7">
            <w:pPr>
              <w:pStyle w:val="RatesTable"/>
            </w:pPr>
            <w:r w:rsidRPr="008B3DF7">
              <w:t>33.7</w:t>
            </w:r>
          </w:p>
        </w:tc>
        <w:tc>
          <w:tcPr>
            <w:tcW w:w="930" w:type="pct"/>
            <w:hideMark/>
          </w:tcPr>
          <w:p w:rsidR="00932D75" w:rsidRPr="008B3DF7" w:rsidRDefault="00932D75" w:rsidP="008B3DF7">
            <w:pPr>
              <w:pStyle w:val="RatesTable"/>
            </w:pPr>
            <w:r w:rsidRPr="008B3DF7">
              <w:t>3,390</w:t>
            </w:r>
          </w:p>
        </w:tc>
        <w:tc>
          <w:tcPr>
            <w:tcW w:w="1767" w:type="pct"/>
            <w:hideMark/>
          </w:tcPr>
          <w:p w:rsidR="00932D75" w:rsidRPr="008B3DF7" w:rsidRDefault="00932D75" w:rsidP="008B3DF7">
            <w:pPr>
              <w:pStyle w:val="RatesTable"/>
            </w:pPr>
            <w:r w:rsidRPr="008B3DF7">
              <w:t>4,194</w:t>
            </w:r>
          </w:p>
        </w:tc>
      </w:tr>
      <w:tr w:rsidR="00932D75" w:rsidRPr="008B3DF7" w:rsidTr="008B3DF7">
        <w:trPr>
          <w:trHeight w:val="255"/>
        </w:trPr>
        <w:tc>
          <w:tcPr>
            <w:tcW w:w="1001" w:type="pct"/>
            <w:hideMark/>
          </w:tcPr>
          <w:p w:rsidR="00932D75" w:rsidRPr="008B3DF7" w:rsidRDefault="00932D75" w:rsidP="008B3DF7">
            <w:pPr>
              <w:pStyle w:val="RatesTable"/>
            </w:pPr>
            <w:r w:rsidRPr="008B3DF7">
              <w:t>113</w:t>
            </w:r>
          </w:p>
        </w:tc>
        <w:tc>
          <w:tcPr>
            <w:tcW w:w="1302" w:type="pct"/>
            <w:hideMark/>
          </w:tcPr>
          <w:p w:rsidR="00932D75" w:rsidRPr="008B3DF7" w:rsidRDefault="00932D75" w:rsidP="008B3DF7">
            <w:pPr>
              <w:pStyle w:val="RatesTable"/>
            </w:pPr>
            <w:r w:rsidRPr="008B3DF7">
              <w:t>35</w:t>
            </w:r>
          </w:p>
        </w:tc>
        <w:tc>
          <w:tcPr>
            <w:tcW w:w="930" w:type="pct"/>
            <w:hideMark/>
          </w:tcPr>
          <w:p w:rsidR="00932D75" w:rsidRPr="008B3DF7" w:rsidRDefault="00932D75" w:rsidP="008B3DF7">
            <w:pPr>
              <w:pStyle w:val="RatesTable"/>
            </w:pPr>
            <w:r w:rsidRPr="008B3DF7">
              <w:t>3,520</w:t>
            </w:r>
          </w:p>
        </w:tc>
        <w:tc>
          <w:tcPr>
            <w:tcW w:w="1767" w:type="pct"/>
            <w:hideMark/>
          </w:tcPr>
          <w:p w:rsidR="00932D75" w:rsidRPr="008B3DF7" w:rsidRDefault="00932D75" w:rsidP="008B3DF7">
            <w:pPr>
              <w:pStyle w:val="RatesTable"/>
            </w:pPr>
            <w:r w:rsidRPr="008B3DF7">
              <w:t>4,356</w:t>
            </w:r>
          </w:p>
        </w:tc>
      </w:tr>
      <w:tr w:rsidR="00932D75" w:rsidRPr="008B3DF7" w:rsidTr="008B3DF7">
        <w:trPr>
          <w:trHeight w:val="255"/>
        </w:trPr>
        <w:tc>
          <w:tcPr>
            <w:tcW w:w="1001" w:type="pct"/>
            <w:hideMark/>
          </w:tcPr>
          <w:p w:rsidR="00932D75" w:rsidRPr="008B3DF7" w:rsidRDefault="00932D75" w:rsidP="008B3DF7">
            <w:pPr>
              <w:pStyle w:val="RatesTable"/>
            </w:pPr>
            <w:r w:rsidRPr="008B3DF7">
              <w:t>112</w:t>
            </w:r>
          </w:p>
        </w:tc>
        <w:tc>
          <w:tcPr>
            <w:tcW w:w="1302" w:type="pct"/>
            <w:hideMark/>
          </w:tcPr>
          <w:p w:rsidR="00932D75" w:rsidRPr="008B3DF7" w:rsidRDefault="00932D75" w:rsidP="008B3DF7">
            <w:pPr>
              <w:pStyle w:val="RatesTable"/>
            </w:pPr>
            <w:r w:rsidRPr="008B3DF7">
              <w:t>36.2</w:t>
            </w:r>
          </w:p>
        </w:tc>
        <w:tc>
          <w:tcPr>
            <w:tcW w:w="930" w:type="pct"/>
            <w:hideMark/>
          </w:tcPr>
          <w:p w:rsidR="00932D75" w:rsidRPr="008B3DF7" w:rsidRDefault="00932D75" w:rsidP="008B3DF7">
            <w:pPr>
              <w:pStyle w:val="RatesTable"/>
            </w:pPr>
            <w:r w:rsidRPr="008B3DF7">
              <w:t>3,641</w:t>
            </w:r>
          </w:p>
        </w:tc>
        <w:tc>
          <w:tcPr>
            <w:tcW w:w="1767" w:type="pct"/>
            <w:hideMark/>
          </w:tcPr>
          <w:p w:rsidR="00932D75" w:rsidRPr="008B3DF7" w:rsidRDefault="00932D75" w:rsidP="008B3DF7">
            <w:pPr>
              <w:pStyle w:val="RatesTable"/>
            </w:pPr>
            <w:r w:rsidRPr="008B3DF7">
              <w:t>4,506</w:t>
            </w:r>
          </w:p>
        </w:tc>
      </w:tr>
      <w:tr w:rsidR="00932D75" w:rsidRPr="008B3DF7" w:rsidTr="008B3DF7">
        <w:trPr>
          <w:trHeight w:val="255"/>
        </w:trPr>
        <w:tc>
          <w:tcPr>
            <w:tcW w:w="1001" w:type="pct"/>
            <w:hideMark/>
          </w:tcPr>
          <w:p w:rsidR="00932D75" w:rsidRPr="008B3DF7" w:rsidRDefault="00932D75" w:rsidP="008B3DF7">
            <w:pPr>
              <w:pStyle w:val="RatesTable"/>
            </w:pPr>
            <w:r w:rsidRPr="008B3DF7">
              <w:t>111</w:t>
            </w:r>
          </w:p>
        </w:tc>
        <w:tc>
          <w:tcPr>
            <w:tcW w:w="1302" w:type="pct"/>
            <w:hideMark/>
          </w:tcPr>
          <w:p w:rsidR="00932D75" w:rsidRPr="008B3DF7" w:rsidRDefault="00932D75" w:rsidP="008B3DF7">
            <w:pPr>
              <w:pStyle w:val="RatesTable"/>
            </w:pPr>
            <w:r w:rsidRPr="008B3DF7">
              <w:t>37.5</w:t>
            </w:r>
          </w:p>
        </w:tc>
        <w:tc>
          <w:tcPr>
            <w:tcW w:w="930" w:type="pct"/>
            <w:hideMark/>
          </w:tcPr>
          <w:p w:rsidR="00932D75" w:rsidRPr="008B3DF7" w:rsidRDefault="00932D75" w:rsidP="008B3DF7">
            <w:pPr>
              <w:pStyle w:val="RatesTable"/>
            </w:pPr>
            <w:r w:rsidRPr="008B3DF7">
              <w:t>3,772</w:t>
            </w:r>
          </w:p>
        </w:tc>
        <w:tc>
          <w:tcPr>
            <w:tcW w:w="1767" w:type="pct"/>
            <w:hideMark/>
          </w:tcPr>
          <w:p w:rsidR="00932D75" w:rsidRPr="008B3DF7" w:rsidRDefault="00932D75" w:rsidP="008B3DF7">
            <w:pPr>
              <w:pStyle w:val="RatesTable"/>
            </w:pPr>
            <w:r w:rsidRPr="008B3DF7">
              <w:t>4,667</w:t>
            </w:r>
          </w:p>
        </w:tc>
      </w:tr>
      <w:tr w:rsidR="00932D75" w:rsidRPr="008B3DF7" w:rsidTr="008B3DF7">
        <w:trPr>
          <w:trHeight w:val="255"/>
        </w:trPr>
        <w:tc>
          <w:tcPr>
            <w:tcW w:w="1001" w:type="pct"/>
            <w:hideMark/>
          </w:tcPr>
          <w:p w:rsidR="00932D75" w:rsidRPr="008B3DF7" w:rsidRDefault="00932D75" w:rsidP="008B3DF7">
            <w:pPr>
              <w:pStyle w:val="RatesTable"/>
            </w:pPr>
            <w:r w:rsidRPr="008B3DF7">
              <w:t>110</w:t>
            </w:r>
          </w:p>
        </w:tc>
        <w:tc>
          <w:tcPr>
            <w:tcW w:w="1302" w:type="pct"/>
            <w:hideMark/>
          </w:tcPr>
          <w:p w:rsidR="00932D75" w:rsidRPr="008B3DF7" w:rsidRDefault="00932D75" w:rsidP="008B3DF7">
            <w:pPr>
              <w:pStyle w:val="RatesTable"/>
            </w:pPr>
            <w:r w:rsidRPr="008B3DF7">
              <w:t>38.7</w:t>
            </w:r>
          </w:p>
        </w:tc>
        <w:tc>
          <w:tcPr>
            <w:tcW w:w="930" w:type="pct"/>
            <w:hideMark/>
          </w:tcPr>
          <w:p w:rsidR="00932D75" w:rsidRPr="008B3DF7" w:rsidRDefault="00932D75" w:rsidP="008B3DF7">
            <w:pPr>
              <w:pStyle w:val="RatesTable"/>
            </w:pPr>
            <w:r w:rsidRPr="008B3DF7">
              <w:t>3,893</w:t>
            </w:r>
          </w:p>
        </w:tc>
        <w:tc>
          <w:tcPr>
            <w:tcW w:w="1767" w:type="pct"/>
            <w:hideMark/>
          </w:tcPr>
          <w:p w:rsidR="00932D75" w:rsidRPr="008B3DF7" w:rsidRDefault="00932D75" w:rsidP="008B3DF7">
            <w:pPr>
              <w:pStyle w:val="RatesTable"/>
            </w:pPr>
            <w:r w:rsidRPr="008B3DF7">
              <w:t>4,817</w:t>
            </w:r>
          </w:p>
        </w:tc>
      </w:tr>
      <w:tr w:rsidR="00932D75" w:rsidRPr="008B3DF7" w:rsidTr="008B3DF7">
        <w:trPr>
          <w:trHeight w:val="255"/>
        </w:trPr>
        <w:tc>
          <w:tcPr>
            <w:tcW w:w="1001" w:type="pct"/>
            <w:hideMark/>
          </w:tcPr>
          <w:p w:rsidR="00932D75" w:rsidRPr="008B3DF7" w:rsidRDefault="00932D75" w:rsidP="008B3DF7">
            <w:pPr>
              <w:pStyle w:val="RatesTable"/>
            </w:pPr>
            <w:r w:rsidRPr="008B3DF7">
              <w:t>109</w:t>
            </w:r>
          </w:p>
        </w:tc>
        <w:tc>
          <w:tcPr>
            <w:tcW w:w="1302" w:type="pct"/>
            <w:hideMark/>
          </w:tcPr>
          <w:p w:rsidR="00932D75" w:rsidRPr="008B3DF7" w:rsidRDefault="00932D75" w:rsidP="008B3DF7">
            <w:pPr>
              <w:pStyle w:val="RatesTable"/>
            </w:pPr>
            <w:r w:rsidRPr="008B3DF7">
              <w:t>40</w:t>
            </w:r>
          </w:p>
        </w:tc>
        <w:tc>
          <w:tcPr>
            <w:tcW w:w="930" w:type="pct"/>
            <w:hideMark/>
          </w:tcPr>
          <w:p w:rsidR="00932D75" w:rsidRPr="008B3DF7" w:rsidRDefault="00932D75" w:rsidP="008B3DF7">
            <w:pPr>
              <w:pStyle w:val="RatesTable"/>
            </w:pPr>
            <w:r w:rsidRPr="008B3DF7">
              <w:t>4,023</w:t>
            </w:r>
          </w:p>
        </w:tc>
        <w:tc>
          <w:tcPr>
            <w:tcW w:w="1767" w:type="pct"/>
            <w:hideMark/>
          </w:tcPr>
          <w:p w:rsidR="00932D75" w:rsidRPr="008B3DF7" w:rsidRDefault="00932D75" w:rsidP="008B3DF7">
            <w:pPr>
              <w:pStyle w:val="RatesTable"/>
            </w:pPr>
            <w:r w:rsidRPr="008B3DF7">
              <w:t>4,978</w:t>
            </w:r>
          </w:p>
        </w:tc>
      </w:tr>
      <w:tr w:rsidR="00932D75" w:rsidRPr="008B3DF7" w:rsidTr="008B3DF7">
        <w:trPr>
          <w:trHeight w:val="255"/>
        </w:trPr>
        <w:tc>
          <w:tcPr>
            <w:tcW w:w="1001" w:type="pct"/>
            <w:hideMark/>
          </w:tcPr>
          <w:p w:rsidR="00932D75" w:rsidRPr="008B3DF7" w:rsidRDefault="00932D75" w:rsidP="008B3DF7">
            <w:pPr>
              <w:pStyle w:val="RatesTable"/>
            </w:pPr>
            <w:r w:rsidRPr="008B3DF7">
              <w:t>108</w:t>
            </w:r>
          </w:p>
        </w:tc>
        <w:tc>
          <w:tcPr>
            <w:tcW w:w="1302" w:type="pct"/>
            <w:hideMark/>
          </w:tcPr>
          <w:p w:rsidR="00932D75" w:rsidRPr="008B3DF7" w:rsidRDefault="00932D75" w:rsidP="008B3DF7">
            <w:pPr>
              <w:pStyle w:val="RatesTable"/>
            </w:pPr>
            <w:r w:rsidRPr="008B3DF7">
              <w:t>41.2</w:t>
            </w:r>
          </w:p>
        </w:tc>
        <w:tc>
          <w:tcPr>
            <w:tcW w:w="930" w:type="pct"/>
            <w:hideMark/>
          </w:tcPr>
          <w:p w:rsidR="00932D75" w:rsidRPr="008B3DF7" w:rsidRDefault="00932D75" w:rsidP="008B3DF7">
            <w:pPr>
              <w:pStyle w:val="RatesTable"/>
            </w:pPr>
            <w:r w:rsidRPr="008B3DF7">
              <w:t>4,144</w:t>
            </w:r>
          </w:p>
        </w:tc>
        <w:tc>
          <w:tcPr>
            <w:tcW w:w="1767" w:type="pct"/>
            <w:hideMark/>
          </w:tcPr>
          <w:p w:rsidR="00932D75" w:rsidRPr="008B3DF7" w:rsidRDefault="00932D75" w:rsidP="008B3DF7">
            <w:pPr>
              <w:pStyle w:val="RatesTable"/>
            </w:pPr>
            <w:r w:rsidRPr="008B3DF7">
              <w:t>5,128</w:t>
            </w:r>
          </w:p>
        </w:tc>
      </w:tr>
      <w:tr w:rsidR="00932D75" w:rsidRPr="008B3DF7" w:rsidTr="008B3DF7">
        <w:trPr>
          <w:trHeight w:val="255"/>
        </w:trPr>
        <w:tc>
          <w:tcPr>
            <w:tcW w:w="1001" w:type="pct"/>
            <w:hideMark/>
          </w:tcPr>
          <w:p w:rsidR="00932D75" w:rsidRPr="008B3DF7" w:rsidRDefault="00932D75" w:rsidP="008B3DF7">
            <w:pPr>
              <w:pStyle w:val="RatesTable"/>
            </w:pPr>
            <w:r w:rsidRPr="008B3DF7">
              <w:t>107</w:t>
            </w:r>
          </w:p>
        </w:tc>
        <w:tc>
          <w:tcPr>
            <w:tcW w:w="1302" w:type="pct"/>
            <w:hideMark/>
          </w:tcPr>
          <w:p w:rsidR="00932D75" w:rsidRPr="008B3DF7" w:rsidRDefault="00932D75" w:rsidP="008B3DF7">
            <w:pPr>
              <w:pStyle w:val="RatesTable"/>
            </w:pPr>
            <w:r w:rsidRPr="008B3DF7">
              <w:t>42.5</w:t>
            </w:r>
          </w:p>
        </w:tc>
        <w:tc>
          <w:tcPr>
            <w:tcW w:w="930" w:type="pct"/>
            <w:hideMark/>
          </w:tcPr>
          <w:p w:rsidR="00932D75" w:rsidRPr="008B3DF7" w:rsidRDefault="00932D75" w:rsidP="008B3DF7">
            <w:pPr>
              <w:pStyle w:val="RatesTable"/>
            </w:pPr>
            <w:r w:rsidRPr="008B3DF7">
              <w:t>4,275</w:t>
            </w:r>
          </w:p>
        </w:tc>
        <w:tc>
          <w:tcPr>
            <w:tcW w:w="1767" w:type="pct"/>
            <w:hideMark/>
          </w:tcPr>
          <w:p w:rsidR="00932D75" w:rsidRPr="008B3DF7" w:rsidRDefault="00932D75" w:rsidP="008B3DF7">
            <w:pPr>
              <w:pStyle w:val="RatesTable"/>
            </w:pPr>
            <w:r w:rsidRPr="008B3DF7">
              <w:t>5,290</w:t>
            </w:r>
          </w:p>
        </w:tc>
      </w:tr>
      <w:tr w:rsidR="00932D75" w:rsidRPr="008B3DF7" w:rsidTr="008B3DF7">
        <w:trPr>
          <w:trHeight w:val="255"/>
        </w:trPr>
        <w:tc>
          <w:tcPr>
            <w:tcW w:w="1001" w:type="pct"/>
            <w:hideMark/>
          </w:tcPr>
          <w:p w:rsidR="00932D75" w:rsidRPr="008B3DF7" w:rsidRDefault="00932D75" w:rsidP="008B3DF7">
            <w:pPr>
              <w:pStyle w:val="RatesTable"/>
            </w:pPr>
            <w:r w:rsidRPr="008B3DF7">
              <w:t>106</w:t>
            </w:r>
          </w:p>
        </w:tc>
        <w:tc>
          <w:tcPr>
            <w:tcW w:w="1302" w:type="pct"/>
            <w:hideMark/>
          </w:tcPr>
          <w:p w:rsidR="00932D75" w:rsidRPr="008B3DF7" w:rsidRDefault="00932D75" w:rsidP="008B3DF7">
            <w:pPr>
              <w:pStyle w:val="RatesTable"/>
            </w:pPr>
            <w:r w:rsidRPr="008B3DF7">
              <w:t>43.7</w:t>
            </w:r>
          </w:p>
        </w:tc>
        <w:tc>
          <w:tcPr>
            <w:tcW w:w="930" w:type="pct"/>
            <w:hideMark/>
          </w:tcPr>
          <w:p w:rsidR="00932D75" w:rsidRPr="008B3DF7" w:rsidRDefault="00932D75" w:rsidP="008B3DF7">
            <w:pPr>
              <w:pStyle w:val="RatesTable"/>
            </w:pPr>
            <w:r w:rsidRPr="008B3DF7">
              <w:t>4,395</w:t>
            </w:r>
          </w:p>
        </w:tc>
        <w:tc>
          <w:tcPr>
            <w:tcW w:w="1767" w:type="pct"/>
            <w:hideMark/>
          </w:tcPr>
          <w:p w:rsidR="00932D75" w:rsidRPr="008B3DF7" w:rsidRDefault="00932D75" w:rsidP="008B3DF7">
            <w:pPr>
              <w:pStyle w:val="RatesTable"/>
            </w:pPr>
            <w:r w:rsidRPr="008B3DF7">
              <w:t>5,439</w:t>
            </w:r>
          </w:p>
        </w:tc>
      </w:tr>
      <w:tr w:rsidR="00932D75" w:rsidRPr="008B3DF7" w:rsidTr="008B3DF7">
        <w:trPr>
          <w:trHeight w:val="255"/>
        </w:trPr>
        <w:tc>
          <w:tcPr>
            <w:tcW w:w="1001" w:type="pct"/>
            <w:hideMark/>
          </w:tcPr>
          <w:p w:rsidR="00932D75" w:rsidRPr="008B3DF7" w:rsidRDefault="00932D75" w:rsidP="008B3DF7">
            <w:pPr>
              <w:pStyle w:val="RatesTable"/>
            </w:pPr>
            <w:r w:rsidRPr="008B3DF7">
              <w:t>105</w:t>
            </w:r>
          </w:p>
        </w:tc>
        <w:tc>
          <w:tcPr>
            <w:tcW w:w="1302" w:type="pct"/>
            <w:hideMark/>
          </w:tcPr>
          <w:p w:rsidR="00932D75" w:rsidRPr="008B3DF7" w:rsidRDefault="00932D75" w:rsidP="008B3DF7">
            <w:pPr>
              <w:pStyle w:val="RatesTable"/>
            </w:pPr>
            <w:r w:rsidRPr="008B3DF7">
              <w:t>45</w:t>
            </w:r>
          </w:p>
        </w:tc>
        <w:tc>
          <w:tcPr>
            <w:tcW w:w="930" w:type="pct"/>
            <w:hideMark/>
          </w:tcPr>
          <w:p w:rsidR="00932D75" w:rsidRPr="008B3DF7" w:rsidRDefault="00932D75" w:rsidP="008B3DF7">
            <w:pPr>
              <w:pStyle w:val="RatesTable"/>
            </w:pPr>
            <w:r w:rsidRPr="008B3DF7">
              <w:t>4,526</w:t>
            </w:r>
          </w:p>
        </w:tc>
        <w:tc>
          <w:tcPr>
            <w:tcW w:w="1767" w:type="pct"/>
            <w:hideMark/>
          </w:tcPr>
          <w:p w:rsidR="00932D75" w:rsidRPr="008B3DF7" w:rsidRDefault="00932D75" w:rsidP="008B3DF7">
            <w:pPr>
              <w:pStyle w:val="RatesTable"/>
            </w:pPr>
            <w:r w:rsidRPr="008B3DF7">
              <w:t>5,601</w:t>
            </w:r>
          </w:p>
        </w:tc>
      </w:tr>
      <w:tr w:rsidR="00932D75" w:rsidRPr="008B3DF7" w:rsidTr="008B3DF7">
        <w:trPr>
          <w:trHeight w:val="255"/>
        </w:trPr>
        <w:tc>
          <w:tcPr>
            <w:tcW w:w="1001" w:type="pct"/>
            <w:hideMark/>
          </w:tcPr>
          <w:p w:rsidR="00932D75" w:rsidRPr="008B3DF7" w:rsidRDefault="00932D75" w:rsidP="008B3DF7">
            <w:pPr>
              <w:pStyle w:val="RatesTable"/>
            </w:pPr>
            <w:r w:rsidRPr="008B3DF7">
              <w:t>104</w:t>
            </w:r>
          </w:p>
        </w:tc>
        <w:tc>
          <w:tcPr>
            <w:tcW w:w="1302" w:type="pct"/>
            <w:hideMark/>
          </w:tcPr>
          <w:p w:rsidR="00932D75" w:rsidRPr="008B3DF7" w:rsidRDefault="00932D75" w:rsidP="008B3DF7">
            <w:pPr>
              <w:pStyle w:val="RatesTable"/>
            </w:pPr>
            <w:r w:rsidRPr="008B3DF7">
              <w:t>46.2</w:t>
            </w:r>
          </w:p>
        </w:tc>
        <w:tc>
          <w:tcPr>
            <w:tcW w:w="930" w:type="pct"/>
            <w:hideMark/>
          </w:tcPr>
          <w:p w:rsidR="00932D75" w:rsidRPr="008B3DF7" w:rsidRDefault="00932D75" w:rsidP="008B3DF7">
            <w:pPr>
              <w:pStyle w:val="RatesTable"/>
            </w:pPr>
            <w:r w:rsidRPr="008B3DF7">
              <w:t>4,647</w:t>
            </w:r>
          </w:p>
        </w:tc>
        <w:tc>
          <w:tcPr>
            <w:tcW w:w="1767" w:type="pct"/>
            <w:hideMark/>
          </w:tcPr>
          <w:p w:rsidR="00932D75" w:rsidRPr="008B3DF7" w:rsidRDefault="00932D75" w:rsidP="008B3DF7">
            <w:pPr>
              <w:pStyle w:val="RatesTable"/>
            </w:pPr>
            <w:r w:rsidRPr="008B3DF7">
              <w:t>5,750</w:t>
            </w:r>
          </w:p>
        </w:tc>
      </w:tr>
      <w:tr w:rsidR="00932D75" w:rsidRPr="008B3DF7" w:rsidTr="008B3DF7">
        <w:trPr>
          <w:trHeight w:val="255"/>
        </w:trPr>
        <w:tc>
          <w:tcPr>
            <w:tcW w:w="1001" w:type="pct"/>
            <w:hideMark/>
          </w:tcPr>
          <w:p w:rsidR="00932D75" w:rsidRPr="008B3DF7" w:rsidRDefault="00932D75" w:rsidP="008B3DF7">
            <w:pPr>
              <w:pStyle w:val="RatesTable"/>
            </w:pPr>
            <w:r w:rsidRPr="008B3DF7">
              <w:t>103</w:t>
            </w:r>
          </w:p>
        </w:tc>
        <w:tc>
          <w:tcPr>
            <w:tcW w:w="1302" w:type="pct"/>
            <w:hideMark/>
          </w:tcPr>
          <w:p w:rsidR="00932D75" w:rsidRPr="008B3DF7" w:rsidRDefault="00932D75" w:rsidP="008B3DF7">
            <w:pPr>
              <w:pStyle w:val="RatesTable"/>
            </w:pPr>
            <w:r w:rsidRPr="008B3DF7">
              <w:t>47.5</w:t>
            </w:r>
          </w:p>
        </w:tc>
        <w:tc>
          <w:tcPr>
            <w:tcW w:w="930" w:type="pct"/>
            <w:hideMark/>
          </w:tcPr>
          <w:p w:rsidR="00932D75" w:rsidRPr="008B3DF7" w:rsidRDefault="00932D75" w:rsidP="008B3DF7">
            <w:pPr>
              <w:pStyle w:val="RatesTable"/>
            </w:pPr>
            <w:r w:rsidRPr="008B3DF7">
              <w:t>4,778</w:t>
            </w:r>
          </w:p>
        </w:tc>
        <w:tc>
          <w:tcPr>
            <w:tcW w:w="1767" w:type="pct"/>
            <w:hideMark/>
          </w:tcPr>
          <w:p w:rsidR="00932D75" w:rsidRPr="008B3DF7" w:rsidRDefault="00932D75" w:rsidP="008B3DF7">
            <w:pPr>
              <w:pStyle w:val="RatesTable"/>
            </w:pPr>
            <w:r w:rsidRPr="008B3DF7">
              <w:t>5,912</w:t>
            </w:r>
          </w:p>
        </w:tc>
      </w:tr>
      <w:tr w:rsidR="00932D75" w:rsidRPr="008B3DF7" w:rsidTr="008B3DF7">
        <w:trPr>
          <w:trHeight w:val="255"/>
        </w:trPr>
        <w:tc>
          <w:tcPr>
            <w:tcW w:w="1001" w:type="pct"/>
            <w:hideMark/>
          </w:tcPr>
          <w:p w:rsidR="00932D75" w:rsidRPr="008B3DF7" w:rsidRDefault="00932D75" w:rsidP="008B3DF7">
            <w:pPr>
              <w:pStyle w:val="RatesTable"/>
            </w:pPr>
            <w:r w:rsidRPr="008B3DF7">
              <w:t>102</w:t>
            </w:r>
          </w:p>
        </w:tc>
        <w:tc>
          <w:tcPr>
            <w:tcW w:w="1302" w:type="pct"/>
            <w:hideMark/>
          </w:tcPr>
          <w:p w:rsidR="00932D75" w:rsidRPr="008B3DF7" w:rsidRDefault="00932D75" w:rsidP="008B3DF7">
            <w:pPr>
              <w:pStyle w:val="RatesTable"/>
            </w:pPr>
            <w:r w:rsidRPr="008B3DF7">
              <w:t>48.7</w:t>
            </w:r>
          </w:p>
        </w:tc>
        <w:tc>
          <w:tcPr>
            <w:tcW w:w="930" w:type="pct"/>
            <w:hideMark/>
          </w:tcPr>
          <w:p w:rsidR="00932D75" w:rsidRPr="008B3DF7" w:rsidRDefault="00932D75" w:rsidP="008B3DF7">
            <w:pPr>
              <w:pStyle w:val="RatesTable"/>
            </w:pPr>
            <w:r w:rsidRPr="008B3DF7">
              <w:t>4,898</w:t>
            </w:r>
          </w:p>
        </w:tc>
        <w:tc>
          <w:tcPr>
            <w:tcW w:w="1767" w:type="pct"/>
            <w:hideMark/>
          </w:tcPr>
          <w:p w:rsidR="00932D75" w:rsidRPr="008B3DF7" w:rsidRDefault="00932D75" w:rsidP="008B3DF7">
            <w:pPr>
              <w:pStyle w:val="RatesTable"/>
            </w:pPr>
            <w:r w:rsidRPr="008B3DF7">
              <w:t>6,061</w:t>
            </w:r>
          </w:p>
        </w:tc>
      </w:tr>
      <w:tr w:rsidR="00932D75" w:rsidRPr="008B3DF7" w:rsidTr="008B3DF7">
        <w:trPr>
          <w:trHeight w:val="255"/>
        </w:trPr>
        <w:tc>
          <w:tcPr>
            <w:tcW w:w="1001" w:type="pct"/>
            <w:hideMark/>
          </w:tcPr>
          <w:p w:rsidR="00932D75" w:rsidRPr="008B3DF7" w:rsidRDefault="00932D75" w:rsidP="008B3DF7">
            <w:pPr>
              <w:pStyle w:val="RatesTable"/>
            </w:pPr>
            <w:r w:rsidRPr="008B3DF7">
              <w:t>101</w:t>
            </w:r>
          </w:p>
        </w:tc>
        <w:tc>
          <w:tcPr>
            <w:tcW w:w="1302" w:type="pct"/>
            <w:hideMark/>
          </w:tcPr>
          <w:p w:rsidR="00932D75" w:rsidRPr="008B3DF7" w:rsidRDefault="00932D75" w:rsidP="008B3DF7">
            <w:pPr>
              <w:pStyle w:val="RatesTable"/>
            </w:pPr>
            <w:r w:rsidRPr="008B3DF7">
              <w:t>50</w:t>
            </w:r>
          </w:p>
        </w:tc>
        <w:tc>
          <w:tcPr>
            <w:tcW w:w="930" w:type="pct"/>
            <w:hideMark/>
          </w:tcPr>
          <w:p w:rsidR="00932D75" w:rsidRPr="008B3DF7" w:rsidRDefault="00932D75" w:rsidP="008B3DF7">
            <w:pPr>
              <w:pStyle w:val="RatesTable"/>
            </w:pPr>
            <w:r w:rsidRPr="008B3DF7">
              <w:t>5,029</w:t>
            </w:r>
          </w:p>
        </w:tc>
        <w:tc>
          <w:tcPr>
            <w:tcW w:w="1767" w:type="pct"/>
            <w:hideMark/>
          </w:tcPr>
          <w:p w:rsidR="00932D75" w:rsidRPr="008B3DF7" w:rsidRDefault="00932D75" w:rsidP="008B3DF7">
            <w:pPr>
              <w:pStyle w:val="RatesTable"/>
            </w:pPr>
            <w:r w:rsidRPr="008B3DF7">
              <w:t>6,223</w:t>
            </w:r>
          </w:p>
        </w:tc>
      </w:tr>
      <w:tr w:rsidR="00932D75" w:rsidRPr="008B3DF7" w:rsidTr="008B3DF7">
        <w:trPr>
          <w:trHeight w:val="255"/>
        </w:trPr>
        <w:tc>
          <w:tcPr>
            <w:tcW w:w="1001" w:type="pct"/>
            <w:hideMark/>
          </w:tcPr>
          <w:p w:rsidR="00932D75" w:rsidRPr="008B3DF7" w:rsidRDefault="00932D75" w:rsidP="008B3DF7">
            <w:pPr>
              <w:pStyle w:val="RatesTable"/>
            </w:pPr>
            <w:r w:rsidRPr="008B3DF7">
              <w:t>100</w:t>
            </w:r>
          </w:p>
        </w:tc>
        <w:tc>
          <w:tcPr>
            <w:tcW w:w="1302" w:type="pct"/>
            <w:hideMark/>
          </w:tcPr>
          <w:p w:rsidR="00932D75" w:rsidRPr="008B3DF7" w:rsidRDefault="00932D75" w:rsidP="008B3DF7">
            <w:pPr>
              <w:pStyle w:val="RatesTable"/>
            </w:pPr>
            <w:r w:rsidRPr="008B3DF7">
              <w:t>51.2</w:t>
            </w:r>
          </w:p>
        </w:tc>
        <w:tc>
          <w:tcPr>
            <w:tcW w:w="930" w:type="pct"/>
            <w:hideMark/>
          </w:tcPr>
          <w:p w:rsidR="00932D75" w:rsidRPr="008B3DF7" w:rsidRDefault="00932D75" w:rsidP="008B3DF7">
            <w:pPr>
              <w:pStyle w:val="RatesTable"/>
            </w:pPr>
            <w:r w:rsidRPr="008B3DF7">
              <w:t>5,150</w:t>
            </w:r>
          </w:p>
        </w:tc>
        <w:tc>
          <w:tcPr>
            <w:tcW w:w="1767" w:type="pct"/>
            <w:hideMark/>
          </w:tcPr>
          <w:p w:rsidR="00932D75" w:rsidRPr="008B3DF7" w:rsidRDefault="00932D75" w:rsidP="008B3DF7">
            <w:pPr>
              <w:pStyle w:val="RatesTable"/>
            </w:pPr>
            <w:r w:rsidRPr="008B3DF7">
              <w:t>6,372</w:t>
            </w:r>
          </w:p>
        </w:tc>
      </w:tr>
      <w:tr w:rsidR="00932D75" w:rsidRPr="008B3DF7" w:rsidTr="008B3DF7">
        <w:trPr>
          <w:trHeight w:val="255"/>
        </w:trPr>
        <w:tc>
          <w:tcPr>
            <w:tcW w:w="1001" w:type="pct"/>
            <w:hideMark/>
          </w:tcPr>
          <w:p w:rsidR="00932D75" w:rsidRPr="008B3DF7" w:rsidRDefault="00932D75" w:rsidP="008B3DF7">
            <w:pPr>
              <w:pStyle w:val="RatesTable"/>
            </w:pPr>
            <w:r w:rsidRPr="008B3DF7">
              <w:t>99</w:t>
            </w:r>
          </w:p>
        </w:tc>
        <w:tc>
          <w:tcPr>
            <w:tcW w:w="1302" w:type="pct"/>
            <w:hideMark/>
          </w:tcPr>
          <w:p w:rsidR="00932D75" w:rsidRPr="008B3DF7" w:rsidRDefault="00932D75" w:rsidP="008B3DF7">
            <w:pPr>
              <w:pStyle w:val="RatesTable"/>
            </w:pPr>
            <w:r w:rsidRPr="008B3DF7">
              <w:t>52.5</w:t>
            </w:r>
          </w:p>
        </w:tc>
        <w:tc>
          <w:tcPr>
            <w:tcW w:w="930" w:type="pct"/>
            <w:hideMark/>
          </w:tcPr>
          <w:p w:rsidR="00932D75" w:rsidRPr="008B3DF7" w:rsidRDefault="00932D75" w:rsidP="008B3DF7">
            <w:pPr>
              <w:pStyle w:val="RatesTable"/>
            </w:pPr>
            <w:r w:rsidRPr="008B3DF7">
              <w:t>5,280</w:t>
            </w:r>
          </w:p>
        </w:tc>
        <w:tc>
          <w:tcPr>
            <w:tcW w:w="1767" w:type="pct"/>
            <w:hideMark/>
          </w:tcPr>
          <w:p w:rsidR="00932D75" w:rsidRPr="008B3DF7" w:rsidRDefault="00932D75" w:rsidP="008B3DF7">
            <w:pPr>
              <w:pStyle w:val="RatesTable"/>
            </w:pPr>
            <w:r w:rsidRPr="008B3DF7">
              <w:t>6,534</w:t>
            </w:r>
          </w:p>
        </w:tc>
      </w:tr>
      <w:tr w:rsidR="00932D75" w:rsidRPr="008B3DF7" w:rsidTr="008B3DF7">
        <w:trPr>
          <w:trHeight w:val="255"/>
        </w:trPr>
        <w:tc>
          <w:tcPr>
            <w:tcW w:w="1001" w:type="pct"/>
            <w:hideMark/>
          </w:tcPr>
          <w:p w:rsidR="00932D75" w:rsidRPr="008B3DF7" w:rsidRDefault="00932D75" w:rsidP="008B3DF7">
            <w:pPr>
              <w:pStyle w:val="RatesTable"/>
            </w:pPr>
            <w:r w:rsidRPr="008B3DF7">
              <w:t>98</w:t>
            </w:r>
          </w:p>
        </w:tc>
        <w:tc>
          <w:tcPr>
            <w:tcW w:w="1302" w:type="pct"/>
            <w:hideMark/>
          </w:tcPr>
          <w:p w:rsidR="00932D75" w:rsidRPr="008B3DF7" w:rsidRDefault="00932D75" w:rsidP="008B3DF7">
            <w:pPr>
              <w:pStyle w:val="RatesTable"/>
            </w:pPr>
            <w:r w:rsidRPr="008B3DF7">
              <w:t>53.7</w:t>
            </w:r>
          </w:p>
        </w:tc>
        <w:tc>
          <w:tcPr>
            <w:tcW w:w="930" w:type="pct"/>
            <w:hideMark/>
          </w:tcPr>
          <w:p w:rsidR="00932D75" w:rsidRPr="008B3DF7" w:rsidRDefault="00932D75" w:rsidP="008B3DF7">
            <w:pPr>
              <w:pStyle w:val="RatesTable"/>
            </w:pPr>
            <w:r w:rsidRPr="008B3DF7">
              <w:t>5,401</w:t>
            </w:r>
          </w:p>
        </w:tc>
        <w:tc>
          <w:tcPr>
            <w:tcW w:w="1767" w:type="pct"/>
            <w:hideMark/>
          </w:tcPr>
          <w:p w:rsidR="00932D75" w:rsidRPr="008B3DF7" w:rsidRDefault="00932D75" w:rsidP="008B3DF7">
            <w:pPr>
              <w:pStyle w:val="RatesTable"/>
            </w:pPr>
            <w:r w:rsidRPr="008B3DF7">
              <w:t>6,683</w:t>
            </w:r>
          </w:p>
        </w:tc>
      </w:tr>
      <w:tr w:rsidR="00932D75" w:rsidRPr="008B3DF7" w:rsidTr="008B3DF7">
        <w:trPr>
          <w:trHeight w:val="255"/>
        </w:trPr>
        <w:tc>
          <w:tcPr>
            <w:tcW w:w="1001" w:type="pct"/>
            <w:hideMark/>
          </w:tcPr>
          <w:p w:rsidR="00932D75" w:rsidRPr="008B3DF7" w:rsidRDefault="00932D75" w:rsidP="008B3DF7">
            <w:pPr>
              <w:pStyle w:val="RatesTable"/>
            </w:pPr>
            <w:r w:rsidRPr="008B3DF7">
              <w:t>97</w:t>
            </w:r>
          </w:p>
        </w:tc>
        <w:tc>
          <w:tcPr>
            <w:tcW w:w="1302" w:type="pct"/>
            <w:hideMark/>
          </w:tcPr>
          <w:p w:rsidR="00932D75" w:rsidRPr="008B3DF7" w:rsidRDefault="00932D75" w:rsidP="008B3DF7">
            <w:pPr>
              <w:pStyle w:val="RatesTable"/>
            </w:pPr>
            <w:r w:rsidRPr="008B3DF7">
              <w:t>55</w:t>
            </w:r>
          </w:p>
        </w:tc>
        <w:tc>
          <w:tcPr>
            <w:tcW w:w="930" w:type="pct"/>
            <w:hideMark/>
          </w:tcPr>
          <w:p w:rsidR="00932D75" w:rsidRPr="008B3DF7" w:rsidRDefault="00932D75" w:rsidP="008B3DF7">
            <w:pPr>
              <w:pStyle w:val="RatesTable"/>
            </w:pPr>
            <w:r w:rsidRPr="008B3DF7">
              <w:t>5,532</w:t>
            </w:r>
          </w:p>
        </w:tc>
        <w:tc>
          <w:tcPr>
            <w:tcW w:w="1767" w:type="pct"/>
            <w:hideMark/>
          </w:tcPr>
          <w:p w:rsidR="00932D75" w:rsidRPr="008B3DF7" w:rsidRDefault="00932D75" w:rsidP="008B3DF7">
            <w:pPr>
              <w:pStyle w:val="RatesTable"/>
            </w:pPr>
            <w:r w:rsidRPr="008B3DF7">
              <w:t>6,845</w:t>
            </w:r>
          </w:p>
        </w:tc>
      </w:tr>
      <w:tr w:rsidR="00932D75" w:rsidRPr="008B3DF7" w:rsidTr="008B3DF7">
        <w:trPr>
          <w:trHeight w:val="255"/>
        </w:trPr>
        <w:tc>
          <w:tcPr>
            <w:tcW w:w="1001" w:type="pct"/>
            <w:hideMark/>
          </w:tcPr>
          <w:p w:rsidR="00932D75" w:rsidRPr="008B3DF7" w:rsidRDefault="00932D75" w:rsidP="008B3DF7">
            <w:pPr>
              <w:pStyle w:val="RatesTable"/>
            </w:pPr>
            <w:r w:rsidRPr="008B3DF7">
              <w:t>96</w:t>
            </w:r>
          </w:p>
        </w:tc>
        <w:tc>
          <w:tcPr>
            <w:tcW w:w="1302" w:type="pct"/>
            <w:hideMark/>
          </w:tcPr>
          <w:p w:rsidR="00932D75" w:rsidRPr="008B3DF7" w:rsidRDefault="00932D75" w:rsidP="008B3DF7">
            <w:pPr>
              <w:pStyle w:val="RatesTable"/>
            </w:pPr>
            <w:r w:rsidRPr="008B3DF7">
              <w:t>56.2</w:t>
            </w:r>
          </w:p>
        </w:tc>
        <w:tc>
          <w:tcPr>
            <w:tcW w:w="930" w:type="pct"/>
            <w:hideMark/>
          </w:tcPr>
          <w:p w:rsidR="00932D75" w:rsidRPr="008B3DF7" w:rsidRDefault="00932D75" w:rsidP="008B3DF7">
            <w:pPr>
              <w:pStyle w:val="RatesTable"/>
            </w:pPr>
            <w:r w:rsidRPr="008B3DF7">
              <w:t>5,653</w:t>
            </w:r>
          </w:p>
        </w:tc>
        <w:tc>
          <w:tcPr>
            <w:tcW w:w="1767" w:type="pct"/>
            <w:hideMark/>
          </w:tcPr>
          <w:p w:rsidR="00932D75" w:rsidRPr="008B3DF7" w:rsidRDefault="00932D75" w:rsidP="008B3DF7">
            <w:pPr>
              <w:pStyle w:val="RatesTable"/>
            </w:pPr>
            <w:r w:rsidRPr="008B3DF7">
              <w:t>6,995</w:t>
            </w:r>
          </w:p>
        </w:tc>
      </w:tr>
      <w:tr w:rsidR="00932D75" w:rsidRPr="008B3DF7" w:rsidTr="008B3DF7">
        <w:trPr>
          <w:trHeight w:val="255"/>
        </w:trPr>
        <w:tc>
          <w:tcPr>
            <w:tcW w:w="1001" w:type="pct"/>
            <w:hideMark/>
          </w:tcPr>
          <w:p w:rsidR="00932D75" w:rsidRPr="008B3DF7" w:rsidRDefault="00932D75" w:rsidP="008B3DF7">
            <w:pPr>
              <w:pStyle w:val="RatesTable"/>
            </w:pPr>
            <w:r w:rsidRPr="008B3DF7">
              <w:t>95</w:t>
            </w:r>
          </w:p>
        </w:tc>
        <w:tc>
          <w:tcPr>
            <w:tcW w:w="1302" w:type="pct"/>
            <w:hideMark/>
          </w:tcPr>
          <w:p w:rsidR="00932D75" w:rsidRPr="008B3DF7" w:rsidRDefault="00932D75" w:rsidP="008B3DF7">
            <w:pPr>
              <w:pStyle w:val="RatesTable"/>
            </w:pPr>
            <w:r w:rsidRPr="008B3DF7">
              <w:t>57.5</w:t>
            </w:r>
          </w:p>
        </w:tc>
        <w:tc>
          <w:tcPr>
            <w:tcW w:w="930" w:type="pct"/>
            <w:hideMark/>
          </w:tcPr>
          <w:p w:rsidR="00932D75" w:rsidRPr="008B3DF7" w:rsidRDefault="00932D75" w:rsidP="008B3DF7">
            <w:pPr>
              <w:pStyle w:val="RatesTable"/>
            </w:pPr>
            <w:r w:rsidRPr="008B3DF7">
              <w:t>5,783</w:t>
            </w:r>
          </w:p>
        </w:tc>
        <w:tc>
          <w:tcPr>
            <w:tcW w:w="1767" w:type="pct"/>
            <w:hideMark/>
          </w:tcPr>
          <w:p w:rsidR="00932D75" w:rsidRPr="008B3DF7" w:rsidRDefault="00932D75" w:rsidP="008B3DF7">
            <w:pPr>
              <w:pStyle w:val="RatesTable"/>
            </w:pPr>
            <w:r w:rsidRPr="008B3DF7">
              <w:t>7,156</w:t>
            </w:r>
          </w:p>
        </w:tc>
      </w:tr>
      <w:tr w:rsidR="00932D75" w:rsidRPr="008B3DF7" w:rsidTr="008B3DF7">
        <w:trPr>
          <w:trHeight w:val="255"/>
        </w:trPr>
        <w:tc>
          <w:tcPr>
            <w:tcW w:w="1001" w:type="pct"/>
            <w:hideMark/>
          </w:tcPr>
          <w:p w:rsidR="00932D75" w:rsidRPr="008B3DF7" w:rsidRDefault="00932D75" w:rsidP="008B3DF7">
            <w:pPr>
              <w:pStyle w:val="RatesTable"/>
            </w:pPr>
            <w:r w:rsidRPr="008B3DF7">
              <w:t>94</w:t>
            </w:r>
          </w:p>
        </w:tc>
        <w:tc>
          <w:tcPr>
            <w:tcW w:w="1302" w:type="pct"/>
            <w:hideMark/>
          </w:tcPr>
          <w:p w:rsidR="00932D75" w:rsidRPr="008B3DF7" w:rsidRDefault="00932D75" w:rsidP="008B3DF7">
            <w:pPr>
              <w:pStyle w:val="RatesTable"/>
            </w:pPr>
            <w:r w:rsidRPr="008B3DF7">
              <w:t>58.7</w:t>
            </w:r>
          </w:p>
        </w:tc>
        <w:tc>
          <w:tcPr>
            <w:tcW w:w="930" w:type="pct"/>
            <w:hideMark/>
          </w:tcPr>
          <w:p w:rsidR="00932D75" w:rsidRPr="008B3DF7" w:rsidRDefault="00932D75" w:rsidP="008B3DF7">
            <w:pPr>
              <w:pStyle w:val="RatesTable"/>
            </w:pPr>
            <w:r w:rsidRPr="008B3DF7">
              <w:t>5,904</w:t>
            </w:r>
          </w:p>
        </w:tc>
        <w:tc>
          <w:tcPr>
            <w:tcW w:w="1767" w:type="pct"/>
            <w:hideMark/>
          </w:tcPr>
          <w:p w:rsidR="00932D75" w:rsidRPr="008B3DF7" w:rsidRDefault="00932D75" w:rsidP="008B3DF7">
            <w:pPr>
              <w:pStyle w:val="RatesTable"/>
            </w:pPr>
            <w:r w:rsidRPr="008B3DF7">
              <w:t>7,306</w:t>
            </w:r>
          </w:p>
        </w:tc>
      </w:tr>
      <w:tr w:rsidR="00932D75" w:rsidRPr="008B3DF7" w:rsidTr="008B3DF7">
        <w:trPr>
          <w:trHeight w:val="255"/>
        </w:trPr>
        <w:tc>
          <w:tcPr>
            <w:tcW w:w="1001" w:type="pct"/>
            <w:hideMark/>
          </w:tcPr>
          <w:p w:rsidR="00932D75" w:rsidRPr="008B3DF7" w:rsidRDefault="00932D75" w:rsidP="008B3DF7">
            <w:pPr>
              <w:pStyle w:val="RatesTable"/>
            </w:pPr>
            <w:r w:rsidRPr="008B3DF7">
              <w:t>93</w:t>
            </w:r>
          </w:p>
        </w:tc>
        <w:tc>
          <w:tcPr>
            <w:tcW w:w="1302" w:type="pct"/>
            <w:hideMark/>
          </w:tcPr>
          <w:p w:rsidR="00932D75" w:rsidRPr="008B3DF7" w:rsidRDefault="00932D75" w:rsidP="008B3DF7">
            <w:pPr>
              <w:pStyle w:val="RatesTable"/>
            </w:pPr>
            <w:r w:rsidRPr="008B3DF7">
              <w:t>60</w:t>
            </w:r>
          </w:p>
        </w:tc>
        <w:tc>
          <w:tcPr>
            <w:tcW w:w="930" w:type="pct"/>
            <w:hideMark/>
          </w:tcPr>
          <w:p w:rsidR="00932D75" w:rsidRPr="008B3DF7" w:rsidRDefault="00932D75" w:rsidP="008B3DF7">
            <w:pPr>
              <w:pStyle w:val="RatesTable"/>
            </w:pPr>
            <w:r w:rsidRPr="008B3DF7">
              <w:t>6,035</w:t>
            </w:r>
          </w:p>
        </w:tc>
        <w:tc>
          <w:tcPr>
            <w:tcW w:w="1767" w:type="pct"/>
            <w:hideMark/>
          </w:tcPr>
          <w:p w:rsidR="00932D75" w:rsidRPr="008B3DF7" w:rsidRDefault="00932D75" w:rsidP="008B3DF7">
            <w:pPr>
              <w:pStyle w:val="RatesTable"/>
            </w:pPr>
            <w:r w:rsidRPr="008B3DF7">
              <w:t>7,467</w:t>
            </w:r>
          </w:p>
        </w:tc>
      </w:tr>
      <w:tr w:rsidR="00932D75" w:rsidRPr="008B3DF7" w:rsidTr="008B3DF7">
        <w:trPr>
          <w:trHeight w:val="255"/>
        </w:trPr>
        <w:tc>
          <w:tcPr>
            <w:tcW w:w="1001" w:type="pct"/>
            <w:hideMark/>
          </w:tcPr>
          <w:p w:rsidR="00932D75" w:rsidRPr="008B3DF7" w:rsidRDefault="00932D75" w:rsidP="008B3DF7">
            <w:pPr>
              <w:pStyle w:val="RatesTable"/>
            </w:pPr>
            <w:r w:rsidRPr="008B3DF7">
              <w:t>92</w:t>
            </w:r>
          </w:p>
        </w:tc>
        <w:tc>
          <w:tcPr>
            <w:tcW w:w="1302" w:type="pct"/>
            <w:hideMark/>
          </w:tcPr>
          <w:p w:rsidR="00932D75" w:rsidRPr="008B3DF7" w:rsidRDefault="00932D75" w:rsidP="008B3DF7">
            <w:pPr>
              <w:pStyle w:val="RatesTable"/>
            </w:pPr>
            <w:r w:rsidRPr="008B3DF7">
              <w:t>61.2</w:t>
            </w:r>
          </w:p>
        </w:tc>
        <w:tc>
          <w:tcPr>
            <w:tcW w:w="930" w:type="pct"/>
            <w:hideMark/>
          </w:tcPr>
          <w:p w:rsidR="00932D75" w:rsidRPr="008B3DF7" w:rsidRDefault="00932D75" w:rsidP="008B3DF7">
            <w:pPr>
              <w:pStyle w:val="RatesTable"/>
            </w:pPr>
            <w:r w:rsidRPr="008B3DF7">
              <w:t>6,155</w:t>
            </w:r>
          </w:p>
        </w:tc>
        <w:tc>
          <w:tcPr>
            <w:tcW w:w="1767" w:type="pct"/>
            <w:hideMark/>
          </w:tcPr>
          <w:p w:rsidR="00932D75" w:rsidRPr="008B3DF7" w:rsidRDefault="00932D75" w:rsidP="008B3DF7">
            <w:pPr>
              <w:pStyle w:val="RatesTable"/>
            </w:pPr>
            <w:r w:rsidRPr="008B3DF7">
              <w:t>7,617</w:t>
            </w:r>
          </w:p>
        </w:tc>
      </w:tr>
      <w:tr w:rsidR="00932D75" w:rsidRPr="008B3DF7" w:rsidTr="008B3DF7">
        <w:trPr>
          <w:trHeight w:val="255"/>
        </w:trPr>
        <w:tc>
          <w:tcPr>
            <w:tcW w:w="1001" w:type="pct"/>
            <w:hideMark/>
          </w:tcPr>
          <w:p w:rsidR="00932D75" w:rsidRPr="008B3DF7" w:rsidRDefault="00932D75" w:rsidP="008B3DF7">
            <w:pPr>
              <w:pStyle w:val="RatesTable"/>
            </w:pPr>
            <w:r w:rsidRPr="008B3DF7">
              <w:t>91</w:t>
            </w:r>
          </w:p>
        </w:tc>
        <w:tc>
          <w:tcPr>
            <w:tcW w:w="1302" w:type="pct"/>
            <w:hideMark/>
          </w:tcPr>
          <w:p w:rsidR="00932D75" w:rsidRPr="008B3DF7" w:rsidRDefault="00932D75" w:rsidP="008B3DF7">
            <w:pPr>
              <w:pStyle w:val="RatesTable"/>
            </w:pPr>
            <w:r w:rsidRPr="008B3DF7">
              <w:t>62.5</w:t>
            </w:r>
          </w:p>
        </w:tc>
        <w:tc>
          <w:tcPr>
            <w:tcW w:w="930" w:type="pct"/>
            <w:hideMark/>
          </w:tcPr>
          <w:p w:rsidR="00932D75" w:rsidRPr="008B3DF7" w:rsidRDefault="00932D75" w:rsidP="008B3DF7">
            <w:pPr>
              <w:pStyle w:val="RatesTable"/>
            </w:pPr>
            <w:r w:rsidRPr="008B3DF7">
              <w:t>6,286</w:t>
            </w:r>
          </w:p>
        </w:tc>
        <w:tc>
          <w:tcPr>
            <w:tcW w:w="1767" w:type="pct"/>
            <w:hideMark/>
          </w:tcPr>
          <w:p w:rsidR="00932D75" w:rsidRPr="008B3DF7" w:rsidRDefault="00932D75" w:rsidP="008B3DF7">
            <w:pPr>
              <w:pStyle w:val="RatesTable"/>
            </w:pPr>
            <w:r w:rsidRPr="008B3DF7">
              <w:t>7,779</w:t>
            </w:r>
          </w:p>
        </w:tc>
      </w:tr>
      <w:tr w:rsidR="00932D75" w:rsidRPr="008B3DF7" w:rsidTr="008B3DF7">
        <w:trPr>
          <w:trHeight w:val="255"/>
        </w:trPr>
        <w:tc>
          <w:tcPr>
            <w:tcW w:w="1001" w:type="pct"/>
            <w:hideMark/>
          </w:tcPr>
          <w:p w:rsidR="00932D75" w:rsidRPr="008B3DF7" w:rsidRDefault="00932D75" w:rsidP="008B3DF7">
            <w:pPr>
              <w:pStyle w:val="RatesTable"/>
            </w:pPr>
            <w:r w:rsidRPr="008B3DF7">
              <w:t>90</w:t>
            </w:r>
          </w:p>
        </w:tc>
        <w:tc>
          <w:tcPr>
            <w:tcW w:w="1302" w:type="pct"/>
            <w:hideMark/>
          </w:tcPr>
          <w:p w:rsidR="00932D75" w:rsidRPr="008B3DF7" w:rsidRDefault="00932D75" w:rsidP="008B3DF7">
            <w:pPr>
              <w:pStyle w:val="RatesTable"/>
            </w:pPr>
            <w:r w:rsidRPr="008B3DF7">
              <w:t>63.7</w:t>
            </w:r>
          </w:p>
        </w:tc>
        <w:tc>
          <w:tcPr>
            <w:tcW w:w="930" w:type="pct"/>
            <w:hideMark/>
          </w:tcPr>
          <w:p w:rsidR="00932D75" w:rsidRPr="008B3DF7" w:rsidRDefault="00932D75" w:rsidP="008B3DF7">
            <w:pPr>
              <w:pStyle w:val="RatesTable"/>
            </w:pPr>
            <w:r w:rsidRPr="008B3DF7">
              <w:t>6,407</w:t>
            </w:r>
          </w:p>
        </w:tc>
        <w:tc>
          <w:tcPr>
            <w:tcW w:w="1767" w:type="pct"/>
            <w:hideMark/>
          </w:tcPr>
          <w:p w:rsidR="00932D75" w:rsidRPr="008B3DF7" w:rsidRDefault="00932D75" w:rsidP="008B3DF7">
            <w:pPr>
              <w:pStyle w:val="RatesTable"/>
            </w:pPr>
            <w:r w:rsidRPr="008B3DF7">
              <w:t>7,928</w:t>
            </w:r>
          </w:p>
        </w:tc>
      </w:tr>
      <w:tr w:rsidR="00932D75" w:rsidRPr="008B3DF7" w:rsidTr="008B3DF7">
        <w:trPr>
          <w:trHeight w:val="255"/>
        </w:trPr>
        <w:tc>
          <w:tcPr>
            <w:tcW w:w="1001" w:type="pct"/>
            <w:hideMark/>
          </w:tcPr>
          <w:p w:rsidR="00932D75" w:rsidRPr="008B3DF7" w:rsidRDefault="00932D75" w:rsidP="008B3DF7">
            <w:pPr>
              <w:pStyle w:val="RatesTable"/>
            </w:pPr>
            <w:r w:rsidRPr="008B3DF7">
              <w:t>89</w:t>
            </w:r>
          </w:p>
        </w:tc>
        <w:tc>
          <w:tcPr>
            <w:tcW w:w="1302" w:type="pct"/>
            <w:hideMark/>
          </w:tcPr>
          <w:p w:rsidR="00932D75" w:rsidRPr="008B3DF7" w:rsidRDefault="00932D75" w:rsidP="008B3DF7">
            <w:pPr>
              <w:pStyle w:val="RatesTable"/>
            </w:pPr>
            <w:r w:rsidRPr="008B3DF7">
              <w:t>65</w:t>
            </w:r>
          </w:p>
        </w:tc>
        <w:tc>
          <w:tcPr>
            <w:tcW w:w="930" w:type="pct"/>
            <w:hideMark/>
          </w:tcPr>
          <w:p w:rsidR="00932D75" w:rsidRPr="008B3DF7" w:rsidRDefault="00932D75" w:rsidP="008B3DF7">
            <w:pPr>
              <w:pStyle w:val="RatesTable"/>
            </w:pPr>
            <w:r w:rsidRPr="008B3DF7">
              <w:t>6,538</w:t>
            </w:r>
          </w:p>
        </w:tc>
        <w:tc>
          <w:tcPr>
            <w:tcW w:w="1767" w:type="pct"/>
            <w:hideMark/>
          </w:tcPr>
          <w:p w:rsidR="00932D75" w:rsidRPr="008B3DF7" w:rsidRDefault="00932D75" w:rsidP="008B3DF7">
            <w:pPr>
              <w:pStyle w:val="RatesTable"/>
            </w:pPr>
            <w:r w:rsidRPr="008B3DF7">
              <w:t>8,090</w:t>
            </w:r>
          </w:p>
        </w:tc>
      </w:tr>
      <w:tr w:rsidR="00932D75" w:rsidRPr="008B3DF7" w:rsidTr="008B3DF7">
        <w:trPr>
          <w:trHeight w:val="255"/>
        </w:trPr>
        <w:tc>
          <w:tcPr>
            <w:tcW w:w="1001" w:type="pct"/>
            <w:hideMark/>
          </w:tcPr>
          <w:p w:rsidR="00932D75" w:rsidRPr="008B3DF7" w:rsidRDefault="00932D75" w:rsidP="008B3DF7">
            <w:pPr>
              <w:pStyle w:val="RatesTable"/>
            </w:pPr>
            <w:r w:rsidRPr="008B3DF7">
              <w:t>88</w:t>
            </w:r>
          </w:p>
        </w:tc>
        <w:tc>
          <w:tcPr>
            <w:tcW w:w="1302" w:type="pct"/>
            <w:hideMark/>
          </w:tcPr>
          <w:p w:rsidR="00932D75" w:rsidRPr="008B3DF7" w:rsidRDefault="00932D75" w:rsidP="008B3DF7">
            <w:pPr>
              <w:pStyle w:val="RatesTable"/>
            </w:pPr>
            <w:r w:rsidRPr="008B3DF7">
              <w:t>66.2</w:t>
            </w:r>
          </w:p>
        </w:tc>
        <w:tc>
          <w:tcPr>
            <w:tcW w:w="930" w:type="pct"/>
            <w:hideMark/>
          </w:tcPr>
          <w:p w:rsidR="00932D75" w:rsidRPr="008B3DF7" w:rsidRDefault="00932D75" w:rsidP="008B3DF7">
            <w:pPr>
              <w:pStyle w:val="RatesTable"/>
            </w:pPr>
            <w:r w:rsidRPr="008B3DF7">
              <w:t>6,658</w:t>
            </w:r>
          </w:p>
        </w:tc>
        <w:tc>
          <w:tcPr>
            <w:tcW w:w="1767" w:type="pct"/>
            <w:hideMark/>
          </w:tcPr>
          <w:p w:rsidR="00932D75" w:rsidRPr="008B3DF7" w:rsidRDefault="00932D75" w:rsidP="008B3DF7">
            <w:pPr>
              <w:pStyle w:val="RatesTable"/>
            </w:pPr>
            <w:r w:rsidRPr="008B3DF7">
              <w:t>8,239</w:t>
            </w:r>
          </w:p>
        </w:tc>
      </w:tr>
      <w:tr w:rsidR="00932D75" w:rsidRPr="008B3DF7" w:rsidTr="008B3DF7">
        <w:trPr>
          <w:trHeight w:val="255"/>
        </w:trPr>
        <w:tc>
          <w:tcPr>
            <w:tcW w:w="1001" w:type="pct"/>
            <w:hideMark/>
          </w:tcPr>
          <w:p w:rsidR="00932D75" w:rsidRPr="008B3DF7" w:rsidRDefault="00932D75" w:rsidP="008B3DF7">
            <w:pPr>
              <w:pStyle w:val="RatesTable"/>
            </w:pPr>
            <w:r w:rsidRPr="008B3DF7">
              <w:t>87</w:t>
            </w:r>
          </w:p>
        </w:tc>
        <w:tc>
          <w:tcPr>
            <w:tcW w:w="1302" w:type="pct"/>
            <w:hideMark/>
          </w:tcPr>
          <w:p w:rsidR="00932D75" w:rsidRPr="008B3DF7" w:rsidRDefault="00932D75" w:rsidP="008B3DF7">
            <w:pPr>
              <w:pStyle w:val="RatesTable"/>
            </w:pPr>
            <w:r w:rsidRPr="008B3DF7">
              <w:t>67.5</w:t>
            </w:r>
          </w:p>
        </w:tc>
        <w:tc>
          <w:tcPr>
            <w:tcW w:w="930" w:type="pct"/>
            <w:hideMark/>
          </w:tcPr>
          <w:p w:rsidR="00932D75" w:rsidRPr="008B3DF7" w:rsidRDefault="00932D75" w:rsidP="008B3DF7">
            <w:pPr>
              <w:pStyle w:val="RatesTable"/>
            </w:pPr>
            <w:r w:rsidRPr="008B3DF7">
              <w:t>6,789</w:t>
            </w:r>
          </w:p>
        </w:tc>
        <w:tc>
          <w:tcPr>
            <w:tcW w:w="1767" w:type="pct"/>
            <w:hideMark/>
          </w:tcPr>
          <w:p w:rsidR="00932D75" w:rsidRPr="008B3DF7" w:rsidRDefault="00932D75" w:rsidP="008B3DF7">
            <w:pPr>
              <w:pStyle w:val="RatesTable"/>
            </w:pPr>
            <w:r w:rsidRPr="008B3DF7">
              <w:t>8,401</w:t>
            </w:r>
          </w:p>
        </w:tc>
      </w:tr>
      <w:tr w:rsidR="00932D75" w:rsidRPr="008B3DF7" w:rsidTr="008B3DF7">
        <w:trPr>
          <w:trHeight w:val="255"/>
        </w:trPr>
        <w:tc>
          <w:tcPr>
            <w:tcW w:w="1001" w:type="pct"/>
            <w:hideMark/>
          </w:tcPr>
          <w:p w:rsidR="00932D75" w:rsidRPr="008B3DF7" w:rsidRDefault="00932D75" w:rsidP="008B3DF7">
            <w:pPr>
              <w:pStyle w:val="RatesTable"/>
            </w:pPr>
            <w:r w:rsidRPr="008B3DF7">
              <w:t>86</w:t>
            </w:r>
          </w:p>
        </w:tc>
        <w:tc>
          <w:tcPr>
            <w:tcW w:w="1302" w:type="pct"/>
            <w:hideMark/>
          </w:tcPr>
          <w:p w:rsidR="00932D75" w:rsidRPr="008B3DF7" w:rsidRDefault="00932D75" w:rsidP="008B3DF7">
            <w:pPr>
              <w:pStyle w:val="RatesTable"/>
            </w:pPr>
            <w:r w:rsidRPr="008B3DF7">
              <w:t>68.7</w:t>
            </w:r>
          </w:p>
        </w:tc>
        <w:tc>
          <w:tcPr>
            <w:tcW w:w="930" w:type="pct"/>
            <w:hideMark/>
          </w:tcPr>
          <w:p w:rsidR="00932D75" w:rsidRPr="008B3DF7" w:rsidRDefault="00932D75" w:rsidP="008B3DF7">
            <w:pPr>
              <w:pStyle w:val="RatesTable"/>
            </w:pPr>
            <w:r w:rsidRPr="008B3DF7">
              <w:t>6,910</w:t>
            </w:r>
          </w:p>
        </w:tc>
        <w:tc>
          <w:tcPr>
            <w:tcW w:w="1767" w:type="pct"/>
            <w:hideMark/>
          </w:tcPr>
          <w:p w:rsidR="00932D75" w:rsidRPr="008B3DF7" w:rsidRDefault="00932D75" w:rsidP="008B3DF7">
            <w:pPr>
              <w:pStyle w:val="RatesTable"/>
            </w:pPr>
            <w:r w:rsidRPr="008B3DF7">
              <w:t>8,550</w:t>
            </w:r>
          </w:p>
        </w:tc>
      </w:tr>
      <w:tr w:rsidR="00932D75" w:rsidRPr="008B3DF7" w:rsidTr="008B3DF7">
        <w:trPr>
          <w:trHeight w:val="255"/>
        </w:trPr>
        <w:tc>
          <w:tcPr>
            <w:tcW w:w="1001" w:type="pct"/>
            <w:hideMark/>
          </w:tcPr>
          <w:p w:rsidR="00932D75" w:rsidRPr="008B3DF7" w:rsidRDefault="00932D75" w:rsidP="008B3DF7">
            <w:pPr>
              <w:pStyle w:val="RatesTable"/>
            </w:pPr>
            <w:r w:rsidRPr="008B3DF7">
              <w:t>85 or less</w:t>
            </w:r>
          </w:p>
        </w:tc>
        <w:tc>
          <w:tcPr>
            <w:tcW w:w="1302" w:type="pct"/>
            <w:hideMark/>
          </w:tcPr>
          <w:p w:rsidR="00932D75" w:rsidRPr="008B3DF7" w:rsidRDefault="00932D75" w:rsidP="008B3DF7">
            <w:pPr>
              <w:pStyle w:val="RatesTable"/>
            </w:pPr>
            <w:r w:rsidRPr="008B3DF7">
              <w:t>70</w:t>
            </w:r>
          </w:p>
        </w:tc>
        <w:tc>
          <w:tcPr>
            <w:tcW w:w="930" w:type="pct"/>
            <w:hideMark/>
          </w:tcPr>
          <w:p w:rsidR="00932D75" w:rsidRPr="008B3DF7" w:rsidRDefault="00932D75" w:rsidP="008B3DF7">
            <w:pPr>
              <w:pStyle w:val="RatesTable"/>
            </w:pPr>
            <w:r w:rsidRPr="008B3DF7">
              <w:t>7,040</w:t>
            </w:r>
          </w:p>
        </w:tc>
        <w:tc>
          <w:tcPr>
            <w:tcW w:w="1767" w:type="pct"/>
            <w:hideMark/>
          </w:tcPr>
          <w:p w:rsidR="00932D75" w:rsidRPr="008B3DF7" w:rsidRDefault="00932D75" w:rsidP="008B3DF7">
            <w:pPr>
              <w:pStyle w:val="RatesTable"/>
            </w:pPr>
            <w:r w:rsidRPr="008B3DF7">
              <w:t>8,712</w:t>
            </w:r>
          </w:p>
        </w:tc>
      </w:tr>
    </w:tbl>
    <w:p w:rsidR="008413B8" w:rsidRPr="00213E72" w:rsidRDefault="00F11ED3" w:rsidP="008B3DF7">
      <w:pPr>
        <w:pStyle w:val="FootnoteText"/>
      </w:pPr>
      <w:r w:rsidRPr="00213E72">
        <w:t>(AGSRC: Average Government School Recurrent Costs)</w:t>
      </w:r>
      <w:bookmarkEnd w:id="20"/>
      <w:r w:rsidR="003C5544">
        <w:br/>
      </w:r>
      <w:r w:rsidR="008413B8" w:rsidRPr="00213E72">
        <w:br w:type="page"/>
      </w:r>
    </w:p>
    <w:p w:rsidR="00F11ED3" w:rsidRPr="00213E72" w:rsidRDefault="00F11ED3" w:rsidP="008B3DF7">
      <w:pPr>
        <w:pStyle w:val="Heading3"/>
      </w:pPr>
      <w:r w:rsidRPr="002025C0">
        <w:lastRenderedPageBreak/>
        <w:t>Table 2:  Non-</w:t>
      </w:r>
      <w:r w:rsidR="00461751" w:rsidRPr="002025C0">
        <w:t>g</w:t>
      </w:r>
      <w:r w:rsidRPr="002025C0">
        <w:t xml:space="preserve">overnment per capita rates for </w:t>
      </w:r>
      <w:r w:rsidR="001D25CD" w:rsidRPr="002025C0">
        <w:t>201</w:t>
      </w:r>
      <w:r w:rsidR="00CB0346" w:rsidRPr="002025C0">
        <w:t>2</w:t>
      </w:r>
      <w:r w:rsidR="001D25CD" w:rsidRPr="002025C0">
        <w:t xml:space="preserve"> </w:t>
      </w:r>
      <w:r w:rsidRPr="002025C0">
        <w:t>maintained funding</w:t>
      </w:r>
      <w:r w:rsidRPr="00213E72">
        <w:t xml:space="preserve"> </w:t>
      </w:r>
    </w:p>
    <w:tbl>
      <w:tblPr>
        <w:tblW w:w="7327" w:type="dxa"/>
        <w:jc w:val="center"/>
        <w:tblLook w:val="0020" w:firstRow="1" w:lastRow="0" w:firstColumn="0" w:lastColumn="0" w:noHBand="0" w:noVBand="0"/>
        <w:tblDescription w:val="Table 2:  Non-government per capita rates for 2012 maintained funding "/>
      </w:tblPr>
      <w:tblGrid>
        <w:gridCol w:w="1810"/>
        <w:gridCol w:w="2078"/>
        <w:gridCol w:w="1596"/>
        <w:gridCol w:w="1843"/>
      </w:tblGrid>
      <w:tr w:rsidR="00F11ED3" w:rsidRPr="00213E72" w:rsidTr="00835D63">
        <w:trPr>
          <w:trHeight w:val="255"/>
          <w:tblHeader/>
          <w:jc w:val="center"/>
        </w:trPr>
        <w:tc>
          <w:tcPr>
            <w:tcW w:w="1810" w:type="dxa"/>
            <w:tcBorders>
              <w:top w:val="single" w:sz="4" w:space="0" w:color="auto"/>
              <w:left w:val="single" w:sz="4" w:space="0" w:color="auto"/>
              <w:bottom w:val="single" w:sz="4" w:space="0" w:color="auto"/>
              <w:right w:val="nil"/>
            </w:tcBorders>
            <w:noWrap/>
            <w:vAlign w:val="center"/>
          </w:tcPr>
          <w:p w:rsidR="00F11ED3" w:rsidRPr="00213E72" w:rsidRDefault="00F11ED3" w:rsidP="008B3DF7">
            <w:pPr>
              <w:pStyle w:val="RatesTable"/>
            </w:pPr>
            <w:r w:rsidRPr="00213E72">
              <w:t>Primary Year</w:t>
            </w:r>
            <w:r w:rsidR="008B3DF7">
              <w:br/>
              <w:t>2000 funding</w:t>
            </w:r>
            <w:r w:rsidR="008B3DF7">
              <w:br/>
              <w:t>Level</w:t>
            </w:r>
            <w:r w:rsidR="008B3DF7">
              <w:br/>
            </w:r>
            <w:r w:rsidR="008B3DF7" w:rsidRPr="00213E72">
              <w:t>(% of AGSRC)</w:t>
            </w:r>
            <w:r w:rsidR="006B6826">
              <w:br/>
            </w:r>
          </w:p>
        </w:tc>
        <w:tc>
          <w:tcPr>
            <w:tcW w:w="2078" w:type="dxa"/>
            <w:tcBorders>
              <w:top w:val="single" w:sz="4" w:space="0" w:color="auto"/>
              <w:left w:val="single" w:sz="4" w:space="0" w:color="auto"/>
              <w:bottom w:val="single" w:sz="4" w:space="0" w:color="auto"/>
              <w:right w:val="single" w:sz="4" w:space="0" w:color="auto"/>
            </w:tcBorders>
            <w:noWrap/>
            <w:vAlign w:val="center"/>
          </w:tcPr>
          <w:p w:rsidR="00F11ED3" w:rsidRPr="00213E72" w:rsidRDefault="00F11ED3" w:rsidP="008B3DF7">
            <w:pPr>
              <w:pStyle w:val="RatesTable"/>
            </w:pPr>
            <w:r w:rsidRPr="00213E72">
              <w:t>Primary rate</w:t>
            </w:r>
            <w:r w:rsidR="008B3DF7">
              <w:br/>
              <w:t>per student</w:t>
            </w:r>
            <w:r w:rsidR="008B3DF7">
              <w:br/>
            </w:r>
            <w:r w:rsidR="008B3DF7" w:rsidRPr="00213E72">
              <w:t>$</w:t>
            </w:r>
          </w:p>
        </w:tc>
        <w:tc>
          <w:tcPr>
            <w:tcW w:w="1596" w:type="dxa"/>
            <w:tcBorders>
              <w:top w:val="single" w:sz="4" w:space="0" w:color="auto"/>
              <w:left w:val="nil"/>
              <w:bottom w:val="single" w:sz="4" w:space="0" w:color="auto"/>
              <w:right w:val="single" w:sz="4" w:space="0" w:color="auto"/>
            </w:tcBorders>
            <w:noWrap/>
            <w:vAlign w:val="center"/>
          </w:tcPr>
          <w:p w:rsidR="00F11ED3" w:rsidRPr="00213E72" w:rsidRDefault="00F11ED3" w:rsidP="008B3DF7">
            <w:pPr>
              <w:pStyle w:val="RatesTable"/>
            </w:pPr>
            <w:r w:rsidRPr="00213E72">
              <w:t>Secondary Year</w:t>
            </w:r>
            <w:r w:rsidR="008B3DF7">
              <w:br/>
              <w:t>2000 funding</w:t>
            </w:r>
            <w:r w:rsidR="008B3DF7">
              <w:br/>
              <w:t>Level</w:t>
            </w:r>
            <w:r w:rsidR="008B3DF7">
              <w:br/>
            </w:r>
            <w:r w:rsidR="008B3DF7" w:rsidRPr="00213E72">
              <w:t>(% of AGSRC)</w:t>
            </w:r>
          </w:p>
        </w:tc>
        <w:tc>
          <w:tcPr>
            <w:tcW w:w="1843" w:type="dxa"/>
            <w:tcBorders>
              <w:top w:val="single" w:sz="4" w:space="0" w:color="auto"/>
              <w:left w:val="nil"/>
              <w:bottom w:val="single" w:sz="4" w:space="0" w:color="auto"/>
              <w:right w:val="single" w:sz="4" w:space="0" w:color="auto"/>
            </w:tcBorders>
            <w:noWrap/>
            <w:vAlign w:val="center"/>
          </w:tcPr>
          <w:p w:rsidR="00F11ED3" w:rsidRPr="00213E72" w:rsidRDefault="00F11ED3" w:rsidP="008B3DF7">
            <w:pPr>
              <w:pStyle w:val="RatesTable"/>
            </w:pPr>
            <w:r w:rsidRPr="00213E72">
              <w:t>Secondary rate</w:t>
            </w:r>
            <w:r w:rsidR="008B3DF7">
              <w:br/>
              <w:t>per student</w:t>
            </w:r>
            <w:r w:rsidR="008B3DF7">
              <w:br/>
              <w:t>$</w:t>
            </w:r>
          </w:p>
        </w:tc>
      </w:tr>
      <w:tr w:rsidR="008B3DF7" w:rsidRPr="00213E72" w:rsidTr="00835D63">
        <w:trPr>
          <w:trHeight w:val="255"/>
          <w:tblHeader/>
          <w:jc w:val="center"/>
        </w:trPr>
        <w:tc>
          <w:tcPr>
            <w:tcW w:w="1810" w:type="dxa"/>
            <w:tcBorders>
              <w:top w:val="single" w:sz="4" w:space="0" w:color="auto"/>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11.8</w:t>
            </w:r>
          </w:p>
        </w:tc>
        <w:tc>
          <w:tcPr>
            <w:tcW w:w="2078" w:type="dxa"/>
            <w:tcBorders>
              <w:top w:val="single" w:sz="4" w:space="0" w:color="auto"/>
              <w:left w:val="nil"/>
              <w:bottom w:val="single" w:sz="4" w:space="0" w:color="auto"/>
              <w:right w:val="single" w:sz="4" w:space="0" w:color="auto"/>
            </w:tcBorders>
            <w:noWrap/>
            <w:vAlign w:val="center"/>
          </w:tcPr>
          <w:p w:rsidR="008B3DF7" w:rsidRPr="00213E72" w:rsidRDefault="008B3DF7" w:rsidP="008B3DF7">
            <w:pPr>
              <w:pStyle w:val="RatesTable"/>
            </w:pPr>
            <w:r>
              <w:t>1,187</w:t>
            </w:r>
          </w:p>
        </w:tc>
        <w:tc>
          <w:tcPr>
            <w:tcW w:w="1596" w:type="dxa"/>
            <w:tcBorders>
              <w:top w:val="single" w:sz="4" w:space="0" w:color="auto"/>
              <w:left w:val="nil"/>
              <w:bottom w:val="single" w:sz="4" w:space="0" w:color="auto"/>
              <w:right w:val="single" w:sz="4" w:space="0" w:color="auto"/>
            </w:tcBorders>
            <w:noWrap/>
            <w:vAlign w:val="center"/>
          </w:tcPr>
          <w:p w:rsidR="008B3DF7" w:rsidRPr="00213E72" w:rsidRDefault="008B3DF7" w:rsidP="008B3DF7">
            <w:pPr>
              <w:pStyle w:val="RatesTable"/>
            </w:pPr>
            <w:r w:rsidRPr="00213E72">
              <w:t>14.2</w:t>
            </w:r>
          </w:p>
        </w:tc>
        <w:tc>
          <w:tcPr>
            <w:tcW w:w="1843" w:type="dxa"/>
            <w:tcBorders>
              <w:top w:val="single" w:sz="4" w:space="0" w:color="auto"/>
              <w:left w:val="nil"/>
              <w:bottom w:val="single" w:sz="4" w:space="0" w:color="auto"/>
              <w:right w:val="single" w:sz="4" w:space="0" w:color="auto"/>
            </w:tcBorders>
            <w:noWrap/>
            <w:vAlign w:val="center"/>
          </w:tcPr>
          <w:p w:rsidR="008B3DF7" w:rsidRPr="00213E72" w:rsidRDefault="008B3DF7" w:rsidP="008B3DF7">
            <w:pPr>
              <w:pStyle w:val="RatesTable"/>
            </w:pPr>
            <w:r>
              <w:t>1,768</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14.0</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1,408</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15.6</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1,942</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15.7</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1,579</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18.9</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2,353</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19.6</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1,972</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21.9</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2,726</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19.7</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1,982</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21.9</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2,726</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23.9</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2,404</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28.7</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3,572</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29.0</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2,917</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32.2</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4,008</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32.0</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3,219</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35.7</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4,443</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34.7</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3,490</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38.8</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4,829</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35.0</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3,520</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39.1</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4,866</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38.7</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3,893</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43.2</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5,377</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43.8</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4,405</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48.8</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6,074</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47.5</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4,778</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53.0</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6,596</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51.6</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5,190</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57.5</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7,156</w:t>
            </w:r>
          </w:p>
        </w:tc>
      </w:tr>
      <w:tr w:rsidR="008B3DF7" w:rsidRPr="00213E72" w:rsidTr="00835D63">
        <w:trPr>
          <w:trHeight w:val="255"/>
          <w:tblHeader/>
          <w:jc w:val="center"/>
        </w:trPr>
        <w:tc>
          <w:tcPr>
            <w:tcW w:w="1810" w:type="dxa"/>
            <w:tcBorders>
              <w:top w:val="nil"/>
              <w:left w:val="single" w:sz="4" w:space="0" w:color="auto"/>
              <w:bottom w:val="single" w:sz="4" w:space="0" w:color="auto"/>
              <w:right w:val="single" w:sz="4" w:space="0" w:color="auto"/>
            </w:tcBorders>
            <w:noWrap/>
            <w:vAlign w:val="center"/>
          </w:tcPr>
          <w:p w:rsidR="008B3DF7" w:rsidRPr="00213E72" w:rsidRDefault="008B3DF7" w:rsidP="008B3DF7">
            <w:pPr>
              <w:pStyle w:val="RatesTable"/>
            </w:pPr>
            <w:r w:rsidRPr="00213E72">
              <w:t>56.0</w:t>
            </w:r>
          </w:p>
        </w:tc>
        <w:tc>
          <w:tcPr>
            <w:tcW w:w="2078"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5,632</w:t>
            </w:r>
          </w:p>
        </w:tc>
        <w:tc>
          <w:tcPr>
            <w:tcW w:w="1596"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rsidRPr="00213E72">
              <w:t>62.4</w:t>
            </w:r>
          </w:p>
        </w:tc>
        <w:tc>
          <w:tcPr>
            <w:tcW w:w="1843" w:type="dxa"/>
            <w:tcBorders>
              <w:top w:val="nil"/>
              <w:left w:val="nil"/>
              <w:bottom w:val="single" w:sz="4" w:space="0" w:color="auto"/>
              <w:right w:val="single" w:sz="4" w:space="0" w:color="auto"/>
            </w:tcBorders>
            <w:noWrap/>
            <w:vAlign w:val="center"/>
          </w:tcPr>
          <w:p w:rsidR="008B3DF7" w:rsidRPr="00213E72" w:rsidRDefault="008B3DF7" w:rsidP="008B3DF7">
            <w:pPr>
              <w:pStyle w:val="RatesTable"/>
            </w:pPr>
            <w:r>
              <w:t>7,766</w:t>
            </w:r>
          </w:p>
        </w:tc>
      </w:tr>
    </w:tbl>
    <w:p w:rsidR="00F11ED3" w:rsidRPr="00213E72" w:rsidRDefault="00F11ED3" w:rsidP="008B3DF7">
      <w:pPr>
        <w:pStyle w:val="FootnoteText"/>
      </w:pPr>
      <w:r w:rsidRPr="00213E72">
        <w:t>(AGSRC: Average Government School Recurrent Costs)</w:t>
      </w:r>
    </w:p>
    <w:p w:rsidR="00F11ED3" w:rsidRPr="00213E72" w:rsidRDefault="00F11ED3" w:rsidP="006F330B">
      <w:pPr>
        <w:pStyle w:val="Heading2"/>
      </w:pPr>
      <w:bookmarkStart w:id="21" w:name="_Toc54166276"/>
      <w:bookmarkStart w:id="22" w:name="_Toc188345356"/>
      <w:r w:rsidRPr="00213E72">
        <w:br w:type="page"/>
      </w:r>
      <w:bookmarkEnd w:id="21"/>
      <w:bookmarkEnd w:id="22"/>
    </w:p>
    <w:p w:rsidR="00F11ED3" w:rsidRPr="00213E72" w:rsidRDefault="00F11ED3" w:rsidP="006B6826">
      <w:pPr>
        <w:pStyle w:val="Heading2"/>
      </w:pPr>
      <w:bookmarkStart w:id="23" w:name="_Toc54166277"/>
      <w:bookmarkStart w:id="24" w:name="_Toc188345357"/>
      <w:bookmarkStart w:id="25" w:name="_Toc414963247"/>
      <w:bookmarkStart w:id="26" w:name="_Toc414963357"/>
      <w:bookmarkStart w:id="27" w:name="_Toc414969250"/>
      <w:r w:rsidRPr="00213E72">
        <w:lastRenderedPageBreak/>
        <w:t>Distance Education</w:t>
      </w:r>
      <w:bookmarkEnd w:id="23"/>
      <w:bookmarkEnd w:id="24"/>
      <w:bookmarkEnd w:id="25"/>
      <w:bookmarkEnd w:id="26"/>
      <w:bookmarkEnd w:id="27"/>
    </w:p>
    <w:p w:rsidR="00F11ED3" w:rsidRPr="00213E72" w:rsidRDefault="00F11ED3" w:rsidP="0048108E">
      <w:r w:rsidRPr="00213E72">
        <w:t xml:space="preserve">Recurrent Grants </w:t>
      </w:r>
      <w:r w:rsidR="00B910B6">
        <w:t>were</w:t>
      </w:r>
      <w:r w:rsidRPr="00213E72">
        <w:t xml:space="preserve"> available for Distance Education (DE) students in eligible non-government schools. </w:t>
      </w:r>
      <w:r w:rsidR="0074016B" w:rsidRPr="00213E72">
        <w:t xml:space="preserve"> </w:t>
      </w:r>
      <w:r w:rsidRPr="00213E72">
        <w:t xml:space="preserve">To be eligible for funding, DE students must reside in the </w:t>
      </w:r>
      <w:r w:rsidR="00461751" w:rsidRPr="00213E72">
        <w:t>s</w:t>
      </w:r>
      <w:r w:rsidRPr="00213E72">
        <w:t xml:space="preserve">tate in which their school is located and not be home education students.  A school must have </w:t>
      </w:r>
      <w:r w:rsidR="00461751" w:rsidRPr="00213E72">
        <w:t>s</w:t>
      </w:r>
      <w:r w:rsidRPr="00213E72">
        <w:t xml:space="preserve">tate or </w:t>
      </w:r>
      <w:r w:rsidR="00461751" w:rsidRPr="00213E72">
        <w:t>t</w:t>
      </w:r>
      <w:r w:rsidRPr="00213E72">
        <w:t xml:space="preserve">erritory recognition for the provision of DE at a level of education and location for which the school is already being funded.  In </w:t>
      </w:r>
      <w:r w:rsidR="00461751" w:rsidRPr="00213E72">
        <w:t>s</w:t>
      </w:r>
      <w:r w:rsidRPr="00213E72">
        <w:t xml:space="preserve">tates or </w:t>
      </w:r>
      <w:r w:rsidR="00461751" w:rsidRPr="00213E72">
        <w:t>t</w:t>
      </w:r>
      <w:r w:rsidRPr="00213E72">
        <w:t xml:space="preserve">erritories where there is no specific registration or recognition of DE provision, </w:t>
      </w:r>
      <w:r w:rsidR="00461751" w:rsidRPr="00213E72">
        <w:t>s</w:t>
      </w:r>
      <w:r w:rsidRPr="00213E72">
        <w:t xml:space="preserve">tate or </w:t>
      </w:r>
      <w:r w:rsidR="00461751" w:rsidRPr="00213E72">
        <w:t>t</w:t>
      </w:r>
      <w:r w:rsidRPr="00213E72">
        <w:t>erritory recurrent funding of these students will be accepted as evidence of recognition by the appropriate authorities.</w:t>
      </w:r>
    </w:p>
    <w:p w:rsidR="00835D63" w:rsidRDefault="00F11ED3" w:rsidP="0048108E">
      <w:r w:rsidRPr="00213E72">
        <w:t>Once approved, the school or system is able to receive recurrent grants for its DE students at the base rate of 13.7% of the primary or secondary AGSRC amounts on a Full-Time-Equivalent basis. That is, the school authority will receive funding having regard to the nature of the course load those students are undertaking and the time they are actually receiving DE from the school.</w:t>
      </w:r>
    </w:p>
    <w:p w:rsidR="00F11ED3" w:rsidRPr="00213E72" w:rsidRDefault="00F11ED3" w:rsidP="0048108E">
      <w:r w:rsidRPr="004423BA">
        <w:t xml:space="preserve">In </w:t>
      </w:r>
      <w:r w:rsidR="001D25CD" w:rsidRPr="004423BA">
        <w:t>201</w:t>
      </w:r>
      <w:r w:rsidR="00AB1F72" w:rsidRPr="004423BA">
        <w:t>2</w:t>
      </w:r>
      <w:r w:rsidR="001D25CD" w:rsidRPr="004423BA">
        <w:t xml:space="preserve"> </w:t>
      </w:r>
      <w:r w:rsidRPr="004423BA">
        <w:t>an amount of $</w:t>
      </w:r>
      <w:r w:rsidR="001D25CD" w:rsidRPr="004423BA">
        <w:t>5</w:t>
      </w:r>
      <w:r w:rsidR="00835D63">
        <w:t>,</w:t>
      </w:r>
      <w:r w:rsidR="00AB1F72" w:rsidRPr="004423BA">
        <w:t>474</w:t>
      </w:r>
      <w:r w:rsidR="00196E94">
        <w:t>,</w:t>
      </w:r>
      <w:r w:rsidR="00AB1F72" w:rsidRPr="004423BA">
        <w:t>935</w:t>
      </w:r>
      <w:r w:rsidRPr="004423BA">
        <w:t xml:space="preserve"> was distributed to non-government schools in respect of DE students.  Funds were made available under Sections 39, 41, 44, 48,</w:t>
      </w:r>
      <w:r w:rsidR="00E07441" w:rsidRPr="004423BA">
        <w:t xml:space="preserve"> </w:t>
      </w:r>
      <w:r w:rsidRPr="004423BA">
        <w:t>50 and 54 of the Act.</w:t>
      </w:r>
    </w:p>
    <w:p w:rsidR="00F11ED3" w:rsidRPr="00213E72" w:rsidRDefault="00F11ED3" w:rsidP="006B6826">
      <w:pPr>
        <w:pStyle w:val="Heading2"/>
      </w:pPr>
      <w:bookmarkStart w:id="28" w:name="_Toc414963248"/>
      <w:bookmarkStart w:id="29" w:name="_Toc414963358"/>
      <w:bookmarkStart w:id="30" w:name="_Toc414969251"/>
      <w:r w:rsidRPr="00213E72">
        <w:t>Remoteness Loading</w:t>
      </w:r>
      <w:bookmarkEnd w:id="28"/>
      <w:bookmarkEnd w:id="29"/>
      <w:bookmarkEnd w:id="30"/>
    </w:p>
    <w:p w:rsidR="00F11ED3" w:rsidRPr="00213E72" w:rsidRDefault="00F11ED3" w:rsidP="0048108E">
      <w:r w:rsidRPr="00213E72">
        <w:t xml:space="preserve">Commencing </w:t>
      </w:r>
      <w:r w:rsidR="00CE1708" w:rsidRPr="00213E72">
        <w:t>in</w:t>
      </w:r>
      <w:r w:rsidRPr="00213E72">
        <w:t xml:space="preserve"> 2008, a remoteness loading for non-government schools was provided in recognition of the higher cost of delivering education service</w:t>
      </w:r>
      <w:r w:rsidR="003D536F" w:rsidRPr="00213E72">
        <w:t>s in regional and remote areas</w:t>
      </w:r>
      <w:r w:rsidRPr="00213E72">
        <w:t xml:space="preserve"> of Australia.</w:t>
      </w:r>
    </w:p>
    <w:p w:rsidR="00F11ED3" w:rsidRPr="00213E72" w:rsidRDefault="00F11ED3" w:rsidP="0048108E">
      <w:r w:rsidRPr="00213E72">
        <w:t xml:space="preserve">The remoteness loading is linked to the recurrent funding provided by the Australian Government to non-government schools. </w:t>
      </w:r>
      <w:r w:rsidR="0074016B" w:rsidRPr="00213E72">
        <w:t xml:space="preserve"> </w:t>
      </w:r>
      <w:r w:rsidRPr="00213E72">
        <w:t>Eligibility for the loading is determined according to the level of remoteness of a non-government school or campus. Schools or campuses classified as ‘Moderately Accessible’, ‘Remote’ or ‘Very Remote’ receive an additional 5 per cent, 10 per cent or 20 per cent respectively of the funding entitlement associated with the school’s Socioeconomic Status (SES) score.</w:t>
      </w:r>
    </w:p>
    <w:p w:rsidR="00F11ED3" w:rsidRPr="00213E72" w:rsidRDefault="00F11ED3" w:rsidP="0048108E">
      <w:r w:rsidRPr="002025C0">
        <w:t xml:space="preserve">For </w:t>
      </w:r>
      <w:r w:rsidR="001D25CD" w:rsidRPr="002025C0">
        <w:t>201</w:t>
      </w:r>
      <w:r w:rsidR="002B5411" w:rsidRPr="002025C0">
        <w:t>2</w:t>
      </w:r>
      <w:r w:rsidRPr="002025C0">
        <w:t xml:space="preserve">, remoteness was classified using the Remoteness Structure for census year 2006, which is part of the Australian Bureau of Statistics’ (ABS) Australian Standard Geographical Classification, based on the Census Collection District (CD) in which the school or school campus is located. </w:t>
      </w:r>
      <w:r w:rsidR="0074016B" w:rsidRPr="002025C0">
        <w:t xml:space="preserve"> </w:t>
      </w:r>
      <w:r w:rsidR="006F330B">
        <w:t>The loading is provided for each</w:t>
      </w:r>
      <w:r w:rsidRPr="002025C0">
        <w:t xml:space="preserve"> student in the relevant location.</w:t>
      </w:r>
    </w:p>
    <w:p w:rsidR="00F11ED3" w:rsidRPr="00213E72" w:rsidRDefault="00F11ED3" w:rsidP="0048108E">
      <w:r w:rsidRPr="004423BA">
        <w:t xml:space="preserve">In </w:t>
      </w:r>
      <w:r w:rsidR="006D7C58" w:rsidRPr="004423BA">
        <w:t>201</w:t>
      </w:r>
      <w:r w:rsidR="00AB1F72" w:rsidRPr="004423BA">
        <w:t>2</w:t>
      </w:r>
      <w:r w:rsidRPr="004423BA">
        <w:t xml:space="preserve"> non-government schools and systems received $</w:t>
      </w:r>
      <w:r w:rsidR="001D25CD" w:rsidRPr="004423BA">
        <w:t>3</w:t>
      </w:r>
      <w:r w:rsidR="00AB1F72" w:rsidRPr="004423BA">
        <w:t>5</w:t>
      </w:r>
      <w:r w:rsidR="00835D63">
        <w:t>,</w:t>
      </w:r>
      <w:r w:rsidR="00AB1F72" w:rsidRPr="004423BA">
        <w:t>312</w:t>
      </w:r>
      <w:r w:rsidR="00196E94">
        <w:t>,</w:t>
      </w:r>
      <w:r w:rsidR="00AB1F72" w:rsidRPr="004423BA">
        <w:t>99</w:t>
      </w:r>
      <w:r w:rsidR="008901E1">
        <w:t>6</w:t>
      </w:r>
      <w:r w:rsidRPr="004423BA">
        <w:t xml:space="preserve"> in Remoteness Loading funding. </w:t>
      </w:r>
      <w:r w:rsidR="0074016B" w:rsidRPr="004423BA">
        <w:t xml:space="preserve"> </w:t>
      </w:r>
      <w:r w:rsidRPr="004423BA">
        <w:t xml:space="preserve">Funds are made available under </w:t>
      </w:r>
      <w:r w:rsidR="00D9046F" w:rsidRPr="004423BA">
        <w:t>Sections 60 and</w:t>
      </w:r>
      <w:r w:rsidRPr="004423BA">
        <w:t xml:space="preserve"> 62 of the Act.</w:t>
      </w:r>
      <w:r w:rsidRPr="00213E72">
        <w:t xml:space="preserve"> </w:t>
      </w:r>
    </w:p>
    <w:p w:rsidR="001F5522" w:rsidRPr="00213E72" w:rsidRDefault="001F5522" w:rsidP="0048108E">
      <w:r w:rsidRPr="00213E72">
        <w:br w:type="page"/>
      </w:r>
    </w:p>
    <w:p w:rsidR="00F11ED3" w:rsidRPr="00213E72" w:rsidRDefault="00F11ED3" w:rsidP="006F330B">
      <w:pPr>
        <w:pStyle w:val="Heading2"/>
      </w:pPr>
      <w:bookmarkStart w:id="31" w:name="_Toc414963249"/>
      <w:bookmarkStart w:id="32" w:name="_Toc414963359"/>
      <w:bookmarkStart w:id="33" w:name="_Toc414969252"/>
      <w:bookmarkStart w:id="34" w:name="_Toc188345359"/>
      <w:r w:rsidRPr="00213E72">
        <w:lastRenderedPageBreak/>
        <w:t>I</w:t>
      </w:r>
      <w:r w:rsidR="009A2675" w:rsidRPr="00213E72">
        <w:t>ndigenous</w:t>
      </w:r>
      <w:r w:rsidRPr="00213E72">
        <w:t xml:space="preserve"> S</w:t>
      </w:r>
      <w:r w:rsidR="009A2675" w:rsidRPr="00213E72">
        <w:t>upplementary</w:t>
      </w:r>
      <w:r w:rsidRPr="00213E72">
        <w:t xml:space="preserve"> A</w:t>
      </w:r>
      <w:r w:rsidR="009A2675" w:rsidRPr="00213E72">
        <w:t>ssistance</w:t>
      </w:r>
      <w:bookmarkEnd w:id="31"/>
      <w:bookmarkEnd w:id="32"/>
      <w:bookmarkEnd w:id="33"/>
    </w:p>
    <w:p w:rsidR="00F11ED3" w:rsidRPr="00835D63" w:rsidRDefault="00F11ED3" w:rsidP="0048108E">
      <w:pPr>
        <w:rPr>
          <w:rStyle w:val="Emphasis"/>
        </w:rPr>
      </w:pPr>
      <w:r w:rsidRPr="00213E72">
        <w:t xml:space="preserve">From 1 January 2009, Indigenous Supplementary Assistance (ISA) for approved non-government system and school authorities replaced funding for the following Indigenous education </w:t>
      </w:r>
      <w:r w:rsidR="00CB32DE">
        <w:t>programme</w:t>
      </w:r>
      <w:r w:rsidRPr="00213E72">
        <w:t xml:space="preserve"> elements which were available under the</w:t>
      </w:r>
      <w:r w:rsidRPr="00835D63">
        <w:rPr>
          <w:rStyle w:val="Emphasis"/>
        </w:rPr>
        <w:t xml:space="preserve"> Indigenous Education (Targeted Assistance) Act 2000:</w:t>
      </w:r>
    </w:p>
    <w:p w:rsidR="00F11ED3" w:rsidRPr="00213E72" w:rsidRDefault="00F11ED3" w:rsidP="00E14CF8">
      <w:pPr>
        <w:pStyle w:val="ListParagraph"/>
        <w:numPr>
          <w:ilvl w:val="0"/>
          <w:numId w:val="3"/>
        </w:numPr>
      </w:pPr>
      <w:r w:rsidRPr="00213E72">
        <w:t>Supplementary Recurrent Assistance (SRA);</w:t>
      </w:r>
    </w:p>
    <w:p w:rsidR="00F11ED3" w:rsidRPr="00213E72" w:rsidRDefault="00F11ED3" w:rsidP="00E14CF8">
      <w:pPr>
        <w:pStyle w:val="ListParagraph"/>
        <w:numPr>
          <w:ilvl w:val="0"/>
          <w:numId w:val="3"/>
        </w:numPr>
      </w:pPr>
      <w:r w:rsidRPr="00213E72">
        <w:t>Indigenous Tutorial Assistance Scheme (ITAS)</w:t>
      </w:r>
      <w:r w:rsidR="00E07441" w:rsidRPr="00213E72">
        <w:t>;</w:t>
      </w:r>
    </w:p>
    <w:p w:rsidR="00F11ED3" w:rsidRPr="00213E72" w:rsidRDefault="00F11ED3" w:rsidP="00E14CF8">
      <w:pPr>
        <w:pStyle w:val="ListParagraph"/>
        <w:numPr>
          <w:ilvl w:val="0"/>
          <w:numId w:val="3"/>
        </w:numPr>
      </w:pPr>
      <w:r w:rsidRPr="00213E72">
        <w:t>In-class tuition (ITAS ICT);</w:t>
      </w:r>
    </w:p>
    <w:p w:rsidR="00F11ED3" w:rsidRPr="00213E72" w:rsidRDefault="00F11ED3" w:rsidP="00E14CF8">
      <w:pPr>
        <w:pStyle w:val="ListParagraph"/>
        <w:numPr>
          <w:ilvl w:val="0"/>
          <w:numId w:val="3"/>
        </w:numPr>
      </w:pPr>
      <w:r w:rsidRPr="00213E72">
        <w:t>Years 9, 10, 11 and 12 (ITAS 9 – 12);</w:t>
      </w:r>
    </w:p>
    <w:p w:rsidR="00F11ED3" w:rsidRPr="00213E72" w:rsidRDefault="00F11ED3" w:rsidP="00E14CF8">
      <w:pPr>
        <w:pStyle w:val="ListParagraph"/>
        <w:numPr>
          <w:ilvl w:val="0"/>
          <w:numId w:val="3"/>
        </w:numPr>
      </w:pPr>
      <w:r w:rsidRPr="00213E72">
        <w:t>Remote Indigenous Students (ITAS RIS);</w:t>
      </w:r>
    </w:p>
    <w:p w:rsidR="00F11ED3" w:rsidRPr="00213E72" w:rsidRDefault="00F11ED3" w:rsidP="00E14CF8">
      <w:pPr>
        <w:pStyle w:val="ListParagraph"/>
        <w:numPr>
          <w:ilvl w:val="0"/>
          <w:numId w:val="3"/>
        </w:numPr>
      </w:pPr>
      <w:r w:rsidRPr="00213E72">
        <w:t xml:space="preserve">English as a Second Language – Indigenous Language Speaking Students </w:t>
      </w:r>
      <w:r w:rsidRPr="00213E72">
        <w:br/>
        <w:t>(ESL-ILSS); and</w:t>
      </w:r>
    </w:p>
    <w:p w:rsidR="00F11ED3" w:rsidRPr="00213E72" w:rsidRDefault="00F11ED3" w:rsidP="00E14CF8">
      <w:pPr>
        <w:pStyle w:val="ListParagraph"/>
        <w:numPr>
          <w:ilvl w:val="0"/>
          <w:numId w:val="3"/>
        </w:numPr>
      </w:pPr>
      <w:r w:rsidRPr="00213E72">
        <w:t>Whole of School Intervention Strategy – Homework Centres (HWC).</w:t>
      </w:r>
    </w:p>
    <w:p w:rsidR="00F11ED3" w:rsidRPr="00213E72" w:rsidRDefault="00F11ED3" w:rsidP="0048108E">
      <w:r w:rsidRPr="00213E72">
        <w:t xml:space="preserve">The specific objective of ISA </w:t>
      </w:r>
      <w:r w:rsidR="00B910B6">
        <w:t>was</w:t>
      </w:r>
      <w:r w:rsidRPr="00213E72">
        <w:t xml:space="preserve"> to support approved non-government system</w:t>
      </w:r>
      <w:r w:rsidR="00D9046F" w:rsidRPr="00213E72">
        <w:t>s</w:t>
      </w:r>
      <w:r w:rsidRPr="00213E72">
        <w:t xml:space="preserve"> and school authorities to accelerate educational outcomes for their Indigenous students beyond those which could reasonably be expected from their mainstream and own-source funding alone.</w:t>
      </w:r>
    </w:p>
    <w:p w:rsidR="00F11ED3" w:rsidRPr="00213E72" w:rsidRDefault="00F11ED3" w:rsidP="0048108E">
      <w:r w:rsidRPr="00213E72">
        <w:t xml:space="preserve">ISA funding </w:t>
      </w:r>
      <w:r w:rsidR="00B910B6">
        <w:t>was</w:t>
      </w:r>
      <w:r w:rsidRPr="00213E72">
        <w:t xml:space="preserve"> paid to approved non-government system</w:t>
      </w:r>
      <w:r w:rsidR="0049161A" w:rsidRPr="00213E72">
        <w:t>s</w:t>
      </w:r>
      <w:r w:rsidRPr="00213E72">
        <w:t xml:space="preserve"> or school authorities for each Indigenous primary or secondary student enrolled and is in addition to other Recurrent Funding.</w:t>
      </w:r>
    </w:p>
    <w:p w:rsidR="00F11ED3" w:rsidRPr="00213E72" w:rsidRDefault="00F11ED3" w:rsidP="0048108E">
      <w:r w:rsidRPr="004423BA">
        <w:t xml:space="preserve">In </w:t>
      </w:r>
      <w:r w:rsidR="007C5EAB" w:rsidRPr="004423BA">
        <w:t>201</w:t>
      </w:r>
      <w:r w:rsidR="00AB1F72" w:rsidRPr="004423BA">
        <w:t>2</w:t>
      </w:r>
      <w:r w:rsidR="007C5EAB" w:rsidRPr="004423BA">
        <w:t xml:space="preserve"> </w:t>
      </w:r>
      <w:r w:rsidRPr="004423BA">
        <w:t>non-government schools and systems received $</w:t>
      </w:r>
      <w:r w:rsidR="00AB1F72" w:rsidRPr="004423BA">
        <w:t>7</w:t>
      </w:r>
      <w:r w:rsidR="008901E1">
        <w:t>7</w:t>
      </w:r>
      <w:r w:rsidR="00196E94">
        <w:t>,</w:t>
      </w:r>
      <w:r w:rsidR="008901E1">
        <w:t>798</w:t>
      </w:r>
      <w:r w:rsidR="00196E94">
        <w:t>,</w:t>
      </w:r>
      <w:r w:rsidR="008901E1">
        <w:t>824</w:t>
      </w:r>
      <w:r w:rsidRPr="004423BA">
        <w:t xml:space="preserve"> in ISA funding. Funds are made available under Sections </w:t>
      </w:r>
      <w:r w:rsidR="0049161A" w:rsidRPr="004423BA">
        <w:t>66 and</w:t>
      </w:r>
      <w:r w:rsidRPr="004423BA">
        <w:t xml:space="preserve"> 68 of the Act.</w:t>
      </w:r>
      <w:r w:rsidRPr="00213E72">
        <w:t xml:space="preserve"> </w:t>
      </w:r>
    </w:p>
    <w:p w:rsidR="00457FD9" w:rsidRPr="00AB23E2" w:rsidRDefault="00457FD9" w:rsidP="0048108E">
      <w:r w:rsidRPr="0060657F">
        <w:t>Indigenous Supplementary Assistance Boarding</w:t>
      </w:r>
    </w:p>
    <w:p w:rsidR="00663ED9" w:rsidRPr="00156FAE" w:rsidRDefault="00BB3B6D" w:rsidP="0048108E">
      <w:r w:rsidRPr="003A32CF">
        <w:t>From</w:t>
      </w:r>
      <w:r w:rsidR="00663ED9" w:rsidRPr="003A32CF">
        <w:t xml:space="preserve"> 2011, </w:t>
      </w:r>
      <w:r w:rsidR="00B569D5" w:rsidRPr="003A32CF">
        <w:t>additional ISA</w:t>
      </w:r>
      <w:r w:rsidR="00946D98" w:rsidRPr="003A32CF">
        <w:t xml:space="preserve"> funding </w:t>
      </w:r>
      <w:r w:rsidR="00B910B6">
        <w:t>was made</w:t>
      </w:r>
      <w:r w:rsidR="009D1C12">
        <w:t xml:space="preserve"> </w:t>
      </w:r>
      <w:r w:rsidR="00946D98" w:rsidRPr="003A32CF">
        <w:t xml:space="preserve">available for </w:t>
      </w:r>
      <w:r w:rsidR="00663ED9" w:rsidRPr="003A32CF">
        <w:t>non-remote non-government boarding schools with more than 50 Indigenous boarding students from remote Indigenous communities receiving primary or secondary education at the school</w:t>
      </w:r>
      <w:r w:rsidR="00B569D5" w:rsidRPr="003A32CF">
        <w:t>.</w:t>
      </w:r>
    </w:p>
    <w:p w:rsidR="0060657F" w:rsidRDefault="00AB1F72" w:rsidP="0048108E">
      <w:r w:rsidRPr="004423BA">
        <w:t>In 2012</w:t>
      </w:r>
      <w:r w:rsidR="00946D98" w:rsidRPr="004423BA">
        <w:t>,</w:t>
      </w:r>
      <w:r w:rsidR="00457FD9" w:rsidRPr="004423BA">
        <w:t xml:space="preserve"> non-government schools </w:t>
      </w:r>
      <w:r w:rsidRPr="004423BA">
        <w:t>and systems received $1</w:t>
      </w:r>
      <w:r w:rsidR="00196E94">
        <w:t>,</w:t>
      </w:r>
      <w:r w:rsidR="008901E1">
        <w:t>955</w:t>
      </w:r>
      <w:r w:rsidR="00196E94">
        <w:t>,</w:t>
      </w:r>
      <w:r w:rsidR="008901E1">
        <w:t>402</w:t>
      </w:r>
      <w:r w:rsidR="00457FD9" w:rsidRPr="004423BA">
        <w:t xml:space="preserve"> in </w:t>
      </w:r>
      <w:r w:rsidR="00946D98" w:rsidRPr="004423BA">
        <w:t xml:space="preserve">additional ISA funding under this </w:t>
      </w:r>
      <w:r w:rsidR="00CB32DE" w:rsidRPr="004423BA">
        <w:t>programme</w:t>
      </w:r>
      <w:r w:rsidR="00457FD9" w:rsidRPr="004423BA">
        <w:t>. Funds are made available under Sections 6</w:t>
      </w:r>
      <w:r w:rsidR="00946D98" w:rsidRPr="004423BA">
        <w:t>7 (</w:t>
      </w:r>
      <w:proofErr w:type="spellStart"/>
      <w:r w:rsidR="00946D98" w:rsidRPr="004423BA">
        <w:t>1A</w:t>
      </w:r>
      <w:proofErr w:type="spellEnd"/>
      <w:r w:rsidR="00946D98" w:rsidRPr="004423BA">
        <w:t xml:space="preserve">) </w:t>
      </w:r>
      <w:r w:rsidR="00457FD9" w:rsidRPr="004423BA">
        <w:t>and 6</w:t>
      </w:r>
      <w:r w:rsidR="00946D98" w:rsidRPr="004423BA">
        <w:t>9 (</w:t>
      </w:r>
      <w:proofErr w:type="spellStart"/>
      <w:r w:rsidR="00946D98" w:rsidRPr="004423BA">
        <w:t>1A</w:t>
      </w:r>
      <w:proofErr w:type="spellEnd"/>
      <w:r w:rsidR="00946D98" w:rsidRPr="004423BA">
        <w:t>)</w:t>
      </w:r>
      <w:r w:rsidR="006E77A0" w:rsidRPr="004423BA">
        <w:t xml:space="preserve"> </w:t>
      </w:r>
      <w:r w:rsidR="00457FD9" w:rsidRPr="004423BA">
        <w:t>of the Act</w:t>
      </w:r>
      <w:r w:rsidR="000B6B1D" w:rsidRPr="004423BA">
        <w:t>.</w:t>
      </w:r>
    </w:p>
    <w:p w:rsidR="00F11ED3" w:rsidRPr="00213E72" w:rsidRDefault="00F11ED3" w:rsidP="006F330B">
      <w:pPr>
        <w:pStyle w:val="Heading2"/>
      </w:pPr>
      <w:bookmarkStart w:id="35" w:name="_Toc414963250"/>
      <w:bookmarkStart w:id="36" w:name="_Toc414963360"/>
      <w:bookmarkStart w:id="37" w:name="_Toc414969253"/>
      <w:r w:rsidRPr="00213E72">
        <w:t>I</w:t>
      </w:r>
      <w:r w:rsidR="009A2675" w:rsidRPr="00213E72">
        <w:t xml:space="preserve">ndigenous </w:t>
      </w:r>
      <w:r w:rsidRPr="00213E72">
        <w:t>F</w:t>
      </w:r>
      <w:r w:rsidR="009A2675" w:rsidRPr="00213E72">
        <w:t>unding</w:t>
      </w:r>
      <w:r w:rsidRPr="00213E72">
        <w:t xml:space="preserve"> G</w:t>
      </w:r>
      <w:r w:rsidR="009A2675" w:rsidRPr="00213E72">
        <w:t>uarantee</w:t>
      </w:r>
      <w:bookmarkEnd w:id="35"/>
      <w:bookmarkEnd w:id="36"/>
      <w:bookmarkEnd w:id="37"/>
    </w:p>
    <w:p w:rsidR="00F11ED3" w:rsidRPr="00213E72" w:rsidRDefault="00F11ED3" w:rsidP="0048108E">
      <w:r w:rsidRPr="00213E72">
        <w:t xml:space="preserve">As part of the consolidation of funding from the six Indigenous Education </w:t>
      </w:r>
      <w:r w:rsidR="00CB32DE">
        <w:t>Programme</w:t>
      </w:r>
      <w:r w:rsidRPr="00213E72">
        <w:t>s under the Act, the Indigenous Funding Guarantee element ensures non-government schools and systems receive</w:t>
      </w:r>
      <w:r w:rsidR="00B910B6">
        <w:t>d</w:t>
      </w:r>
      <w:r w:rsidRPr="00213E72">
        <w:t xml:space="preserve"> total recurrent funding in 2009</w:t>
      </w:r>
      <w:r w:rsidR="0092286C" w:rsidRPr="00213E72">
        <w:t xml:space="preserve"> to </w:t>
      </w:r>
      <w:r w:rsidRPr="00213E72">
        <w:t>201</w:t>
      </w:r>
      <w:r w:rsidR="00EA5FB0" w:rsidRPr="00213E72">
        <w:t>3</w:t>
      </w:r>
      <w:r w:rsidRPr="00213E72">
        <w:t xml:space="preserve"> at least comparable to the total recurrent and Indigenous funding received for the 2008 </w:t>
      </w:r>
      <w:r w:rsidR="00CB32DE">
        <w:t>programme</w:t>
      </w:r>
      <w:r w:rsidRPr="00213E72">
        <w:t xml:space="preserve"> year.</w:t>
      </w:r>
    </w:p>
    <w:p w:rsidR="005D49CD" w:rsidRPr="00213E72" w:rsidRDefault="00F11ED3" w:rsidP="0048108E">
      <w:r w:rsidRPr="004423BA">
        <w:t xml:space="preserve">In </w:t>
      </w:r>
      <w:r w:rsidR="007C5EAB" w:rsidRPr="004423BA">
        <w:t>201</w:t>
      </w:r>
      <w:r w:rsidR="00AB1F72" w:rsidRPr="004423BA">
        <w:t>2</w:t>
      </w:r>
      <w:r w:rsidR="007C5EAB" w:rsidRPr="004423BA">
        <w:t xml:space="preserve"> </w:t>
      </w:r>
      <w:r w:rsidRPr="004423BA">
        <w:t>non-government schools and systems received $</w:t>
      </w:r>
      <w:r w:rsidR="00AB1F72" w:rsidRPr="004423BA">
        <w:t>185</w:t>
      </w:r>
      <w:r w:rsidR="00196E94">
        <w:t>,</w:t>
      </w:r>
      <w:r w:rsidR="00AB1F72" w:rsidRPr="004423BA">
        <w:t>195</w:t>
      </w:r>
      <w:r w:rsidR="005C71DC">
        <w:t xml:space="preserve"> </w:t>
      </w:r>
      <w:r w:rsidRPr="004423BA">
        <w:t>in Indigenous Funding Guarantee. Funds are made available under Section 70 of the Act.</w:t>
      </w:r>
      <w:r w:rsidRPr="00213E72">
        <w:t xml:space="preserve"> </w:t>
      </w:r>
    </w:p>
    <w:bookmarkEnd w:id="34"/>
    <w:p w:rsidR="00E07441" w:rsidRPr="00213E72" w:rsidRDefault="00E07441" w:rsidP="0048108E">
      <w:r w:rsidRPr="00213E72">
        <w:br w:type="page"/>
      </w:r>
    </w:p>
    <w:p w:rsidR="009159F0" w:rsidRPr="00213E72" w:rsidRDefault="009159F0" w:rsidP="0048108E">
      <w:pPr>
        <w:pStyle w:val="Heading1"/>
      </w:pPr>
      <w:bookmarkStart w:id="38" w:name="_Toc414963251"/>
      <w:bookmarkStart w:id="39" w:name="_Toc414963361"/>
      <w:bookmarkStart w:id="40" w:name="_Toc414969254"/>
      <w:r w:rsidRPr="00213E72">
        <w:lastRenderedPageBreak/>
        <w:t xml:space="preserve">CAPITAL GRANTS </w:t>
      </w:r>
      <w:r w:rsidR="00CB32DE">
        <w:t>PROGRAMME</w:t>
      </w:r>
      <w:r w:rsidR="005630EF" w:rsidRPr="00213E72">
        <w:t xml:space="preserve"> – Non Government Schools</w:t>
      </w:r>
      <w:bookmarkEnd w:id="38"/>
      <w:bookmarkEnd w:id="39"/>
      <w:bookmarkEnd w:id="40"/>
    </w:p>
    <w:p w:rsidR="009159F0" w:rsidRPr="00213E72" w:rsidRDefault="009159F0" w:rsidP="006F330B">
      <w:pPr>
        <w:pStyle w:val="Heading2"/>
      </w:pPr>
      <w:bookmarkStart w:id="41" w:name="_Toc414963252"/>
      <w:bookmarkStart w:id="42" w:name="_Toc414963362"/>
      <w:bookmarkStart w:id="43" w:name="_Toc414969255"/>
      <w:r w:rsidRPr="00213E72">
        <w:t>Grants for Capital Expenditure</w:t>
      </w:r>
      <w:bookmarkEnd w:id="41"/>
      <w:bookmarkEnd w:id="42"/>
      <w:bookmarkEnd w:id="43"/>
    </w:p>
    <w:p w:rsidR="0054129C" w:rsidRPr="00213E72" w:rsidRDefault="0054129C" w:rsidP="0048108E">
      <w:r w:rsidRPr="00213E72">
        <w:t xml:space="preserve">The Capital Grants </w:t>
      </w:r>
      <w:r w:rsidR="00CB32DE">
        <w:t>Programme</w:t>
      </w:r>
      <w:r w:rsidRPr="00213E72">
        <w:t xml:space="preserve"> (CGP) aims to provide and improve </w:t>
      </w:r>
      <w:r w:rsidR="00CE1708" w:rsidRPr="00213E72">
        <w:t xml:space="preserve">non-government </w:t>
      </w:r>
      <w:r w:rsidRPr="00213E72">
        <w:t xml:space="preserve">school capital infrastructure, with particular emphasis on assisting schools serving the most educationally disadvantaged students. Capital Grants are supplementary to funds provided by </w:t>
      </w:r>
      <w:r w:rsidR="00AD2E38">
        <w:br/>
      </w:r>
      <w:r w:rsidRPr="00213E72">
        <w:t>non-government school authorities and school communities, which have primary responsibility for providing, maintaining and upgrading their</w:t>
      </w:r>
      <w:r w:rsidR="00CE1708" w:rsidRPr="00213E72">
        <w:t xml:space="preserve"> </w:t>
      </w:r>
      <w:r w:rsidRPr="00213E72">
        <w:t>school facilities.</w:t>
      </w:r>
    </w:p>
    <w:p w:rsidR="0054129C" w:rsidRPr="00213E72" w:rsidRDefault="0054129C" w:rsidP="0048108E">
      <w:r w:rsidRPr="00213E72">
        <w:t xml:space="preserve">CGP funding is provided to non-government schools through Block Grant Authorities (BGAs). </w:t>
      </w:r>
      <w:r w:rsidR="006405CF" w:rsidRPr="00213E72">
        <w:t xml:space="preserve"> </w:t>
      </w:r>
      <w:r w:rsidRPr="00213E72">
        <w:t>The BGAs recommend projects for Australian Government capital funding in accordance with the guidelines and objectives of the CGP and the priorities of their schools’ systems.</w:t>
      </w:r>
    </w:p>
    <w:p w:rsidR="0054129C" w:rsidRPr="00213E72" w:rsidRDefault="0054129C" w:rsidP="0048108E">
      <w:r w:rsidRPr="00213E72">
        <w:t xml:space="preserve">The primary eligibility criteria </w:t>
      </w:r>
      <w:r w:rsidR="005630EF" w:rsidRPr="00213E72">
        <w:t xml:space="preserve">of the </w:t>
      </w:r>
      <w:r w:rsidR="00CB32DE">
        <w:t>programme</w:t>
      </w:r>
      <w:r w:rsidR="005630EF" w:rsidRPr="00213E72">
        <w:t xml:space="preserve"> </w:t>
      </w:r>
      <w:r w:rsidRPr="00213E72">
        <w:t xml:space="preserve">relate to demonstrated financial and educational need.  Applicant schools are assessed, initially by the BGAs, and ranked </w:t>
      </w:r>
      <w:r w:rsidR="00DC4B26" w:rsidRPr="00213E72">
        <w:t xml:space="preserve">in accordance with </w:t>
      </w:r>
      <w:r w:rsidRPr="00213E72">
        <w:t>requirements</w:t>
      </w:r>
      <w:r w:rsidR="00DC4B26" w:rsidRPr="00213E72">
        <w:t xml:space="preserve"> contained in the </w:t>
      </w:r>
      <w:r w:rsidR="00CB32DE">
        <w:t>programme</w:t>
      </w:r>
      <w:r w:rsidRPr="00213E72">
        <w:t xml:space="preserve"> guidelines. </w:t>
      </w:r>
      <w:r w:rsidR="006405CF" w:rsidRPr="00213E72">
        <w:t xml:space="preserve"> </w:t>
      </w:r>
      <w:r w:rsidRPr="00213E72">
        <w:t xml:space="preserve">Projects recommended for funding by the BGAs are submitted to the Minister for </w:t>
      </w:r>
      <w:r w:rsidR="00DB4F5E" w:rsidRPr="00213E72">
        <w:t xml:space="preserve">School </w:t>
      </w:r>
      <w:r w:rsidRPr="00213E72">
        <w:t>Education</w:t>
      </w:r>
      <w:r w:rsidR="00EE28DD" w:rsidRPr="00213E72">
        <w:t>, Early Childhood and Youth</w:t>
      </w:r>
      <w:r w:rsidR="00FC072E">
        <w:t>,</w:t>
      </w:r>
      <w:r w:rsidRPr="00213E72">
        <w:t xml:space="preserve"> </w:t>
      </w:r>
      <w:r w:rsidR="00FC072E">
        <w:t xml:space="preserve">or his </w:t>
      </w:r>
      <w:r w:rsidRPr="00213E72">
        <w:t>delegate for approval.</w:t>
      </w:r>
    </w:p>
    <w:p w:rsidR="006405CF" w:rsidRPr="00213E72" w:rsidRDefault="006405CF" w:rsidP="0048108E">
      <w:pPr>
        <w:rPr>
          <w:rFonts w:eastAsia="Batang" w:cs="Arial"/>
          <w:b/>
          <w:bCs/>
          <w:sz w:val="28"/>
          <w:szCs w:val="32"/>
        </w:rPr>
      </w:pPr>
      <w:r w:rsidRPr="00213E72">
        <w:t>In 20</w:t>
      </w:r>
      <w:r w:rsidR="00045843" w:rsidRPr="00213E72">
        <w:t>1</w:t>
      </w:r>
      <w:r w:rsidR="00AB1F72">
        <w:t>2</w:t>
      </w:r>
      <w:r w:rsidRPr="00213E72">
        <w:t xml:space="preserve"> non-government schools and systems received $</w:t>
      </w:r>
      <w:r w:rsidR="00AB1F72">
        <w:t>133</w:t>
      </w:r>
      <w:r w:rsidR="00196E94">
        <w:t>,</w:t>
      </w:r>
      <w:r w:rsidR="00AB1F72">
        <w:t>827</w:t>
      </w:r>
      <w:r w:rsidR="00196E94">
        <w:t>,</w:t>
      </w:r>
      <w:r w:rsidR="00AB1F72">
        <w:t>000</w:t>
      </w:r>
      <w:r w:rsidRPr="00213E72">
        <w:t xml:space="preserve"> in Capital </w:t>
      </w:r>
      <w:r w:rsidR="00FC072E">
        <w:t xml:space="preserve">project </w:t>
      </w:r>
      <w:r w:rsidRPr="00213E72">
        <w:t xml:space="preserve">funding. </w:t>
      </w:r>
      <w:r w:rsidR="00654DB7" w:rsidRPr="00213E72">
        <w:t xml:space="preserve"> </w:t>
      </w:r>
      <w:r w:rsidRPr="00213E72">
        <w:t>Funds are made available under Section 84 of the Act.</w:t>
      </w:r>
    </w:p>
    <w:p w:rsidR="009159F0" w:rsidRPr="00213E72" w:rsidRDefault="009159F0" w:rsidP="0048108E">
      <w:pPr>
        <w:rPr>
          <w:rFonts w:eastAsia="Batang" w:cs="Arial"/>
          <w:sz w:val="28"/>
          <w:szCs w:val="32"/>
        </w:rPr>
      </w:pPr>
      <w:r w:rsidRPr="00213E72">
        <w:br w:type="page"/>
      </w:r>
    </w:p>
    <w:p w:rsidR="00F11ED3" w:rsidRPr="00213E72" w:rsidRDefault="00F11ED3" w:rsidP="0048108E">
      <w:pPr>
        <w:pStyle w:val="Heading1"/>
      </w:pPr>
      <w:bookmarkStart w:id="44" w:name="_Toc414963253"/>
      <w:bookmarkStart w:id="45" w:name="_Toc414963363"/>
      <w:bookmarkStart w:id="46" w:name="_Toc414969256"/>
      <w:r w:rsidRPr="00213E72">
        <w:lastRenderedPageBreak/>
        <w:t xml:space="preserve">TARGETED </w:t>
      </w:r>
      <w:r w:rsidR="009159F0" w:rsidRPr="00213E72">
        <w:t xml:space="preserve">GRANTS </w:t>
      </w:r>
      <w:r w:rsidR="00CB32DE">
        <w:t>PROGRAMME</w:t>
      </w:r>
      <w:r w:rsidRPr="00213E72">
        <w:t>S</w:t>
      </w:r>
      <w:bookmarkEnd w:id="44"/>
      <w:bookmarkEnd w:id="45"/>
      <w:bookmarkEnd w:id="46"/>
    </w:p>
    <w:p w:rsidR="00B9033C" w:rsidRDefault="00B9033C" w:rsidP="006F330B">
      <w:pPr>
        <w:pStyle w:val="Heading2"/>
      </w:pPr>
      <w:bookmarkStart w:id="47" w:name="_Toc414963254"/>
      <w:bookmarkStart w:id="48" w:name="_Toc414963364"/>
      <w:bookmarkStart w:id="49" w:name="_Toc414969257"/>
      <w:bookmarkStart w:id="50" w:name="_Toc278960436"/>
      <w:r>
        <w:t>Short Term Emergency Assistance</w:t>
      </w:r>
      <w:bookmarkEnd w:id="47"/>
      <w:bookmarkEnd w:id="48"/>
      <w:bookmarkEnd w:id="49"/>
    </w:p>
    <w:p w:rsidR="00B9033C" w:rsidRDefault="00B9033C" w:rsidP="0048108E">
      <w:r>
        <w:t>The Australian Government provides funds for Short Term Emergency Assistance (STEA) to aid non-government schools in the event of an unexpected circumstance causing severe, temporary financial difficulty, where the eligible school has exhausted all other sources of assistance.</w:t>
      </w:r>
    </w:p>
    <w:p w:rsidR="00B9033C" w:rsidRDefault="00B9033C" w:rsidP="0048108E">
      <w:r>
        <w:t>In 2012 $97</w:t>
      </w:r>
      <w:r w:rsidR="00835D63">
        <w:t>,</w:t>
      </w:r>
      <w:r>
        <w:t>975 was distributed under this programme.</w:t>
      </w:r>
      <w:r w:rsidR="001A5E6E">
        <w:t xml:space="preserve"> Funds were made available under Section 8</w:t>
      </w:r>
      <w:r w:rsidR="00FB60FC">
        <w:t>7</w:t>
      </w:r>
      <w:r w:rsidR="001A5E6E">
        <w:t xml:space="preserve"> of the Act.</w:t>
      </w:r>
    </w:p>
    <w:p w:rsidR="00B9033C" w:rsidRDefault="00B9033C" w:rsidP="006F330B">
      <w:pPr>
        <w:pStyle w:val="Heading2"/>
      </w:pPr>
      <w:bookmarkStart w:id="51" w:name="_Toc414963255"/>
      <w:bookmarkStart w:id="52" w:name="_Toc414963365"/>
      <w:bookmarkStart w:id="53" w:name="_Toc414969258"/>
      <w:r>
        <w:t>Education in Country Areas</w:t>
      </w:r>
      <w:bookmarkEnd w:id="51"/>
      <w:bookmarkEnd w:id="52"/>
      <w:bookmarkEnd w:id="53"/>
    </w:p>
    <w:p w:rsidR="00B9033C" w:rsidRDefault="00B9033C" w:rsidP="0048108E">
      <w:r>
        <w:t>The Country Area Programme (CAP)</w:t>
      </w:r>
      <w:r>
        <w:rPr>
          <w:b/>
          <w:bCs/>
        </w:rPr>
        <w:t xml:space="preserve"> </w:t>
      </w:r>
      <w:r>
        <w:t>aims to improve the access of non-government school students in rural and geographically isolated areas to quality education by providing enhanced learning opportunities and additional educational activities. It also assists students in such areas to achieve outcomes and participation rates that match those of students in urban centres and less isolated areas. Parents, administrators, teachers and members of the community are all assisted through the CAP.</w:t>
      </w:r>
    </w:p>
    <w:p w:rsidR="00B9033C" w:rsidRDefault="00B9033C" w:rsidP="0048108E">
      <w:r>
        <w:t>CAP funding is paid directly to non-government education authorities in the states and the Northern Territory.  Authorities have the flexibility to allocate funds according to their identified priorities based on their assessment of local need provided they comply with CAP guidelines.</w:t>
      </w:r>
    </w:p>
    <w:p w:rsidR="00B9033C" w:rsidRDefault="00B9033C" w:rsidP="0048108E">
      <w:r>
        <w:t xml:space="preserve">CAP funding for government schools was rolled into the National Education Agreement from          1 January 2009. The states and territories </w:t>
      </w:r>
      <w:r w:rsidR="000A3937">
        <w:t>were</w:t>
      </w:r>
      <w:r>
        <w:t xml:space="preserve"> expected to provide sufficient funds for government schools in rural and regional areas in recognition of their specific needs. It is therefore a state responsibility to ensure appropriate funding for rural and isolated schools occurs in a timely fashion.</w:t>
      </w:r>
    </w:p>
    <w:p w:rsidR="00B9033C" w:rsidRDefault="00B9033C" w:rsidP="0048108E">
      <w:r>
        <w:t>In 2012 the Australian Government provided $6</w:t>
      </w:r>
      <w:r w:rsidR="00835D63">
        <w:t>,</w:t>
      </w:r>
      <w:r w:rsidR="008901E1">
        <w:t>278</w:t>
      </w:r>
      <w:r w:rsidR="00835D63">
        <w:t>,</w:t>
      </w:r>
      <w:r w:rsidR="008901E1">
        <w:t>001</w:t>
      </w:r>
      <w:r>
        <w:t xml:space="preserve"> to non-government systems and schools.  The Australian Government currently uses a mechanism based on demographic data from the Australian Bureau of Statistics to allocate the funds.  Funds were made available under Section 88 of the Act.</w:t>
      </w:r>
    </w:p>
    <w:p w:rsidR="00B9033C" w:rsidRDefault="00B9033C" w:rsidP="006F330B">
      <w:pPr>
        <w:pStyle w:val="Heading2"/>
      </w:pPr>
      <w:bookmarkStart w:id="54" w:name="_Toc414963256"/>
      <w:bookmarkStart w:id="55" w:name="_Toc414963366"/>
      <w:bookmarkStart w:id="56" w:name="_Toc414969259"/>
      <w:r>
        <w:t>Languages Education</w:t>
      </w:r>
      <w:bookmarkEnd w:id="54"/>
      <w:bookmarkEnd w:id="55"/>
      <w:bookmarkEnd w:id="56"/>
    </w:p>
    <w:p w:rsidR="00B9033C" w:rsidRPr="00B9033C" w:rsidRDefault="00B9033C" w:rsidP="0048108E">
      <w:r w:rsidRPr="00B9033C">
        <w:t xml:space="preserve">In 2012 School Languages Programme (SLP) funding was paid to Catholic Education Commissions and Associations of Independent Schools to support the learning of languages in schools and in after-hours ethnic/community language schools.  The languages funded under the SLP include Asian, European, Australian Indigenous languages and </w:t>
      </w:r>
      <w:proofErr w:type="spellStart"/>
      <w:r w:rsidRPr="00B9033C">
        <w:t>Auslan</w:t>
      </w:r>
      <w:proofErr w:type="spellEnd"/>
      <w:r w:rsidRPr="00B9033C">
        <w:t>.</w:t>
      </w:r>
    </w:p>
    <w:p w:rsidR="00B9033C" w:rsidRDefault="00B9033C" w:rsidP="0048108E">
      <w:r w:rsidRPr="00B9033C">
        <w:t>In 2012, the Australian Government provided funding of $14</w:t>
      </w:r>
      <w:r w:rsidR="00835D63">
        <w:t>,</w:t>
      </w:r>
      <w:r w:rsidRPr="00B9033C">
        <w:t>625</w:t>
      </w:r>
      <w:r w:rsidR="00835D63">
        <w:t>,</w:t>
      </w:r>
      <w:r w:rsidRPr="00B9033C">
        <w:t xml:space="preserve">329 to state and territory Catholic and Independent education sectors under the SLP. </w:t>
      </w:r>
      <w:r w:rsidRPr="00B9033C">
        <w:rPr>
          <w:iCs/>
        </w:rPr>
        <w:t>A</w:t>
      </w:r>
      <w:r w:rsidRPr="00B9033C">
        <w:t xml:space="preserve"> proportion of SLP funding, amounting to $135</w:t>
      </w:r>
      <w:r w:rsidR="00835D63">
        <w:t>,</w:t>
      </w:r>
      <w:r w:rsidRPr="00B9033C">
        <w:t>104</w:t>
      </w:r>
      <w:r w:rsidRPr="00B9033C">
        <w:rPr>
          <w:color w:val="1F497D"/>
        </w:rPr>
        <w:t xml:space="preserve"> </w:t>
      </w:r>
      <w:r w:rsidRPr="00B9033C">
        <w:t>was set aside for national projects.</w:t>
      </w:r>
      <w:r>
        <w:t xml:space="preserve">  </w:t>
      </w:r>
    </w:p>
    <w:p w:rsidR="00B9033C" w:rsidRDefault="00B9033C" w:rsidP="0048108E">
      <w:r>
        <w:t>SLP funding was ma</w:t>
      </w:r>
      <w:r w:rsidR="00835D63">
        <w:t xml:space="preserve">de available under Sections 89, </w:t>
      </w:r>
      <w:r>
        <w:t>90 and 91 of the Act.</w:t>
      </w:r>
    </w:p>
    <w:p w:rsidR="00B9033C" w:rsidRDefault="00B9033C" w:rsidP="006F330B">
      <w:pPr>
        <w:pStyle w:val="Heading2"/>
      </w:pPr>
      <w:bookmarkStart w:id="57" w:name="_Toc414963257"/>
      <w:bookmarkStart w:id="58" w:name="_Toc414963367"/>
      <w:bookmarkStart w:id="59" w:name="_Toc414969260"/>
      <w:r>
        <w:lastRenderedPageBreak/>
        <w:t>Teaching English to New Arrivals</w:t>
      </w:r>
      <w:bookmarkEnd w:id="57"/>
      <w:bookmarkEnd w:id="58"/>
      <w:bookmarkEnd w:id="59"/>
    </w:p>
    <w:p w:rsidR="00B9033C" w:rsidRDefault="00B9033C" w:rsidP="0048108E">
      <w:r>
        <w:t>The English as a Second Language – New Arrivals Programme (ESL-NA) provides funding to state and territory non-government education authorities to assist with the cost of delivering intensive English language tuition for eligible newly-arrived migrant primary and secondary school students.</w:t>
      </w:r>
    </w:p>
    <w:p w:rsidR="00B9033C" w:rsidRDefault="00B9033C" w:rsidP="0048108E">
      <w:r>
        <w:t xml:space="preserve">ESL-NA aims to improve the educational opportunities and outcomes of students who have recently arrived in Australia, whose first language is not English and whose proficiency in the English language will require intensive assistance to enable them to participate fully in mainstream classroom activities.  </w:t>
      </w:r>
    </w:p>
    <w:p w:rsidR="00B9033C" w:rsidRDefault="00B9033C" w:rsidP="0048108E">
      <w:r>
        <w:t>Under ESL-NA in 2012, eligible students were expected to receive a minimum amount of intensive English language tuition. Non-humanitarian eligible students receive a minimum of six months intensive English language tuition and refugee and humanitarian entrants receive 12 months intensive English language tuition. Intensive English language tuition may be provided in intensive language centres/units or in schools. Where tuition is provided in schools, it is expected that students will be provided with a minimum of ten hours of ESL assistance per week. The amount and duration of assistance to be provided for individual students is a matter for education authorities to determine.</w:t>
      </w:r>
    </w:p>
    <w:p w:rsidR="00B9033C" w:rsidRDefault="00B9033C" w:rsidP="0048108E">
      <w:r>
        <w:t xml:space="preserve">ESL-NA funding is allocated on the basis of enrolments and provides a one-off grant per student in order to support intensive English tuition.  In 2012, the Australian Government provided </w:t>
      </w:r>
      <w:r w:rsidR="008901E1">
        <w:br/>
      </w:r>
      <w:r>
        <w:t>$</w:t>
      </w:r>
      <w:r w:rsidR="00835D63">
        <w:t>10,</w:t>
      </w:r>
      <w:r w:rsidR="008901E1">
        <w:t>040</w:t>
      </w:r>
      <w:r w:rsidR="00835D63">
        <w:t>,</w:t>
      </w:r>
      <w:r w:rsidR="008901E1">
        <w:t>905</w:t>
      </w:r>
      <w:r>
        <w:t xml:space="preserve"> to assist 836 non-government school students.  Funding of $</w:t>
      </w:r>
      <w:r w:rsidR="008901E1">
        <w:t>7</w:t>
      </w:r>
      <w:r w:rsidR="00835D63">
        <w:t>,</w:t>
      </w:r>
      <w:r w:rsidR="008901E1">
        <w:t>430</w:t>
      </w:r>
      <w:r w:rsidR="00835D63">
        <w:t>,</w:t>
      </w:r>
      <w:r w:rsidR="008901E1">
        <w:t>184</w:t>
      </w:r>
      <w:r>
        <w:t xml:space="preserve"> was provided under this programme to the Catholic sector and $</w:t>
      </w:r>
      <w:r w:rsidR="008901E1">
        <w:t>2</w:t>
      </w:r>
      <w:r w:rsidR="00835D63">
        <w:t>,</w:t>
      </w:r>
      <w:r w:rsidR="008901E1">
        <w:t>610</w:t>
      </w:r>
      <w:r w:rsidR="00835D63">
        <w:t>,</w:t>
      </w:r>
      <w:r w:rsidR="008901E1">
        <w:t>721</w:t>
      </w:r>
      <w:r>
        <w:t xml:space="preserve"> to the Independent sector</w:t>
      </w:r>
      <w:r w:rsidRPr="00B9033C">
        <w:t>.  The per capita grant under the ESL-NA programme for 2012 was $12</w:t>
      </w:r>
      <w:r w:rsidR="00835D63">
        <w:t>,</w:t>
      </w:r>
      <w:r w:rsidRPr="00B9033C">
        <w:t xml:space="preserve">116 </w:t>
      </w:r>
      <w:bookmarkStart w:id="60" w:name="_GoBack"/>
      <w:bookmarkEnd w:id="60"/>
      <w:r w:rsidRPr="00B9033C">
        <w:t>for eligible humanitarian students and $6</w:t>
      </w:r>
      <w:r w:rsidR="00835D63">
        <w:t>,</w:t>
      </w:r>
      <w:r w:rsidRPr="00B9033C">
        <w:t>058 for eligible non-humanitarian students. Funding is provided under Section 93 of the Act.</w:t>
      </w:r>
    </w:p>
    <w:p w:rsidR="00B9033C" w:rsidRDefault="00B9033C" w:rsidP="0048108E">
      <w:r>
        <w:t>Funding support for ESL students in government schools was rolled into the National Education Agreement from 1 January 2009. Under the Agreement states and territories are not obligated to provide targeted ESL support but it is their responsibility to ensure good educational outcomes for the overall cohort of students in their school system.</w:t>
      </w:r>
    </w:p>
    <w:p w:rsidR="00B9033C" w:rsidRDefault="00B9033C" w:rsidP="006F330B">
      <w:pPr>
        <w:pStyle w:val="Heading2"/>
      </w:pPr>
      <w:bookmarkStart w:id="61" w:name="_Toc414963258"/>
      <w:bookmarkStart w:id="62" w:name="_Toc414963368"/>
      <w:bookmarkStart w:id="63" w:name="_Toc414969261"/>
      <w:r>
        <w:t>Literacy, Numeracy and Special Learning Needs (LNSLN)</w:t>
      </w:r>
      <w:bookmarkEnd w:id="61"/>
      <w:bookmarkEnd w:id="62"/>
      <w:bookmarkEnd w:id="63"/>
    </w:p>
    <w:p w:rsidR="00B9033C" w:rsidRPr="00835D63" w:rsidRDefault="00B9033C" w:rsidP="00835D63">
      <w:r w:rsidRPr="00835D63">
        <w:t>The Literacy, Numeracy and Special Learning Needs (LNSLN)  programme assists non-government education authorities to improve the learning outcomes of educationally disadvantaged students, including students with disabilities, by contributing funding for additional teaching and learning assistance. There is a particular focus on improving the literacy and numeracy learning outcomes. Funding allocations for this element are provided to the non-government education authorities in the states and territories which are responsible for the detailed administration of this programme in their systems and schools.</w:t>
      </w:r>
    </w:p>
    <w:p w:rsidR="00B9033C" w:rsidRPr="00835D63" w:rsidRDefault="00B9033C" w:rsidP="00835D63">
      <w:r w:rsidRPr="00835D63">
        <w:t>Education authorities have the flexibility to make decisions on which schools, including special schools, have the greatest need for additional assistance for educationally disadvantaged students and to determine appropriate funding amounts for those schools using the principles of equity, effectiveness and efficiency.  Schools have the flexibility to use funding innovatively to meet the needs of their students.</w:t>
      </w:r>
    </w:p>
    <w:p w:rsidR="00B9033C" w:rsidRPr="00835D63" w:rsidRDefault="00B9033C" w:rsidP="00835D63">
      <w:r w:rsidRPr="00835D63">
        <w:lastRenderedPageBreak/>
        <w:t xml:space="preserve">Funding is targeted at school students from Kindergarten (or equivalent) to Year 12 who </w:t>
      </w:r>
      <w:proofErr w:type="gramStart"/>
      <w:r w:rsidRPr="00835D63">
        <w:t>are</w:t>
      </w:r>
      <w:proofErr w:type="gramEnd"/>
      <w:r w:rsidRPr="00835D63">
        <w:t xml:space="preserve"> educationally disadvantaged in terms of their educational participation and learning outcomes, particularly literacy and numeracy outcomes. This may be associated with a range of factors such as disability, a language background other than English, Aboriginal and Torres Strait Islander backgrounds, low socio economic background, geographical isolation and learning difficulties.</w:t>
      </w:r>
    </w:p>
    <w:p w:rsidR="00B9033C" w:rsidRPr="00835D63" w:rsidRDefault="00B9033C" w:rsidP="00835D63">
      <w:r w:rsidRPr="00835D63">
        <w:t>The LNSLN programme funding for the non-government sector in the 2009 to 2013 funding period is provided under the Schools Assistance Act 2008.  The LNSLN programme consists of two components: the schools grants (recurrent) component and the students with disabilities (per capita) component. Funding for the recurrent component is determined using a composite allocative mechanism. Funding for the students with disability (per capita) component is determined by using a rate per eligible student.  In 2012 the rate per student was $894.</w:t>
      </w:r>
    </w:p>
    <w:p w:rsidR="00B9033C" w:rsidRPr="00835D63" w:rsidRDefault="00B9033C" w:rsidP="00835D63">
      <w:r w:rsidRPr="00835D63">
        <w:t>In 2012 the Australian Government provided total funding of $2</w:t>
      </w:r>
      <w:r w:rsidR="00835D63">
        <w:t>1</w:t>
      </w:r>
      <w:r w:rsidRPr="00835D63">
        <w:t>6</w:t>
      </w:r>
      <w:r w:rsidR="00835D63">
        <w:t>,</w:t>
      </w:r>
      <w:r w:rsidRPr="00835D63">
        <w:t>826</w:t>
      </w:r>
      <w:r w:rsidR="00835D63">
        <w:t>,</w:t>
      </w:r>
      <w:r w:rsidRPr="00835D63">
        <w:t xml:space="preserve">136 to non-government education authorities for the LNSLN programme. </w:t>
      </w:r>
    </w:p>
    <w:p w:rsidR="00B9033C" w:rsidRPr="00835D63" w:rsidRDefault="00B9033C" w:rsidP="00835D63">
      <w:r w:rsidRPr="00835D63">
        <w:t>A total of $40</w:t>
      </w:r>
      <w:r w:rsidR="00835D63">
        <w:t>,</w:t>
      </w:r>
      <w:r w:rsidRPr="00835D63">
        <w:t>943</w:t>
      </w:r>
      <w:r w:rsidR="00835D63">
        <w:t>,</w:t>
      </w:r>
      <w:r w:rsidRPr="00835D63">
        <w:t>830 was provided under the students with disability (per capita) component. Funds were made available under Section 96 of the Act.</w:t>
      </w:r>
    </w:p>
    <w:p w:rsidR="00B9033C" w:rsidRPr="00835D63" w:rsidRDefault="00835D63" w:rsidP="00835D63">
      <w:r>
        <w:t>A total of $175,</w:t>
      </w:r>
      <w:r w:rsidR="00B9033C" w:rsidRPr="00835D63">
        <w:t>882</w:t>
      </w:r>
      <w:r>
        <w:t>,</w:t>
      </w:r>
      <w:r w:rsidR="00B9033C" w:rsidRPr="00835D63">
        <w:t xml:space="preserve">306 was provided under the schools grants (recurrent) component. Funds were made available under Section 97 of the Act. </w:t>
      </w:r>
      <w:bookmarkEnd w:id="50"/>
    </w:p>
    <w:sectPr w:rsidR="00B9033C" w:rsidRPr="00835D63" w:rsidSect="007454B7">
      <w:footerReference w:type="default" r:id="rId18"/>
      <w:pgSz w:w="11907" w:h="16839" w:code="9"/>
      <w:pgMar w:top="851" w:right="1134" w:bottom="816" w:left="1134"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63" w:rsidRDefault="00835D63" w:rsidP="0048108E">
      <w:r>
        <w:separator/>
      </w:r>
    </w:p>
  </w:endnote>
  <w:endnote w:type="continuationSeparator" w:id="0">
    <w:p w:rsidR="00835D63" w:rsidRDefault="00835D63" w:rsidP="0048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Default="00835D63" w:rsidP="0048108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35D63" w:rsidRDefault="00835D63" w:rsidP="00481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Default="00835D63" w:rsidP="004810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35D63" w:rsidRPr="00306395" w:rsidRDefault="00835D63" w:rsidP="00481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Default="00835D63">
    <w:pPr>
      <w:pStyle w:val="Footer"/>
      <w:jc w:val="center"/>
    </w:pPr>
  </w:p>
  <w:p w:rsidR="00835D63" w:rsidRDefault="00835D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Pr="006B6826" w:rsidRDefault="00835D63" w:rsidP="007454B7">
    <w:r w:rsidRPr="006B6826">
      <w:t>Produced by the Australian Government Department of Education and Training, GPO Box 9880 CANBERRA</w:t>
    </w:r>
  </w:p>
  <w:p w:rsidR="00835D63" w:rsidRPr="006B6826" w:rsidRDefault="00835D63" w:rsidP="007454B7">
    <w:r w:rsidRPr="006B6826">
      <w:t>ACT 2601</w:t>
    </w:r>
  </w:p>
  <w:p w:rsidR="00835D63" w:rsidRPr="006B6826" w:rsidRDefault="00835D63" w:rsidP="007454B7">
    <w:r w:rsidRPr="006B6826">
      <w:t>Printed by Blue Star IQ (02) 6230 6200</w:t>
    </w:r>
  </w:p>
  <w:p w:rsidR="00835D63" w:rsidRPr="007454B7" w:rsidRDefault="00835D63" w:rsidP="007454B7">
    <w:pPr>
      <w:rPr>
        <w:b/>
        <w:bCs/>
      </w:rPr>
    </w:pPr>
    <w:r w:rsidRPr="006B6826">
      <w:rPr>
        <w:rStyle w:val="Strong"/>
      </w:rPr>
      <w:t>Reference Number: 6568RESD13B</w:t>
    </w:r>
  </w:p>
  <w:p w:rsidR="00835D63" w:rsidRDefault="005C71DC" w:rsidP="006F330B">
    <w:pPr>
      <w:pStyle w:val="Footer"/>
      <w:jc w:val="center"/>
    </w:pPr>
    <w:sdt>
      <w:sdtPr>
        <w:id w:val="-1701234790"/>
        <w:docPartObj>
          <w:docPartGallery w:val="Page Numbers (Bottom of Page)"/>
          <w:docPartUnique/>
        </w:docPartObj>
      </w:sdtPr>
      <w:sdtEndPr>
        <w:rPr>
          <w:noProof/>
        </w:rPr>
      </w:sdtEndPr>
      <w:sdtContent>
        <w:r w:rsidR="00835D63">
          <w:fldChar w:fldCharType="begin"/>
        </w:r>
        <w:r w:rsidR="00835D63">
          <w:instrText xml:space="preserve"> PAGE   \* MERGEFORMAT </w:instrText>
        </w:r>
        <w:r w:rsidR="00835D63">
          <w:fldChar w:fldCharType="separate"/>
        </w:r>
        <w:r>
          <w:rPr>
            <w:noProof/>
          </w:rPr>
          <w:t>ii</w:t>
        </w:r>
        <w:r w:rsidR="00835D63">
          <w:rPr>
            <w:noProof/>
          </w:rPr>
          <w:fldChar w:fldCharType="end"/>
        </w:r>
      </w:sdtContent>
    </w:sdt>
  </w:p>
  <w:p w:rsidR="00835D63" w:rsidRPr="00154284" w:rsidRDefault="00835D63" w:rsidP="001542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Default="005C71DC" w:rsidP="006F330B">
    <w:pPr>
      <w:pStyle w:val="Footer"/>
      <w:jc w:val="center"/>
    </w:pPr>
    <w:sdt>
      <w:sdtPr>
        <w:id w:val="-474758634"/>
        <w:docPartObj>
          <w:docPartGallery w:val="Page Numbers (Bottom of Page)"/>
          <w:docPartUnique/>
        </w:docPartObj>
      </w:sdtPr>
      <w:sdtEndPr>
        <w:rPr>
          <w:noProof/>
        </w:rPr>
      </w:sdtEndPr>
      <w:sdtContent>
        <w:r w:rsidR="00835D63">
          <w:fldChar w:fldCharType="begin"/>
        </w:r>
        <w:r w:rsidR="00835D63">
          <w:instrText xml:space="preserve"> PAGE   \* MERGEFORMAT </w:instrText>
        </w:r>
        <w:r w:rsidR="00835D63">
          <w:fldChar w:fldCharType="separate"/>
        </w:r>
        <w:r>
          <w:rPr>
            <w:noProof/>
          </w:rPr>
          <w:t>iii</w:t>
        </w:r>
        <w:r w:rsidR="00835D63">
          <w:rPr>
            <w:noProof/>
          </w:rPr>
          <w:fldChar w:fldCharType="end"/>
        </w:r>
      </w:sdtContent>
    </w:sdt>
  </w:p>
  <w:p w:rsidR="00835D63" w:rsidRPr="00154284" w:rsidRDefault="00835D63" w:rsidP="00154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63" w:rsidRDefault="00835D63" w:rsidP="0048108E">
      <w:r>
        <w:separator/>
      </w:r>
    </w:p>
  </w:footnote>
  <w:footnote w:type="continuationSeparator" w:id="0">
    <w:p w:rsidR="00835D63" w:rsidRDefault="00835D63" w:rsidP="00481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3" w:rsidRDefault="00835D63" w:rsidP="0048108E">
    <w:pPr>
      <w:pStyle w:val="Header"/>
    </w:pPr>
    <w:r>
      <w:rPr>
        <w:noProof/>
      </w:rPr>
      <w:drawing>
        <wp:inline distT="0" distB="0" distL="0" distR="0" wp14:anchorId="6311F2B6" wp14:editId="429913D9">
          <wp:extent cx="2875915" cy="556895"/>
          <wp:effectExtent l="0" t="0" r="635" b="0"/>
          <wp:docPr id="8" name="Picture 8" descr="Australian Government Department of Education and Training"/>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Education and Traini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591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BED"/>
    <w:multiLevelType w:val="hybridMultilevel"/>
    <w:tmpl w:val="A984D778"/>
    <w:lvl w:ilvl="0" w:tplc="A72A7AB8">
      <w:start w:val="1"/>
      <w:numFmt w:val="bullet"/>
      <w:pStyle w:val="ListParagraph"/>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nsid w:val="52095FFD"/>
    <w:multiLevelType w:val="hybridMultilevel"/>
    <w:tmpl w:val="A6CC7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4F6F82"/>
    <w:multiLevelType w:val="hybridMultilevel"/>
    <w:tmpl w:val="26A6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11ED3"/>
    <w:rsid w:val="00000ACC"/>
    <w:rsid w:val="00000C86"/>
    <w:rsid w:val="00000FF9"/>
    <w:rsid w:val="000010EA"/>
    <w:rsid w:val="0000195E"/>
    <w:rsid w:val="0000211A"/>
    <w:rsid w:val="0000213B"/>
    <w:rsid w:val="0000220A"/>
    <w:rsid w:val="000027EC"/>
    <w:rsid w:val="00002A19"/>
    <w:rsid w:val="00003CF6"/>
    <w:rsid w:val="0000437A"/>
    <w:rsid w:val="00004563"/>
    <w:rsid w:val="00004608"/>
    <w:rsid w:val="00004DE6"/>
    <w:rsid w:val="00004F0A"/>
    <w:rsid w:val="0000526B"/>
    <w:rsid w:val="00005E0B"/>
    <w:rsid w:val="000064B1"/>
    <w:rsid w:val="00006549"/>
    <w:rsid w:val="00006F27"/>
    <w:rsid w:val="00007202"/>
    <w:rsid w:val="00007F49"/>
    <w:rsid w:val="00007F4D"/>
    <w:rsid w:val="0001015B"/>
    <w:rsid w:val="000103B7"/>
    <w:rsid w:val="00010AB5"/>
    <w:rsid w:val="00010BE1"/>
    <w:rsid w:val="00011639"/>
    <w:rsid w:val="0001168A"/>
    <w:rsid w:val="0001187B"/>
    <w:rsid w:val="00012035"/>
    <w:rsid w:val="0001273E"/>
    <w:rsid w:val="00013AA6"/>
    <w:rsid w:val="00013C4E"/>
    <w:rsid w:val="00014B41"/>
    <w:rsid w:val="000169D0"/>
    <w:rsid w:val="00016D96"/>
    <w:rsid w:val="000170C1"/>
    <w:rsid w:val="000175A7"/>
    <w:rsid w:val="00017915"/>
    <w:rsid w:val="00017C29"/>
    <w:rsid w:val="00017E88"/>
    <w:rsid w:val="00021115"/>
    <w:rsid w:val="0002120C"/>
    <w:rsid w:val="000218B6"/>
    <w:rsid w:val="000219A9"/>
    <w:rsid w:val="00021C3B"/>
    <w:rsid w:val="00022191"/>
    <w:rsid w:val="00022DDB"/>
    <w:rsid w:val="0002415A"/>
    <w:rsid w:val="000246EF"/>
    <w:rsid w:val="00024CB7"/>
    <w:rsid w:val="0002534F"/>
    <w:rsid w:val="0002594A"/>
    <w:rsid w:val="00025961"/>
    <w:rsid w:val="00025968"/>
    <w:rsid w:val="00026249"/>
    <w:rsid w:val="000262A9"/>
    <w:rsid w:val="0002633A"/>
    <w:rsid w:val="000265AD"/>
    <w:rsid w:val="000269B8"/>
    <w:rsid w:val="00026CF7"/>
    <w:rsid w:val="00026D5C"/>
    <w:rsid w:val="00026E59"/>
    <w:rsid w:val="00027A89"/>
    <w:rsid w:val="00030AF5"/>
    <w:rsid w:val="00031DCE"/>
    <w:rsid w:val="00032D54"/>
    <w:rsid w:val="000333EC"/>
    <w:rsid w:val="00033547"/>
    <w:rsid w:val="0003378F"/>
    <w:rsid w:val="00034438"/>
    <w:rsid w:val="00035DBA"/>
    <w:rsid w:val="000361CE"/>
    <w:rsid w:val="00037BE4"/>
    <w:rsid w:val="00037F51"/>
    <w:rsid w:val="0004078D"/>
    <w:rsid w:val="00040A7C"/>
    <w:rsid w:val="00040ABD"/>
    <w:rsid w:val="00041EA6"/>
    <w:rsid w:val="000420DF"/>
    <w:rsid w:val="0004287F"/>
    <w:rsid w:val="000444E9"/>
    <w:rsid w:val="0004582B"/>
    <w:rsid w:val="00045843"/>
    <w:rsid w:val="00045B64"/>
    <w:rsid w:val="0004630B"/>
    <w:rsid w:val="0004780A"/>
    <w:rsid w:val="00047BF3"/>
    <w:rsid w:val="00050FCF"/>
    <w:rsid w:val="000512B7"/>
    <w:rsid w:val="000514AE"/>
    <w:rsid w:val="0005175A"/>
    <w:rsid w:val="00051B4B"/>
    <w:rsid w:val="00051F4C"/>
    <w:rsid w:val="000526C0"/>
    <w:rsid w:val="000526DE"/>
    <w:rsid w:val="00052784"/>
    <w:rsid w:val="00052984"/>
    <w:rsid w:val="00053016"/>
    <w:rsid w:val="000530B3"/>
    <w:rsid w:val="0005313F"/>
    <w:rsid w:val="000536C8"/>
    <w:rsid w:val="00054192"/>
    <w:rsid w:val="0005426A"/>
    <w:rsid w:val="000542BD"/>
    <w:rsid w:val="00055225"/>
    <w:rsid w:val="0005544A"/>
    <w:rsid w:val="00055769"/>
    <w:rsid w:val="000564DB"/>
    <w:rsid w:val="000575BA"/>
    <w:rsid w:val="00057B22"/>
    <w:rsid w:val="00057B52"/>
    <w:rsid w:val="00057C23"/>
    <w:rsid w:val="00060CAF"/>
    <w:rsid w:val="00060CF0"/>
    <w:rsid w:val="00060F53"/>
    <w:rsid w:val="00061EC4"/>
    <w:rsid w:val="00061F4F"/>
    <w:rsid w:val="0006209B"/>
    <w:rsid w:val="0006345A"/>
    <w:rsid w:val="00064015"/>
    <w:rsid w:val="000641BB"/>
    <w:rsid w:val="000643E7"/>
    <w:rsid w:val="00064580"/>
    <w:rsid w:val="00064C23"/>
    <w:rsid w:val="00064CA0"/>
    <w:rsid w:val="00064DA1"/>
    <w:rsid w:val="00064F02"/>
    <w:rsid w:val="00066267"/>
    <w:rsid w:val="0006740C"/>
    <w:rsid w:val="00067576"/>
    <w:rsid w:val="00070966"/>
    <w:rsid w:val="0007126E"/>
    <w:rsid w:val="00072381"/>
    <w:rsid w:val="00073478"/>
    <w:rsid w:val="00073652"/>
    <w:rsid w:val="0007392F"/>
    <w:rsid w:val="00073AB1"/>
    <w:rsid w:val="0007411C"/>
    <w:rsid w:val="00074680"/>
    <w:rsid w:val="00074D17"/>
    <w:rsid w:val="00075CC7"/>
    <w:rsid w:val="00075DF4"/>
    <w:rsid w:val="00076D53"/>
    <w:rsid w:val="00077031"/>
    <w:rsid w:val="00077698"/>
    <w:rsid w:val="00077A21"/>
    <w:rsid w:val="00077B2A"/>
    <w:rsid w:val="00077D97"/>
    <w:rsid w:val="00080030"/>
    <w:rsid w:val="00080A1E"/>
    <w:rsid w:val="00080EFD"/>
    <w:rsid w:val="0008136A"/>
    <w:rsid w:val="00081393"/>
    <w:rsid w:val="00081527"/>
    <w:rsid w:val="00081611"/>
    <w:rsid w:val="0008174F"/>
    <w:rsid w:val="00081823"/>
    <w:rsid w:val="00081B8D"/>
    <w:rsid w:val="0008224A"/>
    <w:rsid w:val="000825CE"/>
    <w:rsid w:val="000828CB"/>
    <w:rsid w:val="00082B72"/>
    <w:rsid w:val="0008347C"/>
    <w:rsid w:val="000837CE"/>
    <w:rsid w:val="0008398B"/>
    <w:rsid w:val="000842C4"/>
    <w:rsid w:val="000854D7"/>
    <w:rsid w:val="00085614"/>
    <w:rsid w:val="00085C17"/>
    <w:rsid w:val="00085DA0"/>
    <w:rsid w:val="00086972"/>
    <w:rsid w:val="00086A09"/>
    <w:rsid w:val="00086B43"/>
    <w:rsid w:val="000876EC"/>
    <w:rsid w:val="00087B37"/>
    <w:rsid w:val="00087CC9"/>
    <w:rsid w:val="00090166"/>
    <w:rsid w:val="000905EA"/>
    <w:rsid w:val="000909D4"/>
    <w:rsid w:val="00090D4A"/>
    <w:rsid w:val="00090FFC"/>
    <w:rsid w:val="0009108B"/>
    <w:rsid w:val="0009141A"/>
    <w:rsid w:val="000915E3"/>
    <w:rsid w:val="00092A69"/>
    <w:rsid w:val="00092D7D"/>
    <w:rsid w:val="000939BE"/>
    <w:rsid w:val="00093C74"/>
    <w:rsid w:val="00094638"/>
    <w:rsid w:val="0009478D"/>
    <w:rsid w:val="00095124"/>
    <w:rsid w:val="000954D3"/>
    <w:rsid w:val="000956EA"/>
    <w:rsid w:val="00095C2B"/>
    <w:rsid w:val="000967FC"/>
    <w:rsid w:val="000968C8"/>
    <w:rsid w:val="00096E07"/>
    <w:rsid w:val="000A0621"/>
    <w:rsid w:val="000A067E"/>
    <w:rsid w:val="000A0C75"/>
    <w:rsid w:val="000A0DFA"/>
    <w:rsid w:val="000A1156"/>
    <w:rsid w:val="000A1C6C"/>
    <w:rsid w:val="000A212E"/>
    <w:rsid w:val="000A2AC4"/>
    <w:rsid w:val="000A2E33"/>
    <w:rsid w:val="000A3601"/>
    <w:rsid w:val="000A36CF"/>
    <w:rsid w:val="000A385A"/>
    <w:rsid w:val="000A38FC"/>
    <w:rsid w:val="000A3937"/>
    <w:rsid w:val="000A3DF3"/>
    <w:rsid w:val="000A454E"/>
    <w:rsid w:val="000A49AC"/>
    <w:rsid w:val="000A5544"/>
    <w:rsid w:val="000A633A"/>
    <w:rsid w:val="000A6CC6"/>
    <w:rsid w:val="000A7C9E"/>
    <w:rsid w:val="000B000C"/>
    <w:rsid w:val="000B1662"/>
    <w:rsid w:val="000B1A82"/>
    <w:rsid w:val="000B23B4"/>
    <w:rsid w:val="000B2407"/>
    <w:rsid w:val="000B24F0"/>
    <w:rsid w:val="000B26D7"/>
    <w:rsid w:val="000B2701"/>
    <w:rsid w:val="000B3789"/>
    <w:rsid w:val="000B3C03"/>
    <w:rsid w:val="000B3ED3"/>
    <w:rsid w:val="000B4053"/>
    <w:rsid w:val="000B51E7"/>
    <w:rsid w:val="000B541F"/>
    <w:rsid w:val="000B5429"/>
    <w:rsid w:val="000B5599"/>
    <w:rsid w:val="000B5787"/>
    <w:rsid w:val="000B6B1D"/>
    <w:rsid w:val="000B7688"/>
    <w:rsid w:val="000B7D7F"/>
    <w:rsid w:val="000B7D82"/>
    <w:rsid w:val="000B7FE9"/>
    <w:rsid w:val="000C0B48"/>
    <w:rsid w:val="000C191D"/>
    <w:rsid w:val="000C21C3"/>
    <w:rsid w:val="000C2E01"/>
    <w:rsid w:val="000C3115"/>
    <w:rsid w:val="000C394C"/>
    <w:rsid w:val="000C3C1F"/>
    <w:rsid w:val="000C4028"/>
    <w:rsid w:val="000C4995"/>
    <w:rsid w:val="000C4FBA"/>
    <w:rsid w:val="000C539F"/>
    <w:rsid w:val="000C53FC"/>
    <w:rsid w:val="000C5EDE"/>
    <w:rsid w:val="000C63FA"/>
    <w:rsid w:val="000C692B"/>
    <w:rsid w:val="000C6F06"/>
    <w:rsid w:val="000C7EC5"/>
    <w:rsid w:val="000D0293"/>
    <w:rsid w:val="000D045D"/>
    <w:rsid w:val="000D06B4"/>
    <w:rsid w:val="000D088E"/>
    <w:rsid w:val="000D0972"/>
    <w:rsid w:val="000D0CF9"/>
    <w:rsid w:val="000D0D2C"/>
    <w:rsid w:val="000D21C7"/>
    <w:rsid w:val="000D36FE"/>
    <w:rsid w:val="000D3812"/>
    <w:rsid w:val="000D3BE1"/>
    <w:rsid w:val="000D3C7F"/>
    <w:rsid w:val="000D5396"/>
    <w:rsid w:val="000D55F9"/>
    <w:rsid w:val="000D5747"/>
    <w:rsid w:val="000D57E8"/>
    <w:rsid w:val="000D5C21"/>
    <w:rsid w:val="000D6E62"/>
    <w:rsid w:val="000E0682"/>
    <w:rsid w:val="000E2002"/>
    <w:rsid w:val="000E295D"/>
    <w:rsid w:val="000E3973"/>
    <w:rsid w:val="000E44B0"/>
    <w:rsid w:val="000E45FD"/>
    <w:rsid w:val="000E54AB"/>
    <w:rsid w:val="000E6645"/>
    <w:rsid w:val="000E6A72"/>
    <w:rsid w:val="000E6CFC"/>
    <w:rsid w:val="000E73D8"/>
    <w:rsid w:val="000E77DE"/>
    <w:rsid w:val="000E7E1B"/>
    <w:rsid w:val="000F010F"/>
    <w:rsid w:val="000F0AC5"/>
    <w:rsid w:val="000F3263"/>
    <w:rsid w:val="000F34D0"/>
    <w:rsid w:val="000F441F"/>
    <w:rsid w:val="000F4803"/>
    <w:rsid w:val="000F4CC1"/>
    <w:rsid w:val="000F5C32"/>
    <w:rsid w:val="000F6477"/>
    <w:rsid w:val="000F7DCB"/>
    <w:rsid w:val="001001E9"/>
    <w:rsid w:val="001005EB"/>
    <w:rsid w:val="00100FB9"/>
    <w:rsid w:val="00101145"/>
    <w:rsid w:val="0010115F"/>
    <w:rsid w:val="001011D2"/>
    <w:rsid w:val="0010169A"/>
    <w:rsid w:val="00101AA1"/>
    <w:rsid w:val="00102539"/>
    <w:rsid w:val="0010283F"/>
    <w:rsid w:val="00102C77"/>
    <w:rsid w:val="001036BB"/>
    <w:rsid w:val="00103788"/>
    <w:rsid w:val="0010410B"/>
    <w:rsid w:val="001043F5"/>
    <w:rsid w:val="001048F1"/>
    <w:rsid w:val="001051A4"/>
    <w:rsid w:val="0010677C"/>
    <w:rsid w:val="00106ED4"/>
    <w:rsid w:val="00106FF1"/>
    <w:rsid w:val="00107360"/>
    <w:rsid w:val="00107404"/>
    <w:rsid w:val="00107594"/>
    <w:rsid w:val="00107683"/>
    <w:rsid w:val="0010776A"/>
    <w:rsid w:val="00110421"/>
    <w:rsid w:val="00110821"/>
    <w:rsid w:val="001110DF"/>
    <w:rsid w:val="00111D46"/>
    <w:rsid w:val="0011230E"/>
    <w:rsid w:val="00112573"/>
    <w:rsid w:val="001128B1"/>
    <w:rsid w:val="00112FFB"/>
    <w:rsid w:val="001133B7"/>
    <w:rsid w:val="00114822"/>
    <w:rsid w:val="0011499C"/>
    <w:rsid w:val="001149D8"/>
    <w:rsid w:val="00114AA3"/>
    <w:rsid w:val="00114D65"/>
    <w:rsid w:val="00114E04"/>
    <w:rsid w:val="001151F2"/>
    <w:rsid w:val="0011527B"/>
    <w:rsid w:val="00116237"/>
    <w:rsid w:val="00116E4D"/>
    <w:rsid w:val="00116F1D"/>
    <w:rsid w:val="0011766C"/>
    <w:rsid w:val="00117C6A"/>
    <w:rsid w:val="00117D8C"/>
    <w:rsid w:val="00117FBC"/>
    <w:rsid w:val="001200F5"/>
    <w:rsid w:val="00120496"/>
    <w:rsid w:val="00120D12"/>
    <w:rsid w:val="00120DB5"/>
    <w:rsid w:val="00120F21"/>
    <w:rsid w:val="001219F0"/>
    <w:rsid w:val="00121A78"/>
    <w:rsid w:val="00121D19"/>
    <w:rsid w:val="00122769"/>
    <w:rsid w:val="00122F8A"/>
    <w:rsid w:val="001230E0"/>
    <w:rsid w:val="001232D4"/>
    <w:rsid w:val="0012373C"/>
    <w:rsid w:val="00123A00"/>
    <w:rsid w:val="00124A3E"/>
    <w:rsid w:val="00124ED8"/>
    <w:rsid w:val="001257E3"/>
    <w:rsid w:val="00125B56"/>
    <w:rsid w:val="0012667E"/>
    <w:rsid w:val="0012674D"/>
    <w:rsid w:val="00127B56"/>
    <w:rsid w:val="00127FAB"/>
    <w:rsid w:val="00130AB6"/>
    <w:rsid w:val="00130B5C"/>
    <w:rsid w:val="00130C36"/>
    <w:rsid w:val="001314DB"/>
    <w:rsid w:val="001315D7"/>
    <w:rsid w:val="00131A5D"/>
    <w:rsid w:val="00132E16"/>
    <w:rsid w:val="00132F5D"/>
    <w:rsid w:val="00134042"/>
    <w:rsid w:val="00134412"/>
    <w:rsid w:val="001344FF"/>
    <w:rsid w:val="0013466E"/>
    <w:rsid w:val="00134AED"/>
    <w:rsid w:val="00135041"/>
    <w:rsid w:val="00135D92"/>
    <w:rsid w:val="00135D97"/>
    <w:rsid w:val="00136895"/>
    <w:rsid w:val="00136EA6"/>
    <w:rsid w:val="0013712E"/>
    <w:rsid w:val="001378FC"/>
    <w:rsid w:val="00140399"/>
    <w:rsid w:val="00140EF4"/>
    <w:rsid w:val="001413DC"/>
    <w:rsid w:val="00141447"/>
    <w:rsid w:val="00141745"/>
    <w:rsid w:val="00141A6B"/>
    <w:rsid w:val="0014257A"/>
    <w:rsid w:val="001427F0"/>
    <w:rsid w:val="00142AD9"/>
    <w:rsid w:val="00142BF6"/>
    <w:rsid w:val="00142F00"/>
    <w:rsid w:val="00142F4A"/>
    <w:rsid w:val="00143032"/>
    <w:rsid w:val="0014349C"/>
    <w:rsid w:val="001437F6"/>
    <w:rsid w:val="00143F3A"/>
    <w:rsid w:val="00143F74"/>
    <w:rsid w:val="0014472F"/>
    <w:rsid w:val="001448EE"/>
    <w:rsid w:val="0014579E"/>
    <w:rsid w:val="00145C07"/>
    <w:rsid w:val="001460E4"/>
    <w:rsid w:val="0014679D"/>
    <w:rsid w:val="00146C0A"/>
    <w:rsid w:val="00147665"/>
    <w:rsid w:val="00147694"/>
    <w:rsid w:val="0015062D"/>
    <w:rsid w:val="00150BBC"/>
    <w:rsid w:val="00150BC0"/>
    <w:rsid w:val="00151639"/>
    <w:rsid w:val="00151B2F"/>
    <w:rsid w:val="0015209E"/>
    <w:rsid w:val="0015264B"/>
    <w:rsid w:val="00152844"/>
    <w:rsid w:val="001529F8"/>
    <w:rsid w:val="00152AE6"/>
    <w:rsid w:val="00152AF4"/>
    <w:rsid w:val="00152DF4"/>
    <w:rsid w:val="00152F2B"/>
    <w:rsid w:val="001537DB"/>
    <w:rsid w:val="00153814"/>
    <w:rsid w:val="0015388A"/>
    <w:rsid w:val="00153B1A"/>
    <w:rsid w:val="00153C9B"/>
    <w:rsid w:val="00153F7A"/>
    <w:rsid w:val="00153F7E"/>
    <w:rsid w:val="00153FFC"/>
    <w:rsid w:val="00154284"/>
    <w:rsid w:val="00154507"/>
    <w:rsid w:val="00154F4E"/>
    <w:rsid w:val="00155617"/>
    <w:rsid w:val="00155891"/>
    <w:rsid w:val="001559E7"/>
    <w:rsid w:val="00155D5A"/>
    <w:rsid w:val="00155E57"/>
    <w:rsid w:val="00156409"/>
    <w:rsid w:val="00156726"/>
    <w:rsid w:val="001567BF"/>
    <w:rsid w:val="00156FAE"/>
    <w:rsid w:val="00157112"/>
    <w:rsid w:val="00157274"/>
    <w:rsid w:val="00157325"/>
    <w:rsid w:val="0015736F"/>
    <w:rsid w:val="00160054"/>
    <w:rsid w:val="001607A5"/>
    <w:rsid w:val="00160C3A"/>
    <w:rsid w:val="00160E7C"/>
    <w:rsid w:val="00161516"/>
    <w:rsid w:val="001615E4"/>
    <w:rsid w:val="00161699"/>
    <w:rsid w:val="001622EA"/>
    <w:rsid w:val="0016237F"/>
    <w:rsid w:val="00162884"/>
    <w:rsid w:val="00162B31"/>
    <w:rsid w:val="00162BDC"/>
    <w:rsid w:val="00162DF4"/>
    <w:rsid w:val="0016355D"/>
    <w:rsid w:val="0016398D"/>
    <w:rsid w:val="00163C84"/>
    <w:rsid w:val="00164079"/>
    <w:rsid w:val="00164774"/>
    <w:rsid w:val="00164C1D"/>
    <w:rsid w:val="00165643"/>
    <w:rsid w:val="00166525"/>
    <w:rsid w:val="001665CB"/>
    <w:rsid w:val="00166F7D"/>
    <w:rsid w:val="001676E0"/>
    <w:rsid w:val="001677B8"/>
    <w:rsid w:val="00167E34"/>
    <w:rsid w:val="001703E3"/>
    <w:rsid w:val="001707F6"/>
    <w:rsid w:val="001709DA"/>
    <w:rsid w:val="0017152C"/>
    <w:rsid w:val="00172AF9"/>
    <w:rsid w:val="00172C4D"/>
    <w:rsid w:val="00173950"/>
    <w:rsid w:val="00173F0A"/>
    <w:rsid w:val="00174F08"/>
    <w:rsid w:val="00174F57"/>
    <w:rsid w:val="00175E9A"/>
    <w:rsid w:val="00176073"/>
    <w:rsid w:val="001766CC"/>
    <w:rsid w:val="00176A8F"/>
    <w:rsid w:val="00176B77"/>
    <w:rsid w:val="00177213"/>
    <w:rsid w:val="00177437"/>
    <w:rsid w:val="0018031E"/>
    <w:rsid w:val="00181E1C"/>
    <w:rsid w:val="00181E6C"/>
    <w:rsid w:val="0018251A"/>
    <w:rsid w:val="001827F6"/>
    <w:rsid w:val="00182B84"/>
    <w:rsid w:val="0018324E"/>
    <w:rsid w:val="00183D81"/>
    <w:rsid w:val="00183ECB"/>
    <w:rsid w:val="0018419D"/>
    <w:rsid w:val="00184229"/>
    <w:rsid w:val="00184788"/>
    <w:rsid w:val="001849AB"/>
    <w:rsid w:val="001849EF"/>
    <w:rsid w:val="001852C2"/>
    <w:rsid w:val="001857F1"/>
    <w:rsid w:val="0019070D"/>
    <w:rsid w:val="0019091D"/>
    <w:rsid w:val="0019111F"/>
    <w:rsid w:val="001914B3"/>
    <w:rsid w:val="00191651"/>
    <w:rsid w:val="001917E5"/>
    <w:rsid w:val="001917EF"/>
    <w:rsid w:val="00191874"/>
    <w:rsid w:val="00192406"/>
    <w:rsid w:val="001930D5"/>
    <w:rsid w:val="00193190"/>
    <w:rsid w:val="001932BC"/>
    <w:rsid w:val="001937A3"/>
    <w:rsid w:val="00193854"/>
    <w:rsid w:val="0019451C"/>
    <w:rsid w:val="00195B8A"/>
    <w:rsid w:val="00196CB6"/>
    <w:rsid w:val="00196E94"/>
    <w:rsid w:val="001971BA"/>
    <w:rsid w:val="001974F7"/>
    <w:rsid w:val="00197BD1"/>
    <w:rsid w:val="00197E07"/>
    <w:rsid w:val="001A00DB"/>
    <w:rsid w:val="001A0B99"/>
    <w:rsid w:val="001A0F1D"/>
    <w:rsid w:val="001A12CD"/>
    <w:rsid w:val="001A166D"/>
    <w:rsid w:val="001A209E"/>
    <w:rsid w:val="001A2674"/>
    <w:rsid w:val="001A2C6A"/>
    <w:rsid w:val="001A30AF"/>
    <w:rsid w:val="001A319A"/>
    <w:rsid w:val="001A3406"/>
    <w:rsid w:val="001A372C"/>
    <w:rsid w:val="001A38FA"/>
    <w:rsid w:val="001A3C2D"/>
    <w:rsid w:val="001A444E"/>
    <w:rsid w:val="001A4B33"/>
    <w:rsid w:val="001A54B0"/>
    <w:rsid w:val="001A5678"/>
    <w:rsid w:val="001A5B3A"/>
    <w:rsid w:val="001A5E34"/>
    <w:rsid w:val="001A5E6E"/>
    <w:rsid w:val="001A608A"/>
    <w:rsid w:val="001A63CD"/>
    <w:rsid w:val="001A63FD"/>
    <w:rsid w:val="001A6514"/>
    <w:rsid w:val="001A671D"/>
    <w:rsid w:val="001A6B1B"/>
    <w:rsid w:val="001A6C1A"/>
    <w:rsid w:val="001A6D74"/>
    <w:rsid w:val="001A7962"/>
    <w:rsid w:val="001A7B20"/>
    <w:rsid w:val="001A7C2F"/>
    <w:rsid w:val="001A7F20"/>
    <w:rsid w:val="001B0D2D"/>
    <w:rsid w:val="001B1BE4"/>
    <w:rsid w:val="001B1F9E"/>
    <w:rsid w:val="001B27CE"/>
    <w:rsid w:val="001B2B9D"/>
    <w:rsid w:val="001B3481"/>
    <w:rsid w:val="001B3853"/>
    <w:rsid w:val="001B38F3"/>
    <w:rsid w:val="001B3AD8"/>
    <w:rsid w:val="001B3C45"/>
    <w:rsid w:val="001B4020"/>
    <w:rsid w:val="001B4532"/>
    <w:rsid w:val="001B45EE"/>
    <w:rsid w:val="001B48AA"/>
    <w:rsid w:val="001B5016"/>
    <w:rsid w:val="001B5225"/>
    <w:rsid w:val="001B5CF3"/>
    <w:rsid w:val="001B6137"/>
    <w:rsid w:val="001B65A8"/>
    <w:rsid w:val="001B6988"/>
    <w:rsid w:val="001B6BA2"/>
    <w:rsid w:val="001B6CD3"/>
    <w:rsid w:val="001B7221"/>
    <w:rsid w:val="001B7934"/>
    <w:rsid w:val="001C1755"/>
    <w:rsid w:val="001C1A0B"/>
    <w:rsid w:val="001C1EB6"/>
    <w:rsid w:val="001C2242"/>
    <w:rsid w:val="001C23A5"/>
    <w:rsid w:val="001C25B4"/>
    <w:rsid w:val="001C2F10"/>
    <w:rsid w:val="001C32AB"/>
    <w:rsid w:val="001C345D"/>
    <w:rsid w:val="001C3969"/>
    <w:rsid w:val="001C48A6"/>
    <w:rsid w:val="001C4E0A"/>
    <w:rsid w:val="001C52E9"/>
    <w:rsid w:val="001C56E0"/>
    <w:rsid w:val="001C5ABE"/>
    <w:rsid w:val="001C5C55"/>
    <w:rsid w:val="001C752A"/>
    <w:rsid w:val="001C7680"/>
    <w:rsid w:val="001C7E64"/>
    <w:rsid w:val="001C7F2C"/>
    <w:rsid w:val="001D04A9"/>
    <w:rsid w:val="001D0EDF"/>
    <w:rsid w:val="001D25CD"/>
    <w:rsid w:val="001D2C94"/>
    <w:rsid w:val="001D323E"/>
    <w:rsid w:val="001D3331"/>
    <w:rsid w:val="001D3DE7"/>
    <w:rsid w:val="001D4990"/>
    <w:rsid w:val="001D5543"/>
    <w:rsid w:val="001D587D"/>
    <w:rsid w:val="001D5950"/>
    <w:rsid w:val="001D5E45"/>
    <w:rsid w:val="001D63DE"/>
    <w:rsid w:val="001D64C2"/>
    <w:rsid w:val="001D6A06"/>
    <w:rsid w:val="001D79A8"/>
    <w:rsid w:val="001D7C80"/>
    <w:rsid w:val="001E174E"/>
    <w:rsid w:val="001E1A5E"/>
    <w:rsid w:val="001E1BE6"/>
    <w:rsid w:val="001E3B0E"/>
    <w:rsid w:val="001E4128"/>
    <w:rsid w:val="001E4265"/>
    <w:rsid w:val="001E45FC"/>
    <w:rsid w:val="001E4D5F"/>
    <w:rsid w:val="001E4DD0"/>
    <w:rsid w:val="001E5465"/>
    <w:rsid w:val="001E598D"/>
    <w:rsid w:val="001E5B0B"/>
    <w:rsid w:val="001E60F6"/>
    <w:rsid w:val="001E611D"/>
    <w:rsid w:val="001E63AE"/>
    <w:rsid w:val="001E7551"/>
    <w:rsid w:val="001E7B61"/>
    <w:rsid w:val="001F0387"/>
    <w:rsid w:val="001F05C7"/>
    <w:rsid w:val="001F06E1"/>
    <w:rsid w:val="001F0E71"/>
    <w:rsid w:val="001F0EF9"/>
    <w:rsid w:val="001F18A4"/>
    <w:rsid w:val="001F3280"/>
    <w:rsid w:val="001F39B0"/>
    <w:rsid w:val="001F430B"/>
    <w:rsid w:val="001F4346"/>
    <w:rsid w:val="001F43F1"/>
    <w:rsid w:val="001F4B6D"/>
    <w:rsid w:val="001F5522"/>
    <w:rsid w:val="001F5B1B"/>
    <w:rsid w:val="001F5B8F"/>
    <w:rsid w:val="001F5F3B"/>
    <w:rsid w:val="002000B0"/>
    <w:rsid w:val="00200B60"/>
    <w:rsid w:val="00200D2E"/>
    <w:rsid w:val="002017EC"/>
    <w:rsid w:val="00201B18"/>
    <w:rsid w:val="00201B3F"/>
    <w:rsid w:val="00201DE5"/>
    <w:rsid w:val="00202058"/>
    <w:rsid w:val="002021E5"/>
    <w:rsid w:val="00202466"/>
    <w:rsid w:val="002025C0"/>
    <w:rsid w:val="002027E7"/>
    <w:rsid w:val="00203353"/>
    <w:rsid w:val="00203A16"/>
    <w:rsid w:val="00203CD5"/>
    <w:rsid w:val="00203DFE"/>
    <w:rsid w:val="0020517A"/>
    <w:rsid w:val="002051D8"/>
    <w:rsid w:val="0020585E"/>
    <w:rsid w:val="00205CAB"/>
    <w:rsid w:val="00205E6C"/>
    <w:rsid w:val="00206015"/>
    <w:rsid w:val="00206436"/>
    <w:rsid w:val="00207AFD"/>
    <w:rsid w:val="00207D7A"/>
    <w:rsid w:val="00211588"/>
    <w:rsid w:val="00211E1B"/>
    <w:rsid w:val="00212B9F"/>
    <w:rsid w:val="00212F3F"/>
    <w:rsid w:val="00213E72"/>
    <w:rsid w:val="002143D8"/>
    <w:rsid w:val="002145EE"/>
    <w:rsid w:val="00214AA7"/>
    <w:rsid w:val="00214E5E"/>
    <w:rsid w:val="00214E7B"/>
    <w:rsid w:val="00215090"/>
    <w:rsid w:val="0021616E"/>
    <w:rsid w:val="00216854"/>
    <w:rsid w:val="00220341"/>
    <w:rsid w:val="002205CE"/>
    <w:rsid w:val="00220D02"/>
    <w:rsid w:val="00221B38"/>
    <w:rsid w:val="00221BFF"/>
    <w:rsid w:val="00221D40"/>
    <w:rsid w:val="00223AB9"/>
    <w:rsid w:val="00224564"/>
    <w:rsid w:val="0022508C"/>
    <w:rsid w:val="00225438"/>
    <w:rsid w:val="002254BD"/>
    <w:rsid w:val="00225A58"/>
    <w:rsid w:val="00225F8E"/>
    <w:rsid w:val="00226122"/>
    <w:rsid w:val="00227CDD"/>
    <w:rsid w:val="00227DBF"/>
    <w:rsid w:val="00230100"/>
    <w:rsid w:val="002307DE"/>
    <w:rsid w:val="00230856"/>
    <w:rsid w:val="00230A4E"/>
    <w:rsid w:val="0023136B"/>
    <w:rsid w:val="00231612"/>
    <w:rsid w:val="002316DD"/>
    <w:rsid w:val="00233411"/>
    <w:rsid w:val="00233C94"/>
    <w:rsid w:val="002349AE"/>
    <w:rsid w:val="002350D6"/>
    <w:rsid w:val="00235B6F"/>
    <w:rsid w:val="00235FBF"/>
    <w:rsid w:val="00236AF9"/>
    <w:rsid w:val="00236D15"/>
    <w:rsid w:val="00237257"/>
    <w:rsid w:val="00237A54"/>
    <w:rsid w:val="00237CBD"/>
    <w:rsid w:val="002409AC"/>
    <w:rsid w:val="0024111E"/>
    <w:rsid w:val="00241460"/>
    <w:rsid w:val="00241AB7"/>
    <w:rsid w:val="00241C1E"/>
    <w:rsid w:val="00242585"/>
    <w:rsid w:val="002426BA"/>
    <w:rsid w:val="002426BD"/>
    <w:rsid w:val="002426C5"/>
    <w:rsid w:val="0024271A"/>
    <w:rsid w:val="00242AC6"/>
    <w:rsid w:val="00242DB7"/>
    <w:rsid w:val="00242E2D"/>
    <w:rsid w:val="002432D2"/>
    <w:rsid w:val="00243700"/>
    <w:rsid w:val="00243C49"/>
    <w:rsid w:val="00244B31"/>
    <w:rsid w:val="002451B5"/>
    <w:rsid w:val="00245624"/>
    <w:rsid w:val="00245957"/>
    <w:rsid w:val="00245D9B"/>
    <w:rsid w:val="002464F4"/>
    <w:rsid w:val="00247608"/>
    <w:rsid w:val="0024783D"/>
    <w:rsid w:val="00250385"/>
    <w:rsid w:val="002503B0"/>
    <w:rsid w:val="00251226"/>
    <w:rsid w:val="002513E4"/>
    <w:rsid w:val="00251980"/>
    <w:rsid w:val="00252347"/>
    <w:rsid w:val="00252604"/>
    <w:rsid w:val="00252836"/>
    <w:rsid w:val="0025499E"/>
    <w:rsid w:val="002553AE"/>
    <w:rsid w:val="002554BA"/>
    <w:rsid w:val="0025562E"/>
    <w:rsid w:val="00255B73"/>
    <w:rsid w:val="0025654D"/>
    <w:rsid w:val="0025746C"/>
    <w:rsid w:val="00257A34"/>
    <w:rsid w:val="00260015"/>
    <w:rsid w:val="002604ED"/>
    <w:rsid w:val="0026072D"/>
    <w:rsid w:val="00260AC3"/>
    <w:rsid w:val="00260B69"/>
    <w:rsid w:val="00260E0F"/>
    <w:rsid w:val="00261821"/>
    <w:rsid w:val="0026203E"/>
    <w:rsid w:val="00262210"/>
    <w:rsid w:val="0026254A"/>
    <w:rsid w:val="00262936"/>
    <w:rsid w:val="002629E8"/>
    <w:rsid w:val="002630C0"/>
    <w:rsid w:val="002632E9"/>
    <w:rsid w:val="002643ED"/>
    <w:rsid w:val="00264400"/>
    <w:rsid w:val="00264924"/>
    <w:rsid w:val="00264EB3"/>
    <w:rsid w:val="0026568A"/>
    <w:rsid w:val="002656B8"/>
    <w:rsid w:val="0026592E"/>
    <w:rsid w:val="002659E3"/>
    <w:rsid w:val="00265E36"/>
    <w:rsid w:val="00266155"/>
    <w:rsid w:val="00266237"/>
    <w:rsid w:val="002664A3"/>
    <w:rsid w:val="002665F5"/>
    <w:rsid w:val="002668E9"/>
    <w:rsid w:val="00266BE3"/>
    <w:rsid w:val="002673B1"/>
    <w:rsid w:val="00267E7B"/>
    <w:rsid w:val="0027036D"/>
    <w:rsid w:val="00270498"/>
    <w:rsid w:val="00271E1D"/>
    <w:rsid w:val="00272950"/>
    <w:rsid w:val="00272990"/>
    <w:rsid w:val="00273A3B"/>
    <w:rsid w:val="00273F70"/>
    <w:rsid w:val="00274496"/>
    <w:rsid w:val="0027453E"/>
    <w:rsid w:val="002746AC"/>
    <w:rsid w:val="002753FF"/>
    <w:rsid w:val="002759CF"/>
    <w:rsid w:val="00275CD8"/>
    <w:rsid w:val="00276227"/>
    <w:rsid w:val="0027630C"/>
    <w:rsid w:val="002764BD"/>
    <w:rsid w:val="00276910"/>
    <w:rsid w:val="00276E37"/>
    <w:rsid w:val="002771AF"/>
    <w:rsid w:val="0028003F"/>
    <w:rsid w:val="00280631"/>
    <w:rsid w:val="0028087E"/>
    <w:rsid w:val="00280F6A"/>
    <w:rsid w:val="002811D7"/>
    <w:rsid w:val="00281D20"/>
    <w:rsid w:val="002821DB"/>
    <w:rsid w:val="00282767"/>
    <w:rsid w:val="00283CD8"/>
    <w:rsid w:val="0028429B"/>
    <w:rsid w:val="00284B23"/>
    <w:rsid w:val="00284BCB"/>
    <w:rsid w:val="002858CE"/>
    <w:rsid w:val="0028612C"/>
    <w:rsid w:val="0028626C"/>
    <w:rsid w:val="0028639D"/>
    <w:rsid w:val="00286ABB"/>
    <w:rsid w:val="00286D59"/>
    <w:rsid w:val="00286E87"/>
    <w:rsid w:val="00286FA8"/>
    <w:rsid w:val="00287121"/>
    <w:rsid w:val="002873DF"/>
    <w:rsid w:val="00290608"/>
    <w:rsid w:val="0029108D"/>
    <w:rsid w:val="00291582"/>
    <w:rsid w:val="00291A80"/>
    <w:rsid w:val="00291F72"/>
    <w:rsid w:val="002923D8"/>
    <w:rsid w:val="0029326A"/>
    <w:rsid w:val="002932D0"/>
    <w:rsid w:val="00294745"/>
    <w:rsid w:val="00294BB3"/>
    <w:rsid w:val="0029547E"/>
    <w:rsid w:val="00295643"/>
    <w:rsid w:val="00296BA5"/>
    <w:rsid w:val="00296D89"/>
    <w:rsid w:val="00296E2D"/>
    <w:rsid w:val="00296F2F"/>
    <w:rsid w:val="00296FE5"/>
    <w:rsid w:val="00297FE6"/>
    <w:rsid w:val="002A03BF"/>
    <w:rsid w:val="002A064A"/>
    <w:rsid w:val="002A0B2C"/>
    <w:rsid w:val="002A138F"/>
    <w:rsid w:val="002A168E"/>
    <w:rsid w:val="002A283D"/>
    <w:rsid w:val="002A2BCE"/>
    <w:rsid w:val="002A428E"/>
    <w:rsid w:val="002A492F"/>
    <w:rsid w:val="002A5340"/>
    <w:rsid w:val="002A5F37"/>
    <w:rsid w:val="002A6109"/>
    <w:rsid w:val="002A6E5A"/>
    <w:rsid w:val="002A742F"/>
    <w:rsid w:val="002A7959"/>
    <w:rsid w:val="002A7DB2"/>
    <w:rsid w:val="002A7F61"/>
    <w:rsid w:val="002A7FE7"/>
    <w:rsid w:val="002B0470"/>
    <w:rsid w:val="002B0937"/>
    <w:rsid w:val="002B0CC5"/>
    <w:rsid w:val="002B0EE2"/>
    <w:rsid w:val="002B116C"/>
    <w:rsid w:val="002B1FBA"/>
    <w:rsid w:val="002B2259"/>
    <w:rsid w:val="002B267F"/>
    <w:rsid w:val="002B27FC"/>
    <w:rsid w:val="002B2962"/>
    <w:rsid w:val="002B30C3"/>
    <w:rsid w:val="002B39C9"/>
    <w:rsid w:val="002B3B88"/>
    <w:rsid w:val="002B456B"/>
    <w:rsid w:val="002B4811"/>
    <w:rsid w:val="002B489B"/>
    <w:rsid w:val="002B5411"/>
    <w:rsid w:val="002B5885"/>
    <w:rsid w:val="002B6416"/>
    <w:rsid w:val="002B66D4"/>
    <w:rsid w:val="002B7DBD"/>
    <w:rsid w:val="002C073D"/>
    <w:rsid w:val="002C08DC"/>
    <w:rsid w:val="002C092B"/>
    <w:rsid w:val="002C135A"/>
    <w:rsid w:val="002C13C6"/>
    <w:rsid w:val="002C1591"/>
    <w:rsid w:val="002C2832"/>
    <w:rsid w:val="002C37D1"/>
    <w:rsid w:val="002C4741"/>
    <w:rsid w:val="002C48B2"/>
    <w:rsid w:val="002C4B5C"/>
    <w:rsid w:val="002C4C2D"/>
    <w:rsid w:val="002C509B"/>
    <w:rsid w:val="002C5775"/>
    <w:rsid w:val="002C5DB9"/>
    <w:rsid w:val="002C673A"/>
    <w:rsid w:val="002C7A46"/>
    <w:rsid w:val="002C7AA7"/>
    <w:rsid w:val="002C7EA4"/>
    <w:rsid w:val="002D054F"/>
    <w:rsid w:val="002D0BF6"/>
    <w:rsid w:val="002D0D60"/>
    <w:rsid w:val="002D0DCF"/>
    <w:rsid w:val="002D132F"/>
    <w:rsid w:val="002D1897"/>
    <w:rsid w:val="002D1B05"/>
    <w:rsid w:val="002D1D8C"/>
    <w:rsid w:val="002D1E8C"/>
    <w:rsid w:val="002D265F"/>
    <w:rsid w:val="002D28EE"/>
    <w:rsid w:val="002D3803"/>
    <w:rsid w:val="002D3B17"/>
    <w:rsid w:val="002D3DF4"/>
    <w:rsid w:val="002D41AB"/>
    <w:rsid w:val="002D4AD8"/>
    <w:rsid w:val="002D4E7A"/>
    <w:rsid w:val="002D6412"/>
    <w:rsid w:val="002D67AC"/>
    <w:rsid w:val="002D6806"/>
    <w:rsid w:val="002D6B93"/>
    <w:rsid w:val="002D786D"/>
    <w:rsid w:val="002D7DB8"/>
    <w:rsid w:val="002D7FA4"/>
    <w:rsid w:val="002E02D2"/>
    <w:rsid w:val="002E08F0"/>
    <w:rsid w:val="002E1D1D"/>
    <w:rsid w:val="002E271F"/>
    <w:rsid w:val="002E2FDF"/>
    <w:rsid w:val="002E3128"/>
    <w:rsid w:val="002E312C"/>
    <w:rsid w:val="002E376E"/>
    <w:rsid w:val="002E3C3D"/>
    <w:rsid w:val="002E3CB3"/>
    <w:rsid w:val="002E4B88"/>
    <w:rsid w:val="002E5251"/>
    <w:rsid w:val="002E5465"/>
    <w:rsid w:val="002E59AD"/>
    <w:rsid w:val="002E63C8"/>
    <w:rsid w:val="002E65D7"/>
    <w:rsid w:val="002E6A56"/>
    <w:rsid w:val="002E6E36"/>
    <w:rsid w:val="002E7C09"/>
    <w:rsid w:val="002F0817"/>
    <w:rsid w:val="002F19A9"/>
    <w:rsid w:val="002F1B77"/>
    <w:rsid w:val="002F1BD5"/>
    <w:rsid w:val="002F286C"/>
    <w:rsid w:val="002F28D4"/>
    <w:rsid w:val="002F28F6"/>
    <w:rsid w:val="002F3E7F"/>
    <w:rsid w:val="002F456E"/>
    <w:rsid w:val="002F476B"/>
    <w:rsid w:val="002F5041"/>
    <w:rsid w:val="002F5605"/>
    <w:rsid w:val="002F5726"/>
    <w:rsid w:val="002F58AE"/>
    <w:rsid w:val="002F68CA"/>
    <w:rsid w:val="003006EA"/>
    <w:rsid w:val="00301019"/>
    <w:rsid w:val="003012C5"/>
    <w:rsid w:val="0030137C"/>
    <w:rsid w:val="003016F2"/>
    <w:rsid w:val="00301903"/>
    <w:rsid w:val="00301DC0"/>
    <w:rsid w:val="00302480"/>
    <w:rsid w:val="00303D91"/>
    <w:rsid w:val="0030422E"/>
    <w:rsid w:val="0030444C"/>
    <w:rsid w:val="003046E1"/>
    <w:rsid w:val="00304FFB"/>
    <w:rsid w:val="00305490"/>
    <w:rsid w:val="003077ED"/>
    <w:rsid w:val="003102A1"/>
    <w:rsid w:val="003104BC"/>
    <w:rsid w:val="00310999"/>
    <w:rsid w:val="00310A39"/>
    <w:rsid w:val="003116B0"/>
    <w:rsid w:val="00311BB5"/>
    <w:rsid w:val="003135A5"/>
    <w:rsid w:val="0031370E"/>
    <w:rsid w:val="00313FED"/>
    <w:rsid w:val="003142B1"/>
    <w:rsid w:val="00314388"/>
    <w:rsid w:val="003152DE"/>
    <w:rsid w:val="0031575E"/>
    <w:rsid w:val="00317AA9"/>
    <w:rsid w:val="00317DC7"/>
    <w:rsid w:val="00320325"/>
    <w:rsid w:val="00320476"/>
    <w:rsid w:val="00320E13"/>
    <w:rsid w:val="00320F80"/>
    <w:rsid w:val="003215C9"/>
    <w:rsid w:val="00321BB3"/>
    <w:rsid w:val="00321EDF"/>
    <w:rsid w:val="00322542"/>
    <w:rsid w:val="003228F2"/>
    <w:rsid w:val="00322AAE"/>
    <w:rsid w:val="00323D1F"/>
    <w:rsid w:val="00323DA1"/>
    <w:rsid w:val="00323DEE"/>
    <w:rsid w:val="00324587"/>
    <w:rsid w:val="00324682"/>
    <w:rsid w:val="00324A20"/>
    <w:rsid w:val="00325A05"/>
    <w:rsid w:val="00325DD2"/>
    <w:rsid w:val="00326FEF"/>
    <w:rsid w:val="00330180"/>
    <w:rsid w:val="00330274"/>
    <w:rsid w:val="00330531"/>
    <w:rsid w:val="003305B9"/>
    <w:rsid w:val="00332CF6"/>
    <w:rsid w:val="003331EC"/>
    <w:rsid w:val="003333DC"/>
    <w:rsid w:val="00333A23"/>
    <w:rsid w:val="003340F1"/>
    <w:rsid w:val="003343CE"/>
    <w:rsid w:val="00334B52"/>
    <w:rsid w:val="00334F34"/>
    <w:rsid w:val="003351D4"/>
    <w:rsid w:val="00335591"/>
    <w:rsid w:val="00335D21"/>
    <w:rsid w:val="0033618E"/>
    <w:rsid w:val="003365DF"/>
    <w:rsid w:val="00336AE9"/>
    <w:rsid w:val="00336E48"/>
    <w:rsid w:val="00337A67"/>
    <w:rsid w:val="00337E39"/>
    <w:rsid w:val="00340480"/>
    <w:rsid w:val="00341235"/>
    <w:rsid w:val="00341377"/>
    <w:rsid w:val="003418D9"/>
    <w:rsid w:val="00342464"/>
    <w:rsid w:val="00342740"/>
    <w:rsid w:val="003433B0"/>
    <w:rsid w:val="0034385B"/>
    <w:rsid w:val="00343A74"/>
    <w:rsid w:val="00345818"/>
    <w:rsid w:val="00345DE6"/>
    <w:rsid w:val="00346013"/>
    <w:rsid w:val="003467D4"/>
    <w:rsid w:val="003472F1"/>
    <w:rsid w:val="003475CF"/>
    <w:rsid w:val="00347712"/>
    <w:rsid w:val="003479B6"/>
    <w:rsid w:val="00350DE0"/>
    <w:rsid w:val="00351CF4"/>
    <w:rsid w:val="003520B2"/>
    <w:rsid w:val="003523F4"/>
    <w:rsid w:val="00352AF2"/>
    <w:rsid w:val="00353626"/>
    <w:rsid w:val="00353645"/>
    <w:rsid w:val="00353840"/>
    <w:rsid w:val="00353866"/>
    <w:rsid w:val="00353CDC"/>
    <w:rsid w:val="00353FCD"/>
    <w:rsid w:val="00354276"/>
    <w:rsid w:val="003542C8"/>
    <w:rsid w:val="003543C5"/>
    <w:rsid w:val="003549D2"/>
    <w:rsid w:val="00354A4F"/>
    <w:rsid w:val="0035554C"/>
    <w:rsid w:val="00355B14"/>
    <w:rsid w:val="00355B44"/>
    <w:rsid w:val="00355CC6"/>
    <w:rsid w:val="003561F0"/>
    <w:rsid w:val="003563A2"/>
    <w:rsid w:val="00356E60"/>
    <w:rsid w:val="00356F31"/>
    <w:rsid w:val="00357078"/>
    <w:rsid w:val="003575F7"/>
    <w:rsid w:val="00357E89"/>
    <w:rsid w:val="00357F63"/>
    <w:rsid w:val="0036009D"/>
    <w:rsid w:val="00360198"/>
    <w:rsid w:val="003606A4"/>
    <w:rsid w:val="00360B16"/>
    <w:rsid w:val="00360C85"/>
    <w:rsid w:val="00360EA1"/>
    <w:rsid w:val="003616CE"/>
    <w:rsid w:val="003617BA"/>
    <w:rsid w:val="003617FE"/>
    <w:rsid w:val="00361B53"/>
    <w:rsid w:val="00361E06"/>
    <w:rsid w:val="0036299A"/>
    <w:rsid w:val="003629B1"/>
    <w:rsid w:val="003629C7"/>
    <w:rsid w:val="00363A97"/>
    <w:rsid w:val="00363A9B"/>
    <w:rsid w:val="00363CFA"/>
    <w:rsid w:val="00363F3F"/>
    <w:rsid w:val="00365402"/>
    <w:rsid w:val="00366459"/>
    <w:rsid w:val="00367B7F"/>
    <w:rsid w:val="00370EF0"/>
    <w:rsid w:val="003715FF"/>
    <w:rsid w:val="00372313"/>
    <w:rsid w:val="003723C6"/>
    <w:rsid w:val="00372DD7"/>
    <w:rsid w:val="003731D3"/>
    <w:rsid w:val="00373B1D"/>
    <w:rsid w:val="00373EAF"/>
    <w:rsid w:val="0037471B"/>
    <w:rsid w:val="00374820"/>
    <w:rsid w:val="0037499C"/>
    <w:rsid w:val="00375714"/>
    <w:rsid w:val="0037592E"/>
    <w:rsid w:val="00375DEF"/>
    <w:rsid w:val="0037626C"/>
    <w:rsid w:val="00376412"/>
    <w:rsid w:val="00376722"/>
    <w:rsid w:val="003804DB"/>
    <w:rsid w:val="003805D9"/>
    <w:rsid w:val="00380C9D"/>
    <w:rsid w:val="0038163B"/>
    <w:rsid w:val="00381A61"/>
    <w:rsid w:val="00381FEB"/>
    <w:rsid w:val="00382759"/>
    <w:rsid w:val="0038276D"/>
    <w:rsid w:val="003827EC"/>
    <w:rsid w:val="00382CF1"/>
    <w:rsid w:val="00382E0C"/>
    <w:rsid w:val="0038330F"/>
    <w:rsid w:val="0038344A"/>
    <w:rsid w:val="00383B26"/>
    <w:rsid w:val="00384DDA"/>
    <w:rsid w:val="00385396"/>
    <w:rsid w:val="003858E7"/>
    <w:rsid w:val="00385D97"/>
    <w:rsid w:val="00385DF7"/>
    <w:rsid w:val="00386D8F"/>
    <w:rsid w:val="003870DE"/>
    <w:rsid w:val="003870FF"/>
    <w:rsid w:val="00387437"/>
    <w:rsid w:val="00390152"/>
    <w:rsid w:val="00391210"/>
    <w:rsid w:val="00391C9E"/>
    <w:rsid w:val="00391CD7"/>
    <w:rsid w:val="0039223D"/>
    <w:rsid w:val="003925CF"/>
    <w:rsid w:val="0039350E"/>
    <w:rsid w:val="003939F4"/>
    <w:rsid w:val="00393E21"/>
    <w:rsid w:val="00393F22"/>
    <w:rsid w:val="0039403D"/>
    <w:rsid w:val="00394099"/>
    <w:rsid w:val="003947AD"/>
    <w:rsid w:val="003976E7"/>
    <w:rsid w:val="00397B70"/>
    <w:rsid w:val="003A0045"/>
    <w:rsid w:val="003A0BDA"/>
    <w:rsid w:val="003A0CA6"/>
    <w:rsid w:val="003A20AD"/>
    <w:rsid w:val="003A21A9"/>
    <w:rsid w:val="003A2275"/>
    <w:rsid w:val="003A2346"/>
    <w:rsid w:val="003A239F"/>
    <w:rsid w:val="003A23D8"/>
    <w:rsid w:val="003A285B"/>
    <w:rsid w:val="003A2AC7"/>
    <w:rsid w:val="003A2BA0"/>
    <w:rsid w:val="003A325F"/>
    <w:rsid w:val="003A32CF"/>
    <w:rsid w:val="003A3C2C"/>
    <w:rsid w:val="003A46E0"/>
    <w:rsid w:val="003A4BFB"/>
    <w:rsid w:val="003A4E95"/>
    <w:rsid w:val="003A50E4"/>
    <w:rsid w:val="003A5B3E"/>
    <w:rsid w:val="003A61E7"/>
    <w:rsid w:val="003A664C"/>
    <w:rsid w:val="003A6CFC"/>
    <w:rsid w:val="003A78F0"/>
    <w:rsid w:val="003A7B63"/>
    <w:rsid w:val="003A7DB4"/>
    <w:rsid w:val="003A7EEA"/>
    <w:rsid w:val="003A7FA1"/>
    <w:rsid w:val="003B01E8"/>
    <w:rsid w:val="003B0B4E"/>
    <w:rsid w:val="003B1FEA"/>
    <w:rsid w:val="003B30A8"/>
    <w:rsid w:val="003B342D"/>
    <w:rsid w:val="003B4E16"/>
    <w:rsid w:val="003B54AF"/>
    <w:rsid w:val="003B5705"/>
    <w:rsid w:val="003B714B"/>
    <w:rsid w:val="003B73FB"/>
    <w:rsid w:val="003B7DBD"/>
    <w:rsid w:val="003B7FCF"/>
    <w:rsid w:val="003C02B9"/>
    <w:rsid w:val="003C0518"/>
    <w:rsid w:val="003C09C1"/>
    <w:rsid w:val="003C12EA"/>
    <w:rsid w:val="003C13F0"/>
    <w:rsid w:val="003C1BCE"/>
    <w:rsid w:val="003C1C80"/>
    <w:rsid w:val="003C2171"/>
    <w:rsid w:val="003C3E32"/>
    <w:rsid w:val="003C4185"/>
    <w:rsid w:val="003C4ADB"/>
    <w:rsid w:val="003C5544"/>
    <w:rsid w:val="003C562D"/>
    <w:rsid w:val="003C6837"/>
    <w:rsid w:val="003C69C9"/>
    <w:rsid w:val="003C7197"/>
    <w:rsid w:val="003C7F3C"/>
    <w:rsid w:val="003D0477"/>
    <w:rsid w:val="003D0F36"/>
    <w:rsid w:val="003D16FD"/>
    <w:rsid w:val="003D21B4"/>
    <w:rsid w:val="003D25AD"/>
    <w:rsid w:val="003D2B56"/>
    <w:rsid w:val="003D2FC0"/>
    <w:rsid w:val="003D30F4"/>
    <w:rsid w:val="003D403F"/>
    <w:rsid w:val="003D4B9E"/>
    <w:rsid w:val="003D4C5A"/>
    <w:rsid w:val="003D536F"/>
    <w:rsid w:val="003D5528"/>
    <w:rsid w:val="003D559B"/>
    <w:rsid w:val="003D6D41"/>
    <w:rsid w:val="003D7574"/>
    <w:rsid w:val="003D7661"/>
    <w:rsid w:val="003D7A19"/>
    <w:rsid w:val="003D7C79"/>
    <w:rsid w:val="003E0133"/>
    <w:rsid w:val="003E05DD"/>
    <w:rsid w:val="003E0AE2"/>
    <w:rsid w:val="003E0D39"/>
    <w:rsid w:val="003E1066"/>
    <w:rsid w:val="003E1465"/>
    <w:rsid w:val="003E15C3"/>
    <w:rsid w:val="003E1790"/>
    <w:rsid w:val="003E1A2B"/>
    <w:rsid w:val="003E1A44"/>
    <w:rsid w:val="003E23BC"/>
    <w:rsid w:val="003E2F1D"/>
    <w:rsid w:val="003E2FE0"/>
    <w:rsid w:val="003E31C0"/>
    <w:rsid w:val="003E35E6"/>
    <w:rsid w:val="003E3A96"/>
    <w:rsid w:val="003E4C00"/>
    <w:rsid w:val="003E5186"/>
    <w:rsid w:val="003E5271"/>
    <w:rsid w:val="003E5360"/>
    <w:rsid w:val="003E598F"/>
    <w:rsid w:val="003E5F15"/>
    <w:rsid w:val="003E6024"/>
    <w:rsid w:val="003E6B0C"/>
    <w:rsid w:val="003E7015"/>
    <w:rsid w:val="003E7874"/>
    <w:rsid w:val="003E7C30"/>
    <w:rsid w:val="003E7C56"/>
    <w:rsid w:val="003F0593"/>
    <w:rsid w:val="003F0CB3"/>
    <w:rsid w:val="003F180A"/>
    <w:rsid w:val="003F2216"/>
    <w:rsid w:val="003F2A8B"/>
    <w:rsid w:val="003F2E96"/>
    <w:rsid w:val="003F335E"/>
    <w:rsid w:val="003F34B5"/>
    <w:rsid w:val="003F391F"/>
    <w:rsid w:val="003F3D2E"/>
    <w:rsid w:val="003F3F4E"/>
    <w:rsid w:val="003F430C"/>
    <w:rsid w:val="003F4324"/>
    <w:rsid w:val="003F533A"/>
    <w:rsid w:val="003F5BA6"/>
    <w:rsid w:val="003F5D7A"/>
    <w:rsid w:val="003F5F97"/>
    <w:rsid w:val="003F68C0"/>
    <w:rsid w:val="003F6A5C"/>
    <w:rsid w:val="003F7EDF"/>
    <w:rsid w:val="00400232"/>
    <w:rsid w:val="004008A8"/>
    <w:rsid w:val="00402072"/>
    <w:rsid w:val="0040220D"/>
    <w:rsid w:val="00403BD0"/>
    <w:rsid w:val="00403C81"/>
    <w:rsid w:val="00403CB7"/>
    <w:rsid w:val="00403CFA"/>
    <w:rsid w:val="004049C6"/>
    <w:rsid w:val="00404E57"/>
    <w:rsid w:val="004055DE"/>
    <w:rsid w:val="004064DD"/>
    <w:rsid w:val="00406C1F"/>
    <w:rsid w:val="004073AC"/>
    <w:rsid w:val="00407952"/>
    <w:rsid w:val="00410173"/>
    <w:rsid w:val="004104F1"/>
    <w:rsid w:val="004108F2"/>
    <w:rsid w:val="00410AD0"/>
    <w:rsid w:val="00411310"/>
    <w:rsid w:val="004116F3"/>
    <w:rsid w:val="00412F1A"/>
    <w:rsid w:val="00413007"/>
    <w:rsid w:val="004130A0"/>
    <w:rsid w:val="00413193"/>
    <w:rsid w:val="00413867"/>
    <w:rsid w:val="0041390C"/>
    <w:rsid w:val="00413EF0"/>
    <w:rsid w:val="00414E0D"/>
    <w:rsid w:val="0041573C"/>
    <w:rsid w:val="0041595E"/>
    <w:rsid w:val="00415C07"/>
    <w:rsid w:val="004161A9"/>
    <w:rsid w:val="0041718C"/>
    <w:rsid w:val="004171C1"/>
    <w:rsid w:val="004207FE"/>
    <w:rsid w:val="0042093C"/>
    <w:rsid w:val="00420AD4"/>
    <w:rsid w:val="00420EB5"/>
    <w:rsid w:val="00420F40"/>
    <w:rsid w:val="00421BF1"/>
    <w:rsid w:val="00421C3F"/>
    <w:rsid w:val="00421DF0"/>
    <w:rsid w:val="00422100"/>
    <w:rsid w:val="004223AD"/>
    <w:rsid w:val="00422B34"/>
    <w:rsid w:val="00422DF3"/>
    <w:rsid w:val="004242A8"/>
    <w:rsid w:val="0042441B"/>
    <w:rsid w:val="0042474F"/>
    <w:rsid w:val="004249B1"/>
    <w:rsid w:val="004260A0"/>
    <w:rsid w:val="004262BD"/>
    <w:rsid w:val="004268AB"/>
    <w:rsid w:val="00426CEF"/>
    <w:rsid w:val="004273DF"/>
    <w:rsid w:val="00430020"/>
    <w:rsid w:val="00430360"/>
    <w:rsid w:val="00430392"/>
    <w:rsid w:val="00430531"/>
    <w:rsid w:val="004305EB"/>
    <w:rsid w:val="00430874"/>
    <w:rsid w:val="0043099E"/>
    <w:rsid w:val="00431166"/>
    <w:rsid w:val="00431484"/>
    <w:rsid w:val="004315A9"/>
    <w:rsid w:val="00431AB4"/>
    <w:rsid w:val="00431FBF"/>
    <w:rsid w:val="0043256E"/>
    <w:rsid w:val="00432C19"/>
    <w:rsid w:val="00432F52"/>
    <w:rsid w:val="004335AE"/>
    <w:rsid w:val="00433687"/>
    <w:rsid w:val="00433FE6"/>
    <w:rsid w:val="0043439B"/>
    <w:rsid w:val="004343A2"/>
    <w:rsid w:val="00434C8F"/>
    <w:rsid w:val="00434D7D"/>
    <w:rsid w:val="00435A04"/>
    <w:rsid w:val="00435D7D"/>
    <w:rsid w:val="00435E6B"/>
    <w:rsid w:val="00436062"/>
    <w:rsid w:val="0043698A"/>
    <w:rsid w:val="00436EED"/>
    <w:rsid w:val="0043710E"/>
    <w:rsid w:val="00437174"/>
    <w:rsid w:val="004371BA"/>
    <w:rsid w:val="004371DD"/>
    <w:rsid w:val="0043734B"/>
    <w:rsid w:val="00437E23"/>
    <w:rsid w:val="0044013C"/>
    <w:rsid w:val="00440648"/>
    <w:rsid w:val="00440C83"/>
    <w:rsid w:val="004410C6"/>
    <w:rsid w:val="0044125E"/>
    <w:rsid w:val="00442076"/>
    <w:rsid w:val="004420EE"/>
    <w:rsid w:val="004423BA"/>
    <w:rsid w:val="004424DD"/>
    <w:rsid w:val="00442D70"/>
    <w:rsid w:val="00443262"/>
    <w:rsid w:val="00443AD9"/>
    <w:rsid w:val="00443EDA"/>
    <w:rsid w:val="00443F58"/>
    <w:rsid w:val="00445E53"/>
    <w:rsid w:val="00445ECD"/>
    <w:rsid w:val="00446535"/>
    <w:rsid w:val="00446A8F"/>
    <w:rsid w:val="00446DD5"/>
    <w:rsid w:val="00450BE1"/>
    <w:rsid w:val="004516AE"/>
    <w:rsid w:val="004519B4"/>
    <w:rsid w:val="00451B08"/>
    <w:rsid w:val="00451E1A"/>
    <w:rsid w:val="00452535"/>
    <w:rsid w:val="00453279"/>
    <w:rsid w:val="0045395E"/>
    <w:rsid w:val="00453BEF"/>
    <w:rsid w:val="00453F6F"/>
    <w:rsid w:val="00454677"/>
    <w:rsid w:val="0045605F"/>
    <w:rsid w:val="00456CD5"/>
    <w:rsid w:val="00457554"/>
    <w:rsid w:val="004578A8"/>
    <w:rsid w:val="00457FD9"/>
    <w:rsid w:val="00460659"/>
    <w:rsid w:val="004607B8"/>
    <w:rsid w:val="00460932"/>
    <w:rsid w:val="00460C57"/>
    <w:rsid w:val="00461751"/>
    <w:rsid w:val="00461846"/>
    <w:rsid w:val="004618E7"/>
    <w:rsid w:val="00462730"/>
    <w:rsid w:val="00463497"/>
    <w:rsid w:val="004637D2"/>
    <w:rsid w:val="0046459E"/>
    <w:rsid w:val="004658A6"/>
    <w:rsid w:val="004659D4"/>
    <w:rsid w:val="0046692F"/>
    <w:rsid w:val="00467634"/>
    <w:rsid w:val="00467905"/>
    <w:rsid w:val="00470385"/>
    <w:rsid w:val="004707B8"/>
    <w:rsid w:val="00470CC3"/>
    <w:rsid w:val="00471319"/>
    <w:rsid w:val="00471D6D"/>
    <w:rsid w:val="00472424"/>
    <w:rsid w:val="00472A40"/>
    <w:rsid w:val="004730E7"/>
    <w:rsid w:val="00473A7A"/>
    <w:rsid w:val="004744AB"/>
    <w:rsid w:val="004745C5"/>
    <w:rsid w:val="00475276"/>
    <w:rsid w:val="0047545D"/>
    <w:rsid w:val="00476216"/>
    <w:rsid w:val="004762AB"/>
    <w:rsid w:val="004766D9"/>
    <w:rsid w:val="00477178"/>
    <w:rsid w:val="004776F7"/>
    <w:rsid w:val="004778D2"/>
    <w:rsid w:val="0048108E"/>
    <w:rsid w:val="00481591"/>
    <w:rsid w:val="004818B6"/>
    <w:rsid w:val="00481D42"/>
    <w:rsid w:val="00481E8B"/>
    <w:rsid w:val="004828F7"/>
    <w:rsid w:val="00483B15"/>
    <w:rsid w:val="0048463C"/>
    <w:rsid w:val="004856B2"/>
    <w:rsid w:val="00485A95"/>
    <w:rsid w:val="00485DC2"/>
    <w:rsid w:val="0049024A"/>
    <w:rsid w:val="00490931"/>
    <w:rsid w:val="00490D15"/>
    <w:rsid w:val="0049161A"/>
    <w:rsid w:val="004921D3"/>
    <w:rsid w:val="0049285E"/>
    <w:rsid w:val="00492D35"/>
    <w:rsid w:val="004938C8"/>
    <w:rsid w:val="0049507A"/>
    <w:rsid w:val="004957C5"/>
    <w:rsid w:val="00496462"/>
    <w:rsid w:val="00497C4D"/>
    <w:rsid w:val="00497E45"/>
    <w:rsid w:val="004A04F5"/>
    <w:rsid w:val="004A0818"/>
    <w:rsid w:val="004A0FC9"/>
    <w:rsid w:val="004A1317"/>
    <w:rsid w:val="004A15D8"/>
    <w:rsid w:val="004A20A8"/>
    <w:rsid w:val="004A230F"/>
    <w:rsid w:val="004A2CD4"/>
    <w:rsid w:val="004A2E20"/>
    <w:rsid w:val="004A2F3A"/>
    <w:rsid w:val="004A352C"/>
    <w:rsid w:val="004A39B3"/>
    <w:rsid w:val="004A3F9D"/>
    <w:rsid w:val="004A45B3"/>
    <w:rsid w:val="004A4AB5"/>
    <w:rsid w:val="004A56D0"/>
    <w:rsid w:val="004A5B52"/>
    <w:rsid w:val="004A5F6F"/>
    <w:rsid w:val="004A61CD"/>
    <w:rsid w:val="004A644F"/>
    <w:rsid w:val="004A69D7"/>
    <w:rsid w:val="004A7084"/>
    <w:rsid w:val="004A78C2"/>
    <w:rsid w:val="004B03D1"/>
    <w:rsid w:val="004B03FD"/>
    <w:rsid w:val="004B066B"/>
    <w:rsid w:val="004B0A5A"/>
    <w:rsid w:val="004B0ADF"/>
    <w:rsid w:val="004B13D7"/>
    <w:rsid w:val="004B19D5"/>
    <w:rsid w:val="004B1BA8"/>
    <w:rsid w:val="004B46F3"/>
    <w:rsid w:val="004B473C"/>
    <w:rsid w:val="004B4970"/>
    <w:rsid w:val="004B4E11"/>
    <w:rsid w:val="004B5283"/>
    <w:rsid w:val="004B53E6"/>
    <w:rsid w:val="004B5498"/>
    <w:rsid w:val="004B54E5"/>
    <w:rsid w:val="004B58BC"/>
    <w:rsid w:val="004B62F8"/>
    <w:rsid w:val="004B6FB8"/>
    <w:rsid w:val="004B73D8"/>
    <w:rsid w:val="004B773F"/>
    <w:rsid w:val="004B7F1A"/>
    <w:rsid w:val="004C0A32"/>
    <w:rsid w:val="004C16C1"/>
    <w:rsid w:val="004C16CC"/>
    <w:rsid w:val="004C26CA"/>
    <w:rsid w:val="004C2F89"/>
    <w:rsid w:val="004C4056"/>
    <w:rsid w:val="004C4342"/>
    <w:rsid w:val="004C45EA"/>
    <w:rsid w:val="004C49A9"/>
    <w:rsid w:val="004C5730"/>
    <w:rsid w:val="004C584F"/>
    <w:rsid w:val="004C58E6"/>
    <w:rsid w:val="004C5A3F"/>
    <w:rsid w:val="004C5CB5"/>
    <w:rsid w:val="004C60BF"/>
    <w:rsid w:val="004C6930"/>
    <w:rsid w:val="004C6A62"/>
    <w:rsid w:val="004C729F"/>
    <w:rsid w:val="004C794D"/>
    <w:rsid w:val="004C7E2F"/>
    <w:rsid w:val="004D0A9F"/>
    <w:rsid w:val="004D0AB0"/>
    <w:rsid w:val="004D0EA4"/>
    <w:rsid w:val="004D140A"/>
    <w:rsid w:val="004D145B"/>
    <w:rsid w:val="004D15E9"/>
    <w:rsid w:val="004D1CBF"/>
    <w:rsid w:val="004D26E7"/>
    <w:rsid w:val="004D2831"/>
    <w:rsid w:val="004D31C5"/>
    <w:rsid w:val="004D3600"/>
    <w:rsid w:val="004D38D8"/>
    <w:rsid w:val="004D4A4A"/>
    <w:rsid w:val="004D4B96"/>
    <w:rsid w:val="004D5396"/>
    <w:rsid w:val="004D54D5"/>
    <w:rsid w:val="004D76DD"/>
    <w:rsid w:val="004D7B23"/>
    <w:rsid w:val="004E0169"/>
    <w:rsid w:val="004E094B"/>
    <w:rsid w:val="004E0DAE"/>
    <w:rsid w:val="004E1821"/>
    <w:rsid w:val="004E23F3"/>
    <w:rsid w:val="004E24A1"/>
    <w:rsid w:val="004E26D4"/>
    <w:rsid w:val="004E2FC1"/>
    <w:rsid w:val="004E330B"/>
    <w:rsid w:val="004E37C5"/>
    <w:rsid w:val="004E3D08"/>
    <w:rsid w:val="004E3D0F"/>
    <w:rsid w:val="004E4763"/>
    <w:rsid w:val="004E47C3"/>
    <w:rsid w:val="004E4E50"/>
    <w:rsid w:val="004E5959"/>
    <w:rsid w:val="004E5AF2"/>
    <w:rsid w:val="004E5C40"/>
    <w:rsid w:val="004E5CB4"/>
    <w:rsid w:val="004F000E"/>
    <w:rsid w:val="004F07E6"/>
    <w:rsid w:val="004F0E13"/>
    <w:rsid w:val="004F11D9"/>
    <w:rsid w:val="004F121A"/>
    <w:rsid w:val="004F183E"/>
    <w:rsid w:val="004F387E"/>
    <w:rsid w:val="004F38EE"/>
    <w:rsid w:val="004F3945"/>
    <w:rsid w:val="004F3B21"/>
    <w:rsid w:val="004F4E4B"/>
    <w:rsid w:val="004F4EE0"/>
    <w:rsid w:val="004F523A"/>
    <w:rsid w:val="004F5C56"/>
    <w:rsid w:val="004F5F74"/>
    <w:rsid w:val="004F6132"/>
    <w:rsid w:val="004F61C7"/>
    <w:rsid w:val="004F63CF"/>
    <w:rsid w:val="004F6770"/>
    <w:rsid w:val="005005C5"/>
    <w:rsid w:val="00500973"/>
    <w:rsid w:val="005009D9"/>
    <w:rsid w:val="00500E40"/>
    <w:rsid w:val="0050168E"/>
    <w:rsid w:val="00502B2E"/>
    <w:rsid w:val="00502E52"/>
    <w:rsid w:val="00503F2F"/>
    <w:rsid w:val="00504058"/>
    <w:rsid w:val="0050466C"/>
    <w:rsid w:val="00504B98"/>
    <w:rsid w:val="00504C84"/>
    <w:rsid w:val="00505B17"/>
    <w:rsid w:val="00505D09"/>
    <w:rsid w:val="00506064"/>
    <w:rsid w:val="00506522"/>
    <w:rsid w:val="0050659D"/>
    <w:rsid w:val="00506A6A"/>
    <w:rsid w:val="00506A82"/>
    <w:rsid w:val="00506C22"/>
    <w:rsid w:val="00507CA8"/>
    <w:rsid w:val="0051032E"/>
    <w:rsid w:val="00510811"/>
    <w:rsid w:val="00511641"/>
    <w:rsid w:val="005116AC"/>
    <w:rsid w:val="00511BF2"/>
    <w:rsid w:val="0051200C"/>
    <w:rsid w:val="00512475"/>
    <w:rsid w:val="00512B68"/>
    <w:rsid w:val="00513372"/>
    <w:rsid w:val="0051477F"/>
    <w:rsid w:val="0051500B"/>
    <w:rsid w:val="00515227"/>
    <w:rsid w:val="005152D2"/>
    <w:rsid w:val="00515EE7"/>
    <w:rsid w:val="00516E01"/>
    <w:rsid w:val="0051708B"/>
    <w:rsid w:val="00517212"/>
    <w:rsid w:val="005175C9"/>
    <w:rsid w:val="00517A66"/>
    <w:rsid w:val="00517FDB"/>
    <w:rsid w:val="00520C49"/>
    <w:rsid w:val="005217B5"/>
    <w:rsid w:val="005223AD"/>
    <w:rsid w:val="00522A48"/>
    <w:rsid w:val="00522AB8"/>
    <w:rsid w:val="00522F8D"/>
    <w:rsid w:val="0052304E"/>
    <w:rsid w:val="0052398F"/>
    <w:rsid w:val="00523FE0"/>
    <w:rsid w:val="00524175"/>
    <w:rsid w:val="00524E0B"/>
    <w:rsid w:val="005253DB"/>
    <w:rsid w:val="0052596D"/>
    <w:rsid w:val="00525A50"/>
    <w:rsid w:val="0052667E"/>
    <w:rsid w:val="005278B0"/>
    <w:rsid w:val="00527E12"/>
    <w:rsid w:val="0053017D"/>
    <w:rsid w:val="005304F4"/>
    <w:rsid w:val="00530664"/>
    <w:rsid w:val="00530828"/>
    <w:rsid w:val="005313C9"/>
    <w:rsid w:val="005313D6"/>
    <w:rsid w:val="00531BD3"/>
    <w:rsid w:val="00531C11"/>
    <w:rsid w:val="00532D66"/>
    <w:rsid w:val="00532DDB"/>
    <w:rsid w:val="005333F5"/>
    <w:rsid w:val="0053343B"/>
    <w:rsid w:val="00533477"/>
    <w:rsid w:val="005337F4"/>
    <w:rsid w:val="00533F90"/>
    <w:rsid w:val="005340FD"/>
    <w:rsid w:val="0053422E"/>
    <w:rsid w:val="005342A2"/>
    <w:rsid w:val="00534E93"/>
    <w:rsid w:val="00534EE6"/>
    <w:rsid w:val="005351F7"/>
    <w:rsid w:val="005358BD"/>
    <w:rsid w:val="0053597B"/>
    <w:rsid w:val="0053642B"/>
    <w:rsid w:val="00537004"/>
    <w:rsid w:val="00537168"/>
    <w:rsid w:val="00537199"/>
    <w:rsid w:val="0053757E"/>
    <w:rsid w:val="00540A45"/>
    <w:rsid w:val="00540BB7"/>
    <w:rsid w:val="0054129C"/>
    <w:rsid w:val="00541392"/>
    <w:rsid w:val="0054163F"/>
    <w:rsid w:val="005428BB"/>
    <w:rsid w:val="00543742"/>
    <w:rsid w:val="005446B6"/>
    <w:rsid w:val="00544F4C"/>
    <w:rsid w:val="00545159"/>
    <w:rsid w:val="00545923"/>
    <w:rsid w:val="00546EDB"/>
    <w:rsid w:val="00546F4A"/>
    <w:rsid w:val="00547977"/>
    <w:rsid w:val="00550532"/>
    <w:rsid w:val="00550D8C"/>
    <w:rsid w:val="005517E8"/>
    <w:rsid w:val="005518F6"/>
    <w:rsid w:val="00551A37"/>
    <w:rsid w:val="005522B5"/>
    <w:rsid w:val="00552841"/>
    <w:rsid w:val="00553406"/>
    <w:rsid w:val="005540C9"/>
    <w:rsid w:val="005543B7"/>
    <w:rsid w:val="0055533F"/>
    <w:rsid w:val="00555842"/>
    <w:rsid w:val="00555D89"/>
    <w:rsid w:val="0055628B"/>
    <w:rsid w:val="005570C0"/>
    <w:rsid w:val="005573F2"/>
    <w:rsid w:val="0056040B"/>
    <w:rsid w:val="0056044B"/>
    <w:rsid w:val="00560CF7"/>
    <w:rsid w:val="00560EBF"/>
    <w:rsid w:val="0056173A"/>
    <w:rsid w:val="005618FB"/>
    <w:rsid w:val="00561FD6"/>
    <w:rsid w:val="005629D9"/>
    <w:rsid w:val="00562D92"/>
    <w:rsid w:val="005630EF"/>
    <w:rsid w:val="00563403"/>
    <w:rsid w:val="005637EE"/>
    <w:rsid w:val="00563848"/>
    <w:rsid w:val="00565611"/>
    <w:rsid w:val="00565625"/>
    <w:rsid w:val="00565B43"/>
    <w:rsid w:val="00566671"/>
    <w:rsid w:val="00566937"/>
    <w:rsid w:val="00566CE7"/>
    <w:rsid w:val="00567156"/>
    <w:rsid w:val="00567975"/>
    <w:rsid w:val="00567B08"/>
    <w:rsid w:val="005701CA"/>
    <w:rsid w:val="005703EC"/>
    <w:rsid w:val="005707D5"/>
    <w:rsid w:val="0057097B"/>
    <w:rsid w:val="00570F02"/>
    <w:rsid w:val="005710B7"/>
    <w:rsid w:val="0057136B"/>
    <w:rsid w:val="005718E7"/>
    <w:rsid w:val="0057302B"/>
    <w:rsid w:val="005735F4"/>
    <w:rsid w:val="00573813"/>
    <w:rsid w:val="005742E0"/>
    <w:rsid w:val="005744E7"/>
    <w:rsid w:val="00574897"/>
    <w:rsid w:val="00574EF0"/>
    <w:rsid w:val="00576BB3"/>
    <w:rsid w:val="00576C4F"/>
    <w:rsid w:val="00577DB3"/>
    <w:rsid w:val="00577F74"/>
    <w:rsid w:val="00580551"/>
    <w:rsid w:val="00580866"/>
    <w:rsid w:val="005818E4"/>
    <w:rsid w:val="00581F6B"/>
    <w:rsid w:val="005824F9"/>
    <w:rsid w:val="005827D7"/>
    <w:rsid w:val="005829B4"/>
    <w:rsid w:val="00582A0F"/>
    <w:rsid w:val="00582A41"/>
    <w:rsid w:val="00583462"/>
    <w:rsid w:val="00583662"/>
    <w:rsid w:val="00583C9C"/>
    <w:rsid w:val="00583FA0"/>
    <w:rsid w:val="0058461B"/>
    <w:rsid w:val="00584700"/>
    <w:rsid w:val="0058490F"/>
    <w:rsid w:val="00584DBA"/>
    <w:rsid w:val="0058512F"/>
    <w:rsid w:val="005851D9"/>
    <w:rsid w:val="00586125"/>
    <w:rsid w:val="00586DA3"/>
    <w:rsid w:val="00587696"/>
    <w:rsid w:val="00590E27"/>
    <w:rsid w:val="0059191C"/>
    <w:rsid w:val="00591E67"/>
    <w:rsid w:val="0059298C"/>
    <w:rsid w:val="005929CF"/>
    <w:rsid w:val="005932ED"/>
    <w:rsid w:val="005937DB"/>
    <w:rsid w:val="00593FA2"/>
    <w:rsid w:val="00594043"/>
    <w:rsid w:val="00594BF2"/>
    <w:rsid w:val="00594C3C"/>
    <w:rsid w:val="00594DCD"/>
    <w:rsid w:val="00595081"/>
    <w:rsid w:val="005951F3"/>
    <w:rsid w:val="005957EC"/>
    <w:rsid w:val="00595E39"/>
    <w:rsid w:val="00596A1C"/>
    <w:rsid w:val="00596E06"/>
    <w:rsid w:val="00596F9D"/>
    <w:rsid w:val="0059763E"/>
    <w:rsid w:val="005978FC"/>
    <w:rsid w:val="00597936"/>
    <w:rsid w:val="00597ADD"/>
    <w:rsid w:val="005A1BCF"/>
    <w:rsid w:val="005A2521"/>
    <w:rsid w:val="005A3149"/>
    <w:rsid w:val="005A329E"/>
    <w:rsid w:val="005A3674"/>
    <w:rsid w:val="005A39CD"/>
    <w:rsid w:val="005A4151"/>
    <w:rsid w:val="005A446A"/>
    <w:rsid w:val="005A448C"/>
    <w:rsid w:val="005A469A"/>
    <w:rsid w:val="005A4728"/>
    <w:rsid w:val="005A4F98"/>
    <w:rsid w:val="005A50C9"/>
    <w:rsid w:val="005A50FB"/>
    <w:rsid w:val="005A5579"/>
    <w:rsid w:val="005A5BCA"/>
    <w:rsid w:val="005A617F"/>
    <w:rsid w:val="005A6ADC"/>
    <w:rsid w:val="005A758F"/>
    <w:rsid w:val="005A7FF9"/>
    <w:rsid w:val="005B0527"/>
    <w:rsid w:val="005B0668"/>
    <w:rsid w:val="005B08D7"/>
    <w:rsid w:val="005B0C8C"/>
    <w:rsid w:val="005B1DB9"/>
    <w:rsid w:val="005B2122"/>
    <w:rsid w:val="005B2A00"/>
    <w:rsid w:val="005B2F3B"/>
    <w:rsid w:val="005B32DE"/>
    <w:rsid w:val="005B344D"/>
    <w:rsid w:val="005B3EB9"/>
    <w:rsid w:val="005B403A"/>
    <w:rsid w:val="005B434B"/>
    <w:rsid w:val="005B438E"/>
    <w:rsid w:val="005B453A"/>
    <w:rsid w:val="005B4BCA"/>
    <w:rsid w:val="005B50D8"/>
    <w:rsid w:val="005B566B"/>
    <w:rsid w:val="005B56E5"/>
    <w:rsid w:val="005B626D"/>
    <w:rsid w:val="005B62ED"/>
    <w:rsid w:val="005B70B9"/>
    <w:rsid w:val="005B76A9"/>
    <w:rsid w:val="005B7847"/>
    <w:rsid w:val="005C0302"/>
    <w:rsid w:val="005C0610"/>
    <w:rsid w:val="005C0795"/>
    <w:rsid w:val="005C0ECE"/>
    <w:rsid w:val="005C1F78"/>
    <w:rsid w:val="005C2200"/>
    <w:rsid w:val="005C2892"/>
    <w:rsid w:val="005C28B2"/>
    <w:rsid w:val="005C30EB"/>
    <w:rsid w:val="005C31FE"/>
    <w:rsid w:val="005C3922"/>
    <w:rsid w:val="005C3F76"/>
    <w:rsid w:val="005C4B49"/>
    <w:rsid w:val="005C4D46"/>
    <w:rsid w:val="005C5607"/>
    <w:rsid w:val="005C573D"/>
    <w:rsid w:val="005C59C7"/>
    <w:rsid w:val="005C5FC7"/>
    <w:rsid w:val="005C6612"/>
    <w:rsid w:val="005C6BA2"/>
    <w:rsid w:val="005C6DED"/>
    <w:rsid w:val="005C70D7"/>
    <w:rsid w:val="005C71DC"/>
    <w:rsid w:val="005C7AC7"/>
    <w:rsid w:val="005C7F82"/>
    <w:rsid w:val="005D02C0"/>
    <w:rsid w:val="005D02F4"/>
    <w:rsid w:val="005D0885"/>
    <w:rsid w:val="005D0936"/>
    <w:rsid w:val="005D0A94"/>
    <w:rsid w:val="005D155E"/>
    <w:rsid w:val="005D18D3"/>
    <w:rsid w:val="005D1BA2"/>
    <w:rsid w:val="005D236C"/>
    <w:rsid w:val="005D2776"/>
    <w:rsid w:val="005D3511"/>
    <w:rsid w:val="005D49CD"/>
    <w:rsid w:val="005D58F7"/>
    <w:rsid w:val="005D65C5"/>
    <w:rsid w:val="005D66C8"/>
    <w:rsid w:val="005D6BC9"/>
    <w:rsid w:val="005D6BEB"/>
    <w:rsid w:val="005D745C"/>
    <w:rsid w:val="005D7CA8"/>
    <w:rsid w:val="005D7F72"/>
    <w:rsid w:val="005D7F9E"/>
    <w:rsid w:val="005E0139"/>
    <w:rsid w:val="005E02D2"/>
    <w:rsid w:val="005E0529"/>
    <w:rsid w:val="005E0DA3"/>
    <w:rsid w:val="005E139C"/>
    <w:rsid w:val="005E13AA"/>
    <w:rsid w:val="005E25BF"/>
    <w:rsid w:val="005E29AC"/>
    <w:rsid w:val="005E2ADF"/>
    <w:rsid w:val="005E2CC7"/>
    <w:rsid w:val="005E3336"/>
    <w:rsid w:val="005E345D"/>
    <w:rsid w:val="005E3526"/>
    <w:rsid w:val="005E3711"/>
    <w:rsid w:val="005E3C83"/>
    <w:rsid w:val="005E50B3"/>
    <w:rsid w:val="005E50EA"/>
    <w:rsid w:val="005E6899"/>
    <w:rsid w:val="005E6FC6"/>
    <w:rsid w:val="005E7CF0"/>
    <w:rsid w:val="005E7ED3"/>
    <w:rsid w:val="005F01D8"/>
    <w:rsid w:val="005F0633"/>
    <w:rsid w:val="005F0813"/>
    <w:rsid w:val="005F1082"/>
    <w:rsid w:val="005F1682"/>
    <w:rsid w:val="005F1B80"/>
    <w:rsid w:val="005F4098"/>
    <w:rsid w:val="005F44D7"/>
    <w:rsid w:val="005F4590"/>
    <w:rsid w:val="005F4FDE"/>
    <w:rsid w:val="005F522B"/>
    <w:rsid w:val="005F5B4D"/>
    <w:rsid w:val="005F6836"/>
    <w:rsid w:val="005F6939"/>
    <w:rsid w:val="005F6D45"/>
    <w:rsid w:val="005F77C4"/>
    <w:rsid w:val="005F7EFC"/>
    <w:rsid w:val="006001DB"/>
    <w:rsid w:val="00600DA6"/>
    <w:rsid w:val="00601090"/>
    <w:rsid w:val="0060151D"/>
    <w:rsid w:val="00601C71"/>
    <w:rsid w:val="00602C13"/>
    <w:rsid w:val="006036DC"/>
    <w:rsid w:val="006041D3"/>
    <w:rsid w:val="006048D5"/>
    <w:rsid w:val="00604998"/>
    <w:rsid w:val="00606147"/>
    <w:rsid w:val="0060657F"/>
    <w:rsid w:val="0060759F"/>
    <w:rsid w:val="006075D4"/>
    <w:rsid w:val="00607707"/>
    <w:rsid w:val="0061003D"/>
    <w:rsid w:val="006100FB"/>
    <w:rsid w:val="00610135"/>
    <w:rsid w:val="0061036E"/>
    <w:rsid w:val="00610431"/>
    <w:rsid w:val="0061089E"/>
    <w:rsid w:val="0061193B"/>
    <w:rsid w:val="00611DC3"/>
    <w:rsid w:val="0061242B"/>
    <w:rsid w:val="00612587"/>
    <w:rsid w:val="00612D7A"/>
    <w:rsid w:val="0061338A"/>
    <w:rsid w:val="00613639"/>
    <w:rsid w:val="00613A75"/>
    <w:rsid w:val="00614073"/>
    <w:rsid w:val="006140F8"/>
    <w:rsid w:val="00614194"/>
    <w:rsid w:val="00614BD8"/>
    <w:rsid w:val="006166FC"/>
    <w:rsid w:val="00616F3F"/>
    <w:rsid w:val="00617F6E"/>
    <w:rsid w:val="00620146"/>
    <w:rsid w:val="0062066C"/>
    <w:rsid w:val="006207D5"/>
    <w:rsid w:val="0062082E"/>
    <w:rsid w:val="00620965"/>
    <w:rsid w:val="00621BE9"/>
    <w:rsid w:val="00621C88"/>
    <w:rsid w:val="00621CC8"/>
    <w:rsid w:val="00621D40"/>
    <w:rsid w:val="006226A7"/>
    <w:rsid w:val="00622E35"/>
    <w:rsid w:val="00623E02"/>
    <w:rsid w:val="00623E3A"/>
    <w:rsid w:val="00624022"/>
    <w:rsid w:val="006243F8"/>
    <w:rsid w:val="006247EC"/>
    <w:rsid w:val="006259C4"/>
    <w:rsid w:val="00625E0B"/>
    <w:rsid w:val="00625FCE"/>
    <w:rsid w:val="0062639F"/>
    <w:rsid w:val="00626541"/>
    <w:rsid w:val="00626825"/>
    <w:rsid w:val="00626C93"/>
    <w:rsid w:val="00626E90"/>
    <w:rsid w:val="00627426"/>
    <w:rsid w:val="006274DD"/>
    <w:rsid w:val="006300A1"/>
    <w:rsid w:val="006300A5"/>
    <w:rsid w:val="0063018E"/>
    <w:rsid w:val="00631DD7"/>
    <w:rsid w:val="00632538"/>
    <w:rsid w:val="0063283D"/>
    <w:rsid w:val="00632F20"/>
    <w:rsid w:val="006334D0"/>
    <w:rsid w:val="00633A0A"/>
    <w:rsid w:val="00634420"/>
    <w:rsid w:val="006351B7"/>
    <w:rsid w:val="00635A7E"/>
    <w:rsid w:val="00636191"/>
    <w:rsid w:val="0063642D"/>
    <w:rsid w:val="00636513"/>
    <w:rsid w:val="0063682B"/>
    <w:rsid w:val="006368A4"/>
    <w:rsid w:val="00636CB0"/>
    <w:rsid w:val="006378A7"/>
    <w:rsid w:val="00637AB0"/>
    <w:rsid w:val="00637BBB"/>
    <w:rsid w:val="006404F5"/>
    <w:rsid w:val="006405CF"/>
    <w:rsid w:val="006405E9"/>
    <w:rsid w:val="006408E8"/>
    <w:rsid w:val="00640E60"/>
    <w:rsid w:val="00641303"/>
    <w:rsid w:val="0064196C"/>
    <w:rsid w:val="00641E98"/>
    <w:rsid w:val="00643526"/>
    <w:rsid w:val="00643CA2"/>
    <w:rsid w:val="00644B18"/>
    <w:rsid w:val="00645096"/>
    <w:rsid w:val="00645695"/>
    <w:rsid w:val="006462DA"/>
    <w:rsid w:val="0064667E"/>
    <w:rsid w:val="00646710"/>
    <w:rsid w:val="0064756D"/>
    <w:rsid w:val="00647ACB"/>
    <w:rsid w:val="00647AEF"/>
    <w:rsid w:val="00647B93"/>
    <w:rsid w:val="00647E68"/>
    <w:rsid w:val="006502D6"/>
    <w:rsid w:val="006506AD"/>
    <w:rsid w:val="00650805"/>
    <w:rsid w:val="00651720"/>
    <w:rsid w:val="00651FBB"/>
    <w:rsid w:val="00652A75"/>
    <w:rsid w:val="00652FFF"/>
    <w:rsid w:val="00653122"/>
    <w:rsid w:val="006533DD"/>
    <w:rsid w:val="006541BD"/>
    <w:rsid w:val="006542FC"/>
    <w:rsid w:val="006547A0"/>
    <w:rsid w:val="006547C0"/>
    <w:rsid w:val="00654DB7"/>
    <w:rsid w:val="006554DC"/>
    <w:rsid w:val="0065568B"/>
    <w:rsid w:val="00655C9C"/>
    <w:rsid w:val="00656280"/>
    <w:rsid w:val="00656576"/>
    <w:rsid w:val="00656DEB"/>
    <w:rsid w:val="00657B63"/>
    <w:rsid w:val="006607ED"/>
    <w:rsid w:val="00660CA6"/>
    <w:rsid w:val="00661ADF"/>
    <w:rsid w:val="00662804"/>
    <w:rsid w:val="00663358"/>
    <w:rsid w:val="0066337F"/>
    <w:rsid w:val="006635DA"/>
    <w:rsid w:val="00663B3B"/>
    <w:rsid w:val="00663ED9"/>
    <w:rsid w:val="00664173"/>
    <w:rsid w:val="006648D5"/>
    <w:rsid w:val="00665188"/>
    <w:rsid w:val="00665209"/>
    <w:rsid w:val="006656D0"/>
    <w:rsid w:val="00666536"/>
    <w:rsid w:val="006667F5"/>
    <w:rsid w:val="0066684E"/>
    <w:rsid w:val="006669B2"/>
    <w:rsid w:val="00666B05"/>
    <w:rsid w:val="00667D29"/>
    <w:rsid w:val="006701F4"/>
    <w:rsid w:val="006704DF"/>
    <w:rsid w:val="00670B7F"/>
    <w:rsid w:val="006713D0"/>
    <w:rsid w:val="006718BE"/>
    <w:rsid w:val="006718C9"/>
    <w:rsid w:val="00672000"/>
    <w:rsid w:val="006720D8"/>
    <w:rsid w:val="006726A4"/>
    <w:rsid w:val="0067349F"/>
    <w:rsid w:val="00673AB0"/>
    <w:rsid w:val="00673F54"/>
    <w:rsid w:val="006740DD"/>
    <w:rsid w:val="0067430D"/>
    <w:rsid w:val="00674616"/>
    <w:rsid w:val="00674B7F"/>
    <w:rsid w:val="00675B1F"/>
    <w:rsid w:val="00675C3A"/>
    <w:rsid w:val="00675E62"/>
    <w:rsid w:val="00675FB0"/>
    <w:rsid w:val="00676448"/>
    <w:rsid w:val="00677D74"/>
    <w:rsid w:val="0068028C"/>
    <w:rsid w:val="00680392"/>
    <w:rsid w:val="00680BEC"/>
    <w:rsid w:val="006826E4"/>
    <w:rsid w:val="00682786"/>
    <w:rsid w:val="00682905"/>
    <w:rsid w:val="00682CFD"/>
    <w:rsid w:val="00682D4C"/>
    <w:rsid w:val="0068365D"/>
    <w:rsid w:val="00684CA3"/>
    <w:rsid w:val="00684EDA"/>
    <w:rsid w:val="00685137"/>
    <w:rsid w:val="00685431"/>
    <w:rsid w:val="006854C0"/>
    <w:rsid w:val="00685DAC"/>
    <w:rsid w:val="00685F5D"/>
    <w:rsid w:val="0068618F"/>
    <w:rsid w:val="00686192"/>
    <w:rsid w:val="00686261"/>
    <w:rsid w:val="00686660"/>
    <w:rsid w:val="006866E6"/>
    <w:rsid w:val="00686F73"/>
    <w:rsid w:val="006876AD"/>
    <w:rsid w:val="006879DC"/>
    <w:rsid w:val="00687B0B"/>
    <w:rsid w:val="00687E13"/>
    <w:rsid w:val="006901DD"/>
    <w:rsid w:val="00690A9F"/>
    <w:rsid w:val="006910C5"/>
    <w:rsid w:val="00691642"/>
    <w:rsid w:val="006921A5"/>
    <w:rsid w:val="006924B4"/>
    <w:rsid w:val="006925D8"/>
    <w:rsid w:val="00692956"/>
    <w:rsid w:val="00692EC5"/>
    <w:rsid w:val="006937AF"/>
    <w:rsid w:val="00693804"/>
    <w:rsid w:val="0069387A"/>
    <w:rsid w:val="00694723"/>
    <w:rsid w:val="0069472B"/>
    <w:rsid w:val="0069487A"/>
    <w:rsid w:val="00694E75"/>
    <w:rsid w:val="006954D5"/>
    <w:rsid w:val="006969DF"/>
    <w:rsid w:val="00697028"/>
    <w:rsid w:val="006978BC"/>
    <w:rsid w:val="006A0FC1"/>
    <w:rsid w:val="006A16E2"/>
    <w:rsid w:val="006A283A"/>
    <w:rsid w:val="006A3C91"/>
    <w:rsid w:val="006A40D6"/>
    <w:rsid w:val="006A4593"/>
    <w:rsid w:val="006A4FD3"/>
    <w:rsid w:val="006A5357"/>
    <w:rsid w:val="006A5451"/>
    <w:rsid w:val="006A5529"/>
    <w:rsid w:val="006A6AD8"/>
    <w:rsid w:val="006A72D4"/>
    <w:rsid w:val="006A783D"/>
    <w:rsid w:val="006B1058"/>
    <w:rsid w:val="006B1539"/>
    <w:rsid w:val="006B1C90"/>
    <w:rsid w:val="006B1D4B"/>
    <w:rsid w:val="006B24C7"/>
    <w:rsid w:val="006B26D8"/>
    <w:rsid w:val="006B291E"/>
    <w:rsid w:val="006B2C81"/>
    <w:rsid w:val="006B2D58"/>
    <w:rsid w:val="006B3D8A"/>
    <w:rsid w:val="006B4890"/>
    <w:rsid w:val="006B49BA"/>
    <w:rsid w:val="006B4F0B"/>
    <w:rsid w:val="006B5770"/>
    <w:rsid w:val="006B5A8F"/>
    <w:rsid w:val="006B6826"/>
    <w:rsid w:val="006B6DB5"/>
    <w:rsid w:val="006B6FE2"/>
    <w:rsid w:val="006B764C"/>
    <w:rsid w:val="006B76FB"/>
    <w:rsid w:val="006B77A0"/>
    <w:rsid w:val="006C048D"/>
    <w:rsid w:val="006C0BBF"/>
    <w:rsid w:val="006C0D9A"/>
    <w:rsid w:val="006C25B9"/>
    <w:rsid w:val="006C2864"/>
    <w:rsid w:val="006C2DDC"/>
    <w:rsid w:val="006C2E51"/>
    <w:rsid w:val="006C2EB9"/>
    <w:rsid w:val="006C2EE9"/>
    <w:rsid w:val="006C2FD6"/>
    <w:rsid w:val="006C3027"/>
    <w:rsid w:val="006C33AD"/>
    <w:rsid w:val="006C3520"/>
    <w:rsid w:val="006C3794"/>
    <w:rsid w:val="006C4160"/>
    <w:rsid w:val="006C46DF"/>
    <w:rsid w:val="006C502E"/>
    <w:rsid w:val="006C5812"/>
    <w:rsid w:val="006C5F5B"/>
    <w:rsid w:val="006C74FD"/>
    <w:rsid w:val="006C7684"/>
    <w:rsid w:val="006C7A02"/>
    <w:rsid w:val="006C7BFE"/>
    <w:rsid w:val="006C7FC7"/>
    <w:rsid w:val="006D0133"/>
    <w:rsid w:val="006D0349"/>
    <w:rsid w:val="006D1C23"/>
    <w:rsid w:val="006D1CEA"/>
    <w:rsid w:val="006D26DB"/>
    <w:rsid w:val="006D2B32"/>
    <w:rsid w:val="006D2D30"/>
    <w:rsid w:val="006D361F"/>
    <w:rsid w:val="006D3B6B"/>
    <w:rsid w:val="006D3D7F"/>
    <w:rsid w:val="006D42D0"/>
    <w:rsid w:val="006D44C1"/>
    <w:rsid w:val="006D45E5"/>
    <w:rsid w:val="006D4952"/>
    <w:rsid w:val="006D4A1E"/>
    <w:rsid w:val="006D4D1C"/>
    <w:rsid w:val="006D57B1"/>
    <w:rsid w:val="006D5A97"/>
    <w:rsid w:val="006D5CF9"/>
    <w:rsid w:val="006D6E94"/>
    <w:rsid w:val="006D78FD"/>
    <w:rsid w:val="006D7C58"/>
    <w:rsid w:val="006E043F"/>
    <w:rsid w:val="006E08FC"/>
    <w:rsid w:val="006E0D9C"/>
    <w:rsid w:val="006E1901"/>
    <w:rsid w:val="006E1B9F"/>
    <w:rsid w:val="006E1F7D"/>
    <w:rsid w:val="006E2889"/>
    <w:rsid w:val="006E2EFB"/>
    <w:rsid w:val="006E3148"/>
    <w:rsid w:val="006E3724"/>
    <w:rsid w:val="006E394A"/>
    <w:rsid w:val="006E3C6E"/>
    <w:rsid w:val="006E4076"/>
    <w:rsid w:val="006E485D"/>
    <w:rsid w:val="006E4865"/>
    <w:rsid w:val="006E4D1A"/>
    <w:rsid w:val="006E5AD0"/>
    <w:rsid w:val="006E6473"/>
    <w:rsid w:val="006E6639"/>
    <w:rsid w:val="006E6C1B"/>
    <w:rsid w:val="006E6DF4"/>
    <w:rsid w:val="006E74A4"/>
    <w:rsid w:val="006E74C1"/>
    <w:rsid w:val="006E77A0"/>
    <w:rsid w:val="006E7931"/>
    <w:rsid w:val="006E7DEF"/>
    <w:rsid w:val="006F0389"/>
    <w:rsid w:val="006F14EA"/>
    <w:rsid w:val="006F1E7E"/>
    <w:rsid w:val="006F298A"/>
    <w:rsid w:val="006F2C88"/>
    <w:rsid w:val="006F330B"/>
    <w:rsid w:val="006F3D11"/>
    <w:rsid w:val="006F3D37"/>
    <w:rsid w:val="006F4649"/>
    <w:rsid w:val="006F46F3"/>
    <w:rsid w:val="006F4CD7"/>
    <w:rsid w:val="006F5F17"/>
    <w:rsid w:val="006F601C"/>
    <w:rsid w:val="006F689C"/>
    <w:rsid w:val="006F6B95"/>
    <w:rsid w:val="006F6BF2"/>
    <w:rsid w:val="006F6C9E"/>
    <w:rsid w:val="006F726F"/>
    <w:rsid w:val="007008AD"/>
    <w:rsid w:val="00700C0F"/>
    <w:rsid w:val="0070105E"/>
    <w:rsid w:val="007015FC"/>
    <w:rsid w:val="00701E3F"/>
    <w:rsid w:val="00702F25"/>
    <w:rsid w:val="007031DE"/>
    <w:rsid w:val="00703A87"/>
    <w:rsid w:val="00703B6D"/>
    <w:rsid w:val="00703D6C"/>
    <w:rsid w:val="00703FA5"/>
    <w:rsid w:val="00705151"/>
    <w:rsid w:val="00705687"/>
    <w:rsid w:val="00705B0A"/>
    <w:rsid w:val="00705FA9"/>
    <w:rsid w:val="007065C9"/>
    <w:rsid w:val="0070689E"/>
    <w:rsid w:val="0070783D"/>
    <w:rsid w:val="007078E7"/>
    <w:rsid w:val="00710262"/>
    <w:rsid w:val="007109A4"/>
    <w:rsid w:val="00710C62"/>
    <w:rsid w:val="00710C74"/>
    <w:rsid w:val="00710FE3"/>
    <w:rsid w:val="007118DA"/>
    <w:rsid w:val="00711B2A"/>
    <w:rsid w:val="00711E20"/>
    <w:rsid w:val="00711E25"/>
    <w:rsid w:val="007123EF"/>
    <w:rsid w:val="00712CFB"/>
    <w:rsid w:val="00712E94"/>
    <w:rsid w:val="0071311B"/>
    <w:rsid w:val="007134B9"/>
    <w:rsid w:val="0071386F"/>
    <w:rsid w:val="0071388A"/>
    <w:rsid w:val="00713B2C"/>
    <w:rsid w:val="00713DCD"/>
    <w:rsid w:val="007144F8"/>
    <w:rsid w:val="00714B5F"/>
    <w:rsid w:val="00714C93"/>
    <w:rsid w:val="00715848"/>
    <w:rsid w:val="00716747"/>
    <w:rsid w:val="007170E6"/>
    <w:rsid w:val="00717E40"/>
    <w:rsid w:val="00717FC7"/>
    <w:rsid w:val="00720184"/>
    <w:rsid w:val="007201E1"/>
    <w:rsid w:val="0072147C"/>
    <w:rsid w:val="00721C12"/>
    <w:rsid w:val="00721C1F"/>
    <w:rsid w:val="00721C50"/>
    <w:rsid w:val="007222F3"/>
    <w:rsid w:val="00722382"/>
    <w:rsid w:val="0072270C"/>
    <w:rsid w:val="0072320F"/>
    <w:rsid w:val="00723315"/>
    <w:rsid w:val="00723E39"/>
    <w:rsid w:val="00724059"/>
    <w:rsid w:val="00724814"/>
    <w:rsid w:val="00724A39"/>
    <w:rsid w:val="0072529A"/>
    <w:rsid w:val="007254F5"/>
    <w:rsid w:val="00725F5E"/>
    <w:rsid w:val="00726371"/>
    <w:rsid w:val="00726843"/>
    <w:rsid w:val="0072693E"/>
    <w:rsid w:val="0072721B"/>
    <w:rsid w:val="0072757C"/>
    <w:rsid w:val="0072780B"/>
    <w:rsid w:val="0073034F"/>
    <w:rsid w:val="00730489"/>
    <w:rsid w:val="0073205E"/>
    <w:rsid w:val="00732210"/>
    <w:rsid w:val="00732E4A"/>
    <w:rsid w:val="00733203"/>
    <w:rsid w:val="00734957"/>
    <w:rsid w:val="0073504E"/>
    <w:rsid w:val="00735437"/>
    <w:rsid w:val="00736E1E"/>
    <w:rsid w:val="00737AB0"/>
    <w:rsid w:val="0074016B"/>
    <w:rsid w:val="0074052B"/>
    <w:rsid w:val="00740807"/>
    <w:rsid w:val="00740CD0"/>
    <w:rsid w:val="00740D73"/>
    <w:rsid w:val="007417F8"/>
    <w:rsid w:val="007419DF"/>
    <w:rsid w:val="00741ECF"/>
    <w:rsid w:val="00741EF3"/>
    <w:rsid w:val="007421AA"/>
    <w:rsid w:val="007435D3"/>
    <w:rsid w:val="007438E4"/>
    <w:rsid w:val="0074430D"/>
    <w:rsid w:val="00744341"/>
    <w:rsid w:val="007448CA"/>
    <w:rsid w:val="007450E6"/>
    <w:rsid w:val="007452A7"/>
    <w:rsid w:val="007454B7"/>
    <w:rsid w:val="00745B19"/>
    <w:rsid w:val="007463D8"/>
    <w:rsid w:val="007466D5"/>
    <w:rsid w:val="00746979"/>
    <w:rsid w:val="00747155"/>
    <w:rsid w:val="00747164"/>
    <w:rsid w:val="00747766"/>
    <w:rsid w:val="007478D7"/>
    <w:rsid w:val="0075001F"/>
    <w:rsid w:val="00750956"/>
    <w:rsid w:val="00750C5A"/>
    <w:rsid w:val="007511E8"/>
    <w:rsid w:val="00751385"/>
    <w:rsid w:val="0075156E"/>
    <w:rsid w:val="00751BF9"/>
    <w:rsid w:val="00751DDF"/>
    <w:rsid w:val="00752110"/>
    <w:rsid w:val="0075221F"/>
    <w:rsid w:val="00752CAF"/>
    <w:rsid w:val="0075309B"/>
    <w:rsid w:val="00753774"/>
    <w:rsid w:val="007539B2"/>
    <w:rsid w:val="007546C9"/>
    <w:rsid w:val="007549EE"/>
    <w:rsid w:val="00754DAC"/>
    <w:rsid w:val="00754DD3"/>
    <w:rsid w:val="0075658E"/>
    <w:rsid w:val="00756780"/>
    <w:rsid w:val="00756F62"/>
    <w:rsid w:val="007570DD"/>
    <w:rsid w:val="00760328"/>
    <w:rsid w:val="007604A4"/>
    <w:rsid w:val="00760D00"/>
    <w:rsid w:val="0076108A"/>
    <w:rsid w:val="00761BC8"/>
    <w:rsid w:val="00763252"/>
    <w:rsid w:val="00763452"/>
    <w:rsid w:val="00763B2D"/>
    <w:rsid w:val="00763C96"/>
    <w:rsid w:val="0076503D"/>
    <w:rsid w:val="00765859"/>
    <w:rsid w:val="00765E31"/>
    <w:rsid w:val="00766112"/>
    <w:rsid w:val="00766586"/>
    <w:rsid w:val="007668AB"/>
    <w:rsid w:val="007669CE"/>
    <w:rsid w:val="00766B0C"/>
    <w:rsid w:val="00770E86"/>
    <w:rsid w:val="00771F30"/>
    <w:rsid w:val="007726EF"/>
    <w:rsid w:val="007728A3"/>
    <w:rsid w:val="007731BB"/>
    <w:rsid w:val="007732B8"/>
    <w:rsid w:val="00773432"/>
    <w:rsid w:val="00773E35"/>
    <w:rsid w:val="00774303"/>
    <w:rsid w:val="007754D3"/>
    <w:rsid w:val="00775CDD"/>
    <w:rsid w:val="0077676A"/>
    <w:rsid w:val="00777300"/>
    <w:rsid w:val="0077765E"/>
    <w:rsid w:val="007776EE"/>
    <w:rsid w:val="00777B56"/>
    <w:rsid w:val="00777C3B"/>
    <w:rsid w:val="007800D7"/>
    <w:rsid w:val="00780CD1"/>
    <w:rsid w:val="00781C2F"/>
    <w:rsid w:val="00781C58"/>
    <w:rsid w:val="00781F1B"/>
    <w:rsid w:val="00782188"/>
    <w:rsid w:val="00782441"/>
    <w:rsid w:val="00782526"/>
    <w:rsid w:val="007826D0"/>
    <w:rsid w:val="0078285E"/>
    <w:rsid w:val="00782D6B"/>
    <w:rsid w:val="00783FDE"/>
    <w:rsid w:val="00784217"/>
    <w:rsid w:val="00784353"/>
    <w:rsid w:val="007855CA"/>
    <w:rsid w:val="00785AF9"/>
    <w:rsid w:val="00785B2E"/>
    <w:rsid w:val="007869D6"/>
    <w:rsid w:val="00786A9E"/>
    <w:rsid w:val="00786FC5"/>
    <w:rsid w:val="00787772"/>
    <w:rsid w:val="007878AF"/>
    <w:rsid w:val="00787DF8"/>
    <w:rsid w:val="00790B0D"/>
    <w:rsid w:val="00790DA2"/>
    <w:rsid w:val="00791079"/>
    <w:rsid w:val="0079129C"/>
    <w:rsid w:val="00791A0C"/>
    <w:rsid w:val="007920EA"/>
    <w:rsid w:val="007923E4"/>
    <w:rsid w:val="007929AC"/>
    <w:rsid w:val="00792C74"/>
    <w:rsid w:val="007931D8"/>
    <w:rsid w:val="0079489E"/>
    <w:rsid w:val="00794C0C"/>
    <w:rsid w:val="00794D03"/>
    <w:rsid w:val="007966CB"/>
    <w:rsid w:val="007966E4"/>
    <w:rsid w:val="00796D42"/>
    <w:rsid w:val="00796DB6"/>
    <w:rsid w:val="00797BBF"/>
    <w:rsid w:val="00797FA6"/>
    <w:rsid w:val="007A049D"/>
    <w:rsid w:val="007A0B3F"/>
    <w:rsid w:val="007A0C5A"/>
    <w:rsid w:val="007A0CCF"/>
    <w:rsid w:val="007A0D0A"/>
    <w:rsid w:val="007A0D3A"/>
    <w:rsid w:val="007A1388"/>
    <w:rsid w:val="007A1EA3"/>
    <w:rsid w:val="007A1ECD"/>
    <w:rsid w:val="007A2380"/>
    <w:rsid w:val="007A3205"/>
    <w:rsid w:val="007A3C44"/>
    <w:rsid w:val="007A44F4"/>
    <w:rsid w:val="007A4999"/>
    <w:rsid w:val="007A4B28"/>
    <w:rsid w:val="007A4CD8"/>
    <w:rsid w:val="007A4F12"/>
    <w:rsid w:val="007A4FED"/>
    <w:rsid w:val="007A56EC"/>
    <w:rsid w:val="007A5E6F"/>
    <w:rsid w:val="007A66B0"/>
    <w:rsid w:val="007A673F"/>
    <w:rsid w:val="007A6C68"/>
    <w:rsid w:val="007A6EF3"/>
    <w:rsid w:val="007A7038"/>
    <w:rsid w:val="007A7531"/>
    <w:rsid w:val="007A7766"/>
    <w:rsid w:val="007A7B59"/>
    <w:rsid w:val="007B02C3"/>
    <w:rsid w:val="007B0721"/>
    <w:rsid w:val="007B1211"/>
    <w:rsid w:val="007B1402"/>
    <w:rsid w:val="007B173A"/>
    <w:rsid w:val="007B2F09"/>
    <w:rsid w:val="007B3E7D"/>
    <w:rsid w:val="007B3F71"/>
    <w:rsid w:val="007B3F9A"/>
    <w:rsid w:val="007B42C6"/>
    <w:rsid w:val="007B47E9"/>
    <w:rsid w:val="007B4BF9"/>
    <w:rsid w:val="007B54B6"/>
    <w:rsid w:val="007B5F45"/>
    <w:rsid w:val="007B67F6"/>
    <w:rsid w:val="007B6BD6"/>
    <w:rsid w:val="007B7307"/>
    <w:rsid w:val="007B7619"/>
    <w:rsid w:val="007B7A4B"/>
    <w:rsid w:val="007C1AAF"/>
    <w:rsid w:val="007C1BC2"/>
    <w:rsid w:val="007C1F64"/>
    <w:rsid w:val="007C260B"/>
    <w:rsid w:val="007C31AC"/>
    <w:rsid w:val="007C3648"/>
    <w:rsid w:val="007C3C30"/>
    <w:rsid w:val="007C4397"/>
    <w:rsid w:val="007C4732"/>
    <w:rsid w:val="007C4D12"/>
    <w:rsid w:val="007C513C"/>
    <w:rsid w:val="007C5CB4"/>
    <w:rsid w:val="007C5EAB"/>
    <w:rsid w:val="007C64D1"/>
    <w:rsid w:val="007C7060"/>
    <w:rsid w:val="007C752F"/>
    <w:rsid w:val="007C75F7"/>
    <w:rsid w:val="007C7E36"/>
    <w:rsid w:val="007D0217"/>
    <w:rsid w:val="007D08A9"/>
    <w:rsid w:val="007D1243"/>
    <w:rsid w:val="007D126E"/>
    <w:rsid w:val="007D3770"/>
    <w:rsid w:val="007D3E89"/>
    <w:rsid w:val="007D5662"/>
    <w:rsid w:val="007D635E"/>
    <w:rsid w:val="007D64AA"/>
    <w:rsid w:val="007D68B9"/>
    <w:rsid w:val="007D74EB"/>
    <w:rsid w:val="007D7955"/>
    <w:rsid w:val="007D7F1D"/>
    <w:rsid w:val="007E049F"/>
    <w:rsid w:val="007E0FFE"/>
    <w:rsid w:val="007E1FE6"/>
    <w:rsid w:val="007E2325"/>
    <w:rsid w:val="007E2856"/>
    <w:rsid w:val="007E2E52"/>
    <w:rsid w:val="007E3801"/>
    <w:rsid w:val="007E402D"/>
    <w:rsid w:val="007E421E"/>
    <w:rsid w:val="007E497A"/>
    <w:rsid w:val="007E546B"/>
    <w:rsid w:val="007E5B7B"/>
    <w:rsid w:val="007E64F5"/>
    <w:rsid w:val="007E684C"/>
    <w:rsid w:val="007E6914"/>
    <w:rsid w:val="007E6E96"/>
    <w:rsid w:val="007E71AF"/>
    <w:rsid w:val="007E7771"/>
    <w:rsid w:val="007F002A"/>
    <w:rsid w:val="007F016F"/>
    <w:rsid w:val="007F03A6"/>
    <w:rsid w:val="007F03B6"/>
    <w:rsid w:val="007F0755"/>
    <w:rsid w:val="007F0978"/>
    <w:rsid w:val="007F1722"/>
    <w:rsid w:val="007F1A59"/>
    <w:rsid w:val="007F2106"/>
    <w:rsid w:val="007F24D3"/>
    <w:rsid w:val="007F3718"/>
    <w:rsid w:val="007F3903"/>
    <w:rsid w:val="007F3951"/>
    <w:rsid w:val="007F3AC2"/>
    <w:rsid w:val="007F3AC3"/>
    <w:rsid w:val="007F459D"/>
    <w:rsid w:val="007F45E9"/>
    <w:rsid w:val="007F4CCE"/>
    <w:rsid w:val="007F6B66"/>
    <w:rsid w:val="007F7BB6"/>
    <w:rsid w:val="008001CE"/>
    <w:rsid w:val="0080027B"/>
    <w:rsid w:val="0080105C"/>
    <w:rsid w:val="0080118D"/>
    <w:rsid w:val="0080150D"/>
    <w:rsid w:val="00801569"/>
    <w:rsid w:val="00802379"/>
    <w:rsid w:val="008024F6"/>
    <w:rsid w:val="008033EC"/>
    <w:rsid w:val="008035BF"/>
    <w:rsid w:val="00803A1A"/>
    <w:rsid w:val="00804079"/>
    <w:rsid w:val="0080440F"/>
    <w:rsid w:val="00804AEC"/>
    <w:rsid w:val="00804B6C"/>
    <w:rsid w:val="00804F82"/>
    <w:rsid w:val="00805254"/>
    <w:rsid w:val="00805AC2"/>
    <w:rsid w:val="00805F9C"/>
    <w:rsid w:val="008061AF"/>
    <w:rsid w:val="00806D8C"/>
    <w:rsid w:val="00806EE1"/>
    <w:rsid w:val="00806FFE"/>
    <w:rsid w:val="00807108"/>
    <w:rsid w:val="00807EDF"/>
    <w:rsid w:val="008101C5"/>
    <w:rsid w:val="008105B2"/>
    <w:rsid w:val="00810F6F"/>
    <w:rsid w:val="008112EF"/>
    <w:rsid w:val="00811ABE"/>
    <w:rsid w:val="00811B33"/>
    <w:rsid w:val="00812033"/>
    <w:rsid w:val="00812F0F"/>
    <w:rsid w:val="008131BD"/>
    <w:rsid w:val="00813408"/>
    <w:rsid w:val="008137E5"/>
    <w:rsid w:val="00813D88"/>
    <w:rsid w:val="0081447F"/>
    <w:rsid w:val="00814607"/>
    <w:rsid w:val="00815218"/>
    <w:rsid w:val="00815921"/>
    <w:rsid w:val="00815A0B"/>
    <w:rsid w:val="00815E7C"/>
    <w:rsid w:val="0081642C"/>
    <w:rsid w:val="00817085"/>
    <w:rsid w:val="0081738B"/>
    <w:rsid w:val="00817496"/>
    <w:rsid w:val="00817667"/>
    <w:rsid w:val="008176A1"/>
    <w:rsid w:val="008177CA"/>
    <w:rsid w:val="00820004"/>
    <w:rsid w:val="0082039E"/>
    <w:rsid w:val="00821786"/>
    <w:rsid w:val="00821AEF"/>
    <w:rsid w:val="00821CB7"/>
    <w:rsid w:val="00823079"/>
    <w:rsid w:val="008230E2"/>
    <w:rsid w:val="00823116"/>
    <w:rsid w:val="0082341C"/>
    <w:rsid w:val="00823B7C"/>
    <w:rsid w:val="008250C1"/>
    <w:rsid w:val="00825766"/>
    <w:rsid w:val="0082718F"/>
    <w:rsid w:val="00827648"/>
    <w:rsid w:val="00830CEC"/>
    <w:rsid w:val="00831179"/>
    <w:rsid w:val="0083204E"/>
    <w:rsid w:val="00832747"/>
    <w:rsid w:val="0083296F"/>
    <w:rsid w:val="00832BCF"/>
    <w:rsid w:val="00832FFA"/>
    <w:rsid w:val="008330FF"/>
    <w:rsid w:val="0083329C"/>
    <w:rsid w:val="008335D9"/>
    <w:rsid w:val="0083453D"/>
    <w:rsid w:val="00834F60"/>
    <w:rsid w:val="00834FDA"/>
    <w:rsid w:val="0083557B"/>
    <w:rsid w:val="00835981"/>
    <w:rsid w:val="00835D63"/>
    <w:rsid w:val="00835E51"/>
    <w:rsid w:val="00836281"/>
    <w:rsid w:val="00836284"/>
    <w:rsid w:val="0083643B"/>
    <w:rsid w:val="00836BFE"/>
    <w:rsid w:val="00837542"/>
    <w:rsid w:val="0083757C"/>
    <w:rsid w:val="00837FA7"/>
    <w:rsid w:val="008403F1"/>
    <w:rsid w:val="00840CF4"/>
    <w:rsid w:val="008413B8"/>
    <w:rsid w:val="0084154A"/>
    <w:rsid w:val="00841B96"/>
    <w:rsid w:val="0084205E"/>
    <w:rsid w:val="0084229C"/>
    <w:rsid w:val="00842F43"/>
    <w:rsid w:val="008436B8"/>
    <w:rsid w:val="00843EA2"/>
    <w:rsid w:val="0084448F"/>
    <w:rsid w:val="00846F25"/>
    <w:rsid w:val="008475E9"/>
    <w:rsid w:val="00850746"/>
    <w:rsid w:val="00851262"/>
    <w:rsid w:val="008514F2"/>
    <w:rsid w:val="008521AA"/>
    <w:rsid w:val="00852BB2"/>
    <w:rsid w:val="00852C72"/>
    <w:rsid w:val="00852E67"/>
    <w:rsid w:val="00852EB6"/>
    <w:rsid w:val="00853695"/>
    <w:rsid w:val="0085579C"/>
    <w:rsid w:val="008558BC"/>
    <w:rsid w:val="00855CB9"/>
    <w:rsid w:val="008566B9"/>
    <w:rsid w:val="00856EE7"/>
    <w:rsid w:val="00857065"/>
    <w:rsid w:val="0085782B"/>
    <w:rsid w:val="008579D5"/>
    <w:rsid w:val="008607C4"/>
    <w:rsid w:val="00861039"/>
    <w:rsid w:val="00861301"/>
    <w:rsid w:val="00861475"/>
    <w:rsid w:val="008615BE"/>
    <w:rsid w:val="00863106"/>
    <w:rsid w:val="008631FB"/>
    <w:rsid w:val="00863745"/>
    <w:rsid w:val="00863A6C"/>
    <w:rsid w:val="00864079"/>
    <w:rsid w:val="00864254"/>
    <w:rsid w:val="00864458"/>
    <w:rsid w:val="0086545E"/>
    <w:rsid w:val="008654A6"/>
    <w:rsid w:val="00865A5C"/>
    <w:rsid w:val="00866501"/>
    <w:rsid w:val="00866E4E"/>
    <w:rsid w:val="00867418"/>
    <w:rsid w:val="008674BB"/>
    <w:rsid w:val="00867DDB"/>
    <w:rsid w:val="008703E7"/>
    <w:rsid w:val="00870D0F"/>
    <w:rsid w:val="008711E2"/>
    <w:rsid w:val="008719C7"/>
    <w:rsid w:val="00871F67"/>
    <w:rsid w:val="0087221E"/>
    <w:rsid w:val="0087287F"/>
    <w:rsid w:val="00873138"/>
    <w:rsid w:val="00873276"/>
    <w:rsid w:val="008733CA"/>
    <w:rsid w:val="0087391E"/>
    <w:rsid w:val="0087393D"/>
    <w:rsid w:val="00873BE7"/>
    <w:rsid w:val="00874548"/>
    <w:rsid w:val="008747C9"/>
    <w:rsid w:val="00874DA6"/>
    <w:rsid w:val="00875417"/>
    <w:rsid w:val="008756A3"/>
    <w:rsid w:val="00877023"/>
    <w:rsid w:val="0087730E"/>
    <w:rsid w:val="0087737E"/>
    <w:rsid w:val="008774A8"/>
    <w:rsid w:val="00877560"/>
    <w:rsid w:val="00877862"/>
    <w:rsid w:val="00877B82"/>
    <w:rsid w:val="008806F0"/>
    <w:rsid w:val="00881680"/>
    <w:rsid w:val="00881DE9"/>
    <w:rsid w:val="00881EE7"/>
    <w:rsid w:val="00882A95"/>
    <w:rsid w:val="00882AEB"/>
    <w:rsid w:val="00882DD8"/>
    <w:rsid w:val="00883BDF"/>
    <w:rsid w:val="00883C35"/>
    <w:rsid w:val="00884412"/>
    <w:rsid w:val="00884F63"/>
    <w:rsid w:val="00884FF9"/>
    <w:rsid w:val="008858C1"/>
    <w:rsid w:val="00885C91"/>
    <w:rsid w:val="00885D5C"/>
    <w:rsid w:val="0088665B"/>
    <w:rsid w:val="00886AAE"/>
    <w:rsid w:val="00886AF7"/>
    <w:rsid w:val="00886C67"/>
    <w:rsid w:val="00886EB9"/>
    <w:rsid w:val="00887747"/>
    <w:rsid w:val="008879C7"/>
    <w:rsid w:val="008900D8"/>
    <w:rsid w:val="0089014D"/>
    <w:rsid w:val="008901E1"/>
    <w:rsid w:val="0089181F"/>
    <w:rsid w:val="00891B34"/>
    <w:rsid w:val="0089306A"/>
    <w:rsid w:val="008933D0"/>
    <w:rsid w:val="00893C76"/>
    <w:rsid w:val="00894748"/>
    <w:rsid w:val="00895070"/>
    <w:rsid w:val="008963ED"/>
    <w:rsid w:val="00896D59"/>
    <w:rsid w:val="00897321"/>
    <w:rsid w:val="008A04EA"/>
    <w:rsid w:val="008A07CA"/>
    <w:rsid w:val="008A0924"/>
    <w:rsid w:val="008A0DBE"/>
    <w:rsid w:val="008A1980"/>
    <w:rsid w:val="008A22C3"/>
    <w:rsid w:val="008A275A"/>
    <w:rsid w:val="008A28B0"/>
    <w:rsid w:val="008A2A20"/>
    <w:rsid w:val="008A3015"/>
    <w:rsid w:val="008A3439"/>
    <w:rsid w:val="008A35A1"/>
    <w:rsid w:val="008A37E4"/>
    <w:rsid w:val="008A4D36"/>
    <w:rsid w:val="008A5219"/>
    <w:rsid w:val="008A54F8"/>
    <w:rsid w:val="008A61D9"/>
    <w:rsid w:val="008A6383"/>
    <w:rsid w:val="008A6559"/>
    <w:rsid w:val="008A6A81"/>
    <w:rsid w:val="008A6EFB"/>
    <w:rsid w:val="008A7739"/>
    <w:rsid w:val="008A7D19"/>
    <w:rsid w:val="008B068F"/>
    <w:rsid w:val="008B0A5F"/>
    <w:rsid w:val="008B0B9E"/>
    <w:rsid w:val="008B14B1"/>
    <w:rsid w:val="008B1696"/>
    <w:rsid w:val="008B24D9"/>
    <w:rsid w:val="008B25CD"/>
    <w:rsid w:val="008B2950"/>
    <w:rsid w:val="008B2FBF"/>
    <w:rsid w:val="008B36CD"/>
    <w:rsid w:val="008B3741"/>
    <w:rsid w:val="008B3B7E"/>
    <w:rsid w:val="008B3BAF"/>
    <w:rsid w:val="008B3DF7"/>
    <w:rsid w:val="008B3E1A"/>
    <w:rsid w:val="008B4EFC"/>
    <w:rsid w:val="008B54B2"/>
    <w:rsid w:val="008B5C24"/>
    <w:rsid w:val="008B682F"/>
    <w:rsid w:val="008B6C7F"/>
    <w:rsid w:val="008B6EE1"/>
    <w:rsid w:val="008B7A53"/>
    <w:rsid w:val="008C0139"/>
    <w:rsid w:val="008C0549"/>
    <w:rsid w:val="008C0A69"/>
    <w:rsid w:val="008C0C08"/>
    <w:rsid w:val="008C0D8F"/>
    <w:rsid w:val="008C0D98"/>
    <w:rsid w:val="008C14D8"/>
    <w:rsid w:val="008C162F"/>
    <w:rsid w:val="008C17CD"/>
    <w:rsid w:val="008C2445"/>
    <w:rsid w:val="008C2AED"/>
    <w:rsid w:val="008C3452"/>
    <w:rsid w:val="008C3B24"/>
    <w:rsid w:val="008C3D6F"/>
    <w:rsid w:val="008C3E93"/>
    <w:rsid w:val="008C4012"/>
    <w:rsid w:val="008C457E"/>
    <w:rsid w:val="008C4DC1"/>
    <w:rsid w:val="008C54B6"/>
    <w:rsid w:val="008C6205"/>
    <w:rsid w:val="008C63F5"/>
    <w:rsid w:val="008C64D6"/>
    <w:rsid w:val="008C679D"/>
    <w:rsid w:val="008C6945"/>
    <w:rsid w:val="008C79C1"/>
    <w:rsid w:val="008C7A6F"/>
    <w:rsid w:val="008C7CE1"/>
    <w:rsid w:val="008D042C"/>
    <w:rsid w:val="008D0672"/>
    <w:rsid w:val="008D11E4"/>
    <w:rsid w:val="008D16B0"/>
    <w:rsid w:val="008D1B9A"/>
    <w:rsid w:val="008D325B"/>
    <w:rsid w:val="008D341F"/>
    <w:rsid w:val="008D400C"/>
    <w:rsid w:val="008D431E"/>
    <w:rsid w:val="008D4971"/>
    <w:rsid w:val="008D5608"/>
    <w:rsid w:val="008D568D"/>
    <w:rsid w:val="008D5783"/>
    <w:rsid w:val="008D5A77"/>
    <w:rsid w:val="008D5B76"/>
    <w:rsid w:val="008D6CFB"/>
    <w:rsid w:val="008D6F3C"/>
    <w:rsid w:val="008D7234"/>
    <w:rsid w:val="008D72F1"/>
    <w:rsid w:val="008D76FB"/>
    <w:rsid w:val="008D7BA7"/>
    <w:rsid w:val="008D7DCA"/>
    <w:rsid w:val="008E0BB0"/>
    <w:rsid w:val="008E0E72"/>
    <w:rsid w:val="008E0E7A"/>
    <w:rsid w:val="008E2A27"/>
    <w:rsid w:val="008E450A"/>
    <w:rsid w:val="008E46DA"/>
    <w:rsid w:val="008E480D"/>
    <w:rsid w:val="008E4FAA"/>
    <w:rsid w:val="008E4FCA"/>
    <w:rsid w:val="008E5C3E"/>
    <w:rsid w:val="008E6929"/>
    <w:rsid w:val="008E6D15"/>
    <w:rsid w:val="008E6E71"/>
    <w:rsid w:val="008E724B"/>
    <w:rsid w:val="008E7993"/>
    <w:rsid w:val="008F04BA"/>
    <w:rsid w:val="008F05E8"/>
    <w:rsid w:val="008F0883"/>
    <w:rsid w:val="008F08DE"/>
    <w:rsid w:val="008F0C74"/>
    <w:rsid w:val="008F11EB"/>
    <w:rsid w:val="008F13B5"/>
    <w:rsid w:val="008F19E7"/>
    <w:rsid w:val="008F1E48"/>
    <w:rsid w:val="008F2986"/>
    <w:rsid w:val="008F2A88"/>
    <w:rsid w:val="008F3FF7"/>
    <w:rsid w:val="008F46E3"/>
    <w:rsid w:val="008F49EF"/>
    <w:rsid w:val="008F5EAA"/>
    <w:rsid w:val="008F5F07"/>
    <w:rsid w:val="008F64E8"/>
    <w:rsid w:val="008F6CC0"/>
    <w:rsid w:val="008F79A1"/>
    <w:rsid w:val="008F7FD1"/>
    <w:rsid w:val="00900140"/>
    <w:rsid w:val="0090063A"/>
    <w:rsid w:val="00900938"/>
    <w:rsid w:val="00901AEF"/>
    <w:rsid w:val="00902231"/>
    <w:rsid w:val="0090249C"/>
    <w:rsid w:val="00902958"/>
    <w:rsid w:val="00902C0E"/>
    <w:rsid w:val="00902C26"/>
    <w:rsid w:val="0090390E"/>
    <w:rsid w:val="00903EC5"/>
    <w:rsid w:val="00904433"/>
    <w:rsid w:val="00904D34"/>
    <w:rsid w:val="00904EE0"/>
    <w:rsid w:val="0090502E"/>
    <w:rsid w:val="00905A2B"/>
    <w:rsid w:val="00905FD6"/>
    <w:rsid w:val="009060A4"/>
    <w:rsid w:val="00906507"/>
    <w:rsid w:val="00906680"/>
    <w:rsid w:val="009067EE"/>
    <w:rsid w:val="00906A22"/>
    <w:rsid w:val="00906AB7"/>
    <w:rsid w:val="00907A6A"/>
    <w:rsid w:val="00907B18"/>
    <w:rsid w:val="009111B5"/>
    <w:rsid w:val="009114BB"/>
    <w:rsid w:val="009122B6"/>
    <w:rsid w:val="009125B1"/>
    <w:rsid w:val="00912681"/>
    <w:rsid w:val="00913580"/>
    <w:rsid w:val="009139B0"/>
    <w:rsid w:val="00913EC9"/>
    <w:rsid w:val="009148F5"/>
    <w:rsid w:val="009149CA"/>
    <w:rsid w:val="00914DF3"/>
    <w:rsid w:val="0091515B"/>
    <w:rsid w:val="009159F0"/>
    <w:rsid w:val="00915A1C"/>
    <w:rsid w:val="00915F7B"/>
    <w:rsid w:val="00916BA0"/>
    <w:rsid w:val="009178E0"/>
    <w:rsid w:val="00917AA3"/>
    <w:rsid w:val="00917DAE"/>
    <w:rsid w:val="009202CD"/>
    <w:rsid w:val="00920642"/>
    <w:rsid w:val="00920E80"/>
    <w:rsid w:val="00921158"/>
    <w:rsid w:val="00921902"/>
    <w:rsid w:val="00921C48"/>
    <w:rsid w:val="00921F7B"/>
    <w:rsid w:val="0092286C"/>
    <w:rsid w:val="009228DF"/>
    <w:rsid w:val="00922C03"/>
    <w:rsid w:val="00922C33"/>
    <w:rsid w:val="00922EDB"/>
    <w:rsid w:val="00923FB5"/>
    <w:rsid w:val="00924371"/>
    <w:rsid w:val="009249B2"/>
    <w:rsid w:val="009249BE"/>
    <w:rsid w:val="009249E6"/>
    <w:rsid w:val="009261F7"/>
    <w:rsid w:val="009263DF"/>
    <w:rsid w:val="00926703"/>
    <w:rsid w:val="00926879"/>
    <w:rsid w:val="00926E1B"/>
    <w:rsid w:val="00926F08"/>
    <w:rsid w:val="0092762D"/>
    <w:rsid w:val="009279F7"/>
    <w:rsid w:val="00927A7E"/>
    <w:rsid w:val="00927D49"/>
    <w:rsid w:val="00930253"/>
    <w:rsid w:val="009302C4"/>
    <w:rsid w:val="009317EE"/>
    <w:rsid w:val="00932D75"/>
    <w:rsid w:val="00932E13"/>
    <w:rsid w:val="00932ECE"/>
    <w:rsid w:val="00932FA3"/>
    <w:rsid w:val="009330B6"/>
    <w:rsid w:val="00933478"/>
    <w:rsid w:val="009341F5"/>
    <w:rsid w:val="009344B5"/>
    <w:rsid w:val="00934557"/>
    <w:rsid w:val="0093590D"/>
    <w:rsid w:val="00935A9A"/>
    <w:rsid w:val="00935D8F"/>
    <w:rsid w:val="00936704"/>
    <w:rsid w:val="00936B06"/>
    <w:rsid w:val="00936DB6"/>
    <w:rsid w:val="00937198"/>
    <w:rsid w:val="00940825"/>
    <w:rsid w:val="00940970"/>
    <w:rsid w:val="0094251E"/>
    <w:rsid w:val="00942742"/>
    <w:rsid w:val="009428FA"/>
    <w:rsid w:val="0094372B"/>
    <w:rsid w:val="00943D29"/>
    <w:rsid w:val="00943F36"/>
    <w:rsid w:val="00943F38"/>
    <w:rsid w:val="009446F0"/>
    <w:rsid w:val="009461F0"/>
    <w:rsid w:val="009464F4"/>
    <w:rsid w:val="00946AED"/>
    <w:rsid w:val="00946AF8"/>
    <w:rsid w:val="00946D98"/>
    <w:rsid w:val="00947002"/>
    <w:rsid w:val="009470BE"/>
    <w:rsid w:val="00947A30"/>
    <w:rsid w:val="0095014A"/>
    <w:rsid w:val="00950E13"/>
    <w:rsid w:val="00951398"/>
    <w:rsid w:val="0095208A"/>
    <w:rsid w:val="00952B3A"/>
    <w:rsid w:val="00953007"/>
    <w:rsid w:val="00953106"/>
    <w:rsid w:val="00953415"/>
    <w:rsid w:val="009539EC"/>
    <w:rsid w:val="009540A4"/>
    <w:rsid w:val="0095429D"/>
    <w:rsid w:val="0095456C"/>
    <w:rsid w:val="00954769"/>
    <w:rsid w:val="009552B6"/>
    <w:rsid w:val="00955469"/>
    <w:rsid w:val="009554B7"/>
    <w:rsid w:val="00956B5A"/>
    <w:rsid w:val="00956BAF"/>
    <w:rsid w:val="009576A0"/>
    <w:rsid w:val="00957BBC"/>
    <w:rsid w:val="00960F10"/>
    <w:rsid w:val="0096186A"/>
    <w:rsid w:val="009633B0"/>
    <w:rsid w:val="009634FE"/>
    <w:rsid w:val="00963CC9"/>
    <w:rsid w:val="00964A7B"/>
    <w:rsid w:val="009651F2"/>
    <w:rsid w:val="00966244"/>
    <w:rsid w:val="009670F5"/>
    <w:rsid w:val="009677F7"/>
    <w:rsid w:val="00967F21"/>
    <w:rsid w:val="009705DD"/>
    <w:rsid w:val="00970AE2"/>
    <w:rsid w:val="00971B3F"/>
    <w:rsid w:val="00971CEE"/>
    <w:rsid w:val="00972161"/>
    <w:rsid w:val="00972A5C"/>
    <w:rsid w:val="0097301C"/>
    <w:rsid w:val="009737C5"/>
    <w:rsid w:val="009739FD"/>
    <w:rsid w:val="00974C93"/>
    <w:rsid w:val="00974DE0"/>
    <w:rsid w:val="00974E14"/>
    <w:rsid w:val="009751E1"/>
    <w:rsid w:val="00977548"/>
    <w:rsid w:val="00977CD8"/>
    <w:rsid w:val="009803AF"/>
    <w:rsid w:val="00980FEC"/>
    <w:rsid w:val="00981D51"/>
    <w:rsid w:val="00983214"/>
    <w:rsid w:val="0098321F"/>
    <w:rsid w:val="009833CD"/>
    <w:rsid w:val="0098420C"/>
    <w:rsid w:val="00984454"/>
    <w:rsid w:val="009847DD"/>
    <w:rsid w:val="00984B90"/>
    <w:rsid w:val="00984FD7"/>
    <w:rsid w:val="0098569D"/>
    <w:rsid w:val="00985FD4"/>
    <w:rsid w:val="00986213"/>
    <w:rsid w:val="00986842"/>
    <w:rsid w:val="00986A33"/>
    <w:rsid w:val="00986F8F"/>
    <w:rsid w:val="00987556"/>
    <w:rsid w:val="00991207"/>
    <w:rsid w:val="00991230"/>
    <w:rsid w:val="009912A0"/>
    <w:rsid w:val="00991819"/>
    <w:rsid w:val="00991A41"/>
    <w:rsid w:val="00991C2F"/>
    <w:rsid w:val="00991CA8"/>
    <w:rsid w:val="00991D69"/>
    <w:rsid w:val="00992271"/>
    <w:rsid w:val="009936E8"/>
    <w:rsid w:val="0099393B"/>
    <w:rsid w:val="00993F84"/>
    <w:rsid w:val="00994626"/>
    <w:rsid w:val="0099673C"/>
    <w:rsid w:val="00996872"/>
    <w:rsid w:val="00996907"/>
    <w:rsid w:val="00996B39"/>
    <w:rsid w:val="00996C13"/>
    <w:rsid w:val="00997362"/>
    <w:rsid w:val="00997428"/>
    <w:rsid w:val="00997854"/>
    <w:rsid w:val="009979DF"/>
    <w:rsid w:val="009A06FE"/>
    <w:rsid w:val="009A0D1C"/>
    <w:rsid w:val="009A0D73"/>
    <w:rsid w:val="009A0FB1"/>
    <w:rsid w:val="009A193E"/>
    <w:rsid w:val="009A2469"/>
    <w:rsid w:val="009A259B"/>
    <w:rsid w:val="009A2675"/>
    <w:rsid w:val="009A2C1F"/>
    <w:rsid w:val="009A2E47"/>
    <w:rsid w:val="009A468A"/>
    <w:rsid w:val="009A5096"/>
    <w:rsid w:val="009A52AD"/>
    <w:rsid w:val="009A5499"/>
    <w:rsid w:val="009A77A5"/>
    <w:rsid w:val="009B03ED"/>
    <w:rsid w:val="009B23DA"/>
    <w:rsid w:val="009B3572"/>
    <w:rsid w:val="009B3975"/>
    <w:rsid w:val="009B3A7A"/>
    <w:rsid w:val="009B3AEB"/>
    <w:rsid w:val="009B3DAF"/>
    <w:rsid w:val="009B468F"/>
    <w:rsid w:val="009B50EF"/>
    <w:rsid w:val="009B5307"/>
    <w:rsid w:val="009B68C5"/>
    <w:rsid w:val="009B716B"/>
    <w:rsid w:val="009B74CF"/>
    <w:rsid w:val="009B7978"/>
    <w:rsid w:val="009C092E"/>
    <w:rsid w:val="009C0CAB"/>
    <w:rsid w:val="009C1EFF"/>
    <w:rsid w:val="009C2285"/>
    <w:rsid w:val="009C4DB9"/>
    <w:rsid w:val="009C51D0"/>
    <w:rsid w:val="009C53A7"/>
    <w:rsid w:val="009C54BA"/>
    <w:rsid w:val="009C5732"/>
    <w:rsid w:val="009C5D08"/>
    <w:rsid w:val="009C6356"/>
    <w:rsid w:val="009C6B39"/>
    <w:rsid w:val="009C6BBD"/>
    <w:rsid w:val="009C7505"/>
    <w:rsid w:val="009D0407"/>
    <w:rsid w:val="009D1062"/>
    <w:rsid w:val="009D11E4"/>
    <w:rsid w:val="009D1905"/>
    <w:rsid w:val="009D1C12"/>
    <w:rsid w:val="009D251A"/>
    <w:rsid w:val="009D2B32"/>
    <w:rsid w:val="009D3033"/>
    <w:rsid w:val="009D3204"/>
    <w:rsid w:val="009D3623"/>
    <w:rsid w:val="009D3638"/>
    <w:rsid w:val="009D3853"/>
    <w:rsid w:val="009D48E6"/>
    <w:rsid w:val="009D540F"/>
    <w:rsid w:val="009D542D"/>
    <w:rsid w:val="009D56C3"/>
    <w:rsid w:val="009D59D2"/>
    <w:rsid w:val="009D5BE5"/>
    <w:rsid w:val="009D6286"/>
    <w:rsid w:val="009D62F4"/>
    <w:rsid w:val="009D6EDB"/>
    <w:rsid w:val="009D7161"/>
    <w:rsid w:val="009D77BD"/>
    <w:rsid w:val="009D7E38"/>
    <w:rsid w:val="009D7EBF"/>
    <w:rsid w:val="009D7EF9"/>
    <w:rsid w:val="009E0612"/>
    <w:rsid w:val="009E066C"/>
    <w:rsid w:val="009E0B6A"/>
    <w:rsid w:val="009E1975"/>
    <w:rsid w:val="009E2350"/>
    <w:rsid w:val="009E2409"/>
    <w:rsid w:val="009E26DA"/>
    <w:rsid w:val="009E27A9"/>
    <w:rsid w:val="009E2983"/>
    <w:rsid w:val="009E2CE4"/>
    <w:rsid w:val="009E30C7"/>
    <w:rsid w:val="009E311B"/>
    <w:rsid w:val="009E3495"/>
    <w:rsid w:val="009E34EA"/>
    <w:rsid w:val="009E55EA"/>
    <w:rsid w:val="009E579E"/>
    <w:rsid w:val="009E5F1C"/>
    <w:rsid w:val="009E6287"/>
    <w:rsid w:val="009E6F5A"/>
    <w:rsid w:val="009E6F65"/>
    <w:rsid w:val="009E7087"/>
    <w:rsid w:val="009E7420"/>
    <w:rsid w:val="009E76A1"/>
    <w:rsid w:val="009E7C21"/>
    <w:rsid w:val="009F100A"/>
    <w:rsid w:val="009F1913"/>
    <w:rsid w:val="009F210B"/>
    <w:rsid w:val="009F297E"/>
    <w:rsid w:val="009F2A86"/>
    <w:rsid w:val="009F4ECC"/>
    <w:rsid w:val="009F52B5"/>
    <w:rsid w:val="009F551B"/>
    <w:rsid w:val="009F5BE6"/>
    <w:rsid w:val="009F5E25"/>
    <w:rsid w:val="009F6979"/>
    <w:rsid w:val="009F6C4A"/>
    <w:rsid w:val="009F7C3D"/>
    <w:rsid w:val="00A00D09"/>
    <w:rsid w:val="00A010E4"/>
    <w:rsid w:val="00A017B2"/>
    <w:rsid w:val="00A0201C"/>
    <w:rsid w:val="00A02711"/>
    <w:rsid w:val="00A02C74"/>
    <w:rsid w:val="00A02DDA"/>
    <w:rsid w:val="00A0310D"/>
    <w:rsid w:val="00A036D6"/>
    <w:rsid w:val="00A038BB"/>
    <w:rsid w:val="00A03ABA"/>
    <w:rsid w:val="00A03F10"/>
    <w:rsid w:val="00A045BF"/>
    <w:rsid w:val="00A04750"/>
    <w:rsid w:val="00A04E3B"/>
    <w:rsid w:val="00A04EC5"/>
    <w:rsid w:val="00A05085"/>
    <w:rsid w:val="00A06081"/>
    <w:rsid w:val="00A065AB"/>
    <w:rsid w:val="00A0791B"/>
    <w:rsid w:val="00A10520"/>
    <w:rsid w:val="00A10C14"/>
    <w:rsid w:val="00A10DAD"/>
    <w:rsid w:val="00A11DCE"/>
    <w:rsid w:val="00A12155"/>
    <w:rsid w:val="00A121B6"/>
    <w:rsid w:val="00A1346D"/>
    <w:rsid w:val="00A147C4"/>
    <w:rsid w:val="00A14A94"/>
    <w:rsid w:val="00A14BFB"/>
    <w:rsid w:val="00A15839"/>
    <w:rsid w:val="00A15F32"/>
    <w:rsid w:val="00A16211"/>
    <w:rsid w:val="00A1630E"/>
    <w:rsid w:val="00A16C83"/>
    <w:rsid w:val="00A20290"/>
    <w:rsid w:val="00A20380"/>
    <w:rsid w:val="00A204A6"/>
    <w:rsid w:val="00A212C1"/>
    <w:rsid w:val="00A21751"/>
    <w:rsid w:val="00A21814"/>
    <w:rsid w:val="00A21850"/>
    <w:rsid w:val="00A21FC0"/>
    <w:rsid w:val="00A2241A"/>
    <w:rsid w:val="00A22533"/>
    <w:rsid w:val="00A24064"/>
    <w:rsid w:val="00A2435D"/>
    <w:rsid w:val="00A25409"/>
    <w:rsid w:val="00A25CF6"/>
    <w:rsid w:val="00A262BE"/>
    <w:rsid w:val="00A273F8"/>
    <w:rsid w:val="00A27A27"/>
    <w:rsid w:val="00A30248"/>
    <w:rsid w:val="00A30C4E"/>
    <w:rsid w:val="00A30FB4"/>
    <w:rsid w:val="00A3177A"/>
    <w:rsid w:val="00A31A05"/>
    <w:rsid w:val="00A32DA4"/>
    <w:rsid w:val="00A32DE3"/>
    <w:rsid w:val="00A32E3A"/>
    <w:rsid w:val="00A331AC"/>
    <w:rsid w:val="00A34A8A"/>
    <w:rsid w:val="00A353E7"/>
    <w:rsid w:val="00A35BAC"/>
    <w:rsid w:val="00A363ED"/>
    <w:rsid w:val="00A36725"/>
    <w:rsid w:val="00A3791A"/>
    <w:rsid w:val="00A37EDF"/>
    <w:rsid w:val="00A37FA3"/>
    <w:rsid w:val="00A40449"/>
    <w:rsid w:val="00A4099D"/>
    <w:rsid w:val="00A40B04"/>
    <w:rsid w:val="00A40CA5"/>
    <w:rsid w:val="00A41914"/>
    <w:rsid w:val="00A41B03"/>
    <w:rsid w:val="00A42458"/>
    <w:rsid w:val="00A42A16"/>
    <w:rsid w:val="00A43165"/>
    <w:rsid w:val="00A4339C"/>
    <w:rsid w:val="00A43932"/>
    <w:rsid w:val="00A43B3A"/>
    <w:rsid w:val="00A440BC"/>
    <w:rsid w:val="00A44258"/>
    <w:rsid w:val="00A44991"/>
    <w:rsid w:val="00A45611"/>
    <w:rsid w:val="00A46AEF"/>
    <w:rsid w:val="00A46B57"/>
    <w:rsid w:val="00A46FE0"/>
    <w:rsid w:val="00A508DC"/>
    <w:rsid w:val="00A5096E"/>
    <w:rsid w:val="00A513D4"/>
    <w:rsid w:val="00A518EC"/>
    <w:rsid w:val="00A51984"/>
    <w:rsid w:val="00A521F1"/>
    <w:rsid w:val="00A533A0"/>
    <w:rsid w:val="00A53BED"/>
    <w:rsid w:val="00A54102"/>
    <w:rsid w:val="00A5452E"/>
    <w:rsid w:val="00A54904"/>
    <w:rsid w:val="00A55710"/>
    <w:rsid w:val="00A55BE6"/>
    <w:rsid w:val="00A56159"/>
    <w:rsid w:val="00A57502"/>
    <w:rsid w:val="00A57855"/>
    <w:rsid w:val="00A6027E"/>
    <w:rsid w:val="00A61217"/>
    <w:rsid w:val="00A614E2"/>
    <w:rsid w:val="00A615A3"/>
    <w:rsid w:val="00A61AC3"/>
    <w:rsid w:val="00A63CF9"/>
    <w:rsid w:val="00A64991"/>
    <w:rsid w:val="00A64B78"/>
    <w:rsid w:val="00A64CB3"/>
    <w:rsid w:val="00A652CB"/>
    <w:rsid w:val="00A6569D"/>
    <w:rsid w:val="00A6613B"/>
    <w:rsid w:val="00A66794"/>
    <w:rsid w:val="00A66A84"/>
    <w:rsid w:val="00A67E0B"/>
    <w:rsid w:val="00A70746"/>
    <w:rsid w:val="00A707D7"/>
    <w:rsid w:val="00A716B2"/>
    <w:rsid w:val="00A7253D"/>
    <w:rsid w:val="00A7335B"/>
    <w:rsid w:val="00A73B5A"/>
    <w:rsid w:val="00A73CC0"/>
    <w:rsid w:val="00A74266"/>
    <w:rsid w:val="00A7436E"/>
    <w:rsid w:val="00A74A50"/>
    <w:rsid w:val="00A7510F"/>
    <w:rsid w:val="00A7530F"/>
    <w:rsid w:val="00A754CF"/>
    <w:rsid w:val="00A76393"/>
    <w:rsid w:val="00A772E0"/>
    <w:rsid w:val="00A7762B"/>
    <w:rsid w:val="00A807D9"/>
    <w:rsid w:val="00A80C15"/>
    <w:rsid w:val="00A82B94"/>
    <w:rsid w:val="00A83237"/>
    <w:rsid w:val="00A838EA"/>
    <w:rsid w:val="00A8460F"/>
    <w:rsid w:val="00A847CE"/>
    <w:rsid w:val="00A84A48"/>
    <w:rsid w:val="00A84F52"/>
    <w:rsid w:val="00A85091"/>
    <w:rsid w:val="00A85490"/>
    <w:rsid w:val="00A85CD1"/>
    <w:rsid w:val="00A86065"/>
    <w:rsid w:val="00A86B4B"/>
    <w:rsid w:val="00A872D5"/>
    <w:rsid w:val="00A877D2"/>
    <w:rsid w:val="00A87816"/>
    <w:rsid w:val="00A90233"/>
    <w:rsid w:val="00A911BC"/>
    <w:rsid w:val="00A91425"/>
    <w:rsid w:val="00A91445"/>
    <w:rsid w:val="00A92E1D"/>
    <w:rsid w:val="00A92E87"/>
    <w:rsid w:val="00A930E1"/>
    <w:rsid w:val="00A931E4"/>
    <w:rsid w:val="00A9335D"/>
    <w:rsid w:val="00A9389C"/>
    <w:rsid w:val="00A940A1"/>
    <w:rsid w:val="00A94243"/>
    <w:rsid w:val="00A94EA3"/>
    <w:rsid w:val="00A95379"/>
    <w:rsid w:val="00A95D25"/>
    <w:rsid w:val="00A96121"/>
    <w:rsid w:val="00A9700B"/>
    <w:rsid w:val="00AA02F6"/>
    <w:rsid w:val="00AA09E5"/>
    <w:rsid w:val="00AA0F36"/>
    <w:rsid w:val="00AA0FEF"/>
    <w:rsid w:val="00AA1574"/>
    <w:rsid w:val="00AA245F"/>
    <w:rsid w:val="00AA29BB"/>
    <w:rsid w:val="00AA3151"/>
    <w:rsid w:val="00AA3493"/>
    <w:rsid w:val="00AA3840"/>
    <w:rsid w:val="00AA5682"/>
    <w:rsid w:val="00AA5755"/>
    <w:rsid w:val="00AA592C"/>
    <w:rsid w:val="00AA711E"/>
    <w:rsid w:val="00AB07F2"/>
    <w:rsid w:val="00AB0ABD"/>
    <w:rsid w:val="00AB1177"/>
    <w:rsid w:val="00AB1CAC"/>
    <w:rsid w:val="00AB1F72"/>
    <w:rsid w:val="00AB23E2"/>
    <w:rsid w:val="00AB243F"/>
    <w:rsid w:val="00AB27DE"/>
    <w:rsid w:val="00AB2A77"/>
    <w:rsid w:val="00AB3D88"/>
    <w:rsid w:val="00AB412C"/>
    <w:rsid w:val="00AB4603"/>
    <w:rsid w:val="00AB5D49"/>
    <w:rsid w:val="00AB60EA"/>
    <w:rsid w:val="00AB6DF9"/>
    <w:rsid w:val="00AB7277"/>
    <w:rsid w:val="00AB7E23"/>
    <w:rsid w:val="00AB7F08"/>
    <w:rsid w:val="00AC00B0"/>
    <w:rsid w:val="00AC02F1"/>
    <w:rsid w:val="00AC038C"/>
    <w:rsid w:val="00AC08E7"/>
    <w:rsid w:val="00AC0C23"/>
    <w:rsid w:val="00AC0D89"/>
    <w:rsid w:val="00AC1A92"/>
    <w:rsid w:val="00AC1CB5"/>
    <w:rsid w:val="00AC2BEA"/>
    <w:rsid w:val="00AC2F97"/>
    <w:rsid w:val="00AC3387"/>
    <w:rsid w:val="00AC3945"/>
    <w:rsid w:val="00AC3B51"/>
    <w:rsid w:val="00AC4001"/>
    <w:rsid w:val="00AC48B6"/>
    <w:rsid w:val="00AC4B6F"/>
    <w:rsid w:val="00AC4BC5"/>
    <w:rsid w:val="00AC4D01"/>
    <w:rsid w:val="00AC5158"/>
    <w:rsid w:val="00AC562A"/>
    <w:rsid w:val="00AC5AAC"/>
    <w:rsid w:val="00AC658F"/>
    <w:rsid w:val="00AC6995"/>
    <w:rsid w:val="00AC6CD8"/>
    <w:rsid w:val="00AC7437"/>
    <w:rsid w:val="00AC761C"/>
    <w:rsid w:val="00AD0415"/>
    <w:rsid w:val="00AD0A80"/>
    <w:rsid w:val="00AD1030"/>
    <w:rsid w:val="00AD1BC1"/>
    <w:rsid w:val="00AD26E5"/>
    <w:rsid w:val="00AD2E38"/>
    <w:rsid w:val="00AD3433"/>
    <w:rsid w:val="00AD3858"/>
    <w:rsid w:val="00AD3D72"/>
    <w:rsid w:val="00AD4804"/>
    <w:rsid w:val="00AD535D"/>
    <w:rsid w:val="00AD5978"/>
    <w:rsid w:val="00AD5E8D"/>
    <w:rsid w:val="00AD65AB"/>
    <w:rsid w:val="00AD708C"/>
    <w:rsid w:val="00AD722E"/>
    <w:rsid w:val="00AD75EC"/>
    <w:rsid w:val="00AD7903"/>
    <w:rsid w:val="00AD7E5B"/>
    <w:rsid w:val="00AD7FAD"/>
    <w:rsid w:val="00AE02E8"/>
    <w:rsid w:val="00AE0466"/>
    <w:rsid w:val="00AE0A81"/>
    <w:rsid w:val="00AE0BF5"/>
    <w:rsid w:val="00AE0E63"/>
    <w:rsid w:val="00AE10B5"/>
    <w:rsid w:val="00AE1406"/>
    <w:rsid w:val="00AE155B"/>
    <w:rsid w:val="00AE17D1"/>
    <w:rsid w:val="00AE193E"/>
    <w:rsid w:val="00AE278C"/>
    <w:rsid w:val="00AE2AA8"/>
    <w:rsid w:val="00AE2D08"/>
    <w:rsid w:val="00AE30C3"/>
    <w:rsid w:val="00AE31D2"/>
    <w:rsid w:val="00AE3977"/>
    <w:rsid w:val="00AE44A8"/>
    <w:rsid w:val="00AE45E5"/>
    <w:rsid w:val="00AE4921"/>
    <w:rsid w:val="00AE52A7"/>
    <w:rsid w:val="00AE5BBA"/>
    <w:rsid w:val="00AE5E9C"/>
    <w:rsid w:val="00AE698F"/>
    <w:rsid w:val="00AE70CF"/>
    <w:rsid w:val="00AE7407"/>
    <w:rsid w:val="00AE7BCD"/>
    <w:rsid w:val="00AE7D83"/>
    <w:rsid w:val="00AF0251"/>
    <w:rsid w:val="00AF0461"/>
    <w:rsid w:val="00AF13E1"/>
    <w:rsid w:val="00AF197D"/>
    <w:rsid w:val="00AF1AFD"/>
    <w:rsid w:val="00AF2172"/>
    <w:rsid w:val="00AF2A6D"/>
    <w:rsid w:val="00AF2AB8"/>
    <w:rsid w:val="00AF2C42"/>
    <w:rsid w:val="00AF2E65"/>
    <w:rsid w:val="00AF41A2"/>
    <w:rsid w:val="00AF44EF"/>
    <w:rsid w:val="00AF52DF"/>
    <w:rsid w:val="00AF533E"/>
    <w:rsid w:val="00AF5386"/>
    <w:rsid w:val="00AF58B3"/>
    <w:rsid w:val="00AF6BA3"/>
    <w:rsid w:val="00AF6D48"/>
    <w:rsid w:val="00AF71C3"/>
    <w:rsid w:val="00AF7612"/>
    <w:rsid w:val="00AF7842"/>
    <w:rsid w:val="00AF78A7"/>
    <w:rsid w:val="00B0045F"/>
    <w:rsid w:val="00B00717"/>
    <w:rsid w:val="00B0081B"/>
    <w:rsid w:val="00B0094A"/>
    <w:rsid w:val="00B009C4"/>
    <w:rsid w:val="00B01128"/>
    <w:rsid w:val="00B0135F"/>
    <w:rsid w:val="00B023BF"/>
    <w:rsid w:val="00B025AE"/>
    <w:rsid w:val="00B03114"/>
    <w:rsid w:val="00B03310"/>
    <w:rsid w:val="00B0338F"/>
    <w:rsid w:val="00B03893"/>
    <w:rsid w:val="00B03BE0"/>
    <w:rsid w:val="00B03BE7"/>
    <w:rsid w:val="00B03CE6"/>
    <w:rsid w:val="00B03DAF"/>
    <w:rsid w:val="00B045B7"/>
    <w:rsid w:val="00B04796"/>
    <w:rsid w:val="00B04923"/>
    <w:rsid w:val="00B04B4C"/>
    <w:rsid w:val="00B04EDD"/>
    <w:rsid w:val="00B057DE"/>
    <w:rsid w:val="00B05A28"/>
    <w:rsid w:val="00B05B42"/>
    <w:rsid w:val="00B05CB8"/>
    <w:rsid w:val="00B0642D"/>
    <w:rsid w:val="00B0650D"/>
    <w:rsid w:val="00B067E7"/>
    <w:rsid w:val="00B06AF3"/>
    <w:rsid w:val="00B0777D"/>
    <w:rsid w:val="00B07ADB"/>
    <w:rsid w:val="00B10C1E"/>
    <w:rsid w:val="00B10FBA"/>
    <w:rsid w:val="00B1179A"/>
    <w:rsid w:val="00B11FE3"/>
    <w:rsid w:val="00B12204"/>
    <w:rsid w:val="00B12555"/>
    <w:rsid w:val="00B12BED"/>
    <w:rsid w:val="00B12EFC"/>
    <w:rsid w:val="00B131F5"/>
    <w:rsid w:val="00B141EB"/>
    <w:rsid w:val="00B144A0"/>
    <w:rsid w:val="00B1536D"/>
    <w:rsid w:val="00B15463"/>
    <w:rsid w:val="00B15B25"/>
    <w:rsid w:val="00B164D3"/>
    <w:rsid w:val="00B165D7"/>
    <w:rsid w:val="00B16AF3"/>
    <w:rsid w:val="00B16F17"/>
    <w:rsid w:val="00B171DE"/>
    <w:rsid w:val="00B17ADA"/>
    <w:rsid w:val="00B17CF7"/>
    <w:rsid w:val="00B2034E"/>
    <w:rsid w:val="00B205D3"/>
    <w:rsid w:val="00B20691"/>
    <w:rsid w:val="00B20A1F"/>
    <w:rsid w:val="00B20BA9"/>
    <w:rsid w:val="00B21B92"/>
    <w:rsid w:val="00B21FF7"/>
    <w:rsid w:val="00B22929"/>
    <w:rsid w:val="00B22C41"/>
    <w:rsid w:val="00B230B5"/>
    <w:rsid w:val="00B2319B"/>
    <w:rsid w:val="00B23355"/>
    <w:rsid w:val="00B233AA"/>
    <w:rsid w:val="00B23706"/>
    <w:rsid w:val="00B239EF"/>
    <w:rsid w:val="00B244E7"/>
    <w:rsid w:val="00B24854"/>
    <w:rsid w:val="00B24989"/>
    <w:rsid w:val="00B24A45"/>
    <w:rsid w:val="00B24D35"/>
    <w:rsid w:val="00B24D7D"/>
    <w:rsid w:val="00B251E7"/>
    <w:rsid w:val="00B25250"/>
    <w:rsid w:val="00B252CC"/>
    <w:rsid w:val="00B252D1"/>
    <w:rsid w:val="00B253FF"/>
    <w:rsid w:val="00B26D1A"/>
    <w:rsid w:val="00B26E7D"/>
    <w:rsid w:val="00B27435"/>
    <w:rsid w:val="00B27970"/>
    <w:rsid w:val="00B30231"/>
    <w:rsid w:val="00B30FA2"/>
    <w:rsid w:val="00B32C40"/>
    <w:rsid w:val="00B33124"/>
    <w:rsid w:val="00B33ADB"/>
    <w:rsid w:val="00B33E91"/>
    <w:rsid w:val="00B347DF"/>
    <w:rsid w:val="00B348D5"/>
    <w:rsid w:val="00B34E2B"/>
    <w:rsid w:val="00B357EC"/>
    <w:rsid w:val="00B359C1"/>
    <w:rsid w:val="00B35B7C"/>
    <w:rsid w:val="00B35BD1"/>
    <w:rsid w:val="00B365FA"/>
    <w:rsid w:val="00B36758"/>
    <w:rsid w:val="00B36E10"/>
    <w:rsid w:val="00B3797E"/>
    <w:rsid w:val="00B37F6D"/>
    <w:rsid w:val="00B40046"/>
    <w:rsid w:val="00B40244"/>
    <w:rsid w:val="00B40515"/>
    <w:rsid w:val="00B40BDB"/>
    <w:rsid w:val="00B41BFC"/>
    <w:rsid w:val="00B42CC5"/>
    <w:rsid w:val="00B42F88"/>
    <w:rsid w:val="00B42F90"/>
    <w:rsid w:val="00B4363C"/>
    <w:rsid w:val="00B438E9"/>
    <w:rsid w:val="00B4410E"/>
    <w:rsid w:val="00B442AA"/>
    <w:rsid w:val="00B46209"/>
    <w:rsid w:val="00B463B9"/>
    <w:rsid w:val="00B46A9E"/>
    <w:rsid w:val="00B47E2A"/>
    <w:rsid w:val="00B50E87"/>
    <w:rsid w:val="00B51C59"/>
    <w:rsid w:val="00B52845"/>
    <w:rsid w:val="00B5344F"/>
    <w:rsid w:val="00B53E42"/>
    <w:rsid w:val="00B569D5"/>
    <w:rsid w:val="00B56BF7"/>
    <w:rsid w:val="00B57108"/>
    <w:rsid w:val="00B57F1C"/>
    <w:rsid w:val="00B60DFD"/>
    <w:rsid w:val="00B60E6E"/>
    <w:rsid w:val="00B6129B"/>
    <w:rsid w:val="00B629DF"/>
    <w:rsid w:val="00B63535"/>
    <w:rsid w:val="00B63CD5"/>
    <w:rsid w:val="00B63FCE"/>
    <w:rsid w:val="00B6588D"/>
    <w:rsid w:val="00B65FF9"/>
    <w:rsid w:val="00B66192"/>
    <w:rsid w:val="00B663B4"/>
    <w:rsid w:val="00B66C87"/>
    <w:rsid w:val="00B67139"/>
    <w:rsid w:val="00B67184"/>
    <w:rsid w:val="00B67289"/>
    <w:rsid w:val="00B675F7"/>
    <w:rsid w:val="00B7073E"/>
    <w:rsid w:val="00B71166"/>
    <w:rsid w:val="00B71317"/>
    <w:rsid w:val="00B7157F"/>
    <w:rsid w:val="00B73241"/>
    <w:rsid w:val="00B743C6"/>
    <w:rsid w:val="00B74C1C"/>
    <w:rsid w:val="00B74C63"/>
    <w:rsid w:val="00B74ECD"/>
    <w:rsid w:val="00B75195"/>
    <w:rsid w:val="00B75F6F"/>
    <w:rsid w:val="00B7607E"/>
    <w:rsid w:val="00B76249"/>
    <w:rsid w:val="00B76455"/>
    <w:rsid w:val="00B76E23"/>
    <w:rsid w:val="00B774D4"/>
    <w:rsid w:val="00B77909"/>
    <w:rsid w:val="00B779AB"/>
    <w:rsid w:val="00B779D8"/>
    <w:rsid w:val="00B77B0F"/>
    <w:rsid w:val="00B77E11"/>
    <w:rsid w:val="00B80B60"/>
    <w:rsid w:val="00B82B94"/>
    <w:rsid w:val="00B82CCC"/>
    <w:rsid w:val="00B82D5F"/>
    <w:rsid w:val="00B82E71"/>
    <w:rsid w:val="00B8334D"/>
    <w:rsid w:val="00B84D52"/>
    <w:rsid w:val="00B85B4D"/>
    <w:rsid w:val="00B85B79"/>
    <w:rsid w:val="00B85D50"/>
    <w:rsid w:val="00B86316"/>
    <w:rsid w:val="00B86405"/>
    <w:rsid w:val="00B868F1"/>
    <w:rsid w:val="00B8696C"/>
    <w:rsid w:val="00B86CA2"/>
    <w:rsid w:val="00B86FFA"/>
    <w:rsid w:val="00B8759E"/>
    <w:rsid w:val="00B87820"/>
    <w:rsid w:val="00B879C5"/>
    <w:rsid w:val="00B87E5C"/>
    <w:rsid w:val="00B87ED0"/>
    <w:rsid w:val="00B9033C"/>
    <w:rsid w:val="00B90407"/>
    <w:rsid w:val="00B910B6"/>
    <w:rsid w:val="00B91542"/>
    <w:rsid w:val="00B923ED"/>
    <w:rsid w:val="00B92AEC"/>
    <w:rsid w:val="00B92EAB"/>
    <w:rsid w:val="00B93A64"/>
    <w:rsid w:val="00B93C32"/>
    <w:rsid w:val="00B93DF0"/>
    <w:rsid w:val="00B93FEB"/>
    <w:rsid w:val="00B943FD"/>
    <w:rsid w:val="00B94B25"/>
    <w:rsid w:val="00B95DAA"/>
    <w:rsid w:val="00B95FE9"/>
    <w:rsid w:val="00B97152"/>
    <w:rsid w:val="00B97335"/>
    <w:rsid w:val="00B975FD"/>
    <w:rsid w:val="00B9798C"/>
    <w:rsid w:val="00B97EC9"/>
    <w:rsid w:val="00BA0805"/>
    <w:rsid w:val="00BA11F8"/>
    <w:rsid w:val="00BA17B7"/>
    <w:rsid w:val="00BA1872"/>
    <w:rsid w:val="00BA28D4"/>
    <w:rsid w:val="00BA2DA2"/>
    <w:rsid w:val="00BA3C68"/>
    <w:rsid w:val="00BA44D6"/>
    <w:rsid w:val="00BA45D3"/>
    <w:rsid w:val="00BA4652"/>
    <w:rsid w:val="00BA4B8E"/>
    <w:rsid w:val="00BA4CEE"/>
    <w:rsid w:val="00BA5980"/>
    <w:rsid w:val="00BA66F4"/>
    <w:rsid w:val="00BA73E3"/>
    <w:rsid w:val="00BA7992"/>
    <w:rsid w:val="00BA7C7E"/>
    <w:rsid w:val="00BA7CC0"/>
    <w:rsid w:val="00BB01D7"/>
    <w:rsid w:val="00BB051E"/>
    <w:rsid w:val="00BB105A"/>
    <w:rsid w:val="00BB1494"/>
    <w:rsid w:val="00BB21E2"/>
    <w:rsid w:val="00BB24EF"/>
    <w:rsid w:val="00BB2F46"/>
    <w:rsid w:val="00BB3040"/>
    <w:rsid w:val="00BB3288"/>
    <w:rsid w:val="00BB3B6D"/>
    <w:rsid w:val="00BB418F"/>
    <w:rsid w:val="00BB41DB"/>
    <w:rsid w:val="00BB4B46"/>
    <w:rsid w:val="00BB5007"/>
    <w:rsid w:val="00BB516E"/>
    <w:rsid w:val="00BB59DE"/>
    <w:rsid w:val="00BB5FA5"/>
    <w:rsid w:val="00BB737F"/>
    <w:rsid w:val="00BB75AE"/>
    <w:rsid w:val="00BB7837"/>
    <w:rsid w:val="00BB79F7"/>
    <w:rsid w:val="00BC05D7"/>
    <w:rsid w:val="00BC12B9"/>
    <w:rsid w:val="00BC155D"/>
    <w:rsid w:val="00BC1ADA"/>
    <w:rsid w:val="00BC1DBA"/>
    <w:rsid w:val="00BC26F1"/>
    <w:rsid w:val="00BC2C2F"/>
    <w:rsid w:val="00BC358E"/>
    <w:rsid w:val="00BC3DD2"/>
    <w:rsid w:val="00BC4CFD"/>
    <w:rsid w:val="00BC509F"/>
    <w:rsid w:val="00BC5137"/>
    <w:rsid w:val="00BC521B"/>
    <w:rsid w:val="00BC5D0A"/>
    <w:rsid w:val="00BC5E0F"/>
    <w:rsid w:val="00BC609A"/>
    <w:rsid w:val="00BC6B09"/>
    <w:rsid w:val="00BC74A7"/>
    <w:rsid w:val="00BC74BE"/>
    <w:rsid w:val="00BD02B6"/>
    <w:rsid w:val="00BD1E17"/>
    <w:rsid w:val="00BD21BC"/>
    <w:rsid w:val="00BD22A5"/>
    <w:rsid w:val="00BD2873"/>
    <w:rsid w:val="00BD2E20"/>
    <w:rsid w:val="00BD2E3E"/>
    <w:rsid w:val="00BD4C81"/>
    <w:rsid w:val="00BD52C4"/>
    <w:rsid w:val="00BD5616"/>
    <w:rsid w:val="00BD5BB7"/>
    <w:rsid w:val="00BD5FE9"/>
    <w:rsid w:val="00BD679D"/>
    <w:rsid w:val="00BD6A0A"/>
    <w:rsid w:val="00BD713C"/>
    <w:rsid w:val="00BD7739"/>
    <w:rsid w:val="00BD7FCB"/>
    <w:rsid w:val="00BE0DD2"/>
    <w:rsid w:val="00BE1B92"/>
    <w:rsid w:val="00BE2801"/>
    <w:rsid w:val="00BE293A"/>
    <w:rsid w:val="00BE2D5B"/>
    <w:rsid w:val="00BE2F87"/>
    <w:rsid w:val="00BE3577"/>
    <w:rsid w:val="00BE37CF"/>
    <w:rsid w:val="00BE41B6"/>
    <w:rsid w:val="00BE428F"/>
    <w:rsid w:val="00BE49F4"/>
    <w:rsid w:val="00BE4EAB"/>
    <w:rsid w:val="00BE51FE"/>
    <w:rsid w:val="00BE55F0"/>
    <w:rsid w:val="00BE5AEA"/>
    <w:rsid w:val="00BE6398"/>
    <w:rsid w:val="00BE662A"/>
    <w:rsid w:val="00BE69C0"/>
    <w:rsid w:val="00BE73B7"/>
    <w:rsid w:val="00BE759C"/>
    <w:rsid w:val="00BE7C20"/>
    <w:rsid w:val="00BE7FA2"/>
    <w:rsid w:val="00BF0693"/>
    <w:rsid w:val="00BF0DC2"/>
    <w:rsid w:val="00BF0F4A"/>
    <w:rsid w:val="00BF10CB"/>
    <w:rsid w:val="00BF111D"/>
    <w:rsid w:val="00BF12F6"/>
    <w:rsid w:val="00BF1300"/>
    <w:rsid w:val="00BF1ED9"/>
    <w:rsid w:val="00BF303C"/>
    <w:rsid w:val="00BF33F5"/>
    <w:rsid w:val="00BF34B1"/>
    <w:rsid w:val="00BF3575"/>
    <w:rsid w:val="00BF37B5"/>
    <w:rsid w:val="00BF3E09"/>
    <w:rsid w:val="00BF3E85"/>
    <w:rsid w:val="00BF47F6"/>
    <w:rsid w:val="00BF48A5"/>
    <w:rsid w:val="00BF491B"/>
    <w:rsid w:val="00BF521B"/>
    <w:rsid w:val="00BF530B"/>
    <w:rsid w:val="00BF5327"/>
    <w:rsid w:val="00BF6B3A"/>
    <w:rsid w:val="00BF6F97"/>
    <w:rsid w:val="00BF7506"/>
    <w:rsid w:val="00BF755A"/>
    <w:rsid w:val="00C001D1"/>
    <w:rsid w:val="00C00714"/>
    <w:rsid w:val="00C010C6"/>
    <w:rsid w:val="00C012E5"/>
    <w:rsid w:val="00C013EE"/>
    <w:rsid w:val="00C01B02"/>
    <w:rsid w:val="00C02EBD"/>
    <w:rsid w:val="00C0688C"/>
    <w:rsid w:val="00C069CA"/>
    <w:rsid w:val="00C06CB1"/>
    <w:rsid w:val="00C07013"/>
    <w:rsid w:val="00C070D3"/>
    <w:rsid w:val="00C073F1"/>
    <w:rsid w:val="00C07490"/>
    <w:rsid w:val="00C07A38"/>
    <w:rsid w:val="00C07F38"/>
    <w:rsid w:val="00C10724"/>
    <w:rsid w:val="00C11109"/>
    <w:rsid w:val="00C115BC"/>
    <w:rsid w:val="00C1207F"/>
    <w:rsid w:val="00C12228"/>
    <w:rsid w:val="00C12305"/>
    <w:rsid w:val="00C124D9"/>
    <w:rsid w:val="00C12531"/>
    <w:rsid w:val="00C131A3"/>
    <w:rsid w:val="00C13C09"/>
    <w:rsid w:val="00C14241"/>
    <w:rsid w:val="00C14296"/>
    <w:rsid w:val="00C147EA"/>
    <w:rsid w:val="00C155E0"/>
    <w:rsid w:val="00C15964"/>
    <w:rsid w:val="00C15B89"/>
    <w:rsid w:val="00C17254"/>
    <w:rsid w:val="00C1790D"/>
    <w:rsid w:val="00C17B74"/>
    <w:rsid w:val="00C17BC6"/>
    <w:rsid w:val="00C2008D"/>
    <w:rsid w:val="00C20A29"/>
    <w:rsid w:val="00C211EC"/>
    <w:rsid w:val="00C21876"/>
    <w:rsid w:val="00C22022"/>
    <w:rsid w:val="00C221B2"/>
    <w:rsid w:val="00C22B99"/>
    <w:rsid w:val="00C23A11"/>
    <w:rsid w:val="00C23A54"/>
    <w:rsid w:val="00C23E58"/>
    <w:rsid w:val="00C24B35"/>
    <w:rsid w:val="00C24B83"/>
    <w:rsid w:val="00C256FB"/>
    <w:rsid w:val="00C2647D"/>
    <w:rsid w:val="00C26BF8"/>
    <w:rsid w:val="00C26F3A"/>
    <w:rsid w:val="00C27967"/>
    <w:rsid w:val="00C27A46"/>
    <w:rsid w:val="00C27C9B"/>
    <w:rsid w:val="00C30620"/>
    <w:rsid w:val="00C308A5"/>
    <w:rsid w:val="00C309EA"/>
    <w:rsid w:val="00C31226"/>
    <w:rsid w:val="00C31319"/>
    <w:rsid w:val="00C31572"/>
    <w:rsid w:val="00C319CC"/>
    <w:rsid w:val="00C31A5D"/>
    <w:rsid w:val="00C31A8B"/>
    <w:rsid w:val="00C31F04"/>
    <w:rsid w:val="00C33090"/>
    <w:rsid w:val="00C331D2"/>
    <w:rsid w:val="00C334AB"/>
    <w:rsid w:val="00C341A9"/>
    <w:rsid w:val="00C34754"/>
    <w:rsid w:val="00C3491D"/>
    <w:rsid w:val="00C34A14"/>
    <w:rsid w:val="00C352EE"/>
    <w:rsid w:val="00C35AC5"/>
    <w:rsid w:val="00C3637F"/>
    <w:rsid w:val="00C36622"/>
    <w:rsid w:val="00C36BD1"/>
    <w:rsid w:val="00C36F23"/>
    <w:rsid w:val="00C37E5D"/>
    <w:rsid w:val="00C37F1B"/>
    <w:rsid w:val="00C401CF"/>
    <w:rsid w:val="00C4021F"/>
    <w:rsid w:val="00C40B8E"/>
    <w:rsid w:val="00C40FFC"/>
    <w:rsid w:val="00C411F4"/>
    <w:rsid w:val="00C4175E"/>
    <w:rsid w:val="00C41B3E"/>
    <w:rsid w:val="00C425B7"/>
    <w:rsid w:val="00C425E2"/>
    <w:rsid w:val="00C4386C"/>
    <w:rsid w:val="00C43BC1"/>
    <w:rsid w:val="00C43CDB"/>
    <w:rsid w:val="00C44A13"/>
    <w:rsid w:val="00C44F3E"/>
    <w:rsid w:val="00C453A5"/>
    <w:rsid w:val="00C45461"/>
    <w:rsid w:val="00C45522"/>
    <w:rsid w:val="00C45646"/>
    <w:rsid w:val="00C46778"/>
    <w:rsid w:val="00C46FB6"/>
    <w:rsid w:val="00C46FE3"/>
    <w:rsid w:val="00C47210"/>
    <w:rsid w:val="00C4734D"/>
    <w:rsid w:val="00C47BE4"/>
    <w:rsid w:val="00C50DE0"/>
    <w:rsid w:val="00C518E2"/>
    <w:rsid w:val="00C5214F"/>
    <w:rsid w:val="00C52BEC"/>
    <w:rsid w:val="00C53144"/>
    <w:rsid w:val="00C53858"/>
    <w:rsid w:val="00C53E04"/>
    <w:rsid w:val="00C5600D"/>
    <w:rsid w:val="00C569BD"/>
    <w:rsid w:val="00C570EC"/>
    <w:rsid w:val="00C576D5"/>
    <w:rsid w:val="00C57FC4"/>
    <w:rsid w:val="00C602DA"/>
    <w:rsid w:val="00C60E9A"/>
    <w:rsid w:val="00C611B2"/>
    <w:rsid w:val="00C61555"/>
    <w:rsid w:val="00C61D60"/>
    <w:rsid w:val="00C61DE5"/>
    <w:rsid w:val="00C62903"/>
    <w:rsid w:val="00C63BF0"/>
    <w:rsid w:val="00C63DC1"/>
    <w:rsid w:val="00C648C6"/>
    <w:rsid w:val="00C663E1"/>
    <w:rsid w:val="00C66412"/>
    <w:rsid w:val="00C667D9"/>
    <w:rsid w:val="00C6700F"/>
    <w:rsid w:val="00C70C8B"/>
    <w:rsid w:val="00C71829"/>
    <w:rsid w:val="00C7188A"/>
    <w:rsid w:val="00C71CB6"/>
    <w:rsid w:val="00C7200E"/>
    <w:rsid w:val="00C725D7"/>
    <w:rsid w:val="00C729BB"/>
    <w:rsid w:val="00C73140"/>
    <w:rsid w:val="00C7361B"/>
    <w:rsid w:val="00C7545E"/>
    <w:rsid w:val="00C75F9E"/>
    <w:rsid w:val="00C76A9E"/>
    <w:rsid w:val="00C76CDB"/>
    <w:rsid w:val="00C7771D"/>
    <w:rsid w:val="00C777E9"/>
    <w:rsid w:val="00C77D87"/>
    <w:rsid w:val="00C80228"/>
    <w:rsid w:val="00C802C4"/>
    <w:rsid w:val="00C81899"/>
    <w:rsid w:val="00C82587"/>
    <w:rsid w:val="00C838CF"/>
    <w:rsid w:val="00C838FC"/>
    <w:rsid w:val="00C83EB1"/>
    <w:rsid w:val="00C83F0C"/>
    <w:rsid w:val="00C84421"/>
    <w:rsid w:val="00C84A0E"/>
    <w:rsid w:val="00C852F5"/>
    <w:rsid w:val="00C853A7"/>
    <w:rsid w:val="00C8694E"/>
    <w:rsid w:val="00C874B2"/>
    <w:rsid w:val="00C87899"/>
    <w:rsid w:val="00C87A9F"/>
    <w:rsid w:val="00C900FA"/>
    <w:rsid w:val="00C911B5"/>
    <w:rsid w:val="00C912A9"/>
    <w:rsid w:val="00C91F56"/>
    <w:rsid w:val="00C922AE"/>
    <w:rsid w:val="00C92999"/>
    <w:rsid w:val="00C929BF"/>
    <w:rsid w:val="00C92E1B"/>
    <w:rsid w:val="00C92EF3"/>
    <w:rsid w:val="00C93DF4"/>
    <w:rsid w:val="00C94852"/>
    <w:rsid w:val="00C95071"/>
    <w:rsid w:val="00C956D5"/>
    <w:rsid w:val="00C960F7"/>
    <w:rsid w:val="00C9611C"/>
    <w:rsid w:val="00C96D58"/>
    <w:rsid w:val="00C96E3B"/>
    <w:rsid w:val="00C96F6E"/>
    <w:rsid w:val="00C97294"/>
    <w:rsid w:val="00C97710"/>
    <w:rsid w:val="00C97A44"/>
    <w:rsid w:val="00CA0865"/>
    <w:rsid w:val="00CA09EF"/>
    <w:rsid w:val="00CA0AB2"/>
    <w:rsid w:val="00CA0C48"/>
    <w:rsid w:val="00CA1961"/>
    <w:rsid w:val="00CA2BCD"/>
    <w:rsid w:val="00CA31F3"/>
    <w:rsid w:val="00CA47AA"/>
    <w:rsid w:val="00CA5BB7"/>
    <w:rsid w:val="00CA5C7D"/>
    <w:rsid w:val="00CA5CAC"/>
    <w:rsid w:val="00CA5E0B"/>
    <w:rsid w:val="00CA6016"/>
    <w:rsid w:val="00CA6F72"/>
    <w:rsid w:val="00CA73C6"/>
    <w:rsid w:val="00CA7E30"/>
    <w:rsid w:val="00CB0346"/>
    <w:rsid w:val="00CB0E1E"/>
    <w:rsid w:val="00CB126B"/>
    <w:rsid w:val="00CB1493"/>
    <w:rsid w:val="00CB2886"/>
    <w:rsid w:val="00CB2E95"/>
    <w:rsid w:val="00CB2E9E"/>
    <w:rsid w:val="00CB2ED4"/>
    <w:rsid w:val="00CB32DE"/>
    <w:rsid w:val="00CB354B"/>
    <w:rsid w:val="00CB5094"/>
    <w:rsid w:val="00CB511A"/>
    <w:rsid w:val="00CB671E"/>
    <w:rsid w:val="00CB6CAF"/>
    <w:rsid w:val="00CB6D83"/>
    <w:rsid w:val="00CB6E67"/>
    <w:rsid w:val="00CB7CAF"/>
    <w:rsid w:val="00CB7ECB"/>
    <w:rsid w:val="00CC08CD"/>
    <w:rsid w:val="00CC20A8"/>
    <w:rsid w:val="00CC20AB"/>
    <w:rsid w:val="00CC3736"/>
    <w:rsid w:val="00CC3DEC"/>
    <w:rsid w:val="00CC431B"/>
    <w:rsid w:val="00CC4480"/>
    <w:rsid w:val="00CC4793"/>
    <w:rsid w:val="00CC529A"/>
    <w:rsid w:val="00CC5E43"/>
    <w:rsid w:val="00CC64D2"/>
    <w:rsid w:val="00CC7022"/>
    <w:rsid w:val="00CC7601"/>
    <w:rsid w:val="00CC7E47"/>
    <w:rsid w:val="00CD1AC5"/>
    <w:rsid w:val="00CD234D"/>
    <w:rsid w:val="00CD3469"/>
    <w:rsid w:val="00CD34E9"/>
    <w:rsid w:val="00CD3BAB"/>
    <w:rsid w:val="00CD41C6"/>
    <w:rsid w:val="00CD493B"/>
    <w:rsid w:val="00CD4A3C"/>
    <w:rsid w:val="00CD4F4A"/>
    <w:rsid w:val="00CD5E2A"/>
    <w:rsid w:val="00CD66F2"/>
    <w:rsid w:val="00CD6AAE"/>
    <w:rsid w:val="00CD6B62"/>
    <w:rsid w:val="00CD722A"/>
    <w:rsid w:val="00CD762D"/>
    <w:rsid w:val="00CD796B"/>
    <w:rsid w:val="00CD7E6A"/>
    <w:rsid w:val="00CE0861"/>
    <w:rsid w:val="00CE0881"/>
    <w:rsid w:val="00CE0E4C"/>
    <w:rsid w:val="00CE0FEA"/>
    <w:rsid w:val="00CE0FFF"/>
    <w:rsid w:val="00CE1708"/>
    <w:rsid w:val="00CE1A29"/>
    <w:rsid w:val="00CE2B39"/>
    <w:rsid w:val="00CE2F79"/>
    <w:rsid w:val="00CE3816"/>
    <w:rsid w:val="00CE3CC6"/>
    <w:rsid w:val="00CE4528"/>
    <w:rsid w:val="00CE49A3"/>
    <w:rsid w:val="00CE515C"/>
    <w:rsid w:val="00CE5646"/>
    <w:rsid w:val="00CE60F9"/>
    <w:rsid w:val="00CE6126"/>
    <w:rsid w:val="00CE67D3"/>
    <w:rsid w:val="00CF0021"/>
    <w:rsid w:val="00CF07B0"/>
    <w:rsid w:val="00CF0A87"/>
    <w:rsid w:val="00CF176D"/>
    <w:rsid w:val="00CF2EAA"/>
    <w:rsid w:val="00CF66D2"/>
    <w:rsid w:val="00CF7322"/>
    <w:rsid w:val="00CF74EB"/>
    <w:rsid w:val="00CF77D9"/>
    <w:rsid w:val="00CF7843"/>
    <w:rsid w:val="00CF79A9"/>
    <w:rsid w:val="00D0030B"/>
    <w:rsid w:val="00D0038B"/>
    <w:rsid w:val="00D00798"/>
    <w:rsid w:val="00D0101E"/>
    <w:rsid w:val="00D01443"/>
    <w:rsid w:val="00D01E19"/>
    <w:rsid w:val="00D02513"/>
    <w:rsid w:val="00D029AB"/>
    <w:rsid w:val="00D02C64"/>
    <w:rsid w:val="00D033FF"/>
    <w:rsid w:val="00D0363E"/>
    <w:rsid w:val="00D03A29"/>
    <w:rsid w:val="00D03B04"/>
    <w:rsid w:val="00D03BE5"/>
    <w:rsid w:val="00D03C13"/>
    <w:rsid w:val="00D04379"/>
    <w:rsid w:val="00D04BF3"/>
    <w:rsid w:val="00D055DB"/>
    <w:rsid w:val="00D0564F"/>
    <w:rsid w:val="00D06083"/>
    <w:rsid w:val="00D06B8A"/>
    <w:rsid w:val="00D070DC"/>
    <w:rsid w:val="00D072FD"/>
    <w:rsid w:val="00D07404"/>
    <w:rsid w:val="00D0776C"/>
    <w:rsid w:val="00D100BC"/>
    <w:rsid w:val="00D104CC"/>
    <w:rsid w:val="00D10757"/>
    <w:rsid w:val="00D115F6"/>
    <w:rsid w:val="00D11727"/>
    <w:rsid w:val="00D122BB"/>
    <w:rsid w:val="00D12555"/>
    <w:rsid w:val="00D12F28"/>
    <w:rsid w:val="00D1385E"/>
    <w:rsid w:val="00D13FF9"/>
    <w:rsid w:val="00D1471A"/>
    <w:rsid w:val="00D1480F"/>
    <w:rsid w:val="00D151B2"/>
    <w:rsid w:val="00D1549E"/>
    <w:rsid w:val="00D154AD"/>
    <w:rsid w:val="00D15B43"/>
    <w:rsid w:val="00D15B9C"/>
    <w:rsid w:val="00D15CB2"/>
    <w:rsid w:val="00D16835"/>
    <w:rsid w:val="00D16839"/>
    <w:rsid w:val="00D16A65"/>
    <w:rsid w:val="00D1772A"/>
    <w:rsid w:val="00D17A9F"/>
    <w:rsid w:val="00D215B1"/>
    <w:rsid w:val="00D21C59"/>
    <w:rsid w:val="00D2256D"/>
    <w:rsid w:val="00D228FF"/>
    <w:rsid w:val="00D22B11"/>
    <w:rsid w:val="00D22F59"/>
    <w:rsid w:val="00D239AC"/>
    <w:rsid w:val="00D23A96"/>
    <w:rsid w:val="00D23BB7"/>
    <w:rsid w:val="00D23E94"/>
    <w:rsid w:val="00D2464A"/>
    <w:rsid w:val="00D24F0F"/>
    <w:rsid w:val="00D2525B"/>
    <w:rsid w:val="00D264F5"/>
    <w:rsid w:val="00D26BF7"/>
    <w:rsid w:val="00D276EA"/>
    <w:rsid w:val="00D27E40"/>
    <w:rsid w:val="00D305D1"/>
    <w:rsid w:val="00D3066D"/>
    <w:rsid w:val="00D30FBA"/>
    <w:rsid w:val="00D3136B"/>
    <w:rsid w:val="00D317A1"/>
    <w:rsid w:val="00D31A53"/>
    <w:rsid w:val="00D32163"/>
    <w:rsid w:val="00D327BC"/>
    <w:rsid w:val="00D328AC"/>
    <w:rsid w:val="00D33E61"/>
    <w:rsid w:val="00D34BBA"/>
    <w:rsid w:val="00D3577A"/>
    <w:rsid w:val="00D357F4"/>
    <w:rsid w:val="00D35A49"/>
    <w:rsid w:val="00D3652F"/>
    <w:rsid w:val="00D373C8"/>
    <w:rsid w:val="00D376EA"/>
    <w:rsid w:val="00D377DF"/>
    <w:rsid w:val="00D37AC7"/>
    <w:rsid w:val="00D37C17"/>
    <w:rsid w:val="00D37EE7"/>
    <w:rsid w:val="00D40118"/>
    <w:rsid w:val="00D40645"/>
    <w:rsid w:val="00D40CB8"/>
    <w:rsid w:val="00D418DF"/>
    <w:rsid w:val="00D41EF7"/>
    <w:rsid w:val="00D42900"/>
    <w:rsid w:val="00D42939"/>
    <w:rsid w:val="00D4364C"/>
    <w:rsid w:val="00D4376B"/>
    <w:rsid w:val="00D43841"/>
    <w:rsid w:val="00D44969"/>
    <w:rsid w:val="00D44C4B"/>
    <w:rsid w:val="00D4520C"/>
    <w:rsid w:val="00D45433"/>
    <w:rsid w:val="00D45481"/>
    <w:rsid w:val="00D45FDB"/>
    <w:rsid w:val="00D46AEE"/>
    <w:rsid w:val="00D46C2B"/>
    <w:rsid w:val="00D47755"/>
    <w:rsid w:val="00D50A2F"/>
    <w:rsid w:val="00D51D63"/>
    <w:rsid w:val="00D51FA6"/>
    <w:rsid w:val="00D53E31"/>
    <w:rsid w:val="00D54544"/>
    <w:rsid w:val="00D54EA5"/>
    <w:rsid w:val="00D553ED"/>
    <w:rsid w:val="00D55DF9"/>
    <w:rsid w:val="00D56BAF"/>
    <w:rsid w:val="00D57DF1"/>
    <w:rsid w:val="00D6009D"/>
    <w:rsid w:val="00D60CFC"/>
    <w:rsid w:val="00D60FA7"/>
    <w:rsid w:val="00D61A30"/>
    <w:rsid w:val="00D61CBD"/>
    <w:rsid w:val="00D62920"/>
    <w:rsid w:val="00D632E4"/>
    <w:rsid w:val="00D640FB"/>
    <w:rsid w:val="00D65160"/>
    <w:rsid w:val="00D653E0"/>
    <w:rsid w:val="00D6708F"/>
    <w:rsid w:val="00D676C2"/>
    <w:rsid w:val="00D67978"/>
    <w:rsid w:val="00D67A73"/>
    <w:rsid w:val="00D70512"/>
    <w:rsid w:val="00D70DD5"/>
    <w:rsid w:val="00D70F21"/>
    <w:rsid w:val="00D710D3"/>
    <w:rsid w:val="00D71403"/>
    <w:rsid w:val="00D7181E"/>
    <w:rsid w:val="00D71A5B"/>
    <w:rsid w:val="00D71B35"/>
    <w:rsid w:val="00D71B6C"/>
    <w:rsid w:val="00D7280D"/>
    <w:rsid w:val="00D72ABA"/>
    <w:rsid w:val="00D72D81"/>
    <w:rsid w:val="00D73443"/>
    <w:rsid w:val="00D739DE"/>
    <w:rsid w:val="00D73A42"/>
    <w:rsid w:val="00D73A8C"/>
    <w:rsid w:val="00D748F1"/>
    <w:rsid w:val="00D74C31"/>
    <w:rsid w:val="00D7543A"/>
    <w:rsid w:val="00D754E5"/>
    <w:rsid w:val="00D755D9"/>
    <w:rsid w:val="00D7560C"/>
    <w:rsid w:val="00D7590B"/>
    <w:rsid w:val="00D759D2"/>
    <w:rsid w:val="00D75B1F"/>
    <w:rsid w:val="00D75D83"/>
    <w:rsid w:val="00D7637E"/>
    <w:rsid w:val="00D76820"/>
    <w:rsid w:val="00D76A2B"/>
    <w:rsid w:val="00D7723D"/>
    <w:rsid w:val="00D77F0D"/>
    <w:rsid w:val="00D80FFC"/>
    <w:rsid w:val="00D81A52"/>
    <w:rsid w:val="00D81C64"/>
    <w:rsid w:val="00D82068"/>
    <w:rsid w:val="00D8229D"/>
    <w:rsid w:val="00D82599"/>
    <w:rsid w:val="00D82E53"/>
    <w:rsid w:val="00D832D7"/>
    <w:rsid w:val="00D833AA"/>
    <w:rsid w:val="00D83DBD"/>
    <w:rsid w:val="00D841D6"/>
    <w:rsid w:val="00D841F2"/>
    <w:rsid w:val="00D847D6"/>
    <w:rsid w:val="00D8500F"/>
    <w:rsid w:val="00D85A9B"/>
    <w:rsid w:val="00D85CC2"/>
    <w:rsid w:val="00D86002"/>
    <w:rsid w:val="00D86A5D"/>
    <w:rsid w:val="00D878E3"/>
    <w:rsid w:val="00D87E11"/>
    <w:rsid w:val="00D9046F"/>
    <w:rsid w:val="00D909E3"/>
    <w:rsid w:val="00D90ADC"/>
    <w:rsid w:val="00D90B53"/>
    <w:rsid w:val="00D91170"/>
    <w:rsid w:val="00D9142F"/>
    <w:rsid w:val="00D91E71"/>
    <w:rsid w:val="00D92A1E"/>
    <w:rsid w:val="00D92ACD"/>
    <w:rsid w:val="00D92BE4"/>
    <w:rsid w:val="00D92E96"/>
    <w:rsid w:val="00D92ED3"/>
    <w:rsid w:val="00D9335A"/>
    <w:rsid w:val="00D943A8"/>
    <w:rsid w:val="00D945AD"/>
    <w:rsid w:val="00D9461B"/>
    <w:rsid w:val="00D95451"/>
    <w:rsid w:val="00D95A9B"/>
    <w:rsid w:val="00D95F4D"/>
    <w:rsid w:val="00D961A3"/>
    <w:rsid w:val="00D96915"/>
    <w:rsid w:val="00D973FC"/>
    <w:rsid w:val="00D97CE3"/>
    <w:rsid w:val="00D97DC4"/>
    <w:rsid w:val="00DA1756"/>
    <w:rsid w:val="00DA1C05"/>
    <w:rsid w:val="00DA23B7"/>
    <w:rsid w:val="00DA2558"/>
    <w:rsid w:val="00DA262E"/>
    <w:rsid w:val="00DA2637"/>
    <w:rsid w:val="00DA2B7D"/>
    <w:rsid w:val="00DA30F5"/>
    <w:rsid w:val="00DA33FC"/>
    <w:rsid w:val="00DA3920"/>
    <w:rsid w:val="00DA3E7C"/>
    <w:rsid w:val="00DA45B3"/>
    <w:rsid w:val="00DA4B22"/>
    <w:rsid w:val="00DA5049"/>
    <w:rsid w:val="00DA5974"/>
    <w:rsid w:val="00DA7427"/>
    <w:rsid w:val="00DA762E"/>
    <w:rsid w:val="00DB014B"/>
    <w:rsid w:val="00DB0331"/>
    <w:rsid w:val="00DB0666"/>
    <w:rsid w:val="00DB0DC0"/>
    <w:rsid w:val="00DB2320"/>
    <w:rsid w:val="00DB2693"/>
    <w:rsid w:val="00DB28EC"/>
    <w:rsid w:val="00DB3857"/>
    <w:rsid w:val="00DB40D8"/>
    <w:rsid w:val="00DB45C2"/>
    <w:rsid w:val="00DB4DDC"/>
    <w:rsid w:val="00DB4F5E"/>
    <w:rsid w:val="00DB5897"/>
    <w:rsid w:val="00DB5EBA"/>
    <w:rsid w:val="00DB5F70"/>
    <w:rsid w:val="00DB70A7"/>
    <w:rsid w:val="00DB760F"/>
    <w:rsid w:val="00DB7AD1"/>
    <w:rsid w:val="00DB7BF2"/>
    <w:rsid w:val="00DB7C74"/>
    <w:rsid w:val="00DB7D35"/>
    <w:rsid w:val="00DB7EEA"/>
    <w:rsid w:val="00DC0245"/>
    <w:rsid w:val="00DC033D"/>
    <w:rsid w:val="00DC0EA6"/>
    <w:rsid w:val="00DC1F54"/>
    <w:rsid w:val="00DC3257"/>
    <w:rsid w:val="00DC3721"/>
    <w:rsid w:val="00DC3A90"/>
    <w:rsid w:val="00DC49F9"/>
    <w:rsid w:val="00DC4B1C"/>
    <w:rsid w:val="00DC4B26"/>
    <w:rsid w:val="00DC5161"/>
    <w:rsid w:val="00DC5284"/>
    <w:rsid w:val="00DC53B6"/>
    <w:rsid w:val="00DC5738"/>
    <w:rsid w:val="00DC60F5"/>
    <w:rsid w:val="00DC6117"/>
    <w:rsid w:val="00DC704E"/>
    <w:rsid w:val="00DC70F3"/>
    <w:rsid w:val="00DC74DC"/>
    <w:rsid w:val="00DD0300"/>
    <w:rsid w:val="00DD03ED"/>
    <w:rsid w:val="00DD116A"/>
    <w:rsid w:val="00DD11E9"/>
    <w:rsid w:val="00DD154A"/>
    <w:rsid w:val="00DD20CB"/>
    <w:rsid w:val="00DD3314"/>
    <w:rsid w:val="00DD33A4"/>
    <w:rsid w:val="00DD4246"/>
    <w:rsid w:val="00DD46C8"/>
    <w:rsid w:val="00DD524F"/>
    <w:rsid w:val="00DD5A19"/>
    <w:rsid w:val="00DD6350"/>
    <w:rsid w:val="00DD63F8"/>
    <w:rsid w:val="00DD646E"/>
    <w:rsid w:val="00DD674A"/>
    <w:rsid w:val="00DD6975"/>
    <w:rsid w:val="00DD6DD6"/>
    <w:rsid w:val="00DD6F73"/>
    <w:rsid w:val="00DD71E5"/>
    <w:rsid w:val="00DD7A9B"/>
    <w:rsid w:val="00DD7E29"/>
    <w:rsid w:val="00DE0981"/>
    <w:rsid w:val="00DE0ABE"/>
    <w:rsid w:val="00DE1119"/>
    <w:rsid w:val="00DE1208"/>
    <w:rsid w:val="00DE1419"/>
    <w:rsid w:val="00DE179D"/>
    <w:rsid w:val="00DE2342"/>
    <w:rsid w:val="00DE23A3"/>
    <w:rsid w:val="00DE2478"/>
    <w:rsid w:val="00DE31B1"/>
    <w:rsid w:val="00DE4BE2"/>
    <w:rsid w:val="00DE548D"/>
    <w:rsid w:val="00DE57DD"/>
    <w:rsid w:val="00DE5C91"/>
    <w:rsid w:val="00DE6198"/>
    <w:rsid w:val="00DE7698"/>
    <w:rsid w:val="00DE7CFF"/>
    <w:rsid w:val="00DE7D11"/>
    <w:rsid w:val="00DE7D86"/>
    <w:rsid w:val="00DF0024"/>
    <w:rsid w:val="00DF0A08"/>
    <w:rsid w:val="00DF0FF0"/>
    <w:rsid w:val="00DF16A3"/>
    <w:rsid w:val="00DF1A11"/>
    <w:rsid w:val="00DF1BF1"/>
    <w:rsid w:val="00DF1EFC"/>
    <w:rsid w:val="00DF1FCA"/>
    <w:rsid w:val="00DF2442"/>
    <w:rsid w:val="00DF24D0"/>
    <w:rsid w:val="00DF2614"/>
    <w:rsid w:val="00DF2FA5"/>
    <w:rsid w:val="00DF3A25"/>
    <w:rsid w:val="00DF3D2D"/>
    <w:rsid w:val="00DF456B"/>
    <w:rsid w:val="00DF51EF"/>
    <w:rsid w:val="00DF5F25"/>
    <w:rsid w:val="00DF63BA"/>
    <w:rsid w:val="00DF65C2"/>
    <w:rsid w:val="00DF6630"/>
    <w:rsid w:val="00DF7710"/>
    <w:rsid w:val="00DF7F39"/>
    <w:rsid w:val="00E00324"/>
    <w:rsid w:val="00E0035D"/>
    <w:rsid w:val="00E00CDA"/>
    <w:rsid w:val="00E0120C"/>
    <w:rsid w:val="00E012CF"/>
    <w:rsid w:val="00E01703"/>
    <w:rsid w:val="00E01F0E"/>
    <w:rsid w:val="00E0226A"/>
    <w:rsid w:val="00E0233F"/>
    <w:rsid w:val="00E03BF2"/>
    <w:rsid w:val="00E04897"/>
    <w:rsid w:val="00E04B95"/>
    <w:rsid w:val="00E04F84"/>
    <w:rsid w:val="00E051C0"/>
    <w:rsid w:val="00E052A5"/>
    <w:rsid w:val="00E05685"/>
    <w:rsid w:val="00E05836"/>
    <w:rsid w:val="00E05EDF"/>
    <w:rsid w:val="00E06CF2"/>
    <w:rsid w:val="00E07441"/>
    <w:rsid w:val="00E07469"/>
    <w:rsid w:val="00E10000"/>
    <w:rsid w:val="00E10056"/>
    <w:rsid w:val="00E101E0"/>
    <w:rsid w:val="00E102B4"/>
    <w:rsid w:val="00E10751"/>
    <w:rsid w:val="00E1084C"/>
    <w:rsid w:val="00E112D9"/>
    <w:rsid w:val="00E11B55"/>
    <w:rsid w:val="00E12048"/>
    <w:rsid w:val="00E12301"/>
    <w:rsid w:val="00E12713"/>
    <w:rsid w:val="00E1310E"/>
    <w:rsid w:val="00E13255"/>
    <w:rsid w:val="00E138C1"/>
    <w:rsid w:val="00E13901"/>
    <w:rsid w:val="00E13D33"/>
    <w:rsid w:val="00E13D83"/>
    <w:rsid w:val="00E13E21"/>
    <w:rsid w:val="00E1420C"/>
    <w:rsid w:val="00E142FF"/>
    <w:rsid w:val="00E1436E"/>
    <w:rsid w:val="00E14417"/>
    <w:rsid w:val="00E14BB4"/>
    <w:rsid w:val="00E14CF8"/>
    <w:rsid w:val="00E14E75"/>
    <w:rsid w:val="00E153FC"/>
    <w:rsid w:val="00E15709"/>
    <w:rsid w:val="00E15B77"/>
    <w:rsid w:val="00E165CA"/>
    <w:rsid w:val="00E16855"/>
    <w:rsid w:val="00E17564"/>
    <w:rsid w:val="00E1779E"/>
    <w:rsid w:val="00E17B63"/>
    <w:rsid w:val="00E204DE"/>
    <w:rsid w:val="00E210E0"/>
    <w:rsid w:val="00E2124C"/>
    <w:rsid w:val="00E221B3"/>
    <w:rsid w:val="00E22D7F"/>
    <w:rsid w:val="00E23349"/>
    <w:rsid w:val="00E237E5"/>
    <w:rsid w:val="00E23D95"/>
    <w:rsid w:val="00E2402C"/>
    <w:rsid w:val="00E242F8"/>
    <w:rsid w:val="00E24C1F"/>
    <w:rsid w:val="00E24ECE"/>
    <w:rsid w:val="00E25561"/>
    <w:rsid w:val="00E255BF"/>
    <w:rsid w:val="00E25FCD"/>
    <w:rsid w:val="00E26445"/>
    <w:rsid w:val="00E273BE"/>
    <w:rsid w:val="00E27E56"/>
    <w:rsid w:val="00E27FD1"/>
    <w:rsid w:val="00E308C0"/>
    <w:rsid w:val="00E30A2B"/>
    <w:rsid w:val="00E315BE"/>
    <w:rsid w:val="00E31799"/>
    <w:rsid w:val="00E31A41"/>
    <w:rsid w:val="00E320B0"/>
    <w:rsid w:val="00E3278F"/>
    <w:rsid w:val="00E32BAC"/>
    <w:rsid w:val="00E33FCF"/>
    <w:rsid w:val="00E348D9"/>
    <w:rsid w:val="00E3499E"/>
    <w:rsid w:val="00E34A6B"/>
    <w:rsid w:val="00E35654"/>
    <w:rsid w:val="00E35846"/>
    <w:rsid w:val="00E3595F"/>
    <w:rsid w:val="00E35D46"/>
    <w:rsid w:val="00E367A2"/>
    <w:rsid w:val="00E40398"/>
    <w:rsid w:val="00E40BBC"/>
    <w:rsid w:val="00E4110C"/>
    <w:rsid w:val="00E4157E"/>
    <w:rsid w:val="00E417FB"/>
    <w:rsid w:val="00E419D7"/>
    <w:rsid w:val="00E41B8C"/>
    <w:rsid w:val="00E41E2C"/>
    <w:rsid w:val="00E42517"/>
    <w:rsid w:val="00E43477"/>
    <w:rsid w:val="00E435F9"/>
    <w:rsid w:val="00E43C08"/>
    <w:rsid w:val="00E43D62"/>
    <w:rsid w:val="00E44327"/>
    <w:rsid w:val="00E44D60"/>
    <w:rsid w:val="00E450E8"/>
    <w:rsid w:val="00E4527A"/>
    <w:rsid w:val="00E4540F"/>
    <w:rsid w:val="00E45495"/>
    <w:rsid w:val="00E460E5"/>
    <w:rsid w:val="00E46969"/>
    <w:rsid w:val="00E469E8"/>
    <w:rsid w:val="00E47492"/>
    <w:rsid w:val="00E47792"/>
    <w:rsid w:val="00E47E77"/>
    <w:rsid w:val="00E47EA1"/>
    <w:rsid w:val="00E47F63"/>
    <w:rsid w:val="00E5011B"/>
    <w:rsid w:val="00E51A21"/>
    <w:rsid w:val="00E52E2B"/>
    <w:rsid w:val="00E53003"/>
    <w:rsid w:val="00E534A0"/>
    <w:rsid w:val="00E5419A"/>
    <w:rsid w:val="00E54740"/>
    <w:rsid w:val="00E547FA"/>
    <w:rsid w:val="00E54BB8"/>
    <w:rsid w:val="00E54FFA"/>
    <w:rsid w:val="00E5507A"/>
    <w:rsid w:val="00E55AF2"/>
    <w:rsid w:val="00E56366"/>
    <w:rsid w:val="00E56541"/>
    <w:rsid w:val="00E56FAE"/>
    <w:rsid w:val="00E57453"/>
    <w:rsid w:val="00E577F7"/>
    <w:rsid w:val="00E5796A"/>
    <w:rsid w:val="00E6056C"/>
    <w:rsid w:val="00E60645"/>
    <w:rsid w:val="00E606A7"/>
    <w:rsid w:val="00E62363"/>
    <w:rsid w:val="00E6262D"/>
    <w:rsid w:val="00E62B75"/>
    <w:rsid w:val="00E630E5"/>
    <w:rsid w:val="00E631C2"/>
    <w:rsid w:val="00E635C0"/>
    <w:rsid w:val="00E63B48"/>
    <w:rsid w:val="00E63E7D"/>
    <w:rsid w:val="00E64621"/>
    <w:rsid w:val="00E65080"/>
    <w:rsid w:val="00E657B1"/>
    <w:rsid w:val="00E65AC5"/>
    <w:rsid w:val="00E65B2B"/>
    <w:rsid w:val="00E65DE5"/>
    <w:rsid w:val="00E66D0B"/>
    <w:rsid w:val="00E672A5"/>
    <w:rsid w:val="00E676F0"/>
    <w:rsid w:val="00E6794D"/>
    <w:rsid w:val="00E67D9F"/>
    <w:rsid w:val="00E70529"/>
    <w:rsid w:val="00E7056B"/>
    <w:rsid w:val="00E70C9A"/>
    <w:rsid w:val="00E710D0"/>
    <w:rsid w:val="00E710F3"/>
    <w:rsid w:val="00E71273"/>
    <w:rsid w:val="00E71C7B"/>
    <w:rsid w:val="00E71FC4"/>
    <w:rsid w:val="00E720F3"/>
    <w:rsid w:val="00E721FB"/>
    <w:rsid w:val="00E7315F"/>
    <w:rsid w:val="00E7381E"/>
    <w:rsid w:val="00E7387B"/>
    <w:rsid w:val="00E738DA"/>
    <w:rsid w:val="00E74225"/>
    <w:rsid w:val="00E74869"/>
    <w:rsid w:val="00E74DDE"/>
    <w:rsid w:val="00E75163"/>
    <w:rsid w:val="00E7517C"/>
    <w:rsid w:val="00E75488"/>
    <w:rsid w:val="00E76D1F"/>
    <w:rsid w:val="00E76EEB"/>
    <w:rsid w:val="00E77721"/>
    <w:rsid w:val="00E77D9B"/>
    <w:rsid w:val="00E8083C"/>
    <w:rsid w:val="00E80CAD"/>
    <w:rsid w:val="00E816FA"/>
    <w:rsid w:val="00E81837"/>
    <w:rsid w:val="00E81856"/>
    <w:rsid w:val="00E818E1"/>
    <w:rsid w:val="00E824AC"/>
    <w:rsid w:val="00E82613"/>
    <w:rsid w:val="00E82F47"/>
    <w:rsid w:val="00E83EB6"/>
    <w:rsid w:val="00E842FA"/>
    <w:rsid w:val="00E84492"/>
    <w:rsid w:val="00E84549"/>
    <w:rsid w:val="00E847CE"/>
    <w:rsid w:val="00E84A04"/>
    <w:rsid w:val="00E8568F"/>
    <w:rsid w:val="00E857C9"/>
    <w:rsid w:val="00E866ED"/>
    <w:rsid w:val="00E87127"/>
    <w:rsid w:val="00E87140"/>
    <w:rsid w:val="00E8759A"/>
    <w:rsid w:val="00E9026B"/>
    <w:rsid w:val="00E91428"/>
    <w:rsid w:val="00E92DC3"/>
    <w:rsid w:val="00E9311F"/>
    <w:rsid w:val="00E935A4"/>
    <w:rsid w:val="00E935C5"/>
    <w:rsid w:val="00E93600"/>
    <w:rsid w:val="00E952D6"/>
    <w:rsid w:val="00E955CD"/>
    <w:rsid w:val="00E95AA3"/>
    <w:rsid w:val="00E95AA4"/>
    <w:rsid w:val="00E95E39"/>
    <w:rsid w:val="00E95F8E"/>
    <w:rsid w:val="00E96791"/>
    <w:rsid w:val="00E968FD"/>
    <w:rsid w:val="00E970EE"/>
    <w:rsid w:val="00E9714A"/>
    <w:rsid w:val="00E97228"/>
    <w:rsid w:val="00E9729B"/>
    <w:rsid w:val="00E97779"/>
    <w:rsid w:val="00EA0102"/>
    <w:rsid w:val="00EA0DE8"/>
    <w:rsid w:val="00EA128A"/>
    <w:rsid w:val="00EA2F20"/>
    <w:rsid w:val="00EA2F96"/>
    <w:rsid w:val="00EA30DD"/>
    <w:rsid w:val="00EA310B"/>
    <w:rsid w:val="00EA45A3"/>
    <w:rsid w:val="00EA4BB9"/>
    <w:rsid w:val="00EA4D3D"/>
    <w:rsid w:val="00EA501D"/>
    <w:rsid w:val="00EA56D8"/>
    <w:rsid w:val="00EA59E0"/>
    <w:rsid w:val="00EA5FB0"/>
    <w:rsid w:val="00EA6200"/>
    <w:rsid w:val="00EA64DA"/>
    <w:rsid w:val="00EA67AD"/>
    <w:rsid w:val="00EA67F6"/>
    <w:rsid w:val="00EA79D1"/>
    <w:rsid w:val="00EA7A8E"/>
    <w:rsid w:val="00EA7E68"/>
    <w:rsid w:val="00EB03A6"/>
    <w:rsid w:val="00EB142D"/>
    <w:rsid w:val="00EB3178"/>
    <w:rsid w:val="00EB336D"/>
    <w:rsid w:val="00EB3AD2"/>
    <w:rsid w:val="00EB3AF2"/>
    <w:rsid w:val="00EB4F88"/>
    <w:rsid w:val="00EB61ED"/>
    <w:rsid w:val="00EB63CF"/>
    <w:rsid w:val="00EB714F"/>
    <w:rsid w:val="00EB7616"/>
    <w:rsid w:val="00EB7B0A"/>
    <w:rsid w:val="00EB7F31"/>
    <w:rsid w:val="00EC04E3"/>
    <w:rsid w:val="00EC072F"/>
    <w:rsid w:val="00EC0A56"/>
    <w:rsid w:val="00EC0EAE"/>
    <w:rsid w:val="00EC1483"/>
    <w:rsid w:val="00EC215C"/>
    <w:rsid w:val="00EC2DAA"/>
    <w:rsid w:val="00EC2F6D"/>
    <w:rsid w:val="00EC393B"/>
    <w:rsid w:val="00EC3ED0"/>
    <w:rsid w:val="00EC43B0"/>
    <w:rsid w:val="00EC51DF"/>
    <w:rsid w:val="00EC5C8C"/>
    <w:rsid w:val="00EC6839"/>
    <w:rsid w:val="00EC7AD5"/>
    <w:rsid w:val="00ED0961"/>
    <w:rsid w:val="00ED0B8D"/>
    <w:rsid w:val="00ED0E68"/>
    <w:rsid w:val="00ED14C3"/>
    <w:rsid w:val="00ED1BEB"/>
    <w:rsid w:val="00ED1C6F"/>
    <w:rsid w:val="00ED2116"/>
    <w:rsid w:val="00ED23AA"/>
    <w:rsid w:val="00ED328E"/>
    <w:rsid w:val="00ED332D"/>
    <w:rsid w:val="00ED4065"/>
    <w:rsid w:val="00ED476D"/>
    <w:rsid w:val="00ED492B"/>
    <w:rsid w:val="00ED51C8"/>
    <w:rsid w:val="00ED51DB"/>
    <w:rsid w:val="00ED5839"/>
    <w:rsid w:val="00ED583D"/>
    <w:rsid w:val="00ED60FC"/>
    <w:rsid w:val="00ED6C0D"/>
    <w:rsid w:val="00ED70C0"/>
    <w:rsid w:val="00ED7395"/>
    <w:rsid w:val="00ED76B3"/>
    <w:rsid w:val="00ED7C82"/>
    <w:rsid w:val="00ED7D46"/>
    <w:rsid w:val="00ED7D4E"/>
    <w:rsid w:val="00EE03C5"/>
    <w:rsid w:val="00EE083C"/>
    <w:rsid w:val="00EE08EC"/>
    <w:rsid w:val="00EE0A99"/>
    <w:rsid w:val="00EE0F8F"/>
    <w:rsid w:val="00EE167B"/>
    <w:rsid w:val="00EE1ACA"/>
    <w:rsid w:val="00EE23DC"/>
    <w:rsid w:val="00EE28DD"/>
    <w:rsid w:val="00EE2CD8"/>
    <w:rsid w:val="00EE2FAF"/>
    <w:rsid w:val="00EE3B2B"/>
    <w:rsid w:val="00EE3F92"/>
    <w:rsid w:val="00EE486A"/>
    <w:rsid w:val="00EE4F2B"/>
    <w:rsid w:val="00EE4FDC"/>
    <w:rsid w:val="00EE527B"/>
    <w:rsid w:val="00EE5A0B"/>
    <w:rsid w:val="00EE5C46"/>
    <w:rsid w:val="00EE64A4"/>
    <w:rsid w:val="00EE65AE"/>
    <w:rsid w:val="00EE7C94"/>
    <w:rsid w:val="00EE7F3B"/>
    <w:rsid w:val="00EF01A1"/>
    <w:rsid w:val="00EF02FF"/>
    <w:rsid w:val="00EF0DE3"/>
    <w:rsid w:val="00EF0E22"/>
    <w:rsid w:val="00EF1436"/>
    <w:rsid w:val="00EF1C65"/>
    <w:rsid w:val="00EF228A"/>
    <w:rsid w:val="00EF2D35"/>
    <w:rsid w:val="00EF36B3"/>
    <w:rsid w:val="00EF3A71"/>
    <w:rsid w:val="00EF422A"/>
    <w:rsid w:val="00EF4501"/>
    <w:rsid w:val="00EF457E"/>
    <w:rsid w:val="00EF4836"/>
    <w:rsid w:val="00EF49D0"/>
    <w:rsid w:val="00EF4F9D"/>
    <w:rsid w:val="00EF51FD"/>
    <w:rsid w:val="00EF6375"/>
    <w:rsid w:val="00EF64F0"/>
    <w:rsid w:val="00EF6678"/>
    <w:rsid w:val="00EF7735"/>
    <w:rsid w:val="00EF7FA9"/>
    <w:rsid w:val="00F004FF"/>
    <w:rsid w:val="00F007A1"/>
    <w:rsid w:val="00F00F5A"/>
    <w:rsid w:val="00F0148A"/>
    <w:rsid w:val="00F01B53"/>
    <w:rsid w:val="00F01F3F"/>
    <w:rsid w:val="00F023B3"/>
    <w:rsid w:val="00F026EB"/>
    <w:rsid w:val="00F02855"/>
    <w:rsid w:val="00F02E7D"/>
    <w:rsid w:val="00F0334C"/>
    <w:rsid w:val="00F03F30"/>
    <w:rsid w:val="00F0428F"/>
    <w:rsid w:val="00F0442D"/>
    <w:rsid w:val="00F04A78"/>
    <w:rsid w:val="00F04F45"/>
    <w:rsid w:val="00F066B4"/>
    <w:rsid w:val="00F06BD2"/>
    <w:rsid w:val="00F06D22"/>
    <w:rsid w:val="00F0710F"/>
    <w:rsid w:val="00F07B21"/>
    <w:rsid w:val="00F10034"/>
    <w:rsid w:val="00F108DA"/>
    <w:rsid w:val="00F108F1"/>
    <w:rsid w:val="00F10DD9"/>
    <w:rsid w:val="00F11218"/>
    <w:rsid w:val="00F11376"/>
    <w:rsid w:val="00F11417"/>
    <w:rsid w:val="00F117D9"/>
    <w:rsid w:val="00F11961"/>
    <w:rsid w:val="00F11DD7"/>
    <w:rsid w:val="00F11ED3"/>
    <w:rsid w:val="00F1282E"/>
    <w:rsid w:val="00F12865"/>
    <w:rsid w:val="00F12A17"/>
    <w:rsid w:val="00F1383F"/>
    <w:rsid w:val="00F13AAD"/>
    <w:rsid w:val="00F13BA7"/>
    <w:rsid w:val="00F14405"/>
    <w:rsid w:val="00F14D0D"/>
    <w:rsid w:val="00F14D55"/>
    <w:rsid w:val="00F154B5"/>
    <w:rsid w:val="00F156D3"/>
    <w:rsid w:val="00F15961"/>
    <w:rsid w:val="00F15CF5"/>
    <w:rsid w:val="00F16D60"/>
    <w:rsid w:val="00F1727B"/>
    <w:rsid w:val="00F172A4"/>
    <w:rsid w:val="00F17A40"/>
    <w:rsid w:val="00F200E1"/>
    <w:rsid w:val="00F209A5"/>
    <w:rsid w:val="00F210F9"/>
    <w:rsid w:val="00F2155F"/>
    <w:rsid w:val="00F21E7B"/>
    <w:rsid w:val="00F22CE1"/>
    <w:rsid w:val="00F22FE9"/>
    <w:rsid w:val="00F24BCF"/>
    <w:rsid w:val="00F24E06"/>
    <w:rsid w:val="00F24F74"/>
    <w:rsid w:val="00F252F4"/>
    <w:rsid w:val="00F2535C"/>
    <w:rsid w:val="00F25EC1"/>
    <w:rsid w:val="00F262B8"/>
    <w:rsid w:val="00F27602"/>
    <w:rsid w:val="00F27787"/>
    <w:rsid w:val="00F27CA3"/>
    <w:rsid w:val="00F303E7"/>
    <w:rsid w:val="00F308AD"/>
    <w:rsid w:val="00F3121F"/>
    <w:rsid w:val="00F31C4C"/>
    <w:rsid w:val="00F32374"/>
    <w:rsid w:val="00F338A3"/>
    <w:rsid w:val="00F340F0"/>
    <w:rsid w:val="00F341DE"/>
    <w:rsid w:val="00F349F5"/>
    <w:rsid w:val="00F34A68"/>
    <w:rsid w:val="00F353BF"/>
    <w:rsid w:val="00F3604E"/>
    <w:rsid w:val="00F360F4"/>
    <w:rsid w:val="00F3637A"/>
    <w:rsid w:val="00F363F7"/>
    <w:rsid w:val="00F36E82"/>
    <w:rsid w:val="00F40023"/>
    <w:rsid w:val="00F40EB7"/>
    <w:rsid w:val="00F41446"/>
    <w:rsid w:val="00F420C9"/>
    <w:rsid w:val="00F4210E"/>
    <w:rsid w:val="00F42398"/>
    <w:rsid w:val="00F42645"/>
    <w:rsid w:val="00F42BEB"/>
    <w:rsid w:val="00F42CBC"/>
    <w:rsid w:val="00F44405"/>
    <w:rsid w:val="00F4457D"/>
    <w:rsid w:val="00F44A6C"/>
    <w:rsid w:val="00F45C8E"/>
    <w:rsid w:val="00F45E13"/>
    <w:rsid w:val="00F46A5D"/>
    <w:rsid w:val="00F47D98"/>
    <w:rsid w:val="00F47F19"/>
    <w:rsid w:val="00F50852"/>
    <w:rsid w:val="00F50975"/>
    <w:rsid w:val="00F50991"/>
    <w:rsid w:val="00F51716"/>
    <w:rsid w:val="00F51977"/>
    <w:rsid w:val="00F51D27"/>
    <w:rsid w:val="00F521E4"/>
    <w:rsid w:val="00F528FD"/>
    <w:rsid w:val="00F52AD6"/>
    <w:rsid w:val="00F52DC6"/>
    <w:rsid w:val="00F52F8A"/>
    <w:rsid w:val="00F52F92"/>
    <w:rsid w:val="00F5306E"/>
    <w:rsid w:val="00F53152"/>
    <w:rsid w:val="00F538BA"/>
    <w:rsid w:val="00F555FD"/>
    <w:rsid w:val="00F55842"/>
    <w:rsid w:val="00F55A83"/>
    <w:rsid w:val="00F55D72"/>
    <w:rsid w:val="00F55E9D"/>
    <w:rsid w:val="00F560F5"/>
    <w:rsid w:val="00F56419"/>
    <w:rsid w:val="00F56762"/>
    <w:rsid w:val="00F5726C"/>
    <w:rsid w:val="00F57794"/>
    <w:rsid w:val="00F60F53"/>
    <w:rsid w:val="00F613E4"/>
    <w:rsid w:val="00F6146E"/>
    <w:rsid w:val="00F61741"/>
    <w:rsid w:val="00F61781"/>
    <w:rsid w:val="00F6225B"/>
    <w:rsid w:val="00F62852"/>
    <w:rsid w:val="00F62C56"/>
    <w:rsid w:val="00F6360D"/>
    <w:rsid w:val="00F64374"/>
    <w:rsid w:val="00F64AF1"/>
    <w:rsid w:val="00F64F07"/>
    <w:rsid w:val="00F65076"/>
    <w:rsid w:val="00F65C61"/>
    <w:rsid w:val="00F66574"/>
    <w:rsid w:val="00F66A0E"/>
    <w:rsid w:val="00F672E3"/>
    <w:rsid w:val="00F7073B"/>
    <w:rsid w:val="00F7080C"/>
    <w:rsid w:val="00F708C7"/>
    <w:rsid w:val="00F70B8B"/>
    <w:rsid w:val="00F70E48"/>
    <w:rsid w:val="00F70F05"/>
    <w:rsid w:val="00F710DA"/>
    <w:rsid w:val="00F711C9"/>
    <w:rsid w:val="00F712D7"/>
    <w:rsid w:val="00F712E9"/>
    <w:rsid w:val="00F71FF3"/>
    <w:rsid w:val="00F723D0"/>
    <w:rsid w:val="00F726E9"/>
    <w:rsid w:val="00F731E6"/>
    <w:rsid w:val="00F74150"/>
    <w:rsid w:val="00F74197"/>
    <w:rsid w:val="00F74BB1"/>
    <w:rsid w:val="00F7564C"/>
    <w:rsid w:val="00F7572D"/>
    <w:rsid w:val="00F75921"/>
    <w:rsid w:val="00F75A25"/>
    <w:rsid w:val="00F766A8"/>
    <w:rsid w:val="00F766D3"/>
    <w:rsid w:val="00F76DD1"/>
    <w:rsid w:val="00F77145"/>
    <w:rsid w:val="00F77F8C"/>
    <w:rsid w:val="00F8034A"/>
    <w:rsid w:val="00F805D6"/>
    <w:rsid w:val="00F8072C"/>
    <w:rsid w:val="00F808CC"/>
    <w:rsid w:val="00F80BA1"/>
    <w:rsid w:val="00F80C77"/>
    <w:rsid w:val="00F814D0"/>
    <w:rsid w:val="00F816BC"/>
    <w:rsid w:val="00F81AB6"/>
    <w:rsid w:val="00F81C82"/>
    <w:rsid w:val="00F8214B"/>
    <w:rsid w:val="00F8214D"/>
    <w:rsid w:val="00F8226D"/>
    <w:rsid w:val="00F8277B"/>
    <w:rsid w:val="00F82984"/>
    <w:rsid w:val="00F83DF3"/>
    <w:rsid w:val="00F84EDC"/>
    <w:rsid w:val="00F85105"/>
    <w:rsid w:val="00F85ABF"/>
    <w:rsid w:val="00F85D91"/>
    <w:rsid w:val="00F8619E"/>
    <w:rsid w:val="00F864DF"/>
    <w:rsid w:val="00F87250"/>
    <w:rsid w:val="00F877FE"/>
    <w:rsid w:val="00F878C0"/>
    <w:rsid w:val="00F879E3"/>
    <w:rsid w:val="00F9030D"/>
    <w:rsid w:val="00F904A9"/>
    <w:rsid w:val="00F90C1F"/>
    <w:rsid w:val="00F9115F"/>
    <w:rsid w:val="00F914ED"/>
    <w:rsid w:val="00F920CB"/>
    <w:rsid w:val="00F92788"/>
    <w:rsid w:val="00F92832"/>
    <w:rsid w:val="00F92965"/>
    <w:rsid w:val="00F92AB9"/>
    <w:rsid w:val="00F92B1E"/>
    <w:rsid w:val="00F92B40"/>
    <w:rsid w:val="00F93E1B"/>
    <w:rsid w:val="00F93ED1"/>
    <w:rsid w:val="00F94570"/>
    <w:rsid w:val="00F95AE9"/>
    <w:rsid w:val="00F96961"/>
    <w:rsid w:val="00F96ED4"/>
    <w:rsid w:val="00FA0359"/>
    <w:rsid w:val="00FA0721"/>
    <w:rsid w:val="00FA1176"/>
    <w:rsid w:val="00FA2B7C"/>
    <w:rsid w:val="00FA3CDE"/>
    <w:rsid w:val="00FA456B"/>
    <w:rsid w:val="00FA5E76"/>
    <w:rsid w:val="00FA6EAC"/>
    <w:rsid w:val="00FA7412"/>
    <w:rsid w:val="00FA77BB"/>
    <w:rsid w:val="00FA7FA1"/>
    <w:rsid w:val="00FB0D1F"/>
    <w:rsid w:val="00FB0FB0"/>
    <w:rsid w:val="00FB13B9"/>
    <w:rsid w:val="00FB1A5B"/>
    <w:rsid w:val="00FB22E0"/>
    <w:rsid w:val="00FB2318"/>
    <w:rsid w:val="00FB2793"/>
    <w:rsid w:val="00FB2D29"/>
    <w:rsid w:val="00FB30CC"/>
    <w:rsid w:val="00FB31BA"/>
    <w:rsid w:val="00FB35E7"/>
    <w:rsid w:val="00FB489A"/>
    <w:rsid w:val="00FB4B94"/>
    <w:rsid w:val="00FB4F2C"/>
    <w:rsid w:val="00FB5B28"/>
    <w:rsid w:val="00FB60FC"/>
    <w:rsid w:val="00FB60FF"/>
    <w:rsid w:val="00FB6450"/>
    <w:rsid w:val="00FB6AA0"/>
    <w:rsid w:val="00FB7115"/>
    <w:rsid w:val="00FC072E"/>
    <w:rsid w:val="00FC160C"/>
    <w:rsid w:val="00FC16F3"/>
    <w:rsid w:val="00FC1F4D"/>
    <w:rsid w:val="00FC1F87"/>
    <w:rsid w:val="00FC21BF"/>
    <w:rsid w:val="00FC2791"/>
    <w:rsid w:val="00FC28D6"/>
    <w:rsid w:val="00FC2BB9"/>
    <w:rsid w:val="00FC2C47"/>
    <w:rsid w:val="00FC2E09"/>
    <w:rsid w:val="00FC2EC8"/>
    <w:rsid w:val="00FC3563"/>
    <w:rsid w:val="00FC3ED9"/>
    <w:rsid w:val="00FC41EC"/>
    <w:rsid w:val="00FC42BA"/>
    <w:rsid w:val="00FC4303"/>
    <w:rsid w:val="00FC5AE2"/>
    <w:rsid w:val="00FC5CEB"/>
    <w:rsid w:val="00FC670C"/>
    <w:rsid w:val="00FC7028"/>
    <w:rsid w:val="00FC7742"/>
    <w:rsid w:val="00FC7EEE"/>
    <w:rsid w:val="00FD00D4"/>
    <w:rsid w:val="00FD16BC"/>
    <w:rsid w:val="00FD1907"/>
    <w:rsid w:val="00FD199D"/>
    <w:rsid w:val="00FD19C3"/>
    <w:rsid w:val="00FD1D28"/>
    <w:rsid w:val="00FD238E"/>
    <w:rsid w:val="00FD2B63"/>
    <w:rsid w:val="00FD38C8"/>
    <w:rsid w:val="00FD503C"/>
    <w:rsid w:val="00FD61C9"/>
    <w:rsid w:val="00FD6552"/>
    <w:rsid w:val="00FD7136"/>
    <w:rsid w:val="00FD71E8"/>
    <w:rsid w:val="00FD73A0"/>
    <w:rsid w:val="00FD7800"/>
    <w:rsid w:val="00FD78B9"/>
    <w:rsid w:val="00FE00D4"/>
    <w:rsid w:val="00FE1094"/>
    <w:rsid w:val="00FE2552"/>
    <w:rsid w:val="00FE37CD"/>
    <w:rsid w:val="00FE39E4"/>
    <w:rsid w:val="00FE3A16"/>
    <w:rsid w:val="00FE3AFD"/>
    <w:rsid w:val="00FE4054"/>
    <w:rsid w:val="00FE4F3A"/>
    <w:rsid w:val="00FE4FFB"/>
    <w:rsid w:val="00FE5AEF"/>
    <w:rsid w:val="00FE5B45"/>
    <w:rsid w:val="00FE5C44"/>
    <w:rsid w:val="00FE61B8"/>
    <w:rsid w:val="00FE6FC4"/>
    <w:rsid w:val="00FE707B"/>
    <w:rsid w:val="00FE7369"/>
    <w:rsid w:val="00FE73EC"/>
    <w:rsid w:val="00FE741D"/>
    <w:rsid w:val="00FE786B"/>
    <w:rsid w:val="00FF033B"/>
    <w:rsid w:val="00FF18A5"/>
    <w:rsid w:val="00FF1A91"/>
    <w:rsid w:val="00FF1C47"/>
    <w:rsid w:val="00FF1E5F"/>
    <w:rsid w:val="00FF23C0"/>
    <w:rsid w:val="00FF2BE3"/>
    <w:rsid w:val="00FF3024"/>
    <w:rsid w:val="00FF3126"/>
    <w:rsid w:val="00FF3761"/>
    <w:rsid w:val="00FF3DFA"/>
    <w:rsid w:val="00FF4408"/>
    <w:rsid w:val="00FF46A1"/>
    <w:rsid w:val="00FF5274"/>
    <w:rsid w:val="00FF5D46"/>
    <w:rsid w:val="00FF6509"/>
    <w:rsid w:val="00FF6A42"/>
    <w:rsid w:val="00FF7161"/>
    <w:rsid w:val="00FF7AC8"/>
    <w:rsid w:val="00FF7F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D63"/>
    <w:pPr>
      <w:autoSpaceDE w:val="0"/>
      <w:autoSpaceDN w:val="0"/>
      <w:spacing w:after="160" w:line="288" w:lineRule="auto"/>
    </w:pPr>
    <w:rPr>
      <w:rFonts w:ascii="Arial" w:eastAsiaTheme="minorHAnsi" w:hAnsi="Arial" w:cs="Calibri"/>
      <w:color w:val="000000"/>
      <w:sz w:val="22"/>
      <w:szCs w:val="22"/>
      <w:lang w:eastAsia="en-AU"/>
    </w:rPr>
  </w:style>
  <w:style w:type="paragraph" w:styleId="Heading1">
    <w:name w:val="heading 1"/>
    <w:basedOn w:val="Normal"/>
    <w:next w:val="Normal"/>
    <w:qFormat/>
    <w:rsid w:val="00716747"/>
    <w:pPr>
      <w:keepNext/>
      <w:spacing w:before="240" w:after="360"/>
      <w:outlineLvl w:val="0"/>
    </w:pPr>
    <w:rPr>
      <w:rFonts w:eastAsia="Batang" w:cs="Arial"/>
      <w:b/>
      <w:bCs/>
      <w:sz w:val="28"/>
      <w:szCs w:val="32"/>
    </w:rPr>
  </w:style>
  <w:style w:type="paragraph" w:styleId="Heading2">
    <w:name w:val="heading 2"/>
    <w:aliases w:val="Heading 2 Char"/>
    <w:basedOn w:val="Heading1"/>
    <w:next w:val="Normal"/>
    <w:link w:val="Heading2Char1"/>
    <w:qFormat/>
    <w:rsid w:val="008B3DF7"/>
    <w:pPr>
      <w:spacing w:after="240"/>
      <w:outlineLvl w:val="1"/>
    </w:pPr>
  </w:style>
  <w:style w:type="paragraph" w:styleId="Heading3">
    <w:name w:val="heading 3"/>
    <w:basedOn w:val="Normal"/>
    <w:next w:val="Normal"/>
    <w:qFormat/>
    <w:rsid w:val="008E4FAA"/>
    <w:pPr>
      <w:keepNext/>
      <w:spacing w:before="240" w:after="12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ED3"/>
    <w:pPr>
      <w:tabs>
        <w:tab w:val="center" w:pos="4820"/>
        <w:tab w:val="right" w:pos="9356"/>
      </w:tabs>
      <w:ind w:right="-1"/>
    </w:pPr>
    <w:rPr>
      <w:sz w:val="16"/>
    </w:rPr>
  </w:style>
  <w:style w:type="character" w:customStyle="1" w:styleId="FooterChar">
    <w:name w:val="Footer Char"/>
    <w:basedOn w:val="DefaultParagraphFont"/>
    <w:link w:val="Footer"/>
    <w:uiPriority w:val="99"/>
    <w:rsid w:val="00F11ED3"/>
    <w:rPr>
      <w:rFonts w:ascii="Arial" w:hAnsi="Arial"/>
      <w:sz w:val="16"/>
      <w:lang w:eastAsia="en-US"/>
    </w:rPr>
  </w:style>
  <w:style w:type="paragraph" w:styleId="BodyText">
    <w:name w:val="Body Text"/>
    <w:basedOn w:val="Normal"/>
    <w:link w:val="BodyTextChar"/>
    <w:uiPriority w:val="99"/>
    <w:rsid w:val="00F11ED3"/>
    <w:pPr>
      <w:spacing w:after="120"/>
    </w:pPr>
  </w:style>
  <w:style w:type="character" w:customStyle="1" w:styleId="BodyTextChar">
    <w:name w:val="Body Text Char"/>
    <w:basedOn w:val="DefaultParagraphFont"/>
    <w:link w:val="BodyText"/>
    <w:uiPriority w:val="99"/>
    <w:rsid w:val="00F11ED3"/>
    <w:rPr>
      <w:rFonts w:ascii="Arial" w:hAnsi="Arial"/>
      <w:sz w:val="22"/>
      <w:lang w:eastAsia="en-US"/>
    </w:rPr>
  </w:style>
  <w:style w:type="character" w:styleId="PageNumber">
    <w:name w:val="page number"/>
    <w:basedOn w:val="DefaultParagraphFont"/>
    <w:rsid w:val="00F11ED3"/>
  </w:style>
  <w:style w:type="character" w:customStyle="1" w:styleId="Heading2Char1">
    <w:name w:val="Heading 2 Char1"/>
    <w:aliases w:val="Heading 2 Char Char"/>
    <w:basedOn w:val="DefaultParagraphFont"/>
    <w:link w:val="Heading2"/>
    <w:rsid w:val="008B3DF7"/>
    <w:rPr>
      <w:rFonts w:ascii="Arial" w:eastAsia="Batang" w:hAnsi="Arial" w:cs="Arial"/>
      <w:b/>
      <w:bCs/>
      <w:color w:val="000000"/>
      <w:sz w:val="28"/>
      <w:szCs w:val="32"/>
      <w:lang w:eastAsia="en-AU"/>
    </w:rPr>
  </w:style>
  <w:style w:type="paragraph" w:styleId="BodyTextIndent">
    <w:name w:val="Body Text Indent"/>
    <w:basedOn w:val="Normal"/>
    <w:link w:val="BodyTextIndentChar"/>
    <w:rsid w:val="00F11ED3"/>
    <w:pPr>
      <w:jc w:val="center"/>
    </w:pPr>
    <w:rPr>
      <w:rFonts w:cs="Arial"/>
      <w:b/>
      <w:bCs/>
      <w:sz w:val="24"/>
      <w:szCs w:val="24"/>
    </w:rPr>
  </w:style>
  <w:style w:type="character" w:customStyle="1" w:styleId="BodyTextIndentChar">
    <w:name w:val="Body Text Indent Char"/>
    <w:basedOn w:val="DefaultParagraphFont"/>
    <w:link w:val="BodyTextIndent"/>
    <w:rsid w:val="00F11ED3"/>
    <w:rPr>
      <w:rFonts w:ascii="Arial" w:hAnsi="Arial" w:cs="Arial"/>
      <w:b/>
      <w:bCs/>
      <w:sz w:val="24"/>
      <w:szCs w:val="24"/>
      <w:lang w:eastAsia="en-US"/>
    </w:rPr>
  </w:style>
  <w:style w:type="paragraph" w:styleId="Header">
    <w:name w:val="header"/>
    <w:basedOn w:val="Normal"/>
    <w:link w:val="HeaderChar"/>
    <w:uiPriority w:val="99"/>
    <w:rsid w:val="00F11ED3"/>
    <w:pPr>
      <w:tabs>
        <w:tab w:val="center" w:pos="4153"/>
        <w:tab w:val="right" w:pos="8306"/>
      </w:tabs>
    </w:pPr>
  </w:style>
  <w:style w:type="character" w:customStyle="1" w:styleId="HeaderChar">
    <w:name w:val="Header Char"/>
    <w:basedOn w:val="DefaultParagraphFont"/>
    <w:link w:val="Header"/>
    <w:uiPriority w:val="99"/>
    <w:rsid w:val="00F11ED3"/>
    <w:rPr>
      <w:rFonts w:ascii="Arial" w:hAnsi="Arial"/>
      <w:sz w:val="22"/>
      <w:lang w:eastAsia="en-US"/>
    </w:rPr>
  </w:style>
  <w:style w:type="character" w:styleId="CommentReference">
    <w:name w:val="annotation reference"/>
    <w:basedOn w:val="DefaultParagraphFont"/>
    <w:rsid w:val="00F11ED3"/>
    <w:rPr>
      <w:sz w:val="16"/>
      <w:szCs w:val="16"/>
    </w:rPr>
  </w:style>
  <w:style w:type="paragraph" w:styleId="CommentText">
    <w:name w:val="annotation text"/>
    <w:basedOn w:val="Normal"/>
    <w:link w:val="CommentTextChar"/>
    <w:rsid w:val="00F11ED3"/>
    <w:rPr>
      <w:sz w:val="20"/>
    </w:rPr>
  </w:style>
  <w:style w:type="character" w:customStyle="1" w:styleId="CommentTextChar">
    <w:name w:val="Comment Text Char"/>
    <w:basedOn w:val="DefaultParagraphFont"/>
    <w:link w:val="CommentText"/>
    <w:rsid w:val="00F11ED3"/>
    <w:rPr>
      <w:rFonts w:ascii="Arial" w:hAnsi="Arial"/>
      <w:lang w:eastAsia="en-US"/>
    </w:rPr>
  </w:style>
  <w:style w:type="paragraph" w:styleId="ListParagraph">
    <w:name w:val="List Paragraph"/>
    <w:basedOn w:val="Normal"/>
    <w:uiPriority w:val="34"/>
    <w:qFormat/>
    <w:rsid w:val="00E14CF8"/>
    <w:pPr>
      <w:numPr>
        <w:numId w:val="1"/>
      </w:numPr>
      <w:spacing w:after="200" w:line="360" w:lineRule="atLeast"/>
      <w:contextualSpacing/>
    </w:pPr>
  </w:style>
  <w:style w:type="paragraph" w:styleId="BalloonText">
    <w:name w:val="Balloon Text"/>
    <w:basedOn w:val="Normal"/>
    <w:link w:val="BalloonTextChar"/>
    <w:rsid w:val="00F11ED3"/>
    <w:rPr>
      <w:rFonts w:ascii="Tahoma" w:hAnsi="Tahoma" w:cs="Tahoma"/>
      <w:sz w:val="16"/>
      <w:szCs w:val="16"/>
    </w:rPr>
  </w:style>
  <w:style w:type="character" w:customStyle="1" w:styleId="BalloonTextChar">
    <w:name w:val="Balloon Text Char"/>
    <w:basedOn w:val="DefaultParagraphFont"/>
    <w:link w:val="BalloonText"/>
    <w:rsid w:val="00F11ED3"/>
    <w:rPr>
      <w:rFonts w:ascii="Tahoma" w:hAnsi="Tahoma" w:cs="Tahoma"/>
      <w:sz w:val="16"/>
      <w:szCs w:val="16"/>
      <w:lang w:eastAsia="en-US"/>
    </w:rPr>
  </w:style>
  <w:style w:type="paragraph" w:customStyle="1" w:styleId="DepartmentalNormal">
    <w:name w:val="Departmental Normal"/>
    <w:basedOn w:val="Normal"/>
    <w:uiPriority w:val="99"/>
    <w:rsid w:val="00F11ED3"/>
    <w:rPr>
      <w:rFonts w:ascii="Times New Roman" w:hAnsi="Times New Roman"/>
      <w:sz w:val="24"/>
      <w:szCs w:val="24"/>
    </w:rPr>
  </w:style>
  <w:style w:type="paragraph" w:styleId="NormalWeb">
    <w:name w:val="Normal (Web)"/>
    <w:basedOn w:val="Normal"/>
    <w:uiPriority w:val="99"/>
    <w:rsid w:val="00F11ED3"/>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C37F1B"/>
    <w:rPr>
      <w:b/>
      <w:bCs/>
    </w:rPr>
  </w:style>
  <w:style w:type="character" w:customStyle="1" w:styleId="CommentSubjectChar">
    <w:name w:val="Comment Subject Char"/>
    <w:basedOn w:val="CommentTextChar"/>
    <w:link w:val="CommentSubject"/>
    <w:rsid w:val="00C37F1B"/>
    <w:rPr>
      <w:rFonts w:ascii="Arial" w:hAnsi="Arial"/>
      <w:b/>
      <w:bCs/>
      <w:lang w:eastAsia="en-US"/>
    </w:rPr>
  </w:style>
  <w:style w:type="paragraph" w:styleId="FootnoteText">
    <w:name w:val="footnote text"/>
    <w:basedOn w:val="Normal"/>
    <w:link w:val="FootnoteTextChar"/>
    <w:rsid w:val="008B3DF7"/>
    <w:pPr>
      <w:spacing w:before="360" w:line="360" w:lineRule="auto"/>
      <w:ind w:left="284" w:hanging="284"/>
      <w:jc w:val="center"/>
    </w:pPr>
    <w:rPr>
      <w:sz w:val="20"/>
    </w:rPr>
  </w:style>
  <w:style w:type="character" w:customStyle="1" w:styleId="FootnoteTextChar">
    <w:name w:val="Footnote Text Char"/>
    <w:basedOn w:val="DefaultParagraphFont"/>
    <w:link w:val="FootnoteText"/>
    <w:rsid w:val="008B3DF7"/>
    <w:rPr>
      <w:rFonts w:ascii="Arial" w:eastAsiaTheme="minorHAnsi" w:hAnsi="Arial" w:cs="Calibri"/>
      <w:color w:val="000000"/>
      <w:szCs w:val="22"/>
      <w:lang w:eastAsia="en-AU"/>
    </w:rPr>
  </w:style>
  <w:style w:type="character" w:styleId="Hyperlink">
    <w:name w:val="Hyperlink"/>
    <w:basedOn w:val="DefaultParagraphFont"/>
    <w:uiPriority w:val="99"/>
    <w:rsid w:val="0054129C"/>
    <w:rPr>
      <w:color w:val="0000FF"/>
      <w:u w:val="single"/>
    </w:rPr>
  </w:style>
  <w:style w:type="character" w:styleId="FootnoteReference">
    <w:name w:val="footnote reference"/>
    <w:basedOn w:val="DefaultParagraphFont"/>
    <w:rsid w:val="0054129C"/>
    <w:rPr>
      <w:vertAlign w:val="superscript"/>
    </w:rPr>
  </w:style>
  <w:style w:type="paragraph" w:styleId="TOC1">
    <w:name w:val="toc 1"/>
    <w:basedOn w:val="Heading1"/>
    <w:next w:val="Normal"/>
    <w:autoRedefine/>
    <w:uiPriority w:val="39"/>
    <w:rsid w:val="006B6826"/>
    <w:pPr>
      <w:tabs>
        <w:tab w:val="right" w:leader="dot" w:pos="9629"/>
      </w:tabs>
      <w:spacing w:before="360" w:after="0"/>
      <w:ind w:right="-28"/>
    </w:pPr>
    <w:rPr>
      <w:rFonts w:eastAsia="Times New Roman"/>
      <w:noProof/>
      <w:sz w:val="22"/>
      <w:szCs w:val="20"/>
    </w:rPr>
  </w:style>
  <w:style w:type="paragraph" w:styleId="TOC2">
    <w:name w:val="toc 2"/>
    <w:basedOn w:val="Normal"/>
    <w:next w:val="Normal"/>
    <w:autoRedefine/>
    <w:uiPriority w:val="39"/>
    <w:rsid w:val="006B6826"/>
    <w:pPr>
      <w:tabs>
        <w:tab w:val="left" w:pos="880"/>
        <w:tab w:val="left" w:pos="1430"/>
        <w:tab w:val="right" w:leader="dot" w:pos="9629"/>
      </w:tabs>
      <w:spacing w:before="120" w:line="200" w:lineRule="exact"/>
    </w:pPr>
    <w:rPr>
      <w:rFonts w:eastAsia="SimSun" w:cs="Arial"/>
      <w:b/>
      <w:noProof/>
      <w:sz w:val="20"/>
    </w:rPr>
  </w:style>
  <w:style w:type="paragraph" w:customStyle="1" w:styleId="numberedpara">
    <w:name w:val="numbered para"/>
    <w:basedOn w:val="Normal"/>
    <w:uiPriority w:val="99"/>
    <w:rsid w:val="00726843"/>
    <w:pPr>
      <w:numPr>
        <w:numId w:val="4"/>
      </w:numPr>
      <w:ind w:hanging="220"/>
    </w:pPr>
    <w:rPr>
      <w:rFonts w:ascii="Calibri" w:hAnsi="Calibri"/>
    </w:rPr>
  </w:style>
  <w:style w:type="paragraph" w:customStyle="1" w:styleId="Default">
    <w:name w:val="Default"/>
    <w:basedOn w:val="Normal"/>
    <w:uiPriority w:val="99"/>
    <w:rsid w:val="00726843"/>
    <w:rPr>
      <w:rFonts w:ascii="Calibri" w:hAnsi="Calibri"/>
      <w:sz w:val="24"/>
      <w:szCs w:val="24"/>
    </w:rPr>
  </w:style>
  <w:style w:type="paragraph" w:styleId="Revision">
    <w:name w:val="Revision"/>
    <w:hidden/>
    <w:uiPriority w:val="99"/>
    <w:semiHidden/>
    <w:rsid w:val="00213E72"/>
    <w:rPr>
      <w:rFonts w:ascii="Arial" w:hAnsi="Arial"/>
      <w:sz w:val="22"/>
      <w:lang w:eastAsia="en-US"/>
    </w:rPr>
  </w:style>
  <w:style w:type="paragraph" w:styleId="NoSpacing">
    <w:name w:val="No Spacing"/>
    <w:uiPriority w:val="1"/>
    <w:qFormat/>
    <w:rsid w:val="00000FF9"/>
    <w:pPr>
      <w:keepLines/>
    </w:pPr>
    <w:rPr>
      <w:rFonts w:ascii="Arial" w:hAnsi="Arial"/>
      <w:sz w:val="22"/>
      <w:lang w:eastAsia="en-US"/>
    </w:rPr>
  </w:style>
  <w:style w:type="paragraph" w:styleId="Title">
    <w:name w:val="Title"/>
    <w:basedOn w:val="Normal"/>
    <w:next w:val="Normal"/>
    <w:link w:val="TitleChar"/>
    <w:qFormat/>
    <w:rsid w:val="006C2DDC"/>
    <w:pPr>
      <w:spacing w:before="1440" w:after="1440" w:line="240" w:lineRule="exact"/>
      <w:ind w:right="-28"/>
      <w:jc w:val="center"/>
    </w:pPr>
    <w:rPr>
      <w:b/>
    </w:rPr>
  </w:style>
  <w:style w:type="character" w:customStyle="1" w:styleId="TitleChar">
    <w:name w:val="Title Char"/>
    <w:basedOn w:val="DefaultParagraphFont"/>
    <w:link w:val="Title"/>
    <w:rsid w:val="006C2DDC"/>
    <w:rPr>
      <w:rFonts w:ascii="Arial" w:hAnsi="Arial"/>
      <w:b/>
      <w:sz w:val="22"/>
      <w:lang w:eastAsia="en-US"/>
    </w:rPr>
  </w:style>
  <w:style w:type="paragraph" w:styleId="Subtitle">
    <w:name w:val="Subtitle"/>
    <w:basedOn w:val="Normal"/>
    <w:next w:val="Normal"/>
    <w:link w:val="SubtitleChar"/>
    <w:qFormat/>
    <w:rsid w:val="00155D5A"/>
    <w:pPr>
      <w:spacing w:after="3240" w:line="240" w:lineRule="exact"/>
      <w:jc w:val="center"/>
    </w:pPr>
    <w:rPr>
      <w:b/>
      <w:i/>
    </w:rPr>
  </w:style>
  <w:style w:type="character" w:customStyle="1" w:styleId="SubtitleChar">
    <w:name w:val="Subtitle Char"/>
    <w:basedOn w:val="DefaultParagraphFont"/>
    <w:link w:val="Subtitle"/>
    <w:rsid w:val="00155D5A"/>
    <w:rPr>
      <w:rFonts w:ascii="Arial" w:hAnsi="Arial"/>
      <w:b/>
      <w:i/>
      <w:sz w:val="22"/>
      <w:lang w:eastAsia="en-US"/>
    </w:rPr>
  </w:style>
  <w:style w:type="character" w:styleId="SubtleReference">
    <w:name w:val="Subtle Reference"/>
    <w:uiPriority w:val="31"/>
    <w:qFormat/>
    <w:rsid w:val="00155D5A"/>
  </w:style>
  <w:style w:type="character" w:styleId="Emphasis">
    <w:name w:val="Emphasis"/>
    <w:basedOn w:val="DefaultParagraphFont"/>
    <w:qFormat/>
    <w:rsid w:val="0048108E"/>
    <w:rPr>
      <w:i/>
      <w:iCs/>
    </w:rPr>
  </w:style>
  <w:style w:type="character" w:styleId="FollowedHyperlink">
    <w:name w:val="FollowedHyperlink"/>
    <w:basedOn w:val="DefaultParagraphFont"/>
    <w:rsid w:val="0048108E"/>
    <w:rPr>
      <w:color w:val="800080" w:themeColor="followedHyperlink"/>
      <w:u w:val="single"/>
    </w:rPr>
  </w:style>
  <w:style w:type="character" w:styleId="Strong">
    <w:name w:val="Strong"/>
    <w:basedOn w:val="DefaultParagraphFont"/>
    <w:qFormat/>
    <w:rsid w:val="006F330B"/>
    <w:rPr>
      <w:b/>
      <w:bCs/>
    </w:rPr>
  </w:style>
  <w:style w:type="paragraph" w:styleId="TOC3">
    <w:name w:val="toc 3"/>
    <w:basedOn w:val="Normal"/>
    <w:next w:val="Normal"/>
    <w:autoRedefine/>
    <w:uiPriority w:val="39"/>
    <w:rsid w:val="006B6826"/>
    <w:pPr>
      <w:spacing w:after="100"/>
      <w:ind w:left="440"/>
    </w:pPr>
  </w:style>
  <w:style w:type="table" w:styleId="TableGrid">
    <w:name w:val="Table Grid"/>
    <w:basedOn w:val="TableNormal"/>
    <w:rsid w:val="003C5544"/>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jc w:val="center"/>
    </w:trPr>
    <w:tcPr>
      <w:vAlign w:val="center"/>
    </w:tcPr>
  </w:style>
  <w:style w:type="paragraph" w:styleId="TOCHeading">
    <w:name w:val="TOC Heading"/>
    <w:basedOn w:val="Heading1"/>
    <w:next w:val="Normal"/>
    <w:uiPriority w:val="39"/>
    <w:semiHidden/>
    <w:unhideWhenUsed/>
    <w:qFormat/>
    <w:rsid w:val="006B6826"/>
    <w:pPr>
      <w:keepLines/>
      <w:autoSpaceDE/>
      <w:autoSpaceDN/>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nhideWhenUsed/>
    <w:qFormat/>
    <w:rsid w:val="003C5544"/>
    <w:pPr>
      <w:spacing w:after="200" w:line="240" w:lineRule="auto"/>
    </w:pPr>
    <w:rPr>
      <w:b/>
      <w:bCs/>
      <w:color w:val="4F81BD" w:themeColor="accent1"/>
      <w:sz w:val="18"/>
      <w:szCs w:val="18"/>
    </w:rPr>
  </w:style>
  <w:style w:type="table" w:customStyle="1" w:styleId="Table">
    <w:name w:val="Table"/>
    <w:basedOn w:val="TableGrid1"/>
    <w:uiPriority w:val="99"/>
    <w:rsid w:val="00932D75"/>
    <w:pPr>
      <w:spacing w:after="0"/>
      <w:jc w:val="center"/>
    </w:pPr>
    <w:rPr>
      <w:rFonts w:ascii="Arial" w:hAnsi="Arial"/>
      <w:sz w:val="18"/>
      <w:lang w:eastAsia="en-AU"/>
    </w:rPr>
    <w:tblPr>
      <w:jc w:val="center"/>
    </w:tblPr>
    <w:trPr>
      <w:tblHeader/>
      <w:jc w:val="center"/>
    </w:tr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atesTable">
    <w:name w:val="Rates Table"/>
    <w:basedOn w:val="Normal"/>
    <w:qFormat/>
    <w:rsid w:val="00932D75"/>
    <w:pPr>
      <w:spacing w:after="0"/>
      <w:jc w:val="center"/>
    </w:pPr>
    <w:rPr>
      <w:rFonts w:eastAsia="Times New Roman" w:cs="Times New Roman"/>
      <w:sz w:val="18"/>
      <w:szCs w:val="20"/>
    </w:rPr>
  </w:style>
  <w:style w:type="table" w:styleId="TableGrid1">
    <w:name w:val="Table Grid 1"/>
    <w:basedOn w:val="TableNormal"/>
    <w:rsid w:val="00932D75"/>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D63"/>
    <w:pPr>
      <w:autoSpaceDE w:val="0"/>
      <w:autoSpaceDN w:val="0"/>
      <w:spacing w:after="160" w:line="288" w:lineRule="auto"/>
    </w:pPr>
    <w:rPr>
      <w:rFonts w:ascii="Arial" w:eastAsiaTheme="minorHAnsi" w:hAnsi="Arial" w:cs="Calibri"/>
      <w:color w:val="000000"/>
      <w:sz w:val="22"/>
      <w:szCs w:val="22"/>
      <w:lang w:eastAsia="en-AU"/>
    </w:rPr>
  </w:style>
  <w:style w:type="paragraph" w:styleId="Heading1">
    <w:name w:val="heading 1"/>
    <w:basedOn w:val="Normal"/>
    <w:next w:val="Normal"/>
    <w:qFormat/>
    <w:rsid w:val="00716747"/>
    <w:pPr>
      <w:keepNext/>
      <w:spacing w:before="240" w:after="360"/>
      <w:outlineLvl w:val="0"/>
    </w:pPr>
    <w:rPr>
      <w:rFonts w:eastAsia="Batang" w:cs="Arial"/>
      <w:b/>
      <w:bCs/>
      <w:sz w:val="28"/>
      <w:szCs w:val="32"/>
    </w:rPr>
  </w:style>
  <w:style w:type="paragraph" w:styleId="Heading2">
    <w:name w:val="heading 2"/>
    <w:aliases w:val="Heading 2 Char"/>
    <w:basedOn w:val="Heading1"/>
    <w:next w:val="Normal"/>
    <w:link w:val="Heading2Char1"/>
    <w:qFormat/>
    <w:rsid w:val="008B3DF7"/>
    <w:pPr>
      <w:spacing w:after="240"/>
      <w:outlineLvl w:val="1"/>
    </w:pPr>
  </w:style>
  <w:style w:type="paragraph" w:styleId="Heading3">
    <w:name w:val="heading 3"/>
    <w:basedOn w:val="Normal"/>
    <w:next w:val="Normal"/>
    <w:qFormat/>
    <w:rsid w:val="008E4FAA"/>
    <w:pPr>
      <w:keepNext/>
      <w:spacing w:before="240" w:after="12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ED3"/>
    <w:pPr>
      <w:tabs>
        <w:tab w:val="center" w:pos="4820"/>
        <w:tab w:val="right" w:pos="9356"/>
      </w:tabs>
      <w:ind w:right="-1"/>
    </w:pPr>
    <w:rPr>
      <w:sz w:val="16"/>
    </w:rPr>
  </w:style>
  <w:style w:type="character" w:customStyle="1" w:styleId="FooterChar">
    <w:name w:val="Footer Char"/>
    <w:basedOn w:val="DefaultParagraphFont"/>
    <w:link w:val="Footer"/>
    <w:uiPriority w:val="99"/>
    <w:rsid w:val="00F11ED3"/>
    <w:rPr>
      <w:rFonts w:ascii="Arial" w:hAnsi="Arial"/>
      <w:sz w:val="16"/>
      <w:lang w:eastAsia="en-US"/>
    </w:rPr>
  </w:style>
  <w:style w:type="paragraph" w:styleId="BodyText">
    <w:name w:val="Body Text"/>
    <w:basedOn w:val="Normal"/>
    <w:link w:val="BodyTextChar"/>
    <w:uiPriority w:val="99"/>
    <w:rsid w:val="00F11ED3"/>
    <w:pPr>
      <w:spacing w:after="120"/>
    </w:pPr>
  </w:style>
  <w:style w:type="character" w:customStyle="1" w:styleId="BodyTextChar">
    <w:name w:val="Body Text Char"/>
    <w:basedOn w:val="DefaultParagraphFont"/>
    <w:link w:val="BodyText"/>
    <w:uiPriority w:val="99"/>
    <w:rsid w:val="00F11ED3"/>
    <w:rPr>
      <w:rFonts w:ascii="Arial" w:hAnsi="Arial"/>
      <w:sz w:val="22"/>
      <w:lang w:eastAsia="en-US"/>
    </w:rPr>
  </w:style>
  <w:style w:type="character" w:styleId="PageNumber">
    <w:name w:val="page number"/>
    <w:basedOn w:val="DefaultParagraphFont"/>
    <w:rsid w:val="00F11ED3"/>
  </w:style>
  <w:style w:type="character" w:customStyle="1" w:styleId="Heading2Char1">
    <w:name w:val="Heading 2 Char1"/>
    <w:aliases w:val="Heading 2 Char Char"/>
    <w:basedOn w:val="DefaultParagraphFont"/>
    <w:link w:val="Heading2"/>
    <w:rsid w:val="008B3DF7"/>
    <w:rPr>
      <w:rFonts w:ascii="Arial" w:eastAsia="Batang" w:hAnsi="Arial" w:cs="Arial"/>
      <w:b/>
      <w:bCs/>
      <w:color w:val="000000"/>
      <w:sz w:val="28"/>
      <w:szCs w:val="32"/>
      <w:lang w:eastAsia="en-AU"/>
    </w:rPr>
  </w:style>
  <w:style w:type="paragraph" w:styleId="BodyTextIndent">
    <w:name w:val="Body Text Indent"/>
    <w:basedOn w:val="Normal"/>
    <w:link w:val="BodyTextIndentChar"/>
    <w:rsid w:val="00F11ED3"/>
    <w:pPr>
      <w:jc w:val="center"/>
    </w:pPr>
    <w:rPr>
      <w:rFonts w:cs="Arial"/>
      <w:b/>
      <w:bCs/>
      <w:sz w:val="24"/>
      <w:szCs w:val="24"/>
    </w:rPr>
  </w:style>
  <w:style w:type="character" w:customStyle="1" w:styleId="BodyTextIndentChar">
    <w:name w:val="Body Text Indent Char"/>
    <w:basedOn w:val="DefaultParagraphFont"/>
    <w:link w:val="BodyTextIndent"/>
    <w:rsid w:val="00F11ED3"/>
    <w:rPr>
      <w:rFonts w:ascii="Arial" w:hAnsi="Arial" w:cs="Arial"/>
      <w:b/>
      <w:bCs/>
      <w:sz w:val="24"/>
      <w:szCs w:val="24"/>
      <w:lang w:eastAsia="en-US"/>
    </w:rPr>
  </w:style>
  <w:style w:type="paragraph" w:styleId="Header">
    <w:name w:val="header"/>
    <w:basedOn w:val="Normal"/>
    <w:link w:val="HeaderChar"/>
    <w:uiPriority w:val="99"/>
    <w:rsid w:val="00F11ED3"/>
    <w:pPr>
      <w:tabs>
        <w:tab w:val="center" w:pos="4153"/>
        <w:tab w:val="right" w:pos="8306"/>
      </w:tabs>
    </w:pPr>
  </w:style>
  <w:style w:type="character" w:customStyle="1" w:styleId="HeaderChar">
    <w:name w:val="Header Char"/>
    <w:basedOn w:val="DefaultParagraphFont"/>
    <w:link w:val="Header"/>
    <w:uiPriority w:val="99"/>
    <w:rsid w:val="00F11ED3"/>
    <w:rPr>
      <w:rFonts w:ascii="Arial" w:hAnsi="Arial"/>
      <w:sz w:val="22"/>
      <w:lang w:eastAsia="en-US"/>
    </w:rPr>
  </w:style>
  <w:style w:type="character" w:styleId="CommentReference">
    <w:name w:val="annotation reference"/>
    <w:basedOn w:val="DefaultParagraphFont"/>
    <w:rsid w:val="00F11ED3"/>
    <w:rPr>
      <w:sz w:val="16"/>
      <w:szCs w:val="16"/>
    </w:rPr>
  </w:style>
  <w:style w:type="paragraph" w:styleId="CommentText">
    <w:name w:val="annotation text"/>
    <w:basedOn w:val="Normal"/>
    <w:link w:val="CommentTextChar"/>
    <w:rsid w:val="00F11ED3"/>
    <w:rPr>
      <w:sz w:val="20"/>
    </w:rPr>
  </w:style>
  <w:style w:type="character" w:customStyle="1" w:styleId="CommentTextChar">
    <w:name w:val="Comment Text Char"/>
    <w:basedOn w:val="DefaultParagraphFont"/>
    <w:link w:val="CommentText"/>
    <w:rsid w:val="00F11ED3"/>
    <w:rPr>
      <w:rFonts w:ascii="Arial" w:hAnsi="Arial"/>
      <w:lang w:eastAsia="en-US"/>
    </w:rPr>
  </w:style>
  <w:style w:type="paragraph" w:styleId="ListParagraph">
    <w:name w:val="List Paragraph"/>
    <w:basedOn w:val="Normal"/>
    <w:uiPriority w:val="34"/>
    <w:qFormat/>
    <w:rsid w:val="00E14CF8"/>
    <w:pPr>
      <w:numPr>
        <w:numId w:val="1"/>
      </w:numPr>
      <w:spacing w:after="200" w:line="360" w:lineRule="atLeast"/>
      <w:contextualSpacing/>
    </w:pPr>
  </w:style>
  <w:style w:type="paragraph" w:styleId="BalloonText">
    <w:name w:val="Balloon Text"/>
    <w:basedOn w:val="Normal"/>
    <w:link w:val="BalloonTextChar"/>
    <w:rsid w:val="00F11ED3"/>
    <w:rPr>
      <w:rFonts w:ascii="Tahoma" w:hAnsi="Tahoma" w:cs="Tahoma"/>
      <w:sz w:val="16"/>
      <w:szCs w:val="16"/>
    </w:rPr>
  </w:style>
  <w:style w:type="character" w:customStyle="1" w:styleId="BalloonTextChar">
    <w:name w:val="Balloon Text Char"/>
    <w:basedOn w:val="DefaultParagraphFont"/>
    <w:link w:val="BalloonText"/>
    <w:rsid w:val="00F11ED3"/>
    <w:rPr>
      <w:rFonts w:ascii="Tahoma" w:hAnsi="Tahoma" w:cs="Tahoma"/>
      <w:sz w:val="16"/>
      <w:szCs w:val="16"/>
      <w:lang w:eastAsia="en-US"/>
    </w:rPr>
  </w:style>
  <w:style w:type="paragraph" w:customStyle="1" w:styleId="DepartmentalNormal">
    <w:name w:val="Departmental Normal"/>
    <w:basedOn w:val="Normal"/>
    <w:uiPriority w:val="99"/>
    <w:rsid w:val="00F11ED3"/>
    <w:rPr>
      <w:rFonts w:ascii="Times New Roman" w:hAnsi="Times New Roman"/>
      <w:sz w:val="24"/>
      <w:szCs w:val="24"/>
    </w:rPr>
  </w:style>
  <w:style w:type="paragraph" w:styleId="NormalWeb">
    <w:name w:val="Normal (Web)"/>
    <w:basedOn w:val="Normal"/>
    <w:uiPriority w:val="99"/>
    <w:rsid w:val="00F11ED3"/>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C37F1B"/>
    <w:rPr>
      <w:b/>
      <w:bCs/>
    </w:rPr>
  </w:style>
  <w:style w:type="character" w:customStyle="1" w:styleId="CommentSubjectChar">
    <w:name w:val="Comment Subject Char"/>
    <w:basedOn w:val="CommentTextChar"/>
    <w:link w:val="CommentSubject"/>
    <w:rsid w:val="00C37F1B"/>
    <w:rPr>
      <w:rFonts w:ascii="Arial" w:hAnsi="Arial"/>
      <w:b/>
      <w:bCs/>
      <w:lang w:eastAsia="en-US"/>
    </w:rPr>
  </w:style>
  <w:style w:type="paragraph" w:styleId="FootnoteText">
    <w:name w:val="footnote text"/>
    <w:basedOn w:val="Normal"/>
    <w:link w:val="FootnoteTextChar"/>
    <w:rsid w:val="008B3DF7"/>
    <w:pPr>
      <w:spacing w:before="360" w:line="360" w:lineRule="auto"/>
      <w:ind w:left="284" w:hanging="284"/>
      <w:jc w:val="center"/>
    </w:pPr>
    <w:rPr>
      <w:sz w:val="20"/>
    </w:rPr>
  </w:style>
  <w:style w:type="character" w:customStyle="1" w:styleId="FootnoteTextChar">
    <w:name w:val="Footnote Text Char"/>
    <w:basedOn w:val="DefaultParagraphFont"/>
    <w:link w:val="FootnoteText"/>
    <w:rsid w:val="008B3DF7"/>
    <w:rPr>
      <w:rFonts w:ascii="Arial" w:eastAsiaTheme="minorHAnsi" w:hAnsi="Arial" w:cs="Calibri"/>
      <w:color w:val="000000"/>
      <w:szCs w:val="22"/>
      <w:lang w:eastAsia="en-AU"/>
    </w:rPr>
  </w:style>
  <w:style w:type="character" w:styleId="Hyperlink">
    <w:name w:val="Hyperlink"/>
    <w:basedOn w:val="DefaultParagraphFont"/>
    <w:uiPriority w:val="99"/>
    <w:rsid w:val="0054129C"/>
    <w:rPr>
      <w:color w:val="0000FF"/>
      <w:u w:val="single"/>
    </w:rPr>
  </w:style>
  <w:style w:type="character" w:styleId="FootnoteReference">
    <w:name w:val="footnote reference"/>
    <w:basedOn w:val="DefaultParagraphFont"/>
    <w:rsid w:val="0054129C"/>
    <w:rPr>
      <w:vertAlign w:val="superscript"/>
    </w:rPr>
  </w:style>
  <w:style w:type="paragraph" w:styleId="TOC1">
    <w:name w:val="toc 1"/>
    <w:basedOn w:val="Heading1"/>
    <w:next w:val="Normal"/>
    <w:autoRedefine/>
    <w:uiPriority w:val="39"/>
    <w:rsid w:val="006B6826"/>
    <w:pPr>
      <w:tabs>
        <w:tab w:val="right" w:leader="dot" w:pos="9629"/>
      </w:tabs>
      <w:spacing w:before="360" w:after="0"/>
      <w:ind w:right="-28"/>
    </w:pPr>
    <w:rPr>
      <w:rFonts w:eastAsia="Times New Roman"/>
      <w:noProof/>
      <w:sz w:val="22"/>
      <w:szCs w:val="20"/>
    </w:rPr>
  </w:style>
  <w:style w:type="paragraph" w:styleId="TOC2">
    <w:name w:val="toc 2"/>
    <w:basedOn w:val="Normal"/>
    <w:next w:val="Normal"/>
    <w:autoRedefine/>
    <w:uiPriority w:val="39"/>
    <w:rsid w:val="006B6826"/>
    <w:pPr>
      <w:tabs>
        <w:tab w:val="left" w:pos="880"/>
        <w:tab w:val="left" w:pos="1430"/>
        <w:tab w:val="right" w:leader="dot" w:pos="9629"/>
      </w:tabs>
      <w:spacing w:before="120" w:line="200" w:lineRule="exact"/>
    </w:pPr>
    <w:rPr>
      <w:rFonts w:eastAsia="SimSun" w:cs="Arial"/>
      <w:b/>
      <w:noProof/>
      <w:sz w:val="20"/>
    </w:rPr>
  </w:style>
  <w:style w:type="paragraph" w:customStyle="1" w:styleId="numberedpara">
    <w:name w:val="numbered para"/>
    <w:basedOn w:val="Normal"/>
    <w:uiPriority w:val="99"/>
    <w:rsid w:val="00726843"/>
    <w:pPr>
      <w:numPr>
        <w:numId w:val="4"/>
      </w:numPr>
      <w:ind w:hanging="220"/>
    </w:pPr>
    <w:rPr>
      <w:rFonts w:ascii="Calibri" w:hAnsi="Calibri"/>
    </w:rPr>
  </w:style>
  <w:style w:type="paragraph" w:customStyle="1" w:styleId="Default">
    <w:name w:val="Default"/>
    <w:basedOn w:val="Normal"/>
    <w:uiPriority w:val="99"/>
    <w:rsid w:val="00726843"/>
    <w:rPr>
      <w:rFonts w:ascii="Calibri" w:hAnsi="Calibri"/>
      <w:sz w:val="24"/>
      <w:szCs w:val="24"/>
    </w:rPr>
  </w:style>
  <w:style w:type="paragraph" w:styleId="Revision">
    <w:name w:val="Revision"/>
    <w:hidden/>
    <w:uiPriority w:val="99"/>
    <w:semiHidden/>
    <w:rsid w:val="00213E72"/>
    <w:rPr>
      <w:rFonts w:ascii="Arial" w:hAnsi="Arial"/>
      <w:sz w:val="22"/>
      <w:lang w:eastAsia="en-US"/>
    </w:rPr>
  </w:style>
  <w:style w:type="paragraph" w:styleId="NoSpacing">
    <w:name w:val="No Spacing"/>
    <w:uiPriority w:val="1"/>
    <w:qFormat/>
    <w:rsid w:val="00000FF9"/>
    <w:pPr>
      <w:keepLines/>
    </w:pPr>
    <w:rPr>
      <w:rFonts w:ascii="Arial" w:hAnsi="Arial"/>
      <w:sz w:val="22"/>
      <w:lang w:eastAsia="en-US"/>
    </w:rPr>
  </w:style>
  <w:style w:type="paragraph" w:styleId="Title">
    <w:name w:val="Title"/>
    <w:basedOn w:val="Normal"/>
    <w:next w:val="Normal"/>
    <w:link w:val="TitleChar"/>
    <w:qFormat/>
    <w:rsid w:val="006C2DDC"/>
    <w:pPr>
      <w:spacing w:before="1440" w:after="1440" w:line="240" w:lineRule="exact"/>
      <w:ind w:right="-28"/>
      <w:jc w:val="center"/>
    </w:pPr>
    <w:rPr>
      <w:b/>
    </w:rPr>
  </w:style>
  <w:style w:type="character" w:customStyle="1" w:styleId="TitleChar">
    <w:name w:val="Title Char"/>
    <w:basedOn w:val="DefaultParagraphFont"/>
    <w:link w:val="Title"/>
    <w:rsid w:val="006C2DDC"/>
    <w:rPr>
      <w:rFonts w:ascii="Arial" w:hAnsi="Arial"/>
      <w:b/>
      <w:sz w:val="22"/>
      <w:lang w:eastAsia="en-US"/>
    </w:rPr>
  </w:style>
  <w:style w:type="paragraph" w:styleId="Subtitle">
    <w:name w:val="Subtitle"/>
    <w:basedOn w:val="Normal"/>
    <w:next w:val="Normal"/>
    <w:link w:val="SubtitleChar"/>
    <w:qFormat/>
    <w:rsid w:val="00155D5A"/>
    <w:pPr>
      <w:spacing w:after="3240" w:line="240" w:lineRule="exact"/>
      <w:jc w:val="center"/>
    </w:pPr>
    <w:rPr>
      <w:b/>
      <w:i/>
    </w:rPr>
  </w:style>
  <w:style w:type="character" w:customStyle="1" w:styleId="SubtitleChar">
    <w:name w:val="Subtitle Char"/>
    <w:basedOn w:val="DefaultParagraphFont"/>
    <w:link w:val="Subtitle"/>
    <w:rsid w:val="00155D5A"/>
    <w:rPr>
      <w:rFonts w:ascii="Arial" w:hAnsi="Arial"/>
      <w:b/>
      <w:i/>
      <w:sz w:val="22"/>
      <w:lang w:eastAsia="en-US"/>
    </w:rPr>
  </w:style>
  <w:style w:type="character" w:styleId="SubtleReference">
    <w:name w:val="Subtle Reference"/>
    <w:uiPriority w:val="31"/>
    <w:qFormat/>
    <w:rsid w:val="00155D5A"/>
  </w:style>
  <w:style w:type="character" w:styleId="Emphasis">
    <w:name w:val="Emphasis"/>
    <w:basedOn w:val="DefaultParagraphFont"/>
    <w:qFormat/>
    <w:rsid w:val="0048108E"/>
    <w:rPr>
      <w:i/>
      <w:iCs/>
    </w:rPr>
  </w:style>
  <w:style w:type="character" w:styleId="FollowedHyperlink">
    <w:name w:val="FollowedHyperlink"/>
    <w:basedOn w:val="DefaultParagraphFont"/>
    <w:rsid w:val="0048108E"/>
    <w:rPr>
      <w:color w:val="800080" w:themeColor="followedHyperlink"/>
      <w:u w:val="single"/>
    </w:rPr>
  </w:style>
  <w:style w:type="character" w:styleId="Strong">
    <w:name w:val="Strong"/>
    <w:basedOn w:val="DefaultParagraphFont"/>
    <w:qFormat/>
    <w:rsid w:val="006F330B"/>
    <w:rPr>
      <w:b/>
      <w:bCs/>
    </w:rPr>
  </w:style>
  <w:style w:type="paragraph" w:styleId="TOC3">
    <w:name w:val="toc 3"/>
    <w:basedOn w:val="Normal"/>
    <w:next w:val="Normal"/>
    <w:autoRedefine/>
    <w:uiPriority w:val="39"/>
    <w:rsid w:val="006B6826"/>
    <w:pPr>
      <w:spacing w:after="100"/>
      <w:ind w:left="440"/>
    </w:pPr>
  </w:style>
  <w:style w:type="table" w:styleId="TableGrid">
    <w:name w:val="Table Grid"/>
    <w:basedOn w:val="TableNormal"/>
    <w:rsid w:val="003C5544"/>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jc w:val="center"/>
    </w:trPr>
    <w:tcPr>
      <w:vAlign w:val="center"/>
    </w:tcPr>
  </w:style>
  <w:style w:type="paragraph" w:styleId="TOCHeading">
    <w:name w:val="TOC Heading"/>
    <w:basedOn w:val="Heading1"/>
    <w:next w:val="Normal"/>
    <w:uiPriority w:val="39"/>
    <w:semiHidden/>
    <w:unhideWhenUsed/>
    <w:qFormat/>
    <w:rsid w:val="006B6826"/>
    <w:pPr>
      <w:keepLines/>
      <w:autoSpaceDE/>
      <w:autoSpaceDN/>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nhideWhenUsed/>
    <w:qFormat/>
    <w:rsid w:val="003C5544"/>
    <w:pPr>
      <w:spacing w:after="200" w:line="240" w:lineRule="auto"/>
    </w:pPr>
    <w:rPr>
      <w:b/>
      <w:bCs/>
      <w:color w:val="4F81BD" w:themeColor="accent1"/>
      <w:sz w:val="18"/>
      <w:szCs w:val="18"/>
    </w:rPr>
  </w:style>
  <w:style w:type="table" w:customStyle="1" w:styleId="Table">
    <w:name w:val="Table"/>
    <w:basedOn w:val="TableGrid1"/>
    <w:uiPriority w:val="99"/>
    <w:rsid w:val="00932D75"/>
    <w:pPr>
      <w:spacing w:after="0"/>
      <w:jc w:val="center"/>
    </w:pPr>
    <w:rPr>
      <w:rFonts w:ascii="Arial" w:hAnsi="Arial"/>
      <w:sz w:val="18"/>
      <w:lang w:eastAsia="en-AU"/>
    </w:rPr>
    <w:tblPr>
      <w:jc w:val="center"/>
    </w:tblPr>
    <w:trPr>
      <w:tblHeader/>
      <w:jc w:val="center"/>
    </w:tr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atesTable">
    <w:name w:val="Rates Table"/>
    <w:basedOn w:val="Normal"/>
    <w:qFormat/>
    <w:rsid w:val="00932D75"/>
    <w:pPr>
      <w:spacing w:after="0"/>
      <w:jc w:val="center"/>
    </w:pPr>
    <w:rPr>
      <w:rFonts w:eastAsia="Times New Roman" w:cs="Times New Roman"/>
      <w:sz w:val="18"/>
      <w:szCs w:val="20"/>
    </w:rPr>
  </w:style>
  <w:style w:type="table" w:styleId="TableGrid1">
    <w:name w:val="Table Grid 1"/>
    <w:basedOn w:val="TableNormal"/>
    <w:rsid w:val="00932D75"/>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927">
      <w:bodyDiv w:val="1"/>
      <w:marLeft w:val="0"/>
      <w:marRight w:val="0"/>
      <w:marTop w:val="0"/>
      <w:marBottom w:val="0"/>
      <w:divBdr>
        <w:top w:val="none" w:sz="0" w:space="0" w:color="auto"/>
        <w:left w:val="none" w:sz="0" w:space="0" w:color="auto"/>
        <w:bottom w:val="none" w:sz="0" w:space="0" w:color="auto"/>
        <w:right w:val="none" w:sz="0" w:space="0" w:color="auto"/>
      </w:divBdr>
    </w:div>
    <w:div w:id="338118185">
      <w:bodyDiv w:val="1"/>
      <w:marLeft w:val="0"/>
      <w:marRight w:val="0"/>
      <w:marTop w:val="0"/>
      <w:marBottom w:val="0"/>
      <w:divBdr>
        <w:top w:val="none" w:sz="0" w:space="0" w:color="auto"/>
        <w:left w:val="none" w:sz="0" w:space="0" w:color="auto"/>
        <w:bottom w:val="none" w:sz="0" w:space="0" w:color="auto"/>
        <w:right w:val="none" w:sz="0" w:space="0" w:color="auto"/>
      </w:divBdr>
    </w:div>
    <w:div w:id="1332223870">
      <w:bodyDiv w:val="1"/>
      <w:marLeft w:val="0"/>
      <w:marRight w:val="0"/>
      <w:marTop w:val="0"/>
      <w:marBottom w:val="0"/>
      <w:divBdr>
        <w:top w:val="none" w:sz="0" w:space="0" w:color="auto"/>
        <w:left w:val="none" w:sz="0" w:space="0" w:color="auto"/>
        <w:bottom w:val="none" w:sz="0" w:space="0" w:color="auto"/>
        <w:right w:val="none" w:sz="0" w:space="0" w:color="auto"/>
      </w:divBdr>
    </w:div>
    <w:div w:id="2017417551">
      <w:bodyDiv w:val="1"/>
      <w:marLeft w:val="0"/>
      <w:marRight w:val="0"/>
      <w:marTop w:val="0"/>
      <w:marBottom w:val="0"/>
      <w:divBdr>
        <w:top w:val="none" w:sz="0" w:space="0" w:color="auto"/>
        <w:left w:val="none" w:sz="0" w:space="0" w:color="auto"/>
        <w:bottom w:val="none" w:sz="0" w:space="0" w:color="auto"/>
        <w:right w:val="none" w:sz="0" w:space="0" w:color="auto"/>
      </w:divBdr>
    </w:div>
    <w:div w:id="21272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cid:image002.png@01CDCD60.359787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0128-78A6-4BD8-8FFE-D692486C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849FDED3.dotm</Template>
  <TotalTime>7</TotalTime>
  <Pages>14</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Green Report intro – Kris, Darren, Alex and Joanne</vt:lpstr>
    </vt:vector>
  </TitlesOfParts>
  <Company>Australian Government</Company>
  <LinksUpToDate>false</LinksUpToDate>
  <CharactersWithSpaces>22322</CharactersWithSpaces>
  <SharedDoc>false</SharedDoc>
  <HLinks>
    <vt:vector size="126" baseType="variant">
      <vt:variant>
        <vt:i4>4128850</vt:i4>
      </vt:variant>
      <vt:variant>
        <vt:i4>111</vt:i4>
      </vt:variant>
      <vt:variant>
        <vt:i4>0</vt:i4>
      </vt:variant>
      <vt:variant>
        <vt:i4>5</vt:i4>
      </vt:variant>
      <vt:variant>
        <vt:lpwstr>\\EPNAS001\50005332\GREEN REPORT\2007 Green report (2006 data)\FINAL REPORT TO MCMILLANS\1 -  Forms of Assistance Green Report 2006 FINAL.doc</vt:lpwstr>
      </vt:variant>
      <vt:variant>
        <vt:lpwstr>_Toc54166299#_Toc54166299</vt:lpwstr>
      </vt:variant>
      <vt:variant>
        <vt:i4>1900600</vt:i4>
      </vt:variant>
      <vt:variant>
        <vt:i4>104</vt:i4>
      </vt:variant>
      <vt:variant>
        <vt:i4>0</vt:i4>
      </vt:variant>
      <vt:variant>
        <vt:i4>5</vt:i4>
      </vt:variant>
      <vt:variant>
        <vt:lpwstr/>
      </vt:variant>
      <vt:variant>
        <vt:lpwstr>_Toc278960441</vt:lpwstr>
      </vt:variant>
      <vt:variant>
        <vt:i4>1900600</vt:i4>
      </vt:variant>
      <vt:variant>
        <vt:i4>98</vt:i4>
      </vt:variant>
      <vt:variant>
        <vt:i4>0</vt:i4>
      </vt:variant>
      <vt:variant>
        <vt:i4>5</vt:i4>
      </vt:variant>
      <vt:variant>
        <vt:lpwstr/>
      </vt:variant>
      <vt:variant>
        <vt:lpwstr>_Toc278960440</vt:lpwstr>
      </vt:variant>
      <vt:variant>
        <vt:i4>1703992</vt:i4>
      </vt:variant>
      <vt:variant>
        <vt:i4>92</vt:i4>
      </vt:variant>
      <vt:variant>
        <vt:i4>0</vt:i4>
      </vt:variant>
      <vt:variant>
        <vt:i4>5</vt:i4>
      </vt:variant>
      <vt:variant>
        <vt:lpwstr/>
      </vt:variant>
      <vt:variant>
        <vt:lpwstr>_Toc278960439</vt:lpwstr>
      </vt:variant>
      <vt:variant>
        <vt:i4>1703992</vt:i4>
      </vt:variant>
      <vt:variant>
        <vt:i4>86</vt:i4>
      </vt:variant>
      <vt:variant>
        <vt:i4>0</vt:i4>
      </vt:variant>
      <vt:variant>
        <vt:i4>5</vt:i4>
      </vt:variant>
      <vt:variant>
        <vt:lpwstr/>
      </vt:variant>
      <vt:variant>
        <vt:lpwstr>_Toc278960438</vt:lpwstr>
      </vt:variant>
      <vt:variant>
        <vt:i4>1703992</vt:i4>
      </vt:variant>
      <vt:variant>
        <vt:i4>80</vt:i4>
      </vt:variant>
      <vt:variant>
        <vt:i4>0</vt:i4>
      </vt:variant>
      <vt:variant>
        <vt:i4>5</vt:i4>
      </vt:variant>
      <vt:variant>
        <vt:lpwstr/>
      </vt:variant>
      <vt:variant>
        <vt:lpwstr>_Toc278960437</vt:lpwstr>
      </vt:variant>
      <vt:variant>
        <vt:i4>1703992</vt:i4>
      </vt:variant>
      <vt:variant>
        <vt:i4>74</vt:i4>
      </vt:variant>
      <vt:variant>
        <vt:i4>0</vt:i4>
      </vt:variant>
      <vt:variant>
        <vt:i4>5</vt:i4>
      </vt:variant>
      <vt:variant>
        <vt:lpwstr/>
      </vt:variant>
      <vt:variant>
        <vt:lpwstr>_Toc278960436</vt:lpwstr>
      </vt:variant>
      <vt:variant>
        <vt:i4>1703992</vt:i4>
      </vt:variant>
      <vt:variant>
        <vt:i4>68</vt:i4>
      </vt:variant>
      <vt:variant>
        <vt:i4>0</vt:i4>
      </vt:variant>
      <vt:variant>
        <vt:i4>5</vt:i4>
      </vt:variant>
      <vt:variant>
        <vt:lpwstr/>
      </vt:variant>
      <vt:variant>
        <vt:lpwstr>_Toc278960435</vt:lpwstr>
      </vt:variant>
      <vt:variant>
        <vt:i4>1703992</vt:i4>
      </vt:variant>
      <vt:variant>
        <vt:i4>62</vt:i4>
      </vt:variant>
      <vt:variant>
        <vt:i4>0</vt:i4>
      </vt:variant>
      <vt:variant>
        <vt:i4>5</vt:i4>
      </vt:variant>
      <vt:variant>
        <vt:lpwstr/>
      </vt:variant>
      <vt:variant>
        <vt:lpwstr>_Toc278960434</vt:lpwstr>
      </vt:variant>
      <vt:variant>
        <vt:i4>1703992</vt:i4>
      </vt:variant>
      <vt:variant>
        <vt:i4>56</vt:i4>
      </vt:variant>
      <vt:variant>
        <vt:i4>0</vt:i4>
      </vt:variant>
      <vt:variant>
        <vt:i4>5</vt:i4>
      </vt:variant>
      <vt:variant>
        <vt:lpwstr/>
      </vt:variant>
      <vt:variant>
        <vt:lpwstr>_Toc278960433</vt:lpwstr>
      </vt:variant>
      <vt:variant>
        <vt:i4>1703992</vt:i4>
      </vt:variant>
      <vt:variant>
        <vt:i4>50</vt:i4>
      </vt:variant>
      <vt:variant>
        <vt:i4>0</vt:i4>
      </vt:variant>
      <vt:variant>
        <vt:i4>5</vt:i4>
      </vt:variant>
      <vt:variant>
        <vt:lpwstr/>
      </vt:variant>
      <vt:variant>
        <vt:lpwstr>_Toc278960432</vt:lpwstr>
      </vt:variant>
      <vt:variant>
        <vt:i4>1703992</vt:i4>
      </vt:variant>
      <vt:variant>
        <vt:i4>44</vt:i4>
      </vt:variant>
      <vt:variant>
        <vt:i4>0</vt:i4>
      </vt:variant>
      <vt:variant>
        <vt:i4>5</vt:i4>
      </vt:variant>
      <vt:variant>
        <vt:lpwstr/>
      </vt:variant>
      <vt:variant>
        <vt:lpwstr>_Toc278960431</vt:lpwstr>
      </vt:variant>
      <vt:variant>
        <vt:i4>1703992</vt:i4>
      </vt:variant>
      <vt:variant>
        <vt:i4>38</vt:i4>
      </vt:variant>
      <vt:variant>
        <vt:i4>0</vt:i4>
      </vt:variant>
      <vt:variant>
        <vt:i4>5</vt:i4>
      </vt:variant>
      <vt:variant>
        <vt:lpwstr/>
      </vt:variant>
      <vt:variant>
        <vt:lpwstr>_Toc278960430</vt:lpwstr>
      </vt:variant>
      <vt:variant>
        <vt:i4>1769528</vt:i4>
      </vt:variant>
      <vt:variant>
        <vt:i4>32</vt:i4>
      </vt:variant>
      <vt:variant>
        <vt:i4>0</vt:i4>
      </vt:variant>
      <vt:variant>
        <vt:i4>5</vt:i4>
      </vt:variant>
      <vt:variant>
        <vt:lpwstr/>
      </vt:variant>
      <vt:variant>
        <vt:lpwstr>_Toc278960429</vt:lpwstr>
      </vt:variant>
      <vt:variant>
        <vt:i4>1769528</vt:i4>
      </vt:variant>
      <vt:variant>
        <vt:i4>26</vt:i4>
      </vt:variant>
      <vt:variant>
        <vt:i4>0</vt:i4>
      </vt:variant>
      <vt:variant>
        <vt:i4>5</vt:i4>
      </vt:variant>
      <vt:variant>
        <vt:lpwstr/>
      </vt:variant>
      <vt:variant>
        <vt:lpwstr>_Toc278960428</vt:lpwstr>
      </vt:variant>
      <vt:variant>
        <vt:i4>1769528</vt:i4>
      </vt:variant>
      <vt:variant>
        <vt:i4>20</vt:i4>
      </vt:variant>
      <vt:variant>
        <vt:i4>0</vt:i4>
      </vt:variant>
      <vt:variant>
        <vt:i4>5</vt:i4>
      </vt:variant>
      <vt:variant>
        <vt:lpwstr/>
      </vt:variant>
      <vt:variant>
        <vt:lpwstr>_Toc278960427</vt:lpwstr>
      </vt:variant>
      <vt:variant>
        <vt:i4>1769528</vt:i4>
      </vt:variant>
      <vt:variant>
        <vt:i4>14</vt:i4>
      </vt:variant>
      <vt:variant>
        <vt:i4>0</vt:i4>
      </vt:variant>
      <vt:variant>
        <vt:i4>5</vt:i4>
      </vt:variant>
      <vt:variant>
        <vt:lpwstr/>
      </vt:variant>
      <vt:variant>
        <vt:lpwstr>_Toc278960426</vt:lpwstr>
      </vt:variant>
      <vt:variant>
        <vt:i4>1769528</vt:i4>
      </vt:variant>
      <vt:variant>
        <vt:i4>8</vt:i4>
      </vt:variant>
      <vt:variant>
        <vt:i4>0</vt:i4>
      </vt:variant>
      <vt:variant>
        <vt:i4>5</vt:i4>
      </vt:variant>
      <vt:variant>
        <vt:lpwstr/>
      </vt:variant>
      <vt:variant>
        <vt:lpwstr>_Toc278960425</vt:lpwstr>
      </vt:variant>
      <vt:variant>
        <vt:i4>1769528</vt:i4>
      </vt:variant>
      <vt:variant>
        <vt:i4>2</vt:i4>
      </vt:variant>
      <vt:variant>
        <vt:i4>0</vt:i4>
      </vt:variant>
      <vt:variant>
        <vt:i4>5</vt:i4>
      </vt:variant>
      <vt:variant>
        <vt:lpwstr/>
      </vt:variant>
      <vt:variant>
        <vt:lpwstr>_Toc278960424</vt:lpwstr>
      </vt:variant>
      <vt:variant>
        <vt:i4>6488105</vt:i4>
      </vt:variant>
      <vt:variant>
        <vt:i4>3</vt:i4>
      </vt:variant>
      <vt:variant>
        <vt:i4>0</vt:i4>
      </vt:variant>
      <vt:variant>
        <vt:i4>5</vt:i4>
      </vt:variant>
      <vt:variant>
        <vt:lpwstr>http://www.deewr.gov.au/Schooling/Programs/Pages/SchoolsAssistanceAct2008.aspx</vt:lpwstr>
      </vt:variant>
      <vt:variant>
        <vt:lpwstr/>
      </vt:variant>
      <vt:variant>
        <vt:i4>7995515</vt:i4>
      </vt:variant>
      <vt:variant>
        <vt:i4>0</vt:i4>
      </vt:variant>
      <vt:variant>
        <vt:i4>0</vt:i4>
      </vt:variant>
      <vt:variant>
        <vt:i4>5</vt:i4>
      </vt:variant>
      <vt:variant>
        <vt:lpwstr>http://www.deewr.gov.au/Schooling/Funding/CapitalGrantsProgram/Pages/BlockGrantAuthorityContactDetails.aspx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Report intro – Kris, Darren, Alex and Joanne</dc:title>
  <dc:creator>Michael Mccoll</dc:creator>
  <cp:lastModifiedBy>Rebecca Katic</cp:lastModifiedBy>
  <cp:revision>5</cp:revision>
  <cp:lastPrinted>2015-03-24T03:15:00Z</cp:lastPrinted>
  <dcterms:created xsi:type="dcterms:W3CDTF">2015-03-24T03:13:00Z</dcterms:created>
  <dcterms:modified xsi:type="dcterms:W3CDTF">2015-03-26T04:27:00Z</dcterms:modified>
</cp:coreProperties>
</file>